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D427B" w14:textId="4CC7675E" w:rsidR="00910C4F" w:rsidRDefault="00910C4F" w:rsidP="00910C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Abstract title: </w:t>
      </w:r>
      <w:r w:rsidRPr="00910C4F">
        <w:rPr>
          <w:rFonts w:ascii="Arial" w:hAnsi="Arial" w:cs="Arial"/>
          <w:sz w:val="24"/>
          <w:szCs w:val="24"/>
          <w:lang w:val="en-US"/>
        </w:rPr>
        <w:t xml:space="preserve">Modulating hypoxia and oxidative stress in human </w:t>
      </w:r>
      <w:r>
        <w:rPr>
          <w:rFonts w:ascii="Arial" w:hAnsi="Arial" w:cs="Arial"/>
          <w:sz w:val="24"/>
          <w:szCs w:val="24"/>
          <w:lang w:val="en-US"/>
        </w:rPr>
        <w:t xml:space="preserve">ovarian tissue </w:t>
      </w:r>
      <w:r w:rsidRPr="00910C4F">
        <w:rPr>
          <w:rFonts w:ascii="Arial" w:hAnsi="Arial" w:cs="Arial"/>
          <w:sz w:val="24"/>
          <w:szCs w:val="24"/>
          <w:lang w:val="en-US"/>
        </w:rPr>
        <w:t>xenografts using adipose tissue-derived stem cells</w:t>
      </w:r>
    </w:p>
    <w:p w14:paraId="6A0B9B0A" w14:textId="18D5590B" w:rsidR="00F36D55" w:rsidRDefault="00F36D55" w:rsidP="00910C4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36D55">
        <w:rPr>
          <w:rFonts w:ascii="Arial" w:hAnsi="Arial" w:cs="Arial"/>
          <w:sz w:val="24"/>
          <w:szCs w:val="24"/>
        </w:rPr>
        <w:t xml:space="preserve">Cacciottola L, Nguyen TYT, Amorim CA, </w:t>
      </w:r>
      <w:r w:rsidR="00E375EE">
        <w:rPr>
          <w:rFonts w:ascii="Arial" w:hAnsi="Arial" w:cs="Arial"/>
          <w:sz w:val="24"/>
          <w:szCs w:val="24"/>
        </w:rPr>
        <w:t xml:space="preserve">Donnez J, </w:t>
      </w:r>
      <w:r w:rsidRPr="00F36D55">
        <w:rPr>
          <w:rFonts w:ascii="Arial" w:hAnsi="Arial" w:cs="Arial"/>
          <w:sz w:val="24"/>
          <w:szCs w:val="24"/>
        </w:rPr>
        <w:t xml:space="preserve">Dolmans MM </w:t>
      </w:r>
    </w:p>
    <w:p w14:paraId="5B20B431" w14:textId="77777777" w:rsidR="00F36D55" w:rsidRPr="00F36D55" w:rsidRDefault="00F36D55" w:rsidP="00910C4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D85CCB" w14:textId="00ED4B30" w:rsidR="00910C4F" w:rsidRDefault="00910C4F" w:rsidP="00910C4F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Study question: </w:t>
      </w:r>
      <w:r>
        <w:rPr>
          <w:rFonts w:ascii="Arial" w:hAnsi="Arial" w:cs="Arial"/>
          <w:bCs/>
          <w:sz w:val="24"/>
          <w:szCs w:val="24"/>
          <w:lang w:val="en-US"/>
        </w:rPr>
        <w:t>To investigate whether adipose tissue-derived stem cells (</w:t>
      </w:r>
      <w:r w:rsidR="00F36D55">
        <w:rPr>
          <w:rFonts w:ascii="Arial" w:hAnsi="Arial" w:cs="Arial"/>
          <w:bCs/>
          <w:sz w:val="24"/>
          <w:szCs w:val="24"/>
          <w:lang w:val="en-US"/>
        </w:rPr>
        <w:t>ASCs) modulate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hypoxia and oxidative stress in human ovarian tissue transplants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to reduce early follicle loss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79297DE4" w14:textId="4FEA8884" w:rsidR="00910C4F" w:rsidRPr="00910C4F" w:rsidRDefault="00910C4F" w:rsidP="00910C4F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910C4F">
        <w:rPr>
          <w:rFonts w:ascii="Arial" w:hAnsi="Arial" w:cs="Arial"/>
          <w:b/>
          <w:sz w:val="24"/>
          <w:szCs w:val="24"/>
          <w:lang w:val="en-US"/>
        </w:rPr>
        <w:t>Summary answer: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910C4F">
        <w:rPr>
          <w:rFonts w:ascii="Arial" w:hAnsi="Arial" w:cs="Arial"/>
          <w:bCs/>
          <w:sz w:val="24"/>
          <w:szCs w:val="24"/>
          <w:lang w:val="en-US"/>
        </w:rPr>
        <w:t xml:space="preserve">ASCs 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protect the follicle pool by </w:t>
      </w:r>
      <w:r w:rsidR="00A6406B">
        <w:rPr>
          <w:rFonts w:ascii="Arial" w:hAnsi="Arial" w:cs="Arial"/>
          <w:bCs/>
          <w:sz w:val="24"/>
          <w:szCs w:val="24"/>
          <w:lang w:val="en-US"/>
        </w:rPr>
        <w:t>mitigating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910C4F">
        <w:rPr>
          <w:rFonts w:ascii="Arial" w:hAnsi="Arial" w:cs="Arial"/>
          <w:bCs/>
          <w:sz w:val="24"/>
          <w:szCs w:val="24"/>
          <w:lang w:val="en-US"/>
        </w:rPr>
        <w:t>the hypoxia-related response through HIF1α signaling in human xenografts and enhanc</w:t>
      </w:r>
      <w:r w:rsidR="002E7F7D">
        <w:rPr>
          <w:rFonts w:ascii="Arial" w:hAnsi="Arial" w:cs="Arial"/>
          <w:bCs/>
          <w:sz w:val="24"/>
          <w:szCs w:val="24"/>
          <w:lang w:val="en-US"/>
        </w:rPr>
        <w:t>ing</w:t>
      </w:r>
      <w:r w:rsidRPr="00910C4F">
        <w:rPr>
          <w:rFonts w:ascii="Arial" w:hAnsi="Arial" w:cs="Arial"/>
          <w:bCs/>
          <w:sz w:val="24"/>
          <w:szCs w:val="24"/>
          <w:lang w:val="en-US"/>
        </w:rPr>
        <w:t xml:space="preserve"> revascularization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by </w:t>
      </w:r>
      <w:r w:rsidRPr="00910C4F">
        <w:rPr>
          <w:rFonts w:ascii="Arial" w:hAnsi="Arial" w:cs="Arial"/>
          <w:bCs/>
          <w:sz w:val="24"/>
          <w:szCs w:val="24"/>
          <w:lang w:val="en-US"/>
        </w:rPr>
        <w:t>ensuring faster tissue reperfusion.</w:t>
      </w:r>
    </w:p>
    <w:p w14:paraId="5C3DF499" w14:textId="74710CAA" w:rsidR="00910C4F" w:rsidRPr="002E7F7D" w:rsidRDefault="00910C4F" w:rsidP="00910C4F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910C4F">
        <w:rPr>
          <w:rFonts w:ascii="Arial" w:hAnsi="Arial" w:cs="Arial"/>
          <w:b/>
          <w:sz w:val="24"/>
          <w:szCs w:val="24"/>
          <w:lang w:val="en-US"/>
        </w:rPr>
        <w:t xml:space="preserve">What is known already: </w:t>
      </w:r>
      <w:r w:rsidR="002E7F7D" w:rsidRPr="002E7F7D">
        <w:rPr>
          <w:rFonts w:ascii="Arial" w:hAnsi="Arial" w:cs="Arial"/>
          <w:bCs/>
          <w:sz w:val="24"/>
          <w:szCs w:val="24"/>
          <w:lang w:val="en-US"/>
        </w:rPr>
        <w:t>ASCs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2E7F7D" w:rsidRPr="002E7F7D">
        <w:rPr>
          <w:rFonts w:ascii="Arial" w:hAnsi="Arial" w:cs="Arial"/>
          <w:bCs/>
          <w:sz w:val="24"/>
          <w:szCs w:val="24"/>
          <w:lang w:val="en-US"/>
        </w:rPr>
        <w:t>are known for their angiogenic potential and capacity to boost angiogenesis by secreting growth factors and differentiating into vessels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in numerous models of wound healing in regenerative medicine. </w:t>
      </w:r>
      <w:r w:rsidR="00A6406B">
        <w:rPr>
          <w:rFonts w:ascii="Arial" w:hAnsi="Arial" w:cs="Arial"/>
          <w:bCs/>
          <w:sz w:val="24"/>
          <w:szCs w:val="24"/>
          <w:lang w:val="en-US"/>
        </w:rPr>
        <w:t>I</w:t>
      </w:r>
      <w:r w:rsidR="002E7F7D" w:rsidRPr="002E7F7D">
        <w:rPr>
          <w:rFonts w:ascii="Arial" w:hAnsi="Arial" w:cs="Arial"/>
          <w:bCs/>
          <w:sz w:val="24"/>
          <w:szCs w:val="24"/>
          <w:lang w:val="en-US"/>
        </w:rPr>
        <w:t>n a 2-step ovarian tissue xenotransplantation</w:t>
      </w:r>
      <w:r w:rsidR="00A6406B">
        <w:rPr>
          <w:rFonts w:ascii="Arial" w:hAnsi="Arial" w:cs="Arial"/>
          <w:bCs/>
          <w:sz w:val="24"/>
          <w:szCs w:val="24"/>
          <w:lang w:val="en-US"/>
        </w:rPr>
        <w:t xml:space="preserve"> involving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graft</w:t>
      </w:r>
      <w:r w:rsidR="00A6406B">
        <w:rPr>
          <w:rFonts w:ascii="Arial" w:hAnsi="Arial" w:cs="Arial"/>
          <w:bCs/>
          <w:sz w:val="24"/>
          <w:szCs w:val="24"/>
          <w:lang w:val="en-US"/>
        </w:rPr>
        <w:t>ing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inside a fibrin scaffold two </w:t>
      </w:r>
      <w:r w:rsidR="007F78F5">
        <w:rPr>
          <w:rFonts w:ascii="Arial" w:hAnsi="Arial" w:cs="Arial"/>
          <w:bCs/>
          <w:sz w:val="24"/>
          <w:szCs w:val="24"/>
          <w:lang w:val="en-US"/>
        </w:rPr>
        <w:t>weeks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prior to transplantation, ASC</w:t>
      </w:r>
      <w:r w:rsidR="00A6406B">
        <w:rPr>
          <w:rFonts w:ascii="Arial" w:hAnsi="Arial" w:cs="Arial"/>
          <w:bCs/>
          <w:sz w:val="24"/>
          <w:szCs w:val="24"/>
          <w:lang w:val="en-US"/>
        </w:rPr>
        <w:t>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A6406B">
        <w:rPr>
          <w:rFonts w:ascii="Arial" w:hAnsi="Arial" w:cs="Arial"/>
          <w:bCs/>
          <w:sz w:val="24"/>
          <w:szCs w:val="24"/>
          <w:lang w:val="en-US"/>
        </w:rPr>
        <w:t>reduced</w:t>
      </w:r>
      <w:r w:rsidR="002E7F7D" w:rsidRPr="002E7F7D">
        <w:rPr>
          <w:rFonts w:ascii="Arial" w:hAnsi="Arial" w:cs="Arial"/>
          <w:bCs/>
          <w:sz w:val="24"/>
          <w:szCs w:val="24"/>
          <w:lang w:val="en-US"/>
        </w:rPr>
        <w:t xml:space="preserve"> follicle loss </w:t>
      </w:r>
      <w:r w:rsidR="002E7F7D">
        <w:rPr>
          <w:rFonts w:ascii="Arial" w:hAnsi="Arial" w:cs="Arial"/>
          <w:bCs/>
          <w:sz w:val="24"/>
          <w:szCs w:val="24"/>
          <w:lang w:val="en-US"/>
        </w:rPr>
        <w:t>after short- and long-term grafting</w:t>
      </w:r>
      <w:r w:rsidR="00A6406B">
        <w:rPr>
          <w:rFonts w:ascii="Arial" w:hAnsi="Arial" w:cs="Arial"/>
          <w:bCs/>
          <w:sz w:val="24"/>
          <w:szCs w:val="24"/>
          <w:lang w:val="en-US"/>
        </w:rPr>
        <w:t>,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a</w:t>
      </w:r>
      <w:r w:rsidR="00A6406B">
        <w:rPr>
          <w:rFonts w:ascii="Arial" w:hAnsi="Arial" w:cs="Arial"/>
          <w:bCs/>
          <w:sz w:val="24"/>
          <w:szCs w:val="24"/>
          <w:lang w:val="en-US"/>
        </w:rPr>
        <w:t>s well as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 abnormal follicle activation, by </w:t>
      </w:r>
      <w:r w:rsidR="00A6406B">
        <w:rPr>
          <w:rFonts w:ascii="Arial" w:hAnsi="Arial" w:cs="Arial"/>
          <w:bCs/>
          <w:sz w:val="24"/>
          <w:szCs w:val="24"/>
          <w:lang w:val="en-US"/>
        </w:rPr>
        <w:t>increasing</w:t>
      </w:r>
      <w:r w:rsidR="002E7F7D" w:rsidRPr="002E7F7D">
        <w:rPr>
          <w:rFonts w:ascii="Arial" w:hAnsi="Arial" w:cs="Arial"/>
          <w:bCs/>
          <w:sz w:val="24"/>
          <w:szCs w:val="24"/>
          <w:lang w:val="en-US"/>
        </w:rPr>
        <w:t xml:space="preserve"> reoxygenation and revascularization in human xenografts</w:t>
      </w:r>
      <w:r w:rsidR="002E7F7D">
        <w:rPr>
          <w:rFonts w:ascii="Arial" w:hAnsi="Arial" w:cs="Arial"/>
          <w:bCs/>
          <w:sz w:val="24"/>
          <w:szCs w:val="24"/>
          <w:lang w:val="en-US"/>
        </w:rPr>
        <w:t xml:space="preserve">. </w:t>
      </w:r>
    </w:p>
    <w:p w14:paraId="5F6CB9FA" w14:textId="725B7B00" w:rsidR="00910C4F" w:rsidRDefault="00910C4F" w:rsidP="00910C4F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Study design, size, duration: </w:t>
      </w:r>
      <w:r>
        <w:rPr>
          <w:rFonts w:ascii="Arial" w:hAnsi="Arial" w:cs="Arial"/>
          <w:bCs/>
          <w:sz w:val="24"/>
          <w:szCs w:val="24"/>
          <w:lang w:val="en-US"/>
        </w:rPr>
        <w:t>Prospective experimental study</w:t>
      </w:r>
      <w:r w:rsidR="00575F46">
        <w:rPr>
          <w:rFonts w:ascii="Arial" w:hAnsi="Arial" w:cs="Arial"/>
          <w:bCs/>
          <w:sz w:val="24"/>
          <w:szCs w:val="24"/>
          <w:lang w:val="en-US"/>
        </w:rPr>
        <w:t>.</w:t>
      </w:r>
      <w:r w:rsidR="00575F46" w:rsidRPr="00575F4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Cryopreserved ovarian cortex from five adult women was transplanted to 30 nude mice, </w:t>
      </w:r>
      <w:r w:rsidR="00575F46">
        <w:rPr>
          <w:rFonts w:ascii="Arial" w:hAnsi="Arial" w:cs="Arial"/>
          <w:color w:val="000000"/>
          <w:sz w:val="24"/>
          <w:szCs w:val="24"/>
          <w:lang w:val="en-US"/>
        </w:rPr>
        <w:t xml:space="preserve">with or without ASCs (ASC group; OT group). Ovarian grafts were retrieved on days 3 (n=5), 10 (n=5) and 21 (n=5). One piece of ovarian tissue per patient was fixed for analysis after thawing </w:t>
      </w:r>
      <w:r w:rsidR="00A6406B">
        <w:rPr>
          <w:rFonts w:ascii="Arial" w:hAnsi="Arial" w:cs="Arial"/>
          <w:color w:val="000000"/>
          <w:sz w:val="24"/>
          <w:szCs w:val="24"/>
          <w:lang w:val="en-US"/>
        </w:rPr>
        <w:t xml:space="preserve">to serve </w:t>
      </w:r>
      <w:r w:rsidR="00575F46">
        <w:rPr>
          <w:rFonts w:ascii="Arial" w:hAnsi="Arial" w:cs="Arial"/>
          <w:color w:val="000000"/>
          <w:sz w:val="24"/>
          <w:szCs w:val="24"/>
          <w:lang w:val="en-US"/>
        </w:rPr>
        <w:t>as non-grafted controls.</w:t>
      </w:r>
    </w:p>
    <w:p w14:paraId="242A9EFD" w14:textId="3FB1B942" w:rsidR="00575F46" w:rsidRDefault="00910C4F" w:rsidP="00575F46">
      <w:pPr>
        <w:pStyle w:val="Standard"/>
        <w:spacing w:line="48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910C4F">
        <w:rPr>
          <w:rFonts w:ascii="Arial" w:hAnsi="Arial" w:cs="Arial"/>
          <w:b/>
          <w:bCs/>
          <w:sz w:val="24"/>
          <w:szCs w:val="24"/>
          <w:lang w:val="en-US"/>
        </w:rPr>
        <w:t>Participants/materials, setting, methods: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sz w:val="24"/>
          <w:szCs w:val="24"/>
          <w:lang w:val="en-US"/>
        </w:rPr>
        <w:t xml:space="preserve">The 10 animals grafted for 21 days underwent in vivo </w:t>
      </w:r>
      <w:proofErr w:type="spellStart"/>
      <w:r w:rsidR="00A6406B">
        <w:rPr>
          <w:rFonts w:ascii="Arial" w:hAnsi="Arial" w:cs="Arial"/>
          <w:sz w:val="24"/>
          <w:szCs w:val="24"/>
          <w:lang w:val="en-US"/>
        </w:rPr>
        <w:t>microdialysis</w:t>
      </w:r>
      <w:proofErr w:type="spellEnd"/>
      <w:r w:rsidR="00A6406B">
        <w:rPr>
          <w:rFonts w:ascii="Arial" w:hAnsi="Arial" w:cs="Arial"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sz w:val="24"/>
          <w:szCs w:val="24"/>
          <w:lang w:val="en-US"/>
        </w:rPr>
        <w:t xml:space="preserve">evaluation to </w:t>
      </w:r>
      <w:r w:rsidR="00A6406B">
        <w:rPr>
          <w:rFonts w:ascii="Arial" w:hAnsi="Arial" w:cs="Arial"/>
          <w:sz w:val="24"/>
          <w:szCs w:val="24"/>
          <w:lang w:val="en-US"/>
        </w:rPr>
        <w:t>investigate</w:t>
      </w:r>
      <w:r w:rsidR="00575F46">
        <w:rPr>
          <w:rFonts w:ascii="Arial" w:hAnsi="Arial" w:cs="Arial"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color w:val="000000"/>
          <w:sz w:val="24"/>
          <w:szCs w:val="24"/>
          <w:lang w:val="en-US"/>
        </w:rPr>
        <w:t>direct reactive oxygen species (ROS) kinetics</w:t>
      </w:r>
      <w:r w:rsidR="00575F46">
        <w:rPr>
          <w:rFonts w:ascii="Arial" w:hAnsi="Arial" w:cs="Arial"/>
          <w:sz w:val="24"/>
          <w:szCs w:val="24"/>
          <w:lang w:val="en-US"/>
        </w:rPr>
        <w:t xml:space="preserve">. </w:t>
      </w:r>
      <w:r w:rsidR="00575F46">
        <w:rPr>
          <w:rFonts w:ascii="Arial" w:hAnsi="Arial" w:cs="Arial"/>
          <w:color w:val="000000"/>
          <w:sz w:val="24"/>
          <w:szCs w:val="24"/>
          <w:lang w:val="en-US"/>
        </w:rPr>
        <w:t xml:space="preserve">Analyses of ovarian grafts at all time points and non-grafted controls included </w:t>
      </w:r>
      <w:r w:rsidR="00575F46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 xml:space="preserve">immunolabeling for double CD34 (revascularization by host and graft components), immunofluorescence for </w:t>
      </w:r>
      <w:r w:rsidR="00575F46">
        <w:rPr>
          <w:rFonts w:ascii="Arial" w:hAnsi="Arial" w:cs="Arial"/>
          <w:bCs/>
          <w:sz w:val="24"/>
          <w:szCs w:val="24"/>
          <w:lang w:val="en-US"/>
        </w:rPr>
        <w:t>HIF1α (hypoxia-related response), Nrf2 (oxidative stress-related response) and 8OHdG (oxidative stress-related DNA damage)</w:t>
      </w:r>
      <w:r w:rsidR="00A6406B">
        <w:rPr>
          <w:rFonts w:ascii="Arial" w:hAnsi="Arial" w:cs="Arial"/>
          <w:bCs/>
          <w:sz w:val="24"/>
          <w:szCs w:val="24"/>
          <w:lang w:val="en-US"/>
        </w:rPr>
        <w:t>,</w:t>
      </w:r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 and gene expression (RT-qPCR) for VEGF-A (</w:t>
      </w:r>
      <w:proofErr w:type="spellStart"/>
      <w:r w:rsidR="00575F46">
        <w:rPr>
          <w:rFonts w:ascii="Arial" w:hAnsi="Arial" w:cs="Arial"/>
          <w:bCs/>
          <w:sz w:val="24"/>
          <w:szCs w:val="24"/>
          <w:lang w:val="en-US"/>
        </w:rPr>
        <w:t>neoangiogenesis</w:t>
      </w:r>
      <w:proofErr w:type="spellEnd"/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), SOD2 (antioxidant activity) and Nrf1 (mitochondrial biogenesis). </w:t>
      </w:r>
    </w:p>
    <w:p w14:paraId="51BEE32F" w14:textId="007D5E07" w:rsidR="00910C4F" w:rsidRDefault="00910C4F" w:rsidP="00910C4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10C4F">
        <w:rPr>
          <w:rFonts w:ascii="Arial" w:hAnsi="Arial" w:cs="Arial"/>
          <w:b/>
          <w:bCs/>
          <w:sz w:val="24"/>
          <w:szCs w:val="24"/>
          <w:lang w:val="en-US"/>
        </w:rPr>
        <w:t>Main results and the role of chance:</w:t>
      </w:r>
      <w:r w:rsidR="00575F4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ROS peaked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sooner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in the ASC group (day 2,</w:t>
      </w:r>
      <w:r w:rsidR="00575F46">
        <w:rPr>
          <w:rFonts w:ascii="Arial" w:hAnsi="Arial" w:cs="Arial"/>
          <w:sz w:val="24"/>
          <w:szCs w:val="24"/>
          <w:lang w:val="en-US"/>
        </w:rPr>
        <w:t xml:space="preserve"> p&lt;0.0001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>) than the OT group (day 10, p=0.01) after grafting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>, indicating earlier tissue reperfusion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. Total vascularization was stable in the ASC group at all time points,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but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lower in the OT group 3 days after grafting (p=0.01) due to a d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rop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in both host and graft vascular components.</w:t>
      </w:r>
      <w:r w:rsidR="00575F46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>HIF1α expression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>,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detected 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>mainly in follicles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>, was significantly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lower in 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primordial follicles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in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>the ASC group than the OT group on days 3 (</w:t>
      </w:r>
      <w:r w:rsidR="00575F46">
        <w:rPr>
          <w:rFonts w:ascii="Arial" w:hAnsi="Arial" w:cs="Arial"/>
          <w:sz w:val="24"/>
          <w:szCs w:val="24"/>
          <w:lang w:val="en-US"/>
        </w:rPr>
        <w:t>p=0.008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>) and 10 (p=0.01). VEGF gene expression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rose 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significantly 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>(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>around 40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x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>)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in both groups on day 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3 and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persisted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significantly longer in the ASC 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group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(10 days) 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>than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the OT group (3 days) (p=0.04)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>,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emphasizing the role of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2E7F7D">
        <w:rPr>
          <w:rFonts w:ascii="Arial" w:hAnsi="Arial" w:cs="Arial"/>
          <w:bCs/>
          <w:color w:val="000000"/>
          <w:sz w:val="24"/>
          <w:szCs w:val="24"/>
          <w:lang w:val="en-US"/>
        </w:rPr>
        <w:t>ASC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s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as enhancers of proangiogenic factors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. 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There was no upturn in the oxidative stress-related response (Nrf2 pathway) nor DNA damage (8OHdG)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to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follicles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in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any of the grafted groups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over time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, while </w:t>
      </w:r>
      <w:r w:rsidR="00666C55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a modest increase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in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both markers </w:t>
      </w:r>
      <w:r w:rsidR="00666C55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was observed </w:t>
      </w:r>
      <w:r w:rsidR="00DB081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only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in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666C55">
        <w:rPr>
          <w:rFonts w:ascii="Arial" w:hAnsi="Arial" w:cs="Arial"/>
          <w:bCs/>
          <w:color w:val="000000"/>
          <w:sz w:val="24"/>
          <w:szCs w:val="24"/>
          <w:lang w:val="en-US"/>
        </w:rPr>
        <w:t>the stroma after 21 days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>.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Neither was there any major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increase in SOD2 and Nrf1 gene expression</w:t>
      </w:r>
      <w:r w:rsidR="00A6406B">
        <w:rPr>
          <w:rFonts w:ascii="Arial" w:hAnsi="Arial" w:cs="Arial"/>
          <w:bCs/>
          <w:color w:val="000000"/>
          <w:sz w:val="24"/>
          <w:szCs w:val="24"/>
          <w:lang w:val="en-US"/>
        </w:rPr>
        <w:t>, suggesting</w:t>
      </w:r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no significant activation of the Nrf2 pathway for </w:t>
      </w:r>
      <w:proofErr w:type="spellStart"/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>cytoprotection</w:t>
      </w:r>
      <w:proofErr w:type="spellEnd"/>
      <w:r w:rsidR="007C7B5A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from oxidative stress.</w:t>
      </w:r>
      <w:r w:rsidR="00575F46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</w:p>
    <w:p w14:paraId="757494C5" w14:textId="207E2654" w:rsidR="00910C4F" w:rsidRPr="007F78F5" w:rsidRDefault="00910C4F" w:rsidP="00910C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10C4F">
        <w:rPr>
          <w:rFonts w:ascii="Arial" w:hAnsi="Arial" w:cs="Arial"/>
          <w:b/>
          <w:bCs/>
          <w:sz w:val="24"/>
          <w:szCs w:val="24"/>
          <w:lang w:val="en-US"/>
        </w:rPr>
        <w:t>Limitations, reasons for caution:</w:t>
      </w:r>
      <w:r w:rsidR="007F78F5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7F78F5" w:rsidRPr="007F78F5">
        <w:rPr>
          <w:rFonts w:ascii="Arial" w:hAnsi="Arial" w:cs="Arial"/>
          <w:sz w:val="24"/>
          <w:szCs w:val="24"/>
          <w:lang w:val="en-US"/>
        </w:rPr>
        <w:t xml:space="preserve">Although Nrf2 signaling activation was </w:t>
      </w:r>
      <w:r w:rsidR="00A6406B">
        <w:rPr>
          <w:rFonts w:ascii="Arial" w:hAnsi="Arial" w:cs="Arial"/>
          <w:sz w:val="24"/>
          <w:szCs w:val="24"/>
          <w:lang w:val="en-US"/>
        </w:rPr>
        <w:t>detected</w:t>
      </w:r>
      <w:r w:rsidR="007F78F5" w:rsidRPr="007F78F5">
        <w:rPr>
          <w:rFonts w:ascii="Arial" w:hAnsi="Arial" w:cs="Arial"/>
          <w:sz w:val="24"/>
          <w:szCs w:val="24"/>
          <w:lang w:val="en-US"/>
        </w:rPr>
        <w:t xml:space="preserve"> in human granulosa cell cultures in increasing ROS concentrations</w:t>
      </w:r>
      <w:r w:rsidR="007F78F5">
        <w:rPr>
          <w:rFonts w:ascii="Arial" w:hAnsi="Arial" w:cs="Arial"/>
          <w:sz w:val="24"/>
          <w:szCs w:val="24"/>
          <w:lang w:val="en-US"/>
        </w:rPr>
        <w:t xml:space="preserve">, our findings did not confirm its role </w:t>
      </w:r>
      <w:r w:rsidR="00E105F8">
        <w:rPr>
          <w:rFonts w:ascii="Arial" w:hAnsi="Arial" w:cs="Arial"/>
          <w:sz w:val="24"/>
          <w:szCs w:val="24"/>
          <w:lang w:val="en-US"/>
        </w:rPr>
        <w:t xml:space="preserve">in tissue damage modulation after ovarian tissue transplantation. Further studies may evidence </w:t>
      </w:r>
      <w:r w:rsidR="00A6406B">
        <w:rPr>
          <w:rFonts w:ascii="Arial" w:hAnsi="Arial" w:cs="Arial"/>
          <w:sz w:val="24"/>
          <w:szCs w:val="24"/>
          <w:lang w:val="en-US"/>
        </w:rPr>
        <w:t>the</w:t>
      </w:r>
      <w:r w:rsidR="00E105F8">
        <w:rPr>
          <w:rFonts w:ascii="Arial" w:hAnsi="Arial" w:cs="Arial"/>
          <w:sz w:val="24"/>
          <w:szCs w:val="24"/>
          <w:lang w:val="en-US"/>
        </w:rPr>
        <w:t xml:space="preserve"> involvement </w:t>
      </w:r>
      <w:r w:rsidR="00A6406B">
        <w:rPr>
          <w:rFonts w:ascii="Arial" w:hAnsi="Arial" w:cs="Arial"/>
          <w:sz w:val="24"/>
          <w:szCs w:val="24"/>
          <w:lang w:val="en-US"/>
        </w:rPr>
        <w:t>of other pathways that</w:t>
      </w:r>
      <w:r w:rsidR="00E105F8">
        <w:rPr>
          <w:rFonts w:ascii="Arial" w:hAnsi="Arial" w:cs="Arial"/>
          <w:sz w:val="24"/>
          <w:szCs w:val="24"/>
          <w:lang w:val="en-US"/>
        </w:rPr>
        <w:t xml:space="preserve"> modulate oxidative stress after transplantation.</w:t>
      </w:r>
    </w:p>
    <w:p w14:paraId="575E7F7D" w14:textId="137CDC47" w:rsidR="00910C4F" w:rsidRDefault="00910C4F" w:rsidP="00910C4F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10C4F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Wider implications of the findings:</w:t>
      </w:r>
      <w:r w:rsidR="00575F4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A6406B">
        <w:rPr>
          <w:rFonts w:ascii="Arial" w:hAnsi="Arial" w:cs="Arial"/>
          <w:bCs/>
          <w:sz w:val="24"/>
          <w:szCs w:val="24"/>
          <w:lang w:val="en-US"/>
        </w:rPr>
        <w:t>The r</w:t>
      </w:r>
      <w:r w:rsidR="007C7B5A">
        <w:rPr>
          <w:rFonts w:ascii="Arial" w:hAnsi="Arial" w:cs="Arial"/>
          <w:bCs/>
          <w:sz w:val="24"/>
          <w:szCs w:val="24"/>
          <w:lang w:val="en-US"/>
        </w:rPr>
        <w:t>ole of ASCs</w:t>
      </w:r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7C7B5A">
        <w:rPr>
          <w:rFonts w:ascii="Arial" w:hAnsi="Arial" w:cs="Arial"/>
          <w:bCs/>
          <w:sz w:val="24"/>
          <w:szCs w:val="24"/>
          <w:lang w:val="en-US"/>
        </w:rPr>
        <w:t xml:space="preserve">in protecting the follicle pool appears to be related to a decrease </w:t>
      </w:r>
      <w:r w:rsidR="00A6406B">
        <w:rPr>
          <w:rFonts w:ascii="Arial" w:hAnsi="Arial" w:cs="Arial"/>
          <w:bCs/>
          <w:sz w:val="24"/>
          <w:szCs w:val="24"/>
          <w:lang w:val="en-US"/>
        </w:rPr>
        <w:t>in</w:t>
      </w:r>
      <w:r w:rsidR="007C7B5A">
        <w:rPr>
          <w:rFonts w:ascii="Arial" w:hAnsi="Arial" w:cs="Arial"/>
          <w:bCs/>
          <w:sz w:val="24"/>
          <w:szCs w:val="24"/>
          <w:lang w:val="en-US"/>
        </w:rPr>
        <w:t xml:space="preserve"> hypoxia and faster </w:t>
      </w:r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ovarian graft </w:t>
      </w:r>
      <w:r w:rsidR="007C7B5A">
        <w:rPr>
          <w:rFonts w:ascii="Arial" w:hAnsi="Arial" w:cs="Arial"/>
          <w:bCs/>
          <w:sz w:val="24"/>
          <w:szCs w:val="24"/>
          <w:lang w:val="en-US"/>
        </w:rPr>
        <w:t xml:space="preserve">revascularization and </w:t>
      </w:r>
      <w:r w:rsidR="00575F46">
        <w:rPr>
          <w:rFonts w:ascii="Arial" w:hAnsi="Arial" w:cs="Arial"/>
          <w:bCs/>
          <w:sz w:val="24"/>
          <w:szCs w:val="24"/>
          <w:lang w:val="en-US"/>
        </w:rPr>
        <w:t>reperfusion</w:t>
      </w:r>
      <w:r w:rsidR="007C7B5A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sustained by an increase in VEGF for a longer period after grafting. </w:t>
      </w:r>
      <w:r w:rsidR="00A6406B">
        <w:rPr>
          <w:rFonts w:ascii="Arial" w:hAnsi="Arial" w:cs="Arial"/>
          <w:bCs/>
          <w:sz w:val="24"/>
          <w:szCs w:val="24"/>
          <w:lang w:val="en-US"/>
        </w:rPr>
        <w:t>There was no</w:t>
      </w:r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 evidence of oxidative stress-related damage</w:t>
      </w:r>
      <w:r w:rsidR="00A6406B">
        <w:rPr>
          <w:rFonts w:ascii="Arial" w:hAnsi="Arial" w:cs="Arial"/>
          <w:bCs/>
          <w:sz w:val="24"/>
          <w:szCs w:val="24"/>
          <w:lang w:val="en-US"/>
        </w:rPr>
        <w:t>,</w:t>
      </w:r>
      <w:bookmarkStart w:id="0" w:name="_GoBack"/>
      <w:bookmarkEnd w:id="0"/>
      <w:r w:rsidR="00575F46">
        <w:rPr>
          <w:rFonts w:ascii="Arial" w:hAnsi="Arial" w:cs="Arial"/>
          <w:bCs/>
          <w:sz w:val="24"/>
          <w:szCs w:val="24"/>
          <w:lang w:val="en-US"/>
        </w:rPr>
        <w:t xml:space="preserve"> irrespective of the transplantation strategy</w:t>
      </w:r>
      <w:r w:rsidR="007C7B5A">
        <w:rPr>
          <w:rFonts w:ascii="Arial" w:hAnsi="Arial" w:cs="Arial"/>
          <w:bCs/>
          <w:sz w:val="24"/>
          <w:szCs w:val="24"/>
          <w:lang w:val="en-US"/>
        </w:rPr>
        <w:t xml:space="preserve">. </w:t>
      </w:r>
    </w:p>
    <w:p w14:paraId="40853440" w14:textId="78765AAE" w:rsidR="00F36D55" w:rsidRDefault="00910C4F" w:rsidP="00F36D55">
      <w:pPr>
        <w:pStyle w:val="Standard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10C4F">
        <w:rPr>
          <w:rFonts w:ascii="Arial" w:hAnsi="Arial" w:cs="Arial"/>
          <w:b/>
          <w:bCs/>
          <w:sz w:val="24"/>
          <w:szCs w:val="24"/>
          <w:lang w:val="en-US"/>
        </w:rPr>
        <w:t>Study funding/competing interest(s):</w:t>
      </w:r>
      <w:r w:rsidR="00F36D55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36D55">
        <w:rPr>
          <w:rFonts w:ascii="Arial" w:hAnsi="Arial" w:cs="Arial"/>
          <w:sz w:val="24"/>
          <w:szCs w:val="24"/>
          <w:lang w:val="en-US"/>
        </w:rPr>
        <w:t xml:space="preserve">This study was supported by grants from the Fonds National de la Recherche </w:t>
      </w:r>
      <w:proofErr w:type="spellStart"/>
      <w:r w:rsidR="00F36D55">
        <w:rPr>
          <w:rFonts w:ascii="Arial" w:hAnsi="Arial" w:cs="Arial"/>
          <w:sz w:val="24"/>
          <w:szCs w:val="24"/>
          <w:lang w:val="en-US"/>
        </w:rPr>
        <w:t>Scientifique</w:t>
      </w:r>
      <w:proofErr w:type="spellEnd"/>
      <w:r w:rsidR="00F36D55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F36D55">
        <w:rPr>
          <w:rFonts w:ascii="Arial" w:hAnsi="Arial" w:cs="Arial"/>
          <w:sz w:val="24"/>
          <w:szCs w:val="24"/>
          <w:lang w:val="en-US"/>
        </w:rPr>
        <w:t>Belgique</w:t>
      </w:r>
      <w:proofErr w:type="spellEnd"/>
      <w:r w:rsidR="00F36D55">
        <w:rPr>
          <w:rFonts w:ascii="Arial" w:hAnsi="Arial" w:cs="Arial"/>
          <w:sz w:val="24"/>
          <w:szCs w:val="24"/>
          <w:lang w:val="en-US"/>
        </w:rPr>
        <w:t xml:space="preserve"> (F.R.S.-FNRS/FRIA FC29657 awarded to Luciana Cacciottola, FNRS-PDR Convention T.0077.14</w:t>
      </w:r>
      <w:r w:rsidR="00F36D55" w:rsidRPr="009B1BDD">
        <w:rPr>
          <w:rFonts w:ascii="Arial" w:hAnsi="Arial" w:cs="Arial"/>
          <w:sz w:val="24"/>
          <w:szCs w:val="24"/>
          <w:lang w:val="en-US"/>
        </w:rPr>
        <w:t xml:space="preserve">, </w:t>
      </w:r>
      <w:r w:rsidR="00F36D55" w:rsidRPr="009B1BDD">
        <w:rPr>
          <w:rFonts w:ascii="Arial" w:hAnsi="Arial" w:cs="Arial"/>
          <w:color w:val="131413"/>
          <w:kern w:val="0"/>
          <w:sz w:val="24"/>
          <w:szCs w:val="24"/>
          <w:lang w:val="en-US"/>
        </w:rPr>
        <w:t xml:space="preserve">Excellence of Science FNRS–EOS number 30443682, </w:t>
      </w:r>
      <w:r w:rsidR="00F36D55" w:rsidRPr="009B1BDD">
        <w:rPr>
          <w:rFonts w:ascii="Arial" w:hAnsi="Arial" w:cs="Arial"/>
          <w:sz w:val="24"/>
          <w:szCs w:val="24"/>
          <w:lang w:val="en-US"/>
        </w:rPr>
        <w:t>and grant 5/4/150/5 awarded to Marie-Madeleine Dolmans),</w:t>
      </w:r>
      <w:r w:rsidR="00F36D55">
        <w:rPr>
          <w:rFonts w:ascii="Arial" w:hAnsi="Arial" w:cs="Arial"/>
          <w:sz w:val="24"/>
          <w:szCs w:val="24"/>
          <w:lang w:val="en-US"/>
        </w:rPr>
        <w:t xml:space="preserve"> Fonds </w:t>
      </w:r>
      <w:proofErr w:type="spellStart"/>
      <w:r w:rsidR="00F36D55">
        <w:rPr>
          <w:rFonts w:ascii="Arial" w:hAnsi="Arial" w:cs="Arial"/>
          <w:sz w:val="24"/>
          <w:szCs w:val="24"/>
          <w:lang w:val="en-US"/>
        </w:rPr>
        <w:t>Spéciaux</w:t>
      </w:r>
      <w:proofErr w:type="spellEnd"/>
      <w:r w:rsidR="00F36D55">
        <w:rPr>
          <w:rFonts w:ascii="Arial" w:hAnsi="Arial" w:cs="Arial"/>
          <w:sz w:val="24"/>
          <w:szCs w:val="24"/>
          <w:lang w:val="en-US"/>
        </w:rPr>
        <w:t xml:space="preserve"> de Recherche, </w:t>
      </w:r>
      <w:proofErr w:type="spellStart"/>
      <w:r w:rsidR="00F36D55">
        <w:rPr>
          <w:rFonts w:ascii="Arial" w:hAnsi="Arial" w:cs="Arial"/>
          <w:sz w:val="24"/>
          <w:szCs w:val="24"/>
          <w:lang w:val="en-US"/>
        </w:rPr>
        <w:t>Fondation</w:t>
      </w:r>
      <w:proofErr w:type="spellEnd"/>
      <w:r w:rsidR="00F36D55">
        <w:rPr>
          <w:rFonts w:ascii="Arial" w:hAnsi="Arial" w:cs="Arial"/>
          <w:sz w:val="24"/>
          <w:szCs w:val="24"/>
          <w:lang w:val="en-US"/>
        </w:rPr>
        <w:t xml:space="preserve"> St Luc and the Foundation Against Cancer, and donations from the Ferrero family. </w:t>
      </w:r>
    </w:p>
    <w:p w14:paraId="5B6EC046" w14:textId="77777777" w:rsidR="00F36D55" w:rsidRDefault="00F36D55" w:rsidP="00F36D55">
      <w:pPr>
        <w:pStyle w:val="Standard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4821">
        <w:rPr>
          <w:rFonts w:ascii="Arial" w:hAnsi="Arial" w:cs="Arial"/>
          <w:sz w:val="24"/>
          <w:szCs w:val="24"/>
          <w:lang w:val="en-US"/>
        </w:rPr>
        <w:t>None of the authors has any competing interests to declare in relation to this subject.</w:t>
      </w:r>
    </w:p>
    <w:p w14:paraId="447FBA2C" w14:textId="77777777" w:rsidR="00F36D55" w:rsidRDefault="00F36D55" w:rsidP="00910C4F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44A34B" w14:textId="3007B708" w:rsidR="00910C4F" w:rsidRPr="00910C4F" w:rsidRDefault="00910C4F" w:rsidP="00F36D55">
      <w:pPr>
        <w:spacing w:line="480" w:lineRule="auto"/>
        <w:rPr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Key words: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Ovarian tissue transplantation, adipose tissue-derived stem cells, hypoxia, oxidative stress, HIF1α.</w:t>
      </w:r>
    </w:p>
    <w:sectPr w:rsidR="00910C4F" w:rsidRPr="00910C4F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F6FCB" w14:textId="77777777" w:rsidR="006120CE" w:rsidRDefault="006120CE" w:rsidP="00F36D55">
      <w:pPr>
        <w:spacing w:after="0" w:line="240" w:lineRule="auto"/>
      </w:pPr>
      <w:r>
        <w:separator/>
      </w:r>
    </w:p>
  </w:endnote>
  <w:endnote w:type="continuationSeparator" w:id="0">
    <w:p w14:paraId="46393463" w14:textId="77777777" w:rsidR="006120CE" w:rsidRDefault="006120CE" w:rsidP="00F3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84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1623522"/>
      <w:docPartObj>
        <w:docPartGallery w:val="Page Numbers (Bottom of Page)"/>
        <w:docPartUnique/>
      </w:docPartObj>
    </w:sdtPr>
    <w:sdtEndPr/>
    <w:sdtContent>
      <w:p w14:paraId="77552BB7" w14:textId="1F3FD88D" w:rsidR="00F36D55" w:rsidRDefault="00F36D5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971358" w14:textId="77777777" w:rsidR="00F36D55" w:rsidRDefault="00F36D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64FDA" w14:textId="77777777" w:rsidR="006120CE" w:rsidRDefault="006120CE" w:rsidP="00F36D55">
      <w:pPr>
        <w:spacing w:after="0" w:line="240" w:lineRule="auto"/>
      </w:pPr>
      <w:r>
        <w:separator/>
      </w:r>
    </w:p>
  </w:footnote>
  <w:footnote w:type="continuationSeparator" w:id="0">
    <w:p w14:paraId="094BF603" w14:textId="77777777" w:rsidR="006120CE" w:rsidRDefault="006120CE" w:rsidP="00F36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8F"/>
    <w:rsid w:val="001E315F"/>
    <w:rsid w:val="002E7F7D"/>
    <w:rsid w:val="005321D1"/>
    <w:rsid w:val="00575F46"/>
    <w:rsid w:val="006120CE"/>
    <w:rsid w:val="00666C55"/>
    <w:rsid w:val="007C7B5A"/>
    <w:rsid w:val="007F78F5"/>
    <w:rsid w:val="00910C4F"/>
    <w:rsid w:val="00A6406B"/>
    <w:rsid w:val="00C72955"/>
    <w:rsid w:val="00D9748F"/>
    <w:rsid w:val="00DB0810"/>
    <w:rsid w:val="00E105F8"/>
    <w:rsid w:val="00E375EE"/>
    <w:rsid w:val="00F3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910C"/>
  <w15:chartTrackingRefBased/>
  <w15:docId w15:val="{0A90F3B6-701E-4F8D-80EF-CD62C4A0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lev">
    <w:name w:val="Strong"/>
    <w:basedOn w:val="Policepardfaut"/>
    <w:uiPriority w:val="22"/>
    <w:qFormat/>
    <w:rsid w:val="00910C4F"/>
    <w:rPr>
      <w:b/>
      <w:bCs/>
    </w:rPr>
  </w:style>
  <w:style w:type="paragraph" w:customStyle="1" w:styleId="Standard">
    <w:name w:val="Standard"/>
    <w:rsid w:val="00910C4F"/>
    <w:pPr>
      <w:suppressAutoHyphens/>
      <w:autoSpaceDN w:val="0"/>
      <w:spacing w:line="249" w:lineRule="auto"/>
    </w:pPr>
    <w:rPr>
      <w:rFonts w:ascii="Calibri" w:eastAsia="SimSun" w:hAnsi="Calibri" w:cs="font484"/>
      <w:kern w:val="3"/>
      <w:lang w:val="fr-BE" w:eastAsia="ar-SA"/>
    </w:rPr>
  </w:style>
  <w:style w:type="paragraph" w:styleId="En-tte">
    <w:name w:val="header"/>
    <w:basedOn w:val="Normal"/>
    <w:link w:val="En-tteCar"/>
    <w:uiPriority w:val="99"/>
    <w:unhideWhenUsed/>
    <w:rsid w:val="00F36D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D55"/>
  </w:style>
  <w:style w:type="paragraph" w:styleId="Pieddepage">
    <w:name w:val="footer"/>
    <w:basedOn w:val="Normal"/>
    <w:link w:val="PieddepageCar"/>
    <w:uiPriority w:val="99"/>
    <w:unhideWhenUsed/>
    <w:rsid w:val="00F36D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719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Cacciottola</dc:creator>
  <cp:keywords/>
  <dc:description/>
  <cp:lastModifiedBy>Luciana Cacciottola</cp:lastModifiedBy>
  <cp:revision>9</cp:revision>
  <dcterms:created xsi:type="dcterms:W3CDTF">2021-01-14T14:43:00Z</dcterms:created>
  <dcterms:modified xsi:type="dcterms:W3CDTF">2021-01-29T07:54:00Z</dcterms:modified>
</cp:coreProperties>
</file>