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footnotes.xml" ContentType="application/vnd.openxmlformats-officedocument.wordprocessingml.footnote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0" w:right="0" w:hanging="0"/>
        <w:jc w:val="center"/>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Rencontre annuelle du réseau LIEU - Grenoble, 22-23 octobre 2018</w:t>
      </w:r>
    </w:p>
    <w:p>
      <w:pPr>
        <w:pStyle w:val="Normal"/>
        <w:ind w:left="0" w:right="0" w:hanging="0"/>
        <w:jc w:val="center"/>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Patrimonialiser l’habiter. Quand les usages deviennent-ils patrimoine ?</w:t>
      </w:r>
    </w:p>
    <w:p>
      <w:pPr>
        <w:pStyle w:val="Normal"/>
        <w:ind w:left="0" w:right="0" w:hanging="0"/>
        <w:jc w:val="center"/>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ind w:left="0" w:right="0" w:hanging="0"/>
        <w:jc w:val="center"/>
        <w:rPr>
          <w:rFonts w:ascii="Times New Roman" w:hAnsi="Times New Roman"/>
          <w:b/>
          <w:b/>
          <w:bCs/>
          <w:i w:val="false"/>
          <w:i w:val="false"/>
          <w:caps w:val="false"/>
          <w:smallCaps w:val="false"/>
          <w:color w:val="000000"/>
          <w:spacing w:val="0"/>
          <w:sz w:val="24"/>
          <w:szCs w:val="24"/>
        </w:rPr>
      </w:pPr>
      <w:r>
        <w:rPr>
          <w:rFonts w:ascii="Times New Roman" w:hAnsi="Times New Roman"/>
          <w:b/>
          <w:bCs/>
          <w:i w:val="false"/>
          <w:caps w:val="false"/>
          <w:smallCaps w:val="false"/>
          <w:color w:val="000000"/>
          <w:spacing w:val="0"/>
          <w:sz w:val="24"/>
          <w:szCs w:val="24"/>
        </w:rPr>
        <w:t xml:space="preserve">Le label </w:t>
      </w:r>
      <w:r>
        <w:rPr>
          <w:rFonts w:ascii="Times New Roman" w:hAnsi="Times New Roman"/>
          <w:b/>
          <w:bCs/>
          <w:i/>
          <w:iCs/>
          <w:caps w:val="false"/>
          <w:smallCaps w:val="false"/>
          <w:color w:val="000000"/>
          <w:spacing w:val="0"/>
          <w:sz w:val="24"/>
          <w:szCs w:val="24"/>
        </w:rPr>
        <w:t>pour</w:t>
      </w:r>
      <w:r>
        <w:rPr>
          <w:rFonts w:ascii="Times New Roman" w:hAnsi="Times New Roman"/>
          <w:b/>
          <w:bCs/>
          <w:i w:val="false"/>
          <w:caps w:val="false"/>
          <w:smallCaps w:val="false"/>
          <w:color w:val="000000"/>
          <w:spacing w:val="0"/>
          <w:sz w:val="24"/>
          <w:szCs w:val="24"/>
        </w:rPr>
        <w:t xml:space="preserve"> le bain</w:t>
      </w:r>
    </w:p>
    <w:p>
      <w:pPr>
        <w:pStyle w:val="Normal"/>
        <w:ind w:left="0" w:right="0" w:hanging="0"/>
        <w:jc w:val="center"/>
        <w:rPr>
          <w:rFonts w:ascii="Times New Roman" w:hAnsi="Times New Roman"/>
          <w:b/>
          <w:b/>
          <w:bCs/>
          <w:i w:val="false"/>
          <w:i w:val="false"/>
          <w:caps w:val="false"/>
          <w:smallCaps w:val="false"/>
          <w:color w:val="000000"/>
          <w:spacing w:val="0"/>
          <w:sz w:val="24"/>
          <w:szCs w:val="24"/>
        </w:rPr>
      </w:pPr>
      <w:r>
        <w:rPr>
          <w:rFonts w:ascii="Times New Roman" w:hAnsi="Times New Roman"/>
          <w:b/>
          <w:bCs/>
          <w:i w:val="false"/>
          <w:caps w:val="false"/>
          <w:smallCaps w:val="false"/>
          <w:color w:val="000000"/>
          <w:spacing w:val="0"/>
          <w:sz w:val="24"/>
          <w:szCs w:val="24"/>
        </w:rPr>
        <w:t>Patrimonialisation par l’usage dans un grand ensemble d’habitations collectives à Toulouse</w:t>
      </w:r>
    </w:p>
    <w:p>
      <w:pPr>
        <w:pStyle w:val="Normal"/>
        <w:ind w:left="0" w:right="0" w:hanging="0"/>
        <w:jc w:val="center"/>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ind w:left="0" w:right="0" w:hanging="0"/>
        <w:jc w:val="center"/>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Audrey Courbebaisse, MCA ENSA Toulouse, LRA</w:t>
      </w:r>
    </w:p>
    <w:p>
      <w:pPr>
        <w:pStyle w:val="Normal"/>
        <w:ind w:left="0" w:right="0" w:hanging="0"/>
        <w:jc w:val="center"/>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Cette communication s’inscrit dans la recherche « Toulouse, du grand ensemble à la ville durable. Prospectives et actions » issue du programme de recherche interministériel « Architecture du XX</w:t>
      </w:r>
      <w:r>
        <w:rPr>
          <w:rFonts w:ascii="Times New Roman" w:hAnsi="Times New Roman"/>
          <w:b w:val="false"/>
          <w:i w:val="false"/>
          <w:caps w:val="false"/>
          <w:smallCaps w:val="false"/>
          <w:color w:val="000000"/>
          <w:spacing w:val="0"/>
          <w:sz w:val="24"/>
          <w:szCs w:val="24"/>
          <w:vertAlign w:val="superscript"/>
        </w:rPr>
        <w:t>e</w:t>
      </w:r>
      <w:r>
        <w:rPr>
          <w:rFonts w:ascii="Times New Roman" w:hAnsi="Times New Roman"/>
          <w:b w:val="false"/>
          <w:i w:val="false"/>
          <w:caps w:val="false"/>
          <w:smallCaps w:val="false"/>
          <w:color w:val="000000"/>
          <w:spacing w:val="0"/>
          <w:sz w:val="24"/>
          <w:szCs w:val="24"/>
        </w:rPr>
        <w:t xml:space="preserve"> siècle, matière à projet pour la ville durable du XXI</w:t>
      </w:r>
      <w:r>
        <w:rPr>
          <w:rFonts w:ascii="Times New Roman" w:hAnsi="Times New Roman"/>
          <w:b w:val="false"/>
          <w:i w:val="false"/>
          <w:caps w:val="false"/>
          <w:smallCaps w:val="false"/>
          <w:color w:val="000000"/>
          <w:spacing w:val="0"/>
          <w:sz w:val="24"/>
          <w:szCs w:val="24"/>
          <w:vertAlign w:val="superscript"/>
        </w:rPr>
        <w:t>e</w:t>
      </w:r>
      <w:r>
        <w:rPr>
          <w:rFonts w:ascii="Times New Roman" w:hAnsi="Times New Roman"/>
          <w:b w:val="false"/>
          <w:i w:val="false"/>
          <w:caps w:val="false"/>
          <w:smallCaps w:val="false"/>
          <w:color w:val="000000"/>
          <w:spacing w:val="0"/>
          <w:sz w:val="24"/>
          <w:szCs w:val="24"/>
        </w:rPr>
        <w:t xml:space="preserve"> siècle » auquel participent d’ailleurs plusieurs intervenants de cette rencontre.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A Toulouse, nous travaillons sur la transformation raisonnée des grands ensembles, à la fois respectueuse des qualités architecturales, urbaines, paysagères, sociales intrinsèques et responsable devant les besoins, les manques, les dysfonctionnements observés.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La résidence Ancely fait parti d’un corpus de 3 grands ensembles sur lesquels nous oeuvrons plus particulièrement, en partenariat avec les habitants et les enseignements du master « Patrimoines en projet » de l’ENSA Toulouse.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Avec ses 900 logements, ses deux centres commerciaux, ses deux écoles, ses nombreux équipements sportifs etc., Ancely, plus grande copropriété de France fait l’objet de bien des débats.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Depuis 2016, la piscine est maintenue fermée par la Mairie de Toulouse qui en a la gestion depuis les années 80.</w:t>
      </w:r>
    </w:p>
    <w:p>
      <w:pPr>
        <w:pStyle w:val="Normal"/>
        <w:spacing w:lineRule="auto" w:line="360"/>
        <w:ind w:left="0" w:right="0" w:hanging="0"/>
        <w:jc w:val="both"/>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 xml:space="preserve">A travers le récit de l’engagement des habitants de ce grand ensemble pour sauver leur piscine, valoriser leur cadre de vie et maintenir ainsi une diversité d’usages et sociale - dépôt en 2016 d’une demande de labellisation du grand ensemble à la DRAC -, cette communication entend questionner </w:t>
      </w:r>
      <w:r>
        <w:rPr>
          <w:rFonts w:ascii="Times New Roman" w:hAnsi="Times New Roman"/>
          <w:b w:val="false"/>
          <w:i/>
          <w:iCs/>
          <w:caps w:val="false"/>
          <w:smallCaps w:val="false"/>
          <w:color w:val="000000"/>
          <w:spacing w:val="0"/>
          <w:sz w:val="24"/>
          <w:szCs w:val="24"/>
        </w:rPr>
        <w:t>le poids des usages</w:t>
      </w:r>
      <w:r>
        <w:rPr>
          <w:rStyle w:val="FootnoteAnchor"/>
          <w:rFonts w:ascii="Times New Roman" w:hAnsi="Times New Roman"/>
          <w:b w:val="false"/>
          <w:i/>
          <w:iCs/>
          <w:caps w:val="false"/>
          <w:smallCaps w:val="false"/>
          <w:color w:val="000000"/>
          <w:spacing w:val="0"/>
          <w:sz w:val="24"/>
          <w:szCs w:val="24"/>
        </w:rPr>
        <w:footnoteReference w:id="2"/>
      </w:r>
      <w:r>
        <w:rPr>
          <w:rFonts w:ascii="Times New Roman" w:hAnsi="Times New Roman"/>
          <w:b w:val="false"/>
          <w:i/>
          <w:iCs/>
          <w:caps w:val="false"/>
          <w:smallCaps w:val="false"/>
          <w:color w:val="000000"/>
          <w:spacing w:val="0"/>
          <w:sz w:val="24"/>
          <w:szCs w:val="24"/>
        </w:rPr>
        <w:t xml:space="preserve"> dans l’acte de patrimonialisation et de la reconnaissance architecturale</w:t>
      </w:r>
      <w:r>
        <w:rPr>
          <w:rFonts w:ascii="Times New Roman" w:hAnsi="Times New Roman"/>
          <w:b w:val="false"/>
          <w:i w:val="false"/>
          <w:caps w:val="false"/>
          <w:smallCaps w:val="false"/>
          <w:color w:val="000000"/>
          <w:spacing w:val="0"/>
          <w:sz w:val="24"/>
          <w:szCs w:val="24"/>
        </w:rPr>
        <w:t>.</w:t>
      </w:r>
    </w:p>
    <w:p>
      <w:pPr>
        <w:pStyle w:val="Normal"/>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Les 766 logements collectifs répartis en terrasses surplombent la confluence du Touch et de la Garonne et profitent d’un environnement paysager majestueux. 90 maisons individuelles sont implantées sur la terrasse haute au Nord Ouest.</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Le grand ensemble Ancely a été conçu et construit par Henri Brunerie, architecte albigeois entre 1963 et 1973 pour la société coopérative HLM de la Haute Garonne, aujourd’hui Groupe des Chalets.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Il était surtout destiné à l’époque aux cadres et employés de l’aviation et industrie aéronautique implantée à Blagnac, Saint Eloi et Saint-Martin du Touch, trois communes limitrophes au grand ensemble. Bien que la population se soit peu à peu diversifiée, ce passé aéronautique (cohésion, communautarisme, implication politique) porté par des anciens et des associations habitantes très engagées pour la qualité de vie du quartier, reste encore relativement présent dans les mémoires des quelques 2 800 habitants.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Suite aux lois Chalandon des années 70, les logements sont mis à la vente et la société coopérative est dissoute.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t>Le groupe des Chalets ne conserve aujourd’hui plus que 59 logements (répartis dans tout le site mais surtout des rez-de-chaussée), les locaux commerciaux, les garages et les équipements sportifs.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br/>
        <w:t>Une des grandes forces du grand ensemble réside en la diversité et la multitude d’équipements présents sur le site : bureau de poste (à l’origine une station essence), deux centres commerciaux, un groupe scolaire constitué d’une école maternelle et d’une école primaire, deux crèches, une bibliothèque municipale, de nombreux locaux associatifs, une MJC, des équipements sportifs dont la piscine, des aires de jeux (terrains de foot et de basket, trois courts de tennis, un terrain de pelote basque, une piste de roller, etc.).</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Chemins paysagers, squares avec bassins et fontaines, pergolas, belvédère, mail bordé de pins centenaires finissent de singulariser Ancely.</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 projet d’origine prévoyait la construction d’un « centre nautique » associé à un aménagement paysager qui devait tirer profit de la proximité à la Garonne. L’ avant projet prévoyait du canotage  grâce à un embarcadère sur la Garonne, deux bassins, un plongeoir, de nombreuses plages associées à des jeux pour enfants, délimitées par des murs en béton et une végétation basse.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Ne seront construits que les deux bassins, un pour plonger et nager 15x25m de plus de 4m de profondeur, l’autre pour les enfants ou les loisirs 12,5x6 et jusqu’à 1,60 de profondeur, le plongeoir et une plage à la géométrie relativement simplifiée. La proximité de la Garonne en sera pas exploitée.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On aperçoit deux des colonnes de l’ancien château du site, démoli à la fin des années 1950.</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xml:space="preserve">Le bâtiment des vestiaires se déploie sur trois niveaux : </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un sous-sol avec salle de spectacle, scène, la chaufferie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le rez-de-chaussée avec la billetterie, les vestiaires de la piscine et les locaux techniques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l’étage, en balcon sur la piscine, conçu pour être une cafétéria en lien avec le centre nautique. L’espace unique de la cafétéria a été divisé pour accueillir les locaux de la MJC.</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En 1984, pour des raisons économiques (lourdeurs de gestion, charges pour les habitants) le Groupe des Chalets, propriétaire de l’équipement sportif, en cède la gestion à la Mairie de Toulouse.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Cette passation officialisée par une convention renouvelable tous les 12 ans s’accompagne d’une volonté politique locale et nationale de développement sportif et associatif.</w:t>
      </w:r>
      <w:r>
        <w:rPr>
          <w:rStyle w:val="FootnoteAnchor"/>
          <w:rFonts w:ascii="Times New Roman" w:hAnsi="Times New Roman"/>
          <w:b w:val="false"/>
          <w:i w:val="false"/>
          <w:caps w:val="false"/>
          <w:smallCaps w:val="false"/>
          <w:color w:val="000000"/>
          <w:spacing w:val="0"/>
          <w:sz w:val="24"/>
          <w:szCs w:val="24"/>
        </w:rPr>
        <w:footnoteReference w:id="3"/>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La piscine, réservée jusqu’alors aux habitants du grand ensemble devient municipale et payante pour tous.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En 2014, mettant en avant une fréquentation insuffisante pour la rentabilité de la piscine, des équipements vétustes à rénover et une profondeur de bassin non réglementaire (entre temps, la mairie a démoli le plongeoir), la plage horaire d’ouverture de la piscine est réduite de moitié.</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Aucune mesure n’est prise et la situation se détériore jusqu’à la fermeture définitive en 2016, ceci malgré la mobilisation des habitants.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Manifestations, bannières aux balcons, articles dans la Presse, lettre au président Macron ne parviendront pas à empêcher la fermeture de la piscine.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En 2018, la mairie (sans être propriétaire et sans concertation) demande à l’agence d’urbanisme COT de travailler à un projet de ré-aménagement du site de la piscine.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Cette décision apparaît d’autant plus injuste aux habitants d’Ancely qu’elle intervient en même temps que l’annonce du « plan Piscines » qui doit injecter 30 millions d’euros pour la rénovation et la modernisation des bassins toulousains.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Qu’elle met fin à une tradition du bain sur le site vieille de près de 2000 ans.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En effet, au 1</w:t>
      </w:r>
      <w:r>
        <w:rPr>
          <w:rFonts w:ascii="Times New Roman" w:hAnsi="Times New Roman"/>
          <w:b w:val="false"/>
          <w:i w:val="false"/>
          <w:caps w:val="false"/>
          <w:smallCaps w:val="false"/>
          <w:color w:val="000000"/>
          <w:spacing w:val="0"/>
          <w:sz w:val="24"/>
          <w:szCs w:val="24"/>
          <w:vertAlign w:val="superscript"/>
        </w:rPr>
        <w:t>er</w:t>
      </w:r>
      <w:r>
        <w:rPr>
          <w:rFonts w:ascii="Times New Roman" w:hAnsi="Times New Roman"/>
          <w:b w:val="false"/>
          <w:i w:val="false"/>
          <w:caps w:val="false"/>
          <w:smallCaps w:val="false"/>
          <w:color w:val="000000"/>
          <w:spacing w:val="0"/>
          <w:sz w:val="24"/>
          <w:szCs w:val="24"/>
        </w:rPr>
        <w:t xml:space="preserve"> siècle de notre ère, la confluence était un campus romain constitué d’un amphithéâtre, d’un temple et de trois ensembles de thermes</w:t>
      </w:r>
      <w:r>
        <w:rPr>
          <w:rStyle w:val="FootnoteAnchor"/>
          <w:rFonts w:ascii="Times New Roman" w:hAnsi="Times New Roman"/>
          <w:b w:val="false"/>
          <w:i w:val="false"/>
          <w:caps w:val="false"/>
          <w:smallCaps w:val="false"/>
          <w:color w:val="000000"/>
          <w:spacing w:val="0"/>
          <w:sz w:val="24"/>
          <w:szCs w:val="24"/>
        </w:rPr>
        <w:footnoteReference w:id="4"/>
      </w:r>
      <w:r>
        <w:rPr>
          <w:rFonts w:ascii="Times New Roman" w:hAnsi="Times New Roman"/>
          <w:b w:val="false"/>
          <w:i w:val="false"/>
          <w:caps w:val="false"/>
          <w:smallCaps w:val="false"/>
          <w:color w:val="000000"/>
          <w:spacing w:val="0"/>
          <w:sz w:val="24"/>
          <w:szCs w:val="24"/>
        </w:rPr>
        <w:t xml:space="preserve">. La </w:t>
      </w:r>
      <w:r>
        <w:rPr>
          <w:rFonts w:ascii="Times New Roman" w:hAnsi="Times New Roman"/>
          <w:b w:val="false"/>
          <w:i/>
          <w:iCs/>
          <w:caps w:val="false"/>
          <w:smallCaps w:val="false"/>
          <w:color w:val="000000"/>
          <w:spacing w:val="0"/>
          <w:sz w:val="24"/>
          <w:szCs w:val="24"/>
        </w:rPr>
        <w:t xml:space="preserve">natatio </w:t>
      </w:r>
      <w:r>
        <w:rPr>
          <w:rFonts w:ascii="Times New Roman" w:hAnsi="Times New Roman"/>
          <w:b w:val="false"/>
          <w:i w:val="false"/>
          <w:caps w:val="false"/>
          <w:smallCaps w:val="false"/>
          <w:color w:val="000000"/>
          <w:spacing w:val="0"/>
          <w:sz w:val="24"/>
          <w:szCs w:val="24"/>
        </w:rPr>
        <w:t>(piscine) des thermes du Sud est encore visible et visitable sous l’un des immeubles du grand ensemble.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Les habitants, fiers de ce passé ont même rebaptisé la salle de spectacle de la MJC « Caldarium », qui comme chacun le sait, était la partie des bains chaud dans les thermes.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xml:space="preserve">Conscients de la valeur de cet équipement pour le quartier, à travers la sauvegarde de la piscine, les habitants se battent pour la </w:t>
      </w:r>
      <w:r>
        <w:rPr>
          <w:rFonts w:ascii="Times New Roman" w:hAnsi="Times New Roman"/>
          <w:b/>
          <w:bCs/>
          <w:i w:val="false"/>
          <w:caps w:val="false"/>
          <w:smallCaps w:val="false"/>
          <w:color w:val="000000"/>
          <w:spacing w:val="0"/>
          <w:sz w:val="24"/>
          <w:szCs w:val="24"/>
        </w:rPr>
        <w:t>cohésion sociale</w:t>
      </w:r>
      <w:r>
        <w:rPr>
          <w:rFonts w:ascii="Times New Roman" w:hAnsi="Times New Roman"/>
          <w:b w:val="false"/>
          <w:i w:val="false"/>
          <w:caps w:val="false"/>
          <w:smallCaps w:val="false"/>
          <w:color w:val="000000"/>
          <w:spacing w:val="0"/>
          <w:sz w:val="24"/>
          <w:szCs w:val="24"/>
        </w:rPr>
        <w:t xml:space="preserve"> qu’elle génère à l’intérieur du grand ensemble (liens intergénérationnels, mixité culturelle et sociale) ; pour l’</w:t>
      </w:r>
      <w:r>
        <w:rPr>
          <w:rFonts w:ascii="Times New Roman" w:hAnsi="Times New Roman"/>
          <w:b/>
          <w:bCs/>
          <w:i w:val="false"/>
          <w:caps w:val="false"/>
          <w:smallCaps w:val="false"/>
          <w:color w:val="000000"/>
          <w:spacing w:val="0"/>
          <w:sz w:val="24"/>
          <w:szCs w:val="24"/>
        </w:rPr>
        <w:t>ouverture sur le quartier</w:t>
      </w:r>
      <w:r>
        <w:rPr>
          <w:rFonts w:ascii="Times New Roman" w:hAnsi="Times New Roman"/>
          <w:b w:val="false"/>
          <w:i w:val="false"/>
          <w:caps w:val="false"/>
          <w:smallCaps w:val="false"/>
          <w:color w:val="000000"/>
          <w:spacing w:val="0"/>
          <w:sz w:val="24"/>
          <w:szCs w:val="24"/>
        </w:rPr>
        <w:t xml:space="preserve"> (et de complémentarité en terme d’offre d’équipement) qu’elle permet, surtout dans un contexte de forte urbanisation des zones voisines ; pour la </w:t>
      </w:r>
      <w:r>
        <w:rPr>
          <w:rFonts w:ascii="Times New Roman" w:hAnsi="Times New Roman"/>
          <w:b/>
          <w:bCs/>
          <w:i w:val="false"/>
          <w:caps w:val="false"/>
          <w:smallCaps w:val="false"/>
          <w:color w:val="000000"/>
          <w:spacing w:val="0"/>
          <w:sz w:val="24"/>
          <w:szCs w:val="24"/>
        </w:rPr>
        <w:t>continuité/ancrage</w:t>
      </w:r>
      <w:r>
        <w:rPr>
          <w:rFonts w:ascii="Times New Roman" w:hAnsi="Times New Roman"/>
          <w:b w:val="false"/>
          <w:i w:val="false"/>
          <w:caps w:val="false"/>
          <w:smallCaps w:val="false"/>
          <w:color w:val="000000"/>
          <w:spacing w:val="0"/>
          <w:sz w:val="24"/>
          <w:szCs w:val="24"/>
        </w:rPr>
        <w:t xml:space="preserve"> qu’elle amène, dans les mémoires et dans l’identité du site.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A la question : « Pourquoi ne projetez-vous pas sur la piscine d’Ancely, un équipement de taille conséquente qui propose un service complémentaire aux autres piscines de la ville ? », la maire de quartier répond que la piscine n’appartient pas à la Mairie, qu’elle reste propriété du Groupe des Chalets et que ce serait à eux, avec les copropriétaires à investir financièrement dans son ré-aménagement.</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Les autres arguments concerne l’impossibilité de rendre la piscine équipement municipal.</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-Piscine d’été uniquement, son ouverture de juin à septembre ne permettrait pas de la rentabiliser.</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-La majeure parties des entrées concernent les habitants d’Ancely ; elle ne ferait qu’une vingtaine d’entrées d’extérieurs par jour.</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-L’insuffisance des stationnements visiteurs et notamment l’inexistence d’un parc de stationnement pour les bus scolaires limitent son accessibilité.</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-La profondeur du grand bassin et la vétusté des céramiques et des vestiaires en font un équipement hors-norme sur lequel il faudrait investir un budget que la mairie n’a pas.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En 2015 alors qu’est mené l’inventaire de l’architecture du XX</w:t>
      </w:r>
      <w:r>
        <w:rPr>
          <w:rFonts w:ascii="Times New Roman" w:hAnsi="Times New Roman"/>
          <w:b w:val="false"/>
          <w:i w:val="false"/>
          <w:caps w:val="false"/>
          <w:smallCaps w:val="false"/>
          <w:color w:val="000000"/>
          <w:spacing w:val="0"/>
          <w:sz w:val="24"/>
          <w:szCs w:val="24"/>
          <w:vertAlign w:val="superscript"/>
        </w:rPr>
        <w:t>e</w:t>
      </w:r>
      <w:r>
        <w:rPr>
          <w:rFonts w:ascii="Times New Roman" w:hAnsi="Times New Roman"/>
          <w:b w:val="false"/>
          <w:i w:val="false"/>
          <w:caps w:val="false"/>
          <w:smallCaps w:val="false"/>
          <w:color w:val="000000"/>
          <w:spacing w:val="0"/>
          <w:sz w:val="24"/>
          <w:szCs w:val="24"/>
        </w:rPr>
        <w:t xml:space="preserve"> siècle en Midi-Pyrénées, les membres de l’APA (Amis de la Piscine Ancely) font une demande de labellisation du grand ensemble « Patrimoine du XX</w:t>
      </w:r>
      <w:r>
        <w:rPr>
          <w:rFonts w:ascii="Times New Roman" w:hAnsi="Times New Roman"/>
          <w:b w:val="false"/>
          <w:i w:val="false"/>
          <w:caps w:val="false"/>
          <w:smallCaps w:val="false"/>
          <w:color w:val="000000"/>
          <w:spacing w:val="0"/>
          <w:sz w:val="24"/>
          <w:szCs w:val="24"/>
          <w:vertAlign w:val="superscript"/>
        </w:rPr>
        <w:t>e</w:t>
      </w:r>
      <w:r>
        <w:rPr>
          <w:rFonts w:ascii="Times New Roman" w:hAnsi="Times New Roman"/>
          <w:b w:val="false"/>
          <w:i w:val="false"/>
          <w:caps w:val="false"/>
          <w:smallCaps w:val="false"/>
          <w:color w:val="000000"/>
          <w:spacing w:val="0"/>
          <w:sz w:val="24"/>
          <w:szCs w:val="24"/>
        </w:rPr>
        <w:t xml:space="preserve"> siècle ». </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 grand ensemble fera d’ailleurs parti des 100 édifices jugés remarquables par l’inventaire et préconisés pour l’obtention du label.</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xml:space="preserve">L’obtention du label qui pourrait se faire grâce à la présence de nombreux équipements  (dont la piscine) sur le site permettrait peut-être de sauver la piscine. D’où le titre de cette communication : le label </w:t>
      </w:r>
      <w:r>
        <w:rPr>
          <w:rFonts w:ascii="Times New Roman" w:hAnsi="Times New Roman"/>
          <w:b w:val="false"/>
          <w:i/>
          <w:iCs/>
          <w:caps w:val="false"/>
          <w:smallCaps w:val="false"/>
          <w:color w:val="000000"/>
          <w:spacing w:val="0"/>
          <w:sz w:val="24"/>
          <w:szCs w:val="24"/>
        </w:rPr>
        <w:t>pour</w:t>
      </w:r>
      <w:r>
        <w:rPr>
          <w:rFonts w:ascii="Times New Roman" w:hAnsi="Times New Roman"/>
          <w:b w:val="false"/>
          <w:i w:val="false"/>
          <w:caps w:val="false"/>
          <w:smallCaps w:val="false"/>
          <w:color w:val="000000"/>
          <w:spacing w:val="0"/>
          <w:sz w:val="24"/>
          <w:szCs w:val="24"/>
        </w:rPr>
        <w:t xml:space="preserve"> le bain, sous-entendu : critère de sélection et objet du combat des habitants.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En 2017 la loi CAP change l’appellation et les conditions d’affectation du label devenu « Architecture contemporaine remarquable ». Les habitants sont toujours sans réponse.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xml:space="preserve">Dernièrement, à la demande d’un projet de rénovation thermique avec ITE pour 4 des 23 bâtiments de la cité - impliquant le recouvrement des faïences d’Empeaux qui font l’unité caractéristique d’Ancely – l’architecte des bâtiments de France, Eric Radovitch a émis un </w:t>
      </w:r>
      <w:r>
        <w:rPr>
          <w:rFonts w:ascii="Times New Roman" w:hAnsi="Times New Roman"/>
          <w:b/>
          <w:bCs/>
          <w:i w:val="false"/>
          <w:caps w:val="false"/>
          <w:smallCaps w:val="false"/>
          <w:color w:val="000000"/>
          <w:spacing w:val="0"/>
          <w:sz w:val="24"/>
          <w:szCs w:val="24"/>
        </w:rPr>
        <w:t>avis simple</w:t>
      </w:r>
      <w:r>
        <w:rPr>
          <w:rFonts w:ascii="Times New Roman" w:hAnsi="Times New Roman"/>
          <w:b w:val="false"/>
          <w:i w:val="false"/>
          <w:caps w:val="false"/>
          <w:smallCaps w:val="false"/>
          <w:color w:val="000000"/>
          <w:spacing w:val="0"/>
          <w:sz w:val="24"/>
          <w:szCs w:val="24"/>
        </w:rPr>
        <w:t xml:space="preserve"> (et non un avis conforme que lequel la Mairie aurait du respecter), laissant la mairie accepter ou refuser le projet de recouvrement des petits carreaux de faïence d’Empeaux faisant une bonne partie de l’identité d’Ancely.</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 grand ensemble, en tant qu’ensemble architectural, urbain et paysager n’est tout simplement pas reconnu par le représentant de la DRAC lui même...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Les habitants sont en droit d’être inquiets pour leur piscine et le devenir du grand ensemble.</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D’une manière plus générale, cette action interroge donc la communauté d’élus, d’habitants, de spécialistes aussi sur la reconnaissance des équipements sportifs dans le grand ensemble, sur l’intégration de la valeur d’usage dans le processus de valorisation patrimoniale du site.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Les critères quant à l’obtention du label restent à ce jour très flous.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Dans l’introduction du catalogue rendant compte de la labellisation de 40 ensembles d’habitations collectives du XX</w:t>
      </w:r>
      <w:r>
        <w:rPr>
          <w:rFonts w:ascii="Times New Roman" w:hAnsi="Times New Roman"/>
          <w:b w:val="false"/>
          <w:i w:val="false"/>
          <w:caps w:val="false"/>
          <w:smallCaps w:val="false"/>
          <w:color w:val="000000"/>
          <w:spacing w:val="0"/>
          <w:sz w:val="24"/>
          <w:szCs w:val="24"/>
          <w:vertAlign w:val="superscript"/>
        </w:rPr>
        <w:t xml:space="preserve">e </w:t>
      </w:r>
      <w:r>
        <w:rPr>
          <w:rFonts w:ascii="Times New Roman" w:hAnsi="Times New Roman"/>
          <w:b w:val="false"/>
          <w:i w:val="false"/>
          <w:caps w:val="false"/>
          <w:smallCaps w:val="false"/>
          <w:color w:val="000000"/>
          <w:spacing w:val="0"/>
          <w:sz w:val="24"/>
          <w:szCs w:val="24"/>
        </w:rPr>
        <w:t xml:space="preserve">siècle en Ile de France, Valérie Gaudard, conservatrice régionale des monuments historiques met en avant les critères d’ « histoire, de formes urbaines, </w:t>
      </w:r>
      <w:r>
        <w:rPr>
          <w:rFonts w:ascii="Times New Roman" w:hAnsi="Times New Roman"/>
          <w:b/>
          <w:bCs/>
          <w:i w:val="false"/>
          <w:caps w:val="false"/>
          <w:smallCaps w:val="false"/>
          <w:color w:val="000000"/>
          <w:spacing w:val="0"/>
          <w:sz w:val="24"/>
          <w:szCs w:val="24"/>
        </w:rPr>
        <w:t>de valeur d’usage</w:t>
      </w:r>
      <w:r>
        <w:rPr>
          <w:rFonts w:ascii="Times New Roman" w:hAnsi="Times New Roman"/>
          <w:b w:val="false"/>
          <w:i w:val="false"/>
          <w:caps w:val="false"/>
          <w:smallCaps w:val="false"/>
          <w:color w:val="000000"/>
          <w:spacing w:val="0"/>
          <w:sz w:val="24"/>
          <w:szCs w:val="24"/>
        </w:rPr>
        <w:t>, de technique et de style »</w:t>
      </w:r>
      <w:r>
        <w:rPr>
          <w:rStyle w:val="FootnoteAnchor"/>
          <w:rFonts w:ascii="Times New Roman" w:hAnsi="Times New Roman"/>
          <w:b w:val="false"/>
          <w:i w:val="false"/>
          <w:caps w:val="false"/>
          <w:smallCaps w:val="false"/>
          <w:color w:val="000000"/>
          <w:spacing w:val="0"/>
          <w:sz w:val="24"/>
          <w:szCs w:val="24"/>
        </w:rPr>
        <w:footnoteReference w:id="5"/>
      </w:r>
      <w:r>
        <w:rPr>
          <w:rFonts w:ascii="Times New Roman" w:hAnsi="Times New Roman"/>
          <w:b w:val="false"/>
          <w:i w:val="false"/>
          <w:caps w:val="false"/>
          <w:smallCaps w:val="false"/>
          <w:color w:val="000000"/>
          <w:spacing w:val="0"/>
          <w:sz w:val="24"/>
          <w:szCs w:val="24"/>
        </w:rPr>
        <w:t xml:space="preserve"> sans donner plus de détails.</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Il faut passer au peigne fin la description des 40 opérations pour relever, entre les lignes, ce que recouvre cette notion de « valeur d’usage » et ce qui a pu présider à leur labellisation.</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Valeur d’usage peut ainsi se lire à travers :</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la présence d’équipements sportifs et d’aires de jeux sur site. Notons qu’un seul des 40 ensembles compte une piscine – Les orgues de la Flandre, Paris 19</w:t>
      </w:r>
      <w:r>
        <w:rPr>
          <w:rFonts w:ascii="Times New Roman" w:hAnsi="Times New Roman"/>
          <w:b w:val="false"/>
          <w:i w:val="false"/>
          <w:caps w:val="false"/>
          <w:smallCaps w:val="false"/>
          <w:color w:val="000000"/>
          <w:spacing w:val="0"/>
          <w:sz w:val="24"/>
          <w:szCs w:val="24"/>
          <w:vertAlign w:val="superscript"/>
        </w:rPr>
        <w:t>e</w:t>
      </w:r>
      <w:r>
        <w:rPr>
          <w:rFonts w:ascii="Times New Roman" w:hAnsi="Times New Roman"/>
          <w:b w:val="false"/>
          <w:i w:val="false"/>
          <w:caps w:val="false"/>
          <w:smallCaps w:val="false"/>
          <w:color w:val="000000"/>
          <w:spacing w:val="0"/>
          <w:sz w:val="24"/>
          <w:szCs w:val="24"/>
        </w:rPr>
        <w:t>.</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l’intégration d’équipements socio-culturels et commerciaux</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l’aménagement paysager des parties communes extérieures pour le cheminement, le passage piéton, la rencontre.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-le confort des logements et des paliers, la présence de prolongements extérieurs aux logements.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On constate que pour 31 d’entre elles, c’est la valeur d’usage liée aux espaces extérieurs, à la présence d’équipements qui ressort comme critère de labellisation ;</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Pour 12/40, c’est la valeur d’usage liée aux parties communes, à la vie et à la gestion collective de la résidence…</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Pour 24/40, c’est la valeur d’usage liée au logement et/ou à ses prolongements.</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highlight w:val="yellow"/>
        </w:rPr>
      </w:pPr>
      <w:r>
        <w:rPr/>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xml:space="preserve">Pour conclure, </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 xml:space="preserve">Grâce au partenariat nous liant à la copropriété, nous avons pu débattre de ces problèmes lors des journées nationales de l’architecture ce week end. </w:t>
      </w:r>
    </w:p>
    <w:p>
      <w:pPr>
        <w:pStyle w:val="Normal"/>
        <w:spacing w:lineRule="auto" w:line="360"/>
        <w:ind w:left="0" w:right="0" w:hanging="0"/>
        <w:jc w:val="left"/>
        <w:rPr/>
      </w:pPr>
      <w:r>
        <w:rPr>
          <w:rFonts w:ascii="Times New Roman" w:hAnsi="Times New Roman"/>
          <w:b w:val="false"/>
          <w:i w:val="false"/>
          <w:caps w:val="false"/>
          <w:smallCaps w:val="false"/>
          <w:color w:val="000000"/>
          <w:spacing w:val="0"/>
          <w:sz w:val="24"/>
          <w:szCs w:val="24"/>
        </w:rPr>
        <w:t>A partir du 2</w:t>
      </w:r>
      <w:r>
        <w:rPr>
          <w:rFonts w:ascii="Times New Roman" w:hAnsi="Times New Roman"/>
          <w:b w:val="false"/>
          <w:i w:val="false"/>
          <w:caps w:val="false"/>
          <w:smallCaps w:val="false"/>
          <w:color w:val="000000"/>
          <w:spacing w:val="0"/>
          <w:sz w:val="24"/>
          <w:szCs w:val="24"/>
          <w:vertAlign w:val="superscript"/>
        </w:rPr>
        <w:t>e</w:t>
      </w:r>
      <w:r>
        <w:rPr>
          <w:rFonts w:ascii="Times New Roman" w:hAnsi="Times New Roman"/>
          <w:b w:val="false"/>
          <w:i w:val="false"/>
          <w:caps w:val="false"/>
          <w:smallCaps w:val="false"/>
          <w:color w:val="000000"/>
          <w:spacing w:val="0"/>
          <w:sz w:val="24"/>
          <w:szCs w:val="24"/>
        </w:rPr>
        <w:t xml:space="preserve"> semestre, un petit groupe d’étudiants travaillera, dans le cadre du PFE du master « Patrimoines en projet » à la réhabilitation d’Ancely, et cherchera des alternatives au comblement, action qui serait irrémédiable, des derniers bains d’Ancely.</w:t>
      </w:r>
    </w:p>
    <w:p>
      <w:pPr>
        <w:pStyle w:val="Normal"/>
        <w:spacing w:lineRule="auto" w:line="360"/>
        <w:ind w:left="0" w:right="0" w:hanging="0"/>
        <w:jc w:val="left"/>
        <w:rPr>
          <w:rFonts w:ascii="Times New Roman" w:hAnsi="Times New Roman"/>
          <w:b w:val="false"/>
          <w:b w:val="false"/>
          <w:i w:val="false"/>
          <w:i w:val="false"/>
          <w:caps w:val="false"/>
          <w:smallCaps w:val="false"/>
          <w:color w:val="000000"/>
          <w:spacing w:val="0"/>
          <w:sz w:val="24"/>
          <w:szCs w:val="24"/>
        </w:rPr>
      </w:pPr>
      <w:r>
        <w:rPr>
          <w:rFonts w:ascii="Times New Roman" w:hAnsi="Times New Roman"/>
          <w:b w:val="false"/>
          <w:i w:val="false"/>
          <w:caps w:val="false"/>
          <w:smallCaps w:val="false"/>
          <w:color w:val="000000"/>
          <w:spacing w:val="0"/>
          <w:sz w:val="24"/>
          <w:szCs w:val="24"/>
        </w:rPr>
      </w:r>
    </w:p>
    <w:p>
      <w:pPr>
        <w:pStyle w:val="Normal"/>
        <w:ind w:left="0" w:right="0" w:hanging="0"/>
        <w:jc w:val="left"/>
        <w:rPr/>
      </w:pPr>
      <w:r>
        <w:rPr/>
      </w:r>
    </w:p>
    <w:sectPr>
      <w:footnotePr>
        <w:numFmt w:val="decimal"/>
      </w:footnote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Times New Roman">
    <w:charset w:val="0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ind w:left="0" w:right="0" w:hanging="0"/>
        <w:rPr/>
      </w:pPr>
      <w:r>
        <w:rPr/>
        <w:footnoteRef/>
        <w:tab/>
        <w:t xml:space="preserve"> </w:t>
      </w:r>
      <w:r>
        <w:rPr>
          <w:sz w:val="20"/>
          <w:szCs w:val="20"/>
        </w:rPr>
        <w:t>Tels que définis par Daniel Pinson (2007)</w:t>
      </w:r>
    </w:p>
  </w:footnote>
  <w:footnote w:id="3">
    <w:p>
      <w:pPr>
        <w:pStyle w:val="Footnote"/>
        <w:rPr/>
      </w:pPr>
      <w:r>
        <w:rPr/>
        <w:footnoteRef/>
        <w:tab/>
      </w:r>
      <w:r>
        <w:rPr/>
        <w:t xml:space="preserve">FALCOZ (Marc), CHIFFLET (Pierre), La construction publique des équipements sportifs. Aspects historique, politique et social, </w:t>
      </w:r>
      <w:r>
        <w:rPr>
          <w:i/>
          <w:iCs/>
        </w:rPr>
        <w:t>Les annales de la recherche urbaine</w:t>
      </w:r>
      <w:r>
        <w:rPr/>
        <w:t>, n°79, 1978, p. 14-21</w:t>
      </w:r>
    </w:p>
  </w:footnote>
  <w:footnote w:id="4">
    <w:p>
      <w:pPr>
        <w:pStyle w:val="Footnote"/>
        <w:rPr/>
      </w:pPr>
      <w:r>
        <w:rPr/>
        <w:footnoteRef/>
        <w:tab/>
      </w:r>
      <w:r>
        <w:rPr/>
        <w:t>PAILLER (Jean-Marie), DARLES (Christian), Toulouse, naissance d’une ville, Editions Midi-Pyrénéennes, 2015, p. 179-180</w:t>
      </w:r>
    </w:p>
  </w:footnote>
  <w:footnote w:id="5">
    <w:p>
      <w:pPr>
        <w:pStyle w:val="Footnote"/>
        <w:rPr/>
      </w:pPr>
      <w:r>
        <w:rPr/>
        <w:footnoteRef/>
        <w:tab/>
      </w:r>
      <w:r>
        <w:rPr/>
        <w:t>Entretien avec Valérie Gaudard, conservation régionale des monuments historiques, DRAC Ile-de-France / 1945-1975 Une histoire de l’habitat. 40 ensembles « Patrimoine du XX</w:t>
      </w:r>
      <w:r>
        <w:rPr>
          <w:vertAlign w:val="superscript"/>
        </w:rPr>
        <w:t>e</w:t>
      </w:r>
      <w:r>
        <w:rPr/>
        <w:t xml:space="preserve"> siècle », 2010, p. 7</w:t>
      </w:r>
    </w:p>
  </w:footnote>
</w:footnotes>
</file>

<file path=word/settings.xml><?xml version="1.0" encoding="utf-8"?>
<w:settings xmlns:w="http://schemas.openxmlformats.org/wordprocessingml/2006/main">
  <w:zoom w:percent="75"/>
  <w:defaultTabStop w:val="709"/>
  <w:footnotePr>
    <w:numFmt w:val="decimal"/>
    <w:footnote w:id="0"/>
    <w:footnote w:id="1"/>
  </w:footnotePr>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sz w:val="20"/>
        <w:szCs w:val="24"/>
        <w:lang w:val="fr-FR" w:eastAsia="zh-CN" w:bidi="hi-IN"/>
      </w:rPr>
    </w:rPrDefault>
    <w:pPrDefault>
      <w:pPr/>
    </w:pPrDefault>
  </w:docDefaults>
  <w:style w:type="paragraph" w:styleId="Normal">
    <w:name w:val="Normal"/>
    <w:qFormat/>
    <w:pPr>
      <w:widowControl/>
      <w:bidi w:val="0"/>
      <w:jc w:val="left"/>
    </w:pPr>
    <w:rPr>
      <w:rFonts w:ascii="Liberation Serif" w:hAnsi="Liberation Serif" w:eastAsia="Arial Unicode MS" w:cs="Arial Unicode MS"/>
      <w:color w:val="00000A"/>
      <w:sz w:val="24"/>
      <w:szCs w:val="24"/>
      <w:lang w:val="fr-FR" w:eastAsia="zh-CN" w:bidi="hi-IN"/>
    </w:rPr>
  </w:style>
  <w:style w:type="character" w:styleId="FootnoteAnchor">
    <w:name w:val="Footnote Anchor"/>
    <w:rPr>
      <w:vertAlign w:val="superscript"/>
    </w:rPr>
  </w:style>
  <w:style w:type="character" w:styleId="FootnoteCharacters">
    <w:name w:val="Footnote Characters"/>
    <w:qForma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Footnote">
    <w:name w:val="Footnote Text"/>
    <w:basedOn w:val="Normal"/>
    <w:pPr>
      <w:suppressLineNumbers/>
      <w:ind w:left="339" w:hanging="339"/>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2867</TotalTime>
  <Application>LibreOffice/5.3.7.2$MacOSX_X86_64 LibreOffice_project/6b8ed514a9f8b44d37a1b96673cbbdd077e24059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2018-10-12T17:31:10Z</dcterms:created>
  <dc:creator/>
  <dc:description/>
  <dc:language>fr-FR</dc:language>
  <cp:lastModifiedBy/>
  <dcterms:modified xsi:type="dcterms:W3CDTF">2020-09-08T19:04:12Z</dcterms:modified>
  <cp:revision>13</cp:revision>
  <dc:subject/>
  <dc:title/>
</cp:coreProperties>
</file>