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D45264" w14:textId="0BE30F0E" w:rsidR="001D4AAF" w:rsidRPr="00463CBC" w:rsidRDefault="00E23725" w:rsidP="00966A3B">
      <w:pPr>
        <w:pStyle w:val="Title"/>
        <w:jc w:val="left"/>
        <w:rPr>
          <w:rFonts w:cstheme="minorHAnsi"/>
          <w:color w:val="FF0000"/>
          <w:sz w:val="28"/>
          <w:szCs w:val="28"/>
        </w:rPr>
      </w:pPr>
      <w:bookmarkStart w:id="0" w:name="_Hlk140753569"/>
      <w:r w:rsidRPr="00463CBC">
        <w:rPr>
          <w:rFonts w:cstheme="minorHAnsi"/>
          <w:color w:val="FF0000"/>
          <w:sz w:val="28"/>
          <w:szCs w:val="28"/>
        </w:rPr>
        <w:t xml:space="preserve">Top-down </w:t>
      </w:r>
      <w:r w:rsidR="00BC5685" w:rsidRPr="00463CBC">
        <w:rPr>
          <w:rFonts w:cstheme="minorHAnsi"/>
          <w:color w:val="FF0000"/>
          <w:sz w:val="28"/>
          <w:szCs w:val="28"/>
        </w:rPr>
        <w:t xml:space="preserve">Attention </w:t>
      </w:r>
      <w:r w:rsidR="00E45B6A" w:rsidRPr="00463CBC">
        <w:rPr>
          <w:rFonts w:cstheme="minorHAnsi"/>
          <w:color w:val="FF0000"/>
          <w:sz w:val="28"/>
          <w:szCs w:val="28"/>
        </w:rPr>
        <w:t>D</w:t>
      </w:r>
      <w:r w:rsidRPr="00463CBC">
        <w:rPr>
          <w:rFonts w:cstheme="minorHAnsi"/>
          <w:color w:val="FF0000"/>
          <w:sz w:val="28"/>
          <w:szCs w:val="28"/>
        </w:rPr>
        <w:t xml:space="preserve">oes not Modulate </w:t>
      </w:r>
      <w:r w:rsidR="00B95BC9">
        <w:rPr>
          <w:rFonts w:cstheme="minorHAnsi"/>
          <w:color w:val="FF0000"/>
          <w:sz w:val="28"/>
          <w:szCs w:val="28"/>
        </w:rPr>
        <w:t>M</w:t>
      </w:r>
      <w:r w:rsidR="00C16363" w:rsidRPr="00463CBC">
        <w:rPr>
          <w:rFonts w:cstheme="minorHAnsi"/>
          <w:color w:val="FF0000"/>
          <w:sz w:val="28"/>
          <w:szCs w:val="28"/>
        </w:rPr>
        <w:t xml:space="preserve">echanical </w:t>
      </w:r>
      <w:r w:rsidR="00B95BC9">
        <w:rPr>
          <w:rFonts w:cstheme="minorHAnsi"/>
          <w:color w:val="FF0000"/>
          <w:sz w:val="28"/>
          <w:szCs w:val="28"/>
        </w:rPr>
        <w:t>H</w:t>
      </w:r>
      <w:r w:rsidR="00C16363" w:rsidRPr="00463CBC">
        <w:rPr>
          <w:rFonts w:cstheme="minorHAnsi"/>
          <w:color w:val="FF0000"/>
          <w:sz w:val="28"/>
          <w:szCs w:val="28"/>
        </w:rPr>
        <w:t>ypersensiti</w:t>
      </w:r>
      <w:r w:rsidR="002E76E2">
        <w:rPr>
          <w:rFonts w:cstheme="minorHAnsi"/>
          <w:color w:val="FF0000"/>
          <w:sz w:val="28"/>
          <w:szCs w:val="28"/>
        </w:rPr>
        <w:t>vi</w:t>
      </w:r>
      <w:r w:rsidR="00C16363" w:rsidRPr="00463CBC">
        <w:rPr>
          <w:rFonts w:cstheme="minorHAnsi"/>
          <w:color w:val="FF0000"/>
          <w:sz w:val="28"/>
          <w:szCs w:val="28"/>
        </w:rPr>
        <w:t>ty</w:t>
      </w:r>
      <w:r w:rsidR="00447831">
        <w:rPr>
          <w:rFonts w:cstheme="minorHAnsi"/>
          <w:color w:val="FF0000"/>
          <w:sz w:val="28"/>
          <w:szCs w:val="28"/>
        </w:rPr>
        <w:t xml:space="preserve"> </w:t>
      </w:r>
      <w:r w:rsidR="005C3B2A">
        <w:rPr>
          <w:rFonts w:cstheme="minorHAnsi"/>
          <w:color w:val="FF0000"/>
          <w:sz w:val="28"/>
          <w:szCs w:val="28"/>
        </w:rPr>
        <w:t xml:space="preserve">consecutive to </w:t>
      </w:r>
      <w:r w:rsidR="00595E40">
        <w:rPr>
          <w:rFonts w:cstheme="minorHAnsi"/>
          <w:color w:val="FF0000"/>
          <w:sz w:val="28"/>
          <w:szCs w:val="28"/>
        </w:rPr>
        <w:t>central sensitization</w:t>
      </w:r>
      <w:r w:rsidR="00BC5685" w:rsidRPr="00463CBC">
        <w:rPr>
          <w:rFonts w:cstheme="minorHAnsi"/>
          <w:color w:val="FF0000"/>
          <w:sz w:val="28"/>
          <w:szCs w:val="28"/>
        </w:rPr>
        <w:t>: Insights from an Experimental Analysis</w:t>
      </w:r>
    </w:p>
    <w:p w14:paraId="3559001F" w14:textId="77777777" w:rsidR="00010B93" w:rsidRPr="009D4A44" w:rsidRDefault="00010B93" w:rsidP="00010B93">
      <w:pPr>
        <w:rPr>
          <w:rFonts w:cstheme="minorHAnsi"/>
          <w:color w:val="000000" w:themeColor="text1"/>
          <w:lang w:val="it-IT"/>
        </w:rPr>
      </w:pPr>
      <w:bookmarkStart w:id="1" w:name="_Hlk140753586"/>
      <w:bookmarkEnd w:id="0"/>
      <w:r w:rsidRPr="009D4A44">
        <w:rPr>
          <w:rFonts w:cstheme="minorHAnsi"/>
          <w:color w:val="000000" w:themeColor="text1"/>
          <w:lang w:val="it-IT"/>
        </w:rPr>
        <w:t xml:space="preserve">Delia Della Porta </w:t>
      </w:r>
      <w:r w:rsidRPr="009D4A44">
        <w:rPr>
          <w:rFonts w:cstheme="minorHAnsi"/>
          <w:color w:val="000000" w:themeColor="text1"/>
          <w:vertAlign w:val="superscript"/>
          <w:lang w:val="it-IT"/>
        </w:rPr>
        <w:t>a,b*</w:t>
      </w:r>
      <w:r w:rsidRPr="009D4A44">
        <w:rPr>
          <w:rFonts w:cstheme="minorHAnsi"/>
          <w:color w:val="000000" w:themeColor="text1"/>
          <w:lang w:val="it-IT"/>
        </w:rPr>
        <w:t xml:space="preserve">, </w:t>
      </w:r>
    </w:p>
    <w:p w14:paraId="32666AA5" w14:textId="77777777" w:rsidR="00010B93" w:rsidRPr="007B2AFC" w:rsidRDefault="00010B93" w:rsidP="00010B93">
      <w:pPr>
        <w:rPr>
          <w:rFonts w:cstheme="minorHAnsi"/>
          <w:color w:val="000000" w:themeColor="text1"/>
          <w:lang w:val="fr-FR"/>
        </w:rPr>
      </w:pPr>
      <w:bookmarkStart w:id="2" w:name="OLE_LINK1"/>
      <w:bookmarkStart w:id="3" w:name="OLE_LINK2"/>
      <w:r w:rsidRPr="007B2AFC">
        <w:rPr>
          <w:rFonts w:cstheme="minorHAnsi"/>
          <w:color w:val="000000" w:themeColor="text1"/>
          <w:lang w:val="fr-FR"/>
        </w:rPr>
        <w:t>Eléonore Scheirman</w:t>
      </w:r>
      <w:bookmarkEnd w:id="2"/>
      <w:bookmarkEnd w:id="3"/>
      <w:r w:rsidRPr="007B2AFC">
        <w:rPr>
          <w:rFonts w:cstheme="minorHAnsi"/>
          <w:color w:val="000000" w:themeColor="text1"/>
          <w:vertAlign w:val="superscript"/>
          <w:lang w:val="fr-FR"/>
        </w:rPr>
        <w:t>a</w:t>
      </w:r>
      <w:r w:rsidRPr="007B2AFC">
        <w:rPr>
          <w:rFonts w:cstheme="minorHAnsi"/>
          <w:color w:val="000000" w:themeColor="text1"/>
          <w:lang w:val="fr-FR"/>
        </w:rPr>
        <w:t xml:space="preserve">, </w:t>
      </w:r>
    </w:p>
    <w:p w14:paraId="1E161D6D" w14:textId="77777777" w:rsidR="00010B93" w:rsidRPr="009D4A44" w:rsidRDefault="00010B93" w:rsidP="00010B93">
      <w:pPr>
        <w:rPr>
          <w:rFonts w:cstheme="minorHAnsi"/>
          <w:color w:val="000000" w:themeColor="text1"/>
          <w:lang w:val="fr-FR"/>
        </w:rPr>
      </w:pPr>
      <w:r w:rsidRPr="009D4A44">
        <w:rPr>
          <w:rFonts w:cstheme="minorHAnsi"/>
          <w:color w:val="000000" w:themeColor="text1"/>
          <w:lang w:val="fr-FR"/>
        </w:rPr>
        <w:t>Valéry Legrain</w:t>
      </w:r>
      <w:r w:rsidRPr="009D4A44">
        <w:rPr>
          <w:rFonts w:cstheme="minorHAnsi"/>
          <w:color w:val="000000" w:themeColor="text1"/>
          <w:vertAlign w:val="superscript"/>
          <w:lang w:val="fr-FR"/>
        </w:rPr>
        <w:t xml:space="preserve"> a,b,c</w:t>
      </w:r>
    </w:p>
    <w:bookmarkEnd w:id="1"/>
    <w:p w14:paraId="51739E23" w14:textId="77777777" w:rsidR="00010B93" w:rsidRPr="009D4A44" w:rsidRDefault="00010B93" w:rsidP="00010B93">
      <w:pPr>
        <w:rPr>
          <w:rFonts w:cstheme="minorHAnsi"/>
          <w:color w:val="000000" w:themeColor="text1"/>
          <w:lang w:val="fr-FR"/>
        </w:rPr>
      </w:pPr>
    </w:p>
    <w:p w14:paraId="5B867FC0" w14:textId="77777777" w:rsidR="00010B93" w:rsidRPr="009D4A44" w:rsidRDefault="00010B93" w:rsidP="00010B93">
      <w:pPr>
        <w:rPr>
          <w:rFonts w:cstheme="minorHAnsi"/>
          <w:color w:val="000000" w:themeColor="text1"/>
          <w:lang w:val="fr-FR"/>
        </w:rPr>
      </w:pPr>
      <w:bookmarkStart w:id="4" w:name="_Hlk140753620"/>
      <w:r w:rsidRPr="009D4A44">
        <w:rPr>
          <w:rFonts w:cstheme="minorHAnsi"/>
          <w:color w:val="000000" w:themeColor="text1"/>
          <w:vertAlign w:val="superscript"/>
          <w:lang w:val="fr-FR"/>
        </w:rPr>
        <w:t xml:space="preserve">a </w:t>
      </w:r>
      <w:r w:rsidRPr="009D4A44">
        <w:rPr>
          <w:rFonts w:cstheme="minorHAnsi"/>
          <w:color w:val="000000" w:themeColor="text1"/>
          <w:lang w:val="fr-FR"/>
        </w:rPr>
        <w:t>Institute of Neuroscience, Université catholique de Louvain, Brussels, Belgium.</w:t>
      </w:r>
    </w:p>
    <w:p w14:paraId="51DFDD30" w14:textId="6551AF9A" w:rsidR="00010B93" w:rsidRPr="009D4A44" w:rsidRDefault="00010B93" w:rsidP="00010B93">
      <w:pPr>
        <w:rPr>
          <w:rFonts w:cstheme="minorHAnsi"/>
          <w:color w:val="000000" w:themeColor="text1"/>
          <w:lang w:val="fr-FR"/>
        </w:rPr>
      </w:pPr>
      <w:r w:rsidRPr="009D4A44">
        <w:rPr>
          <w:rFonts w:cstheme="minorHAnsi"/>
          <w:color w:val="000000" w:themeColor="text1"/>
          <w:vertAlign w:val="superscript"/>
          <w:lang w:val="fr-FR"/>
        </w:rPr>
        <w:t xml:space="preserve">b </w:t>
      </w:r>
      <w:r w:rsidRPr="009D4A44">
        <w:rPr>
          <w:rFonts w:cstheme="minorHAnsi"/>
          <w:color w:val="000000" w:themeColor="text1"/>
          <w:lang w:val="fr-FR"/>
        </w:rPr>
        <w:t>Psychological Sciences Research Institute, Université catholique de Louvain, Louvain-la-Neuve, Belgium.</w:t>
      </w:r>
    </w:p>
    <w:p w14:paraId="14355E9F" w14:textId="77777777" w:rsidR="00010B93" w:rsidRPr="009D4A44" w:rsidRDefault="00010B93" w:rsidP="00010B93">
      <w:pPr>
        <w:rPr>
          <w:rFonts w:cstheme="minorHAnsi"/>
          <w:color w:val="000000" w:themeColor="text1"/>
          <w:lang w:val="fr-FR"/>
        </w:rPr>
      </w:pPr>
      <w:r w:rsidRPr="009D4A44">
        <w:rPr>
          <w:rFonts w:cstheme="minorHAnsi"/>
          <w:color w:val="000000" w:themeColor="text1"/>
          <w:vertAlign w:val="superscript"/>
          <w:lang w:val="fr-FR"/>
        </w:rPr>
        <w:t xml:space="preserve">c </w:t>
      </w:r>
      <w:r w:rsidRPr="009D4A44">
        <w:rPr>
          <w:rFonts w:cstheme="minorHAnsi"/>
          <w:color w:val="000000" w:themeColor="text1"/>
          <w:lang w:val="fr-FR"/>
        </w:rPr>
        <w:t>Louvain Bionics, Université catholique de Louvain, Louvain-la-Neuve, Belgium.</w:t>
      </w:r>
    </w:p>
    <w:bookmarkEnd w:id="4"/>
    <w:p w14:paraId="5E7BA79E" w14:textId="77777777" w:rsidR="00010B93" w:rsidRPr="009D4A44" w:rsidRDefault="00010B93" w:rsidP="00010B93">
      <w:pPr>
        <w:rPr>
          <w:rFonts w:cstheme="minorHAnsi"/>
          <w:color w:val="000000" w:themeColor="text1"/>
          <w:lang w:val="fr-FR"/>
        </w:rPr>
      </w:pPr>
    </w:p>
    <w:p w14:paraId="5A5DADD3" w14:textId="77777777" w:rsidR="00966A3B" w:rsidRPr="009D4A44" w:rsidRDefault="00966A3B" w:rsidP="00010B93">
      <w:pPr>
        <w:rPr>
          <w:rFonts w:cstheme="minorHAnsi"/>
          <w:color w:val="000000" w:themeColor="text1"/>
          <w:lang w:val="fr-FR"/>
        </w:rPr>
      </w:pPr>
    </w:p>
    <w:p w14:paraId="7CA7A15B" w14:textId="77777777" w:rsidR="00966A3B" w:rsidRPr="009D4A44" w:rsidRDefault="00966A3B" w:rsidP="00010B93">
      <w:pPr>
        <w:rPr>
          <w:rFonts w:cstheme="minorHAnsi"/>
          <w:color w:val="000000" w:themeColor="text1"/>
          <w:lang w:val="fr-FR"/>
        </w:rPr>
      </w:pPr>
    </w:p>
    <w:p w14:paraId="69FE0D1F" w14:textId="77777777" w:rsidR="00966A3B" w:rsidRPr="009D4A44" w:rsidRDefault="00966A3B" w:rsidP="00010B93">
      <w:pPr>
        <w:rPr>
          <w:rFonts w:cstheme="minorHAnsi"/>
          <w:color w:val="000000" w:themeColor="text1"/>
          <w:lang w:val="fr-FR"/>
        </w:rPr>
      </w:pPr>
    </w:p>
    <w:p w14:paraId="698B2358" w14:textId="77777777" w:rsidR="00966A3B" w:rsidRDefault="00966A3B" w:rsidP="00010B93">
      <w:pPr>
        <w:rPr>
          <w:rFonts w:cstheme="minorHAnsi"/>
          <w:color w:val="000000" w:themeColor="text1"/>
          <w:lang w:val="fr-FR"/>
        </w:rPr>
      </w:pPr>
    </w:p>
    <w:p w14:paraId="35609284" w14:textId="77777777" w:rsidR="00F33C86" w:rsidRDefault="00F33C86" w:rsidP="00010B93">
      <w:pPr>
        <w:rPr>
          <w:rFonts w:cstheme="minorHAnsi"/>
          <w:color w:val="000000" w:themeColor="text1"/>
          <w:lang w:val="fr-FR"/>
        </w:rPr>
      </w:pPr>
    </w:p>
    <w:p w14:paraId="181889FA" w14:textId="77777777" w:rsidR="00F33C86" w:rsidRDefault="00F33C86" w:rsidP="00010B93">
      <w:pPr>
        <w:rPr>
          <w:rFonts w:cstheme="minorHAnsi"/>
          <w:color w:val="000000" w:themeColor="text1"/>
          <w:lang w:val="fr-FR"/>
        </w:rPr>
      </w:pPr>
    </w:p>
    <w:p w14:paraId="5CE81B6F" w14:textId="77777777" w:rsidR="00F33C86" w:rsidRDefault="00F33C86" w:rsidP="00010B93">
      <w:pPr>
        <w:rPr>
          <w:rFonts w:cstheme="minorHAnsi"/>
          <w:color w:val="000000" w:themeColor="text1"/>
          <w:lang w:val="fr-FR"/>
        </w:rPr>
      </w:pPr>
    </w:p>
    <w:p w14:paraId="1090A9BB" w14:textId="77777777" w:rsidR="00F33C86" w:rsidRDefault="00F33C86" w:rsidP="00010B93">
      <w:pPr>
        <w:rPr>
          <w:rFonts w:cstheme="minorHAnsi"/>
          <w:color w:val="000000" w:themeColor="text1"/>
          <w:lang w:val="fr-FR"/>
        </w:rPr>
      </w:pPr>
    </w:p>
    <w:p w14:paraId="6D6DC5FC" w14:textId="77777777" w:rsidR="00F33C86" w:rsidRPr="009D4A44" w:rsidRDefault="00F33C86" w:rsidP="00010B93">
      <w:pPr>
        <w:rPr>
          <w:rFonts w:cstheme="minorHAnsi"/>
          <w:color w:val="000000" w:themeColor="text1"/>
          <w:lang w:val="fr-FR"/>
        </w:rPr>
      </w:pPr>
    </w:p>
    <w:p w14:paraId="5C129CE7" w14:textId="77777777" w:rsidR="0085068F" w:rsidRPr="00AB7B36" w:rsidRDefault="00010B93" w:rsidP="0085068F">
      <w:pPr>
        <w:rPr>
          <w:rFonts w:cstheme="minorHAnsi"/>
          <w:color w:val="000000" w:themeColor="text1"/>
          <w:lang w:val="fr-FR"/>
        </w:rPr>
      </w:pPr>
      <w:r w:rsidRPr="00AB7B36">
        <w:rPr>
          <w:rFonts w:cstheme="minorHAnsi"/>
          <w:b/>
          <w:bCs/>
          <w:color w:val="000000" w:themeColor="text1"/>
          <w:lang w:val="fr-FR"/>
        </w:rPr>
        <w:t>* Corresponding author</w:t>
      </w:r>
      <w:r w:rsidRPr="00AB7B36">
        <w:rPr>
          <w:rFonts w:cstheme="minorHAnsi"/>
          <w:color w:val="000000" w:themeColor="text1"/>
          <w:lang w:val="fr-FR"/>
        </w:rPr>
        <w:t>:</w:t>
      </w:r>
      <w:r w:rsidR="0085068F" w:rsidRPr="00AB7B36">
        <w:rPr>
          <w:rFonts w:cstheme="minorHAnsi"/>
          <w:color w:val="000000" w:themeColor="text1"/>
          <w:lang w:val="fr-FR"/>
        </w:rPr>
        <w:t xml:space="preserve"> D. Della Porta.</w:t>
      </w:r>
    </w:p>
    <w:p w14:paraId="7C14A5E4" w14:textId="77777777" w:rsidR="00293706" w:rsidRPr="00AB7B36" w:rsidRDefault="00010B93" w:rsidP="00FF3F06">
      <w:pPr>
        <w:spacing w:after="0"/>
        <w:rPr>
          <w:rFonts w:cstheme="minorHAnsi"/>
          <w:color w:val="000000" w:themeColor="text1"/>
          <w:lang w:val="fr-FR"/>
        </w:rPr>
      </w:pPr>
      <w:r w:rsidRPr="00AB7B36">
        <w:rPr>
          <w:rFonts w:cstheme="minorHAnsi"/>
          <w:color w:val="000000" w:themeColor="text1"/>
          <w:u w:val="single"/>
          <w:lang w:val="fr-FR"/>
        </w:rPr>
        <w:t>Address:</w:t>
      </w:r>
      <w:r w:rsidRPr="00AB7B36">
        <w:rPr>
          <w:rFonts w:cstheme="minorHAnsi"/>
          <w:color w:val="000000" w:themeColor="text1"/>
          <w:lang w:val="fr-FR"/>
        </w:rPr>
        <w:t xml:space="preserve"> </w:t>
      </w:r>
      <w:r w:rsidR="001F58F8" w:rsidRPr="00AB7B36">
        <w:rPr>
          <w:rFonts w:cstheme="minorHAnsi"/>
          <w:color w:val="000000" w:themeColor="text1"/>
          <w:lang w:val="fr-FR"/>
        </w:rPr>
        <w:t>Université catholique de Louvain</w:t>
      </w:r>
      <w:r w:rsidR="00FF3F06" w:rsidRPr="00AB7B36">
        <w:rPr>
          <w:rFonts w:cstheme="minorHAnsi"/>
          <w:color w:val="000000" w:themeColor="text1"/>
          <w:lang w:val="fr-FR"/>
        </w:rPr>
        <w:t xml:space="preserve">, </w:t>
      </w:r>
      <w:r w:rsidR="001F58F8" w:rsidRPr="00AB7B36">
        <w:rPr>
          <w:rFonts w:cstheme="minorHAnsi"/>
          <w:color w:val="000000" w:themeColor="text1"/>
          <w:lang w:val="fr-FR"/>
        </w:rPr>
        <w:t>Institute of Neuroscience</w:t>
      </w:r>
      <w:r w:rsidR="00FF3F06" w:rsidRPr="00AB7B36">
        <w:rPr>
          <w:rFonts w:cstheme="minorHAnsi"/>
          <w:color w:val="000000" w:themeColor="text1"/>
          <w:lang w:val="fr-FR"/>
        </w:rPr>
        <w:t xml:space="preserve">, </w:t>
      </w:r>
      <w:r w:rsidR="001F58F8" w:rsidRPr="00AB7B36">
        <w:rPr>
          <w:rFonts w:cstheme="minorHAnsi"/>
          <w:color w:val="000000" w:themeColor="text1"/>
          <w:lang w:val="fr-FR"/>
        </w:rPr>
        <w:t>Avenue Hippocrate 53</w:t>
      </w:r>
      <w:r w:rsidR="00293706" w:rsidRPr="00AB7B36">
        <w:rPr>
          <w:rFonts w:cstheme="minorHAnsi"/>
          <w:color w:val="000000" w:themeColor="text1"/>
          <w:lang w:val="fr-FR"/>
        </w:rPr>
        <w:t>,</w:t>
      </w:r>
    </w:p>
    <w:p w14:paraId="328FD947" w14:textId="429A832D" w:rsidR="00294478" w:rsidRPr="00294478" w:rsidRDefault="00293706" w:rsidP="00FF3F06">
      <w:pPr>
        <w:spacing w:after="0"/>
        <w:rPr>
          <w:rFonts w:cstheme="minorHAnsi"/>
          <w:color w:val="000000" w:themeColor="text1"/>
        </w:rPr>
      </w:pPr>
      <w:r w:rsidRPr="00AB7B36">
        <w:rPr>
          <w:rFonts w:cstheme="minorHAnsi"/>
          <w:color w:val="000000" w:themeColor="text1"/>
          <w:lang w:val="fr-FR"/>
        </w:rPr>
        <w:t xml:space="preserve">                 </w:t>
      </w:r>
      <w:r w:rsidR="001F58F8" w:rsidRPr="00AB7B36">
        <w:rPr>
          <w:rFonts w:cstheme="minorHAnsi"/>
          <w:color w:val="000000" w:themeColor="text1"/>
          <w:lang w:val="fr-FR"/>
        </w:rPr>
        <w:t>box</w:t>
      </w:r>
      <w:r w:rsidR="00FF3F06" w:rsidRPr="00AB7B36">
        <w:rPr>
          <w:rFonts w:cstheme="minorHAnsi"/>
          <w:color w:val="000000" w:themeColor="text1"/>
          <w:lang w:val="fr-FR"/>
        </w:rPr>
        <w:t xml:space="preserve"> </w:t>
      </w:r>
      <w:r w:rsidR="001F58F8" w:rsidRPr="00AB7B36">
        <w:rPr>
          <w:rFonts w:cstheme="minorHAnsi"/>
          <w:color w:val="000000" w:themeColor="text1"/>
          <w:lang w:val="fr-FR"/>
        </w:rPr>
        <w:t>B1.53.04</w:t>
      </w:r>
      <w:r w:rsidR="00FF3F06" w:rsidRPr="00AB7B36">
        <w:rPr>
          <w:rFonts w:cstheme="minorHAnsi"/>
          <w:color w:val="000000" w:themeColor="text1"/>
          <w:lang w:val="fr-FR"/>
        </w:rPr>
        <w:t>,</w:t>
      </w:r>
      <w:r w:rsidR="00294478" w:rsidRPr="00AB7B36">
        <w:rPr>
          <w:rFonts w:cstheme="minorHAnsi"/>
          <w:color w:val="000000" w:themeColor="text1"/>
          <w:lang w:val="fr-FR"/>
        </w:rPr>
        <w:t>1200 Woluwe-Saint-Lambert, Belgium</w:t>
      </w:r>
      <w:r w:rsidR="00732805" w:rsidRPr="00AB7B36">
        <w:rPr>
          <w:rFonts w:cstheme="minorHAnsi"/>
          <w:color w:val="000000" w:themeColor="text1"/>
          <w:lang w:val="fr-FR"/>
        </w:rPr>
        <w:t xml:space="preserve">. </w:t>
      </w:r>
      <w:r w:rsidR="00732805">
        <w:rPr>
          <w:rFonts w:cstheme="minorHAnsi"/>
          <w:color w:val="000000" w:themeColor="text1"/>
        </w:rPr>
        <w:t>Tel</w:t>
      </w:r>
      <w:r w:rsidR="00D86B79">
        <w:rPr>
          <w:rFonts w:cstheme="minorHAnsi"/>
          <w:color w:val="000000" w:themeColor="text1"/>
        </w:rPr>
        <w:t xml:space="preserve">.: +39 3479978001 </w:t>
      </w:r>
    </w:p>
    <w:p w14:paraId="615FE1E3" w14:textId="77777777" w:rsidR="005D5078" w:rsidRDefault="00010B93" w:rsidP="00021CBA">
      <w:pPr>
        <w:rPr>
          <w:rFonts w:cstheme="minorHAnsi"/>
          <w:color w:val="000000" w:themeColor="text1"/>
        </w:rPr>
      </w:pPr>
      <w:r w:rsidRPr="00C77082">
        <w:rPr>
          <w:rFonts w:cstheme="minorHAnsi"/>
          <w:color w:val="000000" w:themeColor="text1"/>
          <w:u w:val="single"/>
        </w:rPr>
        <w:t>E-mail address</w:t>
      </w:r>
      <w:r w:rsidRPr="005D5078">
        <w:rPr>
          <w:rFonts w:cstheme="minorHAnsi"/>
          <w:color w:val="000000" w:themeColor="text1"/>
        </w:rPr>
        <w:t xml:space="preserve">: </w:t>
      </w:r>
      <w:hyperlink r:id="rId11" w:history="1">
        <w:r w:rsidR="005D5078" w:rsidRPr="00DE795D">
          <w:rPr>
            <w:rStyle w:val="Hyperlink"/>
            <w:rFonts w:cstheme="minorHAnsi"/>
          </w:rPr>
          <w:t>delia.dellaporta@uclouvain.be</w:t>
        </w:r>
      </w:hyperlink>
      <w:r w:rsidR="005D5078">
        <w:rPr>
          <w:rFonts w:cstheme="minorHAnsi"/>
          <w:color w:val="000000" w:themeColor="text1"/>
        </w:rPr>
        <w:t xml:space="preserve"> </w:t>
      </w:r>
    </w:p>
    <w:p w14:paraId="003EF247" w14:textId="10D09628" w:rsidR="001D46BA" w:rsidRDefault="004145E8" w:rsidP="00021CBA">
      <w:pPr>
        <w:rPr>
          <w:rFonts w:cstheme="minorHAnsi"/>
          <w:color w:val="000000" w:themeColor="text1"/>
        </w:rPr>
      </w:pPr>
      <w:hyperlink r:id="rId12" w:history="1">
        <w:r w:rsidR="001D46BA" w:rsidRPr="00DE795D">
          <w:rPr>
            <w:rStyle w:val="Hyperlink"/>
            <w:rFonts w:cstheme="minorHAnsi"/>
          </w:rPr>
          <w:t>https://uclouvain.be/en/directories/delia.dellaporta</w:t>
        </w:r>
      </w:hyperlink>
    </w:p>
    <w:p w14:paraId="277B7C24" w14:textId="77777777" w:rsidR="001D46BA" w:rsidRDefault="001D46BA" w:rsidP="00021CBA">
      <w:pPr>
        <w:rPr>
          <w:rFonts w:cstheme="minorHAnsi"/>
          <w:color w:val="000000" w:themeColor="text1"/>
        </w:rPr>
      </w:pPr>
    </w:p>
    <w:p w14:paraId="079F3CDD" w14:textId="77777777" w:rsidR="003B2267" w:rsidRDefault="003B2267" w:rsidP="00021CBA">
      <w:pPr>
        <w:rPr>
          <w:rFonts w:cstheme="minorHAnsi"/>
          <w:color w:val="000000" w:themeColor="text1"/>
        </w:rPr>
      </w:pPr>
    </w:p>
    <w:p w14:paraId="0295A687" w14:textId="10B09564" w:rsidR="00CF0350" w:rsidRPr="005D5078" w:rsidRDefault="00010B93" w:rsidP="00021CBA">
      <w:pPr>
        <w:rPr>
          <w:rFonts w:cstheme="minorHAnsi"/>
          <w:color w:val="000000" w:themeColor="text1"/>
        </w:rPr>
      </w:pPr>
      <w:r w:rsidRPr="005D5078">
        <w:rPr>
          <w:rFonts w:cstheme="minorHAnsi"/>
          <w:color w:val="000000" w:themeColor="text1"/>
        </w:rPr>
        <w:t xml:space="preserve"> </w:t>
      </w:r>
    </w:p>
    <w:p w14:paraId="6DDDD654" w14:textId="7DD8D873" w:rsidR="00CF0350" w:rsidRPr="005D5078" w:rsidRDefault="00CF0350" w:rsidP="00010B93">
      <w:pPr>
        <w:spacing w:after="0"/>
        <w:rPr>
          <w:rFonts w:cstheme="minorHAnsi"/>
          <w:color w:val="000000" w:themeColor="text1"/>
        </w:rPr>
      </w:pPr>
    </w:p>
    <w:p w14:paraId="02F4AB84" w14:textId="613B6405" w:rsidR="00CF0350" w:rsidRPr="00AB7B36" w:rsidRDefault="00FC5BD5" w:rsidP="00010B93">
      <w:pPr>
        <w:spacing w:after="0"/>
        <w:rPr>
          <w:rFonts w:cstheme="minorHAnsi"/>
          <w:color w:val="000000" w:themeColor="text1"/>
          <w:lang w:val="fr-FR"/>
        </w:rPr>
      </w:pPr>
      <w:r w:rsidRPr="00AB7B36">
        <w:rPr>
          <w:rFonts w:cstheme="minorHAnsi"/>
          <w:color w:val="000000" w:themeColor="text1"/>
          <w:lang w:val="fr-FR"/>
        </w:rPr>
        <w:t>Page nr</w:t>
      </w:r>
      <w:r w:rsidR="00024529" w:rsidRPr="00AB7B36">
        <w:rPr>
          <w:rFonts w:cstheme="minorHAnsi"/>
          <w:color w:val="000000" w:themeColor="text1"/>
          <w:lang w:val="fr-FR"/>
        </w:rPr>
        <w:t>:</w:t>
      </w:r>
      <w:r w:rsidR="00CF0350" w:rsidRPr="00AB7B36">
        <w:rPr>
          <w:rFonts w:cstheme="minorHAnsi"/>
          <w:color w:val="000000" w:themeColor="text1"/>
          <w:lang w:val="fr-FR"/>
        </w:rPr>
        <w:t xml:space="preserve"> </w:t>
      </w:r>
      <w:r w:rsidR="008B0633" w:rsidRPr="00AB7B36">
        <w:rPr>
          <w:rFonts w:cstheme="minorHAnsi"/>
          <w:color w:val="000000" w:themeColor="text1"/>
          <w:lang w:val="fr-FR"/>
        </w:rPr>
        <w:t>3</w:t>
      </w:r>
      <w:r w:rsidR="00B601C3">
        <w:rPr>
          <w:rFonts w:cstheme="minorHAnsi"/>
          <w:color w:val="000000" w:themeColor="text1"/>
          <w:lang w:val="fr-FR"/>
        </w:rPr>
        <w:t>2</w:t>
      </w:r>
      <w:r w:rsidR="00CF0350" w:rsidRPr="00AB7B36">
        <w:rPr>
          <w:rFonts w:cstheme="minorHAnsi"/>
          <w:color w:val="000000" w:themeColor="text1"/>
          <w:lang w:val="fr-FR"/>
        </w:rPr>
        <w:t xml:space="preserve"> </w:t>
      </w:r>
    </w:p>
    <w:p w14:paraId="752C1F32" w14:textId="2EB3B0A4" w:rsidR="00CF0350" w:rsidRPr="00AB7B36" w:rsidRDefault="00024529" w:rsidP="00010B93">
      <w:pPr>
        <w:spacing w:after="0"/>
        <w:rPr>
          <w:rFonts w:cstheme="minorHAnsi"/>
          <w:color w:val="000000" w:themeColor="text1"/>
          <w:lang w:val="fr-FR"/>
        </w:rPr>
      </w:pPr>
      <w:r w:rsidRPr="00AB7B36">
        <w:rPr>
          <w:rFonts w:cstheme="minorHAnsi"/>
          <w:color w:val="000000" w:themeColor="text1"/>
          <w:lang w:val="fr-FR"/>
        </w:rPr>
        <w:t>Figures nr:</w:t>
      </w:r>
      <w:r w:rsidR="00CF0350" w:rsidRPr="00AB7B36">
        <w:rPr>
          <w:rFonts w:cstheme="minorHAnsi"/>
          <w:color w:val="000000" w:themeColor="text1"/>
          <w:lang w:val="fr-FR"/>
        </w:rPr>
        <w:t xml:space="preserve"> </w:t>
      </w:r>
      <w:r w:rsidRPr="00AB7B36">
        <w:rPr>
          <w:rFonts w:cstheme="minorHAnsi"/>
          <w:color w:val="000000" w:themeColor="text1"/>
          <w:lang w:val="fr-FR"/>
        </w:rPr>
        <w:t>4</w:t>
      </w:r>
      <w:r w:rsidR="00CF0350" w:rsidRPr="00AB7B36">
        <w:rPr>
          <w:rFonts w:cstheme="minorHAnsi"/>
          <w:color w:val="000000" w:themeColor="text1"/>
          <w:lang w:val="fr-FR"/>
        </w:rPr>
        <w:t xml:space="preserve"> </w:t>
      </w:r>
    </w:p>
    <w:p w14:paraId="75742C51" w14:textId="24BAA960" w:rsidR="00CF0350" w:rsidRPr="00AB7B36" w:rsidRDefault="00024529" w:rsidP="00010B93">
      <w:pPr>
        <w:spacing w:after="0"/>
        <w:rPr>
          <w:rFonts w:cstheme="minorHAnsi"/>
          <w:color w:val="000000" w:themeColor="text1"/>
          <w:lang w:val="fr-FR"/>
        </w:rPr>
      </w:pPr>
      <w:r w:rsidRPr="00AB7B36">
        <w:rPr>
          <w:rFonts w:cstheme="minorHAnsi"/>
          <w:color w:val="000000" w:themeColor="text1"/>
          <w:lang w:val="fr-FR"/>
        </w:rPr>
        <w:t xml:space="preserve">Table nr: </w:t>
      </w:r>
      <w:r w:rsidR="005507C6">
        <w:rPr>
          <w:rFonts w:cstheme="minorHAnsi"/>
          <w:color w:val="000000" w:themeColor="text1"/>
          <w:lang w:val="fr-FR"/>
        </w:rPr>
        <w:t xml:space="preserve"> 1</w:t>
      </w:r>
    </w:p>
    <w:p w14:paraId="23640BD1" w14:textId="7A4AC593" w:rsidR="00966A3B" w:rsidRPr="00AB7B36" w:rsidRDefault="00010B93" w:rsidP="00010B93">
      <w:pPr>
        <w:rPr>
          <w:rFonts w:cstheme="minorHAnsi"/>
          <w:color w:val="000000" w:themeColor="text1"/>
          <w:lang w:val="fr-FR"/>
        </w:rPr>
      </w:pPr>
      <w:r w:rsidRPr="00AB7B36">
        <w:rPr>
          <w:rFonts w:cstheme="minorHAnsi"/>
          <w:color w:val="000000" w:themeColor="text1"/>
          <w:lang w:val="fr-FR"/>
        </w:rPr>
        <w:t xml:space="preserve"> </w:t>
      </w:r>
    </w:p>
    <w:p w14:paraId="20E6C3B0" w14:textId="016A4911" w:rsidR="00010B93" w:rsidRPr="00A4233B" w:rsidRDefault="00010B93" w:rsidP="00010B93">
      <w:pPr>
        <w:pStyle w:val="Heading1"/>
        <w:jc w:val="left"/>
        <w:rPr>
          <w:rFonts w:asciiTheme="minorHAnsi" w:hAnsiTheme="minorHAnsi" w:cstheme="minorHAnsi"/>
          <w:sz w:val="22"/>
          <w:szCs w:val="22"/>
        </w:rPr>
      </w:pPr>
      <w:r w:rsidRPr="00A4233B">
        <w:rPr>
          <w:rFonts w:asciiTheme="minorHAnsi" w:hAnsiTheme="minorHAnsi" w:cstheme="minorHAnsi"/>
          <w:sz w:val="22"/>
          <w:szCs w:val="22"/>
        </w:rPr>
        <w:lastRenderedPageBreak/>
        <w:t>Abstract</w:t>
      </w:r>
    </w:p>
    <w:p w14:paraId="1E40F4EE" w14:textId="7B0C06B6" w:rsidR="004F727F" w:rsidRDefault="00010B93" w:rsidP="004F727F">
      <w:pPr>
        <w:autoSpaceDE w:val="0"/>
        <w:autoSpaceDN w:val="0"/>
        <w:adjustRightInd w:val="0"/>
        <w:spacing w:after="0" w:line="480" w:lineRule="auto"/>
        <w:ind w:firstLine="720"/>
        <w:rPr>
          <w:rFonts w:cstheme="minorHAnsi"/>
          <w:color w:val="000000" w:themeColor="text1"/>
        </w:rPr>
      </w:pPr>
      <w:r w:rsidRPr="00A4233B">
        <w:rPr>
          <w:rFonts w:cstheme="minorHAnsi"/>
          <w:color w:val="000000" w:themeColor="text1"/>
        </w:rPr>
        <w:t>According to the neurocognitive model of attention to pain, when the attentional resources invested in a task unrelated to pain are high, limited cognitive resources can be directed toward</w:t>
      </w:r>
      <w:r w:rsidR="00BB4F14">
        <w:rPr>
          <w:rFonts w:cstheme="minorHAnsi"/>
          <w:color w:val="000000" w:themeColor="text1"/>
        </w:rPr>
        <w:t xml:space="preserve"> </w:t>
      </w:r>
      <w:r w:rsidR="000C2FD0">
        <w:rPr>
          <w:rFonts w:cstheme="minorHAnsi"/>
          <w:color w:val="000000" w:themeColor="text1"/>
        </w:rPr>
        <w:t xml:space="preserve">the </w:t>
      </w:r>
      <w:r w:rsidR="000C2FD0" w:rsidRPr="00A4233B">
        <w:rPr>
          <w:rFonts w:cstheme="minorHAnsi"/>
          <w:color w:val="000000" w:themeColor="text1"/>
        </w:rPr>
        <w:t>pain</w:t>
      </w:r>
      <w:r w:rsidRPr="00A4233B">
        <w:rPr>
          <w:rFonts w:cstheme="minorHAnsi"/>
          <w:color w:val="000000" w:themeColor="text1"/>
        </w:rPr>
        <w:t xml:space="preserve">. This is supported by experimental studies showing that </w:t>
      </w:r>
      <w:r w:rsidR="002479B6" w:rsidRPr="0049176F">
        <w:rPr>
          <w:rFonts w:cstheme="minorHAnsi"/>
          <w:color w:val="FF0000"/>
        </w:rPr>
        <w:t>diverting</w:t>
      </w:r>
      <w:r w:rsidRPr="0049176F">
        <w:rPr>
          <w:rFonts w:cstheme="minorHAnsi"/>
          <w:color w:val="FF0000"/>
        </w:rPr>
        <w:t xml:space="preserve"> people</w:t>
      </w:r>
      <w:r w:rsidR="0016544B" w:rsidRPr="0049176F">
        <w:rPr>
          <w:rFonts w:cstheme="minorHAnsi"/>
          <w:color w:val="FF0000"/>
        </w:rPr>
        <w:t>’s</w:t>
      </w:r>
      <w:r w:rsidR="00C01169" w:rsidRPr="0049176F">
        <w:rPr>
          <w:rFonts w:cstheme="minorHAnsi"/>
          <w:color w:val="FF0000"/>
        </w:rPr>
        <w:t xml:space="preserve"> attention</w:t>
      </w:r>
      <w:r w:rsidRPr="0049176F">
        <w:rPr>
          <w:rFonts w:cstheme="minorHAnsi"/>
          <w:color w:val="FF0000"/>
        </w:rPr>
        <w:t xml:space="preserve"> </w:t>
      </w:r>
      <w:r w:rsidR="002479B6" w:rsidRPr="0049176F">
        <w:rPr>
          <w:rFonts w:cstheme="minorHAnsi"/>
          <w:color w:val="FF0000"/>
        </w:rPr>
        <w:t xml:space="preserve">away </w:t>
      </w:r>
      <w:r w:rsidRPr="00A4233B">
        <w:rPr>
          <w:rFonts w:cstheme="minorHAnsi"/>
          <w:color w:val="000000" w:themeColor="text1"/>
        </w:rPr>
        <w:t xml:space="preserve">from acute pain, leads to experiencing less pain. Theoretical work has suggested that this phenomenon may present a top-down modulatory mechanism for </w:t>
      </w:r>
      <w:r w:rsidR="007D2524">
        <w:rPr>
          <w:rFonts w:cstheme="minorHAnsi"/>
          <w:color w:val="000000" w:themeColor="text1"/>
        </w:rPr>
        <w:t xml:space="preserve">persistent </w:t>
      </w:r>
      <w:r w:rsidRPr="00A4233B">
        <w:rPr>
          <w:rFonts w:cstheme="minorHAnsi"/>
          <w:color w:val="000000" w:themeColor="text1"/>
        </w:rPr>
        <w:t xml:space="preserve">pain as well. However, conclusive empirical evidence is lacking. </w:t>
      </w:r>
      <w:r w:rsidR="006667DF">
        <w:rPr>
          <w:rFonts w:cstheme="minorHAnsi"/>
          <w:color w:val="000000" w:themeColor="text1"/>
        </w:rPr>
        <w:t>To fill this gap</w:t>
      </w:r>
      <w:r w:rsidRPr="00A4233B">
        <w:rPr>
          <w:rFonts w:cstheme="minorHAnsi"/>
          <w:color w:val="000000" w:themeColor="text1"/>
        </w:rPr>
        <w:t xml:space="preserve">, we used a </w:t>
      </w:r>
      <w:r w:rsidR="005E4672">
        <w:rPr>
          <w:rFonts w:cstheme="minorHAnsi"/>
          <w:color w:val="000000" w:themeColor="text1"/>
        </w:rPr>
        <w:t xml:space="preserve">preregistered, </w:t>
      </w:r>
      <w:r w:rsidRPr="00A4233B">
        <w:rPr>
          <w:rFonts w:cstheme="minorHAnsi"/>
          <w:color w:val="000000" w:themeColor="text1"/>
        </w:rPr>
        <w:t>double-blind, between-subjects study design to investigate whether performing a tailored, demanding, and engaging working memory task unrelated to pain (difficult) vs</w:t>
      </w:r>
      <w:r w:rsidR="001D392B">
        <w:rPr>
          <w:rFonts w:cstheme="minorHAnsi"/>
          <w:color w:val="000000" w:themeColor="text1"/>
        </w:rPr>
        <w:t>.</w:t>
      </w:r>
      <w:r w:rsidRPr="00A4233B">
        <w:rPr>
          <w:rFonts w:cstheme="minorHAnsi"/>
          <w:color w:val="000000" w:themeColor="text1"/>
        </w:rPr>
        <w:t xml:space="preserve"> a task that require</w:t>
      </w:r>
      <w:r w:rsidR="001D392B">
        <w:rPr>
          <w:rFonts w:cstheme="minorHAnsi"/>
          <w:color w:val="000000" w:themeColor="text1"/>
        </w:rPr>
        <w:t>s less</w:t>
      </w:r>
      <w:r w:rsidRPr="00A4233B">
        <w:rPr>
          <w:rFonts w:cstheme="minorHAnsi"/>
          <w:color w:val="000000" w:themeColor="text1"/>
        </w:rPr>
        <w:t xml:space="preserve"> mental effort to be performed (easy), could lead to lower development of secondary hy</w:t>
      </w:r>
      <w:r w:rsidR="00010EA0">
        <w:rPr>
          <w:rFonts w:cstheme="minorHAnsi"/>
          <w:color w:val="000000" w:themeColor="text1"/>
        </w:rPr>
        <w:t>persensitiv</w:t>
      </w:r>
      <w:r w:rsidR="00951774">
        <w:rPr>
          <w:rFonts w:cstheme="minorHAnsi"/>
          <w:color w:val="000000" w:themeColor="text1"/>
        </w:rPr>
        <w:t>it</w:t>
      </w:r>
      <w:r w:rsidR="00010EA0">
        <w:rPr>
          <w:rFonts w:cstheme="minorHAnsi"/>
          <w:color w:val="000000" w:themeColor="text1"/>
        </w:rPr>
        <w:t>y</w:t>
      </w:r>
      <w:r w:rsidRPr="00A4233B">
        <w:rPr>
          <w:rFonts w:cstheme="minorHAnsi"/>
          <w:color w:val="000000" w:themeColor="text1"/>
        </w:rPr>
        <w:t>–a hallmark of central sensitization. Eighty-</w:t>
      </w:r>
      <w:r w:rsidR="001047CF">
        <w:rPr>
          <w:rFonts w:cstheme="minorHAnsi"/>
          <w:color w:val="FF0000"/>
        </w:rPr>
        <w:t>five</w:t>
      </w:r>
      <w:r w:rsidRPr="00A4233B">
        <w:rPr>
          <w:rFonts w:cstheme="minorHAnsi"/>
          <w:color w:val="000000" w:themeColor="text1"/>
        </w:rPr>
        <w:t xml:space="preserve"> healthy volunteers, randomly assigned to one of the two conditions, performed a </w:t>
      </w:r>
      <w:r w:rsidR="001D392B">
        <w:rPr>
          <w:rFonts w:cstheme="minorHAnsi"/>
          <w:color w:val="000000" w:themeColor="text1"/>
        </w:rPr>
        <w:t>visual</w:t>
      </w:r>
      <w:r w:rsidRPr="00A4233B">
        <w:rPr>
          <w:rFonts w:cstheme="minorHAnsi"/>
          <w:color w:val="000000" w:themeColor="text1"/>
        </w:rPr>
        <w:t xml:space="preserve"> task with a different cognitive load (difficult vs</w:t>
      </w:r>
      <w:r w:rsidR="001D392B">
        <w:rPr>
          <w:rFonts w:cstheme="minorHAnsi"/>
          <w:color w:val="000000" w:themeColor="text1"/>
        </w:rPr>
        <w:t>.</w:t>
      </w:r>
      <w:r w:rsidRPr="00A4233B">
        <w:rPr>
          <w:rFonts w:cstheme="minorHAnsi"/>
          <w:color w:val="000000" w:themeColor="text1"/>
        </w:rPr>
        <w:t xml:space="preserve"> easy) while secondary </w:t>
      </w:r>
      <w:r w:rsidR="001D392B">
        <w:rPr>
          <w:rFonts w:cstheme="minorHAnsi"/>
          <w:color w:val="000000" w:themeColor="text1"/>
        </w:rPr>
        <w:t>hypersensitivity</w:t>
      </w:r>
      <w:r w:rsidR="001D392B" w:rsidRPr="00A4233B">
        <w:rPr>
          <w:rFonts w:cstheme="minorHAnsi"/>
          <w:color w:val="000000" w:themeColor="text1"/>
        </w:rPr>
        <w:t xml:space="preserve"> </w:t>
      </w:r>
      <w:r w:rsidRPr="00A4233B">
        <w:rPr>
          <w:rFonts w:cstheme="minorHAnsi"/>
          <w:color w:val="000000" w:themeColor="text1"/>
        </w:rPr>
        <w:t xml:space="preserve">was induced on their non-dominant forearm using high-frequency stimulation. To assess the development of secondary </w:t>
      </w:r>
      <w:r w:rsidR="001D392B">
        <w:rPr>
          <w:rFonts w:cstheme="minorHAnsi"/>
          <w:color w:val="000000" w:themeColor="text1"/>
        </w:rPr>
        <w:t>hypersensitivity</w:t>
      </w:r>
      <w:r w:rsidRPr="00A4233B">
        <w:rPr>
          <w:rFonts w:cstheme="minorHAnsi"/>
          <w:color w:val="000000" w:themeColor="text1"/>
        </w:rPr>
        <w:t>, sensitivity to mechanical stimuli was measured three times: T0, for baseline, 20</w:t>
      </w:r>
      <w:r w:rsidR="001D392B">
        <w:rPr>
          <w:rFonts w:cstheme="minorHAnsi"/>
          <w:color w:val="000000" w:themeColor="text1"/>
        </w:rPr>
        <w:t xml:space="preserve"> </w:t>
      </w:r>
      <w:r w:rsidRPr="00A4233B">
        <w:rPr>
          <w:rFonts w:cstheme="minorHAnsi"/>
          <w:color w:val="000000" w:themeColor="text1"/>
        </w:rPr>
        <w:t>(T1) and 40</w:t>
      </w:r>
      <w:r w:rsidR="001D392B">
        <w:rPr>
          <w:rFonts w:cstheme="minorHAnsi"/>
          <w:color w:val="000000" w:themeColor="text1"/>
        </w:rPr>
        <w:t xml:space="preserve"> </w:t>
      </w:r>
      <w:r w:rsidRPr="00A4233B">
        <w:rPr>
          <w:rFonts w:cstheme="minorHAnsi"/>
          <w:color w:val="000000" w:themeColor="text1"/>
        </w:rPr>
        <w:t xml:space="preserve">(T2) minutes after the procedure. </w:t>
      </w:r>
    </w:p>
    <w:p w14:paraId="4FEDEB3D" w14:textId="6E174785" w:rsidR="00010B93" w:rsidRDefault="00010B93" w:rsidP="004F727F">
      <w:pPr>
        <w:autoSpaceDE w:val="0"/>
        <w:autoSpaceDN w:val="0"/>
        <w:adjustRightInd w:val="0"/>
        <w:spacing w:after="0" w:line="480" w:lineRule="auto"/>
        <w:ind w:firstLine="720"/>
        <w:rPr>
          <w:rFonts w:cstheme="minorHAnsi"/>
          <w:color w:val="000000" w:themeColor="text1"/>
        </w:rPr>
      </w:pPr>
      <w:r w:rsidRPr="00A4233B">
        <w:rPr>
          <w:rFonts w:cstheme="minorHAnsi"/>
          <w:color w:val="000000" w:themeColor="text1"/>
        </w:rPr>
        <w:t xml:space="preserve">We did not observe any significant difference in the development of secondary </w:t>
      </w:r>
      <w:r w:rsidR="001D392B">
        <w:rPr>
          <w:rFonts w:cstheme="minorHAnsi"/>
          <w:color w:val="000000" w:themeColor="text1"/>
        </w:rPr>
        <w:t>hypersensitivity</w:t>
      </w:r>
      <w:r w:rsidR="001D392B" w:rsidRPr="00A4233B">
        <w:rPr>
          <w:rFonts w:cstheme="minorHAnsi"/>
          <w:color w:val="000000" w:themeColor="text1"/>
        </w:rPr>
        <w:t xml:space="preserve"> </w:t>
      </w:r>
      <w:r w:rsidRPr="00A4233B">
        <w:rPr>
          <w:rFonts w:cstheme="minorHAnsi"/>
          <w:color w:val="000000" w:themeColor="text1"/>
        </w:rPr>
        <w:t xml:space="preserve">between the two groups, neither in terms of </w:t>
      </w:r>
      <w:r w:rsidR="00C50A70">
        <w:rPr>
          <w:rFonts w:cstheme="minorHAnsi"/>
          <w:color w:val="000000" w:themeColor="text1"/>
        </w:rPr>
        <w:t>the intensity of mechanical sensitivity nor</w:t>
      </w:r>
      <w:r w:rsidRPr="00A4233B">
        <w:rPr>
          <w:rFonts w:cstheme="minorHAnsi"/>
          <w:color w:val="000000" w:themeColor="text1"/>
        </w:rPr>
        <w:t xml:space="preserve"> </w:t>
      </w:r>
      <w:r w:rsidR="00364569">
        <w:rPr>
          <w:rFonts w:cstheme="minorHAnsi"/>
          <w:color w:val="000000" w:themeColor="text1"/>
        </w:rPr>
        <w:t xml:space="preserve">its </w:t>
      </w:r>
      <w:r w:rsidRPr="00A4233B">
        <w:rPr>
          <w:rFonts w:cstheme="minorHAnsi"/>
          <w:color w:val="000000" w:themeColor="text1"/>
        </w:rPr>
        <w:t>spatial extent. Our results suggest that a top-down modulation through attention might not be sufficient to affect</w:t>
      </w:r>
      <w:r w:rsidR="001D392B">
        <w:rPr>
          <w:rFonts w:cstheme="minorHAnsi"/>
          <w:color w:val="000000" w:themeColor="text1"/>
        </w:rPr>
        <w:t xml:space="preserve"> pain sensitization and</w:t>
      </w:r>
      <w:r w:rsidRPr="00A4233B">
        <w:rPr>
          <w:rFonts w:cstheme="minorHAnsi"/>
          <w:color w:val="000000" w:themeColor="text1"/>
        </w:rPr>
        <w:t xml:space="preserve"> the development of secondary </w:t>
      </w:r>
      <w:r w:rsidR="00C63F03">
        <w:rPr>
          <w:rFonts w:cstheme="minorHAnsi"/>
          <w:color w:val="000000" w:themeColor="text1"/>
        </w:rPr>
        <w:t>hypersensitivity</w:t>
      </w:r>
      <w:r w:rsidRPr="00A4233B">
        <w:rPr>
          <w:rFonts w:cstheme="minorHAnsi"/>
          <w:color w:val="000000" w:themeColor="text1"/>
        </w:rPr>
        <w:t>.</w:t>
      </w:r>
    </w:p>
    <w:p w14:paraId="0DD6DF1D" w14:textId="77777777" w:rsidR="005762C7" w:rsidRPr="00A4233B" w:rsidRDefault="005762C7" w:rsidP="004F727F">
      <w:pPr>
        <w:autoSpaceDE w:val="0"/>
        <w:autoSpaceDN w:val="0"/>
        <w:adjustRightInd w:val="0"/>
        <w:spacing w:after="0" w:line="480" w:lineRule="auto"/>
        <w:ind w:firstLine="720"/>
        <w:rPr>
          <w:rFonts w:cstheme="minorHAnsi"/>
          <w:color w:val="000000" w:themeColor="text1"/>
        </w:rPr>
      </w:pPr>
    </w:p>
    <w:p w14:paraId="756654C1" w14:textId="10392ABC" w:rsidR="00010B93" w:rsidRPr="00A4233B" w:rsidRDefault="00010B93" w:rsidP="00010B93">
      <w:pPr>
        <w:rPr>
          <w:rFonts w:cstheme="minorHAnsi"/>
          <w:bCs/>
        </w:rPr>
      </w:pPr>
      <w:r w:rsidRPr="00A4233B">
        <w:rPr>
          <w:rFonts w:cstheme="minorHAnsi"/>
          <w:b/>
        </w:rPr>
        <w:t xml:space="preserve">Keywords: </w:t>
      </w:r>
      <w:r w:rsidRPr="00A4233B">
        <w:rPr>
          <w:rFonts w:cstheme="minorHAnsi"/>
          <w:bCs/>
        </w:rPr>
        <w:t>Working memory; top-down modulation; persistent pain; central sensitization; secondary hyperalgesi</w:t>
      </w:r>
      <w:r w:rsidR="00340353">
        <w:rPr>
          <w:rFonts w:cstheme="minorHAnsi"/>
          <w:bCs/>
        </w:rPr>
        <w:t>a/</w:t>
      </w:r>
      <w:r w:rsidR="00C63F03">
        <w:rPr>
          <w:rFonts w:cstheme="minorHAnsi"/>
          <w:bCs/>
        </w:rPr>
        <w:t>hypersensitivity</w:t>
      </w:r>
      <w:r w:rsidR="00332A4E">
        <w:rPr>
          <w:rFonts w:cstheme="minorHAnsi"/>
          <w:bCs/>
        </w:rPr>
        <w:t>; top-down attentional modulation; pain sensitization</w:t>
      </w:r>
    </w:p>
    <w:p w14:paraId="71CE68E5" w14:textId="77777777" w:rsidR="00010B93" w:rsidRPr="00A4233B" w:rsidRDefault="00010B93" w:rsidP="00010B93">
      <w:pPr>
        <w:rPr>
          <w:rFonts w:cstheme="minorHAnsi"/>
        </w:rPr>
      </w:pPr>
    </w:p>
    <w:p w14:paraId="169B11E7" w14:textId="4C84DAB0" w:rsidR="00010B93" w:rsidRPr="00A4233B" w:rsidRDefault="00010B93" w:rsidP="00010B93">
      <w:pPr>
        <w:rPr>
          <w:rFonts w:cstheme="minorHAnsi"/>
        </w:rPr>
      </w:pPr>
      <w:r w:rsidRPr="00A4233B">
        <w:rPr>
          <w:rFonts w:cstheme="minorHAnsi"/>
          <w:i/>
          <w:iCs/>
          <w:color w:val="000000" w:themeColor="text1"/>
        </w:rPr>
        <w:t>Summary:</w:t>
      </w:r>
      <w:r w:rsidRPr="00A4233B">
        <w:rPr>
          <w:rFonts w:cstheme="minorHAnsi"/>
          <w:color w:val="000000" w:themeColor="text1"/>
        </w:rPr>
        <w:t xml:space="preserve"> We found no evidence for an effect of </w:t>
      </w:r>
      <w:r w:rsidR="00335950">
        <w:rPr>
          <w:rFonts w:cstheme="minorHAnsi"/>
          <w:color w:val="000000" w:themeColor="text1"/>
        </w:rPr>
        <w:t xml:space="preserve">high </w:t>
      </w:r>
      <w:r w:rsidRPr="00A4233B">
        <w:rPr>
          <w:rFonts w:cstheme="minorHAnsi"/>
          <w:color w:val="000000" w:themeColor="text1"/>
        </w:rPr>
        <w:t xml:space="preserve">working memory load on the development of secondary </w:t>
      </w:r>
      <w:r w:rsidR="001D392B">
        <w:rPr>
          <w:rFonts w:cstheme="minorHAnsi"/>
          <w:color w:val="000000" w:themeColor="text1"/>
        </w:rPr>
        <w:t>hypersensitivity</w:t>
      </w:r>
      <w:r w:rsidR="001D392B" w:rsidRPr="00A4233B">
        <w:rPr>
          <w:rFonts w:cstheme="minorHAnsi"/>
          <w:color w:val="000000" w:themeColor="text1"/>
        </w:rPr>
        <w:t xml:space="preserve"> </w:t>
      </w:r>
      <w:r w:rsidRPr="00A4233B">
        <w:rPr>
          <w:rFonts w:cstheme="minorHAnsi"/>
          <w:color w:val="000000" w:themeColor="text1"/>
        </w:rPr>
        <w:t xml:space="preserve">- a proxy of central sensitization. </w:t>
      </w:r>
    </w:p>
    <w:p w14:paraId="5B0A0654" w14:textId="2E9DFA9D" w:rsidR="004E10A1" w:rsidRDefault="004E10A1" w:rsidP="00966A3B">
      <w:pPr>
        <w:spacing w:after="0"/>
        <w:rPr>
          <w:rFonts w:cstheme="minorHAnsi"/>
        </w:rPr>
      </w:pPr>
    </w:p>
    <w:p w14:paraId="130A1EDC" w14:textId="77777777" w:rsidR="004C01E0" w:rsidRDefault="004C01E0" w:rsidP="00966A3B">
      <w:pPr>
        <w:spacing w:after="0"/>
        <w:rPr>
          <w:rFonts w:cstheme="minorHAnsi"/>
        </w:rPr>
      </w:pPr>
    </w:p>
    <w:p w14:paraId="7E44F650" w14:textId="77777777" w:rsidR="004C01E0" w:rsidRDefault="004C01E0" w:rsidP="00966A3B">
      <w:pPr>
        <w:spacing w:after="0"/>
        <w:rPr>
          <w:rFonts w:cstheme="minorHAnsi"/>
        </w:rPr>
      </w:pPr>
    </w:p>
    <w:p w14:paraId="6844485B" w14:textId="77777777" w:rsidR="004C01E0" w:rsidRDefault="004C01E0" w:rsidP="00966A3B">
      <w:pPr>
        <w:spacing w:after="0"/>
        <w:rPr>
          <w:rFonts w:cstheme="minorHAnsi"/>
        </w:rPr>
      </w:pPr>
    </w:p>
    <w:p w14:paraId="3D34D6A9" w14:textId="77777777" w:rsidR="004E10A1" w:rsidRPr="00A4233B" w:rsidRDefault="004E10A1" w:rsidP="00966A3B">
      <w:pPr>
        <w:spacing w:after="0"/>
        <w:rPr>
          <w:rFonts w:cstheme="minorHAnsi"/>
        </w:rPr>
      </w:pPr>
    </w:p>
    <w:p w14:paraId="67C81C68" w14:textId="75DF92B0" w:rsidR="00C519C7" w:rsidRPr="00B22B0F" w:rsidRDefault="00997D5B" w:rsidP="00B22B0F">
      <w:r w:rsidRPr="00B22B0F">
        <w:rPr>
          <w:rFonts w:cstheme="minorHAnsi"/>
          <w:b/>
          <w:sz w:val="28"/>
        </w:rPr>
        <w:lastRenderedPageBreak/>
        <w:t xml:space="preserve">Introduction </w:t>
      </w:r>
    </w:p>
    <w:p w14:paraId="5058A932" w14:textId="35A43822" w:rsidR="00981F34" w:rsidRPr="00981F34" w:rsidRDefault="00E92E97" w:rsidP="00981F34">
      <w:pPr>
        <w:spacing w:after="0" w:line="480" w:lineRule="auto"/>
        <w:rPr>
          <w:rFonts w:cstheme="minorHAnsi"/>
        </w:rPr>
      </w:pPr>
      <w:r>
        <w:rPr>
          <w:rFonts w:cstheme="minorHAnsi"/>
        </w:rPr>
        <w:tab/>
      </w:r>
      <w:r w:rsidR="00FC2DFB" w:rsidRPr="00FC2DFB">
        <w:rPr>
          <w:rFonts w:cstheme="minorHAnsi"/>
        </w:rPr>
        <w:t xml:space="preserve">Attention is a key factor in influencing how we process pain, with potential implications for </w:t>
      </w:r>
      <w:r w:rsidR="001C44D3">
        <w:rPr>
          <w:rFonts w:cstheme="minorHAnsi"/>
        </w:rPr>
        <w:t>intervention</w:t>
      </w:r>
      <w:r w:rsidR="00883A87">
        <w:rPr>
          <w:rFonts w:cstheme="minorHAnsi"/>
        </w:rPr>
        <w:t xml:space="preserve">s aimed at </w:t>
      </w:r>
      <w:r w:rsidR="00FC2DFB" w:rsidRPr="00FC2DFB">
        <w:rPr>
          <w:rFonts w:cstheme="minorHAnsi"/>
        </w:rPr>
        <w:t xml:space="preserve">preventing persistent pain </w:t>
      </w:r>
      <w:r w:rsidR="00CF0350">
        <w:rPr>
          <w:rFonts w:cstheme="minorHAnsi"/>
        </w:rPr>
        <w:fldChar w:fldCharType="begin"/>
      </w:r>
      <w:r w:rsidR="0019418B">
        <w:rPr>
          <w:rFonts w:cstheme="minorHAnsi"/>
        </w:rPr>
        <w:instrText xml:space="preserve"> ADDIN ZOTERO_ITEM CSL_CITATION {"citationID":"cjZR0w6a","properties":{"formattedCitation":"[14,18,26,80]","plainCitation":"[14,18,26,80]","noteIndex":0},"citationItems":[{"id":69,"uris":["http://zotero.org/users/9378318/items/FQPRWQV2"],"itemData":{"id":69,"type":"article-journal","container-title":"Pain","DOI":"10.1016/j.pain.2005.03.035","issue":"1-2","page":"4-7","title":"Hypervigilance to pain: An experimental and clinical analysis","volume":"116","author":[{"family":"Crombez","given":"Geert"},{"family":"Van Damme","given":"Stefaan"},{"family":"Eccleston","given":"Christopher"}],"issued":{"date-parts":[["2005"]]}}},{"id":1602,"uris":["http://zotero.org/users/9378318/items/NMV6EPDL"],"itemData":{"id":1602,"type":"article-journal","container-title":"British Journal of Clinical Psychology","DOI":"10.1111/j.2044-8260.1994.tb01150.x","ISSN":"01446657","issue":"4","language":"en","note":"container-title: British Journal of Clinical Psychology","page":"535-547","source":"DOI.org (Crossref)","title":"Chronic pain and attention: A cognitive approach","title-short":"Chronic pain and attention","volume":"33","author":[{"family":"Eccleston","given":"Chris"}],"issued":{"date-parts":[["1994",11]]}}},{"id":1,"uris":["http://zotero.org/users/9378318/items/92WRRIPP"],"itemData":{"id":1,"type":"article-journal","container-title":"Progress in Brain Research","DOI":"10.1016/S0079-6123(00)29038-9","page":"525-534","title":"Attentional control of pain and the process of chronification","volume":"129","author":[{"family":"Hasenbring","given":"Monika"}],"issued":{"date-parts":[["2000"]]}}},{"id":324,"uris":["http://zotero.org/users/9378318/items/ZIFP5442"],"itemData":{"id":324,"type":"article-journal","page":"1-5","title":"Cognitive modulation of pain: how do attention and emotion influence pain processing?","volume":"95","author":[{"family":"Villemure","given":"Chantal"},{"family":"Bushnell","given":"M. Catherine"}],"issued":{"date-parts":[["2002"]]}}}],"schema":"https://github.com/citation-style-language/schema/raw/master/csl-citation.json"} </w:instrText>
      </w:r>
      <w:r w:rsidR="00CF0350">
        <w:rPr>
          <w:rFonts w:cstheme="minorHAnsi"/>
        </w:rPr>
        <w:fldChar w:fldCharType="separate"/>
      </w:r>
      <w:r w:rsidR="001A31BB" w:rsidRPr="001A31BB">
        <w:rPr>
          <w:rFonts w:ascii="Calibri" w:hAnsi="Calibri" w:cs="Calibri"/>
        </w:rPr>
        <w:t>[14,18,26,80]</w:t>
      </w:r>
      <w:r w:rsidR="00CF0350">
        <w:rPr>
          <w:rFonts w:cstheme="minorHAnsi"/>
        </w:rPr>
        <w:fldChar w:fldCharType="end"/>
      </w:r>
      <w:r w:rsidR="00173F5B" w:rsidRPr="00F65C7E">
        <w:rPr>
          <w:rFonts w:cstheme="minorHAnsi"/>
        </w:rPr>
        <w:t>.</w:t>
      </w:r>
      <w:r w:rsidR="00FD32EF" w:rsidRPr="00FD32EF">
        <w:rPr>
          <w:rFonts w:cstheme="minorHAnsi"/>
          <w:color w:val="000000" w:themeColor="text1"/>
        </w:rPr>
        <w:t xml:space="preserve"> </w:t>
      </w:r>
      <w:r w:rsidR="00883A87">
        <w:rPr>
          <w:rFonts w:cstheme="minorHAnsi"/>
          <w:color w:val="000000" w:themeColor="text1"/>
        </w:rPr>
        <w:t xml:space="preserve">While </w:t>
      </w:r>
      <w:r w:rsidR="001B7BB4">
        <w:rPr>
          <w:rFonts w:cstheme="minorHAnsi"/>
        </w:rPr>
        <w:t>engaging in</w:t>
      </w:r>
      <w:r w:rsidR="001B7BB4" w:rsidRPr="00B22B0F">
        <w:rPr>
          <w:rFonts w:cstheme="minorHAnsi"/>
        </w:rPr>
        <w:t xml:space="preserve"> </w:t>
      </w:r>
      <w:r w:rsidR="004C1449">
        <w:rPr>
          <w:rFonts w:cstheme="minorHAnsi"/>
        </w:rPr>
        <w:t xml:space="preserve">a </w:t>
      </w:r>
      <w:r w:rsidR="001B7BB4" w:rsidRPr="00B22B0F">
        <w:rPr>
          <w:rFonts w:cstheme="minorHAnsi"/>
        </w:rPr>
        <w:t>cognitiv</w:t>
      </w:r>
      <w:r w:rsidR="001B7BB4">
        <w:rPr>
          <w:rFonts w:cstheme="minorHAnsi"/>
        </w:rPr>
        <w:t>ely demanding</w:t>
      </w:r>
      <w:r w:rsidR="001B7BB4" w:rsidRPr="00B22B0F">
        <w:rPr>
          <w:rFonts w:cstheme="minorHAnsi"/>
        </w:rPr>
        <w:t xml:space="preserve"> </w:t>
      </w:r>
      <w:r w:rsidR="004C1449">
        <w:rPr>
          <w:rFonts w:cstheme="minorHAnsi"/>
        </w:rPr>
        <w:t xml:space="preserve">task </w:t>
      </w:r>
      <w:r w:rsidR="0028581F">
        <w:rPr>
          <w:rFonts w:cstheme="minorHAnsi"/>
        </w:rPr>
        <w:t>might</w:t>
      </w:r>
      <w:r w:rsidR="001B7BB4" w:rsidRPr="00B22B0F">
        <w:rPr>
          <w:rFonts w:cstheme="minorHAnsi"/>
        </w:rPr>
        <w:t xml:space="preserve"> lower the risk of persistent pain by inhibiting spinal excitability</w:t>
      </w:r>
      <w:r w:rsidR="00CA1B77">
        <w:rPr>
          <w:rFonts w:cstheme="minorHAnsi"/>
        </w:rPr>
        <w:t xml:space="preserve"> </w:t>
      </w:r>
      <w:r w:rsidR="005F3E68">
        <w:rPr>
          <w:rFonts w:cstheme="minorHAnsi"/>
        </w:rPr>
        <w:fldChar w:fldCharType="begin"/>
      </w:r>
      <w:r w:rsidR="0019418B">
        <w:rPr>
          <w:rFonts w:cstheme="minorHAnsi"/>
        </w:rPr>
        <w:instrText xml:space="preserve"> ADDIN ZOTERO_ITEM CSL_CITATION {"citationID":"YHXOux9A","properties":{"formattedCitation":"[9,16,57,64,70]","plainCitation":"[9,16,57,64,70]","noteIndex":0},"citationItems":[{"id":111,"uris":["http://zotero.org/users/9378318/items/GHXRBIJH"],"itemData":{"id":111,"type":"article-journal","abstract":"Pain is a highly complex and subjective experience that is not linearly related to the nociceptive input. What is clear from anecdotal reports over the centuries and more recently from animal and human experimentation is that nociceptive information processing and consequent pain perception is subject to significant pro- and anti-nociceptive modulations. These modulations can be initiated reflexively or by contextual manipulations of the pain experience including cognitive and emotional factors. This provides a necessary survival function since it allows the pain experience to be altered according to the situation rather than having pain always dominate. The so-called descending pain modulatory network involving predominantly medial and frontal cortical areas, in combination with specific subcortical and brain stem nuclei appears to be one key system for the endogenous modulation of pain. Furthermore, recent findings from functional and anatomical neuroimaging support the notion that an altered interaction of pro- and anti-nociceptive mechanisms may contribute to the development or maintenance of chronic pain states. Research on the involved circuitry and implemented mechanisms is a major focus of contemporary neuroscientific research in the field of pain and should provide new insights to prevent and treat chronic pain states. ©2008 Int. Union Physiol. Sci./Am. Physiol. Soc.","container-title":"Physiology","DOI":"10.1152/physiol.00024.2008","issue":"6","page":"371-380","title":"Imaging CNS modulation of pain in humans","volume":"23","author":[{"family":"Bingel","given":"Ulrike"},{"family":"Tracey","given":"Irene"}],"issued":{"date-parts":[["2008"]]}},"label":"page"},{"id":361,"uris":["http://zotero.org/users/9378318/items/XVVA5GKB"],"itemData":{"id":361,"type":"article-journal","abstract":"Working memory (WM) engagement produces pain inhibition. However, it remains unclear whether higher WM load increases this effect. The aim of this study was to investigate the interaction between WM load and pain inhibition by WM and examine the contribution of cerebrospinal mechanism. Thirty-eight healthy volunteers were assigned to one of 2 n-back groups for which WM load was different (2-back or 3-back). The experimental protocol comprised 5 counterbalanced conditions (0-back, n-back, pain, 0-back with pain, and n-back with pain). Pain and the nociceptive flexion reflex (NFR) were evoked by transcutaneous electrical stimulation of the sural nerve. Pain was significantly different between conditions, but not between n-back groups. Both the 0-back and n-back tasks reduced pain compared with pain alone, but the n-back task produced stronger pain inhibition compared with the 0-back task. NFR amplitude was significantly different between conditions but not between n-back groups. NFR was inhibited by the 0-back and n-back tasks, with no difference between the 2 tasks. These findings indicate that pain inhibition by WM is increased by WM load, but only to a certain point. NFR inhibition by WM suggests that inhibition of pain by WM depends, at least in part, on cerebrospinal mechanism. Perspective: This behavioral and electrophysiological study shows that engaging in a cognitive task reduces pain by decreasing spinal nociceptive transmission, depending on task difficulty. These findings may yield better nonpharmacological pain therapies based on individual differences in working memory performance and capacity as well as several factors that regulate working memory.","container-title":"Journal of Pain","DOI":"10.1016/j.jpain.2021.02.001","issue":"7","page":"797-805","title":"Reduction of Pain and Spinal Nociceptive Transmission by Working Memory is Load Dependant","volume":"22","author":[{"family":"Deldar","given":"Zoha"},{"family":"Blanchette","given":"Isabelle"},{"family":"Piché","given":"Mathieu"}],"issued":{"date-parts":[["2021"]]}}},{"id":338,"uris":["http://zotero.org/users/9378318/items/FHX5IA73"],"itemData":{"id":338,"type":"article-journal","abstract":"Distraction from pain reduces pain perception, and imaging studies have suggested that this may at least partially be mediated by activation of descending pain inhibitory systems. Here, we used the nociceptive flexor reflex (RIII reflex) to directly quantify the effects of different distraction strategies on basal spinal nociception and its temporal summation. Twenty-seven healthy subjects participated in 3 distraction tasks (mental imagery, listening to preferred music, spatial discrimination of brush stimuli) and, in a fourth task, concentrated on the painful stimulus. Results show that all 3 distraction tasks reduced pain perception, but only the brush task also reduced the RIII reflex. The concentration-on-pain task increased both pain perception and the RIII reflex. The extent of temporal summation of pain perception and the extent of temporal summation of the RIII reflex were not affected by any of the tasks. These results suggest that some, but not all, forms of pain reduction by distraction rely on descending pain inhibition. In addition, pain reduction by distraction seems to preferentially affect mechanisms of basal nociceptive transmission, not of temporal summation. © 2011 International Association for the Study of Pain. Published by Elsevier B.V. All rights reserved.","container-title":"Pain","DOI":"10.1016/j.pain.2011.08.016","issue":"11","page":"2662-2671","title":"The effect of distraction strategies on pain perception and the nociceptive flexor reflex (RIII reflex)","volume":"152","author":[{"family":"Ruscheweyh","given":"Ruth"},{"family":"Kreusch","given":"Annette"},{"family":"Albers","given":"Christoph"},{"family":"Sommer","given":"Jens"},{"family":"Marziniak","given":"Martin"}],"issued":{"date-parts":[["2011"]]}}},{"id":320,"uris":["http://zotero.org/users/9378318/items/FQ347IEM"],"itemData":{"id":320,"type":"article-journal","abstract":"Reduced pain perception while being distracted from pain is an everyday example of how cognitive processes can interfere with pain perception [1-5]. Previous neuroimaging studies showed distraction-related modulations of pain-driven activations in various cortical and subcortical brain regions [6-11], but the precise neuronal mechanism underlying this phenomenon is unclear. Using high-resolution functional magnetic resonance imaging of the human cervical spinal cord in combination with thermal pain stimulation and a well-established working memory task [12], we demonstrate that this phenomenon relies on an inhibition of incoming pain signals in the spinal cord. Neuronal responses to painful stimulation in the dorsal horn of the corresponding spinal segment were significantly reduced under high working memory load compared to low working memory load. At the individual level, reductions of neuronal responses in the spinal cord predicted behavioral pain reductions. In a subsequent behavioral experiment, using the opioid antagonist naloxone in a double-blind crossover design with the same paradigm, we demonstrate a substantial contribution of endogenous opioids to this mechanism. Taken together, our results show that the reduced pain experience during mental distraction is related to a spinal process and involves opioid neurotransmission. © 2012 Elsevier Ltd.","container-title":"Current Biology","DOI":"10.1016/j.cub.2012.04.006","issue":"11","page":"1019-1022","title":"Attention modulates spinal cord responses to pain","volume":"22","author":[{"family":"Sprenger","given":"Christian"},{"family":"Eippert","given":"Falk"},{"family":"Finsterbusch","given":"Jürgen"},{"family":"Bingel","given":"Ulrike"},{"family":"Rose","given":"Michael"},{"family":"Büchel","given":"Christian"}],"issued":{"date-parts":[["2012"]]}},"label":"page"},{"id":539,"uris":["http://zotero.org/users/9378318/items/GEQJNVDJ"],"itemData":{"id":539,"type":"article-journal","container-title":"Neuron","DOI":"10.1016/j.neuron.2007.07.012","ISSN":"08966273","issue":"3","journalAbbreviation":"Neuron","language":"en","page":"377-391","source":"DOI.org (Crossref)","title":"The Cerebral Signature for Pain Perception and Its Modulation","volume":"55","author":[{"family":"Tracey","given":"Irene"},{"family":"Mantyh","given":"Patrick W."}],"issued":{"date-parts":[["2007",8]]}}}],"schema":"https://github.com/citation-style-language/schema/raw/master/csl-citation.json"} </w:instrText>
      </w:r>
      <w:r w:rsidR="005F3E68">
        <w:rPr>
          <w:rFonts w:cstheme="minorHAnsi"/>
        </w:rPr>
        <w:fldChar w:fldCharType="separate"/>
      </w:r>
      <w:r w:rsidR="001A31BB" w:rsidRPr="001A31BB">
        <w:rPr>
          <w:rFonts w:ascii="Calibri" w:hAnsi="Calibri" w:cs="Calibri"/>
        </w:rPr>
        <w:t>[9,16,57,64,70]</w:t>
      </w:r>
      <w:r w:rsidR="005F3E68">
        <w:rPr>
          <w:rFonts w:cstheme="minorHAnsi"/>
        </w:rPr>
        <w:fldChar w:fldCharType="end"/>
      </w:r>
      <w:r w:rsidR="002F668A">
        <w:rPr>
          <w:rFonts w:cstheme="minorHAnsi"/>
        </w:rPr>
        <w:t>, the ex</w:t>
      </w:r>
      <w:r w:rsidR="00D637EF">
        <w:rPr>
          <w:rFonts w:cstheme="minorHAnsi"/>
        </w:rPr>
        <w:t>ac</w:t>
      </w:r>
      <w:r w:rsidR="002F668A">
        <w:rPr>
          <w:rFonts w:cstheme="minorHAnsi"/>
        </w:rPr>
        <w:t>t relation between attention and persistent pain</w:t>
      </w:r>
      <w:r w:rsidR="00BD3BB5">
        <w:rPr>
          <w:rFonts w:cstheme="minorHAnsi"/>
        </w:rPr>
        <w:t xml:space="preserve"> </w:t>
      </w:r>
      <w:r w:rsidR="002F668A">
        <w:rPr>
          <w:rFonts w:cstheme="minorHAnsi"/>
        </w:rPr>
        <w:t xml:space="preserve">remains unclear. </w:t>
      </w:r>
      <w:bookmarkStart w:id="5" w:name="_Hlk153461501"/>
      <w:bookmarkStart w:id="6" w:name="_Hlk153455180"/>
      <w:r w:rsidR="00337A9D">
        <w:rPr>
          <w:rFonts w:cstheme="minorHAnsi"/>
        </w:rPr>
        <w:t xml:space="preserve">Our </w:t>
      </w:r>
      <w:r w:rsidR="001C29C8">
        <w:rPr>
          <w:rFonts w:cstheme="minorHAnsi"/>
        </w:rPr>
        <w:t xml:space="preserve">study aims to </w:t>
      </w:r>
      <w:r w:rsidR="00ED02E6">
        <w:rPr>
          <w:rFonts w:cstheme="minorHAnsi"/>
        </w:rPr>
        <w:t>explore</w:t>
      </w:r>
      <w:r w:rsidR="0014359C">
        <w:rPr>
          <w:rFonts w:cstheme="minorHAnsi"/>
        </w:rPr>
        <w:t xml:space="preserve"> </w:t>
      </w:r>
      <w:r w:rsidR="00A02BCF">
        <w:t>th</w:t>
      </w:r>
      <w:r w:rsidR="00ED02E6">
        <w:t>is</w:t>
      </w:r>
      <w:r w:rsidR="00A02BCF">
        <w:t xml:space="preserve"> relationship by investigating whether a high-cognitively demanding task </w:t>
      </w:r>
      <w:r w:rsidR="00A02BCF" w:rsidRPr="007D7516">
        <w:rPr>
          <w:color w:val="FF0000"/>
        </w:rPr>
        <w:t xml:space="preserve">can </w:t>
      </w:r>
      <w:r w:rsidR="00DC7DC4" w:rsidRPr="007D7516">
        <w:rPr>
          <w:color w:val="FF0000"/>
        </w:rPr>
        <w:t>decrease</w:t>
      </w:r>
      <w:r w:rsidR="00FF7676" w:rsidRPr="007D7516">
        <w:rPr>
          <w:color w:val="FF0000"/>
        </w:rPr>
        <w:t xml:space="preserve"> </w:t>
      </w:r>
      <w:r w:rsidR="0006590C" w:rsidRPr="007D7516">
        <w:rPr>
          <w:rFonts w:cstheme="minorHAnsi"/>
          <w:color w:val="FF0000"/>
        </w:rPr>
        <w:t>secondary mechanical hypersensitivity</w:t>
      </w:r>
      <w:r w:rsidR="0006590C" w:rsidRPr="007D7516">
        <w:rPr>
          <w:color w:val="FF0000"/>
        </w:rPr>
        <w:t xml:space="preserve"> resulting from</w:t>
      </w:r>
      <w:r w:rsidR="005D0AA5">
        <w:rPr>
          <w:color w:val="FF0000"/>
        </w:rPr>
        <w:t xml:space="preserve"> </w:t>
      </w:r>
      <w:r w:rsidR="006752B5" w:rsidRPr="007D7516">
        <w:rPr>
          <w:color w:val="FF0000"/>
        </w:rPr>
        <w:t>(central)</w:t>
      </w:r>
      <w:r w:rsidR="0023528D" w:rsidRPr="007D7516">
        <w:rPr>
          <w:color w:val="FF0000"/>
        </w:rPr>
        <w:t xml:space="preserve"> </w:t>
      </w:r>
      <w:r w:rsidR="001E14BC" w:rsidRPr="007D7516">
        <w:rPr>
          <w:color w:val="FF0000"/>
        </w:rPr>
        <w:t>sen</w:t>
      </w:r>
      <w:r w:rsidR="000666C0" w:rsidRPr="007D7516">
        <w:rPr>
          <w:color w:val="FF0000"/>
        </w:rPr>
        <w:t>sitization</w:t>
      </w:r>
      <w:r w:rsidR="00C32532" w:rsidRPr="007D7516">
        <w:rPr>
          <w:color w:val="FF0000"/>
        </w:rPr>
        <w:t xml:space="preserve"> – a proxy of the development of persistent pain </w:t>
      </w:r>
      <w:r w:rsidR="0088504B" w:rsidRPr="007D7516">
        <w:rPr>
          <w:color w:val="FF0000"/>
        </w:rPr>
        <w:fldChar w:fldCharType="begin"/>
      </w:r>
      <w:r w:rsidR="0019418B">
        <w:rPr>
          <w:color w:val="FF0000"/>
        </w:rPr>
        <w:instrText xml:space="preserve"> ADDIN ZOTERO_ITEM CSL_CITATION {"citationID":"0SWJQFEg","properties":{"formattedCitation":"[1,34]","plainCitation":"[1,34]","noteIndex":0},"citationItems":[{"id":2162,"uris":["http://zotero.org/users/9378318/items/XR8CHF55"],"itemData":{"id":2162,"type":"article-journal","title":"Assessment and manifestation of central sensitisation acrossdifferent chronic pain conditions","author":[{"family":"Arendt-Nielsen","given":""}]}},{"id":99,"uris":["http://zotero.org/users/9378318/items/CZIIL4UD"],"itemData":{"id":99,"type":"article-journal","abstract":"Central sensitization represents an enhancement in the function of neurons and circuits in nociceptive pathways caused by increases in membrane excitability and synaptic efficacy as well as to reduced inhibition and is a manifestation of the remarkable plasticity of the somatosensory nervous system in response to activity, inflammation, and neural injury. The net effect of central sensitization is to recruit previously subthreshold synaptic inputs to nociceptive neurons, generating an increased or augmented action potential output: a state of facilitation, potentiation, augmentation, or amplification. Central sensitization is responsible for many of the temporal, spatial, and threshold changes in pain sensibility in acute and chronic clinical pain settings and exemplifies the fundamental contribution of the central nervous system to the generation of pain hypersensitivity. Because central sensitization results from changes in the properties of neurons in the central nervous system, the pain is no longer coupled, as acute nociceptive pain is, to the presence, intensity, or duration of noxious peripheral stimuli. Instead, central sensitization produces pain hypersensitivity by changing the sensory response elicited by normal inputs, including those that usually evoke innocuous sensations. Perspective-In this article, we review the major triggers that initiate and maintain central sensitization in healthy individuals in response to nociceptor input and in patients with inflammatory and neuropathic pain, emphasizing the fundamental contribution and multiple mechanisms of synaptic plasticity caused by changes in the density, nature, and properties of ionotropic and metabotropic glutamate receptors.","DOI":"10.1016/j.jpain.2009.06.012","title":"Central Sensitization: A Generator of Pain Hypersensitivity by Central Neural Plasticity","author":[{"family":"Latremoliere","given":"Alban"},{"family":"Woolf","given":"Clifford J."}],"issued":{"date-parts":[["2009"]]}}}],"schema":"https://github.com/citation-style-language/schema/raw/master/csl-citation.json"} </w:instrText>
      </w:r>
      <w:r w:rsidR="0088504B" w:rsidRPr="007D7516">
        <w:rPr>
          <w:color w:val="FF0000"/>
        </w:rPr>
        <w:fldChar w:fldCharType="separate"/>
      </w:r>
      <w:r w:rsidR="0088504B" w:rsidRPr="007D7516">
        <w:rPr>
          <w:rFonts w:ascii="Calibri" w:hAnsi="Calibri" w:cs="Calibri"/>
          <w:color w:val="FF0000"/>
        </w:rPr>
        <w:t>[1,34]</w:t>
      </w:r>
      <w:r w:rsidR="0088504B" w:rsidRPr="007D7516">
        <w:rPr>
          <w:color w:val="FF0000"/>
        </w:rPr>
        <w:fldChar w:fldCharType="end"/>
      </w:r>
      <w:r w:rsidR="0088504B" w:rsidRPr="007D7516">
        <w:rPr>
          <w:rFonts w:ascii="Calibri" w:hAnsi="Calibri" w:cs="Calibri"/>
          <w:color w:val="FF0000"/>
        </w:rPr>
        <w:t xml:space="preserve"> -</w:t>
      </w:r>
      <w:r w:rsidR="001E14BC" w:rsidRPr="007D7516">
        <w:rPr>
          <w:color w:val="FF0000"/>
        </w:rPr>
        <w:t xml:space="preserve"> </w:t>
      </w:r>
      <w:r w:rsidR="000D1FE2" w:rsidRPr="007D7516">
        <w:rPr>
          <w:color w:val="FF0000"/>
        </w:rPr>
        <w:t xml:space="preserve">in healthy voltueers undergoing </w:t>
      </w:r>
      <w:r w:rsidR="00CB35BC" w:rsidRPr="00CB35BC">
        <w:rPr>
          <w:color w:val="FF0000"/>
        </w:rPr>
        <w:t xml:space="preserve">a laboratory-based sensitization procedure </w:t>
      </w:r>
      <w:r w:rsidR="009D3E7B">
        <w:rPr>
          <w:color w:val="FF0000"/>
        </w:rPr>
        <w:t>using</w:t>
      </w:r>
      <w:r w:rsidR="000666C0" w:rsidRPr="007D7516">
        <w:rPr>
          <w:color w:val="FF0000"/>
        </w:rPr>
        <w:t xml:space="preserve"> </w:t>
      </w:r>
      <w:r w:rsidR="00A749FD" w:rsidRPr="007D7516">
        <w:rPr>
          <w:rFonts w:cstheme="minorHAnsi"/>
          <w:color w:val="FF0000"/>
        </w:rPr>
        <w:t>high-frequency electrical stimulation</w:t>
      </w:r>
      <w:r w:rsidR="00A749FD">
        <w:rPr>
          <w:rFonts w:cstheme="minorHAnsi"/>
        </w:rPr>
        <w:t xml:space="preserve"> </w:t>
      </w:r>
      <w:r w:rsidR="00A749FD">
        <w:rPr>
          <w:rFonts w:cstheme="minorHAnsi"/>
        </w:rPr>
        <w:fldChar w:fldCharType="begin"/>
      </w:r>
      <w:r w:rsidR="0019418B">
        <w:rPr>
          <w:rFonts w:cstheme="minorHAnsi"/>
        </w:rPr>
        <w:instrText xml:space="preserve"> ADDIN ZOTERO_ITEM CSL_CITATION {"citationID":"d9RRdJe8","properties":{"formattedCitation":"[10,31,51,53]","plainCitation":"[10,31,51,53]","noteIndex":0},"citationItems":[{"id":90,"uris":["http://zotero.org/users/9378318/items/4W5H5DTV"],"itemData":{"id":90,"type":"article-journal","abstract":"High-frequency electrical stimulation (HFS) of the human skin induces increased pain sensitivity in the surrounding unconditioned skin. The aim of the present study was to characterize the relative contribution of the different types of nociceptive and nonnociceptive afferents to the heterotopical hyperalgesia induced by HFS. In 17 healthy volunteers (9 men and 8 women), we applied HFS to the ventral forearm. The intensity of perception and event-related brain potentials (ERPs) elicited by vibrotactile stimuli exclusively activating nonnociceptive low-threshold mechanoreceptors and thermonociceptive stimuli exclusively activating heat-sensitive nociceptive afferents were recorded before and after HFS. The previously described mechanical hyperalgesia following HFS was confirmed by measuring the changes in the intensity of perception elicited by mechanical punctate stimuli. HFS increased the perceived intensity of both mechanical punctate and thermonociceptive stimuli applied to the surrounding unconditioned skin. The time course of the effect of HFS on the perception of mechanical and thermal nociceptive stimuli was similar. This indicates that HFS does not only induce mechanical hyperalgesia, but also induces heat hyperalgesia in the heterotopical area. Vibrotactile ERPs were also enhanced after HFS, indicating that nonnociceptive somatosensory input could contribute to the enhanced responses to mechanical pinprick stimuli. Finally, the magnitude of thermonociceptive ERPs was unaffected by HFS, indicating that type II A-fiber mechanoheat nociceptors, thought to be the primary contributor to these brain responses, do not significantly contribute to the observed heat hyperalgesia. © 2014 the American Physiological Society.","container-title":"Journal of Neurophysiology","DOI":"10.1152/jn.00651.2013","issue":"8","page":"1564-1573","title":"High-frequency electrical stimulation of the human skin induces heterotopical mechanical hyperalgesia, heat hyperalgesia, and enhanced responses to nonnociceptive vibrotactile input","volume":"111","author":[{"family":"Broeke","given":"Emanuel N.","non-dropping-particle":"van den"},{"family":"Mouraux","given":"André"}],"issued":{"date-parts":[["2014"]]}},"label":"page"},{"id":477,"uris":["http://zotero.org/users/9378318/items/HRLSLFAH"],"itemData":{"id":477,"type":"article-journal","abstract":"The contribution for the development of secondary mechanical hyperalgesia by peripheral mechanisms has not been fully elucidated. We have reevaluated the effects of local anesthetics on electrically evoked flare reaction and mechanical hyperalgesia in human skin. We applied 2% lidocaine via intradermal microdialysis fibers at a length of 10 cm for 110 min to the volar forearm to establish a narrow and stable \"anesthetic strip.\" After 60 min of lidocaine perfusion, transdermal electrical stimulation (1 Hz, 50 mA) was applied at a distance of 1 cm from the microdialysis fibers for 30 min. The areas of allodynia and punctate hyperalgesia were marked at the end of the stimulation period. The flare reaction was assessed by laser Doppler scanner and infrared thermography. Total protein content of the dialysate collected at the stimulating electrode was measured photometrically. We found no increase in protein content during electrical stimulation. Flare area (12.4 ± 2.3 vs. 3.5 ± 1.2 cm2) and intensity (426 ± 24 vs. 257 ± 21 PU) were significantly reduced beyond the lidocaine strip. The mean temperature increase in the area beyond the lidocaine strip was significantly reduced (1.1 ± 0.1 vs. 0.2 ± 0.1°C) and did not differ from control areas. In contrast, allodynia (7.4 ± 0.7 and 8.6 ± 0.9 cm) and punctate hyperalgesia (7.6 ± 0.7 and 8.6 ± 0.9 cm) developed symmetrically on both sides of the anesthetic strip. Allodynia subsided 4 min after the end of the electrical stimulation. We conclude that the development of allodynia and punctate hyperalgesia in human skin is centrally mediated, whereas the axon reflex vasodilation is of peripheral origin.","container-title":"Journal of Neurophysiology","DOI":"10.1152/jn.01136.2002","issue":"1","page":"353-359","title":"Central origin of secondary mechanical hyperalgesia","volume":"90","author":[{"family":"Klede","given":"Monika"},{"family":"Handwerker","given":"Hermann O."},{"family":"Schmelz","given":"Martin"}],"issued":{"date-parts":[["2003"]]}}},{"id":1882,"uris":["http://zotero.org/users/9378318/items/XWZI6MM6"],"itemData":{"id":1882,"type":"article-journal","container-title":"Pain","DOI":"10.1016/j.pain.2011.02.037","ISSN":"0304-3959","issue":"7","language":"en","page":"1532-1539","source":"DOI.org (Crossref)","title":"Analysis of hyperalgesia time courses in humans after painful electrical high-frequency stimulation identifies a possible transition from early to late LTP-like pain plasticity","volume":"152","author":[{"family":"Pfau","given":"Doreen B."},{"family":"Klein","given":"Thomas"},{"family":"Putzer","given":"Daniel"},{"family":"Pogatzki-Zahn","given":"Esther M."},{"family":"Treede","given":"Rolf-Detlef"},{"family":"Magerl","given":"Walter"}],"issued":{"date-parts":[["2011",7]]}},"label":"page"},{"id":2164,"uris":["http://zotero.org/users/9378318/items/GLGFVBBV"],"itemData":{"id":2164,"type":"article-journal","abstract":"Background: As in other fields of medicine, development of new medications for management of neuropathic pain has been difficult since preclinical rodent models do not necessarily translate to the clinics. Aside from ongoing pain with burning or shock-­like qualities, neuropathic pain is often characterized by pain hypersensitivity (hyperalgesia and allodynia), most often towards mechanical stimuli, reflecting sensitization of neural transmission. Data treatment: We therefore performed a systematic literature review (PubMed-­ Medline, Cochrane, WoS, ClinicalTrials) and semi-­quantitative meta-­analysis of human pain models that aim to induce central sensitization, and generate hyperalgesia surrounding a real or simulated injury.\nResults: From an initial set of 1569 reports, we identified and analysed 269 studies using more than a dozen human models of sensitization. Five of these models (intradermal or topical capsaicin, low-­or high-­frequency electrical stimulation, thermode-i­nduced heat-i­njury) were found to reliably induce secondary hyperalgesia to pinprick and have been implemented in multiple laboratories. The ability of these models to induce dynamic mechanical allodynia was however substantially lower. The proportion of subjects who developed hypersensitivity was rarely provided, giving rise to significant reporting bias. In four of these models pharmacological profiles allowed to verify similarity to some clinical conditions, and therefore may inform basic research for new drug development.\nConclusions: While there is no single “optimal” model of central sensitization, the range of validated and easy-t­o-­use procedures in humans should be able to inform preclinical researchers on helpful potential biomarkers, thereby narrowing the translation gap between basic and clinical data.","container-title":"European Journal of Pain","DOI":"10.1002/ejp.1768","ISSN":"1090-3801, 1532-2149","issue":"7","journalAbbreviation":"European Journal of Pain","language":"en","page":"1389-1428","source":"DOI.org (Crossref)","title":"Human surrogate models of central sensitization: A critical review and practical guide","title-short":"Human surrogate models of central sensitization","volume":"25","author":[{"family":"Quesada","given":"Charles"},{"family":"Kostenko","given":"Anna"},{"family":"Ho","given":"Idy"},{"family":"Leone","given":"Caterina"},{"family":"Nochi","given":"Zahra"},{"family":"Stouffs","given":"Alexandre"},{"family":"Wittayer","given":"Matthias"},{"family":"Caspani","given":"Ombretta"},{"family":"Brix Finnerup","given":"Nanna"},{"family":"Mouraux","given":"André"},{"family":"Pickering","given":"Gisèle"},{"family":"Tracey","given":"Irene"},{"family":"Truini","given":"Andrea"},{"family":"Treede","given":"Rolf‐Detlef"},{"family":"Garcia‐Larrea","given":"Luis"}],"issued":{"date-parts":[["2021",8]]}}}],"schema":"https://github.com/citation-style-language/schema/raw/master/csl-citation.json"} </w:instrText>
      </w:r>
      <w:r w:rsidR="00A749FD">
        <w:rPr>
          <w:rFonts w:cstheme="minorHAnsi"/>
        </w:rPr>
        <w:fldChar w:fldCharType="separate"/>
      </w:r>
      <w:r w:rsidR="00A749FD" w:rsidRPr="001A31BB">
        <w:rPr>
          <w:rFonts w:ascii="Calibri" w:hAnsi="Calibri" w:cs="Calibri"/>
        </w:rPr>
        <w:t>[10,31,51,53]</w:t>
      </w:r>
      <w:r w:rsidR="00A749FD">
        <w:rPr>
          <w:rFonts w:cstheme="minorHAnsi"/>
        </w:rPr>
        <w:fldChar w:fldCharType="end"/>
      </w:r>
      <w:r w:rsidR="0088504B">
        <w:rPr>
          <w:rFonts w:cstheme="minorHAnsi"/>
        </w:rPr>
        <w:t xml:space="preserve">. </w:t>
      </w:r>
      <w:bookmarkEnd w:id="5"/>
      <w:bookmarkEnd w:id="6"/>
    </w:p>
    <w:p w14:paraId="0B4AC3AB" w14:textId="4BE30262" w:rsidR="00011862" w:rsidRPr="00C920F8" w:rsidRDefault="00984087" w:rsidP="00981F34">
      <w:pPr>
        <w:spacing w:after="0" w:line="480" w:lineRule="auto"/>
        <w:rPr>
          <w:rFonts w:cstheme="minorHAnsi"/>
        </w:rPr>
      </w:pPr>
      <w:r w:rsidRPr="00984087">
        <w:rPr>
          <w:rFonts w:cstheme="minorHAnsi"/>
        </w:rPr>
        <w:t xml:space="preserve">Progress in this field has been made by investigating how </w:t>
      </w:r>
      <w:r w:rsidR="00BC5685">
        <w:rPr>
          <w:rFonts w:cstheme="minorHAnsi"/>
        </w:rPr>
        <w:t>psychological</w:t>
      </w:r>
      <w:r w:rsidRPr="00984087">
        <w:rPr>
          <w:rFonts w:cstheme="minorHAnsi"/>
        </w:rPr>
        <w:t xml:space="preserve"> factors affect </w:t>
      </w:r>
      <w:r w:rsidR="00944711" w:rsidRPr="004D4502">
        <w:rPr>
          <w:rFonts w:cstheme="minorHAnsi"/>
          <w:color w:val="FF0000"/>
        </w:rPr>
        <w:t xml:space="preserve">central </w:t>
      </w:r>
      <w:r w:rsidRPr="00984087">
        <w:rPr>
          <w:rFonts w:cstheme="minorHAnsi"/>
        </w:rPr>
        <w:t>sensitization</w:t>
      </w:r>
      <w:r w:rsidR="00D13E8B">
        <w:rPr>
          <w:rFonts w:cstheme="minorHAnsi"/>
        </w:rPr>
        <w:t xml:space="preserve"> </w:t>
      </w:r>
      <w:r w:rsidRPr="00984087">
        <w:rPr>
          <w:rFonts w:cstheme="minorHAnsi"/>
        </w:rPr>
        <w:t xml:space="preserve">and the subsequent development of </w:t>
      </w:r>
      <w:r w:rsidR="006729DC">
        <w:rPr>
          <w:rFonts w:cstheme="minorHAnsi"/>
        </w:rPr>
        <w:t xml:space="preserve">secondary </w:t>
      </w:r>
      <w:r w:rsidR="00C078BA">
        <w:rPr>
          <w:rFonts w:cstheme="minorHAnsi"/>
        </w:rPr>
        <w:t xml:space="preserve">mechanical </w:t>
      </w:r>
      <w:r w:rsidR="00CF089A">
        <w:rPr>
          <w:rFonts w:cstheme="minorHAnsi"/>
        </w:rPr>
        <w:t>hypersensitivit</w:t>
      </w:r>
      <w:r w:rsidR="00D13E8B">
        <w:rPr>
          <w:rFonts w:cstheme="minorHAnsi"/>
        </w:rPr>
        <w:t>y</w:t>
      </w:r>
      <w:r w:rsidR="006C66E5">
        <w:rPr>
          <w:rFonts w:cstheme="minorHAnsi"/>
        </w:rPr>
        <w:t xml:space="preserve"> </w:t>
      </w:r>
      <w:r w:rsidR="006C66E5">
        <w:rPr>
          <w:rFonts w:cstheme="minorHAnsi"/>
        </w:rPr>
        <w:fldChar w:fldCharType="begin"/>
      </w:r>
      <w:r w:rsidR="0019418B">
        <w:rPr>
          <w:rFonts w:cstheme="minorHAnsi"/>
        </w:rPr>
        <w:instrText xml:space="preserve"> ADDIN ZOTERO_ITEM CSL_CITATION {"citationID":"BsbD8256","properties":{"formattedCitation":"[6,7,17,23,30,43,46,47,58,67,69,76]","plainCitation":"[6,7,17,23,30,43,46,47,58,67,69,76]","noteIndex":0},"citationItems":[{"id":1943,"uris":["http://zotero.org/users/9378318/items/4GKDT9LQ"],"itemData":{"id":1943,"type":"article-journal","abstract":"This systematic review and meta-analysis investigated the effects of non-pharmacological manipulations on experimentally induced secondary hypersensitivity in pain-free humans. We in­ vestigated the magnitude (change/difference in follow-up ratings from pre-manipulation ratings) of secondary hypersensitivity (primary outcome), and surface area of secondary hypersensitivity (secondary outcome), in 27 studies representing 847 participants. Risk of bias assessment concluded most studies (23 of 27) had an unclear or high risk of performance and detection bias. Further, 2 (of 27) studies had a high risk of measurement bias. Datasets were pooled by the method of manipulation and outcome. The magnitude of secondary hypersensitivity was decreased by diverting attention, anodal transcranial direct current stimulation, or emotional disclosure; increased by directing attention toward the induction site, nicotine deprivation, or negative suggestion; and unaffected by cathodal transcranial direct current sti­ mulation or thermal change. Area of secondary hypersensitivity was decreased by anodal transcranial direct current stimulation, emotional disclosure, cognitive behavioral therapy, hyperbaric oxygen therapy, placebo analgesia, or spinal manipulation; increased by directing attention to the induction site, nicotine deprivation, or sleep disruption (in males only); and unaffected by cathodal transcranial direct current stimulation, thermal change, acupuncture, or electroacupuncture. Meta-analytical pooling was only ap­ propriate for studies that used transcranial direct current stimulation or hyperbaric oxygen therapy, given the high clinical heterogeneity among the studies and unavailability of data. The evidence base for this question remains small. We discuss opportunities to improve methodological rigor including manipulation checks, structured blinding strategies, control conditions or time points, and public sharing of raw data.","container-title":"The Journal of Pain","DOI":"10.1016/j.jpain.2023.06.013","ISSN":"15265900","issue":"10","journalAbbreviation":"The Journal of Pain","language":"en","page":"1759-1797","source":"DOI.org (Crossref)","title":"A Systematic Review and Meta-analysis of Non-pharmacological Methods to Manipulate Experimentally Induced Secondary Hypersensitivity","volume":"24","author":[{"family":"Bedwell","given":"Gillian J."},{"family":"Chikezie","given":"Prince C."},{"family":"Siboza","given":"Felicia T."},{"family":"Mqadi","given":"Luyanduthando"},{"family":"Rice","given":"Andrew S.C."},{"family":"Kamerman","given":"Peter R."},{"family":"Parker","given":"Romy"},{"family":"Madden","given":"Victoria J."}],"issued":{"date-parts":[["2023",10]]}}},{"id":839,"uris":["http://zotero.org/users/9378318/items/A4AQ89WR"],"itemData":{"id":839,"type":"article-journal","abstract":"Pain is thought to be inﬂuenced by the threat value of the particular context in which it occurs. However, the mechanisms by which a threat achieves this inﬂuence on pain are unclear. Here, we explore how threat inﬂuences experimentally-induced secondary hyperalgesia, which is thought to be a manifestation of central sensitization. We developed an experimental study to investigate the effect of a manipulation of threat on experimentally-induced secondary hyperalgesia in 26 healthy human adults (16 identifying as female; 10 as male). We induced secondary hyperalgesia at both forearms using high-frequency electrical stimulation. Prior to the induction, we used a previously successful method to manipulate threat of tissue damage at one forearm (threat site). The effect of the threat manipulation was determined by comparing participant-rated anxiety, perceived threat, and pain during the experimental induction of secondary hyperalgesia, between the threat and control sites. We hypothesized that the threat site would show greater secondary hyperalgesia (primary outcome) and greater surface area (secondary outcome) of induced secondary hyperalgesia than the control site. Despite a thorough piloting procedure to test the threat manipulation, our data showed no main effect of site on pain, anxiety, or threat ratings during high-frequency electrical stimulation. In the light of no difference in threat between sites, the primary and secondary hypotheses cannot be tested. We discuss reasons why we were unable to replicate the efﬁcacy of this established threat manipulation in our sample, including: (1) competition between threats, (2) generalization of learned threat value, (3) safety cues, (4) trust, and requirements for participant safety, (5) sampling bias, (6) sample-speciﬁc habituation to threat, and (7) implausibility of (sham) skin examination and report. Better strategies to manipulate threat are required for further research on the mechanisms by which threat inﬂuences pain.","container-title":"PeerJ","DOI":"10.7717/peerj.13512","ISSN":"2167-8359","language":"en","page":"e13512","source":"DOI.org (Crossref)","title":"The influence of a manipulation of threat on experimentally-induced secondary hyperalgesia","volume":"10","author":[{"family":"Bedwell","given":"Gillian J."},{"family":"Louw","given":"Caron"},{"family":"Parker","given":"Romy"},{"family":"Broeke","given":"Emanuel","non-dropping-particle":"van den"},{"family":"Vlaeyen","given":"Johan W."},{"family":"Moseley","given":"G. Lorimer"},{"family":"Madden","given":"Victoria J."}],"issued":{"date-parts":[["2022",6,20]]}}},{"id":1461,"uris":["http://zotero.org/users/9378318/items/2P382QLR"],"itemData":{"id":1461,"type":"article-journal","container-title":"Cognitive Neuroscience","journalAbbreviation":"Cognitive Neuroscience","note":"publisher: Frontiers in Human Neuroscience","page":"754","title":"No evidence for an effect of selective spatial attention on the development of secondary hyperalgesia: a replication study","author":[{"family":"Della Porta","given":"Delia"},{"family":"Vilz","given":"Marie-Lynn"},{"family":"Kuzminova","given":"Avgustina"},{"family":"Filbrich","given":"Lieve"},{"family":"Mouraux","given":"André"},{"family":"Legrain","given":"Valéry"}],"issued":{"date-parts":[["2022"]]}}},{"id":537,"uris":["http://zotero.org/users/9378318/items/8I4B3XBU"],"itemData":{"id":537,"type":"article-journal","abstract":"Intense or sustained activation of peripheral nociceptors can induce central sensitization. This enhanced responsiveness to nociceptive input of the central nervous system primarily manifests as an increased sensitivity to painful mechanical pinprick stimuli extending beyond the site of injury (secondary mechanical hyperalgesia) and is thought to be a key mechanism in the development of chronic pain, such as persistent post-operative pain. It is increasingly recognized that emotional and cognitive factors can strongly inﬂuence the pain experience. Furthermore, through their potential effects on pain modulation circuits including descending pathways to the spinal cord, it has been hypothesized that these emotional and cognitive factors could constitute risk factors for the susceptibility to develop chronic pain. Here, we tested whether, in healthy volunteers, the experimental induction of central sensitization by peripheral nociceptive input can be modulated by selective spatial attention. While participants performed a somatosensory detection task that required focusing attention towards one of the forearms, secondary hyperalgesia was induced at both forearms using bilateral and simultaneous high-frequency electrical stimulation (HFS) of the skin. HFS induced an increased sensitivity to mechanical pinprick stimuli at both forearms, directly (T1) and 20 min (T2) after HFS, conﬁrming the successful induction of secondary hyperalgesia at both forearms. Most importantly, at T2, the HFSinduced increase in pinprick sensitivity as well as the area of secondary hyperalgesia was greater at the attended arm as compared to the non-attended arm. This indicates that top-down attentional factors can modulate the development of central sensitization by peripheral nociceptive input, and that the focus of spatial attention, besides its modulatory effects on perception, can affect activity-dependent neuroplasticity.","container-title":"Cortex","DOI":"10.1016/j.cortex.2019.11.014","ISSN":"00109452","journalAbbreviation":"Cortex","language":"en","page":"193-203","source":"DOI.org (Crossref)","title":"The focus of spatial attention during the induction of central sensitization can modulate the subsequent development of secondary hyperalgesia","volume":"124","author":[{"family":"Filbrich","given":"Lieve"},{"family":"Broeke","given":"Emanuel N.","non-dropping-particle":"van den"},{"family":"Legrain","given":"Valéry"},{"family":"Mouraux","given":"André"}],"issued":{"date-parts":[["2020",3]]}}},{"id":1864,"uris":["http://zotero.org/users/9378318/items/YE9878IG"],"itemData":{"id":1864,"type":"article-journal","abstract":"Social support has been shown to reduce pain ratings and physiological responses to acute pain stimuli. Furthermore, this relationship is moderated by adult attachment styles. However, these effects have not been characterized in experimentally induced symptoms of chronic pain, such as secondary hyperalgesia (SH) which is characterized by an increased sensitivity of the skin surrounding an injury. We aimed to examine whether social support by handholding from a romantic partner can attenuate the development of experimentally induced SH. Thirty-seven women, along with their partners, participated in 2 experimental sessions 1 week apart. In both sessions, SH was induced using an electrical stimulation protocol. In the support condition, the partner was seated across from the participant holding the participant’s hand during the electrical stimulation, whereas in the alone condition, the participant went through the stimulation alone. Heart rate variability was measured for both the participant as well as the partner before, during, and after the stimulation. We found that the width of the area of hyperalgesia was significantly smaller in the support condition. Attachment styles did not moderate this effect of social support on the area width. Increasing attachment avoidance was associated with both a smaller width of hyperalgesia and a smaller increase in the sensitivity on the stimulated arm. For the first time, we show that social support can attenuate the development of secondary hyperalgesia and that attachment avoidance may be associated with an attenuated development of secondary hyperalgesia.","container-title":"Pain","DOI":"10.1097/j.pain.0000000000002971","ISSN":"0304-3959, 1872-6623","journalAbbreviation":"Pain","language":"en","source":"DOI.org (Crossref)","title":"The impact of the social context on the development of secondary hyperalgesia: an experimental study","title-short":"The impact of the social context on the development of secondary hyperalgesia","URL":"https://journals.lww.com/10.1097/j.pain.0000000000002971","author":[{"family":"Jaltare","given":"Ketan Prafull"},{"family":"Vanderijst","given":"Laetitia"},{"family":"Karos","given":"Kai"},{"family":"Torta","given":"Diana M."}],"accessed":{"date-parts":[["2023",7,18]]},"issued":{"date-parts":[["2023",7,10]]}}},{"id":115,"uris":["http://zotero.org/users/9378318/items/VFNDD7TL"],"itemData":{"id":115,"type":"article-journal","abstract":"Pain is an essential sensory modality, signaling injury or threat of injury. Pain perception depends on both biological and psychological factors. However, it is not known whether psychological factors modify spinal mechanisms or if its effect is limited to cortical processing. Here, we use a placebo analgesic model to show that psychological factors affect human spinal nociceptive processes. Mechanical hyperalgesia (hypersensitivity) after an injury is attributable to sensitized sensory neurons in the spinal cord. After a 5 min, 46°C heating of the skin, subjects developed areas of mechanical hyperalgesia. This area was smaller in a placebo condition compared with a baseline condition. This result suggests that placebo analgesia affects the spinal cord as well as supra-spinal pain mechanisms in humans and provides strong supporting evidence that placebo analgesia is not simply altered reporting behavior. Central sensitization is thought to mediate the exaggerated pain after innocuous sensory stimulation in several clinical pain conditions that follow trauma and nervous-system injury. These new data indicate that expectation about pain and analgesia is an important component of the cognitive control of central sensitization. Copyright © 2006 Society for Neuroscience.","container-title":"Journal of Neuroscience","DOI":"10.1523/JNEUROSCI.4218-05.2006","issue":"2","page":"559-563","title":"Placebo-induced changes in spinal cord pain processing","volume":"26","author":[{"family":"Matre","given":"Dagfinn"},{"family":"Casey","given":"Kenneth L."},{"family":"Knardahl","given":"Stein"}],"issued":{"date-parts":[["2006"]]}}},{"id":1780,"uris":["http://zotero.org/users/9378318/items/H6PJX5D2"],"itemData":{"id":1780,"type":"article-journal","container-title":"The Journal of Pain","DOI":"10.1016/j.jpain.2023.05.016","ISSN":"15265900","journalAbbreviation":"The Journal of Pain","language":"en","page":"S152659002300425X","source":"DOI.org (Crossref)","title":"No Evidence that Working Memory Modulates the Plasticity of the Nociceptive System, as Measured by Secondary Mechanical Hypersensitivity","author":[{"family":"Meyers","given":"Elke"},{"family":"Alves","given":"Maryna"},{"family":"Teugels","given":"Anouk"},{"family":"Torta","given":"Diana M."}],"issued":{"date-parts":[["2023",6]]}}},{"id":1626,"uris":["http://zotero.org/users/9378318/items/667ICLH3"],"itemData":{"id":1626,"type":"article-journal","abstract":"Background: According to limited-c­ apacity theories of attention, less attentional resources remain available when engaging in a high-­versus a low-d­ emanding cognitive task. This may reduce the perceived intensity and the evoked cortical responses of concomitant nociceptive stimuli. Whether and how the competition for limited attentional resources between a cognitive task and pain impacts the development of long-­lasting hypersensitivity is unclear.\nMethods: Eighty-­four healthy participants were randomized into a low or high cognitive load group. Low-­frequency electrical stimulation (LFS) of the skin was used to induce secondary hypersensitivity. We hypothesized that performing the high-l­oad task during LFS would reduce the development of hypersensitivity. We examined whether painfulness, nonpain-r­elated sympathetic arousal, or sex related to hypersensitivity, by assessing intensity and unpleasantness of mechanical pinprick stimulation. During task execution, we recorded steady-­state evoked potentials evoked by LFS and skin conductance level for sympathetic arousal. Afterwards, participants reported task difficulty and LFS-r­ elated fear. For the primary outcomes, we used mixed analysis of variances.\nResults: The results confirmed the difference in cognitive load. Although LFS successfully induced hypersensitivity, the high-­load task did not reduce its development. Next, the steady-s­tate evoked potentials did not differ between groups. Hypersensitivity correlated positively with pain-­related fear and negatively with skin conductance level before LFS, despite the lack of group differences in skin conductance level. We did not find any sex differences in hypersensitivity.\nConclusions: These results do not confirm that high cognitive load or sex modulate hypersensitivity, but show associations with pain-r­ elated fear and non-p­ ain-­ related sympathetic arousal. Significance: Previous research has mainly focused on cognitive load effects on the perception of acute painful stimuli. Yet this study extends our understanding by investigating cognitive load effects on the development of long-l­asting secondary hypersensitivity, a common aspect in numerous persistent pain conditions. As cognitive tasks are presented during a painful procedure inducing secondary","container-title":"European Journal of Pain","DOI":"10.1002/ejp.2098","ISSN":"1090-3801, 1532-2149","journalAbbreviation":"European Journal of Pain","language":"en","page":"ejp.2098","source":"DOI.org (Crossref)","title":"The effect of high versus low cognitive load on the development of nociceptive hypersensitivity: The roles of sympathetic arousal, sex and pain‐related fear","title-short":"The effect of high versus low cognitive load on the development of nociceptive hypersensitivity","author":[{"family":"Meyers","given":"Elke"},{"family":"Vlaeyen","given":"Johan W. S."},{"family":"Van Den Broeke","given":"Emanuel N."},{"family":"Von Leupoldt","given":"Andreas"},{"family":"Palmer","given":"Andrew J."},{"family":"Torta","given":"Diana M."}],"issued":{"date-parts":[["2023",3,3]]}},"label":"page"},{"id":19,"uris":["http://zotero.org/users/9378318/items/DPKDYGSS"],"itemData":{"id":19,"type":"article-journal","abstract":"Repeated exposure to pain can result in sensitization of the central nervous system, enhancing subsequent pain and potentially leading to chronicity. The ability to reverse this sensitization in a top-down manner would be of tremendous clinical benefit, but the degree that this can be accomplished volitionally remains unknown. Here we investigated whether a brief (</w:instrText>
      </w:r>
      <w:r w:rsidR="0019418B">
        <w:rPr>
          <w:rFonts w:ascii="Cambria Math" w:hAnsi="Cambria Math" w:cs="Cambria Math"/>
        </w:rPr>
        <w:instrText>∼</w:instrText>
      </w:r>
      <w:r w:rsidR="0019418B">
        <w:rPr>
          <w:rFonts w:cstheme="minorHAnsi"/>
        </w:rPr>
        <w:instrText xml:space="preserve">5 min) cognitive-behavioural intervention could modify pain perception and reduce central sensitization (as reflected by secondary hyperalgesia). In each of 8 sessions, 2 groups of healthy human subjects received a series of painful thermal stimuli that resulted in secondary hyperalgesia. One group (regulate) was given brief pain-focused cognitive training at each session, while the other group (control) received a non-pain-focused intervention. The intervention selectively reduced pain unpleasantness but not pain intensity in the regulate group. Furthermore, secondary hyperalgesia was significantly reduced in the regulate group compared with the control group. Reduction in secondary hyperalgesia was associated with reduced pain catastrophizing, suggesting that changes in central sensitization are related to changes in pain-related cognitions. Thus, we demonstrate that central sensitization can be modified volitionally by altering pain-related thoughts. © 2014 International Association for the Study of Pain. Published by Elsevier B.V. All rights reserved.","container-title":"Pain","DOI":"10.1016/j.pain.2014.02.012","issue":"8","page":"1446-1452","title":"A brief cognitive-behavioural intervention for pain reduces secondary hyperalgesia","volume":"155","author":[{"family":"Salomons","given":"Tim V."},{"family":"Moayedi","given":"Massieh"},{"family":"Erpelding","given":"Nathalie"},{"family":"Davis","given":"Karen D."}],"issued":{"date-parts":[["2014"]]}}},{"id":48,"uris":["http://zotero.org/users/9378318/items/MH46BWD5"],"itemData":{"id":48,"type":"article-journal","abstract":"Whether, how, and which cognitive factors modulate the development of secondary hypersensitivity/hyperalgesia after central sensitization is not fully understood. Here, we tested, in 3 subsequent experiments, whether being engaged in non-pain-related cognitive demanding tasks: (1) lessens the amount of hypersensitivity developed after an experimental procedure sensitizing nociceptive pathways; and (2) modulates cortical responses to somatosensory stimuli (measured by electroencephalography, EEG). In the first experiment, we validated a novel model in humans using low-frequency stimulation of the skin and demonstrated that it was able to successfully induce hypersensitivity to mechanical pinprick stimuli in the area surrounding the sensitized site. In the second and third experiments, we engaged participants in tasks of increasing difficulty (the Eriksen Flanker Task in experiment 2, and a modified N-back task in experiment 3). We observed that hypersensitivity to mechanical stimuli still developed in experiment 2, that is, the pinprick stimuli applied on the sensitized arm were perceived as more intense after low-frequency stimulation. By contrast, no statistically significant enhancement of mechanical hypersensitivity was observed in experiment 3, indicating that, at the group level, being engaged in a difficult N-back task may interfere with the development of mechanical hypersensitivity. Contrary to previous studies, which have used different methods to induce sensitization, we did not observe any increase in the cortical response to somatosensory stimuli applied on the sensitized arm. We conclude that (1) the development of pinprick hypersensitivity is modulated by the concomitant execution of a difficult N-back task, and (2) the enhancement of cortical responses to somatosensory stimuli is related to the method used to induce central sensitization.","container-title":"Pain","DOI":"10.1097/j.pain.0000000000001841","ISSN":"0000000000","issue":"7","page":"1459-1469","title":"A highly cognitive demanding working memory task may prevent the development of nociceptive hypersensitivity","volume":"161","author":[{"family":"Torta","given":"Diana M."},{"family":"De Laurentis","given":"Martina"},{"family":"Eichin","given":"Katharina Naomi"},{"family":"Leupoldt","given":"Andreas","non-dropping-particle":"von"},{"family":"Broeke","given":"Emanuel N.","non-dropping-particle":"van den"},{"family":"Vlaeyen","given":"Johan W. S."}],"issued":{"date-parts":[["2020"]]}}},{"id":1628,"uris":["http://zotero.org/users/9378318/items/ZNMCRVFY"],"itemData":{"id":1628,"type":"article-journal","abstract":"It is unknown whether watching other people in high pain increases mechanical hypersensitivity induced by pain. We applied high-frequency electrical stimulation (HFS) on the skin of healthy volunteers to induce pinprick mechanical hypersensitivity. Before HFS participants were randomly allocated to 2 groups: in the low pain group, which was the control condition, they watched a model expressing and reporting lower pain scores, in the high pain group the model expressed and reported higher scores. The 2 videos were selected on the basis of a pilot/observational study that had been conducted before. We tested the differences in perceived intensity of the HFS procedure, in the development of hypersensitivity and the role of fear and empathy. The high pain group reported on average higher pain ratings during HFS. The perceived intensity of hypersensitivity, but not the unpleasantness or the length of the area was higher in the high pain group. Our results suggest that watching a person expressing more pain during HFS increases one’s own pain ratings during HFS and may weakly facilitate the development of secondary mechanical hypersensitivity, although this latter result needs replication.","container-title":"The Journal of Pain","DOI":"10.1016/j.jpain.2022.09.009","ISSN":"15265900","issue":"1","journalAbbreviation":"The Journal of Pain","language":"en","page":"167-177","source":"DOI.org (Crossref)","title":"The Effect of Observing High or Low Pain on the Development of Central Sensitization","volume":"24","author":[{"family":"Torta","given":"Diana M."},{"family":"Meyers","given":"Elke"},{"family":"Polleunis","given":"Klaartje"},{"family":"De Wolf","given":"Sarah"},{"family":"Meulders","given":"Ann"},{"family":"Van Den Broeke","given":"Emaneul N"}],"issued":{"date-parts":[["2023",1]]}}},{"id":100,"uris":["http://zotero.org/users/9378318/items/6DP3R9LR"],"itemData":{"id":100,"type":"article-journal","abstract":"Background: High-frequency electrical stimulation (HFS) of human skin induces not only an increased pain sensitivity in the conditioning area but also an increased pain sensitivity to mechanical punctate stimuli in the non-conditioned surrounding skin area. The aim of the present study was to investigate whether this heterotopically increased mechanical pain sensitivity can be facilitated through the induction of negative expectations. Methods: In two independent conditions [a nocebo (n = 15) and control condition (n = 15)], we applied mechanical pain stimuli before, directly after, 10 min and 20 min after HFS in the skin area surrounding the conditioning area, and measured the reported pain intensity [visual analogue scale (VAS)]. All subjects (of both conditions) received a written instruction about the HFS protocol, but only the instruction in the nocebo condition was extended by the following text (in Dutch): 'After the HFS, your skin will become more sensitive to the pinprick stimulation'. Results: Our results clearly show that induced expectations of increased mechanical pain sensitivity after HFS facilitates the reported pain intensity after HFS more than when no information is given. Conclusions: This study shows for the first time that brain mechanisms, via the induction of negative expectations, can facilitate heterotopic mechanical hyperalgesia after HFS of human skin. © 2013 European Pain Federation.","container-title":"European Journal of Pain (United Kingdom)","DOI":"10.1002/j.1532-2149.2013.00342.x","issue":"1","page":"86-91","title":"Negative expectations facilitate mechanical hyperalgesia after high-frequency electrical stimulation of human skin","volume":"18","author":[{"family":"Van Den Broeke","given":"E. N."},{"family":"Geene","given":"N."},{"family":"Van Rijn","given":"C. M."},{"family":"Wilder-Smith","given":"O. H. G."},{"family":"Oosterman","given":"J."}],"issued":{"date-parts":[["2014"]]}}}],"schema":"https://github.com/citation-style-language/schema/raw/master/csl-citation.json"} </w:instrText>
      </w:r>
      <w:r w:rsidR="006C66E5">
        <w:rPr>
          <w:rFonts w:cstheme="minorHAnsi"/>
        </w:rPr>
        <w:fldChar w:fldCharType="separate"/>
      </w:r>
      <w:r w:rsidR="006C66E5" w:rsidRPr="001A31BB">
        <w:rPr>
          <w:rFonts w:ascii="Calibri" w:hAnsi="Calibri" w:cs="Calibri"/>
        </w:rPr>
        <w:t>[6,7,17,23,30,43,46,47,58,67,69,76]</w:t>
      </w:r>
      <w:r w:rsidR="006C66E5">
        <w:rPr>
          <w:rFonts w:cstheme="minorHAnsi"/>
        </w:rPr>
        <w:fldChar w:fldCharType="end"/>
      </w:r>
      <w:r w:rsidR="00CF089A">
        <w:rPr>
          <w:rFonts w:cstheme="minorHAnsi"/>
        </w:rPr>
        <w:t xml:space="preserve"> </w:t>
      </w:r>
      <w:r w:rsidR="00CE6036">
        <w:rPr>
          <w:rFonts w:cstheme="minorHAnsi"/>
        </w:rPr>
        <w:t xml:space="preserve">- </w:t>
      </w:r>
      <w:r w:rsidR="00CE6036" w:rsidRPr="00A4233B">
        <w:rPr>
          <w:rFonts w:cstheme="minorHAnsi"/>
        </w:rPr>
        <w:t>characterized by a long-lasting</w:t>
      </w:r>
      <w:r w:rsidR="00CE6036">
        <w:rPr>
          <w:rFonts w:cstheme="minorHAnsi"/>
        </w:rPr>
        <w:t xml:space="preserve"> </w:t>
      </w:r>
      <w:r w:rsidR="00CE6036" w:rsidRPr="00A4233B">
        <w:rPr>
          <w:rFonts w:cstheme="minorHAnsi"/>
        </w:rPr>
        <w:t>increased mechanical pinprick sensitivity in the area surrounding an injured or inflamed site</w:t>
      </w:r>
      <w:r w:rsidR="00496CEF">
        <w:rPr>
          <w:rFonts w:cstheme="minorHAnsi"/>
          <w:vertAlign w:val="superscript"/>
        </w:rPr>
        <w:t xml:space="preserve"> </w:t>
      </w:r>
      <w:r w:rsidR="007B2AFC">
        <w:rPr>
          <w:rFonts w:cstheme="minorHAnsi"/>
          <w:vertAlign w:val="superscript"/>
        </w:rPr>
        <w:fldChar w:fldCharType="begin"/>
      </w:r>
      <w:r w:rsidR="0019418B">
        <w:rPr>
          <w:rFonts w:cstheme="minorHAnsi"/>
          <w:vertAlign w:val="superscript"/>
        </w:rPr>
        <w:instrText xml:space="preserve"> ADDIN ZOTERO_ITEM CSL_CITATION {"citationID":"viDbHUbg","properties":{"formattedCitation":"[31,33,55,66]","plainCitation":"[31,33,55,66]","noteIndex":0},"citationItems":[{"id":477,"uris":["http://zotero.org/users/9378318/items/HRLSLFAH"],"itemData":{"id":477,"type":"article-journal","abstract":"The contribution for the development of secondary mechanical hyperalgesia by peripheral mechanisms has not been fully elucidated. We have reevaluated the effects of local anesthetics on electrically evoked flare reaction and mechanical hyperalgesia in human skin. We applied 2% lidocaine via intradermal microdialysis fibers at a length of 10 cm for 110 min to the volar forearm to establish a narrow and stable \"anesthetic strip.\" After 60 min of lidocaine perfusion, transdermal electrical stimulation (1 Hz, 50 mA) was applied at a distance of 1 cm from the microdialysis fibers for 30 min. The areas of allodynia and punctate hyperalgesia were marked at the end of the stimulation period. The flare reaction was assessed by laser Doppler scanner and infrared thermography. Total protein content of the dialysate collected at the stimulating electrode was measured photometrically. We found no increase in protein content during electrical stimulation. Flare area (12.4 ± 2.3 vs. 3.5 ± 1.2 cm2) and intensity (426 ± 24 vs. 257 ± 21 PU) were significantly reduced beyond the lidocaine strip. The mean temperature increase in the area beyond the lidocaine strip was significantly reduced (1.1 ± 0.1 vs. 0.2 ± 0.1°C) and did not differ from control areas. In contrast, allodynia (7.4 ± 0.7 and 8.6 ± 0.9 cm) and punctate hyperalgesia (7.6 ± 0.7 and 8.6 ± 0.9 cm) developed symmetrically on both sides of the anesthetic strip. Allodynia subsided 4 min after the end of the electrical stimulation. We conclude that the development of allodynia and punctate hyperalgesia in human skin is centrally mediated, whereas the axon reflex vasodilation is of peripheral origin.","container-title":"Journal of Neurophysiology","DOI":"10.1152/jn.01136.2002","issue":"1","page":"353-359","title":"Central origin of secondary mechanical hyperalgesia","volume":"90","author":[{"family":"Klede","given":"Monika"},{"family":"Handwerker","given":"Hermann O."},{"family":"Schmelz","given":"Martin"}],"issued":{"date-parts":[["2003"]]}}},{"id":486,"uris":["http://zotero.org/users/9378318/items/9Q8NEFKV"],"itemData":{"id":486,"type":"report","abstract":"AND CONCLUSIONS 1. Psychophysical studies were made, in humans, of the sensory characteristics and underlying mechanisms of the hyperalge-sia (often termed \"secondary hyperalgesia\") that occurs in uninjured skin surrounding a local cutaneous injury. The hyperalgesia was characterized by lowered pain thresholds and enhanced magnitude of pain to normally painful stimuli. The \"injury\" was produced by a single intradermal injection of 10 ~1 of 100 pg of capsai-tin, the algesic substance in hot chili peppers. 2. On injection of capsaicin into the volar forearm, the subjects experienced intense burning pain, accompanied immediately by the formation of three areas of hyperalgesia surrounding the injection site. The largest mean area (55 cm2) was hyperalgesic to a normally painful pun&amp;ate stimulation of the skin. Nested within this was an area of tenderness to gentle stroking (38 cm2) and a much smaller area of hyperalgesia to heat (2 cm2). An area of analgesia to pinprick, ~4 mm in diameter and centered on the injection site, developed within minutes and typically disappeared within 24 h. The hyperalgesia to heat and to stroking disappeared within l-2 h, whereas the hyperalgesia to pun&amp;ate stimuli, although gradually decreasing in area, lasted from 13 to 24 h. 3. The radial spread of the mechanical hyperalgesia (to punc-tate and stroking stimuli) away from the injury was dependent on neural activity and not produced, for example, by algesic substances transported away from the injury. The injection of capsai-tin into a small area of anesthetized skin did not produce hyperal-gesia in the surrounding, unanesthetized skin. Also, the hyperalge-sia in normal skin readily crossed a tight arm band that blocked the circulation of blood and lymph. 4. The spread of mechanical hyperalgesia away from the injury was peripherally mediated via cutaneous nerve fibers because it was blocked by a thin mediolateral strip of cutaneous anesthesia placed 1 cm away from the capsaicin injection site. Hyperalgesia developed normally on the capsaicin side of the strip but not on the other side. 5. Heat stimulation of the skin that produced pain that was equivalent in magnitude and time course to that produced by an injection of capsaicin (10 pg) resulted in much smaller areas of mechanical hyperalgesia. It was postulated that there exist special chemosensitive primary afferent nerve fibers that are more effective in producing mechanical hyperalgesia than are the known thermo-and mechanosensitive nociceptive nerve fibers. 6. Once developed, the mechanical hyperalgesia became only partially dependent on peripheral neural activity originating at the site of injury. Cooling the injection site to 1 \"C for several minutes reduced but did not eliminate the area of hyperalgesia to stroking, whereas rewarming brought it back. After capsaicin injection, a proximal, mediolateral strip of anesthetic reduced or eliminated the hyperalgesia to stroking on the proximal but not the distal side of the strip. These procedures were generally less effective in reducing the area of hyperalgesia to punctate stimuli. 7. A proximal nerve block before the injection of capsaicin into the distal anesthetic skin prevented the occurrence of any hyperal-gesia after recovery from the anesthetic l-3 h later. A shorter lasting anesthetic greatly reduced or completely eliminated the areas of hyperalgesia to heat and to mechanical stimuli afier recovery from the anesthetic. Thus the neurons that are \"sensitized\" by capsaicin-activated nerve fibers reside in the central and not the peripheral nervous system. This sensitization of one set of neurons by neural activity in another is termed \"neurogenic hyperalgesia.\" 8. A neuronal model of neurogenic hyperalgesia was proposed in which chemospecific peripheral nerve fibers (that either branch widely or are functionally coupled together in the periphery) sensi-tize low-and high-threshold mechanoreceptive interneurons in the dorsal horn. These, in turn, differentially facilitate the responses of certain projection neurons to innocuous and noxious mechanical stimulation of the skin within the area of mechanical hyperalgesia. Heat-sensitive afferents from the area of heat hyper-algesia are hypothesized to sensitize heat-receptive interneurons, which also converge onto these projection neurons.","title":"Neurogenic Hyperalgesia: Psychophysical Studies of Underlying Mechanisms","author":[{"family":"Lamotte","given":"Robert H."},{"family":"Shain","given":"Carolyn N."},{"family":"Simone","given":"Donald A."},{"family":"Tsai","given":"E.-Fun P."}],"issued":{"date-parts":[["1991"]]}}},{"id":479,"uris":["http://zotero.org/users/9378318/items/NGDSXHEJ"],"itemData":{"id":479,"type":"report","abstract":"Characteristics of primary (within the area of injury) and secondary (outside the area of injury) hyperalgesia were determined after a heat injury applied to the glabrous skin of the hand in 8 human volunteers. The heat injury consisted of two burns (53° C, 30 s) applied over an area 7.5 mm in diameter separated (centre to centre) by a 2 cm interval. Following the injury, a zone of hyperalgesia to mechanical stimuli measuring 20.1 ±3.6 cm 2 (mean±SEM) developed in an area surrounding and including the burns. Within this zone, the pain threshold for mechanical stimuli decreased significantly by a similar amount for all areas tested (12.0 ± 1.1 bars to 5.2 ±0.5 bars). Hyperalgesia to heat occurred only within the area of the burns. The heat pain threshold decreased and total ratings of heat pain increased significantly. In contrast, there was decreased pain to heat stimuli between the two burn sites, and no change in painfulness of the heat stimuli at other areas within the zone of hyperalgesia to mechanical stimuli. Particularly notable was the coexistence of hypalgesia to heat stimuli and hyperalgesia to mechanical stimuli in the uninjured region between the two burn sites. These results indicate that the characteristics of primary and secondary hyperalgesia differ and also suggest that the mechanism for hyperalgesia to mechanical and thermal-stimuli differ.","page":"1179-1188","title":"EVIDENCE FOR DIFFERENT MECHANISMS OF PRIMARY AND SECONDARY HYPERALGESIA FOLLOWING HEAT INJURY TO THE GLABROUS SKIN","author":[{"family":"Raja","given":"Srinivasa N."},{"family":"Campbell","given":"James N."},{"family":"Meyer","given":"^richard A."}],"issued":{"date-parts":[["1984"]]}}},{"id":1869,"uris":["http://zotero.org/users/9378318/items/AP9X7TQ4"],"itemData":{"id":1869,"type":"article-journal","container-title":"The Journal of Physiology","DOI":"10.1113/jphysiol.1992.sp019069","ISSN":"00223751","issue":"1","language":"en","page":"765-780","source":"DOI.org (Crossref)","title":"Central changes in processing of mechanoreceptive input in capsaicin-induced secondary hyperalgesia in humans.","volume":"448","author":[{"family":"Torebjörk","given":"H E"},{"family":"Lundberg","given":"L E"},{"family":"LaMotte","given":"R H"}],"issued":{"date-parts":[["1992",3,1]]}}}],"schema":"https://github.com/citation-style-language/schema/raw/master/csl-citation.json"} </w:instrText>
      </w:r>
      <w:r w:rsidR="007B2AFC">
        <w:rPr>
          <w:rFonts w:cstheme="minorHAnsi"/>
          <w:vertAlign w:val="superscript"/>
        </w:rPr>
        <w:fldChar w:fldCharType="separate"/>
      </w:r>
      <w:r w:rsidR="001A31BB" w:rsidRPr="001A31BB">
        <w:rPr>
          <w:rFonts w:ascii="Calibri" w:hAnsi="Calibri" w:cs="Calibri"/>
        </w:rPr>
        <w:t>[31,33,55,66]</w:t>
      </w:r>
      <w:r w:rsidR="007B2AFC">
        <w:rPr>
          <w:rFonts w:cstheme="minorHAnsi"/>
          <w:vertAlign w:val="superscript"/>
        </w:rPr>
        <w:fldChar w:fldCharType="end"/>
      </w:r>
      <w:r w:rsidR="00C6697C" w:rsidRPr="001A31BB">
        <w:rPr>
          <w:rFonts w:cstheme="minorHAnsi"/>
        </w:rPr>
        <w:t xml:space="preserve">. </w:t>
      </w:r>
      <w:r w:rsidR="004F27BB" w:rsidRPr="001A31BB">
        <w:rPr>
          <w:rFonts w:cstheme="minorHAnsi"/>
          <w:color w:val="000000" w:themeColor="text1"/>
        </w:rPr>
        <w:t xml:space="preserve">For instance, </w:t>
      </w:r>
      <w:r w:rsidR="00731D07" w:rsidRPr="001A31BB">
        <w:rPr>
          <w:rFonts w:cstheme="minorHAnsi"/>
          <w:color w:val="000000" w:themeColor="text1"/>
        </w:rPr>
        <w:t>Torta et al.</w:t>
      </w:r>
      <w:r w:rsidR="00CA1B9A">
        <w:rPr>
          <w:rFonts w:cstheme="minorHAnsi"/>
          <w:color w:val="000000" w:themeColor="text1"/>
        </w:rPr>
        <w:fldChar w:fldCharType="begin"/>
      </w:r>
      <w:r w:rsidR="0019418B">
        <w:rPr>
          <w:rFonts w:cstheme="minorHAnsi"/>
          <w:color w:val="000000" w:themeColor="text1"/>
        </w:rPr>
        <w:instrText xml:space="preserve"> ADDIN ZOTERO_ITEM CSL_CITATION {"citationID":"59s0DMfX","properties":{"formattedCitation":"[67]","plainCitation":"[67]","noteIndex":0},"citationItems":[{"id":48,"uris":["http://zotero.org/users/9378318/items/MH46BWD5"],"itemData":{"id":48,"type":"article-journal","abstract":"Whether, how, and which cognitive factors modulate the development of secondary hypersensitivity/hyperalgesia after central sensitization is not fully understood. Here, we tested, in 3 subsequent experiments, whether being engaged in non-pain-related cognitive demanding tasks: (1) lessens the amount of hypersensitivity developed after an experimental procedure sensitizing nociceptive pathways; and (2) modulates cortical responses to somatosensory stimuli (measured by electroencephalography, EEG). In the first experiment, we validated a novel model in humans using low-frequency stimulation of the skin and demonstrated that it was able to successfully induce hypersensitivity to mechanical pinprick stimuli in the area surrounding the sensitized site. In the second and third experiments, we engaged participants in tasks of increasing difficulty (the Eriksen Flanker Task in experiment 2, and a modified N-back task in experiment 3). We observed that hypersensitivity to mechanical stimuli still developed in experiment 2, that is, the pinprick stimuli applied on the sensitized arm were perceived as more intense after low-frequency stimulation. By contrast, no statistically significant enhancement of mechanical hypersensitivity was observed in experiment 3, indicating that, at the group level, being engaged in a difficult N-back task may interfere with the development of mechanical hypersensitivity. Contrary to previous studies, which have used different methods to induce sensitization, we did not observe any increase in the cortical response to somatosensory stimuli applied on the sensitized arm. We conclude that (1) the development of pinprick hypersensitivity is modulated by the concomitant execution of a difficult N-back task, and (2) the enhancement of cortical responses to somatosensory stimuli is related to the method used to induce central sensitization.","container-title":"Pain","DOI":"10.1097/j.pain.0000000000001841","ISSN":"0000000000","issue":"7","page":"1459-1469","title":"A highly cognitive demanding working memory task may prevent the development of nociceptive hypersensitivity","volume":"161","author":[{"family":"Torta","given":"Diana M."},{"family":"De Laurentis","given":"Martina"},{"family":"Eichin","given":"Katharina Naomi"},{"family":"Leupoldt","given":"Andreas","non-dropping-particle":"von"},{"family":"Broeke","given":"Emanuel N.","non-dropping-particle":"van den"},{"family":"Vlaeyen","given":"Johan W. S."}],"issued":{"date-parts":[["2020"]]}}}],"schema":"https://github.com/citation-style-language/schema/raw/master/csl-citation.json"} </w:instrText>
      </w:r>
      <w:r w:rsidR="00CA1B9A">
        <w:rPr>
          <w:rFonts w:cstheme="minorHAnsi"/>
          <w:color w:val="000000" w:themeColor="text1"/>
        </w:rPr>
        <w:fldChar w:fldCharType="separate"/>
      </w:r>
      <w:r w:rsidR="001A31BB" w:rsidRPr="001A31BB">
        <w:rPr>
          <w:rFonts w:ascii="Calibri" w:hAnsi="Calibri" w:cs="Calibri"/>
        </w:rPr>
        <w:t>[67]</w:t>
      </w:r>
      <w:r w:rsidR="00CA1B9A">
        <w:rPr>
          <w:rFonts w:cstheme="minorHAnsi"/>
          <w:color w:val="000000" w:themeColor="text1"/>
        </w:rPr>
        <w:fldChar w:fldCharType="end"/>
      </w:r>
      <w:r w:rsidR="00C6697C" w:rsidRPr="001A31BB">
        <w:rPr>
          <w:rFonts w:cstheme="minorHAnsi"/>
          <w:color w:val="000000" w:themeColor="text1"/>
        </w:rPr>
        <w:t xml:space="preserve"> </w:t>
      </w:r>
      <w:r w:rsidR="00731D07" w:rsidRPr="001A31BB">
        <w:rPr>
          <w:rFonts w:cstheme="minorHAnsi"/>
          <w:color w:val="000000" w:themeColor="text1"/>
        </w:rPr>
        <w:t>found that performing an n-back</w:t>
      </w:r>
      <w:r w:rsidR="001F6C6E" w:rsidRPr="001A31BB">
        <w:rPr>
          <w:rFonts w:cstheme="minorHAnsi"/>
          <w:color w:val="000000" w:themeColor="text1"/>
        </w:rPr>
        <w:t xml:space="preserve"> </w:t>
      </w:r>
      <w:r w:rsidR="0054374E" w:rsidRPr="001A31BB">
        <w:rPr>
          <w:rFonts w:cstheme="minorHAnsi"/>
          <w:color w:val="000000" w:themeColor="text1"/>
        </w:rPr>
        <w:t>(working memor</w:t>
      </w:r>
      <w:r w:rsidR="00E13A19" w:rsidRPr="001A31BB">
        <w:rPr>
          <w:rFonts w:cstheme="minorHAnsi"/>
          <w:color w:val="000000" w:themeColor="text1"/>
        </w:rPr>
        <w:t xml:space="preserve">y </w:t>
      </w:r>
      <w:r w:rsidR="0054374E" w:rsidRPr="001A31BB">
        <w:rPr>
          <w:rFonts w:cstheme="minorHAnsi"/>
          <w:color w:val="000000" w:themeColor="text1"/>
        </w:rPr>
        <w:t xml:space="preserve">updating) </w:t>
      </w:r>
      <w:r w:rsidR="001F6C6E" w:rsidRPr="001A31BB">
        <w:rPr>
          <w:rFonts w:cstheme="minorHAnsi"/>
          <w:color w:val="000000" w:themeColor="text1"/>
        </w:rPr>
        <w:t>task</w:t>
      </w:r>
      <w:r w:rsidR="00731D07" w:rsidRPr="001A31BB">
        <w:rPr>
          <w:rFonts w:cstheme="minorHAnsi"/>
          <w:color w:val="000000" w:themeColor="text1"/>
        </w:rPr>
        <w:t xml:space="preserve"> during the application of electrocutaneous stimulation reduced consecutive mechanical </w:t>
      </w:r>
      <w:r w:rsidR="00DD4D83" w:rsidRPr="001A31BB">
        <w:rPr>
          <w:rFonts w:cstheme="minorHAnsi"/>
          <w:color w:val="000000" w:themeColor="text1"/>
        </w:rPr>
        <w:t>hypersensitivity,</w:t>
      </w:r>
      <w:r w:rsidR="00731D07" w:rsidRPr="001A31BB">
        <w:rPr>
          <w:rFonts w:cstheme="minorHAnsi"/>
          <w:color w:val="000000" w:themeColor="text1"/>
        </w:rPr>
        <w:t xml:space="preserve"> </w:t>
      </w:r>
      <w:r w:rsidR="00EB0A1E" w:rsidRPr="001A31BB">
        <w:rPr>
          <w:rFonts w:cstheme="minorHAnsi"/>
          <w:color w:val="000000" w:themeColor="text1"/>
        </w:rPr>
        <w:t xml:space="preserve">while performing a </w:t>
      </w:r>
      <w:r w:rsidR="00E55DE1" w:rsidRPr="001A31BB">
        <w:rPr>
          <w:rFonts w:cstheme="minorHAnsi"/>
          <w:color w:val="000000" w:themeColor="text1"/>
        </w:rPr>
        <w:t xml:space="preserve">Flanker (inhibition) task </w:t>
      </w:r>
      <w:r w:rsidR="006736D3" w:rsidRPr="001A31BB">
        <w:rPr>
          <w:rFonts w:cstheme="minorHAnsi"/>
          <w:color w:val="000000" w:themeColor="text1"/>
        </w:rPr>
        <w:t>result</w:t>
      </w:r>
      <w:r w:rsidR="0054374E" w:rsidRPr="001A31BB">
        <w:rPr>
          <w:rFonts w:cstheme="minorHAnsi"/>
          <w:color w:val="000000" w:themeColor="text1"/>
        </w:rPr>
        <w:t>ed</w:t>
      </w:r>
      <w:r w:rsidR="006736D3" w:rsidRPr="001A31BB">
        <w:rPr>
          <w:rFonts w:cstheme="minorHAnsi"/>
          <w:color w:val="000000" w:themeColor="text1"/>
        </w:rPr>
        <w:t xml:space="preserve"> </w:t>
      </w:r>
      <w:r w:rsidR="00E55DE1" w:rsidRPr="001A31BB">
        <w:rPr>
          <w:rFonts w:cstheme="minorHAnsi"/>
          <w:color w:val="000000" w:themeColor="text1"/>
        </w:rPr>
        <w:t xml:space="preserve">in </w:t>
      </w:r>
      <w:r w:rsidR="00CF089A" w:rsidRPr="001A31BB">
        <w:rPr>
          <w:rFonts w:cstheme="minorHAnsi"/>
          <w:color w:val="000000" w:themeColor="text1"/>
        </w:rPr>
        <w:t xml:space="preserve">its </w:t>
      </w:r>
      <w:r w:rsidR="00E55DE1" w:rsidRPr="001A31BB">
        <w:rPr>
          <w:rFonts w:cstheme="minorHAnsi"/>
          <w:color w:val="000000" w:themeColor="text1"/>
        </w:rPr>
        <w:t>enhance</w:t>
      </w:r>
      <w:r w:rsidR="00CF089A" w:rsidRPr="001A31BB">
        <w:rPr>
          <w:rFonts w:cstheme="minorHAnsi"/>
          <w:color w:val="000000" w:themeColor="text1"/>
        </w:rPr>
        <w:t>ment</w:t>
      </w:r>
      <w:r w:rsidR="006736D3" w:rsidRPr="001A31BB">
        <w:rPr>
          <w:rFonts w:cstheme="minorHAnsi"/>
          <w:color w:val="000000" w:themeColor="text1"/>
        </w:rPr>
        <w:t>.</w:t>
      </w:r>
      <w:r w:rsidR="003C2987" w:rsidRPr="001A31BB">
        <w:rPr>
          <w:rFonts w:cstheme="minorHAnsi"/>
          <w:color w:val="000000" w:themeColor="text1"/>
        </w:rPr>
        <w:t xml:space="preserve"> </w:t>
      </w:r>
      <w:r w:rsidR="00912322">
        <w:rPr>
          <w:rFonts w:cstheme="minorHAnsi"/>
          <w:color w:val="000000" w:themeColor="text1"/>
        </w:rPr>
        <w:t xml:space="preserve">As the two </w:t>
      </w:r>
      <w:r w:rsidR="00791FE2">
        <w:rPr>
          <w:rFonts w:cstheme="minorHAnsi"/>
          <w:color w:val="000000" w:themeColor="text1"/>
        </w:rPr>
        <w:t xml:space="preserve">tasks rely on different </w:t>
      </w:r>
      <w:r w:rsidR="00C57AC0">
        <w:rPr>
          <w:rFonts w:cstheme="minorHAnsi"/>
          <w:color w:val="000000" w:themeColor="text1"/>
        </w:rPr>
        <w:t>cognitive</w:t>
      </w:r>
      <w:r w:rsidR="00791FE2">
        <w:rPr>
          <w:rFonts w:cstheme="minorHAnsi"/>
          <w:color w:val="000000" w:themeColor="text1"/>
        </w:rPr>
        <w:t xml:space="preserve"> processes, it is challenging to directly compare </w:t>
      </w:r>
      <w:r w:rsidR="0086700B">
        <w:rPr>
          <w:rFonts w:cstheme="minorHAnsi"/>
          <w:color w:val="000000" w:themeColor="text1"/>
        </w:rPr>
        <w:t xml:space="preserve">the two </w:t>
      </w:r>
      <w:r w:rsidR="00914620">
        <w:rPr>
          <w:rFonts w:cstheme="minorHAnsi"/>
          <w:color w:val="000000" w:themeColor="text1"/>
        </w:rPr>
        <w:t>solely</w:t>
      </w:r>
      <w:r w:rsidR="0086700B">
        <w:rPr>
          <w:rFonts w:cstheme="minorHAnsi"/>
          <w:color w:val="000000" w:themeColor="text1"/>
        </w:rPr>
        <w:t xml:space="preserve"> based on their level of demand</w:t>
      </w:r>
      <w:r w:rsidR="00D27637" w:rsidRPr="00D27637">
        <w:rPr>
          <w:rFonts w:cstheme="minorHAnsi"/>
          <w:color w:val="000000" w:themeColor="text1"/>
        </w:rPr>
        <w:t>.</w:t>
      </w:r>
      <w:r w:rsidR="00D27637" w:rsidRPr="00D27637" w:rsidDel="006736D3">
        <w:rPr>
          <w:rFonts w:cstheme="minorHAnsi"/>
          <w:color w:val="000000" w:themeColor="text1"/>
        </w:rPr>
        <w:t xml:space="preserve"> </w:t>
      </w:r>
      <w:r w:rsidR="00694333">
        <w:rPr>
          <w:rFonts w:cstheme="minorHAnsi"/>
          <w:color w:val="000000" w:themeColor="text1"/>
        </w:rPr>
        <w:t xml:space="preserve">To </w:t>
      </w:r>
      <w:r w:rsidR="000B5278">
        <w:rPr>
          <w:rFonts w:cstheme="minorHAnsi"/>
          <w:color w:val="000000" w:themeColor="text1"/>
        </w:rPr>
        <w:t xml:space="preserve">overcome </w:t>
      </w:r>
      <w:r w:rsidR="00694333">
        <w:rPr>
          <w:rFonts w:cstheme="minorHAnsi"/>
          <w:color w:val="000000" w:themeColor="text1"/>
        </w:rPr>
        <w:t>this limitation</w:t>
      </w:r>
      <w:r w:rsidR="004B479E">
        <w:rPr>
          <w:rFonts w:cstheme="minorHAnsi"/>
          <w:color w:val="000000" w:themeColor="text1"/>
        </w:rPr>
        <w:t>, Meyers et al.</w:t>
      </w:r>
      <w:r w:rsidR="00CA1B9A">
        <w:rPr>
          <w:rFonts w:cstheme="minorHAnsi"/>
          <w:color w:val="000000" w:themeColor="text1"/>
        </w:rPr>
        <w:fldChar w:fldCharType="begin"/>
      </w:r>
      <w:r w:rsidR="0019418B">
        <w:rPr>
          <w:rFonts w:cstheme="minorHAnsi"/>
          <w:color w:val="000000" w:themeColor="text1"/>
        </w:rPr>
        <w:instrText xml:space="preserve"> ADDIN ZOTERO_ITEM CSL_CITATION {"citationID":"Ax7BLrq0","properties":{"formattedCitation":"[47]","plainCitation":"[47]","noteIndex":0},"citationItems":[{"id":1626,"uris":["http://zotero.org/users/9378318/items/667ICLH3"],"itemData":{"id":1626,"type":"article-journal","abstract":"Background: According to limited-c­ apacity theories of attention, less attentional resources remain available when engaging in a high-­versus a low-d­ emanding cognitive task. This may reduce the perceived intensity and the evoked cortical responses of concomitant nociceptive stimuli. Whether and how the competition for limited attentional resources between a cognitive task and pain impacts the development of long-­lasting hypersensitivity is unclear.\nMethods: Eighty-­four healthy participants were randomized into a low or high cognitive load group. Low-­frequency electrical stimulation (LFS) of the skin was used to induce secondary hypersensitivity. We hypothesized that performing the high-l­oad task during LFS would reduce the development of hypersensitivity. We examined whether painfulness, nonpain-r­elated sympathetic arousal, or sex related to hypersensitivity, by assessing intensity and unpleasantness of mechanical pinprick stimulation. During task execution, we recorded steady-­state evoked potentials evoked by LFS and skin conductance level for sympathetic arousal. Afterwards, participants reported task difficulty and LFS-r­ elated fear. For the primary outcomes, we used mixed analysis of variances.\nResults: The results confirmed the difference in cognitive load. Although LFS successfully induced hypersensitivity, the high-­load task did not reduce its development. Next, the steady-s­tate evoked potentials did not differ between groups. Hypersensitivity correlated positively with pain-­related fear and negatively with skin conductance level before LFS, despite the lack of group differences in skin conductance level. We did not find any sex differences in hypersensitivity.\nConclusions: These results do not confirm that high cognitive load or sex modulate hypersensitivity, but show associations with pain-r­ elated fear and non-p­ ain-­ related sympathetic arousal. Significance: Previous research has mainly focused on cognitive load effects on the perception of acute painful stimuli. Yet this study extends our understanding by investigating cognitive load effects on the development of long-l­asting secondary hypersensitivity, a common aspect in numerous persistent pain conditions. As cognitive tasks are presented during a painful procedure inducing secondary","container-title":"European Journal of Pain","DOI":"10.1002/ejp.2098","ISSN":"1090-3801, 1532-2149","journalAbbreviation":"European Journal of Pain","language":"en","page":"ejp.2098","source":"DOI.org (Crossref)","title":"The effect of high versus low cognitive load on the development of nociceptive hypersensitivity: The roles of sympathetic arousal, sex and pain‐related fear","title-short":"The effect of high versus low cognitive load on the development of nociceptive hypersensitivity","author":[{"family":"Meyers","given":"Elke"},{"family":"Vlaeyen","given":"Johan W. S."},{"family":"Van Den Broeke","given":"Emanuel N."},{"family":"Von Leupoldt","given":"Andreas"},{"family":"Palmer","given":"Andrew J."},{"family":"Torta","given":"Diana M."}],"issued":{"date-parts":[["2023",3,3]]}}}],"schema":"https://github.com/citation-style-language/schema/raw/master/csl-citation.json"} </w:instrText>
      </w:r>
      <w:r w:rsidR="00CA1B9A">
        <w:rPr>
          <w:rFonts w:cstheme="minorHAnsi"/>
          <w:color w:val="000000" w:themeColor="text1"/>
        </w:rPr>
        <w:fldChar w:fldCharType="separate"/>
      </w:r>
      <w:r w:rsidR="001A31BB" w:rsidRPr="001A31BB">
        <w:rPr>
          <w:rFonts w:ascii="Calibri" w:hAnsi="Calibri" w:cs="Calibri"/>
        </w:rPr>
        <w:t>[47]</w:t>
      </w:r>
      <w:r w:rsidR="00CA1B9A">
        <w:rPr>
          <w:rFonts w:cstheme="minorHAnsi"/>
          <w:color w:val="000000" w:themeColor="text1"/>
        </w:rPr>
        <w:fldChar w:fldCharType="end"/>
      </w:r>
      <w:r w:rsidR="004B479E">
        <w:rPr>
          <w:rFonts w:cstheme="minorHAnsi"/>
          <w:color w:val="000000" w:themeColor="text1"/>
        </w:rPr>
        <w:t xml:space="preserve"> </w:t>
      </w:r>
      <w:r w:rsidR="00694333">
        <w:rPr>
          <w:rFonts w:cstheme="minorHAnsi"/>
          <w:color w:val="000000" w:themeColor="text1"/>
        </w:rPr>
        <w:t>compared two levels of difficulties of the n-back task (0- vs.2-back)</w:t>
      </w:r>
      <w:r w:rsidR="00617EF6">
        <w:rPr>
          <w:rFonts w:cstheme="minorHAnsi"/>
          <w:color w:val="000000" w:themeColor="text1"/>
        </w:rPr>
        <w:t xml:space="preserve">, </w:t>
      </w:r>
      <w:r w:rsidR="00615615">
        <w:rPr>
          <w:rFonts w:cstheme="minorHAnsi"/>
          <w:color w:val="000000" w:themeColor="text1"/>
        </w:rPr>
        <w:t xml:space="preserve">but </w:t>
      </w:r>
      <w:r w:rsidR="00DF5438">
        <w:rPr>
          <w:rFonts w:cstheme="minorHAnsi"/>
          <w:color w:val="000000" w:themeColor="text1"/>
        </w:rPr>
        <w:t xml:space="preserve">they did not </w:t>
      </w:r>
      <w:r w:rsidR="00694333">
        <w:rPr>
          <w:rFonts w:cstheme="minorHAnsi"/>
          <w:color w:val="000000" w:themeColor="text1"/>
        </w:rPr>
        <w:t xml:space="preserve">observe </w:t>
      </w:r>
      <w:r w:rsidR="00DF5438">
        <w:rPr>
          <w:rFonts w:cstheme="minorHAnsi"/>
          <w:color w:val="000000" w:themeColor="text1"/>
        </w:rPr>
        <w:t xml:space="preserve">a </w:t>
      </w:r>
      <w:r w:rsidR="00694333">
        <w:rPr>
          <w:rFonts w:cstheme="minorHAnsi"/>
          <w:color w:val="000000" w:themeColor="text1"/>
        </w:rPr>
        <w:t xml:space="preserve">significant difference </w:t>
      </w:r>
      <w:r w:rsidR="002876AF">
        <w:rPr>
          <w:rFonts w:cstheme="minorHAnsi"/>
          <w:color w:val="000000" w:themeColor="text1"/>
        </w:rPr>
        <w:t>in</w:t>
      </w:r>
      <w:r w:rsidR="00694333">
        <w:rPr>
          <w:rFonts w:cstheme="minorHAnsi"/>
          <w:color w:val="000000" w:themeColor="text1"/>
        </w:rPr>
        <w:t xml:space="preserve"> secondary hypersensitivity. </w:t>
      </w:r>
      <w:r w:rsidR="00902D93">
        <w:rPr>
          <w:rFonts w:cstheme="minorHAnsi"/>
          <w:color w:val="000000" w:themeColor="text1"/>
        </w:rPr>
        <w:t>The s</w:t>
      </w:r>
      <w:r w:rsidR="00142E1F">
        <w:rPr>
          <w:rFonts w:cstheme="minorHAnsi"/>
          <w:color w:val="000000" w:themeColor="text1"/>
        </w:rPr>
        <w:t xml:space="preserve">ame results were obtained </w:t>
      </w:r>
      <w:r w:rsidR="006072BD">
        <w:rPr>
          <w:rFonts w:cstheme="minorHAnsi"/>
          <w:color w:val="000000" w:themeColor="text1"/>
        </w:rPr>
        <w:t>in a follow</w:t>
      </w:r>
      <w:r w:rsidR="00032B7C">
        <w:rPr>
          <w:rFonts w:cstheme="minorHAnsi"/>
          <w:color w:val="000000" w:themeColor="text1"/>
        </w:rPr>
        <w:t>-</w:t>
      </w:r>
      <w:r w:rsidR="006072BD">
        <w:rPr>
          <w:rFonts w:cstheme="minorHAnsi"/>
          <w:color w:val="000000" w:themeColor="text1"/>
        </w:rPr>
        <w:t>up study</w:t>
      </w:r>
      <w:r w:rsidR="001845FF">
        <w:rPr>
          <w:rFonts w:cstheme="minorHAnsi"/>
          <w:color w:val="000000" w:themeColor="text1"/>
        </w:rPr>
        <w:t xml:space="preserve"> </w:t>
      </w:r>
      <w:r w:rsidR="00DE0323">
        <w:rPr>
          <w:rFonts w:cstheme="minorHAnsi"/>
          <w:color w:val="000000" w:themeColor="text1"/>
        </w:rPr>
        <w:t xml:space="preserve">with </w:t>
      </w:r>
      <w:r w:rsidR="00EA2FE4">
        <w:rPr>
          <w:rFonts w:cstheme="minorHAnsi"/>
          <w:color w:val="000000" w:themeColor="text1"/>
        </w:rPr>
        <w:t xml:space="preserve">a within-subjects </w:t>
      </w:r>
      <w:r w:rsidR="00DE0323">
        <w:rPr>
          <w:rFonts w:cstheme="minorHAnsi"/>
          <w:color w:val="000000" w:themeColor="text1"/>
        </w:rPr>
        <w:t>design</w:t>
      </w:r>
      <w:r w:rsidR="003A3BD9">
        <w:rPr>
          <w:rFonts w:cstheme="minorHAnsi"/>
          <w:color w:val="000000" w:themeColor="text1"/>
        </w:rPr>
        <w:t>,</w:t>
      </w:r>
      <w:r w:rsidR="00DE0323">
        <w:rPr>
          <w:rFonts w:cstheme="minorHAnsi"/>
          <w:color w:val="000000" w:themeColor="text1"/>
        </w:rPr>
        <w:t xml:space="preserve"> in</w:t>
      </w:r>
      <w:r w:rsidR="00EA2FE4">
        <w:rPr>
          <w:rFonts w:cstheme="minorHAnsi"/>
          <w:color w:val="000000" w:themeColor="text1"/>
        </w:rPr>
        <w:t xml:space="preserve">cluding </w:t>
      </w:r>
      <w:r w:rsidR="00142E1F">
        <w:rPr>
          <w:rFonts w:cstheme="minorHAnsi"/>
          <w:color w:val="000000" w:themeColor="text1"/>
        </w:rPr>
        <w:t xml:space="preserve">a control condition with no </w:t>
      </w:r>
      <w:r w:rsidR="00F8618E">
        <w:rPr>
          <w:rFonts w:cstheme="minorHAnsi"/>
          <w:color w:val="000000" w:themeColor="text1"/>
        </w:rPr>
        <w:t xml:space="preserve">task </w:t>
      </w:r>
      <w:r w:rsidR="00CA1B9A">
        <w:rPr>
          <w:rFonts w:cstheme="minorHAnsi"/>
          <w:color w:val="000000" w:themeColor="text1"/>
        </w:rPr>
        <w:fldChar w:fldCharType="begin"/>
      </w:r>
      <w:r w:rsidR="0019418B">
        <w:rPr>
          <w:rFonts w:cstheme="minorHAnsi"/>
          <w:color w:val="000000" w:themeColor="text1"/>
        </w:rPr>
        <w:instrText xml:space="preserve"> ADDIN ZOTERO_ITEM CSL_CITATION {"citationID":"WiQvimAP","properties":{"formattedCitation":"[46]","plainCitation":"[46]","noteIndex":0},"citationItems":[{"id":1780,"uris":["http://zotero.org/users/9378318/items/H6PJX5D2"],"itemData":{"id":1780,"type":"article-journal","container-title":"The Journal of Pain","DOI":"10.1016/j.jpain.2023.05.016","ISSN":"15265900","journalAbbreviation":"The Journal of Pain","language":"en","page":"S152659002300425X","source":"DOI.org (Crossref)","title":"No Evidence that Working Memory Modulates the Plasticity of the Nociceptive System, as Measured by Secondary Mechanical Hypersensitivity","author":[{"family":"Meyers","given":"Elke"},{"family":"Alves","given":"Maryna"},{"family":"Teugels","given":"Anouk"},{"family":"Torta","given":"Diana M."}],"issued":{"date-parts":[["2023",6]]}}}],"schema":"https://github.com/citation-style-language/schema/raw/master/csl-citation.json"} </w:instrText>
      </w:r>
      <w:r w:rsidR="00CA1B9A">
        <w:rPr>
          <w:rFonts w:cstheme="minorHAnsi"/>
          <w:color w:val="000000" w:themeColor="text1"/>
        </w:rPr>
        <w:fldChar w:fldCharType="separate"/>
      </w:r>
      <w:r w:rsidR="001A31BB" w:rsidRPr="001A31BB">
        <w:rPr>
          <w:rFonts w:ascii="Calibri" w:hAnsi="Calibri" w:cs="Calibri"/>
        </w:rPr>
        <w:t>[46]</w:t>
      </w:r>
      <w:r w:rsidR="00CA1B9A">
        <w:rPr>
          <w:rFonts w:cstheme="minorHAnsi"/>
          <w:color w:val="000000" w:themeColor="text1"/>
        </w:rPr>
        <w:fldChar w:fldCharType="end"/>
      </w:r>
      <w:r w:rsidR="00142E1F">
        <w:rPr>
          <w:rFonts w:cstheme="minorHAnsi"/>
          <w:color w:val="000000" w:themeColor="text1"/>
        </w:rPr>
        <w:t>.</w:t>
      </w:r>
      <w:r w:rsidR="000C619D">
        <w:rPr>
          <w:rFonts w:cstheme="minorHAnsi"/>
          <w:color w:val="000000" w:themeColor="text1"/>
        </w:rPr>
        <w:t xml:space="preserve"> </w:t>
      </w:r>
      <w:r w:rsidR="002158BB" w:rsidRPr="002158BB">
        <w:rPr>
          <w:rFonts w:cstheme="minorHAnsi"/>
          <w:color w:val="000000" w:themeColor="text1"/>
        </w:rPr>
        <w:t>Given the high relevance of the addressed question</w:t>
      </w:r>
      <w:r w:rsidR="002158BB">
        <w:rPr>
          <w:rFonts w:cstheme="minorHAnsi"/>
          <w:color w:val="000000" w:themeColor="text1"/>
        </w:rPr>
        <w:t xml:space="preserve">, </w:t>
      </w:r>
      <w:r w:rsidR="009A6726" w:rsidRPr="009A6726">
        <w:rPr>
          <w:rFonts w:cstheme="minorHAnsi"/>
          <w:color w:val="000000" w:themeColor="text1"/>
        </w:rPr>
        <w:t xml:space="preserve">we find potential for improvement and a </w:t>
      </w:r>
      <w:r w:rsidR="007F1DDB">
        <w:rPr>
          <w:rFonts w:cstheme="minorHAnsi"/>
          <w:color w:val="000000" w:themeColor="text1"/>
        </w:rPr>
        <w:t>need</w:t>
      </w:r>
      <w:r w:rsidR="009A6726" w:rsidRPr="009A6726">
        <w:rPr>
          <w:rFonts w:cstheme="minorHAnsi"/>
          <w:color w:val="000000" w:themeColor="text1"/>
        </w:rPr>
        <w:t xml:space="preserve"> to address the ongoing controversy.</w:t>
      </w:r>
      <w:r w:rsidR="00DA4B99">
        <w:rPr>
          <w:rFonts w:cstheme="minorHAnsi"/>
          <w:color w:val="000000" w:themeColor="text1"/>
        </w:rPr>
        <w:t xml:space="preserve"> </w:t>
      </w:r>
      <w:r w:rsidR="00011862">
        <w:rPr>
          <w:rFonts w:cstheme="minorHAnsi"/>
          <w:color w:val="000000" w:themeColor="text1"/>
        </w:rPr>
        <w:t xml:space="preserve">To </w:t>
      </w:r>
      <w:r w:rsidR="00DA4B99">
        <w:rPr>
          <w:rFonts w:cstheme="minorHAnsi"/>
          <w:color w:val="000000" w:themeColor="text1"/>
        </w:rPr>
        <w:t>this end</w:t>
      </w:r>
      <w:r w:rsidR="00011862">
        <w:rPr>
          <w:rFonts w:cstheme="minorHAnsi"/>
          <w:color w:val="000000" w:themeColor="text1"/>
        </w:rPr>
        <w:t xml:space="preserve">, </w:t>
      </w:r>
      <w:r w:rsidR="00011862" w:rsidRPr="00CB1E89">
        <w:rPr>
          <w:rFonts w:cstheme="minorHAnsi"/>
          <w:color w:val="000000" w:themeColor="text1"/>
        </w:rPr>
        <w:t xml:space="preserve">we </w:t>
      </w:r>
      <w:r w:rsidR="00011862">
        <w:rPr>
          <w:rFonts w:cstheme="minorHAnsi"/>
          <w:color w:val="000000" w:themeColor="text1"/>
        </w:rPr>
        <w:t xml:space="preserve">used a preregistered, between-subjects study built upon the strengths and limitations of prior research. </w:t>
      </w:r>
    </w:p>
    <w:p w14:paraId="00E8AB59" w14:textId="18F4C685" w:rsidR="00402086" w:rsidRPr="00B22B0F" w:rsidRDefault="00402086" w:rsidP="00402086">
      <w:pPr>
        <w:spacing w:after="0" w:line="480" w:lineRule="auto"/>
        <w:ind w:firstLine="720"/>
        <w:rPr>
          <w:rFonts w:cstheme="minorHAnsi"/>
        </w:rPr>
      </w:pPr>
      <w:r>
        <w:rPr>
          <w:rFonts w:cstheme="minorHAnsi"/>
          <w:color w:val="000000" w:themeColor="text1"/>
        </w:rPr>
        <w:t>First,</w:t>
      </w:r>
      <w:r w:rsidR="00B4524C" w:rsidRPr="00B4524C">
        <w:rPr>
          <w:rFonts w:cstheme="minorHAnsi"/>
          <w:color w:val="FF0000"/>
        </w:rPr>
        <w:t xml:space="preserve"> </w:t>
      </w:r>
      <w:r>
        <w:rPr>
          <w:rFonts w:cstheme="minorHAnsi"/>
        </w:rPr>
        <w:t>to provide</w:t>
      </w:r>
      <w:r w:rsidR="005D2FE2">
        <w:rPr>
          <w:rFonts w:cstheme="minorHAnsi"/>
        </w:rPr>
        <w:t xml:space="preserve"> </w:t>
      </w:r>
      <w:r>
        <w:rPr>
          <w:rFonts w:cstheme="minorHAnsi"/>
        </w:rPr>
        <w:t>strong attentional competition between stimuli</w:t>
      </w:r>
      <w:r w:rsidR="009560A0">
        <w:rPr>
          <w:rFonts w:cstheme="minorHAnsi"/>
        </w:rPr>
        <w:t xml:space="preserve"> </w:t>
      </w:r>
      <w:r w:rsidR="009560A0">
        <w:rPr>
          <w:rFonts w:cstheme="minorHAnsi"/>
        </w:rPr>
        <w:fldChar w:fldCharType="begin"/>
      </w:r>
      <w:r w:rsidR="0019418B">
        <w:rPr>
          <w:rFonts w:cstheme="minorHAnsi"/>
        </w:rPr>
        <w:instrText xml:space="preserve"> ADDIN ZOTERO_ITEM CSL_CITATION {"citationID":"I9nDmEra","properties":{"formattedCitation":"[38]","plainCitation":"[38]","noteIndex":0},"citationItems":[{"id":"hB7whiFf/nAN9qWQv","uris":["http://zotero.org/users/9378318/items/SU4WZZSS"],"itemData":{"id":143,"type":"article-journal","container-title":"Pain","DOI":"10.1016/j.pain.2009.03.020","issue":"3","page":"230-232","title":"A neurocognitive model of attention to pain: Behavioral and neuroimaging evidence","volume":"144","author":[{"family":"Legrain","given":"Valéry"},{"family":"Damme","given":"Stefaan Van"},{"family":"Eccleston","given":"Christopher"},{"family":"Davis","given":"Karen D."},{"family":"Seminowicz","given":"David A."},{"family":"Crombez","given":"Geert"}],"issued":{"date-parts":[["2009"]]}}}],"schema":"https://github.com/citation-style-language/schema/raw/master/csl-citation.json"} </w:instrText>
      </w:r>
      <w:r w:rsidR="009560A0">
        <w:rPr>
          <w:rFonts w:cstheme="minorHAnsi"/>
        </w:rPr>
        <w:fldChar w:fldCharType="separate"/>
      </w:r>
      <w:r w:rsidR="001A31BB" w:rsidRPr="001A31BB">
        <w:rPr>
          <w:rFonts w:ascii="Calibri" w:hAnsi="Calibri" w:cs="Calibri"/>
        </w:rPr>
        <w:t>[38]</w:t>
      </w:r>
      <w:r w:rsidR="009560A0">
        <w:rPr>
          <w:rFonts w:cstheme="minorHAnsi"/>
        </w:rPr>
        <w:fldChar w:fldCharType="end"/>
      </w:r>
      <w:r>
        <w:rPr>
          <w:rFonts w:cstheme="minorHAnsi"/>
        </w:rPr>
        <w:t>,</w:t>
      </w:r>
      <w:r w:rsidR="00A172F9">
        <w:rPr>
          <w:rFonts w:cstheme="minorHAnsi"/>
        </w:rPr>
        <w:t xml:space="preserve"> </w:t>
      </w:r>
      <w:r w:rsidR="00AD31C3">
        <w:rPr>
          <w:rFonts w:cstheme="minorHAnsi"/>
          <w:color w:val="FF0000"/>
        </w:rPr>
        <w:t xml:space="preserve">considering </w:t>
      </w:r>
      <w:r w:rsidR="00A172F9" w:rsidRPr="00A172F9">
        <w:rPr>
          <w:rFonts w:cstheme="minorHAnsi"/>
          <w:color w:val="FF0000"/>
        </w:rPr>
        <w:t xml:space="preserve">the critical role of timing in the interference between task-relevant and </w:t>
      </w:r>
      <w:r w:rsidR="00AD31C3">
        <w:rPr>
          <w:rFonts w:cstheme="minorHAnsi"/>
          <w:color w:val="FF0000"/>
        </w:rPr>
        <w:t>irrelevant</w:t>
      </w:r>
      <w:r w:rsidR="00A172F9" w:rsidRPr="00A172F9">
        <w:rPr>
          <w:rFonts w:cstheme="minorHAnsi"/>
          <w:color w:val="FF0000"/>
        </w:rPr>
        <w:t xml:space="preserve"> stimuli</w:t>
      </w:r>
      <w:r w:rsidR="00A172F9">
        <w:rPr>
          <w:rFonts w:cstheme="minorHAnsi"/>
          <w:color w:val="FF0000"/>
        </w:rPr>
        <w:t xml:space="preserve"> </w:t>
      </w:r>
      <w:r w:rsidR="007E6115">
        <w:rPr>
          <w:rFonts w:cstheme="minorHAnsi"/>
          <w:color w:val="FF0000"/>
        </w:rPr>
        <w:fldChar w:fldCharType="begin"/>
      </w:r>
      <w:r w:rsidR="0019418B">
        <w:rPr>
          <w:rFonts w:cstheme="minorHAnsi"/>
          <w:color w:val="FF0000"/>
        </w:rPr>
        <w:instrText xml:space="preserve"> ADDIN ZOTERO_ITEM CSL_CITATION {"citationID":"3PE4h0qk","properties":{"formattedCitation":"[36,37]","plainCitation":"[36,37]","noteIndex":0},"citationItems":[{"id":"hB7whiFf/dj6yzlT3","uris":["http://zotero.org/users/9378318/items/HAZMEU4G"],"itemData":{"id":"Zq0BLnQM/RnlcWUlf","type":"article-journal","abstract":"Because pain often signals the occurrence of potential tissue damage, nociceptive stimuli have the capacity to capture attention and interfere with ongoing cognitive activities. Working memory is known to guide the orientation of attention by maintaining goal priorities active during the achievement of a task. This study investigated whether the cortical processing of nociceptive stimuli and their ability to capture attention are under the control of working memory. Event-related brain potentials (ERPs) were recorded while participants performed primary tasks on visual targets that required or did not require rehearsal in working memory (1-back vs 0-back conditions). The visual targets were shortly preceded by task-irrelevant tactile stimuli. Occasionally, in order to distract the participants, the tactile stimuli were replaced by novel nociceptive stimuli. In the 0-back conditions, task performance was disrupted by the occurrence of the nociceptive distracters, as reflected by the increased reaction times in trials with novel nociceptive distracters as compared to trials with standard tactile distracters. In the 1-back conditions, such a difference disappeared suggesting that attentional capture and task disruption induced by nociceptive distracters were suppressed by working memory, regardless of task demands. Most importantly, in the conditions involving working memory, the magnitude of nociceptive ERPs, including ERP components at early latency, were significantly reduced. This indicates that working memory is able to modulate the cortical processing of nociceptive input already at its earliest stages, and could explain why working memory reducesconsequently ability of nociceptive stimuli to capture attention and disrupt performance of the primary task. It is concluded that protecting cognitive processing against pain interference is best guaranteed by keeping out of working memory pain-related information. © 2012 Elsevier Ltd.","container-title":"Cortex","DOI":"10.1016/j.cortex.2012.08.014","issue":"7","page":"1922-1934","title":"Shielding cognition from nociception with working memory","volume":"49","author":[{"family":"Legrain","given":"Valéry"},{"family":"Crombez","given":"Geert"},{"family":"Plaghki","given":"Léon"},{"family":"Mouraux","given":"André"}],"issued":{"date-parts":[["2013"]]}}},{"id":"hB7whiFf/1YeUbt1F","uris":["http://zotero.org/users/9378318/items/8MTM9RZK"],"itemData":{"id":"Zq0BLnQM/89kS03wW","type":"article-journal","abstract":"Attention is acknowledged as an important factor in the modulation of pain. A recent model proposed that an effective control of pain by attention should not only involve the disengagement of selective attention away from nociceptive stimuli, but should also guarantee that attention is maintained on the processing of pain-unrelated information without being recaptured by the nociceptive stimuli. This model predicts that executive functions are involved in the control of selective attention by preserving goal priorities throughout the achievement of cognitive activities. In the present study, we tested the role of working memory in the attentional control of nociceptive stimuli. In the control condition, participants had to discriminate the color of visually presented circles preceded by tactile distracters. In some trials (20%), tactile stimuli were replaced by novel nociceptive distracters in order to manipulate the attentional capture. In the working memory condition, participants had to respond to the visual stimulus presented one trial before, and were thus required to maintain the color of the visual stimulus in working memory during the entire inter-trial time interval. Results showed that, while novel nociceptive stimuli induced greater distraction than regular tactile stimuli in the control condition, the distractive effect was suppressed in the working memory condition. This suggests that actively rehearsing the feature of pain-unrelated and task-relevant targets successfully prevents attention from being captured by novel nociceptive distracters, independently of general task demands. Working memory can help to inhibit the involuntary capture of attention by pain by preserving cognitive goal priorities. © 2010 International Association for the Study of Pain. Published by Elsevier B.V. All rights reserved.","container-title":"Pain","DOI":"10.1016/j.pain.2010.11.024","issue":"2","page":"453-459","title":"The role of working memory in the attentional control of pain","volume":"152","author":[{"family":"Legrain","given":"Valéry"},{"family":"Crombez","given":"Geert"},{"family":"Verhoeven","given":"Katrien"},{"family":"Mouraux","given":"André"}],"issued":{"date-parts":[["2011"]]}}}],"schema":"https://github.com/citation-style-language/schema/raw/master/csl-citation.json"} </w:instrText>
      </w:r>
      <w:r w:rsidR="007E6115">
        <w:rPr>
          <w:rFonts w:cstheme="minorHAnsi"/>
          <w:color w:val="FF0000"/>
        </w:rPr>
        <w:fldChar w:fldCharType="separate"/>
      </w:r>
      <w:r w:rsidR="001A31BB" w:rsidRPr="001A31BB">
        <w:rPr>
          <w:rFonts w:ascii="Calibri" w:hAnsi="Calibri" w:cs="Calibri"/>
        </w:rPr>
        <w:t>[36,37]</w:t>
      </w:r>
      <w:r w:rsidR="007E6115">
        <w:rPr>
          <w:rFonts w:cstheme="minorHAnsi"/>
          <w:color w:val="FF0000"/>
        </w:rPr>
        <w:fldChar w:fldCharType="end"/>
      </w:r>
      <w:r w:rsidR="00A172F9">
        <w:rPr>
          <w:rFonts w:cstheme="minorHAnsi"/>
        </w:rPr>
        <w:t xml:space="preserve">, </w:t>
      </w:r>
      <w:r>
        <w:rPr>
          <w:rFonts w:cstheme="minorHAnsi"/>
          <w:color w:val="000000" w:themeColor="text1"/>
        </w:rPr>
        <w:t xml:space="preserve">we </w:t>
      </w:r>
      <w:r w:rsidRPr="00F3347A">
        <w:rPr>
          <w:rFonts w:cstheme="minorHAnsi"/>
          <w:color w:val="000000" w:themeColor="text1"/>
        </w:rPr>
        <w:t>developed a</w:t>
      </w:r>
      <w:r>
        <w:rPr>
          <w:rFonts w:cstheme="minorHAnsi"/>
          <w:color w:val="000000" w:themeColor="text1"/>
        </w:rPr>
        <w:t xml:space="preserve"> tailored </w:t>
      </w:r>
      <w:r w:rsidRPr="00F3347A">
        <w:rPr>
          <w:rFonts w:cstheme="minorHAnsi"/>
          <w:color w:val="000000" w:themeColor="text1"/>
        </w:rPr>
        <w:t>working memory</w:t>
      </w:r>
      <w:r w:rsidR="00512EEF">
        <w:rPr>
          <w:rFonts w:cstheme="minorHAnsi"/>
          <w:color w:val="000000" w:themeColor="text1"/>
        </w:rPr>
        <w:t xml:space="preserve"> task </w:t>
      </w:r>
      <w:r w:rsidR="00E94801">
        <w:rPr>
          <w:rFonts w:cstheme="minorHAnsi"/>
          <w:color w:val="000000" w:themeColor="text1"/>
        </w:rPr>
        <w:t>(WM)</w:t>
      </w:r>
      <w:r w:rsidR="00416B84">
        <w:rPr>
          <w:rFonts w:cstheme="minorHAnsi"/>
          <w:color w:val="000000" w:themeColor="text1"/>
        </w:rPr>
        <w:t xml:space="preserve"> </w:t>
      </w:r>
      <w:r w:rsidR="004E0A11">
        <w:rPr>
          <w:rFonts w:cstheme="minorHAnsi"/>
          <w:color w:val="FF0000"/>
        </w:rPr>
        <w:t xml:space="preserve">where, </w:t>
      </w:r>
      <w:r w:rsidR="004E0A11" w:rsidRPr="00B878E5">
        <w:rPr>
          <w:rFonts w:cstheme="minorHAnsi"/>
          <w:color w:val="FF0000"/>
        </w:rPr>
        <w:t>u</w:t>
      </w:r>
      <w:r w:rsidR="00B4524C" w:rsidRPr="00B878E5">
        <w:rPr>
          <w:rFonts w:cstheme="minorHAnsi"/>
          <w:color w:val="FF0000"/>
        </w:rPr>
        <w:t>nlike previous studies</w:t>
      </w:r>
      <w:r w:rsidR="00B4524C" w:rsidRPr="003A3BD9">
        <w:rPr>
          <w:rFonts w:cstheme="minorHAnsi"/>
          <w:color w:val="000000" w:themeColor="text1"/>
        </w:rPr>
        <w:t>,</w:t>
      </w:r>
      <w:r w:rsidR="00B4524C">
        <w:rPr>
          <w:rFonts w:cstheme="minorHAnsi"/>
          <w:color w:val="000000" w:themeColor="text1"/>
        </w:rPr>
        <w:t xml:space="preserve"> </w:t>
      </w:r>
      <w:r w:rsidRPr="00F3347A">
        <w:rPr>
          <w:rFonts w:cstheme="minorHAnsi"/>
          <w:color w:val="000000" w:themeColor="text1"/>
        </w:rPr>
        <w:t xml:space="preserve">visual and electrocutaneous </w:t>
      </w:r>
      <w:r w:rsidRPr="00F3347A">
        <w:rPr>
          <w:rFonts w:cstheme="minorHAnsi"/>
          <w:color w:val="000000" w:themeColor="text1"/>
        </w:rPr>
        <w:lastRenderedPageBreak/>
        <w:t>stimuli were time-locked</w:t>
      </w:r>
      <w:r>
        <w:rPr>
          <w:rFonts w:cstheme="minorHAnsi"/>
          <w:color w:val="000000" w:themeColor="text1"/>
        </w:rPr>
        <w:t xml:space="preserve"> to each other </w:t>
      </w:r>
      <w:r>
        <w:rPr>
          <w:rFonts w:cstheme="minorHAnsi"/>
        </w:rPr>
        <w:t xml:space="preserve">so that </w:t>
      </w:r>
      <w:r w:rsidRPr="003407F3">
        <w:rPr>
          <w:rFonts w:cstheme="minorHAnsi"/>
        </w:rPr>
        <w:t>task demand</w:t>
      </w:r>
      <w:r>
        <w:rPr>
          <w:rFonts w:cstheme="minorHAnsi"/>
        </w:rPr>
        <w:t>s</w:t>
      </w:r>
      <w:r w:rsidRPr="003407F3">
        <w:rPr>
          <w:rFonts w:cstheme="minorHAnsi"/>
        </w:rPr>
        <w:t xml:space="preserve"> w</w:t>
      </w:r>
      <w:r>
        <w:rPr>
          <w:rFonts w:cstheme="minorHAnsi"/>
        </w:rPr>
        <w:t>ere</w:t>
      </w:r>
      <w:r w:rsidRPr="003407F3">
        <w:rPr>
          <w:rFonts w:cstheme="minorHAnsi"/>
        </w:rPr>
        <w:t xml:space="preserve"> exerted </w:t>
      </w:r>
      <w:r>
        <w:rPr>
          <w:rFonts w:cstheme="minorHAnsi"/>
        </w:rPr>
        <w:t xml:space="preserve">exactly during the </w:t>
      </w:r>
      <w:r w:rsidR="008274C5">
        <w:rPr>
          <w:rFonts w:cstheme="minorHAnsi"/>
        </w:rPr>
        <w:t xml:space="preserve">induction </w:t>
      </w:r>
      <w:r w:rsidR="006D7EB3">
        <w:rPr>
          <w:rFonts w:cstheme="minorHAnsi"/>
        </w:rPr>
        <w:t>of sensitization</w:t>
      </w:r>
      <w:r w:rsidR="00AD31C3">
        <w:rPr>
          <w:rFonts w:cstheme="minorHAnsi"/>
        </w:rPr>
        <w:t xml:space="preserve"> </w:t>
      </w:r>
      <w:r w:rsidR="00AD31C3" w:rsidRPr="00AD31C3">
        <w:rPr>
          <w:rFonts w:cstheme="minorHAnsi"/>
          <w:color w:val="FF0000"/>
        </w:rPr>
        <w:t xml:space="preserve">to pain </w:t>
      </w:r>
      <w:r w:rsidR="006D7EB3" w:rsidRPr="00AD31C3">
        <w:rPr>
          <w:rFonts w:cstheme="minorHAnsi"/>
          <w:color w:val="FF0000"/>
        </w:rPr>
        <w:t xml:space="preserve"> </w:t>
      </w:r>
      <w:r>
        <w:rPr>
          <w:rFonts w:cstheme="minorHAnsi"/>
        </w:rPr>
        <w:t xml:space="preserve">(difficult-task condition). </w:t>
      </w:r>
      <w:r w:rsidR="00E37767">
        <w:rPr>
          <w:rFonts w:cstheme="minorHAnsi"/>
        </w:rPr>
        <w:t>Additional</w:t>
      </w:r>
      <w:r w:rsidR="00E94801">
        <w:rPr>
          <w:rFonts w:cstheme="minorHAnsi"/>
        </w:rPr>
        <w:t>ly,</w:t>
      </w:r>
      <w:r w:rsidR="00967D96">
        <w:rPr>
          <w:rFonts w:cstheme="minorHAnsi"/>
          <w:color w:val="000000" w:themeColor="text1"/>
        </w:rPr>
        <w:t xml:space="preserve"> </w:t>
      </w:r>
      <w:r w:rsidR="00CE7AD6" w:rsidRPr="00CE7AD6">
        <w:rPr>
          <w:rFonts w:cstheme="minorHAnsi"/>
        </w:rPr>
        <w:t>we included an easy task condition where electrical pulses were paired with a non-</w:t>
      </w:r>
      <w:r w:rsidR="00E94801">
        <w:rPr>
          <w:rFonts w:cstheme="minorHAnsi"/>
        </w:rPr>
        <w:t>WM</w:t>
      </w:r>
      <w:r w:rsidR="00CE7AD6" w:rsidRPr="00CE7AD6">
        <w:rPr>
          <w:rFonts w:cstheme="minorHAnsi"/>
        </w:rPr>
        <w:t xml:space="preserve"> task using the same stimuli as </w:t>
      </w:r>
      <w:r w:rsidR="001B735D">
        <w:rPr>
          <w:rFonts w:cstheme="minorHAnsi"/>
        </w:rPr>
        <w:t xml:space="preserve">in </w:t>
      </w:r>
      <w:r w:rsidR="00CE7AD6" w:rsidRPr="00CE7AD6">
        <w:rPr>
          <w:rFonts w:cstheme="minorHAnsi"/>
        </w:rPr>
        <w:t>the difficult condition</w:t>
      </w:r>
      <w:r w:rsidR="00A841DB">
        <w:rPr>
          <w:rFonts w:cstheme="minorHAnsi"/>
        </w:rPr>
        <w:t xml:space="preserve"> </w:t>
      </w:r>
      <w:r w:rsidR="00A841DB" w:rsidRPr="00A841DB">
        <w:rPr>
          <w:rFonts w:cstheme="minorHAnsi"/>
          <w:color w:val="FF0000"/>
        </w:rPr>
        <w:t xml:space="preserve">(e.g., </w:t>
      </w:r>
      <w:r w:rsidR="00A841DB" w:rsidRPr="00A841DB">
        <w:rPr>
          <w:rFonts w:cstheme="minorHAnsi"/>
          <w:color w:val="FF0000"/>
        </w:rPr>
        <w:fldChar w:fldCharType="begin"/>
      </w:r>
      <w:r w:rsidR="00A841DB" w:rsidRPr="00A841DB">
        <w:rPr>
          <w:rFonts w:cstheme="minorHAnsi"/>
          <w:color w:val="FF0000"/>
        </w:rPr>
        <w:instrText xml:space="preserve"> ADDIN ZOTERO_ITEM CSL_CITATION {"citationID":"pqUyrWoe","properties":{"formattedCitation":"[47]","plainCitation":"[47]","noteIndex":0},"citationItems":[{"id":1626,"uris":["http://zotero.org/users/9378318/items/667ICLH3"],"itemData":{"id":1626,"type":"article-journal","abstract":"Background: According to limited-c­ apacity theories of attention, less attentional resources remain available when engaging in a high-­versus a low-d­ emanding cognitive task. This may reduce the perceived intensity and the evoked cortical responses of concomitant nociceptive stimuli. Whether and how the competition for limited attentional resources between a cognitive task and pain impacts the development of long-­lasting hypersensitivity is unclear.\nMethods: Eighty-­four healthy participants were randomized into a low or high cognitive load group. Low-­frequency electrical stimulation (LFS) of the skin was used to induce secondary hypersensitivity. We hypothesized that performing the high-l­oad task during LFS would reduce the development of hypersensitivity. We examined whether painfulness, nonpain-r­elated sympathetic arousal, or sex related to hypersensitivity, by assessing intensity and unpleasantness of mechanical pinprick stimulation. During task execution, we recorded steady-­state evoked potentials evoked by LFS and skin conductance level for sympathetic arousal. Afterwards, participants reported task difficulty and LFS-r­ elated fear. For the primary outcomes, we used mixed analysis of variances.\nResults: The results confirmed the difference in cognitive load. Although LFS successfully induced hypersensitivity, the high-­load task did not reduce its development. Next, the steady-s­tate evoked potentials did not differ between groups. Hypersensitivity correlated positively with pain-­related fear and negatively with skin conductance level before LFS, despite the lack of group differences in skin conductance level. We did not find any sex differences in hypersensitivity.\nConclusions: These results do not confirm that high cognitive load or sex modulate hypersensitivity, but show associations with pain-r­ elated fear and non-p­ ain-­ related sympathetic arousal. Significance: Previous research has mainly focused on cognitive load effects on the perception of acute painful stimuli. Yet this study extends our understanding by investigating cognitive load effects on the development of long-l­asting secondary hypersensitivity, a common aspect in numerous persistent pain conditions. As cognitive tasks are presented during a painful procedure inducing secondary","container-title":"European Journal of Pain","DOI":"10.1002/ejp.2098","ISSN":"1090-3801, 1532-2149","journalAbbreviation":"European Journal of Pain","language":"en","page":"ejp.2098","source":"DOI.org (Crossref)","title":"The effect of high versus low cognitive load on the development of nociceptive hypersensitivity: The roles of sympathetic arousal, sex and pain‐related fear","title-short":"The effect of high versus low cognitive load on the development of nociceptive hypersensitivity","author":[{"family":"Meyers","given":"Elke"},{"family":"Vlaeyen","given":"Johan W. S."},{"family":"Van Den Broeke","given":"Emanuel N."},{"family":"Von Leupoldt","given":"Andreas"},{"family":"Palmer","given":"Andrew J."},{"family":"Torta","given":"Diana M."}],"issued":{"date-parts":[["2023",3,3]]}}}],"schema":"https://github.com/citation-style-language/schema/raw/master/csl-citation.json"} </w:instrText>
      </w:r>
      <w:r w:rsidR="00A841DB" w:rsidRPr="00A841DB">
        <w:rPr>
          <w:rFonts w:cstheme="minorHAnsi"/>
          <w:color w:val="FF0000"/>
        </w:rPr>
        <w:fldChar w:fldCharType="separate"/>
      </w:r>
      <w:r w:rsidR="00A841DB" w:rsidRPr="00A841DB">
        <w:rPr>
          <w:rFonts w:ascii="Calibri" w:hAnsi="Calibri" w:cs="Calibri"/>
          <w:color w:val="FF0000"/>
        </w:rPr>
        <w:t>[47]</w:t>
      </w:r>
      <w:r w:rsidR="00A841DB" w:rsidRPr="00A841DB">
        <w:rPr>
          <w:rFonts w:cstheme="minorHAnsi"/>
          <w:color w:val="FF0000"/>
        </w:rPr>
        <w:fldChar w:fldCharType="end"/>
      </w:r>
      <w:r w:rsidR="00A841DB" w:rsidRPr="00A841DB">
        <w:rPr>
          <w:rFonts w:cstheme="minorHAnsi"/>
          <w:color w:val="FF0000"/>
        </w:rPr>
        <w:t>)</w:t>
      </w:r>
      <w:r w:rsidR="00CE7AD6" w:rsidRPr="00CE7AD6">
        <w:rPr>
          <w:rFonts w:cstheme="minorHAnsi"/>
        </w:rPr>
        <w:t>. This ensur</w:t>
      </w:r>
      <w:r w:rsidR="00CE7AD6" w:rsidRPr="00A172F9">
        <w:rPr>
          <w:rFonts w:cstheme="minorHAnsi"/>
          <w:color w:val="FF0000"/>
        </w:rPr>
        <w:t>e</w:t>
      </w:r>
      <w:r w:rsidR="00A172F9" w:rsidRPr="00A172F9">
        <w:rPr>
          <w:rFonts w:cstheme="minorHAnsi"/>
          <w:color w:val="FF0000"/>
        </w:rPr>
        <w:t>d</w:t>
      </w:r>
      <w:r w:rsidR="00CE7AD6" w:rsidRPr="00CE7AD6">
        <w:rPr>
          <w:rFonts w:cstheme="minorHAnsi"/>
        </w:rPr>
        <w:t xml:space="preserve"> that </w:t>
      </w:r>
      <w:r w:rsidR="00AD31C3">
        <w:rPr>
          <w:rFonts w:cstheme="minorHAnsi"/>
        </w:rPr>
        <w:t xml:space="preserve">any </w:t>
      </w:r>
      <w:r w:rsidR="00CE7AD6" w:rsidRPr="00CE7AD6">
        <w:rPr>
          <w:rFonts w:cstheme="minorHAnsi"/>
        </w:rPr>
        <w:t xml:space="preserve">observed differences were due to attentional load, </w:t>
      </w:r>
      <w:r w:rsidR="006D7EB3">
        <w:rPr>
          <w:rFonts w:cstheme="minorHAnsi"/>
        </w:rPr>
        <w:t xml:space="preserve">rather than </w:t>
      </w:r>
      <w:r w:rsidR="00CE7AD6" w:rsidRPr="00CE7AD6">
        <w:rPr>
          <w:rFonts w:cstheme="minorHAnsi"/>
        </w:rPr>
        <w:t>task nature.</w:t>
      </w:r>
      <w:r w:rsidR="00D945F9">
        <w:rPr>
          <w:rFonts w:cstheme="minorHAnsi"/>
        </w:rPr>
        <w:t xml:space="preserve"> </w:t>
      </w:r>
      <w:r w:rsidR="00AD3979" w:rsidRPr="00AD3979">
        <w:rPr>
          <w:rFonts w:cstheme="minorHAnsi"/>
        </w:rPr>
        <w:t>Lastly, our between-subject design allowed us to test our hypothesis using a two-way interaction, which is an improvement over the conventional use of a three-way interaction (e.g.</w:t>
      </w:r>
      <w:r w:rsidR="00AD3979">
        <w:rPr>
          <w:rFonts w:cstheme="minorHAnsi"/>
        </w:rPr>
        <w:t>,</w:t>
      </w:r>
      <w:r w:rsidR="008D12D1">
        <w:rPr>
          <w:rFonts w:cstheme="minorHAnsi"/>
        </w:rPr>
        <w:fldChar w:fldCharType="begin"/>
      </w:r>
      <w:r w:rsidR="0019418B">
        <w:rPr>
          <w:rFonts w:cstheme="minorHAnsi"/>
        </w:rPr>
        <w:instrText xml:space="preserve"> ADDIN ZOTERO_ITEM CSL_CITATION {"citationID":"xFkczMU7","properties":{"formattedCitation":"[47,67]","plainCitation":"[47,67]","noteIndex":0},"citationItems":[{"id":1626,"uris":["http://zotero.org/users/9378318/items/667ICLH3"],"itemData":{"id":1626,"type":"article-journal","abstract":"Background: According to limited-c­ apacity theories of attention, less attentional resources remain available when engaging in a high-­versus a low-d­ emanding cognitive task. This may reduce the perceived intensity and the evoked cortical responses of concomitant nociceptive stimuli. Whether and how the competition for limited attentional resources between a cognitive task and pain impacts the development of long-­lasting hypersensitivity is unclear.\nMethods: Eighty-­four healthy participants were randomized into a low or high cognitive load group. Low-­frequency electrical stimulation (LFS) of the skin was used to induce secondary hypersensitivity. We hypothesized that performing the high-l­oad task during LFS would reduce the development of hypersensitivity. We examined whether painfulness, nonpain-r­elated sympathetic arousal, or sex related to hypersensitivity, by assessing intensity and unpleasantness of mechanical pinprick stimulation. During task execution, we recorded steady-­state evoked potentials evoked by LFS and skin conductance level for sympathetic arousal. Afterwards, participants reported task difficulty and LFS-r­ elated fear. For the primary outcomes, we used mixed analysis of variances.\nResults: The results confirmed the difference in cognitive load. Although LFS successfully induced hypersensitivity, the high-­load task did not reduce its development. Next, the steady-s­tate evoked potentials did not differ between groups. Hypersensitivity correlated positively with pain-­related fear and negatively with skin conductance level before LFS, despite the lack of group differences in skin conductance level. We did not find any sex differences in hypersensitivity.\nConclusions: These results do not confirm that high cognitive load or sex modulate hypersensitivity, but show associations with pain-r­ elated fear and non-p­ ain-­ related sympathetic arousal. Significance: Previous research has mainly focused on cognitive load effects on the perception of acute painful stimuli. Yet this study extends our understanding by investigating cognitive load effects on the development of long-l­asting secondary hypersensitivity, a common aspect in numerous persistent pain conditions. As cognitive tasks are presented during a painful procedure inducing secondary","container-title":"European Journal of Pain","DOI":"10.1002/ejp.2098","ISSN":"1090-3801, 1532-2149","journalAbbreviation":"European Journal of Pain","language":"en","page":"ejp.2098","source":"DOI.org (Crossref)","title":"The effect of high versus low cognitive load on the development of nociceptive hypersensitivity: The roles of sympathetic arousal, sex and pain‐related fear","title-short":"The effect of high versus low cognitive load on the development of nociceptive hypersensitivity","author":[{"family":"Meyers","given":"Elke"},{"family":"Vlaeyen","given":"Johan W. S."},{"family":"Van Den Broeke","given":"Emanuel N."},{"family":"Von Leupoldt","given":"Andreas"},{"family":"Palmer","given":"Andrew J."},{"family":"Torta","given":"Diana M."}],"issued":{"date-parts":[["2023",3,3]]}}},{"id":48,"uris":["http://zotero.org/users/9378318/items/MH46BWD5"],"itemData":{"id":48,"type":"article-journal","abstract":"Whether, how, and which cognitive factors modulate the development of secondary hypersensitivity/hyperalgesia after central sensitization is not fully understood. Here, we tested, in 3 subsequent experiments, whether being engaged in non-pain-related cognitive demanding tasks: (1) lessens the amount of hypersensitivity developed after an experimental procedure sensitizing nociceptive pathways; and (2) modulates cortical responses to somatosensory stimuli (measured by electroencephalography, EEG). In the first experiment, we validated a novel model in humans using low-frequency stimulation of the skin and demonstrated that it was able to successfully induce hypersensitivity to mechanical pinprick stimuli in the area surrounding the sensitized site. In the second and third experiments, we engaged participants in tasks of increasing difficulty (the Eriksen Flanker Task in experiment 2, and a modified N-back task in experiment 3). We observed that hypersensitivity to mechanical stimuli still developed in experiment 2, that is, the pinprick stimuli applied on the sensitized arm were perceived as more intense after low-frequency stimulation. By contrast, no statistically significant enhancement of mechanical hypersensitivity was observed in experiment 3, indicating that, at the group level, being engaged in a difficult N-back task may interfere with the development of mechanical hypersensitivity. Contrary to previous studies, which have used different methods to induce sensitization, we did not observe any increase in the cortical response to somatosensory stimuli applied on the sensitized arm. We conclude that (1) the development of pinprick hypersensitivity is modulated by the concomitant execution of a difficult N-back task, and (2) the enhancement of cortical responses to somatosensory stimuli is related to the method used to induce central sensitization.","container-title":"Pain","DOI":"10.1097/j.pain.0000000000001841","ISSN":"0000000000","issue":"7","page":"1459-1469","title":"A highly cognitive demanding working memory task may prevent the development of nociceptive hypersensitivity","volume":"161","author":[{"family":"Torta","given":"Diana M."},{"family":"De Laurentis","given":"Martina"},{"family":"Eichin","given":"Katharina Naomi"},{"family":"Leupoldt","given":"Andreas","non-dropping-particle":"von"},{"family":"Broeke","given":"Emanuel N.","non-dropping-particle":"van den"},{"family":"Vlaeyen","given":"Johan W. S."}],"issued":{"date-parts":[["2020"]]}}}],"schema":"https://github.com/citation-style-language/schema/raw/master/csl-citation.json"} </w:instrText>
      </w:r>
      <w:r w:rsidR="008D12D1">
        <w:rPr>
          <w:rFonts w:cstheme="minorHAnsi"/>
        </w:rPr>
        <w:fldChar w:fldCharType="separate"/>
      </w:r>
      <w:r w:rsidR="001A31BB" w:rsidRPr="001A31BB">
        <w:rPr>
          <w:rFonts w:ascii="Calibri" w:hAnsi="Calibri" w:cs="Calibri"/>
        </w:rPr>
        <w:t>[47,67]</w:t>
      </w:r>
      <w:r w:rsidR="008D12D1">
        <w:rPr>
          <w:rFonts w:cstheme="minorHAnsi"/>
        </w:rPr>
        <w:fldChar w:fldCharType="end"/>
      </w:r>
      <w:r w:rsidR="00AD3979" w:rsidRPr="00AD3979">
        <w:rPr>
          <w:rFonts w:cstheme="minorHAnsi"/>
        </w:rPr>
        <w:t xml:space="preserve">). Higher-order interactions are difficult to interpret and greatly increase the sample size required to detect an effect, relative to </w:t>
      </w:r>
      <w:r w:rsidR="00892D52">
        <w:rPr>
          <w:rFonts w:cstheme="minorHAnsi"/>
        </w:rPr>
        <w:t xml:space="preserve">a </w:t>
      </w:r>
      <w:r w:rsidR="00AD3979" w:rsidRPr="00AD3979">
        <w:rPr>
          <w:rFonts w:cstheme="minorHAnsi"/>
        </w:rPr>
        <w:t xml:space="preserve">two-way interaction </w:t>
      </w:r>
      <w:r w:rsidR="008D12D1">
        <w:rPr>
          <w:rFonts w:cstheme="minorHAnsi"/>
        </w:rPr>
        <w:fldChar w:fldCharType="begin"/>
      </w:r>
      <w:r w:rsidR="0019418B">
        <w:rPr>
          <w:rFonts w:cstheme="minorHAnsi"/>
        </w:rPr>
        <w:instrText xml:space="preserve"> ADDIN ZOTERO_ITEM CSL_CITATION {"citationID":"SSQvluFL","properties":{"formattedCitation":"[28]","plainCitation":"[28]","noteIndex":0},"citationItems":[{"id":1923,"uris":["http://zotero.org/users/9378318/items/MNEVTC56"],"itemData":{"id":1923,"type":"article-journal","container-title":"Journal of Biopharmaceutical Statistics","DOI":"10.1080/10543401003618819","ISSN":"1054-3406, 1520-5711","issue":"4","journalAbbreviation":"Journal of Biopharmaceutical Statistics","language":"en","page":"787-802","source":"DOI.org (Crossref)","title":"Sample Sizes Required to Detect Two-Way and Three-Way Interactions Involving Slope Differences in Mixed-Effects Linear Models","volume":"20","author":[{"family":"Heo","given":"Moonseong"},{"family":"Leon","given":"Andrew C."}],"issued":{"date-parts":[["2010",5,24]]}}}],"schema":"https://github.com/citation-style-language/schema/raw/master/csl-citation.json"} </w:instrText>
      </w:r>
      <w:r w:rsidR="008D12D1">
        <w:rPr>
          <w:rFonts w:cstheme="minorHAnsi"/>
        </w:rPr>
        <w:fldChar w:fldCharType="separate"/>
      </w:r>
      <w:r w:rsidR="001A31BB" w:rsidRPr="001A31BB">
        <w:rPr>
          <w:rFonts w:ascii="Calibri" w:hAnsi="Calibri" w:cs="Calibri"/>
        </w:rPr>
        <w:t>[28]</w:t>
      </w:r>
      <w:r w:rsidR="008D12D1">
        <w:rPr>
          <w:rFonts w:cstheme="minorHAnsi"/>
        </w:rPr>
        <w:fldChar w:fldCharType="end"/>
      </w:r>
      <w:r w:rsidR="008D12D1">
        <w:rPr>
          <w:rFonts w:cstheme="minorHAnsi"/>
        </w:rPr>
        <w:t>.</w:t>
      </w:r>
      <w:r w:rsidR="00AD3979" w:rsidRPr="00AD3979">
        <w:rPr>
          <w:rFonts w:cstheme="minorHAnsi"/>
        </w:rPr>
        <w:t xml:space="preserve"> We calculated our sample size based on our model, ensuring a reliable test of this timely question</w:t>
      </w:r>
      <w:r w:rsidR="00040356">
        <w:rPr>
          <w:rFonts w:cstheme="minorHAnsi"/>
        </w:rPr>
        <w:t xml:space="preserve">. </w:t>
      </w:r>
    </w:p>
    <w:p w14:paraId="447F70D4" w14:textId="630CAD5F" w:rsidR="00316809" w:rsidRPr="005C35F2" w:rsidRDefault="00307B3B" w:rsidP="00555668">
      <w:pPr>
        <w:spacing w:line="480" w:lineRule="auto"/>
        <w:ind w:firstLine="720"/>
        <w:rPr>
          <w:rFonts w:cstheme="minorHAnsi"/>
        </w:rPr>
      </w:pPr>
      <w:r>
        <w:rPr>
          <w:rFonts w:cstheme="minorHAnsi"/>
        </w:rPr>
        <w:t>W</w:t>
      </w:r>
      <w:r w:rsidRPr="00A4233B">
        <w:rPr>
          <w:rFonts w:cstheme="minorHAnsi"/>
        </w:rPr>
        <w:t xml:space="preserve">e hypothesized that </w:t>
      </w:r>
      <w:r w:rsidR="007F24C2">
        <w:rPr>
          <w:rFonts w:cstheme="minorHAnsi"/>
        </w:rPr>
        <w:t>high task demand</w:t>
      </w:r>
      <w:r w:rsidR="003A668B">
        <w:rPr>
          <w:rFonts w:cstheme="minorHAnsi"/>
        </w:rPr>
        <w:t>s</w:t>
      </w:r>
      <w:r w:rsidR="007F24C2">
        <w:rPr>
          <w:rFonts w:cstheme="minorHAnsi"/>
        </w:rPr>
        <w:t xml:space="preserve"> </w:t>
      </w:r>
      <w:r>
        <w:rPr>
          <w:rFonts w:cstheme="minorHAnsi"/>
        </w:rPr>
        <w:t xml:space="preserve">would </w:t>
      </w:r>
      <w:r w:rsidR="00290488">
        <w:rPr>
          <w:rFonts w:cstheme="minorHAnsi"/>
        </w:rPr>
        <w:t>mitigate</w:t>
      </w:r>
      <w:r w:rsidR="002432C1">
        <w:rPr>
          <w:rFonts w:cstheme="minorHAnsi"/>
        </w:rPr>
        <w:t xml:space="preserve"> </w:t>
      </w:r>
      <w:r w:rsidR="00420A86">
        <w:rPr>
          <w:rFonts w:cstheme="minorHAnsi"/>
          <w:color w:val="FF0000"/>
        </w:rPr>
        <w:t>the process of sensitization</w:t>
      </w:r>
      <w:r w:rsidRPr="00F24697">
        <w:rPr>
          <w:rFonts w:cstheme="minorHAnsi"/>
          <w:color w:val="FF0000"/>
        </w:rPr>
        <w:t xml:space="preserve">, </w:t>
      </w:r>
      <w:r w:rsidR="00252F9E">
        <w:rPr>
          <w:rFonts w:cstheme="minorHAnsi"/>
        </w:rPr>
        <w:t>leading</w:t>
      </w:r>
      <w:r w:rsidR="002432C1">
        <w:rPr>
          <w:rFonts w:cstheme="minorHAnsi"/>
        </w:rPr>
        <w:t xml:space="preserve"> </w:t>
      </w:r>
      <w:r w:rsidRPr="00A4233B">
        <w:rPr>
          <w:rFonts w:cstheme="minorHAnsi"/>
        </w:rPr>
        <w:t xml:space="preserve">participants </w:t>
      </w:r>
      <w:r w:rsidR="003570E4">
        <w:rPr>
          <w:rFonts w:cstheme="minorHAnsi"/>
        </w:rPr>
        <w:t xml:space="preserve">in </w:t>
      </w:r>
      <w:r w:rsidRPr="00A4233B">
        <w:rPr>
          <w:rFonts w:cstheme="minorHAnsi"/>
        </w:rPr>
        <w:t>the difficult</w:t>
      </w:r>
      <w:r w:rsidR="0079057D">
        <w:rPr>
          <w:rFonts w:cstheme="minorHAnsi"/>
        </w:rPr>
        <w:t>-</w:t>
      </w:r>
      <w:r>
        <w:rPr>
          <w:rFonts w:cstheme="minorHAnsi"/>
        </w:rPr>
        <w:t>task</w:t>
      </w:r>
      <w:r w:rsidRPr="00A4233B">
        <w:rPr>
          <w:rFonts w:cstheme="minorHAnsi"/>
        </w:rPr>
        <w:t xml:space="preserve"> </w:t>
      </w:r>
      <w:r w:rsidR="003570E4">
        <w:rPr>
          <w:rFonts w:cstheme="minorHAnsi"/>
        </w:rPr>
        <w:t>group to develop</w:t>
      </w:r>
      <w:r w:rsidR="005F7BC1">
        <w:rPr>
          <w:rFonts w:cstheme="minorHAnsi"/>
        </w:rPr>
        <w:t xml:space="preserve"> </w:t>
      </w:r>
      <w:r w:rsidR="00557036">
        <w:rPr>
          <w:rFonts w:cstheme="minorHAnsi"/>
        </w:rPr>
        <w:t xml:space="preserve">a </w:t>
      </w:r>
      <w:r w:rsidR="00904DEB">
        <w:rPr>
          <w:rFonts w:cstheme="minorHAnsi"/>
        </w:rPr>
        <w:t>smaller change</w:t>
      </w:r>
      <w:r w:rsidRPr="00A4233B">
        <w:rPr>
          <w:rFonts w:cstheme="minorHAnsi"/>
        </w:rPr>
        <w:t xml:space="preserve"> </w:t>
      </w:r>
      <w:r w:rsidR="00904DEB">
        <w:rPr>
          <w:rFonts w:cstheme="minorHAnsi"/>
        </w:rPr>
        <w:t xml:space="preserve">in </w:t>
      </w:r>
      <w:r>
        <w:rPr>
          <w:rFonts w:cstheme="minorHAnsi"/>
        </w:rPr>
        <w:t>mechanical</w:t>
      </w:r>
      <w:r w:rsidR="00171A5A">
        <w:rPr>
          <w:rFonts w:cstheme="minorHAnsi"/>
        </w:rPr>
        <w:t xml:space="preserve"> </w:t>
      </w:r>
      <w:r w:rsidRPr="00A4233B">
        <w:rPr>
          <w:rFonts w:cstheme="minorHAnsi"/>
        </w:rPr>
        <w:t>hyper</w:t>
      </w:r>
      <w:r>
        <w:rPr>
          <w:rFonts w:cstheme="minorHAnsi"/>
        </w:rPr>
        <w:t>sensitivity</w:t>
      </w:r>
      <w:r w:rsidR="003570E4">
        <w:rPr>
          <w:rFonts w:cstheme="minorHAnsi"/>
        </w:rPr>
        <w:t xml:space="preserve"> </w:t>
      </w:r>
      <w:r>
        <w:rPr>
          <w:rFonts w:cstheme="minorHAnsi"/>
        </w:rPr>
        <w:t xml:space="preserve">compared to those </w:t>
      </w:r>
      <w:r w:rsidR="0079057D">
        <w:rPr>
          <w:rFonts w:cstheme="minorHAnsi"/>
        </w:rPr>
        <w:t>in</w:t>
      </w:r>
      <w:r w:rsidRPr="00A4233B">
        <w:rPr>
          <w:rFonts w:cstheme="minorHAnsi"/>
        </w:rPr>
        <w:t xml:space="preserve"> the easy</w:t>
      </w:r>
      <w:r w:rsidR="0079057D">
        <w:rPr>
          <w:rFonts w:cstheme="minorHAnsi"/>
        </w:rPr>
        <w:t>-</w:t>
      </w:r>
      <w:r>
        <w:rPr>
          <w:rFonts w:cstheme="minorHAnsi"/>
        </w:rPr>
        <w:t>task</w:t>
      </w:r>
      <w:r w:rsidR="0079057D">
        <w:rPr>
          <w:rFonts w:cstheme="minorHAnsi"/>
        </w:rPr>
        <w:t xml:space="preserve"> group</w:t>
      </w:r>
      <w:r w:rsidRPr="00A4233B">
        <w:rPr>
          <w:rFonts w:cstheme="minorHAnsi"/>
        </w:rPr>
        <w:t xml:space="preserve">. </w:t>
      </w:r>
      <w:r w:rsidR="0079057D">
        <w:rPr>
          <w:rFonts w:cstheme="minorHAnsi"/>
        </w:rPr>
        <w:t>In particular</w:t>
      </w:r>
      <w:r w:rsidR="00BD2713">
        <w:rPr>
          <w:rFonts w:cstheme="minorHAnsi"/>
        </w:rPr>
        <w:t xml:space="preserve">, we expected a positive and significant change in mechanical sensitivity </w:t>
      </w:r>
      <w:r w:rsidR="00644C72">
        <w:rPr>
          <w:rFonts w:cstheme="minorHAnsi"/>
        </w:rPr>
        <w:t xml:space="preserve">for </w:t>
      </w:r>
      <w:r w:rsidR="00BD2713">
        <w:rPr>
          <w:rFonts w:cstheme="minorHAnsi"/>
        </w:rPr>
        <w:t>both groups and</w:t>
      </w:r>
      <w:r w:rsidR="00644C72">
        <w:rPr>
          <w:rFonts w:cstheme="minorHAnsi"/>
        </w:rPr>
        <w:t xml:space="preserve"> </w:t>
      </w:r>
      <w:r w:rsidR="00BD2713">
        <w:rPr>
          <w:rFonts w:cstheme="minorHAnsi"/>
        </w:rPr>
        <w:t>a significant</w:t>
      </w:r>
      <w:r w:rsidR="00C50168">
        <w:rPr>
          <w:rFonts w:cstheme="minorHAnsi"/>
        </w:rPr>
        <w:t xml:space="preserve"> </w:t>
      </w:r>
      <w:r w:rsidR="00644C72">
        <w:rPr>
          <w:rFonts w:cstheme="minorHAnsi"/>
        </w:rPr>
        <w:t xml:space="preserve">interaction between </w:t>
      </w:r>
      <w:r w:rsidR="00C50168">
        <w:rPr>
          <w:rFonts w:cstheme="minorHAnsi"/>
        </w:rPr>
        <w:t xml:space="preserve">time </w:t>
      </w:r>
      <w:r w:rsidR="00F144D6" w:rsidRPr="00F144D6">
        <w:rPr>
          <w:rFonts w:cstheme="minorHAnsi"/>
        </w:rPr>
        <w:t>and group</w:t>
      </w:r>
      <w:r w:rsidR="0034143D">
        <w:rPr>
          <w:rFonts w:cstheme="minorHAnsi"/>
        </w:rPr>
        <w:t xml:space="preserve">, </w:t>
      </w:r>
      <w:r w:rsidR="0034143D" w:rsidRPr="00F144D6">
        <w:rPr>
          <w:rFonts w:cstheme="minorHAnsi"/>
        </w:rPr>
        <w:t xml:space="preserve">reflecting the </w:t>
      </w:r>
      <w:r w:rsidR="00F31FAE">
        <w:rPr>
          <w:rFonts w:cstheme="minorHAnsi"/>
        </w:rPr>
        <w:t xml:space="preserve">effect of task condition on the </w:t>
      </w:r>
      <w:r w:rsidR="0034143D" w:rsidRPr="00F144D6">
        <w:rPr>
          <w:rFonts w:cstheme="minorHAnsi"/>
        </w:rPr>
        <w:t xml:space="preserve">change </w:t>
      </w:r>
      <w:r w:rsidR="0034143D">
        <w:rPr>
          <w:rFonts w:cstheme="minorHAnsi"/>
        </w:rPr>
        <w:t>in</w:t>
      </w:r>
      <w:r w:rsidR="0034143D" w:rsidRPr="00F144D6">
        <w:rPr>
          <w:rFonts w:cstheme="minorHAnsi"/>
        </w:rPr>
        <w:t xml:space="preserve"> mechanical sensitivity </w:t>
      </w:r>
      <w:r w:rsidR="0034143D">
        <w:rPr>
          <w:rFonts w:cstheme="minorHAnsi"/>
        </w:rPr>
        <w:t xml:space="preserve">from baseline </w:t>
      </w:r>
      <w:r w:rsidR="0034143D" w:rsidRPr="00F144D6">
        <w:rPr>
          <w:rFonts w:cstheme="minorHAnsi"/>
        </w:rPr>
        <w:t>to</w:t>
      </w:r>
      <w:r w:rsidR="0034143D">
        <w:rPr>
          <w:rFonts w:cstheme="minorHAnsi"/>
        </w:rPr>
        <w:t xml:space="preserve"> </w:t>
      </w:r>
      <w:r w:rsidR="00EB042E">
        <w:rPr>
          <w:rFonts w:cstheme="minorHAnsi"/>
        </w:rPr>
        <w:t>post-</w:t>
      </w:r>
      <w:r w:rsidR="00DA699F">
        <w:rPr>
          <w:rFonts w:cstheme="minorHAnsi"/>
        </w:rPr>
        <w:t xml:space="preserve">sensitization. </w:t>
      </w:r>
    </w:p>
    <w:p w14:paraId="5F53C5CC" w14:textId="799AD8E3" w:rsidR="007372DD" w:rsidRPr="00256B6F" w:rsidRDefault="007372DD" w:rsidP="007372DD">
      <w:pPr>
        <w:rPr>
          <w:rFonts w:cstheme="minorHAnsi"/>
          <w:b/>
          <w:bCs/>
          <w:color w:val="000000" w:themeColor="text1"/>
          <w:sz w:val="28"/>
          <w:szCs w:val="28"/>
        </w:rPr>
      </w:pPr>
      <w:r w:rsidRPr="00256B6F">
        <w:rPr>
          <w:rFonts w:cstheme="minorHAnsi"/>
          <w:b/>
          <w:bCs/>
          <w:color w:val="000000" w:themeColor="text1"/>
          <w:sz w:val="28"/>
          <w:szCs w:val="28"/>
        </w:rPr>
        <w:t>Material and methods</w:t>
      </w:r>
    </w:p>
    <w:p w14:paraId="745E84CB" w14:textId="6AB74315" w:rsidR="00256B6F" w:rsidRDefault="00234E01" w:rsidP="00316809">
      <w:pPr>
        <w:rPr>
          <w:rFonts w:cstheme="minorHAnsi"/>
          <w:color w:val="000000" w:themeColor="text1"/>
        </w:rPr>
      </w:pPr>
      <w:r>
        <w:rPr>
          <w:rFonts w:cstheme="minorHAnsi"/>
          <w:color w:val="000000" w:themeColor="text1"/>
        </w:rPr>
        <w:t>The s</w:t>
      </w:r>
      <w:r w:rsidR="00293C9F" w:rsidRPr="00492261">
        <w:rPr>
          <w:rFonts w:cstheme="minorHAnsi"/>
          <w:color w:val="000000" w:themeColor="text1"/>
        </w:rPr>
        <w:t xml:space="preserve">tudy design, procedures and analysis plan were </w:t>
      </w:r>
      <w:r w:rsidR="00913694">
        <w:rPr>
          <w:rFonts w:cstheme="minorHAnsi"/>
          <w:color w:val="000000" w:themeColor="text1"/>
        </w:rPr>
        <w:t>pre</w:t>
      </w:r>
      <w:r w:rsidR="00293C9F" w:rsidRPr="00492261">
        <w:rPr>
          <w:rFonts w:cstheme="minorHAnsi"/>
          <w:color w:val="000000" w:themeColor="text1"/>
        </w:rPr>
        <w:t xml:space="preserve">registered upon </w:t>
      </w:r>
      <w:r w:rsidR="00AB4C1D" w:rsidRPr="00492261">
        <w:rPr>
          <w:rFonts w:cstheme="minorHAnsi"/>
          <w:color w:val="000000" w:themeColor="text1"/>
        </w:rPr>
        <w:t>testing</w:t>
      </w:r>
      <w:r w:rsidR="00316809">
        <w:rPr>
          <w:rFonts w:cstheme="minorHAnsi"/>
          <w:color w:val="000000" w:themeColor="text1"/>
        </w:rPr>
        <w:t xml:space="preserve"> and available at </w:t>
      </w:r>
      <w:hyperlink r:id="rId13" w:history="1">
        <w:r w:rsidR="00316809" w:rsidRPr="00DE795D">
          <w:rPr>
            <w:rStyle w:val="Hyperlink"/>
            <w:rFonts w:cstheme="minorHAnsi"/>
          </w:rPr>
          <w:t>https://osf.io/97frt/?view_only=fdfe326de34443999d4be462724bd616</w:t>
        </w:r>
      </w:hyperlink>
    </w:p>
    <w:p w14:paraId="2BD81EAB" w14:textId="561B6780" w:rsidR="007372DD" w:rsidRPr="00284B63" w:rsidRDefault="007372DD" w:rsidP="007372DD">
      <w:pPr>
        <w:spacing w:after="0" w:line="480" w:lineRule="auto"/>
        <w:rPr>
          <w:rFonts w:cstheme="minorHAnsi"/>
          <w:b/>
          <w:bCs/>
          <w:sz w:val="24"/>
          <w:szCs w:val="24"/>
        </w:rPr>
      </w:pPr>
      <w:r w:rsidRPr="00284B63">
        <w:rPr>
          <w:rFonts w:cstheme="minorHAnsi"/>
          <w:b/>
          <w:bCs/>
          <w:sz w:val="24"/>
          <w:szCs w:val="24"/>
        </w:rPr>
        <w:t xml:space="preserve">Participants </w:t>
      </w:r>
    </w:p>
    <w:p w14:paraId="083CB178" w14:textId="5E55B44E" w:rsidR="007372DD" w:rsidRPr="00A4233B" w:rsidRDefault="00234E01" w:rsidP="002306F5">
      <w:pPr>
        <w:spacing w:after="0" w:line="480" w:lineRule="auto"/>
        <w:ind w:firstLine="720"/>
        <w:rPr>
          <w:rFonts w:cstheme="minorHAnsi"/>
        </w:rPr>
      </w:pPr>
      <w:r>
        <w:rPr>
          <w:rFonts w:cstheme="minorHAnsi"/>
        </w:rPr>
        <w:t>The s</w:t>
      </w:r>
      <w:r w:rsidR="007372DD" w:rsidRPr="004C3D68">
        <w:rPr>
          <w:rFonts w:cstheme="minorHAnsi"/>
        </w:rPr>
        <w:t>ample size was determined using the package powerlmm on R studio</w:t>
      </w:r>
      <w:r w:rsidR="00410E63">
        <w:rPr>
          <w:rFonts w:cstheme="minorHAnsi"/>
        </w:rPr>
        <w:t xml:space="preserve"> </w:t>
      </w:r>
      <w:r w:rsidR="004600C2">
        <w:rPr>
          <w:rFonts w:cstheme="minorHAnsi"/>
        </w:rPr>
        <w:fldChar w:fldCharType="begin"/>
      </w:r>
      <w:r w:rsidR="0019418B">
        <w:rPr>
          <w:rFonts w:cstheme="minorHAnsi"/>
        </w:rPr>
        <w:instrText xml:space="preserve"> ADDIN ZOTERO_ITEM CSL_CITATION {"citationID":"dtXluU9T","properties":{"formattedCitation":"[15,22,29,42,54]","plainCitation":"[15,22,29,42,54]","noteIndex":0},"citationItems":[{"id":473,"uris":["http://zotero.org/users/9378318/items/7YZNUZXL"],"itemData":{"id":473,"type":"article-journal","abstract":"Experimental designs that sample both subjects and stimuli from a larger population need to account for random effects of both subjects and stimuli using mixed-effects models. However, much of this research is analyzed using analysis of variance on aggregated responses because researchers are not confident specifying and interpreting mixed-effects models. This Tutorial explains how to simulate data with random-effects structure and analyze the data using linear mixed-effects regression (with the lme4 R package), with a focus on interpreting the output in light of the simulated parameters. Data simulation not only can enhance understanding of how these models work, but also enables researchers to perform power calculations for complex designs. All materials associated with this article can be accessed at https://osf.io/3cz2e/.","container-title":"Advances in Methods and Practices in Psychological Science","DOI":"10.1177/2515245920965119","issue":"1","title":"Understanding Mixed-Effects Models Through Data Simulation","volume":"4","author":[{"family":"DeBruine","given":"Lisa M."},{"family":"Barr","given":"Dale J."}],"issued":{"date-parts":[["2021"]]}}},{"id":1116,"uris":["http://zotero.org/users/9378318/items/KI7VBZC2"],"itemData":{"id":1116,"type":"article-journal","abstract":"A Multilevel model is a statistical tool for analysing data that has a hierarchical data structure (in other words, data are nested within contexts). This paper describes what a multilevel model is, how it is described mathematically, the advantages of using this data analysis technique, and some practical issues to consider. We then move on to describe the application of multilevel models using two scenarios pertinent to researchers interested in clinical trial analysis and experimental psychopathology research. We describe how to use the software R to run these analyses.","container-title":"Journal of Experimental Psychopathology","DOI":"10.5127/jep.013711","ISSN":"2043-8087, 2043-8087","issue":"2","journalAbbreviation":"Journal of Experimental Psychopathology","language":"en","page":"271-293","source":"DOI.org (Crossref)","title":"A Primer on Using Multilevel Models in Clinical and Experimental Psychopathology Research","volume":"2","author":[{"family":"Field","given":"Andy P."},{"family":"Wright","given":"Daniel B."}],"issued":{"date-parts":[["2011",5]]}}},{"id":564,"uris":["http://zotero.org/users/9378318/items/TCGB5BRV"],"itemData":{"id":564,"type":"article-journal","abstract":"This review focuses on the use of multilevel models in psychology and other social sciences. We target readers who are catching up on current best practices and sources of controversy in the specification of multilevel models. We first describe common use cases for clustered, longitudinal, and cross-classified designs, as well as their combinations. Using examples from both clustered and longitudinal designs, we then address issues of centering for observed predictor variables: its use in creating interpretable fixed and random effects of predictors, its relationship to endogeneity problems (correlations between predictors and model error terms), and its translation into multivariate multilevel models (using latent-centering within multilevel structural equation models). Finally, we describe novel extensions—mixedeffects location–scale models—designed for predicting differential amounts of variability.","container-title":"Annual Review of Psychology","DOI":"10.1146/annurev-psych-020821-103525","ISSN":"0066-4308, 1545-2085","issue":"1","journalAbbreviation":"Annu. Rev. Psychol.","language":"en","page":"659-689","source":"DOI.org (Crossref)","title":"Catching Up on Multilevel Modeling","volume":"73","author":[{"family":"Hoffman","given":"Lesa"},{"family":"Walters","given":"Ryan W."}],"issued":{"date-parts":[["2022",1,4]]}}},{"id":1878,"uris":["http://zotero.org/users/9378318/items/ED4EF7GJ"],"itemData":{"id":1878,"type":"article-journal","title":"Magnusson, K. (2018). Powerlmm: Power analysis for longitudinal multilevel models. R Package Version 0.4. 0."}},{"id":1875,"uris":["http://zotero.org/users/9378318/items/V7MXZHCY"],"itemData":{"id":1875,"type":"article-journal","title":"R Core Team (2021). R: A language and environment for statistical ##   computing. R Foundation for Statistical Computing, Vienna, Austria. ##   URL https://www.R-project.org/."},"label":"page"}],"schema":"https://github.com/citation-style-language/schema/raw/master/csl-citation.json"} </w:instrText>
      </w:r>
      <w:r w:rsidR="004600C2">
        <w:rPr>
          <w:rFonts w:cstheme="minorHAnsi"/>
        </w:rPr>
        <w:fldChar w:fldCharType="separate"/>
      </w:r>
      <w:r w:rsidR="001A31BB" w:rsidRPr="001A31BB">
        <w:rPr>
          <w:rFonts w:ascii="Calibri" w:hAnsi="Calibri" w:cs="Calibri"/>
        </w:rPr>
        <w:t>[15,22,29,42,54]</w:t>
      </w:r>
      <w:r w:rsidR="004600C2">
        <w:rPr>
          <w:rFonts w:cstheme="minorHAnsi"/>
        </w:rPr>
        <w:fldChar w:fldCharType="end"/>
      </w:r>
      <w:r w:rsidR="00F00149" w:rsidRPr="004C3D68">
        <w:rPr>
          <w:rFonts w:cstheme="minorHAnsi"/>
        </w:rPr>
        <w:t>.</w:t>
      </w:r>
      <w:r w:rsidR="00F00149" w:rsidRPr="00A4233B">
        <w:rPr>
          <w:rFonts w:cstheme="minorHAnsi"/>
        </w:rPr>
        <w:t xml:space="preserve"> </w:t>
      </w:r>
      <w:r w:rsidR="007372DD" w:rsidRPr="00A4233B">
        <w:rPr>
          <w:rFonts w:cstheme="minorHAnsi"/>
        </w:rPr>
        <w:t xml:space="preserve">Calculation was based on </w:t>
      </w:r>
      <w:r w:rsidR="00FF2770">
        <w:rPr>
          <w:rFonts w:cstheme="minorHAnsi"/>
        </w:rPr>
        <w:t>a two-level mixed model with a time x condition intera</w:t>
      </w:r>
      <w:r w:rsidR="00DD3F93">
        <w:rPr>
          <w:rFonts w:cstheme="minorHAnsi"/>
        </w:rPr>
        <w:t>c</w:t>
      </w:r>
      <w:r w:rsidR="00FF2770">
        <w:rPr>
          <w:rFonts w:cstheme="minorHAnsi"/>
        </w:rPr>
        <w:t>tion</w:t>
      </w:r>
      <w:r w:rsidR="001C287E">
        <w:rPr>
          <w:rFonts w:cstheme="minorHAnsi"/>
        </w:rPr>
        <w:t xml:space="preserve"> </w:t>
      </w:r>
      <w:r w:rsidR="001C287E" w:rsidRPr="00A4233B">
        <w:rPr>
          <w:rFonts w:cstheme="minorHAnsi"/>
        </w:rPr>
        <w:t>and allowing for an intercept random effect</w:t>
      </w:r>
      <w:r w:rsidR="00410E63">
        <w:rPr>
          <w:rStyle w:val="CommentReference"/>
        </w:rPr>
        <w:t xml:space="preserve"> </w:t>
      </w:r>
      <w:r w:rsidR="001C287E">
        <w:rPr>
          <w:rFonts w:cstheme="minorHAnsi"/>
        </w:rPr>
        <w:fldChar w:fldCharType="begin"/>
      </w:r>
      <w:r w:rsidR="0019418B">
        <w:rPr>
          <w:rFonts w:cstheme="minorHAnsi"/>
        </w:rPr>
        <w:instrText xml:space="preserve"> ADDIN ZOTERO_ITEM CSL_CITATION {"citationID":"MUEZZW9v","properties":{"formattedCitation":"[15,22,29]","plainCitation":"[15,22,29]","noteIndex":0},"citationItems":[{"id":473,"uris":["http://zotero.org/users/9378318/items/7YZNUZXL"],"itemData":{"id":473,"type":"article-journal","abstract":"Experimental designs that sample both subjects and stimuli from a larger population need to account for random effects of both subjects and stimuli using mixed-effects models. However, much of this research is analyzed using analysis of variance on aggregated responses because researchers are not confident specifying and interpreting mixed-effects models. This Tutorial explains how to simulate data with random-effects structure and analyze the data using linear mixed-effects regression (with the lme4 R package), with a focus on interpreting the output in light of the simulated parameters. Data simulation not only can enhance understanding of how these models work, but also enables researchers to perform power calculations for complex designs. All materials associated with this article can be accessed at https://osf.io/3cz2e/.","container-title":"Advances in Methods and Practices in Psychological Science","DOI":"10.1177/2515245920965119","issue":"1","title":"Understanding Mixed-Effects Models Through Data Simulation","volume":"4","author":[{"family":"DeBruine","given":"Lisa M."},{"family":"Barr","given":"Dale J."}],"issued":{"date-parts":[["2021"]]}}},{"id":1116,"uris":["http://zotero.org/users/9378318/items/KI7VBZC2"],"itemData":{"id":1116,"type":"article-journal","abstract":"A Multilevel model is a statistical tool for analysing data that has a hierarchical data structure (in other words, data are nested within contexts). This paper describes what a multilevel model is, how it is described mathematically, the advantages of using this data analysis technique, and some practical issues to consider. We then move on to describe the application of multilevel models using two scenarios pertinent to researchers interested in clinical trial analysis and experimental psychopathology research. We describe how to use the software R to run these analyses.","container-title":"Journal of Experimental Psychopathology","DOI":"10.5127/jep.013711","ISSN":"2043-8087, 2043-8087","issue":"2","journalAbbreviation":"Journal of Experimental Psychopathology","language":"en","page":"271-293","source":"DOI.org (Crossref)","title":"A Primer on Using Multilevel Models in Clinical and Experimental Psychopathology Research","volume":"2","author":[{"family":"Field","given":"Andy P."},{"family":"Wright","given":"Daniel B."}],"issued":{"date-parts":[["2011",5]]}}},{"id":564,"uris":["http://zotero.org/users/9378318/items/TCGB5BRV"],"itemData":{"id":564,"type":"article-journal","abstract":"This review focuses on the use of multilevel models in psychology and other social sciences. We target readers who are catching up on current best practices and sources of controversy in the specification of multilevel models. We first describe common use cases for clustered, longitudinal, and cross-classified designs, as well as their combinations. Using examples from both clustered and longitudinal designs, we then address issues of centering for observed predictor variables: its use in creating interpretable fixed and random effects of predictors, its relationship to endogeneity problems (correlations between predictors and model error terms), and its translation into multivariate multilevel models (using latent-centering within multilevel structural equation models). Finally, we describe novel extensions—mixedeffects location–scale models—designed for predicting differential amounts of variability.","container-title":"Annual Review of Psychology","DOI":"10.1146/annurev-psych-020821-103525","ISSN":"0066-4308, 1545-2085","issue":"1","journalAbbreviation":"Annu. Rev. Psychol.","language":"en","page":"659-689","source":"DOI.org (Crossref)","title":"Catching Up on Multilevel Modeling","volume":"73","author":[{"family":"Hoffman","given":"Lesa"},{"family":"Walters","given":"Ryan W."}],"issued":{"date-parts":[["2022",1,4]]}}}],"schema":"https://github.com/citation-style-language/schema/raw/master/csl-citation.json"} </w:instrText>
      </w:r>
      <w:r w:rsidR="001C287E">
        <w:rPr>
          <w:rFonts w:cstheme="minorHAnsi"/>
        </w:rPr>
        <w:fldChar w:fldCharType="separate"/>
      </w:r>
      <w:r w:rsidR="001A31BB" w:rsidRPr="001A31BB">
        <w:rPr>
          <w:rFonts w:ascii="Calibri" w:hAnsi="Calibri" w:cs="Calibri"/>
        </w:rPr>
        <w:t>[15,22,29]</w:t>
      </w:r>
      <w:r w:rsidR="001C287E">
        <w:rPr>
          <w:rFonts w:cstheme="minorHAnsi"/>
        </w:rPr>
        <w:fldChar w:fldCharType="end"/>
      </w:r>
      <w:r w:rsidR="009E2A3F">
        <w:rPr>
          <w:rFonts w:cstheme="minorHAnsi"/>
        </w:rPr>
        <w:t xml:space="preserve"> which reflected </w:t>
      </w:r>
      <w:r w:rsidR="00410E63">
        <w:rPr>
          <w:rFonts w:cstheme="minorHAnsi"/>
        </w:rPr>
        <w:t>our primary hyp</w:t>
      </w:r>
      <w:r>
        <w:rPr>
          <w:rFonts w:cstheme="minorHAnsi"/>
        </w:rPr>
        <w:t>o</w:t>
      </w:r>
      <w:r w:rsidR="00410E63">
        <w:rPr>
          <w:rFonts w:cstheme="minorHAnsi"/>
        </w:rPr>
        <w:t xml:space="preserve">thesis </w:t>
      </w:r>
      <w:r w:rsidR="007372DD" w:rsidRPr="00A4233B">
        <w:rPr>
          <w:rFonts w:cstheme="minorHAnsi"/>
        </w:rPr>
        <w:t xml:space="preserve">i.e., whether the difficult-task </w:t>
      </w:r>
      <w:r w:rsidR="00DA508C">
        <w:rPr>
          <w:rFonts w:cstheme="minorHAnsi"/>
        </w:rPr>
        <w:t xml:space="preserve">group </w:t>
      </w:r>
      <w:r w:rsidR="007372DD" w:rsidRPr="00A4233B">
        <w:rPr>
          <w:rFonts w:cstheme="minorHAnsi"/>
        </w:rPr>
        <w:t xml:space="preserve">would result in lower mechanical pinprick sensitivity at </w:t>
      </w:r>
      <w:r w:rsidR="00E77E02">
        <w:rPr>
          <w:rFonts w:cstheme="minorHAnsi"/>
        </w:rPr>
        <w:t>20 (T1) and at 40 (T2)</w:t>
      </w:r>
      <w:r w:rsidR="00E3299C">
        <w:rPr>
          <w:rFonts w:cstheme="minorHAnsi"/>
        </w:rPr>
        <w:t xml:space="preserve"> minutes after </w:t>
      </w:r>
      <w:r w:rsidR="00E77E02">
        <w:rPr>
          <w:rFonts w:cstheme="minorHAnsi"/>
        </w:rPr>
        <w:t>the delivery of high-frequency stimulation (HFS)</w:t>
      </w:r>
      <w:r w:rsidR="007372DD" w:rsidRPr="00A4233B">
        <w:rPr>
          <w:rFonts w:cstheme="minorHAnsi"/>
        </w:rPr>
        <w:t xml:space="preserve"> as compared to the easy-task </w:t>
      </w:r>
      <w:r w:rsidR="00DA508C">
        <w:rPr>
          <w:rFonts w:cstheme="minorHAnsi"/>
        </w:rPr>
        <w:t>group</w:t>
      </w:r>
      <w:r w:rsidR="00F87268">
        <w:rPr>
          <w:rFonts w:cstheme="minorHAnsi"/>
        </w:rPr>
        <w:t xml:space="preserve"> ( see </w:t>
      </w:r>
      <w:hyperlink r:id="rId14" w:history="1">
        <w:r w:rsidR="00F87268" w:rsidRPr="00AD7B9F">
          <w:rPr>
            <w:rStyle w:val="Hyperlink"/>
            <w:rFonts w:cstheme="minorHAnsi"/>
          </w:rPr>
          <w:t>https://osf.io/97frt/?view_only=fdfe326de34443999d4be462724bd616</w:t>
        </w:r>
      </w:hyperlink>
      <w:r w:rsidR="00F87268">
        <w:rPr>
          <w:rStyle w:val="Hyperlink"/>
          <w:rFonts w:cstheme="minorHAnsi"/>
        </w:rPr>
        <w:t xml:space="preserve"> </w:t>
      </w:r>
      <w:r w:rsidR="001D7D80">
        <w:rPr>
          <w:rFonts w:cstheme="minorHAnsi"/>
        </w:rPr>
        <w:t xml:space="preserve">for a </w:t>
      </w:r>
      <w:r w:rsidR="0097683F">
        <w:rPr>
          <w:rFonts w:cstheme="minorHAnsi"/>
        </w:rPr>
        <w:t>more detailed description about the sample size calculation, including R scripts</w:t>
      </w:r>
      <w:bookmarkStart w:id="7" w:name="_Hlk152168384"/>
      <w:r w:rsidR="0097683F">
        <w:rPr>
          <w:rFonts w:cstheme="minorHAnsi"/>
        </w:rPr>
        <w:t xml:space="preserve">). </w:t>
      </w:r>
      <w:r w:rsidR="007372DD" w:rsidRPr="00C77756">
        <w:rPr>
          <w:rFonts w:cstheme="minorHAnsi"/>
          <w:color w:val="FF0000"/>
        </w:rPr>
        <w:t xml:space="preserve">The minimum </w:t>
      </w:r>
      <w:r w:rsidR="00C31D22" w:rsidRPr="00C77756">
        <w:rPr>
          <w:rFonts w:cstheme="minorHAnsi"/>
          <w:color w:val="FF0000"/>
        </w:rPr>
        <w:t xml:space="preserve">standardized effect </w:t>
      </w:r>
      <w:r w:rsidR="00C31D22" w:rsidRPr="00C77756">
        <w:rPr>
          <w:rFonts w:cstheme="minorHAnsi"/>
          <w:color w:val="FF0000"/>
        </w:rPr>
        <w:lastRenderedPageBreak/>
        <w:t>size</w:t>
      </w:r>
      <w:r w:rsidR="000143E7">
        <w:rPr>
          <w:rFonts w:cstheme="minorHAnsi"/>
          <w:color w:val="FF0000"/>
        </w:rPr>
        <w:t xml:space="preserve"> </w:t>
      </w:r>
      <w:r w:rsidR="007372DD" w:rsidRPr="00C77756">
        <w:rPr>
          <w:rFonts w:cstheme="minorHAnsi"/>
          <w:color w:val="FF0000"/>
        </w:rPr>
        <w:t>was set at</w:t>
      </w:r>
      <w:r w:rsidR="00AF07F2" w:rsidRPr="00C77756">
        <w:rPr>
          <w:rFonts w:cstheme="minorHAnsi"/>
          <w:color w:val="FF0000"/>
        </w:rPr>
        <w:t xml:space="preserve"> </w:t>
      </w:r>
      <w:r w:rsidR="0016544B" w:rsidRPr="0016544B">
        <w:rPr>
          <w:rFonts w:cstheme="minorHAnsi"/>
          <w:color w:val="FF0000"/>
        </w:rPr>
        <w:t xml:space="preserve">Cohen </w:t>
      </w:r>
      <w:r w:rsidR="00AF07F2" w:rsidRPr="00AF07F2">
        <w:rPr>
          <w:rFonts w:cstheme="minorHAnsi"/>
          <w:color w:val="FF0000"/>
        </w:rPr>
        <w:t>d=</w:t>
      </w:r>
      <w:r w:rsidR="007372DD" w:rsidRPr="00A4233B">
        <w:rPr>
          <w:rFonts w:cstheme="minorHAnsi"/>
        </w:rPr>
        <w:t xml:space="preserve"> .4 </w:t>
      </w:r>
      <w:bookmarkEnd w:id="7"/>
      <w:r w:rsidR="007372DD" w:rsidRPr="00A4233B">
        <w:rPr>
          <w:rFonts w:cstheme="minorHAnsi"/>
        </w:rPr>
        <w:t>and the desired power level was .8, which resulted in a required sample size of 80 participants.</w:t>
      </w:r>
      <w:r w:rsidR="006F603F">
        <w:rPr>
          <w:rFonts w:cstheme="minorHAnsi"/>
        </w:rPr>
        <w:t xml:space="preserve"> Yet, </w:t>
      </w:r>
      <w:r w:rsidR="00706847">
        <w:rPr>
          <w:rFonts w:cstheme="minorHAnsi"/>
        </w:rPr>
        <w:t>t</w:t>
      </w:r>
      <w:r w:rsidR="007372DD" w:rsidRPr="00A4233B">
        <w:rPr>
          <w:rFonts w:cstheme="minorHAnsi"/>
        </w:rPr>
        <w:t>o account for possible drops out, we tested a total of 9</w:t>
      </w:r>
      <w:r w:rsidR="00A2750A">
        <w:rPr>
          <w:rFonts w:cstheme="minorHAnsi"/>
        </w:rPr>
        <w:t>2</w:t>
      </w:r>
      <w:r w:rsidR="00BA12B3">
        <w:rPr>
          <w:rFonts w:cstheme="minorHAnsi"/>
        </w:rPr>
        <w:t xml:space="preserve"> </w:t>
      </w:r>
      <w:r w:rsidR="00BA12B3" w:rsidRPr="00A4233B">
        <w:rPr>
          <w:rFonts w:cstheme="minorHAnsi"/>
        </w:rPr>
        <w:t>subject</w:t>
      </w:r>
      <w:r w:rsidR="00976B7F">
        <w:rPr>
          <w:rFonts w:cstheme="minorHAnsi"/>
        </w:rPr>
        <w:t>s</w:t>
      </w:r>
      <w:r w:rsidR="00476DE3">
        <w:rPr>
          <w:rFonts w:cstheme="minorHAnsi"/>
        </w:rPr>
        <w:t>.</w:t>
      </w:r>
      <w:r w:rsidR="00706847" w:rsidRPr="004336E7">
        <w:rPr>
          <w:rFonts w:cstheme="minorHAnsi"/>
          <w:color w:val="FF0000"/>
        </w:rPr>
        <w:t xml:space="preserve"> </w:t>
      </w:r>
      <w:bookmarkStart w:id="8" w:name="_Hlk152168349"/>
      <w:r w:rsidR="004336E7" w:rsidRPr="004336E7">
        <w:rPr>
          <w:rFonts w:cstheme="minorHAnsi"/>
          <w:color w:val="FF0000"/>
        </w:rPr>
        <w:t>The effect size</w:t>
      </w:r>
      <w:r w:rsidR="0016544B">
        <w:rPr>
          <w:rFonts w:cstheme="minorHAnsi"/>
          <w:color w:val="FF0000"/>
        </w:rPr>
        <w:t>, as in</w:t>
      </w:r>
      <w:r w:rsidR="00A156A6">
        <w:rPr>
          <w:rFonts w:cstheme="minorHAnsi"/>
          <w:color w:val="FF0000"/>
        </w:rPr>
        <w:t xml:space="preserve"> </w:t>
      </w:r>
      <w:r w:rsidR="00A156A6">
        <w:rPr>
          <w:rFonts w:cstheme="minorHAnsi"/>
          <w:color w:val="FF0000"/>
        </w:rPr>
        <w:fldChar w:fldCharType="begin"/>
      </w:r>
      <w:r w:rsidR="0019418B">
        <w:rPr>
          <w:rFonts w:cstheme="minorHAnsi"/>
          <w:color w:val="FF0000"/>
        </w:rPr>
        <w:instrText xml:space="preserve"> ADDIN ZOTERO_ITEM CSL_CITATION {"citationID":"hvp2HYT2","properties":{"formattedCitation":"[17]","plainCitation":"[17]","noteIndex":0},"citationItems":[{"id":1461,"uris":["http://zotero.org/users/9378318/items/2P382QLR"],"itemData":{"id":1461,"type":"article-journal","container-title":"Cognitive Neuroscience","journalAbbreviation":"Cognitive Neuroscience","note":"publisher: Frontiers in Human Neuroscience","page":"754","title":"No evidence for an effect of selective spatial attention on the development of secondary hyperalgesia: a replication study","author":[{"family":"Della Porta","given":"Delia"},{"family":"Vilz","given":"Marie-Lynn"},{"family":"Kuzminova","given":"Avgustina"},{"family":"Filbrich","given":"Lieve"},{"family":"Mouraux","given":"André"},{"family":"Legrain","given":"Valéry"}],"issued":{"date-parts":[["2022"]]}}}],"schema":"https://github.com/citation-style-language/schema/raw/master/csl-citation.json"} </w:instrText>
      </w:r>
      <w:r w:rsidR="00A156A6">
        <w:rPr>
          <w:rFonts w:cstheme="minorHAnsi"/>
          <w:color w:val="FF0000"/>
        </w:rPr>
        <w:fldChar w:fldCharType="separate"/>
      </w:r>
      <w:r w:rsidR="0019418B">
        <w:rPr>
          <w:rFonts w:cstheme="minorHAnsi"/>
          <w:noProof/>
          <w:color w:val="FF0000"/>
        </w:rPr>
        <w:t>[17]</w:t>
      </w:r>
      <w:r w:rsidR="00A156A6">
        <w:rPr>
          <w:rFonts w:cstheme="minorHAnsi"/>
          <w:color w:val="FF0000"/>
        </w:rPr>
        <w:fldChar w:fldCharType="end"/>
      </w:r>
      <w:r w:rsidR="0016544B">
        <w:rPr>
          <w:rFonts w:cstheme="minorHAnsi"/>
          <w:color w:val="FF0000"/>
        </w:rPr>
        <w:t xml:space="preserve">, </w:t>
      </w:r>
      <w:r w:rsidR="004336E7" w:rsidRPr="004336E7">
        <w:rPr>
          <w:rFonts w:cstheme="minorHAnsi"/>
          <w:color w:val="FF0000"/>
        </w:rPr>
        <w:t xml:space="preserve">was </w:t>
      </w:r>
      <w:r w:rsidR="00476DE3">
        <w:rPr>
          <w:rFonts w:cstheme="minorHAnsi"/>
          <w:color w:val="FF0000"/>
        </w:rPr>
        <w:t xml:space="preserve">defined </w:t>
      </w:r>
      <w:r w:rsidR="00476DE3" w:rsidRPr="00476DE3">
        <w:rPr>
          <w:rFonts w:cstheme="minorHAnsi"/>
          <w:color w:val="FF0000"/>
        </w:rPr>
        <w:t xml:space="preserve">considering the smallest effect size found in </w:t>
      </w:r>
      <w:bookmarkEnd w:id="8"/>
      <w:r w:rsidR="0019418B">
        <w:rPr>
          <w:rFonts w:cstheme="minorHAnsi"/>
          <w:color w:val="FF0000"/>
        </w:rPr>
        <w:fldChar w:fldCharType="begin"/>
      </w:r>
      <w:r w:rsidR="0019418B">
        <w:rPr>
          <w:rFonts w:cstheme="minorHAnsi"/>
          <w:color w:val="FF0000"/>
        </w:rPr>
        <w:instrText xml:space="preserve"> ADDIN ZOTERO_ITEM CSL_CITATION {"citationID":"o6by6Ort","properties":{"formattedCitation":"[23]","plainCitation":"[23]","noteIndex":0},"citationItems":[{"id":537,"uris":["http://zotero.org/users/9378318/items/8I4B3XBU"],"itemData":{"id":537,"type":"article-journal","abstract":"Intense or sustained activation of peripheral nociceptors can induce central sensitization. This enhanced responsiveness to nociceptive input of the central nervous system primarily manifests as an increased sensitivity to painful mechanical pinprick stimuli extending beyond the site of injury (secondary mechanical hyperalgesia) and is thought to be a key mechanism in the development of chronic pain, such as persistent post-operative pain. It is increasingly recognized that emotional and cognitive factors can strongly inﬂuence the pain experience. Furthermore, through their potential effects on pain modulation circuits including descending pathways to the spinal cord, it has been hypothesized that these emotional and cognitive factors could constitute risk factors for the susceptibility to develop chronic pain. Here, we tested whether, in healthy volunteers, the experimental induction of central sensitization by peripheral nociceptive input can be modulated by selective spatial attention. While participants performed a somatosensory detection task that required focusing attention towards one of the forearms, secondary hyperalgesia was induced at both forearms using bilateral and simultaneous high-frequency electrical stimulation (HFS) of the skin. HFS induced an increased sensitivity to mechanical pinprick stimuli at both forearms, directly (T1) and 20 min (T2) after HFS, conﬁrming the successful induction of secondary hyperalgesia at both forearms. Most importantly, at T2, the HFSinduced increase in pinprick sensitivity as well as the area of secondary hyperalgesia was greater at the attended arm as compared to the non-attended arm. This indicates that top-down attentional factors can modulate the development of central sensitization by peripheral nociceptive input, and that the focus of spatial attention, besides its modulatory effects on perception, can affect activity-dependent neuroplasticity.","container-title":"Cortex","DOI":"10.1016/j.cortex.2019.11.014","ISSN":"00109452","journalAbbreviation":"Cortex","language":"en","page":"193-203","source":"DOI.org (Crossref)","title":"The focus of spatial attention during the induction of central sensitization can modulate the subsequent development of secondary hyperalgesia","volume":"124","author":[{"family":"Filbrich","given":"Lieve"},{"family":"Broeke","given":"Emanuel N.","non-dropping-particle":"van den"},{"family":"Legrain","given":"Valéry"},{"family":"Mouraux","given":"André"}],"issued":{"date-parts":[["2020",3]]}}}],"schema":"https://github.com/citation-style-language/schema/raw/master/csl-citation.json"} </w:instrText>
      </w:r>
      <w:r w:rsidR="0019418B">
        <w:rPr>
          <w:rFonts w:cstheme="minorHAnsi"/>
          <w:color w:val="FF0000"/>
        </w:rPr>
        <w:fldChar w:fldCharType="separate"/>
      </w:r>
      <w:r w:rsidR="0019418B">
        <w:rPr>
          <w:rFonts w:cstheme="minorHAnsi"/>
          <w:noProof/>
          <w:color w:val="FF0000"/>
        </w:rPr>
        <w:t>[23]</w:t>
      </w:r>
      <w:r w:rsidR="0019418B">
        <w:rPr>
          <w:rFonts w:cstheme="minorHAnsi"/>
          <w:color w:val="FF0000"/>
        </w:rPr>
        <w:fldChar w:fldCharType="end"/>
      </w:r>
      <w:r w:rsidR="00987635">
        <w:rPr>
          <w:rFonts w:cstheme="minorHAnsi"/>
          <w:color w:val="FF0000"/>
        </w:rPr>
        <w:t xml:space="preserve">, a study focused on investigating </w:t>
      </w:r>
      <w:r w:rsidR="00D3129E" w:rsidRPr="00D3129E">
        <w:rPr>
          <w:rFonts w:cstheme="minorHAnsi"/>
          <w:color w:val="FF0000"/>
        </w:rPr>
        <w:t>whether a spatial attention task could lead to a change in the development of secondary hypersensitivity following the HFS stimulation</w:t>
      </w:r>
      <w:r w:rsidR="00806303">
        <w:rPr>
          <w:rFonts w:cstheme="minorHAnsi"/>
          <w:color w:val="FF0000"/>
        </w:rPr>
        <w:t xml:space="preserve">. </w:t>
      </w:r>
      <w:r w:rsidR="00834E23">
        <w:rPr>
          <w:rFonts w:cstheme="minorHAnsi"/>
        </w:rPr>
        <w:t>T</w:t>
      </w:r>
      <w:r w:rsidR="00834E23" w:rsidRPr="00834E23">
        <w:rPr>
          <w:rFonts w:cstheme="minorHAnsi"/>
        </w:rPr>
        <w:t>o achieve an even distribution of participants across both groups, they were randomly allocated to either of the two groups</w:t>
      </w:r>
      <w:r w:rsidR="00976B7F">
        <w:rPr>
          <w:rFonts w:cstheme="minorHAnsi"/>
        </w:rPr>
        <w:t xml:space="preserve"> ( difficult vs. easy)</w:t>
      </w:r>
      <w:r w:rsidR="00834E23" w:rsidRPr="00834E23">
        <w:rPr>
          <w:rFonts w:cstheme="minorHAnsi"/>
        </w:rPr>
        <w:t xml:space="preserve"> </w:t>
      </w:r>
      <w:r w:rsidR="00976B7F">
        <w:rPr>
          <w:rFonts w:cstheme="minorHAnsi"/>
        </w:rPr>
        <w:t xml:space="preserve">using </w:t>
      </w:r>
      <w:r w:rsidR="00834E23" w:rsidRPr="00834E23">
        <w:rPr>
          <w:rFonts w:cstheme="minorHAnsi"/>
        </w:rPr>
        <w:t>block randomization</w:t>
      </w:r>
      <w:r w:rsidR="00E742BE">
        <w:rPr>
          <w:rFonts w:cstheme="minorHAnsi"/>
        </w:rPr>
        <w:t xml:space="preserve"> </w:t>
      </w:r>
      <w:r w:rsidR="00E742BE">
        <w:rPr>
          <w:rFonts w:cstheme="minorHAnsi"/>
        </w:rPr>
        <w:fldChar w:fldCharType="begin"/>
      </w:r>
      <w:r w:rsidR="0019418B">
        <w:rPr>
          <w:rFonts w:cstheme="minorHAnsi"/>
        </w:rPr>
        <w:instrText xml:space="preserve"> ADDIN ZOTERO_ITEM CSL_CITATION {"citationID":"DPYAuSBh","properties":{"formattedCitation":"[20]","plainCitation":"[20]","noteIndex":0},"citationItems":[{"id":1925,"uris":["http://zotero.org/users/9378318/items/H4PRX6DD"],"itemData":{"id":1925,"type":"article-journal","abstract":"When planning a randomized clinical trial, careful consideration must be given to how participants are selected for various arms of a study. Selection and accidental bias may occur when participants are not assigned to study groups with equal probability. A simple random allocation scheme is a process by which each participant has equal likelihood of being assigned to treatment versus referent groups. However, by chance an unequal number of individuals may be assigned to each arm of the study and thus decrease the power to detect statistically significant differences between groups. Block randomization is a commonly used technique in clinical trial design to reduce bias and achieve balance in the allocation of participants to treatment arms, especially when the sample size is small. This method increases the probability that each arm will contain an equal number of individuals by sequencing participant assignments by block. Yet still, the allocation process may be predictable, for example, when the investigator is not blind and the block size is fixed. This paper provides an overview of blocked randomization and illustrates how to avoid selection bias by using random block sizes.","container-title":"International Journal of Environmental Research and Public Health","DOI":"10.3390/ijerph8010015","ISSN":"1660-4601","issue":"1","journalAbbreviation":"IJERPH","language":"en","page":"15-20","source":"DOI.org (Crossref)","title":"Blocked Randomization with Randomly Selected Block Sizes","volume":"8","author":[{"family":"Efird","given":"Jimmy"}],"issued":{"date-parts":[["2010",12,23]]}}}],"schema":"https://github.com/citation-style-language/schema/raw/master/csl-citation.json"} </w:instrText>
      </w:r>
      <w:r w:rsidR="00E742BE">
        <w:rPr>
          <w:rFonts w:cstheme="minorHAnsi"/>
        </w:rPr>
        <w:fldChar w:fldCharType="separate"/>
      </w:r>
      <w:r w:rsidR="001A31BB" w:rsidRPr="001A31BB">
        <w:rPr>
          <w:rFonts w:ascii="Calibri" w:hAnsi="Calibri" w:cs="Calibri"/>
        </w:rPr>
        <w:t>[20]</w:t>
      </w:r>
      <w:r w:rsidR="00E742BE">
        <w:rPr>
          <w:rFonts w:cstheme="minorHAnsi"/>
        </w:rPr>
        <w:fldChar w:fldCharType="end"/>
      </w:r>
      <w:r w:rsidR="00834E23" w:rsidRPr="00834E23">
        <w:rPr>
          <w:rFonts w:cstheme="minorHAnsi"/>
        </w:rPr>
        <w:t>.</w:t>
      </w:r>
      <w:r w:rsidR="00693B17">
        <w:rPr>
          <w:rFonts w:cstheme="minorHAnsi"/>
        </w:rPr>
        <w:t xml:space="preserve"> </w:t>
      </w:r>
      <w:r w:rsidR="007372DD" w:rsidRPr="00A4233B">
        <w:rPr>
          <w:rFonts w:cstheme="minorHAnsi"/>
        </w:rPr>
        <w:t>Participants were recruited through advert</w:t>
      </w:r>
      <w:r>
        <w:rPr>
          <w:rFonts w:cstheme="minorHAnsi"/>
        </w:rPr>
        <w:t>isements</w:t>
      </w:r>
      <w:r w:rsidR="007372DD" w:rsidRPr="00A4233B">
        <w:rPr>
          <w:rFonts w:cstheme="minorHAnsi"/>
        </w:rPr>
        <w:t xml:space="preserve"> on social media and flyers distributed around the local university campus. </w:t>
      </w:r>
      <w:bookmarkStart w:id="9" w:name="_Hlk153459190"/>
      <w:r w:rsidR="007372DD" w:rsidRPr="00A4233B">
        <w:rPr>
          <w:rFonts w:cstheme="minorHAnsi"/>
        </w:rPr>
        <w:t xml:space="preserve">They were told that the purpose of the study was to assess performance </w:t>
      </w:r>
      <w:r w:rsidR="00DD7560">
        <w:rPr>
          <w:rFonts w:cstheme="minorHAnsi"/>
        </w:rPr>
        <w:t>on</w:t>
      </w:r>
      <w:r w:rsidR="00DD7560" w:rsidRPr="00A4233B">
        <w:rPr>
          <w:rFonts w:cstheme="minorHAnsi"/>
        </w:rPr>
        <w:t xml:space="preserve"> </w:t>
      </w:r>
      <w:r w:rsidR="007372DD" w:rsidRPr="00A4233B">
        <w:rPr>
          <w:rFonts w:cstheme="minorHAnsi"/>
        </w:rPr>
        <w:t xml:space="preserve">a </w:t>
      </w:r>
      <w:r w:rsidR="0013050B">
        <w:rPr>
          <w:rFonts w:cstheme="minorHAnsi"/>
        </w:rPr>
        <w:t>cognitive</w:t>
      </w:r>
      <w:r w:rsidR="0013050B" w:rsidRPr="00A4233B">
        <w:rPr>
          <w:rFonts w:cstheme="minorHAnsi"/>
        </w:rPr>
        <w:t xml:space="preserve"> </w:t>
      </w:r>
      <w:r w:rsidR="007372DD" w:rsidRPr="00A4233B">
        <w:rPr>
          <w:rFonts w:cstheme="minorHAnsi"/>
        </w:rPr>
        <w:t>task while experiencing high-frequency stimulation</w:t>
      </w:r>
      <w:r w:rsidR="00EF062D">
        <w:rPr>
          <w:rFonts w:cstheme="minorHAnsi"/>
        </w:rPr>
        <w:t xml:space="preserve">, </w:t>
      </w:r>
      <w:r w:rsidR="00EF062D" w:rsidRPr="00EF062D">
        <w:rPr>
          <w:rFonts w:cstheme="minorHAnsi"/>
          <w:color w:val="FF0000"/>
        </w:rPr>
        <w:t xml:space="preserve">and </w:t>
      </w:r>
      <w:r w:rsidR="00EF062D">
        <w:rPr>
          <w:rFonts w:cstheme="minorHAnsi"/>
          <w:color w:val="FF0000"/>
        </w:rPr>
        <w:t xml:space="preserve">they </w:t>
      </w:r>
      <w:r w:rsidR="00EF062D" w:rsidRPr="00EF062D">
        <w:rPr>
          <w:rFonts w:cstheme="minorHAnsi"/>
          <w:color w:val="FF0000"/>
        </w:rPr>
        <w:t>were not informed about</w:t>
      </w:r>
      <w:r w:rsidR="00BC6723">
        <w:rPr>
          <w:rFonts w:cstheme="minorHAnsi"/>
          <w:color w:val="FF0000"/>
        </w:rPr>
        <w:t xml:space="preserve"> the purpose</w:t>
      </w:r>
      <w:r w:rsidR="00EF062D" w:rsidRPr="00EF062D">
        <w:rPr>
          <w:rFonts w:cstheme="minorHAnsi"/>
          <w:color w:val="FF0000"/>
        </w:rPr>
        <w:t xml:space="preserve"> other procedures until debriefing</w:t>
      </w:r>
      <w:r w:rsidR="00EF062D">
        <w:rPr>
          <w:rFonts w:cstheme="minorHAnsi"/>
          <w:color w:val="FF0000"/>
        </w:rPr>
        <w:t>.</w:t>
      </w:r>
      <w:r w:rsidR="007372DD" w:rsidRPr="00A4233B">
        <w:rPr>
          <w:rFonts w:cstheme="minorHAnsi"/>
        </w:rPr>
        <w:t xml:space="preserve"> </w:t>
      </w:r>
      <w:bookmarkEnd w:id="9"/>
      <w:r w:rsidR="007372DD" w:rsidRPr="00A4233B">
        <w:rPr>
          <w:rFonts w:cstheme="minorHAnsi"/>
        </w:rPr>
        <w:t>Inclusion criteria were being aged between 18 and 35 years old. Exclusion criteria were suffering from severe physical morbidity, neurological or psychiatric disease, traumatic injury of the upper limbs (currently or in the last 6 months), pain complain</w:t>
      </w:r>
      <w:r>
        <w:rPr>
          <w:rFonts w:cstheme="minorHAnsi"/>
        </w:rPr>
        <w:t>t</w:t>
      </w:r>
      <w:r w:rsidR="007372DD" w:rsidRPr="00A4233B">
        <w:rPr>
          <w:rFonts w:cstheme="minorHAnsi"/>
        </w:rPr>
        <w:t>s over the last 6 months, regular use of psychotropic and analgesic drugs, use of a pacemaker, and in case of female participants, pregnancy, or breastfeeding. Having participated in a previous HFS experiment in the lab was also considered as an exclusion criteri</w:t>
      </w:r>
      <w:r w:rsidR="005A1A2E">
        <w:rPr>
          <w:rFonts w:cstheme="minorHAnsi"/>
        </w:rPr>
        <w:t>on</w:t>
      </w:r>
      <w:r w:rsidR="007372DD" w:rsidRPr="00A4233B">
        <w:rPr>
          <w:rFonts w:cstheme="minorHAnsi"/>
        </w:rPr>
        <w:t>. Furthermore, eligible participants were asked to (1) have slept at least 6 hours before the experiment, (2) re</w:t>
      </w:r>
      <w:r w:rsidR="00520E3C">
        <w:rPr>
          <w:rFonts w:cstheme="minorHAnsi"/>
        </w:rPr>
        <w:t>f</w:t>
      </w:r>
      <w:r w:rsidR="007372DD" w:rsidRPr="00A4233B">
        <w:rPr>
          <w:rFonts w:cstheme="minorHAnsi"/>
        </w:rPr>
        <w:t xml:space="preserve">rain from drinking caffeinated beverages, and (3) not use any alcohol and medication in the 12 hours preceding the study. Eligibility was checked in the lab through a digital questionnaire (Qualtrics, Provo, UT, USA; approx. 4 min). The experimental procedure was approved by the local ethics committee (Commission d’Ethique biomédicale hospital-facultaire, Saint-Luc </w:t>
      </w:r>
      <w:r w:rsidR="005A1A2E">
        <w:rPr>
          <w:rFonts w:cstheme="minorHAnsi"/>
        </w:rPr>
        <w:t>U</w:t>
      </w:r>
      <w:r w:rsidR="007372DD" w:rsidRPr="00A4233B">
        <w:rPr>
          <w:rFonts w:cstheme="minorHAnsi"/>
        </w:rPr>
        <w:t>niversity Hospital &amp; UCLouvain), in agreement with the Declaration of Helsinki. All participants signed informed consent before the experimental session and received financial compensation for their participation.</w:t>
      </w:r>
    </w:p>
    <w:p w14:paraId="1B70FF98" w14:textId="77777777" w:rsidR="007372DD" w:rsidRPr="00284B63" w:rsidRDefault="007372DD" w:rsidP="007372DD">
      <w:pPr>
        <w:spacing w:after="0" w:line="480" w:lineRule="auto"/>
        <w:rPr>
          <w:rFonts w:cstheme="minorHAnsi"/>
          <w:b/>
          <w:bCs/>
          <w:sz w:val="24"/>
          <w:szCs w:val="24"/>
        </w:rPr>
      </w:pPr>
      <w:r w:rsidRPr="00284B63">
        <w:rPr>
          <w:rFonts w:cstheme="minorHAnsi"/>
          <w:b/>
          <w:bCs/>
          <w:sz w:val="24"/>
          <w:szCs w:val="24"/>
        </w:rPr>
        <w:t xml:space="preserve">Stimuli and Apparatus </w:t>
      </w:r>
    </w:p>
    <w:p w14:paraId="69DA0538" w14:textId="62011088" w:rsidR="00B96C7E" w:rsidRPr="00B96C7E" w:rsidRDefault="00891066" w:rsidP="00B96C7E">
      <w:pPr>
        <w:spacing w:after="0" w:line="480" w:lineRule="auto"/>
        <w:rPr>
          <w:rFonts w:cstheme="minorHAnsi"/>
        </w:rPr>
      </w:pPr>
      <w:r w:rsidRPr="00823520">
        <w:rPr>
          <w:rFonts w:cstheme="minorHAnsi"/>
          <w:b/>
          <w:bCs/>
          <w:i/>
          <w:iCs/>
        </w:rPr>
        <w:t>M</w:t>
      </w:r>
      <w:r w:rsidR="007372DD" w:rsidRPr="00823520">
        <w:rPr>
          <w:rFonts w:cstheme="minorHAnsi"/>
          <w:b/>
          <w:bCs/>
          <w:i/>
          <w:iCs/>
        </w:rPr>
        <w:t>echanical sensitivity</w:t>
      </w:r>
      <w:r w:rsidR="00F33C86" w:rsidRPr="00823520">
        <w:rPr>
          <w:rFonts w:cstheme="minorHAnsi"/>
          <w:i/>
          <w:iCs/>
        </w:rPr>
        <w:t>.</w:t>
      </w:r>
      <w:r w:rsidR="00CB4828">
        <w:rPr>
          <w:rFonts w:cstheme="minorHAnsi"/>
        </w:rPr>
        <w:t xml:space="preserve"> </w:t>
      </w:r>
      <w:bookmarkStart w:id="10" w:name="_Hlk153448787"/>
      <w:r w:rsidR="00990C76" w:rsidRPr="00990C76">
        <w:rPr>
          <w:rFonts w:cstheme="minorHAnsi"/>
          <w:color w:val="FF0000"/>
        </w:rPr>
        <w:t xml:space="preserve">In line with other studies investigating whether a cognitive manipulation can lead to a different change in mechanical sensitivity </w:t>
      </w:r>
      <w:r w:rsidR="00B9158C" w:rsidRPr="001520EA">
        <w:rPr>
          <w:rFonts w:cstheme="minorHAnsi"/>
          <w:color w:val="FF0000"/>
        </w:rPr>
        <w:fldChar w:fldCharType="begin"/>
      </w:r>
      <w:r w:rsidR="0019418B">
        <w:rPr>
          <w:rFonts w:cstheme="minorHAnsi"/>
          <w:color w:val="FF0000"/>
        </w:rPr>
        <w:instrText xml:space="preserve"> ADDIN ZOTERO_ITEM CSL_CITATION {"citationID":"keh3drM6","properties":{"formattedCitation":"[17,23,46,67]","plainCitation":"[17,23,46,67]","noteIndex":0},"citationItems":[{"id":1461,"uris":["http://zotero.org/users/9378318/items/2P382QLR"],"itemData":{"id":1461,"type":"article-journal","container-title":"Cognitive Neuroscience","journalAbbreviation":"Cognitive Neuroscience","note":"publisher: Frontiers in Human Neuroscience","page":"754","title":"No evidence for an effect of selective spatial attention on the development of secondary hyperalgesia: a replication study","author":[{"family":"Della Porta","given":"Delia"},{"family":"Vilz","given":"Marie-Lynn"},{"family":"Kuzminova","given":"Avgustina"},{"family":"Filbrich","given":"Lieve"},{"family":"Mouraux","given":"André"},{"family":"Legrain","given":"Valéry"}],"issued":{"date-parts":[["2022"]]}}},{"id":537,"uris":["http://zotero.org/users/9378318/items/8I4B3XBU"],"itemData":{"id":537,"type":"article-journal","abstract":"Intense or sustained activation of peripheral nociceptors can induce central sensitization. This enhanced responsiveness to nociceptive input of the central nervous system primarily manifests as an increased sensitivity to painful mechanical pinprick stimuli extending beyond the site of injury (secondary mechanical hyperalgesia) and is thought to be a key mechanism in the development of chronic pain, such as persistent post-operative pain. It is increasingly recognized that emotional and cognitive factors can strongly inﬂuence the pain experience. Furthermore, through their potential effects on pain modulation circuits including descending pathways to the spinal cord, it has been hypothesized that these emotional and cognitive factors could constitute risk factors for the susceptibility to develop chronic pain. Here, we tested whether, in healthy volunteers, the experimental induction of central sensitization by peripheral nociceptive input can be modulated by selective spatial attention. While participants performed a somatosensory detection task that required focusing attention towards one of the forearms, secondary hyperalgesia was induced at both forearms using bilateral and simultaneous high-frequency electrical stimulation (HFS) of the skin. HFS induced an increased sensitivity to mechanical pinprick stimuli at both forearms, directly (T1) and 20 min (T2) after HFS, conﬁrming the successful induction of secondary hyperalgesia at both forearms. Most importantly, at T2, the HFSinduced increase in pinprick sensitivity as well as the area of secondary hyperalgesia was greater at the attended arm as compared to the non-attended arm. This indicates that top-down attentional factors can modulate the development of central sensitization by peripheral nociceptive input, and that the focus of spatial attention, besides its modulatory effects on perception, can affect activity-dependent neuroplasticity.","container-title":"Cortex","DOI":"10.1016/j.cortex.2019.11.014","ISSN":"00109452","journalAbbreviation":"Cortex","language":"en","page":"193-203","source":"DOI.org (Crossref)","title":"The focus of spatial attention during the induction of central sensitization can modulate the subsequent development of secondary hyperalgesia","volume":"124","author":[{"family":"Filbrich","given":"Lieve"},{"family":"Broeke","given":"Emanuel N.","non-dropping-particle":"van den"},{"family":"Legrain","given":"Valéry"},{"family":"Mouraux","given":"André"}],"issued":{"date-parts":[["2020",3]]}}},{"id":1780,"uris":["http://zotero.org/users/9378318/items/H6PJX5D2"],"itemData":{"id":1780,"type":"article-journal","container-title":"The Journal of Pain","DOI":"10.1016/j.jpain.2023.05.016","ISSN":"15265900","journalAbbreviation":"The Journal of Pain","language":"en","page":"S152659002300425X","source":"DOI.org (Crossref)","title":"No Evidence that Working Memory Modulates the Plasticity of the Nociceptive System, as Measured by Secondary Mechanical Hypersensitivity","author":[{"family":"Meyers","given":"Elke"},{"family":"Alves","given":"Maryna"},{"family":"Teugels","given":"Anouk"},{"family":"Torta","given":"Diana M."}],"issued":{"date-parts":[["2023",6]]}}},{"id":48,"uris":["http://zotero.org/users/9378318/items/MH46BWD5"],"itemData":{"id":48,"type":"article-journal","abstract":"Whether, how, and which cognitive factors modulate the development of secondary hypersensitivity/hyperalgesia after central sensitization is not fully understood. Here, we tested, in 3 subsequent experiments, whether being engaged in non-pain-related cognitive demanding tasks: (1) lessens the amount of hypersensitivity developed after an experimental procedure sensitizing nociceptive pathways; and (2) modulates cortical responses to somatosensory stimuli (measured by electroencephalography, EEG). In the first experiment, we validated a novel model in humans using low-frequency stimulation of the skin and demonstrated that it was able to successfully induce hypersensitivity to mechanical pinprick stimuli in the area surrounding the sensitized site. In the second and third experiments, we engaged participants in tasks of increasing difficulty (the Eriksen Flanker Task in experiment 2, and a modified N-back task in experiment 3). We observed that hypersensitivity to mechanical stimuli still developed in experiment 2, that is, the pinprick stimuli applied on the sensitized arm were perceived as more intense after low-frequency stimulation. By contrast, no statistically significant enhancement of mechanical hypersensitivity was observed in experiment 3, indicating that, at the group level, being engaged in a difficult N-back task may interfere with the development of mechanical hypersensitivity. Contrary to previous studies, which have used different methods to induce sensitization, we did not observe any increase in the cortical response to somatosensory stimuli applied on the sensitized arm. We conclude that (1) the development of pinprick hypersensitivity is modulated by the concomitant execution of a difficult N-back task, and (2) the enhancement of cortical responses to somatosensory stimuli is related to the method used to induce central sensitization.","container-title":"Pain","DOI":"10.1097/j.pain.0000000000001841","ISSN":"0000000000","issue":"7","page":"1459-1469","title":"A highly cognitive demanding working memory task may prevent the development of nociceptive hypersensitivity","volume":"161","author":[{"family":"Torta","given":"Diana M."},{"family":"De Laurentis","given":"Martina"},{"family":"Eichin","given":"Katharina Naomi"},{"family":"Leupoldt","given":"Andreas","non-dropping-particle":"von"},{"family":"Broeke","given":"Emanuel N.","non-dropping-particle":"van den"},{"family":"Vlaeyen","given":"Johan W. S."}],"issued":{"date-parts":[["2020"]]}}}],"schema":"https://github.com/citation-style-language/schema/raw/master/csl-citation.json"} </w:instrText>
      </w:r>
      <w:r w:rsidR="00B9158C" w:rsidRPr="001520EA">
        <w:rPr>
          <w:rFonts w:cstheme="minorHAnsi"/>
          <w:color w:val="FF0000"/>
        </w:rPr>
        <w:fldChar w:fldCharType="separate"/>
      </w:r>
      <w:r w:rsidR="001A31BB" w:rsidRPr="001A31BB">
        <w:rPr>
          <w:rFonts w:ascii="Calibri" w:hAnsi="Calibri" w:cs="Calibri"/>
        </w:rPr>
        <w:t>[17,23,46,67]</w:t>
      </w:r>
      <w:r w:rsidR="00B9158C" w:rsidRPr="001520EA">
        <w:rPr>
          <w:rFonts w:cstheme="minorHAnsi"/>
          <w:color w:val="FF0000"/>
        </w:rPr>
        <w:fldChar w:fldCharType="end"/>
      </w:r>
      <w:r w:rsidR="00B9158C" w:rsidRPr="001520EA">
        <w:rPr>
          <w:rFonts w:cstheme="minorHAnsi"/>
          <w:color w:val="FF0000"/>
        </w:rPr>
        <w:t xml:space="preserve">, </w:t>
      </w:r>
      <w:r w:rsidR="00B9158C">
        <w:rPr>
          <w:rFonts w:cstheme="minorHAnsi"/>
        </w:rPr>
        <w:t>m</w:t>
      </w:r>
      <w:r w:rsidR="007372DD" w:rsidRPr="00A4233B">
        <w:rPr>
          <w:rFonts w:cstheme="minorHAnsi"/>
        </w:rPr>
        <w:t xml:space="preserve">echanical pinprick sensitivity was </w:t>
      </w:r>
      <w:r w:rsidR="007372DD" w:rsidRPr="00A4233B">
        <w:rPr>
          <w:rFonts w:cstheme="minorHAnsi"/>
        </w:rPr>
        <w:lastRenderedPageBreak/>
        <w:t xml:space="preserve">assessed using a calibrated pinprick stimulator exerting a force of 128mN (MRC Systems, Heidelberg, Germany). </w:t>
      </w:r>
      <w:bookmarkEnd w:id="10"/>
      <w:r w:rsidR="00DD7560">
        <w:rPr>
          <w:rFonts w:cstheme="minorHAnsi"/>
        </w:rPr>
        <w:t>These</w:t>
      </w:r>
      <w:r w:rsidR="00DD7560" w:rsidRPr="00A4233B">
        <w:rPr>
          <w:rFonts w:cstheme="minorHAnsi"/>
        </w:rPr>
        <w:t xml:space="preserve"> </w:t>
      </w:r>
      <w:r w:rsidR="007372DD" w:rsidRPr="00A4233B">
        <w:rPr>
          <w:rFonts w:cstheme="minorHAnsi"/>
        </w:rPr>
        <w:t>stimuli elicit pinprick sensations related to the activation of mechanosensitive nociceptors</w:t>
      </w:r>
      <w:r w:rsidR="001D7634">
        <w:rPr>
          <w:rFonts w:cstheme="minorHAnsi"/>
        </w:rPr>
        <w:t xml:space="preserve"> </w:t>
      </w:r>
      <w:r w:rsidR="001D7634">
        <w:rPr>
          <w:rFonts w:cstheme="minorHAnsi"/>
        </w:rPr>
        <w:fldChar w:fldCharType="begin"/>
      </w:r>
      <w:r w:rsidR="0019418B">
        <w:rPr>
          <w:rFonts w:cstheme="minorHAnsi"/>
        </w:rPr>
        <w:instrText xml:space="preserve"> ADDIN ZOTERO_ITEM CSL_CITATION {"citationID":"X0K4a5dM","properties":{"formattedCitation":"[24,61]","plainCitation":"[24,61]","noteIndex":0},"citationItems":[{"id":1884,"uris":["http://zotero.org/users/9378318/items/AZP4UJJP"],"itemData":{"id":1884,"type":"article-journal","abstract":"1. The responses of feline cutaneous nociceptors were examined in vivo by systematically manipulating the intensive and spatial dimensions of mechanical stimulation. A computer-controlled motor was used to apply prescribed forces (5-90 g) to a nociceptor's receptive field, with flat-tipped, cylindrical probes of various sizes (contact areas: 0.1-5.0 mm2). The stimulating device and protocols were similar to those previously used to evaluate human perception, thus allowing for comparisons of the two data sets. 2. With a ramp-and-hold stimulus of controlled force, most nociceptors showed a slowly adapting (SA) response throughout the stimulus. In this way, nociceptors resembled low-threshold SA mechanoreceptors. However, in contrast to SA mechanoreceptors, nociceptors failed to exhibit an onset burst of activity associated with the stimulus ramp. Nineteen percent (6 of 31) of the nociceptors often showed the opposite trend during the stimulus, e.g., a gradually increasing firing rate. Most of these nociceptors (5 of 6) had particularly high mechanical thresholds. 3. With 30 stimuli repeated at short intervals (6-8 s), response rates tended to decrease across trials. This phenomenon was most evident with more intense stimuli. When two series of stimuli were separated by 4-5 min, there was no apparent trend of reduced responsiveness between series. 4. Overall, nociceptors responded in an orderly way to variations in force and probe size. For a given probe size, larger forces produced greater responses; for a given force, smaller probes produced greater responses. The relationship between probe size and force was best described as an even tradeoff between force and a linear dimension of the probe (i.e., probe perimeter), rather than the area of the probe. Thus a given pressure (force/area) did not evoke the same response from nociceptors as probe size was varied. 5. There were two significant differences in the mechanical responsiveness between A fiber and C fiber nociceptors. First, for a given set of stimuli, A fiber nociceptors exhibited a greater response rate than the C fiber nociceptors. Second, the A fiber nociceptors exhibited a greater differential response related to probe size than the C fiber nociceptors. On the basis of these two features, the A fiber nociceptors' response profiles showed a closer parallel with previously reported human pain thresholds than the C fiber nociceptors did. 6. When the nociceptors were subdivided as to their mechanical threshold, those with lower thresholds [mechanically sensitive afferents (MSAs)] showed a response saturation with the more intense stimuli. On average, the stimulus levels at which saturation occurred were close to human pain threshold. Those nociceptors with higher thresholds [mechanically insensitive afferents (MIAs)] did not show such saturation. Thus only the MIAs appeared to have the capacity to unambiguously encode mechanical stimulus intensities above pain threshold. The MSAs, on the other hand, exhibited their greatest dynamic response range near the threshold for nonpainful sharpness. Thus the group of afferents commonly defined as nociceptors exhibit a heterogeneity of mechanical response properties, which may serve functionally different roles for perception.","container-title":"Journal of Neurophysiology","DOI":"10.1152/jn.1996.75.3.1177","ISSN":"0022-3077, 1522-1598","issue":"3","journalAbbreviation":"Journal of Neurophysiology","language":"en","page":"1177-1189","source":"DOI.org (Crossref)","title":"Mechanical response properties of nociceptors innervating feline hairy skin","volume":"75","author":[{"family":"Garell","given":"P. C."},{"family":"McGillis","given":"S. L."},{"family":"Greenspan","given":"J. D."}],"issued":{"date-parts":[["1996",3,1]]}}},{"id":1886,"uris":["http://zotero.org/users/9378318/items/ZK9UT68M"],"itemData":{"id":1886,"type":"article-journal","abstract":"The peripheral neural mechanism of pain to mechanical stimuli remains elusive. C-fiber nociceptors do not appear to play a major role in mechanical pain sensation, because the stimulus-response function of mechanically sensitive C-fiber nociceptors to punctate mechanical stimuli applied to the most sensitive region in the receptive field (the hot spot) reaches a plateau at force levels insufficient to produce pain in humans. However, studies at the hot spot give an incomplete understanding of the inputs of nociceptors to the spinal cord. To estimate how the population of nociceptors responds to a punctate stimulus, it is necessary to know how the response varies with the position within the receptive field. For A-fiber and C-fiber nociceptors, we systemically measured the response to a 100 μm wide blade stimulus as a function of position in the receptive field at different force levels. Highly reproducible receptive field response maps that contained multiple peaks and valleys were obtained. Some peaks were only 100 μm wide. As force increased, the response and width of the peaks increased, the response in valleys increased, and new peaks appeared. The averaged response across the map provides an estimate of the population response and was found to increase monotonically with force over a large stimulus range for both A-fiber and C-fiber nociceptors. These data provide evidence that both C-fiber and A-fiber nociceptors may encode high-intensity mechanical stimuli.","container-title":"The Journal of Neuroscience","DOI":"10.1523/JNEUROSCI.0701-04.2004","ISSN":"0270-6474, 1529-2401","issue":"19","journalAbbreviation":"J. Neurosci.","language":"en","page":"4649-4656","source":"DOI.org (Crossref)","title":"The Population Response of A- and C-Fiber Nociceptors in Monkey Encodes High-Intensity Mechanical Stimuli","volume":"24","author":[{"family":"Slugg","given":"Robert M."},{"family":"Campbell","given":"James N."},{"family":"Meyer","given":"Richard A."}],"issued":{"date-parts":[["2004",5,12]]}}}],"schema":"https://github.com/citation-style-language/schema/raw/master/csl-citation.json"} </w:instrText>
      </w:r>
      <w:r w:rsidR="001D7634">
        <w:rPr>
          <w:rFonts w:cstheme="minorHAnsi"/>
        </w:rPr>
        <w:fldChar w:fldCharType="separate"/>
      </w:r>
      <w:r w:rsidR="001A31BB" w:rsidRPr="001A31BB">
        <w:rPr>
          <w:rFonts w:ascii="Calibri" w:hAnsi="Calibri" w:cs="Calibri"/>
        </w:rPr>
        <w:t>[24,61]</w:t>
      </w:r>
      <w:r w:rsidR="001D7634">
        <w:rPr>
          <w:rFonts w:cstheme="minorHAnsi"/>
        </w:rPr>
        <w:fldChar w:fldCharType="end"/>
      </w:r>
      <w:r w:rsidR="00B96C7E">
        <w:rPr>
          <w:rFonts w:cstheme="minorHAnsi"/>
        </w:rPr>
        <w:t xml:space="preserve">. </w:t>
      </w:r>
    </w:p>
    <w:p w14:paraId="561DD94A" w14:textId="624CD7E8" w:rsidR="00301D2D" w:rsidRDefault="007372DD" w:rsidP="00492261">
      <w:pPr>
        <w:spacing w:after="0" w:line="480" w:lineRule="auto"/>
        <w:rPr>
          <w:rFonts w:cstheme="minorHAnsi"/>
        </w:rPr>
      </w:pPr>
      <w:r w:rsidRPr="00A4233B">
        <w:rPr>
          <w:rFonts w:cstheme="minorHAnsi"/>
        </w:rPr>
        <w:t>The stimulus was applied following a standardized procedure</w:t>
      </w:r>
      <w:r w:rsidR="002E7F7E">
        <w:rPr>
          <w:rFonts w:cstheme="minorHAnsi"/>
        </w:rPr>
        <w:t xml:space="preserve"> </w:t>
      </w:r>
      <w:r w:rsidR="007E22DC">
        <w:rPr>
          <w:rFonts w:cstheme="minorHAnsi"/>
        </w:rPr>
        <w:t>( e.g.,</w:t>
      </w:r>
      <w:r w:rsidR="002E7F7E">
        <w:rPr>
          <w:rFonts w:cstheme="minorHAnsi"/>
        </w:rPr>
        <w:t xml:space="preserve"> </w:t>
      </w:r>
      <w:r w:rsidR="00A54D68">
        <w:rPr>
          <w:rFonts w:cstheme="minorHAnsi"/>
        </w:rPr>
        <w:fldChar w:fldCharType="begin"/>
      </w:r>
      <w:r w:rsidR="0019418B">
        <w:rPr>
          <w:rFonts w:cstheme="minorHAnsi"/>
        </w:rPr>
        <w:instrText xml:space="preserve"> ADDIN ZOTERO_ITEM CSL_CITATION {"citationID":"s3TTPAk6","properties":{"formattedCitation":"[13,17]","plainCitation":"[13,17]","noteIndex":0},"citationItems":[{"id":"hB7whiFf/IfOdEBRH","uris":["http://zotero.org/users/9378318/items/TMVY9Z9L"],"itemData":{"id":285,"type":"article-journal","abstract":"Background: An increasing number of studies are focusing on secondary hyperalgesia to better understand central sensitization, as this phenomenon may play an important role in persistent pain. Recent studies have shown that, compared to the classical high-frequency stimulation protocol (HFS) at 100 Hz, a protocol using 42 Hz stimulation induces a more intense and a larger area of secondary hyperalgesia (SH). Objectives: The aim of this study was to investigate the within- and between-session reliability of SH induced by this optimized HFS protocol. Methods: Thirty-two healthy subjects received HFS to their volar forearm in two sessions, separated by at least 2 weeks. SH was assessed by measuring the area size of increased sensitivity to pinprick stimuli after applying HFS, the sensitivity to pinprick stimuli after applying HFS and the change in pinprick sensitivity after versus before HFS. Assessments were made before HFS, and 30, 35 and 40 min after HFS. Relative and absolute reliability were analysed using intraclass correlation coefficients (ICCs), coefficients of variation (CVs), standard error of means (SEMs) and the minimum detectable changes (MDCs). Results: The area of SH showed good to excellent within-session and between-session relative reliability (ICCs &gt; 0.80), except for the change in pinprick sensitivity, which showed close to poor between-session relative reliability (ICC = 0.53). Furthermore, measures of absolute reliability generally demonstrated large between-subject variability and significant fluctuations across repeated measurements. Conclusions: HFS-induced hyperalgesia is suitable to discriminate or compare individuals but it may not be sensitive to changes due to an intervention. Significance: It is crucial to evaluate central sensitization adequately in humans. This study formally establishes the reliability of secondary hyperalgesia induced by electrical high-frequency stimulation. The results of this study will improve future studies investigating secondary hyperalgesia in humans.","container-title":"European Journal of Pain (United Kingdom)","DOI":"10.1002/ejp.1613","issue":"8","page":"1585-1597","title":"Within- and between-session reliability of secondary hyperalgesia induced by electrical high-frequency stimulation","volume":"24","author":[{"family":"Cayrol","given":"Timothée"},{"family":"Lebleu","given":"Julien"},{"family":"Mouraux","given":"André"},{"family":"Roussel","given":"Nathalie"},{"family":"Pitance","given":"Laurent"},{"family":"Broeke","given":"Emanuel N.","non-dropping-particle":"van den"}],"issued":{"date-parts":[["2020"]]}}},{"id":1461,"uris":["http://zotero.org/users/9378318/items/2P382QLR"],"itemData":{"id":1461,"type":"article-journal","container-title":"Cognitive Neuroscience","journalAbbreviation":"Cognitive Neuroscience","note":"publisher: Frontiers in Human Neuroscience","page":"754","title":"No evidence for an effect of selective spatial attention on the development of secondary hyperalgesia: a replication study","author":[{"family":"Della Porta","given":"Delia"},{"family":"Vilz","given":"Marie-Lynn"},{"family":"Kuzminova","given":"Avgustina"},{"family":"Filbrich","given":"Lieve"},{"family":"Mouraux","given":"André"},{"family":"Legrain","given":"Valéry"}],"issued":{"date-parts":[["2022"]]}}}],"schema":"https://github.com/citation-style-language/schema/raw/master/csl-citation.json"} </w:instrText>
      </w:r>
      <w:r w:rsidR="00A54D68">
        <w:rPr>
          <w:rFonts w:cstheme="minorHAnsi"/>
        </w:rPr>
        <w:fldChar w:fldCharType="separate"/>
      </w:r>
      <w:r w:rsidR="001A31BB" w:rsidRPr="001A31BB">
        <w:rPr>
          <w:rFonts w:ascii="Calibri" w:hAnsi="Calibri" w:cs="Calibri"/>
        </w:rPr>
        <w:t>[13,17]</w:t>
      </w:r>
      <w:r w:rsidR="00A54D68">
        <w:rPr>
          <w:rFonts w:cstheme="minorHAnsi"/>
        </w:rPr>
        <w:fldChar w:fldCharType="end"/>
      </w:r>
      <w:r w:rsidR="005C4A0E">
        <w:rPr>
          <w:rFonts w:cstheme="minorHAnsi"/>
        </w:rPr>
        <w:t>)</w:t>
      </w:r>
      <w:r w:rsidR="00C955BB">
        <w:rPr>
          <w:rFonts w:cstheme="minorHAnsi"/>
        </w:rPr>
        <w:t xml:space="preserve">. </w:t>
      </w:r>
      <w:r w:rsidRPr="00A4233B">
        <w:rPr>
          <w:rFonts w:cstheme="minorHAnsi"/>
        </w:rPr>
        <w:t>In line with previous studies</w:t>
      </w:r>
      <w:r w:rsidR="006A4A6D">
        <w:rPr>
          <w:rFonts w:cstheme="minorHAnsi"/>
        </w:rPr>
        <w:t xml:space="preserve"> (e.g.,</w:t>
      </w:r>
      <w:r w:rsidR="00280B00">
        <w:rPr>
          <w:rFonts w:cstheme="minorHAnsi"/>
        </w:rPr>
        <w:t xml:space="preserve"> </w:t>
      </w:r>
      <w:r w:rsidR="006A4A6D">
        <w:rPr>
          <w:rFonts w:cstheme="minorHAnsi"/>
        </w:rPr>
        <w:fldChar w:fldCharType="begin"/>
      </w:r>
      <w:r w:rsidR="0019418B">
        <w:rPr>
          <w:rFonts w:cstheme="minorHAnsi"/>
        </w:rPr>
        <w:instrText xml:space="preserve"> ADDIN ZOTERO_ITEM CSL_CITATION {"citationID":"6JTEYV3y","properties":{"formattedCitation":"[13,47,69]","plainCitation":"[13,47,69]","noteIndex":0},"citationItems":[{"id":"hB7whiFf/IfOdEBRH","uris":["http://zotero.org/users/9378318/items/TMVY9Z9L"],"itemData":{"id":285,"type":"article-journal","abstract":"Background: An increasing number of studies are focusing on secondary hyperalgesia to better understand central sensitization, as this phenomenon may play an important role in persistent pain. Recent studies have shown that, compared to the classical high-frequency stimulation protocol (HFS) at 100 Hz, a protocol using 42 Hz stimulation induces a more intense and a larger area of secondary hyperalgesia (SH). Objectives: The aim of this study was to investigate the within- and between-session reliability of SH induced by this optimized HFS protocol. Methods: Thirty-two healthy subjects received HFS to their volar forearm in two sessions, separated by at least 2 weeks. SH was assessed by measuring the area size of increased sensitivity to pinprick stimuli after applying HFS, the sensitivity to pinprick stimuli after applying HFS and the change in pinprick sensitivity after versus before HFS. Assessments were made before HFS, and 30, 35 and 40 min after HFS. Relative and absolute reliability were analysed using intraclass correlation coefficients (ICCs), coefficients of variation (CVs), standard error of means (SEMs) and the minimum detectable changes (MDCs). Results: The area of SH showed good to excellent within-session and between-session relative reliability (ICCs &gt; 0.80), except for the change in pinprick sensitivity, which showed close to poor between-session relative reliability (ICC = 0.53). Furthermore, measures of absolute reliability generally demonstrated large between-subject variability and significant fluctuations across repeated measurements. Conclusions: HFS-induced hyperalgesia is suitable to discriminate or compare individuals but it may not be sensitive to changes due to an intervention. Significance: It is crucial to evaluate central sensitization adequately in humans. This study formally establishes the reliability of secondary hyperalgesia induced by electrical high-frequency stimulation. The results of this study will improve future studies investigating secondary hyperalgesia in humans.","container-title":"European Journal of Pain (United Kingdom)","DOI":"10.1002/ejp.1613","issue":"8","page":"1585-1597","title":"Within- and between-session reliability of secondary hyperalgesia induced by electrical high-frequency stimulation","volume":"24","author":[{"family":"Cayrol","given":"Timothée"},{"family":"Lebleu","given":"Julien"},{"family":"Mouraux","given":"André"},{"family":"Roussel","given":"Nathalie"},{"family":"Pitance","given":"Laurent"},{"family":"Broeke","given":"Emanuel N.","non-dropping-particle":"van den"}],"issued":{"date-parts":[["2020"]]}}},{"id":1626,"uris":["http://zotero.org/users/9378318/items/667ICLH3"],"itemData":{"id":1626,"type":"article-journal","abstract":"Background: According to limited-c­ apacity theories of attention, less attentional resources remain available when engaging in a high-­versus a low-d­ emanding cognitive task. This may reduce the perceived intensity and the evoked cortical responses of concomitant nociceptive stimuli. Whether and how the competition for limited attentional resources between a cognitive task and pain impacts the development of long-­lasting hypersensitivity is unclear.\nMethods: Eighty-­four healthy participants were randomized into a low or high cognitive load group. Low-­frequency electrical stimulation (LFS) of the skin was used to induce secondary hypersensitivity. We hypothesized that performing the high-l­oad task during LFS would reduce the development of hypersensitivity. We examined whether painfulness, nonpain-r­elated sympathetic arousal, or sex related to hypersensitivity, by assessing intensity and unpleasantness of mechanical pinprick stimulation. During task execution, we recorded steady-­state evoked potentials evoked by LFS and skin conductance level for sympathetic arousal. Afterwards, participants reported task difficulty and LFS-r­ elated fear. For the primary outcomes, we used mixed analysis of variances.\nResults: The results confirmed the difference in cognitive load. Although LFS successfully induced hypersensitivity, the high-­load task did not reduce its development. Next, the steady-s­tate evoked potentials did not differ between groups. Hypersensitivity correlated positively with pain-­related fear and negatively with skin conductance level before LFS, despite the lack of group differences in skin conductance level. We did not find any sex differences in hypersensitivity.\nConclusions: These results do not confirm that high cognitive load or sex modulate hypersensitivity, but show associations with pain-r­ elated fear and non-p­ ain-­ related sympathetic arousal. Significance: Previous research has mainly focused on cognitive load effects on the perception of acute painful stimuli. Yet this study extends our understanding by investigating cognitive load effects on the development of long-l­asting secondary hypersensitivity, a common aspect in numerous persistent pain conditions. As cognitive tasks are presented during a painful procedure inducing secondary","container-title":"European Journal of Pain","DOI":"10.1002/ejp.2098","ISSN":"1090-3801, 1532-2149","journalAbbreviation":"European Journal of Pain","language":"en","page":"ejp.2098","source":"DOI.org (Crossref)","title":"The effect of high versus low cognitive load on the development of nociceptive hypersensitivity: The roles of sympathetic arousal, sex and pain‐related fear","title-short":"The effect of high versus low cognitive load on the development of nociceptive hypersensitivity","author":[{"family":"Meyers","given":"Elke"},{"family":"Vlaeyen","given":"Johan W. S."},{"family":"Van Den Broeke","given":"Emanuel N."},{"family":"Von Leupoldt","given":"Andreas"},{"family":"Palmer","given":"Andrew J."},{"family":"Torta","given":"Diana M."}],"issued":{"date-parts":[["2023",3,3]]}}},{"id":1628,"uris":["http://zotero.org/users/9378318/items/ZNMCRVFY"],"itemData":{"id":1628,"type":"article-journal","abstract":"It is unknown whether watching other people in high pain increases mechanical hypersensitivity induced by pain. We applied high-frequency electrical stimulation (HFS) on the skin of healthy volunteers to induce pinprick mechanical hypersensitivity. Before HFS participants were randomly allocated to 2 groups: in the low pain group, which was the control condition, they watched a model expressing and reporting lower pain scores, in the high pain group the model expressed and reported higher scores. The 2 videos were selected on the basis of a pilot/observational study that had been conducted before. We tested the differences in perceived intensity of the HFS procedure, in the development of hypersensitivity and the role of fear and empathy. The high pain group reported on average higher pain ratings during HFS. The perceived intensity of hypersensitivity, but not the unpleasantness or the length of the area was higher in the high pain group. Our results suggest that watching a person expressing more pain during HFS increases one’s own pain ratings during HFS and may weakly facilitate the development of secondary mechanical hypersensitivity, although this latter result needs replication.","container-title":"The Journal of Pain","DOI":"10.1016/j.jpain.2022.09.009","ISSN":"15265900","issue":"1","journalAbbreviation":"The Journal of Pain","language":"en","page":"167-177","source":"DOI.org (Crossref)","title":"The Effect of Observing High or Low Pain on the Development of Central Sensitization","volume":"24","author":[{"family":"Torta","given":"Diana M."},{"family":"Meyers","given":"Elke"},{"family":"Polleunis","given":"Klaartje"},{"family":"De Wolf","given":"Sarah"},{"family":"Meulders","given":"Ann"},{"family":"Van Den Broeke","given":"Emaneul N"}],"issued":{"date-parts":[["2023",1]]}}}],"schema":"https://github.com/citation-style-language/schema/raw/master/csl-citation.json"} </w:instrText>
      </w:r>
      <w:r w:rsidR="006A4A6D">
        <w:rPr>
          <w:rFonts w:cstheme="minorHAnsi"/>
        </w:rPr>
        <w:fldChar w:fldCharType="separate"/>
      </w:r>
      <w:r w:rsidR="001A31BB" w:rsidRPr="001A31BB">
        <w:rPr>
          <w:rFonts w:ascii="Calibri" w:hAnsi="Calibri" w:cs="Calibri"/>
        </w:rPr>
        <w:t>[13,47,69]</w:t>
      </w:r>
      <w:r w:rsidR="006A4A6D">
        <w:rPr>
          <w:rFonts w:cstheme="minorHAnsi"/>
        </w:rPr>
        <w:fldChar w:fldCharType="end"/>
      </w:r>
      <w:r w:rsidR="002D3F90">
        <w:rPr>
          <w:rFonts w:cstheme="minorHAnsi"/>
        </w:rPr>
        <w:t xml:space="preserve">) </w:t>
      </w:r>
      <w:r w:rsidRPr="00A4233B">
        <w:rPr>
          <w:rFonts w:cstheme="minorHAnsi"/>
        </w:rPr>
        <w:t>the perceived mechanical sensitivity was assessed three times throughout the whole procedure</w:t>
      </w:r>
      <w:r w:rsidR="00717C96" w:rsidRPr="00A4233B">
        <w:rPr>
          <w:rFonts w:cstheme="minorHAnsi"/>
        </w:rPr>
        <w:t>:</w:t>
      </w:r>
      <w:r w:rsidR="00717C96">
        <w:rPr>
          <w:rFonts w:cstheme="minorHAnsi"/>
        </w:rPr>
        <w:t xml:space="preserve"> before HFS </w:t>
      </w:r>
      <w:r w:rsidR="00717C96" w:rsidRPr="00A4233B">
        <w:rPr>
          <w:rFonts w:cstheme="minorHAnsi"/>
        </w:rPr>
        <w:t>for a baseline assessment</w:t>
      </w:r>
      <w:r w:rsidR="00717C96">
        <w:rPr>
          <w:rFonts w:cstheme="minorHAnsi"/>
        </w:rPr>
        <w:t xml:space="preserve"> (T0)</w:t>
      </w:r>
      <w:r w:rsidR="00717C96" w:rsidRPr="00A4233B">
        <w:rPr>
          <w:rFonts w:cstheme="minorHAnsi"/>
        </w:rPr>
        <w:t>, at 20</w:t>
      </w:r>
      <w:r w:rsidR="00717C96">
        <w:rPr>
          <w:rFonts w:cstheme="minorHAnsi"/>
        </w:rPr>
        <w:t xml:space="preserve"> (T1)</w:t>
      </w:r>
      <w:r w:rsidR="00717C96" w:rsidRPr="00A4233B">
        <w:rPr>
          <w:rFonts w:cstheme="minorHAnsi"/>
        </w:rPr>
        <w:t xml:space="preserve"> and 40 minutes</w:t>
      </w:r>
      <w:r w:rsidR="00717C96">
        <w:rPr>
          <w:rFonts w:cstheme="minorHAnsi"/>
        </w:rPr>
        <w:t xml:space="preserve"> (T2)</w:t>
      </w:r>
      <w:r w:rsidR="00717C96" w:rsidRPr="00A4233B">
        <w:rPr>
          <w:rFonts w:cstheme="minorHAnsi"/>
        </w:rPr>
        <w:t xml:space="preserve"> after the delivery of HFS</w:t>
      </w:r>
      <w:r w:rsidRPr="00A4233B">
        <w:rPr>
          <w:rFonts w:cstheme="minorHAnsi"/>
        </w:rPr>
        <w:t xml:space="preserve">. At each time point, a total of three pinprick stimuli was applied on each arm. </w:t>
      </w:r>
    </w:p>
    <w:p w14:paraId="75FF31DD" w14:textId="3EB6D2BD" w:rsidR="007372DD" w:rsidRDefault="0057371F" w:rsidP="00492261">
      <w:pPr>
        <w:spacing w:after="0" w:line="480" w:lineRule="auto"/>
        <w:rPr>
          <w:rFonts w:cstheme="minorHAnsi"/>
        </w:rPr>
      </w:pPr>
      <w:bookmarkStart w:id="11" w:name="_Hlk153449057"/>
      <w:r>
        <w:rPr>
          <w:rFonts w:cstheme="minorHAnsi"/>
          <w:color w:val="FF0000"/>
        </w:rPr>
        <w:t>Our decision</w:t>
      </w:r>
      <w:r w:rsidR="0036702A" w:rsidRPr="0036702A">
        <w:rPr>
          <w:rFonts w:cstheme="minorHAnsi"/>
          <w:color w:val="FF0000"/>
        </w:rPr>
        <w:t xml:space="preserve"> to </w:t>
      </w:r>
      <w:r>
        <w:rPr>
          <w:rFonts w:cstheme="minorHAnsi"/>
          <w:color w:val="FF0000"/>
        </w:rPr>
        <w:t xml:space="preserve">assess </w:t>
      </w:r>
      <w:r w:rsidR="0036702A" w:rsidRPr="0036702A">
        <w:rPr>
          <w:rFonts w:cstheme="minorHAnsi"/>
          <w:color w:val="FF0000"/>
        </w:rPr>
        <w:t xml:space="preserve">mechanical pinprick sensitivity at </w:t>
      </w:r>
      <w:r w:rsidR="0036702A">
        <w:rPr>
          <w:rFonts w:cstheme="minorHAnsi"/>
          <w:color w:val="FF0000"/>
        </w:rPr>
        <w:t xml:space="preserve">these </w:t>
      </w:r>
      <w:r w:rsidR="003B2178">
        <w:rPr>
          <w:rFonts w:cstheme="minorHAnsi"/>
          <w:color w:val="FF0000"/>
        </w:rPr>
        <w:t>s</w:t>
      </w:r>
      <w:r w:rsidR="0036702A" w:rsidRPr="0036702A">
        <w:rPr>
          <w:rFonts w:cstheme="minorHAnsi"/>
          <w:color w:val="FF0000"/>
        </w:rPr>
        <w:t>pecific times</w:t>
      </w:r>
      <w:r w:rsidR="0036702A">
        <w:rPr>
          <w:rFonts w:cstheme="minorHAnsi"/>
          <w:color w:val="FF0000"/>
        </w:rPr>
        <w:t xml:space="preserve"> </w:t>
      </w:r>
      <w:r>
        <w:rPr>
          <w:rFonts w:cstheme="minorHAnsi"/>
          <w:color w:val="FF0000"/>
        </w:rPr>
        <w:t xml:space="preserve">was informed </w:t>
      </w:r>
      <w:r w:rsidR="002525F4">
        <w:rPr>
          <w:rFonts w:cstheme="minorHAnsi"/>
          <w:color w:val="FF0000"/>
        </w:rPr>
        <w:t>by</w:t>
      </w:r>
      <w:r w:rsidR="0036702A">
        <w:rPr>
          <w:rFonts w:cstheme="minorHAnsi"/>
          <w:color w:val="FF0000"/>
        </w:rPr>
        <w:t xml:space="preserve"> </w:t>
      </w:r>
      <w:r w:rsidR="0036702A" w:rsidRPr="0036702A">
        <w:rPr>
          <w:rFonts w:cstheme="minorHAnsi"/>
          <w:color w:val="FF0000"/>
        </w:rPr>
        <w:t xml:space="preserve"> </w:t>
      </w:r>
      <w:r w:rsidR="002A1BB7">
        <w:rPr>
          <w:rFonts w:cstheme="minorHAnsi"/>
          <w:color w:val="FF0000"/>
        </w:rPr>
        <w:t>empirical evidence</w:t>
      </w:r>
      <w:r w:rsidR="001607BC" w:rsidRPr="001607BC">
        <w:rPr>
          <w:rFonts w:cstheme="minorHAnsi"/>
          <w:color w:val="FF0000"/>
        </w:rPr>
        <w:t xml:space="preserve"> </w:t>
      </w:r>
      <w:r w:rsidR="001520EA" w:rsidRPr="001520EA">
        <w:rPr>
          <w:rFonts w:cstheme="minorHAnsi"/>
          <w:color w:val="FF0000"/>
        </w:rPr>
        <w:fldChar w:fldCharType="begin"/>
      </w:r>
      <w:r w:rsidR="0019418B">
        <w:rPr>
          <w:rFonts w:cstheme="minorHAnsi"/>
          <w:color w:val="FF0000"/>
        </w:rPr>
        <w:instrText xml:space="preserve"> ADDIN ZOTERO_ITEM CSL_CITATION {"citationID":"xr7o5rW6","properties":{"formattedCitation":"[13,30,46]","plainCitation":"[13,30,46]","noteIndex":0},"citationItems":[{"id":"hB7whiFf/IfOdEBRH","uris":["http://zotero.org/users/9378318/items/TMVY9Z9L"],"itemData":{"id":"Zq0BLnQM/dL02AgUA","type":"article-journal","abstract":"Background: An increasing number of studies are focusing on secondary hyperalgesia to better understand central sensitization, as this phenomenon may play an important role in persistent pain. Recent studies have shown that, compared to the classical high-frequency stimulation protocol (HFS) at 100 Hz, a protocol using 42 Hz stimulation induces a more intense and a larger area of secondary hyperalgesia (SH). Objectives: The aim of this study was to investigate the within- and between-session reliability of SH induced by this optimized HFS protocol. Methods: Thirty-two healthy subjects received HFS to their volar forearm in two sessions, separated by at least 2 weeks. SH was assessed by measuring the area size of increased sensitivity to pinprick stimuli after applying HFS, the sensitivity to pinprick stimuli after applying HFS and the change in pinprick sensitivity after versus before HFS. Assessments were made before HFS, and 30, 35 and 40 min after HFS. Relative and absolute reliability were analysed using intraclass correlation coefficients (ICCs), coefficients of variation (CVs), standard error of means (SEMs) and the minimum detectable changes (MDCs). Results: The area of SH showed good to excellent within-session and between-session relative reliability (ICCs &gt; 0.80), except for the change in pinprick sensitivity, which showed close to poor between-session relative reliability (ICC = 0.53). Furthermore, measures of absolute reliability generally demonstrated large between-subject variability and significant fluctuations across repeated measurements. Conclusions: HFS-induced hyperalgesia is suitable to discriminate or compare individuals but it may not be sensitive to changes due to an intervention. Significance: It is crucial to evaluate central sensitization adequately in humans. This study formally establishes the reliability of secondary hyperalgesia induced by electrical high-frequency stimulation. The results of this study will improve future studies investigating secondary hyperalgesia in humans.","container-title":"European Journal of Pain (United Kingdom)","DOI":"10.1002/ejp.1613","issue":"8","page":"1585-1597","title":"Within- and between-session reliability of secondary hyperalgesia induced by electrical high-frequency stimulation","volume":"24","author":[{"family":"Cayrol","given":"Timothée"},{"family":"Lebleu","given":"Julien"},{"family":"Mouraux","given":"André"},{"family":"Roussel","given":"Nathalie"},{"family":"Pitance","given":"Laurent"},{"family":"Broeke","given":"Emanuel N.","non-dropping-particle":"van den"}],"issued":{"date-parts":[["2020"]]}}},{"id":1864,"uris":["http://zotero.org/users/9378318/items/YE9878IG"],"itemData":{"id":1864,"type":"article-journal","abstract":"Social support has been shown to reduce pain ratings and physiological responses to acute pain stimuli. Furthermore, this relationship is moderated by adult attachment styles. However, these effects have not been characterized in experimentally induced symptoms of chronic pain, such as secondary hyperalgesia (SH) which is characterized by an increased sensitivity of the skin surrounding an injury. We aimed to examine whether social support by handholding from a romantic partner can attenuate the development of experimentally induced SH. Thirty-seven women, along with their partners, participated in 2 experimental sessions 1 week apart. In both sessions, SH was induced using an electrical stimulation protocol. In the support condition, the partner was seated across from the participant holding the participant’s hand during the electrical stimulation, whereas in the alone condition, the participant went through the stimulation alone. Heart rate variability was measured for both the participant as well as the partner before, during, and after the stimulation. We found that the width of the area of hyperalgesia was significantly smaller in the support condition. Attachment styles did not moderate this effect of social support on the area width. Increasing attachment avoidance was associated with both a smaller width of hyperalgesia and a smaller increase in the sensitivity on the stimulated arm. For the first time, we show that social support can attenuate the development of secondary hyperalgesia and that attachment avoidance may be associated with an attenuated development of secondary hyperalgesia.","container-title":"Pain","DOI":"10.1097/j.pain.0000000000002971","ISSN":"0304-3959, 1872-6623","journalAbbreviation":"Pain","language":"en","source":"DOI.org (Crossref)","title":"The impact of the social context on the development of secondary hyperalgesia: an experimental study","title-short":"The impact of the social context on the development of secondary hyperalgesia","URL":"https://journals.lww.com/10.1097/j.pain.0000000000002971","author":[{"family":"Jaltare","given":"Ketan Prafull"},{"family":"Vanderijst","given":"Laetitia"},{"family":"Karos","given":"Kai"},{"family":"Torta","given":"Diana M."}],"accessed":{"date-parts":[["2023",7,18]]},"issued":{"date-parts":[["2023",7,10]]}}},{"id":1780,"uris":["http://zotero.org/users/9378318/items/H6PJX5D2"],"itemData":{"id":1780,"type":"article-journal","container-title":"The Journal of Pain","DOI":"10.1016/j.jpain.2023.05.016","ISSN":"15265900","journalAbbreviation":"The Journal of Pain","language":"en","page":"S152659002300425X","source":"DOI.org (Crossref)","title":"No Evidence that Working Memory Modulates the Plasticity of the Nociceptive System, as Measured by Secondary Mechanical Hypersensitivity","author":[{"family":"Meyers","given":"Elke"},{"family":"Alves","given":"Maryna"},{"family":"Teugels","given":"Anouk"},{"family":"Torta","given":"Diana M."}],"issued":{"date-parts":[["2023",6]]}}}],"schema":"https://github.com/citation-style-language/schema/raw/master/csl-citation.json"} </w:instrText>
      </w:r>
      <w:r w:rsidR="001520EA" w:rsidRPr="001520EA">
        <w:rPr>
          <w:rFonts w:cstheme="minorHAnsi"/>
          <w:color w:val="FF0000"/>
        </w:rPr>
        <w:fldChar w:fldCharType="separate"/>
      </w:r>
      <w:r w:rsidR="001A31BB" w:rsidRPr="001A31BB">
        <w:rPr>
          <w:rFonts w:ascii="Calibri" w:hAnsi="Calibri" w:cs="Calibri"/>
        </w:rPr>
        <w:t>[13,30,46]</w:t>
      </w:r>
      <w:r w:rsidR="001520EA" w:rsidRPr="001520EA">
        <w:rPr>
          <w:rFonts w:cstheme="minorHAnsi"/>
          <w:color w:val="FF0000"/>
        </w:rPr>
        <w:fldChar w:fldCharType="end"/>
      </w:r>
      <w:r w:rsidR="001607BC" w:rsidRPr="001520EA">
        <w:rPr>
          <w:rFonts w:cstheme="minorHAnsi"/>
          <w:color w:val="FF0000"/>
        </w:rPr>
        <w:t xml:space="preserve"> </w:t>
      </w:r>
      <w:r w:rsidR="001607BC" w:rsidRPr="001607BC">
        <w:rPr>
          <w:rFonts w:cstheme="minorHAnsi"/>
          <w:color w:val="FF0000"/>
        </w:rPr>
        <w:t xml:space="preserve">indicating an increase in pinprick sensitivity </w:t>
      </w:r>
      <w:r w:rsidR="002525F4" w:rsidRPr="002525F4">
        <w:rPr>
          <w:rFonts w:cstheme="minorHAnsi"/>
          <w:color w:val="FF0000"/>
        </w:rPr>
        <w:t>starting from 20 minutes post-High-Frequency Stimulation (HFS) and lasting until about 40/45 minutes.</w:t>
      </w:r>
      <w:r w:rsidR="001607BC" w:rsidRPr="001607BC">
        <w:rPr>
          <w:rFonts w:cstheme="minorHAnsi"/>
          <w:color w:val="FF0000"/>
        </w:rPr>
        <w:t xml:space="preserve"> </w:t>
      </w:r>
      <w:bookmarkEnd w:id="11"/>
      <w:r w:rsidR="007372DD" w:rsidRPr="00A4233B">
        <w:rPr>
          <w:rFonts w:cstheme="minorHAnsi"/>
        </w:rPr>
        <w:t>During the assessment</w:t>
      </w:r>
      <w:r w:rsidR="005A1A2E">
        <w:rPr>
          <w:rFonts w:cstheme="minorHAnsi"/>
        </w:rPr>
        <w:t>,</w:t>
      </w:r>
      <w:r w:rsidR="007372DD" w:rsidRPr="00A4233B">
        <w:rPr>
          <w:rFonts w:cstheme="minorHAnsi"/>
        </w:rPr>
        <w:t xml:space="preserve"> participants were asked to look away from their arm</w:t>
      </w:r>
      <w:r w:rsidR="005A1A2E">
        <w:rPr>
          <w:rFonts w:cstheme="minorHAnsi"/>
        </w:rPr>
        <w:t>s</w:t>
      </w:r>
      <w:r w:rsidR="007372DD" w:rsidRPr="00A4233B">
        <w:rPr>
          <w:rFonts w:cstheme="minorHAnsi"/>
        </w:rPr>
        <w:t>. Immediately after each stimulus, participants were asked to rate the intensity felt using a numerical scale from 0 (no</w:t>
      </w:r>
      <w:r w:rsidR="00E720AF">
        <w:rPr>
          <w:rFonts w:cstheme="minorHAnsi"/>
        </w:rPr>
        <w:t>t</w:t>
      </w:r>
      <w:r w:rsidR="007372DD" w:rsidRPr="00A4233B">
        <w:rPr>
          <w:rFonts w:cstheme="minorHAnsi"/>
        </w:rPr>
        <w:t xml:space="preserve"> felt at all) to 100 (maximal pain), with 50 being the transition from a non-painful stimulation to a painful one</w:t>
      </w:r>
      <w:r w:rsidR="008C7B01">
        <w:rPr>
          <w:rFonts w:cstheme="minorHAnsi"/>
        </w:rPr>
        <w:t xml:space="preserve"> </w:t>
      </w:r>
      <w:r w:rsidR="0073099E">
        <w:rPr>
          <w:rFonts w:cstheme="minorHAnsi"/>
        </w:rPr>
        <w:fldChar w:fldCharType="begin"/>
      </w:r>
      <w:r w:rsidR="0019418B">
        <w:rPr>
          <w:rFonts w:cstheme="minorHAnsi"/>
        </w:rPr>
        <w:instrText xml:space="preserve"> ADDIN ZOTERO_ITEM CSL_CITATION {"citationID":"0PehyCCf","properties":{"formattedCitation":"[17,23,46,47,67]","plainCitation":"[17,23,46,47,67]","noteIndex":0},"citationItems":[{"id":1461,"uris":["http://zotero.org/users/9378318/items/2P382QLR"],"itemData":{"id":1461,"type":"article-journal","container-title":"Cognitive Neuroscience","journalAbbreviation":"Cognitive Neuroscience","note":"publisher: Frontiers in Human Neuroscience","page":"754","title":"No evidence for an effect of selective spatial attention on the development of secondary hyperalgesia: a replication study","author":[{"family":"Della Porta","given":"Delia"},{"family":"Vilz","given":"Marie-Lynn"},{"family":"Kuzminova","given":"Avgustina"},{"family":"Filbrich","given":"Lieve"},{"family":"Mouraux","given":"André"},{"family":"Legrain","given":"Valéry"}],"issued":{"date-parts":[["2022"]]}}},{"id":537,"uris":["http://zotero.org/users/9378318/items/8I4B3XBU"],"itemData":{"id":537,"type":"article-journal","abstract":"Intense or sustained activation of peripheral nociceptors can induce central sensitization. This enhanced responsiveness to nociceptive input of the central nervous system primarily manifests as an increased sensitivity to painful mechanical pinprick stimuli extending beyond the site of injury (secondary mechanical hyperalgesia) and is thought to be a key mechanism in the development of chronic pain, such as persistent post-operative pain. It is increasingly recognized that emotional and cognitive factors can strongly inﬂuence the pain experience. Furthermore, through their potential effects on pain modulation circuits including descending pathways to the spinal cord, it has been hypothesized that these emotional and cognitive factors could constitute risk factors for the susceptibility to develop chronic pain. Here, we tested whether, in healthy volunteers, the experimental induction of central sensitization by peripheral nociceptive input can be modulated by selective spatial attention. While participants performed a somatosensory detection task that required focusing attention towards one of the forearms, secondary hyperalgesia was induced at both forearms using bilateral and simultaneous high-frequency electrical stimulation (HFS) of the skin. HFS induced an increased sensitivity to mechanical pinprick stimuli at both forearms, directly (T1) and 20 min (T2) after HFS, conﬁrming the successful induction of secondary hyperalgesia at both forearms. Most importantly, at T2, the HFSinduced increase in pinprick sensitivity as well as the area of secondary hyperalgesia was greater at the attended arm as compared to the non-attended arm. This indicates that top-down attentional factors can modulate the development of central sensitization by peripheral nociceptive input, and that the focus of spatial attention, besides its modulatory effects on perception, can affect activity-dependent neuroplasticity.","container-title":"Cortex","DOI":"10.1016/j.cortex.2019.11.014","ISSN":"00109452","journalAbbreviation":"Cortex","language":"en","page":"193-203","source":"DOI.org (Crossref)","title":"The focus of spatial attention during the induction of central sensitization can modulate the subsequent development of secondary hyperalgesia","volume":"124","author":[{"family":"Filbrich","given":"Lieve"},{"family":"Broeke","given":"Emanuel N.","non-dropping-particle":"van den"},{"family":"Legrain","given":"Valéry"},{"family":"Mouraux","given":"André"}],"issued":{"date-parts":[["2020",3]]}}},{"id":1780,"uris":["http://zotero.org/users/9378318/items/H6PJX5D2"],"itemData":{"id":1780,"type":"article-journal","container-title":"The Journal of Pain","DOI":"10.1016/j.jpain.2023.05.016","ISSN":"15265900","journalAbbreviation":"The Journal of Pain","language":"en","page":"S152659002300425X","source":"DOI.org (Crossref)","title":"No Evidence that Working Memory Modulates the Plasticity of the Nociceptive System, as Measured by Secondary Mechanical Hypersensitivity","author":[{"family":"Meyers","given":"Elke"},{"family":"Alves","given":"Maryna"},{"family":"Teugels","given":"Anouk"},{"family":"Torta","given":"Diana M."}],"issued":{"date-parts":[["2023",6]]}}},{"id":1626,"uris":["http://zotero.org/users/9378318/items/667ICLH3"],"itemData":{"id":1626,"type":"article-journal","abstract":"Background: According to limited-c­ apacity theories of attention, less attentional resources remain available when engaging in a high-­versus a low-d­ emanding cognitive task. This may reduce the perceived intensity and the evoked cortical responses of concomitant nociceptive stimuli. Whether and how the competition for limited attentional resources between a cognitive task and pain impacts the development of long-­lasting hypersensitivity is unclear.\nMethods: Eighty-­four healthy participants were randomized into a low or high cognitive load group. Low-­frequency electrical stimulation (LFS) of the skin was used to induce secondary hypersensitivity. We hypothesized that performing the high-l­oad task during LFS would reduce the development of hypersensitivity. We examined whether painfulness, nonpain-r­elated sympathetic arousal, or sex related to hypersensitivity, by assessing intensity and unpleasantness of mechanical pinprick stimulation. During task execution, we recorded steady-­state evoked potentials evoked by LFS and skin conductance level for sympathetic arousal. Afterwards, participants reported task difficulty and LFS-r­ elated fear. For the primary outcomes, we used mixed analysis of variances.\nResults: The results confirmed the difference in cognitive load. Although LFS successfully induced hypersensitivity, the high-­load task did not reduce its development. Next, the steady-s­tate evoked potentials did not differ between groups. Hypersensitivity correlated positively with pain-­related fear and negatively with skin conductance level before LFS, despite the lack of group differences in skin conductance level. We did not find any sex differences in hypersensitivity.\nConclusions: These results do not confirm that high cognitive load or sex modulate hypersensitivity, but show associations with pain-r­ elated fear and non-p­ ain-­ related sympathetic arousal. Significance: Previous research has mainly focused on cognitive load effects on the perception of acute painful stimuli. Yet this study extends our understanding by investigating cognitive load effects on the development of long-l­asting secondary hypersensitivity, a common aspect in numerous persistent pain conditions. As cognitive tasks are presented during a painful procedure inducing secondary","container-title":"European Journal of Pain","DOI":"10.1002/ejp.2098","ISSN":"1090-3801, 1532-2149","journalAbbreviation":"European Journal of Pain","language":"en","page":"ejp.2098","source":"DOI.org (Crossref)","title":"The effect of high versus low cognitive load on the development of nociceptive hypersensitivity: The roles of sympathetic arousal, sex and pain‐related fear","title-short":"The effect of high versus low cognitive load on the development of nociceptive hypersensitivity","author":[{"family":"Meyers","given":"Elke"},{"family":"Vlaeyen","given":"Johan W. S."},{"family":"Van Den Broeke","given":"Emanuel N."},{"family":"Von Leupoldt","given":"Andreas"},{"family":"Palmer","given":"Andrew J."},{"family":"Torta","given":"Diana M."}],"issued":{"date-parts":[["2023",3,3]]}}},{"id":48,"uris":["http://zotero.org/users/9378318/items/MH46BWD5"],"itemData":{"id":48,"type":"article-journal","abstract":"Whether, how, and which cognitive factors modulate the development of secondary hypersensitivity/hyperalgesia after central sensitization is not fully understood. Here, we tested, in 3 subsequent experiments, whether being engaged in non-pain-related cognitive demanding tasks: (1) lessens the amount of hypersensitivity developed after an experimental procedure sensitizing nociceptive pathways; and (2) modulates cortical responses to somatosensory stimuli (measured by electroencephalography, EEG). In the first experiment, we validated a novel model in humans using low-frequency stimulation of the skin and demonstrated that it was able to successfully induce hypersensitivity to mechanical pinprick stimuli in the area surrounding the sensitized site. In the second and third experiments, we engaged participants in tasks of increasing difficulty (the Eriksen Flanker Task in experiment 2, and a modified N-back task in experiment 3). We observed that hypersensitivity to mechanical stimuli still developed in experiment 2, that is, the pinprick stimuli applied on the sensitized arm were perceived as more intense after low-frequency stimulation. By contrast, no statistically significant enhancement of mechanical hypersensitivity was observed in experiment 3, indicating that, at the group level, being engaged in a difficult N-back task may interfere with the development of mechanical hypersensitivity. Contrary to previous studies, which have used different methods to induce sensitization, we did not observe any increase in the cortical response to somatosensory stimuli applied on the sensitized arm. We conclude that (1) the development of pinprick hypersensitivity is modulated by the concomitant execution of a difficult N-back task, and (2) the enhancement of cortical responses to somatosensory stimuli is related to the method used to induce central sensitization.","container-title":"Pain","DOI":"10.1097/j.pain.0000000000001841","ISSN":"0000000000","issue":"7","page":"1459-1469","title":"A highly cognitive demanding working memory task may prevent the development of nociceptive hypersensitivity","volume":"161","author":[{"family":"Torta","given":"Diana M."},{"family":"De Laurentis","given":"Martina"},{"family":"Eichin","given":"Katharina Naomi"},{"family":"Leupoldt","given":"Andreas","non-dropping-particle":"von"},{"family":"Broeke","given":"Emanuel N.","non-dropping-particle":"van den"},{"family":"Vlaeyen","given":"Johan W. S."}],"issued":{"date-parts":[["2020"]]}}}],"schema":"https://github.com/citation-style-language/schema/raw/master/csl-citation.json"} </w:instrText>
      </w:r>
      <w:r w:rsidR="0073099E">
        <w:rPr>
          <w:rFonts w:cstheme="minorHAnsi"/>
        </w:rPr>
        <w:fldChar w:fldCharType="separate"/>
      </w:r>
      <w:r w:rsidR="001A31BB" w:rsidRPr="001A31BB">
        <w:rPr>
          <w:rFonts w:ascii="Calibri" w:hAnsi="Calibri" w:cs="Calibri"/>
        </w:rPr>
        <w:t>[17,23,46,47,67]</w:t>
      </w:r>
      <w:r w:rsidR="0073099E">
        <w:rPr>
          <w:rFonts w:cstheme="minorHAnsi"/>
        </w:rPr>
        <w:fldChar w:fldCharType="end"/>
      </w:r>
      <w:r w:rsidR="007372DD" w:rsidRPr="00A4233B">
        <w:rPr>
          <w:rFonts w:cstheme="minorHAnsi"/>
        </w:rPr>
        <w:t>. The same area on the arm was never stimulated more than once. The arm order</w:t>
      </w:r>
      <w:r w:rsidR="00A82391">
        <w:rPr>
          <w:rFonts w:cstheme="minorHAnsi"/>
        </w:rPr>
        <w:t xml:space="preserve"> ( dominant vs. non-dominant)</w:t>
      </w:r>
      <w:r w:rsidR="007372DD" w:rsidRPr="00A4233B">
        <w:rPr>
          <w:rFonts w:cstheme="minorHAnsi"/>
        </w:rPr>
        <w:t xml:space="preserve"> for the assessment was counterbalanced across participants</w:t>
      </w:r>
      <w:r w:rsidR="00A82391">
        <w:rPr>
          <w:rFonts w:cstheme="minorHAnsi"/>
        </w:rPr>
        <w:t>. The same order was kept for all the assessments ( e.g., T0, T1 and T2)</w:t>
      </w:r>
      <w:r w:rsidR="007372DD" w:rsidRPr="00A4233B">
        <w:rPr>
          <w:rFonts w:cstheme="minorHAnsi"/>
        </w:rPr>
        <w:t>.</w:t>
      </w:r>
    </w:p>
    <w:p w14:paraId="5A84236F" w14:textId="0BD47608" w:rsidR="007F2285" w:rsidRPr="00B953EC" w:rsidRDefault="0006127B" w:rsidP="00D842BB">
      <w:pPr>
        <w:spacing w:after="0" w:line="480" w:lineRule="auto"/>
        <w:rPr>
          <w:rFonts w:cstheme="minorHAnsi"/>
          <w:color w:val="FF0000"/>
        </w:rPr>
      </w:pPr>
      <w:bookmarkStart w:id="12" w:name="_Hlk153449649"/>
      <w:r w:rsidRPr="00B953EC">
        <w:rPr>
          <w:rFonts w:cstheme="minorHAnsi"/>
          <w:color w:val="FF0000"/>
        </w:rPr>
        <w:t xml:space="preserve">We used a single scale for assessing both intensity and pain perception. This decision was influenced by </w:t>
      </w:r>
      <w:r w:rsidRPr="00B953EC">
        <w:rPr>
          <w:rFonts w:cstheme="minorHAnsi"/>
          <w:color w:val="FF0000"/>
        </w:rPr>
        <w:fldChar w:fldCharType="begin"/>
      </w:r>
      <w:r w:rsidR="0019418B">
        <w:rPr>
          <w:rFonts w:cstheme="minorHAnsi"/>
          <w:color w:val="FF0000"/>
        </w:rPr>
        <w:instrText xml:space="preserve"> ADDIN ZOTERO_ITEM CSL_CITATION {"citationID":"rD3uaom0","properties":{"formattedCitation":"[75]","plainCitation":"[75]","noteIndex":0},"citationItems":[{"id":430,"uris":["http://zotero.org/users/9378318/items/RIP7K8I9"],"itemData":{"id":430,"type":"article-journal","abstract":"Since its discovery, central sensitization has gained enormous popularity. It is widely used to explain pain hypersensitivity in a wide range of clinical pain conditions. However, at present there is no general consensus on the definition of central sensitization. Moreover, the use of the term central sensitization in the clinical domain has been criticized. The aim of this paper is to foster the discussion on the definition of central sensitization and its use.","DOI":"10.12688/f1000research.15956.2","title":"Central sensitization and pain hypersensitivity: Some critical considerations. [version 2; referees: 2 approved] Referee Status: Invited Referees version 2","author":[{"family":"Van Den Broeke","given":"Emanuel N."}],"issued":{"date-parts":[["2018"]]}}}],"schema":"https://github.com/citation-style-language/schema/raw/master/csl-citation.json"} </w:instrText>
      </w:r>
      <w:r w:rsidRPr="00B953EC">
        <w:rPr>
          <w:rFonts w:cstheme="minorHAnsi"/>
          <w:color w:val="FF0000"/>
        </w:rPr>
        <w:fldChar w:fldCharType="separate"/>
      </w:r>
      <w:r w:rsidRPr="00B953EC">
        <w:rPr>
          <w:rFonts w:ascii="Calibri" w:hAnsi="Calibri" w:cs="Calibri"/>
          <w:color w:val="FF0000"/>
        </w:rPr>
        <w:t>[75]</w:t>
      </w:r>
      <w:r w:rsidRPr="00B953EC">
        <w:rPr>
          <w:rFonts w:cstheme="minorHAnsi"/>
          <w:color w:val="FF0000"/>
        </w:rPr>
        <w:fldChar w:fldCharType="end"/>
      </w:r>
      <w:r w:rsidRPr="00B953EC">
        <w:rPr>
          <w:rFonts w:cstheme="minorHAnsi"/>
          <w:color w:val="FF0000"/>
        </w:rPr>
        <w:t xml:space="preserve"> </w:t>
      </w:r>
      <w:r w:rsidR="00A27C16" w:rsidRPr="00B953EC">
        <w:rPr>
          <w:rFonts w:cstheme="minorHAnsi"/>
          <w:color w:val="FF0000"/>
        </w:rPr>
        <w:t>which highlighted that, before or after High-Frequency Stimulation (HFS), most participants do not perceive pinprick stimuli as painful.</w:t>
      </w:r>
      <w:r w:rsidR="00B953EC" w:rsidRPr="00B953EC">
        <w:rPr>
          <w:color w:val="FF0000"/>
        </w:rPr>
        <w:t xml:space="preserve"> </w:t>
      </w:r>
      <w:r w:rsidR="00B953EC" w:rsidRPr="00B953EC">
        <w:rPr>
          <w:rFonts w:cstheme="minorHAnsi"/>
          <w:color w:val="FF0000"/>
        </w:rPr>
        <w:t>Additionally, adopting this approach increased comparability with other studies exploring similar topics, such as those conducted by</w:t>
      </w:r>
      <w:r w:rsidR="00A27C16" w:rsidRPr="00B953EC">
        <w:rPr>
          <w:rFonts w:cstheme="minorHAnsi"/>
          <w:color w:val="FF0000"/>
        </w:rPr>
        <w:t xml:space="preserve"> </w:t>
      </w:r>
      <w:r w:rsidR="00FE46E9" w:rsidRPr="00B953EC">
        <w:rPr>
          <w:rFonts w:cstheme="minorHAnsi"/>
          <w:color w:val="FF0000"/>
        </w:rPr>
        <w:fldChar w:fldCharType="begin"/>
      </w:r>
      <w:r w:rsidR="0019418B">
        <w:rPr>
          <w:rFonts w:cstheme="minorHAnsi"/>
          <w:color w:val="FF0000"/>
        </w:rPr>
        <w:instrText xml:space="preserve"> ADDIN ZOTERO_ITEM CSL_CITATION {"citationID":"rsrO59zX","properties":{"formattedCitation":"[17,23,46,47,67]","plainCitation":"[17,23,46,47,67]","noteIndex":0},"citationItems":[{"id":1461,"uris":["http://zotero.org/users/9378318/items/2P382QLR"],"itemData":{"id":1461,"type":"article-journal","container-title":"Cognitive Neuroscience","journalAbbreviation":"Cognitive Neuroscience","note":"publisher: Frontiers in Human Neuroscience","page":"754","title":"No evidence for an effect of selective spatial attention on the development of secondary hyperalgesia: a replication study","author":[{"family":"Della Porta","given":"Delia"},{"family":"Vilz","given":"Marie-Lynn"},{"family":"Kuzminova","given":"Avgustina"},{"family":"Filbrich","given":"Lieve"},{"family":"Mouraux","given":"André"},{"family":"Legrain","given":"Valéry"}],"issued":{"date-parts":[["2022"]]}}},{"id":537,"uris":["http://zotero.org/users/9378318/items/8I4B3XBU"],"itemData":{"id":537,"type":"article-journal","abstract":"Intense or sustained activation of peripheral nociceptors can induce central sensitization. This enhanced responsiveness to nociceptive input of the central nervous system primarily manifests as an increased sensitivity to painful mechanical pinprick stimuli extending beyond the site of injury (secondary mechanical hyperalgesia) and is thought to be a key mechanism in the development of chronic pain, such as persistent post-operative pain. It is increasingly recognized that emotional and cognitive factors can strongly inﬂuence the pain experience. Furthermore, through their potential effects on pain modulation circuits including descending pathways to the spinal cord, it has been hypothesized that these emotional and cognitive factors could constitute risk factors for the susceptibility to develop chronic pain. Here, we tested whether, in healthy volunteers, the experimental induction of central sensitization by peripheral nociceptive input can be modulated by selective spatial attention. While participants performed a somatosensory detection task that required focusing attention towards one of the forearms, secondary hyperalgesia was induced at both forearms using bilateral and simultaneous high-frequency electrical stimulation (HFS) of the skin. HFS induced an increased sensitivity to mechanical pinprick stimuli at both forearms, directly (T1) and 20 min (T2) after HFS, conﬁrming the successful induction of secondary hyperalgesia at both forearms. Most importantly, at T2, the HFSinduced increase in pinprick sensitivity as well as the area of secondary hyperalgesia was greater at the attended arm as compared to the non-attended arm. This indicates that top-down attentional factors can modulate the development of central sensitization by peripheral nociceptive input, and that the focus of spatial attention, besides its modulatory effects on perception, can affect activity-dependent neuroplasticity.","container-title":"Cortex","DOI":"10.1016/j.cortex.2019.11.014","ISSN":"00109452","journalAbbreviation":"Cortex","language":"en","page":"193-203","source":"DOI.org (Crossref)","title":"The focus of spatial attention during the induction of central sensitization can modulate the subsequent development of secondary hyperalgesia","volume":"124","author":[{"family":"Filbrich","given":"Lieve"},{"family":"Broeke","given":"Emanuel N.","non-dropping-particle":"van den"},{"family":"Legrain","given":"Valéry"},{"family":"Mouraux","given":"André"}],"issued":{"date-parts":[["2020",3]]}}},{"id":1780,"uris":["http://zotero.org/users/9378318/items/H6PJX5D2"],"itemData":{"id":1780,"type":"article-journal","container-title":"The Journal of Pain","DOI":"10.1016/j.jpain.2023.05.016","ISSN":"15265900","journalAbbreviation":"The Journal of Pain","language":"en","page":"S152659002300425X","source":"DOI.org (Crossref)","title":"No Evidence that Working Memory Modulates the Plasticity of the Nociceptive System, as Measured by Secondary Mechanical Hypersensitivity","author":[{"family":"Meyers","given":"Elke"},{"family":"Alves","given":"Maryna"},{"family":"Teugels","given":"Anouk"},{"family":"Torta","given":"Diana M."}],"issued":{"date-parts":[["2023",6]]}}},{"id":1626,"uris":["http://zotero.org/users/9378318/items/667ICLH3"],"itemData":{"id":1626,"type":"article-journal","abstract":"Background: According to limited-c­ apacity theories of attention, less attentional resources remain available when engaging in a high-­versus a low-d­ emanding cognitive task. This may reduce the perceived intensity and the evoked cortical responses of concomitant nociceptive stimuli. Whether and how the competition for limited attentional resources between a cognitive task and pain impacts the development of long-­lasting hypersensitivity is unclear.\nMethods: Eighty-­four healthy participants were randomized into a low or high cognitive load group. Low-­frequency electrical stimulation (LFS) of the skin was used to induce secondary hypersensitivity. We hypothesized that performing the high-l­oad task during LFS would reduce the development of hypersensitivity. We examined whether painfulness, nonpain-r­elated sympathetic arousal, or sex related to hypersensitivity, by assessing intensity and unpleasantness of mechanical pinprick stimulation. During task execution, we recorded steady-­state evoked potentials evoked by LFS and skin conductance level for sympathetic arousal. Afterwards, participants reported task difficulty and LFS-r­ elated fear. For the primary outcomes, we used mixed analysis of variances.\nResults: The results confirmed the difference in cognitive load. Although LFS successfully induced hypersensitivity, the high-­load task did not reduce its development. Next, the steady-s­tate evoked potentials did not differ between groups. Hypersensitivity correlated positively with pain-­related fear and negatively with skin conductance level before LFS, despite the lack of group differences in skin conductance level. We did not find any sex differences in hypersensitivity.\nConclusions: These results do not confirm that high cognitive load or sex modulate hypersensitivity, but show associations with pain-r­ elated fear and non-p­ ain-­ related sympathetic arousal. Significance: Previous research has mainly focused on cognitive load effects on the perception of acute painful stimuli. Yet this study extends our understanding by investigating cognitive load effects on the development of long-l­asting secondary hypersensitivity, a common aspect in numerous persistent pain conditions. As cognitive tasks are presented during a painful procedure inducing secondary","container-title":"European Journal of Pain","DOI":"10.1002/ejp.2098","ISSN":"1090-3801, 1532-2149","journalAbbreviation":"European Journal of Pain","language":"en","page":"ejp.2098","source":"DOI.org (Crossref)","title":"The effect of high versus low cognitive load on the development of nociceptive hypersensitivity: The roles of sympathetic arousal, sex and pain‐related fear","title-short":"The effect of high versus low cognitive load on the development of nociceptive hypersensitivity","author":[{"family":"Meyers","given":"Elke"},{"family":"Vlaeyen","given":"Johan W. S."},{"family":"Van Den Broeke","given":"Emanuel N."},{"family":"Von Leupoldt","given":"Andreas"},{"family":"Palmer","given":"Andrew J."},{"family":"Torta","given":"Diana M."}],"issued":{"date-parts":[["2023",3,3]]}}},{"id":48,"uris":["http://zotero.org/users/9378318/items/MH46BWD5"],"itemData":{"id":48,"type":"article-journal","abstract":"Whether, how, and which cognitive factors modulate the development of secondary hypersensitivity/hyperalgesia after central sensitization is not fully understood. Here, we tested, in 3 subsequent experiments, whether being engaged in non-pain-related cognitive demanding tasks: (1) lessens the amount of hypersensitivity developed after an experimental procedure sensitizing nociceptive pathways; and (2) modulates cortical responses to somatosensory stimuli (measured by electroencephalography, EEG). In the first experiment, we validated a novel model in humans using low-frequency stimulation of the skin and demonstrated that it was able to successfully induce hypersensitivity to mechanical pinprick stimuli in the area surrounding the sensitized site. In the second and third experiments, we engaged participants in tasks of increasing difficulty (the Eriksen Flanker Task in experiment 2, and a modified N-back task in experiment 3). We observed that hypersensitivity to mechanical stimuli still developed in experiment 2, that is, the pinprick stimuli applied on the sensitized arm were perceived as more intense after low-frequency stimulation. By contrast, no statistically significant enhancement of mechanical hypersensitivity was observed in experiment 3, indicating that, at the group level, being engaged in a difficult N-back task may interfere with the development of mechanical hypersensitivity. Contrary to previous studies, which have used different methods to induce sensitization, we did not observe any increase in the cortical response to somatosensory stimuli applied on the sensitized arm. We conclude that (1) the development of pinprick hypersensitivity is modulated by the concomitant execution of a difficult N-back task, and (2) the enhancement of cortical responses to somatosensory stimuli is related to the method used to induce central sensitization.","container-title":"Pain","DOI":"10.1097/j.pain.0000000000001841","ISSN":"0000000000","issue":"7","page":"1459-1469","title":"A highly cognitive demanding working memory task may prevent the development of nociceptive hypersensitivity","volume":"161","author":[{"family":"Torta","given":"Diana M."},{"family":"De Laurentis","given":"Martina"},{"family":"Eichin","given":"Katharina Naomi"},{"family":"Leupoldt","given":"Andreas","non-dropping-particle":"von"},{"family":"Broeke","given":"Emanuel N.","non-dropping-particle":"van den"},{"family":"Vlaeyen","given":"Johan W. S."}],"issued":{"date-parts":[["2020"]]}}}],"schema":"https://github.com/citation-style-language/schema/raw/master/csl-citation.json"} </w:instrText>
      </w:r>
      <w:r w:rsidR="00FE46E9" w:rsidRPr="00B953EC">
        <w:rPr>
          <w:rFonts w:cstheme="minorHAnsi"/>
          <w:color w:val="FF0000"/>
        </w:rPr>
        <w:fldChar w:fldCharType="separate"/>
      </w:r>
      <w:r w:rsidR="001A31BB" w:rsidRPr="00B953EC">
        <w:rPr>
          <w:rFonts w:ascii="Calibri" w:hAnsi="Calibri" w:cs="Calibri"/>
          <w:color w:val="FF0000"/>
        </w:rPr>
        <w:t>[17,23,46,47,67]</w:t>
      </w:r>
      <w:r w:rsidR="00FE46E9" w:rsidRPr="00B953EC">
        <w:rPr>
          <w:rFonts w:cstheme="minorHAnsi"/>
          <w:color w:val="FF0000"/>
        </w:rPr>
        <w:fldChar w:fldCharType="end"/>
      </w:r>
      <w:r w:rsidR="00B953EC" w:rsidRPr="00B953EC">
        <w:rPr>
          <w:rFonts w:cstheme="minorHAnsi"/>
          <w:color w:val="FF0000"/>
        </w:rPr>
        <w:t xml:space="preserve">. </w:t>
      </w:r>
    </w:p>
    <w:bookmarkEnd w:id="12"/>
    <w:p w14:paraId="6FC4E1CF" w14:textId="52AE5E35" w:rsidR="007372DD" w:rsidRDefault="007372DD" w:rsidP="007372DD">
      <w:pPr>
        <w:spacing w:after="0" w:line="480" w:lineRule="auto"/>
        <w:ind w:firstLine="720"/>
        <w:rPr>
          <w:rFonts w:cstheme="minorHAnsi"/>
        </w:rPr>
      </w:pPr>
      <w:r w:rsidRPr="00A4233B">
        <w:rPr>
          <w:rFonts w:cstheme="minorHAnsi"/>
        </w:rPr>
        <w:t>For an estimation of the area of increased mechanical pinprick sensitivity, the calibrated stimulator (128mN) was applied along the proximal-distal axis (i.e., a perpendicular line drawn from the cent</w:t>
      </w:r>
      <w:r w:rsidR="005A1A2E">
        <w:rPr>
          <w:rFonts w:cstheme="minorHAnsi"/>
        </w:rPr>
        <w:t>re</w:t>
      </w:r>
      <w:r w:rsidRPr="00A4233B">
        <w:rPr>
          <w:rFonts w:cstheme="minorHAnsi"/>
        </w:rPr>
        <w:t xml:space="preserve"> of the HFS application) </w:t>
      </w:r>
      <w:r w:rsidR="00E41E5D" w:rsidRPr="00A4233B">
        <w:rPr>
          <w:rFonts w:cstheme="minorHAnsi"/>
        </w:rPr>
        <w:t>following a standard procedure</w:t>
      </w:r>
      <w:r w:rsidR="006E11B2">
        <w:rPr>
          <w:rFonts w:cstheme="minorHAnsi"/>
        </w:rPr>
        <w:t xml:space="preserve"> ( e.g., </w:t>
      </w:r>
      <w:r w:rsidR="006E11B2">
        <w:rPr>
          <w:rFonts w:cstheme="minorHAnsi"/>
        </w:rPr>
        <w:fldChar w:fldCharType="begin"/>
      </w:r>
      <w:r w:rsidR="0019418B">
        <w:rPr>
          <w:rFonts w:cstheme="minorHAnsi"/>
        </w:rPr>
        <w:instrText xml:space="preserve"> ADDIN ZOTERO_ITEM CSL_CITATION {"citationID":"EN50aP3b","properties":{"formattedCitation":"[13]","plainCitation":"[13]","noteIndex":0},"citationItems":[{"id":"hB7whiFf/IfOdEBRH","uris":["http://zotero.org/users/9378318/items/TMVY9Z9L"],"itemData":{"id":285,"type":"article-journal","abstract":"Background: An increasing number of studies are focusing on secondary hyperalgesia to better understand central sensitization, as this phenomenon may play an important role in persistent pain. Recent studies have shown that, compared to the classical high-frequency stimulation protocol (HFS) at 100 Hz, a protocol using 42 Hz stimulation induces a more intense and a larger area of secondary hyperalgesia (SH). Objectives: The aim of this study was to investigate the within- and between-session reliability of SH induced by this optimized HFS protocol. Methods: Thirty-two healthy subjects received HFS to their volar forearm in two sessions, separated by at least 2 weeks. SH was assessed by measuring the area size of increased sensitivity to pinprick stimuli after applying HFS, the sensitivity to pinprick stimuli after applying HFS and the change in pinprick sensitivity after versus before HFS. Assessments were made before HFS, and 30, 35 and 40 min after HFS. Relative and absolute reliability were analysed using intraclass correlation coefficients (ICCs), coefficients of variation (CVs), standard error of means (SEMs) and the minimum detectable changes (MDCs). Results: The area of SH showed good to excellent within-session and between-session relative reliability (ICCs &gt; 0.80), except for the change in pinprick sensitivity, which showed close to poor between-session relative reliability (ICC = 0.53). Furthermore, measures of absolute reliability generally demonstrated large between-subject variability and significant fluctuations across repeated measurements. Conclusions: HFS-induced hyperalgesia is suitable to discriminate or compare individuals but it may not be sensitive to changes due to an intervention. Significance: It is crucial to evaluate central sensitization adequately in humans. This study formally establishes the reliability of secondary hyperalgesia induced by electrical high-frequency stimulation. The results of this study will improve future studies investigating secondary hyperalgesia in humans.","container-title":"European Journal of Pain (United Kingdom)","DOI":"10.1002/ejp.1613","issue":"8","page":"1585-1597","title":"Within- and between-session reliability of secondary hyperalgesia induced by electrical high-frequency stimulation","volume":"24","author":[{"family":"Cayrol","given":"Timothée"},{"family":"Lebleu","given":"Julien"},{"family":"Mouraux","given":"André"},{"family":"Roussel","given":"Nathalie"},{"family":"Pitance","given":"Laurent"},{"family":"Broeke","given":"Emanuel N.","non-dropping-particle":"van den"}],"issued":{"date-parts":[["2020"]]}}}],"schema":"https://github.com/citation-style-language/schema/raw/master/csl-citation.json"} </w:instrText>
      </w:r>
      <w:r w:rsidR="006E11B2">
        <w:rPr>
          <w:rFonts w:cstheme="minorHAnsi"/>
        </w:rPr>
        <w:fldChar w:fldCharType="separate"/>
      </w:r>
      <w:r w:rsidR="001A31BB" w:rsidRPr="001A31BB">
        <w:rPr>
          <w:rFonts w:ascii="Calibri" w:hAnsi="Calibri" w:cs="Calibri"/>
        </w:rPr>
        <w:t>[13]</w:t>
      </w:r>
      <w:r w:rsidR="006E11B2">
        <w:rPr>
          <w:rFonts w:cstheme="minorHAnsi"/>
        </w:rPr>
        <w:fldChar w:fldCharType="end"/>
      </w:r>
      <w:r w:rsidR="00F51EDA">
        <w:rPr>
          <w:rFonts w:cstheme="minorHAnsi"/>
        </w:rPr>
        <w:t>).</w:t>
      </w:r>
      <w:r w:rsidR="00652658">
        <w:rPr>
          <w:rFonts w:cstheme="minorHAnsi"/>
        </w:rPr>
        <w:t xml:space="preserve"> </w:t>
      </w:r>
      <w:r w:rsidR="002726D6" w:rsidRPr="002726D6">
        <w:rPr>
          <w:rFonts w:cstheme="minorHAnsi"/>
        </w:rPr>
        <w:t>The stimulation began 10 cm away from the cent</w:t>
      </w:r>
      <w:r w:rsidR="005A1A2E">
        <w:rPr>
          <w:rFonts w:cstheme="minorHAnsi"/>
        </w:rPr>
        <w:t>re</w:t>
      </w:r>
      <w:r w:rsidR="002726D6" w:rsidRPr="002726D6">
        <w:rPr>
          <w:rFonts w:cstheme="minorHAnsi"/>
        </w:rPr>
        <w:t xml:space="preserve"> of the HFS application area, first from the wrist and then from the cubital fossa. The stimulation was conducted every 0.5 cm along the axis until participants reported </w:t>
      </w:r>
      <w:r w:rsidR="002726D6" w:rsidRPr="002726D6">
        <w:rPr>
          <w:rFonts w:cstheme="minorHAnsi"/>
        </w:rPr>
        <w:lastRenderedPageBreak/>
        <w:t>a noticeable difference in their perception of the pinprick stimulus, such as pain, tingling, a pinprick sensation, or increased intensity. The experimenter marked the specific point on the arm when a change was detected. Throughout the assessment, participants were instructed to keep their eyes closed.</w:t>
      </w:r>
      <w:r w:rsidR="000B537A">
        <w:rPr>
          <w:rFonts w:cstheme="minorHAnsi"/>
        </w:rPr>
        <w:t xml:space="preserve"> </w:t>
      </w:r>
    </w:p>
    <w:p w14:paraId="0E0FB15E" w14:textId="41389411" w:rsidR="00B34CCA" w:rsidRPr="00A4233B" w:rsidRDefault="00B34CCA" w:rsidP="008F4258">
      <w:pPr>
        <w:spacing w:after="0" w:line="480" w:lineRule="auto"/>
        <w:rPr>
          <w:rFonts w:cstheme="minorHAnsi"/>
        </w:rPr>
      </w:pPr>
      <w:r w:rsidRPr="00823520">
        <w:rPr>
          <w:rFonts w:cstheme="minorHAnsi"/>
          <w:b/>
          <w:bCs/>
          <w:i/>
          <w:iCs/>
        </w:rPr>
        <w:t>High-frequency stimulation</w:t>
      </w:r>
      <w:r w:rsidR="00F33C86" w:rsidRPr="00823520">
        <w:rPr>
          <w:rFonts w:cstheme="minorHAnsi"/>
          <w:b/>
          <w:bCs/>
          <w:i/>
          <w:iCs/>
        </w:rPr>
        <w:t>.</w:t>
      </w:r>
      <w:r w:rsidR="00D520EE">
        <w:rPr>
          <w:rFonts w:cstheme="minorHAnsi"/>
        </w:rPr>
        <w:t xml:space="preserve"> </w:t>
      </w:r>
      <w:r w:rsidRPr="00A4233B">
        <w:rPr>
          <w:rFonts w:cstheme="minorHAnsi"/>
        </w:rPr>
        <w:t xml:space="preserve">High-frequency stimulation (HFS) set at 42 Hz was used to induce increased pinprick mechanical sensitivity at the non-dominant volar forearm. </w:t>
      </w:r>
      <w:bookmarkStart w:id="13" w:name="_Hlk153459823"/>
      <w:r w:rsidRPr="00A4233B">
        <w:rPr>
          <w:rFonts w:cstheme="minorHAnsi"/>
        </w:rPr>
        <w:t>HFS was delivered using a custom multi-pin surface electrode which followed the design proposed by the Center for Sensory-Motor (Aalborg University, Denmark</w:t>
      </w:r>
      <w:bookmarkEnd w:id="13"/>
      <w:r w:rsidR="00C9711C">
        <w:rPr>
          <w:rFonts w:cstheme="minorHAnsi"/>
        </w:rPr>
        <w:t xml:space="preserve">). </w:t>
      </w:r>
      <w:bookmarkStart w:id="14" w:name="_Hlk153459686"/>
      <w:r w:rsidR="00C9711C" w:rsidRPr="00C9711C">
        <w:rPr>
          <w:rFonts w:cstheme="minorHAnsi"/>
          <w:color w:val="FF0000"/>
        </w:rPr>
        <w:t xml:space="preserve">The electrode design is intended to </w:t>
      </w:r>
      <w:r w:rsidR="007A75B3">
        <w:rPr>
          <w:rFonts w:cstheme="minorHAnsi"/>
          <w:color w:val="FF0000"/>
        </w:rPr>
        <w:t>sensitize</w:t>
      </w:r>
      <w:r w:rsidR="00C9711C" w:rsidRPr="00C9711C">
        <w:rPr>
          <w:rFonts w:cstheme="minorHAnsi"/>
          <w:color w:val="FF0000"/>
        </w:rPr>
        <w:t xml:space="preserve"> cutaneous nociceptive </w:t>
      </w:r>
      <w:r w:rsidR="00C9711C" w:rsidRPr="0061276B">
        <w:rPr>
          <w:rFonts w:cstheme="minorHAnsi"/>
          <w:color w:val="FF0000"/>
        </w:rPr>
        <w:t xml:space="preserve">afferents </w:t>
      </w:r>
      <w:r w:rsidR="00CA6839" w:rsidRPr="0061276B">
        <w:rPr>
          <w:rFonts w:cstheme="minorHAnsi"/>
          <w:color w:val="FF0000"/>
        </w:rPr>
        <w:fldChar w:fldCharType="begin"/>
      </w:r>
      <w:r w:rsidR="0019418B" w:rsidRPr="0061276B">
        <w:rPr>
          <w:rFonts w:cstheme="minorHAnsi"/>
          <w:color w:val="FF0000"/>
        </w:rPr>
        <w:instrText xml:space="preserve"> ADDIN ZOTERO_ITEM CSL_CITATION {"citationID":"2u9VMheF","properties":{"formattedCitation":"[32]","plainCitation":"[32]","noteIndex":0},"citationItems":[{"id":533,"uris":["http://zotero.org/users/9378318/items/US7CWAP2"],"itemData":{"id":533,"type":"article-journal","container-title":"Journal of Neuroscience","DOI":"10.1523/JNEUROSCI.1222-03.2004","ISSN":"0270-6474, 1529-2401","issue":"4","journalAbbreviation":"Journal of Neuroscience","language":"en","page":"964-971","source":"DOI.org (Crossref)","title":"Perceptual Correlates of Nociceptive Long-Term Potentiation and Long-Term Depression in Humans","volume":"24","author":[{"family":"Klein","given":"T."}],"issued":{"date-parts":[["2004",1,28]]}}}],"schema":"https://github.com/citation-style-language/schema/raw/master/csl-citation.json"} </w:instrText>
      </w:r>
      <w:r w:rsidR="00CA6839" w:rsidRPr="0061276B">
        <w:rPr>
          <w:rFonts w:cstheme="minorHAnsi"/>
          <w:color w:val="FF0000"/>
        </w:rPr>
        <w:fldChar w:fldCharType="separate"/>
      </w:r>
      <w:r w:rsidR="001A31BB" w:rsidRPr="0061276B">
        <w:rPr>
          <w:rFonts w:ascii="Calibri" w:hAnsi="Calibri" w:cs="Calibri"/>
          <w:color w:val="FF0000"/>
        </w:rPr>
        <w:t>[32]</w:t>
      </w:r>
      <w:r w:rsidR="00CA6839" w:rsidRPr="0061276B">
        <w:rPr>
          <w:rFonts w:cstheme="minorHAnsi"/>
          <w:color w:val="FF0000"/>
        </w:rPr>
        <w:fldChar w:fldCharType="end"/>
      </w:r>
      <w:r w:rsidRPr="0061276B">
        <w:rPr>
          <w:rFonts w:cstheme="minorHAnsi"/>
          <w:color w:val="FF0000"/>
        </w:rPr>
        <w:t xml:space="preserve">. </w:t>
      </w:r>
      <w:bookmarkEnd w:id="14"/>
      <w:r w:rsidRPr="00A4233B">
        <w:rPr>
          <w:rFonts w:cstheme="minorHAnsi"/>
        </w:rPr>
        <w:t xml:space="preserve">It was placed on </w:t>
      </w:r>
      <w:r w:rsidR="005A1A2E">
        <w:rPr>
          <w:rFonts w:cstheme="minorHAnsi"/>
        </w:rPr>
        <w:t xml:space="preserve">the </w:t>
      </w:r>
      <w:r w:rsidRPr="00A4233B">
        <w:rPr>
          <w:rFonts w:cstheme="minorHAnsi"/>
        </w:rPr>
        <w:t>participants</w:t>
      </w:r>
      <w:r w:rsidR="00520E3C">
        <w:rPr>
          <w:rFonts w:cstheme="minorHAnsi"/>
        </w:rPr>
        <w:t>’</w:t>
      </w:r>
      <w:r w:rsidRPr="00A4233B">
        <w:rPr>
          <w:rFonts w:cstheme="minorHAnsi"/>
        </w:rPr>
        <w:t xml:space="preserve"> non-dominant volar forearm at 8 cm from the cubital fossa. The electrical stimulation was generated by one constant current electrical stimulator (DS</w:t>
      </w:r>
      <w:r w:rsidR="00D520EE">
        <w:rPr>
          <w:rFonts w:cstheme="minorHAnsi"/>
        </w:rPr>
        <w:t>7</w:t>
      </w:r>
      <w:r w:rsidRPr="00A4233B">
        <w:rPr>
          <w:rFonts w:cstheme="minorHAnsi"/>
        </w:rPr>
        <w:t>A; Digitimer Ltd, Welwyn Garden City, UK), and it consisted of 12 trains, each with 42 electrical pulses, for a total of 504 pulses (single pulse-width 2ms). Each train lasted</w:t>
      </w:r>
      <w:r w:rsidR="003A0054">
        <w:rPr>
          <w:rFonts w:cstheme="minorHAnsi"/>
        </w:rPr>
        <w:t xml:space="preserve"> ca.</w:t>
      </w:r>
      <w:r w:rsidRPr="00A4233B">
        <w:rPr>
          <w:rFonts w:cstheme="minorHAnsi"/>
        </w:rPr>
        <w:t xml:space="preserve"> 1</w:t>
      </w:r>
      <w:r w:rsidR="003A0054">
        <w:rPr>
          <w:rFonts w:cstheme="minorHAnsi"/>
        </w:rPr>
        <w:t xml:space="preserve"> </w:t>
      </w:r>
      <w:r w:rsidRPr="00A4233B">
        <w:rPr>
          <w:rFonts w:cstheme="minorHAnsi"/>
        </w:rPr>
        <w:t>second with an</w:t>
      </w:r>
      <w:r w:rsidR="00A5239B">
        <w:rPr>
          <w:rFonts w:cstheme="minorHAnsi"/>
        </w:rPr>
        <w:t xml:space="preserve"> </w:t>
      </w:r>
      <w:r w:rsidRPr="00A4233B">
        <w:rPr>
          <w:rFonts w:cstheme="minorHAnsi"/>
        </w:rPr>
        <w:t xml:space="preserve">inter-train interval of about 9 seconds. </w:t>
      </w:r>
      <w:r w:rsidR="00A5239B">
        <w:rPr>
          <w:rFonts w:cstheme="minorHAnsi"/>
        </w:rPr>
        <w:t>The t</w:t>
      </w:r>
      <w:r w:rsidRPr="00A4233B">
        <w:rPr>
          <w:rFonts w:cstheme="minorHAnsi"/>
        </w:rPr>
        <w:t>otal duration of the high</w:t>
      </w:r>
      <w:r w:rsidR="005A1A2E">
        <w:rPr>
          <w:rFonts w:cstheme="minorHAnsi"/>
        </w:rPr>
        <w:t>-</w:t>
      </w:r>
      <w:r w:rsidRPr="00A4233B">
        <w:rPr>
          <w:rFonts w:cstheme="minorHAnsi"/>
        </w:rPr>
        <w:t>frequency stimulation was about 2 minutes. The following HFS protocol induce</w:t>
      </w:r>
      <w:r w:rsidR="00431B8E">
        <w:rPr>
          <w:rFonts w:cstheme="minorHAnsi"/>
        </w:rPr>
        <w:t>s</w:t>
      </w:r>
      <w:r w:rsidRPr="00A4233B">
        <w:rPr>
          <w:rFonts w:cstheme="minorHAnsi"/>
        </w:rPr>
        <w:t xml:space="preserve"> mechanical sensitivity with a good to excellent within-session and between-session relative reliability</w:t>
      </w:r>
      <w:r>
        <w:rPr>
          <w:rFonts w:cstheme="minorHAnsi"/>
        </w:rPr>
        <w:t xml:space="preserve"> </w:t>
      </w:r>
      <w:r w:rsidR="00A82391">
        <w:rPr>
          <w:rFonts w:cstheme="minorHAnsi"/>
        </w:rPr>
        <w:fldChar w:fldCharType="begin"/>
      </w:r>
      <w:r w:rsidR="0019418B">
        <w:rPr>
          <w:rFonts w:cstheme="minorHAnsi"/>
        </w:rPr>
        <w:instrText xml:space="preserve"> ADDIN ZOTERO_ITEM CSL_CITATION {"citationID":"vcRivq4e","properties":{"formattedCitation":"[13]","plainCitation":"[13]","noteIndex":0},"citationItems":[{"id":"hB7whiFf/IfOdEBRH","uris":["http://zotero.org/users/9378318/items/TMVY9Z9L"],"itemData":{"id":285,"type":"article-journal","abstract":"Background: An increasing number of studies are focusing on secondary hyperalgesia to better understand central sensitization, as this phenomenon may play an important role in persistent pain. Recent studies have shown that, compared to the classical high-frequency stimulation protocol (HFS) at 100 Hz, a protocol using 42 Hz stimulation induces a more intense and a larger area of secondary hyperalgesia (SH). Objectives: The aim of this study was to investigate the within- and between-session reliability of SH induced by this optimized HFS protocol. Methods: Thirty-two healthy subjects received HFS to their volar forearm in two sessions, separated by at least 2 weeks. SH was assessed by measuring the area size of increased sensitivity to pinprick stimuli after applying HFS, the sensitivity to pinprick stimuli after applying HFS and the change in pinprick sensitivity after versus before HFS. Assessments were made before HFS, and 30, 35 and 40 min after HFS. Relative and absolute reliability were analysed using intraclass correlation coefficients (ICCs), coefficients of variation (CVs), standard error of means (SEMs) and the minimum detectable changes (MDCs). Results: The area of SH showed good to excellent within-session and between-session relative reliability (ICCs &gt; 0.80), except for the change in pinprick sensitivity, which showed close to poor between-session relative reliability (ICC = 0.53). Furthermore, measures of absolute reliability generally demonstrated large between-subject variability and significant fluctuations across repeated measurements. Conclusions: HFS-induced hyperalgesia is suitable to discriminate or compare individuals but it may not be sensitive to changes due to an intervention. Significance: It is crucial to evaluate central sensitization adequately in humans. This study formally establishes the reliability of secondary hyperalgesia induced by electrical high-frequency stimulation. The results of this study will improve future studies investigating secondary hyperalgesia in humans.","container-title":"European Journal of Pain (United Kingdom)","DOI":"10.1002/ejp.1613","issue":"8","page":"1585-1597","title":"Within- and between-session reliability of secondary hyperalgesia induced by electrical high-frequency stimulation","volume":"24","author":[{"family":"Cayrol","given":"Timothée"},{"family":"Lebleu","given":"Julien"},{"family":"Mouraux","given":"André"},{"family":"Roussel","given":"Nathalie"},{"family":"Pitance","given":"Laurent"},{"family":"Broeke","given":"Emanuel N.","non-dropping-particle":"van den"}],"issued":{"date-parts":[["2020"]]}}}],"schema":"https://github.com/citation-style-language/schema/raw/master/csl-citation.json"} </w:instrText>
      </w:r>
      <w:r w:rsidR="00A82391">
        <w:rPr>
          <w:rFonts w:cstheme="minorHAnsi"/>
        </w:rPr>
        <w:fldChar w:fldCharType="separate"/>
      </w:r>
      <w:r w:rsidR="001A31BB" w:rsidRPr="001A31BB">
        <w:rPr>
          <w:rFonts w:ascii="Calibri" w:hAnsi="Calibri" w:cs="Calibri"/>
        </w:rPr>
        <w:t>[13]</w:t>
      </w:r>
      <w:r w:rsidR="00A82391">
        <w:rPr>
          <w:rFonts w:cstheme="minorHAnsi"/>
        </w:rPr>
        <w:fldChar w:fldCharType="end"/>
      </w:r>
      <w:r w:rsidRPr="00A4233B">
        <w:rPr>
          <w:rFonts w:cstheme="minorHAnsi"/>
        </w:rPr>
        <w:t>,</w:t>
      </w:r>
      <w:r w:rsidR="00D833FB">
        <w:rPr>
          <w:rFonts w:cstheme="minorHAnsi"/>
        </w:rPr>
        <w:t xml:space="preserve"> and</w:t>
      </w:r>
      <w:r w:rsidRPr="00A4233B">
        <w:rPr>
          <w:rFonts w:cstheme="minorHAnsi"/>
        </w:rPr>
        <w:t xml:space="preserve"> it leads to a greater development of mechanical sensitivity</w:t>
      </w:r>
      <w:r w:rsidR="00492B7F">
        <w:rPr>
          <w:rFonts w:cstheme="minorHAnsi"/>
        </w:rPr>
        <w:t xml:space="preserve"> as </w:t>
      </w:r>
      <w:r w:rsidR="00492B7F" w:rsidRPr="00A4233B">
        <w:rPr>
          <w:rFonts w:cstheme="minorHAnsi"/>
        </w:rPr>
        <w:t>compared to other frequencies of stimulation</w:t>
      </w:r>
      <w:r w:rsidR="00A07175">
        <w:rPr>
          <w:rFonts w:cstheme="minorHAnsi"/>
          <w:vertAlign w:val="superscript"/>
        </w:rPr>
        <w:t xml:space="preserve"> </w:t>
      </w:r>
      <w:r w:rsidR="00582C12">
        <w:rPr>
          <w:rFonts w:cstheme="minorHAnsi"/>
          <w:vertAlign w:val="superscript"/>
        </w:rPr>
        <w:fldChar w:fldCharType="begin"/>
      </w:r>
      <w:r w:rsidR="0019418B">
        <w:rPr>
          <w:rFonts w:cstheme="minorHAnsi"/>
          <w:vertAlign w:val="superscript"/>
        </w:rPr>
        <w:instrText xml:space="preserve"> ADDIN ZOTERO_ITEM CSL_CITATION {"citationID":"FM7cOXZJ","properties":{"formattedCitation":"[77]","plainCitation":"[77]","noteIndex":0},"citationItems":[{"id":119,"uris":["http://zotero.org/users/9378318/items/VKEZU4M7"],"itemData":{"id":119,"type":"article-journal","abstract":"High-frequency burstlike electrical conditioning stimulation (HFS) applied to human skin induces an increase in mechanical pinprick sensitivity of the surrounding unconditioned skin (a phenomenon known as secondary hyperalgesia). The present study assessed the effect of frequency of conditioning stimulation on the development of this increased pinprick sensitivity in humans. In a first experiment, we compared the increase in pinprick sensitivity induced by HFS, using monophasic non-charge-compensated pulses and biphasic charge-compensated pulses. High-frequency stimulation, traditionally delivered with noncharge- compensated square-wave pulses, may induce a cumulative depolarization of primary afferents and/or changes in pH at the electrode-tissue interface due to the accumulation of a net residue charge after each pulse. Both could contribute to the development of the increased pinprick sensitivity in a frequency-dependent fashion. We found no significant difference in the increase in pinprick sensitivity between HFS delivered with charge-compensated and noncharge- compensated pulses, indicating that the possible contribution of charge accumulation when non-charge-compensated pulses are used is negligible. In a second experiment, we assessed the effect of different frequencies of conditioning stimulation (5, 20, 42, and 100 Hz) using charge-compensated pulses on the development of increased pinprick sensitivity. The maximal increase in pinprick sensitivity was observed at intermediate frequencies of stimulation (20 and 42 Hz). It is hypothesized that the stronger increase in pinprick sensitivity at intermediate frequencies may be related to the stronger release of substance P and/or neurokinin-1 receptor activation expressed at lamina I neurons after C-fiber stimulation. NEW &amp; NOTEWORTHY Burstlike electrical conditioning stimulation applied to human skin induces an increase in pinprick sensitivity in the surrounding unconditioned skin (a phenomenon referred to as secondary hyperalgesia). Here we show that the development of the increase in pinprick sensitivity is dependent on the frequency of the burstlike electrical conditioning stimulation.","container-title":"Journal of Neurophysiology","DOI":"10.1152/jn.00274.2019","issue":"3","page":"994-1001","title":"Heterosynaptic facilitation of mechanical nociceptive input is dependent on the frequency of conditioning stimulation","volume":"122","author":[{"family":"Van Den Broeke","given":"E. N."},{"family":"Gousset","given":"S."},{"family":"Bouvy","given":"J."},{"family":"Stouffs","given":"A."},{"family":"Lebrun","given":"L."},{"family":"Van Neerven","given":"S. G. A."},{"family":"Mouraux","given":"A."}],"issued":{"date-parts":[["2019"]]}}}],"schema":"https://github.com/citation-style-language/schema/raw/master/csl-citation.json"} </w:instrText>
      </w:r>
      <w:r w:rsidR="00582C12">
        <w:rPr>
          <w:rFonts w:cstheme="minorHAnsi"/>
          <w:vertAlign w:val="superscript"/>
        </w:rPr>
        <w:fldChar w:fldCharType="separate"/>
      </w:r>
      <w:r w:rsidR="001A31BB" w:rsidRPr="001A31BB">
        <w:rPr>
          <w:rFonts w:ascii="Calibri" w:hAnsi="Calibri" w:cs="Calibri"/>
        </w:rPr>
        <w:t>[77]</w:t>
      </w:r>
      <w:r w:rsidR="00582C12">
        <w:rPr>
          <w:rFonts w:cstheme="minorHAnsi"/>
          <w:vertAlign w:val="superscript"/>
        </w:rPr>
        <w:fldChar w:fldCharType="end"/>
      </w:r>
      <w:r w:rsidRPr="00A4233B">
        <w:rPr>
          <w:rFonts w:cstheme="minorHAnsi"/>
        </w:rPr>
        <w:t xml:space="preserve">. </w:t>
      </w:r>
      <w:r w:rsidR="005A1A2E">
        <w:rPr>
          <w:rFonts w:cstheme="minorHAnsi"/>
        </w:rPr>
        <w:t>The i</w:t>
      </w:r>
      <w:r w:rsidRPr="00A4233B">
        <w:rPr>
          <w:rFonts w:cstheme="minorHAnsi"/>
        </w:rPr>
        <w:t>ntensity of the stimulation was individually adjusted to the subjective detection threshold of a single electrical stimulation</w:t>
      </w:r>
      <w:r>
        <w:rPr>
          <w:rFonts w:cstheme="minorHAnsi"/>
          <w:vertAlign w:val="superscript"/>
        </w:rPr>
        <w:t xml:space="preserve"> </w:t>
      </w:r>
      <w:r w:rsidR="00C73DCC">
        <w:rPr>
          <w:rFonts w:cstheme="minorHAnsi"/>
        </w:rPr>
        <w:t>which was</w:t>
      </w:r>
      <w:r w:rsidRPr="00A4233B">
        <w:rPr>
          <w:rFonts w:cstheme="minorHAnsi"/>
        </w:rPr>
        <w:t xml:space="preserve"> then increase</w:t>
      </w:r>
      <w:r w:rsidR="00ED6A40">
        <w:rPr>
          <w:rFonts w:cstheme="minorHAnsi"/>
        </w:rPr>
        <w:t>d</w:t>
      </w:r>
      <w:r w:rsidRPr="00A4233B">
        <w:rPr>
          <w:rFonts w:cstheme="minorHAnsi"/>
        </w:rPr>
        <w:t xml:space="preserve"> </w:t>
      </w:r>
      <w:r w:rsidR="00A5239B">
        <w:rPr>
          <w:rFonts w:cstheme="minorHAnsi"/>
        </w:rPr>
        <w:t>by</w:t>
      </w:r>
      <w:r w:rsidR="00A5239B" w:rsidRPr="00A4233B">
        <w:rPr>
          <w:rFonts w:cstheme="minorHAnsi"/>
        </w:rPr>
        <w:t xml:space="preserve"> </w:t>
      </w:r>
      <w:r w:rsidRPr="00A4233B">
        <w:rPr>
          <w:rFonts w:cstheme="minorHAnsi"/>
        </w:rPr>
        <w:t xml:space="preserve">20 times </w:t>
      </w:r>
      <w:r w:rsidR="00C621CC">
        <w:rPr>
          <w:rFonts w:cstheme="minorHAnsi"/>
        </w:rPr>
        <w:t xml:space="preserve">( e.g., </w:t>
      </w:r>
      <w:r w:rsidR="00C621CC">
        <w:rPr>
          <w:rFonts w:cstheme="minorHAnsi"/>
        </w:rPr>
        <w:fldChar w:fldCharType="begin"/>
      </w:r>
      <w:r w:rsidR="0019418B">
        <w:rPr>
          <w:rFonts w:cstheme="minorHAnsi"/>
        </w:rPr>
        <w:instrText xml:space="preserve"> ADDIN ZOTERO_ITEM CSL_CITATION {"citationID":"K7I1Vaw7","properties":{"formattedCitation":"[13,17,23]","plainCitation":"[13,17,23]","noteIndex":0},"citationItems":[{"id":"hB7whiFf/IfOdEBRH","uris":["http://zotero.org/users/9378318/items/TMVY9Z9L"],"itemData":{"id":285,"type":"article-journal","abstract":"Background: An increasing number of studies are focusing on secondary hyperalgesia to better understand central sensitization, as this phenomenon may play an important role in persistent pain. Recent studies have shown that, compared to the classical high-frequency stimulation protocol (HFS) at 100 Hz, a protocol using 42 Hz stimulation induces a more intense and a larger area of secondary hyperalgesia (SH). Objectives: The aim of this study was to investigate the within- and between-session reliability of SH induced by this optimized HFS protocol. Methods: Thirty-two healthy subjects received HFS to their volar forearm in two sessions, separated by at least 2 weeks. SH was assessed by measuring the area size of increased sensitivity to pinprick stimuli after applying HFS, the sensitivity to pinprick stimuli after applying HFS and the change in pinprick sensitivity after versus before HFS. Assessments were made before HFS, and 30, 35 and 40 min after HFS. Relative and absolute reliability were analysed using intraclass correlation coefficients (ICCs), coefficients of variation (CVs), standard error of means (SEMs) and the minimum detectable changes (MDCs). Results: The area of SH showed good to excellent within-session and between-session relative reliability (ICCs &gt; 0.80), except for the change in pinprick sensitivity, which showed close to poor between-session relative reliability (ICC = 0.53). Furthermore, measures of absolute reliability generally demonstrated large between-subject variability and significant fluctuations across repeated measurements. Conclusions: HFS-induced hyperalgesia is suitable to discriminate or compare individuals but it may not be sensitive to changes due to an intervention. Significance: It is crucial to evaluate central sensitization adequately in humans. This study formally establishes the reliability of secondary hyperalgesia induced by electrical high-frequency stimulation. The results of this study will improve future studies investigating secondary hyperalgesia in humans.","container-title":"European Journal of Pain (United Kingdom)","DOI":"10.1002/ejp.1613","issue":"8","page":"1585-1597","title":"Within- and between-session reliability of secondary hyperalgesia induced by electrical high-frequency stimulation","volume":"24","author":[{"family":"Cayrol","given":"Timothée"},{"family":"Lebleu","given":"Julien"},{"family":"Mouraux","given":"André"},{"family":"Roussel","given":"Nathalie"},{"family":"Pitance","given":"Laurent"},{"family":"Broeke","given":"Emanuel N.","non-dropping-particle":"van den"}],"issued":{"date-parts":[["2020"]]}}},{"id":1461,"uris":["http://zotero.org/users/9378318/items/2P382QLR"],"itemData":{"id":1461,"type":"article-journal","container-title":"Cognitive Neuroscience","journalAbbreviation":"Cognitive Neuroscience","note":"publisher: Frontiers in Human Neuroscience","page":"754","title":"No evidence for an effect of selective spatial attention on the development of secondary hyperalgesia: a replication study","author":[{"family":"Della Porta","given":"Delia"},{"family":"Vilz","given":"Marie-Lynn"},{"family":"Kuzminova","given":"Avgustina"},{"family":"Filbrich","given":"Lieve"},{"family":"Mouraux","given":"André"},{"family":"Legrain","given":"Valéry"}],"issued":{"date-parts":[["2022"]]}}},{"id":537,"uris":["http://zotero.org/users/9378318/items/8I4B3XBU"],"itemData":{"id":537,"type":"article-journal","abstract":"Intense or sustained activation of peripheral nociceptors can induce central sensitization. This enhanced responsiveness to nociceptive input of the central nervous system primarily manifests as an increased sensitivity to painful mechanical pinprick stimuli extending beyond the site of injury (secondary mechanical hyperalgesia) and is thought to be a key mechanism in the development of chronic pain, such as persistent post-operative pain. It is increasingly recognized that emotional and cognitive factors can strongly inﬂuence the pain experience. Furthermore, through their potential effects on pain modulation circuits including descending pathways to the spinal cord, it has been hypothesized that these emotional and cognitive factors could constitute risk factors for the susceptibility to develop chronic pain. Here, we tested whether, in healthy volunteers, the experimental induction of central sensitization by peripheral nociceptive input can be modulated by selective spatial attention. While participants performed a somatosensory detection task that required focusing attention towards one of the forearms, secondary hyperalgesia was induced at both forearms using bilateral and simultaneous high-frequency electrical stimulation (HFS) of the skin. HFS induced an increased sensitivity to mechanical pinprick stimuli at both forearms, directly (T1) and 20 min (T2) after HFS, conﬁrming the successful induction of secondary hyperalgesia at both forearms. Most importantly, at T2, the HFSinduced increase in pinprick sensitivity as well as the area of secondary hyperalgesia was greater at the attended arm as compared to the non-attended arm. This indicates that top-down attentional factors can modulate the development of central sensitization by peripheral nociceptive input, and that the focus of spatial attention, besides its modulatory effects on perception, can affect activity-dependent neuroplasticity.","container-title":"Cortex","DOI":"10.1016/j.cortex.2019.11.014","ISSN":"00109452","journalAbbreviation":"Cortex","language":"en","page":"193-203","source":"DOI.org (Crossref)","title":"The focus of spatial attention during the induction of central sensitization can modulate the subsequent development of secondary hyperalgesia","volume":"124","author":[{"family":"Filbrich","given":"Lieve"},{"family":"Broeke","given":"Emanuel N.","non-dropping-particle":"van den"},{"family":"Legrain","given":"Valéry"},{"family":"Mouraux","given":"André"}],"issued":{"date-parts":[["2020",3]]}}}],"schema":"https://github.com/citation-style-language/schema/raw/master/csl-citation.json"} </w:instrText>
      </w:r>
      <w:r w:rsidR="00C621CC">
        <w:rPr>
          <w:rFonts w:cstheme="minorHAnsi"/>
        </w:rPr>
        <w:fldChar w:fldCharType="separate"/>
      </w:r>
      <w:r w:rsidR="001A31BB" w:rsidRPr="001A31BB">
        <w:rPr>
          <w:rFonts w:ascii="Calibri" w:hAnsi="Calibri" w:cs="Calibri"/>
        </w:rPr>
        <w:t>[13,17,23]</w:t>
      </w:r>
      <w:r w:rsidR="00C621CC">
        <w:rPr>
          <w:rFonts w:cstheme="minorHAnsi"/>
        </w:rPr>
        <w:fldChar w:fldCharType="end"/>
      </w:r>
      <w:r w:rsidR="00141267">
        <w:rPr>
          <w:rFonts w:cstheme="minorHAnsi"/>
        </w:rPr>
        <w:t>)</w:t>
      </w:r>
    </w:p>
    <w:p w14:paraId="1246447F" w14:textId="1F4BE031" w:rsidR="007372DD" w:rsidRPr="00A4233B" w:rsidRDefault="008A1B94" w:rsidP="007372DD">
      <w:pPr>
        <w:spacing w:after="0" w:line="480" w:lineRule="auto"/>
        <w:rPr>
          <w:rFonts w:cstheme="minorHAnsi"/>
        </w:rPr>
      </w:pPr>
      <w:r w:rsidRPr="00823520">
        <w:rPr>
          <w:rFonts w:cstheme="minorHAnsi"/>
          <w:b/>
          <w:bCs/>
          <w:i/>
          <w:iCs/>
        </w:rPr>
        <w:t>Visu</w:t>
      </w:r>
      <w:r w:rsidR="00440124" w:rsidRPr="00823520">
        <w:rPr>
          <w:rFonts w:cstheme="minorHAnsi"/>
          <w:b/>
          <w:bCs/>
          <w:i/>
          <w:iCs/>
        </w:rPr>
        <w:t>al stimuli</w:t>
      </w:r>
      <w:r w:rsidR="00F33C86" w:rsidRPr="00823520">
        <w:rPr>
          <w:rFonts w:cstheme="minorHAnsi"/>
          <w:b/>
          <w:bCs/>
          <w:i/>
          <w:iCs/>
        </w:rPr>
        <w:t>.</w:t>
      </w:r>
      <w:r w:rsidR="00F33C86">
        <w:rPr>
          <w:rFonts w:cstheme="minorHAnsi"/>
          <w:u w:val="single"/>
        </w:rPr>
        <w:t xml:space="preserve"> </w:t>
      </w:r>
      <w:r w:rsidR="005B6A64">
        <w:rPr>
          <w:rFonts w:cstheme="minorHAnsi"/>
        </w:rPr>
        <w:t xml:space="preserve">Visual stimuli were used for the cognitive tasks performed during </w:t>
      </w:r>
      <w:r w:rsidR="005A1A2E">
        <w:rPr>
          <w:rFonts w:cstheme="minorHAnsi"/>
        </w:rPr>
        <w:t xml:space="preserve">the </w:t>
      </w:r>
      <w:r w:rsidR="005B6A64">
        <w:rPr>
          <w:rFonts w:cstheme="minorHAnsi"/>
        </w:rPr>
        <w:t xml:space="preserve">HFS application. </w:t>
      </w:r>
      <w:r w:rsidR="007372DD" w:rsidRPr="00A4233B">
        <w:rPr>
          <w:rFonts w:cstheme="minorHAnsi"/>
        </w:rPr>
        <w:t xml:space="preserve">The stimuli were generated using Matlab 7 (The MathWorks Inc., MA, USA). Visual material and instructions were displayed on a Philips LCD monitor 190S6 (1280 x 1024 pixels, panel size: 19"/ 48 cm) positioned approximately 80 cm in front of the participant, using a 1024x768 resolution and a 60~50 Hz refresh rate. The visual stimuli consisted of (1) </w:t>
      </w:r>
      <w:r w:rsidR="000C262B" w:rsidRPr="00A4233B">
        <w:rPr>
          <w:rFonts w:cstheme="minorHAnsi"/>
        </w:rPr>
        <w:t>digits</w:t>
      </w:r>
      <w:r w:rsidR="007372DD" w:rsidRPr="00A4233B">
        <w:rPr>
          <w:rFonts w:cstheme="minorHAnsi"/>
        </w:rPr>
        <w:t xml:space="preserve"> from 1 to 9 displayed in white on a black background, </w:t>
      </w:r>
      <w:r w:rsidR="000970AA">
        <w:rPr>
          <w:rFonts w:cstheme="minorHAnsi"/>
        </w:rPr>
        <w:t xml:space="preserve">and </w:t>
      </w:r>
      <w:r w:rsidR="007372DD" w:rsidRPr="00A4233B">
        <w:rPr>
          <w:rFonts w:cstheme="minorHAnsi"/>
        </w:rPr>
        <w:t xml:space="preserve">(2) a cross </w:t>
      </w:r>
      <w:r w:rsidR="003F2351">
        <w:rPr>
          <w:rFonts w:cstheme="minorHAnsi"/>
        </w:rPr>
        <w:t xml:space="preserve">in </w:t>
      </w:r>
      <w:r w:rsidR="007372DD" w:rsidRPr="00A4233B">
        <w:rPr>
          <w:rFonts w:cstheme="minorHAnsi"/>
        </w:rPr>
        <w:t>white or red according to the task (see Experimental procedure). Stimuli were displayed at the cent</w:t>
      </w:r>
      <w:r w:rsidR="003F2351">
        <w:rPr>
          <w:rFonts w:cstheme="minorHAnsi"/>
        </w:rPr>
        <w:t>re</w:t>
      </w:r>
      <w:r w:rsidR="007372DD" w:rsidRPr="00A4233B">
        <w:rPr>
          <w:rFonts w:cstheme="minorHAnsi"/>
        </w:rPr>
        <w:t xml:space="preserve"> of the screen (</w:t>
      </w:r>
      <w:r w:rsidR="000F5E55">
        <w:rPr>
          <w:rFonts w:cstheme="minorHAnsi"/>
        </w:rPr>
        <w:t xml:space="preserve">font: Tahoma, </w:t>
      </w:r>
      <w:r w:rsidR="007372DD" w:rsidRPr="00A4233B">
        <w:rPr>
          <w:rFonts w:cstheme="minorHAnsi"/>
        </w:rPr>
        <w:t>size:39).</w:t>
      </w:r>
      <w:r w:rsidR="000F5E55">
        <w:rPr>
          <w:rFonts w:cstheme="minorHAnsi"/>
        </w:rPr>
        <w:t xml:space="preserve"> </w:t>
      </w:r>
      <w:r w:rsidR="000F5E55" w:rsidRPr="000F5E55">
        <w:rPr>
          <w:rFonts w:cstheme="minorHAnsi"/>
        </w:rPr>
        <w:t xml:space="preserve">They encompassed </w:t>
      </w:r>
      <w:r w:rsidR="000F5E55" w:rsidRPr="000F5E55">
        <w:rPr>
          <w:rFonts w:cstheme="minorHAnsi"/>
        </w:rPr>
        <w:lastRenderedPageBreak/>
        <w:t>approximately 3</w:t>
      </w:r>
      <w:r w:rsidR="00891EB1" w:rsidRPr="00891EB1">
        <w:rPr>
          <w:rFonts w:cstheme="minorHAnsi"/>
        </w:rPr>
        <w:t>°</w:t>
      </w:r>
      <w:r w:rsidR="009F1407">
        <w:rPr>
          <w:rFonts w:cstheme="minorHAnsi"/>
        </w:rPr>
        <w:t xml:space="preserve"> </w:t>
      </w:r>
      <w:r w:rsidR="00891EB1">
        <w:rPr>
          <w:rFonts w:cstheme="minorHAnsi"/>
        </w:rPr>
        <w:t>o</w:t>
      </w:r>
      <w:r w:rsidR="000F5E55" w:rsidRPr="000F5E55">
        <w:rPr>
          <w:rFonts w:cstheme="minorHAnsi"/>
        </w:rPr>
        <w:t>f visual angle</w:t>
      </w:r>
      <w:r w:rsidR="000F5E55">
        <w:rPr>
          <w:rFonts w:cstheme="minorHAnsi"/>
        </w:rPr>
        <w:t xml:space="preserve">. </w:t>
      </w:r>
      <w:r w:rsidR="007372DD" w:rsidRPr="00A4233B">
        <w:rPr>
          <w:rFonts w:cstheme="minorHAnsi"/>
        </w:rPr>
        <w:t xml:space="preserve">Instructions were presented at the beginning of the task using a </w:t>
      </w:r>
      <w:r w:rsidR="003F2351">
        <w:rPr>
          <w:rFonts w:cstheme="minorHAnsi"/>
        </w:rPr>
        <w:t>BMP</w:t>
      </w:r>
      <w:r w:rsidR="007372DD" w:rsidRPr="00A4233B">
        <w:rPr>
          <w:rFonts w:cstheme="minorHAnsi"/>
        </w:rPr>
        <w:t xml:space="preserve"> image.</w:t>
      </w:r>
    </w:p>
    <w:p w14:paraId="2CBE802C" w14:textId="77777777" w:rsidR="007372DD" w:rsidRPr="00A4233B" w:rsidRDefault="007372DD" w:rsidP="007372DD">
      <w:pPr>
        <w:spacing w:after="0" w:line="480" w:lineRule="auto"/>
        <w:jc w:val="both"/>
        <w:rPr>
          <w:rFonts w:cstheme="minorHAnsi"/>
          <w:b/>
          <w:bCs/>
        </w:rPr>
      </w:pPr>
      <w:r w:rsidRPr="00A4233B">
        <w:rPr>
          <w:rFonts w:cstheme="minorHAnsi"/>
          <w:b/>
          <w:bCs/>
        </w:rPr>
        <w:t>General experimental procedure</w:t>
      </w:r>
    </w:p>
    <w:p w14:paraId="2347EF21" w14:textId="470A38CB" w:rsidR="007372DD" w:rsidRPr="00A4233B" w:rsidRDefault="007372DD" w:rsidP="007372DD">
      <w:pPr>
        <w:spacing w:after="0" w:line="480" w:lineRule="auto"/>
        <w:ind w:firstLine="720"/>
        <w:rPr>
          <w:rFonts w:cstheme="minorHAnsi"/>
        </w:rPr>
      </w:pPr>
      <w:r w:rsidRPr="00A4233B">
        <w:rPr>
          <w:rFonts w:cstheme="minorHAnsi"/>
        </w:rPr>
        <w:t xml:space="preserve">This study used a double-blind, block-randomized, between-subjects design (for an </w:t>
      </w:r>
      <w:r w:rsidR="00061723">
        <w:rPr>
          <w:rFonts w:cstheme="minorHAnsi"/>
        </w:rPr>
        <w:t xml:space="preserve">illustration </w:t>
      </w:r>
      <w:r w:rsidRPr="00A4233B">
        <w:rPr>
          <w:rFonts w:cstheme="minorHAnsi"/>
        </w:rPr>
        <w:t xml:space="preserve">of the experimental procedure see </w:t>
      </w:r>
      <w:r w:rsidRPr="00A4233B">
        <w:rPr>
          <w:rFonts w:cstheme="minorHAnsi"/>
          <w:b/>
          <w:bCs/>
        </w:rPr>
        <w:t>Figure 1-A</w:t>
      </w:r>
      <w:r w:rsidRPr="00A4233B">
        <w:rPr>
          <w:rFonts w:cstheme="minorHAnsi"/>
        </w:rPr>
        <w:t xml:space="preserve">). </w:t>
      </w:r>
    </w:p>
    <w:p w14:paraId="19AD81FC" w14:textId="4390D622" w:rsidR="007372DD" w:rsidRPr="00A4233B" w:rsidRDefault="007372DD" w:rsidP="007372DD">
      <w:pPr>
        <w:spacing w:after="0" w:line="480" w:lineRule="auto"/>
        <w:ind w:firstLine="720"/>
        <w:rPr>
          <w:rFonts w:cstheme="minorHAnsi"/>
        </w:rPr>
      </w:pPr>
      <w:r w:rsidRPr="00A4233B">
        <w:rPr>
          <w:rFonts w:cstheme="minorHAnsi"/>
        </w:rPr>
        <w:t xml:space="preserve">To maximize blinding and internal validity, two experimenters carried out the study. Experimenter A was aware of the participants' condition from the beginning and provided instructions on the </w:t>
      </w:r>
      <w:r w:rsidR="00766012">
        <w:rPr>
          <w:rFonts w:cstheme="minorHAnsi"/>
        </w:rPr>
        <w:t xml:space="preserve">cognitive </w:t>
      </w:r>
      <w:r w:rsidR="00766012" w:rsidRPr="00A4233B">
        <w:rPr>
          <w:rFonts w:cstheme="minorHAnsi"/>
        </w:rPr>
        <w:t>task</w:t>
      </w:r>
      <w:r w:rsidR="00766012">
        <w:rPr>
          <w:rFonts w:cstheme="minorHAnsi"/>
        </w:rPr>
        <w:t>s depending on the group assignment</w:t>
      </w:r>
      <w:r w:rsidRPr="00A4233B">
        <w:rPr>
          <w:rFonts w:cstheme="minorHAnsi"/>
        </w:rPr>
        <w:t xml:space="preserve">. </w:t>
      </w:r>
      <w:r w:rsidR="00766012">
        <w:rPr>
          <w:rFonts w:cstheme="minorHAnsi"/>
        </w:rPr>
        <w:t>E</w:t>
      </w:r>
      <w:r w:rsidRPr="00A4233B">
        <w:rPr>
          <w:rFonts w:cstheme="minorHAnsi"/>
        </w:rPr>
        <w:t>xperimenter B</w:t>
      </w:r>
      <w:r w:rsidR="00500598">
        <w:rPr>
          <w:rFonts w:cstheme="minorHAnsi"/>
        </w:rPr>
        <w:t xml:space="preserve"> was in charge of assessing </w:t>
      </w:r>
      <w:r w:rsidRPr="00A4233B">
        <w:rPr>
          <w:rFonts w:cstheme="minorHAnsi"/>
        </w:rPr>
        <w:t xml:space="preserve">mechanical </w:t>
      </w:r>
      <w:r w:rsidR="00500598">
        <w:rPr>
          <w:rFonts w:cstheme="minorHAnsi"/>
        </w:rPr>
        <w:t xml:space="preserve">pinprick </w:t>
      </w:r>
      <w:r w:rsidR="00E226F4" w:rsidRPr="00A4233B">
        <w:rPr>
          <w:rFonts w:cstheme="minorHAnsi"/>
        </w:rPr>
        <w:t>sensitivity and</w:t>
      </w:r>
      <w:r w:rsidR="00500598">
        <w:rPr>
          <w:rFonts w:cstheme="minorHAnsi"/>
        </w:rPr>
        <w:t xml:space="preserve"> was on the contrary </w:t>
      </w:r>
      <w:r w:rsidRPr="00A4233B">
        <w:rPr>
          <w:rFonts w:cstheme="minorHAnsi"/>
        </w:rPr>
        <w:t xml:space="preserve">blind to participants’ condition until data analysis. </w:t>
      </w:r>
    </w:p>
    <w:p w14:paraId="7993F450" w14:textId="77319282" w:rsidR="00E8584B" w:rsidRPr="00A4233B" w:rsidRDefault="007372DD" w:rsidP="0014304E">
      <w:pPr>
        <w:spacing w:after="0" w:line="480" w:lineRule="auto"/>
        <w:ind w:firstLine="720"/>
        <w:rPr>
          <w:rFonts w:cstheme="minorHAnsi"/>
        </w:rPr>
      </w:pPr>
      <w:r w:rsidRPr="00A4233B">
        <w:rPr>
          <w:rFonts w:cstheme="minorHAnsi"/>
        </w:rPr>
        <w:t xml:space="preserve">Upon arriving at the lab, participants signed an informed consent form and completed a demographic questionnaire </w:t>
      </w:r>
      <w:r w:rsidR="00AE790B" w:rsidRPr="00AE790B">
        <w:rPr>
          <w:rFonts w:cstheme="minorHAnsi"/>
        </w:rPr>
        <w:t>(Qualtrics, Provo, UT, USA; approx. 4 min)</w:t>
      </w:r>
      <w:r w:rsidRPr="00A4233B">
        <w:rPr>
          <w:rFonts w:cstheme="minorHAnsi"/>
        </w:rPr>
        <w:t xml:space="preserve"> to check their eligibility</w:t>
      </w:r>
      <w:r w:rsidR="008374FF">
        <w:rPr>
          <w:rFonts w:cstheme="minorHAnsi"/>
        </w:rPr>
        <w:t xml:space="preserve">. </w:t>
      </w:r>
      <w:r w:rsidR="008374FF" w:rsidRPr="008374FF">
        <w:rPr>
          <w:rFonts w:cstheme="minorHAnsi"/>
        </w:rPr>
        <w:t xml:space="preserve">If eligible, the study </w:t>
      </w:r>
      <w:r w:rsidR="008374FF">
        <w:rPr>
          <w:rFonts w:cstheme="minorHAnsi"/>
        </w:rPr>
        <w:t>would continue and they were asked to fill out</w:t>
      </w:r>
      <w:r w:rsidR="00C854D4" w:rsidRPr="008374FF">
        <w:rPr>
          <w:rFonts w:cstheme="minorHAnsi"/>
        </w:rPr>
        <w:t xml:space="preserve"> </w:t>
      </w:r>
      <w:r w:rsidR="00AB7220" w:rsidRPr="008374FF">
        <w:rPr>
          <w:rFonts w:cstheme="minorHAnsi"/>
        </w:rPr>
        <w:t>some psychological questionnaire (Qualtrics, Provo, UT, USA; approx.10 min)</w:t>
      </w:r>
      <w:r w:rsidRPr="008374FF">
        <w:rPr>
          <w:rFonts w:cstheme="minorHAnsi"/>
        </w:rPr>
        <w:t xml:space="preserve">. </w:t>
      </w:r>
      <w:r w:rsidR="00523218" w:rsidRPr="00523218">
        <w:rPr>
          <w:rFonts w:cstheme="minorHAnsi"/>
        </w:rPr>
        <w:t>Afterward</w:t>
      </w:r>
      <w:r w:rsidR="003F2351">
        <w:rPr>
          <w:rFonts w:cstheme="minorHAnsi"/>
        </w:rPr>
        <w:t>s</w:t>
      </w:r>
      <w:r w:rsidR="00523218" w:rsidRPr="00523218">
        <w:rPr>
          <w:rFonts w:cstheme="minorHAnsi"/>
        </w:rPr>
        <w:t>, participants completed a digit span assessment to measure their working memory capacity. This assessment was conducted to later match their working memory ability with the number of items presented in the cognitive tasks</w:t>
      </w:r>
      <w:r w:rsidR="00FD25C5">
        <w:rPr>
          <w:rFonts w:cstheme="minorHAnsi"/>
        </w:rPr>
        <w:t xml:space="preserve"> </w:t>
      </w:r>
      <w:r w:rsidR="000660C5">
        <w:rPr>
          <w:rFonts w:cstheme="minorHAnsi"/>
        </w:rPr>
        <w:fldChar w:fldCharType="begin"/>
      </w:r>
      <w:r w:rsidR="0019418B">
        <w:rPr>
          <w:rFonts w:cstheme="minorHAnsi"/>
        </w:rPr>
        <w:instrText xml:space="preserve"> ADDIN ZOTERO_ITEM CSL_CITATION {"citationID":"ucd9v4h7","properties":{"formattedCitation":"[25]","plainCitation":"[25]","noteIndex":0},"citationItems":[{"id":47,"uris":["http://zotero.org/users/9378318/items/R6GH8XFB"],"itemData":{"id":47,"type":"article-journal","abstract":"Simultaneous execution of cognitive and sensorimotor tasks is critical in daily life. Here, we examined whether dexterous manipulation, a highly habitual and seemingly automatic behavior, involves high order cognitive functions. Specifically, we explored the impact of reducing available cognitive resources on the performance of a precision grip-lift task in healthy participants of three age groups (18–30, 30–60 and 60–75 years). Participants performed a motor task in isolation (M), in combination with a low-load cognitive task (M + L), and in combination with a high-load cognitive task (M + H). The motor task consisted in grasping, lifting and holding an apparatus instrumented with force sensors to monitor motor task performance. In the cognitive task, a list of letters was shown briefly before the motor task. After completing the motor task, one letter of the list was shown, and participants reported the following letter of the list. In M + L, letters in the list followed the alphabetical order. In M + H, letters were presented in random order. Performing the high-load task thus required maintaining information in working memory. Temporal and dynamic parameters of grip and lift forces were compared across conditions. During the cognitive tasks, there was a significant alteration of movement initiation and a significant increase of grip force (GF) throughout the grip-lift task. There was no interaction with “age”. Our results demonstrate that planning and the on-line control of dexterous manipulation is not an automatic behavior and, instead, that it interacts with high-level cognitive processes such as those involved in working memory.","container-title":"Frontiers in Behavioral Neuroscience","DOI":"10.3389/fnbeh.2017.00220","issue":"November","page":"1-11","title":"Mind your grip: Even usual dexterous manipulation requires high level cognition","volume":"11","author":[{"family":"Guillery","given":"Erwan"},{"family":"Mouraux","given":"André"},{"family":"Thonnard","given":"Jean Louis"},{"family":"Legrain","given":"Valéry"}],"issued":{"date-parts":[["2017"]]}}}],"schema":"https://github.com/citation-style-language/schema/raw/master/csl-citation.json"} </w:instrText>
      </w:r>
      <w:r w:rsidR="000660C5">
        <w:rPr>
          <w:rFonts w:cstheme="minorHAnsi"/>
        </w:rPr>
        <w:fldChar w:fldCharType="separate"/>
      </w:r>
      <w:r w:rsidR="001A31BB" w:rsidRPr="001A31BB">
        <w:rPr>
          <w:rFonts w:ascii="Calibri" w:hAnsi="Calibri" w:cs="Calibri"/>
        </w:rPr>
        <w:t>[25]</w:t>
      </w:r>
      <w:r w:rsidR="000660C5">
        <w:rPr>
          <w:rFonts w:cstheme="minorHAnsi"/>
        </w:rPr>
        <w:fldChar w:fldCharType="end"/>
      </w:r>
      <w:r w:rsidR="0007211A">
        <w:rPr>
          <w:rFonts w:cstheme="minorHAnsi"/>
        </w:rPr>
        <w:t>.</w:t>
      </w:r>
      <w:r w:rsidR="00E8584B" w:rsidRPr="00A4233B">
        <w:rPr>
          <w:rFonts w:cstheme="minorHAnsi"/>
          <w:b/>
          <w:bCs/>
        </w:rPr>
        <w:t xml:space="preserve"> </w:t>
      </w:r>
      <w:r w:rsidR="0025482A">
        <w:rPr>
          <w:rFonts w:cstheme="minorHAnsi"/>
        </w:rPr>
        <w:t>Specifically, d</w:t>
      </w:r>
      <w:r w:rsidR="00E8584B" w:rsidRPr="00A4233B">
        <w:rPr>
          <w:rFonts w:cstheme="minorHAnsi"/>
        </w:rPr>
        <w:t>igit span was assessed on an iPad using</w:t>
      </w:r>
      <w:r w:rsidR="00FD25C5">
        <w:rPr>
          <w:rFonts w:cstheme="minorHAnsi"/>
        </w:rPr>
        <w:t>:</w:t>
      </w:r>
      <w:r w:rsidR="00E8584B" w:rsidRPr="00A4233B">
        <w:rPr>
          <w:rFonts w:cstheme="minorHAnsi"/>
        </w:rPr>
        <w:t xml:space="preserve"> </w:t>
      </w:r>
      <w:r w:rsidR="003F2351">
        <w:rPr>
          <w:rFonts w:cstheme="minorHAnsi"/>
        </w:rPr>
        <w:t xml:space="preserve">the </w:t>
      </w:r>
      <w:r w:rsidR="00FD25C5">
        <w:rPr>
          <w:rFonts w:cstheme="minorHAnsi"/>
        </w:rPr>
        <w:t>“</w:t>
      </w:r>
      <w:r w:rsidR="00E8584B" w:rsidRPr="00A4233B">
        <w:rPr>
          <w:rFonts w:cstheme="minorHAnsi"/>
        </w:rPr>
        <w:t>Digit Span-Train of Thought</w:t>
      </w:r>
      <w:r w:rsidR="00FD25C5">
        <w:rPr>
          <w:rFonts w:cstheme="minorHAnsi"/>
        </w:rPr>
        <w:t>”</w:t>
      </w:r>
      <w:r w:rsidR="00E8584B" w:rsidRPr="00A4233B">
        <w:rPr>
          <w:rFonts w:cstheme="minorHAnsi"/>
        </w:rPr>
        <w:t xml:space="preserve"> application for iOS 11.0. A sequence of digits was </w:t>
      </w:r>
      <w:r w:rsidR="003759B3">
        <w:rPr>
          <w:rFonts w:cstheme="minorHAnsi"/>
        </w:rPr>
        <w:t>display</w:t>
      </w:r>
      <w:r w:rsidR="003F2351">
        <w:rPr>
          <w:rFonts w:cstheme="minorHAnsi"/>
        </w:rPr>
        <w:t>ed</w:t>
      </w:r>
      <w:r w:rsidR="00E8584B" w:rsidRPr="00A4233B">
        <w:rPr>
          <w:rFonts w:cstheme="minorHAnsi"/>
        </w:rPr>
        <w:t xml:space="preserve"> for 5 seconds.</w:t>
      </w:r>
      <w:r w:rsidR="003759B3">
        <w:rPr>
          <w:rFonts w:cstheme="minorHAnsi"/>
        </w:rPr>
        <w:t xml:space="preserve"> Once the sequence disappeared, p</w:t>
      </w:r>
      <w:r w:rsidR="00E8584B" w:rsidRPr="00A4233B">
        <w:rPr>
          <w:rFonts w:cstheme="minorHAnsi"/>
        </w:rPr>
        <w:t>articipants were asked to report the whole sequence in the correct order. The length of the sequence</w:t>
      </w:r>
      <w:r w:rsidR="00695B84">
        <w:rPr>
          <w:rFonts w:cstheme="minorHAnsi"/>
        </w:rPr>
        <w:t xml:space="preserve"> started with 3 digits and</w:t>
      </w:r>
      <w:r w:rsidR="00E8584B" w:rsidRPr="00A4233B">
        <w:rPr>
          <w:rFonts w:cstheme="minorHAnsi"/>
        </w:rPr>
        <w:t xml:space="preserve"> was increased </w:t>
      </w:r>
      <w:r w:rsidR="003F2351">
        <w:rPr>
          <w:rFonts w:cstheme="minorHAnsi"/>
        </w:rPr>
        <w:t>by</w:t>
      </w:r>
      <w:r w:rsidR="00E8584B" w:rsidRPr="00A4233B">
        <w:rPr>
          <w:rFonts w:cstheme="minorHAnsi"/>
        </w:rPr>
        <w:t xml:space="preserve"> one digit every two successful repetitions. </w:t>
      </w:r>
      <w:r w:rsidR="00695B84">
        <w:rPr>
          <w:rFonts w:cstheme="minorHAnsi"/>
        </w:rPr>
        <w:t xml:space="preserve">Once </w:t>
      </w:r>
      <w:r w:rsidR="00E8584B" w:rsidRPr="00A4233B">
        <w:rPr>
          <w:rFonts w:cstheme="minorHAnsi"/>
        </w:rPr>
        <w:t xml:space="preserve">one mistake was committed, the length </w:t>
      </w:r>
      <w:r w:rsidR="00E43CF0">
        <w:rPr>
          <w:rFonts w:cstheme="minorHAnsi"/>
        </w:rPr>
        <w:t>of the previous tr</w:t>
      </w:r>
      <w:r w:rsidR="003F2351">
        <w:rPr>
          <w:rFonts w:cstheme="minorHAnsi"/>
        </w:rPr>
        <w:t>ia</w:t>
      </w:r>
      <w:r w:rsidR="00E43CF0">
        <w:rPr>
          <w:rFonts w:cstheme="minorHAnsi"/>
        </w:rPr>
        <w:t xml:space="preserve">l </w:t>
      </w:r>
      <w:r w:rsidR="00E8584B" w:rsidRPr="00A4233B">
        <w:rPr>
          <w:rFonts w:cstheme="minorHAnsi"/>
        </w:rPr>
        <w:t xml:space="preserve">was considered as the participant’s digit </w:t>
      </w:r>
      <w:r w:rsidR="0011440B" w:rsidRPr="00A4233B">
        <w:rPr>
          <w:rFonts w:cstheme="minorHAnsi"/>
        </w:rPr>
        <w:t>span,</w:t>
      </w:r>
      <w:r w:rsidR="00F85386">
        <w:rPr>
          <w:rFonts w:cstheme="minorHAnsi"/>
        </w:rPr>
        <w:t xml:space="preserve"> and </w:t>
      </w:r>
      <w:r w:rsidR="00C965C7">
        <w:rPr>
          <w:rFonts w:cstheme="minorHAnsi"/>
        </w:rPr>
        <w:t xml:space="preserve">it was </w:t>
      </w:r>
      <w:r w:rsidR="00F85386">
        <w:rPr>
          <w:rFonts w:cstheme="minorHAnsi"/>
        </w:rPr>
        <w:t xml:space="preserve">successively used to set the number of items </w:t>
      </w:r>
      <w:r w:rsidR="00BD6734">
        <w:rPr>
          <w:rFonts w:cstheme="minorHAnsi"/>
        </w:rPr>
        <w:t xml:space="preserve">for the cognitive tasks. </w:t>
      </w:r>
    </w:p>
    <w:p w14:paraId="79AF856B" w14:textId="522ADA17" w:rsidR="007372DD" w:rsidRPr="00A4233B" w:rsidRDefault="00C965C7" w:rsidP="00BD6734">
      <w:pPr>
        <w:spacing w:after="0" w:line="480" w:lineRule="auto"/>
        <w:ind w:firstLine="720"/>
        <w:rPr>
          <w:rFonts w:cstheme="minorHAnsi"/>
        </w:rPr>
      </w:pPr>
      <w:r>
        <w:rPr>
          <w:rFonts w:cstheme="minorHAnsi"/>
        </w:rPr>
        <w:t>Next</w:t>
      </w:r>
      <w:r w:rsidR="00A63C7F">
        <w:rPr>
          <w:rFonts w:cstheme="minorHAnsi"/>
        </w:rPr>
        <w:t>,</w:t>
      </w:r>
      <w:r>
        <w:rPr>
          <w:rFonts w:cstheme="minorHAnsi"/>
        </w:rPr>
        <w:t xml:space="preserve"> p</w:t>
      </w:r>
      <w:r w:rsidR="007372DD" w:rsidRPr="00A4233B">
        <w:rPr>
          <w:rFonts w:cstheme="minorHAnsi"/>
        </w:rPr>
        <w:t xml:space="preserve">articipants were asked to sit on a chair, with </w:t>
      </w:r>
      <w:r w:rsidR="009C0061">
        <w:rPr>
          <w:rFonts w:cstheme="minorHAnsi"/>
        </w:rPr>
        <w:t xml:space="preserve">both </w:t>
      </w:r>
      <w:r w:rsidR="007372DD" w:rsidRPr="00A4233B">
        <w:rPr>
          <w:rFonts w:cstheme="minorHAnsi"/>
        </w:rPr>
        <w:t xml:space="preserve">their arms facing palms up. Following, Experimenter B cleaned their non-dominant arm with ether and marked the spots where the HFS-electrode would be placed on both arms. Baseline mechanical sensitivity (T0) was then assessed on both arms. Once the assessment was complete, the HFS electrode was placed on the </w:t>
      </w:r>
      <w:r w:rsidR="007372DD" w:rsidRPr="00A4233B">
        <w:rPr>
          <w:rFonts w:cstheme="minorHAnsi"/>
        </w:rPr>
        <w:lastRenderedPageBreak/>
        <w:t>non-dominant arm, and the electrical detection threshold was measured (for a detailed description of the procedure</w:t>
      </w:r>
      <w:r w:rsidR="00181553">
        <w:rPr>
          <w:rFonts w:cstheme="minorHAnsi"/>
        </w:rPr>
        <w:t xml:space="preserve"> see </w:t>
      </w:r>
      <w:r w:rsidR="00181553">
        <w:rPr>
          <w:rFonts w:cstheme="minorHAnsi"/>
        </w:rPr>
        <w:fldChar w:fldCharType="begin"/>
      </w:r>
      <w:r w:rsidR="0019418B">
        <w:rPr>
          <w:rFonts w:cstheme="minorHAnsi"/>
        </w:rPr>
        <w:instrText xml:space="preserve"> ADDIN ZOTERO_ITEM CSL_CITATION {"citationID":"3jvRGHVA","properties":{"formattedCitation":"[17]","plainCitation":"[17]","noteIndex":0},"citationItems":[{"id":1461,"uris":["http://zotero.org/users/9378318/items/2P382QLR"],"itemData":{"id":1461,"type":"article-journal","container-title":"Cognitive Neuroscience","journalAbbreviation":"Cognitive Neuroscience","note":"publisher: Frontiers in Human Neuroscience","page":"754","title":"No evidence for an effect of selective spatial attention on the development of secondary hyperalgesia: a replication study","author":[{"family":"Della Porta","given":"Delia"},{"family":"Vilz","given":"Marie-Lynn"},{"family":"Kuzminova","given":"Avgustina"},{"family":"Filbrich","given":"Lieve"},{"family":"Mouraux","given":"André"},{"family":"Legrain","given":"Valéry"}],"issued":{"date-parts":[["2022"]]}}}],"schema":"https://github.com/citation-style-language/schema/raw/master/csl-citation.json"} </w:instrText>
      </w:r>
      <w:r w:rsidR="00181553">
        <w:rPr>
          <w:rFonts w:cstheme="minorHAnsi"/>
        </w:rPr>
        <w:fldChar w:fldCharType="separate"/>
      </w:r>
      <w:r w:rsidR="001A31BB" w:rsidRPr="001A31BB">
        <w:rPr>
          <w:rFonts w:ascii="Calibri" w:hAnsi="Calibri" w:cs="Calibri"/>
        </w:rPr>
        <w:t>[17]</w:t>
      </w:r>
      <w:r w:rsidR="00181553">
        <w:rPr>
          <w:rFonts w:cstheme="minorHAnsi"/>
        </w:rPr>
        <w:fldChar w:fldCharType="end"/>
      </w:r>
      <w:r w:rsidR="00181553">
        <w:rPr>
          <w:rFonts w:cstheme="minorHAnsi"/>
          <w:vertAlign w:val="superscript"/>
        </w:rPr>
        <w:t xml:space="preserve"> </w:t>
      </w:r>
      <w:r w:rsidR="007372DD" w:rsidRPr="00A4233B">
        <w:rPr>
          <w:rFonts w:cstheme="minorHAnsi"/>
        </w:rPr>
        <w:t xml:space="preserve">). </w:t>
      </w:r>
      <w:r w:rsidR="006262B1" w:rsidRPr="00A4233B">
        <w:rPr>
          <w:rFonts w:cstheme="minorHAnsi"/>
        </w:rPr>
        <w:t>Exp</w:t>
      </w:r>
      <w:r w:rsidR="006262B1">
        <w:rPr>
          <w:rFonts w:cstheme="minorHAnsi"/>
        </w:rPr>
        <w:t xml:space="preserve">erimenter </w:t>
      </w:r>
      <w:r w:rsidR="006262B1" w:rsidRPr="00A4233B">
        <w:rPr>
          <w:rFonts w:cstheme="minorHAnsi"/>
        </w:rPr>
        <w:t>B</w:t>
      </w:r>
      <w:r w:rsidR="007372DD" w:rsidRPr="00A4233B">
        <w:rPr>
          <w:rFonts w:cstheme="minorHAnsi"/>
        </w:rPr>
        <w:t xml:space="preserve"> then left</w:t>
      </w:r>
      <w:r w:rsidR="00901F4A">
        <w:rPr>
          <w:rFonts w:cstheme="minorHAnsi"/>
        </w:rPr>
        <w:t xml:space="preserve"> </w:t>
      </w:r>
      <w:r w:rsidR="007372DD" w:rsidRPr="00A4233B">
        <w:rPr>
          <w:rFonts w:cstheme="minorHAnsi"/>
        </w:rPr>
        <w:t>the room, and Exp</w:t>
      </w:r>
      <w:r w:rsidR="000D6F23">
        <w:rPr>
          <w:rFonts w:cstheme="minorHAnsi"/>
        </w:rPr>
        <w:t>erimenter</w:t>
      </w:r>
      <w:r w:rsidR="00480E2F">
        <w:rPr>
          <w:rFonts w:cstheme="minorHAnsi"/>
        </w:rPr>
        <w:t xml:space="preserve"> </w:t>
      </w:r>
      <w:r w:rsidR="007372DD" w:rsidRPr="00A4233B">
        <w:rPr>
          <w:rFonts w:cstheme="minorHAnsi"/>
        </w:rPr>
        <w:t>A instructed participants on how to perform the task based on their assigned condition (Easy-task vs. Difficult-task).</w:t>
      </w:r>
    </w:p>
    <w:p w14:paraId="11CB1702" w14:textId="7930DCD8" w:rsidR="00C27D86" w:rsidRPr="00C27D86" w:rsidRDefault="00D47677" w:rsidP="00C833ED">
      <w:pPr>
        <w:spacing w:after="0" w:line="480" w:lineRule="auto"/>
        <w:ind w:firstLine="720"/>
        <w:rPr>
          <w:rFonts w:cstheme="minorHAnsi"/>
          <w:color w:val="FF0000"/>
        </w:rPr>
      </w:pPr>
      <w:r w:rsidRPr="00D47677">
        <w:rPr>
          <w:rFonts w:cstheme="minorHAnsi"/>
          <w:color w:val="FF0000"/>
        </w:rPr>
        <w:t xml:space="preserve">Consistent with our premise grounded in the neurocognitive model of </w:t>
      </w:r>
      <w:r w:rsidR="00C27D86" w:rsidRPr="00C27D86">
        <w:rPr>
          <w:rFonts w:cstheme="minorHAnsi"/>
          <w:color w:val="FF0000"/>
        </w:rPr>
        <w:t xml:space="preserve">the attentional modulation of </w:t>
      </w:r>
      <w:r w:rsidR="00C27D86" w:rsidRPr="00D9499C">
        <w:rPr>
          <w:rFonts w:cstheme="minorHAnsi"/>
          <w:color w:val="FF0000"/>
        </w:rPr>
        <w:t>pain</w:t>
      </w:r>
      <w:r w:rsidR="00592670" w:rsidRPr="00D9499C">
        <w:rPr>
          <w:rFonts w:cstheme="minorHAnsi"/>
          <w:color w:val="FF0000"/>
        </w:rPr>
        <w:t xml:space="preserve"> </w:t>
      </w:r>
      <w:r w:rsidR="00C27D86" w:rsidRPr="00D9499C">
        <w:rPr>
          <w:rFonts w:cstheme="minorHAnsi"/>
          <w:color w:val="FF0000"/>
        </w:rPr>
        <w:fldChar w:fldCharType="begin"/>
      </w:r>
      <w:r w:rsidR="0019418B">
        <w:rPr>
          <w:rFonts w:cstheme="minorHAnsi"/>
          <w:color w:val="FF0000"/>
        </w:rPr>
        <w:instrText xml:space="preserve"> ADDIN ZOTERO_ITEM CSL_CITATION {"citationID":"1BofbYSU","properties":{"formattedCitation":"[38]","plainCitation":"[38]","noteIndex":0},"citationItems":[{"id":"hB7whiFf/nAN9qWQv","uris":["http://zotero.org/users/9378318/items/SU4WZZSS"],"itemData":{"id":"Zq0BLnQM/36ZZ50y6","type":"article-journal","container-title":"Pain","DOI":"10.1016/j.pain.2009.03.020","issue":"3","page":"230-232","title":"A neurocognitive model of attention to pain: Behavioral and neuroimaging evidence","volume":"144","author":[{"family":"Legrain","given":"Valéry"},{"family":"Damme","given":"Stefaan Van"},{"family":"Eccleston","given":"Christopher"},{"family":"Davis","given":"Karen D."},{"family":"Seminowicz","given":"David A."},{"family":"Crombez","given":"Geert"}],"issued":{"date-parts":[["2009"]]}}}],"schema":"https://github.com/citation-style-language/schema/raw/master/csl-citation.json"} </w:instrText>
      </w:r>
      <w:r w:rsidR="00C27D86" w:rsidRPr="00D9499C">
        <w:rPr>
          <w:rFonts w:cstheme="minorHAnsi"/>
          <w:color w:val="FF0000"/>
        </w:rPr>
        <w:fldChar w:fldCharType="separate"/>
      </w:r>
      <w:r w:rsidR="001A31BB" w:rsidRPr="001A31BB">
        <w:rPr>
          <w:rFonts w:ascii="Calibri" w:hAnsi="Calibri" w:cs="Calibri"/>
        </w:rPr>
        <w:t>[38]</w:t>
      </w:r>
      <w:r w:rsidR="00C27D86" w:rsidRPr="00D9499C">
        <w:rPr>
          <w:rFonts w:cstheme="minorHAnsi"/>
          <w:color w:val="FF0000"/>
        </w:rPr>
        <w:fldChar w:fldCharType="end"/>
      </w:r>
      <w:r w:rsidRPr="00D9499C">
        <w:rPr>
          <w:rFonts w:cstheme="minorHAnsi"/>
          <w:color w:val="FF0000"/>
        </w:rPr>
        <w:t xml:space="preserve">, </w:t>
      </w:r>
      <w:r w:rsidRPr="00D47677">
        <w:rPr>
          <w:rFonts w:cstheme="minorHAnsi"/>
          <w:color w:val="FF0000"/>
        </w:rPr>
        <w:t>the control group engaged in a task that, while unrelated to pain, did not impose a high attentional or cognitive deman</w:t>
      </w:r>
      <w:r w:rsidR="00C27D86">
        <w:rPr>
          <w:rFonts w:cstheme="minorHAnsi"/>
          <w:color w:val="FF0000"/>
        </w:rPr>
        <w:t xml:space="preserve">d, </w:t>
      </w:r>
      <w:r w:rsidRPr="00D47677">
        <w:rPr>
          <w:rFonts w:cstheme="minorHAnsi"/>
          <w:color w:val="FF0000"/>
        </w:rPr>
        <w:t xml:space="preserve">unlike the task </w:t>
      </w:r>
      <w:r w:rsidR="00F52DF7">
        <w:rPr>
          <w:rFonts w:cstheme="minorHAnsi"/>
          <w:color w:val="FF0000"/>
        </w:rPr>
        <w:t xml:space="preserve">performed </w:t>
      </w:r>
      <w:r w:rsidR="002B6463">
        <w:rPr>
          <w:rFonts w:cstheme="minorHAnsi"/>
          <w:color w:val="FF0000"/>
        </w:rPr>
        <w:t>by the</w:t>
      </w:r>
      <w:r w:rsidRPr="00D47677">
        <w:rPr>
          <w:rFonts w:cstheme="minorHAnsi"/>
          <w:color w:val="FF0000"/>
        </w:rPr>
        <w:t xml:space="preserve"> experimental group.</w:t>
      </w:r>
      <w:r>
        <w:rPr>
          <w:rFonts w:cstheme="minorHAnsi"/>
          <w:color w:val="FF0000"/>
        </w:rPr>
        <w:t xml:space="preserve"> </w:t>
      </w:r>
      <w:bookmarkStart w:id="15" w:name="_Hlk153454413"/>
      <w:r w:rsidR="00D9499C" w:rsidRPr="00D9499C">
        <w:rPr>
          <w:rFonts w:cstheme="minorHAnsi"/>
          <w:color w:val="FF0000"/>
        </w:rPr>
        <w:t>Furthermore, the design of a control task closely mirroring the experimental condition in terms of visual stimuli and timing (presentation, response) while differing only in attentional demands was essential for ensuring internal validity and the effectiveness of the randomization process (a control condition without a task might lead participants to believe they belong to a control group).</w:t>
      </w:r>
    </w:p>
    <w:bookmarkEnd w:id="15"/>
    <w:p w14:paraId="60DB9657" w14:textId="4137B943" w:rsidR="00D037E9" w:rsidRPr="00D47677" w:rsidRDefault="007372DD" w:rsidP="00D47677">
      <w:pPr>
        <w:spacing w:after="0" w:line="480" w:lineRule="auto"/>
        <w:ind w:firstLine="720"/>
        <w:rPr>
          <w:rFonts w:cstheme="minorHAnsi"/>
          <w:color w:val="FF0000"/>
        </w:rPr>
      </w:pPr>
      <w:r w:rsidRPr="00A4233B">
        <w:rPr>
          <w:rFonts w:cstheme="minorHAnsi"/>
        </w:rPr>
        <w:t>In both conditions, the task was divided in</w:t>
      </w:r>
      <w:r w:rsidR="003F2351">
        <w:rPr>
          <w:rFonts w:cstheme="minorHAnsi"/>
        </w:rPr>
        <w:t>to</w:t>
      </w:r>
      <w:r w:rsidRPr="00A4233B">
        <w:rPr>
          <w:rFonts w:cstheme="minorHAnsi"/>
        </w:rPr>
        <w:t xml:space="preserve"> three parts with no break in between</w:t>
      </w:r>
      <w:r w:rsidR="00EC6982">
        <w:rPr>
          <w:rFonts w:cstheme="minorHAnsi"/>
        </w:rPr>
        <w:t xml:space="preserve"> </w:t>
      </w:r>
      <w:r w:rsidR="00EC6982" w:rsidRPr="00A4233B">
        <w:rPr>
          <w:rFonts w:cstheme="minorHAnsi"/>
        </w:rPr>
        <w:t xml:space="preserve">(see </w:t>
      </w:r>
      <w:r w:rsidR="00EC6982" w:rsidRPr="00A4233B">
        <w:rPr>
          <w:rFonts w:cstheme="minorHAnsi"/>
          <w:b/>
          <w:bCs/>
        </w:rPr>
        <w:t>Figure 1-B</w:t>
      </w:r>
      <w:r w:rsidR="00EC6982" w:rsidRPr="00A4233B">
        <w:rPr>
          <w:rFonts w:cstheme="minorHAnsi"/>
        </w:rPr>
        <w:t xml:space="preserve">). </w:t>
      </w:r>
      <w:r w:rsidRPr="00A4233B">
        <w:rPr>
          <w:rFonts w:cstheme="minorHAnsi"/>
        </w:rPr>
        <w:t>The first and the third sections consisted of 10 and 6 trials, respectively, which were never coupled with the HFS trains. The first 4 trials in the first section were used to familiarize participants with the task</w:t>
      </w:r>
      <w:r w:rsidR="009403D0">
        <w:rPr>
          <w:rFonts w:cstheme="minorHAnsi"/>
        </w:rPr>
        <w:t>. Therefore, participants</w:t>
      </w:r>
      <w:r w:rsidR="007509D8">
        <w:rPr>
          <w:rFonts w:cstheme="minorHAnsi"/>
        </w:rPr>
        <w:t>’</w:t>
      </w:r>
      <w:r w:rsidR="009403D0">
        <w:rPr>
          <w:rFonts w:cstheme="minorHAnsi"/>
        </w:rPr>
        <w:t xml:space="preserve"> responses to those trials were not included in the analyses.</w:t>
      </w:r>
      <w:r w:rsidRPr="00A4233B">
        <w:rPr>
          <w:rFonts w:cstheme="minorHAnsi"/>
        </w:rPr>
        <w:t xml:space="preserve"> The second part was the only one combined with </w:t>
      </w:r>
      <w:r w:rsidR="00F21749">
        <w:rPr>
          <w:rFonts w:cstheme="minorHAnsi"/>
        </w:rPr>
        <w:t xml:space="preserve">the </w:t>
      </w:r>
      <w:r w:rsidRPr="00A4233B">
        <w:rPr>
          <w:rFonts w:cstheme="minorHAnsi"/>
        </w:rPr>
        <w:t xml:space="preserve">HFS trains and consisted of 12 trials. </w:t>
      </w:r>
    </w:p>
    <w:p w14:paraId="0B102103" w14:textId="3956604F" w:rsidR="00F62C12" w:rsidRDefault="00A01626" w:rsidP="007372DD">
      <w:pPr>
        <w:spacing w:after="0" w:line="480" w:lineRule="auto"/>
        <w:rPr>
          <w:rFonts w:cstheme="minorHAnsi"/>
        </w:rPr>
      </w:pPr>
      <w:r>
        <w:rPr>
          <w:rFonts w:cstheme="minorHAnsi"/>
        </w:rPr>
        <w:t>A trial</w:t>
      </w:r>
      <w:r w:rsidR="007372DD" w:rsidRPr="00A4233B">
        <w:rPr>
          <w:rFonts w:cstheme="minorHAnsi"/>
        </w:rPr>
        <w:t xml:space="preserve"> began with a white fixation cross displayed for 1000 ms, followed immediately by a sequence of digits (memory set) presented for </w:t>
      </w:r>
      <w:bookmarkStart w:id="16" w:name="OLE_LINK5"/>
      <w:bookmarkStart w:id="17" w:name="OLE_LINK6"/>
      <w:r w:rsidR="007372DD" w:rsidRPr="00A4233B">
        <w:rPr>
          <w:rFonts w:cstheme="minorHAnsi"/>
        </w:rPr>
        <w:t>2250 ms</w:t>
      </w:r>
      <w:bookmarkEnd w:id="16"/>
      <w:bookmarkEnd w:id="17"/>
      <w:r w:rsidR="007372DD" w:rsidRPr="00A4233B">
        <w:rPr>
          <w:rFonts w:cstheme="minorHAnsi"/>
        </w:rPr>
        <w:t xml:space="preserve">. In both </w:t>
      </w:r>
      <w:r>
        <w:rPr>
          <w:rFonts w:cstheme="minorHAnsi"/>
        </w:rPr>
        <w:t>groups</w:t>
      </w:r>
      <w:r w:rsidR="007372DD" w:rsidRPr="00A4233B">
        <w:rPr>
          <w:rFonts w:cstheme="minorHAnsi"/>
        </w:rPr>
        <w:t>, the length of the memory set was based on</w:t>
      </w:r>
      <w:r w:rsidR="00450EEC">
        <w:rPr>
          <w:rFonts w:cstheme="minorHAnsi"/>
        </w:rPr>
        <w:t xml:space="preserve"> the individual </w:t>
      </w:r>
      <w:r w:rsidR="00D037E9">
        <w:rPr>
          <w:rFonts w:cstheme="minorHAnsi"/>
        </w:rPr>
        <w:t>working memory capacity</w:t>
      </w:r>
      <w:r w:rsidR="007372DD" w:rsidRPr="00A4233B">
        <w:rPr>
          <w:rFonts w:cstheme="minorHAnsi"/>
        </w:rPr>
        <w:t xml:space="preserve">. In the </w:t>
      </w:r>
      <w:r w:rsidR="00D037E9">
        <w:rPr>
          <w:rFonts w:cstheme="minorHAnsi"/>
        </w:rPr>
        <w:t>e</w:t>
      </w:r>
      <w:r w:rsidR="00D037E9" w:rsidRPr="00A4233B">
        <w:rPr>
          <w:rFonts w:cstheme="minorHAnsi"/>
        </w:rPr>
        <w:t>asy task</w:t>
      </w:r>
      <w:r w:rsidR="007509D8">
        <w:rPr>
          <w:rFonts w:cstheme="minorHAnsi"/>
        </w:rPr>
        <w:t>,</w:t>
      </w:r>
      <w:r w:rsidR="007372DD" w:rsidRPr="00A4233B">
        <w:rPr>
          <w:rFonts w:cstheme="minorHAnsi"/>
        </w:rPr>
        <w:t xml:space="preserve"> the memory set consisted of a sequence of digits presented in numerical order. Hence, participants were not asked to memorize the sequence. Conversely, in the difficult task, the memory set consisted of digits presented with a random order so that none of the numbers in the sequence could be followed by a number equal to itself + 1, and </w:t>
      </w:r>
      <w:r w:rsidR="007509D8">
        <w:rPr>
          <w:rFonts w:cstheme="minorHAnsi"/>
        </w:rPr>
        <w:t>the</w:t>
      </w:r>
      <w:r w:rsidR="007372DD" w:rsidRPr="00A4233B">
        <w:rPr>
          <w:rFonts w:cstheme="minorHAnsi"/>
        </w:rPr>
        <w:t xml:space="preserve"> same </w:t>
      </w:r>
      <w:r w:rsidR="00450EEC">
        <w:rPr>
          <w:rFonts w:cstheme="minorHAnsi"/>
        </w:rPr>
        <w:t xml:space="preserve">digit </w:t>
      </w:r>
      <w:r w:rsidR="007372DD" w:rsidRPr="00A4233B">
        <w:rPr>
          <w:rFonts w:cstheme="minorHAnsi"/>
        </w:rPr>
        <w:t>could never be presented twice in the same sequence. The memory set was followed by a white cross displayed for 1750 ms (rehearsal period). In the second section, during the rehearsal period</w:t>
      </w:r>
      <w:r w:rsidR="008C524C">
        <w:rPr>
          <w:rFonts w:cstheme="minorHAnsi"/>
        </w:rPr>
        <w:t xml:space="preserve"> i.e., immediately </w:t>
      </w:r>
      <w:r w:rsidR="008C524C" w:rsidRPr="00A4233B">
        <w:rPr>
          <w:rFonts w:cstheme="minorHAnsi"/>
        </w:rPr>
        <w:t>a</w:t>
      </w:r>
      <w:r w:rsidR="008C524C">
        <w:rPr>
          <w:rFonts w:cstheme="minorHAnsi"/>
        </w:rPr>
        <w:t>fte</w:t>
      </w:r>
      <w:r w:rsidR="00A070FE">
        <w:rPr>
          <w:rFonts w:cstheme="minorHAnsi"/>
        </w:rPr>
        <w:t xml:space="preserve">r the memory </w:t>
      </w:r>
      <w:r w:rsidR="004373D9">
        <w:rPr>
          <w:rFonts w:cstheme="minorHAnsi"/>
        </w:rPr>
        <w:t xml:space="preserve">set </w:t>
      </w:r>
      <w:r w:rsidR="00A070FE">
        <w:rPr>
          <w:rFonts w:cstheme="minorHAnsi"/>
        </w:rPr>
        <w:t xml:space="preserve">disappeared, an </w:t>
      </w:r>
      <w:r w:rsidR="007372DD" w:rsidRPr="00A4233B">
        <w:rPr>
          <w:rFonts w:cstheme="minorHAnsi"/>
        </w:rPr>
        <w:t>HFS train was delivered</w:t>
      </w:r>
      <w:r w:rsidR="00C16DE8">
        <w:rPr>
          <w:rFonts w:cstheme="minorHAnsi"/>
        </w:rPr>
        <w:t xml:space="preserve">, </w:t>
      </w:r>
      <w:r w:rsidR="00C16DE8">
        <w:rPr>
          <w:rFonts w:cstheme="minorHAnsi"/>
        </w:rPr>
        <w:lastRenderedPageBreak/>
        <w:t>so that</w:t>
      </w:r>
      <w:r w:rsidR="00C16DE8" w:rsidRPr="00457710">
        <w:rPr>
          <w:rFonts w:cstheme="minorHAnsi"/>
        </w:rPr>
        <w:t xml:space="preserve"> </w:t>
      </w:r>
      <w:r w:rsidR="00C16DE8">
        <w:rPr>
          <w:rFonts w:cstheme="minorHAnsi"/>
        </w:rPr>
        <w:t>t</w:t>
      </w:r>
      <w:r w:rsidR="00C16DE8" w:rsidRPr="00A4233B">
        <w:rPr>
          <w:rFonts w:cstheme="minorHAnsi"/>
        </w:rPr>
        <w:t xml:space="preserve">he HFS delivery was time-locked to </w:t>
      </w:r>
      <w:r w:rsidR="00C16DE8">
        <w:rPr>
          <w:rFonts w:cstheme="minorHAnsi"/>
        </w:rPr>
        <w:t>t</w:t>
      </w:r>
      <w:r w:rsidR="00C16DE8" w:rsidRPr="00A4233B">
        <w:rPr>
          <w:rFonts w:cstheme="minorHAnsi"/>
        </w:rPr>
        <w:t>he rehearsal period</w:t>
      </w:r>
      <w:r w:rsidR="00C16DE8">
        <w:rPr>
          <w:rFonts w:cstheme="minorHAnsi"/>
        </w:rPr>
        <w:t xml:space="preserve"> in the difficult-task group.</w:t>
      </w:r>
      <w:r w:rsidR="007372DD" w:rsidRPr="00A4233B">
        <w:rPr>
          <w:rFonts w:cstheme="minorHAnsi"/>
        </w:rPr>
        <w:t xml:space="preserve"> Moreover, in this section, to warn participants about the delivery of the HFS train, the </w:t>
      </w:r>
      <w:r w:rsidR="00C16DE8">
        <w:rPr>
          <w:rFonts w:cstheme="minorHAnsi"/>
        </w:rPr>
        <w:t xml:space="preserve">fixation </w:t>
      </w:r>
      <w:r w:rsidR="007372DD" w:rsidRPr="00A4233B">
        <w:rPr>
          <w:rFonts w:cstheme="minorHAnsi"/>
        </w:rPr>
        <w:t xml:space="preserve">cross was displayed for the first 750 ms in red </w:t>
      </w:r>
      <w:r w:rsidR="00A57EA6">
        <w:rPr>
          <w:rFonts w:cstheme="minorHAnsi"/>
        </w:rPr>
        <w:t xml:space="preserve">and turned to white </w:t>
      </w:r>
      <w:r w:rsidR="00A57EA6" w:rsidRPr="00A4233B">
        <w:rPr>
          <w:rFonts w:cstheme="minorHAnsi"/>
        </w:rPr>
        <w:t>during the HFS trains</w:t>
      </w:r>
      <w:r w:rsidR="00A57EA6">
        <w:rPr>
          <w:rFonts w:cstheme="minorHAnsi"/>
        </w:rPr>
        <w:t>.</w:t>
      </w:r>
      <w:r w:rsidR="007372DD" w:rsidRPr="00A4233B">
        <w:rPr>
          <w:rFonts w:cstheme="minorHAnsi"/>
        </w:rPr>
        <w:t xml:space="preserve"> After the cross, one of the </w:t>
      </w:r>
      <w:r w:rsidR="00F11FDE">
        <w:rPr>
          <w:rFonts w:cstheme="minorHAnsi"/>
        </w:rPr>
        <w:t>digits</w:t>
      </w:r>
      <w:r w:rsidR="00F11FDE" w:rsidRPr="00A4233B">
        <w:rPr>
          <w:rFonts w:cstheme="minorHAnsi"/>
        </w:rPr>
        <w:t xml:space="preserve"> </w:t>
      </w:r>
      <w:r w:rsidR="007372DD" w:rsidRPr="00A4233B">
        <w:rPr>
          <w:rFonts w:cstheme="minorHAnsi"/>
        </w:rPr>
        <w:t>from the memory set was displayed for 1000 ms</w:t>
      </w:r>
      <w:r w:rsidR="003E594F">
        <w:rPr>
          <w:rFonts w:cstheme="minorHAnsi"/>
        </w:rPr>
        <w:t xml:space="preserve"> </w:t>
      </w:r>
      <w:r w:rsidR="003E594F" w:rsidRPr="00A4233B">
        <w:rPr>
          <w:rFonts w:cstheme="minorHAnsi"/>
        </w:rPr>
        <w:t>(memory probe)</w:t>
      </w:r>
      <w:r w:rsidR="007372DD" w:rsidRPr="00A4233B">
        <w:rPr>
          <w:rFonts w:cstheme="minorHAnsi"/>
        </w:rPr>
        <w:t xml:space="preserve">. Participants had </w:t>
      </w:r>
      <w:r w:rsidR="009C605A">
        <w:rPr>
          <w:rFonts w:cstheme="minorHAnsi"/>
        </w:rPr>
        <w:t xml:space="preserve">then </w:t>
      </w:r>
      <w:r w:rsidR="007372DD" w:rsidRPr="00A4233B">
        <w:rPr>
          <w:rFonts w:cstheme="minorHAnsi"/>
        </w:rPr>
        <w:t xml:space="preserve">2000 ms to report on a keyboard the </w:t>
      </w:r>
      <w:r w:rsidR="003E594F">
        <w:rPr>
          <w:rFonts w:cstheme="minorHAnsi"/>
        </w:rPr>
        <w:t xml:space="preserve">digit </w:t>
      </w:r>
      <w:r w:rsidR="007372DD" w:rsidRPr="00A4233B">
        <w:rPr>
          <w:rFonts w:cstheme="minorHAnsi"/>
        </w:rPr>
        <w:t xml:space="preserve">that followed the memory probe in the </w:t>
      </w:r>
      <w:r w:rsidR="004F49D1">
        <w:rPr>
          <w:rFonts w:cstheme="minorHAnsi"/>
        </w:rPr>
        <w:t>memory set displayed previously</w:t>
      </w:r>
      <w:r w:rsidR="007372DD" w:rsidRPr="00A4233B">
        <w:rPr>
          <w:rFonts w:cstheme="minorHAnsi"/>
        </w:rPr>
        <w:t xml:space="preserve">. If the response was correct, </w:t>
      </w:r>
      <w:r w:rsidR="009B2FA7">
        <w:rPr>
          <w:rFonts w:cstheme="minorHAnsi"/>
        </w:rPr>
        <w:t xml:space="preserve">a </w:t>
      </w:r>
      <w:r w:rsidR="00813A08">
        <w:rPr>
          <w:rFonts w:cstheme="minorHAnsi"/>
        </w:rPr>
        <w:t xml:space="preserve">number </w:t>
      </w:r>
      <w:r w:rsidR="007372DD" w:rsidRPr="00A4233B">
        <w:rPr>
          <w:rFonts w:cstheme="minorHAnsi"/>
        </w:rPr>
        <w:t>10</w:t>
      </w:r>
      <w:r w:rsidR="009B2FA7">
        <w:rPr>
          <w:rFonts w:cstheme="minorHAnsi"/>
        </w:rPr>
        <w:t xml:space="preserve"> </w:t>
      </w:r>
      <w:r w:rsidR="009B2FA7" w:rsidRPr="00A4233B">
        <w:rPr>
          <w:rFonts w:cstheme="minorHAnsi"/>
        </w:rPr>
        <w:t>blinking</w:t>
      </w:r>
      <w:r w:rsidR="007372DD" w:rsidRPr="00A4233B">
        <w:rPr>
          <w:rFonts w:cstheme="minorHAnsi"/>
        </w:rPr>
        <w:t xml:space="preserve"> </w:t>
      </w:r>
      <w:r w:rsidR="00CA0DA4">
        <w:rPr>
          <w:rFonts w:cstheme="minorHAnsi"/>
        </w:rPr>
        <w:t>was displayed on the screen for</w:t>
      </w:r>
      <w:r w:rsidR="007372DD" w:rsidRPr="00A4233B">
        <w:rPr>
          <w:rFonts w:cstheme="minorHAnsi"/>
        </w:rPr>
        <w:t xml:space="preserve"> 500ms. Contrary, if the response was incorrect, </w:t>
      </w:r>
      <w:r w:rsidR="009B2FA7">
        <w:rPr>
          <w:rFonts w:cstheme="minorHAnsi"/>
        </w:rPr>
        <w:t xml:space="preserve">a </w:t>
      </w:r>
      <w:r w:rsidR="00CA0DA4">
        <w:rPr>
          <w:rFonts w:cstheme="minorHAnsi"/>
        </w:rPr>
        <w:t xml:space="preserve">number </w:t>
      </w:r>
      <w:r w:rsidR="007372DD" w:rsidRPr="00A4233B">
        <w:rPr>
          <w:rFonts w:cstheme="minorHAnsi"/>
        </w:rPr>
        <w:t xml:space="preserve">0 </w:t>
      </w:r>
      <w:r w:rsidR="009B2FA7" w:rsidRPr="00A4233B">
        <w:rPr>
          <w:rFonts w:cstheme="minorHAnsi"/>
        </w:rPr>
        <w:t xml:space="preserve">blinking </w:t>
      </w:r>
      <w:r w:rsidR="007372DD" w:rsidRPr="00A4233B">
        <w:rPr>
          <w:rFonts w:cstheme="minorHAnsi"/>
        </w:rPr>
        <w:t>was presented</w:t>
      </w:r>
      <w:r w:rsidR="004C163A">
        <w:rPr>
          <w:rFonts w:cstheme="minorHAnsi"/>
        </w:rPr>
        <w:t xml:space="preserve"> for the same duration</w:t>
      </w:r>
      <w:r w:rsidR="007372DD" w:rsidRPr="00A4233B">
        <w:rPr>
          <w:rFonts w:cstheme="minorHAnsi"/>
        </w:rPr>
        <w:t xml:space="preserve">. If participants responded too early (i.e. when the probe was still on the screen) or too late (i.e., &gt; 2000ms), they received the feedback “too early”, aimed to inform them to adjust their speed.  To boost engagement in the task, participants </w:t>
      </w:r>
      <w:r w:rsidR="00131719">
        <w:rPr>
          <w:rFonts w:cstheme="minorHAnsi"/>
        </w:rPr>
        <w:t>in</w:t>
      </w:r>
      <w:r w:rsidR="007372DD" w:rsidRPr="00A4233B">
        <w:rPr>
          <w:rFonts w:cstheme="minorHAnsi"/>
        </w:rPr>
        <w:t xml:space="preserve"> the difficult-task group were told that based on their performance, they could receive extra compensation</w:t>
      </w:r>
      <w:r w:rsidR="00131719">
        <w:rPr>
          <w:rFonts w:cstheme="minorHAnsi"/>
        </w:rPr>
        <w:t>. Our decision to only implement a monetary reward in the difficult-task condition was inspired by a recent study by Vogel et al.</w:t>
      </w:r>
      <w:r w:rsidR="00CF3F58">
        <w:rPr>
          <w:rFonts w:cstheme="minorHAnsi"/>
        </w:rPr>
        <w:fldChar w:fldCharType="begin"/>
      </w:r>
      <w:r w:rsidR="0019418B">
        <w:rPr>
          <w:rFonts w:cstheme="minorHAnsi"/>
        </w:rPr>
        <w:instrText xml:space="preserve"> ADDIN ZOTERO_ITEM CSL_CITATION {"citationID":"Ifo90ww2","properties":{"formattedCitation":"[81]","plainCitation":"[81]","noteIndex":0},"citationItems":[{"id":1219,"uris":["http://zotero.org/users/9378318/items/UR78RHDJ"],"itemData":{"id":1219,"type":"article-journal","abstract":"Introduction: Pain captures attention automatically, yet we can inhibit pain when we are motivated to perform other tasks. Previous studies show that engaging in a cognitively demanding task reduces pain compared with a task that is minimally demanding, yet the effects of motivation on this pain-reducing effect remain largely unexplored.\nObjectives: In this study, we hypothesized that motivating people to engage in a task with high demands would lead to more cognitive resources directed toward the task, thereby amplifying its pain-reducing effects.\nMethods: On different trials, participants performed an easy (left–right arrow discrimination) or demanding (2-back) cognitive task while receiving nonpainful or painful heat stimuli. In half of the trials, monetary rewards were offered to motivate participants to engage and perform well in the task.\nResults: Results showed an interaction between task demands and rewards, whereby offering rewards strengthened the painreducing effect of a distracting task when demands were high. This effect was reinforced by increased 2-back performance when rewards were offered, indicating that both task demands and motivation are necessary to inhibit pain.\nConclusions: When task demands are low, motivation to engage in the task will have little impact on pain because performance cannot further increase. When motivation is low, participants will spend minimal effort to perform well in the task, thus hindering the pain-reducing effects of higher task demands. These findings suggest that the pain-reducing properties of distraction can be optimized by carefully calibrating the demands and motivational value of the task.","container-title":"PAIN Reports","DOI":"10.1097/PR9.0000000000001041","ISSN":"2471-2531","issue":"6","journalAbbreviation":"PR9","language":"en","page":"e1041","source":"DOI.org (Crossref)","title":"Distraction from pain depends on task demands and motivation","volume":"7","author":[{"family":"Vogel","given":"Todd A."},{"family":"Falk","given":"Carl F."},{"family":"Otto","given":"A. Ross"},{"family":"Roy","given":"Mathieu"}],"issued":{"date-parts":[["2022",11]]}}}],"schema":"https://github.com/citation-style-language/schema/raw/master/csl-citation.json"} </w:instrText>
      </w:r>
      <w:r w:rsidR="00CF3F58">
        <w:rPr>
          <w:rFonts w:cstheme="minorHAnsi"/>
        </w:rPr>
        <w:fldChar w:fldCharType="separate"/>
      </w:r>
      <w:r w:rsidR="001A31BB" w:rsidRPr="001A31BB">
        <w:rPr>
          <w:rFonts w:ascii="Calibri" w:hAnsi="Calibri" w:cs="Calibri"/>
        </w:rPr>
        <w:t>[81]</w:t>
      </w:r>
      <w:r w:rsidR="00CF3F58">
        <w:rPr>
          <w:rFonts w:cstheme="minorHAnsi"/>
        </w:rPr>
        <w:fldChar w:fldCharType="end"/>
      </w:r>
      <w:r w:rsidR="00131719">
        <w:rPr>
          <w:rFonts w:cstheme="minorHAnsi"/>
        </w:rPr>
        <w:t>,</w:t>
      </w:r>
      <w:r w:rsidR="00131719" w:rsidRPr="00131719">
        <w:t xml:space="preserve"> </w:t>
      </w:r>
      <w:r w:rsidR="00131719" w:rsidRPr="00131719">
        <w:rPr>
          <w:rFonts w:cstheme="minorHAnsi"/>
        </w:rPr>
        <w:t>explored how motivation impacts the pain-reducing effects of engaging in a demanding cognitive task.</w:t>
      </w:r>
      <w:r w:rsidR="00A01475">
        <w:rPr>
          <w:rFonts w:cstheme="minorHAnsi"/>
        </w:rPr>
        <w:t xml:space="preserve"> </w:t>
      </w:r>
      <w:r w:rsidR="0079148C" w:rsidRPr="0079148C">
        <w:rPr>
          <w:rFonts w:cstheme="minorHAnsi"/>
          <w:color w:val="FF0000"/>
        </w:rPr>
        <w:t xml:space="preserve">The findings of the study revealed that providing rewards enhanced the pain-reducing impact of a </w:t>
      </w:r>
      <w:r w:rsidR="00F93E8D">
        <w:rPr>
          <w:rFonts w:cstheme="minorHAnsi"/>
          <w:color w:val="FF0000"/>
        </w:rPr>
        <w:t xml:space="preserve">cognitive </w:t>
      </w:r>
      <w:r w:rsidR="0079148C" w:rsidRPr="0079148C">
        <w:rPr>
          <w:rFonts w:cstheme="minorHAnsi"/>
          <w:color w:val="FF0000"/>
        </w:rPr>
        <w:t>task, especially when the task demands were high. The improved performance associated with rewards indicated the significant roles of both task</w:t>
      </w:r>
      <w:r w:rsidR="00CD5377">
        <w:rPr>
          <w:rFonts w:cstheme="minorHAnsi"/>
          <w:color w:val="FF0000"/>
        </w:rPr>
        <w:t>-</w:t>
      </w:r>
      <w:r w:rsidR="0079148C" w:rsidRPr="0079148C">
        <w:rPr>
          <w:rFonts w:cstheme="minorHAnsi"/>
          <w:color w:val="FF0000"/>
        </w:rPr>
        <w:t xml:space="preserve">demands and motivation in pain inhibition. As a result, we chose to implement rewards exclusively in the </w:t>
      </w:r>
      <w:r w:rsidR="009A7AC7">
        <w:rPr>
          <w:rFonts w:cstheme="minorHAnsi"/>
          <w:color w:val="FF0000"/>
        </w:rPr>
        <w:t>difficult-task group</w:t>
      </w:r>
      <w:r w:rsidR="0079148C" w:rsidRPr="0079148C">
        <w:rPr>
          <w:rFonts w:cstheme="minorHAnsi"/>
          <w:color w:val="FF0000"/>
        </w:rPr>
        <w:t xml:space="preserve">, </w:t>
      </w:r>
      <w:r w:rsidR="000A0D23" w:rsidRPr="000A0D23">
        <w:rPr>
          <w:rFonts w:cstheme="minorHAnsi"/>
          <w:color w:val="FF0000"/>
        </w:rPr>
        <w:t xml:space="preserve">aiming to amplify </w:t>
      </w:r>
      <w:r w:rsidR="00467F32">
        <w:rPr>
          <w:rFonts w:cstheme="minorHAnsi"/>
          <w:color w:val="FF0000"/>
        </w:rPr>
        <w:t>the task</w:t>
      </w:r>
      <w:r w:rsidR="000A0D23" w:rsidRPr="000A0D23">
        <w:rPr>
          <w:rFonts w:cstheme="minorHAnsi"/>
          <w:color w:val="FF0000"/>
        </w:rPr>
        <w:t xml:space="preserve"> perceived value and, consequently, attention toward </w:t>
      </w:r>
      <w:r w:rsidR="00467F32">
        <w:rPr>
          <w:rFonts w:cstheme="minorHAnsi"/>
          <w:color w:val="FF0000"/>
        </w:rPr>
        <w:t>it</w:t>
      </w:r>
      <w:r w:rsidR="000A0D23" w:rsidRPr="000A0D23">
        <w:rPr>
          <w:rFonts w:cstheme="minorHAnsi"/>
          <w:color w:val="FF0000"/>
        </w:rPr>
        <w:t>.</w:t>
      </w:r>
    </w:p>
    <w:p w14:paraId="7A1D6916" w14:textId="6C260EBC" w:rsidR="00AF1614" w:rsidRPr="001112A5" w:rsidRDefault="00AB7B36" w:rsidP="007372DD">
      <w:pPr>
        <w:spacing w:after="0" w:line="480" w:lineRule="auto"/>
        <w:rPr>
          <w:rFonts w:cstheme="minorHAnsi"/>
        </w:rPr>
      </w:pPr>
      <w:r>
        <w:rPr>
          <w:rFonts w:cstheme="minorHAnsi"/>
        </w:rPr>
        <w:t xml:space="preserve"> </w:t>
      </w:r>
      <w:r w:rsidR="0000283C" w:rsidRPr="00A4233B">
        <w:rPr>
          <w:rFonts w:cstheme="minorHAnsi"/>
        </w:rPr>
        <w:t>At the end of the task, participants were asked to rate how painful they perceived the HFS stimulation to be and how difficult the task was on a</w:t>
      </w:r>
      <w:r w:rsidR="0000283C">
        <w:rPr>
          <w:rFonts w:cstheme="minorHAnsi"/>
        </w:rPr>
        <w:t xml:space="preserve"> </w:t>
      </w:r>
      <w:r w:rsidR="00E1088C">
        <w:rPr>
          <w:rFonts w:cstheme="minorHAnsi"/>
        </w:rPr>
        <w:t>horizontal</w:t>
      </w:r>
      <w:r w:rsidR="0000283C" w:rsidRPr="00A4233B">
        <w:rPr>
          <w:rFonts w:cstheme="minorHAnsi"/>
        </w:rPr>
        <w:t xml:space="preserve"> VAS scale (from no difficult/no pain and to most difficult/max painful respectively)</w:t>
      </w:r>
      <w:r w:rsidR="0000283C">
        <w:rPr>
          <w:rFonts w:cstheme="minorHAnsi"/>
        </w:rPr>
        <w:t xml:space="preserve">. </w:t>
      </w:r>
      <w:r w:rsidR="0000283C" w:rsidRPr="00A4233B">
        <w:rPr>
          <w:rFonts w:cstheme="minorHAnsi"/>
        </w:rPr>
        <w:t xml:space="preserve">In addition, </w:t>
      </w:r>
      <w:r w:rsidR="00B368D1">
        <w:rPr>
          <w:rFonts w:cstheme="minorHAnsi"/>
        </w:rPr>
        <w:t xml:space="preserve">written </w:t>
      </w:r>
      <w:r w:rsidR="0000283C" w:rsidRPr="00A4233B">
        <w:rPr>
          <w:rFonts w:cstheme="minorHAnsi"/>
        </w:rPr>
        <w:t xml:space="preserve">open questions were used to ask participants (1) which strategy they used to perform the task, (2) if their performance changed during HFS, (3) whether and </w:t>
      </w:r>
      <w:r w:rsidR="0000283C">
        <w:rPr>
          <w:rFonts w:cstheme="minorHAnsi"/>
        </w:rPr>
        <w:t xml:space="preserve">(4) </w:t>
      </w:r>
      <w:r w:rsidR="0000283C" w:rsidRPr="00A4233B">
        <w:rPr>
          <w:rFonts w:cstheme="minorHAnsi"/>
        </w:rPr>
        <w:t>why their performance was better with or without HFS, and lastly, (5) if they felt to be motivated in performing the task correctly</w:t>
      </w:r>
      <w:r w:rsidR="00B368D1">
        <w:rPr>
          <w:rFonts w:cstheme="minorHAnsi"/>
        </w:rPr>
        <w:t xml:space="preserve"> (</w:t>
      </w:r>
      <w:r w:rsidR="00AE790B" w:rsidRPr="00AE790B">
        <w:rPr>
          <w:rFonts w:cstheme="minorHAnsi"/>
        </w:rPr>
        <w:t xml:space="preserve">Qualtrics, Provo, UT, USA; approx. </w:t>
      </w:r>
      <w:r w:rsidR="00AE790B">
        <w:rPr>
          <w:rFonts w:cstheme="minorHAnsi"/>
        </w:rPr>
        <w:t>8</w:t>
      </w:r>
      <w:r w:rsidR="00AE790B" w:rsidRPr="00AE790B">
        <w:rPr>
          <w:rFonts w:cstheme="minorHAnsi"/>
        </w:rPr>
        <w:t xml:space="preserve"> min)</w:t>
      </w:r>
      <w:r w:rsidR="0000283C" w:rsidRPr="00A4233B">
        <w:rPr>
          <w:rFonts w:cstheme="minorHAnsi"/>
        </w:rPr>
        <w:t xml:space="preserve">. </w:t>
      </w:r>
      <w:r w:rsidR="00131719">
        <w:rPr>
          <w:rFonts w:cstheme="minorHAnsi"/>
        </w:rPr>
        <w:t>T</w:t>
      </w:r>
      <w:r w:rsidR="000970AA">
        <w:rPr>
          <w:rFonts w:cstheme="minorHAnsi"/>
        </w:rPr>
        <w:t>he t</w:t>
      </w:r>
      <w:r w:rsidR="00131719">
        <w:rPr>
          <w:rFonts w:cstheme="minorHAnsi"/>
        </w:rPr>
        <w:t>ask</w:t>
      </w:r>
      <w:r w:rsidR="007509D8">
        <w:rPr>
          <w:rFonts w:cstheme="minorHAnsi"/>
        </w:rPr>
        <w:t>’s</w:t>
      </w:r>
      <w:r w:rsidR="00131719">
        <w:rPr>
          <w:rFonts w:cstheme="minorHAnsi"/>
        </w:rPr>
        <w:t xml:space="preserve"> total duration</w:t>
      </w:r>
      <w:r w:rsidR="007372DD" w:rsidRPr="00A4233B">
        <w:rPr>
          <w:rFonts w:cstheme="minorHAnsi"/>
        </w:rPr>
        <w:t xml:space="preserve"> was about 6 minutes</w:t>
      </w:r>
      <w:r w:rsidR="00EC6982">
        <w:rPr>
          <w:rFonts w:cstheme="minorHAnsi"/>
        </w:rPr>
        <w:t xml:space="preserve">. </w:t>
      </w:r>
      <w:r w:rsidR="007372DD" w:rsidRPr="00A4233B">
        <w:rPr>
          <w:rFonts w:cstheme="minorHAnsi"/>
        </w:rPr>
        <w:t xml:space="preserve">Mechanical sensitivity as well as </w:t>
      </w:r>
      <w:r w:rsidR="007509D8">
        <w:rPr>
          <w:rFonts w:cstheme="minorHAnsi"/>
        </w:rPr>
        <w:t xml:space="preserve">the </w:t>
      </w:r>
      <w:r w:rsidR="007372DD" w:rsidRPr="00A4233B">
        <w:rPr>
          <w:rFonts w:cstheme="minorHAnsi"/>
        </w:rPr>
        <w:t xml:space="preserve">spatial extent of increased mechanical sensitivity was assessed after 20 (T1) and 40 (T2) minutes the </w:t>
      </w:r>
      <w:r w:rsidR="007372DD" w:rsidRPr="00A4233B">
        <w:rPr>
          <w:rFonts w:cstheme="minorHAnsi"/>
        </w:rPr>
        <w:lastRenderedPageBreak/>
        <w:t xml:space="preserve">delivery of the HFS in combination with the </w:t>
      </w:r>
      <w:r w:rsidR="00C2084C">
        <w:rPr>
          <w:rFonts w:cstheme="minorHAnsi"/>
        </w:rPr>
        <w:t>cognitive</w:t>
      </w:r>
      <w:r w:rsidR="007372DD" w:rsidRPr="00A4233B">
        <w:rPr>
          <w:rFonts w:cstheme="minorHAnsi"/>
        </w:rPr>
        <w:t xml:space="preserve"> task. The participants were then finally debriefed and compensated for their participation. Differently from the easy-task group, participants in the difficult-task group received extra compensation based on the accuracy o</w:t>
      </w:r>
      <w:r w:rsidR="008D2FD7">
        <w:rPr>
          <w:rFonts w:cstheme="minorHAnsi"/>
        </w:rPr>
        <w:t>f</w:t>
      </w:r>
      <w:r w:rsidR="007372DD" w:rsidRPr="00A4233B">
        <w:rPr>
          <w:rFonts w:cstheme="minorHAnsi"/>
        </w:rPr>
        <w:t xml:space="preserve"> the task. </w:t>
      </w:r>
    </w:p>
    <w:p w14:paraId="07093961" w14:textId="5E082918" w:rsidR="007372DD" w:rsidRPr="00A4233B" w:rsidRDefault="007372DD" w:rsidP="007372DD">
      <w:pPr>
        <w:spacing w:after="0" w:line="480" w:lineRule="auto"/>
        <w:rPr>
          <w:rFonts w:cstheme="minorHAnsi"/>
          <w:b/>
          <w:bCs/>
        </w:rPr>
      </w:pPr>
      <w:r w:rsidRPr="00A4233B">
        <w:rPr>
          <w:rFonts w:cstheme="minorHAnsi"/>
          <w:b/>
          <w:bCs/>
        </w:rPr>
        <w:t xml:space="preserve">Measures </w:t>
      </w:r>
    </w:p>
    <w:p w14:paraId="41AB3706" w14:textId="43F2AD93" w:rsidR="0049082F" w:rsidRDefault="005E2655" w:rsidP="007372DD">
      <w:pPr>
        <w:spacing w:after="0" w:line="480" w:lineRule="auto"/>
        <w:rPr>
          <w:rFonts w:cstheme="minorHAnsi"/>
        </w:rPr>
      </w:pPr>
      <w:r>
        <w:rPr>
          <w:rFonts w:cstheme="minorHAnsi"/>
        </w:rPr>
        <w:tab/>
      </w:r>
      <w:r w:rsidR="00B61899">
        <w:rPr>
          <w:rFonts w:cstheme="minorHAnsi"/>
        </w:rPr>
        <w:t xml:space="preserve">For each participant, </w:t>
      </w:r>
      <w:r w:rsidR="00E01ACB" w:rsidRPr="00E01ACB">
        <w:rPr>
          <w:rFonts w:cstheme="minorHAnsi"/>
        </w:rPr>
        <w:t xml:space="preserve">the three intensity perception ratings for mechanical pinprick sensitivity were averaged for each arm and time point before conducting further analyses. </w:t>
      </w:r>
      <w:r w:rsidR="0049082F" w:rsidRPr="0049082F">
        <w:rPr>
          <w:rFonts w:cstheme="minorHAnsi"/>
        </w:rPr>
        <w:t>To estimate the spatial extent of increased pinprick sensitivity, the distal-proximal extent was calculated by summing the distal and proximal distances in centimet</w:t>
      </w:r>
      <w:r w:rsidR="008D2FD7">
        <w:rPr>
          <w:rFonts w:cstheme="minorHAnsi"/>
        </w:rPr>
        <w:t>re</w:t>
      </w:r>
      <w:r w:rsidR="0049082F" w:rsidRPr="0049082F">
        <w:rPr>
          <w:rFonts w:cstheme="minorHAnsi"/>
        </w:rPr>
        <w:t>s. Mean, standard deviation, standard error, median, minimum, and maximum ratings were reported for each measurement.</w:t>
      </w:r>
    </w:p>
    <w:p w14:paraId="71351240" w14:textId="7ED17596" w:rsidR="00880C9C" w:rsidRPr="00880C9C" w:rsidRDefault="00E205FD" w:rsidP="008F4258">
      <w:pPr>
        <w:spacing w:after="0" w:line="480" w:lineRule="auto"/>
        <w:ind w:firstLine="720"/>
        <w:rPr>
          <w:rFonts w:cstheme="minorHAnsi"/>
        </w:rPr>
      </w:pPr>
      <w:r w:rsidRPr="00E205FD">
        <w:rPr>
          <w:rFonts w:cstheme="minorHAnsi"/>
        </w:rPr>
        <w:t>The accuracy of the cognitive tasks was determined by calculating the number of correct responses over the entire duration of the task, which consisted of 24 trials</w:t>
      </w:r>
      <w:r>
        <w:rPr>
          <w:rFonts w:cstheme="minorHAnsi"/>
        </w:rPr>
        <w:t xml:space="preserve">. </w:t>
      </w:r>
      <w:r w:rsidR="00880C9C" w:rsidRPr="00880C9C">
        <w:rPr>
          <w:rFonts w:cstheme="minorHAnsi"/>
        </w:rPr>
        <w:t>Additionally, accuracy was assessed separately for the trials before and after HFS (12 trials) and the trials during HFS (12 trials) by summing the correct responses for each section.</w:t>
      </w:r>
    </w:p>
    <w:p w14:paraId="32DE82A2" w14:textId="174F4E37" w:rsidR="00DA508C" w:rsidRDefault="00542E00" w:rsidP="00B61899">
      <w:pPr>
        <w:spacing w:after="0" w:line="480" w:lineRule="auto"/>
        <w:ind w:firstLine="720"/>
        <w:rPr>
          <w:rFonts w:cstheme="minorHAnsi"/>
        </w:rPr>
      </w:pPr>
      <w:r>
        <w:rPr>
          <w:rFonts w:cstheme="minorHAnsi"/>
        </w:rPr>
        <w:t xml:space="preserve">Subjective </w:t>
      </w:r>
      <w:r w:rsidR="00F430A5">
        <w:rPr>
          <w:rFonts w:cstheme="minorHAnsi"/>
        </w:rPr>
        <w:t xml:space="preserve">HFS-induced pain rating and task difficulty rating were measured </w:t>
      </w:r>
      <w:r w:rsidR="00B745E7">
        <w:rPr>
          <w:rFonts w:cstheme="minorHAnsi"/>
        </w:rPr>
        <w:t>using</w:t>
      </w:r>
      <w:r w:rsidR="00B61899">
        <w:rPr>
          <w:rFonts w:cstheme="minorHAnsi"/>
        </w:rPr>
        <w:t xml:space="preserve"> a </w:t>
      </w:r>
      <w:r w:rsidR="00B61899" w:rsidRPr="00B61899">
        <w:rPr>
          <w:rFonts w:cstheme="minorHAnsi"/>
        </w:rPr>
        <w:t xml:space="preserve">Numeric Rating Scale (NRS) ranging from 0 to </w:t>
      </w:r>
      <w:r w:rsidR="00AD6566" w:rsidRPr="00B61899">
        <w:rPr>
          <w:rFonts w:cstheme="minorHAnsi"/>
        </w:rPr>
        <w:t>10</w:t>
      </w:r>
      <w:r w:rsidR="005F629E">
        <w:rPr>
          <w:rFonts w:cstheme="minorHAnsi"/>
        </w:rPr>
        <w:t>0</w:t>
      </w:r>
      <w:r w:rsidR="00AD6566" w:rsidRPr="00B61899">
        <w:rPr>
          <w:rFonts w:cstheme="minorHAnsi"/>
        </w:rPr>
        <w:t>.</w:t>
      </w:r>
    </w:p>
    <w:p w14:paraId="6B25BA39" w14:textId="77777777" w:rsidR="000F5E55" w:rsidRPr="000F5E55" w:rsidRDefault="000F5E55" w:rsidP="000F5E55">
      <w:pPr>
        <w:spacing w:after="0" w:line="480" w:lineRule="auto"/>
        <w:rPr>
          <w:rFonts w:cstheme="minorHAnsi"/>
          <w:b/>
        </w:rPr>
      </w:pPr>
      <w:r w:rsidRPr="00284B63">
        <w:rPr>
          <w:rFonts w:cstheme="minorHAnsi"/>
          <w:b/>
        </w:rPr>
        <w:t>Psychological questionnaires</w:t>
      </w:r>
    </w:p>
    <w:p w14:paraId="39E6A3E8" w14:textId="61CE8CAA" w:rsidR="00BF655A" w:rsidRPr="00496017" w:rsidRDefault="000F5E55" w:rsidP="003664D4">
      <w:pPr>
        <w:spacing w:after="0" w:line="480" w:lineRule="auto"/>
        <w:rPr>
          <w:rFonts w:cstheme="minorHAnsi"/>
          <w:color w:val="000000" w:themeColor="text1"/>
        </w:rPr>
      </w:pPr>
      <w:r w:rsidRPr="000F5E55">
        <w:rPr>
          <w:rFonts w:cstheme="minorHAnsi"/>
        </w:rPr>
        <w:tab/>
        <w:t>At the beginning of the procedure, in addition to the screening and demographic questionaries, participants filled in either in French or English a series of scales</w:t>
      </w:r>
      <w:r w:rsidR="008968DD">
        <w:rPr>
          <w:rFonts w:cstheme="minorHAnsi"/>
        </w:rPr>
        <w:t>:</w:t>
      </w:r>
      <w:r w:rsidRPr="00C53B68">
        <w:rPr>
          <w:rFonts w:cstheme="minorHAnsi"/>
          <w:color w:val="FF0000"/>
        </w:rPr>
        <w:t xml:space="preserve"> </w:t>
      </w:r>
      <w:r w:rsidRPr="000F5E55">
        <w:rPr>
          <w:rFonts w:cstheme="minorHAnsi"/>
        </w:rPr>
        <w:t xml:space="preserve">(1) State-Trait Anxiety Inventory, Trait version ( STAI-T, </w:t>
      </w:r>
      <w:r w:rsidR="00860404">
        <w:rPr>
          <w:rFonts w:cstheme="minorHAnsi"/>
        </w:rPr>
        <w:t>Cronbach</w:t>
      </w:r>
      <w:r w:rsidR="00903DCB">
        <w:rPr>
          <w:rFonts w:cstheme="minorHAnsi"/>
        </w:rPr>
        <w:t xml:space="preserve">’s </w:t>
      </w:r>
      <w:r w:rsidRPr="000F5E55">
        <w:rPr>
          <w:rFonts w:cstheme="minorHAnsi"/>
        </w:rPr>
        <w:t>α</w:t>
      </w:r>
      <w:r w:rsidR="00903DCB">
        <w:rPr>
          <w:rFonts w:cstheme="minorHAnsi"/>
        </w:rPr>
        <w:t xml:space="preserve"> in this study</w:t>
      </w:r>
      <w:r w:rsidRPr="000F5E55">
        <w:rPr>
          <w:rFonts w:cstheme="minorHAnsi"/>
        </w:rPr>
        <w:t>= .88 [.84 .91]</w:t>
      </w:r>
      <w:r w:rsidR="00296995">
        <w:rPr>
          <w:rFonts w:cstheme="minorHAnsi"/>
        </w:rPr>
        <w:t>)</w:t>
      </w:r>
      <w:r w:rsidRPr="000F5E55">
        <w:rPr>
          <w:rFonts w:cstheme="minorHAnsi"/>
        </w:rPr>
        <w:t xml:space="preserve"> </w:t>
      </w:r>
      <w:r w:rsidR="002F68EC">
        <w:rPr>
          <w:rFonts w:cstheme="minorHAnsi"/>
        </w:rPr>
        <w:fldChar w:fldCharType="begin"/>
      </w:r>
      <w:r w:rsidR="0019418B">
        <w:rPr>
          <w:rFonts w:cstheme="minorHAnsi"/>
        </w:rPr>
        <w:instrText xml:space="preserve"> ADDIN ZOTERO_ITEM CSL_CITATION {"citationID":"AbWlG9Eu","properties":{"formattedCitation":"[62,63]","plainCitation":"[62,63]","noteIndex":0},"citationItems":[{"id":208,"uris":["http://zotero.org/users/9378318/items/S8FRSMID"],"itemData":{"id":208,"type":"article-journal","abstract":"Read each statement and select the appropriate response to indicate how you feel right now, that is, at this very moment. There are no right or wrong answers. Do not spend too much time on any one statement but give the answer which seems to describe your present feelings best.","ISSN":"978-0-387-78664-3","page":"19-21","title":"State trait Anxiety Inventory questionnaire (STAI)","author":[{"family":"Spielberger","given":"C. D."}],"issued":{"date-parts":[["1968"]]}}},{"id":204,"uris":["http://zotero.org/users/9378318/items/FFKNMN4Z"],"itemData":{"id":204,"type":"article-journal","abstract":"Anxiety: Current Trends in Theory and Research, Volume II discusses the hostile state of inner turmoil called “anxiety .This volume is divided into three parts. Part IV discusses the theoretical approach concerning emotion, nature of anxiety, and distinctions between anxiety and other fear-related emotions. The experimental approaches to test anxiety and interventions in relation to anxiety in school are elaborated in Part V. Part VI is devoted to summarizing the conceptual and methodological issues in anxiety research. Other topics include the variety of viewpoints on the nature of anxiety, models of psychophysiological disorders, analysis of anxiety as helplessness, and reducing the interfering effects of test anxiety.This publication is recommended for psychiatrists, psychologists, and researchers conducting anxiety research.","container-title":"Anxiety","ISSN":"9788578110796","issue":"5","page":"0-75","title":"State-Trait Anxiety Inventory for Adults: Self-Evaluation Questionnaire","volume":"91","author":[{"family":"Spielberger","given":"Charles D."},{"family":"Nathan","given":"Andrew J."},{"family":"Scobell","given":"Andrew"},{"family":"Spielberger","given":"Charles D."},{"family":"Gorsuch","given":"R. L."},{"family":"Lushene","given":"R."},{"family":"P. R.","given":"Vagg;"},{"family":"Jacobs","given":"G. A."}],"issued":{"date-parts":[["2012"]]}}}],"schema":"https://github.com/citation-style-language/schema/raw/master/csl-citation.json"} </w:instrText>
      </w:r>
      <w:r w:rsidR="002F68EC">
        <w:rPr>
          <w:rFonts w:cstheme="minorHAnsi"/>
        </w:rPr>
        <w:fldChar w:fldCharType="separate"/>
      </w:r>
      <w:r w:rsidR="001A31BB" w:rsidRPr="001A31BB">
        <w:rPr>
          <w:rFonts w:ascii="Calibri" w:hAnsi="Calibri" w:cs="Calibri"/>
        </w:rPr>
        <w:t>[62,63]</w:t>
      </w:r>
      <w:r w:rsidR="002F68EC">
        <w:rPr>
          <w:rFonts w:cstheme="minorHAnsi"/>
        </w:rPr>
        <w:fldChar w:fldCharType="end"/>
      </w:r>
      <w:r w:rsidRPr="000F5E55">
        <w:rPr>
          <w:rFonts w:cstheme="minorHAnsi"/>
        </w:rPr>
        <w:t>, (</w:t>
      </w:r>
      <w:r>
        <w:rPr>
          <w:rFonts w:cstheme="minorHAnsi"/>
        </w:rPr>
        <w:t>2</w:t>
      </w:r>
      <w:r w:rsidRPr="000F5E55">
        <w:rPr>
          <w:rFonts w:cstheme="minorHAnsi"/>
        </w:rPr>
        <w:t>) the Pain Anxiety Symptoms Scale (PASS, α= .89 [.86 .92]</w:t>
      </w:r>
      <w:r w:rsidR="00BF461D">
        <w:rPr>
          <w:rFonts w:cstheme="minorHAnsi"/>
        </w:rPr>
        <w:t xml:space="preserve">) </w:t>
      </w:r>
      <w:r w:rsidR="00BF461D">
        <w:rPr>
          <w:rFonts w:cstheme="minorHAnsi"/>
        </w:rPr>
        <w:fldChar w:fldCharType="begin"/>
      </w:r>
      <w:r w:rsidR="0019418B">
        <w:rPr>
          <w:rFonts w:cstheme="minorHAnsi"/>
        </w:rPr>
        <w:instrText xml:space="preserve"> ADDIN ZOTERO_ITEM CSL_CITATION {"citationID":"DqJN0BU9","properties":{"formattedCitation":"[44]","plainCitation":"[44]","noteIndex":0},"citationItems":[{"id":1890,"uris":["http://zotero.org/users/9378318/items/G7K43IXZ"],"itemData":{"id":1890,"type":"article-journal","abstract":"Fear of pain has been implicated in the development and maintenance of chronic pain behavior.","container-title":"Pain","DOI":"10.1016/0304-3959(92)90113-P","ISSN":"0304-3959","issue":"1","language":"en","page":"67-73","source":"DOI.org (Crossref)","title":"The pain anxiety symptoms scale: development and validation of a scale to measure fear of pain","title-short":"The pain anxiety symptoms scale","volume":"50","author":[{"family":"McCracken","given":"Lance M."},{"family":"Zayfert","given":"Claudia"},{"family":"Gross","given":"Richard T."}],"issued":{"date-parts":[["1992",7]]}}}],"schema":"https://github.com/citation-style-language/schema/raw/master/csl-citation.json"} </w:instrText>
      </w:r>
      <w:r w:rsidR="00BF461D">
        <w:rPr>
          <w:rFonts w:cstheme="minorHAnsi"/>
        </w:rPr>
        <w:fldChar w:fldCharType="separate"/>
      </w:r>
      <w:r w:rsidR="001A31BB" w:rsidRPr="001A31BB">
        <w:rPr>
          <w:rFonts w:ascii="Calibri" w:hAnsi="Calibri" w:cs="Calibri"/>
        </w:rPr>
        <w:t>[44]</w:t>
      </w:r>
      <w:r w:rsidR="00BF461D">
        <w:rPr>
          <w:rFonts w:cstheme="minorHAnsi"/>
        </w:rPr>
        <w:fldChar w:fldCharType="end"/>
      </w:r>
      <w:r w:rsidRPr="000F5E55">
        <w:rPr>
          <w:rFonts w:cstheme="minorHAnsi"/>
        </w:rPr>
        <w:t xml:space="preserve">, and </w:t>
      </w:r>
      <w:r>
        <w:rPr>
          <w:rFonts w:cstheme="minorHAnsi"/>
        </w:rPr>
        <w:t xml:space="preserve">(3) </w:t>
      </w:r>
      <w:r w:rsidRPr="000F5E55">
        <w:rPr>
          <w:rFonts w:cstheme="minorHAnsi"/>
        </w:rPr>
        <w:t>the pain vigilance and awareness questionnaire ( PVAQ, α= .86 [.80 .89]</w:t>
      </w:r>
      <w:r w:rsidR="00147775">
        <w:rPr>
          <w:rFonts w:cstheme="minorHAnsi"/>
        </w:rPr>
        <w:t xml:space="preserve">) </w:t>
      </w:r>
      <w:r w:rsidR="00147775">
        <w:rPr>
          <w:rFonts w:cstheme="minorHAnsi"/>
        </w:rPr>
        <w:fldChar w:fldCharType="begin"/>
      </w:r>
      <w:r w:rsidR="0019418B">
        <w:rPr>
          <w:rFonts w:cstheme="minorHAnsi"/>
        </w:rPr>
        <w:instrText xml:space="preserve"> ADDIN ZOTERO_ITEM CSL_CITATION {"citationID":"WuHN1kbc","properties":{"formattedCitation":"[56]","plainCitation":"[56]","noteIndex":0},"citationItems":[{"id":206,"uris":["http://zotero.org/users/9378318/items/ULGE3GQ6"],"itemData":{"id":206,"type":"article-journal","abstract":"In chronic pain patients, preoccupation with or attention to pain is associated with pain-related fear and perceived pain severity. The current study investigated psychometric properties of the pain vigilance and awareness questionnaire (PVAQ). An exploratory factor analysis on Dutch fibromyalgia patients indicated that a two-factor solution was most suitable. The first factor could be referred to as attention to pain and the second factor was interpreted as attention to changes in pain. A confirmatory factor analysis, testing three different factor structures in two independent samples (Dutch fibromyalgia patients and American pain patients with various diagnoses) showed that the goodness-of-fit indicators for all models were satisfactory. The existence of the previously reported intrusion subscale of the PVAQ as a unique construct within the PVAQ was discussed. This subscale should be further extended by non-reverse-keyed items. With regard to the convergent validity, the PVAQ was highly correlated with related constructs such as the pain catastrophizing scale (PCS), pain anxiety symptoms scale (PASS), and Tampa scale of kinesiophobia (TSK). The attention to pain subscale was significantly stronger associated with these pain-related measures than the attention to changes in pain subscale, indicating that attention to changes in pain is a distinctive construct. The uniqueness of the attention to changes in pain subscale was also supported by an exploratory factor analysis on all items of the PVAQ, PCS, PASS, and TSK which showed that all items from that scale loaded on one separate factor. Overall, the PVAQ showed good internal consistency. Implications for future research and treatment interventions are discussed. © 2002 International Association for the Study of Pain. Published by Elsevier Science B.V. All rights reserved.","container-title":"Pain","DOI":"10.1016/S0304-3959(02)00338-X","ISSN":"3143388161","issue":"3","page":"299-306","title":"The pain vigilance and awareness questionnaire (PVAQ): Further psychometric evaluation in fibromyalgia and other chronic pain syndromes","volume":"101","author":[{"family":"Roelofs","given":"Jeffrey"},{"family":"Peters","given":"Madelon L."},{"family":"McCracken","given":"Lance"},{"family":"Vlaeyen","given":"Johan W. S."}],"issued":{"date-parts":[["2003"]]}}}],"schema":"https://github.com/citation-style-language/schema/raw/master/csl-citation.json"} </w:instrText>
      </w:r>
      <w:r w:rsidR="00147775">
        <w:rPr>
          <w:rFonts w:cstheme="minorHAnsi"/>
        </w:rPr>
        <w:fldChar w:fldCharType="separate"/>
      </w:r>
      <w:r w:rsidR="001A31BB" w:rsidRPr="001A31BB">
        <w:rPr>
          <w:rFonts w:ascii="Calibri" w:hAnsi="Calibri" w:cs="Calibri"/>
        </w:rPr>
        <w:t>[56]</w:t>
      </w:r>
      <w:r w:rsidR="00147775">
        <w:rPr>
          <w:rFonts w:cstheme="minorHAnsi"/>
        </w:rPr>
        <w:fldChar w:fldCharType="end"/>
      </w:r>
      <w:r w:rsidR="00147775">
        <w:rPr>
          <w:rFonts w:cstheme="minorHAnsi"/>
        </w:rPr>
        <w:t xml:space="preserve">. </w:t>
      </w:r>
      <w:r w:rsidR="00094C22" w:rsidRPr="00FA33CE">
        <w:rPr>
          <w:rFonts w:cstheme="minorHAnsi"/>
          <w:color w:val="FF0000"/>
        </w:rPr>
        <w:t>The selection of the STAI-T and PASS questionnaires was motivated by the observed comorbidity between anxiety disorders and chronic pain</w:t>
      </w:r>
      <w:r w:rsidR="00077A89" w:rsidRPr="00FA33CE">
        <w:rPr>
          <w:rFonts w:cstheme="minorHAnsi"/>
          <w:color w:val="FF0000"/>
        </w:rPr>
        <w:t xml:space="preserve"> </w:t>
      </w:r>
      <w:r w:rsidR="00077A89" w:rsidRPr="00FA33CE">
        <w:rPr>
          <w:rFonts w:cstheme="minorHAnsi"/>
          <w:color w:val="FF0000"/>
        </w:rPr>
        <w:fldChar w:fldCharType="begin"/>
      </w:r>
      <w:r w:rsidR="0019418B" w:rsidRPr="00FA33CE">
        <w:rPr>
          <w:rFonts w:cstheme="minorHAnsi"/>
          <w:color w:val="FF0000"/>
        </w:rPr>
        <w:instrText xml:space="preserve"> ADDIN ZOTERO_ITEM CSL_CITATION {"citationID":"L9TtqQIY","properties":{"formattedCitation":"[45]","plainCitation":"[45]","noteIndex":0},"citationItems":[{"id":2166,"uris":["http://zotero.org/users/9378318/items/B8DNGL5G"],"itemData":{"id":2166,"type":"article-journal","abstract":"Chronic pain and psychiatric disorders frequently co-occur. However, estimates of the magnitude of these associations have been biased by the use of select clinical samples. The present study utilized the National Comorbidity Survey [Arch. Gen. Psychiatry 51 (1994) 8 – 19] Part II data set to investigate the associations between a chronic pain condition (i.e. arthritis) and common mood and anxiety disorders in a sample representative of the general US civilian population. Participants ðN ¼ 5877Þ completed the Composite International Diagnostic Interview [World Health Organization (1990)], a structured interview for trained non-clinician interviewers based on the revised third edition of the Diagnostic and Statistical Manual of Mental Disorders [American Psychiatric Association (1987)], and provided self-reports of pain and disability associated with a variety of medical conditions. Signiﬁcant positive associations were found between chronic pain and individual 12-month mood and anxiety disorders [odds ratios (OR) ranged from 1.92 to 4.27]. The strongest associations were observed with panic disorder (OR ¼ 4.27) and post-traumatic stress disorder (OR ¼ 3.69). The presence of one psychiatric disorder was not signiﬁcantly associated with pain-related disability, but the presence of multiple psychiatric disorders was signiﬁcantly associated with increased disability. The ﬁndings of the present study raise the possibility that improved efforts regarding the detection and treatment of anxiety disorders may be required in pain treatment settings.","container-title":"Pain","DOI":"10.1016/S0304-3959(03)00301-4","ISSN":"0304-3959","issue":"1","language":"en","page":"127-133","source":"DOI.org (Crossref)","title":"Mood and anxiety disorders associated with chronic pain: an examination in a nationally representative sample","title-short":"Mood and anxiety disorders associated with chronic pain","volume":"106","author":[{"family":"McWilliams","given":"Lachlan A"},{"family":"Cox","given":"Brian J"},{"family":"Enns","given":"Murray W"}],"issued":{"date-parts":[["2003",11]]}}}],"schema":"https://github.com/citation-style-language/schema/raw/master/csl-citation.json"} </w:instrText>
      </w:r>
      <w:r w:rsidR="00077A89" w:rsidRPr="00FA33CE">
        <w:rPr>
          <w:rFonts w:cstheme="minorHAnsi"/>
          <w:color w:val="FF0000"/>
        </w:rPr>
        <w:fldChar w:fldCharType="separate"/>
      </w:r>
      <w:r w:rsidR="001A31BB" w:rsidRPr="00FA33CE">
        <w:rPr>
          <w:rFonts w:ascii="Calibri" w:hAnsi="Calibri" w:cs="Calibri"/>
          <w:color w:val="FF0000"/>
        </w:rPr>
        <w:t>[45]</w:t>
      </w:r>
      <w:r w:rsidR="00077A89" w:rsidRPr="00FA33CE">
        <w:rPr>
          <w:rFonts w:cstheme="minorHAnsi"/>
          <w:color w:val="FF0000"/>
        </w:rPr>
        <w:fldChar w:fldCharType="end"/>
      </w:r>
      <w:r w:rsidR="00077A89" w:rsidRPr="00FA33CE">
        <w:rPr>
          <w:rFonts w:cstheme="minorHAnsi"/>
          <w:color w:val="FF0000"/>
        </w:rPr>
        <w:t xml:space="preserve">. </w:t>
      </w:r>
      <w:r w:rsidR="00094C22" w:rsidRPr="00FA33CE">
        <w:rPr>
          <w:rFonts w:cstheme="minorHAnsi"/>
          <w:color w:val="FF0000"/>
        </w:rPr>
        <w:t>Furthermore, the inclusion of the PVAQ aimed to address dispositional attention to pain, a factor believed to be linked with perceived pain severity</w:t>
      </w:r>
      <w:r w:rsidR="0030765A" w:rsidRPr="00FA33CE">
        <w:rPr>
          <w:rFonts w:cstheme="minorHAnsi"/>
          <w:color w:val="FF0000"/>
        </w:rPr>
        <w:t xml:space="preserve"> </w:t>
      </w:r>
      <w:r w:rsidR="00BC6723" w:rsidRPr="00FA33CE">
        <w:rPr>
          <w:rFonts w:cstheme="minorHAnsi"/>
          <w:color w:val="FF0000"/>
        </w:rPr>
        <w:fldChar w:fldCharType="begin"/>
      </w:r>
      <w:r w:rsidR="0019418B" w:rsidRPr="00FA33CE">
        <w:rPr>
          <w:rFonts w:cstheme="minorHAnsi"/>
          <w:color w:val="FF0000"/>
        </w:rPr>
        <w:instrText xml:space="preserve"> ADDIN ZOTERO_ITEM CSL_CITATION {"citationID":"XLtnAvsJ","properties":{"formattedCitation":"[56]","plainCitation":"[56]","noteIndex":0},"citationItems":[{"id":206,"uris":["http://zotero.org/users/9378318/items/ULGE3GQ6"],"itemData":{"id":206,"type":"article-journal","abstract":"In chronic pain patients, preoccupation with or attention to pain is associated with pain-related fear and perceived pain severity. The current study investigated psychometric properties of the pain vigilance and awareness questionnaire (PVAQ). An exploratory factor analysis on Dutch fibromyalgia patients indicated that a two-factor solution was most suitable. The first factor could be referred to as attention to pain and the second factor was interpreted as attention to changes in pain. A confirmatory factor analysis, testing three different factor structures in two independent samples (Dutch fibromyalgia patients and American pain patients with various diagnoses) showed that the goodness-of-fit indicators for all models were satisfactory. The existence of the previously reported intrusion subscale of the PVAQ as a unique construct within the PVAQ was discussed. This subscale should be further extended by non-reverse-keyed items. With regard to the convergent validity, the PVAQ was highly correlated with related constructs such as the pain catastrophizing scale (PCS), pain anxiety symptoms scale (PASS), and Tampa scale of kinesiophobia (TSK). The attention to pain subscale was significantly stronger associated with these pain-related measures than the attention to changes in pain subscale, indicating that attention to changes in pain is a distinctive construct. The uniqueness of the attention to changes in pain subscale was also supported by an exploratory factor analysis on all items of the PVAQ, PCS, PASS, and TSK which showed that all items from that scale loaded on one separate factor. Overall, the PVAQ showed good internal consistency. Implications for future research and treatment interventions are discussed. © 2002 International Association for the Study of Pain. Published by Elsevier Science B.V. All rights reserved.","container-title":"Pain","DOI":"10.1016/S0304-3959(02)00338-X","ISSN":"3143388161","issue":"3","page":"299-306","title":"The pain vigilance and awareness questionnaire (PVAQ): Further psychometric evaluation in fibromyalgia and other chronic pain syndromes","volume":"101","author":[{"family":"Roelofs","given":"Jeffrey"},{"family":"Peters","given":"Madelon L."},{"family":"McCracken","given":"Lance"},{"family":"Vlaeyen","given":"Johan W. S."}],"issued":{"date-parts":[["2003"]]}}}],"schema":"https://github.com/citation-style-language/schema/raw/master/csl-citation.json"} </w:instrText>
      </w:r>
      <w:r w:rsidR="00BC6723" w:rsidRPr="00FA33CE">
        <w:rPr>
          <w:rFonts w:cstheme="minorHAnsi"/>
          <w:color w:val="FF0000"/>
        </w:rPr>
        <w:fldChar w:fldCharType="separate"/>
      </w:r>
      <w:r w:rsidR="001A31BB" w:rsidRPr="00FA33CE">
        <w:rPr>
          <w:rFonts w:ascii="Calibri" w:hAnsi="Calibri" w:cs="Calibri"/>
          <w:color w:val="FF0000"/>
        </w:rPr>
        <w:t>[56]</w:t>
      </w:r>
      <w:r w:rsidR="00BC6723" w:rsidRPr="00FA33CE">
        <w:rPr>
          <w:rFonts w:cstheme="minorHAnsi"/>
          <w:color w:val="FF0000"/>
        </w:rPr>
        <w:fldChar w:fldCharType="end"/>
      </w:r>
      <w:r w:rsidR="00BC6723" w:rsidRPr="00FA33CE">
        <w:rPr>
          <w:rFonts w:cstheme="minorHAnsi"/>
          <w:color w:val="FF0000"/>
        </w:rPr>
        <w:t xml:space="preserve">. </w:t>
      </w:r>
      <w:r w:rsidRPr="00496017">
        <w:rPr>
          <w:rFonts w:cstheme="minorHAnsi"/>
          <w:color w:val="000000" w:themeColor="text1"/>
        </w:rPr>
        <w:t>The scales were meant to explore any moderators of mechanical sensitivity development.</w:t>
      </w:r>
      <w:r w:rsidR="00A938EA" w:rsidRPr="00496017">
        <w:rPr>
          <w:rFonts w:cstheme="minorHAnsi"/>
          <w:color w:val="000000" w:themeColor="text1"/>
        </w:rPr>
        <w:t xml:space="preserve"> </w:t>
      </w:r>
    </w:p>
    <w:p w14:paraId="4887BD40" w14:textId="77777777" w:rsidR="002049C7" w:rsidRDefault="002049C7" w:rsidP="003664D4">
      <w:pPr>
        <w:spacing w:after="0" w:line="480" w:lineRule="auto"/>
        <w:rPr>
          <w:rFonts w:cstheme="minorHAnsi"/>
        </w:rPr>
      </w:pPr>
    </w:p>
    <w:p w14:paraId="67242E70" w14:textId="33579CC9" w:rsidR="00DA508C" w:rsidRDefault="00340353" w:rsidP="002049C7">
      <w:pPr>
        <w:spacing w:after="0" w:line="480" w:lineRule="auto"/>
        <w:rPr>
          <w:rFonts w:cstheme="minorHAnsi"/>
          <w:i/>
          <w:iCs/>
        </w:rPr>
      </w:pPr>
      <w:r w:rsidRPr="00340353">
        <w:rPr>
          <w:rFonts w:cstheme="minorHAnsi"/>
          <w:i/>
          <w:iCs/>
        </w:rPr>
        <w:lastRenderedPageBreak/>
        <w:t>[Insert Figure</w:t>
      </w:r>
      <w:r w:rsidR="00564656">
        <w:rPr>
          <w:rFonts w:cstheme="minorHAnsi"/>
          <w:i/>
          <w:iCs/>
        </w:rPr>
        <w:t xml:space="preserve">s 1 </w:t>
      </w:r>
      <w:r w:rsidR="001112A5">
        <w:rPr>
          <w:rFonts w:cstheme="minorHAnsi"/>
          <w:i/>
          <w:iCs/>
        </w:rPr>
        <w:t>A</w:t>
      </w:r>
      <w:r w:rsidR="00564656">
        <w:rPr>
          <w:rFonts w:cstheme="minorHAnsi"/>
          <w:i/>
          <w:iCs/>
        </w:rPr>
        <w:t xml:space="preserve"> and</w:t>
      </w:r>
      <w:r w:rsidR="003664D4">
        <w:rPr>
          <w:rFonts w:cstheme="minorHAnsi"/>
          <w:i/>
          <w:iCs/>
        </w:rPr>
        <w:t xml:space="preserve"> 1</w:t>
      </w:r>
      <w:r w:rsidR="00564656">
        <w:rPr>
          <w:rFonts w:cstheme="minorHAnsi"/>
          <w:i/>
          <w:iCs/>
        </w:rPr>
        <w:t xml:space="preserve"> </w:t>
      </w:r>
      <w:r w:rsidR="001112A5">
        <w:rPr>
          <w:rFonts w:cstheme="minorHAnsi"/>
          <w:i/>
          <w:iCs/>
        </w:rPr>
        <w:t>B</w:t>
      </w:r>
      <w:r w:rsidR="003664D4">
        <w:rPr>
          <w:rFonts w:cstheme="minorHAnsi"/>
          <w:i/>
          <w:iCs/>
        </w:rPr>
        <w:t>-1 and B-2</w:t>
      </w:r>
      <w:r w:rsidRPr="00340353">
        <w:rPr>
          <w:rFonts w:cstheme="minorHAnsi"/>
          <w:i/>
          <w:iCs/>
        </w:rPr>
        <w:t xml:space="preserve"> here] </w:t>
      </w:r>
    </w:p>
    <w:p w14:paraId="1068F449" w14:textId="77777777" w:rsidR="002049C7" w:rsidRPr="002049C7" w:rsidRDefault="002049C7" w:rsidP="002049C7">
      <w:pPr>
        <w:spacing w:after="0" w:line="480" w:lineRule="auto"/>
        <w:rPr>
          <w:rFonts w:cstheme="minorHAnsi"/>
          <w:i/>
          <w:iCs/>
        </w:rPr>
      </w:pPr>
    </w:p>
    <w:p w14:paraId="2DBF8F92" w14:textId="77777777" w:rsidR="007372DD" w:rsidRPr="00246A61" w:rsidRDefault="007372DD" w:rsidP="00B421D0">
      <w:pPr>
        <w:spacing w:after="0" w:line="480" w:lineRule="auto"/>
        <w:rPr>
          <w:rFonts w:cstheme="minorHAnsi"/>
          <w:b/>
          <w:bCs/>
          <w:sz w:val="24"/>
          <w:szCs w:val="24"/>
        </w:rPr>
      </w:pPr>
      <w:r w:rsidRPr="00246A61">
        <w:rPr>
          <w:rFonts w:cstheme="minorHAnsi"/>
          <w:b/>
          <w:bCs/>
          <w:sz w:val="24"/>
          <w:szCs w:val="24"/>
        </w:rPr>
        <w:t xml:space="preserve">Statistical Analysis </w:t>
      </w:r>
    </w:p>
    <w:p w14:paraId="28F39202" w14:textId="4BCBDC82" w:rsidR="007372DD" w:rsidRPr="00A4233B" w:rsidRDefault="007372DD" w:rsidP="002049C7">
      <w:pPr>
        <w:spacing w:after="0" w:line="480" w:lineRule="auto"/>
        <w:ind w:firstLine="720"/>
        <w:rPr>
          <w:rFonts w:cstheme="minorHAnsi"/>
        </w:rPr>
      </w:pPr>
      <w:r w:rsidRPr="00A4233B">
        <w:rPr>
          <w:rFonts w:cstheme="minorHAnsi"/>
        </w:rPr>
        <w:t>All the analyses were performed using RStudio (</w:t>
      </w:r>
      <w:r w:rsidR="0099654B" w:rsidRPr="0099654B">
        <w:rPr>
          <w:rFonts w:cstheme="minorHAnsi"/>
        </w:rPr>
        <w:t>R version 4.1.2</w:t>
      </w:r>
      <w:r w:rsidRPr="00A4233B">
        <w:rPr>
          <w:rFonts w:cstheme="minorHAnsi"/>
        </w:rPr>
        <w:t>)</w:t>
      </w:r>
      <w:r w:rsidR="00DD0CAC">
        <w:rPr>
          <w:rFonts w:cstheme="minorHAnsi"/>
        </w:rPr>
        <w:fldChar w:fldCharType="begin"/>
      </w:r>
      <w:r w:rsidR="0019418B">
        <w:rPr>
          <w:rFonts w:cstheme="minorHAnsi"/>
        </w:rPr>
        <w:instrText xml:space="preserve"> ADDIN ZOTERO_ITEM CSL_CITATION {"citationID":"MpkzT0Vh","properties":{"formattedCitation":"[54]","plainCitation":"[54]","noteIndex":0},"citationItems":[{"id":1875,"uris":["http://zotero.org/users/9378318/items/V7MXZHCY"],"itemData":{"id":1875,"type":"article-journal","title":"R Core Team (2021). R: A language and environment for statistical ##   computing. R Foundation for Statistical Computing, Vienna, Austria. ##   URL https://www.R-project.org/."}}],"schema":"https://github.com/citation-style-language/schema/raw/master/csl-citation.json"} </w:instrText>
      </w:r>
      <w:r w:rsidR="00DD0CAC">
        <w:rPr>
          <w:rFonts w:cstheme="minorHAnsi"/>
        </w:rPr>
        <w:fldChar w:fldCharType="separate"/>
      </w:r>
      <w:r w:rsidR="001A31BB" w:rsidRPr="001A31BB">
        <w:rPr>
          <w:rFonts w:ascii="Calibri" w:hAnsi="Calibri" w:cs="Calibri"/>
        </w:rPr>
        <w:t>[54]</w:t>
      </w:r>
      <w:r w:rsidR="00DD0CAC">
        <w:rPr>
          <w:rFonts w:cstheme="minorHAnsi"/>
        </w:rPr>
        <w:fldChar w:fldCharType="end"/>
      </w:r>
      <w:r w:rsidR="00CA6417">
        <w:rPr>
          <w:rFonts w:cstheme="minorHAnsi"/>
        </w:rPr>
        <w:t xml:space="preserve">. Primary outcomes were assessed </w:t>
      </w:r>
      <w:r w:rsidRPr="00A4233B">
        <w:rPr>
          <w:rFonts w:cstheme="minorHAnsi"/>
        </w:rPr>
        <w:t>according to our initial pre-registered plan</w:t>
      </w:r>
      <w:r w:rsidR="008E1789">
        <w:rPr>
          <w:rFonts w:cstheme="minorHAnsi"/>
        </w:rPr>
        <w:t xml:space="preserve">. </w:t>
      </w:r>
    </w:p>
    <w:p w14:paraId="23351285" w14:textId="5AE1C5AA" w:rsidR="007372DD" w:rsidRPr="00246A61" w:rsidRDefault="00246A61" w:rsidP="007372DD">
      <w:pPr>
        <w:spacing w:after="0" w:line="480" w:lineRule="auto"/>
        <w:rPr>
          <w:rFonts w:cstheme="minorHAnsi"/>
          <w:b/>
          <w:bCs/>
          <w:sz w:val="24"/>
          <w:szCs w:val="24"/>
        </w:rPr>
      </w:pPr>
      <w:r w:rsidRPr="00246A61">
        <w:rPr>
          <w:rFonts w:cstheme="minorHAnsi"/>
          <w:b/>
          <w:bCs/>
          <w:sz w:val="24"/>
          <w:szCs w:val="24"/>
        </w:rPr>
        <w:t>Primary Outcome</w:t>
      </w:r>
    </w:p>
    <w:p w14:paraId="262E7E9A" w14:textId="77777777" w:rsidR="00246A61" w:rsidRPr="00B27E0A" w:rsidRDefault="00863A6C" w:rsidP="00246A61">
      <w:pPr>
        <w:spacing w:after="0" w:line="480" w:lineRule="auto"/>
        <w:rPr>
          <w:rFonts w:cstheme="minorHAnsi"/>
          <w:i/>
          <w:iCs/>
        </w:rPr>
      </w:pPr>
      <w:r w:rsidRPr="00B27E0A">
        <w:rPr>
          <w:rFonts w:cstheme="minorHAnsi"/>
          <w:b/>
          <w:bCs/>
          <w:i/>
          <w:iCs/>
          <w:color w:val="000000" w:themeColor="text1"/>
        </w:rPr>
        <w:t xml:space="preserve">Cognitive task: attentional manipulation check, pain perception during HFS </w:t>
      </w:r>
    </w:p>
    <w:p w14:paraId="5AE91CFF" w14:textId="3F4070A7" w:rsidR="00863A6C" w:rsidRPr="00D71F02" w:rsidRDefault="00863A6C" w:rsidP="00246A61">
      <w:pPr>
        <w:spacing w:after="0" w:line="480" w:lineRule="auto"/>
        <w:ind w:firstLine="720"/>
        <w:rPr>
          <w:rFonts w:cstheme="minorHAnsi"/>
        </w:rPr>
      </w:pPr>
      <w:r w:rsidRPr="00A4233B">
        <w:rPr>
          <w:rFonts w:cstheme="minorHAnsi"/>
          <w:color w:val="000000" w:themeColor="text1"/>
        </w:rPr>
        <w:t xml:space="preserve">As a manipulation check, to assess whether the two tasks required a different cognitive load to be performed, we compared the two groups in terms of (1) accuracy in the task </w:t>
      </w:r>
      <w:r w:rsidR="00D86C40">
        <w:rPr>
          <w:rFonts w:cstheme="minorHAnsi"/>
          <w:color w:val="000000" w:themeColor="text1"/>
        </w:rPr>
        <w:t xml:space="preserve">during the delivery of HFS </w:t>
      </w:r>
      <w:r w:rsidRPr="00A4233B">
        <w:rPr>
          <w:rFonts w:cstheme="minorHAnsi"/>
          <w:color w:val="000000" w:themeColor="text1"/>
        </w:rPr>
        <w:t>and (2) task perceived difficulty. For a further check, we also compared accuracy in the task with and without HFS separately per each condition.</w:t>
      </w:r>
      <w:r>
        <w:rPr>
          <w:rFonts w:cstheme="minorHAnsi"/>
          <w:color w:val="000000" w:themeColor="text1"/>
        </w:rPr>
        <w:t xml:space="preserve"> </w:t>
      </w:r>
    </w:p>
    <w:p w14:paraId="5761DC3F" w14:textId="25B7D44C" w:rsidR="00D86C40" w:rsidRDefault="00863A6C" w:rsidP="008F4258">
      <w:pPr>
        <w:spacing w:after="0" w:line="480" w:lineRule="auto"/>
        <w:ind w:firstLine="720"/>
        <w:rPr>
          <w:rFonts w:cstheme="minorHAnsi"/>
          <w:color w:val="000000" w:themeColor="text1"/>
        </w:rPr>
      </w:pPr>
      <w:r w:rsidRPr="00A4233B">
        <w:rPr>
          <w:rFonts w:cstheme="minorHAnsi"/>
          <w:color w:val="000000" w:themeColor="text1"/>
        </w:rPr>
        <w:t>To assess whether the attentional task influenced pain perception during the delivery of high</w:t>
      </w:r>
      <w:r w:rsidR="008D2FD7">
        <w:rPr>
          <w:rFonts w:cstheme="minorHAnsi"/>
          <w:color w:val="000000" w:themeColor="text1"/>
        </w:rPr>
        <w:t>-</w:t>
      </w:r>
      <w:r w:rsidRPr="00A4233B">
        <w:rPr>
          <w:rFonts w:cstheme="minorHAnsi"/>
          <w:color w:val="000000" w:themeColor="text1"/>
        </w:rPr>
        <w:t>frequency electrical stimulation, we compared pain ratings between the two groups (difficult vs</w:t>
      </w:r>
      <w:r w:rsidR="008D2FD7">
        <w:rPr>
          <w:rFonts w:cstheme="minorHAnsi"/>
          <w:color w:val="000000" w:themeColor="text1"/>
        </w:rPr>
        <w:t>.</w:t>
      </w:r>
      <w:r w:rsidRPr="00A4233B">
        <w:rPr>
          <w:rFonts w:cstheme="minorHAnsi"/>
          <w:color w:val="000000" w:themeColor="text1"/>
        </w:rPr>
        <w:t xml:space="preserve"> easy). </w:t>
      </w:r>
      <w:r w:rsidR="00561511">
        <w:rPr>
          <w:rFonts w:cstheme="minorHAnsi"/>
          <w:color w:val="000000" w:themeColor="text1"/>
        </w:rPr>
        <w:t xml:space="preserve">All the analyses were performed </w:t>
      </w:r>
      <w:r w:rsidR="00561511" w:rsidRPr="00A4233B">
        <w:rPr>
          <w:rFonts w:cstheme="minorHAnsi"/>
          <w:color w:val="000000" w:themeColor="text1"/>
        </w:rPr>
        <w:t>using a Wilcoxon signed-rank test</w:t>
      </w:r>
      <w:r w:rsidR="00561511">
        <w:rPr>
          <w:rFonts w:cstheme="minorHAnsi"/>
          <w:color w:val="000000" w:themeColor="text1"/>
        </w:rPr>
        <w:t>.</w:t>
      </w:r>
    </w:p>
    <w:p w14:paraId="46145035" w14:textId="4591B32D" w:rsidR="007372DD" w:rsidRPr="005B5C8F" w:rsidRDefault="007372DD" w:rsidP="007372DD">
      <w:pPr>
        <w:spacing w:after="0" w:line="480" w:lineRule="auto"/>
        <w:rPr>
          <w:rFonts w:cstheme="minorHAnsi"/>
          <w:b/>
          <w:bCs/>
          <w:i/>
          <w:iCs/>
        </w:rPr>
      </w:pPr>
      <w:r w:rsidRPr="005B5C8F">
        <w:rPr>
          <w:rFonts w:cstheme="minorHAnsi"/>
          <w:b/>
          <w:bCs/>
          <w:i/>
          <w:iCs/>
        </w:rPr>
        <w:t xml:space="preserve">Assessing the influence of the attentional load on </w:t>
      </w:r>
      <w:r w:rsidR="008F7CF2" w:rsidRPr="005B5C8F">
        <w:rPr>
          <w:rFonts w:cstheme="minorHAnsi"/>
          <w:b/>
          <w:bCs/>
          <w:i/>
          <w:iCs/>
        </w:rPr>
        <w:t xml:space="preserve">the </w:t>
      </w:r>
      <w:r w:rsidRPr="005B5C8F">
        <w:rPr>
          <w:rFonts w:cstheme="minorHAnsi"/>
          <w:b/>
          <w:bCs/>
          <w:i/>
          <w:iCs/>
        </w:rPr>
        <w:t xml:space="preserve">mechanical sensitivity intensity </w:t>
      </w:r>
      <w:r w:rsidR="008F7CF2" w:rsidRPr="005B5C8F">
        <w:rPr>
          <w:rFonts w:cstheme="minorHAnsi"/>
          <w:b/>
          <w:bCs/>
          <w:i/>
          <w:iCs/>
        </w:rPr>
        <w:t xml:space="preserve">developed on the HFS-treated arm </w:t>
      </w:r>
    </w:p>
    <w:p w14:paraId="42476F6F" w14:textId="6AE8EB74" w:rsidR="00CC5729" w:rsidRDefault="007372DD" w:rsidP="00050BDC">
      <w:pPr>
        <w:spacing w:after="0" w:line="480" w:lineRule="auto"/>
        <w:ind w:firstLine="720"/>
        <w:rPr>
          <w:rFonts w:cstheme="minorHAnsi"/>
        </w:rPr>
      </w:pPr>
      <w:r w:rsidRPr="00A4233B">
        <w:rPr>
          <w:rFonts w:cstheme="minorHAnsi"/>
        </w:rPr>
        <w:t>To assess whether the average mechanical pinprick sensitivity</w:t>
      </w:r>
      <w:r w:rsidR="00094C6E">
        <w:rPr>
          <w:rFonts w:cstheme="minorHAnsi"/>
        </w:rPr>
        <w:t xml:space="preserve"> on the HFS-treated arm</w:t>
      </w:r>
      <w:r w:rsidRPr="00A4233B">
        <w:rPr>
          <w:rFonts w:cstheme="minorHAnsi"/>
        </w:rPr>
        <w:t xml:space="preserve"> at T1 (1) and at T2 (2) was significantly lower in the difficult-task group as compared to the easy-task one, we used a linear mixed model</w:t>
      </w:r>
      <w:r w:rsidR="0083107C">
        <w:rPr>
          <w:rFonts w:cstheme="minorHAnsi"/>
        </w:rPr>
        <w:t xml:space="preserve"> comparing </w:t>
      </w:r>
      <w:r w:rsidR="00FA7E8A">
        <w:rPr>
          <w:rFonts w:cstheme="minorHAnsi"/>
        </w:rPr>
        <w:t xml:space="preserve">the mechanical sensitivity developed on the </w:t>
      </w:r>
      <w:r w:rsidR="0083107C">
        <w:rPr>
          <w:rFonts w:cstheme="minorHAnsi"/>
        </w:rPr>
        <w:t xml:space="preserve">HFS- </w:t>
      </w:r>
      <w:r w:rsidR="00FA7E8A">
        <w:rPr>
          <w:rFonts w:cstheme="minorHAnsi"/>
        </w:rPr>
        <w:t>treated</w:t>
      </w:r>
      <w:r w:rsidR="0083107C">
        <w:rPr>
          <w:rFonts w:cstheme="minorHAnsi"/>
        </w:rPr>
        <w:t xml:space="preserve"> arm</w:t>
      </w:r>
      <w:r w:rsidR="0097683F">
        <w:rPr>
          <w:rFonts w:cstheme="minorHAnsi"/>
        </w:rPr>
        <w:t xml:space="preserve"> between the two groups</w:t>
      </w:r>
      <w:r w:rsidRPr="00A4233B">
        <w:rPr>
          <w:rFonts w:cstheme="minorHAnsi"/>
        </w:rPr>
        <w:t xml:space="preserve">. </w:t>
      </w:r>
      <w:r w:rsidR="00BF4270">
        <w:rPr>
          <w:rFonts w:cstheme="minorHAnsi"/>
        </w:rPr>
        <w:t xml:space="preserve">Specifically, the model is represented as: </w:t>
      </w:r>
    </w:p>
    <w:p w14:paraId="47BE1A1B" w14:textId="28D2F43A" w:rsidR="00C320FC" w:rsidRPr="00C320FC" w:rsidRDefault="00C320FC" w:rsidP="00C320FC">
      <w:pPr>
        <w:spacing w:after="0" w:line="480" w:lineRule="auto"/>
        <w:ind w:firstLine="720"/>
        <w:rPr>
          <w:rFonts w:cstheme="minorHAnsi"/>
          <w:color w:val="FF0000"/>
        </w:rPr>
      </w:pPr>
      <w:r w:rsidRPr="00C320FC">
        <w:rPr>
          <w:rFonts w:cstheme="minorHAnsi"/>
          <w:color w:val="FF0000"/>
        </w:rPr>
        <w:t>Level 1</w:t>
      </w:r>
    </w:p>
    <w:p w14:paraId="213A38B4" w14:textId="1C94E661" w:rsidR="00AA71DB" w:rsidRPr="00E258A6" w:rsidRDefault="004145E8" w:rsidP="00AA71DB">
      <w:pPr>
        <w:ind w:firstLine="720"/>
        <w:rPr>
          <w:rFonts w:eastAsiaTheme="minorEastAsia" w:cstheme="minorHAnsi"/>
          <w:i/>
          <w:color w:val="FF0000"/>
          <w:shd w:val="clear" w:color="auto" w:fill="FFFFFF"/>
        </w:rPr>
      </w:pPr>
      <m:oMath>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Y</m:t>
            </m:r>
          </m:e>
          <m:sub>
            <m:r>
              <w:rPr>
                <w:rFonts w:ascii="Cambria Math" w:hAnsi="Cambria Math" w:cstheme="minorHAnsi"/>
                <w:color w:val="FF0000"/>
                <w:shd w:val="clear" w:color="auto" w:fill="FFFFFF"/>
              </w:rPr>
              <m:t>it</m:t>
            </m:r>
          </m:sub>
        </m:sSub>
        <m:r>
          <w:rPr>
            <w:rFonts w:ascii="Cambria Math" w:hAnsi="Cambria Math" w:cstheme="minorHAnsi"/>
            <w:color w:val="FF0000"/>
            <w:shd w:val="clear" w:color="auto" w:fill="FFFFFF"/>
          </w:rPr>
          <m:t>=</m:t>
        </m:r>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β</m:t>
            </m:r>
          </m:e>
          <m:sub>
            <m:r>
              <w:rPr>
                <w:rFonts w:ascii="Cambria Math" w:hAnsi="Cambria Math" w:cstheme="minorHAnsi"/>
                <w:color w:val="FF0000"/>
                <w:shd w:val="clear" w:color="auto" w:fill="FFFFFF"/>
              </w:rPr>
              <m:t>0i</m:t>
            </m:r>
          </m:sub>
        </m:sSub>
        <m:r>
          <w:rPr>
            <w:rFonts w:ascii="Cambria Math" w:hAnsi="Cambria Math" w:cstheme="minorHAnsi"/>
            <w:color w:val="FF0000"/>
            <w:shd w:val="clear" w:color="auto" w:fill="FFFFFF"/>
          </w:rPr>
          <m:t xml:space="preserve">+ </m:t>
        </m:r>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β</m:t>
            </m:r>
          </m:e>
          <m:sub>
            <m:r>
              <w:rPr>
                <w:rFonts w:ascii="Cambria Math" w:hAnsi="Cambria Math" w:cstheme="minorHAnsi"/>
                <w:color w:val="FF0000"/>
                <w:shd w:val="clear" w:color="auto" w:fill="FFFFFF"/>
              </w:rPr>
              <m:t>1</m:t>
            </m:r>
          </m:sub>
        </m:sSub>
        <m:r>
          <w:rPr>
            <w:rFonts w:ascii="Cambria Math" w:hAnsi="Cambria Math" w:cstheme="minorHAnsi"/>
            <w:color w:val="FF0000"/>
            <w:shd w:val="clear" w:color="auto" w:fill="FFFFFF"/>
          </w:rPr>
          <m:t xml:space="preserve">. time+ </m:t>
        </m:r>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β</m:t>
            </m:r>
          </m:e>
          <m:sub>
            <m:r>
              <w:rPr>
                <w:rFonts w:ascii="Cambria Math" w:hAnsi="Cambria Math" w:cstheme="minorHAnsi"/>
                <w:color w:val="FF0000"/>
                <w:shd w:val="clear" w:color="auto" w:fill="FFFFFF"/>
              </w:rPr>
              <m:t xml:space="preserve">2 </m:t>
            </m:r>
          </m:sub>
        </m:sSub>
        <m:r>
          <w:rPr>
            <w:rFonts w:ascii="Cambria Math" w:hAnsi="Cambria Math" w:cstheme="minorHAnsi"/>
            <w:color w:val="FF0000"/>
            <w:shd w:val="clear" w:color="auto" w:fill="FFFFFF"/>
          </w:rPr>
          <m:t xml:space="preserve">. condition+ </m:t>
        </m:r>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β</m:t>
            </m:r>
          </m:e>
          <m:sub>
            <m:r>
              <w:rPr>
                <w:rFonts w:ascii="Cambria Math" w:hAnsi="Cambria Math" w:cstheme="minorHAnsi"/>
                <w:color w:val="FF0000"/>
                <w:shd w:val="clear" w:color="auto" w:fill="FFFFFF"/>
              </w:rPr>
              <m:t>3</m:t>
            </m:r>
          </m:sub>
        </m:sSub>
        <m:r>
          <w:rPr>
            <w:rFonts w:ascii="Cambria Math" w:hAnsi="Cambria Math" w:cstheme="minorHAnsi"/>
            <w:color w:val="FF0000"/>
            <w:shd w:val="clear" w:color="auto" w:fill="FFFFFF"/>
          </w:rPr>
          <m:t xml:space="preserve">. </m:t>
        </m:r>
        <m:d>
          <m:dPr>
            <m:ctrlPr>
              <w:rPr>
                <w:rFonts w:ascii="Cambria Math" w:hAnsi="Cambria Math" w:cstheme="minorHAnsi"/>
                <w:i/>
                <w:color w:val="FF0000"/>
                <w:shd w:val="clear" w:color="auto" w:fill="FFFFFF"/>
              </w:rPr>
            </m:ctrlPr>
          </m:dPr>
          <m:e>
            <m:r>
              <w:rPr>
                <w:rFonts w:ascii="Cambria Math" w:hAnsi="Cambria Math" w:cstheme="minorHAnsi"/>
                <w:color w:val="FF0000"/>
                <w:shd w:val="clear" w:color="auto" w:fill="FFFFFF"/>
              </w:rPr>
              <m:t xml:space="preserve"> time ×condition</m:t>
            </m:r>
          </m:e>
        </m:d>
        <m:r>
          <w:rPr>
            <w:rFonts w:ascii="Cambria Math" w:hAnsi="Cambria Math" w:cstheme="minorHAnsi"/>
            <w:color w:val="FF0000"/>
            <w:shd w:val="clear" w:color="auto" w:fill="FFFFFF"/>
          </w:rPr>
          <m:t xml:space="preserve">+ </m:t>
        </m:r>
        <m:sSub>
          <m:sSubPr>
            <m:ctrlPr>
              <w:rPr>
                <w:rFonts w:ascii="Cambria Math" w:hAnsi="Cambria Math" w:cstheme="minorHAnsi"/>
                <w:i/>
                <w:color w:val="FF0000"/>
                <w:shd w:val="clear" w:color="auto" w:fill="FFFFFF"/>
                <w:lang w:val="nl-NL"/>
              </w:rPr>
            </m:ctrlPr>
          </m:sSubPr>
          <m:e>
            <m:r>
              <w:rPr>
                <w:rFonts w:ascii="Cambria Math" w:hAnsi="Cambria Math" w:cstheme="minorHAnsi"/>
                <w:color w:val="FF0000"/>
                <w:shd w:val="clear" w:color="auto" w:fill="FFFFFF"/>
                <w:lang w:val="nl-NL"/>
              </w:rPr>
              <m:t>ε</m:t>
            </m:r>
          </m:e>
          <m:sub>
            <m:r>
              <w:rPr>
                <w:rFonts w:ascii="Cambria Math" w:hAnsi="Cambria Math" w:cstheme="minorHAnsi"/>
                <w:color w:val="FF0000"/>
                <w:shd w:val="clear" w:color="auto" w:fill="FFFFFF"/>
                <w:lang w:val="nl-NL"/>
              </w:rPr>
              <m:t>it</m:t>
            </m:r>
          </m:sub>
        </m:sSub>
      </m:oMath>
      <w:r w:rsidR="00E258A6" w:rsidRPr="00E258A6">
        <w:rPr>
          <w:rFonts w:eastAsiaTheme="minorEastAsia" w:cstheme="minorHAnsi"/>
          <w:i/>
          <w:color w:val="FF0000"/>
          <w:shd w:val="clear" w:color="auto" w:fill="FFFFFF"/>
        </w:rPr>
        <w:t xml:space="preserve"> </w:t>
      </w:r>
      <w:r w:rsidR="00E258A6">
        <w:rPr>
          <w:rFonts w:eastAsiaTheme="minorEastAsia" w:cstheme="minorHAnsi"/>
          <w:i/>
          <w:color w:val="FF0000"/>
          <w:shd w:val="clear" w:color="auto" w:fill="FFFFFF"/>
        </w:rPr>
        <w:t xml:space="preserve">    </w:t>
      </w:r>
      <w:r w:rsidR="00C859EF">
        <w:rPr>
          <w:rFonts w:eastAsiaTheme="minorEastAsia" w:cstheme="minorHAnsi"/>
          <w:i/>
          <w:color w:val="FF0000"/>
          <w:shd w:val="clear" w:color="auto" w:fill="FFFFFF"/>
        </w:rPr>
        <w:tab/>
      </w:r>
      <w:r w:rsidR="00C859EF">
        <w:rPr>
          <w:rFonts w:eastAsiaTheme="minorEastAsia" w:cstheme="minorHAnsi"/>
          <w:i/>
          <w:color w:val="FF0000"/>
          <w:shd w:val="clear" w:color="auto" w:fill="FFFFFF"/>
        </w:rPr>
        <w:tab/>
      </w:r>
      <w:r w:rsidR="00E258A6" w:rsidRPr="00C859EF">
        <w:rPr>
          <w:rFonts w:eastAsiaTheme="minorEastAsia" w:cstheme="minorHAnsi"/>
          <w:iCs/>
          <w:color w:val="FF0000"/>
          <w:shd w:val="clear" w:color="auto" w:fill="FFFFFF"/>
        </w:rPr>
        <w:t>(1)</w:t>
      </w:r>
    </w:p>
    <w:p w14:paraId="0C5DBC74" w14:textId="77777777" w:rsidR="00B17E76" w:rsidRDefault="00B17E76" w:rsidP="00AA71DB">
      <w:pPr>
        <w:ind w:firstLine="720"/>
        <w:rPr>
          <w:rFonts w:eastAsiaTheme="minorEastAsia" w:cstheme="minorHAnsi"/>
          <w:i/>
          <w:color w:val="FF0000"/>
          <w:shd w:val="clear" w:color="auto" w:fill="FFFFFF"/>
        </w:rPr>
      </w:pPr>
    </w:p>
    <w:p w14:paraId="59EF146F" w14:textId="4B1D1FCB" w:rsidR="00B17E76" w:rsidRPr="00791219" w:rsidRDefault="00B17E76" w:rsidP="00AA71DB">
      <w:pPr>
        <w:ind w:firstLine="720"/>
        <w:rPr>
          <w:rFonts w:eastAsiaTheme="minorEastAsia" w:cstheme="minorHAnsi"/>
          <w:iCs/>
          <w:color w:val="FF0000"/>
          <w:shd w:val="clear" w:color="auto" w:fill="FFFFFF"/>
        </w:rPr>
      </w:pPr>
      <w:r w:rsidRPr="00791219">
        <w:rPr>
          <w:rFonts w:eastAsiaTheme="minorEastAsia" w:cstheme="minorHAnsi"/>
          <w:iCs/>
          <w:color w:val="FF0000"/>
          <w:shd w:val="clear" w:color="auto" w:fill="FFFFFF"/>
        </w:rPr>
        <w:t>Level 2</w:t>
      </w:r>
    </w:p>
    <w:p w14:paraId="519E0EAE" w14:textId="79324166" w:rsidR="00AA71DB" w:rsidRPr="00893A92" w:rsidRDefault="00C859EF" w:rsidP="00767992">
      <w:pPr>
        <w:ind w:firstLine="720"/>
        <w:rPr>
          <w:rFonts w:eastAsiaTheme="minorEastAsia" w:cstheme="minorHAnsi"/>
          <w:i/>
          <w:color w:val="FF0000"/>
          <w:shd w:val="clear" w:color="auto" w:fill="FFFFFF"/>
        </w:rPr>
      </w:pPr>
      <m:oMath>
        <m:r>
          <w:rPr>
            <w:rFonts w:ascii="Cambria Math" w:eastAsiaTheme="minorEastAsia" w:hAnsi="Cambria Math" w:cstheme="minorHAnsi"/>
            <w:color w:val="FF0000"/>
            <w:shd w:val="clear" w:color="auto" w:fill="FFFFFF"/>
          </w:rPr>
          <m:t xml:space="preserve"> </m:t>
        </m:r>
        <m:sSub>
          <m:sSubPr>
            <m:ctrlPr>
              <w:rPr>
                <w:rFonts w:ascii="Cambria Math" w:eastAsiaTheme="minorEastAsia" w:hAnsi="Cambria Math" w:cstheme="minorHAnsi"/>
                <w:i/>
                <w:color w:val="FF0000"/>
                <w:shd w:val="clear" w:color="auto" w:fill="FFFFFF"/>
              </w:rPr>
            </m:ctrlPr>
          </m:sSubPr>
          <m:e>
            <m:r>
              <m:rPr>
                <m:sty m:val="p"/>
              </m:rPr>
              <w:rPr>
                <w:rFonts w:ascii="Cambria Math" w:eastAsiaTheme="minorEastAsia" w:hAnsi="Cambria Math" w:cstheme="minorHAnsi"/>
                <w:color w:val="FF0000"/>
                <w:shd w:val="clear" w:color="auto" w:fill="FFFFFF"/>
              </w:rPr>
              <m:t>β</m:t>
            </m:r>
            <m:ctrlPr>
              <w:rPr>
                <w:rFonts w:ascii="Cambria Math" w:eastAsiaTheme="minorEastAsia" w:hAnsi="Cambria Math" w:cstheme="minorHAnsi"/>
                <w:color w:val="FF0000"/>
                <w:shd w:val="clear" w:color="auto" w:fill="FFFFFF"/>
              </w:rPr>
            </m:ctrlPr>
          </m:e>
          <m:sub>
            <m:r>
              <w:rPr>
                <w:rFonts w:ascii="Cambria Math" w:eastAsiaTheme="minorEastAsia" w:hAnsi="Cambria Math" w:cstheme="minorHAnsi"/>
                <w:color w:val="FF0000"/>
                <w:shd w:val="clear" w:color="auto" w:fill="FFFFFF"/>
              </w:rPr>
              <m:t>0i</m:t>
            </m:r>
          </m:sub>
        </m:sSub>
        <m:r>
          <w:rPr>
            <w:rFonts w:ascii="Cambria Math" w:eastAsiaTheme="minorEastAsia" w:hAnsi="Cambria Math" w:cstheme="minorHAnsi"/>
            <w:color w:val="FF0000"/>
            <w:shd w:val="clear" w:color="auto" w:fill="FFFFFF"/>
          </w:rPr>
          <m:t>=</m:t>
        </m:r>
        <m:sSub>
          <m:sSubPr>
            <m:ctrlPr>
              <w:rPr>
                <w:rFonts w:ascii="Cambria Math" w:eastAsiaTheme="minorEastAsia" w:hAnsi="Cambria Math" w:cstheme="minorHAnsi"/>
                <w:i/>
                <w:color w:val="FF0000"/>
                <w:shd w:val="clear" w:color="auto" w:fill="FFFFFF"/>
              </w:rPr>
            </m:ctrlPr>
          </m:sSubPr>
          <m:e>
            <m:r>
              <m:rPr>
                <m:sty m:val="p"/>
              </m:rPr>
              <w:rPr>
                <w:rFonts w:ascii="Cambria Math" w:eastAsiaTheme="minorEastAsia" w:hAnsi="Cambria Math" w:cstheme="minorHAnsi"/>
                <w:color w:val="FF0000"/>
                <w:shd w:val="clear" w:color="auto" w:fill="FFFFFF"/>
              </w:rPr>
              <m:t>β</m:t>
            </m:r>
          </m:e>
          <m:sub>
            <m:r>
              <w:rPr>
                <w:rFonts w:ascii="Cambria Math" w:eastAsiaTheme="minorEastAsia" w:hAnsi="Cambria Math" w:cstheme="minorHAnsi"/>
                <w:color w:val="FF0000"/>
                <w:shd w:val="clear" w:color="auto" w:fill="FFFFFF"/>
              </w:rPr>
              <m:t>0</m:t>
            </m:r>
          </m:sub>
        </m:sSub>
        <m:r>
          <w:rPr>
            <w:rFonts w:ascii="Cambria Math" w:eastAsiaTheme="minorEastAsia" w:hAnsi="Cambria Math" w:cstheme="minorHAnsi"/>
            <w:color w:val="FF0000"/>
            <w:shd w:val="clear" w:color="auto" w:fill="FFFFFF"/>
          </w:rPr>
          <m:t>+</m:t>
        </m:r>
        <m:sSub>
          <m:sSubPr>
            <m:ctrlPr>
              <w:rPr>
                <w:rFonts w:ascii="Cambria Math" w:eastAsiaTheme="minorEastAsia" w:hAnsi="Cambria Math" w:cstheme="minorHAnsi"/>
                <w:i/>
                <w:color w:val="FF0000"/>
                <w:shd w:val="clear" w:color="auto" w:fill="FFFFFF"/>
              </w:rPr>
            </m:ctrlPr>
          </m:sSubPr>
          <m:e>
            <m:r>
              <m:rPr>
                <m:sty m:val="p"/>
              </m:rPr>
              <w:rPr>
                <w:rFonts w:ascii="Cambria Math" w:eastAsiaTheme="minorEastAsia" w:hAnsi="Cambria Math" w:cstheme="minorHAnsi"/>
                <w:color w:val="FF0000"/>
                <w:shd w:val="clear" w:color="auto" w:fill="FFFFFF"/>
              </w:rPr>
              <m:t>υ</m:t>
            </m:r>
          </m:e>
          <m:sub>
            <m:r>
              <w:rPr>
                <w:rFonts w:ascii="Cambria Math" w:eastAsiaTheme="minorEastAsia" w:hAnsi="Cambria Math" w:cstheme="minorHAnsi"/>
                <w:color w:val="FF0000"/>
                <w:shd w:val="clear" w:color="auto" w:fill="FFFFFF"/>
              </w:rPr>
              <m:t>i</m:t>
            </m:r>
          </m:sub>
        </m:sSub>
      </m:oMath>
      <w:r w:rsidR="002A00D7" w:rsidRPr="002A00D7">
        <w:rPr>
          <w:rFonts w:eastAsiaTheme="minorEastAsia" w:cstheme="minorHAnsi"/>
          <w:iCs/>
          <w:color w:val="FF0000"/>
          <w:shd w:val="clear" w:color="auto" w:fill="FFFFFF"/>
        </w:rPr>
        <w:tab/>
      </w:r>
      <w:r w:rsidR="00E258A6">
        <w:rPr>
          <w:rFonts w:eastAsiaTheme="minorEastAsia" w:cstheme="minorHAnsi"/>
          <w:iCs/>
          <w:color w:val="FF0000"/>
          <w:shd w:val="clear" w:color="auto" w:fill="FFFFFF"/>
        </w:rPr>
        <w:t xml:space="preserve">                                                              </w:t>
      </w:r>
      <w:r>
        <w:rPr>
          <w:rFonts w:eastAsiaTheme="minorEastAsia" w:cstheme="minorHAnsi"/>
          <w:iCs/>
          <w:color w:val="FF0000"/>
          <w:shd w:val="clear" w:color="auto" w:fill="FFFFFF"/>
        </w:rPr>
        <w:tab/>
        <w:t xml:space="preserve">        </w:t>
      </w:r>
      <w:r>
        <w:rPr>
          <w:rFonts w:eastAsiaTheme="minorEastAsia" w:cstheme="minorHAnsi"/>
          <w:iCs/>
          <w:color w:val="FF0000"/>
          <w:shd w:val="clear" w:color="auto" w:fill="FFFFFF"/>
        </w:rPr>
        <w:tab/>
      </w:r>
      <w:r>
        <w:rPr>
          <w:rFonts w:eastAsiaTheme="minorEastAsia" w:cstheme="minorHAnsi"/>
          <w:iCs/>
          <w:color w:val="FF0000"/>
          <w:shd w:val="clear" w:color="auto" w:fill="FFFFFF"/>
        </w:rPr>
        <w:tab/>
        <w:t xml:space="preserve"> </w:t>
      </w:r>
      <w:r w:rsidR="00767992">
        <w:rPr>
          <w:rFonts w:eastAsiaTheme="minorEastAsia" w:cstheme="minorHAnsi"/>
          <w:iCs/>
          <w:color w:val="FF0000"/>
          <w:shd w:val="clear" w:color="auto" w:fill="FFFFFF"/>
        </w:rPr>
        <w:tab/>
      </w:r>
      <w:r w:rsidR="00767992">
        <w:rPr>
          <w:rFonts w:eastAsiaTheme="minorEastAsia" w:cstheme="minorHAnsi"/>
          <w:iCs/>
          <w:color w:val="FF0000"/>
          <w:shd w:val="clear" w:color="auto" w:fill="FFFFFF"/>
        </w:rPr>
        <w:tab/>
      </w:r>
      <w:r w:rsidR="00E258A6">
        <w:rPr>
          <w:rFonts w:eastAsiaTheme="minorEastAsia" w:cstheme="minorHAnsi"/>
          <w:iCs/>
          <w:color w:val="FF0000"/>
          <w:shd w:val="clear" w:color="auto" w:fill="FFFFFF"/>
        </w:rPr>
        <w:t xml:space="preserve">(2) </w:t>
      </w:r>
    </w:p>
    <w:p w14:paraId="7A2874DA" w14:textId="401FA0D1" w:rsidR="00AA71DB" w:rsidRPr="00F96BD9" w:rsidRDefault="00AA71DB" w:rsidP="00DF764E">
      <w:pPr>
        <w:spacing w:after="0" w:line="480" w:lineRule="auto"/>
        <w:ind w:firstLine="720"/>
        <w:rPr>
          <w:rFonts w:cstheme="minorHAnsi"/>
          <w:color w:val="FF0000"/>
        </w:rPr>
      </w:pPr>
      <w:r w:rsidRPr="00A65811">
        <w:rPr>
          <w:rFonts w:cstheme="minorHAnsi"/>
          <w:color w:val="FF0000"/>
        </w:rPr>
        <w:lastRenderedPageBreak/>
        <w:t>The model can be interpreted as an ordinary linear regression model with one difference, the addition of a random intercept</w:t>
      </w:r>
      <w:r w:rsidR="00F96BD9">
        <w:rPr>
          <w:rFonts w:cstheme="minorHAnsi"/>
          <w:color w:val="FF0000"/>
        </w:rPr>
        <w:t xml:space="preserve"> (</w:t>
      </w:r>
      <m:oMath>
        <m:sSub>
          <m:sSubPr>
            <m:ctrlPr>
              <w:rPr>
                <w:rFonts w:ascii="Cambria Math" w:eastAsiaTheme="minorEastAsia" w:hAnsi="Cambria Math" w:cstheme="minorHAnsi"/>
                <w:i/>
                <w:color w:val="FF0000"/>
                <w:shd w:val="clear" w:color="auto" w:fill="FFFFFF"/>
              </w:rPr>
            </m:ctrlPr>
          </m:sSubPr>
          <m:e>
            <m:r>
              <w:rPr>
                <w:rFonts w:ascii="Cambria Math" w:eastAsiaTheme="minorEastAsia" w:hAnsi="Cambria Math" w:cstheme="minorHAnsi"/>
                <w:color w:val="FF0000"/>
                <w:shd w:val="clear" w:color="auto" w:fill="FFFFFF"/>
              </w:rPr>
              <m:t>β</m:t>
            </m:r>
            <m:ctrlPr>
              <w:rPr>
                <w:rFonts w:ascii="Cambria Math" w:eastAsiaTheme="minorEastAsia" w:hAnsi="Cambria Math" w:cstheme="minorHAnsi"/>
                <w:color w:val="FF0000"/>
                <w:shd w:val="clear" w:color="auto" w:fill="FFFFFF"/>
              </w:rPr>
            </m:ctrlPr>
          </m:e>
          <m:sub>
            <m:r>
              <w:rPr>
                <w:rFonts w:ascii="Cambria Math" w:eastAsiaTheme="minorEastAsia" w:hAnsi="Cambria Math" w:cstheme="minorHAnsi"/>
                <w:color w:val="FF0000"/>
                <w:shd w:val="clear" w:color="auto" w:fill="FFFFFF"/>
              </w:rPr>
              <m:t>0i</m:t>
            </m:r>
          </m:sub>
        </m:sSub>
        <m:r>
          <w:rPr>
            <w:rFonts w:ascii="Cambria Math" w:eastAsiaTheme="minorEastAsia" w:hAnsi="Cambria Math" w:cstheme="minorHAnsi"/>
            <w:color w:val="FF0000"/>
            <w:shd w:val="clear" w:color="auto" w:fill="FFFFFF"/>
          </w:rPr>
          <m:t>)</m:t>
        </m:r>
      </m:oMath>
      <w:r w:rsidRPr="00A65811">
        <w:rPr>
          <w:rFonts w:cstheme="minorHAnsi"/>
          <w:color w:val="FF0000"/>
        </w:rPr>
        <w:t>. The outcome variable (</w:t>
      </w:r>
      <m:oMath>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Y</m:t>
            </m:r>
          </m:e>
          <m:sub>
            <m:r>
              <w:rPr>
                <w:rFonts w:ascii="Cambria Math" w:hAnsi="Cambria Math" w:cstheme="minorHAnsi"/>
                <w:color w:val="FF0000"/>
                <w:shd w:val="clear" w:color="auto" w:fill="FFFFFF"/>
              </w:rPr>
              <m:t>it</m:t>
            </m:r>
          </m:sub>
        </m:sSub>
      </m:oMath>
      <w:r w:rsidRPr="00A65811">
        <w:rPr>
          <w:rFonts w:cstheme="minorHAnsi"/>
          <w:color w:val="FF0000"/>
        </w:rPr>
        <w:t>) represents mechanical sensitivity measured across all subjects</w:t>
      </w:r>
      <w:r w:rsidR="00893A92">
        <w:rPr>
          <w:rFonts w:cstheme="minorHAnsi"/>
          <w:color w:val="FF0000"/>
        </w:rPr>
        <w:t xml:space="preserve"> (</w:t>
      </w:r>
      <m:oMath>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Y</m:t>
            </m:r>
          </m:e>
          <m:sub>
            <m:r>
              <w:rPr>
                <w:rFonts w:ascii="Cambria Math" w:hAnsi="Cambria Math" w:cstheme="minorHAnsi"/>
                <w:color w:val="FF0000"/>
                <w:shd w:val="clear" w:color="auto" w:fill="FFFFFF"/>
              </w:rPr>
              <m:t>i</m:t>
            </m:r>
          </m:sub>
        </m:sSub>
      </m:oMath>
      <w:r w:rsidR="00893A92">
        <w:rPr>
          <w:rFonts w:eastAsiaTheme="minorEastAsia" w:cstheme="minorHAnsi"/>
          <w:color w:val="FF0000"/>
          <w:shd w:val="clear" w:color="auto" w:fill="FFFFFF"/>
        </w:rPr>
        <w:t xml:space="preserve">) </w:t>
      </w:r>
      <w:r w:rsidRPr="00A65811">
        <w:rPr>
          <w:rFonts w:cstheme="minorHAnsi"/>
          <w:color w:val="FF0000"/>
        </w:rPr>
        <w:t>and occasions</w:t>
      </w:r>
      <w:r w:rsidR="00893A92">
        <w:rPr>
          <w:rFonts w:cstheme="minorHAnsi"/>
          <w:color w:val="FF0000"/>
        </w:rPr>
        <w:t xml:space="preserve"> </w:t>
      </w:r>
      <m:oMath>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(Y</m:t>
            </m:r>
          </m:e>
          <m:sub>
            <m:r>
              <w:rPr>
                <w:rFonts w:ascii="Cambria Math" w:hAnsi="Cambria Math" w:cstheme="minorHAnsi"/>
                <w:color w:val="FF0000"/>
                <w:shd w:val="clear" w:color="auto" w:fill="FFFFFF"/>
              </w:rPr>
              <m:t>t</m:t>
            </m:r>
          </m:sub>
        </m:sSub>
        <m:r>
          <w:rPr>
            <w:rFonts w:ascii="Cambria Math" w:hAnsi="Cambria Math" w:cstheme="minorHAnsi"/>
            <w:color w:val="FF0000"/>
            <w:shd w:val="clear" w:color="auto" w:fill="FFFFFF"/>
          </w:rPr>
          <m:t>).</m:t>
        </m:r>
      </m:oMath>
      <w:r w:rsidR="00893A92">
        <w:rPr>
          <w:rFonts w:eastAsiaTheme="minorEastAsia" w:cstheme="minorHAnsi"/>
          <w:color w:val="FF0000"/>
          <w:shd w:val="clear" w:color="auto" w:fill="FFFFFF"/>
        </w:rPr>
        <w:t xml:space="preserve"> </w:t>
      </w:r>
      <w:r w:rsidRPr="00A65811">
        <w:rPr>
          <w:rFonts w:cstheme="minorHAnsi"/>
          <w:color w:val="FF0000"/>
        </w:rPr>
        <w:t>The outcome is model</w:t>
      </w:r>
      <w:r w:rsidR="004A1E89">
        <w:rPr>
          <w:rFonts w:cstheme="minorHAnsi"/>
          <w:color w:val="FF0000"/>
        </w:rPr>
        <w:t>l</w:t>
      </w:r>
      <w:r w:rsidRPr="00A65811">
        <w:rPr>
          <w:rFonts w:cstheme="minorHAnsi"/>
          <w:color w:val="FF0000"/>
        </w:rPr>
        <w:t>ed as a function of three independent variables and an interaction term between two of the independent variables (see</w:t>
      </w:r>
      <w:r w:rsidR="000470C1">
        <w:rPr>
          <w:rFonts w:cstheme="minorHAnsi"/>
          <w:color w:val="FF0000"/>
        </w:rPr>
        <w:t xml:space="preserve"> </w:t>
      </w:r>
      <w:r w:rsidR="00730B98">
        <w:rPr>
          <w:rFonts w:cstheme="minorHAnsi"/>
          <w:color w:val="FF0000"/>
        </w:rPr>
        <w:t>(</w:t>
      </w:r>
      <w:r w:rsidRPr="00A65811">
        <w:rPr>
          <w:rFonts w:cstheme="minorHAnsi"/>
          <w:color w:val="FF0000"/>
        </w:rPr>
        <w:t>1</w:t>
      </w:r>
      <w:r w:rsidR="00730B98">
        <w:rPr>
          <w:rFonts w:cstheme="minorHAnsi"/>
          <w:color w:val="FF0000"/>
        </w:rPr>
        <w:t>)</w:t>
      </w:r>
      <w:r w:rsidRPr="00A65811">
        <w:rPr>
          <w:rFonts w:cstheme="minorHAnsi"/>
          <w:color w:val="FF0000"/>
        </w:rPr>
        <w:t xml:space="preserve">). The first independent variable is the intercept </w:t>
      </w:r>
      <m:oMath>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β</m:t>
            </m:r>
          </m:e>
          <m:sub>
            <m:r>
              <w:rPr>
                <w:rFonts w:ascii="Cambria Math" w:hAnsi="Cambria Math" w:cstheme="minorHAnsi"/>
                <w:color w:val="FF0000"/>
                <w:shd w:val="clear" w:color="auto" w:fill="FFFFFF"/>
              </w:rPr>
              <m:t>0i</m:t>
            </m:r>
          </m:sub>
        </m:sSub>
      </m:oMath>
      <w:r w:rsidRPr="00A65811">
        <w:rPr>
          <w:rFonts w:cstheme="minorHAnsi"/>
          <w:color w:val="FF0000"/>
        </w:rPr>
        <w:t>, which can be interpreted as the average mechanical sensitivity across all subjects and occasions in our sample. By using a multilevel framework,</w:t>
      </w:r>
      <w:r w:rsidR="00E258A6">
        <w:rPr>
          <w:rFonts w:cstheme="minorHAnsi"/>
          <w:color w:val="FF0000"/>
        </w:rPr>
        <w:t xml:space="preserve">( see (2)), </w:t>
      </w:r>
      <w:r w:rsidRPr="00A65811">
        <w:rPr>
          <w:rFonts w:cstheme="minorHAnsi"/>
          <w:color w:val="FF0000"/>
        </w:rPr>
        <w:t xml:space="preserve"> we were able to estimate the extent to which each individual subject</w:t>
      </w:r>
      <w:r w:rsidR="00C13279">
        <w:rPr>
          <w:rFonts w:cstheme="minorHAnsi"/>
          <w:color w:val="FF0000"/>
        </w:rPr>
        <w:t xml:space="preserve"> </w:t>
      </w:r>
      <w:r w:rsidRPr="00A65811">
        <w:rPr>
          <w:rFonts w:cstheme="minorHAnsi"/>
          <w:color w:val="FF0000"/>
        </w:rPr>
        <w:t>deviate</w:t>
      </w:r>
      <w:r w:rsidR="00C13279">
        <w:rPr>
          <w:rFonts w:cstheme="minorHAnsi"/>
          <w:color w:val="FF0000"/>
        </w:rPr>
        <w:t>s</w:t>
      </w:r>
      <w:r w:rsidRPr="00A65811">
        <w:rPr>
          <w:rFonts w:cstheme="minorHAnsi"/>
          <w:color w:val="FF0000"/>
        </w:rPr>
        <w:t xml:space="preserve"> from this overall mean of mechanical sensitivity. The second independent variable is </w:t>
      </w:r>
      <m:oMath>
        <m:r>
          <w:rPr>
            <w:rFonts w:ascii="Cambria Math" w:hAnsi="Cambria Math" w:cstheme="minorHAnsi"/>
            <w:color w:val="FF0000"/>
          </w:rPr>
          <m:t>time</m:t>
        </m:r>
      </m:oMath>
      <w:r w:rsidR="00004AD9">
        <w:rPr>
          <w:rFonts w:cstheme="minorHAnsi"/>
          <w:color w:val="FF0000"/>
        </w:rPr>
        <w:t xml:space="preserve"> </w:t>
      </w:r>
      <w:r w:rsidR="00A36169">
        <w:rPr>
          <w:rFonts w:cstheme="minorHAnsi"/>
          <w:color w:val="FF0000"/>
        </w:rPr>
        <w:t>(</w:t>
      </w:r>
      <m:oMath>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β</m:t>
            </m:r>
          </m:e>
          <m:sub>
            <m:r>
              <w:rPr>
                <w:rFonts w:ascii="Cambria Math" w:hAnsi="Cambria Math" w:cstheme="minorHAnsi"/>
                <w:color w:val="FF0000"/>
                <w:shd w:val="clear" w:color="auto" w:fill="FFFFFF"/>
              </w:rPr>
              <m:t>1</m:t>
            </m:r>
          </m:sub>
        </m:sSub>
      </m:oMath>
      <w:r w:rsidR="00004AD9">
        <w:rPr>
          <w:rFonts w:cstheme="minorHAnsi"/>
          <w:color w:val="FF0000"/>
        </w:rPr>
        <w:t>)</w:t>
      </w:r>
      <w:r w:rsidR="00786FF5">
        <w:rPr>
          <w:rFonts w:cstheme="minorHAnsi"/>
          <w:color w:val="FF0000"/>
        </w:rPr>
        <w:t xml:space="preserve"> that</w:t>
      </w:r>
      <w:r w:rsidRPr="00A65811">
        <w:rPr>
          <w:rFonts w:cstheme="minorHAnsi"/>
          <w:color w:val="FF0000"/>
        </w:rPr>
        <w:t xml:space="preserve"> includes two occasions T0 and T1 (or T2)</w:t>
      </w:r>
      <w:r w:rsidR="00786FF5">
        <w:rPr>
          <w:rFonts w:cstheme="minorHAnsi"/>
          <w:color w:val="FF0000"/>
        </w:rPr>
        <w:t>,</w:t>
      </w:r>
      <w:r w:rsidR="00DC1CC8">
        <w:rPr>
          <w:rFonts w:cstheme="minorHAnsi"/>
          <w:color w:val="FF0000"/>
        </w:rPr>
        <w:t xml:space="preserve"> </w:t>
      </w:r>
      <w:r w:rsidRPr="00A65811">
        <w:rPr>
          <w:rFonts w:cstheme="minorHAnsi"/>
          <w:color w:val="FF0000"/>
        </w:rPr>
        <w:t>coded as -0.5 and 0.5 respectively. This coding enabled us to interpret the intercept (</w:t>
      </w:r>
      <m:oMath>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β</m:t>
            </m:r>
          </m:e>
          <m:sub>
            <m:r>
              <w:rPr>
                <w:rFonts w:ascii="Cambria Math" w:hAnsi="Cambria Math" w:cstheme="minorHAnsi"/>
                <w:color w:val="FF0000"/>
                <w:shd w:val="clear" w:color="auto" w:fill="FFFFFF"/>
              </w:rPr>
              <m:t>0i</m:t>
            </m:r>
          </m:sub>
        </m:sSub>
      </m:oMath>
      <w:r w:rsidRPr="00A65811">
        <w:rPr>
          <w:rFonts w:cstheme="minorHAnsi"/>
          <w:color w:val="FF0000"/>
        </w:rPr>
        <w:t xml:space="preserve">) as the sample mean of mechanical sensitivity and the coefficient of change over </w:t>
      </w:r>
      <m:oMath>
        <m:r>
          <w:rPr>
            <w:rFonts w:ascii="Cambria Math" w:hAnsi="Cambria Math" w:cstheme="minorHAnsi"/>
            <w:color w:val="FF0000"/>
          </w:rPr>
          <m:t>time</m:t>
        </m:r>
      </m:oMath>
      <w:r w:rsidRPr="00A65811">
        <w:rPr>
          <w:rFonts w:cstheme="minorHAnsi"/>
          <w:color w:val="FF0000"/>
        </w:rPr>
        <w:t xml:space="preserve"> (</w:t>
      </w:r>
      <m:oMath>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β</m:t>
            </m:r>
          </m:e>
          <m:sub>
            <m:r>
              <w:rPr>
                <w:rFonts w:ascii="Cambria Math" w:hAnsi="Cambria Math" w:cstheme="minorHAnsi"/>
                <w:color w:val="FF0000"/>
                <w:shd w:val="clear" w:color="auto" w:fill="FFFFFF"/>
              </w:rPr>
              <m:t>1</m:t>
            </m:r>
          </m:sub>
        </m:sSub>
      </m:oMath>
      <w:r w:rsidRPr="00A65811">
        <w:rPr>
          <w:rFonts w:cstheme="minorHAnsi"/>
          <w:color w:val="FF0000"/>
        </w:rPr>
        <w:t xml:space="preserve">) as the difference between the mean of mechanical sensitivity at T0 and the mean of mechanical sensitivity at T1 (or T2). Similarly, </w:t>
      </w:r>
      <m:oMath>
        <m:r>
          <w:rPr>
            <w:rFonts w:ascii="Cambria Math" w:hAnsi="Cambria Math" w:cstheme="minorHAnsi"/>
            <w:color w:val="FF0000"/>
          </w:rPr>
          <m:t>condition</m:t>
        </m:r>
      </m:oMath>
      <w:r w:rsidRPr="00A65811">
        <w:rPr>
          <w:rFonts w:cstheme="minorHAnsi"/>
          <w:color w:val="FF0000"/>
        </w:rPr>
        <w:t xml:space="preserve"> is also coded as -0.5 and 0.5 to denote the control and experimental conditions, respectively. </w:t>
      </w:r>
      <w:r w:rsidR="002E6866">
        <w:rPr>
          <w:rFonts w:cstheme="minorHAnsi"/>
          <w:color w:val="FF0000"/>
        </w:rPr>
        <w:t>Th</w:t>
      </w:r>
      <w:r w:rsidR="008C24D7">
        <w:rPr>
          <w:rFonts w:cstheme="minorHAnsi"/>
          <w:color w:val="FF0000"/>
        </w:rPr>
        <w:t>is</w:t>
      </w:r>
      <w:r w:rsidR="002E6866">
        <w:rPr>
          <w:rFonts w:cstheme="minorHAnsi"/>
          <w:color w:val="FF0000"/>
        </w:rPr>
        <w:t xml:space="preserve"> variable is coded in this way </w:t>
      </w:r>
      <w:r w:rsidRPr="00A65811">
        <w:rPr>
          <w:rFonts w:cstheme="minorHAnsi"/>
          <w:color w:val="FF0000"/>
        </w:rPr>
        <w:t>to be able to interpret the effect of condition (</w:t>
      </w:r>
      <m:oMath>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β</m:t>
            </m:r>
          </m:e>
          <m:sub>
            <m:r>
              <w:rPr>
                <w:rFonts w:ascii="Cambria Math" w:hAnsi="Cambria Math" w:cstheme="minorHAnsi"/>
                <w:color w:val="FF0000"/>
                <w:shd w:val="clear" w:color="auto" w:fill="FFFFFF"/>
              </w:rPr>
              <m:t>2</m:t>
            </m:r>
          </m:sub>
        </m:sSub>
      </m:oMath>
      <w:r w:rsidRPr="00A65811">
        <w:rPr>
          <w:rFonts w:cstheme="minorHAnsi"/>
          <w:color w:val="FF0000"/>
        </w:rPr>
        <w:t>) as the difference between the mean mechanical sensitivity in the control group</w:t>
      </w:r>
      <w:r w:rsidR="00037DDF">
        <w:rPr>
          <w:rFonts w:cstheme="minorHAnsi"/>
          <w:color w:val="FF0000"/>
        </w:rPr>
        <w:t xml:space="preserve"> (easy-task condition)</w:t>
      </w:r>
      <w:r w:rsidRPr="00A65811">
        <w:rPr>
          <w:rFonts w:cstheme="minorHAnsi"/>
          <w:color w:val="FF0000"/>
        </w:rPr>
        <w:t xml:space="preserve"> and the mean mechanical sensitivity in the experimental group</w:t>
      </w:r>
      <w:r w:rsidR="00037DDF">
        <w:rPr>
          <w:rFonts w:cstheme="minorHAnsi"/>
          <w:color w:val="FF0000"/>
        </w:rPr>
        <w:t xml:space="preserve"> (difficult-task condition)</w:t>
      </w:r>
      <w:r w:rsidRPr="00A65811">
        <w:rPr>
          <w:rFonts w:cstheme="minorHAnsi"/>
          <w:color w:val="FF0000"/>
        </w:rPr>
        <w:t xml:space="preserve">. Finally, we have the interaction between the independent variables of </w:t>
      </w:r>
      <m:oMath>
        <m:r>
          <w:rPr>
            <w:rFonts w:ascii="Cambria Math" w:hAnsi="Cambria Math" w:cstheme="minorHAnsi"/>
            <w:color w:val="FF0000"/>
          </w:rPr>
          <m:t>time</m:t>
        </m:r>
      </m:oMath>
      <w:r w:rsidRPr="00A65811">
        <w:rPr>
          <w:rFonts w:cstheme="minorHAnsi"/>
          <w:color w:val="FF0000"/>
        </w:rPr>
        <w:t xml:space="preserve"> and </w:t>
      </w:r>
      <m:oMath>
        <m:r>
          <w:rPr>
            <w:rFonts w:ascii="Cambria Math" w:hAnsi="Cambria Math" w:cstheme="minorHAnsi"/>
            <w:color w:val="FF0000"/>
          </w:rPr>
          <m:t>condition</m:t>
        </m:r>
      </m:oMath>
      <w:r w:rsidRPr="00A65811">
        <w:rPr>
          <w:rFonts w:cstheme="minorHAnsi"/>
          <w:color w:val="FF0000"/>
        </w:rPr>
        <w:t xml:space="preserve"> ( </w:t>
      </w:r>
      <m:oMath>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β</m:t>
            </m:r>
          </m:e>
          <m:sub>
            <m:r>
              <w:rPr>
                <w:rFonts w:ascii="Cambria Math" w:hAnsi="Cambria Math" w:cstheme="minorHAnsi"/>
                <w:color w:val="FF0000"/>
                <w:shd w:val="clear" w:color="auto" w:fill="FFFFFF"/>
              </w:rPr>
              <m:t xml:space="preserve">3 </m:t>
            </m:r>
          </m:sub>
        </m:sSub>
        <m:r>
          <m:rPr>
            <m:sty m:val="p"/>
          </m:rPr>
          <w:rPr>
            <w:rFonts w:ascii="Cambria Math" w:hAnsi="Cambria Math" w:cstheme="minorHAnsi"/>
            <w:color w:val="FF0000"/>
          </w:rPr>
          <m:t xml:space="preserve">. </m:t>
        </m:r>
        <m:d>
          <m:dPr>
            <m:ctrlPr>
              <w:rPr>
                <w:rFonts w:ascii="Cambria Math" w:hAnsi="Cambria Math" w:cstheme="minorHAnsi"/>
                <w:color w:val="FF0000"/>
              </w:rPr>
            </m:ctrlPr>
          </m:dPr>
          <m:e>
            <m:r>
              <m:rPr>
                <m:sty m:val="p"/>
              </m:rPr>
              <w:rPr>
                <w:rFonts w:ascii="Cambria Math" w:hAnsi="Cambria Math" w:cstheme="minorHAnsi"/>
                <w:color w:val="FF0000"/>
              </w:rPr>
              <m:t xml:space="preserve"> </m:t>
            </m:r>
            <m:r>
              <w:rPr>
                <w:rFonts w:ascii="Cambria Math" w:hAnsi="Cambria Math" w:cstheme="minorHAnsi"/>
                <w:color w:val="FF0000"/>
              </w:rPr>
              <m:t>time</m:t>
            </m:r>
            <m:r>
              <m:rPr>
                <m:sty m:val="p"/>
              </m:rPr>
              <w:rPr>
                <w:rFonts w:ascii="Cambria Math" w:hAnsi="Cambria Math" w:cstheme="minorHAnsi"/>
                <w:color w:val="FF0000"/>
              </w:rPr>
              <m:t xml:space="preserve"> ×</m:t>
            </m:r>
            <m:r>
              <w:rPr>
                <w:rFonts w:ascii="Cambria Math" w:hAnsi="Cambria Math" w:cstheme="minorHAnsi"/>
                <w:color w:val="FF0000"/>
              </w:rPr>
              <m:t>condition</m:t>
            </m:r>
          </m:e>
        </m:d>
      </m:oMath>
      <w:r w:rsidRPr="00A65811">
        <w:rPr>
          <w:rFonts w:cstheme="minorHAnsi"/>
          <w:color w:val="FF0000"/>
        </w:rPr>
        <w:t>). The coefficient from this interaction term reflects the extent to which the difference between the mean mechanical sensitivity at T0 versus the mean of mechanical sensitivity at T1 (or T2) is greater or smaller depending on the Condition subjects are in.</w:t>
      </w:r>
      <w:r w:rsidR="00F93AC2">
        <w:rPr>
          <w:rFonts w:cstheme="minorHAnsi"/>
          <w:color w:val="FF0000"/>
        </w:rPr>
        <w:t xml:space="preserve"> The last term </w:t>
      </w:r>
      <m:oMath>
        <m:sSub>
          <m:sSubPr>
            <m:ctrlPr>
              <w:rPr>
                <w:rFonts w:ascii="Cambria Math" w:hAnsi="Cambria Math" w:cstheme="minorHAnsi"/>
                <w:i/>
                <w:color w:val="FF0000"/>
                <w:shd w:val="clear" w:color="auto" w:fill="FFFFFF"/>
                <w:lang w:val="nl-NL"/>
              </w:rPr>
            </m:ctrlPr>
          </m:sSubPr>
          <m:e>
            <m:r>
              <w:rPr>
                <w:rFonts w:ascii="Cambria Math" w:hAnsi="Cambria Math" w:cstheme="minorHAnsi"/>
                <w:color w:val="FF0000"/>
                <w:shd w:val="clear" w:color="auto" w:fill="FFFFFF"/>
                <w:lang w:val="nl-NL"/>
              </w:rPr>
              <m:t>ε</m:t>
            </m:r>
          </m:e>
          <m:sub>
            <m:r>
              <w:rPr>
                <w:rFonts w:ascii="Cambria Math" w:hAnsi="Cambria Math" w:cstheme="minorHAnsi"/>
                <w:color w:val="FF0000"/>
                <w:shd w:val="clear" w:color="auto" w:fill="FFFFFF"/>
                <w:lang w:val="nl-NL"/>
              </w:rPr>
              <m:t>it</m:t>
            </m:r>
          </m:sub>
        </m:sSub>
      </m:oMath>
      <w:r w:rsidR="00F93AC2" w:rsidRPr="00F93AC2">
        <w:rPr>
          <w:rFonts w:eastAsiaTheme="minorEastAsia" w:cstheme="minorHAnsi"/>
          <w:color w:val="FF0000"/>
          <w:shd w:val="clear" w:color="auto" w:fill="FFFFFF"/>
        </w:rPr>
        <w:t>, represents the error term and i</w:t>
      </w:r>
      <w:r w:rsidR="00F93AC2">
        <w:rPr>
          <w:rFonts w:eastAsiaTheme="minorEastAsia" w:cstheme="minorHAnsi"/>
          <w:color w:val="FF0000"/>
          <w:shd w:val="clear" w:color="auto" w:fill="FFFFFF"/>
        </w:rPr>
        <w:t xml:space="preserve">t </w:t>
      </w:r>
      <w:r w:rsidR="00F93AC2" w:rsidRPr="00F93AC2">
        <w:rPr>
          <w:rFonts w:eastAsiaTheme="minorEastAsia" w:cstheme="minorHAnsi"/>
          <w:color w:val="FF0000"/>
          <w:shd w:val="clear" w:color="auto" w:fill="FFFFFF"/>
        </w:rPr>
        <w:t xml:space="preserve">is included to </w:t>
      </w:r>
      <w:r w:rsidR="00F93AC2">
        <w:rPr>
          <w:rFonts w:eastAsiaTheme="minorEastAsia" w:cstheme="minorHAnsi"/>
          <w:color w:val="FF0000"/>
          <w:shd w:val="clear" w:color="auto" w:fill="FFFFFF"/>
        </w:rPr>
        <w:t xml:space="preserve">account for any </w:t>
      </w:r>
      <w:r w:rsidR="00272220" w:rsidRPr="00272220">
        <w:rPr>
          <w:rFonts w:eastAsiaTheme="minorEastAsia" w:cstheme="minorHAnsi"/>
          <w:color w:val="FF0000"/>
          <w:shd w:val="clear" w:color="auto" w:fill="FFFFFF"/>
        </w:rPr>
        <w:t>unobserved factors influencing</w:t>
      </w:r>
      <w:r w:rsidR="00272220">
        <w:rPr>
          <w:rFonts w:eastAsiaTheme="minorEastAsia" w:cstheme="minorHAnsi"/>
          <w:color w:val="FF0000"/>
          <w:shd w:val="clear" w:color="auto" w:fill="FFFFFF"/>
        </w:rPr>
        <w:t xml:space="preserve"> </w:t>
      </w:r>
      <m:oMath>
        <m:sSub>
          <m:sSubPr>
            <m:ctrlPr>
              <w:rPr>
                <w:rFonts w:ascii="Cambria Math" w:hAnsi="Cambria Math" w:cstheme="minorHAnsi"/>
                <w:i/>
                <w:color w:val="FF0000"/>
                <w:shd w:val="clear" w:color="auto" w:fill="FFFFFF"/>
              </w:rPr>
            </m:ctrlPr>
          </m:sSubPr>
          <m:e>
            <m:r>
              <w:rPr>
                <w:rFonts w:ascii="Cambria Math" w:hAnsi="Cambria Math" w:cstheme="minorHAnsi"/>
                <w:color w:val="FF0000"/>
                <w:shd w:val="clear" w:color="auto" w:fill="FFFFFF"/>
              </w:rPr>
              <m:t>Y</m:t>
            </m:r>
          </m:e>
          <m:sub>
            <m:r>
              <w:rPr>
                <w:rFonts w:ascii="Cambria Math" w:hAnsi="Cambria Math" w:cstheme="minorHAnsi"/>
                <w:color w:val="FF0000"/>
                <w:shd w:val="clear" w:color="auto" w:fill="FFFFFF"/>
              </w:rPr>
              <m:t>it</m:t>
            </m:r>
          </m:sub>
        </m:sSub>
      </m:oMath>
      <w:r w:rsidR="00272220" w:rsidRPr="00272220">
        <w:rPr>
          <w:rFonts w:eastAsiaTheme="minorEastAsia" w:cstheme="minorHAnsi"/>
          <w:color w:val="FF0000"/>
          <w:shd w:val="clear" w:color="auto" w:fill="FFFFFF"/>
        </w:rPr>
        <w:t xml:space="preserve"> that are not accounted for in the model</w:t>
      </w:r>
      <w:r w:rsidR="00806303">
        <w:rPr>
          <w:rFonts w:eastAsiaTheme="minorEastAsia" w:cstheme="minorHAnsi"/>
          <w:color w:val="FF0000"/>
          <w:shd w:val="clear" w:color="auto" w:fill="FFFFFF"/>
        </w:rPr>
        <w:t xml:space="preserve"> ( for a more detailed explanation about line</w:t>
      </w:r>
      <w:r w:rsidR="000B37C4">
        <w:rPr>
          <w:rFonts w:eastAsiaTheme="minorEastAsia" w:cstheme="minorHAnsi"/>
          <w:color w:val="FF0000"/>
          <w:shd w:val="clear" w:color="auto" w:fill="FFFFFF"/>
        </w:rPr>
        <w:t xml:space="preserve">ar </w:t>
      </w:r>
      <w:r w:rsidR="00806303">
        <w:rPr>
          <w:rFonts w:eastAsiaTheme="minorEastAsia" w:cstheme="minorHAnsi"/>
          <w:color w:val="FF0000"/>
          <w:shd w:val="clear" w:color="auto" w:fill="FFFFFF"/>
        </w:rPr>
        <w:t>mixed model see</w:t>
      </w:r>
      <w:r w:rsidR="000B37C4">
        <w:rPr>
          <w:rFonts w:eastAsiaTheme="minorEastAsia" w:cstheme="minorHAnsi"/>
          <w:color w:val="FF0000"/>
          <w:shd w:val="clear" w:color="auto" w:fill="FFFFFF"/>
        </w:rPr>
        <w:t xml:space="preserve"> e.g., </w:t>
      </w:r>
      <w:r w:rsidR="000D7BAF">
        <w:rPr>
          <w:rFonts w:eastAsiaTheme="minorEastAsia" w:cstheme="minorHAnsi"/>
          <w:color w:val="FF0000"/>
          <w:shd w:val="clear" w:color="auto" w:fill="FFFFFF"/>
        </w:rPr>
        <w:fldChar w:fldCharType="begin"/>
      </w:r>
      <w:r w:rsidR="000D7BAF">
        <w:rPr>
          <w:rFonts w:eastAsiaTheme="minorEastAsia" w:cstheme="minorHAnsi"/>
          <w:color w:val="FF0000"/>
          <w:shd w:val="clear" w:color="auto" w:fill="FFFFFF"/>
        </w:rPr>
        <w:instrText xml:space="preserve"> ADDIN ZOTERO_ITEM CSL_CITATION {"citationID":"GUEJMRbi","properties":{"formattedCitation":"[15]","plainCitation":"[15]","noteIndex":0},"citationItems":[{"id":473,"uris":["http://zotero.org/users/9378318/items/7YZNUZXL"],"itemData":{"id":473,"type":"article-journal","abstract":"Experimental designs that sample both subjects and stimuli from a larger population need to account for random effects of both subjects and stimuli using mixed-effects models. However, much of this research is analyzed using analysis of variance on aggregated responses because researchers are not confident specifying and interpreting mixed-effects models. This Tutorial explains how to simulate data with random-effects structure and analyze the data using linear mixed-effects regression (with the lme4 R package), with a focus on interpreting the output in light of the simulated parameters. Data simulation not only can enhance understanding of how these models work, but also enables researchers to perform power calculations for complex designs. All materials associated with this article can be accessed at https://osf.io/3cz2e/.","container-title":"Advances in Methods and Practices in Psychological Science","DOI":"10.1177/2515245920965119","issue":"1","title":"Understanding Mixed-Effects Models Through Data Simulation","volume":"4","author":[{"family":"DeBruine","given":"Lisa M."},{"family":"Barr","given":"Dale J."}],"issued":{"date-parts":[["2021"]]}}}],"schema":"https://github.com/citation-style-language/schema/raw/master/csl-citation.json"} </w:instrText>
      </w:r>
      <w:r w:rsidR="000D7BAF">
        <w:rPr>
          <w:rFonts w:eastAsiaTheme="minorEastAsia" w:cstheme="minorHAnsi"/>
          <w:color w:val="FF0000"/>
          <w:shd w:val="clear" w:color="auto" w:fill="FFFFFF"/>
        </w:rPr>
        <w:fldChar w:fldCharType="separate"/>
      </w:r>
      <w:r w:rsidR="000D7BAF">
        <w:rPr>
          <w:rFonts w:eastAsiaTheme="minorEastAsia" w:cstheme="minorHAnsi"/>
          <w:noProof/>
          <w:color w:val="FF0000"/>
          <w:shd w:val="clear" w:color="auto" w:fill="FFFFFF"/>
        </w:rPr>
        <w:t>[15]</w:t>
      </w:r>
      <w:r w:rsidR="000D7BAF">
        <w:rPr>
          <w:rFonts w:eastAsiaTheme="minorEastAsia" w:cstheme="minorHAnsi"/>
          <w:color w:val="FF0000"/>
          <w:shd w:val="clear" w:color="auto" w:fill="FFFFFF"/>
        </w:rPr>
        <w:fldChar w:fldCharType="end"/>
      </w:r>
      <w:r w:rsidR="000D7BAF">
        <w:rPr>
          <w:rFonts w:eastAsiaTheme="minorEastAsia" w:cstheme="minorHAnsi"/>
          <w:color w:val="FF0000"/>
          <w:shd w:val="clear" w:color="auto" w:fill="FFFFFF"/>
        </w:rPr>
        <w:t>)</w:t>
      </w:r>
      <w:r w:rsidR="00F70CE5">
        <w:rPr>
          <w:rFonts w:eastAsiaTheme="minorEastAsia" w:cstheme="minorHAnsi"/>
          <w:color w:val="FF0000"/>
          <w:shd w:val="clear" w:color="auto" w:fill="FFFFFF"/>
        </w:rPr>
        <w:t>.</w:t>
      </w:r>
      <w:r w:rsidR="00806303">
        <w:rPr>
          <w:rFonts w:eastAsiaTheme="minorEastAsia" w:cstheme="minorHAnsi"/>
          <w:color w:val="FF0000"/>
          <w:shd w:val="clear" w:color="auto" w:fill="FFFFFF"/>
        </w:rPr>
        <w:t xml:space="preserve"> </w:t>
      </w:r>
      <w:r w:rsidR="004B6779" w:rsidRPr="004B6779">
        <w:rPr>
          <w:rFonts w:eastAsiaTheme="minorEastAsia" w:cstheme="minorHAnsi"/>
          <w:color w:val="FF0000"/>
          <w:shd w:val="clear" w:color="auto" w:fill="FFFFFF"/>
        </w:rPr>
        <w:t>In essence, this model enables us to understand how mechanical sensitivity is influenced by time, condition, and their interaction, while accounting for individual variability</w:t>
      </w:r>
      <w:r w:rsidR="00BC683F">
        <w:rPr>
          <w:rFonts w:eastAsiaTheme="minorEastAsia" w:cstheme="minorHAnsi"/>
          <w:color w:val="FF0000"/>
          <w:shd w:val="clear" w:color="auto" w:fill="FFFFFF"/>
        </w:rPr>
        <w:t xml:space="preserve"> across the average mechanical sensitivity</w:t>
      </w:r>
      <w:r w:rsidR="00806303">
        <w:rPr>
          <w:rFonts w:eastAsiaTheme="minorEastAsia" w:cstheme="minorHAnsi"/>
          <w:color w:val="FF0000"/>
          <w:shd w:val="clear" w:color="auto" w:fill="FFFFFF"/>
        </w:rPr>
        <w:t xml:space="preserve">. </w:t>
      </w:r>
      <w:r w:rsidR="00BC683F">
        <w:rPr>
          <w:rFonts w:eastAsiaTheme="minorEastAsia" w:cstheme="minorHAnsi"/>
          <w:color w:val="FF0000"/>
          <w:shd w:val="clear" w:color="auto" w:fill="FFFFFF"/>
        </w:rPr>
        <w:t xml:space="preserve"> </w:t>
      </w:r>
    </w:p>
    <w:p w14:paraId="205A387F" w14:textId="4301C0FF" w:rsidR="00E55982" w:rsidRDefault="007372DD" w:rsidP="00FF3646">
      <w:pPr>
        <w:spacing w:after="0" w:line="480" w:lineRule="auto"/>
        <w:rPr>
          <w:rFonts w:cstheme="minorHAnsi"/>
        </w:rPr>
      </w:pPr>
      <w:r w:rsidRPr="00A4233B">
        <w:rPr>
          <w:rFonts w:cstheme="minorHAnsi"/>
        </w:rPr>
        <w:t>For the analysis</w:t>
      </w:r>
      <w:r w:rsidRPr="00AC04BC">
        <w:rPr>
          <w:rFonts w:cstheme="minorHAnsi"/>
        </w:rPr>
        <w:t>, we used the R package lme4</w:t>
      </w:r>
      <w:r w:rsidR="00AC04BC">
        <w:rPr>
          <w:rFonts w:cstheme="minorHAnsi"/>
        </w:rPr>
        <w:fldChar w:fldCharType="begin"/>
      </w:r>
      <w:r w:rsidR="0019418B">
        <w:rPr>
          <w:rFonts w:cstheme="minorHAnsi"/>
        </w:rPr>
        <w:instrText xml:space="preserve"> ADDIN ZOTERO_ITEM CSL_CITATION {"citationID":"9BekcqzD","properties":{"formattedCitation":"[5]","plainCitation":"[5]","noteIndex":0},"citationItems":[{"id":1877,"uris":["http://zotero.org/users/9378318/items/4SDHWSRE"],"itemData":{"id":1877,"type":"article-journal","abstract":"Maximum likelihood or restricted maximum likelihood (REML) estimates of the parameters in linear mixed-eﬀects models can be determined using the lmer function in the lme4 package for R. As for most model-ﬁtting functions in R, the model is described in an lmer call by a formula, in this case including both ﬁxed- and random-eﬀects terms. The formula and data together determine a numerical representation of the model from which the proﬁled deviance or the proﬁled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proﬁled deviance or REML criterion, and the structure of classes or types that represents such a model. Suﬃcient detail is included to allow specialization of these structures by users who wish to write functions to ﬁt specialized linear mixed models, such as models incorporating pedigrees or smoothing splines, that are not easily expressible in the formula language used by lmer.","container-title":"Journal of Statistical Software","DOI":"10.18637/jss.v067.i01","ISSN":"1548-7660","issue":"1","journalAbbreviation":"J. Stat. Soft.","language":"en","source":"DOI.org (Crossref)","title":"Fitting Linear Mixed-Effects Models Using lme4","URL":"http://www.jstatsoft.org/v67/i01/","volume":"67","author":[{"family":"Bates","given":"Douglas"},{"family":"Mächler","given":"Martin"},{"family":"Bolker","given":"Ben"},{"family":"Walker","given":"Steve"}],"accessed":{"date-parts":[["2023",9,10]]},"issued":{"date-parts":[["2015"]]}}}],"schema":"https://github.com/citation-style-language/schema/raw/master/csl-citation.json"} </w:instrText>
      </w:r>
      <w:r w:rsidR="00AC04BC">
        <w:rPr>
          <w:rFonts w:cstheme="minorHAnsi"/>
        </w:rPr>
        <w:fldChar w:fldCharType="separate"/>
      </w:r>
      <w:r w:rsidR="001A31BB" w:rsidRPr="001A31BB">
        <w:rPr>
          <w:rFonts w:ascii="Calibri" w:hAnsi="Calibri" w:cs="Calibri"/>
        </w:rPr>
        <w:t>[5]</w:t>
      </w:r>
      <w:r w:rsidR="00AC04BC">
        <w:rPr>
          <w:rFonts w:cstheme="minorHAnsi"/>
        </w:rPr>
        <w:fldChar w:fldCharType="end"/>
      </w:r>
      <w:r w:rsidR="00B96371">
        <w:rPr>
          <w:rFonts w:cstheme="minorHAnsi"/>
        </w:rPr>
        <w:t xml:space="preserve"> </w:t>
      </w:r>
    </w:p>
    <w:p w14:paraId="7208301B" w14:textId="7FC42985" w:rsidR="003E22D8" w:rsidRDefault="007372DD" w:rsidP="003E22D8">
      <w:pPr>
        <w:spacing w:after="0" w:line="480" w:lineRule="auto"/>
        <w:ind w:firstLine="720"/>
        <w:rPr>
          <w:rFonts w:cstheme="minorHAnsi"/>
        </w:rPr>
      </w:pPr>
      <w:r w:rsidRPr="00A4233B">
        <w:rPr>
          <w:rFonts w:cstheme="minorHAnsi"/>
        </w:rPr>
        <w:lastRenderedPageBreak/>
        <w:t xml:space="preserve">The syntax </w:t>
      </w:r>
      <w:r w:rsidR="001848E6" w:rsidRPr="00A4233B">
        <w:rPr>
          <w:rFonts w:cstheme="minorHAnsi"/>
        </w:rPr>
        <w:t xml:space="preserve">is </w:t>
      </w:r>
      <w:r w:rsidRPr="00A4233B">
        <w:rPr>
          <w:rFonts w:cstheme="minorHAnsi"/>
        </w:rPr>
        <w:t xml:space="preserve">as follows: </w:t>
      </w:r>
      <w:bookmarkStart w:id="18" w:name="OLE_LINK3"/>
      <w:bookmarkStart w:id="19" w:name="OLE_LINK4"/>
      <w:r w:rsidRPr="00A4233B">
        <w:rPr>
          <w:rFonts w:cstheme="minorHAnsi"/>
          <w:b/>
          <w:bCs/>
        </w:rPr>
        <w:t>Mechanical_sensitivity ~ 1 + Time +1| Subject + Time: Condition</w:t>
      </w:r>
      <w:bookmarkEnd w:id="18"/>
      <w:bookmarkEnd w:id="19"/>
      <w:r w:rsidRPr="00A4233B">
        <w:rPr>
          <w:rFonts w:cstheme="minorHAnsi"/>
          <w:b/>
          <w:bCs/>
        </w:rPr>
        <w:t xml:space="preserve">, </w:t>
      </w:r>
      <w:r w:rsidR="00434C83" w:rsidRPr="00A4233B">
        <w:rPr>
          <w:rFonts w:cstheme="minorHAnsi"/>
        </w:rPr>
        <w:t>Mechanical sensitivity ~ Time</w:t>
      </w:r>
      <w:r w:rsidR="00434C83" w:rsidRPr="00A4233B">
        <w:rPr>
          <w:rFonts w:cstheme="minorHAnsi"/>
          <w:i/>
          <w:iCs/>
        </w:rPr>
        <w:t>”</w:t>
      </w:r>
      <w:r w:rsidR="00434C83" w:rsidRPr="00A4233B">
        <w:rPr>
          <w:rFonts w:cstheme="minorHAnsi"/>
          <w:b/>
          <w:bCs/>
        </w:rPr>
        <w:t xml:space="preserve"> </w:t>
      </w:r>
      <w:r w:rsidR="00434C83" w:rsidRPr="00A4233B">
        <w:rPr>
          <w:rFonts w:cstheme="minorHAnsi"/>
        </w:rPr>
        <w:t>indicates</w:t>
      </w:r>
      <w:r w:rsidR="00434C83" w:rsidRPr="00A4233B">
        <w:rPr>
          <w:rFonts w:cstheme="minorHAnsi"/>
          <w:b/>
          <w:bCs/>
        </w:rPr>
        <w:t xml:space="preserve"> </w:t>
      </w:r>
      <w:r w:rsidR="00434C83" w:rsidRPr="00A4233B">
        <w:rPr>
          <w:rFonts w:cstheme="minorHAnsi"/>
          <w:bCs/>
        </w:rPr>
        <w:t xml:space="preserve">the fixed effect of Time on mechanical sensitivity. </w:t>
      </w:r>
      <w:r w:rsidRPr="00A4233B">
        <w:rPr>
          <w:rFonts w:cstheme="minorHAnsi"/>
          <w:i/>
          <w:iCs/>
        </w:rPr>
        <w:t>“</w:t>
      </w:r>
      <w:r w:rsidRPr="00A4233B">
        <w:rPr>
          <w:rFonts w:cstheme="minorHAnsi"/>
        </w:rPr>
        <w:t>1| Subject</w:t>
      </w:r>
      <w:r w:rsidRPr="00A4233B">
        <w:rPr>
          <w:rFonts w:cstheme="minorHAnsi"/>
          <w:i/>
          <w:iCs/>
        </w:rPr>
        <w:t xml:space="preserve">” </w:t>
      </w:r>
      <w:r w:rsidRPr="00A4233B">
        <w:rPr>
          <w:rFonts w:cstheme="minorHAnsi"/>
        </w:rPr>
        <w:t>indicat</w:t>
      </w:r>
      <w:r w:rsidR="001B1ECC" w:rsidRPr="00A4233B">
        <w:rPr>
          <w:rFonts w:cstheme="minorHAnsi"/>
        </w:rPr>
        <w:t>es</w:t>
      </w:r>
      <w:r w:rsidRPr="00A4233B">
        <w:rPr>
          <w:rFonts w:cstheme="minorHAnsi"/>
        </w:rPr>
        <w:t xml:space="preserve"> how much people </w:t>
      </w:r>
      <w:r w:rsidR="001B1ECC" w:rsidRPr="00A4233B">
        <w:rPr>
          <w:rFonts w:cstheme="minorHAnsi"/>
        </w:rPr>
        <w:t xml:space="preserve">deviate </w:t>
      </w:r>
      <w:r w:rsidRPr="00A4233B">
        <w:rPr>
          <w:rFonts w:cstheme="minorHAnsi"/>
        </w:rPr>
        <w:t>from the average mechanical sensitivity</w:t>
      </w:r>
      <w:r w:rsidR="00F0739A">
        <w:rPr>
          <w:rFonts w:cstheme="minorHAnsi"/>
        </w:rPr>
        <w:t xml:space="preserve"> in our sample </w:t>
      </w:r>
      <w:r w:rsidRPr="00A4233B">
        <w:rPr>
          <w:rFonts w:cstheme="minorHAnsi"/>
        </w:rPr>
        <w:t>(overall mean for each subject estimated as random intercept); “Time: Condition</w:t>
      </w:r>
      <w:r w:rsidRPr="00A4233B">
        <w:rPr>
          <w:rFonts w:cstheme="minorHAnsi"/>
          <w:i/>
          <w:iCs/>
        </w:rPr>
        <w:t>”</w:t>
      </w:r>
      <w:r w:rsidRPr="00A4233B">
        <w:rPr>
          <w:rFonts w:cstheme="minorHAnsi"/>
          <w:b/>
          <w:bCs/>
        </w:rPr>
        <w:t xml:space="preserve"> </w:t>
      </w:r>
      <w:r w:rsidR="001B1ECC" w:rsidRPr="00A4233B">
        <w:rPr>
          <w:rFonts w:cstheme="minorHAnsi"/>
        </w:rPr>
        <w:t xml:space="preserve">indicates </w:t>
      </w:r>
      <w:r w:rsidRPr="00A4233B">
        <w:rPr>
          <w:rFonts w:cstheme="minorHAnsi"/>
        </w:rPr>
        <w:t>the interaction between conditions (difficult vs</w:t>
      </w:r>
      <w:r w:rsidR="009D06BA">
        <w:rPr>
          <w:rFonts w:cstheme="minorHAnsi"/>
        </w:rPr>
        <w:t>.</w:t>
      </w:r>
      <w:r w:rsidRPr="00A4233B">
        <w:rPr>
          <w:rFonts w:cstheme="minorHAnsi"/>
        </w:rPr>
        <w:t xml:space="preserve"> easy) and Time</w:t>
      </w:r>
      <w:r w:rsidR="006E7034">
        <w:rPr>
          <w:rFonts w:cstheme="minorHAnsi"/>
        </w:rPr>
        <w:t>,</w:t>
      </w:r>
      <w:r w:rsidRPr="00A4233B">
        <w:rPr>
          <w:rFonts w:cstheme="minorHAnsi"/>
        </w:rPr>
        <w:t xml:space="preserve"> and</w:t>
      </w:r>
      <w:r w:rsidR="001B1ECC" w:rsidRPr="00A4233B">
        <w:rPr>
          <w:rFonts w:cstheme="minorHAnsi"/>
        </w:rPr>
        <w:t xml:space="preserve"> </w:t>
      </w:r>
      <w:r w:rsidR="00FA7E8A">
        <w:rPr>
          <w:rFonts w:cstheme="minorHAnsi"/>
        </w:rPr>
        <w:t xml:space="preserve">it </w:t>
      </w:r>
      <w:r w:rsidR="001B1ECC" w:rsidRPr="00A4233B">
        <w:rPr>
          <w:rFonts w:cstheme="minorHAnsi"/>
        </w:rPr>
        <w:t>was</w:t>
      </w:r>
      <w:r w:rsidRPr="00A4233B">
        <w:rPr>
          <w:rFonts w:cstheme="minorHAnsi"/>
        </w:rPr>
        <w:t xml:space="preserve"> used to check whether the </w:t>
      </w:r>
      <w:r w:rsidR="007A0662" w:rsidRPr="00A4233B">
        <w:rPr>
          <w:rFonts w:cstheme="minorHAnsi"/>
        </w:rPr>
        <w:t xml:space="preserve">change </w:t>
      </w:r>
      <w:r w:rsidRPr="00A4233B">
        <w:rPr>
          <w:rFonts w:cstheme="minorHAnsi"/>
        </w:rPr>
        <w:t>in mechanical sensitivity from time T0 to T1/T2 depended on the condition participants belonged to;</w:t>
      </w:r>
      <w:r w:rsidR="003E22D8">
        <w:rPr>
          <w:rFonts w:cstheme="minorHAnsi"/>
        </w:rPr>
        <w:t xml:space="preserve"> </w:t>
      </w:r>
      <w:r w:rsidR="003E22D8" w:rsidRPr="00A4233B">
        <w:rPr>
          <w:rFonts w:cstheme="minorHAnsi"/>
        </w:rPr>
        <w:t xml:space="preserve">To interpret the fixed intercept as the grand mean of mechanical sensitivity, we </w:t>
      </w:r>
      <w:r w:rsidR="003E22D8">
        <w:rPr>
          <w:rFonts w:cstheme="minorHAnsi"/>
          <w:color w:val="FF0000"/>
        </w:rPr>
        <w:t xml:space="preserve">dummy coded </w:t>
      </w:r>
      <w:r w:rsidR="003E22D8" w:rsidRPr="00CC45A7">
        <w:rPr>
          <w:rFonts w:cstheme="minorHAnsi"/>
          <w:color w:val="000000" w:themeColor="text1"/>
        </w:rPr>
        <w:t xml:space="preserve">time </w:t>
      </w:r>
      <w:r w:rsidR="003E22D8" w:rsidRPr="00A4233B">
        <w:rPr>
          <w:rFonts w:cstheme="minorHAnsi"/>
        </w:rPr>
        <w:t xml:space="preserve">and condition so that their mean could be equal to zero. </w:t>
      </w:r>
    </w:p>
    <w:p w14:paraId="38CA383C" w14:textId="2693FA01" w:rsidR="00091413" w:rsidRPr="00050BDC" w:rsidRDefault="00833917" w:rsidP="00050BDC">
      <w:pPr>
        <w:spacing w:after="0" w:line="480" w:lineRule="auto"/>
        <w:ind w:firstLine="720"/>
        <w:rPr>
          <w:rFonts w:cstheme="minorHAnsi"/>
          <w:color w:val="FF0000"/>
        </w:rPr>
      </w:pPr>
      <w:r w:rsidRPr="00A4233B">
        <w:rPr>
          <w:rFonts w:cstheme="minorHAnsi"/>
          <w:bCs/>
        </w:rPr>
        <w:t xml:space="preserve">To check our </w:t>
      </w:r>
      <w:r w:rsidR="006C3C63" w:rsidRPr="00A4233B">
        <w:rPr>
          <w:rFonts w:cstheme="minorHAnsi"/>
          <w:bCs/>
        </w:rPr>
        <w:t>assumptions,</w:t>
      </w:r>
      <w:r w:rsidRPr="00A4233B">
        <w:rPr>
          <w:rFonts w:cstheme="minorHAnsi"/>
          <w:bCs/>
        </w:rPr>
        <w:t xml:space="preserve"> we used the following procedure. First, the a</w:t>
      </w:r>
      <w:r w:rsidR="007372DD" w:rsidRPr="00A4233B">
        <w:rPr>
          <w:rFonts w:cstheme="minorHAnsi"/>
          <w:bCs/>
        </w:rPr>
        <w:t>ssumption of linearity was graphically checked by plotting the model residuals vs</w:t>
      </w:r>
      <w:r w:rsidR="00651B01">
        <w:rPr>
          <w:rFonts w:cstheme="minorHAnsi"/>
          <w:bCs/>
        </w:rPr>
        <w:t>.</w:t>
      </w:r>
      <w:r w:rsidR="007372DD" w:rsidRPr="00A4233B">
        <w:rPr>
          <w:rFonts w:cstheme="minorHAnsi"/>
          <w:bCs/>
        </w:rPr>
        <w:t xml:space="preserve"> the </w:t>
      </w:r>
      <w:r w:rsidR="00C3458E" w:rsidRPr="00A4233B">
        <w:rPr>
          <w:rFonts w:cstheme="minorHAnsi"/>
          <w:bCs/>
        </w:rPr>
        <w:t xml:space="preserve">outcome </w:t>
      </w:r>
      <w:r w:rsidR="007372DD" w:rsidRPr="00A4233B">
        <w:rPr>
          <w:rFonts w:cstheme="minorHAnsi"/>
          <w:bCs/>
        </w:rPr>
        <w:t xml:space="preserve">(mechanical sensitivity). </w:t>
      </w:r>
      <w:r w:rsidRPr="00A4233B">
        <w:rPr>
          <w:rFonts w:cstheme="minorHAnsi"/>
          <w:bCs/>
        </w:rPr>
        <w:t xml:space="preserve">Second, to check </w:t>
      </w:r>
      <w:r w:rsidR="007372DD" w:rsidRPr="00A4233B">
        <w:rPr>
          <w:rFonts w:cstheme="minorHAnsi"/>
          <w:bCs/>
        </w:rPr>
        <w:t>the homogeneity of variance we extracted the residuals from the model</w:t>
      </w:r>
      <w:r w:rsidRPr="00A4233B">
        <w:rPr>
          <w:rFonts w:cstheme="minorHAnsi"/>
          <w:bCs/>
        </w:rPr>
        <w:t>.</w:t>
      </w:r>
      <w:r w:rsidR="007372DD" w:rsidRPr="00A4233B">
        <w:rPr>
          <w:rFonts w:cstheme="minorHAnsi"/>
          <w:bCs/>
        </w:rPr>
        <w:t xml:space="preserve"> </w:t>
      </w:r>
      <w:r w:rsidRPr="00A4233B">
        <w:rPr>
          <w:rFonts w:cstheme="minorHAnsi"/>
          <w:bCs/>
        </w:rPr>
        <w:t>W</w:t>
      </w:r>
      <w:r w:rsidR="007372DD" w:rsidRPr="00A4233B">
        <w:rPr>
          <w:rFonts w:cstheme="minorHAnsi"/>
          <w:bCs/>
        </w:rPr>
        <w:t>e then used their absolute value before squaring them and we finally compar</w:t>
      </w:r>
      <w:r w:rsidR="00FA7E8A">
        <w:rPr>
          <w:rFonts w:cstheme="minorHAnsi"/>
          <w:bCs/>
        </w:rPr>
        <w:t>ed</w:t>
      </w:r>
      <w:r w:rsidR="007372DD" w:rsidRPr="00A4233B">
        <w:rPr>
          <w:rFonts w:cstheme="minorHAnsi"/>
          <w:bCs/>
        </w:rPr>
        <w:t xml:space="preserve"> the subjects’ residuals using an ANOVA. </w:t>
      </w:r>
      <w:r w:rsidR="00160142" w:rsidRPr="00A4233B">
        <w:rPr>
          <w:rFonts w:cstheme="minorHAnsi"/>
          <w:bCs/>
        </w:rPr>
        <w:t>Third, the n</w:t>
      </w:r>
      <w:r w:rsidR="007372DD" w:rsidRPr="00A4233B">
        <w:rPr>
          <w:rFonts w:cstheme="minorHAnsi"/>
          <w:bCs/>
        </w:rPr>
        <w:t xml:space="preserve">ormality of the residuals was checked graphically and statistically using a Shapiro test. </w:t>
      </w:r>
      <w:r w:rsidR="00C3458E" w:rsidRPr="00A4233B">
        <w:rPr>
          <w:rFonts w:cstheme="minorHAnsi"/>
          <w:bCs/>
        </w:rPr>
        <w:t xml:space="preserve">Because </w:t>
      </w:r>
      <w:r w:rsidR="006C3C63" w:rsidRPr="00A4233B">
        <w:rPr>
          <w:rFonts w:cstheme="minorHAnsi"/>
          <w:bCs/>
        </w:rPr>
        <w:t>this assumption</w:t>
      </w:r>
      <w:r w:rsidR="00C3458E" w:rsidRPr="00A4233B">
        <w:rPr>
          <w:rFonts w:cstheme="minorHAnsi"/>
          <w:bCs/>
        </w:rPr>
        <w:t xml:space="preserve"> was not met,</w:t>
      </w:r>
      <w:r w:rsidR="006C3C63" w:rsidRPr="00A4233B">
        <w:rPr>
          <w:rFonts w:cstheme="minorHAnsi"/>
          <w:bCs/>
        </w:rPr>
        <w:t xml:space="preserve"> </w:t>
      </w:r>
      <w:r w:rsidR="007372DD" w:rsidRPr="00A4233B">
        <w:rPr>
          <w:rFonts w:cstheme="minorHAnsi"/>
          <w:bCs/>
        </w:rPr>
        <w:t xml:space="preserve">we logarithmically transformed the </w:t>
      </w:r>
      <w:r w:rsidR="00C3458E" w:rsidRPr="00A4233B">
        <w:rPr>
          <w:rFonts w:cstheme="minorHAnsi"/>
          <w:bCs/>
        </w:rPr>
        <w:t>outcome</w:t>
      </w:r>
      <w:r w:rsidR="00D91700" w:rsidRPr="00A4233B">
        <w:rPr>
          <w:rFonts w:cstheme="minorHAnsi"/>
          <w:bCs/>
        </w:rPr>
        <w:t xml:space="preserve"> as a sensitivity check</w:t>
      </w:r>
      <w:r w:rsidR="00C3458E" w:rsidRPr="00A4233B">
        <w:rPr>
          <w:rFonts w:cstheme="minorHAnsi"/>
          <w:bCs/>
        </w:rPr>
        <w:t xml:space="preserve"> </w:t>
      </w:r>
      <w:r w:rsidR="007372DD" w:rsidRPr="00A4233B">
        <w:rPr>
          <w:rFonts w:cstheme="minorHAnsi"/>
          <w:bCs/>
        </w:rPr>
        <w:t xml:space="preserve">(mechanical sensitivity). </w:t>
      </w:r>
      <w:r w:rsidR="00D91700" w:rsidRPr="00A4233B">
        <w:rPr>
          <w:rFonts w:cstheme="minorHAnsi"/>
          <w:bCs/>
        </w:rPr>
        <w:t>Since our results were identical under both the transformed and raw outcome, we deemed that the violation of this assumption was not practically significant. We report results using raw mechanical sensitivity as our outcome measure.</w:t>
      </w:r>
    </w:p>
    <w:p w14:paraId="153C0A24" w14:textId="43DE0DF5" w:rsidR="007372DD" w:rsidRPr="005B5C8F" w:rsidRDefault="007372DD" w:rsidP="00091413">
      <w:pPr>
        <w:spacing w:after="0" w:line="480" w:lineRule="auto"/>
        <w:rPr>
          <w:rFonts w:cstheme="minorHAnsi"/>
          <w:i/>
          <w:iCs/>
        </w:rPr>
      </w:pPr>
      <w:r w:rsidRPr="005B5C8F">
        <w:rPr>
          <w:rFonts w:cstheme="minorHAnsi"/>
          <w:b/>
          <w:bCs/>
          <w:i/>
          <w:iCs/>
        </w:rPr>
        <w:t xml:space="preserve">Assessing the influence of attentional load on mechanical sensitivity spatial extent </w:t>
      </w:r>
    </w:p>
    <w:p w14:paraId="117B7DD9" w14:textId="2255CD8C" w:rsidR="00467FFC" w:rsidRPr="00246A61" w:rsidRDefault="007372DD" w:rsidP="00467FFC">
      <w:pPr>
        <w:spacing w:after="0" w:line="480" w:lineRule="auto"/>
        <w:ind w:firstLine="720"/>
        <w:rPr>
          <w:rFonts w:cstheme="minorHAnsi"/>
        </w:rPr>
      </w:pPr>
      <w:r w:rsidRPr="00A4233B">
        <w:rPr>
          <w:rFonts w:cstheme="minorHAnsi"/>
        </w:rPr>
        <w:t>To assess whether the proximal-distal length (intended as an estimate of the mechanical sensitivity spread among the HFS-treated forearm) in the high-attentional load condition was on average lower than the length developed in the low-attentional load condition at T1 and T2, we performed a one-sided independent sample t-test, separately per each time point. Before running the parametric test, we checked whether the variables to be compared met all the assumptions: (1) independence of the observations, (2) homogeneity of variance and (3) normality.</w:t>
      </w:r>
    </w:p>
    <w:p w14:paraId="1112C99C" w14:textId="3F747FC1" w:rsidR="00F04DA2" w:rsidRPr="00091413" w:rsidRDefault="00F04DA2" w:rsidP="00F04DA2">
      <w:pPr>
        <w:spacing w:after="0" w:line="480" w:lineRule="auto"/>
        <w:rPr>
          <w:rFonts w:cstheme="minorHAnsi"/>
          <w:b/>
          <w:sz w:val="24"/>
          <w:szCs w:val="24"/>
        </w:rPr>
      </w:pPr>
      <w:r w:rsidRPr="00091413">
        <w:rPr>
          <w:rFonts w:cstheme="minorHAnsi"/>
          <w:b/>
          <w:sz w:val="24"/>
          <w:szCs w:val="24"/>
        </w:rPr>
        <w:t xml:space="preserve">Explorative analysis </w:t>
      </w:r>
    </w:p>
    <w:p w14:paraId="78F975D6" w14:textId="16D4AA31" w:rsidR="00EE01CB" w:rsidRPr="005B5C8F" w:rsidRDefault="00DF1369" w:rsidP="008F7CF2">
      <w:pPr>
        <w:spacing w:after="0" w:line="480" w:lineRule="auto"/>
        <w:rPr>
          <w:rFonts w:cstheme="minorHAnsi"/>
          <w:b/>
          <w:i/>
          <w:iCs/>
        </w:rPr>
      </w:pPr>
      <w:r w:rsidRPr="005B5C8F">
        <w:rPr>
          <w:rFonts w:cstheme="minorHAnsi"/>
          <w:b/>
          <w:i/>
          <w:iCs/>
        </w:rPr>
        <w:lastRenderedPageBreak/>
        <w:t xml:space="preserve">HFS-related pain as a possible moderator of </w:t>
      </w:r>
      <w:r w:rsidR="00EE01CB" w:rsidRPr="005B5C8F">
        <w:rPr>
          <w:rFonts w:cstheme="minorHAnsi"/>
          <w:b/>
          <w:i/>
          <w:iCs/>
        </w:rPr>
        <w:t xml:space="preserve">the change in mechanical sensitivity </w:t>
      </w:r>
    </w:p>
    <w:p w14:paraId="6BFCDB82" w14:textId="269C80C3" w:rsidR="00AA4EC3" w:rsidRDefault="000E009F" w:rsidP="008F7CF2">
      <w:pPr>
        <w:spacing w:after="0" w:line="480" w:lineRule="auto"/>
        <w:ind w:firstLine="720"/>
        <w:rPr>
          <w:rFonts w:cstheme="minorHAnsi"/>
        </w:rPr>
      </w:pPr>
      <w:r>
        <w:rPr>
          <w:rFonts w:cstheme="minorHAnsi"/>
          <w:bCs/>
        </w:rPr>
        <w:t>To assess whether the</w:t>
      </w:r>
      <w:r w:rsidR="00EA5EAA">
        <w:rPr>
          <w:rFonts w:cstheme="minorHAnsi"/>
          <w:bCs/>
        </w:rPr>
        <w:t xml:space="preserve"> change in mechanical sensitivity from T0 to T1 and T2 is predicted by</w:t>
      </w:r>
      <w:r>
        <w:rPr>
          <w:rFonts w:cstheme="minorHAnsi"/>
          <w:bCs/>
        </w:rPr>
        <w:t xml:space="preserve"> pain experienced during the delivery of HFS </w:t>
      </w:r>
      <w:r w:rsidR="00EA5EAA">
        <w:rPr>
          <w:rFonts w:cstheme="minorHAnsi"/>
          <w:bCs/>
        </w:rPr>
        <w:t>we used</w:t>
      </w:r>
      <w:r w:rsidR="004276E5">
        <w:rPr>
          <w:rFonts w:cstheme="minorHAnsi"/>
          <w:bCs/>
        </w:rPr>
        <w:t xml:space="preserve"> </w:t>
      </w:r>
      <w:r w:rsidR="004276E5" w:rsidRPr="00A4233B">
        <w:rPr>
          <w:rFonts w:cstheme="minorHAnsi"/>
        </w:rPr>
        <w:t>a linear mixed model</w:t>
      </w:r>
      <w:r w:rsidR="004276E5">
        <w:rPr>
          <w:rFonts w:cstheme="minorHAnsi"/>
        </w:rPr>
        <w:t xml:space="preserve">. Specifically, </w:t>
      </w:r>
      <w:r w:rsidR="00327D8F">
        <w:rPr>
          <w:rFonts w:cstheme="minorHAnsi"/>
        </w:rPr>
        <w:t xml:space="preserve">we </w:t>
      </w:r>
      <w:r w:rsidR="009A6669" w:rsidRPr="00A4233B">
        <w:rPr>
          <w:rFonts w:cstheme="minorHAnsi"/>
        </w:rPr>
        <w:t xml:space="preserve">looked at the interaction between </w:t>
      </w:r>
      <w:r w:rsidR="009A6669" w:rsidRPr="00A4233B">
        <w:rPr>
          <w:rFonts w:cstheme="minorHAnsi"/>
          <w:b/>
        </w:rPr>
        <w:t>time</w:t>
      </w:r>
      <w:r w:rsidR="009A6669" w:rsidRPr="00A4233B">
        <w:rPr>
          <w:rFonts w:cstheme="minorHAnsi"/>
        </w:rPr>
        <w:t xml:space="preserve"> (T0 </w:t>
      </w:r>
      <w:r w:rsidR="009A6669" w:rsidRPr="00A4233B">
        <w:rPr>
          <w:rFonts w:cstheme="minorHAnsi"/>
        </w:rPr>
        <w:sym w:font="Wingdings" w:char="F0E0"/>
      </w:r>
      <w:r w:rsidR="009A6669" w:rsidRPr="00A4233B">
        <w:rPr>
          <w:rFonts w:cstheme="minorHAnsi"/>
        </w:rPr>
        <w:t xml:space="preserve"> T1 </w:t>
      </w:r>
      <w:r w:rsidR="00A12FDD" w:rsidRPr="00A4233B">
        <w:rPr>
          <w:rFonts w:cstheme="minorHAnsi"/>
        </w:rPr>
        <w:t>and</w:t>
      </w:r>
      <w:r w:rsidR="00A12FDD">
        <w:rPr>
          <w:rFonts w:cstheme="minorHAnsi"/>
        </w:rPr>
        <w:t xml:space="preserve"> </w:t>
      </w:r>
      <w:r w:rsidR="00A12FDD" w:rsidRPr="00A4233B">
        <w:rPr>
          <w:rFonts w:cstheme="minorHAnsi"/>
        </w:rPr>
        <w:t>T</w:t>
      </w:r>
      <w:r w:rsidR="009A6669" w:rsidRPr="00A4233B">
        <w:rPr>
          <w:rFonts w:cstheme="minorHAnsi"/>
        </w:rPr>
        <w:t xml:space="preserve">2) and the </w:t>
      </w:r>
      <w:r w:rsidR="009A6669" w:rsidRPr="00AA4EC3">
        <w:rPr>
          <w:rFonts w:cstheme="minorHAnsi"/>
          <w:b/>
          <w:bCs/>
        </w:rPr>
        <w:t>pain experienced during HFS</w:t>
      </w:r>
      <w:r w:rsidR="009A6669">
        <w:rPr>
          <w:rFonts w:cstheme="minorHAnsi"/>
          <w:b/>
        </w:rPr>
        <w:t xml:space="preserve">. </w:t>
      </w:r>
      <w:r w:rsidR="009A6669" w:rsidRPr="00A4233B">
        <w:rPr>
          <w:rFonts w:cstheme="minorHAnsi"/>
        </w:rPr>
        <w:t>We specified people’s overall mean mechanical sensitivity using a fixed effect (i.e., 1), and the average deviation of each person’s mean score from this average, using random effects (i.e., 1 | Subject)</w:t>
      </w:r>
      <w:r w:rsidR="004534C5">
        <w:rPr>
          <w:rFonts w:cstheme="minorHAnsi"/>
        </w:rPr>
        <w:t>, and w</w:t>
      </w:r>
      <w:r w:rsidR="009A6669" w:rsidRPr="00A4233B">
        <w:rPr>
          <w:rFonts w:cstheme="minorHAnsi"/>
        </w:rPr>
        <w:t xml:space="preserve">e modelled the change in mechanical sensitivity over time using a fixed slope (i.e., time). To interpret the fixed intercept as the grand mean of mechanical sensitivity, we </w:t>
      </w:r>
      <w:r w:rsidR="00D06564">
        <w:rPr>
          <w:rFonts w:cstheme="minorHAnsi"/>
          <w:color w:val="FF0000"/>
        </w:rPr>
        <w:t>dummy code</w:t>
      </w:r>
      <w:r w:rsidR="00BA4681">
        <w:rPr>
          <w:rFonts w:cstheme="minorHAnsi"/>
          <w:color w:val="FF0000"/>
        </w:rPr>
        <w:t>d</w:t>
      </w:r>
      <w:r w:rsidR="00D06564">
        <w:rPr>
          <w:rFonts w:cstheme="minorHAnsi"/>
          <w:color w:val="FF0000"/>
        </w:rPr>
        <w:t xml:space="preserve"> </w:t>
      </w:r>
      <w:r w:rsidR="00D06564" w:rsidRPr="005D34B5">
        <w:rPr>
          <w:rFonts w:cstheme="minorHAnsi"/>
          <w:color w:val="FF0000"/>
        </w:rPr>
        <w:t xml:space="preserve">time </w:t>
      </w:r>
      <w:r w:rsidR="009A6669" w:rsidRPr="00A4233B">
        <w:rPr>
          <w:rFonts w:cstheme="minorHAnsi"/>
        </w:rPr>
        <w:t xml:space="preserve">time and </w:t>
      </w:r>
      <w:r w:rsidR="00B675FA">
        <w:rPr>
          <w:rFonts w:cstheme="minorHAnsi"/>
        </w:rPr>
        <w:t xml:space="preserve">pain during HFS </w:t>
      </w:r>
      <w:r w:rsidR="009A6669" w:rsidRPr="00A4233B">
        <w:rPr>
          <w:rFonts w:cstheme="minorHAnsi"/>
        </w:rPr>
        <w:t xml:space="preserve">so that their mean could be equal to zero. For the analysis, we used </w:t>
      </w:r>
      <w:r w:rsidR="009A6669" w:rsidRPr="00AA4EC3">
        <w:rPr>
          <w:rFonts w:cstheme="minorHAnsi"/>
        </w:rPr>
        <w:t>the R package lme4</w:t>
      </w:r>
      <w:r w:rsidR="00B94E11">
        <w:rPr>
          <w:rFonts w:cstheme="minorHAnsi"/>
        </w:rPr>
        <w:fldChar w:fldCharType="begin"/>
      </w:r>
      <w:r w:rsidR="0019418B">
        <w:rPr>
          <w:rFonts w:cstheme="minorHAnsi"/>
        </w:rPr>
        <w:instrText xml:space="preserve"> ADDIN ZOTERO_ITEM CSL_CITATION {"citationID":"oVaJt3HR","properties":{"formattedCitation":"[5]","plainCitation":"[5]","noteIndex":0},"citationItems":[{"id":1877,"uris":["http://zotero.org/users/9378318/items/4SDHWSRE"],"itemData":{"id":1877,"type":"article-journal","abstract":"Maximum likelihood or restricted maximum likelihood (REML) estimates of the parameters in linear mixed-eﬀects models can be determined using the lmer function in the lme4 package for R. As for most model-ﬁtting functions in R, the model is described in an lmer call by a formula, in this case including both ﬁxed- and random-eﬀects terms. The formula and data together determine a numerical representation of the model from which the proﬁled deviance or the proﬁled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proﬁled deviance or REML criterion, and the structure of classes or types that represents such a model. Suﬃcient detail is included to allow specialization of these structures by users who wish to write functions to ﬁt specialized linear mixed models, such as models incorporating pedigrees or smoothing splines, that are not easily expressible in the formula language used by lmer.","container-title":"Journal of Statistical Software","DOI":"10.18637/jss.v067.i01","ISSN":"1548-7660","issue":"1","journalAbbreviation":"J. Stat. Soft.","language":"en","source":"DOI.org (Crossref)","title":"Fitting Linear Mixed-Effects Models Using lme4","URL":"http://www.jstatsoft.org/v67/i01/","volume":"67","author":[{"family":"Bates","given":"Douglas"},{"family":"Mächler","given":"Martin"},{"family":"Bolker","given":"Ben"},{"family":"Walker","given":"Steve"}],"accessed":{"date-parts":[["2023",9,10]]},"issued":{"date-parts":[["2015"]]}}}],"schema":"https://github.com/citation-style-language/schema/raw/master/csl-citation.json"} </w:instrText>
      </w:r>
      <w:r w:rsidR="00B94E11">
        <w:rPr>
          <w:rFonts w:cstheme="minorHAnsi"/>
        </w:rPr>
        <w:fldChar w:fldCharType="separate"/>
      </w:r>
      <w:r w:rsidR="001A31BB" w:rsidRPr="001A31BB">
        <w:rPr>
          <w:rFonts w:ascii="Calibri" w:hAnsi="Calibri" w:cs="Calibri"/>
        </w:rPr>
        <w:t>[5]</w:t>
      </w:r>
      <w:r w:rsidR="00B94E11">
        <w:rPr>
          <w:rFonts w:cstheme="minorHAnsi"/>
        </w:rPr>
        <w:fldChar w:fldCharType="end"/>
      </w:r>
      <w:r w:rsidR="009A6669" w:rsidRPr="00AA4EC3">
        <w:rPr>
          <w:rFonts w:cstheme="minorHAnsi"/>
        </w:rPr>
        <w:t>.</w:t>
      </w:r>
      <w:r w:rsidR="009632BB" w:rsidRPr="00AA4EC3">
        <w:rPr>
          <w:rFonts w:cstheme="minorHAnsi"/>
        </w:rPr>
        <w:t xml:space="preserve"> The syntax is as follow</w:t>
      </w:r>
      <w:r w:rsidR="003A06E3">
        <w:rPr>
          <w:rFonts w:cstheme="minorHAnsi"/>
        </w:rPr>
        <w:t>s</w:t>
      </w:r>
      <w:r w:rsidR="009632BB" w:rsidRPr="00AA4EC3">
        <w:rPr>
          <w:rFonts w:cstheme="minorHAnsi"/>
        </w:rPr>
        <w:t xml:space="preserve">: </w:t>
      </w:r>
      <w:r w:rsidR="00AA4EC3">
        <w:rPr>
          <w:rFonts w:cstheme="minorHAnsi"/>
        </w:rPr>
        <w:t xml:space="preserve"> </w:t>
      </w:r>
    </w:p>
    <w:p w14:paraId="21E53CF3" w14:textId="6F020D5E" w:rsidR="002E5602" w:rsidRDefault="009632BB" w:rsidP="00AA4EC3">
      <w:pPr>
        <w:spacing w:after="0" w:line="480" w:lineRule="auto"/>
        <w:rPr>
          <w:rFonts w:cstheme="minorHAnsi"/>
        </w:rPr>
      </w:pPr>
      <w:r w:rsidRPr="00AA4EC3">
        <w:rPr>
          <w:rFonts w:cstheme="minorHAnsi"/>
        </w:rPr>
        <w:t xml:space="preserve">Mechanical sensitivity ~ 1 + time + time:Pain_During_HFS </w:t>
      </w:r>
      <w:r w:rsidR="00AA4EC3">
        <w:rPr>
          <w:rFonts w:cstheme="minorHAnsi"/>
        </w:rPr>
        <w:t xml:space="preserve"> </w:t>
      </w:r>
      <w:r w:rsidRPr="00AA4EC3">
        <w:rPr>
          <w:rFonts w:cstheme="minorHAnsi"/>
        </w:rPr>
        <w:t>+ Pain_During_HFS + (1 | PT)</w:t>
      </w:r>
      <w:r w:rsidR="009117C5" w:rsidRPr="00AA4EC3">
        <w:rPr>
          <w:rFonts w:cstheme="minorHAnsi"/>
        </w:rPr>
        <w:t xml:space="preserve">. </w:t>
      </w:r>
    </w:p>
    <w:p w14:paraId="271573E2" w14:textId="73981F75" w:rsidR="00A12FDD" w:rsidRPr="007A2C29" w:rsidRDefault="00827DF9" w:rsidP="00AA4EC3">
      <w:pPr>
        <w:spacing w:after="0" w:line="480" w:lineRule="auto"/>
        <w:rPr>
          <w:rFonts w:cstheme="minorHAnsi"/>
          <w:b/>
          <w:i/>
          <w:iCs/>
        </w:rPr>
      </w:pPr>
      <w:r w:rsidRPr="007A2C29">
        <w:rPr>
          <w:rFonts w:cstheme="minorHAnsi"/>
          <w:b/>
          <w:i/>
          <w:iCs/>
        </w:rPr>
        <w:t>Assessing the</w:t>
      </w:r>
      <w:r w:rsidR="00287515" w:rsidRPr="007A2C29">
        <w:rPr>
          <w:rFonts w:cstheme="minorHAnsi"/>
          <w:b/>
          <w:i/>
          <w:iCs/>
        </w:rPr>
        <w:t xml:space="preserve"> </w:t>
      </w:r>
      <w:r w:rsidR="007D474A" w:rsidRPr="007A2C29">
        <w:rPr>
          <w:rFonts w:cstheme="minorHAnsi"/>
          <w:b/>
          <w:i/>
          <w:iCs/>
        </w:rPr>
        <w:t xml:space="preserve">influence of attentional load </w:t>
      </w:r>
      <w:r w:rsidR="008F7CF2" w:rsidRPr="007A2C29">
        <w:rPr>
          <w:rFonts w:cstheme="minorHAnsi"/>
          <w:b/>
          <w:i/>
          <w:iCs/>
        </w:rPr>
        <w:t xml:space="preserve">on </w:t>
      </w:r>
      <w:r w:rsidRPr="007A2C29">
        <w:rPr>
          <w:rFonts w:cstheme="minorHAnsi"/>
          <w:b/>
          <w:i/>
          <w:iCs/>
        </w:rPr>
        <w:t>the control arm</w:t>
      </w:r>
      <w:r w:rsidR="00287515" w:rsidRPr="007A2C29">
        <w:rPr>
          <w:rFonts w:cstheme="minorHAnsi"/>
          <w:b/>
          <w:i/>
          <w:iCs/>
        </w:rPr>
        <w:t xml:space="preserve"> </w:t>
      </w:r>
    </w:p>
    <w:p w14:paraId="7B8AA23C" w14:textId="16F11BBC" w:rsidR="00827DF9" w:rsidRDefault="00827DF9" w:rsidP="008F4258">
      <w:pPr>
        <w:spacing w:after="0" w:line="480" w:lineRule="auto"/>
        <w:ind w:firstLine="720"/>
        <w:rPr>
          <w:rFonts w:cstheme="minorHAnsi"/>
        </w:rPr>
      </w:pPr>
      <w:r>
        <w:rPr>
          <w:rFonts w:cstheme="minorHAnsi"/>
        </w:rPr>
        <w:t xml:space="preserve">To </w:t>
      </w:r>
      <w:r w:rsidR="00114062">
        <w:rPr>
          <w:rFonts w:cstheme="minorHAnsi"/>
        </w:rPr>
        <w:t>check</w:t>
      </w:r>
      <w:r>
        <w:rPr>
          <w:rFonts w:cstheme="minorHAnsi"/>
        </w:rPr>
        <w:t xml:space="preserve"> whether the mechanical sensitivity assessed on the control arm (the </w:t>
      </w:r>
      <w:r w:rsidR="00114062">
        <w:rPr>
          <w:rFonts w:cstheme="minorHAnsi"/>
        </w:rPr>
        <w:t xml:space="preserve">arm </w:t>
      </w:r>
      <w:r w:rsidR="00482D94">
        <w:rPr>
          <w:rFonts w:cstheme="minorHAnsi"/>
        </w:rPr>
        <w:t xml:space="preserve">not </w:t>
      </w:r>
      <w:r>
        <w:rPr>
          <w:rFonts w:cstheme="minorHAnsi"/>
        </w:rPr>
        <w:t>sensitized) changed over time</w:t>
      </w:r>
      <w:r w:rsidR="00D86C40">
        <w:rPr>
          <w:rFonts w:cstheme="minorHAnsi"/>
        </w:rPr>
        <w:t>,</w:t>
      </w:r>
      <w:r>
        <w:rPr>
          <w:rFonts w:cstheme="minorHAnsi"/>
        </w:rPr>
        <w:t xml:space="preserve"> we used a liner mixed model. Specifically, we </w:t>
      </w:r>
      <w:r w:rsidRPr="00A4233B">
        <w:rPr>
          <w:rFonts w:cstheme="minorHAnsi"/>
        </w:rPr>
        <w:t>looked at the interaction between</w:t>
      </w:r>
      <w:r w:rsidR="008B157D">
        <w:rPr>
          <w:rFonts w:cstheme="minorHAnsi"/>
        </w:rPr>
        <w:t xml:space="preserve"> </w:t>
      </w:r>
      <w:r w:rsidR="008B157D" w:rsidRPr="008B157D">
        <w:rPr>
          <w:rFonts w:cstheme="minorHAnsi"/>
          <w:b/>
          <w:bCs/>
        </w:rPr>
        <w:t>time</w:t>
      </w:r>
      <w:r w:rsidRPr="00A4233B">
        <w:rPr>
          <w:rFonts w:cstheme="minorHAnsi"/>
        </w:rPr>
        <w:t xml:space="preserve"> (T0 </w:t>
      </w:r>
      <w:r w:rsidRPr="00A4233B">
        <w:rPr>
          <w:rFonts w:cstheme="minorHAnsi"/>
        </w:rPr>
        <w:sym w:font="Wingdings" w:char="F0E0"/>
      </w:r>
      <w:r w:rsidRPr="00A4233B">
        <w:rPr>
          <w:rFonts w:cstheme="minorHAnsi"/>
        </w:rPr>
        <w:t xml:space="preserve"> T1 and</w:t>
      </w:r>
      <w:r>
        <w:rPr>
          <w:rFonts w:cstheme="minorHAnsi"/>
        </w:rPr>
        <w:t xml:space="preserve"> </w:t>
      </w:r>
      <w:r w:rsidRPr="00A4233B">
        <w:rPr>
          <w:rFonts w:cstheme="minorHAnsi"/>
        </w:rPr>
        <w:t xml:space="preserve">T2) and </w:t>
      </w:r>
      <w:r w:rsidR="006E63C7" w:rsidRPr="008B157D">
        <w:rPr>
          <w:rFonts w:cstheme="minorHAnsi"/>
          <w:b/>
          <w:bCs/>
        </w:rPr>
        <w:t>condition</w:t>
      </w:r>
      <w:r w:rsidR="008B157D">
        <w:rPr>
          <w:rFonts w:cstheme="minorHAnsi"/>
          <w:b/>
        </w:rPr>
        <w:t xml:space="preserve"> </w:t>
      </w:r>
      <w:r w:rsidR="008B157D">
        <w:rPr>
          <w:rFonts w:cstheme="minorHAnsi"/>
          <w:bCs/>
        </w:rPr>
        <w:t>( difficult task vs. easy task).</w:t>
      </w:r>
      <w:r>
        <w:rPr>
          <w:rFonts w:cstheme="minorHAnsi"/>
          <w:b/>
        </w:rPr>
        <w:t xml:space="preserve"> </w:t>
      </w:r>
      <w:r w:rsidRPr="00A4233B">
        <w:rPr>
          <w:rFonts w:cstheme="minorHAnsi"/>
        </w:rPr>
        <w:t xml:space="preserve">We specified people’s overall mean mechanical sensitivity </w:t>
      </w:r>
      <w:r w:rsidR="009508DD">
        <w:rPr>
          <w:rFonts w:cstheme="minorHAnsi"/>
        </w:rPr>
        <w:t xml:space="preserve">on the control arm </w:t>
      </w:r>
      <w:r w:rsidRPr="00A4233B">
        <w:rPr>
          <w:rFonts w:cstheme="minorHAnsi"/>
        </w:rPr>
        <w:t>using a fixed effect (i.e., 1), and the average deviation of each person’s mean score from this averag</w:t>
      </w:r>
      <w:r w:rsidR="009508DD">
        <w:rPr>
          <w:rFonts w:cstheme="minorHAnsi"/>
        </w:rPr>
        <w:t>e</w:t>
      </w:r>
      <w:r w:rsidRPr="00A4233B">
        <w:rPr>
          <w:rFonts w:cstheme="minorHAnsi"/>
        </w:rPr>
        <w:t xml:space="preserve"> using random effects (i.e., 1 | Subject)</w:t>
      </w:r>
      <w:r>
        <w:rPr>
          <w:rFonts w:cstheme="minorHAnsi"/>
        </w:rPr>
        <w:t>, and w</w:t>
      </w:r>
      <w:r w:rsidRPr="00A4233B">
        <w:rPr>
          <w:rFonts w:cstheme="minorHAnsi"/>
        </w:rPr>
        <w:t xml:space="preserve">e modelled the change in mechanical sensitivity over time using a fixed slope (i.e., time). To interpret the fixed intercept as the grand mean of mechanical sensitivity, we </w:t>
      </w:r>
      <w:r w:rsidR="00841AE0">
        <w:rPr>
          <w:rFonts w:cstheme="minorHAnsi"/>
          <w:color w:val="FF0000"/>
        </w:rPr>
        <w:t>dummy code</w:t>
      </w:r>
      <w:r w:rsidR="00BA4681">
        <w:rPr>
          <w:rFonts w:cstheme="minorHAnsi"/>
          <w:color w:val="FF0000"/>
        </w:rPr>
        <w:t>d</w:t>
      </w:r>
      <w:r w:rsidR="00841AE0">
        <w:rPr>
          <w:rFonts w:cstheme="minorHAnsi"/>
          <w:color w:val="FF0000"/>
        </w:rPr>
        <w:t xml:space="preserve"> </w:t>
      </w:r>
      <w:r w:rsidR="00841AE0" w:rsidRPr="005D34B5">
        <w:rPr>
          <w:rFonts w:cstheme="minorHAnsi"/>
          <w:color w:val="FF0000"/>
        </w:rPr>
        <w:t>time</w:t>
      </w:r>
      <w:r w:rsidRPr="00A4233B">
        <w:rPr>
          <w:rFonts w:cstheme="minorHAnsi"/>
        </w:rPr>
        <w:t xml:space="preserve"> and </w:t>
      </w:r>
      <w:r w:rsidR="00993BF4">
        <w:rPr>
          <w:rFonts w:cstheme="minorHAnsi"/>
        </w:rPr>
        <w:t xml:space="preserve">condition </w:t>
      </w:r>
      <w:r w:rsidRPr="00A4233B">
        <w:rPr>
          <w:rFonts w:cstheme="minorHAnsi"/>
        </w:rPr>
        <w:t xml:space="preserve">so that their mean could be equal to zero. For the analysis, we used </w:t>
      </w:r>
      <w:r w:rsidRPr="00AA4EC3">
        <w:rPr>
          <w:rFonts w:cstheme="minorHAnsi"/>
        </w:rPr>
        <w:t>the R package lme4</w:t>
      </w:r>
      <w:r w:rsidR="006D513B">
        <w:rPr>
          <w:rFonts w:cstheme="minorHAnsi"/>
        </w:rPr>
        <w:fldChar w:fldCharType="begin"/>
      </w:r>
      <w:r w:rsidR="0019418B">
        <w:rPr>
          <w:rFonts w:cstheme="minorHAnsi"/>
        </w:rPr>
        <w:instrText xml:space="preserve"> ADDIN ZOTERO_ITEM CSL_CITATION {"citationID":"FpzG1R0l","properties":{"formattedCitation":"[5]","plainCitation":"[5]","noteIndex":0},"citationItems":[{"id":1877,"uris":["http://zotero.org/users/9378318/items/4SDHWSRE"],"itemData":{"id":1877,"type":"article-journal","abstract":"Maximum likelihood or restricted maximum likelihood (REML) estimates of the parameters in linear mixed-eﬀects models can be determined using the lmer function in the lme4 package for R. As for most model-ﬁtting functions in R, the model is described in an lmer call by a formula, in this case including both ﬁxed- and random-eﬀects terms. The formula and data together determine a numerical representation of the model from which the proﬁled deviance or the proﬁled REML criterion can be evaluated as a function of some of the model parameters. The appropriate criterion is optimized, using one of the constrained optimization functions in R, to provide the parameter estimates. We describe the structure of the model, the steps in evaluating the proﬁled deviance or REML criterion, and the structure of classes or types that represents such a model. Suﬃcient detail is included to allow specialization of these structures by users who wish to write functions to ﬁt specialized linear mixed models, such as models incorporating pedigrees or smoothing splines, that are not easily expressible in the formula language used by lmer.","container-title":"Journal of Statistical Software","DOI":"10.18637/jss.v067.i01","ISSN":"1548-7660","issue":"1","journalAbbreviation":"J. Stat. Soft.","language":"en","source":"DOI.org (Crossref)","title":"Fitting Linear Mixed-Effects Models Using lme4","URL":"http://www.jstatsoft.org/v67/i01/","volume":"67","author":[{"family":"Bates","given":"Douglas"},{"family":"Mächler","given":"Martin"},{"family":"Bolker","given":"Ben"},{"family":"Walker","given":"Steve"}],"accessed":{"date-parts":[["2023",9,10]]},"issued":{"date-parts":[["2015"]]}}}],"schema":"https://github.com/citation-style-language/schema/raw/master/csl-citation.json"} </w:instrText>
      </w:r>
      <w:r w:rsidR="006D513B">
        <w:rPr>
          <w:rFonts w:cstheme="minorHAnsi"/>
        </w:rPr>
        <w:fldChar w:fldCharType="separate"/>
      </w:r>
      <w:r w:rsidR="001A31BB" w:rsidRPr="001A31BB">
        <w:rPr>
          <w:rFonts w:ascii="Calibri" w:hAnsi="Calibri" w:cs="Calibri"/>
        </w:rPr>
        <w:t>[5]</w:t>
      </w:r>
      <w:r w:rsidR="006D513B">
        <w:rPr>
          <w:rFonts w:cstheme="minorHAnsi"/>
        </w:rPr>
        <w:fldChar w:fldCharType="end"/>
      </w:r>
      <w:r w:rsidRPr="00AA4EC3">
        <w:rPr>
          <w:rFonts w:cstheme="minorHAnsi"/>
        </w:rPr>
        <w:t>. The syntax is as follow</w:t>
      </w:r>
      <w:r w:rsidR="003A06E3">
        <w:rPr>
          <w:rFonts w:cstheme="minorHAnsi"/>
        </w:rPr>
        <w:t>s</w:t>
      </w:r>
      <w:r w:rsidRPr="00AA4EC3">
        <w:rPr>
          <w:rFonts w:cstheme="minorHAnsi"/>
        </w:rPr>
        <w:t xml:space="preserve">: </w:t>
      </w:r>
      <w:r>
        <w:rPr>
          <w:rFonts w:cstheme="minorHAnsi"/>
        </w:rPr>
        <w:t xml:space="preserve"> </w:t>
      </w:r>
    </w:p>
    <w:p w14:paraId="3C0F78B8" w14:textId="20C965BC" w:rsidR="002E5602" w:rsidRDefault="00827DF9" w:rsidP="00AA4EC3">
      <w:pPr>
        <w:spacing w:after="0" w:line="480" w:lineRule="auto"/>
        <w:rPr>
          <w:rFonts w:cstheme="minorHAnsi"/>
        </w:rPr>
      </w:pPr>
      <w:r w:rsidRPr="00AA4EC3">
        <w:rPr>
          <w:rFonts w:cstheme="minorHAnsi"/>
        </w:rPr>
        <w:t>Mechanical sensitivity</w:t>
      </w:r>
      <w:r w:rsidR="00287515">
        <w:rPr>
          <w:rFonts w:cstheme="minorHAnsi"/>
        </w:rPr>
        <w:t>_controlArm</w:t>
      </w:r>
      <w:r w:rsidRPr="00AA4EC3">
        <w:rPr>
          <w:rFonts w:cstheme="minorHAnsi"/>
        </w:rPr>
        <w:t xml:space="preserve"> ~ 1 + time +</w:t>
      </w:r>
      <w:r w:rsidR="00993BF4" w:rsidRPr="00AA4EC3">
        <w:rPr>
          <w:rFonts w:cstheme="minorHAnsi"/>
        </w:rPr>
        <w:t>(1 |PT)</w:t>
      </w:r>
      <w:r w:rsidR="00993BF4">
        <w:rPr>
          <w:rFonts w:cstheme="minorHAnsi"/>
        </w:rPr>
        <w:t xml:space="preserve"> + Condition +</w:t>
      </w:r>
      <w:r w:rsidRPr="00AA4EC3">
        <w:rPr>
          <w:rFonts w:cstheme="minorHAnsi"/>
        </w:rPr>
        <w:t xml:space="preserve"> </w:t>
      </w:r>
      <w:r w:rsidR="00993BF4">
        <w:rPr>
          <w:rFonts w:cstheme="minorHAnsi"/>
        </w:rPr>
        <w:t>Time</w:t>
      </w:r>
      <w:r w:rsidRPr="00AA4EC3">
        <w:rPr>
          <w:rFonts w:cstheme="minorHAnsi"/>
        </w:rPr>
        <w:t>:</w:t>
      </w:r>
      <w:r w:rsidR="00993BF4">
        <w:rPr>
          <w:rFonts w:cstheme="minorHAnsi"/>
        </w:rPr>
        <w:t xml:space="preserve"> Condition. </w:t>
      </w:r>
    </w:p>
    <w:p w14:paraId="2B9E0895" w14:textId="4D7105F3" w:rsidR="000214DB" w:rsidRPr="007A2C29" w:rsidRDefault="000214DB" w:rsidP="000214DB">
      <w:pPr>
        <w:spacing w:after="0" w:line="480" w:lineRule="auto"/>
        <w:rPr>
          <w:b/>
          <w:bCs/>
          <w:i/>
          <w:iCs/>
          <w:lang w:val="en-GB"/>
        </w:rPr>
      </w:pPr>
      <w:r w:rsidRPr="007A2C29">
        <w:rPr>
          <w:b/>
          <w:bCs/>
          <w:i/>
          <w:iCs/>
          <w:lang w:val="en-GB"/>
        </w:rPr>
        <w:t xml:space="preserve">Individual differences as possible moderators of the </w:t>
      </w:r>
      <w:r w:rsidR="00101ADD" w:rsidRPr="007A2C29">
        <w:rPr>
          <w:b/>
          <w:bCs/>
          <w:i/>
          <w:iCs/>
          <w:lang w:val="en-GB"/>
        </w:rPr>
        <w:t>change in mechanical sensitivity after HFS</w:t>
      </w:r>
    </w:p>
    <w:p w14:paraId="7FF7DA5B" w14:textId="4D2527C1" w:rsidR="00FB6537" w:rsidRDefault="000214DB" w:rsidP="00FB6537">
      <w:pPr>
        <w:spacing w:after="0" w:line="480" w:lineRule="auto"/>
        <w:ind w:firstLine="720"/>
        <w:rPr>
          <w:rFonts w:cstheme="minorHAnsi"/>
        </w:rPr>
      </w:pPr>
      <w:r>
        <w:rPr>
          <w:color w:val="000000" w:themeColor="text1"/>
        </w:rPr>
        <w:t>To explore whether individual differences in (1) trait anxiety, (</w:t>
      </w:r>
      <w:r w:rsidR="00196B6B">
        <w:rPr>
          <w:color w:val="000000" w:themeColor="text1"/>
        </w:rPr>
        <w:t>2</w:t>
      </w:r>
      <w:r>
        <w:rPr>
          <w:color w:val="000000" w:themeColor="text1"/>
        </w:rPr>
        <w:t>) pain vigilance and awareness and (3) pain anxiety symptoms moderated the development of mechanical sensitivity</w:t>
      </w:r>
      <w:r w:rsidR="007C48F4">
        <w:rPr>
          <w:color w:val="000000" w:themeColor="text1"/>
        </w:rPr>
        <w:t xml:space="preserve"> on the HFS-treated arm</w:t>
      </w:r>
      <w:r>
        <w:rPr>
          <w:color w:val="000000" w:themeColor="text1"/>
        </w:rPr>
        <w:t>, w</w:t>
      </w:r>
      <w:r w:rsidRPr="00E37869">
        <w:rPr>
          <w:color w:val="000000" w:themeColor="text1"/>
        </w:rPr>
        <w:t>e</w:t>
      </w:r>
      <w:r>
        <w:rPr>
          <w:color w:val="000000" w:themeColor="text1"/>
        </w:rPr>
        <w:t xml:space="preserve"> used </w:t>
      </w:r>
      <w:r w:rsidR="007C48F4">
        <w:rPr>
          <w:color w:val="000000" w:themeColor="text1"/>
        </w:rPr>
        <w:t xml:space="preserve">separate </w:t>
      </w:r>
      <w:r>
        <w:rPr>
          <w:color w:val="000000" w:themeColor="text1"/>
        </w:rPr>
        <w:t xml:space="preserve">multiple </w:t>
      </w:r>
      <w:r w:rsidRPr="00E37869">
        <w:rPr>
          <w:color w:val="000000" w:themeColor="text1"/>
        </w:rPr>
        <w:t xml:space="preserve">linear mixed models </w:t>
      </w:r>
      <w:r w:rsidR="007C48F4">
        <w:rPr>
          <w:color w:val="000000" w:themeColor="text1"/>
        </w:rPr>
        <w:t>for each p</w:t>
      </w:r>
      <w:r w:rsidR="003A06E3">
        <w:rPr>
          <w:color w:val="000000" w:themeColor="text1"/>
        </w:rPr>
        <w:t>s</w:t>
      </w:r>
      <w:r w:rsidR="007C48F4">
        <w:rPr>
          <w:color w:val="000000" w:themeColor="text1"/>
        </w:rPr>
        <w:t xml:space="preserve">ychological trait </w:t>
      </w:r>
      <w:r>
        <w:rPr>
          <w:color w:val="000000" w:themeColor="text1"/>
        </w:rPr>
        <w:lastRenderedPageBreak/>
        <w:t xml:space="preserve">considering the interaction between Time (T0 to T1 and T2) and each scale’s total score (grand-mean centred). </w:t>
      </w:r>
      <w:r>
        <w:rPr>
          <w:lang w:val="en-GB"/>
        </w:rPr>
        <w:t xml:space="preserve">We specified people’s overall mean mechanical sensitivity using a fixed effect (i.e., 1), and the average deviation of each person’s </w:t>
      </w:r>
      <w:r w:rsidR="00326D05">
        <w:rPr>
          <w:lang w:val="en-GB"/>
        </w:rPr>
        <w:t>mechanical sensitivity score</w:t>
      </w:r>
      <w:r>
        <w:rPr>
          <w:lang w:val="en-GB"/>
        </w:rPr>
        <w:t xml:space="preserve"> from this average, using random effects (i.e., 1 | Subject).</w:t>
      </w:r>
      <w:r w:rsidR="00351BC8">
        <w:rPr>
          <w:lang w:val="en-GB"/>
        </w:rPr>
        <w:t xml:space="preserve"> </w:t>
      </w:r>
      <w:r w:rsidR="00FB6537" w:rsidRPr="00AA4EC3">
        <w:rPr>
          <w:rFonts w:cstheme="minorHAnsi"/>
        </w:rPr>
        <w:t>The syntax is as follow</w:t>
      </w:r>
      <w:r w:rsidR="003A06E3">
        <w:rPr>
          <w:rFonts w:cstheme="minorHAnsi"/>
        </w:rPr>
        <w:t>s</w:t>
      </w:r>
      <w:r w:rsidR="00FB6537" w:rsidRPr="00AA4EC3">
        <w:rPr>
          <w:rFonts w:cstheme="minorHAnsi"/>
        </w:rPr>
        <w:t xml:space="preserve">: </w:t>
      </w:r>
      <w:r w:rsidR="00FB6537">
        <w:rPr>
          <w:rFonts w:cstheme="minorHAnsi"/>
        </w:rPr>
        <w:t xml:space="preserve"> </w:t>
      </w:r>
    </w:p>
    <w:p w14:paraId="24B06CE9" w14:textId="1D324D8F" w:rsidR="000214DB" w:rsidRPr="00066C54" w:rsidRDefault="007169E5" w:rsidP="00AA4EC3">
      <w:pPr>
        <w:spacing w:after="0" w:line="480" w:lineRule="auto"/>
        <w:rPr>
          <w:lang w:val="en-GB"/>
        </w:rPr>
      </w:pPr>
      <w:r w:rsidRPr="007169E5">
        <w:rPr>
          <w:lang w:val="en-GB"/>
        </w:rPr>
        <w:t>(</w:t>
      </w:r>
      <w:r w:rsidRPr="00AA4EC3">
        <w:rPr>
          <w:rFonts w:cstheme="minorHAnsi"/>
        </w:rPr>
        <w:t>Mechanical sensitivity</w:t>
      </w:r>
      <w:r w:rsidRPr="007169E5">
        <w:rPr>
          <w:lang w:val="en-GB"/>
        </w:rPr>
        <w:t xml:space="preserve"> ~ 1+ time + (1|PT) + Tot_score + Tot_score:time</w:t>
      </w:r>
      <w:r>
        <w:rPr>
          <w:lang w:val="en-GB"/>
        </w:rPr>
        <w:t>, with T</w:t>
      </w:r>
      <w:r w:rsidR="00C54A2B">
        <w:rPr>
          <w:lang w:val="en-GB"/>
        </w:rPr>
        <w:t>ot_score being the total score of ea</w:t>
      </w:r>
      <w:r w:rsidR="00091413">
        <w:rPr>
          <w:lang w:val="en-GB"/>
        </w:rPr>
        <w:t>c</w:t>
      </w:r>
      <w:r w:rsidR="00C54A2B">
        <w:rPr>
          <w:lang w:val="en-GB"/>
        </w:rPr>
        <w:t>h questionnaire</w:t>
      </w:r>
      <w:r w:rsidR="00066C54">
        <w:rPr>
          <w:lang w:val="en-GB"/>
        </w:rPr>
        <w:t>.</w:t>
      </w:r>
      <w:r w:rsidR="00091413">
        <w:rPr>
          <w:lang w:val="en-GB"/>
        </w:rPr>
        <w:t>)</w:t>
      </w:r>
      <w:r w:rsidR="00066C54">
        <w:rPr>
          <w:lang w:val="en-GB"/>
        </w:rPr>
        <w:t xml:space="preserve"> </w:t>
      </w:r>
    </w:p>
    <w:p w14:paraId="7EB068E1" w14:textId="33848F35" w:rsidR="007372DD" w:rsidRPr="008668CC" w:rsidRDefault="007372DD" w:rsidP="007372DD">
      <w:pPr>
        <w:pStyle w:val="Default"/>
        <w:spacing w:line="480" w:lineRule="auto"/>
        <w:rPr>
          <w:rFonts w:asciiTheme="minorHAnsi" w:hAnsiTheme="minorHAnsi" w:cstheme="minorHAnsi"/>
          <w:sz w:val="28"/>
          <w:szCs w:val="28"/>
          <w:lang w:val="en-US"/>
        </w:rPr>
      </w:pPr>
      <w:r w:rsidRPr="008668CC">
        <w:rPr>
          <w:rFonts w:asciiTheme="minorHAnsi" w:hAnsiTheme="minorHAnsi" w:cstheme="minorHAnsi"/>
          <w:b/>
          <w:bCs/>
          <w:sz w:val="28"/>
          <w:szCs w:val="28"/>
          <w:lang w:val="en-US"/>
        </w:rPr>
        <w:t xml:space="preserve">Results </w:t>
      </w:r>
    </w:p>
    <w:p w14:paraId="50B4814A" w14:textId="77777777" w:rsidR="007372DD" w:rsidRPr="00A4233B" w:rsidRDefault="007372DD" w:rsidP="007372DD">
      <w:pPr>
        <w:spacing w:after="0" w:line="480" w:lineRule="auto"/>
        <w:rPr>
          <w:rFonts w:cstheme="minorHAnsi"/>
          <w:b/>
          <w:bCs/>
        </w:rPr>
      </w:pPr>
      <w:r w:rsidRPr="00A4233B">
        <w:rPr>
          <w:rFonts w:cstheme="minorHAnsi"/>
          <w:b/>
          <w:bCs/>
        </w:rPr>
        <w:t>Data availability</w:t>
      </w:r>
    </w:p>
    <w:p w14:paraId="3935E7F6" w14:textId="0842F409" w:rsidR="00291937" w:rsidRPr="00291937" w:rsidRDefault="007372DD" w:rsidP="00291937">
      <w:pPr>
        <w:spacing w:after="0" w:line="480" w:lineRule="auto"/>
        <w:rPr>
          <w:rFonts w:cstheme="minorHAnsi"/>
        </w:rPr>
      </w:pPr>
      <w:r w:rsidRPr="00A4233B">
        <w:rPr>
          <w:rFonts w:cstheme="minorHAnsi"/>
          <w:b/>
          <w:bCs/>
        </w:rPr>
        <w:tab/>
      </w:r>
      <w:r w:rsidR="00B421D0" w:rsidRPr="00A4233B">
        <w:rPr>
          <w:rFonts w:cstheme="minorHAnsi"/>
        </w:rPr>
        <w:t xml:space="preserve"> </w:t>
      </w:r>
      <w:r w:rsidR="00291937" w:rsidRPr="00291937">
        <w:rPr>
          <w:rFonts w:cstheme="minorHAnsi"/>
        </w:rPr>
        <w:t>Table</w:t>
      </w:r>
      <w:r w:rsidR="00B76440">
        <w:rPr>
          <w:rFonts w:cstheme="minorHAnsi"/>
        </w:rPr>
        <w:t>s in</w:t>
      </w:r>
      <w:r w:rsidR="00291937" w:rsidRPr="00291937">
        <w:rPr>
          <w:rFonts w:cstheme="minorHAnsi"/>
        </w:rPr>
        <w:t xml:space="preserve"> SDC present the descriptives (mean ± standard deviation) per condition of all</w:t>
      </w:r>
    </w:p>
    <w:p w14:paraId="57391152" w14:textId="003E7733" w:rsidR="009430D4" w:rsidRDefault="00291937" w:rsidP="00291937">
      <w:pPr>
        <w:spacing w:after="0" w:line="480" w:lineRule="auto"/>
        <w:rPr>
          <w:rFonts w:cstheme="minorHAnsi"/>
        </w:rPr>
      </w:pPr>
      <w:r w:rsidRPr="00291937">
        <w:rPr>
          <w:rFonts w:cstheme="minorHAnsi"/>
        </w:rPr>
        <w:t xml:space="preserve">reported measures. </w:t>
      </w:r>
      <w:r w:rsidR="00B76440">
        <w:rPr>
          <w:rFonts w:cstheme="minorHAnsi"/>
        </w:rPr>
        <w:t xml:space="preserve">The data are available via </w:t>
      </w:r>
    </w:p>
    <w:p w14:paraId="37D0CFF8" w14:textId="5A4B2E3C" w:rsidR="007372DD" w:rsidRPr="00A4233B" w:rsidRDefault="007372DD" w:rsidP="00291937">
      <w:pPr>
        <w:spacing w:after="0" w:line="480" w:lineRule="auto"/>
        <w:rPr>
          <w:rFonts w:cstheme="minorHAnsi"/>
        </w:rPr>
      </w:pPr>
      <w:r w:rsidRPr="00A4233B">
        <w:rPr>
          <w:rFonts w:cstheme="minorHAnsi"/>
        </w:rPr>
        <w:t>[</w:t>
      </w:r>
      <w:r w:rsidRPr="008337B6">
        <w:rPr>
          <w:rFonts w:cstheme="minorHAnsi"/>
          <w:i/>
          <w:iCs/>
        </w:rPr>
        <w:t>The final analysis scripts and results files will be uploaded upon publication of the paper in a peer-reviewed journal</w:t>
      </w:r>
      <w:r w:rsidR="008337B6" w:rsidRPr="008337B6">
        <w:rPr>
          <w:rFonts w:cstheme="minorHAnsi"/>
          <w:i/>
          <w:iCs/>
        </w:rPr>
        <w:t>.</w:t>
      </w:r>
      <w:r w:rsidRPr="008337B6">
        <w:rPr>
          <w:rFonts w:cstheme="minorHAnsi"/>
          <w:i/>
          <w:iCs/>
        </w:rPr>
        <w:t>]</w:t>
      </w:r>
    </w:p>
    <w:p w14:paraId="60C73FFF" w14:textId="7375FA44" w:rsidR="007372DD" w:rsidRPr="007A2C29" w:rsidRDefault="007372DD" w:rsidP="007372DD">
      <w:pPr>
        <w:spacing w:after="0" w:line="480" w:lineRule="auto"/>
        <w:rPr>
          <w:rFonts w:cstheme="minorHAnsi"/>
          <w:b/>
          <w:bCs/>
          <w:i/>
          <w:iCs/>
        </w:rPr>
      </w:pPr>
      <w:r w:rsidRPr="007A2C29">
        <w:rPr>
          <w:rFonts w:cstheme="minorHAnsi"/>
          <w:b/>
          <w:bCs/>
          <w:i/>
          <w:iCs/>
        </w:rPr>
        <w:t>Participants</w:t>
      </w:r>
    </w:p>
    <w:p w14:paraId="670AEECD" w14:textId="3911727F" w:rsidR="007372DD" w:rsidRDefault="007372DD" w:rsidP="007372DD">
      <w:pPr>
        <w:spacing w:after="0" w:line="480" w:lineRule="auto"/>
        <w:rPr>
          <w:rFonts w:cstheme="minorHAnsi"/>
          <w:color w:val="000000" w:themeColor="text1"/>
        </w:rPr>
      </w:pPr>
      <w:r w:rsidRPr="00A4233B">
        <w:rPr>
          <w:rFonts w:cstheme="minorHAnsi"/>
        </w:rPr>
        <w:tab/>
        <w:t xml:space="preserve">Out of the initial 92 participants, </w:t>
      </w:r>
      <w:r w:rsidR="00ED2E27" w:rsidRPr="00480C87">
        <w:rPr>
          <w:rFonts w:cstheme="minorHAnsi"/>
          <w:color w:val="FF0000"/>
        </w:rPr>
        <w:t>7</w:t>
      </w:r>
      <w:r w:rsidR="00ED2E27">
        <w:rPr>
          <w:rFonts w:cstheme="minorHAnsi"/>
        </w:rPr>
        <w:t xml:space="preserve"> </w:t>
      </w:r>
      <w:r w:rsidRPr="00A4233B">
        <w:rPr>
          <w:rFonts w:cstheme="minorHAnsi"/>
        </w:rPr>
        <w:t>had to be excluded from the analysis;</w:t>
      </w:r>
      <w:r w:rsidR="00480C87">
        <w:rPr>
          <w:rFonts w:cstheme="minorHAnsi"/>
        </w:rPr>
        <w:t xml:space="preserve"> </w:t>
      </w:r>
      <w:r w:rsidR="00480C87" w:rsidRPr="00480C87">
        <w:rPr>
          <w:rFonts w:cstheme="minorHAnsi"/>
          <w:color w:val="FF0000"/>
        </w:rPr>
        <w:t>6</w:t>
      </w:r>
      <w:r w:rsidR="00B02263" w:rsidRPr="00A4233B">
        <w:rPr>
          <w:rFonts w:cstheme="minorHAnsi"/>
        </w:rPr>
        <w:t xml:space="preserve"> </w:t>
      </w:r>
      <w:r w:rsidRPr="00A4233B">
        <w:rPr>
          <w:rFonts w:cstheme="minorHAnsi"/>
        </w:rPr>
        <w:t xml:space="preserve">of them withdrew from the study after the first HFS train, and </w:t>
      </w:r>
      <w:r w:rsidR="00B02263">
        <w:rPr>
          <w:rFonts w:cstheme="minorHAnsi"/>
        </w:rPr>
        <w:t>1</w:t>
      </w:r>
      <w:r w:rsidR="00B02263" w:rsidRPr="00A4233B">
        <w:rPr>
          <w:rFonts w:cstheme="minorHAnsi"/>
        </w:rPr>
        <w:t xml:space="preserve"> </w:t>
      </w:r>
      <w:r w:rsidRPr="00A4233B">
        <w:rPr>
          <w:rFonts w:cstheme="minorHAnsi"/>
        </w:rPr>
        <w:t>individual was found to have rehearsed aloud the sequence of numbers during task performance. As a result, the final sample size comprised 43 participants in the easy-task group and 42 participants in the difficult-task group (N=85; Age</w:t>
      </w:r>
      <w:r w:rsidR="00FA7E8A">
        <w:rPr>
          <w:rFonts w:cstheme="minorHAnsi"/>
        </w:rPr>
        <w:t xml:space="preserve">, </w:t>
      </w:r>
      <w:r w:rsidRPr="00A4233B">
        <w:rPr>
          <w:rFonts w:cstheme="minorHAnsi"/>
        </w:rPr>
        <w:t>mean ± SD</w:t>
      </w:r>
      <w:r w:rsidR="00B479B4">
        <w:rPr>
          <w:rFonts w:cstheme="minorHAnsi"/>
        </w:rPr>
        <w:t xml:space="preserve"> </w:t>
      </w:r>
      <w:r w:rsidRPr="00A4233B">
        <w:rPr>
          <w:rFonts w:cstheme="minorHAnsi"/>
        </w:rPr>
        <w:t>= 23.1± 3.8; Nationality (%) = Belgian 70,6%; Gender</w:t>
      </w:r>
      <w:r w:rsidR="00B479B4">
        <w:rPr>
          <w:rFonts w:cstheme="minorHAnsi"/>
        </w:rPr>
        <w:t xml:space="preserve"> </w:t>
      </w:r>
      <w:r w:rsidRPr="00A4233B">
        <w:rPr>
          <w:rFonts w:cstheme="minorHAnsi"/>
        </w:rPr>
        <w:t xml:space="preserve">(%) = 74.1% Female; </w:t>
      </w:r>
      <w:r w:rsidR="00DE6696">
        <w:rPr>
          <w:rFonts w:cstheme="minorHAnsi"/>
        </w:rPr>
        <w:t>Digit Span = 7</w:t>
      </w:r>
      <w:r w:rsidR="00DE6696" w:rsidRPr="00A4233B">
        <w:rPr>
          <w:rFonts w:cstheme="minorHAnsi"/>
        </w:rPr>
        <w:t>±</w:t>
      </w:r>
      <w:r w:rsidR="00DE6696">
        <w:rPr>
          <w:rFonts w:cstheme="minorHAnsi"/>
        </w:rPr>
        <w:t xml:space="preserve"> 0.8; </w:t>
      </w:r>
      <w:r w:rsidRPr="00A4233B">
        <w:rPr>
          <w:rFonts w:cstheme="minorHAnsi"/>
        </w:rPr>
        <w:t xml:space="preserve">see </w:t>
      </w:r>
      <w:r w:rsidRPr="00DE6696">
        <w:rPr>
          <w:rFonts w:cstheme="minorHAnsi"/>
          <w:b/>
        </w:rPr>
        <w:t>Table SDC-1</w:t>
      </w:r>
      <w:r w:rsidRPr="00A4233B">
        <w:rPr>
          <w:rFonts w:cstheme="minorHAnsi"/>
        </w:rPr>
        <w:t xml:space="preserve">). </w:t>
      </w:r>
      <w:r w:rsidRPr="00A4233B">
        <w:rPr>
          <w:rFonts w:cstheme="minorHAnsi"/>
          <w:color w:val="000000" w:themeColor="text1"/>
        </w:rPr>
        <w:t xml:space="preserve">Subjective threshold to a single electrical stimulus did not differ between the difficult (N=42, </w:t>
      </w:r>
      <w:r w:rsidR="00FA7E8A" w:rsidRPr="00A4233B">
        <w:rPr>
          <w:rFonts w:cstheme="minorHAnsi"/>
        </w:rPr>
        <w:t>mean ± SD</w:t>
      </w:r>
      <w:r w:rsidR="00FA7E8A" w:rsidRPr="00A4233B" w:rsidDel="000B0C62">
        <w:rPr>
          <w:rFonts w:cstheme="minorHAnsi"/>
          <w:color w:val="000000" w:themeColor="text1"/>
        </w:rPr>
        <w:t xml:space="preserve"> </w:t>
      </w:r>
      <w:r w:rsidR="00FA7E8A">
        <w:rPr>
          <w:rFonts w:cstheme="minorHAnsi"/>
          <w:color w:val="000000" w:themeColor="text1"/>
        </w:rPr>
        <w:t xml:space="preserve">= </w:t>
      </w:r>
      <w:r w:rsidRPr="00A4233B">
        <w:rPr>
          <w:rFonts w:cstheme="minorHAnsi"/>
          <w:color w:val="000000" w:themeColor="text1"/>
        </w:rPr>
        <w:t xml:space="preserve">3.86± 1.24) and the easy (N= 43, </w:t>
      </w:r>
      <w:r w:rsidR="00FA7E8A" w:rsidRPr="00A4233B">
        <w:rPr>
          <w:rFonts w:cstheme="minorHAnsi"/>
        </w:rPr>
        <w:t>mean ± SD</w:t>
      </w:r>
      <w:r w:rsidR="00FA7E8A" w:rsidRPr="00A4233B" w:rsidDel="000B0C62">
        <w:rPr>
          <w:rFonts w:cstheme="minorHAnsi"/>
          <w:color w:val="000000" w:themeColor="text1"/>
        </w:rPr>
        <w:t xml:space="preserve"> </w:t>
      </w:r>
      <w:r w:rsidR="00FA7E8A">
        <w:rPr>
          <w:rFonts w:cstheme="minorHAnsi"/>
          <w:color w:val="000000" w:themeColor="text1"/>
        </w:rPr>
        <w:t xml:space="preserve">= </w:t>
      </w:r>
      <w:r w:rsidRPr="00A4233B">
        <w:rPr>
          <w:rFonts w:cstheme="minorHAnsi"/>
          <w:color w:val="000000" w:themeColor="text1"/>
        </w:rPr>
        <w:t xml:space="preserve">3.84 ± 1.16) </w:t>
      </w:r>
      <w:r w:rsidR="00B02263">
        <w:rPr>
          <w:rFonts w:cstheme="minorHAnsi"/>
          <w:color w:val="000000" w:themeColor="text1"/>
        </w:rPr>
        <w:t>groups</w:t>
      </w:r>
      <w:r w:rsidRPr="00A4233B">
        <w:rPr>
          <w:rFonts w:cstheme="minorHAnsi"/>
          <w:color w:val="000000" w:themeColor="text1"/>
        </w:rPr>
        <w:t xml:space="preserve">, as confirmed by Wilcoxon signed-rank test </w:t>
      </w:r>
      <w:r w:rsidR="00993BF4">
        <w:rPr>
          <w:rFonts w:cstheme="minorHAnsi"/>
          <w:color w:val="000000" w:themeColor="text1"/>
        </w:rPr>
        <w:t>(</w:t>
      </w:r>
      <w:r w:rsidRPr="00A4233B">
        <w:rPr>
          <w:rFonts w:cstheme="minorHAnsi"/>
          <w:color w:val="000000" w:themeColor="text1"/>
        </w:rPr>
        <w:t xml:space="preserve">V= 817, d= .018 p=.87). </w:t>
      </w:r>
    </w:p>
    <w:p w14:paraId="087B59C2" w14:textId="77777777" w:rsidR="00D86C40" w:rsidRPr="007A2C29" w:rsidRDefault="00D86C40" w:rsidP="00D86C40">
      <w:pPr>
        <w:spacing w:after="0" w:line="480" w:lineRule="auto"/>
        <w:rPr>
          <w:rFonts w:cstheme="minorHAnsi"/>
          <w:i/>
          <w:iCs/>
          <w:color w:val="000000" w:themeColor="text1"/>
        </w:rPr>
      </w:pPr>
      <w:r w:rsidRPr="007A2C29">
        <w:rPr>
          <w:rFonts w:cstheme="minorHAnsi"/>
          <w:b/>
          <w:bCs/>
          <w:i/>
          <w:iCs/>
          <w:color w:val="000000" w:themeColor="text1"/>
        </w:rPr>
        <w:t xml:space="preserve">Accuracy in the task, Task perceived difficulty and perceived pain during HFS </w:t>
      </w:r>
    </w:p>
    <w:p w14:paraId="7F2F297C" w14:textId="3407AB7A" w:rsidR="00D86C40" w:rsidRPr="00A4233B" w:rsidRDefault="00D86C40" w:rsidP="008F4258">
      <w:pPr>
        <w:spacing w:after="0" w:line="480" w:lineRule="auto"/>
        <w:ind w:firstLine="720"/>
        <w:rPr>
          <w:rFonts w:cstheme="minorHAnsi"/>
          <w:color w:val="000000" w:themeColor="text1"/>
        </w:rPr>
      </w:pPr>
      <w:r>
        <w:rPr>
          <w:rFonts w:cstheme="minorHAnsi"/>
          <w:bCs/>
          <w:color w:val="000000" w:themeColor="text1"/>
        </w:rPr>
        <w:t xml:space="preserve">Accuracy in the task, i.e., </w:t>
      </w:r>
      <w:r>
        <w:rPr>
          <w:rFonts w:cstheme="minorHAnsi"/>
          <w:color w:val="000000" w:themeColor="text1"/>
        </w:rPr>
        <w:t>n</w:t>
      </w:r>
      <w:r w:rsidRPr="00A4233B">
        <w:rPr>
          <w:rFonts w:cstheme="minorHAnsi"/>
          <w:color w:val="000000" w:themeColor="text1"/>
        </w:rPr>
        <w:t xml:space="preserve">umber of correct answers during </w:t>
      </w:r>
      <w:r>
        <w:rPr>
          <w:rFonts w:cstheme="minorHAnsi"/>
          <w:color w:val="000000" w:themeColor="text1"/>
        </w:rPr>
        <w:t>the trials of the visual task paired with the HFS trains</w:t>
      </w:r>
      <w:r w:rsidR="000362DF">
        <w:rPr>
          <w:rFonts w:cstheme="minorHAnsi"/>
          <w:color w:val="000000" w:themeColor="text1"/>
        </w:rPr>
        <w:t>,</w:t>
      </w:r>
      <w:r>
        <w:rPr>
          <w:rFonts w:cstheme="minorHAnsi"/>
          <w:color w:val="000000" w:themeColor="text1"/>
        </w:rPr>
        <w:t xml:space="preserve"> </w:t>
      </w:r>
      <w:r w:rsidRPr="00A4233B">
        <w:rPr>
          <w:rFonts w:cstheme="minorHAnsi"/>
          <w:color w:val="000000" w:themeColor="text1"/>
        </w:rPr>
        <w:t xml:space="preserve"> </w:t>
      </w:r>
      <w:r>
        <w:rPr>
          <w:rFonts w:cstheme="minorHAnsi"/>
          <w:color w:val="000000" w:themeColor="text1"/>
        </w:rPr>
        <w:t xml:space="preserve">was </w:t>
      </w:r>
      <w:r w:rsidRPr="00A4233B">
        <w:rPr>
          <w:rFonts w:cstheme="minorHAnsi"/>
          <w:color w:val="000000" w:themeColor="text1"/>
        </w:rPr>
        <w:t>significant</w:t>
      </w:r>
      <w:r>
        <w:rPr>
          <w:rFonts w:cstheme="minorHAnsi"/>
          <w:color w:val="000000" w:themeColor="text1"/>
        </w:rPr>
        <w:t>ly</w:t>
      </w:r>
      <w:r w:rsidRPr="00A4233B">
        <w:rPr>
          <w:rFonts w:cstheme="minorHAnsi"/>
          <w:color w:val="000000" w:themeColor="text1"/>
        </w:rPr>
        <w:t xml:space="preserve"> differen</w:t>
      </w:r>
      <w:r>
        <w:rPr>
          <w:rFonts w:cstheme="minorHAnsi"/>
          <w:color w:val="000000" w:themeColor="text1"/>
        </w:rPr>
        <w:t>t</w:t>
      </w:r>
      <w:r w:rsidRPr="00A4233B">
        <w:rPr>
          <w:rFonts w:cstheme="minorHAnsi"/>
          <w:color w:val="000000" w:themeColor="text1"/>
        </w:rPr>
        <w:t xml:space="preserve"> between the difficult-task condition (Mdn= 7, IQR= 4, range= 1- 12) and the easy-task one (Mdn=12, IQR= 1, range= 3-12; V= 179, p &gt; .001, r=.7)</w:t>
      </w:r>
      <w:r>
        <w:rPr>
          <w:rFonts w:cstheme="minorHAnsi"/>
          <w:color w:val="000000" w:themeColor="text1"/>
        </w:rPr>
        <w:t>, confirming that the difficult task was more demanding than the easy one</w:t>
      </w:r>
      <w:r w:rsidR="000362DF">
        <w:rPr>
          <w:rFonts w:cstheme="minorHAnsi"/>
          <w:color w:val="000000" w:themeColor="text1"/>
        </w:rPr>
        <w:t>.</w:t>
      </w:r>
      <w:r>
        <w:rPr>
          <w:rFonts w:cstheme="minorHAnsi"/>
          <w:color w:val="000000" w:themeColor="text1"/>
        </w:rPr>
        <w:t xml:space="preserve"> </w:t>
      </w:r>
      <w:r w:rsidRPr="00A4233B">
        <w:rPr>
          <w:rFonts w:cstheme="minorHAnsi"/>
          <w:color w:val="000000" w:themeColor="text1"/>
        </w:rPr>
        <w:t xml:space="preserve">For the easy task, accuracy </w:t>
      </w:r>
      <w:r w:rsidRPr="00A4233B">
        <w:rPr>
          <w:rFonts w:cstheme="minorHAnsi"/>
          <w:color w:val="000000" w:themeColor="text1"/>
        </w:rPr>
        <w:lastRenderedPageBreak/>
        <w:t>pre and post</w:t>
      </w:r>
      <w:r w:rsidR="003A06E3">
        <w:rPr>
          <w:rFonts w:cstheme="minorHAnsi"/>
          <w:color w:val="000000" w:themeColor="text1"/>
        </w:rPr>
        <w:t>-</w:t>
      </w:r>
      <w:r w:rsidRPr="00A4233B">
        <w:rPr>
          <w:rFonts w:cstheme="minorHAnsi"/>
          <w:color w:val="000000" w:themeColor="text1"/>
        </w:rPr>
        <w:t>HFS (Mdn =12, IQR= 0, range = 3-12) did not differ on average from the accuracy during the HFS (V= 52, p = 1, r= .05). Similarly, for the difficult task, we found no significant difference in the accuracy pre and post</w:t>
      </w:r>
      <w:r w:rsidR="003A06E3">
        <w:rPr>
          <w:rFonts w:cstheme="minorHAnsi"/>
          <w:color w:val="000000" w:themeColor="text1"/>
        </w:rPr>
        <w:t>-</w:t>
      </w:r>
      <w:r w:rsidRPr="00A4233B">
        <w:rPr>
          <w:rFonts w:cstheme="minorHAnsi"/>
          <w:color w:val="000000" w:themeColor="text1"/>
        </w:rPr>
        <w:t>HFS (Mdn =8, IQR= 3, range = 1-12) as compared to the accuracy during HFS (V= 221, p= .12, r = .11</w:t>
      </w:r>
      <w:r>
        <w:rPr>
          <w:rFonts w:cstheme="minorHAnsi"/>
          <w:color w:val="000000" w:themeColor="text1"/>
        </w:rPr>
        <w:t xml:space="preserve">; </w:t>
      </w:r>
      <w:r w:rsidRPr="00406545">
        <w:rPr>
          <w:rFonts w:cstheme="minorHAnsi"/>
          <w:b/>
          <w:bCs/>
          <w:color w:val="000000" w:themeColor="text1"/>
        </w:rPr>
        <w:t>Figure SDC-2</w:t>
      </w:r>
      <w:r w:rsidRPr="00A4233B">
        <w:rPr>
          <w:rFonts w:cstheme="minorHAnsi"/>
          <w:color w:val="000000" w:themeColor="text1"/>
        </w:rPr>
        <w:t xml:space="preserve">). </w:t>
      </w:r>
      <w:r>
        <w:rPr>
          <w:rFonts w:cstheme="minorHAnsi"/>
          <w:color w:val="000000" w:themeColor="text1"/>
        </w:rPr>
        <w:t>This suggests that participants in both groups manage</w:t>
      </w:r>
      <w:r w:rsidR="003B00D9">
        <w:rPr>
          <w:rFonts w:cstheme="minorHAnsi"/>
          <w:color w:val="000000" w:themeColor="text1"/>
        </w:rPr>
        <w:t>d</w:t>
      </w:r>
      <w:r>
        <w:rPr>
          <w:rFonts w:cstheme="minorHAnsi"/>
          <w:color w:val="000000" w:themeColor="text1"/>
        </w:rPr>
        <w:t xml:space="preserve"> to stay focus</w:t>
      </w:r>
      <w:r w:rsidR="000970AA">
        <w:rPr>
          <w:rFonts w:cstheme="minorHAnsi"/>
          <w:color w:val="000000" w:themeColor="text1"/>
        </w:rPr>
        <w:t>ed</w:t>
      </w:r>
      <w:r>
        <w:rPr>
          <w:rFonts w:cstheme="minorHAnsi"/>
          <w:color w:val="000000" w:themeColor="text1"/>
        </w:rPr>
        <w:t xml:space="preserve"> on the task during the application of HFS. </w:t>
      </w:r>
    </w:p>
    <w:p w14:paraId="4F577B39" w14:textId="150FDC1C" w:rsidR="00D86C40" w:rsidRPr="00A4233B" w:rsidRDefault="00D86C40" w:rsidP="00D86C40">
      <w:pPr>
        <w:spacing w:after="0" w:line="480" w:lineRule="auto"/>
        <w:rPr>
          <w:rFonts w:cstheme="minorHAnsi"/>
          <w:color w:val="000000" w:themeColor="text1"/>
        </w:rPr>
      </w:pPr>
      <w:r w:rsidRPr="00A4233B">
        <w:rPr>
          <w:rFonts w:cstheme="minorHAnsi"/>
          <w:color w:val="000000" w:themeColor="text1"/>
        </w:rPr>
        <w:t xml:space="preserve">Furthermore, at the end of </w:t>
      </w:r>
      <w:r w:rsidR="000970AA">
        <w:rPr>
          <w:rFonts w:cstheme="minorHAnsi"/>
          <w:color w:val="000000" w:themeColor="text1"/>
        </w:rPr>
        <w:t xml:space="preserve">the </w:t>
      </w:r>
      <w:r w:rsidRPr="00A4233B">
        <w:rPr>
          <w:rFonts w:cstheme="minorHAnsi"/>
          <w:color w:val="000000" w:themeColor="text1"/>
        </w:rPr>
        <w:t xml:space="preserve">procedure, we asked participants to indicate whether they perceived that their performance was better (1) during HFS, (2) pre-post HFS, or (3) no difference. In the difficult condition, 22 out of 42 participants declared pre-post HFS, 12 out of 42 with HFS and the rest 8 found no difference in their performance. In the easy task, 15 out of 43 pre-post HFS, 8 out of 43 during HFS, and the rest 20 found no difference in their performance. </w:t>
      </w:r>
    </w:p>
    <w:p w14:paraId="6A1F193D" w14:textId="53E1D991" w:rsidR="00D86C40" w:rsidRDefault="00D86C40" w:rsidP="00D86C40">
      <w:pPr>
        <w:spacing w:after="0" w:line="480" w:lineRule="auto"/>
        <w:ind w:firstLine="720"/>
        <w:rPr>
          <w:rFonts w:cstheme="minorHAnsi"/>
          <w:color w:val="000000" w:themeColor="text1"/>
        </w:rPr>
      </w:pPr>
      <w:r w:rsidRPr="00A4233B">
        <w:rPr>
          <w:rFonts w:cstheme="minorHAnsi"/>
          <w:color w:val="000000" w:themeColor="text1"/>
        </w:rPr>
        <w:t>Perceived difficulty in the difficult-task condition (Mdn= 44, IQR= 30.5, range= 0-86) was significantly different from perceived difficult</w:t>
      </w:r>
      <w:r w:rsidR="000362DF">
        <w:rPr>
          <w:rFonts w:cstheme="minorHAnsi"/>
          <w:color w:val="000000" w:themeColor="text1"/>
        </w:rPr>
        <w:t>y</w:t>
      </w:r>
      <w:r w:rsidRPr="00A4233B">
        <w:rPr>
          <w:rFonts w:cstheme="minorHAnsi"/>
          <w:color w:val="000000" w:themeColor="text1"/>
        </w:rPr>
        <w:t xml:space="preserve"> in the easy-task condition (Mdn= 3, IQR= 11, range= 0- 60; V = 1633, p &lt; .001, r = .7</w:t>
      </w:r>
      <w:r>
        <w:rPr>
          <w:rFonts w:cstheme="minorHAnsi"/>
          <w:color w:val="000000" w:themeColor="text1"/>
        </w:rPr>
        <w:t xml:space="preserve">; </w:t>
      </w:r>
      <w:r w:rsidRPr="00B93FEC">
        <w:rPr>
          <w:rFonts w:cstheme="minorHAnsi"/>
          <w:color w:val="000000" w:themeColor="text1"/>
        </w:rPr>
        <w:t>Figure SDC-3</w:t>
      </w:r>
      <w:r w:rsidRPr="00A4233B">
        <w:rPr>
          <w:rFonts w:cstheme="minorHAnsi"/>
          <w:color w:val="000000" w:themeColor="text1"/>
        </w:rPr>
        <w:t xml:space="preserve">). </w:t>
      </w:r>
      <w:r>
        <w:rPr>
          <w:rFonts w:cstheme="minorHAnsi"/>
          <w:color w:val="000000" w:themeColor="text1"/>
        </w:rPr>
        <w:t xml:space="preserve">Hence, participants performing the difficult task </w:t>
      </w:r>
      <w:r w:rsidR="000362DF">
        <w:rPr>
          <w:rFonts w:cstheme="minorHAnsi"/>
          <w:color w:val="000000" w:themeColor="text1"/>
        </w:rPr>
        <w:t xml:space="preserve">as compared to the ones performing the easy task, </w:t>
      </w:r>
      <w:r>
        <w:rPr>
          <w:rFonts w:cstheme="minorHAnsi"/>
          <w:color w:val="000000" w:themeColor="text1"/>
        </w:rPr>
        <w:t xml:space="preserve">clearly perceived that the task was difficult. </w:t>
      </w:r>
    </w:p>
    <w:p w14:paraId="5D33F5F1" w14:textId="121CE8A0" w:rsidR="00D86C40" w:rsidRPr="00B479B4" w:rsidRDefault="00D86C40" w:rsidP="008F4258">
      <w:pPr>
        <w:spacing w:after="0" w:line="480" w:lineRule="auto"/>
        <w:ind w:firstLine="720"/>
        <w:rPr>
          <w:rFonts w:cstheme="minorHAnsi"/>
        </w:rPr>
      </w:pPr>
      <w:r w:rsidRPr="00A4233B">
        <w:rPr>
          <w:rFonts w:cstheme="minorHAnsi"/>
          <w:color w:val="000000" w:themeColor="text1"/>
        </w:rPr>
        <w:t>Pain ratings in the difficult-task condition (Mdn= 50.5, IQR= 33.8, range= 2- 100) did not differ on average from the easy-task one (Mdn= 50, IQR= 32, range= 15- 73; V= 926, p= .84, r= .0215</w:t>
      </w:r>
      <w:r>
        <w:rPr>
          <w:rFonts w:cstheme="minorHAnsi"/>
          <w:color w:val="000000" w:themeColor="text1"/>
        </w:rPr>
        <w:t xml:space="preserve">; see figure </w:t>
      </w:r>
      <w:r>
        <w:rPr>
          <w:b/>
          <w:bCs/>
          <w:sz w:val="21"/>
          <w:szCs w:val="21"/>
          <w:lang w:val="en-GB"/>
        </w:rPr>
        <w:t xml:space="preserve">Figure </w:t>
      </w:r>
      <w:r w:rsidRPr="00844C99">
        <w:rPr>
          <w:b/>
          <w:bCs/>
          <w:sz w:val="21"/>
          <w:szCs w:val="21"/>
        </w:rPr>
        <w:t xml:space="preserve">SDC-1). </w:t>
      </w:r>
    </w:p>
    <w:p w14:paraId="39FD644A" w14:textId="3A99BA68" w:rsidR="00D4635E" w:rsidRPr="007A2C29" w:rsidRDefault="00FA7E8A" w:rsidP="00D4635E">
      <w:pPr>
        <w:spacing w:after="0" w:line="480" w:lineRule="auto"/>
        <w:rPr>
          <w:rFonts w:cstheme="minorHAnsi"/>
          <w:b/>
          <w:bCs/>
          <w:i/>
          <w:iCs/>
        </w:rPr>
      </w:pPr>
      <w:r w:rsidRPr="007A2C29">
        <w:rPr>
          <w:rFonts w:cstheme="minorHAnsi"/>
          <w:b/>
          <w:bCs/>
          <w:i/>
          <w:iCs/>
        </w:rPr>
        <w:t>M</w:t>
      </w:r>
      <w:r w:rsidR="007372DD" w:rsidRPr="007A2C29">
        <w:rPr>
          <w:rFonts w:cstheme="minorHAnsi"/>
          <w:b/>
          <w:bCs/>
          <w:i/>
          <w:iCs/>
        </w:rPr>
        <w:t>echanical pinprick sensitivity intensity</w:t>
      </w:r>
      <w:r w:rsidR="005D5FAE" w:rsidRPr="007A2C29">
        <w:rPr>
          <w:rFonts w:cstheme="minorHAnsi"/>
          <w:b/>
          <w:bCs/>
          <w:i/>
          <w:iCs/>
        </w:rPr>
        <w:t xml:space="preserve"> assessed on the HFS-tr</w:t>
      </w:r>
      <w:r w:rsidR="000970AA">
        <w:rPr>
          <w:rFonts w:cstheme="minorHAnsi"/>
          <w:b/>
          <w:bCs/>
          <w:i/>
          <w:iCs/>
        </w:rPr>
        <w:t>e</w:t>
      </w:r>
      <w:r w:rsidR="005D5FAE" w:rsidRPr="007A2C29">
        <w:rPr>
          <w:rFonts w:cstheme="minorHAnsi"/>
          <w:b/>
          <w:bCs/>
          <w:i/>
          <w:iCs/>
        </w:rPr>
        <w:t>ated a</w:t>
      </w:r>
      <w:r w:rsidR="00344C64" w:rsidRPr="007A2C29">
        <w:rPr>
          <w:rFonts w:cstheme="minorHAnsi"/>
          <w:b/>
          <w:bCs/>
          <w:i/>
          <w:iCs/>
        </w:rPr>
        <w:t>rm</w:t>
      </w:r>
      <w:r w:rsidR="007372DD" w:rsidRPr="007A2C29">
        <w:rPr>
          <w:rFonts w:cstheme="minorHAnsi"/>
          <w:b/>
          <w:bCs/>
          <w:i/>
          <w:iCs/>
        </w:rPr>
        <w:t>: difficult</w:t>
      </w:r>
      <w:r w:rsidR="000362DF" w:rsidRPr="007A2C29">
        <w:rPr>
          <w:rFonts w:cstheme="minorHAnsi"/>
          <w:b/>
          <w:bCs/>
          <w:i/>
          <w:iCs/>
        </w:rPr>
        <w:t>-task</w:t>
      </w:r>
      <w:r w:rsidR="007372DD" w:rsidRPr="007A2C29">
        <w:rPr>
          <w:rFonts w:cstheme="minorHAnsi"/>
          <w:b/>
          <w:bCs/>
          <w:i/>
          <w:iCs/>
        </w:rPr>
        <w:t xml:space="preserve"> VS easy</w:t>
      </w:r>
      <w:r w:rsidR="000362DF" w:rsidRPr="007A2C29">
        <w:rPr>
          <w:rFonts w:cstheme="minorHAnsi"/>
          <w:b/>
          <w:bCs/>
          <w:i/>
          <w:iCs/>
        </w:rPr>
        <w:t>-task groups</w:t>
      </w:r>
      <w:r w:rsidR="007372DD" w:rsidRPr="007A2C29">
        <w:rPr>
          <w:rFonts w:cstheme="minorHAnsi"/>
          <w:b/>
          <w:bCs/>
          <w:i/>
          <w:iCs/>
        </w:rPr>
        <w:t xml:space="preserve"> </w:t>
      </w:r>
    </w:p>
    <w:p w14:paraId="7FE8F3F1" w14:textId="52FC2963" w:rsidR="007372DD" w:rsidRPr="00A4233B" w:rsidRDefault="007372DD" w:rsidP="00900A7D">
      <w:pPr>
        <w:spacing w:after="0" w:line="480" w:lineRule="auto"/>
        <w:ind w:firstLine="720"/>
        <w:rPr>
          <w:rFonts w:cstheme="minorHAnsi"/>
          <w:b/>
          <w:bCs/>
        </w:rPr>
      </w:pPr>
      <w:r w:rsidRPr="00A4233B">
        <w:rPr>
          <w:rFonts w:cstheme="minorHAnsi"/>
          <w:color w:val="000000" w:themeColor="text1"/>
        </w:rPr>
        <w:t xml:space="preserve">We fitted a linear mixed model to </w:t>
      </w:r>
      <w:r w:rsidR="00E04208">
        <w:rPr>
          <w:rFonts w:cstheme="minorHAnsi"/>
          <w:color w:val="000000" w:themeColor="text1"/>
        </w:rPr>
        <w:t xml:space="preserve">check </w:t>
      </w:r>
      <w:r w:rsidRPr="00A4233B">
        <w:rPr>
          <w:rFonts w:cstheme="minorHAnsi"/>
          <w:color w:val="000000" w:themeColor="text1"/>
        </w:rPr>
        <w:t xml:space="preserve">whether mechanical sensitivity </w:t>
      </w:r>
      <w:r w:rsidR="00FA7E8A">
        <w:rPr>
          <w:rFonts w:cstheme="minorHAnsi"/>
          <w:color w:val="000000" w:themeColor="text1"/>
        </w:rPr>
        <w:t xml:space="preserve">developed on the HFS-treated arm </w:t>
      </w:r>
      <w:r w:rsidRPr="00A4233B">
        <w:rPr>
          <w:rFonts w:cstheme="minorHAnsi"/>
          <w:color w:val="000000" w:themeColor="text1"/>
        </w:rPr>
        <w:t xml:space="preserve">(i.e., measurement) varied from T0 to 20 minutes (T1) and 40 minutes (T2) (i.e., time), after the sensitization procedure and if the change depended on the Condition (model: measurement ~ 1 + time + 1|PT + time: Condition). </w:t>
      </w:r>
    </w:p>
    <w:p w14:paraId="72D53470" w14:textId="66AD3EAA" w:rsidR="00900A7D" w:rsidRPr="00A4233B" w:rsidRDefault="007372DD" w:rsidP="00900A7D">
      <w:pPr>
        <w:spacing w:after="0" w:line="480" w:lineRule="auto"/>
        <w:ind w:firstLine="720"/>
        <w:rPr>
          <w:rFonts w:cstheme="minorHAnsi"/>
          <w:color w:val="000000" w:themeColor="text1"/>
        </w:rPr>
      </w:pPr>
      <w:r w:rsidRPr="00A4233B">
        <w:rPr>
          <w:rFonts w:cstheme="minorHAnsi"/>
          <w:color w:val="000000" w:themeColor="text1"/>
        </w:rPr>
        <w:t xml:space="preserve">For T0 to T1, the model's total explanatory power is substantial (conditional R2 = 0.59) and the part related to the fixed effects alone (marginal R2) is 0.18. The model's intercept, corresponding to time (0) and Condition is at 24.02 (95% CI [21.19, 26.85], t (165) = 16.75, p &lt; .001). Within this </w:t>
      </w:r>
      <w:r w:rsidRPr="00A4233B">
        <w:rPr>
          <w:rFonts w:cstheme="minorHAnsi"/>
          <w:color w:val="000000" w:themeColor="text1"/>
        </w:rPr>
        <w:lastRenderedPageBreak/>
        <w:t xml:space="preserve">model, the effect of time is statistically significant and positive (beta = 14.10, 95% CI [10.81, 17.38], </w:t>
      </w:r>
      <w:bookmarkStart w:id="20" w:name="OLE_LINK17"/>
      <w:bookmarkStart w:id="21" w:name="OLE_LINK18"/>
      <w:r w:rsidRPr="00A4233B">
        <w:rPr>
          <w:rFonts w:cstheme="minorHAnsi"/>
          <w:color w:val="000000" w:themeColor="text1"/>
        </w:rPr>
        <w:t>t (165) = 8.47, p &lt; .001; Std. beta = 0.42, 95% CI [0.32, 0.52]</w:t>
      </w:r>
      <w:bookmarkEnd w:id="20"/>
      <w:bookmarkEnd w:id="21"/>
      <w:r w:rsidRPr="00A4233B">
        <w:rPr>
          <w:rFonts w:cstheme="minorHAnsi"/>
          <w:color w:val="000000" w:themeColor="text1"/>
        </w:rPr>
        <w:t xml:space="preserve">). The interaction effect of Condition on time is instead statistically non-significant and positive (beta = 4.37, 95% CI [-2.20, 10.94], t (165) = 1.31, p = 0.191; Std. beta = 0.07, 95% CI [-0.03, 0.16]; see </w:t>
      </w:r>
      <w:r w:rsidRPr="00A4233B">
        <w:rPr>
          <w:rFonts w:cstheme="minorHAnsi"/>
          <w:b/>
          <w:bCs/>
          <w:color w:val="000000" w:themeColor="text1"/>
        </w:rPr>
        <w:t>Figure 2</w:t>
      </w:r>
      <w:r w:rsidR="00E42A29" w:rsidRPr="00A4233B">
        <w:rPr>
          <w:rFonts w:cstheme="minorHAnsi"/>
          <w:b/>
          <w:bCs/>
          <w:color w:val="000000" w:themeColor="text1"/>
        </w:rPr>
        <w:t>-A</w:t>
      </w:r>
      <w:r w:rsidRPr="00A4233B">
        <w:rPr>
          <w:rFonts w:cstheme="minorHAnsi"/>
          <w:color w:val="000000" w:themeColor="text1"/>
        </w:rPr>
        <w:t xml:space="preserve">). </w:t>
      </w:r>
    </w:p>
    <w:p w14:paraId="7D242BDA" w14:textId="4D576137" w:rsidR="007372DD" w:rsidRPr="00A4233B" w:rsidRDefault="007372DD" w:rsidP="00900A7D">
      <w:pPr>
        <w:spacing w:after="0" w:line="480" w:lineRule="auto"/>
        <w:ind w:firstLine="720"/>
        <w:rPr>
          <w:rFonts w:cstheme="minorHAnsi"/>
          <w:color w:val="000000" w:themeColor="text1"/>
        </w:rPr>
      </w:pPr>
      <w:r w:rsidRPr="00A4233B">
        <w:rPr>
          <w:rFonts w:cstheme="minorHAnsi"/>
          <w:color w:val="000000" w:themeColor="text1"/>
        </w:rPr>
        <w:t>For T0 to T2, the model's total explanatory power is substantial (conditional R2 = 0.60)</w:t>
      </w:r>
      <w:r w:rsidR="00113A0E">
        <w:rPr>
          <w:rFonts w:cstheme="minorHAnsi"/>
          <w:color w:val="000000" w:themeColor="text1"/>
        </w:rPr>
        <w:t xml:space="preserve"> </w:t>
      </w:r>
      <w:r w:rsidRPr="00A4233B">
        <w:rPr>
          <w:rFonts w:cstheme="minorHAnsi"/>
          <w:color w:val="000000" w:themeColor="text1"/>
        </w:rPr>
        <w:t xml:space="preserve">and the part related to the fixed effects alone (marginal R2) is 0.18. The model's intercept, corresponding to time (0) and Condition </w:t>
      </w:r>
      <w:r w:rsidR="0065258E">
        <w:rPr>
          <w:rFonts w:cstheme="minorHAnsi"/>
          <w:color w:val="000000" w:themeColor="text1"/>
        </w:rPr>
        <w:t xml:space="preserve">(0) </w:t>
      </w:r>
      <w:r w:rsidRPr="00A4233B">
        <w:rPr>
          <w:rFonts w:cstheme="minorHAnsi"/>
          <w:color w:val="000000" w:themeColor="text1"/>
        </w:rPr>
        <w:t>is at 23.92 (95% CI [21.05, 26.79], t (165) = 16.45, p &lt; .001). Within this model, the effect of time is statistically significant and positive (beta = 13.89, 95% CI [10.62, 17.17], t(165) =</w:t>
      </w:r>
      <w:r w:rsidR="002A0D05" w:rsidRPr="00A4233B">
        <w:rPr>
          <w:rFonts w:cstheme="minorHAnsi"/>
          <w:color w:val="000000" w:themeColor="text1"/>
        </w:rPr>
        <w:t xml:space="preserve"> </w:t>
      </w:r>
      <w:r w:rsidRPr="00A4233B">
        <w:rPr>
          <w:rFonts w:cstheme="minorHAnsi"/>
          <w:color w:val="000000" w:themeColor="text1"/>
        </w:rPr>
        <w:t xml:space="preserve">8.37, p &lt; .001; Std. beta = 0.41, 95% CI [0.32, 0.51]). The effect of time × Condition is statistically non-significant and positive (beta = 5.53, 95% CI [-1.02,12.09], t (165) = 1.67, p = 0.098; Std. beta = 0.08, 95% CI [-0.02, 0.18]; see </w:t>
      </w:r>
      <w:r w:rsidRPr="00A4233B">
        <w:rPr>
          <w:rFonts w:cstheme="minorHAnsi"/>
          <w:b/>
          <w:bCs/>
          <w:color w:val="000000" w:themeColor="text1"/>
        </w:rPr>
        <w:t xml:space="preserve">Figure </w:t>
      </w:r>
      <w:r w:rsidR="00E42A29" w:rsidRPr="00A4233B">
        <w:rPr>
          <w:rFonts w:cstheme="minorHAnsi"/>
          <w:b/>
          <w:bCs/>
          <w:color w:val="000000" w:themeColor="text1"/>
        </w:rPr>
        <w:t>2-B</w:t>
      </w:r>
      <w:r w:rsidRPr="00A4233B">
        <w:rPr>
          <w:rFonts w:cstheme="minorHAnsi"/>
          <w:color w:val="000000" w:themeColor="text1"/>
        </w:rPr>
        <w:t xml:space="preserve">). </w:t>
      </w:r>
    </w:p>
    <w:p w14:paraId="0E338A75" w14:textId="4998FFBD" w:rsidR="00CF56EC" w:rsidRDefault="007372DD" w:rsidP="002E1F1D">
      <w:pPr>
        <w:spacing w:after="0" w:line="480" w:lineRule="auto"/>
        <w:ind w:firstLine="720"/>
        <w:rPr>
          <w:rFonts w:cstheme="minorHAnsi"/>
          <w:color w:val="000000" w:themeColor="text1"/>
        </w:rPr>
      </w:pPr>
      <w:r w:rsidRPr="00A4233B">
        <w:rPr>
          <w:rFonts w:cstheme="minorHAnsi"/>
          <w:color w:val="000000" w:themeColor="text1"/>
        </w:rPr>
        <w:t xml:space="preserve">To summarize, we found a significant effect of time on the change of mechanical sensitivity from a baseline measurement (T0) to both 20 minutes (T1) and 40 minutes (T2) after the sensitization procedure, but no significant difference between the two conditions (Difficult-task vs Easy-task) in either of the two models. </w:t>
      </w:r>
      <w:r w:rsidR="00993BF4">
        <w:rPr>
          <w:rFonts w:cstheme="minorHAnsi"/>
          <w:color w:val="000000" w:themeColor="text1"/>
        </w:rPr>
        <w:t>This implies that independently of the attentional manipulation</w:t>
      </w:r>
      <w:r w:rsidR="00863A6C">
        <w:rPr>
          <w:rFonts w:cstheme="minorHAnsi"/>
          <w:color w:val="000000" w:themeColor="text1"/>
        </w:rPr>
        <w:t>,</w:t>
      </w:r>
      <w:r w:rsidR="00993BF4">
        <w:rPr>
          <w:rFonts w:cstheme="minorHAnsi"/>
          <w:color w:val="000000" w:themeColor="text1"/>
        </w:rPr>
        <w:t xml:space="preserve"> both groups presented a similar change in mechanical sensitivity after HFS. </w:t>
      </w:r>
    </w:p>
    <w:p w14:paraId="35911B5B" w14:textId="29F0BBEB" w:rsidR="001348DC" w:rsidRDefault="00863F9D" w:rsidP="008F4258">
      <w:pPr>
        <w:spacing w:after="0" w:line="480" w:lineRule="auto"/>
        <w:rPr>
          <w:rFonts w:cstheme="minorHAnsi"/>
          <w:color w:val="000000" w:themeColor="text1"/>
        </w:rPr>
      </w:pPr>
      <w:r w:rsidRPr="00863F9D">
        <w:rPr>
          <w:rFonts w:cstheme="minorHAnsi"/>
          <w:color w:val="FF0000"/>
        </w:rPr>
        <w:t>A summary of the results can be found at Table 1, titled "Model Results Summary</w:t>
      </w:r>
      <w:r w:rsidR="005923FC">
        <w:rPr>
          <w:rFonts w:cstheme="minorHAnsi"/>
          <w:color w:val="FF0000"/>
        </w:rPr>
        <w:t>”</w:t>
      </w:r>
      <w:r>
        <w:rPr>
          <w:rFonts w:cstheme="minorHAnsi"/>
          <w:color w:val="FF0000"/>
        </w:rPr>
        <w:t>.</w:t>
      </w:r>
    </w:p>
    <w:p w14:paraId="2A251C34" w14:textId="6DC76B73" w:rsidR="00CF56EC" w:rsidRDefault="001348DC" w:rsidP="008F4258">
      <w:pPr>
        <w:spacing w:after="0" w:line="480" w:lineRule="auto"/>
        <w:rPr>
          <w:rFonts w:ascii="Times New Roman" w:hAnsi="Times New Roman" w:cs="Times New Roman"/>
          <w:i/>
          <w:iCs/>
          <w:lang w:val="en-GB"/>
        </w:rPr>
      </w:pPr>
      <w:r>
        <w:rPr>
          <w:rFonts w:ascii="Times New Roman" w:hAnsi="Times New Roman" w:cs="Times New Roman"/>
          <w:i/>
          <w:iCs/>
          <w:lang w:val="en-GB"/>
        </w:rPr>
        <w:t>[Insert Figures 2</w:t>
      </w:r>
      <w:r w:rsidR="008668CC">
        <w:rPr>
          <w:rFonts w:ascii="Times New Roman" w:hAnsi="Times New Roman" w:cs="Times New Roman"/>
          <w:i/>
          <w:iCs/>
          <w:lang w:val="en-GB"/>
        </w:rPr>
        <w:t>A</w:t>
      </w:r>
      <w:r>
        <w:rPr>
          <w:rFonts w:ascii="Times New Roman" w:hAnsi="Times New Roman" w:cs="Times New Roman"/>
          <w:i/>
          <w:iCs/>
          <w:lang w:val="en-GB"/>
        </w:rPr>
        <w:t xml:space="preserve"> and </w:t>
      </w:r>
      <w:r w:rsidR="008668CC">
        <w:rPr>
          <w:rFonts w:ascii="Times New Roman" w:hAnsi="Times New Roman" w:cs="Times New Roman"/>
          <w:i/>
          <w:iCs/>
          <w:lang w:val="en-GB"/>
        </w:rPr>
        <w:t>2B</w:t>
      </w:r>
      <w:r>
        <w:rPr>
          <w:rFonts w:ascii="Times New Roman" w:hAnsi="Times New Roman" w:cs="Times New Roman"/>
          <w:i/>
          <w:iCs/>
          <w:lang w:val="en-GB"/>
        </w:rPr>
        <w:t xml:space="preserve"> here ]</w:t>
      </w:r>
    </w:p>
    <w:p w14:paraId="2EF72363" w14:textId="77777777" w:rsidR="001348DC" w:rsidRPr="008668CC" w:rsidRDefault="001348DC" w:rsidP="008F4258">
      <w:pPr>
        <w:spacing w:after="0" w:line="480" w:lineRule="auto"/>
        <w:rPr>
          <w:rFonts w:cstheme="minorHAnsi"/>
          <w:color w:val="000000" w:themeColor="text1"/>
          <w:lang w:val="en-GB"/>
        </w:rPr>
      </w:pPr>
    </w:p>
    <w:p w14:paraId="13967EB1" w14:textId="2A59795C" w:rsidR="007372DD" w:rsidRPr="007A2C29" w:rsidRDefault="007372DD" w:rsidP="007372DD">
      <w:pPr>
        <w:spacing w:after="0" w:line="480" w:lineRule="auto"/>
        <w:rPr>
          <w:rFonts w:cstheme="minorHAnsi"/>
          <w:i/>
          <w:iCs/>
        </w:rPr>
      </w:pPr>
      <w:r w:rsidRPr="007A2C29">
        <w:rPr>
          <w:rFonts w:cstheme="minorHAnsi"/>
          <w:b/>
          <w:bCs/>
          <w:i/>
          <w:iCs/>
        </w:rPr>
        <w:t>Influence of attentional load on the spatial extent of mechanical pinprick sensitivity</w:t>
      </w:r>
      <w:r w:rsidRPr="007A2C29">
        <w:rPr>
          <w:rFonts w:cstheme="minorHAnsi"/>
          <w:i/>
          <w:iCs/>
        </w:rPr>
        <w:t xml:space="preserve"> </w:t>
      </w:r>
    </w:p>
    <w:p w14:paraId="0F870360" w14:textId="40DA4230" w:rsidR="007372DD" w:rsidRPr="00A4233B" w:rsidRDefault="007372DD" w:rsidP="007372DD">
      <w:pPr>
        <w:spacing w:after="0" w:line="480" w:lineRule="auto"/>
        <w:rPr>
          <w:rFonts w:cstheme="minorHAnsi"/>
        </w:rPr>
      </w:pPr>
      <w:r w:rsidRPr="00A4233B">
        <w:rPr>
          <w:rFonts w:cstheme="minorHAnsi"/>
        </w:rPr>
        <w:tab/>
        <w:t>The length of the proximal-distal axis assessed 20 minutes after the delivery of HFS in combination with the working memory task (T1) did not differ on average between the two group</w:t>
      </w:r>
      <w:r w:rsidR="000970AA">
        <w:rPr>
          <w:rFonts w:cstheme="minorHAnsi"/>
        </w:rPr>
        <w:t>s</w:t>
      </w:r>
      <w:r w:rsidRPr="00A4233B">
        <w:rPr>
          <w:rFonts w:cstheme="minorHAnsi"/>
        </w:rPr>
        <w:t xml:space="preserve">, as confirmed by the one-sided unpaired sample t-test (Easy group, (N= 43; 9.23 ± 2.71) Difficult group (N= 42; 9.56 ± 2.66); t (83) = .55, d= .121, p = .711; </w:t>
      </w:r>
      <w:r w:rsidRPr="00A4233B">
        <w:rPr>
          <w:rFonts w:cstheme="minorHAnsi"/>
          <w:b/>
          <w:bCs/>
        </w:rPr>
        <w:t>see figure 3</w:t>
      </w:r>
      <w:r w:rsidR="00E42A29" w:rsidRPr="00A4233B">
        <w:rPr>
          <w:rFonts w:cstheme="minorHAnsi"/>
          <w:b/>
          <w:bCs/>
        </w:rPr>
        <w:t>-</w:t>
      </w:r>
      <w:r w:rsidRPr="00A4233B">
        <w:rPr>
          <w:rFonts w:cstheme="minorHAnsi"/>
          <w:b/>
          <w:bCs/>
        </w:rPr>
        <w:t>A</w:t>
      </w:r>
      <w:r w:rsidRPr="00A4233B">
        <w:rPr>
          <w:rFonts w:cstheme="minorHAnsi"/>
        </w:rPr>
        <w:t xml:space="preserve">). </w:t>
      </w:r>
    </w:p>
    <w:p w14:paraId="175625E0" w14:textId="22D13615" w:rsidR="007372DD" w:rsidRDefault="007372DD" w:rsidP="00AF61EF">
      <w:pPr>
        <w:spacing w:after="0" w:line="480" w:lineRule="auto"/>
        <w:ind w:firstLine="720"/>
        <w:rPr>
          <w:rFonts w:cstheme="minorHAnsi"/>
        </w:rPr>
      </w:pPr>
      <w:r w:rsidRPr="00A4233B">
        <w:rPr>
          <w:rFonts w:cstheme="minorHAnsi"/>
        </w:rPr>
        <w:lastRenderedPageBreak/>
        <w:t>Similarly, at T2 (40 minutes after), we did not find any statistical difference between the two cond</w:t>
      </w:r>
      <w:r w:rsidR="000970AA">
        <w:rPr>
          <w:rFonts w:cstheme="minorHAnsi"/>
        </w:rPr>
        <w:t>i</w:t>
      </w:r>
      <w:r w:rsidRPr="00A4233B">
        <w:rPr>
          <w:rFonts w:cstheme="minorHAnsi"/>
        </w:rPr>
        <w:t xml:space="preserve">tions (Easy Task (N= 43; 8.5 ± 3.20); Difficult Task (N= 42; 9.28 ± 2.75); t (83) = 1.19, d= .260, p = .88; </w:t>
      </w:r>
      <w:r w:rsidRPr="00A4233B">
        <w:rPr>
          <w:rFonts w:cstheme="minorHAnsi"/>
          <w:b/>
          <w:bCs/>
        </w:rPr>
        <w:t>see figure 3</w:t>
      </w:r>
      <w:r w:rsidR="00E42A29" w:rsidRPr="00A4233B">
        <w:rPr>
          <w:rFonts w:cstheme="minorHAnsi"/>
          <w:b/>
          <w:bCs/>
        </w:rPr>
        <w:t>-</w:t>
      </w:r>
      <w:r w:rsidRPr="00A4233B">
        <w:rPr>
          <w:rFonts w:cstheme="minorHAnsi"/>
          <w:b/>
          <w:bCs/>
        </w:rPr>
        <w:t>B</w:t>
      </w:r>
      <w:r w:rsidRPr="00A4233B">
        <w:rPr>
          <w:rFonts w:cstheme="minorHAnsi"/>
        </w:rPr>
        <w:t xml:space="preserve">). </w:t>
      </w:r>
      <w:r w:rsidRPr="00A4233B">
        <w:rPr>
          <w:rFonts w:cstheme="minorHAnsi"/>
        </w:rPr>
        <w:tab/>
      </w:r>
    </w:p>
    <w:p w14:paraId="74B98237" w14:textId="77777777" w:rsidR="001348DC" w:rsidRDefault="001348DC" w:rsidP="007372DD">
      <w:pPr>
        <w:spacing w:after="0" w:line="480" w:lineRule="auto"/>
        <w:rPr>
          <w:rFonts w:cstheme="minorHAnsi"/>
        </w:rPr>
      </w:pPr>
    </w:p>
    <w:p w14:paraId="32CD995F" w14:textId="1C05025A" w:rsidR="001348DC" w:rsidRDefault="001348DC" w:rsidP="007372DD">
      <w:pPr>
        <w:spacing w:after="0" w:line="480" w:lineRule="auto"/>
        <w:rPr>
          <w:rFonts w:ascii="Times New Roman" w:hAnsi="Times New Roman" w:cs="Times New Roman"/>
          <w:i/>
          <w:iCs/>
          <w:lang w:val="en-GB"/>
        </w:rPr>
      </w:pPr>
      <w:r>
        <w:rPr>
          <w:rFonts w:ascii="Times New Roman" w:hAnsi="Times New Roman" w:cs="Times New Roman"/>
          <w:i/>
          <w:iCs/>
          <w:lang w:val="en-GB"/>
        </w:rPr>
        <w:t>[ Insert Figures 3</w:t>
      </w:r>
      <w:r w:rsidR="008668CC">
        <w:rPr>
          <w:rFonts w:ascii="Times New Roman" w:hAnsi="Times New Roman" w:cs="Times New Roman"/>
          <w:i/>
          <w:iCs/>
          <w:lang w:val="en-GB"/>
        </w:rPr>
        <w:t>A</w:t>
      </w:r>
      <w:r>
        <w:rPr>
          <w:rFonts w:ascii="Times New Roman" w:hAnsi="Times New Roman" w:cs="Times New Roman"/>
          <w:i/>
          <w:iCs/>
          <w:lang w:val="en-GB"/>
        </w:rPr>
        <w:t xml:space="preserve"> and </w:t>
      </w:r>
      <w:r w:rsidR="008668CC">
        <w:rPr>
          <w:rFonts w:ascii="Times New Roman" w:hAnsi="Times New Roman" w:cs="Times New Roman"/>
          <w:i/>
          <w:iCs/>
          <w:lang w:val="en-GB"/>
        </w:rPr>
        <w:t>3B</w:t>
      </w:r>
      <w:r>
        <w:rPr>
          <w:rFonts w:ascii="Times New Roman" w:hAnsi="Times New Roman" w:cs="Times New Roman"/>
          <w:i/>
          <w:iCs/>
          <w:lang w:val="en-GB"/>
        </w:rPr>
        <w:t xml:space="preserve"> here ]</w:t>
      </w:r>
    </w:p>
    <w:p w14:paraId="72E03713" w14:textId="77777777" w:rsidR="001348DC" w:rsidRDefault="001348DC" w:rsidP="007372DD">
      <w:pPr>
        <w:spacing w:after="0" w:line="480" w:lineRule="auto"/>
        <w:rPr>
          <w:rFonts w:cstheme="minorHAnsi"/>
        </w:rPr>
      </w:pPr>
    </w:p>
    <w:p w14:paraId="4B2353C1" w14:textId="7D677A69" w:rsidR="00AA4EC3" w:rsidRPr="007A2C29" w:rsidRDefault="00246A61" w:rsidP="007372DD">
      <w:pPr>
        <w:spacing w:after="0" w:line="480" w:lineRule="auto"/>
        <w:rPr>
          <w:rFonts w:cstheme="minorHAnsi"/>
          <w:b/>
          <w:bCs/>
          <w:i/>
          <w:iCs/>
        </w:rPr>
      </w:pPr>
      <w:r w:rsidRPr="007A2C29">
        <w:rPr>
          <w:rFonts w:cstheme="minorHAnsi"/>
          <w:b/>
          <w:bCs/>
          <w:i/>
          <w:iCs/>
        </w:rPr>
        <w:t xml:space="preserve">Pain as a moderator of the change </w:t>
      </w:r>
      <w:r w:rsidR="000F796F">
        <w:rPr>
          <w:rFonts w:cstheme="minorHAnsi"/>
          <w:b/>
          <w:bCs/>
          <w:i/>
          <w:iCs/>
        </w:rPr>
        <w:t xml:space="preserve">in </w:t>
      </w:r>
      <w:r w:rsidRPr="007A2C29">
        <w:rPr>
          <w:rFonts w:cstheme="minorHAnsi"/>
          <w:b/>
          <w:bCs/>
          <w:i/>
          <w:iCs/>
        </w:rPr>
        <w:t>m</w:t>
      </w:r>
      <w:r w:rsidR="000F796F">
        <w:rPr>
          <w:rFonts w:cstheme="minorHAnsi"/>
          <w:b/>
          <w:bCs/>
          <w:i/>
          <w:iCs/>
        </w:rPr>
        <w:t>echanica</w:t>
      </w:r>
      <w:r w:rsidRPr="007A2C29">
        <w:rPr>
          <w:rFonts w:cstheme="minorHAnsi"/>
          <w:b/>
          <w:bCs/>
          <w:i/>
          <w:iCs/>
        </w:rPr>
        <w:t xml:space="preserve">l sensitivity over time </w:t>
      </w:r>
    </w:p>
    <w:p w14:paraId="73AB36CB" w14:textId="46543870" w:rsidR="00E67B5F" w:rsidRDefault="00AA4EC3" w:rsidP="00AA4EC3">
      <w:pPr>
        <w:spacing w:after="0" w:line="480" w:lineRule="auto"/>
        <w:ind w:firstLine="720"/>
        <w:rPr>
          <w:rFonts w:cstheme="minorHAnsi"/>
          <w:color w:val="000000" w:themeColor="text1"/>
        </w:rPr>
      </w:pPr>
      <w:r w:rsidRPr="00A4233B">
        <w:rPr>
          <w:rFonts w:cstheme="minorHAnsi"/>
          <w:color w:val="000000" w:themeColor="text1"/>
        </w:rPr>
        <w:t xml:space="preserve">We fitted a linear mixed model to </w:t>
      </w:r>
      <w:r w:rsidR="00107578">
        <w:rPr>
          <w:rFonts w:cstheme="minorHAnsi"/>
          <w:color w:val="000000" w:themeColor="text1"/>
        </w:rPr>
        <w:t xml:space="preserve">assess </w:t>
      </w:r>
      <w:r w:rsidRPr="00A4233B">
        <w:rPr>
          <w:rFonts w:cstheme="minorHAnsi"/>
          <w:color w:val="000000" w:themeColor="text1"/>
        </w:rPr>
        <w:t xml:space="preserve">whether </w:t>
      </w:r>
      <w:r w:rsidR="00107578">
        <w:rPr>
          <w:rFonts w:cstheme="minorHAnsi"/>
          <w:color w:val="000000" w:themeColor="text1"/>
        </w:rPr>
        <w:t xml:space="preserve">the change in </w:t>
      </w:r>
      <w:r w:rsidRPr="00A4233B">
        <w:rPr>
          <w:rFonts w:cstheme="minorHAnsi"/>
          <w:color w:val="000000" w:themeColor="text1"/>
        </w:rPr>
        <w:t xml:space="preserve">mechanical sensitivity </w:t>
      </w:r>
      <w:r w:rsidR="00E3692E">
        <w:rPr>
          <w:rFonts w:cstheme="minorHAnsi"/>
          <w:color w:val="000000" w:themeColor="text1"/>
        </w:rPr>
        <w:t xml:space="preserve">on the HFS-treated arm </w:t>
      </w:r>
      <w:r w:rsidRPr="00A4233B">
        <w:rPr>
          <w:rFonts w:cstheme="minorHAnsi"/>
          <w:color w:val="000000" w:themeColor="text1"/>
        </w:rPr>
        <w:t>from T0 to 20 minutes (T1) and 40 minutes (T2) (i.e., time)</w:t>
      </w:r>
      <w:r w:rsidR="00107578">
        <w:rPr>
          <w:rFonts w:cstheme="minorHAnsi"/>
          <w:color w:val="000000" w:themeColor="text1"/>
        </w:rPr>
        <w:t xml:space="preserve"> </w:t>
      </w:r>
      <w:r w:rsidR="000239A1">
        <w:rPr>
          <w:rFonts w:cstheme="minorHAnsi"/>
          <w:color w:val="000000" w:themeColor="text1"/>
        </w:rPr>
        <w:t xml:space="preserve">after the delivery of HFS </w:t>
      </w:r>
      <w:r w:rsidR="00107578">
        <w:rPr>
          <w:rFonts w:cstheme="minorHAnsi"/>
          <w:color w:val="000000" w:themeColor="text1"/>
        </w:rPr>
        <w:t>could be predicted by the pain experienced during HFS</w:t>
      </w:r>
      <w:r w:rsidR="000239A1">
        <w:rPr>
          <w:rFonts w:cstheme="minorHAnsi"/>
          <w:color w:val="000000" w:themeColor="text1"/>
        </w:rPr>
        <w:t>.</w:t>
      </w:r>
    </w:p>
    <w:p w14:paraId="725C0125" w14:textId="796F8C5A" w:rsidR="001348DC" w:rsidRDefault="00E67B5F" w:rsidP="00B96A43">
      <w:pPr>
        <w:spacing w:after="0" w:line="480" w:lineRule="auto"/>
        <w:rPr>
          <w:rFonts w:cstheme="minorHAnsi"/>
          <w:color w:val="000000" w:themeColor="text1"/>
        </w:rPr>
      </w:pPr>
      <w:r>
        <w:rPr>
          <w:rFonts w:cstheme="minorHAnsi"/>
          <w:color w:val="000000" w:themeColor="text1"/>
        </w:rPr>
        <w:t>T</w:t>
      </w:r>
      <w:r w:rsidRPr="00A4233B">
        <w:rPr>
          <w:rFonts w:cstheme="minorHAnsi"/>
          <w:color w:val="000000" w:themeColor="text1"/>
        </w:rPr>
        <w:t>he model's total explanatory power is substantial (conditional R2 = 0.6</w:t>
      </w:r>
      <w:r w:rsidR="00A84B4D">
        <w:rPr>
          <w:rFonts w:cstheme="minorHAnsi"/>
          <w:color w:val="000000" w:themeColor="text1"/>
        </w:rPr>
        <w:t>9</w:t>
      </w:r>
      <w:r w:rsidRPr="00A4233B">
        <w:rPr>
          <w:rFonts w:cstheme="minorHAnsi"/>
          <w:color w:val="000000" w:themeColor="text1"/>
        </w:rPr>
        <w:t>) and the part related to the fixed effects alone (marginal R2) is 0.</w:t>
      </w:r>
      <w:r w:rsidR="00A84B4D">
        <w:rPr>
          <w:rFonts w:cstheme="minorHAnsi"/>
          <w:color w:val="000000" w:themeColor="text1"/>
        </w:rPr>
        <w:t>31</w:t>
      </w:r>
      <w:r w:rsidRPr="00A4233B">
        <w:rPr>
          <w:rFonts w:cstheme="minorHAnsi"/>
          <w:color w:val="000000" w:themeColor="text1"/>
        </w:rPr>
        <w:t>.</w:t>
      </w:r>
      <w:r w:rsidR="00DE6D41">
        <w:rPr>
          <w:rFonts w:cstheme="minorHAnsi"/>
          <w:color w:val="000000" w:themeColor="text1"/>
        </w:rPr>
        <w:t xml:space="preserve"> </w:t>
      </w:r>
      <w:r w:rsidR="004F0AB2" w:rsidRPr="004F0AB2">
        <w:rPr>
          <w:rFonts w:cstheme="minorHAnsi"/>
          <w:color w:val="000000" w:themeColor="text1"/>
        </w:rPr>
        <w:t>The model's intercept, corresponding to time =0 and Pain_During_HFS = 0, is at 19.34 (95% CI [16.32, 22.37], t(249) = 12.58,</w:t>
      </w:r>
      <w:r w:rsidR="004F0AB2">
        <w:rPr>
          <w:rFonts w:cstheme="minorHAnsi"/>
          <w:color w:val="000000" w:themeColor="text1"/>
        </w:rPr>
        <w:t xml:space="preserve"> </w:t>
      </w:r>
      <w:r w:rsidR="004F0AB2" w:rsidRPr="004F0AB2">
        <w:rPr>
          <w:rFonts w:cstheme="minorHAnsi"/>
          <w:color w:val="000000" w:themeColor="text1"/>
        </w:rPr>
        <w:t>p &lt; .001).</w:t>
      </w:r>
      <w:r w:rsidR="000970AA">
        <w:rPr>
          <w:rFonts w:cstheme="minorHAnsi"/>
          <w:color w:val="000000" w:themeColor="text1"/>
        </w:rPr>
        <w:t xml:space="preserve"> </w:t>
      </w:r>
      <w:r w:rsidR="000F632C" w:rsidRPr="00A4233B">
        <w:rPr>
          <w:rFonts w:cstheme="minorHAnsi"/>
          <w:color w:val="000000" w:themeColor="text1"/>
        </w:rPr>
        <w:t xml:space="preserve">Within this model, </w:t>
      </w:r>
      <w:r w:rsidR="0056179C">
        <w:rPr>
          <w:rFonts w:cstheme="minorHAnsi"/>
          <w:color w:val="000000" w:themeColor="text1"/>
        </w:rPr>
        <w:t>t</w:t>
      </w:r>
      <w:r w:rsidR="0056179C" w:rsidRPr="0056179C">
        <w:rPr>
          <w:rFonts w:cstheme="minorHAnsi"/>
          <w:color w:val="000000" w:themeColor="text1"/>
        </w:rPr>
        <w:t>he effect of time is statistically significant and positive (beta = 6.96,</w:t>
      </w:r>
      <w:r w:rsidR="0056179C">
        <w:rPr>
          <w:rFonts w:cstheme="minorHAnsi"/>
          <w:color w:val="000000" w:themeColor="text1"/>
        </w:rPr>
        <w:t xml:space="preserve"> </w:t>
      </w:r>
      <w:r w:rsidR="0056179C" w:rsidRPr="0056179C">
        <w:rPr>
          <w:rFonts w:cstheme="minorHAnsi"/>
          <w:color w:val="000000" w:themeColor="text1"/>
        </w:rPr>
        <w:t>95% CI [5.47, 8.45], t(249) = 9.21, p &lt; .001; Std. beta = 0.32, 95% CI [0.25,0.39])</w:t>
      </w:r>
      <w:r w:rsidR="004F0AB2">
        <w:rPr>
          <w:rFonts w:cstheme="minorHAnsi"/>
          <w:color w:val="000000" w:themeColor="text1"/>
        </w:rPr>
        <w:t xml:space="preserve">; </w:t>
      </w:r>
      <w:r w:rsidR="000F632C" w:rsidRPr="00A4233B">
        <w:rPr>
          <w:rFonts w:cstheme="minorHAnsi"/>
          <w:color w:val="000000" w:themeColor="text1"/>
        </w:rPr>
        <w:t xml:space="preserve">the effect of </w:t>
      </w:r>
      <w:r w:rsidR="000F632C">
        <w:rPr>
          <w:rFonts w:cstheme="minorHAnsi"/>
          <w:color w:val="000000" w:themeColor="text1"/>
        </w:rPr>
        <w:t>pain</w:t>
      </w:r>
      <w:r w:rsidR="00E771CA">
        <w:rPr>
          <w:rFonts w:cstheme="minorHAnsi"/>
          <w:color w:val="000000" w:themeColor="text1"/>
        </w:rPr>
        <w:t xml:space="preserve"> during HFS </w:t>
      </w:r>
      <w:r w:rsidR="000F632C">
        <w:rPr>
          <w:rFonts w:cstheme="minorHAnsi"/>
          <w:color w:val="000000" w:themeColor="text1"/>
        </w:rPr>
        <w:t xml:space="preserve"> </w:t>
      </w:r>
      <w:r w:rsidR="000F632C" w:rsidRPr="00A4233B">
        <w:rPr>
          <w:rFonts w:cstheme="minorHAnsi"/>
          <w:color w:val="000000" w:themeColor="text1"/>
        </w:rPr>
        <w:t xml:space="preserve">is </w:t>
      </w:r>
      <w:r w:rsidR="00E771CA" w:rsidRPr="00E771CA">
        <w:rPr>
          <w:rFonts w:cstheme="minorHAnsi"/>
          <w:color w:val="000000" w:themeColor="text1"/>
        </w:rPr>
        <w:t>statistically significant and positive</w:t>
      </w:r>
      <w:r w:rsidR="00E771CA">
        <w:rPr>
          <w:rFonts w:cstheme="minorHAnsi"/>
          <w:color w:val="000000" w:themeColor="text1"/>
        </w:rPr>
        <w:t xml:space="preserve"> </w:t>
      </w:r>
      <w:r w:rsidR="00E771CA" w:rsidRPr="00E771CA">
        <w:rPr>
          <w:rFonts w:cstheme="minorHAnsi"/>
          <w:color w:val="000000" w:themeColor="text1"/>
        </w:rPr>
        <w:t>(beta = 0.30, 95% CI [0.15, 0.45], t(249) = 3.84, p &lt; .001; Std. beta = 0.46,</w:t>
      </w:r>
      <w:r w:rsidR="00E771CA">
        <w:rPr>
          <w:rFonts w:cstheme="minorHAnsi"/>
          <w:color w:val="000000" w:themeColor="text1"/>
        </w:rPr>
        <w:t xml:space="preserve"> </w:t>
      </w:r>
      <w:r w:rsidR="00E771CA" w:rsidRPr="00E771CA">
        <w:rPr>
          <w:rFonts w:cstheme="minorHAnsi"/>
          <w:color w:val="000000" w:themeColor="text1"/>
        </w:rPr>
        <w:t>95% CI [0.31, 0.61])</w:t>
      </w:r>
      <w:r w:rsidR="00E771CA">
        <w:rPr>
          <w:rFonts w:cstheme="minorHAnsi"/>
          <w:color w:val="000000" w:themeColor="text1"/>
        </w:rPr>
        <w:t>.</w:t>
      </w:r>
      <w:r w:rsidR="00E46B56" w:rsidRPr="00E46B56">
        <w:t xml:space="preserve"> </w:t>
      </w:r>
      <w:r w:rsidR="00E46B56" w:rsidRPr="00E46B56">
        <w:rPr>
          <w:rFonts w:cstheme="minorHAnsi"/>
          <w:color w:val="000000" w:themeColor="text1"/>
        </w:rPr>
        <w:t>The effect of time × Pain During HFS is statistically significant and</w:t>
      </w:r>
      <w:r w:rsidR="00E46B56">
        <w:rPr>
          <w:rFonts w:cstheme="minorHAnsi"/>
          <w:color w:val="000000" w:themeColor="text1"/>
        </w:rPr>
        <w:t xml:space="preserve"> </w:t>
      </w:r>
      <w:r w:rsidR="00E46B56" w:rsidRPr="00E46B56">
        <w:rPr>
          <w:rFonts w:cstheme="minorHAnsi"/>
          <w:color w:val="000000" w:themeColor="text1"/>
        </w:rPr>
        <w:t>positive (beta = 0.11, 95% CI [0.03, 0.19], t(249) = 2.88, p = 0.004; Std.</w:t>
      </w:r>
      <w:r w:rsidR="00E46B56">
        <w:rPr>
          <w:rFonts w:cstheme="minorHAnsi"/>
          <w:color w:val="000000" w:themeColor="text1"/>
        </w:rPr>
        <w:t xml:space="preserve"> </w:t>
      </w:r>
      <w:r w:rsidR="00E46B56" w:rsidRPr="00E46B56">
        <w:rPr>
          <w:rFonts w:cstheme="minorHAnsi"/>
          <w:color w:val="000000" w:themeColor="text1"/>
        </w:rPr>
        <w:t>beta = 0.10, 95% CI [0.03, 0.17]</w:t>
      </w:r>
      <w:r w:rsidR="00256730">
        <w:rPr>
          <w:rFonts w:cstheme="minorHAnsi"/>
          <w:color w:val="000000" w:themeColor="text1"/>
        </w:rPr>
        <w:t xml:space="preserve">; </w:t>
      </w:r>
      <w:r w:rsidR="00256730" w:rsidRPr="00A4233B">
        <w:rPr>
          <w:rFonts w:cstheme="minorHAnsi"/>
          <w:b/>
          <w:bCs/>
        </w:rPr>
        <w:t xml:space="preserve">see figure </w:t>
      </w:r>
      <w:r w:rsidR="00256730">
        <w:rPr>
          <w:rFonts w:cstheme="minorHAnsi"/>
          <w:b/>
          <w:bCs/>
        </w:rPr>
        <w:t>4</w:t>
      </w:r>
      <w:r w:rsidR="00E46B56" w:rsidRPr="00E46B56">
        <w:rPr>
          <w:rFonts w:cstheme="minorHAnsi"/>
          <w:color w:val="000000" w:themeColor="text1"/>
        </w:rPr>
        <w:t>)</w:t>
      </w:r>
      <w:r w:rsidR="00E46B56">
        <w:rPr>
          <w:rFonts w:cstheme="minorHAnsi"/>
          <w:color w:val="000000" w:themeColor="text1"/>
        </w:rPr>
        <w:t xml:space="preserve">. </w:t>
      </w:r>
      <w:r w:rsidR="00E46B56" w:rsidRPr="00A4233B">
        <w:rPr>
          <w:rFonts w:cstheme="minorHAnsi"/>
          <w:color w:val="000000" w:themeColor="text1"/>
        </w:rPr>
        <w:t xml:space="preserve">To summarize, we found a significant effect of time on the change of mechanical sensitivity from a baseline measurement (T0) to both 20 minutes (T1) and 40 minutes (T2) after the sensitization procedure </w:t>
      </w:r>
      <w:r w:rsidR="00E46B56">
        <w:rPr>
          <w:rFonts w:cstheme="minorHAnsi"/>
          <w:color w:val="000000" w:themeColor="text1"/>
        </w:rPr>
        <w:t>and a significant positive interaction</w:t>
      </w:r>
      <w:r w:rsidR="00E46B56" w:rsidRPr="00A4233B">
        <w:rPr>
          <w:rFonts w:cstheme="minorHAnsi"/>
          <w:color w:val="000000" w:themeColor="text1"/>
        </w:rPr>
        <w:t xml:space="preserve"> </w:t>
      </w:r>
      <w:r w:rsidR="00E46B56">
        <w:rPr>
          <w:rFonts w:cstheme="minorHAnsi"/>
          <w:color w:val="000000" w:themeColor="text1"/>
        </w:rPr>
        <w:t xml:space="preserve">between the change in mechanical sensitivity and </w:t>
      </w:r>
      <w:r w:rsidR="00256730">
        <w:rPr>
          <w:rFonts w:cstheme="minorHAnsi"/>
          <w:color w:val="000000" w:themeColor="text1"/>
        </w:rPr>
        <w:t xml:space="preserve">pain experience during HFS. </w:t>
      </w:r>
      <w:r w:rsidR="00B96A43" w:rsidRPr="00863F9D">
        <w:rPr>
          <w:rFonts w:cstheme="minorHAnsi"/>
          <w:color w:val="FF0000"/>
        </w:rPr>
        <w:t>A summary of the results can be found at Table 1, titled "Model Results Summary</w:t>
      </w:r>
      <w:r w:rsidR="00B77834">
        <w:rPr>
          <w:rFonts w:cstheme="minorHAnsi"/>
          <w:color w:val="FF0000"/>
        </w:rPr>
        <w:t>”</w:t>
      </w:r>
      <w:r w:rsidR="00B96A43">
        <w:rPr>
          <w:rFonts w:cstheme="minorHAnsi"/>
          <w:color w:val="FF0000"/>
        </w:rPr>
        <w:t>.</w:t>
      </w:r>
    </w:p>
    <w:p w14:paraId="411543A6" w14:textId="77777777" w:rsidR="00B96A43" w:rsidRDefault="00B96A43" w:rsidP="00B96A43">
      <w:pPr>
        <w:spacing w:after="0" w:line="480" w:lineRule="auto"/>
        <w:rPr>
          <w:rFonts w:cstheme="minorHAnsi"/>
          <w:color w:val="000000" w:themeColor="text1"/>
        </w:rPr>
      </w:pPr>
    </w:p>
    <w:p w14:paraId="0E142753" w14:textId="60F97F71" w:rsidR="001348DC" w:rsidRDefault="001348DC" w:rsidP="000A07DD">
      <w:pPr>
        <w:spacing w:after="0" w:line="480" w:lineRule="auto"/>
        <w:rPr>
          <w:rFonts w:ascii="Times New Roman" w:hAnsi="Times New Roman" w:cs="Times New Roman"/>
          <w:i/>
          <w:iCs/>
          <w:lang w:val="en-GB"/>
        </w:rPr>
      </w:pPr>
      <w:r>
        <w:rPr>
          <w:rFonts w:ascii="Times New Roman" w:hAnsi="Times New Roman" w:cs="Times New Roman"/>
          <w:i/>
          <w:iCs/>
          <w:lang w:val="en-GB"/>
        </w:rPr>
        <w:t>[ Insert Figure 4 here ]</w:t>
      </w:r>
    </w:p>
    <w:p w14:paraId="656EBC74" w14:textId="77777777" w:rsidR="001348DC" w:rsidRDefault="001348DC" w:rsidP="00B4157F">
      <w:pPr>
        <w:spacing w:after="0" w:line="480" w:lineRule="auto"/>
        <w:ind w:firstLine="720"/>
        <w:rPr>
          <w:rFonts w:cstheme="minorHAnsi"/>
          <w:color w:val="000000" w:themeColor="text1"/>
        </w:rPr>
      </w:pPr>
    </w:p>
    <w:p w14:paraId="5E515372" w14:textId="2F540EAC" w:rsidR="003955D1" w:rsidRPr="007A2C29" w:rsidRDefault="00E3692E" w:rsidP="00E7301F">
      <w:pPr>
        <w:spacing w:after="0" w:line="480" w:lineRule="auto"/>
        <w:rPr>
          <w:rFonts w:cstheme="minorHAnsi"/>
          <w:b/>
          <w:i/>
          <w:iCs/>
          <w:color w:val="000000" w:themeColor="text1"/>
        </w:rPr>
      </w:pPr>
      <w:r w:rsidRPr="007A2C29">
        <w:rPr>
          <w:rFonts w:cstheme="minorHAnsi"/>
          <w:b/>
          <w:i/>
          <w:iCs/>
          <w:color w:val="000000" w:themeColor="text1"/>
        </w:rPr>
        <w:lastRenderedPageBreak/>
        <w:t>Mechanical</w:t>
      </w:r>
      <w:r w:rsidR="003B4106">
        <w:rPr>
          <w:rFonts w:cstheme="minorHAnsi"/>
          <w:b/>
          <w:i/>
          <w:iCs/>
          <w:color w:val="000000" w:themeColor="text1"/>
        </w:rPr>
        <w:t xml:space="preserve"> pinprick </w:t>
      </w:r>
      <w:r w:rsidRPr="007A2C29">
        <w:rPr>
          <w:rFonts w:cstheme="minorHAnsi"/>
          <w:b/>
          <w:i/>
          <w:iCs/>
          <w:color w:val="000000" w:themeColor="text1"/>
        </w:rPr>
        <w:t xml:space="preserve"> sensitivity assessed on the control arm </w:t>
      </w:r>
    </w:p>
    <w:p w14:paraId="723AB364" w14:textId="2547763F" w:rsidR="003955D1" w:rsidRPr="00097DE3" w:rsidRDefault="003955D1" w:rsidP="00097DE3">
      <w:pPr>
        <w:spacing w:after="0" w:line="480" w:lineRule="auto"/>
        <w:ind w:firstLine="720"/>
        <w:rPr>
          <w:rFonts w:cstheme="minorHAnsi"/>
          <w:b/>
          <w:bCs/>
        </w:rPr>
      </w:pPr>
      <w:r>
        <w:t xml:space="preserve">We fitted a linear mixed </w:t>
      </w:r>
      <w:r w:rsidR="00661D8A">
        <w:t xml:space="preserve">model </w:t>
      </w:r>
      <w:r w:rsidR="00E04208">
        <w:t xml:space="preserve">to assess </w:t>
      </w:r>
      <w:r w:rsidR="00C57777">
        <w:t>whether mechanical</w:t>
      </w:r>
      <w:r w:rsidR="00E04208" w:rsidRPr="00A4233B">
        <w:rPr>
          <w:rFonts w:cstheme="minorHAnsi"/>
          <w:color w:val="000000" w:themeColor="text1"/>
        </w:rPr>
        <w:t xml:space="preserve"> sensitivity </w:t>
      </w:r>
      <w:r w:rsidR="00E04208">
        <w:rPr>
          <w:rFonts w:cstheme="minorHAnsi"/>
          <w:color w:val="000000" w:themeColor="text1"/>
        </w:rPr>
        <w:t xml:space="preserve">assessed on the control arm </w:t>
      </w:r>
      <w:r w:rsidR="00E04208" w:rsidRPr="00A4233B">
        <w:rPr>
          <w:rFonts w:cstheme="minorHAnsi"/>
          <w:color w:val="000000" w:themeColor="text1"/>
        </w:rPr>
        <w:t>(i.e., measurement) varied from T0 to 20 minutes (T1) and 40 minutes (T2) (i.e., time), after the sensitization procedure and if the change depended on the Condition (model: measurement ~ 1 + time +</w:t>
      </w:r>
      <w:r w:rsidR="00E04208">
        <w:rPr>
          <w:rFonts w:cstheme="minorHAnsi"/>
          <w:color w:val="000000" w:themeColor="text1"/>
        </w:rPr>
        <w:t xml:space="preserve"> Condition+ </w:t>
      </w:r>
      <w:r w:rsidR="00E04208" w:rsidRPr="00A4233B">
        <w:rPr>
          <w:rFonts w:cstheme="minorHAnsi"/>
          <w:color w:val="000000" w:themeColor="text1"/>
        </w:rPr>
        <w:t xml:space="preserve"> 1|PT + time: Condition). </w:t>
      </w:r>
      <w:r>
        <w:t xml:space="preserve">The model included PT as </w:t>
      </w:r>
      <w:r w:rsidR="000970AA">
        <w:t xml:space="preserve">a </w:t>
      </w:r>
      <w:r>
        <w:t>random effect (formula: ~1 | PT). The model's total</w:t>
      </w:r>
      <w:r w:rsidR="00E04208">
        <w:rPr>
          <w:rFonts w:cstheme="minorHAnsi"/>
          <w:b/>
          <w:bCs/>
        </w:rPr>
        <w:t xml:space="preserve"> </w:t>
      </w:r>
      <w:r>
        <w:t>explanatory power is substantial (conditional R2 = 0.82) and the part related to the fixed</w:t>
      </w:r>
      <w:r w:rsidR="00E04208">
        <w:rPr>
          <w:rFonts w:cstheme="minorHAnsi"/>
          <w:b/>
          <w:bCs/>
        </w:rPr>
        <w:t xml:space="preserve"> </w:t>
      </w:r>
      <w:r>
        <w:t>effects alone (marginal R2) is 9.21e-03. The model's intercept, corresponding to time = 0</w:t>
      </w:r>
      <w:r w:rsidR="00E04208">
        <w:rPr>
          <w:rFonts w:cstheme="minorHAnsi"/>
          <w:b/>
          <w:bCs/>
        </w:rPr>
        <w:t xml:space="preserve"> </w:t>
      </w:r>
      <w:r>
        <w:t>and Condition = 0, is at 15.57 (95% CI [13.51, 17.63], t(249) = 14.89, p &lt; .001). Within this</w:t>
      </w:r>
      <w:r w:rsidR="00097DE3">
        <w:rPr>
          <w:rFonts w:cstheme="minorHAnsi"/>
          <w:b/>
          <w:bCs/>
        </w:rPr>
        <w:t xml:space="preserve"> </w:t>
      </w:r>
      <w:r>
        <w:t>model:</w:t>
      </w:r>
      <w:r w:rsidR="00E04208">
        <w:t xml:space="preserve"> t</w:t>
      </w:r>
      <w:r>
        <w:t>he effect of time is statistically significant and negative (beta = -1.57, 95% CI [-2.88,</w:t>
      </w:r>
      <w:r w:rsidR="00097DE3">
        <w:rPr>
          <w:rFonts w:cstheme="minorHAnsi"/>
          <w:b/>
          <w:bCs/>
        </w:rPr>
        <w:t xml:space="preserve"> </w:t>
      </w:r>
      <w:r w:rsidRPr="00097DE3">
        <w:t>-0.25], t(249) = -2.35, p = 0.020; Std. beta = -0.06, 95% CI [-0.12, -9.99e-03])</w:t>
      </w:r>
      <w:r w:rsidR="00E04208" w:rsidRPr="00097DE3">
        <w:t xml:space="preserve">. </w:t>
      </w:r>
      <w:r w:rsidR="00E04208" w:rsidRPr="008F4258">
        <w:t>Howe</w:t>
      </w:r>
      <w:r w:rsidR="00E04208">
        <w:t xml:space="preserve">ver, given the small effect size, i.e., -0.06 and the large range of the CI, we can consider this change negligible. </w:t>
      </w:r>
      <w:r>
        <w:t xml:space="preserve">The effect of </w:t>
      </w:r>
      <w:r w:rsidR="000970AA">
        <w:t xml:space="preserve">the </w:t>
      </w:r>
      <w:r>
        <w:t>Condition is statistically non-significant and positive (beta = 1.51, 95% CI</w:t>
      </w:r>
    </w:p>
    <w:p w14:paraId="2EF2599A" w14:textId="771B2E0D" w:rsidR="00B96A43" w:rsidRDefault="003955D1" w:rsidP="00B96A43">
      <w:pPr>
        <w:spacing w:after="0" w:line="480" w:lineRule="auto"/>
        <w:rPr>
          <w:rFonts w:cstheme="minorHAnsi"/>
          <w:color w:val="000000" w:themeColor="text1"/>
        </w:rPr>
      </w:pPr>
      <w:r w:rsidRPr="00BA6EC6">
        <w:rPr>
          <w:lang w:val="it-IT"/>
        </w:rPr>
        <w:t>[-2.61, 5.63], t(249) = 0.72, p = 0.472; Std. beta = 0.07, 95% CI [-0.13, 0.28])</w:t>
      </w:r>
      <w:r w:rsidR="00E04208" w:rsidRPr="00BA6EC6">
        <w:rPr>
          <w:lang w:val="it-IT"/>
        </w:rPr>
        <w:t xml:space="preserve">. </w:t>
      </w:r>
      <w:r>
        <w:t>The effect of time × Condition is statistically non-significant and negative (beta = -0.23,</w:t>
      </w:r>
      <w:r w:rsidR="00E04208">
        <w:t xml:space="preserve"> </w:t>
      </w:r>
      <w:r>
        <w:t>95% CI [-2.86, 2.40], t(249) = -0.17, p = 0.862; Std. beta = -4.67e-03, 95% CI [-0.06, 0.05])</w:t>
      </w:r>
      <w:r w:rsidR="00E04208">
        <w:t xml:space="preserve">. Hence, the control arm seems to not provide any useful addition to the model. </w:t>
      </w:r>
      <w:r w:rsidR="00B96A43" w:rsidRPr="00863F9D">
        <w:rPr>
          <w:rFonts w:cstheme="minorHAnsi"/>
          <w:color w:val="FF0000"/>
        </w:rPr>
        <w:t>A summary of the results can be found at Table 1, titled "Model Results Summary</w:t>
      </w:r>
      <w:r w:rsidR="00B77834">
        <w:rPr>
          <w:rFonts w:cstheme="minorHAnsi"/>
          <w:color w:val="FF0000"/>
        </w:rPr>
        <w:t>”</w:t>
      </w:r>
      <w:r w:rsidR="00B96A43">
        <w:rPr>
          <w:rFonts w:cstheme="minorHAnsi"/>
          <w:color w:val="FF0000"/>
        </w:rPr>
        <w:t>.</w:t>
      </w:r>
    </w:p>
    <w:p w14:paraId="142563F4" w14:textId="77777777" w:rsidR="006B2199" w:rsidRDefault="006B2199" w:rsidP="00366F9A">
      <w:pPr>
        <w:spacing w:after="0" w:line="480" w:lineRule="auto"/>
        <w:rPr>
          <w:rFonts w:ascii="Times New Roman" w:hAnsi="Times New Roman" w:cs="Times New Roman"/>
          <w:i/>
          <w:iCs/>
          <w:lang w:val="en-GB"/>
        </w:rPr>
      </w:pPr>
    </w:p>
    <w:p w14:paraId="4ECE4DF9" w14:textId="57B349DC" w:rsidR="00366F9A" w:rsidRPr="006B2199" w:rsidRDefault="00366F9A" w:rsidP="00366F9A">
      <w:pPr>
        <w:spacing w:after="0" w:line="480" w:lineRule="auto"/>
        <w:rPr>
          <w:rFonts w:ascii="Times New Roman" w:hAnsi="Times New Roman" w:cs="Times New Roman"/>
          <w:i/>
          <w:iCs/>
          <w:color w:val="FF0000"/>
          <w:lang w:val="en-GB"/>
        </w:rPr>
      </w:pPr>
      <w:r w:rsidRPr="006B2199">
        <w:rPr>
          <w:rFonts w:ascii="Times New Roman" w:hAnsi="Times New Roman" w:cs="Times New Roman"/>
          <w:i/>
          <w:iCs/>
          <w:color w:val="FF0000"/>
          <w:lang w:val="en-GB"/>
        </w:rPr>
        <w:t>[ Insert Table 1 ]</w:t>
      </w:r>
    </w:p>
    <w:p w14:paraId="1EF46D93" w14:textId="226432D4" w:rsidR="003955D1" w:rsidRDefault="003955D1" w:rsidP="00E7301F">
      <w:pPr>
        <w:spacing w:line="480" w:lineRule="auto"/>
      </w:pPr>
    </w:p>
    <w:p w14:paraId="54348DF8" w14:textId="7F204BB7" w:rsidR="000214DB" w:rsidRDefault="000214DB" w:rsidP="000214DB">
      <w:pPr>
        <w:spacing w:after="0" w:line="480" w:lineRule="auto"/>
        <w:rPr>
          <w:b/>
          <w:bCs/>
          <w:i/>
          <w:iCs/>
          <w:lang w:val="en-GB"/>
        </w:rPr>
      </w:pPr>
      <w:r w:rsidRPr="007A2C29">
        <w:rPr>
          <w:b/>
          <w:bCs/>
          <w:i/>
          <w:iCs/>
          <w:lang w:val="en-GB"/>
        </w:rPr>
        <w:t xml:space="preserve">Individual differences as possible moderators of the </w:t>
      </w:r>
      <w:r w:rsidR="00B65D33" w:rsidRPr="007A2C29">
        <w:rPr>
          <w:b/>
          <w:bCs/>
          <w:i/>
          <w:iCs/>
          <w:lang w:val="en-GB"/>
        </w:rPr>
        <w:t xml:space="preserve">change in mechanical sensitivity </w:t>
      </w:r>
    </w:p>
    <w:p w14:paraId="7095A6DB" w14:textId="098D812E" w:rsidR="00664EED" w:rsidRDefault="00A9030D" w:rsidP="00D4000A">
      <w:pPr>
        <w:spacing w:after="0" w:line="480" w:lineRule="auto"/>
        <w:rPr>
          <w:color w:val="FF0000"/>
          <w:lang w:val="en-GB"/>
        </w:rPr>
      </w:pPr>
      <w:r w:rsidRPr="00A9030D">
        <w:rPr>
          <w:color w:val="FF0000"/>
          <w:lang w:val="en-GB"/>
        </w:rPr>
        <w:t xml:space="preserve">The psychological characteristics evaluated through trait anxiety, pain vigilance and awareness, and pain anxiety symptom questionnaires did not significantly moderate the </w:t>
      </w:r>
      <w:r w:rsidR="00664EED">
        <w:rPr>
          <w:color w:val="FF0000"/>
          <w:lang w:val="en-GB"/>
        </w:rPr>
        <w:t xml:space="preserve">change in mechanical sensitivity </w:t>
      </w:r>
      <w:r w:rsidRPr="00A9030D">
        <w:rPr>
          <w:color w:val="FF0000"/>
          <w:lang w:val="en-GB"/>
        </w:rPr>
        <w:t xml:space="preserve">(see SDC-Table </w:t>
      </w:r>
      <w:r w:rsidR="001C293F">
        <w:rPr>
          <w:color w:val="FF0000"/>
          <w:lang w:val="en-GB"/>
        </w:rPr>
        <w:t>3</w:t>
      </w:r>
      <w:r w:rsidRPr="00A9030D">
        <w:rPr>
          <w:color w:val="FF0000"/>
          <w:lang w:val="en-GB"/>
        </w:rPr>
        <w:t xml:space="preserve"> for details).</w:t>
      </w:r>
    </w:p>
    <w:p w14:paraId="0912C06F" w14:textId="77777777" w:rsidR="005507C6" w:rsidRDefault="005507C6" w:rsidP="005507C6">
      <w:pPr>
        <w:spacing w:after="0" w:line="480" w:lineRule="auto"/>
        <w:rPr>
          <w:b/>
          <w:bCs/>
          <w:i/>
          <w:iCs/>
          <w:strike/>
          <w:color w:val="FF0000"/>
        </w:rPr>
      </w:pPr>
      <w:bookmarkStart w:id="22" w:name="_Hlk139629680"/>
    </w:p>
    <w:p w14:paraId="15B495B9" w14:textId="77777777" w:rsidR="006B2199" w:rsidRDefault="006B2199" w:rsidP="005507C6">
      <w:pPr>
        <w:spacing w:after="0" w:line="480" w:lineRule="auto"/>
        <w:rPr>
          <w:b/>
          <w:bCs/>
          <w:i/>
          <w:iCs/>
          <w:strike/>
          <w:color w:val="FF0000"/>
        </w:rPr>
      </w:pPr>
    </w:p>
    <w:p w14:paraId="56FBA6E1" w14:textId="77777777" w:rsidR="006B2199" w:rsidRPr="005507C6" w:rsidRDefault="006B2199" w:rsidP="005507C6">
      <w:pPr>
        <w:spacing w:after="0" w:line="480" w:lineRule="auto"/>
        <w:rPr>
          <w:rFonts w:ascii="Times New Roman" w:hAnsi="Times New Roman" w:cs="Times New Roman"/>
          <w:i/>
          <w:iCs/>
          <w:lang w:val="en-GB"/>
        </w:rPr>
      </w:pPr>
    </w:p>
    <w:p w14:paraId="16D6DE4B" w14:textId="5AA3E541" w:rsidR="005B7531" w:rsidRPr="0020479B" w:rsidRDefault="00371C28" w:rsidP="00371C28">
      <w:pPr>
        <w:rPr>
          <w:rFonts w:cstheme="minorHAnsi"/>
          <w:b/>
          <w:lang w:val="en-GB"/>
        </w:rPr>
      </w:pPr>
      <w:r w:rsidRPr="0020479B">
        <w:rPr>
          <w:rFonts w:cstheme="minorHAnsi"/>
          <w:b/>
          <w:sz w:val="28"/>
          <w:szCs w:val="28"/>
          <w:lang w:val="en-GB"/>
        </w:rPr>
        <w:t>Discussion</w:t>
      </w:r>
    </w:p>
    <w:p w14:paraId="0110E37A" w14:textId="64D6140B" w:rsidR="00C61B98" w:rsidRDefault="00A94A05" w:rsidP="00413CA4">
      <w:pPr>
        <w:spacing w:after="0" w:line="480" w:lineRule="auto"/>
        <w:rPr>
          <w:rFonts w:cstheme="minorHAnsi"/>
          <w:color w:val="000000" w:themeColor="text1"/>
        </w:rPr>
      </w:pPr>
      <w:r>
        <w:rPr>
          <w:bCs/>
        </w:rPr>
        <w:tab/>
      </w:r>
      <w:r w:rsidR="00371C28" w:rsidRPr="00EE3259">
        <w:rPr>
          <w:rFonts w:cstheme="minorHAnsi"/>
          <w:color w:val="000000" w:themeColor="text1"/>
        </w:rPr>
        <w:t xml:space="preserve">In this study, </w:t>
      </w:r>
      <w:r w:rsidR="00AD53F1">
        <w:rPr>
          <w:rFonts w:cstheme="minorHAnsi"/>
          <w:color w:val="000000" w:themeColor="text1"/>
        </w:rPr>
        <w:t xml:space="preserve">we </w:t>
      </w:r>
      <w:r w:rsidR="00D36DCB">
        <w:rPr>
          <w:rFonts w:cstheme="minorHAnsi"/>
          <w:color w:val="000000" w:themeColor="text1"/>
        </w:rPr>
        <w:t xml:space="preserve">investigated </w:t>
      </w:r>
      <w:r w:rsidR="00D36DCB" w:rsidRPr="00EE3259">
        <w:rPr>
          <w:rFonts w:cstheme="minorHAnsi"/>
          <w:color w:val="000000" w:themeColor="text1"/>
        </w:rPr>
        <w:t>whether</w:t>
      </w:r>
      <w:r w:rsidR="00371C28" w:rsidRPr="00EE3259">
        <w:rPr>
          <w:rFonts w:cstheme="minorHAnsi"/>
          <w:color w:val="000000" w:themeColor="text1"/>
        </w:rPr>
        <w:t xml:space="preserve"> </w:t>
      </w:r>
      <w:r w:rsidR="00AD53F1">
        <w:rPr>
          <w:rFonts w:cstheme="minorHAnsi"/>
          <w:color w:val="000000" w:themeColor="text1"/>
        </w:rPr>
        <w:t xml:space="preserve">being engaged </w:t>
      </w:r>
      <w:r w:rsidR="00371C28" w:rsidRPr="00EE3259">
        <w:rPr>
          <w:rFonts w:cstheme="minorHAnsi"/>
          <w:color w:val="000000" w:themeColor="text1"/>
        </w:rPr>
        <w:t xml:space="preserve">in a working memory task would affect </w:t>
      </w:r>
      <w:r w:rsidR="001A457E">
        <w:rPr>
          <w:rFonts w:cstheme="minorHAnsi"/>
          <w:color w:val="000000" w:themeColor="text1"/>
        </w:rPr>
        <w:t xml:space="preserve">central </w:t>
      </w:r>
      <w:r w:rsidR="00371C28" w:rsidRPr="00EE3259">
        <w:rPr>
          <w:rFonts w:cstheme="minorHAnsi"/>
          <w:color w:val="000000" w:themeColor="text1"/>
        </w:rPr>
        <w:t xml:space="preserve">sensitization </w:t>
      </w:r>
      <w:r w:rsidR="00371C28" w:rsidRPr="005859D1">
        <w:rPr>
          <w:rFonts w:cstheme="minorHAnsi"/>
          <w:color w:val="FF0000"/>
        </w:rPr>
        <w:t xml:space="preserve">using mechanical pinprick sensitivity as a proxy. </w:t>
      </w:r>
      <w:r w:rsidR="00371C28" w:rsidRPr="00EE3259">
        <w:rPr>
          <w:rFonts w:cstheme="minorHAnsi"/>
          <w:color w:val="000000" w:themeColor="text1"/>
        </w:rPr>
        <w:t xml:space="preserve">Specifically, we hypothesized that participants who performed a demanding and engaging working memory task would exhibit reduced secondary </w:t>
      </w:r>
      <w:r w:rsidR="00501510">
        <w:rPr>
          <w:rFonts w:cstheme="minorHAnsi"/>
          <w:color w:val="000000" w:themeColor="text1"/>
        </w:rPr>
        <w:t>hypersensitivity</w:t>
      </w:r>
      <w:r w:rsidR="00501510" w:rsidRPr="00EE3259">
        <w:rPr>
          <w:rFonts w:cstheme="minorHAnsi"/>
          <w:color w:val="000000" w:themeColor="text1"/>
        </w:rPr>
        <w:t xml:space="preserve"> </w:t>
      </w:r>
      <w:r w:rsidR="00371C28" w:rsidRPr="00EE3259">
        <w:rPr>
          <w:rFonts w:cstheme="minorHAnsi"/>
          <w:color w:val="000000" w:themeColor="text1"/>
        </w:rPr>
        <w:t>20 and 40 minutes after receiving high-frequency stimulation (HFS) compared to those who performed an eas</w:t>
      </w:r>
      <w:r w:rsidR="0077521F">
        <w:rPr>
          <w:rFonts w:cstheme="minorHAnsi"/>
          <w:color w:val="000000" w:themeColor="text1"/>
        </w:rPr>
        <w:t>ier</w:t>
      </w:r>
      <w:r w:rsidR="00371C28" w:rsidRPr="00EE3259">
        <w:rPr>
          <w:rFonts w:cstheme="minorHAnsi"/>
          <w:color w:val="000000" w:themeColor="text1"/>
        </w:rPr>
        <w:t xml:space="preserve"> task with no working memory. We predicted this reduction would be observed in both the spatial extent and intensity of mechanical pinprick sensitivity. </w:t>
      </w:r>
      <w:r w:rsidR="00B93A57">
        <w:rPr>
          <w:rFonts w:cstheme="minorHAnsi"/>
          <w:color w:val="000000" w:themeColor="text1"/>
        </w:rPr>
        <w:t xml:space="preserve">Our hypothesis was grounded </w:t>
      </w:r>
      <w:r w:rsidR="00553B6F">
        <w:rPr>
          <w:rFonts w:cstheme="minorHAnsi"/>
          <w:color w:val="000000" w:themeColor="text1"/>
        </w:rPr>
        <w:t>in</w:t>
      </w:r>
      <w:r w:rsidR="00B93A57">
        <w:rPr>
          <w:rFonts w:cstheme="minorHAnsi"/>
          <w:color w:val="000000" w:themeColor="text1"/>
        </w:rPr>
        <w:t xml:space="preserve"> the neurocognitive model of attention</w:t>
      </w:r>
      <w:r w:rsidR="00C7021D">
        <w:rPr>
          <w:rFonts w:cstheme="minorHAnsi"/>
          <w:color w:val="000000" w:themeColor="text1"/>
        </w:rPr>
        <w:t xml:space="preserve"> </w:t>
      </w:r>
      <w:r w:rsidR="00FF5C42">
        <w:rPr>
          <w:rFonts w:cstheme="minorHAnsi"/>
          <w:color w:val="000000" w:themeColor="text1"/>
        </w:rPr>
        <w:fldChar w:fldCharType="begin"/>
      </w:r>
      <w:r w:rsidR="0019418B">
        <w:rPr>
          <w:rFonts w:cstheme="minorHAnsi"/>
          <w:color w:val="000000" w:themeColor="text1"/>
        </w:rPr>
        <w:instrText xml:space="preserve"> ADDIN ZOTERO_ITEM CSL_CITATION {"citationID":"GKmBGZlK","properties":{"formattedCitation":"[38]","plainCitation":"[38]","noteIndex":0},"citationItems":[{"id":"hB7whiFf/nAN9qWQv","uris":["http://zotero.org/users/9378318/items/SU4WZZSS"],"itemData":{"id":143,"type":"article-journal","container-title":"Pain","DOI":"10.1016/j.pain.2009.03.020","issue":"3","page":"230-232","title":"A neurocognitive model of attention to pain: Behavioral and neuroimaging evidence","volume":"144","author":[{"family":"Legrain","given":"Valéry"},{"family":"Damme","given":"Stefaan Van"},{"family":"Eccleston","given":"Christopher"},{"family":"Davis","given":"Karen D."},{"family":"Seminowicz","given":"David A."},{"family":"Crombez","given":"Geert"}],"issued":{"date-parts":[["2009"]]}}}],"schema":"https://github.com/citation-style-language/schema/raw/master/csl-citation.json"} </w:instrText>
      </w:r>
      <w:r w:rsidR="00FF5C42">
        <w:rPr>
          <w:rFonts w:cstheme="minorHAnsi"/>
          <w:color w:val="000000" w:themeColor="text1"/>
        </w:rPr>
        <w:fldChar w:fldCharType="separate"/>
      </w:r>
      <w:r w:rsidR="001A31BB" w:rsidRPr="001A31BB">
        <w:rPr>
          <w:rFonts w:ascii="Calibri" w:hAnsi="Calibri" w:cs="Calibri"/>
        </w:rPr>
        <w:t>[38]</w:t>
      </w:r>
      <w:r w:rsidR="00FF5C42">
        <w:rPr>
          <w:rFonts w:cstheme="minorHAnsi"/>
          <w:color w:val="000000" w:themeColor="text1"/>
        </w:rPr>
        <w:fldChar w:fldCharType="end"/>
      </w:r>
      <w:r w:rsidR="00B93A57">
        <w:rPr>
          <w:rFonts w:cstheme="minorHAnsi"/>
          <w:color w:val="000000" w:themeColor="text1"/>
        </w:rPr>
        <w:t xml:space="preserve"> </w:t>
      </w:r>
      <w:r w:rsidR="000C5EDD">
        <w:rPr>
          <w:rFonts w:cstheme="minorHAnsi"/>
          <w:color w:val="000000" w:themeColor="text1"/>
        </w:rPr>
        <w:t xml:space="preserve">which </w:t>
      </w:r>
      <w:r w:rsidR="00172E03">
        <w:rPr>
          <w:rFonts w:cstheme="minorHAnsi"/>
        </w:rPr>
        <w:t xml:space="preserve">claims that </w:t>
      </w:r>
      <w:r w:rsidR="00172E03" w:rsidRPr="00064EDE">
        <w:rPr>
          <w:rFonts w:cstheme="minorHAnsi"/>
        </w:rPr>
        <w:t>while pain can capture our attention automatically through a bottom-up selection process, top-down processes can modulate pain perception by directing attention</w:t>
      </w:r>
      <w:r w:rsidR="00A7261B">
        <w:rPr>
          <w:rFonts w:cstheme="minorHAnsi"/>
        </w:rPr>
        <w:t xml:space="preserve">al </w:t>
      </w:r>
      <w:r w:rsidR="00ED19B6">
        <w:rPr>
          <w:rFonts w:cstheme="minorHAnsi"/>
        </w:rPr>
        <w:t>resources</w:t>
      </w:r>
      <w:r w:rsidR="00A7261B">
        <w:rPr>
          <w:rFonts w:cstheme="minorHAnsi"/>
        </w:rPr>
        <w:t xml:space="preserve"> </w:t>
      </w:r>
      <w:r w:rsidR="00172E03" w:rsidRPr="00064EDE">
        <w:rPr>
          <w:rFonts w:cstheme="minorHAnsi"/>
        </w:rPr>
        <w:t>to more demanding tasks</w:t>
      </w:r>
      <w:r w:rsidR="00172E03">
        <w:rPr>
          <w:rFonts w:cstheme="minorHAnsi"/>
        </w:rPr>
        <w:t xml:space="preserve"> involving working memory </w:t>
      </w:r>
      <w:r w:rsidR="00172E03" w:rsidRPr="00064EDE">
        <w:rPr>
          <w:rFonts w:cstheme="minorHAnsi"/>
        </w:rPr>
        <w:t>thereby reducing attention allocated to pain.</w:t>
      </w:r>
      <w:r w:rsidR="00172E03">
        <w:rPr>
          <w:rFonts w:cstheme="minorHAnsi"/>
        </w:rPr>
        <w:t xml:space="preserve"> </w:t>
      </w:r>
      <w:r w:rsidR="00243744">
        <w:rPr>
          <w:rFonts w:cstheme="minorHAnsi"/>
        </w:rPr>
        <w:t xml:space="preserve">In our study, </w:t>
      </w:r>
      <w:r w:rsidR="00243744">
        <w:rPr>
          <w:rFonts w:cstheme="minorHAnsi"/>
          <w:color w:val="000000" w:themeColor="text1"/>
        </w:rPr>
        <w:t>t</w:t>
      </w:r>
      <w:r w:rsidR="00C305B2">
        <w:rPr>
          <w:rFonts w:cstheme="minorHAnsi"/>
          <w:color w:val="000000" w:themeColor="text1"/>
        </w:rPr>
        <w:t>he</w:t>
      </w:r>
      <w:r w:rsidR="003A58CB">
        <w:rPr>
          <w:rFonts w:cstheme="minorHAnsi"/>
          <w:color w:val="000000" w:themeColor="text1"/>
        </w:rPr>
        <w:t xml:space="preserve"> participants’ lower accuracy and higher perceived difficulty </w:t>
      </w:r>
      <w:r w:rsidR="00C305B2">
        <w:rPr>
          <w:rFonts w:cstheme="minorHAnsi"/>
          <w:color w:val="000000" w:themeColor="text1"/>
        </w:rPr>
        <w:t xml:space="preserve">in the difficult working memory task confirmed </w:t>
      </w:r>
      <w:r w:rsidR="003A58CB">
        <w:rPr>
          <w:rFonts w:cstheme="minorHAnsi"/>
          <w:color w:val="000000" w:themeColor="text1"/>
        </w:rPr>
        <w:t xml:space="preserve">its greater demand compared to </w:t>
      </w:r>
      <w:r w:rsidR="004E2FBE">
        <w:rPr>
          <w:rFonts w:cstheme="minorHAnsi"/>
          <w:color w:val="000000" w:themeColor="text1"/>
        </w:rPr>
        <w:t xml:space="preserve">the </w:t>
      </w:r>
      <w:r w:rsidR="003A58CB">
        <w:rPr>
          <w:rFonts w:cstheme="minorHAnsi"/>
          <w:color w:val="000000" w:themeColor="text1"/>
        </w:rPr>
        <w:t xml:space="preserve">easy task. </w:t>
      </w:r>
      <w:r w:rsidR="009162FE">
        <w:rPr>
          <w:rFonts w:cstheme="minorHAnsi"/>
          <w:color w:val="000000" w:themeColor="text1"/>
        </w:rPr>
        <w:t>H</w:t>
      </w:r>
      <w:r w:rsidR="009162FE" w:rsidRPr="00EE3259">
        <w:rPr>
          <w:rFonts w:cstheme="minorHAnsi"/>
          <w:color w:val="000000" w:themeColor="text1"/>
        </w:rPr>
        <w:t xml:space="preserve">owever, contrary to our hypothesis, we found no significant difference </w:t>
      </w:r>
      <w:r w:rsidR="00B917E0">
        <w:rPr>
          <w:rFonts w:cstheme="minorHAnsi"/>
          <w:color w:val="000000" w:themeColor="text1"/>
        </w:rPr>
        <w:t xml:space="preserve">in the development of mechanical </w:t>
      </w:r>
      <w:r w:rsidR="0077521F">
        <w:rPr>
          <w:rFonts w:cstheme="minorHAnsi"/>
          <w:color w:val="000000" w:themeColor="text1"/>
        </w:rPr>
        <w:t>hyper</w:t>
      </w:r>
      <w:r w:rsidR="00B917E0">
        <w:rPr>
          <w:rFonts w:cstheme="minorHAnsi"/>
          <w:color w:val="000000" w:themeColor="text1"/>
        </w:rPr>
        <w:t xml:space="preserve">sensitivity </w:t>
      </w:r>
      <w:r w:rsidR="009162FE" w:rsidRPr="00EE3259">
        <w:rPr>
          <w:rFonts w:cstheme="minorHAnsi"/>
          <w:color w:val="000000" w:themeColor="text1"/>
        </w:rPr>
        <w:t xml:space="preserve">between the </w:t>
      </w:r>
      <w:r w:rsidR="00F56DFA">
        <w:rPr>
          <w:rFonts w:cstheme="minorHAnsi"/>
          <w:color w:val="000000" w:themeColor="text1"/>
        </w:rPr>
        <w:t xml:space="preserve">two </w:t>
      </w:r>
      <w:r w:rsidR="003A58CB">
        <w:rPr>
          <w:rFonts w:cstheme="minorHAnsi"/>
          <w:color w:val="000000" w:themeColor="text1"/>
        </w:rPr>
        <w:t>groups.</w:t>
      </w:r>
      <w:r w:rsidR="009162FE" w:rsidRPr="00EE3259">
        <w:rPr>
          <w:rFonts w:cstheme="minorHAnsi"/>
          <w:color w:val="000000" w:themeColor="text1"/>
        </w:rPr>
        <w:t xml:space="preserve"> </w:t>
      </w:r>
      <w:r w:rsidR="003A58CB" w:rsidRPr="00EE3259">
        <w:rPr>
          <w:rFonts w:cstheme="minorHAnsi"/>
          <w:color w:val="000000" w:themeColor="text1"/>
        </w:rPr>
        <w:t>These findings converge with prior literatur</w:t>
      </w:r>
      <w:r w:rsidR="00C929B3">
        <w:rPr>
          <w:rFonts w:cstheme="minorHAnsi"/>
          <w:color w:val="000000" w:themeColor="text1"/>
        </w:rPr>
        <w:t xml:space="preserve">e </w:t>
      </w:r>
      <w:r w:rsidR="00782DB3">
        <w:rPr>
          <w:rFonts w:cstheme="minorHAnsi"/>
          <w:color w:val="000000" w:themeColor="text1"/>
        </w:rPr>
        <w:fldChar w:fldCharType="begin"/>
      </w:r>
      <w:r w:rsidR="0019418B">
        <w:rPr>
          <w:rFonts w:cstheme="minorHAnsi"/>
          <w:color w:val="000000" w:themeColor="text1"/>
        </w:rPr>
        <w:instrText xml:space="preserve"> ADDIN ZOTERO_ITEM CSL_CITATION {"citationID":"z5aW0XuZ","properties":{"formattedCitation":"[46,47]","plainCitation":"[46,47]","noteIndex":0},"citationItems":[{"id":1780,"uris":["http://zotero.org/users/9378318/items/H6PJX5D2"],"itemData":{"id":1780,"type":"article-journal","container-title":"The Journal of Pain","DOI":"10.1016/j.jpain.2023.05.016","ISSN":"15265900","journalAbbreviation":"The Journal of Pain","language":"en","page":"S152659002300425X","source":"DOI.org (Crossref)","title":"No Evidence that Working Memory Modulates the Plasticity of the Nociceptive System, as Measured by Secondary Mechanical Hypersensitivity","author":[{"family":"Meyers","given":"Elke"},{"family":"Alves","given":"Maryna"},{"family":"Teugels","given":"Anouk"},{"family":"Torta","given":"Diana M."}],"issued":{"date-parts":[["2023",6]]}}},{"id":1626,"uris":["http://zotero.org/users/9378318/items/667ICLH3"],"itemData":{"id":1626,"type":"article-journal","abstract":"Background: According to limited-c­ apacity theories of attention, less attentional resources remain available when engaging in a high-­versus a low-d­ emanding cognitive task. This may reduce the perceived intensity and the evoked cortical responses of concomitant nociceptive stimuli. Whether and how the competition for limited attentional resources between a cognitive task and pain impacts the development of long-­lasting hypersensitivity is unclear.\nMethods: Eighty-­four healthy participants were randomized into a low or high cognitive load group. Low-­frequency electrical stimulation (LFS) of the skin was used to induce secondary hypersensitivity. We hypothesized that performing the high-l­oad task during LFS would reduce the development of hypersensitivity. We examined whether painfulness, nonpain-r­elated sympathetic arousal, or sex related to hypersensitivity, by assessing intensity and unpleasantness of mechanical pinprick stimulation. During task execution, we recorded steady-­state evoked potentials evoked by LFS and skin conductance level for sympathetic arousal. Afterwards, participants reported task difficulty and LFS-r­ elated fear. For the primary outcomes, we used mixed analysis of variances.\nResults: The results confirmed the difference in cognitive load. Although LFS successfully induced hypersensitivity, the high-­load task did not reduce its development. Next, the steady-s­tate evoked potentials did not differ between groups. Hypersensitivity correlated positively with pain-­related fear and negatively with skin conductance level before LFS, despite the lack of group differences in skin conductance level. We did not find any sex differences in hypersensitivity.\nConclusions: These results do not confirm that high cognitive load or sex modulate hypersensitivity, but show associations with pain-r­ elated fear and non-p­ ain-­ related sympathetic arousal. Significance: Previous research has mainly focused on cognitive load effects on the perception of acute painful stimuli. Yet this study extends our understanding by investigating cognitive load effects on the development of long-l­asting secondary hypersensitivity, a common aspect in numerous persistent pain conditions. As cognitive tasks are presented during a painful procedure inducing secondary","container-title":"European Journal of Pain","DOI":"10.1002/ejp.2098","ISSN":"1090-3801, 1532-2149","journalAbbreviation":"European Journal of Pain","language":"en","page":"ejp.2098","source":"DOI.org (Crossref)","title":"The effect of high versus low cognitive load on the development of nociceptive hypersensitivity: The roles of sympathetic arousal, sex and pain‐related fear","title-short":"The effect of high versus low cognitive load on the development of nociceptive hypersensitivity","author":[{"family":"Meyers","given":"Elke"},{"family":"Vlaeyen","given":"Johan W. S."},{"family":"Van Den Broeke","given":"Emanuel N."},{"family":"Von Leupoldt","given":"Andreas"},{"family":"Palmer","given":"Andrew J."},{"family":"Torta","given":"Diana M."}],"issued":{"date-parts":[["2023",3,3]]}}}],"schema":"https://github.com/citation-style-language/schema/raw/master/csl-citation.json"} </w:instrText>
      </w:r>
      <w:r w:rsidR="00782DB3">
        <w:rPr>
          <w:rFonts w:cstheme="minorHAnsi"/>
          <w:color w:val="000000" w:themeColor="text1"/>
        </w:rPr>
        <w:fldChar w:fldCharType="separate"/>
      </w:r>
      <w:r w:rsidR="001A31BB" w:rsidRPr="001A31BB">
        <w:rPr>
          <w:rFonts w:ascii="Calibri" w:hAnsi="Calibri" w:cs="Calibri"/>
        </w:rPr>
        <w:t>[46,47]</w:t>
      </w:r>
      <w:r w:rsidR="00782DB3">
        <w:rPr>
          <w:rFonts w:cstheme="minorHAnsi"/>
          <w:color w:val="000000" w:themeColor="text1"/>
        </w:rPr>
        <w:fldChar w:fldCharType="end"/>
      </w:r>
      <w:r w:rsidR="00AA6985">
        <w:rPr>
          <w:rFonts w:cstheme="minorHAnsi"/>
          <w:color w:val="000000" w:themeColor="text1"/>
        </w:rPr>
        <w:t xml:space="preserve"> </w:t>
      </w:r>
      <w:r w:rsidR="003A58CB" w:rsidRPr="00EE3259">
        <w:rPr>
          <w:rFonts w:cstheme="minorHAnsi"/>
          <w:color w:val="000000" w:themeColor="text1"/>
        </w:rPr>
        <w:t xml:space="preserve">questioning the hypothesis that attentional demand contributes to the development of </w:t>
      </w:r>
      <w:r w:rsidR="00F85388" w:rsidRPr="00F85388">
        <w:rPr>
          <w:rFonts w:cstheme="minorHAnsi"/>
          <w:color w:val="FF0000"/>
        </w:rPr>
        <w:t>central</w:t>
      </w:r>
      <w:r w:rsidR="003A58CB" w:rsidRPr="00F85388">
        <w:rPr>
          <w:rFonts w:cstheme="minorHAnsi"/>
          <w:color w:val="FF0000"/>
        </w:rPr>
        <w:t xml:space="preserve"> </w:t>
      </w:r>
      <w:r w:rsidR="003A58CB" w:rsidRPr="00EE3259">
        <w:rPr>
          <w:rFonts w:cstheme="minorHAnsi"/>
          <w:color w:val="000000" w:themeColor="text1"/>
        </w:rPr>
        <w:t>sensitization</w:t>
      </w:r>
      <w:r w:rsidR="003A58CB">
        <w:rPr>
          <w:rFonts w:cstheme="minorHAnsi"/>
          <w:color w:val="000000" w:themeColor="text1"/>
        </w:rPr>
        <w:t xml:space="preserve">. </w:t>
      </w:r>
    </w:p>
    <w:p w14:paraId="105C0715" w14:textId="7C00114C" w:rsidR="00D349A9" w:rsidRPr="005E219C" w:rsidRDefault="00D349A9" w:rsidP="00413CA4">
      <w:pPr>
        <w:spacing w:after="0" w:line="480" w:lineRule="auto"/>
        <w:rPr>
          <w:rFonts w:cstheme="minorHAnsi"/>
          <w:b/>
          <w:bCs/>
          <w:i/>
          <w:iCs/>
          <w:color w:val="FF0000"/>
        </w:rPr>
      </w:pPr>
      <w:r w:rsidRPr="0020479B">
        <w:rPr>
          <w:rFonts w:cstheme="minorHAnsi"/>
          <w:b/>
          <w:bCs/>
          <w:i/>
          <w:iCs/>
          <w:color w:val="000000" w:themeColor="text1"/>
        </w:rPr>
        <w:t>Alternative explanation</w:t>
      </w:r>
      <w:r w:rsidR="00DC3437" w:rsidRPr="0020479B">
        <w:rPr>
          <w:rFonts w:cstheme="minorHAnsi"/>
          <w:b/>
          <w:bCs/>
          <w:i/>
          <w:iCs/>
          <w:color w:val="000000" w:themeColor="text1"/>
        </w:rPr>
        <w:t>s</w:t>
      </w:r>
      <w:r w:rsidRPr="0020479B">
        <w:rPr>
          <w:rFonts w:cstheme="minorHAnsi"/>
          <w:b/>
          <w:bCs/>
          <w:i/>
          <w:iCs/>
          <w:color w:val="000000" w:themeColor="text1"/>
        </w:rPr>
        <w:t xml:space="preserve"> </w:t>
      </w:r>
      <w:r w:rsidR="009E6817" w:rsidRPr="0020479B">
        <w:rPr>
          <w:rFonts w:cstheme="minorHAnsi"/>
          <w:b/>
          <w:bCs/>
          <w:i/>
          <w:iCs/>
          <w:color w:val="000000" w:themeColor="text1"/>
        </w:rPr>
        <w:t xml:space="preserve">supporting </w:t>
      </w:r>
      <w:r w:rsidRPr="0020479B">
        <w:rPr>
          <w:rFonts w:cstheme="minorHAnsi"/>
          <w:b/>
          <w:bCs/>
          <w:i/>
          <w:iCs/>
          <w:color w:val="000000" w:themeColor="text1"/>
        </w:rPr>
        <w:t xml:space="preserve">the </w:t>
      </w:r>
      <w:r w:rsidR="005E219C">
        <w:rPr>
          <w:rFonts w:cstheme="minorHAnsi"/>
          <w:b/>
          <w:bCs/>
          <w:i/>
          <w:iCs/>
          <w:color w:val="FF0000"/>
        </w:rPr>
        <w:t>lack of evidence</w:t>
      </w:r>
    </w:p>
    <w:bookmarkEnd w:id="22"/>
    <w:p w14:paraId="26ABE37F" w14:textId="191BC5EC" w:rsidR="007F61E9" w:rsidRDefault="00C61B98" w:rsidP="00E7301F">
      <w:pPr>
        <w:spacing w:after="0" w:line="480" w:lineRule="auto"/>
      </w:pPr>
      <w:r>
        <w:rPr>
          <w:rFonts w:cstheme="minorHAnsi"/>
          <w:b/>
        </w:rPr>
        <w:tab/>
      </w:r>
      <w:r w:rsidR="00702C41" w:rsidRPr="00702C41">
        <w:t xml:space="preserve">By considering the strengths and limitations of prior research alongside our findings, we </w:t>
      </w:r>
      <w:r w:rsidR="00BE2520" w:rsidRPr="00E7301F">
        <w:t xml:space="preserve">propose </w:t>
      </w:r>
      <w:r w:rsidR="00D364EF" w:rsidRPr="00E7301F">
        <w:t>alternative</w:t>
      </w:r>
      <w:r w:rsidR="00A224B7">
        <w:t xml:space="preserve"> explanation</w:t>
      </w:r>
      <w:r w:rsidR="000E5968">
        <w:t>s</w:t>
      </w:r>
      <w:r w:rsidR="00D364EF" w:rsidRPr="00E7301F">
        <w:t xml:space="preserve"> </w:t>
      </w:r>
      <w:r w:rsidR="000E5968">
        <w:t xml:space="preserve">in </w:t>
      </w:r>
      <w:r w:rsidR="00BE2520">
        <w:t xml:space="preserve">support </w:t>
      </w:r>
      <w:r w:rsidR="000E5968">
        <w:t xml:space="preserve">of </w:t>
      </w:r>
      <w:r w:rsidR="00702C41" w:rsidRPr="00702C41">
        <w:t xml:space="preserve">the </w:t>
      </w:r>
      <w:r w:rsidR="00B83811">
        <w:t>absence of evidence</w:t>
      </w:r>
      <w:r w:rsidR="00702C41" w:rsidRPr="00702C41">
        <w:t xml:space="preserve">, </w:t>
      </w:r>
      <w:r w:rsidR="00D36E5E">
        <w:t>namely</w:t>
      </w:r>
      <w:r w:rsidR="00702C41" w:rsidRPr="00702C41">
        <w:t xml:space="preserve"> that attentional demand alone does not modulate </w:t>
      </w:r>
      <w:r w:rsidR="00540732">
        <w:rPr>
          <w:color w:val="FF0000"/>
        </w:rPr>
        <w:t>the developmmnet of mechanical hypersensitivity</w:t>
      </w:r>
      <w:r w:rsidR="00702C41" w:rsidRPr="00702C41">
        <w:t>.</w:t>
      </w:r>
      <w:r w:rsidR="000E7426" w:rsidRPr="00E7301F">
        <w:t xml:space="preserve"> </w:t>
      </w:r>
      <w:r w:rsidR="00B22B0F">
        <w:t>Considering</w:t>
      </w:r>
      <w:r w:rsidR="00D3612B">
        <w:t xml:space="preserve"> the evidence </w:t>
      </w:r>
      <w:r w:rsidR="00BC36B0" w:rsidRPr="00BC36B0">
        <w:t>demonstrating the modulatory effect of attention on the perception of ongoing pain and other nociceptive</w:t>
      </w:r>
      <w:r w:rsidR="001547DF">
        <w:t xml:space="preserve"> responses</w:t>
      </w:r>
      <w:r w:rsidR="00FF0AD0">
        <w:t xml:space="preserve"> </w:t>
      </w:r>
      <w:r w:rsidR="00094A07">
        <w:t>(e.g</w:t>
      </w:r>
      <w:r w:rsidR="00371A95">
        <w:t>.</w:t>
      </w:r>
      <w:r w:rsidR="00094A07">
        <w:t>,</w:t>
      </w:r>
      <w:r w:rsidR="00102C34">
        <w:t xml:space="preserve"> </w:t>
      </w:r>
      <w:r w:rsidR="000D6C84">
        <w:fldChar w:fldCharType="begin"/>
      </w:r>
      <w:r w:rsidR="0019418B">
        <w:instrText xml:space="preserve"> ADDIN ZOTERO_ITEM CSL_CITATION {"citationID":"2cIMJw2u","properties":{"formattedCitation":"[19,35\\uc0\\u8211{}37,39,41,68,74,78]","plainCitation":"[19,35–37,39,41,68,74,78]","noteIndex":0},"citationItems":[{"id":496,"uris":["http://zotero.org/users/9378318/items/UNMIVVUT"],"itemData":{"id":496,"type":"article-journal","abstract":"Pain interrupts and demands attention. The authors review evidence for how and why  this interruption of attention is achieved. The interruptive function of pain depends on the relationship between pain-related characteristics (e.g., the threat value of pain) and the characteristics of the environmental demands (e.g., emotional arousal). A model of the interruptive function of pain is developed that holds that pain is selected for action from within complex affective and motivational environments to urge escape. The implications of this model for research and therapy are outlined with an emphasis on the redefinition of chronic pain as chronic interruption.","container-title":"Psychological bulletin","DOI":"10.1037/0033-2909.125.3.356","issue":"3","page":"356-366","title":"Pain demands attention: a cognitive-affective model of the interruptive function of pain.","volume":"125","author":[{"family":"Eccleston","given":"C."},{"family":"Crombez","given":"G."}],"issued":{"date-parts":[["1999"]]}}},{"id":309,"uris":["http://zotero.org/users/9378318/items/F4APDLSS"],"itemData":{"id":309,"type":"article-journal","abstract":"Background: Because pain often signals the occurrence of potential tissue damage, a nociceptive stimulus has the capacity to involuntarily capture attention and take priority over other sensory inputs. Whether distraction by nociception actually occurs may depend upon the cognitive characteristics of the ongoing activities. The present study tested the role of working memory in controlling the attentional capture by nociception. Methodology and Principal Findings: Participants performed visual discrimination and matching tasks in which visual targets were shortly preceded by a tactile distracter. The two tasks were chosen because of the different effects the involvement of working memory produces on performance, in order to dissociate the specific role of working memory in the control of attention from the effect of general resource demands. Occasionally (i.e. 17% of the trials), tactile distracters were replaced by a novel nociceptive stimulus in order to distract participants from the visual tasks. Indeed, in the control conditions (no working memory), reaction times to visual targets were increased when the target was preceded by a novel nociceptive distracter as compared to the target preceded by a frequent tactile distracter, suggesting attentional capture by the novel nociceptive stimulus. However, when the task required an active rehearsal of the visual target in working memory, the novel nociceptive stimulus no longer induced a lengthening of reaction times to visual targets, indicating a reduction of the distraction produced by the novel nociceptive stimulus. This effect was independent of the overall task demands. Conclusion and Significance: Loading working memory with pain-unrelated information may reduce the ability of nociceptive input to involuntarily capture attention, and shields cognitive processing from nociceptive distraction. An efficient control of attention over pain is best guaranteed by the ability to maintain active goal priorities during achievement of cognitive activities and to keep pain-related information out of task settings. © 2011 Legrain et al.","container-title":"PLoS ONE","DOI":"10.1371/journal.pone.0020926","issue":"6","title":"Controlling attention to nociceptive stimuli with working memory","volume":"6","author":[{"family":"Legrain","given":"Valéry"},{"family":"Crombez","given":"Geert"},{"family":"Mouraux","given":"André"}],"issued":{"date-parts":[["2011"]]}}},{"id":"hB7whiFf/dj6yzlT3","uris":["http://zotero.org/users/9378318/items/HAZMEU4G"],"itemData":{"id":186,"type":"article-journal","abstract":"Because pain often signals the occurrence of potential tissue damage, nociceptive stimuli have the capacity to capture attention and interfere with ongoing cognitive activities. Working memory is known to guide the orientation of attention by maintaining goal priorities active during the achievement of a task. This study investigated whether the cortical processing of nociceptive stimuli and their ability to capture attention are under the control of working memory. Event-related brain potentials (ERPs) were recorded while participants performed primary tasks on visual targets that required or did not require rehearsal in working memory (1-back vs 0-back conditions). The visual targets were shortly preceded by task-irrelevant tactile stimuli. Occasionally, in order to distract the participants, the tactile stimuli were replaced by novel nociceptive stimuli. In the 0-back conditions, task performance was disrupted by the occurrence of the nociceptive distracters, as reflected by the increased reaction times in trials with novel nociceptive distracters as compared to trials with standard tactile distracters. In the 1-back conditions, such a difference disappeared suggesting that attentional capture and task disruption induced by nociceptive distracters were suppressed by working memory, regardless of task demands. Most importantly, in the conditions involving working memory, the magnitude of nociceptive ERPs, including ERP components at early latency, were significantly reduced. This indicates that working memory is able to modulate the cortical processing of nociceptive input already at its earliest stages, and could explain why working memory reducesconsequently ability of nociceptive stimuli to capture attention and disrupt performance of the primary task. It is concluded that protecting cognitive processing against pain interference is best guaranteed by keeping out of working memory pain-related information. © 2012 Elsevier Ltd.","container-title":"Cortex","DOI":"10.1016/j.cortex.2012.08.014","issue":"7","page":"1922-1934","title":"Shielding cognition from nociception with working memory","volume":"49","author":[{"family":"Legrain","given":"Valéry"},{"family":"Crombez","given":"Geert"},{"family":"Plaghki","given":"Léon"},{"family":"Mouraux","given":"André"}],"issued":{"date-parts":[["2013"]]}}},{"id":"hB7whiFf/1YeUbt1F","uris":["http://zotero.org/users/9378318/items/8MTM9RZK"],"itemData":{"id":135,"type":"article-journal","abstract":"Attention is acknowledged as an important factor in the modulation of pain. A recent model proposed that an effective control of pain by attention should not only involve the disengagement of selective attention away from nociceptive stimuli, but should also guarantee that attention is maintained on the processing of pain-unrelated information without being recaptured by the nociceptive stimuli. This model predicts that executive functions are involved in the control of selective attention by preserving goal priorities throughout the achievement of cognitive activities. In the present study, we tested the role of working memory in the attentional control of nociceptive stimuli. In the control condition, participants had to discriminate the color of visually presented circles preceded by tactile distracters. In some trials (20%), tactile stimuli were replaced by novel nociceptive distracters in order to manipulate the attentional capture. In the working memory condition, participants had to respond to the visual stimulus presented one trial before, and were thus required to maintain the color of the visual stimulus in working memory during the entire inter-trial time interval. Results showed that, while novel nociceptive stimuli induced greater distraction than regular tactile stimuli in the control condition, the distractive effect was suppressed in the working memory condition. This suggests that actively rehearsing the feature of pain-unrelated and task-relevant targets successfully prevents attention from being captured by novel nociceptive distracters, independently of general task demands. Working memory can help to inhibit the involuntary capture of attention by pain by preserving cognitive goal priorities. © 2010 International Association for the Study of Pain. Published by Elsevier B.V. All rights reserved.","container-title":"Pain","DOI":"10.1016/j.pain.2010.11.024","issue":"2","page":"453-459","title":"The role of working memory in the attentional control of pain","volume":"152","author":[{"family":"Legrain","given":"Valéry"},{"family":"Crombez","given":"Geert"},{"family":"Verhoeven","given":"Katrien"},{"family":"Mouraux","given":"André"}],"issued":{"date-parts":[["2011"]]}}},{"id":76,"uris":["http://zotero.org/users/9378318/items/WVEAQ8SS"],"itemData":{"id":76,"type":"article-journal","abstract":"Laser evoked potentials (LEPs) are brain responses to activation of skin nociceptors by laser heat stimuli. LEPs consist of three components: N1, N2, and P2. Previous reports have suggested that in contrast to earlier activities (N1), LEPs responses after 230-250ms (N2-P2) are modulated by attention to painful laser stimuli. However, the experimental paradigms used were not designed to specify the attentional processes involved in these LEP modulations. We investigated the effects of selective spatial attention and oddball tasks on LEPs. CO2 laser stimuli of two different intensities were delivered on the dorsum of both hands of ten subjects. One intensity was frequently presented, and the other rarely. Subjects were asked to pay attention to stimuli delivered on one hand and to count rare stimuli, while ignoring stimuli on the other hand. Frequent and rare attended stimuli evoked enhanced N160 (N1) and N230 (N2) components in comparison to LEPs from unattended stimuli. Both components showed scalp distribution contralateral to the stimulus location. The vertex P400 (P2) was unaffected by spatial attention and stimulus location, but its amplitude increased after rare stimuli, whether attended or unattended. An additional parietal P600 component was induced by the attended rare stimuli. It is suggested that several attentional processes can modify nociceptive processing in the brain at different stages. LEP activities in the time-range of N1 and N2 (120-270ms) showed evidence of processes modulated by the direction of spatial attention. Conversely, processes underlying P2 (400ms) were not affected by spatial attention, but by the probability of the stimulus. This probability effect was not due to P3b-related processes that were observed at a later latency (600ms). Indeed, P600 could be seen as a P3b evoked by conscious detection of rare targets. © 2002 International Association for the Study of Pain. Published by Elsevier Science B.V. All rights reserved.","container-title":"Pain","DOI":"10.1016/S0304-3959(02)00051-9","issue":"1-2","page":"21-39","title":"Attentional modulation of the nociceptive processing into the human brain: Selective spatial attention, probability of stimulus occurrence, and target detection effects on laser evoked potentials","volume":"99","author":[{"family":"Legrain","given":"Valéry"},{"family":"Guérit","given":"Jean Michel"},{"family":"Bruyer","given":"Raymond"},{"family":"Plaghki","given":"Léon"}],"issued":{"date-parts":[["2002"]]}}},{"id":103,"uris":["http://zotero.org/users/9378318/items/ZH9C3F9K"],"itemData":{"id":103,"type":"article-journal","abstract":"The event-related brain potentials (ERPs) elicited by nociceptive stimuli are largely influenced by vigilance, emotion, alertness, and attention. Studies that specifically investigated the effects of cognition on nociceptive ERPs support the idea that most of these ERP components can be regarded as the neurophysiological indexes of the processes underlying detection and orientation of attention toward the eliciting stimulus. Such detection is determined both by the salience of the stimulus that makes it pop out from the environmental context (bottom-up capture of attention) and by its relevance according to the subject's goals and motivation (top-down attentional control). The fact that nociceptive ERPs are largely influenced by information from other sensory modalities such as vision and proprioception, as well as from motor preparation, suggests that these ERPs reflect a cortical system involved in the detection of potentially meaningful stimuli for the body, with the purpose to respond adequately to potential threats. In such a theoretical framework, pain is seen as an epiphenomenon of warning * Corresponding author.","container-title":"Neurophysiologie Clinique/Clinical Neurophysiology","DOI":"10.1016/j.neucli.2012.06.003","page":"325-336","title":"Cognitive aspects of nociception and pain. Bridging neurophysiology with cognitive psychology Aspects cognitifs de la nociception et de la douleur. Le rapprochement de la neurophysiologie et de la psychologie cognitive","volume":"42","author":[{"family":"Legrain","given":"V."},{"family":"Mancini","given":"F."},{"family":"Sambo","given":"C. F."},{"family":"Torta","given":"D. M."},{"family":"Ronga","given":"I."},{"family":"Valentini","given":"E."}],"issued":{"date-parts":[["2012"]]}}},{"id":364,"uris":["http://zotero.org/users/9378318/items/GBVQ97UH"],"itemData":{"id":364,"type":"article-journal","abstract":"Several studies have used neuroimaging techniques to investigate brain correlates of the attentional modulation of pain. Although these studies have advanced the knowledge in the field, important confounding factors such as imprecise theoretical definitions of attention, incomplete operationalization of the construct under exam, and limitations of techniques relying on measuring regional changes in cerebral blood flow have hampered the potential relevance of the conclusions. Here, we first provide an overview of the major theories of attention and of attention in the study of pain to bridge theory and experimental results. We conclude that load and motivational/affective theories are particularly relevant to study the attentional modulation of pain and should be carefully integrated in functional neuroimaging studies. Then, we summarize previous findings and discuss the possible neural correlates of the attentional modulation of pain. We discuss whether classical functional neuroimaging techniques are suitable to measure the effect of a fluctuating process like attention, and in which circumstances functional neuroimaging can be reliably used to measure the attentional modulation of pain. Finally, we argue that the analysis of brain networks and spontaneous oscillations may be a crucial future development in the study of attentional modulation of pain, and why the interplay between attention and pain, as examined so far, may rely on neural mechanisms shared with other sensory modalities.","container-title":"Cortex","DOI":"10.1016/j.cortex.2017.01.010","page":"120-134","title":"Attention to pain! A neurocognitive perspective on attentional modulation of pain in neuroimaging studies","volume":"89","author":[{"family":"Torta","given":"D. M."},{"family":"Legrain","given":"V."},{"family":"Mouraux","given":"A."},{"family":"Valentini","given":"E."}],"issued":{"date-parts":[["2017"]]}}},{"id":23,"uris":["http://zotero.org/users/9378318/items/ESMNPKK8"],"itemData":{"id":23,"type":"article-journal","abstract":"Attention is a key concept in many theories of pain perception. A clinically popular idea is that pain is more intense in persons who are hypervigilant for or bias their attention to pain information. So far, evidence for such bias in pain patients as compared to healthy persons is inconclusive. Furthermore, studies investigating the effects of distracting attention away from pain have shown contradictory results. In this review, we present a motivational perspective on attentional processing of pain that accounts for these inconclusive research findings. We argue that pain always has to be considered within a context of goal pursuit. From this perspective, two largely unexplored theoretical assumptions are introduced. First, when pain occurs during the pursuit of a certain goal, it may unintentionally capture attention although it is not relevant for the goal. Whether such unintentional attentional capture happens is not only dependent upon the characteristics of the pain but also on the characteristics of the focal goal. Second, attention to pain and pain-related information might be driven by a focal goal related to pain. Attentional processing of pain information will be particularly enhanced when the focal goal is related to pain management (e.g., attempting to gain control). Future research should systematically investigate the role of motivation and goal pursuit in the attentional processing of pain-related information. This motivational perspective offers a powerful framework to explain inter- and intra-individual differences in the deployment of attention to pain-related information. © 2009 Elsevier Ltd. All rights reserved.","container-title":"Neuroscience and Biobehavioral Reviews","DOI":"10.1016/j.neubiorev.2009.01.005","issue":"2","page":"204-213","title":"Keeping pain in mind: A motivational account of attention to pain","volume":"34","author":[{"family":"Van Damme","given":"Stefaan"},{"family":"Legrain","given":"Valéry"},{"family":"Vogt","given":"Julia"},{"family":"Crombez","given":"Geert"}],"issued":{"date-parts":[["2010"]]}}},{"id":4,"uris":["http://zotero.org/users/9378318/items/ZBL8DZBV"],"itemData":{"id":4,"type":"article-journal","abstract":"Background: The involuntary capture of attention by pain may to some extent be controlled by psychological variables. In this paper we investigated the effect of attentional set (i.e. the collection of task-related features that a person is monitoring in order to successfully pursue a goal) on pain. Methods: Two experiments are reported in which the task relevance of the modality and spatial location of a target stimulus was manipulated. In both experiments somatosensory and auditory stimuli were presented on each trial. In Experiment 1, 29 participants were cued on each trial to localize either a somatosensory or an auditory target. In Experiment 2, 37 participants were cued on each trial to identify either a somatosensory or an auditory target at a particular location. Results: In Experiment 1, self-reported pain intensity and unpleasantness were reduced when participants had to localize the auditory target. The location of the painful stimulus relative to the location of the auditory target did not affect pain In Experiment 2, again, pain intensity and unpleasantness ratings were reduced when participants identified the auditory target. Now, the location of the painful stimulus relative to the location of the auditory target 4 moderated the effect. Pain intensity was less when the painful stimulus was at a different location than the auditory target. Conclusions: Results are discussed in terms of the attentional set hypothesis, and we argue that the effectiveness of distraction tasks depends on the degree to which the task-relevant features of the distraction task are distinct from pain-related features.","container-title":"ثبثبثب","ISSN":"5856420187","issue":"ثق ثقثقثق","page":"ثقثقثقثق","title":"KEEPING PAIN OUT OF YOUR MIND: THE ROLE OF ATTENTIONAL SET IN PAIN</w:instrText>
      </w:r>
      <w:r w:rsidR="0019418B">
        <w:rPr>
          <w:rFonts w:hint="cs"/>
        </w:rPr>
        <w:instrText>ی</w:instrText>
      </w:r>
      <w:r w:rsidR="0019418B">
        <w:rPr>
          <w:rFonts w:hint="eastAsia"/>
        </w:rPr>
        <w:instrText>ب</w:instrText>
      </w:r>
      <w:r w:rsidR="0019418B">
        <w:rPr>
          <w:rFonts w:hint="cs"/>
        </w:rPr>
        <w:instrText>ی</w:instrText>
      </w:r>
      <w:r w:rsidR="0019418B">
        <w:rPr>
          <w:rFonts w:hint="eastAsia"/>
        </w:rPr>
        <w:instrText>ب</w:instrText>
      </w:r>
      <w:r w:rsidR="0019418B">
        <w:instrText xml:space="preserve">","volume":"ث ققثق","author":[{"family":"Van Ryckeghem Dimitri M. L.1","given":"Crombez Geert1"},{"family":"Stefaan","given":"Van Damme"}],"issued":{"date-parts":[["2018"]]}},"label":"page"}],"schema":"https://github.com/citation-style-language/schema/raw/master/csl-citation.json"} </w:instrText>
      </w:r>
      <w:r w:rsidR="000D6C84">
        <w:fldChar w:fldCharType="separate"/>
      </w:r>
      <w:r w:rsidR="001A31BB" w:rsidRPr="001A31BB">
        <w:rPr>
          <w:rFonts w:ascii="Calibri" w:hAnsi="Calibri" w:cs="Calibri"/>
          <w:szCs w:val="24"/>
        </w:rPr>
        <w:t>[19,35–37,39,41,68,74,78]</w:t>
      </w:r>
      <w:r w:rsidR="000D6C84">
        <w:fldChar w:fldCharType="end"/>
      </w:r>
      <w:r w:rsidR="00094A07">
        <w:t>)</w:t>
      </w:r>
      <w:r w:rsidR="00FA4FEE">
        <w:rPr>
          <w:rFonts w:cstheme="minorHAnsi"/>
          <w:color w:val="000000" w:themeColor="text1"/>
        </w:rPr>
        <w:t xml:space="preserve">, </w:t>
      </w:r>
      <w:r w:rsidR="00FA4FEE">
        <w:t>o</w:t>
      </w:r>
      <w:r w:rsidR="003F7D98" w:rsidRPr="003F7D98">
        <w:t>ne possible explanation</w:t>
      </w:r>
      <w:r w:rsidR="00C50870">
        <w:t xml:space="preserve"> for the </w:t>
      </w:r>
      <w:r w:rsidR="009E37EC">
        <w:t>absence of evidence</w:t>
      </w:r>
      <w:r w:rsidR="00C50870">
        <w:t xml:space="preserve"> </w:t>
      </w:r>
      <w:r w:rsidR="00BB34B5">
        <w:t xml:space="preserve">could be </w:t>
      </w:r>
      <w:r w:rsidR="008F6927">
        <w:t>related</w:t>
      </w:r>
      <w:r w:rsidR="00BB34B5">
        <w:t xml:space="preserve"> to the fact </w:t>
      </w:r>
      <w:r w:rsidR="003F7D98" w:rsidRPr="003F7D98">
        <w:t xml:space="preserve">that cognitive modulation of ongoing pain and </w:t>
      </w:r>
      <w:r w:rsidR="00BF59EE">
        <w:t>pain</w:t>
      </w:r>
      <w:r w:rsidR="003F7D98" w:rsidRPr="003F7D98">
        <w:t xml:space="preserve"> sensitization rely on different mechanisms. </w:t>
      </w:r>
      <w:r w:rsidR="005D2374" w:rsidRPr="00E7301F">
        <w:t>As secondary hypersensitivity is known to result from increased excitability of nociceptive neurons in the spinal dorsal horn</w:t>
      </w:r>
      <w:r w:rsidR="0096745C">
        <w:t xml:space="preserve"> </w:t>
      </w:r>
      <w:r w:rsidR="0096745C">
        <w:fldChar w:fldCharType="begin"/>
      </w:r>
      <w:r w:rsidR="0019418B">
        <w:instrText xml:space="preserve"> ADDIN ZOTERO_ITEM CSL_CITATION {"citationID":"295lTCpf","properties":{"formattedCitation":"[52,59,72,86]","plainCitation":"[52,59,72,86]","noteIndex":0},"citationItems":[{"id":1927,"uris":["http://zotero.org/users/9378318/items/M37NE444"],"itemData":{"id":1927,"type":"article-journal","abstract":"Pathophysiological mechanisms of pain after surgery are increasingly discovered, but utilization of pain behavior assays are only sparsely able to reflect clinical-relevant aspects of acute and chronic postoperative pain in patients.","container-title":"Current Opinion in Anaesthesiology","DOI":"10.1097/ACO.0000000000000646","ISSN":"0952-7907","issue":"5","language":"en","page":"575-585","source":"DOI.org (Crossref)","title":"Mechanisms of acute and chronic pain after surgery: update from findings in experimental animal models","title-short":"Mechanisms of acute and chronic pain after surgery","volume":"31","author":[{"family":"Pogatzki-Zahn","given":"Esther"},{"family":"Segelcke","given":"Daniel"},{"family":"Zahn","given":"Peter"}],"issued":{"date-parts":[["2018",10]]}}},{"id":1894,"uris":["http://zotero.org/users/9378318/items/P3T6WFUZ"],"itemData":{"id":1894,"type":"article-journal","container-title":"Current Opinion in Pharmacology","DOI":"10.1016/j.coph.2011.10.018","ISSN":"14714892","issue":"1","journalAbbreviation":"Current Opinion in Pharmacology","language":"en","page":"18-27","source":"DOI.org (Crossref)","title":"Hyperalgesia by synaptic long-term potentiation (LTP): an update","title-short":"Hyperalgesia by synaptic long-term potentiation (LTP)","volume":"12","author":[{"family":"Sandkühler","given":"Jürgen"},{"family":"Gruber-Schoffnegger","given":"Doris"}],"issued":{"date-parts":[["2012",2]]}}},{"id":1899,"uris":["http://zotero.org/users/9378318/items/7UA23KLL"],"itemData":{"id":1899,"type":"chapter","container-title":"Progress in Brain Research","ISBN":"978-0-444-50509-5","language":"en","note":"DOI: 10.1016/S0079-6123(00)29025-0","page":"331-341","publisher":"Elsevier","source":"DOI.org (Crossref)","title":"Multiple mechanisms of secondary hyperalgesia","URL":"https://linkinghub.elsevier.com/retrieve/pii/S0079612300290250","volume":"129","author":[{"family":"Treede","given":"Rolf-Detlef"},{"family":"Magerl","given":"Walter"}],"accessed":{"date-parts":[["2023",9,16]]},"issued":{"date-parts":[["2000"]]}}},{"id":1895,"uris":["http://zotero.org/users/9378318/items/LRN5DTER"],"itemData":{"id":1895,"type":"document","title":"zahn1999.pdf"},"label":"page"}],"schema":"https://github.com/citation-style-language/schema/raw/master/csl-citation.json"} </w:instrText>
      </w:r>
      <w:r w:rsidR="0096745C">
        <w:fldChar w:fldCharType="separate"/>
      </w:r>
      <w:r w:rsidR="001A31BB" w:rsidRPr="001A31BB">
        <w:rPr>
          <w:rFonts w:ascii="Calibri" w:hAnsi="Calibri" w:cs="Calibri"/>
        </w:rPr>
        <w:t>[52,59,72,86]</w:t>
      </w:r>
      <w:r w:rsidR="0096745C">
        <w:fldChar w:fldCharType="end"/>
      </w:r>
      <w:r w:rsidR="002876F5">
        <w:t xml:space="preserve">, </w:t>
      </w:r>
      <w:r w:rsidR="005D2374" w:rsidRPr="00E7301F">
        <w:t xml:space="preserve">it is suggested </w:t>
      </w:r>
      <w:r w:rsidR="005D2374" w:rsidRPr="00E7301F">
        <w:lastRenderedPageBreak/>
        <w:t xml:space="preserve">that cognitive factors may </w:t>
      </w:r>
      <w:r w:rsidR="00A85D0E" w:rsidRPr="00E7301F">
        <w:t xml:space="preserve">also </w:t>
      </w:r>
      <w:r w:rsidR="005D2374" w:rsidRPr="00E7301F">
        <w:t>modulate the development of central sensitization by modifying the spinal transmission of sensitizing nociceptive inputs</w:t>
      </w:r>
      <w:r w:rsidR="004F7536">
        <w:t xml:space="preserve"> </w:t>
      </w:r>
      <w:r w:rsidR="00645A13">
        <w:fldChar w:fldCharType="begin"/>
      </w:r>
      <w:r w:rsidR="0019418B">
        <w:instrText xml:space="preserve"> ADDIN ZOTERO_ITEM CSL_CITATION {"citationID":"ONINM6ZE","properties":{"formattedCitation":"[2,3,9,21,64,65,70]","plainCitation":"[2,3,9,21,64,65,70]","noteIndex":0},"citationItems":[{"id":1502,"uris":["http://zotero.org/users/9378318/items/TGPKFWVZ"],"itemData":{"id":1502,"type":"article-journal","container-title":"Current Opinion in Physiology","DOI":"10.1016/j.cophys.2019.06.004","ISSN":"24688673","journalAbbreviation":"Current Opinion in Physiology","language":"en","page":"62-66","source":"DOI.org (Crossref)","title":"Descending pain modulation: influence and impact","title-short":"Descending pain modulation","volume":"11","author":[{"family":"Bannister","given":"Kirsty"}],"issued":{"date-parts":[["2019",10]]}}},{"id":1061,"uris":["http://zotero.org/users/9378318/items/QUXD27F9"],"itemData":{"id":1061,"type":"article-journal","container-title":"Pain","DOI":"10.1097/j.pain.0000000000000568","ISSN":"0304-3959, 1872-6623","issue":"10","journalAbbreviation":"Pain","language":"en","page":"2148-2151","source":"DOI.org (Crossref)","title":"What the brain tells the spinal cord","volume":"157","author":[{"family":"Bannister","given":"Kirsty"},{"family":"Dickenson","given":"Anthony H."}],"issued":{"date-parts":[["2016",10]]}}},{"id":111,"uris":["http://zotero.org/users/9378318/items/GHXRBIJH"],"itemData":{"id":111,"type":"article-journal","abstract":"Pain is a highly complex and subjective experience that is not linearly related to the nociceptive input. What is clear from anecdotal reports over the centuries and more recently from animal and human experimentation is that nociceptive information processing and consequent pain perception is subject to significant pro- and anti-nociceptive modulations. These modulations can be initiated reflexively or by contextual manipulations of the pain experience including cognitive and emotional factors. This provides a necessary survival function since it allows the pain experience to be altered according to the situation rather than having pain always dominate. The so-called descending pain modulatory network involving predominantly medial and frontal cortical areas, in combination with specific subcortical and brain stem nuclei appears to be one key system for the endogenous modulation of pain. Furthermore, recent findings from functional and anatomical neuroimaging support the notion that an altered interaction of pro- and anti-nociceptive mechanisms may contribute to the development or maintenance of chronic pain states. Research on the involved circuitry and implemented mechanisms is a major focus of contemporary neuroscientific research in the field of pain and should provide new insights to prevent and treat chronic pain states. ©2008 Int. Union Physiol. Sci./Am. Physiol. Soc.","container-title":"Physiology","DOI":"10.1152/physiol.00024.2008","issue":"6","page":"371-380","title":"Imaging CNS modulation of pain in humans","volume":"23","author":[{"family":"Bingel","given":"Ulrike"},{"family":"Tracey","given":"Irene"}],"issued":{"date-parts":[["2008"]]}}},{"id":385,"uris":["http://zotero.org/users/9378318/items/RBC82LY2"],"itemData":{"id":385,"type":"article-journal","container-title":"Methods","issue":"October","page":"7","title":"Direct Evidence for Spinal Cord Involvement in Placebo Analgesia","volume":"404","author":[{"family":"Eippert","given":"Falk"},{"family":"Bingel","given":"Ulrike"}],"issued":{"date-parts":[["2009"]]}}},{"id":320,"uris":["http://zotero.org/users/9378318/items/FQ347IEM"],"itemData":{"id":320,"type":"article-journal","abstract":"Reduced pain perception while being distracted from pain is an everyday example of how cognitive processes can interfere with pain perception [1-5]. Previous neuroimaging studies showed distraction-related modulations of pain-driven activations in various cortical and subcortical brain regions [6-11], but the precise neuronal mechanism underlying this phenomenon is unclear. Using high-resolution functional magnetic resonance imaging of the human cervical spinal cord in combination with thermal pain stimulation and a well-established working memory task [12], we demonstrate that this phenomenon relies on an inhibition of incoming pain signals in the spinal cord. Neuronal responses to painful stimulation in the dorsal horn of the corresponding spinal segment were significantly reduced under high working memory load compared to low working memory load. At the individual level, reductions of neuronal responses in the spinal cord predicted behavioral pain reductions. In a subsequent behavioral experiment, using the opioid antagonist naloxone in a double-blind crossover design with the same paradigm, we demonstrate a substantial contribution of endogenous opioids to this mechanism. Taken together, our results show that the reduced pain experience during mental distraction is related to a spinal process and involves opioid neurotransmission. © 2012 Elsevier Ltd.","container-title":"Current Biology","DOI":"10.1016/j.cub.2012.04.006","issue":"11","page":"1019-1022","title":"Attention modulates spinal cord responses to pain","volume":"22","author":[{"family":"Sprenger","given":"Christian"},{"family":"Eippert","given":"Falk"},{"family":"Finsterbusch","given":"Jürgen"},{"family":"Bingel","given":"Ulrike"},{"family":"Rose","given":"Michael"},{"family":"Büchel","given":"Christian"}],"issued":{"date-parts":[["2012"]]}}},{"id":539,"uris":["http://zotero.org/users/9378318/items/GEQJNVDJ"],"itemData":{"id":539,"type":"article-journal","container-title":"Neuron","DOI":"10.1016/j.neuron.2007.07.012","ISSN":"08966273","issue":"3","journalAbbreviation":"Neuron","language":"en","page":"377-391","source":"DOI.org (Crossref)","title":"The Cerebral Signature for Pain Perception and Its Modulation","volume":"55","author":[{"family":"Tracey","given":"Irene"},{"family":"Mantyh","given":"Patrick W."}],"issued":{"date-parts":[["2007",8]]}}},{"id":1880,"uris":["http://zotero.org/users/9378318/items/XW5TL42H"],"itemData":{"id":1880,"type":"article-journal","title":"Tinnermann, A., Geuter, S., Sprenger, C., Finsterbusch, J., &amp; Bu ̈ chel, C. (2017). Interactions between brain and spinal cord cortex 124 (2020) 193e203 20 mediate value effects in nocebo hyperalgesia. Science, 358(6359), 105e108. https://doi.org/10.1126/science.aan1221."}}],"schema":"https://github.com/citation-style-language/schema/raw/master/csl-citation.json"} </w:instrText>
      </w:r>
      <w:r w:rsidR="00645A13">
        <w:fldChar w:fldCharType="separate"/>
      </w:r>
      <w:r w:rsidR="001A31BB" w:rsidRPr="001A31BB">
        <w:rPr>
          <w:rFonts w:ascii="Calibri" w:hAnsi="Calibri" w:cs="Calibri"/>
        </w:rPr>
        <w:t>[2,3,9,21,64,65,70]</w:t>
      </w:r>
      <w:r w:rsidR="00645A13">
        <w:fldChar w:fldCharType="end"/>
      </w:r>
      <w:r w:rsidR="004F7536">
        <w:t>.</w:t>
      </w:r>
      <w:r w:rsidR="00293CC1">
        <w:t xml:space="preserve"> </w:t>
      </w:r>
      <w:r w:rsidR="005D2374" w:rsidRPr="00E7301F">
        <w:t xml:space="preserve">However, it remains unclear whether attention can directly affect nociceptive spinal excitability. So far, only a single imaging study provides evidence of attentional modulation </w:t>
      </w:r>
      <w:r w:rsidR="00F214FB">
        <w:t xml:space="preserve">on </w:t>
      </w:r>
      <w:r w:rsidR="005D2374" w:rsidRPr="00E7301F">
        <w:t>spinal responses to painful heat stimuli during a demanding attentional task</w:t>
      </w:r>
      <w:r w:rsidR="004C56DB">
        <w:t xml:space="preserve"> </w:t>
      </w:r>
      <w:r w:rsidR="004C56DB">
        <w:fldChar w:fldCharType="begin"/>
      </w:r>
      <w:r w:rsidR="0019418B">
        <w:instrText xml:space="preserve"> ADDIN ZOTERO_ITEM CSL_CITATION {"citationID":"EcsasgVO","properties":{"formattedCitation":"[64]","plainCitation":"[64]","noteIndex":0},"citationItems":[{"id":320,"uris":["http://zotero.org/users/9378318/items/FQ347IEM"],"itemData":{"id":320,"type":"article-journal","abstract":"Reduced pain perception while being distracted from pain is an everyday example of how cognitive processes can interfere with pain perception [1-5]. Previous neuroimaging studies showed distraction-related modulations of pain-driven activations in various cortical and subcortical brain regions [6-11], but the precise neuronal mechanism underlying this phenomenon is unclear. Using high-resolution functional magnetic resonance imaging of the human cervical spinal cord in combination with thermal pain stimulation and a well-established working memory task [12], we demonstrate that this phenomenon relies on an inhibition of incoming pain signals in the spinal cord. Neuronal responses to painful stimulation in the dorsal horn of the corresponding spinal segment were significantly reduced under high working memory load compared to low working memory load. At the individual level, reductions of neuronal responses in the spinal cord predicted behavioral pain reductions. In a subsequent behavioral experiment, using the opioid antagonist naloxone in a double-blind crossover design with the same paradigm, we demonstrate a substantial contribution of endogenous opioids to this mechanism. Taken together, our results show that the reduced pain experience during mental distraction is related to a spinal process and involves opioid neurotransmission. © 2012 Elsevier Ltd.","container-title":"Current Biology","DOI":"10.1016/j.cub.2012.04.006","issue":"11","page":"1019-1022","title":"Attention modulates spinal cord responses to pain","volume":"22","author":[{"family":"Sprenger","given":"Christian"},{"family":"Eippert","given":"Falk"},{"family":"Finsterbusch","given":"Jürgen"},{"family":"Bingel","given":"Ulrike"},{"family":"Rose","given":"Michael"},{"family":"Büchel","given":"Christian"}],"issued":{"date-parts":[["2012"]]}}}],"schema":"https://github.com/citation-style-language/schema/raw/master/csl-citation.json"} </w:instrText>
      </w:r>
      <w:r w:rsidR="004C56DB">
        <w:fldChar w:fldCharType="separate"/>
      </w:r>
      <w:r w:rsidR="001A31BB" w:rsidRPr="001A31BB">
        <w:rPr>
          <w:rFonts w:ascii="Calibri" w:hAnsi="Calibri" w:cs="Calibri"/>
        </w:rPr>
        <w:t>[64]</w:t>
      </w:r>
      <w:r w:rsidR="004C56DB">
        <w:fldChar w:fldCharType="end"/>
      </w:r>
      <w:r w:rsidR="005D2374" w:rsidRPr="00E7301F">
        <w:t xml:space="preserve">. Other studies have reported indirect evidence showing that cortical and subcortical areas involved in the descending modulatory system can be modulated by </w:t>
      </w:r>
      <w:r w:rsidR="00102C34">
        <w:t xml:space="preserve">the </w:t>
      </w:r>
      <w:r w:rsidR="007C5F58">
        <w:t>attention</w:t>
      </w:r>
      <w:r w:rsidR="009675A1">
        <w:t xml:space="preserve"> </w:t>
      </w:r>
      <w:r w:rsidR="00544FF0">
        <w:fldChar w:fldCharType="begin"/>
      </w:r>
      <w:r w:rsidR="0019418B">
        <w:instrText xml:space="preserve"> ADDIN ZOTERO_ITEM CSL_CITATION {"citationID":"mNMGAtFX","properties":{"formattedCitation":"[71,73]","plainCitation":"[71,73]","noteIndex":0},"citationItems":[{"id":1903,"uris":["http://zotero.org/users/9378318/items/D4R2UILQ"],"itemData":{"id":1903,"type":"article-journal","abstract":"Pain is an unpleasant sensory and emotional experience usually triggered by stimulation of peripheral nerves and often associated with actual or potential tissue damage. It is well known that pain perception for patients and normal subjects can be modulated by psychological factors, such as attention, stress, and arousal. Our understanding of how this modulation occurs at a neuroanatomical level is poor. Here we neuroanatomically defined a key area in the network of brain regions active in response to pain that is modulated by attention to the painful stimulus. High-resolution functional magnetic resonance imaging was used to define brain activation to painful heat stimulation applied to the hand of nine normal subjects within the periaqueductal gray region. Subjects were asked to either focus on or distract themselves from the painful stimuli, which were cued using colored lights. During the distraction condition, subjects rated the pain intensity as significantly lower compared with when they attended to the stimulus. Activation in the periaqueductal gray was significantly increased during the distraction condition, and the total increase in activation was predictive of changes in perceived intensity. This provides direct evidence supporting the notion that the periaqueductal gray is a site for higher cortical control of pain modulation in humans.","container-title":"The Journal of Neuroscience","DOI":"10.1523/JNEUROSCI.22-07-02748.2002","ISSN":"0270-6474, 1529-2401","issue":"7","journalAbbreviation":"J. Neurosci.","language":"en","page":"2748-2752","source":"DOI.org (Crossref)","title":"Imaging Attentional Modulation of Pain in the Periaqueductal Gray in Humans","volume":"22","author":[{"family":"Tracey","given":"Irene"},{"family":"Ploghaus","given":"Alexander"},{"family":"Gati","given":"Joseph S."},{"family":"Clare","given":"Stuart"},{"family":"Smith","given":"Steve"},{"family":"Menon","given":"Ravi S."},{"family":"Matthews","given":"Paul M."}],"issued":{"date-parts":[["2002",4,1]]}}},{"id":1901,"uris":["http://zotero.org/users/9378318/items/Z767K567"],"itemData":{"id":1901,"type":"article-journal","abstract":"Neuroimaging studies with positron emission tomography (PET) and functional magnetic resonance imaging (fMRI) have delineated a human pain network in vivo. Despite the recognition of cerebral structures engaged in pain transmission, the cerebral mechanisms involved in pain modulation are still not well understood. Here, we investigated healthy volunteers using fMRI during experimental heat pain and distraction induced by a visual incongruent color-word Stroop task. A factorial design permitted categorical and covariation analysis of four conditions, namely innocuous and noxious heat; with and without distraction. Pain without distraction evoked an activation pattern similar to that observed in previous neuroimaging pain studies. Distraction was associated with a signiﬁcant reduction of the visual analogue scale (VAS) ratings for pain intensity and unpleasantness and a reduction of pain-related activation in multiple brain areas, particularly in the so-called ‘medial pain system’. Distraction signiﬁcantly increased the activation of the cingulo-frontal cortex including the orbitofrontal and perigenual anterior cingulate cortex (ACC), as well as the periaquaeductal gray (PAG) and the posterior thalamus. Covariation analysis revealed functional interaction between these structures during pain stimulation and distraction, but not during pain stimulation per se. According to our results, the cingulo-frontal cortex may exert top– down inﬂuences on the PAG and posterior thalamus to gate pain modulation during distraction.","container-title":"Pain","DOI":"10.1016/j.pain.2004.02.033","ISSN":"0304-3959","issue":"3","language":"en","page":"399-408","source":"DOI.org (Crossref)","title":"Distraction modulates connectivity of the cingulo-frontal cortex and the midbrain during pain—an fMRI analysis","volume":"109","author":[{"family":"Valet","given":"Michael"},{"family":"Sprenger","given":"Till"},{"family":"Boecker","given":"Henning"},{"family":"Willoch","given":"Frode"},{"family":"Rummeny","given":"Ernst"},{"family":"Conrad","given":"Bastian"},{"family":"Erhard","given":"Peter"},{"family":"Tolle","given":"Thomas R."}],"issued":{"date-parts":[["2004",6]]}}}],"schema":"https://github.com/citation-style-language/schema/raw/master/csl-citation.json"} </w:instrText>
      </w:r>
      <w:r w:rsidR="00544FF0">
        <w:fldChar w:fldCharType="separate"/>
      </w:r>
      <w:r w:rsidR="001A31BB" w:rsidRPr="001A31BB">
        <w:rPr>
          <w:rFonts w:ascii="Calibri" w:hAnsi="Calibri" w:cs="Calibri"/>
        </w:rPr>
        <w:t>[71,73]</w:t>
      </w:r>
      <w:r w:rsidR="00544FF0">
        <w:fldChar w:fldCharType="end"/>
      </w:r>
      <w:r w:rsidR="00656B07">
        <w:t>.</w:t>
      </w:r>
      <w:r w:rsidR="007C5F58">
        <w:t xml:space="preserve"> </w:t>
      </w:r>
      <w:r w:rsidR="0077521F">
        <w:t>Additionally</w:t>
      </w:r>
      <w:r w:rsidR="005D2374" w:rsidRPr="00E7301F">
        <w:t>, studies measuring withdrawal reflexes as indices of nociceptive spinal activity have yielded conflicting results</w:t>
      </w:r>
      <w:r w:rsidR="00A04FF1">
        <w:t xml:space="preserve"> </w:t>
      </w:r>
      <w:r w:rsidR="00A04FF1">
        <w:fldChar w:fldCharType="begin"/>
      </w:r>
      <w:r w:rsidR="0019418B">
        <w:instrText xml:space="preserve"> ADDIN ZOTERO_ITEM CSL_CITATION {"citationID":"UTd9jBZD","properties":{"formattedCitation":"[16,27]","plainCitation":"[16,27]","noteIndex":0},"citationItems":[{"id":361,"uris":["http://zotero.org/users/9378318/items/XVVA5GKB"],"itemData":{"id":361,"type":"article-journal","abstract":"Working memory (WM) engagement produces pain inhibition. However, it remains unclear whether higher WM load increases this effect. The aim of this study was to investigate the interaction between WM load and pain inhibition by WM and examine the contribution of cerebrospinal mechanism. Thirty-eight healthy volunteers were assigned to one of 2 n-back groups for which WM load was different (2-back or 3-back). The experimental protocol comprised 5 counterbalanced conditions (0-back, n-back, pain, 0-back with pain, and n-back with pain). Pain and the nociceptive flexion reflex (NFR) were evoked by transcutaneous electrical stimulation of the sural nerve. Pain was significantly different between conditions, but not between n-back groups. Both the 0-back and n-back tasks reduced pain compared with pain alone, but the n-back task produced stronger pain inhibition compared with the 0-back task. NFR amplitude was significantly different between conditions but not between n-back groups. NFR was inhibited by the 0-back and n-back tasks, with no difference between the 2 tasks. These findings indicate that pain inhibition by WM is increased by WM load, but only to a certain point. NFR inhibition by WM suggests that inhibition of pain by WM depends, at least in part, on cerebrospinal mechanism. Perspective: This behavioral and electrophysiological study shows that engaging in a cognitive task reduces pain by decreasing spinal nociceptive transmission, depending on task difficulty. These findings may yield better nonpharmacological pain therapies based on individual differences in working memory performance and capacity as well as several factors that regulate working memory.","container-title":"Journal of Pain","DOI":"10.1016/j.jpain.2021.02.001","issue":"7","page":"797-805","title":"Reduction of Pain and Spinal Nociceptive Transmission by Working Memory is Load Dependant","volume":"22","author":[{"family":"Deldar","given":"Zoha"},{"family":"Blanchette","given":"Isabelle"},{"family":"Piché","given":"Mathieu"}],"issued":{"date-parts":[["2021"]]}}},{"id":1721,"uris":["http://zotero.org/users/9378318/items/6IY7C6F5"],"itemData":{"id":1721,"type":"article-journal","abstract":"The nociceptive withdrawal reﬂex (NWR) is a behavioral response to protect the body from noxious stimuli. The spatial characteristics of the stimulus modulate the reﬂex response to prevent damage to the aﬀected tissue. Interneurons in the deep dorsal horn in the spinal cord encode the relationship between stimulus characteristics and the magnitude of the NWR and are also likely integrating spatial information of the nociceptive stimulus. The aim of this study was to use the NWR to investigate whether the spinal spatial integration of a simultaneous stimulus is modulated by shifting the attention of the participant towards (attention) or away from (distraction) the stimulus. We hypothesized that the descending activity shapes the receptive ﬁelds of the spinal neurons encoding spatial integration of nociception. Twenty healthy volunteers participated in the study. Single and simultaneous stimuli were delivered through two stimulating electrodes located in the arch and on the lateral side in the sole of the foot. The NWR was quantiﬁed by electromyography from the Tibialis Anterior and Biceps Femoris muscles during baseline and active tasks (attention and distraction). During the baseline task, spatial summation of the NWR was evoked during simultaneous stimulation. During the distraction task, the NWR was signiﬁcantly larger compared to baseline, regardless of the sites being stimulated (single and simultaneous stimuli). In contrast, the NWR recorded during the attention task did not diﬀer from baseline. These results further support that the spinal NWR pathway is under descending control which can be modulated by cognitive processes. The NWRs recorded over both proximal and distal muscles were similarly aﬀected by the tasks, suggesting that the descending control aﬀects the lower leg spinal system, with no discrimination between spinal segments. Ó 2022 The Author(s). Published by Elsevier Ltd on behalf of IBRO. This is an open access article under the CC BY license (http://creativecommons.org/licenses/by/4.0/).","container-title":"Neuroscience","DOI":"10.1016/j.neuroscience.2022.03.038","ISSN":"03064522","journalAbbreviation":"Neuroscience","language":"en","page":"134-145","source":"DOI.org (Crossref)","title":"Spinal Nociception is Facilitated during Cognitive Distraction","volume":"491","author":[{"family":"Henrich","given":"Mauricio Carlos"},{"family":"Frahm","given":"Ken Steffen"},{"family":"Coghill","given":"Robert C."},{"family":"Andersen","given":"Ole Kæseler"}],"issued":{"date-parts":[["2022",5]]}}}],"schema":"https://github.com/citation-style-language/schema/raw/master/csl-citation.json"} </w:instrText>
      </w:r>
      <w:r w:rsidR="00A04FF1">
        <w:fldChar w:fldCharType="separate"/>
      </w:r>
      <w:r w:rsidR="001A31BB" w:rsidRPr="001A31BB">
        <w:rPr>
          <w:rFonts w:ascii="Calibri" w:hAnsi="Calibri" w:cs="Calibri"/>
        </w:rPr>
        <w:t>[16,27]</w:t>
      </w:r>
      <w:r w:rsidR="00A04FF1">
        <w:fldChar w:fldCharType="end"/>
      </w:r>
      <w:r w:rsidR="005D2374" w:rsidRPr="00E7301F">
        <w:t>.</w:t>
      </w:r>
      <w:r w:rsidR="00C45FCC" w:rsidRPr="00E7301F">
        <w:t xml:space="preserve"> </w:t>
      </w:r>
      <w:r w:rsidR="009675A1">
        <w:t>M</w:t>
      </w:r>
      <w:r w:rsidR="005D2374" w:rsidRPr="00E7301F">
        <w:t xml:space="preserve">ost neuroimaging studies have shown that attention modulates the activity of brain regions involved in the processing of nociceptive inputs </w:t>
      </w:r>
      <w:r w:rsidR="009675A1">
        <w:t>i.</w:t>
      </w:r>
      <w:r w:rsidR="00356C23" w:rsidRPr="00E7301F">
        <w:t xml:space="preserve">e., </w:t>
      </w:r>
      <w:r w:rsidR="00356C23">
        <w:t>through the</w:t>
      </w:r>
      <w:r w:rsidR="005D2374" w:rsidRPr="00E7301F">
        <w:t xml:space="preserve"> ascending system</w:t>
      </w:r>
      <w:r w:rsidR="00B937BA">
        <w:t xml:space="preserve"> </w:t>
      </w:r>
      <w:r w:rsidR="00E37D7D">
        <w:fldChar w:fldCharType="begin"/>
      </w:r>
      <w:r w:rsidR="0019418B">
        <w:instrText xml:space="preserve"> ADDIN ZOTERO_ITEM CSL_CITATION {"citationID":"DhtFuFYR","properties":{"formattedCitation":"[4,11,12,36,39,41,48\\uc0\\u8211{}50,68,83]","plainCitation":"[4,11,12,36,39,41,48–50,68,83]","noteIndex":0},"citationItems":[{"id":1931,"uris":["http://zotero.org/users/9378318/items/SE8V96GI"],"itemData":{"id":1931,"type":"article-journal","container-title":"Brain","DOI":"10.1093/brain/awf022","ISSN":"1460-2156, 0006-8950","issue":"2","language":"en","page":"310-319","source":"DOI.org (Crossref)","title":"Imaging how attention modulates pain in humans using functional MRI","volume":"125","author":[{"family":"Bantick","given":"Susanna J."},{"family":"Wise","given":"Richard G."},{"family":"Ploghaus","given":"Alexander"},{"family":"Clare","given":"Stuart"},{"family":"Smith","given":"Stephen M."},{"family":"Tracey","given":"Irene"}],"issued":{"date-parts":[["2002",2,1]]}}},{"id":1909,"uris":["http://zotero.org/users/9378318/items/S9GYDGVD"],"itemData":{"id":1909,"type":"article-journal","container-title":"NeuroImage","DOI":"10.1006/nimg.2001.0974","ISSN":"10538119","issue":"2","journalAbbreviation":"NeuroImage","language":"en","page":"293-301","source":"DOI.org (Crossref)","title":"fMRI of Thermal Pain: Effects of Stimulus Laterality and Attention","title-short":"fMRI of Thermal Pain","volume":"15","author":[{"family":"Brooks","given":"Jonathan C.W."},{"family":"Nurmikko","given":"Turo J."},{"family":"Bimson","given":"William E."},{"family":"Singh","given":"Krish D."},{"family":"Roberts","given":"Neil"}],"issued":{"date-parts":[["2002",2]]}}},{"id":1905,"uris":["http://zotero.org/users/9378318/items/R878S65A"],"itemData":{"id":1905,"type":"article-journal","abstract":"Anatomical, physiological, and lesion data implicate multiple cortical regions in the complex experience of pain. These regions include primary and secondary somatosensory cortices, anterior cingulate cortex, insular cortex, and regions of the frontal cortex. Nevertheless, the role of different cortical areas in pain processing is controversial, particularly that of primary somatosensory cortex (S1). Human brain-imaging studies do not consistently reveal painrelated activation of S1, and older studies of cortical lesions and cortical stimulation in humans did not uncover a clear role of S1 in the pain experience. Whereas studies from a number of laboratories show that S1 is activated during the presentation of noxious stimuli as well as in association with some pathological pain states, others do not report such activation. Several factors may contribute to the different results among studies. First, we have evidence demonstrating that S1 activation is highly modulated by cognitive factors that alter pain perception, including attention and previous experience. Second, the precise somatotopic organization of S1 may lead to small focal activations, which are degraded by sulcal anatomical variability when averaging data across subjects. Third, the probable mixed excitatory and inhibitory effects of nociceptive input to S1 could be disparately represented in different experimental paradigms. Finally, statistical considerations are important in interpreting negative findings in S1. We conclude that, when these factors are taken into account, the bulk of the evidence now strongly supports a prominent and highly modulated role for S1 cortex in the sensory aspects of pain, including localization and discrimination of pain intensity.","container-title":"Proceedings of the National Academy of Sciences","DOI":"10.1073/pnas.96.14.7705","ISSN":"0027-8424, 1091-6490","issue":"14","journalAbbreviation":"Proc. Natl. Acad. Sci. U.S.A.","language":"en","page":"7705-7709","source":"DOI.org (Crossref)","title":"Pain perception: Is there a role for primary somatosensory cortex?","title-short":"Pain perception","volume":"96","author":[{"family":"Bushnell","given":"M. C."},{"family":"Duncan","given":"G. H."},{"family":"Hofbauer","given":"R. K."},{"family":"Ha","given":"B."},{"family":"Chen","given":"J.-I."},{"family":"Carrier","given":"B."}],"issued":{"date-parts":[["1999",7,6]]}}},{"id":"hB7whiFf/dj6yzlT3","uris":["http://zotero.org/users/9378318/items/HAZMEU4G"],"itemData":{"id":186,"type":"article-journal","abstract":"Because pain often signals the occurrence of potential tissue damage, nociceptive stimuli have the capacity to capture attention and interfere with ongoing cognitive activities. Working memory is known to guide the orientation of attention by maintaining goal priorities active during the achievement of a task. This study investigated whether the cortical processing of nociceptive stimuli and their ability to capture attention are under the control of working memory. Event-related brain potentials (ERPs) were recorded while participants performed primary tasks on visual targets that required or did not require rehearsal in working memory (1-back vs 0-back conditions). The visual targets were shortly preceded by task-irrelevant tactile stimuli. Occasionally, in order to distract the participants, the tactile stimuli were replaced by novel nociceptive stimuli. In the 0-back conditions, task performance was disrupted by the occurrence of the nociceptive distracters, as reflected by the increased reaction times in trials with novel nociceptive distracters as compared to trials with standard tactile distracters. In the 1-back conditions, such a difference disappeared suggesting that attentional capture and task disruption induced by nociceptive distracters were suppressed by working memory, regardless of task demands. Most importantly, in the conditions involving working memory, the magnitude of nociceptive ERPs, including ERP components at early latency, were significantly reduced. This indicates that working memory is able to modulate the cortical processing of nociceptive input already at its earliest stages, and could explain why working memory reducesconsequently ability of nociceptive stimuli to capture attention and disrupt performance of the primary task. It is concluded that protecting cognitive processing against pain interference is best guaranteed by keeping out of working memory pain-related information. © 2012 Elsevier Ltd.","container-title":"Cortex","DOI":"10.1016/j.cortex.2012.08.014","issue":"7","page":"1922-1934","title":"Shielding cognition from nociception with working memory","volume":"49","author":[{"family":"Legrain","given":"Valéry"},{"family":"Crombez","given":"Geert"},{"family":"Plaghki","given":"Léon"},{"family":"Mouraux","given":"André"}],"issued":{"date-parts":[["2013"]]}}},{"id":76,"uris":["http://zotero.org/users/9378318/items/WVEAQ8SS"],"itemData":{"id":76,"type":"article-journal","abstract":"Laser evoked potentials (LEPs) are brain responses to activation of skin nociceptors by laser heat stimuli. LEPs consist of three components: N1, N2, and P2. Previous reports have suggested that in contrast to earlier activities (N1), LEPs responses after 230-250ms (N2-P2) are modulated by attention to painful laser stimuli. However, the experimental paradigms used were not designed to specify the attentional processes involved in these LEP modulations. We investigated the effects of selective spatial attention and oddball tasks on LEPs. CO2 laser stimuli of two different intensities were delivered on the dorsum of both hands of ten subjects. One intensity was frequently presented, and the other rarely. Subjects were asked to pay attention to stimuli delivered on one hand and to count rare stimuli, while ignoring stimuli on the other hand. Frequent and rare attended stimuli evoked enhanced N160 (N1) and N230 (N2) components in comparison to LEPs from unattended stimuli. Both components showed scalp distribution contralateral to the stimulus location. The vertex P400 (P2) was unaffected by spatial attention and stimulus location, but its amplitude increased after rare stimuli, whether attended or unattended. An additional parietal P600 component was induced by the attended rare stimuli. It is suggested that several attentional processes can modify nociceptive processing in the brain at different stages. LEP activities in the time-range of N1 and N2 (120-270ms) showed evidence of processes modulated by the direction of spatial attention. Conversely, processes underlying P2 (400ms) were not affected by spatial attention, but by the probability of the stimulus. This probability effect was not due to P3b-related processes that were observed at a later latency (600ms). Indeed, P600 could be seen as a P3b evoked by conscious detection of rare targets. © 2002 International Association for the Study of Pain. Published by Elsevier Science B.V. All rights reserved.","container-title":"Pain","DOI":"10.1016/S0304-3959(02)00051-9","issue":"1-2","page":"21-39","title":"Attentional modulation of the nociceptive processing into the human brain: Selective spatial attention, probability of stimulus occurrence, and target detection effects on laser evoked potentials","volume":"99","author":[{"family":"Legrain","given":"Valéry"},{"family":"Guérit","given":"Jean Michel"},{"family":"Bruyer","given":"Raymond"},{"family":"Plaghki","given":"Léon"}],"issued":{"date-parts":[["2002"]]}}},{"id":103,"uris":["http://zotero.org/users/9378318/items/ZH9C3F9K"],"itemData":{"id":103,"type":"article-journal","abstract":"The event-related brain potentials (ERPs) elicited by nociceptive stimuli are largely influenced by vigilance, emotion, alertness, and attention. Studies that specifically investigated the effects of cognition on nociceptive ERPs support the idea that most of these ERP components can be regarded as the neurophysiological indexes of the processes underlying detection and orientation of attention toward the eliciting stimulus. Such detection is determined both by the salience of the stimulus that makes it pop out from the environmental context (bottom-up capture of attention) and by its relevance according to the subject's goals and motivation (top-down attentional control). The fact that nociceptive ERPs are largely influenced by information from other sensory modalities such as vision and proprioception, as well as from motor preparation, suggests that these ERPs reflect a cortical system involved in the detection of potentially meaningful stimuli for the body, with the purpose to respond adequately to potential threats. In such a theoretical framework, pain is seen as an epiphenomenon of warning * Corresponding author.","container-title":"Neurophysiologie Clinique/Clinical Neurophysiology","DOI":"10.1016/j.neucli.2012.06.003","page":"325-336","title":"Cognitive aspects of nociception and pain. Bridging neurophysiology with cognitive psychology Aspects cognitifs de la nociception et de la douleur. Le rapprochement de la neurophysiologie et de la psychologie cognitive","volume":"42","author":[{"family":"Legrain","given":"V."},{"family":"Mancini","given":"F."},{"family":"Sambo","given":"C. F."},{"family":"Torta","given":"D. M."},{"family":"Ronga","given":"I."},{"family":"Valentini","given":"E."}],"issued":{"date-parts":[["2012"]]}}},{"id":1915,"uris":["http://zotero.org/users/9378318/items/RXXKFS4K"],"itemData":{"id":1915,"type":"article-journal","abstract":"The inﬂuence of attention on the processing of pain in the secondary somatosensory cortex (SII) was analyzed using magnetoencephalography in response to painful infra-red heat stimuli applied to the left hand in six male healthy subjects, aged 22–28 years. Three experimental paradigms were chosen to deliver attention dependent results under comparable levels of vigilance. Single moving dipole sources for the pain-evoked responses were calculated in the individual cortex anatomy determined by magnetic resonance imaging. Though pain stimuli followed the same intensity pattern in all paradigms, evoked SII activity increased markedly from the low attention task to the mid-level attention task (P , 0:001). In contrast, further increase of attention from mid-level to high was not accompanied by an additional enhancement of SII activity. It therefore is concluded that activation patterns of SII follow a saturation function which cannot be enlarged by maximizing the relevance of the painful stimuli. q 2002 Elsevier Science Ireland Ltd. All rights reserved.","container-title":"Neuroscience Letters","DOI":"10.1016/S0304-3940(02)00447-0","ISSN":"03043940","issue":"1","journalAbbreviation":"Neuroscience Letters","language":"en","page":"29-32","source":"DOI.org (Crossref)","title":"Attentional modulation of human pain processing in the secondary somatosensory cortex: a magnetoencephalographic study","title-short":"Attentional modulation of human pain processing in the secondary somatosensory cortex","volume":"328","author":[{"family":"Nakamura","given":"Yoko"},{"family":"Paur","given":"Robert"},{"family":"Zimmermann","given":"Roger"},{"family":"Bromm","given":"Burkhart"}],"issued":{"date-parts":[["2002",8]]}}},{"id":1907,"uris":["http://zotero.org/users/9378318/items/8EB95HUT"],"itemData":{"id":1907,"type":"article-journal","abstract":"It has previously been suggested that the activity in sensory regions of the brain can be modulated by attentional mechanisms during parallel cognitive processing. To investigate whether such attention-related modulations are present in the processing of pain, the regional cerebral blood ¯ow was measured using [15O]butanol and positron emission tomography in conditions involving both pain and parallel cognitive demands. The painful stimulus consisted of the standard cold pressor test and the cognitive task was a computerised perceptual maze test. The activations during the maze test reproduced ®ndings in previous studies of the same cognitive task. The cold pressor test evoked signi®cant activity in the contralateral S1, and bilaterally in the somatosensory association areas (including S2), the ACC and the mid-insula. The activity in the somatosensory association areas and periaqueductal gray/midbrain were signi®cantly modi®ed, i.e. relatively decreased, when the subjects also were performing the maze task. The altered activity was accompanied with signi®cantly lower ratings of pain during the cognitive task. In contrast, lateral orbitofrontal regions showed a relative increase of activity during pain combined with the maze task as compared to only pain, which suggests the possibility of the involvement of frontal cortex in modulation of regions processing pain. q 2000 International Association for the Study of Pain. Published by Elsevier Science B.V. All rights reserved.","container-title":"Pain","DOI":"10.1016/S0304-3959(99)00232-8","ISSN":"0304-3959","issue":"1","language":"en","page":"19-30","source":"DOI.org (Crossref)","title":"Pain-related cerebral activation is altered by a distracting cognitive task","volume":"85","author":[{"family":"Petrovic","given":"P."},{"family":"Petersson","given":"K. M."},{"family":"Ghatan","given":"P. H."},{"family":"Stone-Elander","given":"S."},{"family":"Ingvar","given":"M."}],"issued":{"date-parts":[["2000",3,1]]}}},{"id":1933,"uris":["http://zotero.org/users/9378318/items/ZHMYC4GP"],"itemData":{"id":1933,"type":"article-journal","container-title":"Neurophysiologie Clinique/Clinical Neurophysiology","DOI":"10.1016/S0987-7053(00)00227-6","ISSN":"09877053","issue":"5","journalAbbreviation":"Neurophysiologie Clinique/Clinical Neurophysiology","language":"en","page":"263-288","source":"DOI.org (Crossref)","title":"Functional imaging of brain responses to pain. A review and meta-analysis (2000)","volume":"30","author":[{"family":"Peyron","given":"R."},{"family":"Laurent","given":"B."},{"family":"García-Larrea","given":"L."}],"issued":{"date-parts":[["2000",10]]}}},{"id":364,"uris":["http://zotero.org/users/9378318/items/GBVQ97UH"],"itemData":{"id":364,"type":"article-journal","abstract":"Several studies have used neuroimaging techniques to investigate brain correlates of the attentional modulation of pain. Although these studies have advanced the knowledge in the field, important confounding factors such as imprecise theoretical definitions of attention, incomplete operationalization of the construct under exam, and limitations of techniques relying on measuring regional changes in cerebral blood flow have hampered the potential relevance of the conclusions. Here, we first provide an overview of the major theories of attention and of attention in the study of pain to bridge theory and experimental results. We conclude that load and motivational/affective theories are particularly relevant to study the attentional modulation of pain and should be carefully integrated in functional neuroimaging studies. Then, we summarize previous findings and discuss the possible neural correlates of the attentional modulation of pain. We discuss whether classical functional neuroimaging techniques are suitable to measure the effect of a fluctuating process like attention, and in which circumstances functional neuroimaging can be reliably used to measure the attentional modulation of pain. Finally, we argue that the analysis of brain networks and spontaneous oscillations may be a crucial future development in the study of attentional modulation of pain, and why the interplay between attention and pain, as examined so far, may rely on neural mechanisms shared with other sensory modalities.","container-title":"Cortex","DOI":"10.1016/j.cortex.2017.01.010","page":"120-134","title":"Attention to pain! A neurocognitive perspective on attentional modulation of pain in neuroimaging studies","volume":"89","author":[{"family":"Torta","given":"D. M."},{"family":"Legrain","given":"V."},{"family":"Mouraux","given":"A."},{"family":"Valentini","given":"E."}],"issued":{"date-parts":[["2017"]]}}},{"id":1939,"uris":["http://zotero.org/users/9378318/items/RA79HX9S"],"itemData":{"id":1939,"type":"article-journal","abstract":"We used magnetoencephalography to study effects of sleep on cortical responses to noxious stimuli and to clarify the mechanisms underlying pain perception. For a noxious stimulus, painful intra-epidermal electrical stimulation, which selectively activates A-</w:instrText>
      </w:r>
      <w:r w:rsidR="0019418B">
        <w:rPr>
          <w:rFonts w:ascii="Segoe UI Symbol" w:hAnsi="Segoe UI Symbol" w:cs="Segoe UI Symbol"/>
        </w:rPr>
        <w:instrText>␦</w:instrText>
      </w:r>
      <w:r w:rsidR="0019418B">
        <w:instrText xml:space="preserve"> ﬁbers, was applied to the dorsum of the left hand. While awake, subjects were asked to count the number of stimuli silently (Attention) or ignore the stimuli (Control). During sleep, magnetic ﬁelds recorded in stage 1 sleep and stage 2 sleep were analyzed. One main component at a latency around 140 –160 ms was identiﬁed in the awake condition. Multiple source analysis indicated that this main component was generated by activities in the contralateral primary somatosensory cortex (SI), bilateral secondary somatosensory cortex (SII) and insular cortex. The medial temporal area (MT) and cingulate cortex were activated later than the main component. Cortical responses in the contralateral SI, ipsilateral SII and MT, bilateral insula and cingulate cortex were signiﬁcantly enhanced in Attention as compared with Control. The main component 1 M as well as later magnetic ﬁelds were markedly attenuated during sleep, suggesting that all these cortical areas are involved in pain cognition. © 2004 IBRO. Published by Elsevier Ltd. All rights reserved.","container-title":"Neuroscience","DOI":"10.1016/j.neuroscience.2004.06.036","ISSN":"03064522","issue":"1","journalAbbreviation":"Neuroscience","language":"en","page":"177-186","source":"DOI.org (Crossref)","title":"Cortical responses to noxious stimuli during sleep","volume":"128","author":[{"family":"Wang","given":"X."},{"family":"Inui","given":"K."},{"family":"Qiu","given":"Y."},{"family":"Kakigi","given":"R."}],"issued":{"date-parts":[["2004",1]]}}}],"schema":"https://github.com/citation-style-language/schema/raw/master/csl-citation.json"} </w:instrText>
      </w:r>
      <w:r w:rsidR="00E37D7D">
        <w:fldChar w:fldCharType="separate"/>
      </w:r>
      <w:r w:rsidR="001A31BB" w:rsidRPr="001A31BB">
        <w:rPr>
          <w:rFonts w:ascii="Calibri" w:hAnsi="Calibri" w:cs="Calibri"/>
          <w:szCs w:val="24"/>
        </w:rPr>
        <w:t>[4,11,12,36,39,41,48–50,68,83]</w:t>
      </w:r>
      <w:r w:rsidR="00E37D7D">
        <w:fldChar w:fldCharType="end"/>
      </w:r>
      <w:r w:rsidR="00B937BA">
        <w:t>.</w:t>
      </w:r>
      <w:r w:rsidR="009675A1">
        <w:t xml:space="preserve"> </w:t>
      </w:r>
      <w:r w:rsidR="00957EBC">
        <w:t>T</w:t>
      </w:r>
      <w:r w:rsidR="000F5E55">
        <w:t>hus,</w:t>
      </w:r>
      <w:r w:rsidR="00BF59EE">
        <w:t xml:space="preserve"> </w:t>
      </w:r>
      <w:r w:rsidR="000F5E55">
        <w:t>i</w:t>
      </w:r>
      <w:r w:rsidR="005D2374" w:rsidRPr="00E7301F">
        <w:t>t has been proposed that attention acts on pain and other nociceptive-related responses by controlling the gain of cortical areas that receive and process nociceptive inputs</w:t>
      </w:r>
      <w:r w:rsidR="000E749D">
        <w:t xml:space="preserve"> </w:t>
      </w:r>
      <w:r w:rsidR="000E749D">
        <w:fldChar w:fldCharType="begin"/>
      </w:r>
      <w:r w:rsidR="0019418B">
        <w:instrText xml:space="preserve"> ADDIN ZOTERO_ITEM CSL_CITATION {"citationID":"ZtyngGob","properties":{"formattedCitation":"[39]","plainCitation":"[39]","noteIndex":0},"citationItems":[{"id":76,"uris":["http://zotero.org/users/9378318/items/WVEAQ8SS"],"itemData":{"id":76,"type":"article-journal","abstract":"Laser evoked potentials (LEPs) are brain responses to activation of skin nociceptors by laser heat stimuli. LEPs consist of three components: N1, N2, and P2. Previous reports have suggested that in contrast to earlier activities (N1), LEPs responses after 230-250ms (N2-P2) are modulated by attention to painful laser stimuli. However, the experimental paradigms used were not designed to specify the attentional processes involved in these LEP modulations. We investigated the effects of selective spatial attention and oddball tasks on LEPs. CO2 laser stimuli of two different intensities were delivered on the dorsum of both hands of ten subjects. One intensity was frequently presented, and the other rarely. Subjects were asked to pay attention to stimuli delivered on one hand and to count rare stimuli, while ignoring stimuli on the other hand. Frequent and rare attended stimuli evoked enhanced N160 (N1) and N230 (N2) components in comparison to LEPs from unattended stimuli. Both components showed scalp distribution contralateral to the stimulus location. The vertex P400 (P2) was unaffected by spatial attention and stimulus location, but its amplitude increased after rare stimuli, whether attended or unattended. An additional parietal P600 component was induced by the attended rare stimuli. It is suggested that several attentional processes can modify nociceptive processing in the brain at different stages. LEP activities in the time-range of N1 and N2 (120-270ms) showed evidence of processes modulated by the direction of spatial attention. Conversely, processes underlying P2 (400ms) were not affected by spatial attention, but by the probability of the stimulus. This probability effect was not due to P3b-related processes that were observed at a later latency (600ms). Indeed, P600 could be seen as a P3b evoked by conscious detection of rare targets. © 2002 International Association for the Study of Pain. Published by Elsevier Science B.V. All rights reserved.","container-title":"Pain","DOI":"10.1016/S0304-3959(02)00051-9","issue":"1-2","page":"21-39","title":"Attentional modulation of the nociceptive processing into the human brain: Selective spatial attention, probability of stimulus occurrence, and target detection effects on laser evoked potentials","volume":"99","author":[{"family":"Legrain","given":"Valéry"},{"family":"Guérit","given":"Jean Michel"},{"family":"Bruyer","given":"Raymond"},{"family":"Plaghki","given":"Léon"}],"issued":{"date-parts":[["2002"]]}}}],"schema":"https://github.com/citation-style-language/schema/raw/master/csl-citation.json"} </w:instrText>
      </w:r>
      <w:r w:rsidR="000E749D">
        <w:fldChar w:fldCharType="separate"/>
      </w:r>
      <w:r w:rsidR="001A31BB" w:rsidRPr="001A31BB">
        <w:rPr>
          <w:rFonts w:ascii="Calibri" w:hAnsi="Calibri" w:cs="Calibri"/>
        </w:rPr>
        <w:t>[39]</w:t>
      </w:r>
      <w:r w:rsidR="000E749D">
        <w:fldChar w:fldCharType="end"/>
      </w:r>
      <w:r w:rsidR="0056660A">
        <w:t>.</w:t>
      </w:r>
      <w:r w:rsidR="005D2374" w:rsidRPr="00E7301F">
        <w:t xml:space="preserve"> In other words, the attentional influence observed in most studies on ongoing pain may result primarily from modulation of the ascending neural system rather than from descending modulatory control over spinal activity.</w:t>
      </w:r>
      <w:r w:rsidR="00722A0C" w:rsidRPr="00E7301F">
        <w:t xml:space="preserve"> </w:t>
      </w:r>
      <w:r w:rsidR="00C10DD9" w:rsidRPr="00C10DD9">
        <w:t>To gain a comprehensive understanding of the role of attention in pain sensitization and the development of secondary hypersensitivity, it</w:t>
      </w:r>
      <w:r w:rsidR="00F70675">
        <w:t xml:space="preserve"> might therefore be necessary </w:t>
      </w:r>
      <w:r w:rsidR="00C10DD9" w:rsidRPr="00C10DD9">
        <w:t>to conduct further investigations that specifically examine the influence of attention on the spinal transmission of nociceptive inputs.</w:t>
      </w:r>
      <w:r w:rsidR="00DF79B5">
        <w:t xml:space="preserve"> </w:t>
      </w:r>
    </w:p>
    <w:p w14:paraId="4DD9F80C" w14:textId="4D7371F1" w:rsidR="00651AE6" w:rsidRDefault="007F61E9" w:rsidP="000F5E55">
      <w:pPr>
        <w:spacing w:after="0" w:line="480" w:lineRule="auto"/>
        <w:ind w:firstLine="720"/>
        <w:rPr>
          <w:bCs/>
        </w:rPr>
      </w:pPr>
      <w:r>
        <w:rPr>
          <w:bCs/>
        </w:rPr>
        <w:t>Secondly</w:t>
      </w:r>
      <w:r w:rsidR="00F25D22">
        <w:rPr>
          <w:bCs/>
        </w:rPr>
        <w:t xml:space="preserve">, </w:t>
      </w:r>
      <w:r w:rsidR="00AA1915">
        <w:rPr>
          <w:bCs/>
        </w:rPr>
        <w:t>t</w:t>
      </w:r>
      <w:r w:rsidR="00D24316" w:rsidRPr="00076F13">
        <w:rPr>
          <w:bCs/>
        </w:rPr>
        <w:t xml:space="preserve">he observation that central sensitization appears to be less influenced by attentional processes compared to ongoing pain raises important questions about its functional role and adaptive significance. </w:t>
      </w:r>
      <w:r w:rsidR="00AB0409">
        <w:rPr>
          <w:bCs/>
        </w:rPr>
        <w:t>P</w:t>
      </w:r>
      <w:r w:rsidR="00AB0409" w:rsidRPr="00AB0409">
        <w:rPr>
          <w:bCs/>
        </w:rPr>
        <w:t xml:space="preserve">ain serves as a crucial protective mechanism, alerting us to potential harm and promoting actions to ensure survival. In this context, ongoing pain that occurs during noxious stimulation can be minimized through attentional </w:t>
      </w:r>
      <w:r w:rsidR="0022773F">
        <w:rPr>
          <w:bCs/>
        </w:rPr>
        <w:t xml:space="preserve">selection </w:t>
      </w:r>
      <w:r w:rsidR="00AB0409" w:rsidRPr="00AB0409">
        <w:rPr>
          <w:bCs/>
        </w:rPr>
        <w:t xml:space="preserve">processes when competing with other </w:t>
      </w:r>
      <w:r w:rsidR="00C61B98">
        <w:rPr>
          <w:bCs/>
        </w:rPr>
        <w:t xml:space="preserve">over-ordered </w:t>
      </w:r>
      <w:r w:rsidR="00AB0409" w:rsidRPr="00AB0409">
        <w:rPr>
          <w:bCs/>
        </w:rPr>
        <w:t>cognitive goals</w:t>
      </w:r>
      <w:r w:rsidR="007D0AB5">
        <w:rPr>
          <w:bCs/>
        </w:rPr>
        <w:t xml:space="preserve"> </w:t>
      </w:r>
      <w:r w:rsidR="007D0AB5">
        <w:rPr>
          <w:bCs/>
        </w:rPr>
        <w:fldChar w:fldCharType="begin"/>
      </w:r>
      <w:r w:rsidR="0019418B">
        <w:rPr>
          <w:bCs/>
        </w:rPr>
        <w:instrText xml:space="preserve"> ADDIN ZOTERO_ITEM CSL_CITATION {"citationID":"S6seM1iN","properties":{"formattedCitation":"[8,74]","plainCitation":"[8,74]","noteIndex":0},"citationItems":[{"id":23,"uris":["http://zotero.org/users/9378318/items/ESMNPKK8"],"itemData":{"id":23,"type":"article-journal","abstract":"Attention is a key concept in many theories of pain perception. A clinically popular idea is that pain is more intense in persons who are hypervigilant for or bias their attention to pain information. So far, evidence for such bias in pain patients as compared to healthy persons is inconclusive. Furthermore, studies investigating the effects of distracting attention away from pain have shown contradictory results. In this review, we present a motivational perspective on attentional processing of pain that accounts for these inconclusive research findings. We argue that pain always has to be considered within a context of goal pursuit. From this perspective, two largely unexplored theoretical assumptions are introduced. First, when pain occurs during the pursuit of a certain goal, it may unintentionally capture attention although it is not relevant for the goal. Whether such unintentional attentional capture happens is not only dependent upon the characteristics of the pain but also on the characteristics of the focal goal. Second, attention to pain and pain-related information might be driven by a focal goal related to pain. Attentional processing of pain information will be particularly enhanced when the focal goal is related to pain management (e.g., attempting to gain control). Future research should systematically investigate the role of motivation and goal pursuit in the attentional processing of pain-related information. This motivational perspective offers a powerful framework to explain inter- and intra-individual differences in the deployment of attention to pain-related information. © 2009 Elsevier Ltd. All rights reserved.","container-title":"Neuroscience and Biobehavioral Reviews","DOI":"10.1016/j.neubiorev.2009.01.005","issue":"2","page":"204-213","title":"Keeping pain in mind: A motivational account of attention to pain","volume":"34","author":[{"family":"Van Damme","given":"Stefaan"},{"family":"Legrain","given":"Valéry"},{"family":"Vogt","given":"Julia"},{"family":"Crombez","given":"Geert"}],"issued":{"date-parts":[["2010"]]}}},{"id":1937,"uris":["http://zotero.org/users/9378318/items/VIUGBSAY"],"itemData":{"id":1937,"type":"book","title":"Beecher, H. K. (1956). RELATIONSHIP OF SIGNIFICANCE OF WOUND TO PAIN EXPERIENCED. Journal of the American Medical Association, 161(17), 1609. doi:10.1001/jama.1956.02970170005002"}}],"schema":"https://github.com/citation-style-language/schema/raw/master/csl-citation.json"} </w:instrText>
      </w:r>
      <w:r w:rsidR="007D0AB5">
        <w:rPr>
          <w:bCs/>
        </w:rPr>
        <w:fldChar w:fldCharType="separate"/>
      </w:r>
      <w:r w:rsidR="001A31BB" w:rsidRPr="001A31BB">
        <w:rPr>
          <w:rFonts w:ascii="Calibri" w:hAnsi="Calibri" w:cs="Calibri"/>
        </w:rPr>
        <w:t>[8,74]</w:t>
      </w:r>
      <w:r w:rsidR="007D0AB5">
        <w:rPr>
          <w:bCs/>
        </w:rPr>
        <w:fldChar w:fldCharType="end"/>
      </w:r>
      <w:r w:rsidR="00B82E84">
        <w:rPr>
          <w:bCs/>
        </w:rPr>
        <w:t>.</w:t>
      </w:r>
      <w:r w:rsidR="00B26438">
        <w:rPr>
          <w:bCs/>
        </w:rPr>
        <w:t xml:space="preserve"> Central </w:t>
      </w:r>
      <w:r w:rsidR="00D24316" w:rsidRPr="00076F13">
        <w:rPr>
          <w:bCs/>
        </w:rPr>
        <w:t>sensitization</w:t>
      </w:r>
      <w:r w:rsidR="00D24316">
        <w:rPr>
          <w:bCs/>
        </w:rPr>
        <w:t>, on the other hand,</w:t>
      </w:r>
      <w:r w:rsidR="00D24316" w:rsidRPr="00076F13">
        <w:rPr>
          <w:bCs/>
        </w:rPr>
        <w:t xml:space="preserve"> is a mechanism by which the body becomes more responsive in the presence of prolonged or sustained physical danger</w:t>
      </w:r>
      <w:r w:rsidR="009675A1">
        <w:rPr>
          <w:bCs/>
        </w:rPr>
        <w:t xml:space="preserve"> </w:t>
      </w:r>
      <w:r w:rsidR="00B82E84">
        <w:rPr>
          <w:bCs/>
        </w:rPr>
        <w:fldChar w:fldCharType="begin"/>
      </w:r>
      <w:r w:rsidR="0019418B">
        <w:rPr>
          <w:bCs/>
        </w:rPr>
        <w:instrText xml:space="preserve"> ADDIN ZOTERO_ITEM CSL_CITATION {"citationID":"qGNOp70V","properties":{"formattedCitation":"[34,84]","plainCitation":"[34,84]","noteIndex":0},"citationItems":[{"id":99,"uris":["http://zotero.org/users/9378318/items/CZIIL4UD"],"itemData":{"id":99,"type":"article-journal","abstract":"Central sensitization represents an enhancement in the function of neurons and circuits in nociceptive pathways caused by increases in membrane excitability and synaptic efficacy as well as to reduced inhibition and is a manifestation of the remarkable plasticity of the somatosensory nervous system in response to activity, inflammation, and neural injury. The net effect of central sensitization is to recruit previously subthreshold synaptic inputs to nociceptive neurons, generating an increased or augmented action potential output: a state of facilitation, potentiation, augmentation, or amplification. Central sensitization is responsible for many of the temporal, spatial, and threshold changes in pain sensibility in acute and chronic clinical pain settings and exemplifies the fundamental contribution of the central nervous system to the generation of pain hypersensitivity. Because central sensitization results from changes in the properties of neurons in the central nervous system, the pain is no longer coupled, as acute nociceptive pain is, to the presence, intensity, or duration of noxious peripheral stimuli. Instead, central sensitization produces pain hypersensitivity by changing the sensory response elicited by normal inputs, including those that usually evoke innocuous sensations. Perspective-In this article, we review the major triggers that initiate and maintain central sensitization in healthy individuals in response to nociceptor input and in patients with inflammatory and neuropathic pain, emphasizing the fundamental contribution and multiple mechanisms of synaptic plasticity caused by changes in the density, nature, and properties of ionotropic and metabotropic glutamate receptors.","DOI":"10.1016/j.jpain.2009.06.012","title":"Central Sensitization: A Generator of Pain Hypersensitivity by Central Neural Plasticity","author":[{"family":"Latremoliere","given":"Alban"},{"family":"Woolf","given":"Clifford J."}],"issued":{"date-parts":[["2009"]]}}},{"id":367,"uris":["http://zotero.org/users/9378318/items/Q56F45C4"],"itemData":{"id":367,"type":"article-journal","container-title":"Science","issue":"June","page":"1765-1769","title":"Neuronal Plasticity: Increasing the Gain in Pain","volume":"288","author":[{"family":"Woolf","given":"C. J."}],"issued":{"date-parts":[["2000"]]}}}],"schema":"https://github.com/citation-style-language/schema/raw/master/csl-citation.json"} </w:instrText>
      </w:r>
      <w:r w:rsidR="00B82E84">
        <w:rPr>
          <w:bCs/>
        </w:rPr>
        <w:fldChar w:fldCharType="separate"/>
      </w:r>
      <w:r w:rsidR="001A31BB" w:rsidRPr="001A31BB">
        <w:rPr>
          <w:rFonts w:ascii="Calibri" w:hAnsi="Calibri" w:cs="Calibri"/>
        </w:rPr>
        <w:t>[34,84]</w:t>
      </w:r>
      <w:r w:rsidR="00B82E84">
        <w:rPr>
          <w:bCs/>
        </w:rPr>
        <w:fldChar w:fldCharType="end"/>
      </w:r>
      <w:r w:rsidR="004036BD">
        <w:rPr>
          <w:bCs/>
        </w:rPr>
        <w:t xml:space="preserve">. </w:t>
      </w:r>
      <w:r w:rsidR="009675A1">
        <w:rPr>
          <w:bCs/>
        </w:rPr>
        <w:t>E</w:t>
      </w:r>
      <w:r w:rsidR="00E85742" w:rsidRPr="00D6272D">
        <w:rPr>
          <w:bCs/>
        </w:rPr>
        <w:t>nhanc</w:t>
      </w:r>
      <w:r w:rsidR="00E85742">
        <w:rPr>
          <w:bCs/>
        </w:rPr>
        <w:t xml:space="preserve">ing </w:t>
      </w:r>
      <w:r w:rsidR="00E85742" w:rsidRPr="00D6272D">
        <w:rPr>
          <w:bCs/>
        </w:rPr>
        <w:t>the</w:t>
      </w:r>
      <w:r w:rsidR="00D6272D" w:rsidRPr="00D6272D">
        <w:rPr>
          <w:bCs/>
        </w:rPr>
        <w:t xml:space="preserve"> responsiveness of the nervous system</w:t>
      </w:r>
      <w:r w:rsidR="00857E4B">
        <w:rPr>
          <w:bCs/>
        </w:rPr>
        <w:t xml:space="preserve"> might </w:t>
      </w:r>
      <w:r w:rsidR="00D6272D" w:rsidRPr="00D6272D">
        <w:rPr>
          <w:bCs/>
        </w:rPr>
        <w:t>ensure heightened vigilance and protection in the face of persistent or recurring threats</w:t>
      </w:r>
      <w:r w:rsidR="00E85742">
        <w:rPr>
          <w:bCs/>
        </w:rPr>
        <w:t xml:space="preserve"> but also</w:t>
      </w:r>
      <w:r w:rsidR="00322F46">
        <w:rPr>
          <w:bCs/>
        </w:rPr>
        <w:t xml:space="preserve"> </w:t>
      </w:r>
      <w:r w:rsidR="00D6272D" w:rsidRPr="00D6272D">
        <w:rPr>
          <w:bCs/>
        </w:rPr>
        <w:t xml:space="preserve">the absence of ongoing </w:t>
      </w:r>
      <w:r w:rsidR="00D6272D" w:rsidRPr="00D6272D">
        <w:rPr>
          <w:bCs/>
        </w:rPr>
        <w:lastRenderedPageBreak/>
        <w:t>tissue damage.</w:t>
      </w:r>
      <w:r w:rsidR="00E85742">
        <w:rPr>
          <w:bCs/>
        </w:rPr>
        <w:t xml:space="preserve"> </w:t>
      </w:r>
      <w:r w:rsidR="00D24316" w:rsidRPr="00076F13">
        <w:rPr>
          <w:bCs/>
        </w:rPr>
        <w:t xml:space="preserve">Its functional importance for adaptation and evolution </w:t>
      </w:r>
      <w:r w:rsidR="00E85742">
        <w:rPr>
          <w:bCs/>
        </w:rPr>
        <w:t xml:space="preserve">may </w:t>
      </w:r>
      <w:r w:rsidR="00D24316" w:rsidRPr="00076F13">
        <w:rPr>
          <w:bCs/>
        </w:rPr>
        <w:t>suggest that allowing cognitive influences to inhibit central sensitization could potentially jeopardize an individual's survival</w:t>
      </w:r>
      <w:r w:rsidR="00054763">
        <w:rPr>
          <w:bCs/>
        </w:rPr>
        <w:t xml:space="preserve"> </w:t>
      </w:r>
      <w:r w:rsidR="00054763">
        <w:rPr>
          <w:bCs/>
        </w:rPr>
        <w:fldChar w:fldCharType="begin"/>
      </w:r>
      <w:r w:rsidR="0019418B">
        <w:rPr>
          <w:bCs/>
        </w:rPr>
        <w:instrText xml:space="preserve"> ADDIN ZOTERO_ITEM CSL_CITATION {"citationID":"uW8qH05H","properties":{"formattedCitation":"[82]","plainCitation":"[82]","noteIndex":0},"citationItems":[{"id":1463,"uris":["http://zotero.org/users/9378318/items/MSZ879KW"],"itemData":{"id":1463,"type":"article-journal","container-title":"Trends in Neurosciences","DOI":"10.1016/j.tins.2022.12.007","ISSN":"01662236","journalAbbreviation":"Trends in Neurosciences","language":"en","page":"S0166223622002612","source":"DOI.org (Crossref)","title":"Persistent nociceptor hyperactivity as a painful evolutionary adaptation","author":[{"family":"Walters","given":"Edgar T."},{"family":"Crook","given":"Robyn J."},{"family":"Neely","given":"G. Gregory"},{"family":"Price","given":"Theodore J."},{"family":"Smith","given":"Ewan St John"}],"issued":{"date-parts":[["2023",1]]}}}],"schema":"https://github.com/citation-style-language/schema/raw/master/csl-citation.json"} </w:instrText>
      </w:r>
      <w:r w:rsidR="00054763">
        <w:rPr>
          <w:bCs/>
        </w:rPr>
        <w:fldChar w:fldCharType="separate"/>
      </w:r>
      <w:r w:rsidR="001A31BB" w:rsidRPr="001A31BB">
        <w:rPr>
          <w:rFonts w:ascii="Calibri" w:hAnsi="Calibri" w:cs="Calibri"/>
        </w:rPr>
        <w:t>[82]</w:t>
      </w:r>
      <w:r w:rsidR="00054763">
        <w:rPr>
          <w:bCs/>
        </w:rPr>
        <w:fldChar w:fldCharType="end"/>
      </w:r>
      <w:r w:rsidR="00FB67BB">
        <w:rPr>
          <w:bCs/>
        </w:rPr>
        <w:t>.</w:t>
      </w:r>
      <w:r w:rsidR="00D24316" w:rsidRPr="00076F13">
        <w:rPr>
          <w:bCs/>
        </w:rPr>
        <w:t xml:space="preserve"> However, studies have shown that psychological factors can modulate the development of central sensitization in humans, </w:t>
      </w:r>
      <w:r w:rsidR="00D24316" w:rsidRPr="00034420">
        <w:rPr>
          <w:bCs/>
        </w:rPr>
        <w:t>indicating that it is not entirely impervious to cognitive influences</w:t>
      </w:r>
      <w:r w:rsidR="00E018AB">
        <w:rPr>
          <w:bCs/>
        </w:rPr>
        <w:t xml:space="preserve"> </w:t>
      </w:r>
      <w:r w:rsidR="00E018AB">
        <w:rPr>
          <w:bCs/>
        </w:rPr>
        <w:fldChar w:fldCharType="begin"/>
      </w:r>
      <w:r w:rsidR="0019418B">
        <w:rPr>
          <w:bCs/>
        </w:rPr>
        <w:instrText xml:space="preserve"> ADDIN ZOTERO_ITEM CSL_CITATION {"citationID":"6ZgTCCBA","properties":{"formattedCitation":"[23,30,43,58,67,69,76]","plainCitation":"[23,30,43,58,67,69,76]","noteIndex":0},"citationItems":[{"id":537,"uris":["http://zotero.org/users/9378318/items/8I4B3XBU"],"itemData":{"id":537,"type":"article-journal","abstract":"Intense or sustained activation of peripheral nociceptors can induce central sensitization. This enhanced responsiveness to nociceptive input of the central nervous system primarily manifests as an increased sensitivity to painful mechanical pinprick stimuli extending beyond the site of injury (secondary mechanical hyperalgesia) and is thought to be a key mechanism in the development of chronic pain, such as persistent post-operative pain. It is increasingly recognized that emotional and cognitive factors can strongly inﬂuence the pain experience. Furthermore, through their potential effects on pain modulation circuits including descending pathways to the spinal cord, it has been hypothesized that these emotional and cognitive factors could constitute risk factors for the susceptibility to develop chronic pain. Here, we tested whether, in healthy volunteers, the experimental induction of central sensitization by peripheral nociceptive input can be modulated by selective spatial attention. While participants performed a somatosensory detection task that required focusing attention towards one of the forearms, secondary hyperalgesia was induced at both forearms using bilateral and simultaneous high-frequency electrical stimulation (HFS) of the skin. HFS induced an increased sensitivity to mechanical pinprick stimuli at both forearms, directly (T1) and 20 min (T2) after HFS, conﬁrming the successful induction of secondary hyperalgesia at both forearms. Most importantly, at T2, the HFSinduced increase in pinprick sensitivity as well as the area of secondary hyperalgesia was greater at the attended arm as compared to the non-attended arm. This indicates that top-down attentional factors can modulate the development of central sensitization by peripheral nociceptive input, and that the focus of spatial attention, besides its modulatory effects on perception, can affect activity-dependent neuroplasticity.","container-title":"Cortex","DOI":"10.1016/j.cortex.2019.11.014","ISSN":"00109452","journalAbbreviation":"Cortex","language":"en","page":"193-203","source":"DOI.org (Crossref)","title":"The focus of spatial attention during the induction of central sensitization can modulate the subsequent development of secondary hyperalgesia","volume":"124","author":[{"family":"Filbrich","given":"Lieve"},{"family":"Broeke","given":"Emanuel N.","non-dropping-particle":"van den"},{"family":"Legrain","given":"Valéry"},{"family":"Mouraux","given":"André"}],"issued":{"date-parts":[["2020",3]]}}},{"id":1864,"uris":["http://zotero.org/users/9378318/items/YE9878IG"],"itemData":{"id":1864,"type":"article-journal","abstract":"Social support has been shown to reduce pain ratings and physiological responses to acute pain stimuli. Furthermore, this relationship is moderated by adult attachment styles. However, these effects have not been characterized in experimentally induced symptoms of chronic pain, such as secondary hyperalgesia (SH) which is characterized by an increased sensitivity of the skin surrounding an injury. We aimed to examine whether social support by handholding from a romantic partner can attenuate the development of experimentally induced SH. Thirty-seven women, along with their partners, participated in 2 experimental sessions 1 week apart. In both sessions, SH was induced using an electrical stimulation protocol. In the support condition, the partner was seated across from the participant holding the participant’s hand during the electrical stimulation, whereas in the alone condition, the participant went through the stimulation alone. Heart rate variability was measured for both the participant as well as the partner before, during, and after the stimulation. We found that the width of the area of hyperalgesia was significantly smaller in the support condition. Attachment styles did not moderate this effect of social support on the area width. Increasing attachment avoidance was associated with both a smaller width of hyperalgesia and a smaller increase in the sensitivity on the stimulated arm. For the first time, we show that social support can attenuate the development of secondary hyperalgesia and that attachment avoidance may be associated with an attenuated development of secondary hyperalgesia.","container-title":"Pain","DOI":"10.1097/j.pain.0000000000002971","ISSN":"0304-3959, 1872-6623","journalAbbreviation":"Pain","language":"en","source":"DOI.org (Crossref)","title":"The impact of the social context on the development of secondary hyperalgesia: an experimental study","title-short":"The impact of the social context on the development of secondary hyperalgesia","URL":"https://journals.lww.com/10.1097/j.pain.0000000000002971","author":[{"family":"Jaltare","given":"Ketan Prafull"},{"family":"Vanderijst","given":"Laetitia"},{"family":"Karos","given":"Kai"},{"family":"Torta","given":"Diana M."}],"accessed":{"date-parts":[["2023",7,18]]},"issued":{"date-parts":[["2023",7,10]]}}},{"id":115,"uris":["http://zotero.org/users/9378318/items/VFNDD7TL"],"itemData":{"id":115,"type":"article-journal","abstract":"Pain is an essential sensory modality, signaling injury or threat of injury. Pain perception depends on both biological and psychological factors. However, it is not known whether psychological factors modify spinal mechanisms or if its effect is limited to cortical processing. Here, we use a placebo analgesic model to show that psychological factors affect human spinal nociceptive processes. Mechanical hyperalgesia (hypersensitivity) after an injury is attributable to sensitized sensory neurons in the spinal cord. After a 5 min, 46°C heating of the skin, subjects developed areas of mechanical hyperalgesia. This area was smaller in a placebo condition compared with a baseline condition. This result suggests that placebo analgesia affects the spinal cord as well as supra-spinal pain mechanisms in humans and provides strong supporting evidence that placebo analgesia is not simply altered reporting behavior. Central sensitization is thought to mediate the exaggerated pain after innocuous sensory stimulation in several clinical pain conditions that follow trauma and nervous-system injury. These new data indicate that expectation about pain and analgesia is an important component of the cognitive control of central sensitization. Copyright © 2006 Society for Neuroscience.","container-title":"Journal of Neuroscience","DOI":"10.1523/JNEUROSCI.4218-05.2006","issue":"2","page":"559-563","title":"Placebo-induced changes in spinal cord pain processing","volume":"26","author":[{"family":"Matre","given":"Dagfinn"},{"family":"Casey","given":"Kenneth L."},{"family":"Knardahl","given":"Stein"}],"issued":{"date-parts":[["2006"]]}}},{"id":19,"uris":["http://zotero.org/users/9378318/items/DPKDYGSS"],"itemData":{"id":19,"type":"article-journal","abstract":"Repeated exposure to pain can result in sensitization of the central nervous system, enhancing subsequent pain and potentially leading to chronicity. The ability to reverse this sensitization in a top-down manner would be of tremendous clinical benefit, but the degree that this can be accomplished volitionally remains unknown. Here we investigated whether a brief (</w:instrText>
      </w:r>
      <w:r w:rsidR="0019418B">
        <w:rPr>
          <w:rFonts w:ascii="Cambria Math" w:hAnsi="Cambria Math" w:cs="Cambria Math"/>
          <w:bCs/>
        </w:rPr>
        <w:instrText>∼</w:instrText>
      </w:r>
      <w:r w:rsidR="0019418B">
        <w:rPr>
          <w:bCs/>
        </w:rPr>
        <w:instrText xml:space="preserve">5 min) cognitive-behavioural intervention could modify pain perception and reduce central sensitization (as reflected by secondary hyperalgesia). In each of 8 sessions, 2 groups of healthy human subjects received a series of painful thermal stimuli that resulted in secondary hyperalgesia. One group (regulate) was given brief pain-focused cognitive training at each session, while the other group (control) received a non-pain-focused intervention. The intervention selectively reduced pain unpleasantness but not pain intensity in the regulate group. Furthermore, secondary hyperalgesia was significantly reduced in the regulate group compared with the control group. Reduction in secondary hyperalgesia was associated with reduced pain catastrophizing, suggesting that changes in central sensitization are related to changes in pain-related cognitions. Thus, we demonstrate that central sensitization can be modified volitionally by altering pain-related thoughts. © 2014 International Association for the Study of Pain. Published by Elsevier B.V. All rights reserved.","container-title":"Pain","DOI":"10.1016/j.pain.2014.02.012","issue":"8","page":"1446-1452","title":"A brief cognitive-behavioural intervention for pain reduces secondary hyperalgesia","volume":"155","author":[{"family":"Salomons","given":"Tim V."},{"family":"Moayedi","given":"Massieh"},{"family":"Erpelding","given":"Nathalie"},{"family":"Davis","given":"Karen D."}],"issued":{"date-parts":[["2014"]]}}},{"id":48,"uris":["http://zotero.org/users/9378318/items/MH46BWD5"],"itemData":{"id":48,"type":"article-journal","abstract":"Whether, how, and which cognitive factors modulate the development of secondary hypersensitivity/hyperalgesia after central sensitization is not fully understood. Here, we tested, in 3 subsequent experiments, whether being engaged in non-pain-related cognitive demanding tasks: (1) lessens the amount of hypersensitivity developed after an experimental procedure sensitizing nociceptive pathways; and (2) modulates cortical responses to somatosensory stimuli (measured by electroencephalography, EEG). In the first experiment, we validated a novel model in humans using low-frequency stimulation of the skin and demonstrated that it was able to successfully induce hypersensitivity to mechanical pinprick stimuli in the area surrounding the sensitized site. In the second and third experiments, we engaged participants in tasks of increasing difficulty (the Eriksen Flanker Task in experiment 2, and a modified N-back task in experiment 3). We observed that hypersensitivity to mechanical stimuli still developed in experiment 2, that is, the pinprick stimuli applied on the sensitized arm were perceived as more intense after low-frequency stimulation. By contrast, no statistically significant enhancement of mechanical hypersensitivity was observed in experiment 3, indicating that, at the group level, being engaged in a difficult N-back task may interfere with the development of mechanical hypersensitivity. Contrary to previous studies, which have used different methods to induce sensitization, we did not observe any increase in the cortical response to somatosensory stimuli applied on the sensitized arm. We conclude that (1) the development of pinprick hypersensitivity is modulated by the concomitant execution of a difficult N-back task, and (2) the enhancement of cortical responses to somatosensory stimuli is related to the method used to induce central sensitization.","container-title":"Pain","DOI":"10.1097/j.pain.0000000000001841","ISSN":"0000000000","issue":"7","page":"1459-1469","title":"A highly cognitive demanding working memory task may prevent the development of nociceptive hypersensitivity","volume":"161","author":[{"family":"Torta","given":"Diana M."},{"family":"De Laurentis","given":"Martina"},{"family":"Eichin","given":"Katharina Naomi"},{"family":"Leupoldt","given":"Andreas","non-dropping-particle":"von"},{"family":"Broeke","given":"Emanuel N.","non-dropping-particle":"van den"},{"family":"Vlaeyen","given":"Johan W. S."}],"issued":{"date-parts":[["2020"]]}}},{"id":1628,"uris":["http://zotero.org/users/9378318/items/ZNMCRVFY"],"itemData":{"id":1628,"type":"article-journal","abstract":"It is unknown whether watching other people in high pain increases mechanical hypersensitivity induced by pain. We applied high-frequency electrical stimulation (HFS) on the skin of healthy volunteers to induce pinprick mechanical hypersensitivity. Before HFS participants were randomly allocated to 2 groups: in the low pain group, which was the control condition, they watched a model expressing and reporting lower pain scores, in the high pain group the model expressed and reported higher scores. The 2 videos were selected on the basis of a pilot/observational study that had been conducted before. We tested the differences in perceived intensity of the HFS procedure, in the development of hypersensitivity and the role of fear and empathy. The high pain group reported on average higher pain ratings during HFS. The perceived intensity of hypersensitivity, but not the unpleasantness or the length of the area was higher in the high pain group. Our results suggest that watching a person expressing more pain during HFS increases one’s own pain ratings during HFS and may weakly facilitate the development of secondary mechanical hypersensitivity, although this latter result needs replication.","container-title":"The Journal of Pain","DOI":"10.1016/j.jpain.2022.09.009","ISSN":"15265900","issue":"1","journalAbbreviation":"The Journal of Pain","language":"en","page":"167-177","source":"DOI.org (Crossref)","title":"The Effect of Observing High or Low Pain on the Development of Central Sensitization","volume":"24","author":[{"family":"Torta","given":"Diana M."},{"family":"Meyers","given":"Elke"},{"family":"Polleunis","given":"Klaartje"},{"family":"De Wolf","given":"Sarah"},{"family":"Meulders","given":"Ann"},{"family":"Van Den Broeke","given":"Emaneul N"}],"issued":{"date-parts":[["2023",1]]}}},{"id":100,"uris":["http://zotero.org/users/9378318/items/6DP3R9LR"],"itemData":{"id":100,"type":"article-journal","abstract":"Background: High-frequency electrical stimulation (HFS) of human skin induces not only an increased pain sensitivity in the conditioning area but also an increased pain sensitivity to mechanical punctate stimuli in the non-conditioned surrounding skin area. The aim of the present study was to investigate whether this heterotopically increased mechanical pain sensitivity can be facilitated through the induction of negative expectations. Methods: In two independent conditions [a nocebo (n = 15) and control condition (n = 15)], we applied mechanical pain stimuli before, directly after, 10 min and 20 min after HFS in the skin area surrounding the conditioning area, and measured the reported pain intensity [visual analogue scale (VAS)]. All subjects (of both conditions) received a written instruction about the HFS protocol, but only the instruction in the nocebo condition was extended by the following text (in Dutch): 'After the HFS, your skin will become more sensitive to the pinprick stimulation'. Results: Our results clearly show that induced expectations of increased mechanical pain sensitivity after HFS facilitates the reported pain intensity after HFS more than when no information is given. Conclusions: This study shows for the first time that brain mechanisms, via the induction of negative expectations, can facilitate heterotopic mechanical hyperalgesia after HFS of human skin. © 2013 European Pain Federation.","container-title":"European Journal of Pain (United Kingdom)","DOI":"10.1002/j.1532-2149.2013.00342.x","issue":"1","page":"86-91","title":"Negative expectations facilitate mechanical hyperalgesia after high-frequency electrical stimulation of human skin","volume":"18","author":[{"family":"Van Den Broeke","given":"E. N."},{"family":"Geene","given":"N."},{"family":"Van Rijn","given":"C. M."},{"family":"Wilder-Smith","given":"O. H. G."},{"family":"Oosterman","given":"J."}],"issued":{"date-parts":[["2014"]]}}}],"schema":"https://github.com/citation-style-language/schema/raw/master/csl-citation.json"} </w:instrText>
      </w:r>
      <w:r w:rsidR="00E018AB">
        <w:rPr>
          <w:bCs/>
        </w:rPr>
        <w:fldChar w:fldCharType="separate"/>
      </w:r>
      <w:r w:rsidR="001A31BB" w:rsidRPr="001A31BB">
        <w:rPr>
          <w:rFonts w:ascii="Calibri" w:hAnsi="Calibri" w:cs="Calibri"/>
        </w:rPr>
        <w:t>[23,30,43,58,67,69,76]</w:t>
      </w:r>
      <w:r w:rsidR="00E018AB">
        <w:rPr>
          <w:bCs/>
        </w:rPr>
        <w:fldChar w:fldCharType="end"/>
      </w:r>
      <w:r w:rsidR="0026496E">
        <w:rPr>
          <w:bCs/>
        </w:rPr>
        <w:t xml:space="preserve">. </w:t>
      </w:r>
      <w:r w:rsidR="00D27A1B">
        <w:rPr>
          <w:bCs/>
        </w:rPr>
        <w:t>In line</w:t>
      </w:r>
      <w:r w:rsidR="00CE3979">
        <w:rPr>
          <w:bCs/>
        </w:rPr>
        <w:t xml:space="preserve"> with th</w:t>
      </w:r>
      <w:r w:rsidR="0026496E">
        <w:rPr>
          <w:bCs/>
        </w:rPr>
        <w:t xml:space="preserve">is evidence, </w:t>
      </w:r>
      <w:r w:rsidR="00E85742">
        <w:rPr>
          <w:bCs/>
        </w:rPr>
        <w:t>w</w:t>
      </w:r>
      <w:r w:rsidR="00D24316">
        <w:rPr>
          <w:bCs/>
        </w:rPr>
        <w:t xml:space="preserve">e found that at a group level, the pain experienced during the sensitization procedure </w:t>
      </w:r>
      <w:r w:rsidR="006C06E8">
        <w:rPr>
          <w:bCs/>
        </w:rPr>
        <w:t>moderated</w:t>
      </w:r>
      <w:r w:rsidR="00D24316">
        <w:rPr>
          <w:bCs/>
        </w:rPr>
        <w:t xml:space="preserve"> the development of mechanical sensitivity. </w:t>
      </w:r>
      <w:r w:rsidR="00DA448A">
        <w:rPr>
          <w:rFonts w:cstheme="minorHAnsi"/>
          <w:color w:val="000000" w:themeColor="text1"/>
        </w:rPr>
        <w:t>A</w:t>
      </w:r>
      <w:r w:rsidR="00DA448A" w:rsidRPr="002E5E3B">
        <w:rPr>
          <w:rFonts w:cstheme="minorHAnsi"/>
          <w:color w:val="000000" w:themeColor="text1"/>
        </w:rPr>
        <w:t xml:space="preserve">lthough this result should be taken with caution since this evaluation was carried out </w:t>
      </w:r>
      <w:r w:rsidR="000F5E55" w:rsidRPr="002E5E3B">
        <w:rPr>
          <w:rFonts w:cstheme="minorHAnsi"/>
          <w:color w:val="000000" w:themeColor="text1"/>
        </w:rPr>
        <w:t>posterior</w:t>
      </w:r>
      <w:r w:rsidR="00102C34">
        <w:rPr>
          <w:rFonts w:cstheme="minorHAnsi"/>
          <w:color w:val="000000" w:themeColor="text1"/>
        </w:rPr>
        <w:t>ly</w:t>
      </w:r>
      <w:r w:rsidR="00DA448A">
        <w:rPr>
          <w:bCs/>
        </w:rPr>
        <w:t>,</w:t>
      </w:r>
      <w:r w:rsidR="0026496E">
        <w:rPr>
          <w:bCs/>
        </w:rPr>
        <w:t xml:space="preserve"> </w:t>
      </w:r>
      <w:r w:rsidR="00DA448A">
        <w:rPr>
          <w:bCs/>
        </w:rPr>
        <w:t>t</w:t>
      </w:r>
      <w:r w:rsidR="00D24316" w:rsidRPr="00CB0185">
        <w:rPr>
          <w:bCs/>
        </w:rPr>
        <w:t>his may suggest that since we were not able to manipulate the pain experienced during HF</w:t>
      </w:r>
      <w:r w:rsidR="0087652F">
        <w:rPr>
          <w:bCs/>
        </w:rPr>
        <w:t>S</w:t>
      </w:r>
      <w:r w:rsidR="00D24316" w:rsidRPr="00CB0185">
        <w:rPr>
          <w:bCs/>
        </w:rPr>
        <w:t>, we did not observe any difference in the amount of mechanical sensitivity developed</w:t>
      </w:r>
      <w:r w:rsidR="00D24316" w:rsidRPr="00AE1CF9">
        <w:rPr>
          <w:bCs/>
        </w:rPr>
        <w:t>.</w:t>
      </w:r>
      <w:r w:rsidR="00D24316">
        <w:rPr>
          <w:bCs/>
        </w:rPr>
        <w:t xml:space="preserve"> </w:t>
      </w:r>
      <w:r w:rsidR="00D24316" w:rsidRPr="00CC67CF">
        <w:rPr>
          <w:bCs/>
        </w:rPr>
        <w:t>This underlines that future studies should further investigate this phenomenon by developing theoretical models and experimental procedures specific to the potential cognitive modulation of central sensitization and the context in which it develops.</w:t>
      </w:r>
    </w:p>
    <w:p w14:paraId="19C30FED" w14:textId="0BA33A58" w:rsidR="000F5E55" w:rsidRPr="0020479B" w:rsidRDefault="00D80AA1" w:rsidP="00D80AA1">
      <w:pPr>
        <w:spacing w:after="0" w:line="480" w:lineRule="auto"/>
        <w:rPr>
          <w:b/>
          <w:i/>
          <w:iCs/>
        </w:rPr>
      </w:pPr>
      <w:r w:rsidRPr="0020479B">
        <w:rPr>
          <w:b/>
          <w:i/>
          <w:iCs/>
        </w:rPr>
        <w:t xml:space="preserve">Limitations </w:t>
      </w:r>
      <w:r w:rsidR="002F03D1" w:rsidRPr="0020479B">
        <w:rPr>
          <w:b/>
          <w:i/>
          <w:iCs/>
        </w:rPr>
        <w:t xml:space="preserve">and future directions </w:t>
      </w:r>
    </w:p>
    <w:p w14:paraId="034C064E" w14:textId="4FBBBDBA" w:rsidR="00025116" w:rsidRDefault="000B1355" w:rsidP="00555B7E">
      <w:pPr>
        <w:spacing w:after="0" w:line="480" w:lineRule="auto"/>
        <w:ind w:firstLine="720"/>
        <w:rPr>
          <w:rFonts w:cstheme="minorHAnsi"/>
          <w:color w:val="000000" w:themeColor="text1"/>
        </w:rPr>
      </w:pPr>
      <w:r w:rsidRPr="000B1355">
        <w:rPr>
          <w:bCs/>
        </w:rPr>
        <w:t>While our finding</w:t>
      </w:r>
      <w:r w:rsidR="00857E4B">
        <w:rPr>
          <w:bCs/>
        </w:rPr>
        <w:t>s</w:t>
      </w:r>
      <w:r w:rsidRPr="000B1355">
        <w:rPr>
          <w:bCs/>
        </w:rPr>
        <w:t xml:space="preserve"> may appear to support the </w:t>
      </w:r>
      <w:r w:rsidR="008272B3">
        <w:rPr>
          <w:bCs/>
          <w:color w:val="FF0000"/>
        </w:rPr>
        <w:t>the lack of evidence</w:t>
      </w:r>
      <w:r w:rsidRPr="000B1355">
        <w:rPr>
          <w:bCs/>
        </w:rPr>
        <w:t>, we recognize that there is still room for improvement and that future studies could build upon the limitations of our research.</w:t>
      </w:r>
      <w:r w:rsidR="00E37EBC">
        <w:rPr>
          <w:bCs/>
        </w:rPr>
        <w:t xml:space="preserve"> </w:t>
      </w:r>
      <w:r w:rsidR="00A73ED4">
        <w:rPr>
          <w:bCs/>
        </w:rPr>
        <w:t>First, d</w:t>
      </w:r>
      <w:r w:rsidR="001D1F10" w:rsidRPr="00E04187">
        <w:rPr>
          <w:bCs/>
        </w:rPr>
        <w:t>espite confirming that the difficult working memory (WM) task was more demanding</w:t>
      </w:r>
      <w:r w:rsidR="006B6A31">
        <w:rPr>
          <w:bCs/>
        </w:rPr>
        <w:t>,</w:t>
      </w:r>
      <w:r w:rsidR="00224039">
        <w:rPr>
          <w:bCs/>
        </w:rPr>
        <w:t xml:space="preserve"> </w:t>
      </w:r>
      <w:r w:rsidR="00BF3797">
        <w:rPr>
          <w:bCs/>
        </w:rPr>
        <w:t xml:space="preserve">than </w:t>
      </w:r>
      <w:r w:rsidR="001D1F10" w:rsidRPr="00E04187">
        <w:rPr>
          <w:bCs/>
        </w:rPr>
        <w:t>the easy task without WM, our finding revealed no significant difference in performance when high-frequency stimulation (HFS) was present or absent within the difficult task.</w:t>
      </w:r>
      <w:r w:rsidR="001D1F10">
        <w:rPr>
          <w:bCs/>
        </w:rPr>
        <w:t xml:space="preserve"> </w:t>
      </w:r>
      <w:r w:rsidR="004B6AC2" w:rsidRPr="00070F9C">
        <w:rPr>
          <w:rFonts w:cstheme="minorHAnsi"/>
        </w:rPr>
        <w:t>This</w:t>
      </w:r>
      <w:r w:rsidR="00727420">
        <w:rPr>
          <w:rFonts w:cstheme="minorHAnsi"/>
        </w:rPr>
        <w:t xml:space="preserve"> may s</w:t>
      </w:r>
      <w:r w:rsidR="004B6AC2" w:rsidRPr="00070F9C">
        <w:rPr>
          <w:rFonts w:cstheme="minorHAnsi"/>
        </w:rPr>
        <w:t xml:space="preserve">uggest that the </w:t>
      </w:r>
      <w:r w:rsidR="00727420">
        <w:rPr>
          <w:rFonts w:cstheme="minorHAnsi"/>
        </w:rPr>
        <w:t xml:space="preserve">short duration of the </w:t>
      </w:r>
      <w:r w:rsidR="004B6AC2" w:rsidRPr="00070F9C">
        <w:rPr>
          <w:rFonts w:cstheme="minorHAnsi"/>
        </w:rPr>
        <w:t>HFS stimuli did not significantly interfere with participants' ability to maintain attention on the task at hand</w:t>
      </w:r>
      <w:r w:rsidR="005725EA">
        <w:rPr>
          <w:rFonts w:cstheme="minorHAnsi"/>
        </w:rPr>
        <w:t xml:space="preserve"> </w:t>
      </w:r>
      <w:r w:rsidR="00DC09BE">
        <w:rPr>
          <w:rFonts w:cstheme="minorHAnsi"/>
        </w:rPr>
        <w:fldChar w:fldCharType="begin"/>
      </w:r>
      <w:r w:rsidR="0019418B">
        <w:rPr>
          <w:rFonts w:cstheme="minorHAnsi"/>
        </w:rPr>
        <w:instrText xml:space="preserve"> ADDIN ZOTERO_ITEM CSL_CITATION {"citationID":"npbDjsWZ","properties":{"formattedCitation":"[19]","plainCitation":"[19]","noteIndex":0},"citationItems":[{"id":496,"uris":["http://zotero.org/users/9378318/items/UNMIVVUT"],"itemData":{"id":496,"type":"article-journal","abstract":"Pain interrupts and demands attention. The authors review evidence for how and why  this interruption of attention is achieved. The interruptive function of pain depends on the relationship between pain-related characteristics (e.g., the threat value of pain) and the characteristics of the environmental demands (e.g., emotional arousal). A model of the interruptive function of pain is developed that holds that pain is selected for action from within complex affective and motivational environments to urge escape. The implications of this model for research and therapy are outlined with an emphasis on the redefinition of chronic pain as chronic interruption.","container-title":"Psychological bulletin","DOI":"10.1037/0033-2909.125.3.356","issue":"3","page":"356-366","title":"Pain demands attention: a cognitive-affective model of the interruptive function of pain.","volume":"125","author":[{"family":"Eccleston","given":"C."},{"family":"Crombez","given":"G."}],"issued":{"date-parts":[["1999"]]}}}],"schema":"https://github.com/citation-style-language/schema/raw/master/csl-citation.json"} </w:instrText>
      </w:r>
      <w:r w:rsidR="00DC09BE">
        <w:rPr>
          <w:rFonts w:cstheme="minorHAnsi"/>
        </w:rPr>
        <w:fldChar w:fldCharType="separate"/>
      </w:r>
      <w:r w:rsidR="001A31BB" w:rsidRPr="001A31BB">
        <w:rPr>
          <w:rFonts w:ascii="Calibri" w:hAnsi="Calibri" w:cs="Calibri"/>
        </w:rPr>
        <w:t>[19]</w:t>
      </w:r>
      <w:r w:rsidR="00DC09BE">
        <w:rPr>
          <w:rFonts w:cstheme="minorHAnsi"/>
        </w:rPr>
        <w:fldChar w:fldCharType="end"/>
      </w:r>
      <w:r w:rsidR="004B6AC2" w:rsidRPr="00070F9C">
        <w:rPr>
          <w:rFonts w:cstheme="minorHAnsi"/>
        </w:rPr>
        <w:t>.</w:t>
      </w:r>
      <w:r w:rsidR="00967D0E">
        <w:rPr>
          <w:rFonts w:cstheme="minorHAnsi"/>
        </w:rPr>
        <w:t xml:space="preserve"> </w:t>
      </w:r>
      <w:r w:rsidR="00A24468" w:rsidRPr="00BB4C8F">
        <w:rPr>
          <w:rFonts w:cstheme="minorHAnsi"/>
          <w:color w:val="000000" w:themeColor="text1"/>
        </w:rPr>
        <w:t xml:space="preserve">Although we attempted to create an attentional competition between HFS pulses and the working memory task, the short duration of HFS </w:t>
      </w:r>
      <w:r w:rsidR="00C61B98">
        <w:rPr>
          <w:rFonts w:cstheme="minorHAnsi"/>
          <w:color w:val="000000" w:themeColor="text1"/>
        </w:rPr>
        <w:t>trains</w:t>
      </w:r>
      <w:r w:rsidR="00C61B98" w:rsidRPr="00BB4C8F">
        <w:rPr>
          <w:rFonts w:cstheme="minorHAnsi"/>
          <w:color w:val="000000" w:themeColor="text1"/>
        </w:rPr>
        <w:t xml:space="preserve"> </w:t>
      </w:r>
      <w:r w:rsidR="00A24468" w:rsidRPr="00BB4C8F">
        <w:rPr>
          <w:rFonts w:cstheme="minorHAnsi"/>
          <w:color w:val="000000" w:themeColor="text1"/>
        </w:rPr>
        <w:t>may have allowed participants to focus on both</w:t>
      </w:r>
      <w:r w:rsidR="004B6AC2" w:rsidRPr="00070F9C">
        <w:rPr>
          <w:rFonts w:cstheme="minorHAnsi"/>
        </w:rPr>
        <w:t xml:space="preserve">. </w:t>
      </w:r>
      <w:r w:rsidR="007D2411">
        <w:rPr>
          <w:rFonts w:cstheme="minorHAnsi"/>
        </w:rPr>
        <w:t xml:space="preserve">To this end, </w:t>
      </w:r>
      <w:r w:rsidR="007D2411">
        <w:rPr>
          <w:rFonts w:cstheme="minorHAnsi"/>
          <w:color w:val="000000" w:themeColor="text1"/>
        </w:rPr>
        <w:t>p</w:t>
      </w:r>
      <w:r w:rsidR="00C75521">
        <w:rPr>
          <w:rFonts w:cstheme="minorHAnsi"/>
          <w:color w:val="000000" w:themeColor="text1"/>
        </w:rPr>
        <w:t>revious studies</w:t>
      </w:r>
      <w:r w:rsidR="00981133">
        <w:rPr>
          <w:rFonts w:cstheme="minorHAnsi"/>
          <w:color w:val="000000" w:themeColor="text1"/>
        </w:rPr>
        <w:t xml:space="preserve"> </w:t>
      </w:r>
      <w:r w:rsidR="00025167">
        <w:rPr>
          <w:rFonts w:cstheme="minorHAnsi"/>
          <w:color w:val="000000" w:themeColor="text1"/>
        </w:rPr>
        <w:fldChar w:fldCharType="begin"/>
      </w:r>
      <w:r w:rsidR="0019418B">
        <w:rPr>
          <w:rFonts w:cstheme="minorHAnsi"/>
          <w:color w:val="000000" w:themeColor="text1"/>
        </w:rPr>
        <w:instrText xml:space="preserve"> ADDIN ZOTERO_ITEM CSL_CITATION {"citationID":"BSpsgwRF","properties":{"formattedCitation":"[19,60]","plainCitation":"[19,60]","noteIndex":0},"citationItems":[{"id":496,"uris":["http://zotero.org/users/9378318/items/UNMIVVUT"],"itemData":{"id":496,"type":"article-journal","abstract":"Pain interrupts and demands attention. The authors review evidence for how and why  this interruption of attention is achieved. The interruptive function of pain depends on the relationship between pain-related characteristics (e.g., the threat value of pain) and the characteristics of the environmental demands (e.g., emotional arousal). A model of the interruptive function of pain is developed that holds that pain is selected for action from within complex affective and motivational environments to urge escape. The implications of this model for research and therapy are outlined with an emphasis on the redefinition of chronic pain as chronic interruption.","container-title":"Psychological bulletin","DOI":"10.1037/0033-2909.125.3.356","issue":"3","page":"356-366","title":"Pain demands attention: a cognitive-affective model of the interruptive function of pain.","volume":"125","author":[{"family":"Eccleston","given":"C."},{"family":"Crombez","given":"G."}],"issued":{"date-parts":[["1999"]]}}},{"id":1917,"uris":["http://zotero.org/users/9378318/items/T8PQQGYP"],"itemData":{"id":1917,"type":"article-journal","container-title":"PLOS ONE","DOI":"10.1371/journal.pone.0118363","ISSN":"1932-6203","issue":"2","journalAbbreviation":"PLoS ONE","language":"en","page":"e0118363","source":"DOI.org (Crossref)","title":"Phasic and Tonic Pain Differentially Impact the Interruptive Function of Pain","volume":"10","author":[{"family":"Sinke","given":"Christopher"},{"family":"Schmidt","given":"Katharina"},{"family":"Forkmann","given":"Katarina"},{"family":"Bingel","given":"Ulrike"}],"editor":[{"family":"Longo","given":"Matthew"}],"issued":{"date-parts":[["2015",2,19]]}}}],"schema":"https://github.com/citation-style-language/schema/raw/master/csl-citation.json"} </w:instrText>
      </w:r>
      <w:r w:rsidR="00025167">
        <w:rPr>
          <w:rFonts w:cstheme="minorHAnsi"/>
          <w:color w:val="000000" w:themeColor="text1"/>
        </w:rPr>
        <w:fldChar w:fldCharType="separate"/>
      </w:r>
      <w:r w:rsidR="001A31BB" w:rsidRPr="001A31BB">
        <w:rPr>
          <w:rFonts w:ascii="Calibri" w:hAnsi="Calibri" w:cs="Calibri"/>
        </w:rPr>
        <w:t>[19,60]</w:t>
      </w:r>
      <w:r w:rsidR="00025167">
        <w:rPr>
          <w:rFonts w:cstheme="minorHAnsi"/>
          <w:color w:val="000000" w:themeColor="text1"/>
        </w:rPr>
        <w:fldChar w:fldCharType="end"/>
      </w:r>
      <w:r w:rsidR="000B5D58">
        <w:rPr>
          <w:rFonts w:cstheme="minorHAnsi"/>
          <w:color w:val="000000" w:themeColor="text1"/>
        </w:rPr>
        <w:t xml:space="preserve"> </w:t>
      </w:r>
      <w:r w:rsidR="00C75521">
        <w:rPr>
          <w:rFonts w:cstheme="minorHAnsi"/>
          <w:color w:val="000000" w:themeColor="text1"/>
        </w:rPr>
        <w:t xml:space="preserve">suggest </w:t>
      </w:r>
      <w:r w:rsidR="00C75521" w:rsidRPr="00806D8E">
        <w:rPr>
          <w:rFonts w:cstheme="minorHAnsi"/>
          <w:color w:val="000000" w:themeColor="text1"/>
        </w:rPr>
        <w:t xml:space="preserve">that </w:t>
      </w:r>
      <w:r w:rsidR="00C75521">
        <w:rPr>
          <w:rFonts w:cstheme="minorHAnsi"/>
          <w:color w:val="000000" w:themeColor="text1"/>
        </w:rPr>
        <w:t xml:space="preserve">long </w:t>
      </w:r>
      <w:r w:rsidR="00C75521" w:rsidRPr="00806D8E">
        <w:rPr>
          <w:rFonts w:cstheme="minorHAnsi"/>
          <w:color w:val="000000" w:themeColor="text1"/>
        </w:rPr>
        <w:t xml:space="preserve">painful stimulation </w:t>
      </w:r>
      <w:r w:rsidR="00C75521">
        <w:rPr>
          <w:rFonts w:cstheme="minorHAnsi"/>
          <w:color w:val="000000" w:themeColor="text1"/>
        </w:rPr>
        <w:t>more than short painful stimuli</w:t>
      </w:r>
      <w:r w:rsidR="007D2411">
        <w:rPr>
          <w:rFonts w:cstheme="minorHAnsi"/>
          <w:color w:val="000000" w:themeColor="text1"/>
        </w:rPr>
        <w:t xml:space="preserve"> (such as HFS) </w:t>
      </w:r>
      <w:r w:rsidR="00C75521" w:rsidRPr="00806D8E">
        <w:rPr>
          <w:rFonts w:cstheme="minorHAnsi"/>
          <w:color w:val="000000" w:themeColor="text1"/>
        </w:rPr>
        <w:t>can lead to increased interference with attention and working memory tasks</w:t>
      </w:r>
      <w:r w:rsidR="00C75521">
        <w:rPr>
          <w:rFonts w:cstheme="minorHAnsi"/>
          <w:color w:val="000000" w:themeColor="text1"/>
        </w:rPr>
        <w:t>.</w:t>
      </w:r>
      <w:r w:rsidR="00C75521" w:rsidRPr="00806D8E">
        <w:rPr>
          <w:rFonts w:cstheme="minorHAnsi"/>
          <w:color w:val="000000" w:themeColor="text1"/>
        </w:rPr>
        <w:t xml:space="preserve"> </w:t>
      </w:r>
      <w:r w:rsidR="00EE659C" w:rsidRPr="00E04187">
        <w:rPr>
          <w:bCs/>
        </w:rPr>
        <w:t>This interference is believed to occur because attentional resources are directed towards the prolonged painful stimul</w:t>
      </w:r>
      <w:r w:rsidR="00556EE0">
        <w:rPr>
          <w:bCs/>
        </w:rPr>
        <w:t>us</w:t>
      </w:r>
      <w:r w:rsidR="00EE659C" w:rsidRPr="00E04187">
        <w:rPr>
          <w:bCs/>
        </w:rPr>
        <w:t>, thereby reducing the available resources for cognitive tasks</w:t>
      </w:r>
      <w:r w:rsidR="00AB69B1">
        <w:rPr>
          <w:bCs/>
        </w:rPr>
        <w:t xml:space="preserve"> </w:t>
      </w:r>
      <w:r w:rsidR="00AB69B1">
        <w:rPr>
          <w:bCs/>
        </w:rPr>
        <w:fldChar w:fldCharType="begin"/>
      </w:r>
      <w:r w:rsidR="0019418B">
        <w:rPr>
          <w:bCs/>
        </w:rPr>
        <w:instrText xml:space="preserve"> ADDIN ZOTERO_ITEM CSL_CITATION {"citationID":"FwvbbvBK","properties":{"formattedCitation":"[38,68]","plainCitation":"[38,68]","noteIndex":0},"citationItems":[{"id":"hB7whiFf/nAN9qWQv","uris":["http://zotero.org/users/9378318/items/SU4WZZSS"],"itemData":{"id":143,"type":"article-journal","container-title":"Pain","DOI":"10.1016/j.pain.2009.03.020","issue":"3","page":"230-232","title":"A neurocognitive model of attention to pain: Behavioral and neuroimaging evidence","volume":"144","author":[{"family":"Legrain","given":"Valéry"},{"family":"Damme","given":"Stefaan Van"},{"family":"Eccleston","given":"Christopher"},{"family":"Davis","given":"Karen D."},{"family":"Seminowicz","given":"David A."},{"family":"Crombez","given":"Geert"}],"issued":{"date-parts":[["2009"]]}}},{"id":364,"uris":["http://zotero.org/users/9378318/items/GBVQ97UH"],"itemData":{"id":364,"type":"article-journal","abstract":"Several studies have used neuroimaging techniques to investigate brain correlates of the attentional modulation of pain. Although these studies have advanced the knowledge in the field, important confounding factors such as imprecise theoretical definitions of attention, incomplete operationalization of the construct under exam, and limitations of techniques relying on measuring regional changes in cerebral blood flow have hampered the potential relevance of the conclusions. Here, we first provide an overview of the major theories of attention and of attention in the study of pain to bridge theory and experimental results. We conclude that load and motivational/affective theories are particularly relevant to study the attentional modulation of pain and should be carefully integrated in functional neuroimaging studies. Then, we summarize previous findings and discuss the possible neural correlates of the attentional modulation of pain. We discuss whether classical functional neuroimaging techniques are suitable to measure the effect of a fluctuating process like attention, and in which circumstances functional neuroimaging can be reliably used to measure the attentional modulation of pain. Finally, we argue that the analysis of brain networks and spontaneous oscillations may be a crucial future development in the study of attentional modulation of pain, and why the interplay between attention and pain, as examined so far, may rely on neural mechanisms shared with other sensory modalities.","container-title":"Cortex","DOI":"10.1016/j.cortex.2017.01.010","page":"120-134","title":"Attention to pain! A neurocognitive perspective on attentional modulation of pain in neuroimaging studies","volume":"89","author":[{"family":"Torta","given":"D. M."},{"family":"Legrain","given":"V."},{"family":"Mouraux","given":"A."},{"family":"Valentini","given":"E."}],"issued":{"date-parts":[["2017"]]}}}],"schema":"https://github.com/citation-style-language/schema/raw/master/csl-citation.json"} </w:instrText>
      </w:r>
      <w:r w:rsidR="00AB69B1">
        <w:rPr>
          <w:bCs/>
        </w:rPr>
        <w:fldChar w:fldCharType="separate"/>
      </w:r>
      <w:r w:rsidR="001A31BB" w:rsidRPr="001A31BB">
        <w:rPr>
          <w:rFonts w:ascii="Calibri" w:hAnsi="Calibri" w:cs="Calibri"/>
        </w:rPr>
        <w:t>[38,68]</w:t>
      </w:r>
      <w:r w:rsidR="00AB69B1">
        <w:rPr>
          <w:bCs/>
        </w:rPr>
        <w:fldChar w:fldCharType="end"/>
      </w:r>
      <w:r w:rsidR="00EE659C" w:rsidRPr="00E04187">
        <w:rPr>
          <w:bCs/>
        </w:rPr>
        <w:t>.</w:t>
      </w:r>
      <w:r w:rsidR="00327E74">
        <w:rPr>
          <w:bCs/>
        </w:rPr>
        <w:t xml:space="preserve"> </w:t>
      </w:r>
      <w:r w:rsidR="00556EE0">
        <w:rPr>
          <w:bCs/>
        </w:rPr>
        <w:t>Translated</w:t>
      </w:r>
      <w:r w:rsidR="00327E74">
        <w:rPr>
          <w:bCs/>
        </w:rPr>
        <w:t xml:space="preserve"> to our study, this would imply </w:t>
      </w:r>
      <w:r w:rsidR="009324B5">
        <w:rPr>
          <w:bCs/>
        </w:rPr>
        <w:lastRenderedPageBreak/>
        <w:t xml:space="preserve">that </w:t>
      </w:r>
      <w:r w:rsidR="009324B5">
        <w:rPr>
          <w:rFonts w:cstheme="minorHAnsi"/>
        </w:rPr>
        <w:t>the</w:t>
      </w:r>
      <w:r w:rsidR="00F70EFF" w:rsidRPr="00070F9C">
        <w:rPr>
          <w:rFonts w:cstheme="minorHAnsi"/>
        </w:rPr>
        <w:t xml:space="preserve"> short duration of HFS may have allowed participants to quickly refocus their attention back </w:t>
      </w:r>
      <w:r w:rsidR="00395960">
        <w:rPr>
          <w:rFonts w:cstheme="minorHAnsi"/>
        </w:rPr>
        <w:t>on</w:t>
      </w:r>
      <w:r w:rsidR="00F70EFF" w:rsidRPr="00070F9C">
        <w:rPr>
          <w:rFonts w:cstheme="minorHAnsi"/>
        </w:rPr>
        <w:t xml:space="preserve"> the task</w:t>
      </w:r>
      <w:r w:rsidR="00AB6E12">
        <w:rPr>
          <w:rFonts w:cstheme="minorHAnsi"/>
        </w:rPr>
        <w:t>.</w:t>
      </w:r>
      <w:r w:rsidR="00F70EFF" w:rsidRPr="00070F9C">
        <w:rPr>
          <w:rFonts w:cstheme="minorHAnsi"/>
        </w:rPr>
        <w:t xml:space="preserve"> </w:t>
      </w:r>
      <w:r w:rsidR="007D6F2C" w:rsidRPr="00E04187">
        <w:rPr>
          <w:bCs/>
        </w:rPr>
        <w:t>Nevertheless, the self-reported data indicated that a significant number of participants in the difficult task condition perceived their performance to be better without HFS. This suggests a common belief that painful stimuli can disrupt performance, even though this may not always be the case</w:t>
      </w:r>
      <w:r w:rsidR="00395960">
        <w:rPr>
          <w:bCs/>
        </w:rPr>
        <w:t xml:space="preserve"> </w:t>
      </w:r>
      <w:r w:rsidR="00100E0A">
        <w:rPr>
          <w:bCs/>
        </w:rPr>
        <w:fldChar w:fldCharType="begin"/>
      </w:r>
      <w:r w:rsidR="0019418B">
        <w:rPr>
          <w:bCs/>
        </w:rPr>
        <w:instrText xml:space="preserve"> ADDIN ZOTERO_ITEM CSL_CITATION {"citationID":"OLTNPqEx","properties":{"formattedCitation":"[79]","plainCitation":"[79]","noteIndex":0},"citationItems":[{"id":1921,"uris":["http://zotero.org/users/9378318/items/W7LRCV8I"],"itemData":{"id":1921,"type":"article-journal","abstract":"The effect of pain processing on attention capacity during visual search was examined in 2 experiments. In the ﬁrst experiment, we investigated whether pain draws on the same limited resources as attentional task performance. It was hypothesized that pain would negatively affect task performance under different load manipulations. Low and high load conditions of a visual search task were presented in a mixed design combined with a painfully cold or neutral cold pressor test. Performance was not affected by pain. In experiment 2, low and high load conditions were separated in different blocks to study whether pain perception was affected when task load could be anticipated. Again, pain did not signiﬁcantly affect task performance. In contrast, subjective pain intensity scores were signiﬁcantly lower after performing the high load compared with the low load condition. Simultaneous recordings of event-related potentials indicated an increased negativity during the pain compared with the control condition. Also, in the early (350 to 450 msec) interval of event-related potentials, an increase in negativity was found for the high load compared with the low load condition. Topographic distributions suggested that pain and task load are mediated by qualitatively different resources.","container-title":"The Journal of Pain","DOI":"10.1016/j.jpain.2005.06.003","ISSN":"15265900","issue":"1","journalAbbreviation":"The Journal of Pain","language":"en","page":"11-20","source":"DOI.org (Crossref)","title":"Pain and Attention: Attentional Disruption or Distraction?","title-short":"Pain and Attention","volume":"7","author":[{"family":"Veldhuijzen","given":"Dieuwke S."},{"family":"Kenemans","given":"J. Leon"},{"family":"De Bruin","given":"C. Martine"},{"family":"Olivier","given":"Berend"},{"family":"Volkerts","given":"Edmund R."}],"issued":{"date-parts":[["2006",1]]}}}],"schema":"https://github.com/citation-style-language/schema/raw/master/csl-citation.json"} </w:instrText>
      </w:r>
      <w:r w:rsidR="00100E0A">
        <w:rPr>
          <w:bCs/>
        </w:rPr>
        <w:fldChar w:fldCharType="separate"/>
      </w:r>
      <w:r w:rsidR="001A31BB" w:rsidRPr="001A31BB">
        <w:rPr>
          <w:rFonts w:ascii="Calibri" w:hAnsi="Calibri" w:cs="Calibri"/>
        </w:rPr>
        <w:t>[79]</w:t>
      </w:r>
      <w:r w:rsidR="00100E0A">
        <w:rPr>
          <w:bCs/>
        </w:rPr>
        <w:fldChar w:fldCharType="end"/>
      </w:r>
      <w:r w:rsidR="007D6F2C" w:rsidRPr="00E04187">
        <w:rPr>
          <w:bCs/>
        </w:rPr>
        <w:t>.</w:t>
      </w:r>
      <w:bookmarkStart w:id="23" w:name="_Hlk134024775"/>
      <w:r w:rsidR="007D6F2C">
        <w:rPr>
          <w:bCs/>
        </w:rPr>
        <w:t xml:space="preserve"> </w:t>
      </w:r>
      <w:r w:rsidR="00442D5F">
        <w:rPr>
          <w:bCs/>
        </w:rPr>
        <w:t>In</w:t>
      </w:r>
      <w:r w:rsidR="00DC0FDA" w:rsidRPr="00DC0FDA">
        <w:rPr>
          <w:bCs/>
          <w:lang w:val="en-GB"/>
        </w:rPr>
        <w:t xml:space="preserve"> this regard, Sinke et al., </w:t>
      </w:r>
      <w:r w:rsidR="003329D8">
        <w:rPr>
          <w:bCs/>
          <w:lang w:val="en-GB"/>
        </w:rPr>
        <w:fldChar w:fldCharType="begin"/>
      </w:r>
      <w:r w:rsidR="0019418B">
        <w:rPr>
          <w:bCs/>
          <w:lang w:val="en-GB"/>
        </w:rPr>
        <w:instrText xml:space="preserve"> ADDIN ZOTERO_ITEM CSL_CITATION {"citationID":"UtcZtEML","properties":{"formattedCitation":"[60]","plainCitation":"[60]","noteIndex":0},"citationItems":[{"id":1917,"uris":["http://zotero.org/users/9378318/items/T8PQQGYP"],"itemData":{"id":1917,"type":"article-journal","container-title":"PLOS ONE","DOI":"10.1371/journal.pone.0118363","ISSN":"1932-6203","issue":"2","journalAbbreviation":"PLoS ONE","language":"en","page":"e0118363","source":"DOI.org (Crossref)","title":"Phasic and Tonic Pain Differentially Impact the Interruptive Function of Pain","volume":"10","author":[{"family":"Sinke","given":"Christopher"},{"family":"Schmidt","given":"Katharina"},{"family":"Forkmann","given":"Katarina"},{"family":"Bingel","given":"Ulrike"}],"editor":[{"family":"Longo","given":"Matthew"}],"issued":{"date-parts":[["2015",2,19]]}}}],"schema":"https://github.com/citation-style-language/schema/raw/master/csl-citation.json"} </w:instrText>
      </w:r>
      <w:r w:rsidR="003329D8">
        <w:rPr>
          <w:bCs/>
          <w:lang w:val="en-GB"/>
        </w:rPr>
        <w:fldChar w:fldCharType="separate"/>
      </w:r>
      <w:r w:rsidR="001A31BB" w:rsidRPr="001A31BB">
        <w:rPr>
          <w:rFonts w:ascii="Calibri" w:hAnsi="Calibri" w:cs="Calibri"/>
        </w:rPr>
        <w:t>[60]</w:t>
      </w:r>
      <w:r w:rsidR="003329D8">
        <w:rPr>
          <w:bCs/>
          <w:lang w:val="en-GB"/>
        </w:rPr>
        <w:fldChar w:fldCharType="end"/>
      </w:r>
      <w:r w:rsidR="003329D8">
        <w:rPr>
          <w:bCs/>
          <w:lang w:val="en-GB"/>
        </w:rPr>
        <w:t xml:space="preserve"> </w:t>
      </w:r>
      <w:r w:rsidR="00C311E9" w:rsidRPr="00DC0FDA">
        <w:rPr>
          <w:bCs/>
          <w:lang w:val="en-GB"/>
        </w:rPr>
        <w:t>showed</w:t>
      </w:r>
      <w:r w:rsidR="00DC0FDA" w:rsidRPr="00DC0FDA">
        <w:rPr>
          <w:bCs/>
          <w:lang w:val="en-GB"/>
        </w:rPr>
        <w:t xml:space="preserve"> that participants' expectation</w:t>
      </w:r>
      <w:r w:rsidR="00735BAF">
        <w:rPr>
          <w:bCs/>
          <w:lang w:val="en-GB"/>
        </w:rPr>
        <w:t>s</w:t>
      </w:r>
      <w:r w:rsidR="00DC0FDA" w:rsidRPr="00DC0FDA">
        <w:rPr>
          <w:bCs/>
          <w:lang w:val="en-GB"/>
        </w:rPr>
        <w:t xml:space="preserve"> of the pain's impact on their performance correlated with their working memory performance</w:t>
      </w:r>
      <w:r w:rsidR="00C668BB">
        <w:rPr>
          <w:bCs/>
          <w:lang w:val="en-GB"/>
        </w:rPr>
        <w:t xml:space="preserve">. </w:t>
      </w:r>
      <w:r w:rsidR="003860BA" w:rsidRPr="003860BA">
        <w:rPr>
          <w:bCs/>
          <w:lang w:val="en-GB"/>
        </w:rPr>
        <w:t xml:space="preserve">This finding indicates that the anticipation or expectation of pain can also influence cognitive functioning. Consequently, solely examining </w:t>
      </w:r>
      <w:r w:rsidR="00442D5F">
        <w:rPr>
          <w:bCs/>
          <w:lang w:val="en-GB"/>
        </w:rPr>
        <w:t xml:space="preserve">the </w:t>
      </w:r>
      <w:r w:rsidR="003860BA" w:rsidRPr="003860BA">
        <w:rPr>
          <w:bCs/>
          <w:lang w:val="en-GB"/>
        </w:rPr>
        <w:t xml:space="preserve">accuracy </w:t>
      </w:r>
      <w:r w:rsidR="00102C34">
        <w:rPr>
          <w:bCs/>
          <w:lang w:val="en-GB"/>
        </w:rPr>
        <w:t>of</w:t>
      </w:r>
      <w:r w:rsidR="003860BA" w:rsidRPr="003860BA">
        <w:rPr>
          <w:bCs/>
          <w:lang w:val="en-GB"/>
        </w:rPr>
        <w:t xml:space="preserve"> the task may not be sufficient to determine the effectiveness of the attentional </w:t>
      </w:r>
      <w:r w:rsidR="003860BA" w:rsidRPr="002E1A73">
        <w:rPr>
          <w:bCs/>
          <w:color w:val="000000" w:themeColor="text1"/>
          <w:lang w:val="en-GB"/>
        </w:rPr>
        <w:t>manipulation</w:t>
      </w:r>
      <w:r w:rsidR="002E1A73">
        <w:rPr>
          <w:bCs/>
          <w:color w:val="000000" w:themeColor="text1"/>
          <w:lang w:val="en-GB"/>
        </w:rPr>
        <w:t xml:space="preserve">. </w:t>
      </w:r>
      <w:r w:rsidR="00270174" w:rsidRPr="002E1A73">
        <w:rPr>
          <w:bCs/>
          <w:color w:val="000000" w:themeColor="text1"/>
          <w:lang w:val="en-GB"/>
        </w:rPr>
        <w:t>Moreover</w:t>
      </w:r>
      <w:r w:rsidR="00270174">
        <w:rPr>
          <w:bCs/>
          <w:lang w:val="en-GB"/>
        </w:rPr>
        <w:t xml:space="preserve">, our </w:t>
      </w:r>
      <w:r w:rsidR="00C748D6" w:rsidRPr="00BB4C8F">
        <w:rPr>
          <w:rFonts w:cstheme="minorHAnsi"/>
          <w:color w:val="000000" w:themeColor="text1"/>
        </w:rPr>
        <w:t>finding</w:t>
      </w:r>
      <w:r w:rsidR="00442D5F">
        <w:rPr>
          <w:rFonts w:cstheme="minorHAnsi"/>
          <w:color w:val="000000" w:themeColor="text1"/>
        </w:rPr>
        <w:t>s</w:t>
      </w:r>
      <w:r w:rsidR="00C748D6" w:rsidRPr="00BB4C8F">
        <w:rPr>
          <w:rFonts w:cstheme="minorHAnsi"/>
          <w:color w:val="000000" w:themeColor="text1"/>
        </w:rPr>
        <w:t xml:space="preserve"> suggest that further research is needed to investigate the impact of HFS on cognitive processes and whether the duration and intensity of HFS can significantly disrupt attention to a task.</w:t>
      </w:r>
      <w:r w:rsidR="00C748D6">
        <w:rPr>
          <w:rFonts w:cstheme="minorHAnsi"/>
          <w:color w:val="000000" w:themeColor="text1"/>
        </w:rPr>
        <w:t xml:space="preserve"> </w:t>
      </w:r>
      <w:r w:rsidR="00470A29">
        <w:rPr>
          <w:rFonts w:cstheme="minorHAnsi"/>
          <w:color w:val="000000" w:themeColor="text1"/>
        </w:rPr>
        <w:t xml:space="preserve"> </w:t>
      </w:r>
    </w:p>
    <w:p w14:paraId="0BC2E644" w14:textId="2B1A278A" w:rsidR="001F736E" w:rsidRDefault="00A73ED4" w:rsidP="00014805">
      <w:pPr>
        <w:spacing w:line="480" w:lineRule="auto"/>
        <w:ind w:firstLine="720"/>
        <w:rPr>
          <w:bCs/>
        </w:rPr>
      </w:pPr>
      <w:r>
        <w:rPr>
          <w:bCs/>
          <w:lang w:val="en-GB"/>
        </w:rPr>
        <w:t>Secondly</w:t>
      </w:r>
      <w:r w:rsidR="001F736E" w:rsidRPr="001F736E">
        <w:rPr>
          <w:bCs/>
        </w:rPr>
        <w:t xml:space="preserve">, we found that </w:t>
      </w:r>
      <w:r w:rsidR="00B32FE4">
        <w:rPr>
          <w:bCs/>
        </w:rPr>
        <w:t xml:space="preserve">the two </w:t>
      </w:r>
      <w:r w:rsidR="001F736E" w:rsidRPr="001F736E">
        <w:rPr>
          <w:bCs/>
        </w:rPr>
        <w:t>group</w:t>
      </w:r>
      <w:r w:rsidR="00025116">
        <w:rPr>
          <w:bCs/>
        </w:rPr>
        <w:t>s</w:t>
      </w:r>
      <w:r w:rsidR="001F736E" w:rsidRPr="001F736E">
        <w:rPr>
          <w:bCs/>
        </w:rPr>
        <w:t xml:space="preserve"> rated the HFS stimuli as </w:t>
      </w:r>
      <w:r w:rsidR="00185DD6">
        <w:rPr>
          <w:bCs/>
        </w:rPr>
        <w:t>similarly</w:t>
      </w:r>
      <w:r w:rsidR="001F736E" w:rsidRPr="001F736E">
        <w:rPr>
          <w:bCs/>
        </w:rPr>
        <w:t xml:space="preserve"> painful</w:t>
      </w:r>
      <w:r w:rsidR="00BC0099">
        <w:rPr>
          <w:bCs/>
        </w:rPr>
        <w:t xml:space="preserve"> </w:t>
      </w:r>
      <w:r w:rsidR="003140FC">
        <w:rPr>
          <w:bCs/>
        </w:rPr>
        <w:t xml:space="preserve">( similar results in </w:t>
      </w:r>
      <w:r w:rsidR="003140FC">
        <w:rPr>
          <w:bCs/>
        </w:rPr>
        <w:fldChar w:fldCharType="begin"/>
      </w:r>
      <w:r w:rsidR="0019418B">
        <w:rPr>
          <w:bCs/>
        </w:rPr>
        <w:instrText xml:space="preserve"> ADDIN ZOTERO_ITEM CSL_CITATION {"citationID":"eVSwCzIM","properties":{"formattedCitation":"[46]","plainCitation":"[46]","noteIndex":0},"citationItems":[{"id":1780,"uris":["http://zotero.org/users/9378318/items/H6PJX5D2"],"itemData":{"id":1780,"type":"article-journal","container-title":"The Journal of Pain","DOI":"10.1016/j.jpain.2023.05.016","ISSN":"15265900","journalAbbreviation":"The Journal of Pain","language":"en","page":"S152659002300425X","source":"DOI.org (Crossref)","title":"No Evidence that Working Memory Modulates the Plasticity of the Nociceptive System, as Measured by Secondary Mechanical Hypersensitivity","author":[{"family":"Meyers","given":"Elke"},{"family":"Alves","given":"Maryna"},{"family":"Teugels","given":"Anouk"},{"family":"Torta","given":"Diana M."}],"issued":{"date-parts":[["2023",6]]}}}],"schema":"https://github.com/citation-style-language/schema/raw/master/csl-citation.json"} </w:instrText>
      </w:r>
      <w:r w:rsidR="003140FC">
        <w:rPr>
          <w:bCs/>
        </w:rPr>
        <w:fldChar w:fldCharType="separate"/>
      </w:r>
      <w:r w:rsidR="001A31BB" w:rsidRPr="001A31BB">
        <w:rPr>
          <w:rFonts w:ascii="Calibri" w:hAnsi="Calibri" w:cs="Calibri"/>
        </w:rPr>
        <w:t>[46]</w:t>
      </w:r>
      <w:r w:rsidR="003140FC">
        <w:rPr>
          <w:bCs/>
        </w:rPr>
        <w:fldChar w:fldCharType="end"/>
      </w:r>
      <w:r w:rsidR="00E87F8D">
        <w:rPr>
          <w:bCs/>
        </w:rPr>
        <w:t>)</w:t>
      </w:r>
      <w:r w:rsidR="00BC0099">
        <w:rPr>
          <w:bCs/>
        </w:rPr>
        <w:t>.</w:t>
      </w:r>
      <w:r w:rsidR="00DA448A">
        <w:rPr>
          <w:bCs/>
        </w:rPr>
        <w:t xml:space="preserve"> This </w:t>
      </w:r>
      <w:r w:rsidR="006B26F9">
        <w:rPr>
          <w:bCs/>
        </w:rPr>
        <w:t xml:space="preserve">may suggest </w:t>
      </w:r>
      <w:r w:rsidR="001F736E" w:rsidRPr="001F736E">
        <w:rPr>
          <w:bCs/>
        </w:rPr>
        <w:t>that the salienc</w:t>
      </w:r>
      <w:r w:rsidR="00240FF9">
        <w:rPr>
          <w:bCs/>
        </w:rPr>
        <w:t>y</w:t>
      </w:r>
      <w:r w:rsidR="001F736E" w:rsidRPr="001F736E">
        <w:rPr>
          <w:bCs/>
        </w:rPr>
        <w:t xml:space="preserve"> of HFS may have </w:t>
      </w:r>
      <w:r w:rsidR="003941DA">
        <w:rPr>
          <w:bCs/>
        </w:rPr>
        <w:t>exceed</w:t>
      </w:r>
      <w:r w:rsidR="00F37D77">
        <w:rPr>
          <w:bCs/>
        </w:rPr>
        <w:t>ed</w:t>
      </w:r>
      <w:r w:rsidR="003941DA">
        <w:rPr>
          <w:bCs/>
        </w:rPr>
        <w:t xml:space="preserve"> </w:t>
      </w:r>
      <w:r w:rsidR="00F90704">
        <w:rPr>
          <w:bCs/>
        </w:rPr>
        <w:t xml:space="preserve">that of the </w:t>
      </w:r>
      <w:r w:rsidR="001F736E" w:rsidRPr="001F736E">
        <w:rPr>
          <w:bCs/>
        </w:rPr>
        <w:t xml:space="preserve">visual stimuli presented in the working memory task. </w:t>
      </w:r>
      <w:r w:rsidR="00ED4657" w:rsidRPr="00ED4657">
        <w:rPr>
          <w:rFonts w:cstheme="minorHAnsi"/>
          <w:color w:val="000000" w:themeColor="text1"/>
        </w:rPr>
        <w:t>Salience refers to a stimulus</w:t>
      </w:r>
      <w:r w:rsidR="00442D5F">
        <w:rPr>
          <w:rFonts w:cstheme="minorHAnsi"/>
          <w:color w:val="000000" w:themeColor="text1"/>
        </w:rPr>
        <w:t>’s</w:t>
      </w:r>
      <w:r w:rsidR="00ED4657" w:rsidRPr="00ED4657">
        <w:rPr>
          <w:rFonts w:cstheme="minorHAnsi"/>
          <w:color w:val="000000" w:themeColor="text1"/>
        </w:rPr>
        <w:t xml:space="preserve"> ability to stand out relative to other surrounding or preceding stimuli</w:t>
      </w:r>
      <w:r w:rsidR="00A26A65">
        <w:rPr>
          <w:rFonts w:cstheme="minorHAnsi"/>
          <w:color w:val="000000" w:themeColor="text1"/>
        </w:rPr>
        <w:t xml:space="preserve"> </w:t>
      </w:r>
      <w:r w:rsidR="00A26A65">
        <w:rPr>
          <w:rFonts w:cstheme="minorHAnsi"/>
          <w:color w:val="000000" w:themeColor="text1"/>
        </w:rPr>
        <w:fldChar w:fldCharType="begin"/>
      </w:r>
      <w:r w:rsidR="0019418B">
        <w:rPr>
          <w:rFonts w:cstheme="minorHAnsi"/>
          <w:color w:val="000000" w:themeColor="text1"/>
        </w:rPr>
        <w:instrText xml:space="preserve"> ADDIN ZOTERO_ITEM CSL_CITATION {"citationID":"zRsGptv1","properties":{"formattedCitation":"[40,85]","plainCitation":"[40,85]","noteIndex":0},"citationItems":[{"id":280,"uris":["http://zotero.org/users/9378318/items/26IKIIHN"],"itemData":{"id":280,"type":"article-journal","abstract":"Neuroimaging and neurophysiological studies have shown that nociceptive stimuli elicit responses in an extensive cortical network including somatosensory, insular and cingulate areas, as well as frontal and parietal areas. This network, often referred to as the \"pain matrix\", is viewed as representing the activity by which the intensity and unpleasantness of the percept elicited by a nociceptive stimulus are represented. However, recent experiments have reported (i) that pain intensity can be dissociated from the magnitude of responses in the \"pain matrix\", (ii) that the responses in the \"pain matrix\" are strongly influenced by the context within which the nociceptive stimuli appear, and (iii) that non-nociceptive stimuli can elicit cortical responses with a spatial configuration similar to that of the \"pain matrix\" For these reasons, we propose an alternative view of the functional significance of this cortical network, in which it reflects a system involved in detecting, orienting attention towards, and reacting to the occurrence of salient sensory events. This cortical network might represent a basic mechanism through which significant events for the body's integrity are detected, regardless of the sensory channel through which these events are conveyed. This function would involve the construction of a multimodal cortical representation of the body and nearby space. Under the assumption that this network acts as a defensive system signaling potentially damaging threats for the body, emphasis is no longer on the quality of the sensation elicited by noxious stimuli but on the action prompted by the occurrence of potential threats. © 2010.","container-title":"Progress in Neurobiology","DOI":"10.1016/j.pneurobio.2010.10.005","issue":"1","page":"111-124","title":"The pain matrix reloaded: A salience detection system for the body","volume":"93","author":[{"family":"Legrain","given":"Valéry"},{"family":"Iannetti","given":"Gian Domenico"},{"family":"Plaghki","given":"Léon"},{"family":"Mouraux","given":"André"}],"issued":{"date-parts":[["2011"]]}}},{"id":1572,"uris":["http://zotero.org/users/9378318/items/3EQCXRMQ"],"itemData":{"id":1572,"type":"article-journal","abstract":"Selective attention is an intrinsic component of perceptual representation in a visual system that is hierarchically organized. Modulatory signals originate in brain regions that represent behavioral goals; these signals specify which perceptual objects are to be represented by sensory neurons that are subject to contextual modulation. Attention can be deployed to spatial locations, features, or objects, and corresponding modulatory signals must be targeted within these domains. Open questions include how nonspatial perceptual domains are modulated by attention and how abstract goals are transformed into targeted modulatory signals.","container-title":"Current Directions in Psychological Science","DOI":"10.1111/j.1467-8721.2008.00554.x","ISSN":"0963-7214, 1467-8721","issue":"2","journalAbbreviation":"Curr Dir Psychol Sci","language":"en","page":"86-90","source":"DOI.org (Crossref)","title":"The Neural Basis of Selective Attention: Cortical Sources and Targets of Attentional Modulation","title-short":"The Neural Basis of Selective Attention","volume":"17","author":[{"family":"Yantis","given":"Steven"}],"issued":{"date-parts":[["2008",4]]}}}],"schema":"https://github.com/citation-style-language/schema/raw/master/csl-citation.json"} </w:instrText>
      </w:r>
      <w:r w:rsidR="00A26A65">
        <w:rPr>
          <w:rFonts w:cstheme="minorHAnsi"/>
          <w:color w:val="000000" w:themeColor="text1"/>
        </w:rPr>
        <w:fldChar w:fldCharType="separate"/>
      </w:r>
      <w:r w:rsidR="001A31BB" w:rsidRPr="001A31BB">
        <w:rPr>
          <w:rFonts w:ascii="Calibri" w:hAnsi="Calibri" w:cs="Calibri"/>
        </w:rPr>
        <w:t>[40,85]</w:t>
      </w:r>
      <w:r w:rsidR="00A26A65">
        <w:rPr>
          <w:rFonts w:cstheme="minorHAnsi"/>
          <w:color w:val="000000" w:themeColor="text1"/>
        </w:rPr>
        <w:fldChar w:fldCharType="end"/>
      </w:r>
      <w:r w:rsidR="00775FC6">
        <w:rPr>
          <w:rFonts w:cstheme="minorHAnsi"/>
          <w:color w:val="000000" w:themeColor="text1"/>
        </w:rPr>
        <w:t xml:space="preserve">. </w:t>
      </w:r>
      <w:r w:rsidR="000D3E47" w:rsidRPr="008E43C3">
        <w:rPr>
          <w:rFonts w:cstheme="minorHAnsi"/>
          <w:color w:val="000000" w:themeColor="text1"/>
        </w:rPr>
        <w:t>The intensity of a nociceptive stimulus contributes to increas</w:t>
      </w:r>
      <w:r w:rsidR="00775FC6">
        <w:rPr>
          <w:rFonts w:cstheme="minorHAnsi"/>
          <w:color w:val="000000" w:themeColor="text1"/>
        </w:rPr>
        <w:t>ing</w:t>
      </w:r>
      <w:r w:rsidR="000D3E47" w:rsidRPr="008E43C3">
        <w:rPr>
          <w:rFonts w:cstheme="minorHAnsi"/>
          <w:color w:val="000000" w:themeColor="text1"/>
        </w:rPr>
        <w:t xml:space="preserve"> its salience and </w:t>
      </w:r>
      <w:r w:rsidR="000D3E47">
        <w:rPr>
          <w:rFonts w:cstheme="minorHAnsi"/>
          <w:color w:val="000000" w:themeColor="text1"/>
        </w:rPr>
        <w:t>to mak</w:t>
      </w:r>
      <w:r w:rsidR="00FD6A4C">
        <w:rPr>
          <w:rFonts w:cstheme="minorHAnsi"/>
          <w:color w:val="000000" w:themeColor="text1"/>
        </w:rPr>
        <w:t>ing</w:t>
      </w:r>
      <w:r w:rsidR="000D3E47" w:rsidRPr="008E43C3">
        <w:rPr>
          <w:rFonts w:cstheme="minorHAnsi"/>
          <w:color w:val="000000" w:themeColor="text1"/>
        </w:rPr>
        <w:t xml:space="preserve"> it more disruptive. </w:t>
      </w:r>
      <w:r w:rsidR="001F736E" w:rsidRPr="001F736E">
        <w:rPr>
          <w:bCs/>
        </w:rPr>
        <w:t>If competition for attention between painful and non-painful stimuli</w:t>
      </w:r>
      <w:r w:rsidR="00DB130D">
        <w:rPr>
          <w:bCs/>
        </w:rPr>
        <w:t xml:space="preserve"> exists</w:t>
      </w:r>
      <w:r w:rsidR="00442D5F">
        <w:rPr>
          <w:bCs/>
        </w:rPr>
        <w:t xml:space="preserve"> </w:t>
      </w:r>
      <w:r w:rsidR="00F16F6E">
        <w:rPr>
          <w:bCs/>
        </w:rPr>
        <w:fldChar w:fldCharType="begin"/>
      </w:r>
      <w:r w:rsidR="0019418B">
        <w:rPr>
          <w:bCs/>
        </w:rPr>
        <w:instrText xml:space="preserve"> ADDIN ZOTERO_ITEM CSL_CITATION {"citationID":"cHtEpUUz","properties":{"formattedCitation":"[38,74]","plainCitation":"[38,74]","noteIndex":0},"citationItems":[{"id":"hB7whiFf/nAN9qWQv","uris":["http://zotero.org/users/9378318/items/SU4WZZSS"],"itemData":{"id":143,"type":"article-journal","container-title":"Pain","DOI":"10.1016/j.pain.2009.03.020","issue":"3","page":"230-232","title":"A neurocognitive model of attention to pain: Behavioral and neuroimaging evidence","volume":"144","author":[{"family":"Legrain","given":"Valéry"},{"family":"Damme","given":"Stefaan Van"},{"family":"Eccleston","given":"Christopher"},{"family":"Davis","given":"Karen D."},{"family":"Seminowicz","given":"David A."},{"family":"Crombez","given":"Geert"}],"issued":{"date-parts":[["2009"]]}}},{"id":23,"uris":["http://zotero.org/users/9378318/items/ESMNPKK8"],"itemData":{"id":23,"type":"article-journal","abstract":"Attention is a key concept in many theories of pain perception. A clinically popular idea is that pain is more intense in persons who are hypervigilant for or bias their attention to pain information. So far, evidence for such bias in pain patients as compared to healthy persons is inconclusive. Furthermore, studies investigating the effects of distracting attention away from pain have shown contradictory results. In this review, we present a motivational perspective on attentional processing of pain that accounts for these inconclusive research findings. We argue that pain always has to be considered within a context of goal pursuit. From this perspective, two largely unexplored theoretical assumptions are introduced. First, when pain occurs during the pursuit of a certain goal, it may unintentionally capture attention although it is not relevant for the goal. Whether such unintentional attentional capture happens is not only dependent upon the characteristics of the pain but also on the characteristics of the focal goal. Second, attention to pain and pain-related information might be driven by a focal goal related to pain. Attentional processing of pain information will be particularly enhanced when the focal goal is related to pain management (e.g., attempting to gain control). Future research should systematically investigate the role of motivation and goal pursuit in the attentional processing of pain-related information. This motivational perspective offers a powerful framework to explain inter- and intra-individual differences in the deployment of attention to pain-related information. © 2009 Elsevier Ltd. All rights reserved.","container-title":"Neuroscience and Biobehavioral Reviews","DOI":"10.1016/j.neubiorev.2009.01.005","issue":"2","page":"204-213","title":"Keeping pain in mind: A motivational account of attention to pain","volume":"34","author":[{"family":"Van Damme","given":"Stefaan"},{"family":"Legrain","given":"Valéry"},{"family":"Vogt","given":"Julia"},{"family":"Crombez","given":"Geert"}],"issued":{"date-parts":[["2010"]]}}}],"schema":"https://github.com/citation-style-language/schema/raw/master/csl-citation.json"} </w:instrText>
      </w:r>
      <w:r w:rsidR="00F16F6E">
        <w:rPr>
          <w:bCs/>
        </w:rPr>
        <w:fldChar w:fldCharType="separate"/>
      </w:r>
      <w:r w:rsidR="001A31BB" w:rsidRPr="001A31BB">
        <w:rPr>
          <w:rFonts w:ascii="Calibri" w:hAnsi="Calibri" w:cs="Calibri"/>
        </w:rPr>
        <w:t>[38,74]</w:t>
      </w:r>
      <w:r w:rsidR="00F16F6E">
        <w:rPr>
          <w:bCs/>
        </w:rPr>
        <w:fldChar w:fldCharType="end"/>
      </w:r>
      <w:r w:rsidR="001F736E" w:rsidRPr="001F736E">
        <w:rPr>
          <w:bCs/>
        </w:rPr>
        <w:t>, it is possible that the task demand alone w</w:t>
      </w:r>
      <w:r w:rsidR="00DB130D">
        <w:rPr>
          <w:bCs/>
        </w:rPr>
        <w:t>as</w:t>
      </w:r>
      <w:r w:rsidR="001F736E" w:rsidRPr="001F736E">
        <w:rPr>
          <w:bCs/>
        </w:rPr>
        <w:t xml:space="preserve"> not sufficient to fully direct all attentional resources towards the task, </w:t>
      </w:r>
      <w:r w:rsidR="00C94689" w:rsidRPr="00C94689">
        <w:rPr>
          <w:bCs/>
        </w:rPr>
        <w:t xml:space="preserve">especially considering the highly salient and painful nature of the HFS stimuli. </w:t>
      </w:r>
      <w:r w:rsidR="001F736E" w:rsidRPr="001F736E">
        <w:rPr>
          <w:bCs/>
        </w:rPr>
        <w:t>This aligns with the neurocognitive model of attention, which proposes that saliency plays a role in determining where attention is directed.</w:t>
      </w:r>
      <w:r w:rsidR="00EC02B8">
        <w:rPr>
          <w:bCs/>
        </w:rPr>
        <w:t xml:space="preserve"> </w:t>
      </w:r>
      <w:r w:rsidR="00361342" w:rsidRPr="00361342">
        <w:rPr>
          <w:bCs/>
        </w:rPr>
        <w:t xml:space="preserve">To enhance the relevance of the visual task and counteract the saliency of the painful stimuli, one potential solution could be to increase the perceived </w:t>
      </w:r>
      <w:r w:rsidR="009B53AA">
        <w:rPr>
          <w:bCs/>
        </w:rPr>
        <w:t xml:space="preserve">importance </w:t>
      </w:r>
      <w:r w:rsidR="00361342" w:rsidRPr="00361342">
        <w:rPr>
          <w:bCs/>
        </w:rPr>
        <w:t xml:space="preserve">or </w:t>
      </w:r>
      <w:r w:rsidR="00D95278">
        <w:rPr>
          <w:bCs/>
        </w:rPr>
        <w:t>relevance</w:t>
      </w:r>
      <w:r w:rsidR="00D95278" w:rsidRPr="00361342">
        <w:rPr>
          <w:bCs/>
        </w:rPr>
        <w:t xml:space="preserve"> </w:t>
      </w:r>
      <w:r w:rsidR="00361342" w:rsidRPr="00361342">
        <w:rPr>
          <w:bCs/>
        </w:rPr>
        <w:t>of the task</w:t>
      </w:r>
      <w:r w:rsidR="00615C96">
        <w:rPr>
          <w:bCs/>
        </w:rPr>
        <w:t xml:space="preserve"> </w:t>
      </w:r>
      <w:r w:rsidR="00615C96">
        <w:rPr>
          <w:bCs/>
        </w:rPr>
        <w:fldChar w:fldCharType="begin"/>
      </w:r>
      <w:r w:rsidR="0019418B">
        <w:rPr>
          <w:bCs/>
        </w:rPr>
        <w:instrText xml:space="preserve"> ADDIN ZOTERO_ITEM CSL_CITATION {"citationID":"HpRIWCGz","properties":{"formattedCitation":"[74]","plainCitation":"[74]","noteIndex":0},"citationItems":[{"id":23,"uris":["http://zotero.org/users/9378318/items/ESMNPKK8"],"itemData":{"id":23,"type":"article-journal","abstract":"Attention is a key concept in many theories of pain perception. A clinically popular idea is that pain is more intense in persons who are hypervigilant for or bias their attention to pain information. So far, evidence for such bias in pain patients as compared to healthy persons is inconclusive. Furthermore, studies investigating the effects of distracting attention away from pain have shown contradictory results. In this review, we present a motivational perspective on attentional processing of pain that accounts for these inconclusive research findings. We argue that pain always has to be considered within a context of goal pursuit. From this perspective, two largely unexplored theoretical assumptions are introduced. First, when pain occurs during the pursuit of a certain goal, it may unintentionally capture attention although it is not relevant for the goal. Whether such unintentional attentional capture happens is not only dependent upon the characteristics of the pain but also on the characteristics of the focal goal. Second, attention to pain and pain-related information might be driven by a focal goal related to pain. Attentional processing of pain information will be particularly enhanced when the focal goal is related to pain management (e.g., attempting to gain control). Future research should systematically investigate the role of motivation and goal pursuit in the attentional processing of pain-related information. This motivational perspective offers a powerful framework to explain inter- and intra-individual differences in the deployment of attention to pain-related information. © 2009 Elsevier Ltd. All rights reserved.","container-title":"Neuroscience and Biobehavioral Reviews","DOI":"10.1016/j.neubiorev.2009.01.005","issue":"2","page":"204-213","title":"Keeping pain in mind: A motivational account of attention to pain","volume":"34","author":[{"family":"Van Damme","given":"Stefaan"},{"family":"Legrain","given":"Valéry"},{"family":"Vogt","given":"Julia"},{"family":"Crombez","given":"Geert"}],"issued":{"date-parts":[["2010"]]}}}],"schema":"https://github.com/citation-style-language/schema/raw/master/csl-citation.json"} </w:instrText>
      </w:r>
      <w:r w:rsidR="00615C96">
        <w:rPr>
          <w:bCs/>
        </w:rPr>
        <w:fldChar w:fldCharType="separate"/>
      </w:r>
      <w:r w:rsidR="001A31BB" w:rsidRPr="001A31BB">
        <w:rPr>
          <w:rFonts w:ascii="Calibri" w:hAnsi="Calibri" w:cs="Calibri"/>
        </w:rPr>
        <w:t>[74]</w:t>
      </w:r>
      <w:r w:rsidR="00615C96">
        <w:rPr>
          <w:bCs/>
        </w:rPr>
        <w:fldChar w:fldCharType="end"/>
      </w:r>
      <w:r w:rsidR="00361342" w:rsidRPr="00361342">
        <w:rPr>
          <w:bCs/>
        </w:rPr>
        <w:t>.</w:t>
      </w:r>
      <w:r w:rsidR="00B65AA0">
        <w:rPr>
          <w:bCs/>
        </w:rPr>
        <w:t xml:space="preserve"> </w:t>
      </w:r>
      <w:r w:rsidR="00371B79" w:rsidRPr="00371B79">
        <w:rPr>
          <w:bCs/>
        </w:rPr>
        <w:t>According to Vogel et a</w:t>
      </w:r>
      <w:r w:rsidR="00D905A2">
        <w:rPr>
          <w:bCs/>
        </w:rPr>
        <w:t xml:space="preserve">l., </w:t>
      </w:r>
      <w:r w:rsidR="00D654CB">
        <w:rPr>
          <w:bCs/>
        </w:rPr>
        <w:fldChar w:fldCharType="begin"/>
      </w:r>
      <w:r w:rsidR="0019418B">
        <w:rPr>
          <w:bCs/>
        </w:rPr>
        <w:instrText xml:space="preserve"> ADDIN ZOTERO_ITEM CSL_CITATION {"citationID":"SFs5OUwa","properties":{"formattedCitation":"[81]","plainCitation":"[81]","noteIndex":0},"citationItems":[{"id":1219,"uris":["http://zotero.org/users/9378318/items/UR78RHDJ"],"itemData":{"id":1219,"type":"article-journal","abstract":"Introduction: Pain captures attention automatically, yet we can inhibit pain when we are motivated to perform other tasks. Previous studies show that engaging in a cognitively demanding task reduces pain compared with a task that is minimally demanding, yet the effects of motivation on this pain-reducing effect remain largely unexplored.\nObjectives: In this study, we hypothesized that motivating people to engage in a task with high demands would lead to more cognitive resources directed toward the task, thereby amplifying its pain-reducing effects.\nMethods: On different trials, participants performed an easy (left–right arrow discrimination) or demanding (2-back) cognitive task while receiving nonpainful or painful heat stimuli. In half of the trials, monetary rewards were offered to motivate participants to engage and perform well in the task.\nResults: Results showed an interaction between task demands and rewards, whereby offering rewards strengthened the painreducing effect of a distracting task when demands were high. This effect was reinforced by increased 2-back performance when rewards were offered, indicating that both task demands and motivation are necessary to inhibit pain.\nConclusions: When task demands are low, motivation to engage in the task will have little impact on pain because performance cannot further increase. When motivation is low, participants will spend minimal effort to perform well in the task, thus hindering the pain-reducing effects of higher task demands. These findings suggest that the pain-reducing properties of distraction can be optimized by carefully calibrating the demands and motivational value of the task.","container-title":"PAIN Reports","DOI":"10.1097/PR9.0000000000001041","ISSN":"2471-2531","issue":"6","journalAbbreviation":"PR9","language":"en","page":"e1041","source":"DOI.org (Crossref)","title":"Distraction from pain depends on task demands and motivation","volume":"7","author":[{"family":"Vogel","given":"Todd A."},{"family":"Falk","given":"Carl F."},{"family":"Otto","given":"A. Ross"},{"family":"Roy","given":"Mathieu"}],"issued":{"date-parts":[["2022",11]]}}}],"schema":"https://github.com/citation-style-language/schema/raw/master/csl-citation.json"} </w:instrText>
      </w:r>
      <w:r w:rsidR="00D654CB">
        <w:rPr>
          <w:bCs/>
        </w:rPr>
        <w:fldChar w:fldCharType="separate"/>
      </w:r>
      <w:r w:rsidR="001A31BB" w:rsidRPr="001A31BB">
        <w:rPr>
          <w:rFonts w:ascii="Calibri" w:hAnsi="Calibri" w:cs="Calibri"/>
        </w:rPr>
        <w:t>[81]</w:t>
      </w:r>
      <w:r w:rsidR="00D654CB">
        <w:rPr>
          <w:bCs/>
        </w:rPr>
        <w:fldChar w:fldCharType="end"/>
      </w:r>
      <w:r w:rsidR="00371B79" w:rsidRPr="00371B79">
        <w:rPr>
          <w:bCs/>
        </w:rPr>
        <w:t xml:space="preserve">, the perceived </w:t>
      </w:r>
      <w:r w:rsidR="00D95278">
        <w:rPr>
          <w:bCs/>
        </w:rPr>
        <w:t>relevance</w:t>
      </w:r>
      <w:r w:rsidR="00D95278" w:rsidRPr="00371B79">
        <w:rPr>
          <w:bCs/>
        </w:rPr>
        <w:t xml:space="preserve"> </w:t>
      </w:r>
      <w:r w:rsidR="00371B79" w:rsidRPr="00371B79">
        <w:rPr>
          <w:bCs/>
        </w:rPr>
        <w:t>of a demanding task and the participant's motivation to perform it are crucial factors in reducing pain</w:t>
      </w:r>
      <w:r w:rsidR="00BF55BB">
        <w:rPr>
          <w:bCs/>
        </w:rPr>
        <w:t xml:space="preserve">. </w:t>
      </w:r>
      <w:r w:rsidR="00DA6238" w:rsidRPr="00E7301F">
        <w:rPr>
          <w:bCs/>
        </w:rPr>
        <w:t xml:space="preserve">While we attempted to engage participants in the </w:t>
      </w:r>
      <w:r w:rsidR="003D3CB5">
        <w:rPr>
          <w:bCs/>
        </w:rPr>
        <w:t>difficult</w:t>
      </w:r>
      <w:r w:rsidR="00DA6238" w:rsidRPr="00E7301F">
        <w:rPr>
          <w:bCs/>
        </w:rPr>
        <w:t xml:space="preserve"> task by offering a monetary reward, it is possible that they did not perceive the reward as a sufficient incentive. Since we did not measure participants' motivation or </w:t>
      </w:r>
      <w:r w:rsidR="00DA6238" w:rsidRPr="00E7301F">
        <w:rPr>
          <w:bCs/>
        </w:rPr>
        <w:lastRenderedPageBreak/>
        <w:t>their perception of the reward's adequacy, we cannot determine whether the monetary incentive was perceived as a positive motivator. Further research would be necessary to investigate the specific types of positive incentives that effectively influence attentional resource allocation to a task, thereby potentially reducing pain sensitization.</w:t>
      </w:r>
      <w:r w:rsidR="00F83527">
        <w:rPr>
          <w:bCs/>
        </w:rPr>
        <w:t xml:space="preserve"> </w:t>
      </w:r>
    </w:p>
    <w:p w14:paraId="67CFEECE" w14:textId="77777777" w:rsidR="00684FF8" w:rsidRPr="0020479B" w:rsidRDefault="00684FF8" w:rsidP="00684FF8">
      <w:pPr>
        <w:spacing w:line="480" w:lineRule="auto"/>
        <w:rPr>
          <w:rFonts w:cstheme="minorHAnsi"/>
          <w:b/>
          <w:bCs/>
          <w:i/>
          <w:iCs/>
          <w:color w:val="000000" w:themeColor="text1"/>
        </w:rPr>
      </w:pPr>
      <w:r w:rsidRPr="0020479B">
        <w:rPr>
          <w:rFonts w:cstheme="minorHAnsi"/>
          <w:b/>
          <w:bCs/>
          <w:i/>
          <w:iCs/>
          <w:color w:val="000000" w:themeColor="text1"/>
        </w:rPr>
        <w:t xml:space="preserve">Conclusion </w:t>
      </w:r>
    </w:p>
    <w:p w14:paraId="59A19E35" w14:textId="231758C0" w:rsidR="0041467C" w:rsidRDefault="001E391B" w:rsidP="00301B73">
      <w:pPr>
        <w:spacing w:line="480" w:lineRule="auto"/>
        <w:ind w:firstLine="720"/>
        <w:rPr>
          <w:rFonts w:cstheme="minorHAnsi"/>
          <w:color w:val="000000" w:themeColor="text1"/>
        </w:rPr>
      </w:pPr>
      <w:r>
        <w:rPr>
          <w:rFonts w:cstheme="minorHAnsi"/>
          <w:color w:val="000000" w:themeColor="text1"/>
        </w:rPr>
        <w:t>In summary,</w:t>
      </w:r>
      <w:r w:rsidR="00D7291D" w:rsidRPr="0041467C">
        <w:rPr>
          <w:rFonts w:cstheme="minorHAnsi"/>
          <w:color w:val="000000" w:themeColor="text1"/>
        </w:rPr>
        <w:t xml:space="preserve"> </w:t>
      </w:r>
      <w:r w:rsidR="001F0419">
        <w:rPr>
          <w:rFonts w:cstheme="minorHAnsi"/>
          <w:color w:val="000000" w:themeColor="text1"/>
        </w:rPr>
        <w:t>o</w:t>
      </w:r>
      <w:r w:rsidR="00170902" w:rsidRPr="00DC129D">
        <w:rPr>
          <w:rFonts w:cstheme="minorHAnsi"/>
          <w:color w:val="000000" w:themeColor="text1"/>
        </w:rPr>
        <w:t>ur finding suggest</w:t>
      </w:r>
      <w:r w:rsidR="00170902">
        <w:rPr>
          <w:rFonts w:cstheme="minorHAnsi"/>
          <w:color w:val="000000" w:themeColor="text1"/>
        </w:rPr>
        <w:t>s</w:t>
      </w:r>
      <w:r w:rsidR="00170902" w:rsidRPr="00DC129D">
        <w:rPr>
          <w:rFonts w:cstheme="minorHAnsi"/>
          <w:color w:val="000000" w:themeColor="text1"/>
        </w:rPr>
        <w:t xml:space="preserve"> that </w:t>
      </w:r>
      <w:r w:rsidR="00170902">
        <w:rPr>
          <w:rFonts w:cstheme="minorHAnsi"/>
          <w:color w:val="000000" w:themeColor="text1"/>
        </w:rPr>
        <w:t>cognitive</w:t>
      </w:r>
      <w:r w:rsidR="00170902" w:rsidRPr="00DC129D">
        <w:rPr>
          <w:rFonts w:cstheme="minorHAnsi"/>
          <w:color w:val="000000" w:themeColor="text1"/>
        </w:rPr>
        <w:t xml:space="preserve"> demand alone </w:t>
      </w:r>
      <w:r w:rsidR="00C56AC6">
        <w:rPr>
          <w:rFonts w:cstheme="minorHAnsi"/>
          <w:color w:val="000000" w:themeColor="text1"/>
        </w:rPr>
        <w:t>does</w:t>
      </w:r>
      <w:r w:rsidR="00170902" w:rsidRPr="00DC129D">
        <w:rPr>
          <w:rFonts w:cstheme="minorHAnsi"/>
          <w:color w:val="000000" w:themeColor="text1"/>
        </w:rPr>
        <w:t xml:space="preserve"> </w:t>
      </w:r>
      <w:r w:rsidR="00956784">
        <w:rPr>
          <w:rFonts w:cstheme="minorHAnsi"/>
          <w:color w:val="000000" w:themeColor="text1"/>
        </w:rPr>
        <w:t>not inhibit the process of pain sensitiza</w:t>
      </w:r>
      <w:r w:rsidR="00C56AC6">
        <w:rPr>
          <w:rFonts w:cstheme="minorHAnsi"/>
          <w:color w:val="000000" w:themeColor="text1"/>
        </w:rPr>
        <w:t>tion</w:t>
      </w:r>
      <w:r w:rsidR="00B01B8F">
        <w:rPr>
          <w:rFonts w:cstheme="minorHAnsi"/>
          <w:color w:val="000000" w:themeColor="text1"/>
        </w:rPr>
        <w:t xml:space="preserve">. </w:t>
      </w:r>
      <w:r w:rsidR="00024C9B">
        <w:rPr>
          <w:rFonts w:cstheme="minorHAnsi"/>
          <w:color w:val="000000" w:themeColor="text1"/>
        </w:rPr>
        <w:t xml:space="preserve">We </w:t>
      </w:r>
      <w:r w:rsidR="00324E92">
        <w:rPr>
          <w:rFonts w:cstheme="minorHAnsi"/>
          <w:color w:val="000000" w:themeColor="text1"/>
        </w:rPr>
        <w:t xml:space="preserve">suggest </w:t>
      </w:r>
      <w:r w:rsidR="00203654">
        <w:rPr>
          <w:rFonts w:cstheme="minorHAnsi"/>
          <w:color w:val="000000" w:themeColor="text1"/>
        </w:rPr>
        <w:t xml:space="preserve">evaluating </w:t>
      </w:r>
      <w:r w:rsidR="00024C9B">
        <w:rPr>
          <w:rFonts w:cstheme="minorHAnsi"/>
          <w:color w:val="000000" w:themeColor="text1"/>
        </w:rPr>
        <w:t xml:space="preserve">the differences between ongoing pain and </w:t>
      </w:r>
      <w:r w:rsidR="00554C70">
        <w:rPr>
          <w:rFonts w:cstheme="minorHAnsi"/>
          <w:color w:val="000000" w:themeColor="text1"/>
        </w:rPr>
        <w:t>hypersensitivity</w:t>
      </w:r>
      <w:r w:rsidR="00024C9B">
        <w:rPr>
          <w:rFonts w:cstheme="minorHAnsi"/>
          <w:color w:val="000000" w:themeColor="text1"/>
        </w:rPr>
        <w:t xml:space="preserve"> to pain</w:t>
      </w:r>
      <w:r w:rsidR="00554C70">
        <w:rPr>
          <w:rFonts w:cstheme="minorHAnsi"/>
          <w:color w:val="000000" w:themeColor="text1"/>
        </w:rPr>
        <w:t xml:space="preserve">. Moreover, </w:t>
      </w:r>
      <w:r w:rsidR="00B5121C">
        <w:rPr>
          <w:rFonts w:cstheme="minorHAnsi"/>
          <w:color w:val="000000" w:themeColor="text1"/>
        </w:rPr>
        <w:t>investigating task</w:t>
      </w:r>
      <w:r w:rsidR="00170902" w:rsidRPr="00DC129D">
        <w:rPr>
          <w:rFonts w:cstheme="minorHAnsi"/>
          <w:color w:val="000000" w:themeColor="text1"/>
        </w:rPr>
        <w:t xml:space="preserve"> engagement</w:t>
      </w:r>
      <w:r w:rsidR="007239BA">
        <w:rPr>
          <w:rFonts w:cstheme="minorHAnsi"/>
          <w:color w:val="000000" w:themeColor="text1"/>
        </w:rPr>
        <w:t xml:space="preserve">, </w:t>
      </w:r>
      <w:r w:rsidR="00170902" w:rsidRPr="00DC129D">
        <w:rPr>
          <w:rFonts w:cstheme="minorHAnsi"/>
          <w:color w:val="000000" w:themeColor="text1"/>
        </w:rPr>
        <w:t xml:space="preserve">motivation, </w:t>
      </w:r>
      <w:r w:rsidR="00683239">
        <w:rPr>
          <w:rFonts w:cstheme="minorHAnsi"/>
          <w:color w:val="000000" w:themeColor="text1"/>
        </w:rPr>
        <w:t>and pain</w:t>
      </w:r>
      <w:r w:rsidR="00170902" w:rsidRPr="00DC129D">
        <w:rPr>
          <w:rFonts w:cstheme="minorHAnsi"/>
          <w:color w:val="000000" w:themeColor="text1"/>
        </w:rPr>
        <w:t xml:space="preserve"> modulation during</w:t>
      </w:r>
      <w:r w:rsidR="00170902">
        <w:rPr>
          <w:rFonts w:cstheme="minorHAnsi"/>
          <w:color w:val="000000" w:themeColor="text1"/>
        </w:rPr>
        <w:t xml:space="preserve"> </w:t>
      </w:r>
      <w:r w:rsidR="00554C70">
        <w:rPr>
          <w:rFonts w:cstheme="minorHAnsi"/>
          <w:color w:val="000000" w:themeColor="text1"/>
        </w:rPr>
        <w:t>the sensitization procedure</w:t>
      </w:r>
      <w:r w:rsidR="00170902" w:rsidRPr="00DC129D">
        <w:rPr>
          <w:rFonts w:cstheme="minorHAnsi"/>
          <w:color w:val="000000" w:themeColor="text1"/>
        </w:rPr>
        <w:t xml:space="preserve">, </w:t>
      </w:r>
      <w:r w:rsidR="007239BA">
        <w:rPr>
          <w:rFonts w:cstheme="minorHAnsi"/>
          <w:color w:val="000000" w:themeColor="text1"/>
        </w:rPr>
        <w:t>might</w:t>
      </w:r>
      <w:r w:rsidR="00DE1ABB">
        <w:rPr>
          <w:rFonts w:cstheme="minorHAnsi"/>
          <w:color w:val="000000" w:themeColor="text1"/>
        </w:rPr>
        <w:t xml:space="preserve"> enhance</w:t>
      </w:r>
      <w:r w:rsidR="007239BA">
        <w:rPr>
          <w:rFonts w:cstheme="minorHAnsi"/>
          <w:color w:val="000000" w:themeColor="text1"/>
        </w:rPr>
        <w:t xml:space="preserve"> </w:t>
      </w:r>
      <w:r w:rsidR="00170902" w:rsidRPr="00DC129D">
        <w:rPr>
          <w:rFonts w:cstheme="minorHAnsi"/>
          <w:color w:val="000000" w:themeColor="text1"/>
        </w:rPr>
        <w:t>our understanding of</w:t>
      </w:r>
      <w:r w:rsidR="00DE1ABB">
        <w:rPr>
          <w:rFonts w:cstheme="minorHAnsi"/>
          <w:color w:val="000000" w:themeColor="text1"/>
        </w:rPr>
        <w:t xml:space="preserve"> the </w:t>
      </w:r>
      <w:r w:rsidR="00F66397">
        <w:rPr>
          <w:rFonts w:cstheme="minorHAnsi"/>
          <w:color w:val="000000" w:themeColor="text1"/>
        </w:rPr>
        <w:t xml:space="preserve">complex </w:t>
      </w:r>
      <w:r w:rsidR="00DE1ABB">
        <w:rPr>
          <w:rFonts w:cstheme="minorHAnsi"/>
          <w:color w:val="000000" w:themeColor="text1"/>
        </w:rPr>
        <w:t>relationship between</w:t>
      </w:r>
      <w:r w:rsidR="00170902" w:rsidRPr="00DC129D">
        <w:rPr>
          <w:rFonts w:cstheme="minorHAnsi"/>
          <w:color w:val="000000" w:themeColor="text1"/>
        </w:rPr>
        <w:t xml:space="preserve"> </w:t>
      </w:r>
      <w:r w:rsidR="00024A87" w:rsidRPr="00024A87">
        <w:rPr>
          <w:rFonts w:cstheme="minorHAnsi"/>
          <w:color w:val="FF0000"/>
        </w:rPr>
        <w:t>central</w:t>
      </w:r>
      <w:r w:rsidR="00170902" w:rsidRPr="00DC129D">
        <w:rPr>
          <w:rFonts w:cstheme="minorHAnsi"/>
          <w:color w:val="000000" w:themeColor="text1"/>
        </w:rPr>
        <w:t xml:space="preserve"> </w:t>
      </w:r>
      <w:r w:rsidR="00170902">
        <w:rPr>
          <w:rFonts w:cstheme="minorHAnsi"/>
          <w:color w:val="000000" w:themeColor="text1"/>
        </w:rPr>
        <w:t>sensitization</w:t>
      </w:r>
      <w:r w:rsidR="00DE1ABB">
        <w:rPr>
          <w:rFonts w:cstheme="minorHAnsi"/>
          <w:color w:val="000000" w:themeColor="text1"/>
        </w:rPr>
        <w:t xml:space="preserve"> and top-down </w:t>
      </w:r>
      <w:r w:rsidR="009D3022">
        <w:rPr>
          <w:rFonts w:cstheme="minorHAnsi"/>
          <w:color w:val="000000" w:themeColor="text1"/>
        </w:rPr>
        <w:t xml:space="preserve">attentional </w:t>
      </w:r>
      <w:r w:rsidR="00DE1ABB">
        <w:rPr>
          <w:rFonts w:cstheme="minorHAnsi"/>
          <w:color w:val="000000" w:themeColor="text1"/>
        </w:rPr>
        <w:t>modulation</w:t>
      </w:r>
      <w:r w:rsidR="00170902">
        <w:rPr>
          <w:rFonts w:cstheme="minorHAnsi"/>
          <w:color w:val="000000" w:themeColor="text1"/>
        </w:rPr>
        <w:t>.</w:t>
      </w:r>
    </w:p>
    <w:p w14:paraId="5A96C05E" w14:textId="77777777" w:rsidR="0020479B" w:rsidRDefault="0020479B" w:rsidP="00301B73">
      <w:pPr>
        <w:spacing w:line="480" w:lineRule="auto"/>
        <w:ind w:firstLine="720"/>
        <w:rPr>
          <w:rFonts w:cstheme="minorHAnsi"/>
          <w:color w:val="000000" w:themeColor="text1"/>
        </w:rPr>
      </w:pPr>
    </w:p>
    <w:p w14:paraId="7EAE5A0B" w14:textId="77B862B7" w:rsidR="0089643A" w:rsidRPr="00527616" w:rsidRDefault="00D17F83" w:rsidP="00527616">
      <w:pPr>
        <w:spacing w:after="0" w:line="480" w:lineRule="auto"/>
        <w:rPr>
          <w:rFonts w:cs="Calibri (Body)"/>
          <w:b/>
          <w:bCs/>
          <w:color w:val="000000" w:themeColor="text1"/>
        </w:rPr>
      </w:pPr>
      <w:r w:rsidRPr="00527616">
        <w:rPr>
          <w:rFonts w:cs="Calibri (Body)"/>
          <w:b/>
          <w:bCs/>
          <w:color w:val="000000" w:themeColor="text1"/>
        </w:rPr>
        <w:t>Acknowledgements</w:t>
      </w:r>
    </w:p>
    <w:p w14:paraId="3E4BC83B" w14:textId="67734F2B" w:rsidR="00F66F89" w:rsidRPr="00527616" w:rsidRDefault="00571151" w:rsidP="00527616">
      <w:pPr>
        <w:spacing w:after="0" w:line="480" w:lineRule="auto"/>
        <w:ind w:firstLine="720"/>
        <w:rPr>
          <w:rFonts w:cs="Calibri (Body)"/>
          <w:color w:val="000000" w:themeColor="text1"/>
        </w:rPr>
      </w:pPr>
      <w:r w:rsidRPr="00527616">
        <w:rPr>
          <w:rFonts w:cs="Calibri (Body)"/>
          <w:color w:val="000000" w:themeColor="text1"/>
        </w:rPr>
        <w:t xml:space="preserve">We </w:t>
      </w:r>
      <w:r w:rsidR="008149C5" w:rsidRPr="00527616">
        <w:rPr>
          <w:rFonts w:cs="Calibri (Body)"/>
          <w:color w:val="000000" w:themeColor="text1"/>
        </w:rPr>
        <w:t>express our gratitude to</w:t>
      </w:r>
      <w:r w:rsidRPr="00527616">
        <w:rPr>
          <w:rFonts w:cs="Calibri (Body)"/>
          <w:color w:val="000000" w:themeColor="text1"/>
        </w:rPr>
        <w:t xml:space="preserve"> </w:t>
      </w:r>
      <w:r w:rsidR="00E038E1" w:rsidRPr="00527616">
        <w:rPr>
          <w:rFonts w:cs="Calibri (Body)"/>
          <w:color w:val="000000" w:themeColor="text1"/>
        </w:rPr>
        <w:t>B</w:t>
      </w:r>
      <w:r w:rsidR="00741ACE" w:rsidRPr="00527616">
        <w:rPr>
          <w:rFonts w:cs="Calibri (Body)"/>
          <w:color w:val="000000" w:themeColor="text1"/>
        </w:rPr>
        <w:t>e</w:t>
      </w:r>
      <w:r w:rsidR="00E038E1" w:rsidRPr="00527616">
        <w:rPr>
          <w:rFonts w:cs="Calibri (Body)"/>
          <w:color w:val="000000" w:themeColor="text1"/>
        </w:rPr>
        <w:t xml:space="preserve">nvenuto Jacob and </w:t>
      </w:r>
      <w:r w:rsidR="00A26C33" w:rsidRPr="00527616">
        <w:rPr>
          <w:rFonts w:cs="Calibri (Body)"/>
          <w:color w:val="000000" w:themeColor="text1"/>
        </w:rPr>
        <w:t>D</w:t>
      </w:r>
      <w:r w:rsidR="00E038E1" w:rsidRPr="00527616">
        <w:rPr>
          <w:rFonts w:cs="Calibri (Body)"/>
          <w:color w:val="000000" w:themeColor="text1"/>
        </w:rPr>
        <w:t xml:space="preserve">r Julien Lambert from the Technology Support Team (CATL, Institute of Neuroscience, Université catholique de Louvain) for their technical support and their </w:t>
      </w:r>
      <w:r w:rsidR="008F7FDC" w:rsidRPr="00527616">
        <w:rPr>
          <w:rFonts w:cs="Calibri (Body)"/>
          <w:color w:val="000000" w:themeColor="text1"/>
        </w:rPr>
        <w:t xml:space="preserve">assistance </w:t>
      </w:r>
      <w:r w:rsidR="00E038E1" w:rsidRPr="00527616">
        <w:rPr>
          <w:rFonts w:cs="Calibri (Body)"/>
          <w:color w:val="000000" w:themeColor="text1"/>
        </w:rPr>
        <w:t>in coding the Matlab scripts related to the experiments.</w:t>
      </w:r>
      <w:r w:rsidR="00741ACE" w:rsidRPr="00527616">
        <w:rPr>
          <w:rFonts w:cs="Calibri (Body)"/>
          <w:color w:val="000000" w:themeColor="text1"/>
        </w:rPr>
        <w:t xml:space="preserve"> </w:t>
      </w:r>
      <w:r w:rsidR="008F7FDC" w:rsidRPr="00527616">
        <w:rPr>
          <w:rFonts w:cs="Calibri (Body)"/>
          <w:color w:val="000000" w:themeColor="text1"/>
        </w:rPr>
        <w:t>Addi</w:t>
      </w:r>
      <w:r w:rsidR="00A26C33" w:rsidRPr="00527616">
        <w:rPr>
          <w:rFonts w:cs="Calibri (Body)"/>
          <w:color w:val="000000" w:themeColor="text1"/>
        </w:rPr>
        <w:t>tional</w:t>
      </w:r>
      <w:r w:rsidR="008F7FDC" w:rsidRPr="00527616">
        <w:rPr>
          <w:rFonts w:cs="Calibri (Body)"/>
          <w:color w:val="000000" w:themeColor="text1"/>
        </w:rPr>
        <w:t>ly</w:t>
      </w:r>
      <w:r w:rsidR="00741ACE" w:rsidRPr="00527616">
        <w:rPr>
          <w:rFonts w:cs="Calibri (Body)"/>
          <w:color w:val="000000" w:themeColor="text1"/>
        </w:rPr>
        <w:t>, we</w:t>
      </w:r>
      <w:r w:rsidR="009015E1" w:rsidRPr="00527616">
        <w:rPr>
          <w:rFonts w:cs="Calibri (Body)"/>
          <w:color w:val="000000" w:themeColor="text1"/>
        </w:rPr>
        <w:t xml:space="preserve"> are </w:t>
      </w:r>
      <w:r w:rsidR="00DC057B" w:rsidRPr="00527616">
        <w:rPr>
          <w:rFonts w:cs="Calibri (Body)"/>
          <w:color w:val="000000" w:themeColor="text1"/>
        </w:rPr>
        <w:t>thankful</w:t>
      </w:r>
      <w:r w:rsidR="009015E1" w:rsidRPr="00527616">
        <w:rPr>
          <w:rFonts w:cs="Calibri (Body)"/>
          <w:color w:val="000000" w:themeColor="text1"/>
        </w:rPr>
        <w:t xml:space="preserve"> to </w:t>
      </w:r>
      <w:r w:rsidR="007E7DCB" w:rsidRPr="00527616">
        <w:rPr>
          <w:rFonts w:cs="Calibri (Body)"/>
          <w:color w:val="000000" w:themeColor="text1"/>
        </w:rPr>
        <w:t>MSc Fanny M</w:t>
      </w:r>
      <w:r w:rsidR="000D5D27" w:rsidRPr="00527616">
        <w:rPr>
          <w:rFonts w:cs="Calibri (Body)"/>
          <w:color w:val="000000" w:themeColor="text1"/>
        </w:rPr>
        <w:t xml:space="preserve">irgaux </w:t>
      </w:r>
      <w:r w:rsidR="00F26271" w:rsidRPr="00527616">
        <w:rPr>
          <w:rFonts w:cs="Calibri (Body)"/>
          <w:color w:val="000000" w:themeColor="text1"/>
        </w:rPr>
        <w:t>for her contribution to</w:t>
      </w:r>
      <w:r w:rsidR="000D5D27" w:rsidRPr="00527616">
        <w:rPr>
          <w:rFonts w:cs="Calibri (Body)"/>
          <w:color w:val="000000" w:themeColor="text1"/>
        </w:rPr>
        <w:t xml:space="preserve"> data collection </w:t>
      </w:r>
      <w:r w:rsidR="002462A1" w:rsidRPr="00527616">
        <w:rPr>
          <w:rFonts w:cs="Calibri (Body)"/>
          <w:color w:val="000000" w:themeColor="text1"/>
        </w:rPr>
        <w:t>during</w:t>
      </w:r>
      <w:r w:rsidR="000D5D27" w:rsidRPr="00527616">
        <w:rPr>
          <w:rFonts w:cs="Calibri (Body)"/>
          <w:color w:val="000000" w:themeColor="text1"/>
        </w:rPr>
        <w:t xml:space="preserve"> her master</w:t>
      </w:r>
      <w:r w:rsidR="00102C34" w:rsidRPr="00527616">
        <w:rPr>
          <w:rFonts w:cs="Calibri (Body)"/>
          <w:color w:val="000000" w:themeColor="text1"/>
        </w:rPr>
        <w:t>’s</w:t>
      </w:r>
      <w:r w:rsidR="000D5D27" w:rsidRPr="00527616">
        <w:rPr>
          <w:rFonts w:cs="Calibri (Body)"/>
          <w:color w:val="000000" w:themeColor="text1"/>
        </w:rPr>
        <w:t xml:space="preserve"> thesis. </w:t>
      </w:r>
      <w:r w:rsidR="00B774D7" w:rsidRPr="00527616">
        <w:rPr>
          <w:rFonts w:cs="Calibri (Body)"/>
          <w:color w:val="000000" w:themeColor="text1"/>
        </w:rPr>
        <w:t xml:space="preserve"> </w:t>
      </w:r>
    </w:p>
    <w:p w14:paraId="23F3C57F" w14:textId="7CC6A13F" w:rsidR="009F7C20" w:rsidRDefault="009F7C20" w:rsidP="009F7C20">
      <w:pPr>
        <w:spacing w:after="0" w:line="480" w:lineRule="auto"/>
        <w:ind w:firstLine="720"/>
        <w:rPr>
          <w:rFonts w:cstheme="minorHAnsi"/>
          <w:color w:val="000000" w:themeColor="text1"/>
        </w:rPr>
      </w:pPr>
      <w:r w:rsidRPr="000D7364">
        <w:rPr>
          <w:rFonts w:cstheme="minorHAnsi"/>
          <w:color w:val="000000" w:themeColor="text1"/>
        </w:rPr>
        <w:t>DDP and VL were supported by the Funds for Scientific Research of the French-speaking Community of Belgium (F.R.S.-FNRS).</w:t>
      </w:r>
    </w:p>
    <w:p w14:paraId="74E35C95" w14:textId="4CC826A0" w:rsidR="00D17F83" w:rsidRDefault="00F66F89" w:rsidP="002A6200">
      <w:pPr>
        <w:spacing w:after="0" w:line="480" w:lineRule="auto"/>
        <w:ind w:firstLine="720"/>
        <w:rPr>
          <w:rFonts w:cstheme="minorHAnsi"/>
          <w:color w:val="000000" w:themeColor="text1"/>
        </w:rPr>
      </w:pPr>
      <w:r w:rsidRPr="00F66F89">
        <w:rPr>
          <w:rFonts w:cstheme="minorHAnsi"/>
          <w:color w:val="000000" w:themeColor="text1"/>
        </w:rPr>
        <w:t>The authors declare that the research was conducted in the absence of any commercial or financial relationships that could be construed as a potential conflict of interest.</w:t>
      </w:r>
    </w:p>
    <w:p w14:paraId="297193AC" w14:textId="5EBA048E" w:rsidR="00EF4B6B" w:rsidRDefault="002A6200" w:rsidP="00EF4B6B">
      <w:pPr>
        <w:spacing w:after="0" w:line="480" w:lineRule="auto"/>
        <w:ind w:firstLine="720"/>
        <w:rPr>
          <w:rFonts w:cstheme="minorHAnsi"/>
          <w:color w:val="000000" w:themeColor="text1"/>
        </w:rPr>
      </w:pPr>
      <w:r>
        <w:rPr>
          <w:rFonts w:cstheme="minorHAnsi"/>
          <w:color w:val="000000" w:themeColor="text1"/>
        </w:rPr>
        <w:t>T</w:t>
      </w:r>
      <w:r w:rsidR="00552640">
        <w:rPr>
          <w:rFonts w:cstheme="minorHAnsi"/>
          <w:color w:val="000000" w:themeColor="text1"/>
        </w:rPr>
        <w:t xml:space="preserve">he research was preregistered </w:t>
      </w:r>
      <w:r w:rsidR="00BD1AD3">
        <w:rPr>
          <w:rFonts w:cstheme="minorHAnsi"/>
          <w:color w:val="000000" w:themeColor="text1"/>
        </w:rPr>
        <w:t>through</w:t>
      </w:r>
      <w:r w:rsidR="004D0738">
        <w:rPr>
          <w:rFonts w:cstheme="minorHAnsi"/>
          <w:color w:val="000000" w:themeColor="text1"/>
        </w:rPr>
        <w:t xml:space="preserve"> the Open Science Framework.</w:t>
      </w:r>
      <w:r w:rsidR="00BD1AD3">
        <w:rPr>
          <w:rFonts w:cstheme="minorHAnsi"/>
          <w:color w:val="000000" w:themeColor="text1"/>
        </w:rPr>
        <w:t xml:space="preserve"> </w:t>
      </w:r>
      <w:r w:rsidR="00A12703">
        <w:rPr>
          <w:rFonts w:cstheme="minorHAnsi"/>
          <w:color w:val="000000" w:themeColor="text1"/>
        </w:rPr>
        <w:t>Hyp</w:t>
      </w:r>
      <w:r>
        <w:rPr>
          <w:rFonts w:cstheme="minorHAnsi"/>
          <w:color w:val="000000" w:themeColor="text1"/>
        </w:rPr>
        <w:t>othe</w:t>
      </w:r>
      <w:r w:rsidR="00A12703">
        <w:rPr>
          <w:rFonts w:cstheme="minorHAnsi"/>
          <w:color w:val="000000" w:themeColor="text1"/>
        </w:rPr>
        <w:t>s</w:t>
      </w:r>
      <w:r w:rsidR="00103861">
        <w:rPr>
          <w:rFonts w:cstheme="minorHAnsi"/>
          <w:color w:val="000000" w:themeColor="text1"/>
        </w:rPr>
        <w:t>e</w:t>
      </w:r>
      <w:r w:rsidR="00A12703">
        <w:rPr>
          <w:rFonts w:cstheme="minorHAnsi"/>
          <w:color w:val="000000" w:themeColor="text1"/>
        </w:rPr>
        <w:t>s, analysis plan</w:t>
      </w:r>
      <w:r w:rsidR="00102C34">
        <w:rPr>
          <w:rFonts w:cstheme="minorHAnsi"/>
          <w:color w:val="000000" w:themeColor="text1"/>
        </w:rPr>
        <w:t>s</w:t>
      </w:r>
      <w:r w:rsidR="00A12703">
        <w:rPr>
          <w:rFonts w:cstheme="minorHAnsi"/>
          <w:color w:val="000000" w:themeColor="text1"/>
        </w:rPr>
        <w:t>, and data are</w:t>
      </w:r>
      <w:r w:rsidR="00623F3C">
        <w:rPr>
          <w:rFonts w:cstheme="minorHAnsi"/>
          <w:color w:val="000000" w:themeColor="text1"/>
        </w:rPr>
        <w:t xml:space="preserve"> </w:t>
      </w:r>
      <w:r w:rsidR="00A12703">
        <w:rPr>
          <w:rFonts w:cstheme="minorHAnsi"/>
          <w:color w:val="000000" w:themeColor="text1"/>
        </w:rPr>
        <w:t xml:space="preserve">available </w:t>
      </w:r>
      <w:r w:rsidR="002B3544">
        <w:rPr>
          <w:rFonts w:cstheme="minorHAnsi"/>
          <w:color w:val="000000" w:themeColor="text1"/>
        </w:rPr>
        <w:t>at</w:t>
      </w:r>
      <w:r w:rsidR="00EF4B6B">
        <w:rPr>
          <w:rFonts w:cstheme="minorHAnsi"/>
          <w:color w:val="000000" w:themeColor="text1"/>
        </w:rPr>
        <w:t xml:space="preserve"> </w:t>
      </w:r>
      <w:hyperlink r:id="rId15" w:history="1">
        <w:r w:rsidR="00EF4B6B" w:rsidRPr="00DE795D">
          <w:rPr>
            <w:rStyle w:val="Hyperlink"/>
            <w:rFonts w:cstheme="minorHAnsi"/>
          </w:rPr>
          <w:t>https://osf.io/97frt/?view_only=fdfe326de34443999d4be462724bd616</w:t>
        </w:r>
      </w:hyperlink>
      <w:r w:rsidR="00D9715B">
        <w:rPr>
          <w:rFonts w:cstheme="minorHAnsi"/>
          <w:color w:val="000000" w:themeColor="text1"/>
        </w:rPr>
        <w:t>.</w:t>
      </w:r>
    </w:p>
    <w:p w14:paraId="38801686" w14:textId="4F28B14A" w:rsidR="00DA5707" w:rsidRDefault="00D9715B" w:rsidP="00D2388A">
      <w:pPr>
        <w:spacing w:after="0" w:line="480" w:lineRule="auto"/>
        <w:rPr>
          <w:rFonts w:cstheme="minorHAnsi"/>
          <w:color w:val="000000" w:themeColor="text1"/>
        </w:rPr>
      </w:pPr>
      <w:r w:rsidRPr="00D9715B">
        <w:rPr>
          <w:rFonts w:cstheme="minorHAnsi"/>
          <w:color w:val="000000" w:themeColor="text1"/>
        </w:rPr>
        <w:t>[The final</w:t>
      </w:r>
      <w:r>
        <w:rPr>
          <w:rFonts w:cstheme="minorHAnsi"/>
          <w:color w:val="000000" w:themeColor="text1"/>
        </w:rPr>
        <w:t xml:space="preserve"> </w:t>
      </w:r>
      <w:r w:rsidRPr="00D9715B">
        <w:rPr>
          <w:rFonts w:cstheme="minorHAnsi"/>
          <w:color w:val="000000" w:themeColor="text1"/>
        </w:rPr>
        <w:t>analysis scripts and results files will be uploaded upon acceptance of the paper.]</w:t>
      </w:r>
    </w:p>
    <w:p w14:paraId="62EBB641" w14:textId="77777777" w:rsidR="00D2388A" w:rsidRDefault="00D2388A" w:rsidP="00D2388A">
      <w:pPr>
        <w:spacing w:after="0" w:line="480" w:lineRule="auto"/>
        <w:rPr>
          <w:rFonts w:cstheme="minorHAnsi"/>
          <w:color w:val="000000" w:themeColor="text1"/>
        </w:rPr>
      </w:pPr>
    </w:p>
    <w:p w14:paraId="00D982D6" w14:textId="77777777" w:rsidR="00DD2AF6" w:rsidRPr="001B30C4" w:rsidRDefault="00C03160" w:rsidP="00DD2AF6">
      <w:pPr>
        <w:pStyle w:val="Bibliography"/>
        <w:rPr>
          <w:rFonts w:ascii="Times New Roman" w:hAnsi="Times New Roman" w:cs="Times New Roman"/>
          <w:b/>
          <w:bCs/>
          <w:color w:val="000000" w:themeColor="text1"/>
          <w:sz w:val="24"/>
          <w:szCs w:val="24"/>
        </w:rPr>
      </w:pPr>
      <w:r w:rsidRPr="001B30C4">
        <w:rPr>
          <w:rFonts w:ascii="Times New Roman" w:hAnsi="Times New Roman" w:cs="Times New Roman"/>
          <w:b/>
          <w:bCs/>
          <w:color w:val="000000" w:themeColor="text1"/>
          <w:sz w:val="24"/>
          <w:szCs w:val="24"/>
        </w:rPr>
        <w:t>References</w:t>
      </w:r>
    </w:p>
    <w:bookmarkEnd w:id="23"/>
    <w:p w14:paraId="56C262F4" w14:textId="77777777" w:rsidR="00AC6A9C" w:rsidRPr="00167615" w:rsidRDefault="00AC6A9C" w:rsidP="00AC6A9C">
      <w:pPr>
        <w:pStyle w:val="Bibliography"/>
        <w:rPr>
          <w:lang w:val="en-GB"/>
        </w:rPr>
      </w:pPr>
      <w:r w:rsidRPr="001B30C4">
        <w:rPr>
          <w:b/>
          <w:bCs/>
          <w:color w:val="000000" w:themeColor="text1"/>
          <w:sz w:val="24"/>
          <w:szCs w:val="24"/>
        </w:rPr>
        <w:fldChar w:fldCharType="begin"/>
      </w:r>
      <w:r>
        <w:rPr>
          <w:b/>
          <w:bCs/>
          <w:color w:val="000000" w:themeColor="text1"/>
          <w:sz w:val="24"/>
          <w:szCs w:val="24"/>
        </w:rPr>
        <w:instrText xml:space="preserve"> ADDIN ZOTERO_BIBL {"uncited":[],"omitted":[],"custom":[]} CSL_BIBLIOGRAPHY </w:instrText>
      </w:r>
      <w:r w:rsidRPr="001B30C4">
        <w:rPr>
          <w:b/>
          <w:bCs/>
          <w:color w:val="000000" w:themeColor="text1"/>
          <w:sz w:val="24"/>
          <w:szCs w:val="24"/>
        </w:rPr>
        <w:fldChar w:fldCharType="separate"/>
      </w:r>
      <w:r w:rsidRPr="00167615">
        <w:rPr>
          <w:lang w:val="en-GB"/>
        </w:rPr>
        <w:t xml:space="preserve">[1] </w:t>
      </w:r>
      <w:r w:rsidRPr="00167615">
        <w:rPr>
          <w:lang w:val="en-GB"/>
        </w:rPr>
        <w:tab/>
      </w:r>
      <w:r w:rsidRPr="001755C2">
        <w:rPr>
          <w:lang w:val="en-GB"/>
        </w:rPr>
        <w:t>Arendt-Nielsen L, Morlion B, Perrot S, Dahan A, Dickenson A, Kress HG, Wells C, Bouhassira D, Drewes AM. Assessment and manifestation of central sensitisation across different chronic pain conditions. Eur J Pain. 2018 Feb;22(2):216-241. doi: 10.1002/ejp.1140. Epub 2017 Nov 5. PMID: 29105941.</w:t>
      </w:r>
    </w:p>
    <w:p w14:paraId="7A5B1243" w14:textId="77777777" w:rsidR="00AC6A9C" w:rsidRPr="00167615" w:rsidRDefault="00AC6A9C" w:rsidP="00AC6A9C">
      <w:pPr>
        <w:pStyle w:val="Bibliography"/>
        <w:rPr>
          <w:lang w:val="en-GB"/>
        </w:rPr>
      </w:pPr>
      <w:r w:rsidRPr="00167615">
        <w:rPr>
          <w:lang w:val="en-GB"/>
        </w:rPr>
        <w:t xml:space="preserve">[2] </w:t>
      </w:r>
      <w:r w:rsidRPr="00167615">
        <w:rPr>
          <w:lang w:val="en-GB"/>
        </w:rPr>
        <w:tab/>
        <w:t>Bannister K. Descending pain modulation: influence and impact. Curr Opin Physiol 2019;11:62–66.</w:t>
      </w:r>
    </w:p>
    <w:p w14:paraId="12D89C90" w14:textId="77777777" w:rsidR="00AC6A9C" w:rsidRPr="00167615" w:rsidRDefault="00AC6A9C" w:rsidP="00AC6A9C">
      <w:pPr>
        <w:pStyle w:val="Bibliography"/>
        <w:rPr>
          <w:lang w:val="en-GB"/>
        </w:rPr>
      </w:pPr>
      <w:r w:rsidRPr="00167615">
        <w:rPr>
          <w:lang w:val="en-GB"/>
        </w:rPr>
        <w:t xml:space="preserve">[3] </w:t>
      </w:r>
      <w:r w:rsidRPr="00167615">
        <w:rPr>
          <w:lang w:val="en-GB"/>
        </w:rPr>
        <w:tab/>
        <w:t>Bannister K, Dickenson AH. What the brain tells the spinal cord. Pain 2016;157:2148–2151.</w:t>
      </w:r>
    </w:p>
    <w:p w14:paraId="1AFAFC55" w14:textId="77777777" w:rsidR="00AC6A9C" w:rsidRPr="00167615" w:rsidRDefault="00AC6A9C" w:rsidP="00AC6A9C">
      <w:pPr>
        <w:pStyle w:val="Bibliography"/>
        <w:rPr>
          <w:lang w:val="en-GB"/>
        </w:rPr>
      </w:pPr>
      <w:r w:rsidRPr="00167615">
        <w:rPr>
          <w:lang w:val="en-GB"/>
        </w:rPr>
        <w:t xml:space="preserve">[4] </w:t>
      </w:r>
      <w:r w:rsidRPr="00167615">
        <w:rPr>
          <w:lang w:val="en-GB"/>
        </w:rPr>
        <w:tab/>
        <w:t>Bantick SJ, Wise RG, Ploghaus A, Clare S, Smith SM, Tracey I. Imaging how attention modulates pain in humans using functional MRI. Brain 2002;125:310–319.</w:t>
      </w:r>
    </w:p>
    <w:p w14:paraId="29AF0F50" w14:textId="77777777" w:rsidR="00AC6A9C" w:rsidRPr="00167615" w:rsidRDefault="00AC6A9C" w:rsidP="00AC6A9C">
      <w:pPr>
        <w:pStyle w:val="Bibliography"/>
        <w:rPr>
          <w:lang w:val="en-GB"/>
        </w:rPr>
      </w:pPr>
      <w:r w:rsidRPr="00167615">
        <w:rPr>
          <w:lang w:val="en-GB"/>
        </w:rPr>
        <w:t xml:space="preserve">[5] </w:t>
      </w:r>
      <w:r w:rsidRPr="00167615">
        <w:rPr>
          <w:lang w:val="en-GB"/>
        </w:rPr>
        <w:tab/>
      </w:r>
      <w:r w:rsidRPr="001755C2">
        <w:rPr>
          <w:lang w:val="en-GB"/>
        </w:rPr>
        <w:t>Bates, D., Mächler, M., Bolker, B. and Walker, S., 2014. Fitting linear mixed-effects models using lme4. arXiv preprint arXiv:1406.5823.</w:t>
      </w:r>
      <w:r w:rsidRPr="00167615">
        <w:rPr>
          <w:lang w:val="en-GB"/>
        </w:rPr>
        <w:t>.</w:t>
      </w:r>
    </w:p>
    <w:p w14:paraId="3BEB4003" w14:textId="77777777" w:rsidR="00AC6A9C" w:rsidRPr="00167615" w:rsidRDefault="00AC6A9C" w:rsidP="00AC6A9C">
      <w:pPr>
        <w:pStyle w:val="Bibliography"/>
        <w:rPr>
          <w:lang w:val="nl-NL"/>
        </w:rPr>
      </w:pPr>
      <w:r w:rsidRPr="00167615">
        <w:rPr>
          <w:lang w:val="en-GB"/>
        </w:rPr>
        <w:t xml:space="preserve">[6] </w:t>
      </w:r>
      <w:r w:rsidRPr="00167615">
        <w:rPr>
          <w:lang w:val="en-GB"/>
        </w:rPr>
        <w:tab/>
        <w:t xml:space="preserve">Bedwell GJ, Chikezie PC, Siboza FT, Mqadi L, Rice ASC, Kamerman PR, Parker R, Madden VJ. A Systematic Review and Meta-analysis of Non-pharmacological Methods to Manipulate Experimentally Induced Secondary Hypersensitivity. </w:t>
      </w:r>
      <w:r w:rsidRPr="00167615">
        <w:rPr>
          <w:lang w:val="nl-NL"/>
        </w:rPr>
        <w:t>J Pain 2023;24:1759–1797.</w:t>
      </w:r>
    </w:p>
    <w:p w14:paraId="4B0385A9" w14:textId="77777777" w:rsidR="00AC6A9C" w:rsidRPr="00167615" w:rsidRDefault="00AC6A9C" w:rsidP="00AC6A9C">
      <w:pPr>
        <w:pStyle w:val="Bibliography"/>
        <w:rPr>
          <w:lang w:val="en-GB"/>
        </w:rPr>
      </w:pPr>
      <w:r w:rsidRPr="00167615">
        <w:rPr>
          <w:lang w:val="nl-NL"/>
        </w:rPr>
        <w:t xml:space="preserve">[7] </w:t>
      </w:r>
      <w:r w:rsidRPr="00167615">
        <w:rPr>
          <w:lang w:val="nl-NL"/>
        </w:rPr>
        <w:tab/>
        <w:t xml:space="preserve">Bedwell GJ, Louw C, Parker R, van den Broeke E, Vlaeyen JW, Moseley GL, Madden VJ. </w:t>
      </w:r>
      <w:r w:rsidRPr="00167615">
        <w:rPr>
          <w:lang w:val="en-GB"/>
        </w:rPr>
        <w:t>The influence of a manipulation of threat on experimentally-induced secondary hyperalgesia. PeerJ 2022;10:e13512.</w:t>
      </w:r>
    </w:p>
    <w:p w14:paraId="612B84AD" w14:textId="77777777" w:rsidR="00AC6A9C" w:rsidRPr="00167615" w:rsidRDefault="00AC6A9C" w:rsidP="00AC6A9C">
      <w:pPr>
        <w:pStyle w:val="Bibliography"/>
        <w:rPr>
          <w:lang w:val="en-GB"/>
        </w:rPr>
      </w:pPr>
      <w:r w:rsidRPr="00167615">
        <w:rPr>
          <w:lang w:val="en-GB"/>
        </w:rPr>
        <w:t xml:space="preserve">[8] </w:t>
      </w:r>
      <w:r w:rsidRPr="00167615">
        <w:rPr>
          <w:lang w:val="en-GB"/>
        </w:rPr>
        <w:tab/>
      </w:r>
      <w:r>
        <w:rPr>
          <w:rFonts w:ascii="Arial" w:hAnsi="Arial" w:cs="Arial"/>
          <w:color w:val="222222"/>
          <w:sz w:val="20"/>
          <w:szCs w:val="20"/>
          <w:shd w:val="clear" w:color="auto" w:fill="FFFFFF"/>
        </w:rPr>
        <w:t>Beecher HK. Relationship of significance of wound to pain experienced. Journal of the American Medical Association. 1956 Aug 25;161(17):1609-13.</w:t>
      </w:r>
    </w:p>
    <w:p w14:paraId="5D8DCA58" w14:textId="77777777" w:rsidR="00AC6A9C" w:rsidRPr="00167615" w:rsidRDefault="00AC6A9C" w:rsidP="00AC6A9C">
      <w:pPr>
        <w:pStyle w:val="Bibliography"/>
        <w:rPr>
          <w:lang w:val="en-GB"/>
        </w:rPr>
      </w:pPr>
      <w:r w:rsidRPr="00167615">
        <w:rPr>
          <w:lang w:val="en-GB"/>
        </w:rPr>
        <w:t xml:space="preserve">[9] </w:t>
      </w:r>
      <w:r w:rsidRPr="00167615">
        <w:rPr>
          <w:lang w:val="en-GB"/>
        </w:rPr>
        <w:tab/>
        <w:t>Bingel U, Tracey I. Imaging CNS modulation of pain in humans. Physiology 2008;23:371–380.</w:t>
      </w:r>
    </w:p>
    <w:p w14:paraId="23988895" w14:textId="77777777" w:rsidR="00AC6A9C" w:rsidRPr="00167615" w:rsidRDefault="00AC6A9C" w:rsidP="00AC6A9C">
      <w:pPr>
        <w:pStyle w:val="Bibliography"/>
        <w:rPr>
          <w:lang w:val="en-GB"/>
        </w:rPr>
      </w:pPr>
      <w:r w:rsidRPr="00167615">
        <w:rPr>
          <w:lang w:val="en-GB"/>
        </w:rPr>
        <w:t xml:space="preserve">[10] </w:t>
      </w:r>
      <w:r w:rsidRPr="00167615">
        <w:rPr>
          <w:lang w:val="en-GB"/>
        </w:rPr>
        <w:tab/>
        <w:t>van den Broeke EN, Mouraux A. High-frequency electrical stimulation of the human skin induces heterotopical mechanical hyperalgesia, heat hyperalgesia, and enhanced responses to nonnociceptive vibrotactile input. J Neurophysiol 2014;111:1564–1573.</w:t>
      </w:r>
    </w:p>
    <w:p w14:paraId="2DBC8436" w14:textId="77777777" w:rsidR="00AC6A9C" w:rsidRPr="00167615" w:rsidRDefault="00AC6A9C" w:rsidP="00AC6A9C">
      <w:pPr>
        <w:pStyle w:val="Bibliography"/>
        <w:rPr>
          <w:lang w:val="en-GB"/>
        </w:rPr>
      </w:pPr>
      <w:r w:rsidRPr="00167615">
        <w:rPr>
          <w:lang w:val="en-GB"/>
        </w:rPr>
        <w:t xml:space="preserve">[11] </w:t>
      </w:r>
      <w:r w:rsidRPr="00167615">
        <w:rPr>
          <w:lang w:val="en-GB"/>
        </w:rPr>
        <w:tab/>
        <w:t>Brooks JCW, Nurmikko TJ, Bimson WE, Singh KD, Roberts N. fMRI of Thermal Pain: Effects of Stimulus Laterality and Attention. NeuroImage 2002;15:293–301.</w:t>
      </w:r>
    </w:p>
    <w:p w14:paraId="3428DB6B" w14:textId="77777777" w:rsidR="00AC6A9C" w:rsidRPr="00167615" w:rsidRDefault="00AC6A9C" w:rsidP="00AC6A9C">
      <w:pPr>
        <w:pStyle w:val="Bibliography"/>
        <w:rPr>
          <w:lang w:val="nl-NL"/>
        </w:rPr>
      </w:pPr>
      <w:r w:rsidRPr="00167615">
        <w:rPr>
          <w:lang w:val="en-GB"/>
        </w:rPr>
        <w:t xml:space="preserve">[12] </w:t>
      </w:r>
      <w:r w:rsidRPr="00167615">
        <w:rPr>
          <w:lang w:val="en-GB"/>
        </w:rPr>
        <w:tab/>
        <w:t xml:space="preserve">Bushnell MC, Duncan GH, Hofbauer RK, Ha B, Chen J-I, Carrier B. Pain perception: Is there a role for primary somatosensory cortex? </w:t>
      </w:r>
      <w:r w:rsidRPr="00167615">
        <w:rPr>
          <w:lang w:val="nl-NL"/>
        </w:rPr>
        <w:t>Proc Natl Acad Sci 1999;96:7705–7709.</w:t>
      </w:r>
    </w:p>
    <w:p w14:paraId="1E765C82" w14:textId="77777777" w:rsidR="00AC6A9C" w:rsidRPr="00167615" w:rsidRDefault="00AC6A9C" w:rsidP="00AC6A9C">
      <w:pPr>
        <w:pStyle w:val="Bibliography"/>
        <w:rPr>
          <w:lang w:val="en-GB"/>
        </w:rPr>
      </w:pPr>
      <w:r w:rsidRPr="00167615">
        <w:rPr>
          <w:lang w:val="nl-NL"/>
        </w:rPr>
        <w:t xml:space="preserve">[13] </w:t>
      </w:r>
      <w:r w:rsidRPr="00167615">
        <w:rPr>
          <w:lang w:val="nl-NL"/>
        </w:rPr>
        <w:tab/>
        <w:t xml:space="preserve">Cayrol T, Lebleu J, Mouraux A, Roussel N, Pitance L, van den Broeke EN. </w:t>
      </w:r>
      <w:r w:rsidRPr="00167615">
        <w:rPr>
          <w:lang w:val="en-GB"/>
        </w:rPr>
        <w:t>Within- and between-session reliability of secondary hyperalgesia induced by electrical high-frequency stimulation. Eur J Pain U K 2020;24:1585–1597.</w:t>
      </w:r>
    </w:p>
    <w:p w14:paraId="3DC7A964" w14:textId="77777777" w:rsidR="00AC6A9C" w:rsidRPr="00167615" w:rsidRDefault="00AC6A9C" w:rsidP="00AC6A9C">
      <w:pPr>
        <w:pStyle w:val="Bibliography"/>
        <w:rPr>
          <w:lang w:val="en-GB"/>
        </w:rPr>
      </w:pPr>
      <w:r w:rsidRPr="00167615">
        <w:rPr>
          <w:lang w:val="en-GB"/>
        </w:rPr>
        <w:t xml:space="preserve">[14] </w:t>
      </w:r>
      <w:r w:rsidRPr="00167615">
        <w:rPr>
          <w:lang w:val="en-GB"/>
        </w:rPr>
        <w:tab/>
        <w:t>Crombez G, Van Damme S, Eccleston C. Hypervigilance to pain: An experimental and clinical analysis. Pain 2005;116:4–7.</w:t>
      </w:r>
    </w:p>
    <w:p w14:paraId="2FBA23B7" w14:textId="77777777" w:rsidR="00AC6A9C" w:rsidRPr="00167615" w:rsidRDefault="00AC6A9C" w:rsidP="00AC6A9C">
      <w:pPr>
        <w:pStyle w:val="Bibliography"/>
        <w:rPr>
          <w:lang w:val="en-GB"/>
        </w:rPr>
      </w:pPr>
      <w:r w:rsidRPr="00167615">
        <w:rPr>
          <w:lang w:val="en-GB"/>
        </w:rPr>
        <w:t xml:space="preserve">[15] </w:t>
      </w:r>
      <w:r w:rsidRPr="00167615">
        <w:rPr>
          <w:lang w:val="en-GB"/>
        </w:rPr>
        <w:tab/>
        <w:t>DeBruine LM, Barr DJ. Understanding Mixed-Effects Models Through Data Simulation. Adv Methods Pract Psychol Sci 2021;4.</w:t>
      </w:r>
    </w:p>
    <w:p w14:paraId="12F8FAC6" w14:textId="77777777" w:rsidR="00AC6A9C" w:rsidRPr="00167615" w:rsidRDefault="00AC6A9C" w:rsidP="00AC6A9C">
      <w:pPr>
        <w:pStyle w:val="Bibliography"/>
        <w:rPr>
          <w:lang w:val="en-GB"/>
        </w:rPr>
      </w:pPr>
      <w:r w:rsidRPr="00167615">
        <w:rPr>
          <w:lang w:val="en-GB"/>
        </w:rPr>
        <w:t xml:space="preserve">[16] </w:t>
      </w:r>
      <w:r w:rsidRPr="00167615">
        <w:rPr>
          <w:lang w:val="en-GB"/>
        </w:rPr>
        <w:tab/>
        <w:t>Deldar Z, Blanchette I, Piché M. Reduction of Pain and Spinal Nociceptive Transmission by Working Memory is Load Dependant. J Pain 2021;22:797–805.</w:t>
      </w:r>
    </w:p>
    <w:p w14:paraId="74B948DB" w14:textId="77777777" w:rsidR="00AC6A9C" w:rsidRPr="00167615" w:rsidRDefault="00AC6A9C" w:rsidP="00AC6A9C">
      <w:pPr>
        <w:pStyle w:val="Bibliography"/>
        <w:rPr>
          <w:lang w:val="en-GB"/>
        </w:rPr>
      </w:pPr>
      <w:r w:rsidRPr="00167615">
        <w:rPr>
          <w:lang w:val="en-GB"/>
        </w:rPr>
        <w:t xml:space="preserve">[17] </w:t>
      </w:r>
      <w:r w:rsidRPr="00167615">
        <w:rPr>
          <w:lang w:val="en-GB"/>
        </w:rPr>
        <w:tab/>
      </w:r>
      <w:r w:rsidRPr="001755C2">
        <w:rPr>
          <w:lang w:val="en-GB"/>
        </w:rPr>
        <w:t>Della Porta D, Vilz ML, Kuzminova A, Filbrich L, Mouraux A, Legrain V. No evidence for an effect of selective spatial attention on the development of secondary hyperalgesia: A replication study. Frontiers in Human Neuroscience. 2022 Nov 3;16:997230</w:t>
      </w:r>
      <w:r w:rsidRPr="00167615">
        <w:rPr>
          <w:lang w:val="en-GB"/>
        </w:rPr>
        <w:t>.</w:t>
      </w:r>
    </w:p>
    <w:p w14:paraId="032CEBFA" w14:textId="77777777" w:rsidR="00AC6A9C" w:rsidRPr="00167615" w:rsidRDefault="00AC6A9C" w:rsidP="00AC6A9C">
      <w:pPr>
        <w:pStyle w:val="Bibliography"/>
        <w:rPr>
          <w:lang w:val="en-GB"/>
        </w:rPr>
      </w:pPr>
      <w:r w:rsidRPr="00167615">
        <w:rPr>
          <w:lang w:val="en-GB"/>
        </w:rPr>
        <w:t xml:space="preserve">[18] </w:t>
      </w:r>
      <w:r w:rsidRPr="00167615">
        <w:rPr>
          <w:lang w:val="en-GB"/>
        </w:rPr>
        <w:tab/>
      </w:r>
      <w:r w:rsidRPr="001755C2">
        <w:rPr>
          <w:lang w:val="en-GB"/>
        </w:rPr>
        <w:t>Eccleston C. Chronic pain and attention: a cognitive approach. British Journal of Clinical Psychology. 1994 Nov;33(4):535-47.</w:t>
      </w:r>
    </w:p>
    <w:p w14:paraId="6D659761" w14:textId="77777777" w:rsidR="00AC6A9C" w:rsidRPr="001755C2" w:rsidRDefault="00AC6A9C" w:rsidP="00AC6A9C">
      <w:pPr>
        <w:pStyle w:val="Bibliography"/>
        <w:rPr>
          <w:lang w:val="en-GB"/>
        </w:rPr>
      </w:pPr>
      <w:r w:rsidRPr="00167615">
        <w:rPr>
          <w:lang w:val="en-GB"/>
        </w:rPr>
        <w:t xml:space="preserve">[19] </w:t>
      </w:r>
      <w:r w:rsidRPr="00167615">
        <w:rPr>
          <w:lang w:val="en-GB"/>
        </w:rPr>
        <w:tab/>
      </w:r>
      <w:r w:rsidRPr="001755C2">
        <w:rPr>
          <w:lang w:val="en-GB"/>
        </w:rPr>
        <w:t>Eccleston C, Crombez G. Pain demands attention: A cognitive–affective model of the interruptive function of pain. Psychological bulletin. 1999 May;125(3):356.</w:t>
      </w:r>
    </w:p>
    <w:p w14:paraId="6D6D61F8" w14:textId="77777777" w:rsidR="00AC6A9C" w:rsidRPr="00167615" w:rsidRDefault="00AC6A9C" w:rsidP="00AC6A9C">
      <w:pPr>
        <w:pStyle w:val="Bibliography"/>
        <w:rPr>
          <w:lang w:val="en-GB"/>
        </w:rPr>
      </w:pPr>
      <w:r w:rsidRPr="00167615">
        <w:rPr>
          <w:lang w:val="en-GB"/>
        </w:rPr>
        <w:t xml:space="preserve">[20] </w:t>
      </w:r>
      <w:r w:rsidRPr="00167615">
        <w:rPr>
          <w:lang w:val="en-GB"/>
        </w:rPr>
        <w:tab/>
      </w:r>
      <w:r>
        <w:rPr>
          <w:rFonts w:ascii="Arial" w:hAnsi="Arial" w:cs="Arial"/>
          <w:color w:val="222222"/>
          <w:sz w:val="20"/>
          <w:szCs w:val="20"/>
          <w:shd w:val="clear" w:color="auto" w:fill="FFFFFF"/>
        </w:rPr>
        <w:t>Efird J. Blocked randomization with randomly selected block sizes. International journal of environmental research and public health. 2011 Jan;8(1):15-20</w:t>
      </w:r>
    </w:p>
    <w:p w14:paraId="18544FEC" w14:textId="77777777" w:rsidR="00AC6A9C" w:rsidRPr="00167615" w:rsidRDefault="00AC6A9C" w:rsidP="00AC6A9C">
      <w:pPr>
        <w:pStyle w:val="Bibliography"/>
        <w:rPr>
          <w:lang w:val="en-GB"/>
        </w:rPr>
      </w:pPr>
      <w:r w:rsidRPr="00167615">
        <w:rPr>
          <w:lang w:val="en-GB"/>
        </w:rPr>
        <w:t xml:space="preserve">[21] </w:t>
      </w:r>
      <w:r w:rsidRPr="00167615">
        <w:rPr>
          <w:lang w:val="en-GB"/>
        </w:rPr>
        <w:tab/>
        <w:t>Eippert F, Bingel U. Direct Evidence for Spinal Cord Involvement in Placebo Analgesia. Methods 2009;404:7.</w:t>
      </w:r>
    </w:p>
    <w:p w14:paraId="758AC8B4" w14:textId="77777777" w:rsidR="00AC6A9C" w:rsidRPr="00167615" w:rsidRDefault="00AC6A9C" w:rsidP="00AC6A9C">
      <w:pPr>
        <w:pStyle w:val="Bibliography"/>
        <w:rPr>
          <w:lang w:val="en-GB"/>
        </w:rPr>
      </w:pPr>
      <w:r w:rsidRPr="00167615">
        <w:rPr>
          <w:lang w:val="en-GB"/>
        </w:rPr>
        <w:t xml:space="preserve">[22] </w:t>
      </w:r>
      <w:r w:rsidRPr="00167615">
        <w:rPr>
          <w:lang w:val="en-GB"/>
        </w:rPr>
        <w:tab/>
        <w:t>Field AP, Wright DB. A Primer on Using Multilevel Models in Clinical and Experimental Psychopathology Research. J Exp Psychopathol 2011;2:271–293.</w:t>
      </w:r>
    </w:p>
    <w:p w14:paraId="68429587" w14:textId="77777777" w:rsidR="00AC6A9C" w:rsidRPr="00167615" w:rsidRDefault="00AC6A9C" w:rsidP="00AC6A9C">
      <w:pPr>
        <w:pStyle w:val="Bibliography"/>
        <w:rPr>
          <w:lang w:val="en-GB"/>
        </w:rPr>
      </w:pPr>
      <w:r w:rsidRPr="00167615">
        <w:rPr>
          <w:lang w:val="en-GB"/>
        </w:rPr>
        <w:t xml:space="preserve">[23] </w:t>
      </w:r>
      <w:r w:rsidRPr="00167615">
        <w:rPr>
          <w:lang w:val="en-GB"/>
        </w:rPr>
        <w:tab/>
        <w:t>Filbrich L, van den Broeke EN, Legrain V, Mouraux A. The focus of spatial attention during the induction of central sensitization can modulate the subsequent development of secondary hyperalgesia. Cortex 2020;124:193–203.</w:t>
      </w:r>
    </w:p>
    <w:p w14:paraId="5D6F4AB6" w14:textId="77777777" w:rsidR="00AC6A9C" w:rsidRPr="00167615" w:rsidRDefault="00AC6A9C" w:rsidP="00AC6A9C">
      <w:pPr>
        <w:pStyle w:val="Bibliography"/>
        <w:rPr>
          <w:lang w:val="en-GB"/>
        </w:rPr>
      </w:pPr>
      <w:r w:rsidRPr="00167615">
        <w:rPr>
          <w:lang w:val="en-GB"/>
        </w:rPr>
        <w:t xml:space="preserve">[24] </w:t>
      </w:r>
      <w:r w:rsidRPr="00167615">
        <w:rPr>
          <w:lang w:val="en-GB"/>
        </w:rPr>
        <w:tab/>
        <w:t>Garell PC, McGillis SL, Greenspan JD. Mechanical response properties of nociceptors innervating feline hairy skin. J Neurophysiol 1996;75:1177–1189.</w:t>
      </w:r>
    </w:p>
    <w:p w14:paraId="11920CD3" w14:textId="77777777" w:rsidR="00AC6A9C" w:rsidRPr="00167615" w:rsidRDefault="00AC6A9C" w:rsidP="00AC6A9C">
      <w:pPr>
        <w:pStyle w:val="Bibliography"/>
        <w:rPr>
          <w:lang w:val="en-GB"/>
        </w:rPr>
      </w:pPr>
      <w:r w:rsidRPr="00167615">
        <w:rPr>
          <w:lang w:val="en-GB"/>
        </w:rPr>
        <w:t xml:space="preserve">[25] </w:t>
      </w:r>
      <w:r w:rsidRPr="00167615">
        <w:rPr>
          <w:lang w:val="en-GB"/>
        </w:rPr>
        <w:tab/>
        <w:t>Guillery E, Mouraux A, Thonnard JL, Legrain V. Mind your grip: Even usual dexterous manipulation requires high level cognition. Front Behav Neurosci 2017;11:1–11.</w:t>
      </w:r>
    </w:p>
    <w:p w14:paraId="2B02B2ED" w14:textId="77777777" w:rsidR="00AC6A9C" w:rsidRPr="00167615" w:rsidRDefault="00AC6A9C" w:rsidP="00AC6A9C">
      <w:pPr>
        <w:pStyle w:val="Bibliography"/>
        <w:rPr>
          <w:lang w:val="en-GB"/>
        </w:rPr>
      </w:pPr>
      <w:r w:rsidRPr="00167615">
        <w:rPr>
          <w:lang w:val="en-GB"/>
        </w:rPr>
        <w:t xml:space="preserve">[26] </w:t>
      </w:r>
      <w:r w:rsidRPr="00167615">
        <w:rPr>
          <w:lang w:val="en-GB"/>
        </w:rPr>
        <w:tab/>
        <w:t>Hasenbring M. Attentional control of pain and the process of chronification. Prog Brain Res 2000;129:525–534.</w:t>
      </w:r>
    </w:p>
    <w:p w14:paraId="2196F163" w14:textId="77777777" w:rsidR="00AC6A9C" w:rsidRPr="00167615" w:rsidRDefault="00AC6A9C" w:rsidP="00AC6A9C">
      <w:pPr>
        <w:pStyle w:val="Bibliography"/>
        <w:rPr>
          <w:lang w:val="en-GB"/>
        </w:rPr>
      </w:pPr>
      <w:r w:rsidRPr="00167615">
        <w:rPr>
          <w:lang w:val="en-GB"/>
        </w:rPr>
        <w:t xml:space="preserve">[27] </w:t>
      </w:r>
      <w:r w:rsidRPr="00167615">
        <w:rPr>
          <w:lang w:val="en-GB"/>
        </w:rPr>
        <w:tab/>
        <w:t>Henrich MC, Frahm KS, Coghill RC, Andersen OK. Spinal Nociception is Facilitated during Cognitive Distraction. Neuroscience 2022;491:134–145.</w:t>
      </w:r>
    </w:p>
    <w:p w14:paraId="36B71ACA" w14:textId="77777777" w:rsidR="00AC6A9C" w:rsidRPr="00167615" w:rsidRDefault="00AC6A9C" w:rsidP="00AC6A9C">
      <w:pPr>
        <w:pStyle w:val="Bibliography"/>
        <w:rPr>
          <w:lang w:val="en-GB"/>
        </w:rPr>
      </w:pPr>
      <w:r w:rsidRPr="00167615">
        <w:rPr>
          <w:lang w:val="en-GB"/>
        </w:rPr>
        <w:t xml:space="preserve">[28] </w:t>
      </w:r>
      <w:r w:rsidRPr="00167615">
        <w:rPr>
          <w:lang w:val="en-GB"/>
        </w:rPr>
        <w:tab/>
        <w:t>Heo M, Leon AC. Sample Sizes Required to Detect Two-Way and Three-Way Interactions Involving Slope Differences in Mixed-Effects Linear Models. J Biopharm Stat 2010;20:787–802.</w:t>
      </w:r>
    </w:p>
    <w:p w14:paraId="298B7739" w14:textId="77777777" w:rsidR="00AC6A9C" w:rsidRPr="0019348B" w:rsidRDefault="00AC6A9C" w:rsidP="00AC6A9C">
      <w:pPr>
        <w:pStyle w:val="Bibliography"/>
        <w:rPr>
          <w:lang w:val="nl-NL"/>
        </w:rPr>
      </w:pPr>
      <w:r w:rsidRPr="00167615">
        <w:rPr>
          <w:lang w:val="en-GB"/>
        </w:rPr>
        <w:t xml:space="preserve">[29] </w:t>
      </w:r>
      <w:r w:rsidRPr="00167615">
        <w:rPr>
          <w:lang w:val="en-GB"/>
        </w:rPr>
        <w:tab/>
        <w:t xml:space="preserve">Hoffman L, Walters RW. Catching Up on Multilevel Modeling. </w:t>
      </w:r>
      <w:r w:rsidRPr="0019348B">
        <w:rPr>
          <w:lang w:val="nl-NL"/>
        </w:rPr>
        <w:t>Annu Rev Psychol 2022;73:659–689.</w:t>
      </w:r>
    </w:p>
    <w:p w14:paraId="66699641" w14:textId="77777777" w:rsidR="00AC6A9C" w:rsidRPr="00167615" w:rsidRDefault="00AC6A9C" w:rsidP="00AC6A9C">
      <w:pPr>
        <w:pStyle w:val="Bibliography"/>
        <w:rPr>
          <w:lang w:val="en-GB"/>
        </w:rPr>
      </w:pPr>
      <w:r w:rsidRPr="0019348B">
        <w:rPr>
          <w:lang w:val="nl-NL"/>
        </w:rPr>
        <w:t xml:space="preserve">[30] </w:t>
      </w:r>
      <w:r w:rsidRPr="0019348B">
        <w:rPr>
          <w:lang w:val="nl-NL"/>
        </w:rPr>
        <w:tab/>
      </w:r>
      <w:r w:rsidRPr="00B90372">
        <w:rPr>
          <w:lang w:val="nl-NL"/>
        </w:rPr>
        <w:t xml:space="preserve">Jaltare KP, Vanderijst L, Karos K, Torta DM. </w:t>
      </w:r>
      <w:r w:rsidRPr="00B90372">
        <w:t xml:space="preserve">The impact of the social context on the development of secondary hyperalgesia: an experimental study. </w:t>
      </w:r>
      <w:r w:rsidRPr="00AC6A9C">
        <w:t>Pain. 2022 May 13:10-9</w:t>
      </w:r>
      <w:r w:rsidRPr="00167615">
        <w:rPr>
          <w:lang w:val="en-GB"/>
        </w:rPr>
        <w:t>.</w:t>
      </w:r>
    </w:p>
    <w:p w14:paraId="7BB61F90" w14:textId="77777777" w:rsidR="00AC6A9C" w:rsidRPr="00167615" w:rsidRDefault="00AC6A9C" w:rsidP="00AC6A9C">
      <w:pPr>
        <w:pStyle w:val="Bibliography"/>
        <w:rPr>
          <w:lang w:val="en-GB"/>
        </w:rPr>
      </w:pPr>
      <w:r w:rsidRPr="00167615">
        <w:rPr>
          <w:lang w:val="en-GB"/>
        </w:rPr>
        <w:t xml:space="preserve">[31] </w:t>
      </w:r>
      <w:r w:rsidRPr="00167615">
        <w:rPr>
          <w:lang w:val="en-GB"/>
        </w:rPr>
        <w:tab/>
        <w:t>Klede M, Handwerker HO, Schmelz M. Central origin of secondary mechanical hyperalgesia. J Neurophysiol 2003;90:353–359.</w:t>
      </w:r>
    </w:p>
    <w:p w14:paraId="14E5E35B" w14:textId="77777777" w:rsidR="00AC6A9C" w:rsidRPr="0019348B" w:rsidRDefault="00AC6A9C" w:rsidP="00AC6A9C">
      <w:pPr>
        <w:pStyle w:val="Bibliography"/>
        <w:rPr>
          <w:lang w:val="it-IT"/>
        </w:rPr>
      </w:pPr>
      <w:r w:rsidRPr="00167615">
        <w:rPr>
          <w:lang w:val="en-GB"/>
        </w:rPr>
        <w:t xml:space="preserve">[32] </w:t>
      </w:r>
      <w:r w:rsidRPr="00167615">
        <w:rPr>
          <w:lang w:val="en-GB"/>
        </w:rPr>
        <w:tab/>
        <w:t xml:space="preserve">Klein T. Perceptual Correlates of Nociceptive Long-Term Potentiation and Long-Term Depression in Humans. </w:t>
      </w:r>
      <w:r w:rsidRPr="0019348B">
        <w:rPr>
          <w:lang w:val="it-IT"/>
        </w:rPr>
        <w:t>J Neurosci 2004;24:964–971.</w:t>
      </w:r>
    </w:p>
    <w:p w14:paraId="524FE044" w14:textId="77777777" w:rsidR="00AC6A9C" w:rsidRPr="00167615" w:rsidRDefault="00AC6A9C" w:rsidP="00AC6A9C">
      <w:pPr>
        <w:pStyle w:val="Bibliography"/>
        <w:rPr>
          <w:lang w:val="en-GB"/>
        </w:rPr>
      </w:pPr>
      <w:r w:rsidRPr="0019348B">
        <w:rPr>
          <w:lang w:val="it-IT"/>
        </w:rPr>
        <w:t xml:space="preserve">[33] </w:t>
      </w:r>
      <w:r w:rsidRPr="0019348B">
        <w:rPr>
          <w:lang w:val="it-IT"/>
        </w:rPr>
        <w:tab/>
      </w:r>
      <w:r w:rsidRPr="00B90372">
        <w:rPr>
          <w:lang w:val="it-IT"/>
        </w:rPr>
        <w:t xml:space="preserve">LaMotte RH, Shain CN, Simone DA, Tsai EF. </w:t>
      </w:r>
      <w:r w:rsidRPr="00B90372">
        <w:t>Neurogenic hyperalgesia: psychophysical studies of underlying mechanisms. Journal of neurophysiology. 1991 Jul 1;66(1):190-211</w:t>
      </w:r>
    </w:p>
    <w:p w14:paraId="5D5B721C" w14:textId="77777777" w:rsidR="00AC6A9C" w:rsidRPr="00167615" w:rsidRDefault="00AC6A9C" w:rsidP="00AC6A9C">
      <w:pPr>
        <w:pStyle w:val="Bibliography"/>
        <w:rPr>
          <w:lang w:val="en-GB"/>
        </w:rPr>
      </w:pPr>
      <w:r w:rsidRPr="00167615">
        <w:rPr>
          <w:lang w:val="en-GB"/>
        </w:rPr>
        <w:t xml:space="preserve">[34] </w:t>
      </w:r>
      <w:r w:rsidRPr="00167615">
        <w:rPr>
          <w:lang w:val="en-GB"/>
        </w:rPr>
        <w:tab/>
      </w:r>
      <w:r>
        <w:rPr>
          <w:rFonts w:ascii="Arial" w:hAnsi="Arial" w:cs="Arial"/>
          <w:color w:val="222222"/>
          <w:sz w:val="20"/>
          <w:szCs w:val="20"/>
          <w:shd w:val="clear" w:color="auto" w:fill="FFFFFF"/>
        </w:rPr>
        <w:t>Latremoliere A, Woolf CJ. Central sensitization: a generator of pain hypersensitivity by central neural plasticity. The journal of pain. 2009 Sep 1;10(9):895-926</w:t>
      </w:r>
      <w:r w:rsidRPr="00167615">
        <w:rPr>
          <w:lang w:val="en-GB"/>
        </w:rPr>
        <w:t>.</w:t>
      </w:r>
    </w:p>
    <w:p w14:paraId="18357B1C" w14:textId="77777777" w:rsidR="00AC6A9C" w:rsidRPr="00167615" w:rsidRDefault="00AC6A9C" w:rsidP="00AC6A9C">
      <w:pPr>
        <w:pStyle w:val="Bibliography"/>
        <w:rPr>
          <w:lang w:val="en-GB"/>
        </w:rPr>
      </w:pPr>
      <w:r w:rsidRPr="00167615">
        <w:rPr>
          <w:lang w:val="en-GB"/>
        </w:rPr>
        <w:t xml:space="preserve">[35] </w:t>
      </w:r>
      <w:r w:rsidRPr="00167615">
        <w:rPr>
          <w:lang w:val="en-GB"/>
        </w:rPr>
        <w:tab/>
      </w:r>
      <w:r w:rsidRPr="00B90372">
        <w:rPr>
          <w:lang w:val="en-GB"/>
        </w:rPr>
        <w:t>Legrain V, Crombez G, Mouraux A. Controlling attention to nociceptive stimuli with working memory. PloS one. 2011 Jun 7;6(6):e20926</w:t>
      </w:r>
    </w:p>
    <w:p w14:paraId="56C099F7" w14:textId="77777777" w:rsidR="00AC6A9C" w:rsidRPr="00167615" w:rsidRDefault="00AC6A9C" w:rsidP="00AC6A9C">
      <w:pPr>
        <w:pStyle w:val="Bibliography"/>
        <w:rPr>
          <w:lang w:val="en-GB"/>
        </w:rPr>
      </w:pPr>
      <w:r w:rsidRPr="00167615">
        <w:rPr>
          <w:lang w:val="en-GB"/>
        </w:rPr>
        <w:t xml:space="preserve">[36] </w:t>
      </w:r>
      <w:r w:rsidRPr="00167615">
        <w:rPr>
          <w:lang w:val="en-GB"/>
        </w:rPr>
        <w:tab/>
        <w:t>Legrain V, Crombez G, Plaghki L, Mouraux A. Shielding cognition from nociception with working memory. Cortex 2013;49:1922–1934.</w:t>
      </w:r>
    </w:p>
    <w:p w14:paraId="35DF8CCC" w14:textId="77777777" w:rsidR="00AC6A9C" w:rsidRPr="00167615" w:rsidRDefault="00AC6A9C" w:rsidP="00AC6A9C">
      <w:pPr>
        <w:pStyle w:val="Bibliography"/>
        <w:rPr>
          <w:lang w:val="en-GB"/>
        </w:rPr>
      </w:pPr>
      <w:r w:rsidRPr="00167615">
        <w:rPr>
          <w:lang w:val="en-GB"/>
        </w:rPr>
        <w:t xml:space="preserve">[37] </w:t>
      </w:r>
      <w:r w:rsidRPr="00167615">
        <w:rPr>
          <w:lang w:val="en-GB"/>
        </w:rPr>
        <w:tab/>
        <w:t>Legrain V, Crombez G, Verhoeven K, Mouraux A. The role of working memory in the attentional control of pain. Pain 2011;152:453–459.</w:t>
      </w:r>
    </w:p>
    <w:p w14:paraId="5C292F72" w14:textId="77777777" w:rsidR="00AC6A9C" w:rsidRPr="00167615" w:rsidRDefault="00AC6A9C" w:rsidP="00AC6A9C">
      <w:pPr>
        <w:pStyle w:val="Bibliography"/>
        <w:rPr>
          <w:lang w:val="en-GB"/>
        </w:rPr>
      </w:pPr>
      <w:r w:rsidRPr="00167615">
        <w:rPr>
          <w:lang w:val="en-GB"/>
        </w:rPr>
        <w:t xml:space="preserve">[38] </w:t>
      </w:r>
      <w:r w:rsidRPr="00167615">
        <w:rPr>
          <w:lang w:val="en-GB"/>
        </w:rPr>
        <w:tab/>
        <w:t>Legrain V, Damme SV, Eccleston C, Davis KD, Seminowicz DA, Crombez G. A neurocognitive model of attention to pain: Behavioral and neuroimaging evidence. Pain 2009;144:230–232.</w:t>
      </w:r>
    </w:p>
    <w:p w14:paraId="330E113D" w14:textId="77777777" w:rsidR="00AC6A9C" w:rsidRPr="00167615" w:rsidRDefault="00AC6A9C" w:rsidP="00AC6A9C">
      <w:pPr>
        <w:pStyle w:val="Bibliography"/>
        <w:rPr>
          <w:lang w:val="en-GB"/>
        </w:rPr>
      </w:pPr>
      <w:r w:rsidRPr="00167615">
        <w:rPr>
          <w:lang w:val="en-GB"/>
        </w:rPr>
        <w:t xml:space="preserve">[39] </w:t>
      </w:r>
      <w:r w:rsidRPr="00167615">
        <w:rPr>
          <w:lang w:val="en-GB"/>
        </w:rPr>
        <w:tab/>
        <w:t>Legrain V, Guérit JM, Bruyer R, Plaghki L. Attentional modulation of the nociceptive processing into the human brain: Selective spatial attention, probability of stimulus occurrence, and target detection effects on laser evoked potentials. Pain 2002;99:21–39.</w:t>
      </w:r>
    </w:p>
    <w:p w14:paraId="3DB82F6C" w14:textId="77777777" w:rsidR="00AC6A9C" w:rsidRPr="00167615" w:rsidRDefault="00AC6A9C" w:rsidP="00AC6A9C">
      <w:pPr>
        <w:pStyle w:val="Bibliography"/>
        <w:rPr>
          <w:lang w:val="en-GB"/>
        </w:rPr>
      </w:pPr>
      <w:r w:rsidRPr="00167615">
        <w:rPr>
          <w:lang w:val="en-GB"/>
        </w:rPr>
        <w:t xml:space="preserve">[40] </w:t>
      </w:r>
      <w:r w:rsidRPr="00167615">
        <w:rPr>
          <w:lang w:val="en-GB"/>
        </w:rPr>
        <w:tab/>
        <w:t>Legrain V, Iannetti GD, Plaghki L, Mouraux A. The pain matrix reloaded: A salience detection system for the body. Prog Neurobiol 2011;93:111–124.</w:t>
      </w:r>
    </w:p>
    <w:p w14:paraId="5E00090A" w14:textId="77777777" w:rsidR="00AC6A9C" w:rsidRPr="0019348B" w:rsidRDefault="00AC6A9C" w:rsidP="00AC6A9C">
      <w:pPr>
        <w:pStyle w:val="Bibliography"/>
        <w:rPr>
          <w:lang w:val="nl-NL"/>
        </w:rPr>
      </w:pPr>
      <w:r w:rsidRPr="00167615">
        <w:rPr>
          <w:lang w:val="en-GB"/>
        </w:rPr>
        <w:t xml:space="preserve">[41] </w:t>
      </w:r>
      <w:r w:rsidRPr="00167615">
        <w:rPr>
          <w:lang w:val="en-GB"/>
        </w:rPr>
        <w:tab/>
        <w:t xml:space="preserve">Legrain V, Mancini F, Sambo CF, Torta DM, Ronga I, Valentini E. Cognitive aspects of nociception and pain. Bridging neurophysiology with cognitive psychology Aspects cognitifs de la nociception et de la douleur. </w:t>
      </w:r>
      <w:r w:rsidRPr="0019348B">
        <w:rPr>
          <w:lang w:val="nl-NL"/>
        </w:rPr>
        <w:t>Le rapprochement de la neurophysiologie et de la psychologie cognitive. Neurophysiol Clin Neurophysiol 2012;42:325–336.</w:t>
      </w:r>
    </w:p>
    <w:p w14:paraId="4267B76C" w14:textId="77777777" w:rsidR="00AC6A9C" w:rsidRPr="00167615" w:rsidRDefault="00AC6A9C" w:rsidP="00AC6A9C">
      <w:pPr>
        <w:pStyle w:val="Bibliography"/>
        <w:rPr>
          <w:lang w:val="en-GB"/>
        </w:rPr>
      </w:pPr>
      <w:r w:rsidRPr="00167615">
        <w:rPr>
          <w:lang w:val="en-GB"/>
        </w:rPr>
        <w:t xml:space="preserve">[42] </w:t>
      </w:r>
      <w:r w:rsidRPr="00167615">
        <w:rPr>
          <w:lang w:val="en-GB"/>
        </w:rPr>
        <w:tab/>
        <w:t>Magnusson, K. (2018). Powerlmm: Power analysis for longitudinal multilevel models. R Package Version 0.4. 0. n.d.</w:t>
      </w:r>
    </w:p>
    <w:p w14:paraId="1FF48E91" w14:textId="77777777" w:rsidR="00AC6A9C" w:rsidRPr="00167615" w:rsidRDefault="00AC6A9C" w:rsidP="00AC6A9C">
      <w:pPr>
        <w:pStyle w:val="Bibliography"/>
        <w:rPr>
          <w:lang w:val="en-GB"/>
        </w:rPr>
      </w:pPr>
      <w:r w:rsidRPr="00167615">
        <w:rPr>
          <w:lang w:val="en-GB"/>
        </w:rPr>
        <w:t xml:space="preserve">[43] </w:t>
      </w:r>
      <w:r w:rsidRPr="00167615">
        <w:rPr>
          <w:lang w:val="en-GB"/>
        </w:rPr>
        <w:tab/>
        <w:t>Matre D, Casey KL, Knardahl S. Placebo-induced changes in spinal cord pain processing. J Neurosci 2006;26:559–563.</w:t>
      </w:r>
    </w:p>
    <w:p w14:paraId="040E0C79" w14:textId="77777777" w:rsidR="00AC6A9C" w:rsidRPr="00167615" w:rsidRDefault="00AC6A9C" w:rsidP="00AC6A9C">
      <w:pPr>
        <w:pStyle w:val="Bibliography"/>
        <w:rPr>
          <w:lang w:val="en-GB"/>
        </w:rPr>
      </w:pPr>
      <w:r w:rsidRPr="00167615">
        <w:rPr>
          <w:lang w:val="en-GB"/>
        </w:rPr>
        <w:t xml:space="preserve">[44] </w:t>
      </w:r>
      <w:r w:rsidRPr="00167615">
        <w:rPr>
          <w:lang w:val="en-GB"/>
        </w:rPr>
        <w:tab/>
        <w:t>McCracken LM, Zayfert C, Gross RT. The pain anxiety symptoms scale: development and validation of a scale to measure fear of pain. Pain 1992;50:67–73.</w:t>
      </w:r>
    </w:p>
    <w:p w14:paraId="2A012F7C" w14:textId="77777777" w:rsidR="00AC6A9C" w:rsidRPr="00167615" w:rsidRDefault="00AC6A9C" w:rsidP="00AC6A9C">
      <w:pPr>
        <w:pStyle w:val="Bibliography"/>
        <w:rPr>
          <w:lang w:val="en-GB"/>
        </w:rPr>
      </w:pPr>
      <w:r w:rsidRPr="00167615">
        <w:rPr>
          <w:lang w:val="en-GB"/>
        </w:rPr>
        <w:t xml:space="preserve">[45] </w:t>
      </w:r>
      <w:r w:rsidRPr="00167615">
        <w:rPr>
          <w:lang w:val="en-GB"/>
        </w:rPr>
        <w:tab/>
        <w:t>McWilliams LA, Cox BJ, Enns MW. Mood and anxiety disorders associated with chronic pain: an examination in a nationally representative sample. Pain 2003;106:127–133.</w:t>
      </w:r>
    </w:p>
    <w:p w14:paraId="0A87845D" w14:textId="77777777" w:rsidR="00AC6A9C" w:rsidRPr="0019348B" w:rsidRDefault="00AC6A9C" w:rsidP="00AC6A9C">
      <w:pPr>
        <w:pStyle w:val="Bibliography"/>
        <w:rPr>
          <w:lang w:val="nl-NL"/>
        </w:rPr>
      </w:pPr>
      <w:r w:rsidRPr="00167615">
        <w:rPr>
          <w:lang w:val="en-GB"/>
        </w:rPr>
        <w:t xml:space="preserve">[46] </w:t>
      </w:r>
      <w:r w:rsidRPr="00167615">
        <w:rPr>
          <w:lang w:val="en-GB"/>
        </w:rPr>
        <w:tab/>
      </w:r>
      <w:r>
        <w:rPr>
          <w:rFonts w:ascii="Arial" w:hAnsi="Arial" w:cs="Arial"/>
          <w:color w:val="222222"/>
          <w:sz w:val="20"/>
          <w:szCs w:val="20"/>
          <w:shd w:val="clear" w:color="auto" w:fill="FFFFFF"/>
        </w:rPr>
        <w:t xml:space="preserve">Meyers E, Alves M, Teugels A, Torta DM. No Evidence that Working Memory Modulates the Plasticity of the Nociceptive System, as Measured by Secondary Mechanical Hypersensitivity. </w:t>
      </w:r>
      <w:r w:rsidRPr="00AC6A9C">
        <w:rPr>
          <w:rFonts w:ascii="Arial" w:hAnsi="Arial" w:cs="Arial"/>
          <w:color w:val="222222"/>
          <w:sz w:val="20"/>
          <w:szCs w:val="20"/>
          <w:shd w:val="clear" w:color="auto" w:fill="FFFFFF"/>
          <w:lang w:val="nl-NL"/>
        </w:rPr>
        <w:t>The Journal of Pain. 2023 Jun 2.</w:t>
      </w:r>
    </w:p>
    <w:p w14:paraId="0BED8EDF" w14:textId="77777777" w:rsidR="00AC6A9C" w:rsidRPr="00167615" w:rsidRDefault="00AC6A9C" w:rsidP="00AC6A9C">
      <w:pPr>
        <w:pStyle w:val="Bibliography"/>
        <w:rPr>
          <w:lang w:val="en-GB"/>
        </w:rPr>
      </w:pPr>
      <w:r w:rsidRPr="0019348B">
        <w:rPr>
          <w:lang w:val="nl-NL"/>
        </w:rPr>
        <w:t xml:space="preserve">[47] </w:t>
      </w:r>
      <w:r w:rsidRPr="0019348B">
        <w:rPr>
          <w:lang w:val="nl-NL"/>
        </w:rPr>
        <w:tab/>
        <w:t xml:space="preserve">Meyers E, Vlaeyen JWS, Van Den Broeke EN, Von Leupoldt A, Palmer AJ, Torta DM. </w:t>
      </w:r>
      <w:r w:rsidRPr="00167615">
        <w:rPr>
          <w:lang w:val="en-GB"/>
        </w:rPr>
        <w:t>The effect of high versus low cognitive load on the development of nociceptive hypersensitivity: The roles of sympathetic arousal, sex and pain‐related fear. Eur J Pain 2023:ejp.2098.</w:t>
      </w:r>
    </w:p>
    <w:p w14:paraId="338EC57F" w14:textId="77777777" w:rsidR="00AC6A9C" w:rsidRPr="00167615" w:rsidRDefault="00AC6A9C" w:rsidP="00AC6A9C">
      <w:pPr>
        <w:pStyle w:val="Bibliography"/>
        <w:rPr>
          <w:lang w:val="en-GB"/>
        </w:rPr>
      </w:pPr>
      <w:r w:rsidRPr="00167615">
        <w:rPr>
          <w:lang w:val="en-GB"/>
        </w:rPr>
        <w:t xml:space="preserve">[48] </w:t>
      </w:r>
      <w:r w:rsidRPr="00167615">
        <w:rPr>
          <w:lang w:val="en-GB"/>
        </w:rPr>
        <w:tab/>
        <w:t>Nakamura Y, Paur R, Zimmermann R, Bromm B. Attentional modulation of human pain processing in the secondary somatosensory cortex: a magnetoencephalographic study. Neurosci Lett 2002;328:29–32.</w:t>
      </w:r>
    </w:p>
    <w:p w14:paraId="073B73BB" w14:textId="77777777" w:rsidR="00AC6A9C" w:rsidRPr="00167615" w:rsidRDefault="00AC6A9C" w:rsidP="00AC6A9C">
      <w:pPr>
        <w:pStyle w:val="Bibliography"/>
        <w:rPr>
          <w:lang w:val="en-GB"/>
        </w:rPr>
      </w:pPr>
      <w:r w:rsidRPr="00167615">
        <w:rPr>
          <w:lang w:val="en-GB"/>
        </w:rPr>
        <w:t xml:space="preserve">[49] </w:t>
      </w:r>
      <w:r w:rsidRPr="00167615">
        <w:rPr>
          <w:lang w:val="en-GB"/>
        </w:rPr>
        <w:tab/>
        <w:t>Petrovic P, Petersson KM, Ghatan PH, Stone-Elander S, Ingvar M. Pain-related cerebral activation is altered by a distracting cognitive task. Pain 2000;85:19–30.</w:t>
      </w:r>
    </w:p>
    <w:p w14:paraId="0ED37134" w14:textId="77777777" w:rsidR="00AC6A9C" w:rsidRPr="00167615" w:rsidRDefault="00AC6A9C" w:rsidP="00AC6A9C">
      <w:pPr>
        <w:pStyle w:val="Bibliography"/>
        <w:rPr>
          <w:lang w:val="en-GB"/>
        </w:rPr>
      </w:pPr>
      <w:r w:rsidRPr="00167615">
        <w:rPr>
          <w:lang w:val="en-GB"/>
        </w:rPr>
        <w:t xml:space="preserve">[50] </w:t>
      </w:r>
      <w:r w:rsidRPr="00167615">
        <w:rPr>
          <w:lang w:val="en-GB"/>
        </w:rPr>
        <w:tab/>
        <w:t>Peyron R, Laurent B, García-Larrea L. Functional imaging of brain responses to pain. A review and meta-analysis (2000). Neurophysiol Clin Neurophysiol 2000;30:263–288.</w:t>
      </w:r>
    </w:p>
    <w:p w14:paraId="60AA8811" w14:textId="77777777" w:rsidR="00AC6A9C" w:rsidRPr="00167615" w:rsidRDefault="00AC6A9C" w:rsidP="00AC6A9C">
      <w:pPr>
        <w:pStyle w:val="Bibliography"/>
        <w:rPr>
          <w:lang w:val="en-GB"/>
        </w:rPr>
      </w:pPr>
      <w:r w:rsidRPr="00167615">
        <w:rPr>
          <w:lang w:val="en-GB"/>
        </w:rPr>
        <w:t xml:space="preserve">[51] </w:t>
      </w:r>
      <w:r w:rsidRPr="00167615">
        <w:rPr>
          <w:lang w:val="en-GB"/>
        </w:rPr>
        <w:tab/>
        <w:t>Pfau DB, Klein T, Putzer D, Pogatzki-Zahn EM, Treede R-D, Magerl W. Analysis of hyperalgesia time courses in humans after painful electrical high-frequency stimulation identifies a possible transition from early to late LTP-like pain plasticity. Pain 2011;152:1532–1539.</w:t>
      </w:r>
    </w:p>
    <w:p w14:paraId="0932EC84" w14:textId="77777777" w:rsidR="00AC6A9C" w:rsidRPr="00167615" w:rsidRDefault="00AC6A9C" w:rsidP="00AC6A9C">
      <w:pPr>
        <w:pStyle w:val="Bibliography"/>
        <w:rPr>
          <w:lang w:val="en-GB"/>
        </w:rPr>
      </w:pPr>
      <w:r w:rsidRPr="00167615">
        <w:rPr>
          <w:lang w:val="en-GB"/>
        </w:rPr>
        <w:t xml:space="preserve">[52] </w:t>
      </w:r>
      <w:r w:rsidRPr="00167615">
        <w:rPr>
          <w:lang w:val="en-GB"/>
        </w:rPr>
        <w:tab/>
        <w:t>Pogatzki-Zahn E, Segelcke D, Zahn P. Mechanisms of acute and chronic pain after surgery: update from findings in experimental animal models. Curr Opin Anaesthesiol 2018;31:575–585.</w:t>
      </w:r>
    </w:p>
    <w:p w14:paraId="01A82C7E" w14:textId="77777777" w:rsidR="00AC6A9C" w:rsidRPr="00167615" w:rsidRDefault="00AC6A9C" w:rsidP="00AC6A9C">
      <w:pPr>
        <w:pStyle w:val="Bibliography"/>
        <w:rPr>
          <w:lang w:val="en-GB"/>
        </w:rPr>
      </w:pPr>
      <w:r w:rsidRPr="00167615">
        <w:rPr>
          <w:lang w:val="en-GB"/>
        </w:rPr>
        <w:t xml:space="preserve">[53] </w:t>
      </w:r>
      <w:r w:rsidRPr="00167615">
        <w:rPr>
          <w:lang w:val="en-GB"/>
        </w:rPr>
        <w:tab/>
        <w:t>Quesada C, Kostenko A, Ho I, Leone C, Nochi Z, Stouffs A, Wittayer M, Caspani O, Brix Finnerup N, Mouraux A, Pickering G, Tracey I, Truini A, Treede R, Garcia‐Larrea L. Human surrogate models of central sensitization: A critical review and practical guide. Eur J Pain 2021;25:1389–1428.</w:t>
      </w:r>
    </w:p>
    <w:p w14:paraId="2BBF9B84" w14:textId="77777777" w:rsidR="00AC6A9C" w:rsidRPr="00167615" w:rsidRDefault="00AC6A9C" w:rsidP="00AC6A9C">
      <w:pPr>
        <w:pStyle w:val="Bibliography"/>
        <w:rPr>
          <w:lang w:val="en-GB"/>
        </w:rPr>
      </w:pPr>
      <w:r w:rsidRPr="00167615">
        <w:rPr>
          <w:lang w:val="en-GB"/>
        </w:rPr>
        <w:t xml:space="preserve">[54] </w:t>
      </w:r>
      <w:r w:rsidRPr="00167615">
        <w:rPr>
          <w:lang w:val="en-GB"/>
        </w:rPr>
        <w:tab/>
        <w:t>R Core Team (2021). R: A language and environment for statistical ##   computing. R Foundation for Statistical Computing, Vienna, Austria. URL https://www.R-project.org/</w:t>
      </w:r>
    </w:p>
    <w:p w14:paraId="70BDE434" w14:textId="77777777" w:rsidR="00AC6A9C" w:rsidRPr="00AC6A9C" w:rsidRDefault="00AC6A9C" w:rsidP="00AC6A9C">
      <w:pPr>
        <w:pStyle w:val="Bibliography"/>
        <w:rPr>
          <w:lang w:val="nl-NL"/>
        </w:rPr>
      </w:pPr>
      <w:r w:rsidRPr="00167615">
        <w:rPr>
          <w:lang w:val="en-GB"/>
        </w:rPr>
        <w:t xml:space="preserve">[55] </w:t>
      </w:r>
      <w:r w:rsidRPr="00167615">
        <w:rPr>
          <w:lang w:val="en-GB"/>
        </w:rPr>
        <w:tab/>
      </w:r>
      <w:r>
        <w:rPr>
          <w:rFonts w:ascii="Arial" w:hAnsi="Arial" w:cs="Arial"/>
          <w:color w:val="222222"/>
          <w:sz w:val="20"/>
          <w:szCs w:val="20"/>
          <w:shd w:val="clear" w:color="auto" w:fill="FFFFFF"/>
        </w:rPr>
        <w:t xml:space="preserve">Raja SN, Campbell JN, Meyer RA. Evidence for different mechanisms of primary and secondary hyperalgesia following heat injury to the glabrous skin. </w:t>
      </w:r>
      <w:r w:rsidRPr="00AC6A9C">
        <w:rPr>
          <w:rFonts w:ascii="Arial" w:hAnsi="Arial" w:cs="Arial"/>
          <w:color w:val="222222"/>
          <w:sz w:val="20"/>
          <w:szCs w:val="20"/>
          <w:shd w:val="clear" w:color="auto" w:fill="FFFFFF"/>
          <w:lang w:val="nl-NL"/>
        </w:rPr>
        <w:t>Brain. 1984 Dec 1;107(4):1179-88</w:t>
      </w:r>
    </w:p>
    <w:p w14:paraId="3FE88EA6" w14:textId="77777777" w:rsidR="00AC6A9C" w:rsidRPr="00167615" w:rsidRDefault="00AC6A9C" w:rsidP="00AC6A9C">
      <w:pPr>
        <w:pStyle w:val="Bibliography"/>
        <w:rPr>
          <w:lang w:val="en-GB"/>
        </w:rPr>
      </w:pPr>
      <w:r w:rsidRPr="0019348B">
        <w:rPr>
          <w:lang w:val="nl-NL"/>
        </w:rPr>
        <w:t xml:space="preserve">[56] </w:t>
      </w:r>
      <w:r w:rsidRPr="0019348B">
        <w:rPr>
          <w:lang w:val="nl-NL"/>
        </w:rPr>
        <w:tab/>
        <w:t xml:space="preserve">Roelofs J, Peters ML, McCracken L, Vlaeyen JWS. </w:t>
      </w:r>
      <w:r w:rsidRPr="00167615">
        <w:rPr>
          <w:lang w:val="en-GB"/>
        </w:rPr>
        <w:t>The pain vigilance and awareness questionnaire (PVAQ): Further psychometric evaluation in fibromyalgia and other chronic pain syndromes. Pain 2003;101:299–306.</w:t>
      </w:r>
    </w:p>
    <w:p w14:paraId="57B539D0" w14:textId="77777777" w:rsidR="00AC6A9C" w:rsidRPr="00167615" w:rsidRDefault="00AC6A9C" w:rsidP="00AC6A9C">
      <w:pPr>
        <w:pStyle w:val="Bibliography"/>
        <w:rPr>
          <w:lang w:val="en-GB"/>
        </w:rPr>
      </w:pPr>
      <w:r w:rsidRPr="00167615">
        <w:rPr>
          <w:lang w:val="en-GB"/>
        </w:rPr>
        <w:t xml:space="preserve">[57] </w:t>
      </w:r>
      <w:r w:rsidRPr="00167615">
        <w:rPr>
          <w:lang w:val="en-GB"/>
        </w:rPr>
        <w:tab/>
        <w:t>Ruscheweyh R, Kreusch A, Albers C, Sommer J, Marziniak M. The effect of distraction strategies on pain perception and the nociceptive flexor reflex (RIII reflex). Pain 2011;152:2662–2671.</w:t>
      </w:r>
    </w:p>
    <w:p w14:paraId="5E77D3A7" w14:textId="77777777" w:rsidR="00AC6A9C" w:rsidRPr="00167615" w:rsidRDefault="00AC6A9C" w:rsidP="00AC6A9C">
      <w:pPr>
        <w:pStyle w:val="Bibliography"/>
        <w:rPr>
          <w:lang w:val="en-GB"/>
        </w:rPr>
      </w:pPr>
      <w:r w:rsidRPr="00167615">
        <w:rPr>
          <w:lang w:val="en-GB"/>
        </w:rPr>
        <w:t xml:space="preserve">[58] </w:t>
      </w:r>
      <w:r w:rsidRPr="00167615">
        <w:rPr>
          <w:lang w:val="en-GB"/>
        </w:rPr>
        <w:tab/>
        <w:t>Salomons TV, Moayedi M, Erpelding N, Davis KD. A brief cognitive-behavioural intervention for pain reduces secondary hyperalgesia. Pain 2014;155:1446–1452.</w:t>
      </w:r>
    </w:p>
    <w:p w14:paraId="35FF8782" w14:textId="77777777" w:rsidR="00AC6A9C" w:rsidRPr="00167615" w:rsidRDefault="00AC6A9C" w:rsidP="00AC6A9C">
      <w:pPr>
        <w:pStyle w:val="Bibliography"/>
        <w:rPr>
          <w:lang w:val="en-GB"/>
        </w:rPr>
      </w:pPr>
      <w:r w:rsidRPr="00167615">
        <w:rPr>
          <w:lang w:val="en-GB"/>
        </w:rPr>
        <w:t xml:space="preserve">[59] </w:t>
      </w:r>
      <w:r w:rsidRPr="00167615">
        <w:rPr>
          <w:lang w:val="en-GB"/>
        </w:rPr>
        <w:tab/>
        <w:t>Sandkühler J, Gruber-Schoffnegger D. Hyperalgesia by synaptic long-term potentiation (LTP): an update. Curr Opin Pharmacol 2012;12:18–27.</w:t>
      </w:r>
    </w:p>
    <w:p w14:paraId="26FE57E6" w14:textId="77777777" w:rsidR="00AC6A9C" w:rsidRPr="00167615" w:rsidRDefault="00AC6A9C" w:rsidP="00AC6A9C">
      <w:pPr>
        <w:pStyle w:val="Bibliography"/>
        <w:rPr>
          <w:lang w:val="en-GB"/>
        </w:rPr>
      </w:pPr>
      <w:r w:rsidRPr="00167615">
        <w:rPr>
          <w:lang w:val="en-GB"/>
        </w:rPr>
        <w:t xml:space="preserve">[60] </w:t>
      </w:r>
      <w:r w:rsidRPr="00167615">
        <w:rPr>
          <w:lang w:val="en-GB"/>
        </w:rPr>
        <w:tab/>
        <w:t>Sinke C, Schmidt K, Forkmann K, Bingel U. Phasic and Tonic Pain Differentially Impact the Interruptive Function of Pain. PLOS ONE 2015;10:e0118363.</w:t>
      </w:r>
    </w:p>
    <w:p w14:paraId="067EEBF3" w14:textId="77777777" w:rsidR="00AC6A9C" w:rsidRPr="00167615" w:rsidRDefault="00AC6A9C" w:rsidP="00AC6A9C">
      <w:pPr>
        <w:pStyle w:val="Bibliography"/>
        <w:rPr>
          <w:lang w:val="en-GB"/>
        </w:rPr>
      </w:pPr>
      <w:r w:rsidRPr="00167615">
        <w:rPr>
          <w:lang w:val="en-GB"/>
        </w:rPr>
        <w:t xml:space="preserve">[61] </w:t>
      </w:r>
      <w:r w:rsidRPr="00167615">
        <w:rPr>
          <w:lang w:val="en-GB"/>
        </w:rPr>
        <w:tab/>
        <w:t>Slugg RM, Campbell JN, Meyer RA. The Population Response of A- and C-Fiber Nociceptors in Monkey Encodes High-Intensity Mechanical Stimuli. J Neurosci 2004;24:4649–4656.</w:t>
      </w:r>
    </w:p>
    <w:p w14:paraId="4E2E7123" w14:textId="77777777" w:rsidR="00AC6A9C" w:rsidRPr="00167615" w:rsidRDefault="00AC6A9C" w:rsidP="00AC6A9C">
      <w:pPr>
        <w:pStyle w:val="Bibliography"/>
        <w:rPr>
          <w:lang w:val="en-GB"/>
        </w:rPr>
      </w:pPr>
      <w:r w:rsidRPr="00167615">
        <w:rPr>
          <w:lang w:val="en-GB"/>
        </w:rPr>
        <w:t xml:space="preserve">[62] </w:t>
      </w:r>
      <w:r w:rsidRPr="00167615">
        <w:rPr>
          <w:lang w:val="en-GB"/>
        </w:rPr>
        <w:tab/>
        <w:t>Spielberger CD. State trait Anxiety Inventory questionnaire (STAI). 1968:19–21.</w:t>
      </w:r>
    </w:p>
    <w:p w14:paraId="66B73DD4" w14:textId="77777777" w:rsidR="00AC6A9C" w:rsidRPr="00167615" w:rsidRDefault="00AC6A9C" w:rsidP="00AC6A9C">
      <w:pPr>
        <w:pStyle w:val="Bibliography"/>
        <w:rPr>
          <w:lang w:val="en-GB"/>
        </w:rPr>
      </w:pPr>
      <w:r w:rsidRPr="00167615">
        <w:rPr>
          <w:lang w:val="en-GB"/>
        </w:rPr>
        <w:t xml:space="preserve">[63] </w:t>
      </w:r>
      <w:r w:rsidRPr="00167615">
        <w:rPr>
          <w:lang w:val="en-GB"/>
        </w:rPr>
        <w:tab/>
        <w:t>Spielberger CD, Nathan AJ, Scobell A, Spielberger CD, Gorsuch RL, Lushene R, P. R. V, Jacobs GA. State-Trait Anxiety Inventory for Adults: Self-Evaluation Questionnaire. Anxiety 2012;91:0–75.</w:t>
      </w:r>
    </w:p>
    <w:p w14:paraId="1ECBE05C" w14:textId="77777777" w:rsidR="00AC6A9C" w:rsidRPr="0019348B" w:rsidRDefault="00AC6A9C" w:rsidP="00AC6A9C">
      <w:pPr>
        <w:pStyle w:val="Bibliography"/>
        <w:rPr>
          <w:lang w:val="nl-NL"/>
        </w:rPr>
      </w:pPr>
      <w:r w:rsidRPr="00167615">
        <w:rPr>
          <w:lang w:val="en-GB"/>
        </w:rPr>
        <w:t xml:space="preserve">[64] </w:t>
      </w:r>
      <w:r w:rsidRPr="00167615">
        <w:rPr>
          <w:lang w:val="en-GB"/>
        </w:rPr>
        <w:tab/>
        <w:t xml:space="preserve">Sprenger C, Eippert F, Finsterbusch J, Bingel U, Rose M, Büchel C. Attention modulates spinal cord responses to pain. </w:t>
      </w:r>
      <w:r w:rsidRPr="0019348B">
        <w:rPr>
          <w:lang w:val="nl-NL"/>
        </w:rPr>
        <w:t>Curr Biol 2012;22:1019–1022.</w:t>
      </w:r>
    </w:p>
    <w:p w14:paraId="0E6AE3F2" w14:textId="77777777" w:rsidR="00AC6A9C" w:rsidRPr="00167615" w:rsidRDefault="00AC6A9C" w:rsidP="00AC6A9C">
      <w:pPr>
        <w:pStyle w:val="Bibliography"/>
        <w:rPr>
          <w:lang w:val="en-GB"/>
        </w:rPr>
      </w:pPr>
      <w:r w:rsidRPr="0019348B">
        <w:rPr>
          <w:lang w:val="nl-NL"/>
        </w:rPr>
        <w:t xml:space="preserve">[65] </w:t>
      </w:r>
      <w:r w:rsidRPr="0019348B">
        <w:rPr>
          <w:lang w:val="nl-NL"/>
        </w:rPr>
        <w:tab/>
        <w:t xml:space="preserve">Tinnermann, A., Geuter, S., Sprenger, C., Finsterbusch, J., &amp; Bu ̈ chel, C. (2017). </w:t>
      </w:r>
      <w:r w:rsidRPr="00167615">
        <w:rPr>
          <w:lang w:val="en-GB"/>
        </w:rPr>
        <w:t>Interactions between brain and spinal cord cortex 124 (2020) 193e203 20 mediate value effects in nocebo hyperalgesia. Science, 358(6359), 105e108. https://doi.org/10.1126/science.aan1221. n.d.</w:t>
      </w:r>
    </w:p>
    <w:p w14:paraId="35B76912" w14:textId="77777777" w:rsidR="00AC6A9C" w:rsidRPr="0019348B" w:rsidRDefault="00AC6A9C" w:rsidP="00AC6A9C">
      <w:pPr>
        <w:pStyle w:val="Bibliography"/>
        <w:rPr>
          <w:lang w:val="nl-NL"/>
        </w:rPr>
      </w:pPr>
      <w:r w:rsidRPr="00167615">
        <w:rPr>
          <w:lang w:val="en-GB"/>
        </w:rPr>
        <w:t xml:space="preserve">[66] </w:t>
      </w:r>
      <w:r w:rsidRPr="00167615">
        <w:rPr>
          <w:lang w:val="en-GB"/>
        </w:rPr>
        <w:tab/>
        <w:t xml:space="preserve">Torebjörk HE, Lundberg LE, LaMotte RH. Central changes in processing of mechanoreceptive input in capsaicin-induced secondary hyperalgesia in humans. </w:t>
      </w:r>
      <w:r w:rsidRPr="0019348B">
        <w:rPr>
          <w:lang w:val="nl-NL"/>
        </w:rPr>
        <w:t>J Physiol 1992;448:765–780.</w:t>
      </w:r>
    </w:p>
    <w:p w14:paraId="5846AD2E" w14:textId="77777777" w:rsidR="00AC6A9C" w:rsidRPr="00167615" w:rsidRDefault="00AC6A9C" w:rsidP="00AC6A9C">
      <w:pPr>
        <w:pStyle w:val="Bibliography"/>
        <w:rPr>
          <w:lang w:val="en-GB"/>
        </w:rPr>
      </w:pPr>
      <w:r w:rsidRPr="0019348B">
        <w:rPr>
          <w:lang w:val="nl-NL"/>
        </w:rPr>
        <w:t xml:space="preserve">[67] </w:t>
      </w:r>
      <w:r w:rsidRPr="0019348B">
        <w:rPr>
          <w:lang w:val="nl-NL"/>
        </w:rPr>
        <w:tab/>
        <w:t xml:space="preserve">Torta DM, De Laurentis M, Eichin KN, von Leupoldt A, van den Broeke EN, Vlaeyen JWS. </w:t>
      </w:r>
      <w:r w:rsidRPr="00167615">
        <w:rPr>
          <w:lang w:val="en-GB"/>
        </w:rPr>
        <w:t>A highly cognitive demanding working memory task may prevent the development of nociceptive hypersensitivity. Pain 2020;161:1459–1469.</w:t>
      </w:r>
    </w:p>
    <w:p w14:paraId="2A6EAF27" w14:textId="77777777" w:rsidR="00AC6A9C" w:rsidRPr="0019348B" w:rsidRDefault="00AC6A9C" w:rsidP="00AC6A9C">
      <w:pPr>
        <w:pStyle w:val="Bibliography"/>
        <w:rPr>
          <w:lang w:val="nl-NL"/>
        </w:rPr>
      </w:pPr>
      <w:r w:rsidRPr="00167615">
        <w:rPr>
          <w:lang w:val="en-GB"/>
        </w:rPr>
        <w:t xml:space="preserve">[68] </w:t>
      </w:r>
      <w:r w:rsidRPr="00167615">
        <w:rPr>
          <w:lang w:val="en-GB"/>
        </w:rPr>
        <w:tab/>
        <w:t xml:space="preserve">Torta DM, Legrain V, Mouraux A, Valentini E. Attention to pain! A neurocognitive perspective on attentional modulation of pain in neuroimaging studies. </w:t>
      </w:r>
      <w:r w:rsidRPr="0019348B">
        <w:rPr>
          <w:lang w:val="nl-NL"/>
        </w:rPr>
        <w:t>Cortex 2017;89:120–134.</w:t>
      </w:r>
    </w:p>
    <w:p w14:paraId="73424527" w14:textId="77777777" w:rsidR="00AC6A9C" w:rsidRPr="00167615" w:rsidRDefault="00AC6A9C" w:rsidP="00AC6A9C">
      <w:pPr>
        <w:pStyle w:val="Bibliography"/>
        <w:rPr>
          <w:lang w:val="en-GB"/>
        </w:rPr>
      </w:pPr>
      <w:r w:rsidRPr="0019348B">
        <w:rPr>
          <w:lang w:val="nl-NL"/>
        </w:rPr>
        <w:t xml:space="preserve">[69] </w:t>
      </w:r>
      <w:r w:rsidRPr="0019348B">
        <w:rPr>
          <w:lang w:val="nl-NL"/>
        </w:rPr>
        <w:tab/>
        <w:t xml:space="preserve">Torta DM, Meyers E, Polleunis K, De Wolf S, Meulders A, Van Den Broeke EN. </w:t>
      </w:r>
      <w:r w:rsidRPr="00167615">
        <w:rPr>
          <w:lang w:val="en-GB"/>
        </w:rPr>
        <w:t>The Effect of Observing High or Low Pain on the Development of Central Sensitization. J Pain 2023;24:167–177.</w:t>
      </w:r>
    </w:p>
    <w:p w14:paraId="5063EF24" w14:textId="77777777" w:rsidR="00AC6A9C" w:rsidRPr="00167615" w:rsidRDefault="00AC6A9C" w:rsidP="00AC6A9C">
      <w:pPr>
        <w:pStyle w:val="Bibliography"/>
        <w:rPr>
          <w:lang w:val="en-GB"/>
        </w:rPr>
      </w:pPr>
      <w:r w:rsidRPr="00167615">
        <w:rPr>
          <w:lang w:val="en-GB"/>
        </w:rPr>
        <w:t xml:space="preserve">[70] </w:t>
      </w:r>
      <w:r w:rsidRPr="00167615">
        <w:rPr>
          <w:lang w:val="en-GB"/>
        </w:rPr>
        <w:tab/>
        <w:t>Tracey I, Mantyh PW. The Cerebral Signature for Pain Perception and Its Modulation. Neuron 2007;55:377–391.</w:t>
      </w:r>
    </w:p>
    <w:p w14:paraId="24DA093A" w14:textId="77777777" w:rsidR="00AC6A9C" w:rsidRPr="00167615" w:rsidRDefault="00AC6A9C" w:rsidP="00AC6A9C">
      <w:pPr>
        <w:pStyle w:val="Bibliography"/>
        <w:rPr>
          <w:lang w:val="en-GB"/>
        </w:rPr>
      </w:pPr>
      <w:r w:rsidRPr="00167615">
        <w:rPr>
          <w:lang w:val="en-GB"/>
        </w:rPr>
        <w:t xml:space="preserve">[71] </w:t>
      </w:r>
      <w:r w:rsidRPr="00167615">
        <w:rPr>
          <w:lang w:val="en-GB"/>
        </w:rPr>
        <w:tab/>
        <w:t>Tracey I, Ploghaus A, Gati JS, Clare S, Smith S, Menon RS, Matthews PM. Imaging Attentional Modulation of Pain in the Periaqueductal Gray in Humans. J Neurosci 2002;22:2748–2752.</w:t>
      </w:r>
    </w:p>
    <w:p w14:paraId="5BA0C50B" w14:textId="77777777" w:rsidR="00AC6A9C" w:rsidRPr="00167615" w:rsidRDefault="00AC6A9C" w:rsidP="00AC6A9C">
      <w:pPr>
        <w:pStyle w:val="Bibliography"/>
        <w:rPr>
          <w:lang w:val="en-GB"/>
        </w:rPr>
      </w:pPr>
      <w:r w:rsidRPr="00167615">
        <w:rPr>
          <w:lang w:val="en-GB"/>
        </w:rPr>
        <w:t xml:space="preserve">[72] </w:t>
      </w:r>
      <w:r w:rsidRPr="00167615">
        <w:rPr>
          <w:lang w:val="en-GB"/>
        </w:rPr>
        <w:tab/>
        <w:t>Treede R-D, Magerl W. Multiple mechanisms of secondary hyperalgesia. Progress in Brain Research. Elsevier, 2000, Vol. 129. pp. 331–341. doi:10.1016/S0079-6123(00)29025-0.</w:t>
      </w:r>
    </w:p>
    <w:p w14:paraId="41B42212" w14:textId="77777777" w:rsidR="00AC6A9C" w:rsidRPr="00167615" w:rsidRDefault="00AC6A9C" w:rsidP="00AC6A9C">
      <w:pPr>
        <w:pStyle w:val="Bibliography"/>
        <w:rPr>
          <w:lang w:val="en-GB"/>
        </w:rPr>
      </w:pPr>
      <w:r w:rsidRPr="00167615">
        <w:rPr>
          <w:lang w:val="en-GB"/>
        </w:rPr>
        <w:t xml:space="preserve">[73] </w:t>
      </w:r>
      <w:r w:rsidRPr="00167615">
        <w:rPr>
          <w:lang w:val="en-GB"/>
        </w:rPr>
        <w:tab/>
        <w:t>Valet M, Sprenger T, Boecker H, Willoch F, Rummeny E, Conrad B, Erhard P, Tolle TR. Distraction modulates connectivity of the cingulo-frontal cortex and the midbrain during pain—an fMRI analysis. Pain 2004;109:399–408.</w:t>
      </w:r>
    </w:p>
    <w:p w14:paraId="368BD5AC" w14:textId="77777777" w:rsidR="00AC6A9C" w:rsidRPr="00167615" w:rsidRDefault="00AC6A9C" w:rsidP="00AC6A9C">
      <w:pPr>
        <w:pStyle w:val="Bibliography"/>
        <w:rPr>
          <w:lang w:val="en-GB"/>
        </w:rPr>
      </w:pPr>
      <w:r w:rsidRPr="00167615">
        <w:rPr>
          <w:lang w:val="en-GB"/>
        </w:rPr>
        <w:t xml:space="preserve">[74] </w:t>
      </w:r>
      <w:r w:rsidRPr="00167615">
        <w:rPr>
          <w:lang w:val="en-GB"/>
        </w:rPr>
        <w:tab/>
        <w:t>Van Damme S, Legrain V, Vogt J, Crombez G. Keeping pain in mind: A motivational account of attention to pain. Neurosci Biobehav Rev 2010;34:204–213.</w:t>
      </w:r>
    </w:p>
    <w:p w14:paraId="2D90E5C0" w14:textId="77777777" w:rsidR="00AC6A9C" w:rsidRPr="00167615" w:rsidRDefault="00AC6A9C" w:rsidP="00AC6A9C">
      <w:pPr>
        <w:pStyle w:val="Bibliography"/>
        <w:rPr>
          <w:lang w:val="en-GB"/>
        </w:rPr>
      </w:pPr>
      <w:r w:rsidRPr="00167615">
        <w:rPr>
          <w:lang w:val="en-GB"/>
        </w:rPr>
        <w:t xml:space="preserve">[75] </w:t>
      </w:r>
      <w:r>
        <w:rPr>
          <w:lang w:val="en-GB"/>
        </w:rPr>
        <w:t xml:space="preserve"> </w:t>
      </w:r>
      <w:r>
        <w:rPr>
          <w:rFonts w:ascii="Arial" w:hAnsi="Arial" w:cs="Arial"/>
          <w:color w:val="222222"/>
          <w:sz w:val="20"/>
          <w:szCs w:val="20"/>
          <w:shd w:val="clear" w:color="auto" w:fill="FFFFFF"/>
        </w:rPr>
        <w:t>Van den Broeke EN. Central sensitization and pain hypersensitivity: Some critical considerations. F1000Research. 2018;7.</w:t>
      </w:r>
    </w:p>
    <w:p w14:paraId="2ACACE6B" w14:textId="77777777" w:rsidR="00AC6A9C" w:rsidRPr="00167615" w:rsidRDefault="00AC6A9C" w:rsidP="00AC6A9C">
      <w:pPr>
        <w:pStyle w:val="Bibliography"/>
        <w:rPr>
          <w:lang w:val="en-GB"/>
        </w:rPr>
      </w:pPr>
      <w:r w:rsidRPr="00167615">
        <w:rPr>
          <w:lang w:val="en-GB"/>
        </w:rPr>
        <w:t xml:space="preserve">[76] </w:t>
      </w:r>
      <w:r w:rsidRPr="00167615">
        <w:rPr>
          <w:lang w:val="en-GB"/>
        </w:rPr>
        <w:tab/>
        <w:t>Van Den Broeke EN, Geene N, Van Rijn CM, Wilder-Smith OHG, Oosterman J. Negative expectations facilitate mechanical hyperalgesia after high-frequency electrical stimulation of human skin. Eur J Pain U K 2014;18:86–91.</w:t>
      </w:r>
    </w:p>
    <w:p w14:paraId="415DA647" w14:textId="77777777" w:rsidR="00AC6A9C" w:rsidRPr="00167615" w:rsidRDefault="00AC6A9C" w:rsidP="00AC6A9C">
      <w:pPr>
        <w:pStyle w:val="Bibliography"/>
        <w:rPr>
          <w:lang w:val="en-GB"/>
        </w:rPr>
      </w:pPr>
      <w:r w:rsidRPr="00167615">
        <w:rPr>
          <w:lang w:val="en-GB"/>
        </w:rPr>
        <w:t xml:space="preserve">[77] </w:t>
      </w:r>
      <w:r w:rsidRPr="00167615">
        <w:rPr>
          <w:lang w:val="en-GB"/>
        </w:rPr>
        <w:tab/>
        <w:t>Van Den Broeke EN, Gousset S, Bouvy J, Stouffs A, Lebrun L, Van Neerven SGA, Mouraux A. Heterosynaptic facilitation of mechanical nociceptive input is dependent on the frequency of conditioning stimulation. J Neurophysiol 2019;122:994–1001.</w:t>
      </w:r>
    </w:p>
    <w:p w14:paraId="40C0CF9A" w14:textId="77777777" w:rsidR="00AC6A9C" w:rsidRPr="008065A2" w:rsidRDefault="00AC6A9C" w:rsidP="00AC6A9C">
      <w:pPr>
        <w:pStyle w:val="Bibliography"/>
      </w:pPr>
      <w:r w:rsidRPr="008065A2">
        <w:t xml:space="preserve">[78] </w:t>
      </w:r>
      <w:r w:rsidRPr="008065A2">
        <w:tab/>
      </w:r>
      <w:r w:rsidRPr="00671108">
        <w:t>Van Ryckeghem DM, Crombez G, Eccleston C, Legrain V, Van Damme S. Keeping pain out of your mind: the role of attentional set in pain. Eur J Pain. 2013 Mar;17(3):402-11. doi: 10.1002/j.1532-2149.2012.00195.x. Epub 2012 Oct 16. PMID: 23070963.</w:t>
      </w:r>
    </w:p>
    <w:p w14:paraId="3FE930AB" w14:textId="77777777" w:rsidR="00AC6A9C" w:rsidRPr="00167615" w:rsidRDefault="00AC6A9C" w:rsidP="00AC6A9C">
      <w:pPr>
        <w:pStyle w:val="Bibliography"/>
        <w:rPr>
          <w:lang w:val="en-GB"/>
        </w:rPr>
      </w:pPr>
      <w:r w:rsidRPr="0019348B">
        <w:rPr>
          <w:lang w:val="nl-NL"/>
        </w:rPr>
        <w:t xml:space="preserve">[79] </w:t>
      </w:r>
      <w:r w:rsidRPr="0019348B">
        <w:rPr>
          <w:lang w:val="nl-NL"/>
        </w:rPr>
        <w:tab/>
        <w:t xml:space="preserve">Veldhuijzen DS, Kenemans JL, De Bruin CM, Olivier B, Volkerts ER. </w:t>
      </w:r>
      <w:r w:rsidRPr="00167615">
        <w:rPr>
          <w:lang w:val="en-GB"/>
        </w:rPr>
        <w:t>Pain and Attention: Attentional Disruption or Distraction? J Pain 2006;7:11–20.</w:t>
      </w:r>
    </w:p>
    <w:p w14:paraId="6FFCF546" w14:textId="77777777" w:rsidR="00AC6A9C" w:rsidRPr="00167615" w:rsidRDefault="00AC6A9C" w:rsidP="00AC6A9C">
      <w:pPr>
        <w:pStyle w:val="Bibliography"/>
        <w:rPr>
          <w:lang w:val="en-GB"/>
        </w:rPr>
      </w:pPr>
      <w:r w:rsidRPr="00167615">
        <w:rPr>
          <w:lang w:val="en-GB"/>
        </w:rPr>
        <w:t xml:space="preserve">[80] </w:t>
      </w:r>
      <w:r w:rsidRPr="00167615">
        <w:rPr>
          <w:lang w:val="en-GB"/>
        </w:rPr>
        <w:tab/>
        <w:t>Villemure C, Bushnell MC. Cognitive modulation of pain: how do attention and emotion influence pain processing? 2002;95:1–5.</w:t>
      </w:r>
    </w:p>
    <w:p w14:paraId="565A6083" w14:textId="77777777" w:rsidR="00AC6A9C" w:rsidRPr="00167615" w:rsidRDefault="00AC6A9C" w:rsidP="00AC6A9C">
      <w:pPr>
        <w:pStyle w:val="Bibliography"/>
        <w:rPr>
          <w:lang w:val="en-GB"/>
        </w:rPr>
      </w:pPr>
      <w:r w:rsidRPr="00167615">
        <w:rPr>
          <w:lang w:val="en-GB"/>
        </w:rPr>
        <w:t xml:space="preserve">[81] </w:t>
      </w:r>
      <w:r w:rsidRPr="00167615">
        <w:rPr>
          <w:lang w:val="en-GB"/>
        </w:rPr>
        <w:tab/>
        <w:t>Vogel TA, Falk CF, Otto AR, Roy M. Distraction from pain depends on task demands and motivation. PAIN Rep 2022;7:e1041.</w:t>
      </w:r>
    </w:p>
    <w:p w14:paraId="64355296" w14:textId="77777777" w:rsidR="00AC6A9C" w:rsidRPr="00167615" w:rsidRDefault="00AC6A9C" w:rsidP="00AC6A9C">
      <w:pPr>
        <w:pStyle w:val="Bibliography"/>
        <w:rPr>
          <w:lang w:val="en-GB"/>
        </w:rPr>
      </w:pPr>
      <w:r w:rsidRPr="00167615">
        <w:rPr>
          <w:lang w:val="en-GB"/>
        </w:rPr>
        <w:t xml:space="preserve">[82] </w:t>
      </w:r>
      <w:r w:rsidRPr="00167615">
        <w:rPr>
          <w:lang w:val="en-GB"/>
        </w:rPr>
        <w:tab/>
        <w:t>Walters ET, Crook RJ, Neely GG, Price TJ, Smith ESJ. Persistent nociceptor hyperactivity as a painful evolutionary adaptation. Trends Neurosci 2023:S0166223622002612.</w:t>
      </w:r>
    </w:p>
    <w:p w14:paraId="6CAE2BE4" w14:textId="77777777" w:rsidR="00AC6A9C" w:rsidRPr="00167615" w:rsidRDefault="00AC6A9C" w:rsidP="00AC6A9C">
      <w:pPr>
        <w:pStyle w:val="Bibliography"/>
        <w:rPr>
          <w:lang w:val="en-GB"/>
        </w:rPr>
      </w:pPr>
      <w:r w:rsidRPr="00167615">
        <w:rPr>
          <w:lang w:val="en-GB"/>
        </w:rPr>
        <w:t xml:space="preserve">[83] </w:t>
      </w:r>
      <w:r w:rsidRPr="00167615">
        <w:rPr>
          <w:lang w:val="en-GB"/>
        </w:rPr>
        <w:tab/>
        <w:t>Wang X, Inui K, Qiu Y, Kakigi R. Cortical responses to noxious stimuli during sleep. Neuroscience 2004;128:177–186.</w:t>
      </w:r>
    </w:p>
    <w:p w14:paraId="70D6BD24" w14:textId="77777777" w:rsidR="00AC6A9C" w:rsidRPr="00167615" w:rsidRDefault="00AC6A9C" w:rsidP="00AC6A9C">
      <w:pPr>
        <w:pStyle w:val="Bibliography"/>
        <w:rPr>
          <w:lang w:val="en-GB"/>
        </w:rPr>
      </w:pPr>
      <w:r w:rsidRPr="00167615">
        <w:rPr>
          <w:lang w:val="en-GB"/>
        </w:rPr>
        <w:t xml:space="preserve">[84] </w:t>
      </w:r>
      <w:r w:rsidRPr="00167615">
        <w:rPr>
          <w:lang w:val="en-GB"/>
        </w:rPr>
        <w:tab/>
        <w:t>Woolf CJ. Neuronal Plasticity: Increasing the Gain in Pain. Science 2000;288:1765–1769.</w:t>
      </w:r>
    </w:p>
    <w:p w14:paraId="7922FCE5" w14:textId="77777777" w:rsidR="00AC6A9C" w:rsidRPr="00167615" w:rsidRDefault="00AC6A9C" w:rsidP="00AC6A9C">
      <w:pPr>
        <w:pStyle w:val="Bibliography"/>
        <w:rPr>
          <w:lang w:val="en-GB"/>
        </w:rPr>
      </w:pPr>
      <w:r w:rsidRPr="00167615">
        <w:rPr>
          <w:lang w:val="en-GB"/>
        </w:rPr>
        <w:t xml:space="preserve">[85] </w:t>
      </w:r>
      <w:r w:rsidRPr="00167615">
        <w:rPr>
          <w:lang w:val="en-GB"/>
        </w:rPr>
        <w:tab/>
        <w:t>Yantis S. The Neural Basis of Selective Attention: Cortical Sources and Targets of Attentional Modulation. Curr Dir Psychol Sci 2008;17:86–90.</w:t>
      </w:r>
    </w:p>
    <w:p w14:paraId="4E4CCFE8" w14:textId="77777777" w:rsidR="00AC6A9C" w:rsidRPr="001B30C4" w:rsidRDefault="00AC6A9C" w:rsidP="00AC6A9C">
      <w:pPr>
        <w:pStyle w:val="Bibliography"/>
        <w:rPr>
          <w:rFonts w:ascii="Times New Roman" w:hAnsi="Times New Roman" w:cs="Times New Roman"/>
          <w:b/>
          <w:bCs/>
          <w:color w:val="000000" w:themeColor="text1"/>
          <w:sz w:val="24"/>
          <w:szCs w:val="24"/>
          <w:lang w:val="fr-FR"/>
        </w:rPr>
      </w:pPr>
      <w:r w:rsidRPr="00167615">
        <w:rPr>
          <w:lang w:val="en-GB"/>
        </w:rPr>
        <w:t xml:space="preserve">[86] </w:t>
      </w:r>
      <w:r w:rsidRPr="00167615">
        <w:rPr>
          <w:lang w:val="en-GB"/>
        </w:rPr>
        <w:tab/>
      </w:r>
      <w:r w:rsidRPr="00C16D39">
        <w:rPr>
          <w:lang w:val="en-GB"/>
        </w:rPr>
        <w:tab/>
        <w:t>Zahn PK, Brennan TJ. Primary and secondary hyperalgesia in a rat model for human postoperative pain. Anesthesiology. 1999 Mar;90(3):863-72. doi: 10.1097/00000542-199903000-00030. PMID: 10078689</w:t>
      </w:r>
      <w:r w:rsidRPr="001B30C4">
        <w:rPr>
          <w:rFonts w:ascii="Times New Roman" w:hAnsi="Times New Roman" w:cs="Times New Roman"/>
          <w:b/>
          <w:bCs/>
          <w:color w:val="000000" w:themeColor="text1"/>
          <w:sz w:val="24"/>
          <w:szCs w:val="24"/>
        </w:rPr>
        <w:fldChar w:fldCharType="end"/>
      </w:r>
    </w:p>
    <w:p w14:paraId="707E871C" w14:textId="3E812D61" w:rsidR="00DA5707" w:rsidRDefault="00DA5707" w:rsidP="00111D0C">
      <w:pPr>
        <w:spacing w:line="480" w:lineRule="auto"/>
        <w:rPr>
          <w:rFonts w:cstheme="minorHAnsi"/>
          <w:b/>
          <w:bCs/>
          <w:color w:val="000000" w:themeColor="text1"/>
          <w:sz w:val="28"/>
          <w:szCs w:val="28"/>
        </w:rPr>
      </w:pPr>
    </w:p>
    <w:p w14:paraId="3D701D15" w14:textId="77777777" w:rsidR="001D62F1" w:rsidRPr="005B7C3D" w:rsidRDefault="001D62F1" w:rsidP="00111D0C">
      <w:pPr>
        <w:spacing w:line="480" w:lineRule="auto"/>
        <w:rPr>
          <w:rFonts w:cstheme="minorHAnsi"/>
          <w:b/>
          <w:bCs/>
          <w:color w:val="000000" w:themeColor="text1"/>
          <w:sz w:val="28"/>
          <w:szCs w:val="28"/>
        </w:rPr>
      </w:pPr>
    </w:p>
    <w:p w14:paraId="441C2C97" w14:textId="77777777" w:rsidR="00DA5707" w:rsidRPr="00C03160" w:rsidRDefault="00DA5707" w:rsidP="00DA5707">
      <w:pPr>
        <w:spacing w:line="480" w:lineRule="auto"/>
        <w:rPr>
          <w:rFonts w:cstheme="minorHAnsi"/>
          <w:b/>
          <w:bCs/>
          <w:color w:val="000000" w:themeColor="text1"/>
          <w:sz w:val="28"/>
          <w:szCs w:val="28"/>
        </w:rPr>
      </w:pPr>
      <w:r w:rsidRPr="00C03160">
        <w:rPr>
          <w:rFonts w:cstheme="minorHAnsi"/>
          <w:b/>
          <w:bCs/>
          <w:color w:val="000000" w:themeColor="text1"/>
          <w:sz w:val="28"/>
          <w:szCs w:val="28"/>
        </w:rPr>
        <w:t xml:space="preserve">Figure legends </w:t>
      </w:r>
    </w:p>
    <w:p w14:paraId="549C2987" w14:textId="43E3AC26" w:rsidR="00DA5707" w:rsidRDefault="00DA5707" w:rsidP="00DA5707">
      <w:pPr>
        <w:spacing w:after="0" w:line="240" w:lineRule="auto"/>
        <w:rPr>
          <w:rFonts w:cstheme="minorHAnsi"/>
          <w:b/>
          <w:bCs/>
        </w:rPr>
      </w:pPr>
      <w:r w:rsidRPr="00A4233B">
        <w:rPr>
          <w:rFonts w:cstheme="minorHAnsi"/>
          <w:b/>
          <w:bCs/>
        </w:rPr>
        <w:t xml:space="preserve">Figure 1. (A) Overview of the experimental procedure. </w:t>
      </w:r>
      <w:r w:rsidRPr="00A4233B">
        <w:rPr>
          <w:rFonts w:cstheme="minorHAnsi"/>
        </w:rPr>
        <w:t xml:space="preserve">Participants were first screened for inclusion and exclusion. Then, they completed psychological questionnaires and a digit span test. At T0, their baseline mechanical sensitivity was measured at both ventral forearms. Next, participants underwent 12 trains of high-frequency electrical stimulation at 42Hz on their non-dominant arm while performing either an easy or difficult task. Mechanical sensitivity was measured again at T1 and T2, and the length of increased sensitivity was measured at the HFS-treated arm at both time points. </w:t>
      </w:r>
      <w:r w:rsidRPr="00A4233B">
        <w:rPr>
          <w:rFonts w:cstheme="minorHAnsi"/>
          <w:b/>
          <w:bCs/>
        </w:rPr>
        <w:t>(B) One trial of the task (difficult B-1 and easy B-2)</w:t>
      </w:r>
      <w:r>
        <w:rPr>
          <w:rFonts w:cstheme="minorHAnsi"/>
          <w:b/>
          <w:bCs/>
        </w:rPr>
        <w:t xml:space="preserve"> </w:t>
      </w:r>
      <w:r w:rsidRPr="00A4233B">
        <w:rPr>
          <w:rFonts w:cstheme="minorHAnsi"/>
          <w:b/>
          <w:bCs/>
        </w:rPr>
        <w:t xml:space="preserve">combined with HFS. </w:t>
      </w:r>
    </w:p>
    <w:p w14:paraId="05F1F7CA" w14:textId="77777777" w:rsidR="00DA5707" w:rsidRDefault="00DA5707" w:rsidP="00DA5707">
      <w:pPr>
        <w:spacing w:after="0" w:line="240" w:lineRule="auto"/>
        <w:rPr>
          <w:rFonts w:cstheme="minorHAnsi"/>
        </w:rPr>
      </w:pPr>
    </w:p>
    <w:p w14:paraId="70380461" w14:textId="77777777" w:rsidR="00DA5707" w:rsidRDefault="00DA5707" w:rsidP="00DA5707">
      <w:pPr>
        <w:spacing w:after="0" w:line="240" w:lineRule="auto"/>
        <w:rPr>
          <w:rFonts w:cstheme="minorHAnsi"/>
        </w:rPr>
      </w:pPr>
    </w:p>
    <w:p w14:paraId="300CE757" w14:textId="3C84A4B0" w:rsidR="00DA5707" w:rsidRDefault="00DA5707" w:rsidP="00DA5707">
      <w:pPr>
        <w:rPr>
          <w:rFonts w:cstheme="minorHAnsi"/>
        </w:rPr>
      </w:pPr>
      <w:r w:rsidRPr="00A4233B">
        <w:rPr>
          <w:rFonts w:cstheme="minorHAnsi"/>
          <w:b/>
          <w:bCs/>
        </w:rPr>
        <w:t xml:space="preserve">Figure </w:t>
      </w:r>
      <w:r>
        <w:rPr>
          <w:rFonts w:cstheme="minorHAnsi"/>
          <w:b/>
          <w:bCs/>
        </w:rPr>
        <w:t>2</w:t>
      </w:r>
      <w:r w:rsidRPr="00A4233B">
        <w:rPr>
          <w:rFonts w:cstheme="minorHAnsi"/>
          <w:b/>
          <w:bCs/>
        </w:rPr>
        <w:t>.</w:t>
      </w:r>
      <w:r w:rsidRPr="00A4233B">
        <w:rPr>
          <w:rFonts w:cstheme="minorHAnsi"/>
        </w:rPr>
        <w:t xml:space="preserve"> </w:t>
      </w:r>
      <w:r w:rsidRPr="00A4233B">
        <w:rPr>
          <w:rFonts w:cstheme="minorHAnsi"/>
          <w:b/>
          <w:bCs/>
        </w:rPr>
        <w:t>Raincloud plots depicting group differences in mechanical pinprick sensitivity and change over time, A from T0 to T1 and B from T0 to T2.</w:t>
      </w:r>
      <w:r w:rsidRPr="00A4233B">
        <w:rPr>
          <w:rFonts w:cstheme="minorHAnsi"/>
        </w:rPr>
        <w:t xml:space="preserve"> Difficult task-condition is coded in violet while the Easy task condition </w:t>
      </w:r>
      <w:r w:rsidR="00BD753F">
        <w:rPr>
          <w:rFonts w:cstheme="minorHAnsi"/>
        </w:rPr>
        <w:t xml:space="preserve">is </w:t>
      </w:r>
      <w:r w:rsidRPr="00A4233B">
        <w:rPr>
          <w:rFonts w:cstheme="minorHAnsi"/>
        </w:rPr>
        <w:t>in yellow. Each dot represents a single participant. The continuous colo</w:t>
      </w:r>
      <w:r w:rsidR="00BD753F">
        <w:rPr>
          <w:rFonts w:cstheme="minorHAnsi"/>
        </w:rPr>
        <w:t>u</w:t>
      </w:r>
      <w:r w:rsidRPr="00A4233B">
        <w:rPr>
          <w:rFonts w:cstheme="minorHAnsi"/>
        </w:rPr>
        <w:t xml:space="preserve">red lines represent the rate of change in mechanical sensitivity per participant. The dashed line represents the average mean of change in the sample. The group distribution is represented through box plots, with bold lines representing the median. The continuous lines indicated with “***” means that there was a significant effect of time. However, no difference between the two conditions was found. </w:t>
      </w:r>
    </w:p>
    <w:p w14:paraId="7A13AFDF" w14:textId="77777777" w:rsidR="00DA5707" w:rsidRDefault="00DA5707" w:rsidP="00DA5707">
      <w:pPr>
        <w:spacing w:after="0" w:line="240" w:lineRule="auto"/>
        <w:rPr>
          <w:rFonts w:cstheme="minorHAnsi"/>
        </w:rPr>
      </w:pPr>
    </w:p>
    <w:p w14:paraId="702F8118" w14:textId="77777777" w:rsidR="00DA5707" w:rsidRDefault="00DA5707" w:rsidP="00DA5707">
      <w:pPr>
        <w:spacing w:after="0" w:line="240" w:lineRule="auto"/>
        <w:rPr>
          <w:rFonts w:cstheme="minorHAnsi"/>
        </w:rPr>
      </w:pPr>
    </w:p>
    <w:p w14:paraId="69787937" w14:textId="14275BC4" w:rsidR="00DA5707" w:rsidRDefault="00DA5707" w:rsidP="00DA5707">
      <w:pPr>
        <w:rPr>
          <w:rFonts w:cstheme="minorHAnsi"/>
        </w:rPr>
      </w:pPr>
      <w:r w:rsidRPr="00A4233B">
        <w:rPr>
          <w:rFonts w:cstheme="minorHAnsi"/>
          <w:b/>
          <w:bCs/>
        </w:rPr>
        <w:t xml:space="preserve">Figure </w:t>
      </w:r>
      <w:r>
        <w:rPr>
          <w:rFonts w:cstheme="minorHAnsi"/>
          <w:b/>
          <w:bCs/>
        </w:rPr>
        <w:t>3</w:t>
      </w:r>
      <w:r w:rsidRPr="00A4233B">
        <w:rPr>
          <w:rFonts w:cstheme="minorHAnsi"/>
          <w:b/>
          <w:bCs/>
        </w:rPr>
        <w:t>. Violin plots depicting group difference</w:t>
      </w:r>
      <w:r w:rsidR="00BD753F">
        <w:rPr>
          <w:rFonts w:cstheme="minorHAnsi"/>
          <w:b/>
          <w:bCs/>
        </w:rPr>
        <w:t>s</w:t>
      </w:r>
      <w:r w:rsidRPr="00A4233B">
        <w:rPr>
          <w:rFonts w:cstheme="minorHAnsi"/>
          <w:b/>
          <w:bCs/>
        </w:rPr>
        <w:t xml:space="preserve"> in the spatial extent of mechanical sensitivity, A at T1</w:t>
      </w:r>
      <w:r>
        <w:rPr>
          <w:rFonts w:cstheme="minorHAnsi"/>
          <w:b/>
          <w:bCs/>
        </w:rPr>
        <w:t>,</w:t>
      </w:r>
      <w:r w:rsidRPr="00A4233B">
        <w:rPr>
          <w:rFonts w:cstheme="minorHAnsi"/>
          <w:b/>
          <w:bCs/>
        </w:rPr>
        <w:t xml:space="preserve"> and B at T2. </w:t>
      </w:r>
      <w:r w:rsidRPr="00A4233B">
        <w:rPr>
          <w:rFonts w:cstheme="minorHAnsi"/>
        </w:rPr>
        <w:t xml:space="preserve">Difficult task-condition is coded in violet while the Easy task condition </w:t>
      </w:r>
      <w:r w:rsidR="00BD753F">
        <w:rPr>
          <w:rFonts w:cstheme="minorHAnsi"/>
        </w:rPr>
        <w:t xml:space="preserve">is </w:t>
      </w:r>
      <w:r w:rsidRPr="00A4233B">
        <w:rPr>
          <w:rFonts w:cstheme="minorHAnsi"/>
        </w:rPr>
        <w:t>in yellow. Each dot represents a single participant. The bold lines in the boxplots represent the median of the extent of the area of increased mechanical sensitivity. The continuous line indicated with “ns” means that there was no significant difference between the two conditions, attended and unattended.</w:t>
      </w:r>
    </w:p>
    <w:p w14:paraId="4DCF2ACA" w14:textId="77777777" w:rsidR="00DA5707" w:rsidRDefault="00DA5707" w:rsidP="00DA5707">
      <w:pPr>
        <w:spacing w:after="0" w:line="240" w:lineRule="auto"/>
        <w:rPr>
          <w:rFonts w:cstheme="minorHAnsi"/>
        </w:rPr>
      </w:pPr>
    </w:p>
    <w:p w14:paraId="1FA9723C" w14:textId="77777777" w:rsidR="00DA5707" w:rsidRDefault="00DA5707" w:rsidP="00DA5707">
      <w:pPr>
        <w:spacing w:after="0" w:line="240" w:lineRule="auto"/>
        <w:rPr>
          <w:rFonts w:cstheme="minorHAnsi"/>
        </w:rPr>
      </w:pPr>
    </w:p>
    <w:p w14:paraId="2D8FDCCF" w14:textId="3CFCAA2D" w:rsidR="00DA5707" w:rsidRDefault="00DA5707" w:rsidP="00551C8A">
      <w:pPr>
        <w:rPr>
          <w:rFonts w:cstheme="minorHAnsi"/>
        </w:rPr>
      </w:pPr>
      <w:r w:rsidRPr="00A4233B">
        <w:rPr>
          <w:rFonts w:cstheme="minorHAnsi"/>
          <w:b/>
          <w:bCs/>
        </w:rPr>
        <w:t xml:space="preserve">Figure </w:t>
      </w:r>
      <w:r>
        <w:rPr>
          <w:rFonts w:cstheme="minorHAnsi"/>
          <w:b/>
          <w:bCs/>
        </w:rPr>
        <w:t>4</w:t>
      </w:r>
      <w:r w:rsidRPr="00A4233B">
        <w:rPr>
          <w:rFonts w:cstheme="minorHAnsi"/>
          <w:b/>
          <w:bCs/>
        </w:rPr>
        <w:t xml:space="preserve">. </w:t>
      </w:r>
      <w:r>
        <w:rPr>
          <w:rFonts w:cstheme="minorHAnsi"/>
          <w:b/>
          <w:bCs/>
        </w:rPr>
        <w:t>Line charts showing the interaction between the change of mechanical sensitivity and the pain experienced during HFS</w:t>
      </w:r>
      <w:r w:rsidRPr="00A4233B">
        <w:rPr>
          <w:rFonts w:cstheme="minorHAnsi"/>
          <w:b/>
          <w:bCs/>
        </w:rPr>
        <w:t xml:space="preserve">. </w:t>
      </w:r>
      <w:r>
        <w:rPr>
          <w:rFonts w:cstheme="minorHAnsi"/>
        </w:rPr>
        <w:t>The pain experienced during HFS is coded using a gradient of colo</w:t>
      </w:r>
      <w:r w:rsidR="00BD753F">
        <w:rPr>
          <w:rFonts w:cstheme="minorHAnsi"/>
        </w:rPr>
        <w:t>u</w:t>
      </w:r>
      <w:r>
        <w:rPr>
          <w:rFonts w:cstheme="minorHAnsi"/>
        </w:rPr>
        <w:t xml:space="preserve">r starting from violet for a low pain intensity to green and yellow for a maximal pain intensity. Each dot represents a single participant’s mechanical sensitivity at T0 (baseline assessment), at T1 (20 minutes after HFS) and T2 (40 minutes after the HFS). </w:t>
      </w:r>
      <w:r w:rsidR="005E219C" w:rsidRPr="005E219C">
        <w:rPr>
          <w:rFonts w:cstheme="minorHAnsi"/>
          <w:color w:val="FF0000"/>
        </w:rPr>
        <w:t xml:space="preserve">The continuous coloured lines represent the rate of change in mechanical sensitivity per participant at the different time points. </w:t>
      </w:r>
      <w:r>
        <w:rPr>
          <w:rFonts w:cstheme="minorHAnsi"/>
        </w:rPr>
        <w:t xml:space="preserve">The graph shows that a lower pain experienced during HFS is associated </w:t>
      </w:r>
      <w:r w:rsidR="00E45B6A">
        <w:rPr>
          <w:rFonts w:cstheme="minorHAnsi"/>
        </w:rPr>
        <w:t>with</w:t>
      </w:r>
      <w:r>
        <w:rPr>
          <w:rFonts w:cstheme="minorHAnsi"/>
        </w:rPr>
        <w:t xml:space="preserve"> a lower change of mechanical sensitivity. </w:t>
      </w:r>
    </w:p>
    <w:p w14:paraId="4C963B89" w14:textId="717393F9" w:rsidR="001B30C4" w:rsidRDefault="001B30C4" w:rsidP="00551C8A">
      <w:pPr>
        <w:rPr>
          <w:rFonts w:cstheme="minorHAnsi"/>
          <w:color w:val="FF0000"/>
        </w:rPr>
      </w:pPr>
    </w:p>
    <w:p w14:paraId="3145F66E" w14:textId="29947B7A" w:rsidR="00267579" w:rsidRPr="00267579" w:rsidRDefault="00267579" w:rsidP="00551C8A">
      <w:pPr>
        <w:rPr>
          <w:rFonts w:cstheme="minorHAnsi"/>
          <w:b/>
          <w:bCs/>
          <w:color w:val="FF0000"/>
        </w:rPr>
      </w:pPr>
      <w:r w:rsidRPr="00267579">
        <w:rPr>
          <w:rFonts w:cstheme="minorHAnsi"/>
          <w:b/>
          <w:bCs/>
          <w:color w:val="FF0000"/>
        </w:rPr>
        <w:t xml:space="preserve">Table Legends </w:t>
      </w:r>
    </w:p>
    <w:p w14:paraId="7A00A42D" w14:textId="4F63ECEC" w:rsidR="001B30C4" w:rsidRPr="004E32C4" w:rsidRDefault="00BA6EC6" w:rsidP="00551C8A">
      <w:pPr>
        <w:rPr>
          <w:rFonts w:cstheme="minorHAnsi"/>
          <w:color w:val="FF0000"/>
        </w:rPr>
      </w:pPr>
      <w:r w:rsidRPr="00267579">
        <w:rPr>
          <w:b/>
          <w:bCs/>
          <w:color w:val="FF0000"/>
          <w:lang w:val="en-GB"/>
        </w:rPr>
        <w:t>Table 1</w:t>
      </w:r>
      <w:r w:rsidRPr="00267579">
        <w:rPr>
          <w:color w:val="FF0000"/>
          <w:lang w:val="en-GB"/>
        </w:rPr>
        <w:t>. Models Results Summary</w:t>
      </w:r>
      <w:r w:rsidR="00267579">
        <w:rPr>
          <w:color w:val="FF0000"/>
          <w:lang w:val="en-GB"/>
        </w:rPr>
        <w:t xml:space="preserve">. </w:t>
      </w:r>
      <w:r w:rsidR="004E32C4" w:rsidRPr="004E32C4">
        <w:rPr>
          <w:color w:val="FF0000"/>
          <w:lang w:val="en-GB"/>
        </w:rPr>
        <w:t>Beta estimates, standardized values, both including Confidence Intervals (CI), and p-values relative to the factors used as predictors in the three different model</w:t>
      </w:r>
      <w:r w:rsidR="00297180">
        <w:rPr>
          <w:color w:val="FF0000"/>
          <w:lang w:val="en-GB"/>
        </w:rPr>
        <w:t>s</w:t>
      </w:r>
      <w:r w:rsidR="004E32C4" w:rsidRPr="004E32C4">
        <w:rPr>
          <w:color w:val="FF0000"/>
          <w:lang w:val="en-GB"/>
        </w:rPr>
        <w:t>.</w:t>
      </w:r>
    </w:p>
    <w:p w14:paraId="41D1F973" w14:textId="77777777" w:rsidR="001B30C4" w:rsidRPr="00551C8A" w:rsidRDefault="001B30C4" w:rsidP="00551C8A">
      <w:pPr>
        <w:rPr>
          <w:rFonts w:cstheme="minorHAnsi"/>
        </w:rPr>
      </w:pPr>
    </w:p>
    <w:sectPr w:rsidR="001B30C4" w:rsidRPr="00551C8A" w:rsidSect="006A6DCC">
      <w:footerReference w:type="even" r:id="rId16"/>
      <w:footerReference w:type="default" r:id="rId17"/>
      <w:pgSz w:w="11906" w:h="16838"/>
      <w:pgMar w:top="1440" w:right="1440" w:bottom="1440" w:left="1440"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25E43" w14:textId="77777777" w:rsidR="00B82D00" w:rsidRDefault="00B82D00" w:rsidP="00333576">
      <w:pPr>
        <w:spacing w:after="0" w:line="240" w:lineRule="auto"/>
      </w:pPr>
      <w:r>
        <w:separator/>
      </w:r>
    </w:p>
  </w:endnote>
  <w:endnote w:type="continuationSeparator" w:id="0">
    <w:p w14:paraId="04E85855" w14:textId="77777777" w:rsidR="00B82D00" w:rsidRDefault="00B82D00" w:rsidP="00333576">
      <w:pPr>
        <w:spacing w:after="0" w:line="240" w:lineRule="auto"/>
      </w:pPr>
      <w:r>
        <w:continuationSeparator/>
      </w:r>
    </w:p>
  </w:endnote>
  <w:endnote w:type="continuationNotice" w:id="1">
    <w:p w14:paraId="429CFC6A" w14:textId="77777777" w:rsidR="00B82D00" w:rsidRDefault="00B82D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Mincho">
    <w:panose1 w:val="02020400000000000000"/>
    <w:charset w:val="80"/>
    <w:family w:val="roman"/>
    <w:pitch w:val="variable"/>
    <w:sig w:usb0="800002E7" w:usb1="2AC7FCFF" w:usb2="00000012" w:usb3="00000000" w:csb0="0002009F" w:csb1="00000000"/>
  </w:font>
  <w:font w:name="Wingdings">
    <w:panose1 w:val="05000000000000000000"/>
    <w:charset w:val="4D"/>
    <w:family w:val="decorative"/>
    <w:pitch w:val="variable"/>
    <w:sig w:usb0="00000003" w:usb1="00000000" w:usb2="00000000" w:usb3="00000000" w:csb0="80000001" w:csb1="00000000"/>
  </w:font>
  <w:font w:name="Segoe UI Symbol">
    <w:panose1 w:val="020B0502040204020203"/>
    <w:charset w:val="00"/>
    <w:family w:val="swiss"/>
    <w:pitch w:val="variable"/>
    <w:sig w:usb0="800001E3" w:usb1="1200FFEF" w:usb2="00040000" w:usb3="00000000" w:csb0="00000001" w:csb1="00000000"/>
  </w:font>
  <w:font w:name="Calibri (Body)">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43158779"/>
      <w:docPartObj>
        <w:docPartGallery w:val="Page Numbers (Bottom of Page)"/>
        <w:docPartUnique/>
      </w:docPartObj>
    </w:sdtPr>
    <w:sdtEndPr>
      <w:rPr>
        <w:rStyle w:val="PageNumber"/>
      </w:rPr>
    </w:sdtEndPr>
    <w:sdtContent>
      <w:p w14:paraId="7A30FFD4" w14:textId="7EED0B85" w:rsidR="00C27D86" w:rsidRDefault="00C27D86" w:rsidP="00A72EF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EBCD55" w14:textId="77777777" w:rsidR="00C27D86" w:rsidRDefault="00C27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1873109"/>
      <w:docPartObj>
        <w:docPartGallery w:val="Page Numbers (Bottom of Page)"/>
        <w:docPartUnique/>
      </w:docPartObj>
    </w:sdtPr>
    <w:sdtEndPr>
      <w:rPr>
        <w:rStyle w:val="PageNumber"/>
      </w:rPr>
    </w:sdtEndPr>
    <w:sdtContent>
      <w:p w14:paraId="2ED50BE1" w14:textId="72B12D3D" w:rsidR="00C27D86" w:rsidRDefault="00C27D86" w:rsidP="00A72EF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4CBF078" w14:textId="77777777" w:rsidR="00C27D86" w:rsidRDefault="00C27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46677" w14:textId="77777777" w:rsidR="00B82D00" w:rsidRDefault="00B82D00" w:rsidP="00333576">
      <w:pPr>
        <w:spacing w:after="0" w:line="240" w:lineRule="auto"/>
      </w:pPr>
      <w:r>
        <w:separator/>
      </w:r>
    </w:p>
  </w:footnote>
  <w:footnote w:type="continuationSeparator" w:id="0">
    <w:p w14:paraId="4E7E23BB" w14:textId="77777777" w:rsidR="00B82D00" w:rsidRDefault="00B82D00" w:rsidP="00333576">
      <w:pPr>
        <w:spacing w:after="0" w:line="240" w:lineRule="auto"/>
      </w:pPr>
      <w:r>
        <w:continuationSeparator/>
      </w:r>
    </w:p>
  </w:footnote>
  <w:footnote w:type="continuationNotice" w:id="1">
    <w:p w14:paraId="6726654D" w14:textId="77777777" w:rsidR="00B82D00" w:rsidRDefault="00B82D00">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B61C70"/>
    <w:multiLevelType w:val="hybridMultilevel"/>
    <w:tmpl w:val="09428A7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1A630F4"/>
    <w:multiLevelType w:val="hybridMultilevel"/>
    <w:tmpl w:val="8F30AAB6"/>
    <w:lvl w:ilvl="0" w:tplc="0809000F">
      <w:start w:val="1"/>
      <w:numFmt w:val="decimal"/>
      <w:lvlText w:val="%1."/>
      <w:lvlJc w:val="left"/>
      <w:pPr>
        <w:ind w:left="927"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A40508A"/>
    <w:multiLevelType w:val="hybridMultilevel"/>
    <w:tmpl w:val="1026ECA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1FA77DC"/>
    <w:multiLevelType w:val="multilevel"/>
    <w:tmpl w:val="2614343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EC003EC"/>
    <w:multiLevelType w:val="hybridMultilevel"/>
    <w:tmpl w:val="E5A476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583149"/>
    <w:multiLevelType w:val="hybridMultilevel"/>
    <w:tmpl w:val="EC1223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4465991">
    <w:abstractNumId w:val="4"/>
  </w:num>
  <w:num w:numId="2" w16cid:durableId="1042636752">
    <w:abstractNumId w:val="3"/>
  </w:num>
  <w:num w:numId="3" w16cid:durableId="1119299705">
    <w:abstractNumId w:val="1"/>
  </w:num>
  <w:num w:numId="4" w16cid:durableId="1981613986">
    <w:abstractNumId w:val="0"/>
  </w:num>
  <w:num w:numId="5" w16cid:durableId="1580824204">
    <w:abstractNumId w:val="5"/>
  </w:num>
  <w:num w:numId="6" w16cid:durableId="14027478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hideSpellingErrors/>
  <w:hideGrammaticalErrors/>
  <w:defaultTabStop w:val="720"/>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B93"/>
    <w:rsid w:val="000021ED"/>
    <w:rsid w:val="00002636"/>
    <w:rsid w:val="0000283C"/>
    <w:rsid w:val="00003357"/>
    <w:rsid w:val="00003D43"/>
    <w:rsid w:val="00004AD9"/>
    <w:rsid w:val="00004BCB"/>
    <w:rsid w:val="000060C2"/>
    <w:rsid w:val="000067AC"/>
    <w:rsid w:val="00006C47"/>
    <w:rsid w:val="00010B93"/>
    <w:rsid w:val="00010EA0"/>
    <w:rsid w:val="00011862"/>
    <w:rsid w:val="000126A8"/>
    <w:rsid w:val="00013355"/>
    <w:rsid w:val="000143E7"/>
    <w:rsid w:val="00014805"/>
    <w:rsid w:val="00015231"/>
    <w:rsid w:val="00015EF6"/>
    <w:rsid w:val="00016584"/>
    <w:rsid w:val="0001771E"/>
    <w:rsid w:val="00017C93"/>
    <w:rsid w:val="000200BA"/>
    <w:rsid w:val="000214DB"/>
    <w:rsid w:val="00021CBA"/>
    <w:rsid w:val="000223C9"/>
    <w:rsid w:val="000225E5"/>
    <w:rsid w:val="000239A1"/>
    <w:rsid w:val="00023C4A"/>
    <w:rsid w:val="00024529"/>
    <w:rsid w:val="00024A87"/>
    <w:rsid w:val="00024C9B"/>
    <w:rsid w:val="00025116"/>
    <w:rsid w:val="00025167"/>
    <w:rsid w:val="00025661"/>
    <w:rsid w:val="000271C6"/>
    <w:rsid w:val="000275FA"/>
    <w:rsid w:val="0003086A"/>
    <w:rsid w:val="00032610"/>
    <w:rsid w:val="0003291A"/>
    <w:rsid w:val="00032B7C"/>
    <w:rsid w:val="00034420"/>
    <w:rsid w:val="00036100"/>
    <w:rsid w:val="000362DF"/>
    <w:rsid w:val="000364C6"/>
    <w:rsid w:val="0003731D"/>
    <w:rsid w:val="00037810"/>
    <w:rsid w:val="00037DDF"/>
    <w:rsid w:val="00040356"/>
    <w:rsid w:val="00041E48"/>
    <w:rsid w:val="000434E1"/>
    <w:rsid w:val="00044439"/>
    <w:rsid w:val="000470C1"/>
    <w:rsid w:val="0004746E"/>
    <w:rsid w:val="00050624"/>
    <w:rsid w:val="00050856"/>
    <w:rsid w:val="00050BDC"/>
    <w:rsid w:val="000519F5"/>
    <w:rsid w:val="00051F5B"/>
    <w:rsid w:val="00053564"/>
    <w:rsid w:val="00053644"/>
    <w:rsid w:val="00053765"/>
    <w:rsid w:val="0005447F"/>
    <w:rsid w:val="00054763"/>
    <w:rsid w:val="00055156"/>
    <w:rsid w:val="00055A3E"/>
    <w:rsid w:val="00056836"/>
    <w:rsid w:val="00057954"/>
    <w:rsid w:val="00057AB5"/>
    <w:rsid w:val="0006127B"/>
    <w:rsid w:val="00061723"/>
    <w:rsid w:val="00062483"/>
    <w:rsid w:val="000624D2"/>
    <w:rsid w:val="0006262B"/>
    <w:rsid w:val="000638E2"/>
    <w:rsid w:val="0006590C"/>
    <w:rsid w:val="000659B4"/>
    <w:rsid w:val="000660C5"/>
    <w:rsid w:val="000666C0"/>
    <w:rsid w:val="00066C54"/>
    <w:rsid w:val="00067F48"/>
    <w:rsid w:val="00070D2C"/>
    <w:rsid w:val="00071803"/>
    <w:rsid w:val="00071CA6"/>
    <w:rsid w:val="0007211A"/>
    <w:rsid w:val="00073362"/>
    <w:rsid w:val="000745C7"/>
    <w:rsid w:val="00074AC5"/>
    <w:rsid w:val="00074D08"/>
    <w:rsid w:val="00074DD1"/>
    <w:rsid w:val="000753EE"/>
    <w:rsid w:val="00075E67"/>
    <w:rsid w:val="00076A8F"/>
    <w:rsid w:val="00076F13"/>
    <w:rsid w:val="000771F8"/>
    <w:rsid w:val="00077A89"/>
    <w:rsid w:val="000805C3"/>
    <w:rsid w:val="00081526"/>
    <w:rsid w:val="00081F5D"/>
    <w:rsid w:val="00082F81"/>
    <w:rsid w:val="000832E1"/>
    <w:rsid w:val="00083DDC"/>
    <w:rsid w:val="00085BA0"/>
    <w:rsid w:val="00086C18"/>
    <w:rsid w:val="00090F43"/>
    <w:rsid w:val="00091413"/>
    <w:rsid w:val="00092650"/>
    <w:rsid w:val="000936B5"/>
    <w:rsid w:val="00094A07"/>
    <w:rsid w:val="00094C22"/>
    <w:rsid w:val="00094C6E"/>
    <w:rsid w:val="00097037"/>
    <w:rsid w:val="000970AA"/>
    <w:rsid w:val="00097D21"/>
    <w:rsid w:val="00097DE3"/>
    <w:rsid w:val="00097EEE"/>
    <w:rsid w:val="000A07DD"/>
    <w:rsid w:val="000A0D23"/>
    <w:rsid w:val="000A1977"/>
    <w:rsid w:val="000A1A75"/>
    <w:rsid w:val="000A219C"/>
    <w:rsid w:val="000A3744"/>
    <w:rsid w:val="000A4A15"/>
    <w:rsid w:val="000B043B"/>
    <w:rsid w:val="000B0DF0"/>
    <w:rsid w:val="000B1355"/>
    <w:rsid w:val="000B1A4B"/>
    <w:rsid w:val="000B24C3"/>
    <w:rsid w:val="000B37C4"/>
    <w:rsid w:val="000B3806"/>
    <w:rsid w:val="000B468D"/>
    <w:rsid w:val="000B4A84"/>
    <w:rsid w:val="000B5278"/>
    <w:rsid w:val="000B537A"/>
    <w:rsid w:val="000B5BFB"/>
    <w:rsid w:val="000B5D58"/>
    <w:rsid w:val="000B6A21"/>
    <w:rsid w:val="000B7510"/>
    <w:rsid w:val="000B7ABE"/>
    <w:rsid w:val="000B7E9B"/>
    <w:rsid w:val="000C0187"/>
    <w:rsid w:val="000C128D"/>
    <w:rsid w:val="000C140D"/>
    <w:rsid w:val="000C17CA"/>
    <w:rsid w:val="000C262B"/>
    <w:rsid w:val="000C2E4B"/>
    <w:rsid w:val="000C2FD0"/>
    <w:rsid w:val="000C39D5"/>
    <w:rsid w:val="000C47C3"/>
    <w:rsid w:val="000C5EDD"/>
    <w:rsid w:val="000C619D"/>
    <w:rsid w:val="000D02F8"/>
    <w:rsid w:val="000D1843"/>
    <w:rsid w:val="000D1FE2"/>
    <w:rsid w:val="000D266B"/>
    <w:rsid w:val="000D33F4"/>
    <w:rsid w:val="000D3E47"/>
    <w:rsid w:val="000D57E7"/>
    <w:rsid w:val="000D5C6C"/>
    <w:rsid w:val="000D5D27"/>
    <w:rsid w:val="000D6C84"/>
    <w:rsid w:val="000D6F23"/>
    <w:rsid w:val="000D7364"/>
    <w:rsid w:val="000D77A0"/>
    <w:rsid w:val="000D7BAF"/>
    <w:rsid w:val="000E009F"/>
    <w:rsid w:val="000E0168"/>
    <w:rsid w:val="000E1C90"/>
    <w:rsid w:val="000E5968"/>
    <w:rsid w:val="000E7426"/>
    <w:rsid w:val="000E747A"/>
    <w:rsid w:val="000E749D"/>
    <w:rsid w:val="000E7DDC"/>
    <w:rsid w:val="000F0D57"/>
    <w:rsid w:val="000F3334"/>
    <w:rsid w:val="000F37D0"/>
    <w:rsid w:val="000F38E6"/>
    <w:rsid w:val="000F3E79"/>
    <w:rsid w:val="000F41AE"/>
    <w:rsid w:val="000F596F"/>
    <w:rsid w:val="000F5E55"/>
    <w:rsid w:val="000F632C"/>
    <w:rsid w:val="000F70F2"/>
    <w:rsid w:val="000F71DF"/>
    <w:rsid w:val="000F796F"/>
    <w:rsid w:val="000F7A0B"/>
    <w:rsid w:val="00100E0A"/>
    <w:rsid w:val="0010174B"/>
    <w:rsid w:val="00101769"/>
    <w:rsid w:val="00101ADD"/>
    <w:rsid w:val="00102C34"/>
    <w:rsid w:val="00103861"/>
    <w:rsid w:val="001047CF"/>
    <w:rsid w:val="00107423"/>
    <w:rsid w:val="00107578"/>
    <w:rsid w:val="00111271"/>
    <w:rsid w:val="001112A5"/>
    <w:rsid w:val="00111D0C"/>
    <w:rsid w:val="00112562"/>
    <w:rsid w:val="0011291D"/>
    <w:rsid w:val="00113A0E"/>
    <w:rsid w:val="00114062"/>
    <w:rsid w:val="0011440B"/>
    <w:rsid w:val="00116C46"/>
    <w:rsid w:val="00116ECD"/>
    <w:rsid w:val="00121833"/>
    <w:rsid w:val="00121C52"/>
    <w:rsid w:val="00121FA2"/>
    <w:rsid w:val="00123FFC"/>
    <w:rsid w:val="001247D7"/>
    <w:rsid w:val="00125368"/>
    <w:rsid w:val="00125C21"/>
    <w:rsid w:val="0013050B"/>
    <w:rsid w:val="001312AC"/>
    <w:rsid w:val="00131719"/>
    <w:rsid w:val="00131874"/>
    <w:rsid w:val="001348DC"/>
    <w:rsid w:val="001362F1"/>
    <w:rsid w:val="001377EE"/>
    <w:rsid w:val="00140B9E"/>
    <w:rsid w:val="00141267"/>
    <w:rsid w:val="00142236"/>
    <w:rsid w:val="00142E1F"/>
    <w:rsid w:val="0014304E"/>
    <w:rsid w:val="0014359C"/>
    <w:rsid w:val="001439CD"/>
    <w:rsid w:val="00143C85"/>
    <w:rsid w:val="0014481B"/>
    <w:rsid w:val="00144C17"/>
    <w:rsid w:val="00146A10"/>
    <w:rsid w:val="00147775"/>
    <w:rsid w:val="00150737"/>
    <w:rsid w:val="001520EA"/>
    <w:rsid w:val="00152D4C"/>
    <w:rsid w:val="001547DF"/>
    <w:rsid w:val="00154F72"/>
    <w:rsid w:val="0015536C"/>
    <w:rsid w:val="00155677"/>
    <w:rsid w:val="001569D1"/>
    <w:rsid w:val="00157B26"/>
    <w:rsid w:val="00160142"/>
    <w:rsid w:val="001607BC"/>
    <w:rsid w:val="00162B93"/>
    <w:rsid w:val="0016480C"/>
    <w:rsid w:val="0016544B"/>
    <w:rsid w:val="00166A56"/>
    <w:rsid w:val="00167615"/>
    <w:rsid w:val="0016765A"/>
    <w:rsid w:val="00170902"/>
    <w:rsid w:val="00170B18"/>
    <w:rsid w:val="00170B70"/>
    <w:rsid w:val="00171A5A"/>
    <w:rsid w:val="00171EE5"/>
    <w:rsid w:val="00172E03"/>
    <w:rsid w:val="001739FB"/>
    <w:rsid w:val="00173F5B"/>
    <w:rsid w:val="00174E46"/>
    <w:rsid w:val="00174F70"/>
    <w:rsid w:val="00176D36"/>
    <w:rsid w:val="001779B8"/>
    <w:rsid w:val="00180A92"/>
    <w:rsid w:val="00181553"/>
    <w:rsid w:val="001816B1"/>
    <w:rsid w:val="0018187B"/>
    <w:rsid w:val="001819A4"/>
    <w:rsid w:val="00182780"/>
    <w:rsid w:val="001835F1"/>
    <w:rsid w:val="001836CF"/>
    <w:rsid w:val="001845FF"/>
    <w:rsid w:val="00184805"/>
    <w:rsid w:val="001848E6"/>
    <w:rsid w:val="00184B1A"/>
    <w:rsid w:val="00184C64"/>
    <w:rsid w:val="00184EB8"/>
    <w:rsid w:val="00185DD6"/>
    <w:rsid w:val="00186278"/>
    <w:rsid w:val="0019348B"/>
    <w:rsid w:val="0019418B"/>
    <w:rsid w:val="001948A6"/>
    <w:rsid w:val="00195012"/>
    <w:rsid w:val="001964B3"/>
    <w:rsid w:val="00196B6B"/>
    <w:rsid w:val="00196E70"/>
    <w:rsid w:val="001976A9"/>
    <w:rsid w:val="001979A7"/>
    <w:rsid w:val="00197BA3"/>
    <w:rsid w:val="001A043A"/>
    <w:rsid w:val="001A0AEE"/>
    <w:rsid w:val="001A12CD"/>
    <w:rsid w:val="001A31BB"/>
    <w:rsid w:val="001A3342"/>
    <w:rsid w:val="001A457E"/>
    <w:rsid w:val="001A4EEF"/>
    <w:rsid w:val="001A70BC"/>
    <w:rsid w:val="001A76CD"/>
    <w:rsid w:val="001A76E4"/>
    <w:rsid w:val="001B079B"/>
    <w:rsid w:val="001B147C"/>
    <w:rsid w:val="001B171A"/>
    <w:rsid w:val="001B1ECC"/>
    <w:rsid w:val="001B22A1"/>
    <w:rsid w:val="001B2C70"/>
    <w:rsid w:val="001B30C4"/>
    <w:rsid w:val="001B391D"/>
    <w:rsid w:val="001B735D"/>
    <w:rsid w:val="001B7BB4"/>
    <w:rsid w:val="001C14F6"/>
    <w:rsid w:val="001C2360"/>
    <w:rsid w:val="001C287E"/>
    <w:rsid w:val="001C293F"/>
    <w:rsid w:val="001C29C8"/>
    <w:rsid w:val="001C44D3"/>
    <w:rsid w:val="001C70FC"/>
    <w:rsid w:val="001C76C0"/>
    <w:rsid w:val="001C7B21"/>
    <w:rsid w:val="001D020C"/>
    <w:rsid w:val="001D0D88"/>
    <w:rsid w:val="001D1F10"/>
    <w:rsid w:val="001D2A20"/>
    <w:rsid w:val="001D331B"/>
    <w:rsid w:val="001D392B"/>
    <w:rsid w:val="001D46BA"/>
    <w:rsid w:val="001D4AAF"/>
    <w:rsid w:val="001D62F1"/>
    <w:rsid w:val="001D68EB"/>
    <w:rsid w:val="001D7634"/>
    <w:rsid w:val="001D7D80"/>
    <w:rsid w:val="001E0D7A"/>
    <w:rsid w:val="001E146E"/>
    <w:rsid w:val="001E14BC"/>
    <w:rsid w:val="001E1AB1"/>
    <w:rsid w:val="001E22E6"/>
    <w:rsid w:val="001E30D1"/>
    <w:rsid w:val="001E3551"/>
    <w:rsid w:val="001E391B"/>
    <w:rsid w:val="001E47A6"/>
    <w:rsid w:val="001E6D3F"/>
    <w:rsid w:val="001F0419"/>
    <w:rsid w:val="001F16A3"/>
    <w:rsid w:val="001F23D6"/>
    <w:rsid w:val="001F4B1D"/>
    <w:rsid w:val="001F4FB0"/>
    <w:rsid w:val="001F50D7"/>
    <w:rsid w:val="001F58F8"/>
    <w:rsid w:val="001F6C6E"/>
    <w:rsid w:val="001F736E"/>
    <w:rsid w:val="001F75DB"/>
    <w:rsid w:val="001F7A48"/>
    <w:rsid w:val="001F7BEF"/>
    <w:rsid w:val="00202008"/>
    <w:rsid w:val="00202FB1"/>
    <w:rsid w:val="002031D2"/>
    <w:rsid w:val="00203654"/>
    <w:rsid w:val="00203F46"/>
    <w:rsid w:val="0020479B"/>
    <w:rsid w:val="002049C7"/>
    <w:rsid w:val="00205B6F"/>
    <w:rsid w:val="002064D3"/>
    <w:rsid w:val="00207614"/>
    <w:rsid w:val="002078F9"/>
    <w:rsid w:val="00210545"/>
    <w:rsid w:val="00211DF9"/>
    <w:rsid w:val="00212281"/>
    <w:rsid w:val="002132ED"/>
    <w:rsid w:val="00214170"/>
    <w:rsid w:val="00214C19"/>
    <w:rsid w:val="00214EB5"/>
    <w:rsid w:val="00214F0C"/>
    <w:rsid w:val="0021506A"/>
    <w:rsid w:val="002151F7"/>
    <w:rsid w:val="002154C5"/>
    <w:rsid w:val="002158BB"/>
    <w:rsid w:val="00216BF1"/>
    <w:rsid w:val="00216EFF"/>
    <w:rsid w:val="00216F3A"/>
    <w:rsid w:val="002178AF"/>
    <w:rsid w:val="00220B7C"/>
    <w:rsid w:val="00221683"/>
    <w:rsid w:val="00224039"/>
    <w:rsid w:val="0022773F"/>
    <w:rsid w:val="002306F5"/>
    <w:rsid w:val="002336DB"/>
    <w:rsid w:val="002337FE"/>
    <w:rsid w:val="00233CAD"/>
    <w:rsid w:val="00234E01"/>
    <w:rsid w:val="0023528D"/>
    <w:rsid w:val="0023599A"/>
    <w:rsid w:val="00237140"/>
    <w:rsid w:val="00240F23"/>
    <w:rsid w:val="00240FF9"/>
    <w:rsid w:val="00241064"/>
    <w:rsid w:val="00241D12"/>
    <w:rsid w:val="00242394"/>
    <w:rsid w:val="00242896"/>
    <w:rsid w:val="00242F75"/>
    <w:rsid w:val="002430F7"/>
    <w:rsid w:val="002432C1"/>
    <w:rsid w:val="00243744"/>
    <w:rsid w:val="0024383E"/>
    <w:rsid w:val="00244543"/>
    <w:rsid w:val="00244687"/>
    <w:rsid w:val="00244ADD"/>
    <w:rsid w:val="00244FDD"/>
    <w:rsid w:val="002453B5"/>
    <w:rsid w:val="002462A1"/>
    <w:rsid w:val="00246A61"/>
    <w:rsid w:val="002479B6"/>
    <w:rsid w:val="00251A56"/>
    <w:rsid w:val="00252305"/>
    <w:rsid w:val="002525F4"/>
    <w:rsid w:val="00252F1A"/>
    <w:rsid w:val="00252F9E"/>
    <w:rsid w:val="0025482A"/>
    <w:rsid w:val="002551D6"/>
    <w:rsid w:val="002561A5"/>
    <w:rsid w:val="00256643"/>
    <w:rsid w:val="00256730"/>
    <w:rsid w:val="00256B6F"/>
    <w:rsid w:val="00257003"/>
    <w:rsid w:val="0025725D"/>
    <w:rsid w:val="00260761"/>
    <w:rsid w:val="0026260A"/>
    <w:rsid w:val="00262E61"/>
    <w:rsid w:val="00264239"/>
    <w:rsid w:val="0026496E"/>
    <w:rsid w:val="0026539A"/>
    <w:rsid w:val="00267579"/>
    <w:rsid w:val="00267B03"/>
    <w:rsid w:val="00267C52"/>
    <w:rsid w:val="00270174"/>
    <w:rsid w:val="002715BD"/>
    <w:rsid w:val="00272220"/>
    <w:rsid w:val="002726D6"/>
    <w:rsid w:val="00272A10"/>
    <w:rsid w:val="00272CD1"/>
    <w:rsid w:val="00272E64"/>
    <w:rsid w:val="00275790"/>
    <w:rsid w:val="00275C8E"/>
    <w:rsid w:val="00277677"/>
    <w:rsid w:val="00277A5D"/>
    <w:rsid w:val="00277CEA"/>
    <w:rsid w:val="00280B00"/>
    <w:rsid w:val="00281310"/>
    <w:rsid w:val="00284211"/>
    <w:rsid w:val="00284B63"/>
    <w:rsid w:val="00285463"/>
    <w:rsid w:val="0028581F"/>
    <w:rsid w:val="00286356"/>
    <w:rsid w:val="00287515"/>
    <w:rsid w:val="002876AF"/>
    <w:rsid w:val="002876F5"/>
    <w:rsid w:val="00290488"/>
    <w:rsid w:val="00290964"/>
    <w:rsid w:val="00290D16"/>
    <w:rsid w:val="0029106E"/>
    <w:rsid w:val="00291937"/>
    <w:rsid w:val="00293706"/>
    <w:rsid w:val="00293C38"/>
    <w:rsid w:val="00293C55"/>
    <w:rsid w:val="00293C9F"/>
    <w:rsid w:val="00293CC1"/>
    <w:rsid w:val="00294472"/>
    <w:rsid w:val="00294478"/>
    <w:rsid w:val="00294EF3"/>
    <w:rsid w:val="00296995"/>
    <w:rsid w:val="00297180"/>
    <w:rsid w:val="002A00D7"/>
    <w:rsid w:val="002A0D05"/>
    <w:rsid w:val="002A1BB7"/>
    <w:rsid w:val="002A1CA2"/>
    <w:rsid w:val="002A2580"/>
    <w:rsid w:val="002A2D4A"/>
    <w:rsid w:val="002A367C"/>
    <w:rsid w:val="002A4AB9"/>
    <w:rsid w:val="002A6200"/>
    <w:rsid w:val="002A77F9"/>
    <w:rsid w:val="002B090D"/>
    <w:rsid w:val="002B0D37"/>
    <w:rsid w:val="002B21CE"/>
    <w:rsid w:val="002B2258"/>
    <w:rsid w:val="002B3544"/>
    <w:rsid w:val="002B3E66"/>
    <w:rsid w:val="002B6463"/>
    <w:rsid w:val="002B6D5E"/>
    <w:rsid w:val="002C1633"/>
    <w:rsid w:val="002C2F97"/>
    <w:rsid w:val="002C3261"/>
    <w:rsid w:val="002C519D"/>
    <w:rsid w:val="002C6B0F"/>
    <w:rsid w:val="002C7098"/>
    <w:rsid w:val="002D183D"/>
    <w:rsid w:val="002D1C46"/>
    <w:rsid w:val="002D3F90"/>
    <w:rsid w:val="002D5909"/>
    <w:rsid w:val="002D5A89"/>
    <w:rsid w:val="002D63F6"/>
    <w:rsid w:val="002D781A"/>
    <w:rsid w:val="002E1A73"/>
    <w:rsid w:val="002E1F1D"/>
    <w:rsid w:val="002E311B"/>
    <w:rsid w:val="002E318F"/>
    <w:rsid w:val="002E3745"/>
    <w:rsid w:val="002E38D4"/>
    <w:rsid w:val="002E48F6"/>
    <w:rsid w:val="002E4B9A"/>
    <w:rsid w:val="002E531F"/>
    <w:rsid w:val="002E5602"/>
    <w:rsid w:val="002E60C8"/>
    <w:rsid w:val="002E6866"/>
    <w:rsid w:val="002E76E2"/>
    <w:rsid w:val="002E7F7E"/>
    <w:rsid w:val="002F03D1"/>
    <w:rsid w:val="002F05DD"/>
    <w:rsid w:val="002F3BA7"/>
    <w:rsid w:val="002F524C"/>
    <w:rsid w:val="002F581B"/>
    <w:rsid w:val="002F61A9"/>
    <w:rsid w:val="002F668A"/>
    <w:rsid w:val="002F68EC"/>
    <w:rsid w:val="002F6AFC"/>
    <w:rsid w:val="003007C9"/>
    <w:rsid w:val="00301582"/>
    <w:rsid w:val="00301A59"/>
    <w:rsid w:val="00301B2F"/>
    <w:rsid w:val="00301B73"/>
    <w:rsid w:val="00301CDF"/>
    <w:rsid w:val="00301D2D"/>
    <w:rsid w:val="00303D2C"/>
    <w:rsid w:val="0030765A"/>
    <w:rsid w:val="00307B3B"/>
    <w:rsid w:val="00307CC0"/>
    <w:rsid w:val="003106FB"/>
    <w:rsid w:val="00311319"/>
    <w:rsid w:val="0031190F"/>
    <w:rsid w:val="00311C30"/>
    <w:rsid w:val="003125EE"/>
    <w:rsid w:val="00312FC3"/>
    <w:rsid w:val="0031323F"/>
    <w:rsid w:val="003140FC"/>
    <w:rsid w:val="0031513C"/>
    <w:rsid w:val="00316809"/>
    <w:rsid w:val="00322F46"/>
    <w:rsid w:val="003241DE"/>
    <w:rsid w:val="00324E92"/>
    <w:rsid w:val="00326042"/>
    <w:rsid w:val="00326D05"/>
    <w:rsid w:val="00327D8F"/>
    <w:rsid w:val="00327E74"/>
    <w:rsid w:val="00330F41"/>
    <w:rsid w:val="00331905"/>
    <w:rsid w:val="003329D8"/>
    <w:rsid w:val="00332A4E"/>
    <w:rsid w:val="003332C5"/>
    <w:rsid w:val="00333576"/>
    <w:rsid w:val="00333AAF"/>
    <w:rsid w:val="003342DB"/>
    <w:rsid w:val="0033449D"/>
    <w:rsid w:val="00334C69"/>
    <w:rsid w:val="00335950"/>
    <w:rsid w:val="00337A9D"/>
    <w:rsid w:val="00340091"/>
    <w:rsid w:val="00340353"/>
    <w:rsid w:val="003407BE"/>
    <w:rsid w:val="00341005"/>
    <w:rsid w:val="0034143D"/>
    <w:rsid w:val="00341C21"/>
    <w:rsid w:val="00342105"/>
    <w:rsid w:val="003440B0"/>
    <w:rsid w:val="00344C64"/>
    <w:rsid w:val="00344E19"/>
    <w:rsid w:val="003456A7"/>
    <w:rsid w:val="003464A8"/>
    <w:rsid w:val="00346C0F"/>
    <w:rsid w:val="00346FB4"/>
    <w:rsid w:val="003478AD"/>
    <w:rsid w:val="00347A37"/>
    <w:rsid w:val="00351106"/>
    <w:rsid w:val="00351BC8"/>
    <w:rsid w:val="00352A64"/>
    <w:rsid w:val="00353B6E"/>
    <w:rsid w:val="00355B07"/>
    <w:rsid w:val="003564CE"/>
    <w:rsid w:val="00356C23"/>
    <w:rsid w:val="003570E4"/>
    <w:rsid w:val="003577F4"/>
    <w:rsid w:val="00360A3D"/>
    <w:rsid w:val="00361342"/>
    <w:rsid w:val="00361658"/>
    <w:rsid w:val="00361C2C"/>
    <w:rsid w:val="0036323A"/>
    <w:rsid w:val="00364569"/>
    <w:rsid w:val="00364E79"/>
    <w:rsid w:val="003664D4"/>
    <w:rsid w:val="00366F9A"/>
    <w:rsid w:val="0036702A"/>
    <w:rsid w:val="00367561"/>
    <w:rsid w:val="00371A95"/>
    <w:rsid w:val="00371B79"/>
    <w:rsid w:val="00371C28"/>
    <w:rsid w:val="00373643"/>
    <w:rsid w:val="00373EE7"/>
    <w:rsid w:val="003742C7"/>
    <w:rsid w:val="00374C5F"/>
    <w:rsid w:val="003759B3"/>
    <w:rsid w:val="00375BA1"/>
    <w:rsid w:val="00376646"/>
    <w:rsid w:val="003770EF"/>
    <w:rsid w:val="003772E8"/>
    <w:rsid w:val="003814C3"/>
    <w:rsid w:val="00382261"/>
    <w:rsid w:val="00382DF3"/>
    <w:rsid w:val="003842B3"/>
    <w:rsid w:val="00384B99"/>
    <w:rsid w:val="00384BB9"/>
    <w:rsid w:val="00386003"/>
    <w:rsid w:val="003860BA"/>
    <w:rsid w:val="003869F4"/>
    <w:rsid w:val="00386C30"/>
    <w:rsid w:val="00391FC3"/>
    <w:rsid w:val="003941DA"/>
    <w:rsid w:val="00394565"/>
    <w:rsid w:val="003955D1"/>
    <w:rsid w:val="00395960"/>
    <w:rsid w:val="003A0054"/>
    <w:rsid w:val="003A06E3"/>
    <w:rsid w:val="003A07E7"/>
    <w:rsid w:val="003A0C05"/>
    <w:rsid w:val="003A1688"/>
    <w:rsid w:val="003A186C"/>
    <w:rsid w:val="003A2C51"/>
    <w:rsid w:val="003A32AA"/>
    <w:rsid w:val="003A35D9"/>
    <w:rsid w:val="003A3A69"/>
    <w:rsid w:val="003A3BD9"/>
    <w:rsid w:val="003A3C24"/>
    <w:rsid w:val="003A4F9B"/>
    <w:rsid w:val="003A574F"/>
    <w:rsid w:val="003A58CB"/>
    <w:rsid w:val="003A58CC"/>
    <w:rsid w:val="003A668B"/>
    <w:rsid w:val="003B00D9"/>
    <w:rsid w:val="003B01F8"/>
    <w:rsid w:val="003B1061"/>
    <w:rsid w:val="003B1A69"/>
    <w:rsid w:val="003B2178"/>
    <w:rsid w:val="003B217F"/>
    <w:rsid w:val="003B220B"/>
    <w:rsid w:val="003B2267"/>
    <w:rsid w:val="003B3675"/>
    <w:rsid w:val="003B4106"/>
    <w:rsid w:val="003B57E6"/>
    <w:rsid w:val="003B5806"/>
    <w:rsid w:val="003B6651"/>
    <w:rsid w:val="003B6843"/>
    <w:rsid w:val="003B71A3"/>
    <w:rsid w:val="003B75BA"/>
    <w:rsid w:val="003C2987"/>
    <w:rsid w:val="003C2B5C"/>
    <w:rsid w:val="003C37FD"/>
    <w:rsid w:val="003C386C"/>
    <w:rsid w:val="003C4B32"/>
    <w:rsid w:val="003C54E1"/>
    <w:rsid w:val="003C58B5"/>
    <w:rsid w:val="003C6C2F"/>
    <w:rsid w:val="003C7629"/>
    <w:rsid w:val="003D2B5C"/>
    <w:rsid w:val="003D3CB5"/>
    <w:rsid w:val="003D3CBD"/>
    <w:rsid w:val="003D42E9"/>
    <w:rsid w:val="003D4BB8"/>
    <w:rsid w:val="003E2178"/>
    <w:rsid w:val="003E22D8"/>
    <w:rsid w:val="003E33FB"/>
    <w:rsid w:val="003E594F"/>
    <w:rsid w:val="003E6BAB"/>
    <w:rsid w:val="003F051B"/>
    <w:rsid w:val="003F06D8"/>
    <w:rsid w:val="003F2351"/>
    <w:rsid w:val="003F581B"/>
    <w:rsid w:val="003F65B3"/>
    <w:rsid w:val="003F6BB3"/>
    <w:rsid w:val="003F7D98"/>
    <w:rsid w:val="004002CA"/>
    <w:rsid w:val="0040186F"/>
    <w:rsid w:val="00402086"/>
    <w:rsid w:val="004023B9"/>
    <w:rsid w:val="00402853"/>
    <w:rsid w:val="004036BD"/>
    <w:rsid w:val="00404B5F"/>
    <w:rsid w:val="00405862"/>
    <w:rsid w:val="004060BB"/>
    <w:rsid w:val="00406545"/>
    <w:rsid w:val="00406B37"/>
    <w:rsid w:val="00407B2E"/>
    <w:rsid w:val="00407FA5"/>
    <w:rsid w:val="00410134"/>
    <w:rsid w:val="00410B31"/>
    <w:rsid w:val="00410E63"/>
    <w:rsid w:val="00413CA4"/>
    <w:rsid w:val="004145E8"/>
    <w:rsid w:val="0041467C"/>
    <w:rsid w:val="00415043"/>
    <w:rsid w:val="00415128"/>
    <w:rsid w:val="00416B84"/>
    <w:rsid w:val="0041765B"/>
    <w:rsid w:val="0041781F"/>
    <w:rsid w:val="00420A86"/>
    <w:rsid w:val="0042366A"/>
    <w:rsid w:val="00424413"/>
    <w:rsid w:val="004276E5"/>
    <w:rsid w:val="004307C3"/>
    <w:rsid w:val="00430907"/>
    <w:rsid w:val="00431B8E"/>
    <w:rsid w:val="00431D67"/>
    <w:rsid w:val="0043236D"/>
    <w:rsid w:val="004332FD"/>
    <w:rsid w:val="00433513"/>
    <w:rsid w:val="004336E7"/>
    <w:rsid w:val="00434C83"/>
    <w:rsid w:val="00435396"/>
    <w:rsid w:val="00435C3B"/>
    <w:rsid w:val="00435F2A"/>
    <w:rsid w:val="004362AB"/>
    <w:rsid w:val="00436DB1"/>
    <w:rsid w:val="004373D9"/>
    <w:rsid w:val="00437D0B"/>
    <w:rsid w:val="00440124"/>
    <w:rsid w:val="00440ADC"/>
    <w:rsid w:val="00441615"/>
    <w:rsid w:val="00442D5F"/>
    <w:rsid w:val="00443930"/>
    <w:rsid w:val="0044431A"/>
    <w:rsid w:val="00444F6B"/>
    <w:rsid w:val="00446713"/>
    <w:rsid w:val="00446AE5"/>
    <w:rsid w:val="00447831"/>
    <w:rsid w:val="00447E9C"/>
    <w:rsid w:val="00450EEC"/>
    <w:rsid w:val="00451F9E"/>
    <w:rsid w:val="004534C5"/>
    <w:rsid w:val="00453CBB"/>
    <w:rsid w:val="00455535"/>
    <w:rsid w:val="00455BC0"/>
    <w:rsid w:val="00456241"/>
    <w:rsid w:val="0045646D"/>
    <w:rsid w:val="0045696E"/>
    <w:rsid w:val="00457E25"/>
    <w:rsid w:val="00457FD8"/>
    <w:rsid w:val="004600C2"/>
    <w:rsid w:val="00461E8B"/>
    <w:rsid w:val="0046267C"/>
    <w:rsid w:val="00462F70"/>
    <w:rsid w:val="00463CBC"/>
    <w:rsid w:val="00467676"/>
    <w:rsid w:val="00467F32"/>
    <w:rsid w:val="00467FFC"/>
    <w:rsid w:val="00470A29"/>
    <w:rsid w:val="00471DDA"/>
    <w:rsid w:val="004736C6"/>
    <w:rsid w:val="0047671D"/>
    <w:rsid w:val="00476B26"/>
    <w:rsid w:val="00476B81"/>
    <w:rsid w:val="00476DE3"/>
    <w:rsid w:val="004775B7"/>
    <w:rsid w:val="00480C87"/>
    <w:rsid w:val="00480E2F"/>
    <w:rsid w:val="00482D94"/>
    <w:rsid w:val="00482F5E"/>
    <w:rsid w:val="0048318F"/>
    <w:rsid w:val="00483FDC"/>
    <w:rsid w:val="0048457F"/>
    <w:rsid w:val="00486503"/>
    <w:rsid w:val="00487DD6"/>
    <w:rsid w:val="00487F43"/>
    <w:rsid w:val="0049082F"/>
    <w:rsid w:val="00490F6C"/>
    <w:rsid w:val="0049176F"/>
    <w:rsid w:val="00491A39"/>
    <w:rsid w:val="00492261"/>
    <w:rsid w:val="00492AA7"/>
    <w:rsid w:val="00492B7F"/>
    <w:rsid w:val="00494590"/>
    <w:rsid w:val="004949F8"/>
    <w:rsid w:val="00495B9F"/>
    <w:rsid w:val="00496017"/>
    <w:rsid w:val="00496CEF"/>
    <w:rsid w:val="004977C8"/>
    <w:rsid w:val="0049787F"/>
    <w:rsid w:val="00497AE0"/>
    <w:rsid w:val="004A029E"/>
    <w:rsid w:val="004A0F7B"/>
    <w:rsid w:val="004A1B96"/>
    <w:rsid w:val="004A1E89"/>
    <w:rsid w:val="004A3BB9"/>
    <w:rsid w:val="004A3F39"/>
    <w:rsid w:val="004A7AA8"/>
    <w:rsid w:val="004A7C75"/>
    <w:rsid w:val="004B0600"/>
    <w:rsid w:val="004B12F0"/>
    <w:rsid w:val="004B17A9"/>
    <w:rsid w:val="004B2B0E"/>
    <w:rsid w:val="004B3765"/>
    <w:rsid w:val="004B4657"/>
    <w:rsid w:val="004B479E"/>
    <w:rsid w:val="004B4897"/>
    <w:rsid w:val="004B6779"/>
    <w:rsid w:val="004B6AC2"/>
    <w:rsid w:val="004B6C4F"/>
    <w:rsid w:val="004B6FBA"/>
    <w:rsid w:val="004C01E0"/>
    <w:rsid w:val="004C1449"/>
    <w:rsid w:val="004C163A"/>
    <w:rsid w:val="004C3D68"/>
    <w:rsid w:val="004C3EAD"/>
    <w:rsid w:val="004C4FB9"/>
    <w:rsid w:val="004C56DB"/>
    <w:rsid w:val="004C5D08"/>
    <w:rsid w:val="004C619C"/>
    <w:rsid w:val="004C6B9C"/>
    <w:rsid w:val="004C6D41"/>
    <w:rsid w:val="004C6E02"/>
    <w:rsid w:val="004C723D"/>
    <w:rsid w:val="004C7735"/>
    <w:rsid w:val="004C7D69"/>
    <w:rsid w:val="004C7D9E"/>
    <w:rsid w:val="004D05A3"/>
    <w:rsid w:val="004D0738"/>
    <w:rsid w:val="004D1BEC"/>
    <w:rsid w:val="004D2253"/>
    <w:rsid w:val="004D3446"/>
    <w:rsid w:val="004D34B2"/>
    <w:rsid w:val="004D36E4"/>
    <w:rsid w:val="004D4502"/>
    <w:rsid w:val="004D4E8D"/>
    <w:rsid w:val="004D54A9"/>
    <w:rsid w:val="004D5A05"/>
    <w:rsid w:val="004E0357"/>
    <w:rsid w:val="004E0A11"/>
    <w:rsid w:val="004E0EE5"/>
    <w:rsid w:val="004E10A1"/>
    <w:rsid w:val="004E21B4"/>
    <w:rsid w:val="004E2FBE"/>
    <w:rsid w:val="004E31FF"/>
    <w:rsid w:val="004E32C4"/>
    <w:rsid w:val="004E3D59"/>
    <w:rsid w:val="004E4768"/>
    <w:rsid w:val="004E50FD"/>
    <w:rsid w:val="004E5F83"/>
    <w:rsid w:val="004F067D"/>
    <w:rsid w:val="004F0AB2"/>
    <w:rsid w:val="004F140C"/>
    <w:rsid w:val="004F25ED"/>
    <w:rsid w:val="004F27BB"/>
    <w:rsid w:val="004F3A0F"/>
    <w:rsid w:val="004F49D1"/>
    <w:rsid w:val="004F583A"/>
    <w:rsid w:val="004F727F"/>
    <w:rsid w:val="004F7536"/>
    <w:rsid w:val="0050024D"/>
    <w:rsid w:val="00500598"/>
    <w:rsid w:val="00500EC7"/>
    <w:rsid w:val="00501510"/>
    <w:rsid w:val="005033D3"/>
    <w:rsid w:val="0050382F"/>
    <w:rsid w:val="0050494C"/>
    <w:rsid w:val="00505C35"/>
    <w:rsid w:val="00506066"/>
    <w:rsid w:val="00506416"/>
    <w:rsid w:val="00506578"/>
    <w:rsid w:val="00506A68"/>
    <w:rsid w:val="00507955"/>
    <w:rsid w:val="00512EEF"/>
    <w:rsid w:val="005130B9"/>
    <w:rsid w:val="00513EAD"/>
    <w:rsid w:val="00514393"/>
    <w:rsid w:val="005147BF"/>
    <w:rsid w:val="00515116"/>
    <w:rsid w:val="00520E3C"/>
    <w:rsid w:val="00523218"/>
    <w:rsid w:val="00527616"/>
    <w:rsid w:val="00527ADC"/>
    <w:rsid w:val="00530137"/>
    <w:rsid w:val="00530FC7"/>
    <w:rsid w:val="005378F3"/>
    <w:rsid w:val="00537B20"/>
    <w:rsid w:val="00540732"/>
    <w:rsid w:val="00540E58"/>
    <w:rsid w:val="0054128C"/>
    <w:rsid w:val="0054147A"/>
    <w:rsid w:val="00541CC8"/>
    <w:rsid w:val="00542E00"/>
    <w:rsid w:val="0054374E"/>
    <w:rsid w:val="00544754"/>
    <w:rsid w:val="00544FF0"/>
    <w:rsid w:val="005506A5"/>
    <w:rsid w:val="005507C6"/>
    <w:rsid w:val="005510E0"/>
    <w:rsid w:val="00551A22"/>
    <w:rsid w:val="00551C8A"/>
    <w:rsid w:val="00552640"/>
    <w:rsid w:val="00553B6F"/>
    <w:rsid w:val="0055410E"/>
    <w:rsid w:val="005544AB"/>
    <w:rsid w:val="00554C70"/>
    <w:rsid w:val="005552BD"/>
    <w:rsid w:val="00555668"/>
    <w:rsid w:val="00555B7E"/>
    <w:rsid w:val="00555BB0"/>
    <w:rsid w:val="00555FA2"/>
    <w:rsid w:val="005569C7"/>
    <w:rsid w:val="00556A39"/>
    <w:rsid w:val="00556EE0"/>
    <w:rsid w:val="00557036"/>
    <w:rsid w:val="00557C24"/>
    <w:rsid w:val="00557F90"/>
    <w:rsid w:val="00561511"/>
    <w:rsid w:val="0056179C"/>
    <w:rsid w:val="00562648"/>
    <w:rsid w:val="00563900"/>
    <w:rsid w:val="00564656"/>
    <w:rsid w:val="0056586E"/>
    <w:rsid w:val="00565A88"/>
    <w:rsid w:val="0056660A"/>
    <w:rsid w:val="00566677"/>
    <w:rsid w:val="00566938"/>
    <w:rsid w:val="00566D60"/>
    <w:rsid w:val="005673AF"/>
    <w:rsid w:val="00570903"/>
    <w:rsid w:val="00571151"/>
    <w:rsid w:val="0057198E"/>
    <w:rsid w:val="005725EA"/>
    <w:rsid w:val="0057317E"/>
    <w:rsid w:val="0057371F"/>
    <w:rsid w:val="005739F9"/>
    <w:rsid w:val="00574C15"/>
    <w:rsid w:val="00575918"/>
    <w:rsid w:val="00575ACB"/>
    <w:rsid w:val="005762C7"/>
    <w:rsid w:val="005808E1"/>
    <w:rsid w:val="00580A84"/>
    <w:rsid w:val="00580EC6"/>
    <w:rsid w:val="00582C12"/>
    <w:rsid w:val="00582C3F"/>
    <w:rsid w:val="005859D1"/>
    <w:rsid w:val="00586DE1"/>
    <w:rsid w:val="005875D5"/>
    <w:rsid w:val="00590BDE"/>
    <w:rsid w:val="00590DC7"/>
    <w:rsid w:val="005923FC"/>
    <w:rsid w:val="00592670"/>
    <w:rsid w:val="00593A13"/>
    <w:rsid w:val="00594E79"/>
    <w:rsid w:val="005953DA"/>
    <w:rsid w:val="00595E40"/>
    <w:rsid w:val="00596277"/>
    <w:rsid w:val="00597EE6"/>
    <w:rsid w:val="005A03B5"/>
    <w:rsid w:val="005A0F69"/>
    <w:rsid w:val="005A1A2E"/>
    <w:rsid w:val="005A213F"/>
    <w:rsid w:val="005A23FB"/>
    <w:rsid w:val="005A3500"/>
    <w:rsid w:val="005A46AD"/>
    <w:rsid w:val="005A5BD0"/>
    <w:rsid w:val="005A6157"/>
    <w:rsid w:val="005A6952"/>
    <w:rsid w:val="005A7AD7"/>
    <w:rsid w:val="005B018D"/>
    <w:rsid w:val="005B1DCC"/>
    <w:rsid w:val="005B2987"/>
    <w:rsid w:val="005B2E6B"/>
    <w:rsid w:val="005B31FB"/>
    <w:rsid w:val="005B406C"/>
    <w:rsid w:val="005B5124"/>
    <w:rsid w:val="005B5A71"/>
    <w:rsid w:val="005B5C8F"/>
    <w:rsid w:val="005B60EA"/>
    <w:rsid w:val="005B6565"/>
    <w:rsid w:val="005B6861"/>
    <w:rsid w:val="005B6A64"/>
    <w:rsid w:val="005B6F97"/>
    <w:rsid w:val="005B7531"/>
    <w:rsid w:val="005B7C3D"/>
    <w:rsid w:val="005C0032"/>
    <w:rsid w:val="005C00B2"/>
    <w:rsid w:val="005C1AB8"/>
    <w:rsid w:val="005C2136"/>
    <w:rsid w:val="005C35F2"/>
    <w:rsid w:val="005C3B2A"/>
    <w:rsid w:val="005C4504"/>
    <w:rsid w:val="005C4A0E"/>
    <w:rsid w:val="005C4D78"/>
    <w:rsid w:val="005C60FE"/>
    <w:rsid w:val="005C66DC"/>
    <w:rsid w:val="005D07DC"/>
    <w:rsid w:val="005D0AA5"/>
    <w:rsid w:val="005D0AC9"/>
    <w:rsid w:val="005D2374"/>
    <w:rsid w:val="005D2A30"/>
    <w:rsid w:val="005D2FE2"/>
    <w:rsid w:val="005D34B5"/>
    <w:rsid w:val="005D5078"/>
    <w:rsid w:val="005D561E"/>
    <w:rsid w:val="005D5C77"/>
    <w:rsid w:val="005D5FAE"/>
    <w:rsid w:val="005D6CAE"/>
    <w:rsid w:val="005E160A"/>
    <w:rsid w:val="005E1B90"/>
    <w:rsid w:val="005E219C"/>
    <w:rsid w:val="005E2655"/>
    <w:rsid w:val="005E27CF"/>
    <w:rsid w:val="005E34C4"/>
    <w:rsid w:val="005E4672"/>
    <w:rsid w:val="005E507C"/>
    <w:rsid w:val="005E52E2"/>
    <w:rsid w:val="005E5A71"/>
    <w:rsid w:val="005E613E"/>
    <w:rsid w:val="005E62B1"/>
    <w:rsid w:val="005E739D"/>
    <w:rsid w:val="005F1E78"/>
    <w:rsid w:val="005F21F8"/>
    <w:rsid w:val="005F2366"/>
    <w:rsid w:val="005F2C7B"/>
    <w:rsid w:val="005F3AF5"/>
    <w:rsid w:val="005F3E68"/>
    <w:rsid w:val="005F5228"/>
    <w:rsid w:val="005F526E"/>
    <w:rsid w:val="005F5F1C"/>
    <w:rsid w:val="005F5F3F"/>
    <w:rsid w:val="005F60D4"/>
    <w:rsid w:val="005F629E"/>
    <w:rsid w:val="005F6501"/>
    <w:rsid w:val="005F71BA"/>
    <w:rsid w:val="005F7BC1"/>
    <w:rsid w:val="006002A2"/>
    <w:rsid w:val="00600A36"/>
    <w:rsid w:val="00603125"/>
    <w:rsid w:val="00606CAB"/>
    <w:rsid w:val="006072BD"/>
    <w:rsid w:val="00607D6F"/>
    <w:rsid w:val="00607DB3"/>
    <w:rsid w:val="006110BB"/>
    <w:rsid w:val="0061276B"/>
    <w:rsid w:val="00612DE2"/>
    <w:rsid w:val="00615615"/>
    <w:rsid w:val="00615C96"/>
    <w:rsid w:val="00617EF6"/>
    <w:rsid w:val="00620834"/>
    <w:rsid w:val="00622127"/>
    <w:rsid w:val="00623F3C"/>
    <w:rsid w:val="006262B1"/>
    <w:rsid w:val="006263C2"/>
    <w:rsid w:val="0062641F"/>
    <w:rsid w:val="006267EC"/>
    <w:rsid w:val="006322D7"/>
    <w:rsid w:val="006325D7"/>
    <w:rsid w:val="0063268C"/>
    <w:rsid w:val="00632A17"/>
    <w:rsid w:val="00632AA1"/>
    <w:rsid w:val="006361DD"/>
    <w:rsid w:val="00636541"/>
    <w:rsid w:val="006369DE"/>
    <w:rsid w:val="00637FBD"/>
    <w:rsid w:val="00640200"/>
    <w:rsid w:val="00644C72"/>
    <w:rsid w:val="00645A13"/>
    <w:rsid w:val="006464FE"/>
    <w:rsid w:val="006504A0"/>
    <w:rsid w:val="00650797"/>
    <w:rsid w:val="00651017"/>
    <w:rsid w:val="00651205"/>
    <w:rsid w:val="00651AE6"/>
    <w:rsid w:val="00651B01"/>
    <w:rsid w:val="0065258E"/>
    <w:rsid w:val="00652658"/>
    <w:rsid w:val="006550B5"/>
    <w:rsid w:val="00656B07"/>
    <w:rsid w:val="00656DE5"/>
    <w:rsid w:val="00656FAC"/>
    <w:rsid w:val="00660993"/>
    <w:rsid w:val="00661051"/>
    <w:rsid w:val="00661D8A"/>
    <w:rsid w:val="00663A92"/>
    <w:rsid w:val="00663ABD"/>
    <w:rsid w:val="006643A0"/>
    <w:rsid w:val="00664EED"/>
    <w:rsid w:val="006667DF"/>
    <w:rsid w:val="006670AE"/>
    <w:rsid w:val="00670AE0"/>
    <w:rsid w:val="00672312"/>
    <w:rsid w:val="006729DC"/>
    <w:rsid w:val="006736D3"/>
    <w:rsid w:val="00674FC7"/>
    <w:rsid w:val="006752B5"/>
    <w:rsid w:val="0067556F"/>
    <w:rsid w:val="006811EC"/>
    <w:rsid w:val="00681E89"/>
    <w:rsid w:val="00683239"/>
    <w:rsid w:val="00683283"/>
    <w:rsid w:val="006847A6"/>
    <w:rsid w:val="00684B40"/>
    <w:rsid w:val="00684FF8"/>
    <w:rsid w:val="0068506E"/>
    <w:rsid w:val="00686109"/>
    <w:rsid w:val="00686C39"/>
    <w:rsid w:val="00686E02"/>
    <w:rsid w:val="00687A02"/>
    <w:rsid w:val="00690585"/>
    <w:rsid w:val="006926A7"/>
    <w:rsid w:val="00693B17"/>
    <w:rsid w:val="00693D65"/>
    <w:rsid w:val="00694333"/>
    <w:rsid w:val="00695B84"/>
    <w:rsid w:val="00697C31"/>
    <w:rsid w:val="006A231C"/>
    <w:rsid w:val="006A4A6D"/>
    <w:rsid w:val="006A4C64"/>
    <w:rsid w:val="006A6B6D"/>
    <w:rsid w:val="006A6DCC"/>
    <w:rsid w:val="006A7DBE"/>
    <w:rsid w:val="006A7F33"/>
    <w:rsid w:val="006B2199"/>
    <w:rsid w:val="006B26F9"/>
    <w:rsid w:val="006B4655"/>
    <w:rsid w:val="006B49A8"/>
    <w:rsid w:val="006B59C3"/>
    <w:rsid w:val="006B6A31"/>
    <w:rsid w:val="006B6F36"/>
    <w:rsid w:val="006C0007"/>
    <w:rsid w:val="006C015E"/>
    <w:rsid w:val="006C06E8"/>
    <w:rsid w:val="006C13FE"/>
    <w:rsid w:val="006C3047"/>
    <w:rsid w:val="006C375F"/>
    <w:rsid w:val="006C3C63"/>
    <w:rsid w:val="006C52E0"/>
    <w:rsid w:val="006C5EA3"/>
    <w:rsid w:val="006C65A2"/>
    <w:rsid w:val="006C6656"/>
    <w:rsid w:val="006C66E5"/>
    <w:rsid w:val="006D12EE"/>
    <w:rsid w:val="006D273A"/>
    <w:rsid w:val="006D3AFF"/>
    <w:rsid w:val="006D513B"/>
    <w:rsid w:val="006D57D3"/>
    <w:rsid w:val="006D694C"/>
    <w:rsid w:val="006D7A0A"/>
    <w:rsid w:val="006D7EB3"/>
    <w:rsid w:val="006E087D"/>
    <w:rsid w:val="006E11B2"/>
    <w:rsid w:val="006E2E68"/>
    <w:rsid w:val="006E55CF"/>
    <w:rsid w:val="006E63C7"/>
    <w:rsid w:val="006E7034"/>
    <w:rsid w:val="006E7A06"/>
    <w:rsid w:val="006F1ABE"/>
    <w:rsid w:val="006F30E0"/>
    <w:rsid w:val="006F603F"/>
    <w:rsid w:val="006F630A"/>
    <w:rsid w:val="006F6DE4"/>
    <w:rsid w:val="006F6E41"/>
    <w:rsid w:val="007005A0"/>
    <w:rsid w:val="007009BF"/>
    <w:rsid w:val="00700A4B"/>
    <w:rsid w:val="00702B9A"/>
    <w:rsid w:val="00702C41"/>
    <w:rsid w:val="0070405D"/>
    <w:rsid w:val="0070410F"/>
    <w:rsid w:val="00704B5E"/>
    <w:rsid w:val="0070551F"/>
    <w:rsid w:val="00705CF6"/>
    <w:rsid w:val="00706847"/>
    <w:rsid w:val="007103D5"/>
    <w:rsid w:val="0071131E"/>
    <w:rsid w:val="00711469"/>
    <w:rsid w:val="007114B5"/>
    <w:rsid w:val="007116D7"/>
    <w:rsid w:val="0071290F"/>
    <w:rsid w:val="00713D0A"/>
    <w:rsid w:val="00713D8F"/>
    <w:rsid w:val="007169E5"/>
    <w:rsid w:val="00717C96"/>
    <w:rsid w:val="00720C15"/>
    <w:rsid w:val="00720EDB"/>
    <w:rsid w:val="00722A0C"/>
    <w:rsid w:val="007239BA"/>
    <w:rsid w:val="00723A0F"/>
    <w:rsid w:val="00725FA1"/>
    <w:rsid w:val="00726A11"/>
    <w:rsid w:val="00727420"/>
    <w:rsid w:val="00727730"/>
    <w:rsid w:val="00727741"/>
    <w:rsid w:val="007277D6"/>
    <w:rsid w:val="0073099E"/>
    <w:rsid w:val="00730B98"/>
    <w:rsid w:val="00730EA8"/>
    <w:rsid w:val="00731CBF"/>
    <w:rsid w:val="00731D07"/>
    <w:rsid w:val="007324E3"/>
    <w:rsid w:val="00732805"/>
    <w:rsid w:val="007328B4"/>
    <w:rsid w:val="00733015"/>
    <w:rsid w:val="007336CE"/>
    <w:rsid w:val="0073392A"/>
    <w:rsid w:val="00734631"/>
    <w:rsid w:val="00735251"/>
    <w:rsid w:val="00735A41"/>
    <w:rsid w:val="00735BAF"/>
    <w:rsid w:val="007372DD"/>
    <w:rsid w:val="00740C0D"/>
    <w:rsid w:val="00741ACE"/>
    <w:rsid w:val="00750041"/>
    <w:rsid w:val="007509B8"/>
    <w:rsid w:val="007509D8"/>
    <w:rsid w:val="007518BA"/>
    <w:rsid w:val="007519A3"/>
    <w:rsid w:val="00752C4A"/>
    <w:rsid w:val="00753250"/>
    <w:rsid w:val="007533FF"/>
    <w:rsid w:val="00753643"/>
    <w:rsid w:val="00755C31"/>
    <w:rsid w:val="00760D88"/>
    <w:rsid w:val="007612E4"/>
    <w:rsid w:val="007628E0"/>
    <w:rsid w:val="007632E1"/>
    <w:rsid w:val="00766012"/>
    <w:rsid w:val="00766329"/>
    <w:rsid w:val="00767992"/>
    <w:rsid w:val="00771F79"/>
    <w:rsid w:val="007722D7"/>
    <w:rsid w:val="00772D16"/>
    <w:rsid w:val="007741FC"/>
    <w:rsid w:val="0077521F"/>
    <w:rsid w:val="00775BAD"/>
    <w:rsid w:val="00775F76"/>
    <w:rsid w:val="00775FC6"/>
    <w:rsid w:val="007804D4"/>
    <w:rsid w:val="00780595"/>
    <w:rsid w:val="00780C3F"/>
    <w:rsid w:val="00782DB3"/>
    <w:rsid w:val="00786FF5"/>
    <w:rsid w:val="007903B7"/>
    <w:rsid w:val="0079057D"/>
    <w:rsid w:val="00791219"/>
    <w:rsid w:val="0079148C"/>
    <w:rsid w:val="00791FE2"/>
    <w:rsid w:val="00792095"/>
    <w:rsid w:val="007924BB"/>
    <w:rsid w:val="00792ED0"/>
    <w:rsid w:val="0079596E"/>
    <w:rsid w:val="00796061"/>
    <w:rsid w:val="007960F2"/>
    <w:rsid w:val="00796D90"/>
    <w:rsid w:val="00796F73"/>
    <w:rsid w:val="007A0662"/>
    <w:rsid w:val="007A0E1F"/>
    <w:rsid w:val="007A2C29"/>
    <w:rsid w:val="007A3F8A"/>
    <w:rsid w:val="007A4439"/>
    <w:rsid w:val="007A4FF0"/>
    <w:rsid w:val="007A54CD"/>
    <w:rsid w:val="007A6D3E"/>
    <w:rsid w:val="007A7202"/>
    <w:rsid w:val="007A75B3"/>
    <w:rsid w:val="007A7F7B"/>
    <w:rsid w:val="007A7FBE"/>
    <w:rsid w:val="007B0AC7"/>
    <w:rsid w:val="007B2599"/>
    <w:rsid w:val="007B2AFC"/>
    <w:rsid w:val="007B6492"/>
    <w:rsid w:val="007B7CE7"/>
    <w:rsid w:val="007B7FE4"/>
    <w:rsid w:val="007C19DC"/>
    <w:rsid w:val="007C48F4"/>
    <w:rsid w:val="007C5D23"/>
    <w:rsid w:val="007C5F58"/>
    <w:rsid w:val="007C637A"/>
    <w:rsid w:val="007C6B40"/>
    <w:rsid w:val="007D0AB5"/>
    <w:rsid w:val="007D13FB"/>
    <w:rsid w:val="007D2411"/>
    <w:rsid w:val="007D2524"/>
    <w:rsid w:val="007D474A"/>
    <w:rsid w:val="007D54F9"/>
    <w:rsid w:val="007D6F2C"/>
    <w:rsid w:val="007D7516"/>
    <w:rsid w:val="007E0523"/>
    <w:rsid w:val="007E17D6"/>
    <w:rsid w:val="007E19FE"/>
    <w:rsid w:val="007E1A5C"/>
    <w:rsid w:val="007E22DC"/>
    <w:rsid w:val="007E242B"/>
    <w:rsid w:val="007E309C"/>
    <w:rsid w:val="007E328D"/>
    <w:rsid w:val="007E3DE5"/>
    <w:rsid w:val="007E4789"/>
    <w:rsid w:val="007E6115"/>
    <w:rsid w:val="007E7DCB"/>
    <w:rsid w:val="007F05FA"/>
    <w:rsid w:val="007F16C3"/>
    <w:rsid w:val="007F1C00"/>
    <w:rsid w:val="007F1DDB"/>
    <w:rsid w:val="007F1E70"/>
    <w:rsid w:val="007F2285"/>
    <w:rsid w:val="007F24C2"/>
    <w:rsid w:val="007F2EAE"/>
    <w:rsid w:val="007F3873"/>
    <w:rsid w:val="007F61E9"/>
    <w:rsid w:val="007F74D0"/>
    <w:rsid w:val="00800F9B"/>
    <w:rsid w:val="00800FB9"/>
    <w:rsid w:val="00802AD4"/>
    <w:rsid w:val="00803372"/>
    <w:rsid w:val="0080449A"/>
    <w:rsid w:val="008050AA"/>
    <w:rsid w:val="00805105"/>
    <w:rsid w:val="00805939"/>
    <w:rsid w:val="00806303"/>
    <w:rsid w:val="008065A2"/>
    <w:rsid w:val="008065CD"/>
    <w:rsid w:val="00810000"/>
    <w:rsid w:val="00813A08"/>
    <w:rsid w:val="008149C5"/>
    <w:rsid w:val="00816162"/>
    <w:rsid w:val="0081758F"/>
    <w:rsid w:val="00817741"/>
    <w:rsid w:val="008206DF"/>
    <w:rsid w:val="00821394"/>
    <w:rsid w:val="00822AD0"/>
    <w:rsid w:val="00823520"/>
    <w:rsid w:val="008239C6"/>
    <w:rsid w:val="008267BB"/>
    <w:rsid w:val="00827210"/>
    <w:rsid w:val="008272B3"/>
    <w:rsid w:val="008274C5"/>
    <w:rsid w:val="00827DF9"/>
    <w:rsid w:val="00830CCB"/>
    <w:rsid w:val="0083107C"/>
    <w:rsid w:val="0083156E"/>
    <w:rsid w:val="00831948"/>
    <w:rsid w:val="00833103"/>
    <w:rsid w:val="008337B6"/>
    <w:rsid w:val="00833917"/>
    <w:rsid w:val="00834480"/>
    <w:rsid w:val="00834E23"/>
    <w:rsid w:val="008356BB"/>
    <w:rsid w:val="00835B21"/>
    <w:rsid w:val="00836082"/>
    <w:rsid w:val="0083612B"/>
    <w:rsid w:val="008374FF"/>
    <w:rsid w:val="0083792B"/>
    <w:rsid w:val="008413C4"/>
    <w:rsid w:val="00841AE0"/>
    <w:rsid w:val="00842ECE"/>
    <w:rsid w:val="00843E89"/>
    <w:rsid w:val="0084409E"/>
    <w:rsid w:val="00846A06"/>
    <w:rsid w:val="0085009E"/>
    <w:rsid w:val="00850131"/>
    <w:rsid w:val="0085068F"/>
    <w:rsid w:val="00850F01"/>
    <w:rsid w:val="00853E77"/>
    <w:rsid w:val="00853FBB"/>
    <w:rsid w:val="00854412"/>
    <w:rsid w:val="0085755A"/>
    <w:rsid w:val="00857D0B"/>
    <w:rsid w:val="00857E4B"/>
    <w:rsid w:val="00860404"/>
    <w:rsid w:val="008627A5"/>
    <w:rsid w:val="0086282D"/>
    <w:rsid w:val="00863198"/>
    <w:rsid w:val="00863808"/>
    <w:rsid w:val="00863A6C"/>
    <w:rsid w:val="00863F9D"/>
    <w:rsid w:val="008646F0"/>
    <w:rsid w:val="00864780"/>
    <w:rsid w:val="008649C8"/>
    <w:rsid w:val="00865489"/>
    <w:rsid w:val="00865F81"/>
    <w:rsid w:val="008668CC"/>
    <w:rsid w:val="00866E08"/>
    <w:rsid w:val="0086700B"/>
    <w:rsid w:val="0086703C"/>
    <w:rsid w:val="00867DE0"/>
    <w:rsid w:val="00871F3F"/>
    <w:rsid w:val="0087315D"/>
    <w:rsid w:val="008740D6"/>
    <w:rsid w:val="0087652F"/>
    <w:rsid w:val="0088030C"/>
    <w:rsid w:val="008806C0"/>
    <w:rsid w:val="00880C9C"/>
    <w:rsid w:val="00881A72"/>
    <w:rsid w:val="00881AC0"/>
    <w:rsid w:val="008828F6"/>
    <w:rsid w:val="00883A87"/>
    <w:rsid w:val="00883CC2"/>
    <w:rsid w:val="00884447"/>
    <w:rsid w:val="0088504B"/>
    <w:rsid w:val="008850DD"/>
    <w:rsid w:val="0088785A"/>
    <w:rsid w:val="008905B3"/>
    <w:rsid w:val="00890DD1"/>
    <w:rsid w:val="00891066"/>
    <w:rsid w:val="00891EB1"/>
    <w:rsid w:val="00892D52"/>
    <w:rsid w:val="00893A92"/>
    <w:rsid w:val="00893F5D"/>
    <w:rsid w:val="00895771"/>
    <w:rsid w:val="0089643A"/>
    <w:rsid w:val="008968DD"/>
    <w:rsid w:val="00896A51"/>
    <w:rsid w:val="008979DC"/>
    <w:rsid w:val="008A1472"/>
    <w:rsid w:val="008A1751"/>
    <w:rsid w:val="008A1B94"/>
    <w:rsid w:val="008A2750"/>
    <w:rsid w:val="008A342D"/>
    <w:rsid w:val="008A469A"/>
    <w:rsid w:val="008A49FB"/>
    <w:rsid w:val="008A5721"/>
    <w:rsid w:val="008B0633"/>
    <w:rsid w:val="008B157D"/>
    <w:rsid w:val="008B20BB"/>
    <w:rsid w:val="008B3685"/>
    <w:rsid w:val="008B4654"/>
    <w:rsid w:val="008B6194"/>
    <w:rsid w:val="008B6B38"/>
    <w:rsid w:val="008B6FB1"/>
    <w:rsid w:val="008C0BEE"/>
    <w:rsid w:val="008C0F46"/>
    <w:rsid w:val="008C14DD"/>
    <w:rsid w:val="008C24D7"/>
    <w:rsid w:val="008C2C15"/>
    <w:rsid w:val="008C524C"/>
    <w:rsid w:val="008C6B53"/>
    <w:rsid w:val="008C79CD"/>
    <w:rsid w:val="008C7B01"/>
    <w:rsid w:val="008D0454"/>
    <w:rsid w:val="008D0ED8"/>
    <w:rsid w:val="008D12D1"/>
    <w:rsid w:val="008D2FD7"/>
    <w:rsid w:val="008D3FD6"/>
    <w:rsid w:val="008D5710"/>
    <w:rsid w:val="008D628C"/>
    <w:rsid w:val="008D6C89"/>
    <w:rsid w:val="008D7046"/>
    <w:rsid w:val="008D7232"/>
    <w:rsid w:val="008D76BD"/>
    <w:rsid w:val="008E009E"/>
    <w:rsid w:val="008E12D1"/>
    <w:rsid w:val="008E1789"/>
    <w:rsid w:val="008E1F65"/>
    <w:rsid w:val="008E222E"/>
    <w:rsid w:val="008E3645"/>
    <w:rsid w:val="008E374C"/>
    <w:rsid w:val="008E6D22"/>
    <w:rsid w:val="008E7105"/>
    <w:rsid w:val="008E7FFA"/>
    <w:rsid w:val="008F1890"/>
    <w:rsid w:val="008F4258"/>
    <w:rsid w:val="008F6927"/>
    <w:rsid w:val="008F7CF2"/>
    <w:rsid w:val="008F7FDC"/>
    <w:rsid w:val="00900A7D"/>
    <w:rsid w:val="009015E1"/>
    <w:rsid w:val="00901F4A"/>
    <w:rsid w:val="00902D93"/>
    <w:rsid w:val="00903DCB"/>
    <w:rsid w:val="00904B5A"/>
    <w:rsid w:val="00904DEB"/>
    <w:rsid w:val="00905426"/>
    <w:rsid w:val="009054F6"/>
    <w:rsid w:val="0090565C"/>
    <w:rsid w:val="00905F7A"/>
    <w:rsid w:val="00906E9F"/>
    <w:rsid w:val="009074AE"/>
    <w:rsid w:val="009079FF"/>
    <w:rsid w:val="00910137"/>
    <w:rsid w:val="0091106F"/>
    <w:rsid w:val="009117C5"/>
    <w:rsid w:val="00912322"/>
    <w:rsid w:val="00912652"/>
    <w:rsid w:val="00913694"/>
    <w:rsid w:val="00913D21"/>
    <w:rsid w:val="00914620"/>
    <w:rsid w:val="0091532B"/>
    <w:rsid w:val="009162FE"/>
    <w:rsid w:val="009167FE"/>
    <w:rsid w:val="0091710D"/>
    <w:rsid w:val="00921718"/>
    <w:rsid w:val="00921C39"/>
    <w:rsid w:val="00922CCE"/>
    <w:rsid w:val="009236A1"/>
    <w:rsid w:val="00924CAA"/>
    <w:rsid w:val="0092539D"/>
    <w:rsid w:val="00927AD7"/>
    <w:rsid w:val="0093041A"/>
    <w:rsid w:val="009324B5"/>
    <w:rsid w:val="00932786"/>
    <w:rsid w:val="0093318F"/>
    <w:rsid w:val="00933263"/>
    <w:rsid w:val="00933458"/>
    <w:rsid w:val="00934791"/>
    <w:rsid w:val="00934CB1"/>
    <w:rsid w:val="009351BC"/>
    <w:rsid w:val="00936588"/>
    <w:rsid w:val="00936AB2"/>
    <w:rsid w:val="00937BFE"/>
    <w:rsid w:val="009403D0"/>
    <w:rsid w:val="00940A65"/>
    <w:rsid w:val="009427D7"/>
    <w:rsid w:val="00942AC8"/>
    <w:rsid w:val="009430D4"/>
    <w:rsid w:val="0094367B"/>
    <w:rsid w:val="00943F75"/>
    <w:rsid w:val="0094455B"/>
    <w:rsid w:val="00944711"/>
    <w:rsid w:val="00944D5A"/>
    <w:rsid w:val="00946680"/>
    <w:rsid w:val="00947662"/>
    <w:rsid w:val="009508DD"/>
    <w:rsid w:val="00951774"/>
    <w:rsid w:val="00952A8E"/>
    <w:rsid w:val="00952B49"/>
    <w:rsid w:val="00953D25"/>
    <w:rsid w:val="0095447D"/>
    <w:rsid w:val="009547EE"/>
    <w:rsid w:val="00954C1C"/>
    <w:rsid w:val="00955CBA"/>
    <w:rsid w:val="009560A0"/>
    <w:rsid w:val="0095612A"/>
    <w:rsid w:val="00956784"/>
    <w:rsid w:val="00957558"/>
    <w:rsid w:val="00957EBC"/>
    <w:rsid w:val="00960530"/>
    <w:rsid w:val="00961649"/>
    <w:rsid w:val="00962D9F"/>
    <w:rsid w:val="009632BB"/>
    <w:rsid w:val="00963DC2"/>
    <w:rsid w:val="00966172"/>
    <w:rsid w:val="00966A3B"/>
    <w:rsid w:val="0096745C"/>
    <w:rsid w:val="009675A1"/>
    <w:rsid w:val="00967D0E"/>
    <w:rsid w:val="00967D96"/>
    <w:rsid w:val="00972D67"/>
    <w:rsid w:val="00974543"/>
    <w:rsid w:val="009749A1"/>
    <w:rsid w:val="00974EAB"/>
    <w:rsid w:val="00976662"/>
    <w:rsid w:val="0097683F"/>
    <w:rsid w:val="00976B7F"/>
    <w:rsid w:val="00981133"/>
    <w:rsid w:val="00981F34"/>
    <w:rsid w:val="00984087"/>
    <w:rsid w:val="00985F38"/>
    <w:rsid w:val="00987635"/>
    <w:rsid w:val="00990C76"/>
    <w:rsid w:val="0099280A"/>
    <w:rsid w:val="0099285E"/>
    <w:rsid w:val="00992E82"/>
    <w:rsid w:val="00993BF4"/>
    <w:rsid w:val="009946EA"/>
    <w:rsid w:val="00994F1F"/>
    <w:rsid w:val="0099654B"/>
    <w:rsid w:val="009966F8"/>
    <w:rsid w:val="00997D5B"/>
    <w:rsid w:val="009A0C70"/>
    <w:rsid w:val="009A4ACB"/>
    <w:rsid w:val="009A5B1C"/>
    <w:rsid w:val="009A6269"/>
    <w:rsid w:val="009A6669"/>
    <w:rsid w:val="009A6726"/>
    <w:rsid w:val="009A7883"/>
    <w:rsid w:val="009A7AC7"/>
    <w:rsid w:val="009B0682"/>
    <w:rsid w:val="009B0BD0"/>
    <w:rsid w:val="009B1856"/>
    <w:rsid w:val="009B1DA2"/>
    <w:rsid w:val="009B1FFE"/>
    <w:rsid w:val="009B2FA7"/>
    <w:rsid w:val="009B3AE5"/>
    <w:rsid w:val="009B3BF5"/>
    <w:rsid w:val="009B3FCE"/>
    <w:rsid w:val="009B4F93"/>
    <w:rsid w:val="009B53AA"/>
    <w:rsid w:val="009B54D2"/>
    <w:rsid w:val="009B55B4"/>
    <w:rsid w:val="009C0061"/>
    <w:rsid w:val="009C0CC6"/>
    <w:rsid w:val="009C18FF"/>
    <w:rsid w:val="009C1E9A"/>
    <w:rsid w:val="009C2923"/>
    <w:rsid w:val="009C5B54"/>
    <w:rsid w:val="009C605A"/>
    <w:rsid w:val="009D06BA"/>
    <w:rsid w:val="009D3022"/>
    <w:rsid w:val="009D3E7B"/>
    <w:rsid w:val="009D4A44"/>
    <w:rsid w:val="009D613A"/>
    <w:rsid w:val="009D70E8"/>
    <w:rsid w:val="009E036F"/>
    <w:rsid w:val="009E0533"/>
    <w:rsid w:val="009E0637"/>
    <w:rsid w:val="009E1C8B"/>
    <w:rsid w:val="009E224B"/>
    <w:rsid w:val="009E29AB"/>
    <w:rsid w:val="009E2A3F"/>
    <w:rsid w:val="009E2AF4"/>
    <w:rsid w:val="009E363A"/>
    <w:rsid w:val="009E37EC"/>
    <w:rsid w:val="009E3F18"/>
    <w:rsid w:val="009E3FFE"/>
    <w:rsid w:val="009E53A0"/>
    <w:rsid w:val="009E58E1"/>
    <w:rsid w:val="009E6817"/>
    <w:rsid w:val="009E76CE"/>
    <w:rsid w:val="009E7CA9"/>
    <w:rsid w:val="009F00C8"/>
    <w:rsid w:val="009F0A44"/>
    <w:rsid w:val="009F1407"/>
    <w:rsid w:val="009F1BC6"/>
    <w:rsid w:val="009F3259"/>
    <w:rsid w:val="009F40E8"/>
    <w:rsid w:val="009F42AC"/>
    <w:rsid w:val="009F513C"/>
    <w:rsid w:val="009F53AA"/>
    <w:rsid w:val="009F553E"/>
    <w:rsid w:val="009F7C20"/>
    <w:rsid w:val="009F7FE1"/>
    <w:rsid w:val="00A0032A"/>
    <w:rsid w:val="00A01475"/>
    <w:rsid w:val="00A01626"/>
    <w:rsid w:val="00A02BCF"/>
    <w:rsid w:val="00A030A2"/>
    <w:rsid w:val="00A033F1"/>
    <w:rsid w:val="00A048AD"/>
    <w:rsid w:val="00A04FF1"/>
    <w:rsid w:val="00A070FE"/>
    <w:rsid w:val="00A07175"/>
    <w:rsid w:val="00A07834"/>
    <w:rsid w:val="00A07AB4"/>
    <w:rsid w:val="00A12441"/>
    <w:rsid w:val="00A12703"/>
    <w:rsid w:val="00A12D18"/>
    <w:rsid w:val="00A12FDD"/>
    <w:rsid w:val="00A14241"/>
    <w:rsid w:val="00A144CF"/>
    <w:rsid w:val="00A146E6"/>
    <w:rsid w:val="00A1487C"/>
    <w:rsid w:val="00A156A6"/>
    <w:rsid w:val="00A16633"/>
    <w:rsid w:val="00A172F9"/>
    <w:rsid w:val="00A2082C"/>
    <w:rsid w:val="00A21B51"/>
    <w:rsid w:val="00A224B7"/>
    <w:rsid w:val="00A24468"/>
    <w:rsid w:val="00A24F22"/>
    <w:rsid w:val="00A26A65"/>
    <w:rsid w:val="00A26C33"/>
    <w:rsid w:val="00A27107"/>
    <w:rsid w:val="00A2750A"/>
    <w:rsid w:val="00A27C16"/>
    <w:rsid w:val="00A30E30"/>
    <w:rsid w:val="00A30F97"/>
    <w:rsid w:val="00A32434"/>
    <w:rsid w:val="00A32818"/>
    <w:rsid w:val="00A3291F"/>
    <w:rsid w:val="00A35C5B"/>
    <w:rsid w:val="00A36169"/>
    <w:rsid w:val="00A367A9"/>
    <w:rsid w:val="00A367C1"/>
    <w:rsid w:val="00A4013F"/>
    <w:rsid w:val="00A4233B"/>
    <w:rsid w:val="00A42BE7"/>
    <w:rsid w:val="00A43792"/>
    <w:rsid w:val="00A44167"/>
    <w:rsid w:val="00A445D5"/>
    <w:rsid w:val="00A518BD"/>
    <w:rsid w:val="00A5239B"/>
    <w:rsid w:val="00A54594"/>
    <w:rsid w:val="00A545D8"/>
    <w:rsid w:val="00A54D68"/>
    <w:rsid w:val="00A55437"/>
    <w:rsid w:val="00A55646"/>
    <w:rsid w:val="00A558FE"/>
    <w:rsid w:val="00A57EA6"/>
    <w:rsid w:val="00A607BE"/>
    <w:rsid w:val="00A615FD"/>
    <w:rsid w:val="00A619A0"/>
    <w:rsid w:val="00A61EF4"/>
    <w:rsid w:val="00A63C7F"/>
    <w:rsid w:val="00A65811"/>
    <w:rsid w:val="00A65E5C"/>
    <w:rsid w:val="00A65F2A"/>
    <w:rsid w:val="00A67A5E"/>
    <w:rsid w:val="00A7025A"/>
    <w:rsid w:val="00A70276"/>
    <w:rsid w:val="00A71A02"/>
    <w:rsid w:val="00A7261B"/>
    <w:rsid w:val="00A72EF6"/>
    <w:rsid w:val="00A7361F"/>
    <w:rsid w:val="00A73ED4"/>
    <w:rsid w:val="00A73EF1"/>
    <w:rsid w:val="00A7481B"/>
    <w:rsid w:val="00A749FD"/>
    <w:rsid w:val="00A75112"/>
    <w:rsid w:val="00A754C9"/>
    <w:rsid w:val="00A75F6C"/>
    <w:rsid w:val="00A770C2"/>
    <w:rsid w:val="00A77C12"/>
    <w:rsid w:val="00A77E0C"/>
    <w:rsid w:val="00A77FD3"/>
    <w:rsid w:val="00A80B8F"/>
    <w:rsid w:val="00A82391"/>
    <w:rsid w:val="00A827FA"/>
    <w:rsid w:val="00A82E31"/>
    <w:rsid w:val="00A837E5"/>
    <w:rsid w:val="00A841DB"/>
    <w:rsid w:val="00A84781"/>
    <w:rsid w:val="00A84B4D"/>
    <w:rsid w:val="00A85D0E"/>
    <w:rsid w:val="00A865F6"/>
    <w:rsid w:val="00A878DD"/>
    <w:rsid w:val="00A87F94"/>
    <w:rsid w:val="00A9030D"/>
    <w:rsid w:val="00A913B9"/>
    <w:rsid w:val="00A9186B"/>
    <w:rsid w:val="00A938EA"/>
    <w:rsid w:val="00A944BB"/>
    <w:rsid w:val="00A94A05"/>
    <w:rsid w:val="00A95170"/>
    <w:rsid w:val="00A95180"/>
    <w:rsid w:val="00A95545"/>
    <w:rsid w:val="00A959E2"/>
    <w:rsid w:val="00A97F9A"/>
    <w:rsid w:val="00AA1915"/>
    <w:rsid w:val="00AA266E"/>
    <w:rsid w:val="00AA2C6E"/>
    <w:rsid w:val="00AA38E9"/>
    <w:rsid w:val="00AA4EC3"/>
    <w:rsid w:val="00AA5A4C"/>
    <w:rsid w:val="00AA6985"/>
    <w:rsid w:val="00AA71DB"/>
    <w:rsid w:val="00AA74EB"/>
    <w:rsid w:val="00AB0409"/>
    <w:rsid w:val="00AB19FB"/>
    <w:rsid w:val="00AB2CC1"/>
    <w:rsid w:val="00AB326F"/>
    <w:rsid w:val="00AB3F9F"/>
    <w:rsid w:val="00AB49B6"/>
    <w:rsid w:val="00AB4C1D"/>
    <w:rsid w:val="00AB510C"/>
    <w:rsid w:val="00AB6647"/>
    <w:rsid w:val="00AB69B1"/>
    <w:rsid w:val="00AB6E12"/>
    <w:rsid w:val="00AB7220"/>
    <w:rsid w:val="00AB7B36"/>
    <w:rsid w:val="00AC04BC"/>
    <w:rsid w:val="00AC29B4"/>
    <w:rsid w:val="00AC2CD6"/>
    <w:rsid w:val="00AC4852"/>
    <w:rsid w:val="00AC4B2A"/>
    <w:rsid w:val="00AC5C87"/>
    <w:rsid w:val="00AC617C"/>
    <w:rsid w:val="00AC6A9C"/>
    <w:rsid w:val="00AD2A03"/>
    <w:rsid w:val="00AD31C3"/>
    <w:rsid w:val="00AD3979"/>
    <w:rsid w:val="00AD447F"/>
    <w:rsid w:val="00AD53F1"/>
    <w:rsid w:val="00AD5D10"/>
    <w:rsid w:val="00AD6566"/>
    <w:rsid w:val="00AE0801"/>
    <w:rsid w:val="00AE1420"/>
    <w:rsid w:val="00AE1CF9"/>
    <w:rsid w:val="00AE228E"/>
    <w:rsid w:val="00AE2C91"/>
    <w:rsid w:val="00AE2D98"/>
    <w:rsid w:val="00AE2DD7"/>
    <w:rsid w:val="00AE5475"/>
    <w:rsid w:val="00AE72CC"/>
    <w:rsid w:val="00AE790B"/>
    <w:rsid w:val="00AF07F2"/>
    <w:rsid w:val="00AF0A57"/>
    <w:rsid w:val="00AF1614"/>
    <w:rsid w:val="00AF1903"/>
    <w:rsid w:val="00AF3334"/>
    <w:rsid w:val="00AF5FA4"/>
    <w:rsid w:val="00AF61EF"/>
    <w:rsid w:val="00AF6725"/>
    <w:rsid w:val="00AF6A33"/>
    <w:rsid w:val="00AF6DB6"/>
    <w:rsid w:val="00AF6F30"/>
    <w:rsid w:val="00B01B8F"/>
    <w:rsid w:val="00B02263"/>
    <w:rsid w:val="00B02D6F"/>
    <w:rsid w:val="00B02FE1"/>
    <w:rsid w:val="00B051BD"/>
    <w:rsid w:val="00B05DF2"/>
    <w:rsid w:val="00B12487"/>
    <w:rsid w:val="00B1772C"/>
    <w:rsid w:val="00B17B7D"/>
    <w:rsid w:val="00B17D9E"/>
    <w:rsid w:val="00B17E76"/>
    <w:rsid w:val="00B2085B"/>
    <w:rsid w:val="00B2157B"/>
    <w:rsid w:val="00B21624"/>
    <w:rsid w:val="00B22B0F"/>
    <w:rsid w:val="00B22BC2"/>
    <w:rsid w:val="00B240B9"/>
    <w:rsid w:val="00B25284"/>
    <w:rsid w:val="00B25832"/>
    <w:rsid w:val="00B26438"/>
    <w:rsid w:val="00B26EE7"/>
    <w:rsid w:val="00B27B50"/>
    <w:rsid w:val="00B27E0A"/>
    <w:rsid w:val="00B27F57"/>
    <w:rsid w:val="00B300A0"/>
    <w:rsid w:val="00B30A7F"/>
    <w:rsid w:val="00B30FDB"/>
    <w:rsid w:val="00B31544"/>
    <w:rsid w:val="00B317F2"/>
    <w:rsid w:val="00B32FE4"/>
    <w:rsid w:val="00B347CC"/>
    <w:rsid w:val="00B34CCA"/>
    <w:rsid w:val="00B34D8E"/>
    <w:rsid w:val="00B3557C"/>
    <w:rsid w:val="00B35B11"/>
    <w:rsid w:val="00B368D1"/>
    <w:rsid w:val="00B36D82"/>
    <w:rsid w:val="00B40CF7"/>
    <w:rsid w:val="00B4157F"/>
    <w:rsid w:val="00B421D0"/>
    <w:rsid w:val="00B43A70"/>
    <w:rsid w:val="00B44872"/>
    <w:rsid w:val="00B4524C"/>
    <w:rsid w:val="00B46247"/>
    <w:rsid w:val="00B46A2C"/>
    <w:rsid w:val="00B479B4"/>
    <w:rsid w:val="00B5121C"/>
    <w:rsid w:val="00B51E1C"/>
    <w:rsid w:val="00B525FA"/>
    <w:rsid w:val="00B52E93"/>
    <w:rsid w:val="00B54686"/>
    <w:rsid w:val="00B56146"/>
    <w:rsid w:val="00B56550"/>
    <w:rsid w:val="00B5769F"/>
    <w:rsid w:val="00B601C3"/>
    <w:rsid w:val="00B60EF5"/>
    <w:rsid w:val="00B61899"/>
    <w:rsid w:val="00B622E3"/>
    <w:rsid w:val="00B63210"/>
    <w:rsid w:val="00B642E8"/>
    <w:rsid w:val="00B65519"/>
    <w:rsid w:val="00B65AA0"/>
    <w:rsid w:val="00B65D33"/>
    <w:rsid w:val="00B66C5D"/>
    <w:rsid w:val="00B675B0"/>
    <w:rsid w:val="00B675FA"/>
    <w:rsid w:val="00B745E7"/>
    <w:rsid w:val="00B75114"/>
    <w:rsid w:val="00B754D5"/>
    <w:rsid w:val="00B76440"/>
    <w:rsid w:val="00B774D7"/>
    <w:rsid w:val="00B77834"/>
    <w:rsid w:val="00B77E7C"/>
    <w:rsid w:val="00B80368"/>
    <w:rsid w:val="00B804A7"/>
    <w:rsid w:val="00B80A10"/>
    <w:rsid w:val="00B810FA"/>
    <w:rsid w:val="00B820A5"/>
    <w:rsid w:val="00B82D00"/>
    <w:rsid w:val="00B82E15"/>
    <w:rsid w:val="00B82E84"/>
    <w:rsid w:val="00B83811"/>
    <w:rsid w:val="00B845FC"/>
    <w:rsid w:val="00B86DB2"/>
    <w:rsid w:val="00B878E5"/>
    <w:rsid w:val="00B909A5"/>
    <w:rsid w:val="00B90A0D"/>
    <w:rsid w:val="00B90CAE"/>
    <w:rsid w:val="00B90D9C"/>
    <w:rsid w:val="00B90DEB"/>
    <w:rsid w:val="00B9158C"/>
    <w:rsid w:val="00B91774"/>
    <w:rsid w:val="00B917E0"/>
    <w:rsid w:val="00B937BA"/>
    <w:rsid w:val="00B93A57"/>
    <w:rsid w:val="00B93F23"/>
    <w:rsid w:val="00B93FEC"/>
    <w:rsid w:val="00B94E11"/>
    <w:rsid w:val="00B953EC"/>
    <w:rsid w:val="00B95BC9"/>
    <w:rsid w:val="00B95D1D"/>
    <w:rsid w:val="00B96371"/>
    <w:rsid w:val="00B96A43"/>
    <w:rsid w:val="00B96C7E"/>
    <w:rsid w:val="00B97A69"/>
    <w:rsid w:val="00BA0D3D"/>
    <w:rsid w:val="00BA12B3"/>
    <w:rsid w:val="00BA1916"/>
    <w:rsid w:val="00BA2075"/>
    <w:rsid w:val="00BA222D"/>
    <w:rsid w:val="00BA4681"/>
    <w:rsid w:val="00BA54B0"/>
    <w:rsid w:val="00BA6B47"/>
    <w:rsid w:val="00BA6EC6"/>
    <w:rsid w:val="00BA7789"/>
    <w:rsid w:val="00BA7BCF"/>
    <w:rsid w:val="00BB0066"/>
    <w:rsid w:val="00BB0781"/>
    <w:rsid w:val="00BB1367"/>
    <w:rsid w:val="00BB155E"/>
    <w:rsid w:val="00BB34B5"/>
    <w:rsid w:val="00BB4F14"/>
    <w:rsid w:val="00BB5A0B"/>
    <w:rsid w:val="00BB696A"/>
    <w:rsid w:val="00BB6EED"/>
    <w:rsid w:val="00BB76D8"/>
    <w:rsid w:val="00BC0099"/>
    <w:rsid w:val="00BC055C"/>
    <w:rsid w:val="00BC06CD"/>
    <w:rsid w:val="00BC11DA"/>
    <w:rsid w:val="00BC177D"/>
    <w:rsid w:val="00BC36B0"/>
    <w:rsid w:val="00BC3F17"/>
    <w:rsid w:val="00BC46BE"/>
    <w:rsid w:val="00BC564A"/>
    <w:rsid w:val="00BC5685"/>
    <w:rsid w:val="00BC6119"/>
    <w:rsid w:val="00BC6723"/>
    <w:rsid w:val="00BC683F"/>
    <w:rsid w:val="00BC7726"/>
    <w:rsid w:val="00BC7C07"/>
    <w:rsid w:val="00BD0171"/>
    <w:rsid w:val="00BD1AD3"/>
    <w:rsid w:val="00BD23D7"/>
    <w:rsid w:val="00BD2713"/>
    <w:rsid w:val="00BD3BB5"/>
    <w:rsid w:val="00BD4EBE"/>
    <w:rsid w:val="00BD5668"/>
    <w:rsid w:val="00BD6734"/>
    <w:rsid w:val="00BD6AFE"/>
    <w:rsid w:val="00BD71D4"/>
    <w:rsid w:val="00BD753F"/>
    <w:rsid w:val="00BD7862"/>
    <w:rsid w:val="00BE18A2"/>
    <w:rsid w:val="00BE2051"/>
    <w:rsid w:val="00BE2520"/>
    <w:rsid w:val="00BE2B55"/>
    <w:rsid w:val="00BE4907"/>
    <w:rsid w:val="00BE5009"/>
    <w:rsid w:val="00BF08D4"/>
    <w:rsid w:val="00BF0962"/>
    <w:rsid w:val="00BF0D37"/>
    <w:rsid w:val="00BF1EEB"/>
    <w:rsid w:val="00BF1EF9"/>
    <w:rsid w:val="00BF3139"/>
    <w:rsid w:val="00BF3797"/>
    <w:rsid w:val="00BF4270"/>
    <w:rsid w:val="00BF461D"/>
    <w:rsid w:val="00BF55BB"/>
    <w:rsid w:val="00BF59EE"/>
    <w:rsid w:val="00BF655A"/>
    <w:rsid w:val="00BF7592"/>
    <w:rsid w:val="00BF7CCF"/>
    <w:rsid w:val="00C01169"/>
    <w:rsid w:val="00C014AB"/>
    <w:rsid w:val="00C0204A"/>
    <w:rsid w:val="00C03160"/>
    <w:rsid w:val="00C03C32"/>
    <w:rsid w:val="00C04E74"/>
    <w:rsid w:val="00C0674C"/>
    <w:rsid w:val="00C072B7"/>
    <w:rsid w:val="00C078BA"/>
    <w:rsid w:val="00C07D6B"/>
    <w:rsid w:val="00C10DD9"/>
    <w:rsid w:val="00C12A54"/>
    <w:rsid w:val="00C12AC7"/>
    <w:rsid w:val="00C13229"/>
    <w:rsid w:val="00C13279"/>
    <w:rsid w:val="00C14188"/>
    <w:rsid w:val="00C14632"/>
    <w:rsid w:val="00C153C9"/>
    <w:rsid w:val="00C1554E"/>
    <w:rsid w:val="00C16363"/>
    <w:rsid w:val="00C16451"/>
    <w:rsid w:val="00C16665"/>
    <w:rsid w:val="00C16726"/>
    <w:rsid w:val="00C16D39"/>
    <w:rsid w:val="00C16DE8"/>
    <w:rsid w:val="00C201B5"/>
    <w:rsid w:val="00C2084C"/>
    <w:rsid w:val="00C2117F"/>
    <w:rsid w:val="00C226D9"/>
    <w:rsid w:val="00C22CF9"/>
    <w:rsid w:val="00C238DE"/>
    <w:rsid w:val="00C23D9B"/>
    <w:rsid w:val="00C24385"/>
    <w:rsid w:val="00C2471E"/>
    <w:rsid w:val="00C250C9"/>
    <w:rsid w:val="00C26C51"/>
    <w:rsid w:val="00C27D86"/>
    <w:rsid w:val="00C27F8E"/>
    <w:rsid w:val="00C305B2"/>
    <w:rsid w:val="00C311E9"/>
    <w:rsid w:val="00C31D22"/>
    <w:rsid w:val="00C31FBB"/>
    <w:rsid w:val="00C320FC"/>
    <w:rsid w:val="00C32431"/>
    <w:rsid w:val="00C32532"/>
    <w:rsid w:val="00C3458E"/>
    <w:rsid w:val="00C35A44"/>
    <w:rsid w:val="00C40AC1"/>
    <w:rsid w:val="00C41333"/>
    <w:rsid w:val="00C41453"/>
    <w:rsid w:val="00C426CD"/>
    <w:rsid w:val="00C44C6E"/>
    <w:rsid w:val="00C454D8"/>
    <w:rsid w:val="00C4556D"/>
    <w:rsid w:val="00C45894"/>
    <w:rsid w:val="00C45FCC"/>
    <w:rsid w:val="00C4703A"/>
    <w:rsid w:val="00C50168"/>
    <w:rsid w:val="00C50870"/>
    <w:rsid w:val="00C50A43"/>
    <w:rsid w:val="00C50A70"/>
    <w:rsid w:val="00C517E4"/>
    <w:rsid w:val="00C519C7"/>
    <w:rsid w:val="00C53B68"/>
    <w:rsid w:val="00C5404B"/>
    <w:rsid w:val="00C54A2B"/>
    <w:rsid w:val="00C5501C"/>
    <w:rsid w:val="00C55BE0"/>
    <w:rsid w:val="00C55FF5"/>
    <w:rsid w:val="00C56AC6"/>
    <w:rsid w:val="00C57777"/>
    <w:rsid w:val="00C57AC0"/>
    <w:rsid w:val="00C60EEE"/>
    <w:rsid w:val="00C617EA"/>
    <w:rsid w:val="00C61A3B"/>
    <w:rsid w:val="00C61B98"/>
    <w:rsid w:val="00C621CC"/>
    <w:rsid w:val="00C62562"/>
    <w:rsid w:val="00C63F03"/>
    <w:rsid w:val="00C6565A"/>
    <w:rsid w:val="00C65C9F"/>
    <w:rsid w:val="00C660B4"/>
    <w:rsid w:val="00C6659D"/>
    <w:rsid w:val="00C668BB"/>
    <w:rsid w:val="00C6697C"/>
    <w:rsid w:val="00C67769"/>
    <w:rsid w:val="00C67EAF"/>
    <w:rsid w:val="00C7021D"/>
    <w:rsid w:val="00C73794"/>
    <w:rsid w:val="00C73DCC"/>
    <w:rsid w:val="00C74730"/>
    <w:rsid w:val="00C748D6"/>
    <w:rsid w:val="00C75521"/>
    <w:rsid w:val="00C75A32"/>
    <w:rsid w:val="00C77082"/>
    <w:rsid w:val="00C77756"/>
    <w:rsid w:val="00C803BA"/>
    <w:rsid w:val="00C819BE"/>
    <w:rsid w:val="00C826B3"/>
    <w:rsid w:val="00C833ED"/>
    <w:rsid w:val="00C83ED2"/>
    <w:rsid w:val="00C84110"/>
    <w:rsid w:val="00C84515"/>
    <w:rsid w:val="00C845C4"/>
    <w:rsid w:val="00C854D4"/>
    <w:rsid w:val="00C859EF"/>
    <w:rsid w:val="00C86163"/>
    <w:rsid w:val="00C8618F"/>
    <w:rsid w:val="00C86567"/>
    <w:rsid w:val="00C90319"/>
    <w:rsid w:val="00C9086F"/>
    <w:rsid w:val="00C90E90"/>
    <w:rsid w:val="00C920F8"/>
    <w:rsid w:val="00C929B3"/>
    <w:rsid w:val="00C93703"/>
    <w:rsid w:val="00C94689"/>
    <w:rsid w:val="00C94B07"/>
    <w:rsid w:val="00C955BB"/>
    <w:rsid w:val="00C962B7"/>
    <w:rsid w:val="00C965C7"/>
    <w:rsid w:val="00C9711C"/>
    <w:rsid w:val="00CA0DA4"/>
    <w:rsid w:val="00CA1B77"/>
    <w:rsid w:val="00CA1B9A"/>
    <w:rsid w:val="00CA25F1"/>
    <w:rsid w:val="00CA3B7F"/>
    <w:rsid w:val="00CA5B4C"/>
    <w:rsid w:val="00CA6417"/>
    <w:rsid w:val="00CA6830"/>
    <w:rsid w:val="00CA6839"/>
    <w:rsid w:val="00CA7B5D"/>
    <w:rsid w:val="00CA7DC8"/>
    <w:rsid w:val="00CA7E5A"/>
    <w:rsid w:val="00CB0185"/>
    <w:rsid w:val="00CB0B30"/>
    <w:rsid w:val="00CB17DF"/>
    <w:rsid w:val="00CB1840"/>
    <w:rsid w:val="00CB1E89"/>
    <w:rsid w:val="00CB35BC"/>
    <w:rsid w:val="00CB42F3"/>
    <w:rsid w:val="00CB4742"/>
    <w:rsid w:val="00CB4828"/>
    <w:rsid w:val="00CB5E29"/>
    <w:rsid w:val="00CB6138"/>
    <w:rsid w:val="00CC0A7B"/>
    <w:rsid w:val="00CC1A3C"/>
    <w:rsid w:val="00CC1EC5"/>
    <w:rsid w:val="00CC1F2E"/>
    <w:rsid w:val="00CC45A7"/>
    <w:rsid w:val="00CC4AA3"/>
    <w:rsid w:val="00CC53A7"/>
    <w:rsid w:val="00CC5729"/>
    <w:rsid w:val="00CC578A"/>
    <w:rsid w:val="00CC67CF"/>
    <w:rsid w:val="00CC7621"/>
    <w:rsid w:val="00CD05BE"/>
    <w:rsid w:val="00CD40C7"/>
    <w:rsid w:val="00CD5377"/>
    <w:rsid w:val="00CD576A"/>
    <w:rsid w:val="00CD5A84"/>
    <w:rsid w:val="00CD6032"/>
    <w:rsid w:val="00CE0141"/>
    <w:rsid w:val="00CE03FE"/>
    <w:rsid w:val="00CE1DEB"/>
    <w:rsid w:val="00CE3979"/>
    <w:rsid w:val="00CE48A1"/>
    <w:rsid w:val="00CE6036"/>
    <w:rsid w:val="00CE7AD6"/>
    <w:rsid w:val="00CF0350"/>
    <w:rsid w:val="00CF089A"/>
    <w:rsid w:val="00CF170E"/>
    <w:rsid w:val="00CF36A7"/>
    <w:rsid w:val="00CF3F58"/>
    <w:rsid w:val="00CF56EC"/>
    <w:rsid w:val="00CF6589"/>
    <w:rsid w:val="00CF6879"/>
    <w:rsid w:val="00D012AE"/>
    <w:rsid w:val="00D0163D"/>
    <w:rsid w:val="00D02D71"/>
    <w:rsid w:val="00D037E9"/>
    <w:rsid w:val="00D039FD"/>
    <w:rsid w:val="00D04420"/>
    <w:rsid w:val="00D04799"/>
    <w:rsid w:val="00D04964"/>
    <w:rsid w:val="00D054D0"/>
    <w:rsid w:val="00D06564"/>
    <w:rsid w:val="00D066EB"/>
    <w:rsid w:val="00D06E37"/>
    <w:rsid w:val="00D13E8B"/>
    <w:rsid w:val="00D141B3"/>
    <w:rsid w:val="00D155ED"/>
    <w:rsid w:val="00D160DD"/>
    <w:rsid w:val="00D16AB3"/>
    <w:rsid w:val="00D17F83"/>
    <w:rsid w:val="00D20AF1"/>
    <w:rsid w:val="00D20C0F"/>
    <w:rsid w:val="00D2388A"/>
    <w:rsid w:val="00D24316"/>
    <w:rsid w:val="00D255F7"/>
    <w:rsid w:val="00D2730B"/>
    <w:rsid w:val="00D27637"/>
    <w:rsid w:val="00D27A1B"/>
    <w:rsid w:val="00D27B5A"/>
    <w:rsid w:val="00D30441"/>
    <w:rsid w:val="00D30752"/>
    <w:rsid w:val="00D30D5E"/>
    <w:rsid w:val="00D3129E"/>
    <w:rsid w:val="00D339D3"/>
    <w:rsid w:val="00D349A9"/>
    <w:rsid w:val="00D34A30"/>
    <w:rsid w:val="00D3612B"/>
    <w:rsid w:val="00D364EF"/>
    <w:rsid w:val="00D36DCB"/>
    <w:rsid w:val="00D36E5E"/>
    <w:rsid w:val="00D4000A"/>
    <w:rsid w:val="00D40719"/>
    <w:rsid w:val="00D4134D"/>
    <w:rsid w:val="00D416C0"/>
    <w:rsid w:val="00D419D8"/>
    <w:rsid w:val="00D42DFE"/>
    <w:rsid w:val="00D43DC7"/>
    <w:rsid w:val="00D4449B"/>
    <w:rsid w:val="00D4599E"/>
    <w:rsid w:val="00D4635E"/>
    <w:rsid w:val="00D46ADD"/>
    <w:rsid w:val="00D47425"/>
    <w:rsid w:val="00D4746B"/>
    <w:rsid w:val="00D47677"/>
    <w:rsid w:val="00D47B6D"/>
    <w:rsid w:val="00D520EE"/>
    <w:rsid w:val="00D524C3"/>
    <w:rsid w:val="00D54DAC"/>
    <w:rsid w:val="00D54FEE"/>
    <w:rsid w:val="00D56BE8"/>
    <w:rsid w:val="00D57125"/>
    <w:rsid w:val="00D60664"/>
    <w:rsid w:val="00D6090A"/>
    <w:rsid w:val="00D60938"/>
    <w:rsid w:val="00D60A42"/>
    <w:rsid w:val="00D6272D"/>
    <w:rsid w:val="00D62A81"/>
    <w:rsid w:val="00D63091"/>
    <w:rsid w:val="00D63168"/>
    <w:rsid w:val="00D637EF"/>
    <w:rsid w:val="00D63B91"/>
    <w:rsid w:val="00D63C7F"/>
    <w:rsid w:val="00D64905"/>
    <w:rsid w:val="00D654CB"/>
    <w:rsid w:val="00D6553C"/>
    <w:rsid w:val="00D6593C"/>
    <w:rsid w:val="00D67F0E"/>
    <w:rsid w:val="00D70EC2"/>
    <w:rsid w:val="00D71F02"/>
    <w:rsid w:val="00D7231A"/>
    <w:rsid w:val="00D72867"/>
    <w:rsid w:val="00D7291D"/>
    <w:rsid w:val="00D74EE2"/>
    <w:rsid w:val="00D750C1"/>
    <w:rsid w:val="00D762C0"/>
    <w:rsid w:val="00D80481"/>
    <w:rsid w:val="00D80AA1"/>
    <w:rsid w:val="00D82C20"/>
    <w:rsid w:val="00D833FB"/>
    <w:rsid w:val="00D842BB"/>
    <w:rsid w:val="00D84A49"/>
    <w:rsid w:val="00D86B79"/>
    <w:rsid w:val="00D86C40"/>
    <w:rsid w:val="00D870FD"/>
    <w:rsid w:val="00D901FC"/>
    <w:rsid w:val="00D905A2"/>
    <w:rsid w:val="00D91700"/>
    <w:rsid w:val="00D9256A"/>
    <w:rsid w:val="00D9339A"/>
    <w:rsid w:val="00D93547"/>
    <w:rsid w:val="00D9368D"/>
    <w:rsid w:val="00D945F9"/>
    <w:rsid w:val="00D9499C"/>
    <w:rsid w:val="00D95278"/>
    <w:rsid w:val="00D9715B"/>
    <w:rsid w:val="00D97975"/>
    <w:rsid w:val="00DA008B"/>
    <w:rsid w:val="00DA0C3B"/>
    <w:rsid w:val="00DA16D6"/>
    <w:rsid w:val="00DA448A"/>
    <w:rsid w:val="00DA4B99"/>
    <w:rsid w:val="00DA508C"/>
    <w:rsid w:val="00DA5707"/>
    <w:rsid w:val="00DA594E"/>
    <w:rsid w:val="00DA6238"/>
    <w:rsid w:val="00DA699F"/>
    <w:rsid w:val="00DA6CC7"/>
    <w:rsid w:val="00DB130D"/>
    <w:rsid w:val="00DB159B"/>
    <w:rsid w:val="00DB2096"/>
    <w:rsid w:val="00DB2889"/>
    <w:rsid w:val="00DB41DE"/>
    <w:rsid w:val="00DB57B5"/>
    <w:rsid w:val="00DB5A61"/>
    <w:rsid w:val="00DC057B"/>
    <w:rsid w:val="00DC09BE"/>
    <w:rsid w:val="00DC0AD2"/>
    <w:rsid w:val="00DC0FDA"/>
    <w:rsid w:val="00DC141A"/>
    <w:rsid w:val="00DC1476"/>
    <w:rsid w:val="00DC1CC8"/>
    <w:rsid w:val="00DC3437"/>
    <w:rsid w:val="00DC3737"/>
    <w:rsid w:val="00DC3831"/>
    <w:rsid w:val="00DC6AC5"/>
    <w:rsid w:val="00DC7DC4"/>
    <w:rsid w:val="00DD0376"/>
    <w:rsid w:val="00DD0CAC"/>
    <w:rsid w:val="00DD12D8"/>
    <w:rsid w:val="00DD2045"/>
    <w:rsid w:val="00DD2AF6"/>
    <w:rsid w:val="00DD3F93"/>
    <w:rsid w:val="00DD4D83"/>
    <w:rsid w:val="00DD4F0B"/>
    <w:rsid w:val="00DD627D"/>
    <w:rsid w:val="00DD64FE"/>
    <w:rsid w:val="00DD7560"/>
    <w:rsid w:val="00DD7B43"/>
    <w:rsid w:val="00DD7C89"/>
    <w:rsid w:val="00DE0323"/>
    <w:rsid w:val="00DE1ABB"/>
    <w:rsid w:val="00DE6696"/>
    <w:rsid w:val="00DE6C56"/>
    <w:rsid w:val="00DE6D41"/>
    <w:rsid w:val="00DE7C9F"/>
    <w:rsid w:val="00DF1369"/>
    <w:rsid w:val="00DF19A3"/>
    <w:rsid w:val="00DF27F3"/>
    <w:rsid w:val="00DF2FBE"/>
    <w:rsid w:val="00DF5438"/>
    <w:rsid w:val="00DF5518"/>
    <w:rsid w:val="00DF5934"/>
    <w:rsid w:val="00DF6876"/>
    <w:rsid w:val="00DF69EA"/>
    <w:rsid w:val="00DF764E"/>
    <w:rsid w:val="00DF79B5"/>
    <w:rsid w:val="00DF7F36"/>
    <w:rsid w:val="00E00DE3"/>
    <w:rsid w:val="00E010D9"/>
    <w:rsid w:val="00E018AB"/>
    <w:rsid w:val="00E01ACB"/>
    <w:rsid w:val="00E026BC"/>
    <w:rsid w:val="00E02862"/>
    <w:rsid w:val="00E02914"/>
    <w:rsid w:val="00E035B5"/>
    <w:rsid w:val="00E038E1"/>
    <w:rsid w:val="00E03CAB"/>
    <w:rsid w:val="00E04187"/>
    <w:rsid w:val="00E04208"/>
    <w:rsid w:val="00E0450D"/>
    <w:rsid w:val="00E04C03"/>
    <w:rsid w:val="00E07FA5"/>
    <w:rsid w:val="00E1088C"/>
    <w:rsid w:val="00E11B01"/>
    <w:rsid w:val="00E11F00"/>
    <w:rsid w:val="00E126BD"/>
    <w:rsid w:val="00E13A19"/>
    <w:rsid w:val="00E148D8"/>
    <w:rsid w:val="00E15A23"/>
    <w:rsid w:val="00E16CE9"/>
    <w:rsid w:val="00E17464"/>
    <w:rsid w:val="00E17747"/>
    <w:rsid w:val="00E205FD"/>
    <w:rsid w:val="00E20DCE"/>
    <w:rsid w:val="00E226F4"/>
    <w:rsid w:val="00E22BEA"/>
    <w:rsid w:val="00E23725"/>
    <w:rsid w:val="00E258A6"/>
    <w:rsid w:val="00E263C9"/>
    <w:rsid w:val="00E26B2D"/>
    <w:rsid w:val="00E276E4"/>
    <w:rsid w:val="00E3299C"/>
    <w:rsid w:val="00E3504A"/>
    <w:rsid w:val="00E35A63"/>
    <w:rsid w:val="00E3692E"/>
    <w:rsid w:val="00E37767"/>
    <w:rsid w:val="00E37D7D"/>
    <w:rsid w:val="00E37EBC"/>
    <w:rsid w:val="00E40370"/>
    <w:rsid w:val="00E41E5D"/>
    <w:rsid w:val="00E42A29"/>
    <w:rsid w:val="00E43CF0"/>
    <w:rsid w:val="00E45B6A"/>
    <w:rsid w:val="00E46B56"/>
    <w:rsid w:val="00E47087"/>
    <w:rsid w:val="00E51251"/>
    <w:rsid w:val="00E54879"/>
    <w:rsid w:val="00E55982"/>
    <w:rsid w:val="00E55DE1"/>
    <w:rsid w:val="00E55F45"/>
    <w:rsid w:val="00E61CDF"/>
    <w:rsid w:val="00E6325F"/>
    <w:rsid w:val="00E63448"/>
    <w:rsid w:val="00E63565"/>
    <w:rsid w:val="00E63F8E"/>
    <w:rsid w:val="00E65940"/>
    <w:rsid w:val="00E660C6"/>
    <w:rsid w:val="00E666CC"/>
    <w:rsid w:val="00E66A0E"/>
    <w:rsid w:val="00E6749E"/>
    <w:rsid w:val="00E674C4"/>
    <w:rsid w:val="00E67B5F"/>
    <w:rsid w:val="00E700AF"/>
    <w:rsid w:val="00E70849"/>
    <w:rsid w:val="00E720AF"/>
    <w:rsid w:val="00E729F6"/>
    <w:rsid w:val="00E7301F"/>
    <w:rsid w:val="00E742BE"/>
    <w:rsid w:val="00E75436"/>
    <w:rsid w:val="00E75B0D"/>
    <w:rsid w:val="00E766AF"/>
    <w:rsid w:val="00E7672D"/>
    <w:rsid w:val="00E771CA"/>
    <w:rsid w:val="00E77E02"/>
    <w:rsid w:val="00E77EAE"/>
    <w:rsid w:val="00E80071"/>
    <w:rsid w:val="00E85742"/>
    <w:rsid w:val="00E8584B"/>
    <w:rsid w:val="00E87EE3"/>
    <w:rsid w:val="00E87F8D"/>
    <w:rsid w:val="00E91A23"/>
    <w:rsid w:val="00E91D18"/>
    <w:rsid w:val="00E92E97"/>
    <w:rsid w:val="00E935B2"/>
    <w:rsid w:val="00E93605"/>
    <w:rsid w:val="00E93E08"/>
    <w:rsid w:val="00E94801"/>
    <w:rsid w:val="00E95FB4"/>
    <w:rsid w:val="00E96395"/>
    <w:rsid w:val="00E966A7"/>
    <w:rsid w:val="00E967A6"/>
    <w:rsid w:val="00E96E3E"/>
    <w:rsid w:val="00EA0722"/>
    <w:rsid w:val="00EA1C4C"/>
    <w:rsid w:val="00EA1EEC"/>
    <w:rsid w:val="00EA2FE4"/>
    <w:rsid w:val="00EA5919"/>
    <w:rsid w:val="00EA5EAA"/>
    <w:rsid w:val="00EA7B06"/>
    <w:rsid w:val="00EA7EB6"/>
    <w:rsid w:val="00EB042E"/>
    <w:rsid w:val="00EB0A1E"/>
    <w:rsid w:val="00EB120B"/>
    <w:rsid w:val="00EB526B"/>
    <w:rsid w:val="00EB56A3"/>
    <w:rsid w:val="00EB68CD"/>
    <w:rsid w:val="00EB69ED"/>
    <w:rsid w:val="00EC02B8"/>
    <w:rsid w:val="00EC0AAD"/>
    <w:rsid w:val="00EC0E2B"/>
    <w:rsid w:val="00EC10A3"/>
    <w:rsid w:val="00EC15FD"/>
    <w:rsid w:val="00EC29D9"/>
    <w:rsid w:val="00EC3216"/>
    <w:rsid w:val="00EC3A8F"/>
    <w:rsid w:val="00EC3C3C"/>
    <w:rsid w:val="00EC4956"/>
    <w:rsid w:val="00EC62AC"/>
    <w:rsid w:val="00EC6982"/>
    <w:rsid w:val="00EC7E35"/>
    <w:rsid w:val="00EC7FB4"/>
    <w:rsid w:val="00ED02E6"/>
    <w:rsid w:val="00ED0453"/>
    <w:rsid w:val="00ED0769"/>
    <w:rsid w:val="00ED0F63"/>
    <w:rsid w:val="00ED112C"/>
    <w:rsid w:val="00ED19B6"/>
    <w:rsid w:val="00ED2D62"/>
    <w:rsid w:val="00ED2E27"/>
    <w:rsid w:val="00ED4657"/>
    <w:rsid w:val="00ED507D"/>
    <w:rsid w:val="00ED6A40"/>
    <w:rsid w:val="00EE01CB"/>
    <w:rsid w:val="00EE084B"/>
    <w:rsid w:val="00EE3CAC"/>
    <w:rsid w:val="00EE57B7"/>
    <w:rsid w:val="00EE5C4C"/>
    <w:rsid w:val="00EE60C0"/>
    <w:rsid w:val="00EE659C"/>
    <w:rsid w:val="00EE71CD"/>
    <w:rsid w:val="00EF062D"/>
    <w:rsid w:val="00EF2AB6"/>
    <w:rsid w:val="00EF4B6B"/>
    <w:rsid w:val="00EF58C2"/>
    <w:rsid w:val="00EF5F5D"/>
    <w:rsid w:val="00EF6568"/>
    <w:rsid w:val="00EF66D7"/>
    <w:rsid w:val="00F00149"/>
    <w:rsid w:val="00F00CC2"/>
    <w:rsid w:val="00F013C6"/>
    <w:rsid w:val="00F03C8A"/>
    <w:rsid w:val="00F040A7"/>
    <w:rsid w:val="00F04DA2"/>
    <w:rsid w:val="00F060BC"/>
    <w:rsid w:val="00F0633A"/>
    <w:rsid w:val="00F0739A"/>
    <w:rsid w:val="00F07EF9"/>
    <w:rsid w:val="00F103A3"/>
    <w:rsid w:val="00F10AD4"/>
    <w:rsid w:val="00F11FDE"/>
    <w:rsid w:val="00F127A6"/>
    <w:rsid w:val="00F144D6"/>
    <w:rsid w:val="00F14F41"/>
    <w:rsid w:val="00F153B4"/>
    <w:rsid w:val="00F15436"/>
    <w:rsid w:val="00F15B91"/>
    <w:rsid w:val="00F166E6"/>
    <w:rsid w:val="00F16F6E"/>
    <w:rsid w:val="00F20FE1"/>
    <w:rsid w:val="00F214FB"/>
    <w:rsid w:val="00F21749"/>
    <w:rsid w:val="00F23992"/>
    <w:rsid w:val="00F23A07"/>
    <w:rsid w:val="00F24697"/>
    <w:rsid w:val="00F25784"/>
    <w:rsid w:val="00F25D22"/>
    <w:rsid w:val="00F26271"/>
    <w:rsid w:val="00F26BEB"/>
    <w:rsid w:val="00F30156"/>
    <w:rsid w:val="00F3085F"/>
    <w:rsid w:val="00F31FAE"/>
    <w:rsid w:val="00F3347A"/>
    <w:rsid w:val="00F33847"/>
    <w:rsid w:val="00F33C86"/>
    <w:rsid w:val="00F36BD3"/>
    <w:rsid w:val="00F36D87"/>
    <w:rsid w:val="00F37D77"/>
    <w:rsid w:val="00F40205"/>
    <w:rsid w:val="00F41051"/>
    <w:rsid w:val="00F412A6"/>
    <w:rsid w:val="00F42968"/>
    <w:rsid w:val="00F430A5"/>
    <w:rsid w:val="00F4450F"/>
    <w:rsid w:val="00F452D6"/>
    <w:rsid w:val="00F46646"/>
    <w:rsid w:val="00F502F1"/>
    <w:rsid w:val="00F506C4"/>
    <w:rsid w:val="00F51EDA"/>
    <w:rsid w:val="00F52DF7"/>
    <w:rsid w:val="00F55409"/>
    <w:rsid w:val="00F569F0"/>
    <w:rsid w:val="00F56A19"/>
    <w:rsid w:val="00F56DFA"/>
    <w:rsid w:val="00F577B0"/>
    <w:rsid w:val="00F57C4A"/>
    <w:rsid w:val="00F60A5F"/>
    <w:rsid w:val="00F614C2"/>
    <w:rsid w:val="00F62284"/>
    <w:rsid w:val="00F62C12"/>
    <w:rsid w:val="00F635A2"/>
    <w:rsid w:val="00F63D31"/>
    <w:rsid w:val="00F649C9"/>
    <w:rsid w:val="00F64EE6"/>
    <w:rsid w:val="00F65C7E"/>
    <w:rsid w:val="00F65DC3"/>
    <w:rsid w:val="00F65F94"/>
    <w:rsid w:val="00F66397"/>
    <w:rsid w:val="00F66ED7"/>
    <w:rsid w:val="00F66F7D"/>
    <w:rsid w:val="00F66F89"/>
    <w:rsid w:val="00F70675"/>
    <w:rsid w:val="00F70CE5"/>
    <w:rsid w:val="00F70EFF"/>
    <w:rsid w:val="00F7197F"/>
    <w:rsid w:val="00F75E42"/>
    <w:rsid w:val="00F77556"/>
    <w:rsid w:val="00F7786F"/>
    <w:rsid w:val="00F77960"/>
    <w:rsid w:val="00F819DE"/>
    <w:rsid w:val="00F83527"/>
    <w:rsid w:val="00F836D2"/>
    <w:rsid w:val="00F84700"/>
    <w:rsid w:val="00F84C3A"/>
    <w:rsid w:val="00F84F14"/>
    <w:rsid w:val="00F85386"/>
    <w:rsid w:val="00F85388"/>
    <w:rsid w:val="00F860FB"/>
    <w:rsid w:val="00F8618E"/>
    <w:rsid w:val="00F87268"/>
    <w:rsid w:val="00F87CC8"/>
    <w:rsid w:val="00F87DE4"/>
    <w:rsid w:val="00F90704"/>
    <w:rsid w:val="00F908C6"/>
    <w:rsid w:val="00F9097F"/>
    <w:rsid w:val="00F91437"/>
    <w:rsid w:val="00F91C4D"/>
    <w:rsid w:val="00F92664"/>
    <w:rsid w:val="00F92910"/>
    <w:rsid w:val="00F929B5"/>
    <w:rsid w:val="00F92C72"/>
    <w:rsid w:val="00F9353F"/>
    <w:rsid w:val="00F93A2D"/>
    <w:rsid w:val="00F93AC2"/>
    <w:rsid w:val="00F93E8D"/>
    <w:rsid w:val="00F94F6E"/>
    <w:rsid w:val="00F963F9"/>
    <w:rsid w:val="00F96BD9"/>
    <w:rsid w:val="00F976AD"/>
    <w:rsid w:val="00F976FF"/>
    <w:rsid w:val="00FA0376"/>
    <w:rsid w:val="00FA03C3"/>
    <w:rsid w:val="00FA2798"/>
    <w:rsid w:val="00FA30F5"/>
    <w:rsid w:val="00FA33CE"/>
    <w:rsid w:val="00FA4DC3"/>
    <w:rsid w:val="00FA4FEE"/>
    <w:rsid w:val="00FA55A6"/>
    <w:rsid w:val="00FA7E8A"/>
    <w:rsid w:val="00FB0C31"/>
    <w:rsid w:val="00FB0ECB"/>
    <w:rsid w:val="00FB1A89"/>
    <w:rsid w:val="00FB3F81"/>
    <w:rsid w:val="00FB6537"/>
    <w:rsid w:val="00FB66C0"/>
    <w:rsid w:val="00FB67BB"/>
    <w:rsid w:val="00FB7916"/>
    <w:rsid w:val="00FC0167"/>
    <w:rsid w:val="00FC072E"/>
    <w:rsid w:val="00FC16ED"/>
    <w:rsid w:val="00FC24CE"/>
    <w:rsid w:val="00FC2DFB"/>
    <w:rsid w:val="00FC364C"/>
    <w:rsid w:val="00FC5BD5"/>
    <w:rsid w:val="00FC5CDB"/>
    <w:rsid w:val="00FC6ED0"/>
    <w:rsid w:val="00FC72DE"/>
    <w:rsid w:val="00FD1541"/>
    <w:rsid w:val="00FD1ED0"/>
    <w:rsid w:val="00FD2003"/>
    <w:rsid w:val="00FD25C5"/>
    <w:rsid w:val="00FD2966"/>
    <w:rsid w:val="00FD32EF"/>
    <w:rsid w:val="00FD3F19"/>
    <w:rsid w:val="00FD3FBA"/>
    <w:rsid w:val="00FD473C"/>
    <w:rsid w:val="00FD63E9"/>
    <w:rsid w:val="00FD6A24"/>
    <w:rsid w:val="00FD6A4C"/>
    <w:rsid w:val="00FE07D4"/>
    <w:rsid w:val="00FE13D3"/>
    <w:rsid w:val="00FE1940"/>
    <w:rsid w:val="00FE1FEB"/>
    <w:rsid w:val="00FE2F5E"/>
    <w:rsid w:val="00FE46E9"/>
    <w:rsid w:val="00FE7047"/>
    <w:rsid w:val="00FE70FC"/>
    <w:rsid w:val="00FF09F6"/>
    <w:rsid w:val="00FF0AD0"/>
    <w:rsid w:val="00FF186A"/>
    <w:rsid w:val="00FF2770"/>
    <w:rsid w:val="00FF3412"/>
    <w:rsid w:val="00FF3646"/>
    <w:rsid w:val="00FF3F06"/>
    <w:rsid w:val="00FF4858"/>
    <w:rsid w:val="00FF55F2"/>
    <w:rsid w:val="00FF5C42"/>
    <w:rsid w:val="00FF6B76"/>
    <w:rsid w:val="00FF7676"/>
    <w:rsid w:val="00FF777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72A7E"/>
  <w15:chartTrackingRefBased/>
  <w15:docId w15:val="{78DAA230-688D-6F4C-A2D9-212B0367F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3355"/>
    <w:pPr>
      <w:spacing w:after="160" w:line="259" w:lineRule="auto"/>
    </w:pPr>
    <w:rPr>
      <w:sz w:val="22"/>
      <w:szCs w:val="22"/>
    </w:rPr>
  </w:style>
  <w:style w:type="paragraph" w:styleId="Heading1">
    <w:name w:val="heading 1"/>
    <w:basedOn w:val="Normal"/>
    <w:next w:val="Normal"/>
    <w:link w:val="Heading1Char"/>
    <w:uiPriority w:val="9"/>
    <w:qFormat/>
    <w:rsid w:val="00010B93"/>
    <w:pPr>
      <w:keepNext/>
      <w:keepLines/>
      <w:spacing w:after="0" w:line="276" w:lineRule="auto"/>
      <w:jc w:val="both"/>
      <w:outlineLvl w:val="0"/>
    </w:pPr>
    <w:rPr>
      <w:rFonts w:ascii="Calibri" w:eastAsiaTheme="majorEastAsia" w:hAnsi="Calibri" w:cstheme="majorBidi"/>
      <w:b/>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010B93"/>
  </w:style>
  <w:style w:type="character" w:customStyle="1" w:styleId="Heading1Char">
    <w:name w:val="Heading 1 Char"/>
    <w:basedOn w:val="DefaultParagraphFont"/>
    <w:link w:val="Heading1"/>
    <w:uiPriority w:val="9"/>
    <w:rsid w:val="00010B93"/>
    <w:rPr>
      <w:rFonts w:ascii="Calibri" w:eastAsiaTheme="majorEastAsia" w:hAnsi="Calibri" w:cstheme="majorBidi"/>
      <w:b/>
      <w:bCs/>
      <w:sz w:val="32"/>
      <w:szCs w:val="28"/>
      <w:lang w:val="en-US"/>
    </w:rPr>
  </w:style>
  <w:style w:type="paragraph" w:styleId="Title">
    <w:name w:val="Title"/>
    <w:basedOn w:val="Normal"/>
    <w:next w:val="Normal"/>
    <w:link w:val="TitleChar"/>
    <w:uiPriority w:val="10"/>
    <w:qFormat/>
    <w:rsid w:val="00010B93"/>
    <w:pPr>
      <w:spacing w:after="240" w:line="240" w:lineRule="auto"/>
      <w:contextualSpacing/>
      <w:jc w:val="center"/>
    </w:pPr>
    <w:rPr>
      <w:rFonts w:eastAsiaTheme="majorEastAsia" w:cstheme="majorBidi"/>
      <w:b/>
      <w:spacing w:val="5"/>
      <w:kern w:val="28"/>
      <w:sz w:val="48"/>
      <w:szCs w:val="52"/>
    </w:rPr>
  </w:style>
  <w:style w:type="character" w:customStyle="1" w:styleId="TitleChar">
    <w:name w:val="Title Char"/>
    <w:basedOn w:val="DefaultParagraphFont"/>
    <w:link w:val="Title"/>
    <w:uiPriority w:val="10"/>
    <w:rsid w:val="00010B93"/>
    <w:rPr>
      <w:rFonts w:eastAsiaTheme="majorEastAsia" w:cstheme="majorBidi"/>
      <w:b/>
      <w:spacing w:val="5"/>
      <w:kern w:val="28"/>
      <w:sz w:val="48"/>
      <w:szCs w:val="52"/>
      <w:lang w:val="en-US"/>
    </w:rPr>
  </w:style>
  <w:style w:type="character" w:styleId="CommentReference">
    <w:name w:val="annotation reference"/>
    <w:basedOn w:val="DefaultParagraphFont"/>
    <w:uiPriority w:val="99"/>
    <w:semiHidden/>
    <w:unhideWhenUsed/>
    <w:rsid w:val="006D7A0A"/>
    <w:rPr>
      <w:sz w:val="16"/>
      <w:szCs w:val="16"/>
    </w:rPr>
  </w:style>
  <w:style w:type="paragraph" w:styleId="CommentText">
    <w:name w:val="annotation text"/>
    <w:basedOn w:val="Normal"/>
    <w:link w:val="CommentTextChar"/>
    <w:uiPriority w:val="99"/>
    <w:unhideWhenUsed/>
    <w:rsid w:val="006D7A0A"/>
    <w:pPr>
      <w:spacing w:line="240" w:lineRule="auto"/>
    </w:pPr>
    <w:rPr>
      <w:sz w:val="20"/>
      <w:szCs w:val="20"/>
    </w:rPr>
  </w:style>
  <w:style w:type="character" w:customStyle="1" w:styleId="CommentTextChar">
    <w:name w:val="Comment Text Char"/>
    <w:basedOn w:val="DefaultParagraphFont"/>
    <w:link w:val="CommentText"/>
    <w:uiPriority w:val="99"/>
    <w:rsid w:val="006D7A0A"/>
    <w:rPr>
      <w:sz w:val="20"/>
      <w:szCs w:val="20"/>
      <w:lang w:val="en-US"/>
    </w:rPr>
  </w:style>
  <w:style w:type="paragraph" w:styleId="CommentSubject">
    <w:name w:val="annotation subject"/>
    <w:basedOn w:val="CommentText"/>
    <w:next w:val="CommentText"/>
    <w:link w:val="CommentSubjectChar"/>
    <w:uiPriority w:val="99"/>
    <w:semiHidden/>
    <w:unhideWhenUsed/>
    <w:rsid w:val="006D7A0A"/>
    <w:rPr>
      <w:b/>
      <w:bCs/>
    </w:rPr>
  </w:style>
  <w:style w:type="character" w:customStyle="1" w:styleId="CommentSubjectChar">
    <w:name w:val="Comment Subject Char"/>
    <w:basedOn w:val="CommentTextChar"/>
    <w:link w:val="CommentSubject"/>
    <w:uiPriority w:val="99"/>
    <w:semiHidden/>
    <w:rsid w:val="006D7A0A"/>
    <w:rPr>
      <w:b/>
      <w:bCs/>
      <w:sz w:val="20"/>
      <w:szCs w:val="20"/>
      <w:lang w:val="en-US"/>
    </w:rPr>
  </w:style>
  <w:style w:type="paragraph" w:styleId="ListParagraph">
    <w:name w:val="List Paragraph"/>
    <w:basedOn w:val="Normal"/>
    <w:uiPriority w:val="34"/>
    <w:qFormat/>
    <w:rsid w:val="007372DD"/>
    <w:pPr>
      <w:ind w:left="720"/>
      <w:contextualSpacing/>
    </w:pPr>
  </w:style>
  <w:style w:type="character" w:styleId="Hyperlink">
    <w:name w:val="Hyperlink"/>
    <w:basedOn w:val="DefaultParagraphFont"/>
    <w:uiPriority w:val="99"/>
    <w:unhideWhenUsed/>
    <w:rsid w:val="007372DD"/>
    <w:rPr>
      <w:color w:val="0563C1" w:themeColor="hyperlink"/>
      <w:u w:val="single"/>
    </w:rPr>
  </w:style>
  <w:style w:type="character" w:styleId="HTMLSample">
    <w:name w:val="HTML Sample"/>
    <w:basedOn w:val="DefaultParagraphFont"/>
    <w:uiPriority w:val="99"/>
    <w:semiHidden/>
    <w:unhideWhenUsed/>
    <w:rsid w:val="007372DD"/>
    <w:rPr>
      <w:rFonts w:ascii="Courier New" w:eastAsia="Times New Roman" w:hAnsi="Courier New" w:cs="Courier New"/>
    </w:rPr>
  </w:style>
  <w:style w:type="paragraph" w:customStyle="1" w:styleId="Default">
    <w:name w:val="Default"/>
    <w:rsid w:val="007372DD"/>
    <w:pPr>
      <w:autoSpaceDE w:val="0"/>
      <w:autoSpaceDN w:val="0"/>
      <w:adjustRightInd w:val="0"/>
    </w:pPr>
    <w:rPr>
      <w:rFonts w:ascii="Calibri" w:hAnsi="Calibri" w:cs="Calibri"/>
      <w:color w:val="000000"/>
      <w:lang w:val="en-GB"/>
    </w:rPr>
  </w:style>
  <w:style w:type="character" w:styleId="FollowedHyperlink">
    <w:name w:val="FollowedHyperlink"/>
    <w:basedOn w:val="DefaultParagraphFont"/>
    <w:uiPriority w:val="99"/>
    <w:semiHidden/>
    <w:unhideWhenUsed/>
    <w:rsid w:val="00AD2A03"/>
    <w:rPr>
      <w:color w:val="954F72" w:themeColor="followedHyperlink"/>
      <w:u w:val="single"/>
    </w:rPr>
  </w:style>
  <w:style w:type="paragraph" w:styleId="Revision">
    <w:name w:val="Revision"/>
    <w:hidden/>
    <w:uiPriority w:val="99"/>
    <w:semiHidden/>
    <w:rsid w:val="005D0AC9"/>
    <w:rPr>
      <w:sz w:val="22"/>
      <w:szCs w:val="22"/>
    </w:rPr>
  </w:style>
  <w:style w:type="paragraph" w:styleId="BalloonText">
    <w:name w:val="Balloon Text"/>
    <w:basedOn w:val="Normal"/>
    <w:link w:val="BalloonTextChar"/>
    <w:uiPriority w:val="99"/>
    <w:semiHidden/>
    <w:unhideWhenUsed/>
    <w:rsid w:val="0097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683F"/>
    <w:rPr>
      <w:rFonts w:ascii="Segoe UI" w:hAnsi="Segoe UI" w:cs="Segoe UI"/>
      <w:sz w:val="18"/>
      <w:szCs w:val="18"/>
    </w:rPr>
  </w:style>
  <w:style w:type="paragraph" w:styleId="Bibliography">
    <w:name w:val="Bibliography"/>
    <w:basedOn w:val="Normal"/>
    <w:next w:val="Normal"/>
    <w:uiPriority w:val="37"/>
    <w:unhideWhenUsed/>
    <w:rsid w:val="00111D0C"/>
    <w:pPr>
      <w:tabs>
        <w:tab w:val="left" w:pos="504"/>
        <w:tab w:val="left" w:pos="620"/>
      </w:tabs>
      <w:spacing w:after="240" w:line="240" w:lineRule="auto"/>
      <w:ind w:left="624" w:hanging="624"/>
    </w:pPr>
  </w:style>
  <w:style w:type="character" w:styleId="UnresolvedMention">
    <w:name w:val="Unresolved Mention"/>
    <w:basedOn w:val="DefaultParagraphFont"/>
    <w:uiPriority w:val="99"/>
    <w:semiHidden/>
    <w:unhideWhenUsed/>
    <w:rsid w:val="005D5078"/>
    <w:rPr>
      <w:color w:val="605E5C"/>
      <w:shd w:val="clear" w:color="auto" w:fill="E1DFDD"/>
    </w:rPr>
  </w:style>
  <w:style w:type="paragraph" w:styleId="Footer">
    <w:name w:val="footer"/>
    <w:basedOn w:val="Normal"/>
    <w:link w:val="FooterChar"/>
    <w:uiPriority w:val="99"/>
    <w:unhideWhenUsed/>
    <w:rsid w:val="003335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576"/>
    <w:rPr>
      <w:sz w:val="22"/>
      <w:szCs w:val="22"/>
    </w:rPr>
  </w:style>
  <w:style w:type="character" w:styleId="PageNumber">
    <w:name w:val="page number"/>
    <w:basedOn w:val="DefaultParagraphFont"/>
    <w:uiPriority w:val="99"/>
    <w:semiHidden/>
    <w:unhideWhenUsed/>
    <w:rsid w:val="00333576"/>
  </w:style>
  <w:style w:type="paragraph" w:styleId="Header">
    <w:name w:val="header"/>
    <w:basedOn w:val="Normal"/>
    <w:link w:val="HeaderChar"/>
    <w:uiPriority w:val="99"/>
    <w:semiHidden/>
    <w:unhideWhenUsed/>
    <w:rsid w:val="00A615FD"/>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A615FD"/>
    <w:rPr>
      <w:sz w:val="22"/>
      <w:szCs w:val="22"/>
    </w:rPr>
  </w:style>
  <w:style w:type="character" w:styleId="PlaceholderText">
    <w:name w:val="Placeholder Text"/>
    <w:basedOn w:val="DefaultParagraphFont"/>
    <w:uiPriority w:val="99"/>
    <w:semiHidden/>
    <w:rsid w:val="002E686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36481">
      <w:bodyDiv w:val="1"/>
      <w:marLeft w:val="0"/>
      <w:marRight w:val="0"/>
      <w:marTop w:val="0"/>
      <w:marBottom w:val="0"/>
      <w:divBdr>
        <w:top w:val="none" w:sz="0" w:space="0" w:color="auto"/>
        <w:left w:val="none" w:sz="0" w:space="0" w:color="auto"/>
        <w:bottom w:val="none" w:sz="0" w:space="0" w:color="auto"/>
        <w:right w:val="none" w:sz="0" w:space="0" w:color="auto"/>
      </w:divBdr>
      <w:divsChild>
        <w:div w:id="654458090">
          <w:marLeft w:val="0"/>
          <w:marRight w:val="0"/>
          <w:marTop w:val="0"/>
          <w:marBottom w:val="0"/>
          <w:divBdr>
            <w:top w:val="single" w:sz="2" w:space="0" w:color="auto"/>
            <w:left w:val="single" w:sz="2" w:space="0" w:color="auto"/>
            <w:bottom w:val="single" w:sz="6" w:space="0" w:color="auto"/>
            <w:right w:val="single" w:sz="2" w:space="0" w:color="auto"/>
          </w:divBdr>
          <w:divsChild>
            <w:div w:id="1832795888">
              <w:marLeft w:val="0"/>
              <w:marRight w:val="0"/>
              <w:marTop w:val="100"/>
              <w:marBottom w:val="100"/>
              <w:divBdr>
                <w:top w:val="single" w:sz="2" w:space="0" w:color="D9D9E3"/>
                <w:left w:val="single" w:sz="2" w:space="0" w:color="D9D9E3"/>
                <w:bottom w:val="single" w:sz="2" w:space="0" w:color="D9D9E3"/>
                <w:right w:val="single" w:sz="2" w:space="0" w:color="D9D9E3"/>
              </w:divBdr>
              <w:divsChild>
                <w:div w:id="520898654">
                  <w:marLeft w:val="0"/>
                  <w:marRight w:val="0"/>
                  <w:marTop w:val="0"/>
                  <w:marBottom w:val="0"/>
                  <w:divBdr>
                    <w:top w:val="single" w:sz="2" w:space="0" w:color="D9D9E3"/>
                    <w:left w:val="single" w:sz="2" w:space="0" w:color="D9D9E3"/>
                    <w:bottom w:val="single" w:sz="2" w:space="0" w:color="D9D9E3"/>
                    <w:right w:val="single" w:sz="2" w:space="0" w:color="D9D9E3"/>
                  </w:divBdr>
                  <w:divsChild>
                    <w:div w:id="574239955">
                      <w:marLeft w:val="0"/>
                      <w:marRight w:val="0"/>
                      <w:marTop w:val="0"/>
                      <w:marBottom w:val="0"/>
                      <w:divBdr>
                        <w:top w:val="single" w:sz="2" w:space="0" w:color="D9D9E3"/>
                        <w:left w:val="single" w:sz="2" w:space="0" w:color="D9D9E3"/>
                        <w:bottom w:val="single" w:sz="2" w:space="0" w:color="D9D9E3"/>
                        <w:right w:val="single" w:sz="2" w:space="0" w:color="D9D9E3"/>
                      </w:divBdr>
                      <w:divsChild>
                        <w:div w:id="1724333348">
                          <w:marLeft w:val="0"/>
                          <w:marRight w:val="0"/>
                          <w:marTop w:val="0"/>
                          <w:marBottom w:val="0"/>
                          <w:divBdr>
                            <w:top w:val="single" w:sz="2" w:space="0" w:color="D9D9E3"/>
                            <w:left w:val="single" w:sz="2" w:space="0" w:color="D9D9E3"/>
                            <w:bottom w:val="single" w:sz="2" w:space="0" w:color="D9D9E3"/>
                            <w:right w:val="single" w:sz="2" w:space="0" w:color="D9D9E3"/>
                          </w:divBdr>
                          <w:divsChild>
                            <w:div w:id="19666216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0639756">
      <w:bodyDiv w:val="1"/>
      <w:marLeft w:val="0"/>
      <w:marRight w:val="0"/>
      <w:marTop w:val="0"/>
      <w:marBottom w:val="0"/>
      <w:divBdr>
        <w:top w:val="none" w:sz="0" w:space="0" w:color="auto"/>
        <w:left w:val="none" w:sz="0" w:space="0" w:color="auto"/>
        <w:bottom w:val="none" w:sz="0" w:space="0" w:color="auto"/>
        <w:right w:val="none" w:sz="0" w:space="0" w:color="auto"/>
      </w:divBdr>
    </w:div>
    <w:div w:id="71314663">
      <w:bodyDiv w:val="1"/>
      <w:marLeft w:val="0"/>
      <w:marRight w:val="0"/>
      <w:marTop w:val="0"/>
      <w:marBottom w:val="0"/>
      <w:divBdr>
        <w:top w:val="none" w:sz="0" w:space="0" w:color="auto"/>
        <w:left w:val="none" w:sz="0" w:space="0" w:color="auto"/>
        <w:bottom w:val="none" w:sz="0" w:space="0" w:color="auto"/>
        <w:right w:val="none" w:sz="0" w:space="0" w:color="auto"/>
      </w:divBdr>
      <w:divsChild>
        <w:div w:id="1053121863">
          <w:marLeft w:val="0"/>
          <w:marRight w:val="0"/>
          <w:marTop w:val="0"/>
          <w:marBottom w:val="0"/>
          <w:divBdr>
            <w:top w:val="single" w:sz="2" w:space="0" w:color="auto"/>
            <w:left w:val="single" w:sz="2" w:space="0" w:color="auto"/>
            <w:bottom w:val="single" w:sz="6" w:space="0" w:color="auto"/>
            <w:right w:val="single" w:sz="2" w:space="0" w:color="auto"/>
          </w:divBdr>
          <w:divsChild>
            <w:div w:id="105468995">
              <w:marLeft w:val="0"/>
              <w:marRight w:val="0"/>
              <w:marTop w:val="100"/>
              <w:marBottom w:val="100"/>
              <w:divBdr>
                <w:top w:val="single" w:sz="2" w:space="0" w:color="D9D9E3"/>
                <w:left w:val="single" w:sz="2" w:space="0" w:color="D9D9E3"/>
                <w:bottom w:val="single" w:sz="2" w:space="0" w:color="D9D9E3"/>
                <w:right w:val="single" w:sz="2" w:space="0" w:color="D9D9E3"/>
              </w:divBdr>
              <w:divsChild>
                <w:div w:id="447894077">
                  <w:marLeft w:val="0"/>
                  <w:marRight w:val="0"/>
                  <w:marTop w:val="0"/>
                  <w:marBottom w:val="0"/>
                  <w:divBdr>
                    <w:top w:val="single" w:sz="2" w:space="0" w:color="D9D9E3"/>
                    <w:left w:val="single" w:sz="2" w:space="0" w:color="D9D9E3"/>
                    <w:bottom w:val="single" w:sz="2" w:space="0" w:color="D9D9E3"/>
                    <w:right w:val="single" w:sz="2" w:space="0" w:color="D9D9E3"/>
                  </w:divBdr>
                  <w:divsChild>
                    <w:div w:id="1614559620">
                      <w:marLeft w:val="0"/>
                      <w:marRight w:val="0"/>
                      <w:marTop w:val="0"/>
                      <w:marBottom w:val="0"/>
                      <w:divBdr>
                        <w:top w:val="single" w:sz="2" w:space="0" w:color="D9D9E3"/>
                        <w:left w:val="single" w:sz="2" w:space="0" w:color="D9D9E3"/>
                        <w:bottom w:val="single" w:sz="2" w:space="0" w:color="D9D9E3"/>
                        <w:right w:val="single" w:sz="2" w:space="0" w:color="D9D9E3"/>
                      </w:divBdr>
                      <w:divsChild>
                        <w:div w:id="1485125822">
                          <w:marLeft w:val="0"/>
                          <w:marRight w:val="0"/>
                          <w:marTop w:val="0"/>
                          <w:marBottom w:val="0"/>
                          <w:divBdr>
                            <w:top w:val="single" w:sz="2" w:space="0" w:color="D9D9E3"/>
                            <w:left w:val="single" w:sz="2" w:space="0" w:color="D9D9E3"/>
                            <w:bottom w:val="single" w:sz="2" w:space="0" w:color="D9D9E3"/>
                            <w:right w:val="single" w:sz="2" w:space="0" w:color="D9D9E3"/>
                          </w:divBdr>
                          <w:divsChild>
                            <w:div w:id="42711734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0709972">
      <w:bodyDiv w:val="1"/>
      <w:marLeft w:val="0"/>
      <w:marRight w:val="0"/>
      <w:marTop w:val="0"/>
      <w:marBottom w:val="0"/>
      <w:divBdr>
        <w:top w:val="none" w:sz="0" w:space="0" w:color="auto"/>
        <w:left w:val="none" w:sz="0" w:space="0" w:color="auto"/>
        <w:bottom w:val="none" w:sz="0" w:space="0" w:color="auto"/>
        <w:right w:val="none" w:sz="0" w:space="0" w:color="auto"/>
      </w:divBdr>
      <w:divsChild>
        <w:div w:id="1017266988">
          <w:marLeft w:val="0"/>
          <w:marRight w:val="0"/>
          <w:marTop w:val="0"/>
          <w:marBottom w:val="0"/>
          <w:divBdr>
            <w:top w:val="single" w:sz="2" w:space="0" w:color="auto"/>
            <w:left w:val="single" w:sz="2" w:space="0" w:color="auto"/>
            <w:bottom w:val="single" w:sz="6" w:space="0" w:color="auto"/>
            <w:right w:val="single" w:sz="2" w:space="0" w:color="auto"/>
          </w:divBdr>
          <w:divsChild>
            <w:div w:id="1439524719">
              <w:marLeft w:val="0"/>
              <w:marRight w:val="0"/>
              <w:marTop w:val="100"/>
              <w:marBottom w:val="100"/>
              <w:divBdr>
                <w:top w:val="single" w:sz="2" w:space="0" w:color="D9D9E3"/>
                <w:left w:val="single" w:sz="2" w:space="0" w:color="D9D9E3"/>
                <w:bottom w:val="single" w:sz="2" w:space="0" w:color="D9D9E3"/>
                <w:right w:val="single" w:sz="2" w:space="0" w:color="D9D9E3"/>
              </w:divBdr>
              <w:divsChild>
                <w:div w:id="1047410290">
                  <w:marLeft w:val="0"/>
                  <w:marRight w:val="0"/>
                  <w:marTop w:val="0"/>
                  <w:marBottom w:val="0"/>
                  <w:divBdr>
                    <w:top w:val="single" w:sz="2" w:space="0" w:color="D9D9E3"/>
                    <w:left w:val="single" w:sz="2" w:space="0" w:color="D9D9E3"/>
                    <w:bottom w:val="single" w:sz="2" w:space="0" w:color="D9D9E3"/>
                    <w:right w:val="single" w:sz="2" w:space="0" w:color="D9D9E3"/>
                  </w:divBdr>
                  <w:divsChild>
                    <w:div w:id="1279993363">
                      <w:marLeft w:val="0"/>
                      <w:marRight w:val="0"/>
                      <w:marTop w:val="0"/>
                      <w:marBottom w:val="0"/>
                      <w:divBdr>
                        <w:top w:val="single" w:sz="2" w:space="0" w:color="D9D9E3"/>
                        <w:left w:val="single" w:sz="2" w:space="0" w:color="D9D9E3"/>
                        <w:bottom w:val="single" w:sz="2" w:space="0" w:color="D9D9E3"/>
                        <w:right w:val="single" w:sz="2" w:space="0" w:color="D9D9E3"/>
                      </w:divBdr>
                      <w:divsChild>
                        <w:div w:id="927466598">
                          <w:marLeft w:val="0"/>
                          <w:marRight w:val="0"/>
                          <w:marTop w:val="0"/>
                          <w:marBottom w:val="0"/>
                          <w:divBdr>
                            <w:top w:val="single" w:sz="2" w:space="0" w:color="D9D9E3"/>
                            <w:left w:val="single" w:sz="2" w:space="0" w:color="D9D9E3"/>
                            <w:bottom w:val="single" w:sz="2" w:space="0" w:color="D9D9E3"/>
                            <w:right w:val="single" w:sz="2" w:space="0" w:color="D9D9E3"/>
                          </w:divBdr>
                          <w:divsChild>
                            <w:div w:id="7039913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39682007">
      <w:bodyDiv w:val="1"/>
      <w:marLeft w:val="0"/>
      <w:marRight w:val="0"/>
      <w:marTop w:val="0"/>
      <w:marBottom w:val="0"/>
      <w:divBdr>
        <w:top w:val="none" w:sz="0" w:space="0" w:color="auto"/>
        <w:left w:val="none" w:sz="0" w:space="0" w:color="auto"/>
        <w:bottom w:val="none" w:sz="0" w:space="0" w:color="auto"/>
        <w:right w:val="none" w:sz="0" w:space="0" w:color="auto"/>
      </w:divBdr>
      <w:divsChild>
        <w:div w:id="1149518306">
          <w:marLeft w:val="0"/>
          <w:marRight w:val="0"/>
          <w:marTop w:val="0"/>
          <w:marBottom w:val="0"/>
          <w:divBdr>
            <w:top w:val="single" w:sz="2" w:space="0" w:color="auto"/>
            <w:left w:val="single" w:sz="2" w:space="0" w:color="auto"/>
            <w:bottom w:val="single" w:sz="6" w:space="0" w:color="auto"/>
            <w:right w:val="single" w:sz="2" w:space="0" w:color="auto"/>
          </w:divBdr>
          <w:divsChild>
            <w:div w:id="1352604709">
              <w:marLeft w:val="0"/>
              <w:marRight w:val="0"/>
              <w:marTop w:val="100"/>
              <w:marBottom w:val="100"/>
              <w:divBdr>
                <w:top w:val="single" w:sz="2" w:space="0" w:color="D9D9E3"/>
                <w:left w:val="single" w:sz="2" w:space="0" w:color="D9D9E3"/>
                <w:bottom w:val="single" w:sz="2" w:space="0" w:color="D9D9E3"/>
                <w:right w:val="single" w:sz="2" w:space="0" w:color="D9D9E3"/>
              </w:divBdr>
              <w:divsChild>
                <w:div w:id="72246021">
                  <w:marLeft w:val="0"/>
                  <w:marRight w:val="0"/>
                  <w:marTop w:val="0"/>
                  <w:marBottom w:val="0"/>
                  <w:divBdr>
                    <w:top w:val="single" w:sz="2" w:space="0" w:color="D9D9E3"/>
                    <w:left w:val="single" w:sz="2" w:space="0" w:color="D9D9E3"/>
                    <w:bottom w:val="single" w:sz="2" w:space="0" w:color="D9D9E3"/>
                    <w:right w:val="single" w:sz="2" w:space="0" w:color="D9D9E3"/>
                  </w:divBdr>
                  <w:divsChild>
                    <w:div w:id="1147555285">
                      <w:marLeft w:val="0"/>
                      <w:marRight w:val="0"/>
                      <w:marTop w:val="0"/>
                      <w:marBottom w:val="0"/>
                      <w:divBdr>
                        <w:top w:val="single" w:sz="2" w:space="0" w:color="D9D9E3"/>
                        <w:left w:val="single" w:sz="2" w:space="0" w:color="D9D9E3"/>
                        <w:bottom w:val="single" w:sz="2" w:space="0" w:color="D9D9E3"/>
                        <w:right w:val="single" w:sz="2" w:space="0" w:color="D9D9E3"/>
                      </w:divBdr>
                      <w:divsChild>
                        <w:div w:id="1614556308">
                          <w:marLeft w:val="0"/>
                          <w:marRight w:val="0"/>
                          <w:marTop w:val="0"/>
                          <w:marBottom w:val="0"/>
                          <w:divBdr>
                            <w:top w:val="single" w:sz="2" w:space="0" w:color="D9D9E3"/>
                            <w:left w:val="single" w:sz="2" w:space="0" w:color="D9D9E3"/>
                            <w:bottom w:val="single" w:sz="2" w:space="0" w:color="D9D9E3"/>
                            <w:right w:val="single" w:sz="2" w:space="0" w:color="D9D9E3"/>
                          </w:divBdr>
                          <w:divsChild>
                            <w:div w:id="139212253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76912401">
      <w:bodyDiv w:val="1"/>
      <w:marLeft w:val="0"/>
      <w:marRight w:val="0"/>
      <w:marTop w:val="0"/>
      <w:marBottom w:val="0"/>
      <w:divBdr>
        <w:top w:val="none" w:sz="0" w:space="0" w:color="auto"/>
        <w:left w:val="none" w:sz="0" w:space="0" w:color="auto"/>
        <w:bottom w:val="none" w:sz="0" w:space="0" w:color="auto"/>
        <w:right w:val="none" w:sz="0" w:space="0" w:color="auto"/>
      </w:divBdr>
    </w:div>
    <w:div w:id="429591041">
      <w:bodyDiv w:val="1"/>
      <w:marLeft w:val="0"/>
      <w:marRight w:val="0"/>
      <w:marTop w:val="0"/>
      <w:marBottom w:val="0"/>
      <w:divBdr>
        <w:top w:val="none" w:sz="0" w:space="0" w:color="auto"/>
        <w:left w:val="none" w:sz="0" w:space="0" w:color="auto"/>
        <w:bottom w:val="none" w:sz="0" w:space="0" w:color="auto"/>
        <w:right w:val="none" w:sz="0" w:space="0" w:color="auto"/>
      </w:divBdr>
    </w:div>
    <w:div w:id="612398138">
      <w:bodyDiv w:val="1"/>
      <w:marLeft w:val="0"/>
      <w:marRight w:val="0"/>
      <w:marTop w:val="0"/>
      <w:marBottom w:val="0"/>
      <w:divBdr>
        <w:top w:val="none" w:sz="0" w:space="0" w:color="auto"/>
        <w:left w:val="none" w:sz="0" w:space="0" w:color="auto"/>
        <w:bottom w:val="none" w:sz="0" w:space="0" w:color="auto"/>
        <w:right w:val="none" w:sz="0" w:space="0" w:color="auto"/>
      </w:divBdr>
    </w:div>
    <w:div w:id="686442659">
      <w:bodyDiv w:val="1"/>
      <w:marLeft w:val="0"/>
      <w:marRight w:val="0"/>
      <w:marTop w:val="0"/>
      <w:marBottom w:val="0"/>
      <w:divBdr>
        <w:top w:val="none" w:sz="0" w:space="0" w:color="auto"/>
        <w:left w:val="none" w:sz="0" w:space="0" w:color="auto"/>
        <w:bottom w:val="none" w:sz="0" w:space="0" w:color="auto"/>
        <w:right w:val="none" w:sz="0" w:space="0" w:color="auto"/>
      </w:divBdr>
    </w:div>
    <w:div w:id="849687380">
      <w:bodyDiv w:val="1"/>
      <w:marLeft w:val="0"/>
      <w:marRight w:val="0"/>
      <w:marTop w:val="0"/>
      <w:marBottom w:val="0"/>
      <w:divBdr>
        <w:top w:val="none" w:sz="0" w:space="0" w:color="auto"/>
        <w:left w:val="none" w:sz="0" w:space="0" w:color="auto"/>
        <w:bottom w:val="none" w:sz="0" w:space="0" w:color="auto"/>
        <w:right w:val="none" w:sz="0" w:space="0" w:color="auto"/>
      </w:divBdr>
    </w:div>
    <w:div w:id="874078155">
      <w:bodyDiv w:val="1"/>
      <w:marLeft w:val="0"/>
      <w:marRight w:val="0"/>
      <w:marTop w:val="0"/>
      <w:marBottom w:val="0"/>
      <w:divBdr>
        <w:top w:val="none" w:sz="0" w:space="0" w:color="auto"/>
        <w:left w:val="none" w:sz="0" w:space="0" w:color="auto"/>
        <w:bottom w:val="none" w:sz="0" w:space="0" w:color="auto"/>
        <w:right w:val="none" w:sz="0" w:space="0" w:color="auto"/>
      </w:divBdr>
    </w:div>
    <w:div w:id="1070955709">
      <w:bodyDiv w:val="1"/>
      <w:marLeft w:val="0"/>
      <w:marRight w:val="0"/>
      <w:marTop w:val="0"/>
      <w:marBottom w:val="0"/>
      <w:divBdr>
        <w:top w:val="none" w:sz="0" w:space="0" w:color="auto"/>
        <w:left w:val="none" w:sz="0" w:space="0" w:color="auto"/>
        <w:bottom w:val="none" w:sz="0" w:space="0" w:color="auto"/>
        <w:right w:val="none" w:sz="0" w:space="0" w:color="auto"/>
      </w:divBdr>
      <w:divsChild>
        <w:div w:id="65421104">
          <w:marLeft w:val="0"/>
          <w:marRight w:val="0"/>
          <w:marTop w:val="0"/>
          <w:marBottom w:val="0"/>
          <w:divBdr>
            <w:top w:val="none" w:sz="0" w:space="0" w:color="auto"/>
            <w:left w:val="none" w:sz="0" w:space="0" w:color="auto"/>
            <w:bottom w:val="none" w:sz="0" w:space="0" w:color="auto"/>
            <w:right w:val="none" w:sz="0" w:space="0" w:color="auto"/>
          </w:divBdr>
          <w:divsChild>
            <w:div w:id="1418213703">
              <w:marLeft w:val="0"/>
              <w:marRight w:val="0"/>
              <w:marTop w:val="225"/>
              <w:marBottom w:val="0"/>
              <w:divBdr>
                <w:top w:val="none" w:sz="0" w:space="0" w:color="auto"/>
                <w:left w:val="none" w:sz="0" w:space="0" w:color="auto"/>
                <w:bottom w:val="none" w:sz="0" w:space="0" w:color="auto"/>
                <w:right w:val="none" w:sz="0" w:space="0" w:color="auto"/>
              </w:divBdr>
            </w:div>
          </w:divsChild>
        </w:div>
        <w:div w:id="1022701987">
          <w:marLeft w:val="0"/>
          <w:marRight w:val="0"/>
          <w:marTop w:val="0"/>
          <w:marBottom w:val="0"/>
          <w:divBdr>
            <w:top w:val="none" w:sz="0" w:space="0" w:color="auto"/>
            <w:left w:val="none" w:sz="0" w:space="0" w:color="auto"/>
            <w:bottom w:val="none" w:sz="0" w:space="0" w:color="auto"/>
            <w:right w:val="none" w:sz="0" w:space="0" w:color="auto"/>
          </w:divBdr>
          <w:divsChild>
            <w:div w:id="712925756">
              <w:marLeft w:val="0"/>
              <w:marRight w:val="0"/>
              <w:marTop w:val="0"/>
              <w:marBottom w:val="0"/>
              <w:divBdr>
                <w:top w:val="none" w:sz="0" w:space="0" w:color="auto"/>
                <w:left w:val="none" w:sz="0" w:space="0" w:color="auto"/>
                <w:bottom w:val="none" w:sz="0" w:space="0" w:color="auto"/>
                <w:right w:val="none" w:sz="0" w:space="0" w:color="auto"/>
              </w:divBdr>
              <w:divsChild>
                <w:div w:id="93287807">
                  <w:marLeft w:val="0"/>
                  <w:marRight w:val="0"/>
                  <w:marTop w:val="0"/>
                  <w:marBottom w:val="0"/>
                  <w:divBdr>
                    <w:top w:val="none" w:sz="0" w:space="0" w:color="auto"/>
                    <w:left w:val="none" w:sz="0" w:space="0" w:color="auto"/>
                    <w:bottom w:val="none" w:sz="0" w:space="0" w:color="auto"/>
                    <w:right w:val="none" w:sz="0" w:space="0" w:color="auto"/>
                  </w:divBdr>
                  <w:divsChild>
                    <w:div w:id="202947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0435272">
      <w:bodyDiv w:val="1"/>
      <w:marLeft w:val="0"/>
      <w:marRight w:val="0"/>
      <w:marTop w:val="0"/>
      <w:marBottom w:val="0"/>
      <w:divBdr>
        <w:top w:val="none" w:sz="0" w:space="0" w:color="auto"/>
        <w:left w:val="none" w:sz="0" w:space="0" w:color="auto"/>
        <w:bottom w:val="none" w:sz="0" w:space="0" w:color="auto"/>
        <w:right w:val="none" w:sz="0" w:space="0" w:color="auto"/>
      </w:divBdr>
      <w:divsChild>
        <w:div w:id="329869697">
          <w:marLeft w:val="0"/>
          <w:marRight w:val="0"/>
          <w:marTop w:val="0"/>
          <w:marBottom w:val="0"/>
          <w:divBdr>
            <w:top w:val="single" w:sz="2" w:space="0" w:color="D9D9E3"/>
            <w:left w:val="single" w:sz="2" w:space="0" w:color="D9D9E3"/>
            <w:bottom w:val="single" w:sz="2" w:space="0" w:color="D9D9E3"/>
            <w:right w:val="single" w:sz="2" w:space="0" w:color="D9D9E3"/>
          </w:divBdr>
          <w:divsChild>
            <w:div w:id="1462529215">
              <w:marLeft w:val="0"/>
              <w:marRight w:val="0"/>
              <w:marTop w:val="0"/>
              <w:marBottom w:val="0"/>
              <w:divBdr>
                <w:top w:val="single" w:sz="2" w:space="0" w:color="D9D9E3"/>
                <w:left w:val="single" w:sz="2" w:space="0" w:color="D9D9E3"/>
                <w:bottom w:val="single" w:sz="2" w:space="0" w:color="D9D9E3"/>
                <w:right w:val="single" w:sz="2" w:space="0" w:color="D9D9E3"/>
              </w:divBdr>
              <w:divsChild>
                <w:div w:id="1246570541">
                  <w:marLeft w:val="0"/>
                  <w:marRight w:val="0"/>
                  <w:marTop w:val="0"/>
                  <w:marBottom w:val="0"/>
                  <w:divBdr>
                    <w:top w:val="single" w:sz="2" w:space="0" w:color="D9D9E3"/>
                    <w:left w:val="single" w:sz="2" w:space="0" w:color="D9D9E3"/>
                    <w:bottom w:val="single" w:sz="2" w:space="0" w:color="D9D9E3"/>
                    <w:right w:val="single" w:sz="2" w:space="0" w:color="D9D9E3"/>
                  </w:divBdr>
                  <w:divsChild>
                    <w:div w:id="429664834">
                      <w:marLeft w:val="0"/>
                      <w:marRight w:val="0"/>
                      <w:marTop w:val="0"/>
                      <w:marBottom w:val="0"/>
                      <w:divBdr>
                        <w:top w:val="single" w:sz="2" w:space="0" w:color="D9D9E3"/>
                        <w:left w:val="single" w:sz="2" w:space="0" w:color="D9D9E3"/>
                        <w:bottom w:val="single" w:sz="2" w:space="0" w:color="D9D9E3"/>
                        <w:right w:val="single" w:sz="2" w:space="0" w:color="D9D9E3"/>
                      </w:divBdr>
                      <w:divsChild>
                        <w:div w:id="138966448">
                          <w:marLeft w:val="0"/>
                          <w:marRight w:val="0"/>
                          <w:marTop w:val="0"/>
                          <w:marBottom w:val="0"/>
                          <w:divBdr>
                            <w:top w:val="single" w:sz="2" w:space="0" w:color="D9D9E3"/>
                            <w:left w:val="single" w:sz="2" w:space="0" w:color="D9D9E3"/>
                            <w:bottom w:val="single" w:sz="2" w:space="0" w:color="D9D9E3"/>
                            <w:right w:val="single" w:sz="2" w:space="0" w:color="D9D9E3"/>
                          </w:divBdr>
                          <w:divsChild>
                            <w:div w:id="1655448799">
                              <w:marLeft w:val="0"/>
                              <w:marRight w:val="0"/>
                              <w:marTop w:val="100"/>
                              <w:marBottom w:val="100"/>
                              <w:divBdr>
                                <w:top w:val="single" w:sz="2" w:space="0" w:color="D9D9E3"/>
                                <w:left w:val="single" w:sz="2" w:space="0" w:color="D9D9E3"/>
                                <w:bottom w:val="single" w:sz="2" w:space="0" w:color="D9D9E3"/>
                                <w:right w:val="single" w:sz="2" w:space="0" w:color="D9D9E3"/>
                              </w:divBdr>
                              <w:divsChild>
                                <w:div w:id="1310018131">
                                  <w:marLeft w:val="0"/>
                                  <w:marRight w:val="0"/>
                                  <w:marTop w:val="0"/>
                                  <w:marBottom w:val="0"/>
                                  <w:divBdr>
                                    <w:top w:val="single" w:sz="2" w:space="0" w:color="D9D9E3"/>
                                    <w:left w:val="single" w:sz="2" w:space="0" w:color="D9D9E3"/>
                                    <w:bottom w:val="single" w:sz="2" w:space="0" w:color="D9D9E3"/>
                                    <w:right w:val="single" w:sz="2" w:space="0" w:color="D9D9E3"/>
                                  </w:divBdr>
                                  <w:divsChild>
                                    <w:div w:id="1795832895">
                                      <w:marLeft w:val="0"/>
                                      <w:marRight w:val="0"/>
                                      <w:marTop w:val="0"/>
                                      <w:marBottom w:val="0"/>
                                      <w:divBdr>
                                        <w:top w:val="single" w:sz="2" w:space="0" w:color="D9D9E3"/>
                                        <w:left w:val="single" w:sz="2" w:space="0" w:color="D9D9E3"/>
                                        <w:bottom w:val="single" w:sz="2" w:space="0" w:color="D9D9E3"/>
                                        <w:right w:val="single" w:sz="2" w:space="0" w:color="D9D9E3"/>
                                      </w:divBdr>
                                      <w:divsChild>
                                        <w:div w:id="520314846">
                                          <w:marLeft w:val="0"/>
                                          <w:marRight w:val="0"/>
                                          <w:marTop w:val="0"/>
                                          <w:marBottom w:val="0"/>
                                          <w:divBdr>
                                            <w:top w:val="single" w:sz="2" w:space="0" w:color="D9D9E3"/>
                                            <w:left w:val="single" w:sz="2" w:space="0" w:color="D9D9E3"/>
                                            <w:bottom w:val="single" w:sz="2" w:space="0" w:color="D9D9E3"/>
                                            <w:right w:val="single" w:sz="2" w:space="0" w:color="D9D9E3"/>
                                          </w:divBdr>
                                          <w:divsChild>
                                            <w:div w:id="1940289785">
                                              <w:marLeft w:val="0"/>
                                              <w:marRight w:val="0"/>
                                              <w:marTop w:val="0"/>
                                              <w:marBottom w:val="0"/>
                                              <w:divBdr>
                                                <w:top w:val="single" w:sz="2" w:space="0" w:color="D9D9E3"/>
                                                <w:left w:val="single" w:sz="2" w:space="0" w:color="D9D9E3"/>
                                                <w:bottom w:val="single" w:sz="2" w:space="0" w:color="D9D9E3"/>
                                                <w:right w:val="single" w:sz="2" w:space="0" w:color="D9D9E3"/>
                                              </w:divBdr>
                                              <w:divsChild>
                                                <w:div w:id="1453674007">
                                                  <w:marLeft w:val="0"/>
                                                  <w:marRight w:val="0"/>
                                                  <w:marTop w:val="0"/>
                                                  <w:marBottom w:val="0"/>
                                                  <w:divBdr>
                                                    <w:top w:val="single" w:sz="2" w:space="0" w:color="D9D9E3"/>
                                                    <w:left w:val="single" w:sz="2" w:space="0" w:color="D9D9E3"/>
                                                    <w:bottom w:val="single" w:sz="2" w:space="0" w:color="D9D9E3"/>
                                                    <w:right w:val="single" w:sz="2" w:space="0" w:color="D9D9E3"/>
                                                  </w:divBdr>
                                                  <w:divsChild>
                                                    <w:div w:id="18016109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23720356">
          <w:marLeft w:val="0"/>
          <w:marRight w:val="0"/>
          <w:marTop w:val="0"/>
          <w:marBottom w:val="0"/>
          <w:divBdr>
            <w:top w:val="none" w:sz="0" w:space="0" w:color="auto"/>
            <w:left w:val="none" w:sz="0" w:space="0" w:color="auto"/>
            <w:bottom w:val="none" w:sz="0" w:space="0" w:color="auto"/>
            <w:right w:val="none" w:sz="0" w:space="0" w:color="auto"/>
          </w:divBdr>
          <w:divsChild>
            <w:div w:id="350648375">
              <w:marLeft w:val="0"/>
              <w:marRight w:val="0"/>
              <w:marTop w:val="0"/>
              <w:marBottom w:val="0"/>
              <w:divBdr>
                <w:top w:val="single" w:sz="2" w:space="0" w:color="D9D9E3"/>
                <w:left w:val="single" w:sz="2" w:space="0" w:color="D9D9E3"/>
                <w:bottom w:val="single" w:sz="2" w:space="0" w:color="D9D9E3"/>
                <w:right w:val="single" w:sz="2" w:space="0" w:color="D9D9E3"/>
              </w:divBdr>
              <w:divsChild>
                <w:div w:id="566458954">
                  <w:marLeft w:val="0"/>
                  <w:marRight w:val="0"/>
                  <w:marTop w:val="0"/>
                  <w:marBottom w:val="0"/>
                  <w:divBdr>
                    <w:top w:val="single" w:sz="2" w:space="0" w:color="D9D9E3"/>
                    <w:left w:val="single" w:sz="2" w:space="0" w:color="D9D9E3"/>
                    <w:bottom w:val="single" w:sz="2" w:space="0" w:color="D9D9E3"/>
                    <w:right w:val="single" w:sz="2" w:space="0" w:color="D9D9E3"/>
                  </w:divBdr>
                  <w:divsChild>
                    <w:div w:id="1851219278">
                      <w:marLeft w:val="0"/>
                      <w:marRight w:val="0"/>
                      <w:marTop w:val="0"/>
                      <w:marBottom w:val="0"/>
                      <w:divBdr>
                        <w:top w:val="single" w:sz="6" w:space="0" w:color="auto"/>
                        <w:left w:val="single" w:sz="6" w:space="0" w:color="auto"/>
                        <w:bottom w:val="single" w:sz="6" w:space="0" w:color="auto"/>
                        <w:right w:val="single" w:sz="6" w:space="0" w:color="auto"/>
                      </w:divBdr>
                      <w:divsChild>
                        <w:div w:id="754205954">
                          <w:marLeft w:val="0"/>
                          <w:marRight w:val="0"/>
                          <w:marTop w:val="0"/>
                          <w:marBottom w:val="0"/>
                          <w:divBdr>
                            <w:top w:val="none" w:sz="0" w:space="0" w:color="auto"/>
                            <w:left w:val="none" w:sz="0" w:space="0" w:color="auto"/>
                            <w:bottom w:val="none" w:sz="0" w:space="0" w:color="auto"/>
                            <w:right w:val="none" w:sz="0" w:space="0" w:color="auto"/>
                          </w:divBdr>
                          <w:divsChild>
                            <w:div w:id="345325834">
                              <w:marLeft w:val="0"/>
                              <w:marRight w:val="0"/>
                              <w:marTop w:val="0"/>
                              <w:marBottom w:val="0"/>
                              <w:divBdr>
                                <w:top w:val="none" w:sz="0" w:space="0" w:color="auto"/>
                                <w:left w:val="none" w:sz="0" w:space="0" w:color="auto"/>
                                <w:bottom w:val="none" w:sz="0" w:space="0" w:color="auto"/>
                                <w:right w:val="none" w:sz="0" w:space="0" w:color="auto"/>
                              </w:divBdr>
                              <w:divsChild>
                                <w:div w:id="868303857">
                                  <w:marLeft w:val="0"/>
                                  <w:marRight w:val="0"/>
                                  <w:marTop w:val="0"/>
                                  <w:marBottom w:val="0"/>
                                  <w:divBdr>
                                    <w:top w:val="none" w:sz="0" w:space="0" w:color="auto"/>
                                    <w:left w:val="none" w:sz="0" w:space="0" w:color="auto"/>
                                    <w:bottom w:val="none" w:sz="0" w:space="0" w:color="auto"/>
                                    <w:right w:val="none" w:sz="0" w:space="0" w:color="auto"/>
                                  </w:divBdr>
                                  <w:divsChild>
                                    <w:div w:id="975140590">
                                      <w:marLeft w:val="0"/>
                                      <w:marRight w:val="0"/>
                                      <w:marTop w:val="0"/>
                                      <w:marBottom w:val="0"/>
                                      <w:divBdr>
                                        <w:top w:val="none" w:sz="0" w:space="0" w:color="auto"/>
                                        <w:left w:val="none" w:sz="0" w:space="0" w:color="auto"/>
                                        <w:bottom w:val="none" w:sz="0" w:space="0" w:color="auto"/>
                                        <w:right w:val="none" w:sz="0" w:space="0" w:color="auto"/>
                                      </w:divBdr>
                                      <w:divsChild>
                                        <w:div w:id="1456096049">
                                          <w:marLeft w:val="0"/>
                                          <w:marRight w:val="0"/>
                                          <w:marTop w:val="0"/>
                                          <w:marBottom w:val="0"/>
                                          <w:divBdr>
                                            <w:top w:val="none" w:sz="0" w:space="0" w:color="auto"/>
                                            <w:left w:val="none" w:sz="0" w:space="0" w:color="auto"/>
                                            <w:bottom w:val="none" w:sz="0" w:space="0" w:color="auto"/>
                                            <w:right w:val="none" w:sz="0" w:space="0" w:color="auto"/>
                                          </w:divBdr>
                                          <w:divsChild>
                                            <w:div w:id="456685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8959536">
      <w:bodyDiv w:val="1"/>
      <w:marLeft w:val="0"/>
      <w:marRight w:val="0"/>
      <w:marTop w:val="0"/>
      <w:marBottom w:val="0"/>
      <w:divBdr>
        <w:top w:val="none" w:sz="0" w:space="0" w:color="auto"/>
        <w:left w:val="none" w:sz="0" w:space="0" w:color="auto"/>
        <w:bottom w:val="none" w:sz="0" w:space="0" w:color="auto"/>
        <w:right w:val="none" w:sz="0" w:space="0" w:color="auto"/>
      </w:divBdr>
    </w:div>
    <w:div w:id="1458909230">
      <w:bodyDiv w:val="1"/>
      <w:marLeft w:val="0"/>
      <w:marRight w:val="0"/>
      <w:marTop w:val="0"/>
      <w:marBottom w:val="0"/>
      <w:divBdr>
        <w:top w:val="none" w:sz="0" w:space="0" w:color="auto"/>
        <w:left w:val="none" w:sz="0" w:space="0" w:color="auto"/>
        <w:bottom w:val="none" w:sz="0" w:space="0" w:color="auto"/>
        <w:right w:val="none" w:sz="0" w:space="0" w:color="auto"/>
      </w:divBdr>
    </w:div>
    <w:div w:id="1494762695">
      <w:bodyDiv w:val="1"/>
      <w:marLeft w:val="0"/>
      <w:marRight w:val="0"/>
      <w:marTop w:val="0"/>
      <w:marBottom w:val="0"/>
      <w:divBdr>
        <w:top w:val="none" w:sz="0" w:space="0" w:color="auto"/>
        <w:left w:val="none" w:sz="0" w:space="0" w:color="auto"/>
        <w:bottom w:val="none" w:sz="0" w:space="0" w:color="auto"/>
        <w:right w:val="none" w:sz="0" w:space="0" w:color="auto"/>
      </w:divBdr>
      <w:divsChild>
        <w:div w:id="1856260113">
          <w:marLeft w:val="0"/>
          <w:marRight w:val="0"/>
          <w:marTop w:val="0"/>
          <w:marBottom w:val="0"/>
          <w:divBdr>
            <w:top w:val="single" w:sz="2" w:space="0" w:color="auto"/>
            <w:left w:val="single" w:sz="2" w:space="0" w:color="auto"/>
            <w:bottom w:val="single" w:sz="6" w:space="0" w:color="auto"/>
            <w:right w:val="single" w:sz="2" w:space="0" w:color="auto"/>
          </w:divBdr>
          <w:divsChild>
            <w:div w:id="1344360143">
              <w:marLeft w:val="0"/>
              <w:marRight w:val="0"/>
              <w:marTop w:val="100"/>
              <w:marBottom w:val="100"/>
              <w:divBdr>
                <w:top w:val="single" w:sz="2" w:space="0" w:color="D9D9E3"/>
                <w:left w:val="single" w:sz="2" w:space="0" w:color="D9D9E3"/>
                <w:bottom w:val="single" w:sz="2" w:space="0" w:color="D9D9E3"/>
                <w:right w:val="single" w:sz="2" w:space="0" w:color="D9D9E3"/>
              </w:divBdr>
              <w:divsChild>
                <w:div w:id="682515481">
                  <w:marLeft w:val="0"/>
                  <w:marRight w:val="0"/>
                  <w:marTop w:val="0"/>
                  <w:marBottom w:val="0"/>
                  <w:divBdr>
                    <w:top w:val="single" w:sz="2" w:space="0" w:color="D9D9E3"/>
                    <w:left w:val="single" w:sz="2" w:space="0" w:color="D9D9E3"/>
                    <w:bottom w:val="single" w:sz="2" w:space="0" w:color="D9D9E3"/>
                    <w:right w:val="single" w:sz="2" w:space="0" w:color="D9D9E3"/>
                  </w:divBdr>
                  <w:divsChild>
                    <w:div w:id="1127164178">
                      <w:marLeft w:val="0"/>
                      <w:marRight w:val="0"/>
                      <w:marTop w:val="0"/>
                      <w:marBottom w:val="0"/>
                      <w:divBdr>
                        <w:top w:val="single" w:sz="2" w:space="0" w:color="D9D9E3"/>
                        <w:left w:val="single" w:sz="2" w:space="0" w:color="D9D9E3"/>
                        <w:bottom w:val="single" w:sz="2" w:space="0" w:color="D9D9E3"/>
                        <w:right w:val="single" w:sz="2" w:space="0" w:color="D9D9E3"/>
                      </w:divBdr>
                      <w:divsChild>
                        <w:div w:id="2062898404">
                          <w:marLeft w:val="0"/>
                          <w:marRight w:val="0"/>
                          <w:marTop w:val="0"/>
                          <w:marBottom w:val="0"/>
                          <w:divBdr>
                            <w:top w:val="single" w:sz="2" w:space="0" w:color="D9D9E3"/>
                            <w:left w:val="single" w:sz="2" w:space="0" w:color="D9D9E3"/>
                            <w:bottom w:val="single" w:sz="2" w:space="0" w:color="D9D9E3"/>
                            <w:right w:val="single" w:sz="2" w:space="0" w:color="D9D9E3"/>
                          </w:divBdr>
                          <w:divsChild>
                            <w:div w:id="21142824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92633993">
      <w:bodyDiv w:val="1"/>
      <w:marLeft w:val="0"/>
      <w:marRight w:val="0"/>
      <w:marTop w:val="0"/>
      <w:marBottom w:val="0"/>
      <w:divBdr>
        <w:top w:val="none" w:sz="0" w:space="0" w:color="auto"/>
        <w:left w:val="none" w:sz="0" w:space="0" w:color="auto"/>
        <w:bottom w:val="none" w:sz="0" w:space="0" w:color="auto"/>
        <w:right w:val="none" w:sz="0" w:space="0" w:color="auto"/>
      </w:divBdr>
      <w:divsChild>
        <w:div w:id="1184630964">
          <w:marLeft w:val="0"/>
          <w:marRight w:val="0"/>
          <w:marTop w:val="0"/>
          <w:marBottom w:val="0"/>
          <w:divBdr>
            <w:top w:val="none" w:sz="0" w:space="0" w:color="auto"/>
            <w:left w:val="none" w:sz="0" w:space="0" w:color="auto"/>
            <w:bottom w:val="none" w:sz="0" w:space="0" w:color="auto"/>
            <w:right w:val="none" w:sz="0" w:space="0" w:color="auto"/>
          </w:divBdr>
          <w:divsChild>
            <w:div w:id="1776245261">
              <w:marLeft w:val="0"/>
              <w:marRight w:val="0"/>
              <w:marTop w:val="0"/>
              <w:marBottom w:val="0"/>
              <w:divBdr>
                <w:top w:val="single" w:sz="2" w:space="0" w:color="D9D9E3"/>
                <w:left w:val="single" w:sz="2" w:space="0" w:color="D9D9E3"/>
                <w:bottom w:val="single" w:sz="2" w:space="0" w:color="D9D9E3"/>
                <w:right w:val="single" w:sz="2" w:space="0" w:color="D9D9E3"/>
              </w:divBdr>
              <w:divsChild>
                <w:div w:id="827210322">
                  <w:marLeft w:val="0"/>
                  <w:marRight w:val="0"/>
                  <w:marTop w:val="0"/>
                  <w:marBottom w:val="0"/>
                  <w:divBdr>
                    <w:top w:val="single" w:sz="2" w:space="0" w:color="D9D9E3"/>
                    <w:left w:val="single" w:sz="2" w:space="0" w:color="D9D9E3"/>
                    <w:bottom w:val="single" w:sz="2" w:space="0" w:color="D9D9E3"/>
                    <w:right w:val="single" w:sz="2" w:space="0" w:color="D9D9E3"/>
                  </w:divBdr>
                  <w:divsChild>
                    <w:div w:id="903023958">
                      <w:marLeft w:val="0"/>
                      <w:marRight w:val="0"/>
                      <w:marTop w:val="0"/>
                      <w:marBottom w:val="0"/>
                      <w:divBdr>
                        <w:top w:val="single" w:sz="6" w:space="0" w:color="auto"/>
                        <w:left w:val="single" w:sz="6" w:space="0" w:color="auto"/>
                        <w:bottom w:val="single" w:sz="6" w:space="0" w:color="auto"/>
                        <w:right w:val="single" w:sz="6" w:space="0" w:color="auto"/>
                      </w:divBdr>
                      <w:divsChild>
                        <w:div w:id="1112017568">
                          <w:marLeft w:val="0"/>
                          <w:marRight w:val="0"/>
                          <w:marTop w:val="0"/>
                          <w:marBottom w:val="0"/>
                          <w:divBdr>
                            <w:top w:val="none" w:sz="0" w:space="0" w:color="auto"/>
                            <w:left w:val="none" w:sz="0" w:space="0" w:color="auto"/>
                            <w:bottom w:val="none" w:sz="0" w:space="0" w:color="auto"/>
                            <w:right w:val="none" w:sz="0" w:space="0" w:color="auto"/>
                          </w:divBdr>
                          <w:divsChild>
                            <w:div w:id="871579224">
                              <w:marLeft w:val="0"/>
                              <w:marRight w:val="0"/>
                              <w:marTop w:val="0"/>
                              <w:marBottom w:val="0"/>
                              <w:divBdr>
                                <w:top w:val="none" w:sz="0" w:space="0" w:color="auto"/>
                                <w:left w:val="none" w:sz="0" w:space="0" w:color="auto"/>
                                <w:bottom w:val="none" w:sz="0" w:space="0" w:color="auto"/>
                                <w:right w:val="none" w:sz="0" w:space="0" w:color="auto"/>
                              </w:divBdr>
                              <w:divsChild>
                                <w:div w:id="944267098">
                                  <w:marLeft w:val="0"/>
                                  <w:marRight w:val="0"/>
                                  <w:marTop w:val="0"/>
                                  <w:marBottom w:val="0"/>
                                  <w:divBdr>
                                    <w:top w:val="none" w:sz="0" w:space="0" w:color="auto"/>
                                    <w:left w:val="none" w:sz="0" w:space="0" w:color="auto"/>
                                    <w:bottom w:val="none" w:sz="0" w:space="0" w:color="auto"/>
                                    <w:right w:val="none" w:sz="0" w:space="0" w:color="auto"/>
                                  </w:divBdr>
                                  <w:divsChild>
                                    <w:div w:id="645477398">
                                      <w:marLeft w:val="0"/>
                                      <w:marRight w:val="0"/>
                                      <w:marTop w:val="0"/>
                                      <w:marBottom w:val="0"/>
                                      <w:divBdr>
                                        <w:top w:val="none" w:sz="0" w:space="0" w:color="auto"/>
                                        <w:left w:val="none" w:sz="0" w:space="0" w:color="auto"/>
                                        <w:bottom w:val="none" w:sz="0" w:space="0" w:color="auto"/>
                                        <w:right w:val="none" w:sz="0" w:space="0" w:color="auto"/>
                                      </w:divBdr>
                                      <w:divsChild>
                                        <w:div w:id="1105157034">
                                          <w:marLeft w:val="0"/>
                                          <w:marRight w:val="0"/>
                                          <w:marTop w:val="0"/>
                                          <w:marBottom w:val="0"/>
                                          <w:divBdr>
                                            <w:top w:val="none" w:sz="0" w:space="0" w:color="auto"/>
                                            <w:left w:val="none" w:sz="0" w:space="0" w:color="auto"/>
                                            <w:bottom w:val="none" w:sz="0" w:space="0" w:color="auto"/>
                                            <w:right w:val="none" w:sz="0" w:space="0" w:color="auto"/>
                                          </w:divBdr>
                                          <w:divsChild>
                                            <w:div w:id="100069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701569">
          <w:marLeft w:val="0"/>
          <w:marRight w:val="0"/>
          <w:marTop w:val="0"/>
          <w:marBottom w:val="0"/>
          <w:divBdr>
            <w:top w:val="single" w:sz="2" w:space="0" w:color="D9D9E3"/>
            <w:left w:val="single" w:sz="2" w:space="0" w:color="D9D9E3"/>
            <w:bottom w:val="single" w:sz="2" w:space="0" w:color="D9D9E3"/>
            <w:right w:val="single" w:sz="2" w:space="0" w:color="D9D9E3"/>
          </w:divBdr>
          <w:divsChild>
            <w:div w:id="1299411475">
              <w:marLeft w:val="0"/>
              <w:marRight w:val="0"/>
              <w:marTop w:val="0"/>
              <w:marBottom w:val="0"/>
              <w:divBdr>
                <w:top w:val="single" w:sz="2" w:space="0" w:color="D9D9E3"/>
                <w:left w:val="single" w:sz="2" w:space="0" w:color="D9D9E3"/>
                <w:bottom w:val="single" w:sz="2" w:space="0" w:color="D9D9E3"/>
                <w:right w:val="single" w:sz="2" w:space="0" w:color="D9D9E3"/>
              </w:divBdr>
              <w:divsChild>
                <w:div w:id="1212766336">
                  <w:marLeft w:val="0"/>
                  <w:marRight w:val="0"/>
                  <w:marTop w:val="0"/>
                  <w:marBottom w:val="0"/>
                  <w:divBdr>
                    <w:top w:val="single" w:sz="2" w:space="0" w:color="D9D9E3"/>
                    <w:left w:val="single" w:sz="2" w:space="0" w:color="D9D9E3"/>
                    <w:bottom w:val="single" w:sz="2" w:space="0" w:color="D9D9E3"/>
                    <w:right w:val="single" w:sz="2" w:space="0" w:color="D9D9E3"/>
                  </w:divBdr>
                  <w:divsChild>
                    <w:div w:id="1913153285">
                      <w:marLeft w:val="0"/>
                      <w:marRight w:val="0"/>
                      <w:marTop w:val="0"/>
                      <w:marBottom w:val="0"/>
                      <w:divBdr>
                        <w:top w:val="single" w:sz="2" w:space="0" w:color="D9D9E3"/>
                        <w:left w:val="single" w:sz="2" w:space="0" w:color="D9D9E3"/>
                        <w:bottom w:val="single" w:sz="2" w:space="0" w:color="D9D9E3"/>
                        <w:right w:val="single" w:sz="2" w:space="0" w:color="D9D9E3"/>
                      </w:divBdr>
                      <w:divsChild>
                        <w:div w:id="862942259">
                          <w:marLeft w:val="0"/>
                          <w:marRight w:val="0"/>
                          <w:marTop w:val="0"/>
                          <w:marBottom w:val="0"/>
                          <w:divBdr>
                            <w:top w:val="single" w:sz="2" w:space="0" w:color="D9D9E3"/>
                            <w:left w:val="single" w:sz="2" w:space="0" w:color="D9D9E3"/>
                            <w:bottom w:val="single" w:sz="2" w:space="0" w:color="D9D9E3"/>
                            <w:right w:val="single" w:sz="2" w:space="0" w:color="D9D9E3"/>
                          </w:divBdr>
                          <w:divsChild>
                            <w:div w:id="248664041">
                              <w:marLeft w:val="0"/>
                              <w:marRight w:val="0"/>
                              <w:marTop w:val="100"/>
                              <w:marBottom w:val="100"/>
                              <w:divBdr>
                                <w:top w:val="single" w:sz="2" w:space="0" w:color="D9D9E3"/>
                                <w:left w:val="single" w:sz="2" w:space="0" w:color="D9D9E3"/>
                                <w:bottom w:val="single" w:sz="2" w:space="0" w:color="D9D9E3"/>
                                <w:right w:val="single" w:sz="2" w:space="0" w:color="D9D9E3"/>
                              </w:divBdr>
                              <w:divsChild>
                                <w:div w:id="298071551">
                                  <w:marLeft w:val="0"/>
                                  <w:marRight w:val="0"/>
                                  <w:marTop w:val="0"/>
                                  <w:marBottom w:val="0"/>
                                  <w:divBdr>
                                    <w:top w:val="single" w:sz="2" w:space="0" w:color="D9D9E3"/>
                                    <w:left w:val="single" w:sz="2" w:space="0" w:color="D9D9E3"/>
                                    <w:bottom w:val="single" w:sz="2" w:space="0" w:color="D9D9E3"/>
                                    <w:right w:val="single" w:sz="2" w:space="0" w:color="D9D9E3"/>
                                  </w:divBdr>
                                  <w:divsChild>
                                    <w:div w:id="1976132018">
                                      <w:marLeft w:val="0"/>
                                      <w:marRight w:val="0"/>
                                      <w:marTop w:val="0"/>
                                      <w:marBottom w:val="0"/>
                                      <w:divBdr>
                                        <w:top w:val="single" w:sz="2" w:space="0" w:color="D9D9E3"/>
                                        <w:left w:val="single" w:sz="2" w:space="0" w:color="D9D9E3"/>
                                        <w:bottom w:val="single" w:sz="2" w:space="0" w:color="D9D9E3"/>
                                        <w:right w:val="single" w:sz="2" w:space="0" w:color="D9D9E3"/>
                                      </w:divBdr>
                                      <w:divsChild>
                                        <w:div w:id="999041033">
                                          <w:marLeft w:val="0"/>
                                          <w:marRight w:val="0"/>
                                          <w:marTop w:val="0"/>
                                          <w:marBottom w:val="0"/>
                                          <w:divBdr>
                                            <w:top w:val="single" w:sz="2" w:space="0" w:color="D9D9E3"/>
                                            <w:left w:val="single" w:sz="2" w:space="0" w:color="D9D9E3"/>
                                            <w:bottom w:val="single" w:sz="2" w:space="0" w:color="D9D9E3"/>
                                            <w:right w:val="single" w:sz="2" w:space="0" w:color="D9D9E3"/>
                                          </w:divBdr>
                                          <w:divsChild>
                                            <w:div w:id="647366258">
                                              <w:marLeft w:val="0"/>
                                              <w:marRight w:val="0"/>
                                              <w:marTop w:val="0"/>
                                              <w:marBottom w:val="0"/>
                                              <w:divBdr>
                                                <w:top w:val="single" w:sz="2" w:space="0" w:color="D9D9E3"/>
                                                <w:left w:val="single" w:sz="2" w:space="0" w:color="D9D9E3"/>
                                                <w:bottom w:val="single" w:sz="2" w:space="0" w:color="D9D9E3"/>
                                                <w:right w:val="single" w:sz="2" w:space="0" w:color="D9D9E3"/>
                                              </w:divBdr>
                                              <w:divsChild>
                                                <w:div w:id="1525631769">
                                                  <w:marLeft w:val="0"/>
                                                  <w:marRight w:val="0"/>
                                                  <w:marTop w:val="0"/>
                                                  <w:marBottom w:val="0"/>
                                                  <w:divBdr>
                                                    <w:top w:val="single" w:sz="2" w:space="0" w:color="D9D9E3"/>
                                                    <w:left w:val="single" w:sz="2" w:space="0" w:color="D9D9E3"/>
                                                    <w:bottom w:val="single" w:sz="2" w:space="0" w:color="D9D9E3"/>
                                                    <w:right w:val="single" w:sz="2" w:space="0" w:color="D9D9E3"/>
                                                  </w:divBdr>
                                                  <w:divsChild>
                                                    <w:div w:id="91528651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 w:id="209284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osf.io/97frt/?view_only=fdfe326de34443999d4be462724bd61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uclouvain.be/en/directories/delia.dellaport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elia.dellaporta@uclouvain.be" TargetMode="External"/><Relationship Id="rId5" Type="http://schemas.openxmlformats.org/officeDocument/2006/relationships/numbering" Target="numbering.xml"/><Relationship Id="rId15" Type="http://schemas.openxmlformats.org/officeDocument/2006/relationships/hyperlink" Target="https://osf.io/97frt/?view_only=fdfe326de34443999d4be462724bd616"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osf.io/97frt/?view_only=fdfe326de34443999d4be462724bd61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5AE4FB82CCE94394E7CAB14C3D56C4" ma:contentTypeVersion="16" ma:contentTypeDescription="Crée un document." ma:contentTypeScope="" ma:versionID="79e1ef8f1fba69edd4169fd5671da9d3">
  <xsd:schema xmlns:xsd="http://www.w3.org/2001/XMLSchema" xmlns:xs="http://www.w3.org/2001/XMLSchema" xmlns:p="http://schemas.microsoft.com/office/2006/metadata/properties" xmlns:ns3="840deba3-b2ed-4179-805a-abe84b598d9f" xmlns:ns4="d5e737e1-a3a5-411e-bc86-04ff2cd86b9a" targetNamespace="http://schemas.microsoft.com/office/2006/metadata/properties" ma:root="true" ma:fieldsID="fe9e92ce0cfdcf967a404b4883714830" ns3:_="" ns4:_="">
    <xsd:import namespace="840deba3-b2ed-4179-805a-abe84b598d9f"/>
    <xsd:import namespace="d5e737e1-a3a5-411e-bc86-04ff2cd86b9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deba3-b2ed-4179-805a-abe84b598d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e737e1-a3a5-411e-bc86-04ff2cd86b9a"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SharingHintHash" ma:index="19"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840deba3-b2ed-4179-805a-abe84b598d9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9C31CAE-7FCE-483B-A9F9-C96E3E378E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deba3-b2ed-4179-805a-abe84b598d9f"/>
    <ds:schemaRef ds:uri="d5e737e1-a3a5-411e-bc86-04ff2cd86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CB1263A-38B7-4935-93F0-1146D76EB84D}">
  <ds:schemaRefs>
    <ds:schemaRef ds:uri="http://schemas.openxmlformats.org/officeDocument/2006/bibliography"/>
  </ds:schemaRefs>
</ds:datastoreItem>
</file>

<file path=customXml/itemProps3.xml><?xml version="1.0" encoding="utf-8"?>
<ds:datastoreItem xmlns:ds="http://schemas.openxmlformats.org/officeDocument/2006/customXml" ds:itemID="{85725F4D-19E4-45B8-9B83-7480B0C57689}">
  <ds:schemaRefs>
    <ds:schemaRef ds:uri="http://schemas.microsoft.com/office/2006/metadata/properties"/>
    <ds:schemaRef ds:uri="http://schemas.microsoft.com/office/infopath/2007/PartnerControls"/>
    <ds:schemaRef ds:uri="840deba3-b2ed-4179-805a-abe84b598d9f"/>
  </ds:schemaRefs>
</ds:datastoreItem>
</file>

<file path=customXml/itemProps4.xml><?xml version="1.0" encoding="utf-8"?>
<ds:datastoreItem xmlns:ds="http://schemas.openxmlformats.org/officeDocument/2006/customXml" ds:itemID="{707AE57C-71F8-4177-9AB7-AD6D56FCC1E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1145</TotalTime>
  <Pages>32</Pages>
  <Words>56223</Words>
  <Characters>320476</Characters>
  <Application>Microsoft Office Word</Application>
  <DocSecurity>0</DocSecurity>
  <Lines>2670</Lines>
  <Paragraphs>751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375948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 Della Porta</dc:creator>
  <cp:keywords/>
  <dc:description/>
  <cp:lastModifiedBy>Delia Della Porta</cp:lastModifiedBy>
  <cp:revision>193</cp:revision>
  <dcterms:created xsi:type="dcterms:W3CDTF">2023-12-14T15:21:00Z</dcterms:created>
  <dcterms:modified xsi:type="dcterms:W3CDTF">2024-05-25T18:07:00Z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zotero-version="6.0.28"&gt;&lt;session id="hB7whiFf"/&gt;&lt;style id="http://www.zotero.org/styles/pain" hasBibliography="1" bibliographyStyleHasBeenSet="1"/&gt;&lt;prefs&gt;&lt;pref name="fieldType" value="Field"/&gt;&lt;pref name="automaticJournalAbbreviation</vt:lpwstr>
  </property>
  <property fmtid="{D5CDD505-2E9C-101B-9397-08002B2CF9AE}" pid="3" name="ZOTERO_PREF_2">
    <vt:lpwstr>s" value="true"/&gt;&lt;/prefs&gt;&lt;/data&gt;</vt:lpwstr>
  </property>
  <property fmtid="{D5CDD505-2E9C-101B-9397-08002B2CF9AE}" pid="4" name="ContentTypeId">
    <vt:lpwstr>0x010100CD5AE4FB82CCE94394E7CAB14C3D56C4</vt:lpwstr>
  </property>
</Properties>
</file>