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E548C5" w14:textId="02AC61CA" w:rsidR="00653048" w:rsidRPr="00141EB5" w:rsidRDefault="003C7320" w:rsidP="00845C31">
      <w:pPr>
        <w:spacing w:line="360" w:lineRule="auto"/>
        <w:jc w:val="center"/>
        <w:rPr>
          <w:b/>
        </w:rPr>
      </w:pPr>
      <w:r w:rsidRPr="00141EB5">
        <w:rPr>
          <w:b/>
        </w:rPr>
        <w:t xml:space="preserve">Le </w:t>
      </w:r>
      <w:r w:rsidR="001A27C7">
        <w:rPr>
          <w:b/>
        </w:rPr>
        <w:t xml:space="preserve">mythe du </w:t>
      </w:r>
      <w:r w:rsidRPr="00141EB5">
        <w:rPr>
          <w:b/>
        </w:rPr>
        <w:t>droit sans limites</w:t>
      </w:r>
      <w:r w:rsidR="00653048">
        <w:rPr>
          <w:b/>
        </w:rPr>
        <w:t xml:space="preserve"> </w:t>
      </w:r>
    </w:p>
    <w:p w14:paraId="2C8A15F4" w14:textId="77777777" w:rsidR="003C7320" w:rsidRPr="00141EB5" w:rsidRDefault="003C7320" w:rsidP="00845C31">
      <w:pPr>
        <w:spacing w:line="360" w:lineRule="auto"/>
        <w:jc w:val="center"/>
        <w:rPr>
          <w:b/>
        </w:rPr>
      </w:pPr>
    </w:p>
    <w:p w14:paraId="487909C2" w14:textId="154CE9B8" w:rsidR="003C7320" w:rsidRDefault="003C7320" w:rsidP="00845C31">
      <w:pPr>
        <w:spacing w:line="360" w:lineRule="auto"/>
        <w:jc w:val="center"/>
      </w:pPr>
      <w:r w:rsidRPr="00141EB5">
        <w:t>Antoine Bailleux</w:t>
      </w:r>
      <w:r w:rsidR="00430130">
        <w:rPr>
          <w:rStyle w:val="Marquenotebasdepage"/>
        </w:rPr>
        <w:footnoteReference w:customMarkFollows="1" w:id="1"/>
        <w:t>*</w:t>
      </w:r>
    </w:p>
    <w:p w14:paraId="69447F2A" w14:textId="77777777" w:rsidR="003A3ED0" w:rsidRDefault="003A3ED0" w:rsidP="00845C31">
      <w:pPr>
        <w:spacing w:line="360" w:lineRule="auto"/>
        <w:jc w:val="center"/>
      </w:pPr>
    </w:p>
    <w:p w14:paraId="03CF5FEE" w14:textId="6C299C00" w:rsidR="003A3ED0" w:rsidRDefault="003A3ED0" w:rsidP="00845C31">
      <w:pPr>
        <w:spacing w:line="360" w:lineRule="auto"/>
        <w:jc w:val="center"/>
      </w:pPr>
      <w:r>
        <w:t>Professeur à l’Université Saint-Louis – Bruxelles</w:t>
      </w:r>
    </w:p>
    <w:p w14:paraId="45FBC173" w14:textId="1352A7DC" w:rsidR="003A3ED0" w:rsidRPr="00141EB5" w:rsidRDefault="003A3ED0" w:rsidP="00845C31">
      <w:pPr>
        <w:spacing w:line="360" w:lineRule="auto"/>
        <w:jc w:val="center"/>
      </w:pPr>
      <w:r>
        <w:t>Avocat au barreau de Bruxelles</w:t>
      </w:r>
    </w:p>
    <w:p w14:paraId="66782254" w14:textId="77777777" w:rsidR="003C7320" w:rsidRPr="00141EB5" w:rsidRDefault="003C7320" w:rsidP="00845C31">
      <w:pPr>
        <w:spacing w:line="360" w:lineRule="auto"/>
        <w:jc w:val="both"/>
        <w:rPr>
          <w:b/>
        </w:rPr>
      </w:pPr>
    </w:p>
    <w:p w14:paraId="52230119" w14:textId="1F559D0B" w:rsidR="00254BE8" w:rsidRDefault="00141EB5" w:rsidP="00845C31">
      <w:pPr>
        <w:spacing w:line="360" w:lineRule="auto"/>
        <w:jc w:val="both"/>
        <w:rPr>
          <w:b/>
        </w:rPr>
      </w:pPr>
      <w:r>
        <w:rPr>
          <w:b/>
        </w:rPr>
        <w:t>Introduction</w:t>
      </w:r>
    </w:p>
    <w:p w14:paraId="6B5BBE4A" w14:textId="2B12589F" w:rsidR="001C2961" w:rsidRDefault="001C2961" w:rsidP="00845C31">
      <w:pPr>
        <w:spacing w:line="360" w:lineRule="auto"/>
        <w:jc w:val="both"/>
      </w:pPr>
    </w:p>
    <w:p w14:paraId="37B9DA3D" w14:textId="23492D19" w:rsidR="008B5CE0" w:rsidRDefault="00626992" w:rsidP="00845C31">
      <w:pPr>
        <w:spacing w:line="360" w:lineRule="auto"/>
        <w:jc w:val="both"/>
      </w:pPr>
      <w:r>
        <w:t xml:space="preserve">La question des limites du droit fait partie de ces thèmes </w:t>
      </w:r>
      <w:r w:rsidR="000F6DC4">
        <w:t>d’abord facile</w:t>
      </w:r>
      <w:r>
        <w:t xml:space="preserve"> sur lesquels tout juriste, voire tout le monde, a quelque chose à dire. Des sujets comme on en </w:t>
      </w:r>
      <w:r w:rsidR="004724F2">
        <w:t>trouve</w:t>
      </w:r>
      <w:r w:rsidR="0043286F">
        <w:t xml:space="preserve"> aux concours d’agrégation </w:t>
      </w:r>
      <w:r w:rsidR="008B51A0">
        <w:t>ou de la magistrature –</w:t>
      </w:r>
      <w:r w:rsidR="000F6DC4">
        <w:t xml:space="preserve"> </w:t>
      </w:r>
      <w:r>
        <w:t>d’une insolente généralité mais d’</w:t>
      </w:r>
      <w:r w:rsidR="008B51A0">
        <w:t>une insondable profondeur. Car s</w:t>
      </w:r>
      <w:r>
        <w:t>ous son apparente simplicité, la</w:t>
      </w:r>
      <w:r w:rsidR="00653048">
        <w:t xml:space="preserve"> </w:t>
      </w:r>
      <w:r w:rsidR="008B51A0">
        <w:t>problématique</w:t>
      </w:r>
      <w:r w:rsidR="00653048">
        <w:t xml:space="preserve"> </w:t>
      </w:r>
      <w:r w:rsidR="005736AE">
        <w:t>des limites du droit</w:t>
      </w:r>
      <w:r w:rsidR="00653048">
        <w:t xml:space="preserve"> soulève des </w:t>
      </w:r>
      <w:r>
        <w:t>interrogations</w:t>
      </w:r>
      <w:r w:rsidR="00653048">
        <w:t xml:space="preserve"> proprement abyssales</w:t>
      </w:r>
      <w:r w:rsidR="0072550D">
        <w:t xml:space="preserve">, qui mènent au cœur de la théorie </w:t>
      </w:r>
      <w:r w:rsidR="003135B1">
        <w:t xml:space="preserve">générale </w:t>
      </w:r>
      <w:r w:rsidR="0072550D">
        <w:t>du droit et de l’épistémologie juridique</w:t>
      </w:r>
      <w:r w:rsidR="00653048">
        <w:t xml:space="preserve">. </w:t>
      </w:r>
      <w:r w:rsidR="008B5CE0">
        <w:t xml:space="preserve">Ces questions concernent la nature même du droit et des discours dont il est l’objet. </w:t>
      </w:r>
    </w:p>
    <w:p w14:paraId="6CBFB59F" w14:textId="09F66E00" w:rsidR="0072550D" w:rsidRDefault="0072550D" w:rsidP="00845C31">
      <w:pPr>
        <w:spacing w:line="360" w:lineRule="auto"/>
        <w:jc w:val="both"/>
      </w:pPr>
    </w:p>
    <w:p w14:paraId="781C8D3B" w14:textId="3C74E9BE" w:rsidR="000F6DC4" w:rsidRDefault="0072550D" w:rsidP="00845C31">
      <w:pPr>
        <w:spacing w:line="360" w:lineRule="auto"/>
        <w:jc w:val="both"/>
      </w:pPr>
      <w:r>
        <w:t xml:space="preserve">Eu égard aux limites </w:t>
      </w:r>
      <w:r w:rsidR="008B5CE0">
        <w:t xml:space="preserve">assignées à </w:t>
      </w:r>
      <w:r>
        <w:t>la présente contribution</w:t>
      </w:r>
      <w:r w:rsidR="008B5CE0">
        <w:t xml:space="preserve">, ce serait folie que </w:t>
      </w:r>
      <w:r w:rsidR="004724F2">
        <w:t xml:space="preserve">de </w:t>
      </w:r>
      <w:r w:rsidR="008B5CE0">
        <w:t>prétendre</w:t>
      </w:r>
      <w:r w:rsidR="00795166">
        <w:t xml:space="preserve"> </w:t>
      </w:r>
      <w:r w:rsidR="008B5CE0">
        <w:t xml:space="preserve">examiner en profondeur de telles questions </w:t>
      </w:r>
      <w:r w:rsidR="009029F0">
        <w:t xml:space="preserve">ou </w:t>
      </w:r>
      <w:r w:rsidR="00795166">
        <w:t>espérer</w:t>
      </w:r>
      <w:r>
        <w:t xml:space="preserve"> synthétiser les </w:t>
      </w:r>
      <w:r w:rsidR="00795166">
        <w:t>réflexions qui, à travers les siècles et les cultures juridiques,</w:t>
      </w:r>
      <w:r>
        <w:t xml:space="preserve"> y ont été consacré</w:t>
      </w:r>
      <w:r w:rsidR="00DB0612">
        <w:t>e</w:t>
      </w:r>
      <w:r>
        <w:t xml:space="preserve">s. </w:t>
      </w:r>
      <w:r w:rsidR="000F6DC4">
        <w:t>On fait néanmoins</w:t>
      </w:r>
      <w:r w:rsidR="00AF251E">
        <w:t xml:space="preserve"> </w:t>
      </w:r>
      <w:r w:rsidR="000F6DC4">
        <w:t xml:space="preserve">le pari qu’il est </w:t>
      </w:r>
      <w:r w:rsidR="00AF251E">
        <w:t>po</w:t>
      </w:r>
      <w:r w:rsidR="000F6DC4">
        <w:t xml:space="preserve">ssible, en quelques pages, de suivre jusqu’au bout le cheminement théorique auquel nous invite la </w:t>
      </w:r>
      <w:r w:rsidR="004724F2">
        <w:t>thématique</w:t>
      </w:r>
      <w:r w:rsidR="000F6DC4">
        <w:t xml:space="preserve"> des limites du droit. Bien sûr, parcouru à vive allure, cet itinéraire prendra des raccourcis et ne s’embarrassera guère de nuances. Il ne laissera pas non plus beaucoup de répit au lecteur, </w:t>
      </w:r>
      <w:r w:rsidR="00FA2FDA">
        <w:t>emmené</w:t>
      </w:r>
      <w:r w:rsidR="00F97A5F">
        <w:t xml:space="preserve"> </w:t>
      </w:r>
      <w:r w:rsidR="004724F2">
        <w:t xml:space="preserve">trop rapidement </w:t>
      </w:r>
      <w:r w:rsidR="000F6DC4">
        <w:t xml:space="preserve">d’une idée à </w:t>
      </w:r>
      <w:r w:rsidR="00F97A5F">
        <w:t>l’</w:t>
      </w:r>
      <w:r w:rsidR="000F6DC4">
        <w:t xml:space="preserve">autre. Ce rythme saccadé est le prix à payer pour parcourir </w:t>
      </w:r>
      <w:r w:rsidR="00F8648A">
        <w:t>toute la route qui mène</w:t>
      </w:r>
      <w:r w:rsidR="000F6DC4">
        <w:t xml:space="preserve"> des principes </w:t>
      </w:r>
      <w:r w:rsidR="00F8648A">
        <w:t xml:space="preserve">de base </w:t>
      </w:r>
      <w:r w:rsidR="000F6DC4">
        <w:t xml:space="preserve">enseignés aux étudiants de première année </w:t>
      </w:r>
      <w:r w:rsidR="00FA2FDA">
        <w:t>aux problèmes</w:t>
      </w:r>
      <w:r w:rsidR="000F6DC4">
        <w:t xml:space="preserve"> épistémologiques </w:t>
      </w:r>
      <w:r w:rsidR="00FA2FDA">
        <w:t>sur lesquels bute</w:t>
      </w:r>
      <w:r w:rsidR="006F545B">
        <w:t xml:space="preserve"> depuis toujours la théorie du droit</w:t>
      </w:r>
      <w:r w:rsidR="00F8648A">
        <w:t xml:space="preserve">. Et cette contribution n’aura pas été vaine si, </w:t>
      </w:r>
      <w:r w:rsidR="00607439">
        <w:t xml:space="preserve">parvenu </w:t>
      </w:r>
      <w:r w:rsidR="00F8648A">
        <w:t xml:space="preserve">au bout du chemin, le lecteur </w:t>
      </w:r>
      <w:r w:rsidR="00607439">
        <w:t xml:space="preserve">ébouriffé </w:t>
      </w:r>
      <w:r w:rsidR="00E64227">
        <w:t xml:space="preserve">se sent l’envie de faire marche arrière et, à l’aide de </w:t>
      </w:r>
      <w:r w:rsidR="00F97A5F">
        <w:t>certaines</w:t>
      </w:r>
      <w:r w:rsidR="00E64227">
        <w:t xml:space="preserve"> lectures renseignées en </w:t>
      </w:r>
      <w:r w:rsidR="006F545B">
        <w:t xml:space="preserve">note de </w:t>
      </w:r>
      <w:r w:rsidR="00E64227">
        <w:t>bas de page, d’approfondir quelques virages négociés ici un peu trop brutalement.</w:t>
      </w:r>
    </w:p>
    <w:p w14:paraId="46C9C038" w14:textId="77777777" w:rsidR="000F6DC4" w:rsidRDefault="000F6DC4" w:rsidP="00845C31">
      <w:pPr>
        <w:spacing w:line="360" w:lineRule="auto"/>
        <w:jc w:val="both"/>
      </w:pPr>
    </w:p>
    <w:p w14:paraId="72C24D49" w14:textId="0F5345D1" w:rsidR="003A3ED0" w:rsidRDefault="00D257A0" w:rsidP="00845C31">
      <w:pPr>
        <w:spacing w:line="360" w:lineRule="auto"/>
        <w:jc w:val="both"/>
      </w:pPr>
      <w:r>
        <w:lastRenderedPageBreak/>
        <w:t xml:space="preserve">Notre chemin </w:t>
      </w:r>
      <w:r w:rsidR="008F41C0">
        <w:t>sillonnera</w:t>
      </w:r>
      <w:r>
        <w:t xml:space="preserve"> d’abord la terre du juriste. Epousant ce que Hart a appelé le « point de vue interne », </w:t>
      </w:r>
      <w:r w:rsidR="008F41C0">
        <w:t xml:space="preserve">nous décèlerons l’ « infinitude » du droit – sa toute-puissance et sa complétude – au </w:t>
      </w:r>
      <w:r w:rsidR="008F41C0" w:rsidRPr="008F41C0">
        <w:rPr>
          <w:i/>
        </w:rPr>
        <w:t>fondement</w:t>
      </w:r>
      <w:r w:rsidR="008F41C0">
        <w:t xml:space="preserve"> de nos ordres juridiques </w:t>
      </w:r>
      <w:r>
        <w:t xml:space="preserve">(I). </w:t>
      </w:r>
      <w:r w:rsidR="007A55F8">
        <w:t xml:space="preserve">Il nous faudra ensuite quitter le </w:t>
      </w:r>
      <w:r w:rsidR="008F41C0">
        <w:t>domaine</w:t>
      </w:r>
      <w:r w:rsidR="007A55F8">
        <w:t xml:space="preserve"> familier du discours officiel du droit et de la dogmatique juridique</w:t>
      </w:r>
      <w:r w:rsidR="002D0011">
        <w:t xml:space="preserve"> pour l’observer de l’extérieur, depuis d’autres points de vue disciplinaires. Sous la lumière </w:t>
      </w:r>
      <w:r w:rsidR="008F41C0">
        <w:t xml:space="preserve">crue </w:t>
      </w:r>
      <w:r w:rsidR="002D0011">
        <w:t xml:space="preserve">de ce regard « externe », </w:t>
      </w:r>
      <w:r w:rsidR="008F41C0">
        <w:t xml:space="preserve">l’infinitude du droit apparaîtra comme une simple </w:t>
      </w:r>
      <w:r w:rsidR="008F41C0" w:rsidRPr="008F41C0">
        <w:rPr>
          <w:i/>
        </w:rPr>
        <w:t>mystification</w:t>
      </w:r>
      <w:r w:rsidR="002D0011">
        <w:t xml:space="preserve"> </w:t>
      </w:r>
      <w:r w:rsidR="008F41C0">
        <w:t xml:space="preserve">(II). Enfin, confrontés à ce paradoxe qui veut que le fondement des uns soit le mirage des autres, l’on s’interrogera sur la façon de concilier ces deux points de vue. Dans cette perspective, l’on proposera de considérer l’infinitude du droit comme un </w:t>
      </w:r>
      <w:r w:rsidR="008F41C0" w:rsidRPr="008F41C0">
        <w:rPr>
          <w:i/>
        </w:rPr>
        <w:t>mythe</w:t>
      </w:r>
      <w:r w:rsidR="00B044D8">
        <w:t xml:space="preserve">, </w:t>
      </w:r>
      <w:r w:rsidR="0001164D">
        <w:t>qui relève incontestablement de l’illusion collective, mais dont on aurait tort de sous-estimer l’importance pour le droit. Un mythe qui fait la spécificité du droit, et qui lui permet de remplir ses missions</w:t>
      </w:r>
      <w:r w:rsidR="00326025">
        <w:t xml:space="preserve"> (III).</w:t>
      </w:r>
      <w:r w:rsidR="0001164D">
        <w:t xml:space="preserve"> </w:t>
      </w:r>
      <w:r w:rsidR="00326025">
        <w:t xml:space="preserve">Nous conclurons </w:t>
      </w:r>
      <w:r w:rsidR="00012960">
        <w:t xml:space="preserve">sous la forme </w:t>
      </w:r>
      <w:r w:rsidR="00A977DB">
        <w:t>d’un</w:t>
      </w:r>
      <w:r w:rsidR="00012960">
        <w:t xml:space="preserve"> appel aux </w:t>
      </w:r>
      <w:r w:rsidR="003A3ED0">
        <w:t>professeurs de droit : qu’ils puissent former des juristes ni fanatiques, ni cyniques, simplement conscients des immenses potentialités du mythe sur lequel repose leur pratique.</w:t>
      </w:r>
    </w:p>
    <w:p w14:paraId="4774CB42" w14:textId="1398F133" w:rsidR="005736AE" w:rsidRPr="003A3ED0" w:rsidRDefault="003A3ED0" w:rsidP="00845C31">
      <w:pPr>
        <w:spacing w:line="360" w:lineRule="auto"/>
        <w:jc w:val="both"/>
      </w:pPr>
      <w:r>
        <w:t xml:space="preserve"> </w:t>
      </w:r>
    </w:p>
    <w:p w14:paraId="12DA74FC" w14:textId="12EF506F" w:rsidR="00DD6B44" w:rsidRPr="00F0579E" w:rsidRDefault="00DD6B44" w:rsidP="00845C31">
      <w:pPr>
        <w:spacing w:line="360" w:lineRule="auto"/>
        <w:jc w:val="both"/>
        <w:rPr>
          <w:b/>
        </w:rPr>
      </w:pPr>
      <w:r>
        <w:rPr>
          <w:b/>
        </w:rPr>
        <w:t xml:space="preserve">I. Le point de vue interne </w:t>
      </w:r>
      <w:r>
        <w:t xml:space="preserve">– </w:t>
      </w:r>
      <w:r w:rsidR="002512A8">
        <w:rPr>
          <w:b/>
        </w:rPr>
        <w:t>Le</w:t>
      </w:r>
      <w:r w:rsidR="008C65DC">
        <w:rPr>
          <w:b/>
        </w:rPr>
        <w:t xml:space="preserve"> fondement</w:t>
      </w:r>
    </w:p>
    <w:p w14:paraId="19C947A3" w14:textId="77777777" w:rsidR="0026115F" w:rsidRDefault="0026115F" w:rsidP="00845C31">
      <w:pPr>
        <w:spacing w:line="360" w:lineRule="auto"/>
        <w:jc w:val="both"/>
        <w:rPr>
          <w:b/>
        </w:rPr>
      </w:pPr>
    </w:p>
    <w:p w14:paraId="01CDB853" w14:textId="4335F7A0" w:rsidR="005B4831" w:rsidRDefault="00845C31" w:rsidP="00845C31">
      <w:pPr>
        <w:spacing w:line="360" w:lineRule="auto"/>
        <w:jc w:val="both"/>
      </w:pPr>
      <w:r>
        <w:t xml:space="preserve">Observé de l’intérieur du </w:t>
      </w:r>
      <w:r w:rsidR="00323BCB">
        <w:t>système juridique</w:t>
      </w:r>
      <w:r>
        <w:t xml:space="preserve">, </w:t>
      </w:r>
      <w:r w:rsidR="00323BCB">
        <w:t>le droit</w:t>
      </w:r>
      <w:r>
        <w:t xml:space="preserve"> apparaît</w:t>
      </w:r>
      <w:r w:rsidR="004A44C3">
        <w:t xml:space="preserve"> traditionnellement comme </w:t>
      </w:r>
      <w:r w:rsidR="004A44C3">
        <w:rPr>
          <w:i/>
        </w:rPr>
        <w:t xml:space="preserve">(i) </w:t>
      </w:r>
      <w:r w:rsidR="004A44C3">
        <w:t xml:space="preserve">tout-puissant et </w:t>
      </w:r>
      <w:r w:rsidR="004A44C3">
        <w:rPr>
          <w:i/>
        </w:rPr>
        <w:t xml:space="preserve">(ii) </w:t>
      </w:r>
      <w:r w:rsidR="004A44C3">
        <w:t xml:space="preserve">complet. Rien ne lui résiste et rien ne lui échappe. Il </w:t>
      </w:r>
      <w:r w:rsidR="0012749E">
        <w:t>est</w:t>
      </w:r>
      <w:bookmarkStart w:id="0" w:name="_GoBack"/>
      <w:bookmarkEnd w:id="0"/>
      <w:r w:rsidR="004A44C3">
        <w:t xml:space="preserve">, dans </w:t>
      </w:r>
      <w:r w:rsidR="00012960">
        <w:t>ce double sens</w:t>
      </w:r>
      <w:r w:rsidR="004A44C3">
        <w:t>, illimité.</w:t>
      </w:r>
    </w:p>
    <w:p w14:paraId="7DCF8108" w14:textId="77777777" w:rsidR="004A44C3" w:rsidRDefault="004A44C3" w:rsidP="00845C31">
      <w:pPr>
        <w:spacing w:line="360" w:lineRule="auto"/>
        <w:jc w:val="both"/>
      </w:pPr>
    </w:p>
    <w:p w14:paraId="39A4EA42" w14:textId="77777777" w:rsidR="008C5AD5" w:rsidRDefault="004A44C3" w:rsidP="00845C31">
      <w:pPr>
        <w:spacing w:line="360" w:lineRule="auto"/>
        <w:jc w:val="both"/>
      </w:pPr>
      <w:r>
        <w:rPr>
          <w:i/>
        </w:rPr>
        <w:t xml:space="preserve">(i) </w:t>
      </w:r>
      <w:r>
        <w:t xml:space="preserve">Souvent associé à l’Etat et à la souveraineté de ce dernier, le droit est un instrument du </w:t>
      </w:r>
      <w:r w:rsidRPr="0080023D">
        <w:t>pouvoir</w:t>
      </w:r>
      <w:r>
        <w:t xml:space="preserve">. </w:t>
      </w:r>
      <w:r w:rsidR="008C5AD5">
        <w:t xml:space="preserve">Son royaume ne connaît pas de limites. Du procès Eichmann aux troubles de voisinage, de la licéité de l’emploi de l’arme nucléaire à la brevetabilité des cellules souches, aucun domaine, aucune question n’est </w:t>
      </w:r>
      <w:r w:rsidR="008C5AD5">
        <w:rPr>
          <w:i/>
        </w:rPr>
        <w:t xml:space="preserve">a priori </w:t>
      </w:r>
      <w:r w:rsidR="008C5AD5">
        <w:t xml:space="preserve">soustraite au règne du droit. </w:t>
      </w:r>
    </w:p>
    <w:p w14:paraId="74D7E479" w14:textId="77777777" w:rsidR="008C5AD5" w:rsidRDefault="008C5AD5" w:rsidP="00845C31">
      <w:pPr>
        <w:spacing w:line="360" w:lineRule="auto"/>
        <w:jc w:val="both"/>
      </w:pPr>
    </w:p>
    <w:p w14:paraId="2537F5CA" w14:textId="6DE68782" w:rsidR="004A44C3" w:rsidRDefault="004A44C3" w:rsidP="00845C31">
      <w:pPr>
        <w:spacing w:line="360" w:lineRule="auto"/>
        <w:jc w:val="both"/>
      </w:pPr>
      <w:r>
        <w:t xml:space="preserve">Certes, nul ne contestera que </w:t>
      </w:r>
      <w:r w:rsidR="008C5AD5">
        <w:t>l’</w:t>
      </w:r>
      <w:r>
        <w:t xml:space="preserve">empire </w:t>
      </w:r>
      <w:r w:rsidR="008C5AD5">
        <w:t xml:space="preserve">du droit </w:t>
      </w:r>
      <w:r>
        <w:t xml:space="preserve">est borné </w:t>
      </w:r>
      <w:r w:rsidR="008C5AD5">
        <w:t xml:space="preserve">dans la mesure où </w:t>
      </w:r>
      <w:r>
        <w:t xml:space="preserve">tout comportement, toute pratique n’est pas juridiquement signifiante. Ainsi de telle infraction qui, commise en dehors du territoire national ou en des temps immémoriaux, échappera à la répression pénale en raison des principes de compétence extraterritoriale ou des règles de prescription de l’action publique. Ainsi encore de tel manquement de faible ampleur, qui sera jugé non juridiquement pertinent en vertu de l’adage </w:t>
      </w:r>
      <w:r>
        <w:rPr>
          <w:i/>
        </w:rPr>
        <w:t>de minimis non curat praetor</w:t>
      </w:r>
      <w:r>
        <w:t xml:space="preserve">. Ainsi enfin de telle question hautement sensible, traitée avec déférence par le droit, qui conférera aux autorités politiques une substantielle marge d’appréciation, voire un pouvoir discrétionnaire. </w:t>
      </w:r>
    </w:p>
    <w:p w14:paraId="6EDD07A5" w14:textId="77777777" w:rsidR="004A44C3" w:rsidRDefault="004A44C3" w:rsidP="00845C31">
      <w:pPr>
        <w:spacing w:line="360" w:lineRule="auto"/>
        <w:jc w:val="both"/>
      </w:pPr>
    </w:p>
    <w:p w14:paraId="70C08840" w14:textId="6F6F8AD6" w:rsidR="004A44C3" w:rsidRDefault="004A44C3" w:rsidP="00845C31">
      <w:pPr>
        <w:spacing w:line="360" w:lineRule="auto"/>
        <w:jc w:val="both"/>
      </w:pPr>
      <w:r>
        <w:t>Ces exemples, que l’on pourrait multiplier, ne mettent cependant pas en cause l’</w:t>
      </w:r>
      <w:r w:rsidRPr="009356F2">
        <w:rPr>
          <w:i/>
        </w:rPr>
        <w:t>infinitude</w:t>
      </w:r>
      <w:r>
        <w:t xml:space="preserve"> du droit. Car même dans de tels cas de figure, c’est bien le droit et lui seul qui pose des bornes à son action, qui trace les limites de son empire, qui distingue le pertinent de l’insignifiant. Dans ces conditions, on ne s’étonnera pas qu’à chacun des exemples mentionnés plus haut correspondent autant de contre-exemples. Que l’on songe ainsi à l’imprescriptibilité du crime de génocide ou à la loi belge de compétence universelle, qui se jouent respectivement des limites temporelles et géographiques de l’action pénale. Pensons aussi au rejet du principe </w:t>
      </w:r>
      <w:r>
        <w:rPr>
          <w:i/>
        </w:rPr>
        <w:t xml:space="preserve">de minimis </w:t>
      </w:r>
      <w:r>
        <w:t>par la Cour de justice de l’Union européenne dans le contentieux relatif aux libertés de circulation, et au refus de la Cour européenne des Droits de l’Homme d’accorder aux Etats parties à la Convention du même nom une marge d’appréciation substantielle lorsqu’est en jeu le noyau dur des droits fondamentaux. Considérées dans cette perspective, les limites du droit sont toujours consenties, et en ce sens, elles n’en sont pas vraiment.</w:t>
      </w:r>
    </w:p>
    <w:p w14:paraId="675628FE" w14:textId="77777777" w:rsidR="004A44C3" w:rsidRDefault="004A44C3" w:rsidP="00845C31">
      <w:pPr>
        <w:spacing w:line="360" w:lineRule="auto"/>
        <w:jc w:val="both"/>
      </w:pPr>
    </w:p>
    <w:p w14:paraId="219EFFDF" w14:textId="7EE2C841" w:rsidR="00103E88" w:rsidRDefault="004A44C3" w:rsidP="00845C31">
      <w:pPr>
        <w:spacing w:line="360" w:lineRule="auto"/>
        <w:jc w:val="both"/>
      </w:pPr>
      <w:r>
        <w:rPr>
          <w:i/>
        </w:rPr>
        <w:t xml:space="preserve">(ii) </w:t>
      </w:r>
      <w:r>
        <w:t xml:space="preserve">La prétention du droit à la </w:t>
      </w:r>
      <w:r>
        <w:rPr>
          <w:i/>
        </w:rPr>
        <w:t xml:space="preserve">complétude </w:t>
      </w:r>
      <w:r>
        <w:t xml:space="preserve">se trouve </w:t>
      </w:r>
      <w:r w:rsidR="008C5AD5">
        <w:t xml:space="preserve">elle aussi </w:t>
      </w:r>
      <w:r>
        <w:t>au cœur de nos ordres juridiques</w:t>
      </w:r>
      <w:r w:rsidR="008C5AD5">
        <w:t xml:space="preserve">, </w:t>
      </w:r>
      <w:r w:rsidR="006B4E8F">
        <w:t>ainsi qu’en</w:t>
      </w:r>
      <w:r w:rsidR="008C5AD5">
        <w:t xml:space="preserve"> en atteste la prohibition du déni de justice consacrée à</w:t>
      </w:r>
      <w:r>
        <w:t xml:space="preserve"> </w:t>
      </w:r>
      <w:r w:rsidR="008C5AD5">
        <w:t>l</w:t>
      </w:r>
      <w:r w:rsidR="0026115F">
        <w:t xml:space="preserve">’article </w:t>
      </w:r>
      <w:r w:rsidR="000C518C">
        <w:t>4</w:t>
      </w:r>
      <w:r w:rsidR="0026115F">
        <w:t xml:space="preserve"> du Code civil français et </w:t>
      </w:r>
      <w:r w:rsidR="008C5AD5">
        <w:t xml:space="preserve">à </w:t>
      </w:r>
      <w:r w:rsidR="0026115F">
        <w:t xml:space="preserve">l’article </w:t>
      </w:r>
      <w:r w:rsidR="000C518C">
        <w:t>5</w:t>
      </w:r>
      <w:r w:rsidR="0026115F">
        <w:t xml:space="preserve"> du Code judiciaire belge.</w:t>
      </w:r>
      <w:r w:rsidR="008C5AD5">
        <w:t xml:space="preserve"> Comme on le sait,</w:t>
      </w:r>
      <w:r w:rsidR="0026115F">
        <w:t xml:space="preserve"> ces dispositions font défense aux cours et tribunaux de renoncer à exercer leur office dans une affaire qui leur est valablement soumise. </w:t>
      </w:r>
      <w:r w:rsidR="000C518C">
        <w:t>Assortie de sanctions pénales</w:t>
      </w:r>
      <w:r w:rsidR="000C518C">
        <w:rPr>
          <w:rStyle w:val="Marquenotebasdepage"/>
        </w:rPr>
        <w:footnoteReference w:id="2"/>
      </w:r>
      <w:r w:rsidR="000C518C">
        <w:t xml:space="preserve">, </w:t>
      </w:r>
      <w:r w:rsidR="00145704">
        <w:t>c</w:t>
      </w:r>
      <w:r w:rsidR="0026115F">
        <w:t xml:space="preserve">ette interdiction </w:t>
      </w:r>
      <w:r w:rsidR="004C64AA">
        <w:t xml:space="preserve">souligne </w:t>
      </w:r>
      <w:r w:rsidR="00145704">
        <w:t>une</w:t>
      </w:r>
      <w:r w:rsidR="004C64AA">
        <w:t xml:space="preserve"> caractéristique </w:t>
      </w:r>
      <w:r w:rsidR="00145704">
        <w:t xml:space="preserve">fondamentale </w:t>
      </w:r>
      <w:r w:rsidR="004C64AA">
        <w:t>du droit</w:t>
      </w:r>
      <w:r w:rsidR="00103E88">
        <w:t xml:space="preserve">, </w:t>
      </w:r>
      <w:r w:rsidR="004C64AA">
        <w:t xml:space="preserve">celle de se penser comme un système infini, </w:t>
      </w:r>
      <w:r w:rsidR="0026115F">
        <w:t xml:space="preserve">comme une toile normative </w:t>
      </w:r>
      <w:r w:rsidR="004C64AA">
        <w:t xml:space="preserve">sans failles ni frontières </w:t>
      </w:r>
      <w:r w:rsidR="00103E88">
        <w:t xml:space="preserve">capable de </w:t>
      </w:r>
      <w:r w:rsidR="00103E88">
        <w:rPr>
          <w:i/>
        </w:rPr>
        <w:t xml:space="preserve">traiter </w:t>
      </w:r>
      <w:r w:rsidR="00103E88">
        <w:t xml:space="preserve">toute situation, tout cas, toute question qui se présenterait à </w:t>
      </w:r>
      <w:r w:rsidR="00895925">
        <w:t>elle</w:t>
      </w:r>
      <w:r w:rsidR="00103E88">
        <w:t>.</w:t>
      </w:r>
      <w:r w:rsidR="00576612">
        <w:t xml:space="preserve"> </w:t>
      </w:r>
      <w:r w:rsidR="00145704">
        <w:t>A la lumière d’un tel présupposé, b</w:t>
      </w:r>
      <w:r w:rsidR="00576612">
        <w:t xml:space="preserve">ien mauvais juge </w:t>
      </w:r>
      <w:r w:rsidR="00774775">
        <w:t>serait celui qui, par fatigue ou par lâcheté, jetterait l’éponge et interromprait sa recherche de la solution prescrite par le droit.</w:t>
      </w:r>
    </w:p>
    <w:p w14:paraId="170570C6" w14:textId="77777777" w:rsidR="00576612" w:rsidRDefault="00576612" w:rsidP="00845C31">
      <w:pPr>
        <w:spacing w:line="360" w:lineRule="auto"/>
        <w:jc w:val="both"/>
      </w:pPr>
    </w:p>
    <w:p w14:paraId="799D2FBD" w14:textId="28F3D9BB" w:rsidR="00CC45BC" w:rsidRDefault="00576612" w:rsidP="00845C31">
      <w:pPr>
        <w:spacing w:line="360" w:lineRule="auto"/>
        <w:jc w:val="both"/>
      </w:pPr>
      <w:r>
        <w:t xml:space="preserve">Cette </w:t>
      </w:r>
      <w:r w:rsidR="00A94619">
        <w:t>in</w:t>
      </w:r>
      <w:r w:rsidR="00145704">
        <w:t xml:space="preserve">jonction à l’égard du juge </w:t>
      </w:r>
      <w:r w:rsidR="005D4762">
        <w:t>a pour corollaire</w:t>
      </w:r>
      <w:r w:rsidR="00145704">
        <w:t xml:space="preserve"> l’interdiction faite à ce dernier de statuer en équité, hors les cas prévus par la loi. Ce second principe assure la clôture du droit sur lui-même. Il empêche le juge </w:t>
      </w:r>
      <w:r w:rsidR="00DD28E0">
        <w:t xml:space="preserve">de </w:t>
      </w:r>
      <w:r w:rsidR="00145704">
        <w:t>s’acquitte</w:t>
      </w:r>
      <w:r w:rsidR="00DD28E0">
        <w:t>r</w:t>
      </w:r>
      <w:r w:rsidR="00145704">
        <w:t xml:space="preserve"> à peu de frais de sa mission de dire le droit en allant chercher ailleurs que dans celui-ci la solution au litige qui lui est soumis.</w:t>
      </w:r>
      <w:r w:rsidR="00807839">
        <w:t xml:space="preserve"> Seule une </w:t>
      </w:r>
      <w:r w:rsidR="009970B2">
        <w:t>source</w:t>
      </w:r>
      <w:r w:rsidR="00807839">
        <w:t xml:space="preserve"> présentant le </w:t>
      </w:r>
      <w:r w:rsidR="00807839">
        <w:rPr>
          <w:i/>
        </w:rPr>
        <w:t xml:space="preserve">pedigree </w:t>
      </w:r>
      <w:r w:rsidR="00807839">
        <w:t xml:space="preserve">requis par les règles de reconnaissance en vigueur dans l’ordre juridique concerné (par exemple une loi adoptée et entrée en vigueur conformément au prescrit constitutionnel) </w:t>
      </w:r>
      <w:r w:rsidR="005A301B">
        <w:t xml:space="preserve">est susceptible de </w:t>
      </w:r>
      <w:r w:rsidR="009970B2">
        <w:t>contenir la norme que le juge recueillera pour ensuite l’appliquer au cas qu’il est sommé de trancher.</w:t>
      </w:r>
    </w:p>
    <w:p w14:paraId="4F23F7B8" w14:textId="77777777" w:rsidR="005B4831" w:rsidRDefault="005B4831" w:rsidP="00845C31">
      <w:pPr>
        <w:spacing w:line="360" w:lineRule="auto"/>
        <w:jc w:val="both"/>
      </w:pPr>
    </w:p>
    <w:p w14:paraId="31E31ED8" w14:textId="44D902A1" w:rsidR="005B4831" w:rsidRPr="00321C94" w:rsidRDefault="00B228CA" w:rsidP="00845C31">
      <w:pPr>
        <w:spacing w:line="360" w:lineRule="auto"/>
        <w:jc w:val="both"/>
      </w:pPr>
      <w:r>
        <w:t>Dès leur adoption, c</w:t>
      </w:r>
      <w:r w:rsidR="005B4831">
        <w:t xml:space="preserve">es dispositions </w:t>
      </w:r>
      <w:r>
        <w:t>furent</w:t>
      </w:r>
      <w:r w:rsidR="005B4831">
        <w:t xml:space="preserve"> abondamment commentées et approuvées par les par</w:t>
      </w:r>
      <w:r w:rsidR="004A44C3">
        <w:t>tisans de l’Ecole de l’Exégèse, qui réfut</w:t>
      </w:r>
      <w:r>
        <w:t>ai</w:t>
      </w:r>
      <w:r w:rsidR="004A44C3">
        <w:t xml:space="preserve">ent </w:t>
      </w:r>
      <w:r w:rsidR="00643930">
        <w:t>ou à tout le moins minimis</w:t>
      </w:r>
      <w:r>
        <w:t>ai</w:t>
      </w:r>
      <w:r w:rsidR="00643930">
        <w:t xml:space="preserve">ent </w:t>
      </w:r>
      <w:r w:rsidR="004A44C3">
        <w:t xml:space="preserve">l’idée même </w:t>
      </w:r>
      <w:r>
        <w:t>que le droit puisse comporter des</w:t>
      </w:r>
      <w:r w:rsidR="004A44C3">
        <w:t xml:space="preserve"> lacunes. </w:t>
      </w:r>
      <w:r w:rsidR="00643930">
        <w:t>Ainsi de l’éminent civiliste belge François Lauren</w:t>
      </w:r>
      <w:r w:rsidR="00321C94">
        <w:t>t qui, notant que le Code civil ne dit qu’un mot sur l’action paulienne, s’interroge : « est-ce à dire qu’en raison d’une insuffisance de la loi, le juge ait le droit de décider en équité ? Non certes, il trouve le commentaire de l’article 1167 dans les lois romaines ; les auteurs du code eux-mêmes lui font</w:t>
      </w:r>
      <w:r w:rsidR="00657BA7">
        <w:t xml:space="preserve"> </w:t>
      </w:r>
      <w:r w:rsidR="00321C94">
        <w:t xml:space="preserve">un devoir de consulter le droit romain quand il applique des règles dont l’origine est romaine. C’est seulement quand les textes et le droit ancien lui font absolument défaut, que le juge devient un ministre d’équité (…). </w:t>
      </w:r>
      <w:r w:rsidR="00321C94">
        <w:rPr>
          <w:i/>
        </w:rPr>
        <w:t>Cette hypothèse est si rare qu’on peut l’écarter dans notre débat</w:t>
      </w:r>
      <w:r w:rsidR="00321C94">
        <w:t> »</w:t>
      </w:r>
      <w:r w:rsidR="00321C94">
        <w:rPr>
          <w:rStyle w:val="Marquenotebasdepage"/>
        </w:rPr>
        <w:footnoteReference w:id="3"/>
      </w:r>
      <w:r w:rsidR="00321C94">
        <w:t>.</w:t>
      </w:r>
      <w:r w:rsidR="00657BA7">
        <w:t xml:space="preserve"> Dans un autre ouvrage, Laurent s’arrête un peu plus longuement sur l’hypothèse d’une lacune de la loi. A l’instar de Portalis, le juriste belge renvoie ici le juge aux maximes de droit naturel et de justice universelle. Il note à cet </w:t>
      </w:r>
      <w:r w:rsidR="00CA72B5">
        <w:t>égard que ce droit naturel « </w:t>
      </w:r>
      <w:r w:rsidR="00657BA7">
        <w:t>n’est écrit nulle part. Le juge, dira-t-on, n’en est que l’organe, il ne le crée pas, le droit préexiste au jugement ; s’il n’est pas écrit dans un code, il est gravé dans notre conscience ». Comme le législateur, le juge est « l’organe de cette justice universelle qui a son principe en Dieu »</w:t>
      </w:r>
      <w:r w:rsidR="00657BA7">
        <w:rPr>
          <w:rStyle w:val="Marquenotebasdepage"/>
        </w:rPr>
        <w:footnoteReference w:id="4"/>
      </w:r>
      <w:r w:rsidR="00657BA7">
        <w:t xml:space="preserve">. </w:t>
      </w:r>
      <w:r w:rsidR="00CA72B5">
        <w:t xml:space="preserve">On l’aura compris : </w:t>
      </w:r>
      <w:r w:rsidR="009A0678">
        <w:t xml:space="preserve">les règles de droit (naturel) précèdent et débordent la loi écrite. Elles </w:t>
      </w:r>
      <w:r w:rsidR="006B4148">
        <w:t xml:space="preserve">assurent que, si d’infimes espaces sont laissés par le maillage serré de la </w:t>
      </w:r>
      <w:r w:rsidR="006B4148" w:rsidRPr="006B4148">
        <w:rPr>
          <w:i/>
        </w:rPr>
        <w:t>loi</w:t>
      </w:r>
      <w:r w:rsidR="006B4148">
        <w:t xml:space="preserve">, aucune question ne puisse s’y loger qui échappe à l’emprise du </w:t>
      </w:r>
      <w:r w:rsidR="006B4148" w:rsidRPr="006B4148">
        <w:rPr>
          <w:i/>
        </w:rPr>
        <w:t>droit</w:t>
      </w:r>
      <w:r w:rsidR="006B4148">
        <w:t>.</w:t>
      </w:r>
      <w:r w:rsidR="009A0678">
        <w:t xml:space="preserve">  </w:t>
      </w:r>
    </w:p>
    <w:p w14:paraId="11C6421B" w14:textId="77777777" w:rsidR="0036120C" w:rsidRDefault="0036120C" w:rsidP="00845C31">
      <w:pPr>
        <w:spacing w:line="360" w:lineRule="auto"/>
        <w:jc w:val="both"/>
      </w:pPr>
    </w:p>
    <w:p w14:paraId="1C12DDBD" w14:textId="43FCCD47" w:rsidR="00B971AF" w:rsidRDefault="002512A8" w:rsidP="00845C31">
      <w:pPr>
        <w:spacing w:line="360" w:lineRule="auto"/>
        <w:jc w:val="both"/>
      </w:pPr>
      <w:r>
        <w:t xml:space="preserve">Plus récemment, des théoriciens du positivisme juridique ont vu dans l’adage selon lequel est permis tout ce qui n’est pas interdit la preuve de l’impossibilité des lacunes en droit. Ce que l’on a pu </w:t>
      </w:r>
      <w:r w:rsidR="004019C9">
        <w:t xml:space="preserve">également </w:t>
      </w:r>
      <w:r>
        <w:t xml:space="preserve">appeler </w:t>
      </w:r>
      <w:r w:rsidR="00143A79">
        <w:t>la « norme générale exclusive »</w:t>
      </w:r>
      <w:r w:rsidR="001544BE">
        <w:rPr>
          <w:rStyle w:val="Marquenotebasdepage"/>
        </w:rPr>
        <w:footnoteReference w:id="5"/>
      </w:r>
      <w:r w:rsidR="00143A79">
        <w:t xml:space="preserve"> </w:t>
      </w:r>
      <w:r w:rsidR="0036120C">
        <w:t xml:space="preserve">constitue </w:t>
      </w:r>
      <w:r w:rsidR="005150CB">
        <w:t xml:space="preserve">sans doute </w:t>
      </w:r>
      <w:r w:rsidR="0036120C">
        <w:t xml:space="preserve">la meilleure expression de ce droit tout-puissant, se posant en détenteur de la « compétence de la compétence », en souverain arbitre de ce qui le concerne et de ce dont il se désintéresse. Il assure la clôture du droit sur lui-même et empêche des lacunes de s’y former. </w:t>
      </w:r>
    </w:p>
    <w:p w14:paraId="6E621A84" w14:textId="77777777" w:rsidR="00B971AF" w:rsidRDefault="00B971AF" w:rsidP="00845C31">
      <w:pPr>
        <w:spacing w:line="360" w:lineRule="auto"/>
        <w:jc w:val="both"/>
      </w:pPr>
    </w:p>
    <w:p w14:paraId="17941696" w14:textId="4AF47CBB" w:rsidR="00AD5FCE" w:rsidRDefault="005150CB" w:rsidP="00845C31">
      <w:pPr>
        <w:spacing w:line="360" w:lineRule="auto"/>
        <w:jc w:val="both"/>
      </w:pPr>
      <w:r>
        <w:t xml:space="preserve">C’est </w:t>
      </w:r>
      <w:r w:rsidR="00143A79">
        <w:t>sur son fondement</w:t>
      </w:r>
      <w:r w:rsidR="002512A8">
        <w:t xml:space="preserve"> que Kelsen </w:t>
      </w:r>
      <w:r>
        <w:t>a pu considérer que « la théorie des lacune</w:t>
      </w:r>
      <w:r w:rsidR="00AD5FCE">
        <w:t>s</w:t>
      </w:r>
      <w:r>
        <w:t> » « est erronée ; elle repose en effet sur la</w:t>
      </w:r>
      <w:r w:rsidR="00876529">
        <w:t xml:space="preserve"> </w:t>
      </w:r>
      <w:r w:rsidR="000F4A45">
        <w:t>méconnaissance du fait que,</w:t>
      </w:r>
      <w:r>
        <w:t xml:space="preserve"> lorsque l’ordre juridique n’établit pas l’obligation d’un individu d’adopter une certaine conduite, il permet la conduite contraire. (…) </w:t>
      </w:r>
      <w:r w:rsidR="005D4762">
        <w:t xml:space="preserve">Si l’on y regarde de plus près, on s’aperçoit </w:t>
      </w:r>
      <w:r w:rsidR="00286136">
        <w:t>qu[e cette théorie]</w:t>
      </w:r>
      <w:r w:rsidR="00722589">
        <w:t xml:space="preserve"> n’admet l’existence d’une lacune que lorsque l’organe d’application du droit considère le défaut d’une telle norme juridique comme regrettable d’un point de vue de politique juridique, et qu’en conséquence il repousse l’idée d’appliquer le droit en vigueur, alors que cette application serait logiquement tout à fait possible ( …). </w:t>
      </w:r>
      <w:r>
        <w:t xml:space="preserve">En vérité, logiquement, </w:t>
      </w:r>
      <w:r w:rsidR="00412E1E">
        <w:t>le droit positif est toujours applicable »</w:t>
      </w:r>
      <w:r w:rsidR="00AD5FCE">
        <w:rPr>
          <w:rStyle w:val="Marquenotebasdepage"/>
        </w:rPr>
        <w:footnoteReference w:id="6"/>
      </w:r>
      <w:r>
        <w:t>.</w:t>
      </w:r>
      <w:r w:rsidR="000F4A45">
        <w:t xml:space="preserve"> </w:t>
      </w:r>
    </w:p>
    <w:p w14:paraId="0479A773" w14:textId="77777777" w:rsidR="00722589" w:rsidRDefault="00722589" w:rsidP="00845C31">
      <w:pPr>
        <w:spacing w:line="360" w:lineRule="auto"/>
        <w:jc w:val="both"/>
      </w:pPr>
    </w:p>
    <w:p w14:paraId="2F188F7F" w14:textId="5A19CCF9" w:rsidR="00164029" w:rsidRDefault="002512A8" w:rsidP="00845C31">
      <w:pPr>
        <w:spacing w:line="360" w:lineRule="auto"/>
        <w:jc w:val="both"/>
      </w:pPr>
      <w:r>
        <w:t xml:space="preserve">Selon Kelsen, </w:t>
      </w:r>
      <w:r w:rsidR="00195541">
        <w:t>ce constat</w:t>
      </w:r>
      <w:r w:rsidR="000F4A45">
        <w:t xml:space="preserve"> n</w:t>
      </w:r>
      <w:r w:rsidR="00195541">
        <w:t>’est pas même démenti</w:t>
      </w:r>
      <w:r w:rsidR="000F4A45">
        <w:t xml:space="preserve"> par </w:t>
      </w:r>
      <w:r w:rsidR="00C93913">
        <w:t>le cas de figure extrême dans lequel</w:t>
      </w:r>
      <w:r w:rsidR="000F4A45">
        <w:t xml:space="preserve"> le législateur invite le</w:t>
      </w:r>
      <w:r w:rsidR="00D94E36">
        <w:t xml:space="preserve"> juge </w:t>
      </w:r>
      <w:r w:rsidR="000F4A45">
        <w:t xml:space="preserve">confronté </w:t>
      </w:r>
      <w:r w:rsidR="00C93913">
        <w:t>au silence de la loi</w:t>
      </w:r>
      <w:r w:rsidR="000F4A45">
        <w:t xml:space="preserve"> à agir lui-même en législateur. </w:t>
      </w:r>
      <w:r w:rsidR="00DC2EDD">
        <w:t xml:space="preserve">C’est </w:t>
      </w:r>
      <w:r w:rsidR="00C93913">
        <w:t>la solution retenue par</w:t>
      </w:r>
      <w:r w:rsidR="00DC2EDD">
        <w:t xml:space="preserve"> l’article 1</w:t>
      </w:r>
      <w:r w:rsidR="00DC2EDD" w:rsidRPr="00DC2EDD">
        <w:rPr>
          <w:vertAlign w:val="superscript"/>
        </w:rPr>
        <w:t>er</w:t>
      </w:r>
      <w:r w:rsidR="00DC2EDD">
        <w:t xml:space="preserve">, § 2, du Code civil suisse, </w:t>
      </w:r>
      <w:r w:rsidR="00DA0010">
        <w:t>qui prévoit qu’</w:t>
      </w:r>
      <w:r w:rsidR="00DC2EDD">
        <w:t xml:space="preserve"> « à défaut d’une disposition lé</w:t>
      </w:r>
      <w:r w:rsidR="00DC2EDD" w:rsidRPr="00DC2EDD">
        <w:t>gale applicable, le juge prononce sel</w:t>
      </w:r>
      <w:r w:rsidR="00DC2EDD">
        <w:t>on le droit coutumier et, à dé</w:t>
      </w:r>
      <w:r w:rsidR="00DC2EDD" w:rsidRPr="00DC2EDD">
        <w:t>faut d’une cou</w:t>
      </w:r>
      <w:r w:rsidR="00DC2EDD">
        <w:t>tume, selon les règles qu’il é</w:t>
      </w:r>
      <w:r w:rsidR="00DC2EDD" w:rsidRPr="00DC2EDD">
        <w:t>tablirait</w:t>
      </w:r>
      <w:r w:rsidR="00DC2EDD">
        <w:t xml:space="preserve"> s’il avait à faire acte de lé</w:t>
      </w:r>
      <w:r w:rsidR="00DC2EDD" w:rsidRPr="00DC2EDD">
        <w:t>gislateur</w:t>
      </w:r>
      <w:r w:rsidR="00DC2EDD">
        <w:t> »</w:t>
      </w:r>
      <w:r w:rsidR="00EF18B1">
        <w:t xml:space="preserve">. </w:t>
      </w:r>
      <w:r>
        <w:t xml:space="preserve">Pour l’auteur de </w:t>
      </w:r>
      <w:r>
        <w:rPr>
          <w:i/>
        </w:rPr>
        <w:t>La théorie pure du droit</w:t>
      </w:r>
      <w:r w:rsidR="00730BA2">
        <w:t>, cette disposition repose sur une fiction, qui « consiste à présenter comme une impossibilité logique d’application de l’ordre juridique l’absence dans l’ordre juridique d’une norme déterminée, que l’on désirerait, en vertu d’un jugement de valeur subjectif, politico-moral, le voir consacrer »</w:t>
      </w:r>
      <w:r w:rsidR="00730BA2">
        <w:rPr>
          <w:rStyle w:val="Marquenotebasdepage"/>
        </w:rPr>
        <w:footnoteReference w:id="7"/>
      </w:r>
      <w:r w:rsidR="00730BA2">
        <w:t xml:space="preserve">. </w:t>
      </w:r>
      <w:r w:rsidR="00967C57">
        <w:t>Du reste, on rappellera que selon Kelsen, « les normes générales ne sont jamais qu’un cadre à l’intérieur duquel les normes individuelles doivent être créées. Seulement, ce cadre peut être plus étroit ou plus large. Il atteint la largeur maximum lorsque la norme générale positive ne contient que l’habilitation à créer la norme individuelle, sans déterminer par avance son contenu »</w:t>
      </w:r>
      <w:r w:rsidR="00967C57">
        <w:rPr>
          <w:rStyle w:val="Marquenotebasdepage"/>
        </w:rPr>
        <w:footnoteReference w:id="8"/>
      </w:r>
      <w:r w:rsidR="00967C57">
        <w:t>. Dans cette perspective, même lorsqu’il exerce</w:t>
      </w:r>
      <w:r w:rsidR="000F4A45">
        <w:t xml:space="preserve"> un pouvoir discrétionnaire, </w:t>
      </w:r>
      <w:r w:rsidR="00967C57">
        <w:t xml:space="preserve">le juge agit bel et bien </w:t>
      </w:r>
      <w:r w:rsidR="000F4A45">
        <w:t xml:space="preserve">en </w:t>
      </w:r>
      <w:r w:rsidR="008032AF">
        <w:t xml:space="preserve">droit. </w:t>
      </w:r>
      <w:r w:rsidR="00967C57">
        <w:t>Pour le dire autrement</w:t>
      </w:r>
      <w:r w:rsidR="000F4A45">
        <w:t xml:space="preserve">, même lorsqu’il </w:t>
      </w:r>
      <w:r w:rsidR="008032AF">
        <w:t xml:space="preserve">légifère à l’instar d’un pouvoir souverain, le juge ne fait qu’appliquer la règle de droit – celle qui lui donne ce pouvoir. </w:t>
      </w:r>
    </w:p>
    <w:p w14:paraId="2DA035B2" w14:textId="77777777" w:rsidR="00245430" w:rsidRDefault="00245430" w:rsidP="00845C31">
      <w:pPr>
        <w:spacing w:line="360" w:lineRule="auto"/>
        <w:jc w:val="both"/>
      </w:pPr>
    </w:p>
    <w:p w14:paraId="44477316" w14:textId="48412AD2" w:rsidR="009B21B0" w:rsidRDefault="00906A31" w:rsidP="00845C31">
      <w:pPr>
        <w:spacing w:line="360" w:lineRule="auto"/>
        <w:jc w:val="both"/>
      </w:pPr>
      <w:r>
        <w:t>Le point de vue présenté ci-dessus peut être qualifié d’</w:t>
      </w:r>
      <w:r w:rsidRPr="00906A31">
        <w:rPr>
          <w:i/>
        </w:rPr>
        <w:t>interne</w:t>
      </w:r>
      <w:r>
        <w:t xml:space="preserve"> à l’ordre juridique.</w:t>
      </w:r>
      <w:r w:rsidR="00DD3885">
        <w:t xml:space="preserve"> Il est adopté par celui qui entend décrire le droit </w:t>
      </w:r>
      <w:r w:rsidR="00DD3885">
        <w:rPr>
          <w:i/>
        </w:rPr>
        <w:t>de l’intérieur de celui-ci</w:t>
      </w:r>
      <w:r w:rsidR="00DD3885">
        <w:t xml:space="preserve"> ou qui participe, d’une manière ou d’une autre, à son fonctionnement</w:t>
      </w:r>
      <w:r w:rsidR="00413C02">
        <w:rPr>
          <w:rStyle w:val="Marquenotebasdepage"/>
        </w:rPr>
        <w:footnoteReference w:id="9"/>
      </w:r>
      <w:r w:rsidR="00DD3885">
        <w:t xml:space="preserve">. C’est notamment le </w:t>
      </w:r>
      <w:r w:rsidR="004C74C7">
        <w:t>point de vue de l’</w:t>
      </w:r>
      <w:r w:rsidR="004C74C7" w:rsidRPr="00DD3885">
        <w:rPr>
          <w:i/>
        </w:rPr>
        <w:t>usager</w:t>
      </w:r>
      <w:r w:rsidR="004C74C7">
        <w:t xml:space="preserve"> du droit</w:t>
      </w:r>
      <w:r w:rsidR="00DD3885">
        <w:t xml:space="preserve">, qu’il soit </w:t>
      </w:r>
      <w:r w:rsidR="004C74C7">
        <w:t xml:space="preserve">juge, avocat, </w:t>
      </w:r>
      <w:r w:rsidR="00DD3885">
        <w:t>fonctionnaire</w:t>
      </w:r>
      <w:r w:rsidR="004C74C7">
        <w:t xml:space="preserve">, </w:t>
      </w:r>
      <w:r w:rsidR="00DD3885">
        <w:t>ou simple</w:t>
      </w:r>
      <w:r w:rsidR="004C74C7">
        <w:t xml:space="preserve"> particulier</w:t>
      </w:r>
      <w:r w:rsidR="00DD3885">
        <w:t xml:space="preserve"> soucieux de respecter la </w:t>
      </w:r>
      <w:r w:rsidR="008B5F53">
        <w:t xml:space="preserve">loi. Considérée sous cet angle, </w:t>
      </w:r>
      <w:r w:rsidR="004C74C7">
        <w:t>l</w:t>
      </w:r>
      <w:r w:rsidR="008C65DC">
        <w:t xml:space="preserve">’infinitude du droit </w:t>
      </w:r>
      <w:r w:rsidR="00DC3C55">
        <w:t>réside</w:t>
      </w:r>
      <w:r w:rsidR="008C65DC">
        <w:t xml:space="preserve"> au </w:t>
      </w:r>
      <w:r w:rsidR="008C65DC" w:rsidRPr="008C65DC">
        <w:rPr>
          <w:i/>
        </w:rPr>
        <w:t>fondement</w:t>
      </w:r>
      <w:r w:rsidR="008C65DC">
        <w:t xml:space="preserve"> même de ce dernier. </w:t>
      </w:r>
      <w:r w:rsidR="004C74C7">
        <w:t xml:space="preserve">Tout </w:t>
      </w:r>
      <w:r w:rsidR="008B5F53">
        <w:t>y apparaît comme</w:t>
      </w:r>
      <w:r w:rsidR="004C74C7">
        <w:t xml:space="preserve"> traductible </w:t>
      </w:r>
      <w:r w:rsidR="00FE7691">
        <w:t xml:space="preserve">dans le langage juridique, </w:t>
      </w:r>
      <w:r w:rsidR="008B5F53">
        <w:t>lequel</w:t>
      </w:r>
      <w:r w:rsidR="00FE7691">
        <w:t xml:space="preserve"> fournit</w:t>
      </w:r>
      <w:r w:rsidR="008B5F53">
        <w:t xml:space="preserve"> à son tour</w:t>
      </w:r>
      <w:r w:rsidR="00FE7691">
        <w:t xml:space="preserve"> une réponse à toute question</w:t>
      </w:r>
      <w:r w:rsidR="009B21B0">
        <w:t xml:space="preserve">, </w:t>
      </w:r>
      <w:r w:rsidR="00FE7691">
        <w:t xml:space="preserve">quand bien même cette réponse se limiterait-elle à </w:t>
      </w:r>
      <w:r w:rsidR="009B21B0">
        <w:t>constater</w:t>
      </w:r>
      <w:r w:rsidR="00FE7691">
        <w:t xml:space="preserve"> qu’en vertu de tel principe ou de telle règle, le droit n’a rien à dire sur le sujet. </w:t>
      </w:r>
      <w:r w:rsidR="009B21B0">
        <w:t>Quand le droit dit qu’il n’a rien à dire, il dit déjà quelque chose.</w:t>
      </w:r>
      <w:r w:rsidR="00B76BD9">
        <w:t xml:space="preserve"> </w:t>
      </w:r>
      <w:r w:rsidR="00FD2B30">
        <w:t>En d’autres termes, i</w:t>
      </w:r>
      <w:r w:rsidR="00B76BD9">
        <w:t>l a toujours déjà tout réglé.</w:t>
      </w:r>
    </w:p>
    <w:p w14:paraId="21185CFB" w14:textId="77777777" w:rsidR="00ED3937" w:rsidRDefault="00ED3937" w:rsidP="00845C31">
      <w:pPr>
        <w:spacing w:line="360" w:lineRule="auto"/>
        <w:jc w:val="both"/>
      </w:pPr>
    </w:p>
    <w:p w14:paraId="3EB3D696" w14:textId="7F9E8747" w:rsidR="00ED3937" w:rsidRDefault="00ED3937" w:rsidP="00845C31">
      <w:pPr>
        <w:spacing w:line="360" w:lineRule="auto"/>
        <w:jc w:val="both"/>
      </w:pPr>
      <w:r>
        <w:t xml:space="preserve">Ce point de vue est essentiel à la compréhension du droit. Il n’est cependant </w:t>
      </w:r>
      <w:r w:rsidR="006A5D90">
        <w:t xml:space="preserve">pas </w:t>
      </w:r>
      <w:r w:rsidR="006F3FA4">
        <w:t>suffisant</w:t>
      </w:r>
      <w:r>
        <w:t xml:space="preserve">. </w:t>
      </w:r>
    </w:p>
    <w:p w14:paraId="3FF14F9A" w14:textId="77777777" w:rsidR="00C16C54" w:rsidRPr="0026115F" w:rsidRDefault="00C16C54" w:rsidP="00845C31">
      <w:pPr>
        <w:spacing w:line="360" w:lineRule="auto"/>
        <w:jc w:val="both"/>
      </w:pPr>
    </w:p>
    <w:p w14:paraId="7715096B" w14:textId="3FE9FE96" w:rsidR="00DD6B44" w:rsidRDefault="00DD6B44" w:rsidP="00845C31">
      <w:pPr>
        <w:spacing w:line="360" w:lineRule="auto"/>
        <w:jc w:val="both"/>
        <w:rPr>
          <w:b/>
        </w:rPr>
      </w:pPr>
      <w:r w:rsidRPr="00DD6B44">
        <w:rPr>
          <w:b/>
        </w:rPr>
        <w:t>I</w:t>
      </w:r>
      <w:r>
        <w:rPr>
          <w:b/>
        </w:rPr>
        <w:t>I</w:t>
      </w:r>
      <w:r w:rsidRPr="00DD6B44">
        <w:rPr>
          <w:b/>
        </w:rPr>
        <w:t xml:space="preserve">. </w:t>
      </w:r>
      <w:r>
        <w:rPr>
          <w:b/>
        </w:rPr>
        <w:t xml:space="preserve">D’un point de vue externe – </w:t>
      </w:r>
      <w:r w:rsidRPr="00DD6B44">
        <w:rPr>
          <w:b/>
        </w:rPr>
        <w:t>L</w:t>
      </w:r>
      <w:r>
        <w:rPr>
          <w:b/>
        </w:rPr>
        <w:t xml:space="preserve">a mystification </w:t>
      </w:r>
    </w:p>
    <w:p w14:paraId="486D2652" w14:textId="77777777" w:rsidR="008C4182" w:rsidRDefault="008C4182" w:rsidP="00845C31">
      <w:pPr>
        <w:spacing w:line="360" w:lineRule="auto"/>
        <w:jc w:val="both"/>
        <w:rPr>
          <w:b/>
        </w:rPr>
      </w:pPr>
    </w:p>
    <w:p w14:paraId="76B08CE0" w14:textId="15264FE4" w:rsidR="008C55A5" w:rsidRDefault="006F3FA4" w:rsidP="00845C31">
      <w:pPr>
        <w:spacing w:line="360" w:lineRule="auto"/>
        <w:jc w:val="both"/>
      </w:pPr>
      <w:r>
        <w:t xml:space="preserve">Conçue comme un fondement du droit si </w:t>
      </w:r>
      <w:r w:rsidR="00731D7B">
        <w:t>l’</w:t>
      </w:r>
      <w:r>
        <w:t xml:space="preserve">on observe ce dernier de l’intérieur, l’infinitude de la sphère juridique </w:t>
      </w:r>
      <w:r w:rsidR="00627ACB">
        <w:t xml:space="preserve">apparaît </w:t>
      </w:r>
      <w:r w:rsidR="00F90DD9">
        <w:t xml:space="preserve">en revanche comme une </w:t>
      </w:r>
      <w:r w:rsidR="00731D7B">
        <w:t>chimère</w:t>
      </w:r>
      <w:r>
        <w:t xml:space="preserve"> lorsqu’elle est appréhendée de l’extérieur</w:t>
      </w:r>
      <w:r w:rsidR="00F90DD9">
        <w:t>.</w:t>
      </w:r>
      <w:r w:rsidR="00EB5264">
        <w:t xml:space="preserve"> </w:t>
      </w:r>
      <w:r w:rsidR="00EF7560">
        <w:t>Au vrai, l</w:t>
      </w:r>
      <w:r w:rsidR="00EB5264">
        <w:t xml:space="preserve">es limites du droit </w:t>
      </w:r>
      <w:r w:rsidR="00947BB6">
        <w:t>s’imposent avec de plus en plus de netteté</w:t>
      </w:r>
      <w:r w:rsidR="00EB5264">
        <w:t xml:space="preserve"> à mesure que l’analyste s’éloigne de son objet.</w:t>
      </w:r>
    </w:p>
    <w:p w14:paraId="0F45983A" w14:textId="77777777" w:rsidR="00DE7ECB" w:rsidRDefault="00DE7ECB" w:rsidP="00845C31">
      <w:pPr>
        <w:spacing w:line="360" w:lineRule="auto"/>
        <w:jc w:val="both"/>
      </w:pPr>
    </w:p>
    <w:p w14:paraId="41F6E472" w14:textId="75453A28" w:rsidR="00B44F81" w:rsidRDefault="00EB5264" w:rsidP="00845C31">
      <w:pPr>
        <w:spacing w:line="360" w:lineRule="auto"/>
        <w:jc w:val="both"/>
      </w:pPr>
      <w:r>
        <w:t>Certaines de ces</w:t>
      </w:r>
      <w:r w:rsidR="002C3A9F">
        <w:t xml:space="preserve"> limites </w:t>
      </w:r>
      <w:r>
        <w:t>sautent déjà aux yeux de</w:t>
      </w:r>
      <w:r w:rsidR="002C3A9F">
        <w:t xml:space="preserve"> tout </w:t>
      </w:r>
      <w:r w:rsidR="000C3BE3">
        <w:t xml:space="preserve">juriste </w:t>
      </w:r>
      <w:r w:rsidR="002C3A9F">
        <w:t xml:space="preserve">qui, sans </w:t>
      </w:r>
      <w:r w:rsidR="00355E6C">
        <w:t>déchausser</w:t>
      </w:r>
      <w:r w:rsidR="002C3A9F">
        <w:t xml:space="preserve"> </w:t>
      </w:r>
      <w:r w:rsidR="00355E6C">
        <w:t xml:space="preserve">les lunettes </w:t>
      </w:r>
      <w:r w:rsidR="000C3BE3">
        <w:t>de sa discipline</w:t>
      </w:r>
      <w:r w:rsidR="002C3A9F">
        <w:t xml:space="preserve">, fait </w:t>
      </w:r>
      <w:r w:rsidR="005F3905">
        <w:t xml:space="preserve">simplement </w:t>
      </w:r>
      <w:r w:rsidR="002C3A9F">
        <w:t xml:space="preserve">un pas de côté pour contempler, de l’extérieur, un ordre juridique particulier. Pensons, par exemple, à la primauté </w:t>
      </w:r>
      <w:r w:rsidR="00355E6C">
        <w:t>du</w:t>
      </w:r>
      <w:r w:rsidR="002C3A9F">
        <w:t xml:space="preserve"> droit de l’Union européenne sur le droit des Etats membres, proclamée de longue date par la Cour de justice de l’Union. Cette primauté trouve une limite </w:t>
      </w:r>
      <w:r w:rsidR="00D2451A">
        <w:t xml:space="preserve">indiscutable </w:t>
      </w:r>
      <w:r w:rsidR="002C3A9F">
        <w:t>dans la jurisprudence de nombreuses cours constitutionnelles nationales qui considèrent que le droit européen ne peut aboutir à méconnaître l’identité constitutionnelle de leur Etat</w:t>
      </w:r>
      <w:r w:rsidR="00947BB6">
        <w:rPr>
          <w:rStyle w:val="Marquenotebasdepage"/>
        </w:rPr>
        <w:footnoteReference w:id="10"/>
      </w:r>
      <w:r w:rsidR="002C3A9F">
        <w:t xml:space="preserve">. </w:t>
      </w:r>
      <w:r w:rsidR="00355E6C">
        <w:t>Songeons aussi à l’</w:t>
      </w:r>
      <w:r w:rsidR="00226203">
        <w:t>autorité de résolutions du C</w:t>
      </w:r>
      <w:r w:rsidR="00355E6C">
        <w:t>onseil de sécurité des Nations unies qui, lorsqu’elles sont adoptées sur la base du chapitre VII de la Charte des Nations unies, priment tous les autres engagements internationaux des Etats. Cette hiérarchie organisée par le droit international est contrecarrée</w:t>
      </w:r>
      <w:r w:rsidR="004E3C06">
        <w:t xml:space="preserve"> dans l’ordre juridique européen</w:t>
      </w:r>
      <w:r w:rsidR="00355E6C">
        <w:t xml:space="preserve"> par la jurisprudence de la Cour de justice </w:t>
      </w:r>
      <w:r w:rsidR="00C464EF">
        <w:t>l’autorisant</w:t>
      </w:r>
      <w:r w:rsidR="00355E6C">
        <w:t xml:space="preserve"> à </w:t>
      </w:r>
      <w:r w:rsidR="00C464EF">
        <w:t>contrôler – indirectement certes – la conformité de telles résolutions aux droits fondamentaux reconnus comme principes généraux du droit de l’Union</w:t>
      </w:r>
      <w:r w:rsidR="00947BB6">
        <w:rPr>
          <w:rStyle w:val="Marquenotebasdepage"/>
        </w:rPr>
        <w:footnoteReference w:id="11"/>
      </w:r>
      <w:r w:rsidR="00C464EF">
        <w:t xml:space="preserve">. </w:t>
      </w:r>
      <w:r w:rsidR="00226203">
        <w:t xml:space="preserve">Evoquons </w:t>
      </w:r>
      <w:r w:rsidR="00A05A70">
        <w:t>encore</w:t>
      </w:r>
      <w:r w:rsidR="00226203">
        <w:t xml:space="preserve"> les poursuites pénales intentées par un Etat à l’encontre d’une personne qui se trouve sur le territoire d’un autre Etat. Les règles en vigueur dans ce second Etat – par exemple le principe de non-extradition de ses ressortissants – peuvent faire obstacle à l’application  du droit pénal du premier Etat. </w:t>
      </w:r>
    </w:p>
    <w:p w14:paraId="232479B9" w14:textId="77777777" w:rsidR="00A92ED0" w:rsidRDefault="00A92ED0" w:rsidP="00845C31">
      <w:pPr>
        <w:spacing w:line="360" w:lineRule="auto"/>
        <w:jc w:val="both"/>
      </w:pPr>
    </w:p>
    <w:p w14:paraId="1DA123C7" w14:textId="05AFC743" w:rsidR="004B75F5" w:rsidRDefault="00A92ED0" w:rsidP="00845C31">
      <w:pPr>
        <w:spacing w:line="360" w:lineRule="auto"/>
        <w:jc w:val="both"/>
      </w:pPr>
      <w:r>
        <w:t>Les limites du droit appa</w:t>
      </w:r>
      <w:r w:rsidR="002512A8">
        <w:t xml:space="preserve">raissent </w:t>
      </w:r>
      <w:r w:rsidR="000C3BE3">
        <w:t>tout aussi évidentes</w:t>
      </w:r>
      <w:r w:rsidR="002512A8">
        <w:t xml:space="preserve"> au juriste qui, prenant de la hauteur, entend faire de la théorie (ou de la science) du droit</w:t>
      </w:r>
      <w:r w:rsidR="00001F8B">
        <w:t>, fût-elle monodisciplinaire</w:t>
      </w:r>
      <w:r w:rsidR="002512A8">
        <w:t>.</w:t>
      </w:r>
      <w:r w:rsidR="00001F8B">
        <w:t xml:space="preserve"> C’est </w:t>
      </w:r>
      <w:r w:rsidR="00EB5264">
        <w:t>à nouveau</w:t>
      </w:r>
      <w:r w:rsidR="00001F8B">
        <w:t xml:space="preserve"> à Kelsen que l’on pense ici, </w:t>
      </w:r>
      <w:r w:rsidR="00E87608">
        <w:t>observant</w:t>
      </w:r>
      <w:r w:rsidR="00001F8B">
        <w:t xml:space="preserve"> que</w:t>
      </w:r>
      <w:r w:rsidR="00011C40">
        <w:t xml:space="preserve"> le droit </w:t>
      </w:r>
      <w:r w:rsidR="00EB5264">
        <w:t>n’est</w:t>
      </w:r>
      <w:r w:rsidR="00011C40">
        <w:t xml:space="preserve"> pas toujours porteur d’une seule bonne réponse</w:t>
      </w:r>
      <w:r w:rsidR="00A05A70">
        <w:t xml:space="preserve"> dès lors qu’</w:t>
      </w:r>
      <w:r w:rsidR="0000216C">
        <w:t>« on ne peut pas (…) déterminer par interprétation, à partir de la loi, le jugement seul exact »</w:t>
      </w:r>
      <w:r w:rsidR="00FF6600">
        <w:rPr>
          <w:rStyle w:val="Marquenotebasdepage"/>
        </w:rPr>
        <w:footnoteReference w:id="12"/>
      </w:r>
      <w:r w:rsidR="0000216C">
        <w:t xml:space="preserve">. </w:t>
      </w:r>
      <w:r w:rsidR="004E3C06">
        <w:t>Selon ce point de vue</w:t>
      </w:r>
      <w:r w:rsidR="0000216C">
        <w:t xml:space="preserve">, </w:t>
      </w:r>
      <w:r w:rsidR="00FF6600">
        <w:t xml:space="preserve">les normes générales laissent aux juges qui les appliquent un espace de liberté plus ou moins grand qu’il leur appartient de remplir </w:t>
      </w:r>
      <w:r w:rsidR="004E3C06">
        <w:t>comme ils l’entendent</w:t>
      </w:r>
      <w:r w:rsidR="00FF6600">
        <w:t xml:space="preserve">. En d’autres termes, le jugement suppose certes </w:t>
      </w:r>
      <w:r w:rsidR="007765FB">
        <w:t xml:space="preserve">d’abord </w:t>
      </w:r>
      <w:r w:rsidR="00FF6600">
        <w:t>une démarche de connaissance du droit (</w:t>
      </w:r>
      <w:r w:rsidR="007765FB">
        <w:t>qui permet d’</w:t>
      </w:r>
      <w:r w:rsidR="00FF6600">
        <w:t>identifier la norme générale applicable</w:t>
      </w:r>
      <w:r w:rsidR="007765FB">
        <w:t xml:space="preserve"> au cas d’espèce</w:t>
      </w:r>
      <w:r w:rsidR="00FF6600">
        <w:t xml:space="preserve">) mais </w:t>
      </w:r>
      <w:r w:rsidR="007765FB">
        <w:t xml:space="preserve">cette activité cognitive est nécessairement complétée </w:t>
      </w:r>
      <w:r w:rsidR="00A05A70">
        <w:t>d’</w:t>
      </w:r>
      <w:r w:rsidR="00FF6600">
        <w:t>un</w:t>
      </w:r>
      <w:r w:rsidR="007765FB">
        <w:t xml:space="preserve"> acte de volonté, par lequel le juge crée</w:t>
      </w:r>
      <w:r w:rsidR="00FF6600">
        <w:t xml:space="preserve"> la norme individuelle dans l’espa</w:t>
      </w:r>
      <w:r w:rsidR="007765FB">
        <w:t>ce laissé par la norme générale</w:t>
      </w:r>
      <w:r w:rsidR="00393161">
        <w:t xml:space="preserve">. Cet acte de volonté signe en quelque sorte </w:t>
      </w:r>
      <w:r w:rsidR="00FF6600">
        <w:t>la limite du droit</w:t>
      </w:r>
      <w:r w:rsidR="00393161">
        <w:t>, non pas en largeur ou en longueur (le juge agit toujours dans un cadre donné par une norme de droit générale, dirait Kelsen) mais en « profondeur » ou en « densité ». Kelsen</w:t>
      </w:r>
      <w:r w:rsidR="004B75F5">
        <w:t xml:space="preserve"> note ainsi que, pour remplir cet espace de liberté, le juge peut certes encore déployer une activité de connaissance, mais de connaissance non juridique cette fois : « cette activité n’est pas connaissance du droit positif, mais connaissance d’autres normes qui peuvent y déboucher dans la procédure de création du droit : normes de la morale, de la justice, jugements de valeur sociaux (…), etc. Sur leur validité et la possibilit</w:t>
      </w:r>
      <w:r w:rsidR="00A05A70">
        <w:t>é d’établir ces normes ou ces “valeurs”</w:t>
      </w:r>
      <w:r w:rsidR="004B75F5">
        <w:t>, on ne peut rien dire du point de vue du droit positif »</w:t>
      </w:r>
      <w:r w:rsidR="004B75F5">
        <w:rPr>
          <w:rStyle w:val="Marquenotebasdepage"/>
        </w:rPr>
        <w:footnoteReference w:id="13"/>
      </w:r>
      <w:r w:rsidR="004B75F5">
        <w:t xml:space="preserve">. </w:t>
      </w:r>
    </w:p>
    <w:p w14:paraId="23FD7D7A" w14:textId="77777777" w:rsidR="004B75F5" w:rsidRDefault="004B75F5" w:rsidP="00845C31">
      <w:pPr>
        <w:spacing w:line="360" w:lineRule="auto"/>
        <w:jc w:val="both"/>
      </w:pPr>
    </w:p>
    <w:p w14:paraId="3414E137" w14:textId="42D9AE13" w:rsidR="00011C40" w:rsidRDefault="00E77C83" w:rsidP="00845C31">
      <w:pPr>
        <w:spacing w:line="360" w:lineRule="auto"/>
        <w:jc w:val="both"/>
      </w:pPr>
      <w:r>
        <w:t xml:space="preserve">Sur ce point, la théorie kelsenienne </w:t>
      </w:r>
      <w:r w:rsidR="002E5F93">
        <w:t>présente certaines similitudes avec</w:t>
      </w:r>
      <w:r>
        <w:t xml:space="preserve"> </w:t>
      </w:r>
      <w:r w:rsidR="00E4401E">
        <w:t>les réflexions</w:t>
      </w:r>
      <w:r>
        <w:t xml:space="preserve"> de H.L.A. Hart, l’autre grand penseur du positivisme juridique. </w:t>
      </w:r>
      <w:r w:rsidR="004B75F5">
        <w:t xml:space="preserve">L’auteur du </w:t>
      </w:r>
      <w:r w:rsidR="004B75F5">
        <w:rPr>
          <w:i/>
        </w:rPr>
        <w:t xml:space="preserve">Concept de droit </w:t>
      </w:r>
      <w:r>
        <w:t xml:space="preserve">considère </w:t>
      </w:r>
      <w:r w:rsidR="002E5F93">
        <w:t>en effet</w:t>
      </w:r>
      <w:r w:rsidR="004B75F5">
        <w:t xml:space="preserve"> qu</w:t>
      </w:r>
      <w:r w:rsidR="00D75B68">
        <w:t>’ « </w:t>
      </w:r>
      <w:r w:rsidR="004B75F5">
        <w:t xml:space="preserve">il existe des points sur lesquels le droit existant n’impose aucune décision comme étant la seule correcte, et que, pour trancher des cas où il en est ainsi, le juge doit exercer ses pouvoirs de création du droit ». </w:t>
      </w:r>
      <w:r w:rsidR="00D75B68">
        <w:t>Hart ajoute que, pour autant qu’il agisse comme un législateur consciencieux, le juge « est habilité à se conformer à des critères ou des raisons de décider qui ne sont pas imposés par le droit et peuvent différer de ceux auxquels se conforment d’autres juges confrontés à des cas difficiles identiques »</w:t>
      </w:r>
      <w:r w:rsidR="00D75B68">
        <w:rPr>
          <w:rStyle w:val="Marquenotebasdepage"/>
        </w:rPr>
        <w:footnoteReference w:id="14"/>
      </w:r>
      <w:r w:rsidR="00D75B68">
        <w:t xml:space="preserve">. </w:t>
      </w:r>
      <w:r w:rsidR="002E5F93">
        <w:t>Là encore, la limite du droit est marquée clairement.</w:t>
      </w:r>
    </w:p>
    <w:p w14:paraId="25B1D2A2" w14:textId="77777777" w:rsidR="000C3BE3" w:rsidRDefault="000C3BE3" w:rsidP="00845C31">
      <w:pPr>
        <w:spacing w:line="360" w:lineRule="auto"/>
        <w:jc w:val="both"/>
      </w:pPr>
    </w:p>
    <w:p w14:paraId="48519A71" w14:textId="2C0E0605" w:rsidR="008E4BA2" w:rsidRDefault="000C3BE3" w:rsidP="00845C31">
      <w:pPr>
        <w:spacing w:line="360" w:lineRule="auto"/>
        <w:jc w:val="both"/>
      </w:pPr>
      <w:r>
        <w:t xml:space="preserve">Mais c’est évidemment </w:t>
      </w:r>
      <w:r w:rsidR="00314303">
        <w:t xml:space="preserve">lorsqu’elles sont observées depuis une autre discipline que les limites du droit se font les plus saillantes. </w:t>
      </w:r>
    </w:p>
    <w:p w14:paraId="4F5498E7" w14:textId="77777777" w:rsidR="008E4BA2" w:rsidRDefault="008E4BA2" w:rsidP="00845C31">
      <w:pPr>
        <w:spacing w:line="360" w:lineRule="auto"/>
        <w:jc w:val="both"/>
      </w:pPr>
    </w:p>
    <w:p w14:paraId="09AB1AB1" w14:textId="55AB617F" w:rsidR="0003050C" w:rsidRDefault="008E4BA2" w:rsidP="00845C31">
      <w:pPr>
        <w:spacing w:line="360" w:lineRule="auto"/>
        <w:jc w:val="both"/>
      </w:pPr>
      <w:r>
        <w:t xml:space="preserve">L’illusion de la </w:t>
      </w:r>
      <w:r w:rsidRPr="008E4BA2">
        <w:rPr>
          <w:i/>
        </w:rPr>
        <w:t>toute-puissance</w:t>
      </w:r>
      <w:r>
        <w:t xml:space="preserve"> du droit est la première à craquer sous le regard perçant des sciences économiques</w:t>
      </w:r>
      <w:r w:rsidR="00240DFC">
        <w:t>, politiques</w:t>
      </w:r>
      <w:r>
        <w:t xml:space="preserve"> et sociales.</w:t>
      </w:r>
      <w:r w:rsidR="00240DFC">
        <w:t xml:space="preserve"> Q</w:t>
      </w:r>
      <w:r w:rsidR="006033C5" w:rsidRPr="006033C5">
        <w:t xml:space="preserve">uelques exemples suffiront à se convaincre que </w:t>
      </w:r>
      <w:r w:rsidR="006A4D54" w:rsidRPr="006033C5">
        <w:t xml:space="preserve">la </w:t>
      </w:r>
      <w:r w:rsidR="0003050C" w:rsidRPr="006033C5">
        <w:t xml:space="preserve">prétention du droit à </w:t>
      </w:r>
      <w:r w:rsidR="0003050C" w:rsidRPr="00240DFC">
        <w:t>l</w:t>
      </w:r>
      <w:r w:rsidR="006B2D50" w:rsidRPr="00240DFC">
        <w:t>’autonomie</w:t>
      </w:r>
      <w:r w:rsidR="006A4D54" w:rsidRPr="006033C5">
        <w:rPr>
          <w:i/>
        </w:rPr>
        <w:t xml:space="preserve"> </w:t>
      </w:r>
      <w:r w:rsidR="0015554C" w:rsidRPr="006033C5">
        <w:t>ne résiste pas à l’analyse interdisciplinaire</w:t>
      </w:r>
      <w:r w:rsidR="006033C5">
        <w:t>.</w:t>
      </w:r>
      <w:r w:rsidR="0015554C">
        <w:t xml:space="preserve"> </w:t>
      </w:r>
      <w:r w:rsidR="002154F9">
        <w:t>Un économiste ne manquera</w:t>
      </w:r>
      <w:r w:rsidR="00A05A70">
        <w:t>it</w:t>
      </w:r>
      <w:r w:rsidR="002154F9">
        <w:t xml:space="preserve"> pas de pointer la dépendance financière du droit </w:t>
      </w:r>
      <w:r w:rsidR="0015554C">
        <w:t>derrière les décisions d’irrecevabilité non motivées d’une Cour européenne des droits de l’Homme littéralement asphyxiée par un contentieux disproportionné aux moyens qui lui sont alloués</w:t>
      </w:r>
      <w:r w:rsidR="00240DFC">
        <w:rPr>
          <w:rStyle w:val="Marquenotebasdepage"/>
        </w:rPr>
        <w:footnoteReference w:id="15"/>
      </w:r>
      <w:r w:rsidR="0015554C">
        <w:t xml:space="preserve">. </w:t>
      </w:r>
      <w:r w:rsidR="002C0C1B">
        <w:t xml:space="preserve">Il </w:t>
      </w:r>
      <w:r w:rsidR="00240DFC">
        <w:t>discernera</w:t>
      </w:r>
      <w:r w:rsidR="002C0C1B">
        <w:t xml:space="preserve"> encore l’assujettissement du droit aux théories économiques dans la constitutionnalisation de la « règle d’or » imposée par le traité sur la stabilité, la coordination et la gouvernance en Europe</w:t>
      </w:r>
      <w:r w:rsidR="00240DFC">
        <w:rPr>
          <w:rStyle w:val="Marquenotebasdepage"/>
        </w:rPr>
        <w:footnoteReference w:id="16"/>
      </w:r>
      <w:r w:rsidR="002C0C1B">
        <w:t xml:space="preserve">. Le politologue quant à lui </w:t>
      </w:r>
      <w:r w:rsidR="00096849">
        <w:t xml:space="preserve">soulignera l’influence proprement décisive que peuvent </w:t>
      </w:r>
      <w:r w:rsidR="009063BF">
        <w:t xml:space="preserve">exercer </w:t>
      </w:r>
      <w:r w:rsidR="00096849">
        <w:t xml:space="preserve">des accords sans portée juridique (l’on pense, en Belgique, aux accords scellés entre les partis politiques participant au gouvernement </w:t>
      </w:r>
      <w:r w:rsidR="009063BF">
        <w:t>ainsi qu’</w:t>
      </w:r>
      <w:r w:rsidR="00096849">
        <w:t>à la déclaration de politique générale qui en découle) sur l’ensemble des textes légaux adoptés dans leur sillage</w:t>
      </w:r>
      <w:r w:rsidR="00096849">
        <w:rPr>
          <w:rStyle w:val="Marquenotebasdepage"/>
        </w:rPr>
        <w:footnoteReference w:id="17"/>
      </w:r>
      <w:r w:rsidR="00096849">
        <w:t xml:space="preserve">. </w:t>
      </w:r>
      <w:r w:rsidR="00D274C7">
        <w:t>Il ne manquera pas non plus d’attirer l’attention sur les innombrables pratiques de lobbying qui, à l’ombre du droit, influencent le contenu de ce dernier plus sûrement que nombre de nos parlementaires.</w:t>
      </w:r>
      <w:r w:rsidR="00607CFE">
        <w:t xml:space="preserve"> Quant au sociologue, il </w:t>
      </w:r>
      <w:r w:rsidR="001B44EE">
        <w:t xml:space="preserve">aura raison de voir dans le droit l’objet d’une lutte </w:t>
      </w:r>
      <w:r w:rsidR="001B49F8">
        <w:t>constante</w:t>
      </w:r>
      <w:r w:rsidR="001B44EE">
        <w:t xml:space="preserve"> entre les différents acteurs de la société – un droit </w:t>
      </w:r>
      <w:r w:rsidR="001B49F8">
        <w:t xml:space="preserve">devenu </w:t>
      </w:r>
      <w:r w:rsidR="00D23AB1">
        <w:t xml:space="preserve">une </w:t>
      </w:r>
      <w:r w:rsidR="001B49F8">
        <w:t>arme</w:t>
      </w:r>
      <w:r w:rsidR="00D23AB1">
        <w:t xml:space="preserve"> parmi d’autres</w:t>
      </w:r>
      <w:r w:rsidR="001B44EE">
        <w:t xml:space="preserve">, </w:t>
      </w:r>
      <w:r w:rsidR="007D5118">
        <w:t>à mille lieues</w:t>
      </w:r>
      <w:r w:rsidR="001B44EE">
        <w:t xml:space="preserve"> du souverain qu’il se prétend être</w:t>
      </w:r>
      <w:r w:rsidR="001B49F8">
        <w:rPr>
          <w:rStyle w:val="Marquenotebasdepage"/>
        </w:rPr>
        <w:footnoteReference w:id="18"/>
      </w:r>
      <w:r w:rsidR="001B44EE">
        <w:t xml:space="preserve">. </w:t>
      </w:r>
    </w:p>
    <w:p w14:paraId="4B921095" w14:textId="77777777" w:rsidR="007D5118" w:rsidRDefault="007D5118" w:rsidP="00845C31">
      <w:pPr>
        <w:spacing w:line="360" w:lineRule="auto"/>
        <w:jc w:val="both"/>
      </w:pPr>
    </w:p>
    <w:p w14:paraId="16998154" w14:textId="7B91A859" w:rsidR="006B2D50" w:rsidRDefault="00096849" w:rsidP="00845C31">
      <w:pPr>
        <w:spacing w:line="360" w:lineRule="auto"/>
        <w:jc w:val="both"/>
      </w:pPr>
      <w:r>
        <w:t xml:space="preserve">La prétention du droit à la </w:t>
      </w:r>
      <w:r w:rsidRPr="00096849">
        <w:rPr>
          <w:i/>
        </w:rPr>
        <w:t>complétude</w:t>
      </w:r>
      <w:r>
        <w:t>, voire à l’</w:t>
      </w:r>
      <w:r>
        <w:rPr>
          <w:i/>
        </w:rPr>
        <w:t xml:space="preserve">exhaustivité </w:t>
      </w:r>
      <w:r>
        <w:t xml:space="preserve">ne sort pas davantage indemne d’une analyse interdisciplinaire. </w:t>
      </w:r>
      <w:r w:rsidR="005436E7">
        <w:t xml:space="preserve">S’agissant des lacunes du droit, </w:t>
      </w:r>
      <w:r w:rsidR="00EA2C85">
        <w:t>la philosophie, les études littéraires et la linguistique</w:t>
      </w:r>
      <w:r w:rsidR="005436E7">
        <w:t xml:space="preserve"> nous </w:t>
      </w:r>
      <w:r w:rsidR="00056846">
        <w:t xml:space="preserve">mettent </w:t>
      </w:r>
      <w:r w:rsidR="005436E7">
        <w:t>en garde contre l’illusion qu’à un mot correspond</w:t>
      </w:r>
      <w:r w:rsidR="00EA2C85">
        <w:t>r</w:t>
      </w:r>
      <w:r w:rsidR="005436E7">
        <w:t xml:space="preserve">ait une </w:t>
      </w:r>
      <w:r w:rsidR="00EA2C85">
        <w:t xml:space="preserve">et une seule signification, reléguant au statut de mirage la sacro-sainte intention du législateur et </w:t>
      </w:r>
      <w:r w:rsidR="005436E7">
        <w:t xml:space="preserve">l’adage </w:t>
      </w:r>
      <w:r w:rsidR="005436E7">
        <w:rPr>
          <w:i/>
        </w:rPr>
        <w:t>in claris non fit interpretati</w:t>
      </w:r>
      <w:r w:rsidR="00A414F0">
        <w:rPr>
          <w:i/>
        </w:rPr>
        <w:t>o</w:t>
      </w:r>
      <w:r w:rsidR="00FF193E" w:rsidRPr="00FF193E">
        <w:rPr>
          <w:rStyle w:val="Marquenotebasdepage"/>
        </w:rPr>
        <w:footnoteReference w:id="19"/>
      </w:r>
      <w:r w:rsidR="005436E7">
        <w:rPr>
          <w:i/>
        </w:rPr>
        <w:t xml:space="preserve">. </w:t>
      </w:r>
      <w:r w:rsidR="00876A4F">
        <w:t>S’engouffrant dans la brèche, l</w:t>
      </w:r>
      <w:r w:rsidR="005436E7">
        <w:t>’économiste, le politologue et le sociologue</w:t>
      </w:r>
      <w:r w:rsidR="00876A4F">
        <w:t xml:space="preserve"> n’auront aucune peine à dévoiler, sous les décisions des juges, les motifs utilitaristes, </w:t>
      </w:r>
      <w:r w:rsidR="00AE3C18">
        <w:t xml:space="preserve">les ressorts </w:t>
      </w:r>
      <w:r w:rsidR="00876A4F">
        <w:t xml:space="preserve">politiques ou </w:t>
      </w:r>
      <w:r w:rsidR="00AE3C18">
        <w:t xml:space="preserve">les habitus </w:t>
      </w:r>
      <w:r w:rsidR="00876A4F">
        <w:t xml:space="preserve">sociaux qui y ont présidé. </w:t>
      </w:r>
      <w:r w:rsidR="002E567A">
        <w:t xml:space="preserve">Plus fondamentalement encore, </w:t>
      </w:r>
      <w:r w:rsidR="00871F3D">
        <w:t>ces mêmes observateurs</w:t>
      </w:r>
      <w:r w:rsidR="00F85A3A">
        <w:t xml:space="preserve"> </w:t>
      </w:r>
      <w:r w:rsidR="004E24A2">
        <w:t>identifieront</w:t>
      </w:r>
      <w:r w:rsidR="00F85A3A">
        <w:t xml:space="preserve"> </w:t>
      </w:r>
      <w:r w:rsidR="00871F3D">
        <w:t>mille et une pratiques qui, des classements d’université aux normes techniques en passant par les estimations des agences de notation, profitent des béances du droit pour s’implanter sur son terrain et le concurrencer</w:t>
      </w:r>
      <w:r w:rsidR="006537A8">
        <w:rPr>
          <w:rStyle w:val="Marquenotebasdepage"/>
        </w:rPr>
        <w:footnoteReference w:id="20"/>
      </w:r>
      <w:r w:rsidR="00871F3D">
        <w:t xml:space="preserve">. </w:t>
      </w:r>
      <w:r w:rsidR="004E24A2">
        <w:t>Enfin,</w:t>
      </w:r>
      <w:r w:rsidR="00FF193E">
        <w:t xml:space="preserve"> </w:t>
      </w:r>
      <w:r w:rsidR="004E24A2">
        <w:t>l</w:t>
      </w:r>
      <w:r w:rsidR="002B749D">
        <w:t xml:space="preserve">e sociologue se trouvera </w:t>
      </w:r>
      <w:r w:rsidR="00A414F0">
        <w:t>à nouveau</w:t>
      </w:r>
      <w:r w:rsidR="00FF193E">
        <w:t xml:space="preserve"> </w:t>
      </w:r>
      <w:r w:rsidR="002B749D">
        <w:t xml:space="preserve">confronté à l’impuissance du droit lorsqu’il s’avisera de l’ineffectivité </w:t>
      </w:r>
      <w:r w:rsidR="004E24A2">
        <w:t>de telle règle juridique</w:t>
      </w:r>
      <w:r w:rsidR="002B749D">
        <w:t xml:space="preserve"> largement ignorée</w:t>
      </w:r>
      <w:r w:rsidR="001D498B">
        <w:t xml:space="preserve"> par ses destinataires</w:t>
      </w:r>
      <w:r w:rsidR="004E24A2">
        <w:t xml:space="preserve"> mais</w:t>
      </w:r>
      <w:r w:rsidR="00AA429E">
        <w:t xml:space="preserve"> artificiellement maintenue en vie dans le musée du droit </w:t>
      </w:r>
      <w:r w:rsidR="004E24A2">
        <w:t>en vertu de</w:t>
      </w:r>
      <w:r w:rsidR="00AA429E">
        <w:t xml:space="preserve"> l’interdiction de l’abrogation par désuétude</w:t>
      </w:r>
      <w:r w:rsidR="001D498B">
        <w:t xml:space="preserve">. </w:t>
      </w:r>
      <w:r w:rsidR="00FF193E">
        <w:t>Quant à l</w:t>
      </w:r>
      <w:r w:rsidR="001D498B">
        <w:t>’anthropologue</w:t>
      </w:r>
      <w:r w:rsidR="00FF193E">
        <w:t>,</w:t>
      </w:r>
      <w:r w:rsidR="001D498B">
        <w:t xml:space="preserve"> </w:t>
      </w:r>
      <w:r w:rsidR="004E24A2">
        <w:t xml:space="preserve">il </w:t>
      </w:r>
      <w:r w:rsidR="0024467F">
        <w:t xml:space="preserve">observera les limites du droit dans la </w:t>
      </w:r>
      <w:r w:rsidR="0024467F" w:rsidRPr="00FF193E">
        <w:t xml:space="preserve">résistance de </w:t>
      </w:r>
      <w:r w:rsidR="008A784B" w:rsidRPr="00FF193E">
        <w:t xml:space="preserve">pratiques </w:t>
      </w:r>
      <w:r w:rsidR="00BA0C1B" w:rsidRPr="00FF193E">
        <w:t>et</w:t>
      </w:r>
      <w:r w:rsidR="00BA0C1B">
        <w:t xml:space="preserve"> de normativités</w:t>
      </w:r>
      <w:r w:rsidR="00160A59">
        <w:t xml:space="preserve"> </w:t>
      </w:r>
      <w:r w:rsidR="00BA0C1B">
        <w:t>traditionnelles</w:t>
      </w:r>
      <w:r w:rsidR="00BF54B4">
        <w:t xml:space="preserve">, que des règles juridiques </w:t>
      </w:r>
      <w:r w:rsidR="001E7290">
        <w:t xml:space="preserve">imposées </w:t>
      </w:r>
      <w:r w:rsidR="00F41219">
        <w:t>par quelque colonisateur</w:t>
      </w:r>
      <w:r w:rsidR="001E7290">
        <w:t xml:space="preserve"> </w:t>
      </w:r>
      <w:r w:rsidR="00BF54B4">
        <w:t>ne sont pas parvenues à éradiquer</w:t>
      </w:r>
      <w:r w:rsidR="00160A59">
        <w:t>.</w:t>
      </w:r>
      <w:r w:rsidR="008A784B">
        <w:t xml:space="preserve"> </w:t>
      </w:r>
    </w:p>
    <w:p w14:paraId="43FFC6C6" w14:textId="77777777" w:rsidR="00DD1866" w:rsidRPr="008C55A5" w:rsidRDefault="00DD1866" w:rsidP="00845C31">
      <w:pPr>
        <w:spacing w:line="360" w:lineRule="auto"/>
        <w:jc w:val="both"/>
      </w:pPr>
    </w:p>
    <w:p w14:paraId="717E1CC9" w14:textId="0C4EA3AE" w:rsidR="00DD6B44" w:rsidRPr="00DD6B44" w:rsidRDefault="00DD6B44" w:rsidP="00845C31">
      <w:pPr>
        <w:spacing w:line="360" w:lineRule="auto"/>
        <w:jc w:val="both"/>
        <w:rPr>
          <w:b/>
        </w:rPr>
      </w:pPr>
      <w:r>
        <w:rPr>
          <w:b/>
        </w:rPr>
        <w:t>III. D’un point de vue externe modéré (ou interne modérément ouvert)</w:t>
      </w:r>
      <w:r w:rsidR="00F0579E">
        <w:rPr>
          <w:b/>
        </w:rPr>
        <w:t xml:space="preserve"> – Le mythe </w:t>
      </w:r>
    </w:p>
    <w:p w14:paraId="0CCEE143" w14:textId="77777777" w:rsidR="00DD6B44" w:rsidRDefault="00DD6B44" w:rsidP="00845C31">
      <w:pPr>
        <w:spacing w:line="360" w:lineRule="auto"/>
        <w:jc w:val="both"/>
        <w:rPr>
          <w:b/>
        </w:rPr>
      </w:pPr>
    </w:p>
    <w:p w14:paraId="4FBC4E8E" w14:textId="6EEAFE4B" w:rsidR="00034980" w:rsidRDefault="00034980" w:rsidP="00845C31">
      <w:pPr>
        <w:spacing w:line="360" w:lineRule="auto"/>
        <w:jc w:val="both"/>
      </w:pPr>
      <w:r>
        <w:t>Résumons le chemin parcouru jusqu’ici. Dans un premie</w:t>
      </w:r>
      <w:r w:rsidR="009D1ECE">
        <w:t>r temps, nous avons observé qu’appréhendée d’un point de vue interne</w:t>
      </w:r>
      <w:r>
        <w:t xml:space="preserve">, l’ « infinitude » du droit – sa toute-puissance et sa complétude – constitue le fondement, la clef de voûte de ce dernier. </w:t>
      </w:r>
      <w:r w:rsidR="009D1ECE">
        <w:t xml:space="preserve">Progressant dans notre </w:t>
      </w:r>
      <w:r w:rsidR="005A6442">
        <w:t>réflexion</w:t>
      </w:r>
      <w:r w:rsidR="009D1ECE">
        <w:t xml:space="preserve">, nous avons ensuite pu constater qu’une fois jaugée de l’extérieur de la « pyramide du droit », cette caractéristique </w:t>
      </w:r>
      <w:r w:rsidR="00EC0E9E">
        <w:t>fondamentale</w:t>
      </w:r>
      <w:r w:rsidR="009D1ECE">
        <w:t xml:space="preserve"> s’apparentait à une illusion, </w:t>
      </w:r>
      <w:r w:rsidR="00AA6070">
        <w:t xml:space="preserve">à </w:t>
      </w:r>
      <w:r w:rsidR="009D1ECE">
        <w:t>une mystification.</w:t>
      </w:r>
    </w:p>
    <w:p w14:paraId="12C4C58C" w14:textId="77777777" w:rsidR="00DE2EB2" w:rsidRDefault="00DE2EB2" w:rsidP="00845C31">
      <w:pPr>
        <w:spacing w:line="360" w:lineRule="auto"/>
        <w:jc w:val="both"/>
      </w:pPr>
    </w:p>
    <w:p w14:paraId="419918BC" w14:textId="7DACB8C0" w:rsidR="00FA6E6F" w:rsidRDefault="00AA6070" w:rsidP="00845C31">
      <w:pPr>
        <w:spacing w:line="360" w:lineRule="auto"/>
        <w:jc w:val="both"/>
      </w:pPr>
      <w:r>
        <w:t xml:space="preserve">Cette opposition de points de vue semble mener à une impasse. Comment une même caractéristique peut-elle </w:t>
      </w:r>
      <w:r w:rsidR="00EC5369">
        <w:t>être considérée</w:t>
      </w:r>
      <w:r>
        <w:t xml:space="preserve"> à la fois </w:t>
      </w:r>
      <w:r w:rsidR="00EC5369">
        <w:t>comme</w:t>
      </w:r>
      <w:r>
        <w:t xml:space="preserve"> le </w:t>
      </w:r>
      <w:r w:rsidR="00A414F0">
        <w:t xml:space="preserve">cœur d’une discipline </w:t>
      </w:r>
      <w:r w:rsidR="00EC5369">
        <w:t xml:space="preserve">réputée sérieuse </w:t>
      </w:r>
      <w:r w:rsidR="00A414F0">
        <w:t xml:space="preserve">et </w:t>
      </w:r>
      <w:r w:rsidR="00DC355D">
        <w:t>dénoncée</w:t>
      </w:r>
      <w:r w:rsidR="00EC5369">
        <w:t xml:space="preserve"> comme</w:t>
      </w:r>
      <w:r w:rsidR="00A414F0">
        <w:t xml:space="preserve"> une </w:t>
      </w:r>
      <w:r w:rsidR="00EC5369">
        <w:t>vulgaire</w:t>
      </w:r>
      <w:r w:rsidR="00A414F0">
        <w:t xml:space="preserve"> mascarade ? </w:t>
      </w:r>
      <w:r w:rsidR="00A96340">
        <w:t>Au risque de nombreux raccourcis, il nous semble que</w:t>
      </w:r>
      <w:r w:rsidR="00E4401E">
        <w:t xml:space="preserve"> </w:t>
      </w:r>
      <w:r w:rsidR="00A96340">
        <w:t>trois</w:t>
      </w:r>
      <w:r w:rsidR="00E4401E">
        <w:t xml:space="preserve"> attitudes sont possibles</w:t>
      </w:r>
      <w:r w:rsidR="00A96340">
        <w:t xml:space="preserve"> face à ce constat</w:t>
      </w:r>
      <w:r>
        <w:t xml:space="preserve"> </w:t>
      </w:r>
      <w:r>
        <w:rPr>
          <w:i/>
        </w:rPr>
        <w:t xml:space="preserve">a priori </w:t>
      </w:r>
      <w:r>
        <w:t>aporétique</w:t>
      </w:r>
      <w:r w:rsidR="00E4401E">
        <w:t xml:space="preserve">. </w:t>
      </w:r>
    </w:p>
    <w:p w14:paraId="7D50B2D6" w14:textId="77777777" w:rsidR="00FA6E6F" w:rsidRDefault="00FA6E6F" w:rsidP="00845C31">
      <w:pPr>
        <w:spacing w:line="360" w:lineRule="auto"/>
        <w:jc w:val="both"/>
      </w:pPr>
    </w:p>
    <w:p w14:paraId="1BE9AD69" w14:textId="2E373466" w:rsidR="00FA6E6F" w:rsidRDefault="00E4401E" w:rsidP="00845C31">
      <w:pPr>
        <w:spacing w:line="360" w:lineRule="auto"/>
        <w:jc w:val="both"/>
      </w:pPr>
      <w:r>
        <w:t xml:space="preserve">La première consiste </w:t>
      </w:r>
      <w:r w:rsidR="00AA6070">
        <w:t xml:space="preserve">tout simplement </w:t>
      </w:r>
      <w:r>
        <w:t xml:space="preserve">à dénigrer </w:t>
      </w:r>
      <w:r w:rsidR="00AA6070">
        <w:t xml:space="preserve">la pertinence ou la « véracité » d’un des deux points de vue. </w:t>
      </w:r>
      <w:r w:rsidR="00A67764">
        <w:t xml:space="preserve">De Marx aux réalistes américains, nombreux sont </w:t>
      </w:r>
      <w:r w:rsidR="00AA6070">
        <w:t xml:space="preserve">ainsi </w:t>
      </w:r>
      <w:r w:rsidR="00A67764">
        <w:t xml:space="preserve">ceux qui ont </w:t>
      </w:r>
      <w:r w:rsidR="00FB4A15">
        <w:t>rejeté</w:t>
      </w:r>
      <w:r w:rsidR="00A67764">
        <w:t xml:space="preserve"> </w:t>
      </w:r>
      <w:r w:rsidR="00FB4A15">
        <w:t>la</w:t>
      </w:r>
      <w:r w:rsidR="00A67764">
        <w:t xml:space="preserve"> prétention du droit à s’</w:t>
      </w:r>
      <w:r w:rsidR="00FB4A15">
        <w:t xml:space="preserve">ériger en </w:t>
      </w:r>
      <w:r w:rsidR="00AA6070">
        <w:t xml:space="preserve">un </w:t>
      </w:r>
      <w:r w:rsidR="00FB4A15">
        <w:t>système autonome et</w:t>
      </w:r>
      <w:r w:rsidR="00A67764">
        <w:t xml:space="preserve"> complet</w:t>
      </w:r>
      <w:r w:rsidR="00AA6070">
        <w:t xml:space="preserve">, discréditant </w:t>
      </w:r>
      <w:r w:rsidR="00A54B91">
        <w:t>par là</w:t>
      </w:r>
      <w:r w:rsidR="00AA6070">
        <w:t xml:space="preserve"> le discours du droit sur lui-même</w:t>
      </w:r>
      <w:r w:rsidR="00A67764">
        <w:t xml:space="preserve">. </w:t>
      </w:r>
      <w:r w:rsidR="0062013E">
        <w:t>A l’inverse, mais le propos manque sûrement de nuance, on serait tenté de voir dans la pensée de Dworkin une tentative de faire barrage à ce qu’il appelle les sceptiques</w:t>
      </w:r>
      <w:r w:rsidR="0062013E">
        <w:rPr>
          <w:rStyle w:val="Marquenotebasdepage"/>
        </w:rPr>
        <w:footnoteReference w:id="21"/>
      </w:r>
      <w:r w:rsidR="0062013E">
        <w:t xml:space="preserve"> et ceux </w:t>
      </w:r>
      <w:r w:rsidR="008E277E">
        <w:t>dont les</w:t>
      </w:r>
      <w:r w:rsidR="0062013E">
        <w:t xml:space="preserve"> théories</w:t>
      </w:r>
      <w:r w:rsidR="008E277E">
        <w:t xml:space="preserve"> aboutissent à faire passer </w:t>
      </w:r>
      <w:r w:rsidR="0062013E">
        <w:t>les juges comme de « pieux menteurs » ou des « simples d’esprit »</w:t>
      </w:r>
      <w:r w:rsidR="0062013E">
        <w:rPr>
          <w:rStyle w:val="Marquenotebasdepage"/>
        </w:rPr>
        <w:footnoteReference w:id="22"/>
      </w:r>
      <w:r w:rsidR="00FA6E6F">
        <w:t>.</w:t>
      </w:r>
    </w:p>
    <w:p w14:paraId="324F68F7" w14:textId="77777777" w:rsidR="00FA6E6F" w:rsidRDefault="00FA6E6F" w:rsidP="00845C31">
      <w:pPr>
        <w:spacing w:line="360" w:lineRule="auto"/>
        <w:jc w:val="both"/>
      </w:pPr>
    </w:p>
    <w:p w14:paraId="2DAA286F" w14:textId="0140ECC2" w:rsidR="00FA6E6F" w:rsidRDefault="00AA6070" w:rsidP="00845C31">
      <w:pPr>
        <w:spacing w:line="360" w:lineRule="auto"/>
        <w:jc w:val="both"/>
      </w:pPr>
      <w:r>
        <w:t>Une</w:t>
      </w:r>
      <w:r w:rsidR="00FB4A15">
        <w:t xml:space="preserve"> deuxième réaction consiste à tenir </w:t>
      </w:r>
      <w:r>
        <w:t xml:space="preserve">à distance l’une des deux perspectives. </w:t>
      </w:r>
      <w:r w:rsidR="00FB4A15">
        <w:t xml:space="preserve">C’est </w:t>
      </w:r>
      <w:r w:rsidR="00F47F1A">
        <w:t>notamment la position de Kelsen qui, sans nier la pertinence d’un regar</w:t>
      </w:r>
      <w:r w:rsidR="002D2C19">
        <w:t>d externe sur le droit, estime</w:t>
      </w:r>
      <w:r w:rsidR="00F47F1A">
        <w:t xml:space="preserve"> possible et nécessaire d’étudier le droit de manière « pure » </w:t>
      </w:r>
      <w:r w:rsidR="00A51969">
        <w:t xml:space="preserve">en s’attachant à </w:t>
      </w:r>
      <w:r w:rsidR="002D2C19">
        <w:t xml:space="preserve">l’analyse de </w:t>
      </w:r>
      <w:r w:rsidR="00A51969">
        <w:t>ses</w:t>
      </w:r>
      <w:r w:rsidR="00F47F1A">
        <w:t xml:space="preserve"> normes</w:t>
      </w:r>
      <w:r w:rsidR="00A51969">
        <w:t>,</w:t>
      </w:r>
      <w:r w:rsidR="00F47F1A">
        <w:t xml:space="preserve"> qui en sont l’alpha et </w:t>
      </w:r>
      <w:r w:rsidR="00CA131F">
        <w:t>l’oméga</w:t>
      </w:r>
      <w:r w:rsidR="00F47F1A">
        <w:t>.</w:t>
      </w:r>
      <w:r>
        <w:t xml:space="preserve"> </w:t>
      </w:r>
      <w:r w:rsidR="002D2C19">
        <w:t xml:space="preserve">Si elle ne se réclame pas de la même pureté, la pensée de </w:t>
      </w:r>
      <w:r w:rsidRPr="004B65E4">
        <w:t xml:space="preserve">Hart </w:t>
      </w:r>
      <w:r w:rsidR="002D2C19">
        <w:t xml:space="preserve">procède sans doute de ce même choix méthodologique. Le philosophe britannique </w:t>
      </w:r>
      <w:r w:rsidRPr="004B65E4">
        <w:t xml:space="preserve">va du reste jusqu’à affirmer qu’on ne peut rien comprendre du droit </w:t>
      </w:r>
      <w:r w:rsidR="00F91AD5" w:rsidRPr="004B65E4">
        <w:t xml:space="preserve">– et, plus largement des règles sociales – </w:t>
      </w:r>
      <w:r w:rsidRPr="004B65E4">
        <w:t xml:space="preserve">si </w:t>
      </w:r>
      <w:r w:rsidR="00F91AD5" w:rsidRPr="004B65E4">
        <w:t xml:space="preserve">l’on se cantonne à un point de vue externe qui néglige </w:t>
      </w:r>
      <w:r w:rsidR="00FF0112" w:rsidRPr="004B65E4">
        <w:t>« </w:t>
      </w:r>
      <w:r w:rsidR="00F91AD5" w:rsidRPr="004B65E4">
        <w:t>l’aspect interne des règles</w:t>
      </w:r>
      <w:r w:rsidR="00FF0112" w:rsidRPr="004B65E4">
        <w:t> »</w:t>
      </w:r>
      <w:r w:rsidR="00FF0112" w:rsidRPr="004B65E4">
        <w:rPr>
          <w:rStyle w:val="Marquenotebasdepage"/>
        </w:rPr>
        <w:footnoteReference w:id="23"/>
      </w:r>
      <w:r w:rsidR="00F91AD5" w:rsidRPr="004B65E4">
        <w:t>.</w:t>
      </w:r>
      <w:r w:rsidR="00F47F1A">
        <w:t xml:space="preserve"> </w:t>
      </w:r>
    </w:p>
    <w:p w14:paraId="22508A9C" w14:textId="77777777" w:rsidR="00FA6E6F" w:rsidRDefault="00FA6E6F" w:rsidP="00845C31">
      <w:pPr>
        <w:spacing w:line="360" w:lineRule="auto"/>
        <w:jc w:val="both"/>
      </w:pPr>
    </w:p>
    <w:p w14:paraId="1CAA2FC4" w14:textId="5F6071B1" w:rsidR="00FA6E6F" w:rsidRDefault="00BC6936" w:rsidP="00845C31">
      <w:pPr>
        <w:spacing w:line="360" w:lineRule="auto"/>
        <w:jc w:val="both"/>
      </w:pPr>
      <w:r>
        <w:t xml:space="preserve">On serait tenté de </w:t>
      </w:r>
      <w:r w:rsidR="00FA6E6F">
        <w:t xml:space="preserve">discerner une démarche parallèle, mais en sens inverse, dans la théorie du droit global développée par le Centre Perelman de l’Université Libre de Bruxelles. </w:t>
      </w:r>
      <w:r w:rsidR="00792572">
        <w:t>Cette théorie fait délibérément</w:t>
      </w:r>
      <w:r w:rsidR="0092653B">
        <w:t xml:space="preserve"> l’impasse sur le point de</w:t>
      </w:r>
      <w:r w:rsidR="00792572">
        <w:t xml:space="preserve"> vue interne des juristes et laisse </w:t>
      </w:r>
      <w:r w:rsidR="00FA6E6F">
        <w:t xml:space="preserve">de côté les discussions relatives à </w:t>
      </w:r>
      <w:r w:rsidR="0092653B">
        <w:t>la spécificité</w:t>
      </w:r>
      <w:r w:rsidR="00FA6E6F">
        <w:t xml:space="preserve"> du droit</w:t>
      </w:r>
      <w:r w:rsidR="0092653B">
        <w:t xml:space="preserve"> </w:t>
      </w:r>
      <w:r w:rsidR="00071B24">
        <w:t xml:space="preserve">– qu’elle semble tenir pour oiseuses – </w:t>
      </w:r>
      <w:r w:rsidR="0092653B">
        <w:t xml:space="preserve">pour s’intéresser aux nombreuses formes de normativité qui viennent concurrencer le droit tel qu’il se définit classiquement. </w:t>
      </w:r>
      <w:r w:rsidR="00071B24">
        <w:t>Les</w:t>
      </w:r>
      <w:r w:rsidR="0092653B">
        <w:t xml:space="preserve"> juristes </w:t>
      </w:r>
      <w:r w:rsidR="00071B24">
        <w:t xml:space="preserve">sont ainsi invités </w:t>
      </w:r>
      <w:r w:rsidR="0092653B">
        <w:t xml:space="preserve">à s’aventurer à l’extérieur de la pyramide du droit pour </w:t>
      </w:r>
      <w:r w:rsidR="00071B24">
        <w:t>s’intéresser à d’autres types de normes</w:t>
      </w:r>
      <w:r w:rsidR="00AB26C5">
        <w:t xml:space="preserve"> (codes de gouvernance, </w:t>
      </w:r>
      <w:r w:rsidR="00AB26C5">
        <w:rPr>
          <w:i/>
        </w:rPr>
        <w:t xml:space="preserve">rankings </w:t>
      </w:r>
      <w:r w:rsidR="00AB26C5">
        <w:t>des universités, normes ISO, etc.)</w:t>
      </w:r>
      <w:r w:rsidR="00071B24">
        <w:t xml:space="preserve"> qui « ne peuvent être délaissées uniquement aux autres sciences sociales »</w:t>
      </w:r>
      <w:r w:rsidR="00AB26C5">
        <w:rPr>
          <w:rStyle w:val="Marquenotebasdepage"/>
        </w:rPr>
        <w:footnoteReference w:id="24"/>
      </w:r>
      <w:r w:rsidR="00071B24">
        <w:t xml:space="preserve">. </w:t>
      </w:r>
    </w:p>
    <w:p w14:paraId="0686C975" w14:textId="77777777" w:rsidR="00665C92" w:rsidRDefault="00665C92" w:rsidP="00845C31">
      <w:pPr>
        <w:spacing w:line="360" w:lineRule="auto"/>
        <w:jc w:val="both"/>
      </w:pPr>
    </w:p>
    <w:p w14:paraId="29598558" w14:textId="29208756" w:rsidR="006B6653" w:rsidRDefault="00CC6C9D" w:rsidP="00845C31">
      <w:pPr>
        <w:spacing w:line="360" w:lineRule="auto"/>
        <w:jc w:val="both"/>
      </w:pPr>
      <w:r>
        <w:t>Une troisième attitude</w:t>
      </w:r>
      <w:r w:rsidR="008828BE">
        <w:t xml:space="preserve">, </w:t>
      </w:r>
      <w:r w:rsidR="00CA131F">
        <w:t>sans doute</w:t>
      </w:r>
      <w:r w:rsidR="008828BE">
        <w:t xml:space="preserve"> plus risquée</w:t>
      </w:r>
      <w:r w:rsidR="003D1008">
        <w:t xml:space="preserve"> mais aussi intellectuellement plus stimulante</w:t>
      </w:r>
      <w:r w:rsidR="008828BE">
        <w:t>,</w:t>
      </w:r>
      <w:r w:rsidR="00ED3EB0">
        <w:t xml:space="preserve"> consiste </w:t>
      </w:r>
      <w:r w:rsidR="0048446E">
        <w:t xml:space="preserve">à </w:t>
      </w:r>
      <w:r w:rsidR="00EB6EF5">
        <w:t xml:space="preserve">fournir une </w:t>
      </w:r>
      <w:r w:rsidR="002D2C19">
        <w:t>analyse</w:t>
      </w:r>
      <w:r w:rsidR="00EB6EF5">
        <w:t xml:space="preserve"> du phénomène juridique qui</w:t>
      </w:r>
      <w:r w:rsidR="005A28A2">
        <w:t>, d’une manière ou d’une autre,</w:t>
      </w:r>
      <w:r w:rsidR="00EB6EF5">
        <w:t xml:space="preserve"> </w:t>
      </w:r>
      <w:r w:rsidR="005A28A2">
        <w:t>tient compte</w:t>
      </w:r>
      <w:r w:rsidR="00EB6EF5">
        <w:t xml:space="preserve"> </w:t>
      </w:r>
      <w:r w:rsidR="005A28A2">
        <w:t>des</w:t>
      </w:r>
      <w:r w:rsidR="00EB6EF5">
        <w:t xml:space="preserve"> deux </w:t>
      </w:r>
      <w:r w:rsidR="00537B5E">
        <w:t>points de vue</w:t>
      </w:r>
      <w:r w:rsidR="00EB6EF5">
        <w:t xml:space="preserve">. </w:t>
      </w:r>
      <w:r w:rsidR="00EF50F4">
        <w:t>Ce</w:t>
      </w:r>
      <w:r w:rsidR="00537B5E">
        <w:t xml:space="preserve">tte mise en relation des perspectives interne et externe </w:t>
      </w:r>
      <w:r w:rsidR="005A41F2">
        <w:t>peut</w:t>
      </w:r>
      <w:r w:rsidR="00EF50F4">
        <w:t xml:space="preserve"> prendre différentes formes.</w:t>
      </w:r>
      <w:r w:rsidR="00537B5E">
        <w:t xml:space="preserve"> </w:t>
      </w:r>
      <w:r w:rsidR="003D1008">
        <w:t xml:space="preserve">Deux d’entre elles connaissent </w:t>
      </w:r>
      <w:r w:rsidR="002D2C19">
        <w:t xml:space="preserve">actuellement </w:t>
      </w:r>
      <w:r w:rsidR="003D1008">
        <w:t>un succès important dans la théorie du droit francophone</w:t>
      </w:r>
      <w:r w:rsidR="00537B5E">
        <w:t xml:space="preserve">. </w:t>
      </w:r>
    </w:p>
    <w:p w14:paraId="17F92553" w14:textId="77777777" w:rsidR="006B6653" w:rsidRDefault="006B6653" w:rsidP="00845C31">
      <w:pPr>
        <w:spacing w:line="360" w:lineRule="auto"/>
        <w:jc w:val="both"/>
      </w:pPr>
    </w:p>
    <w:p w14:paraId="4C19AC74" w14:textId="6744ACF9" w:rsidR="006B6653" w:rsidRDefault="00537B5E" w:rsidP="00845C31">
      <w:pPr>
        <w:spacing w:line="360" w:lineRule="auto"/>
        <w:jc w:val="both"/>
      </w:pPr>
      <w:r>
        <w:t xml:space="preserve">La </w:t>
      </w:r>
      <w:r w:rsidR="00977DE2">
        <w:t>première, la théorie dite « des contraintes juridiques »,</w:t>
      </w:r>
      <w:r w:rsidR="00BF2C48">
        <w:t xml:space="preserve"> consiste en quelque sorte à transplanter le point de vue interne au sein du point de vue externe</w:t>
      </w:r>
      <w:r w:rsidR="003F46CD">
        <w:rPr>
          <w:rStyle w:val="Marquenotebasdepage"/>
        </w:rPr>
        <w:footnoteReference w:id="25"/>
      </w:r>
      <w:r w:rsidR="00BF2C48">
        <w:t xml:space="preserve">. Cette théorie prend appui sur une approche réaliste du droit, </w:t>
      </w:r>
      <w:r w:rsidR="00EF5C0B">
        <w:t xml:space="preserve">elle-même </w:t>
      </w:r>
      <w:r w:rsidR="00BF2C48">
        <w:t>fermement ancrée dans un point de vue externe</w:t>
      </w:r>
      <w:r w:rsidR="003F7AB3">
        <w:t xml:space="preserve">. Elle postule notamment que la norme n’oblige pas directement le juge, dont le raisonnement est influencé par toutes sortes de contraintes – psychologiques, sociologiques, etc. Cependant, loin de sombrer dans un scepticisme </w:t>
      </w:r>
      <w:r w:rsidR="006B6653">
        <w:t>total</w:t>
      </w:r>
      <w:r w:rsidR="00930024">
        <w:t xml:space="preserve"> </w:t>
      </w:r>
      <w:r w:rsidR="006B6653">
        <w:t>qui aboutirait à nier la spécificité du droit</w:t>
      </w:r>
      <w:r w:rsidR="003F7AB3">
        <w:t xml:space="preserve">, cette </w:t>
      </w:r>
      <w:r w:rsidR="002D2C19">
        <w:t>théorie</w:t>
      </w:r>
      <w:r w:rsidR="003F7AB3">
        <w:t xml:space="preserve"> fait le pari qu’il existe des contraintes </w:t>
      </w:r>
      <w:r w:rsidR="006B6653">
        <w:t>proprement</w:t>
      </w:r>
      <w:r w:rsidR="003F7AB3">
        <w:t xml:space="preserve"> juridiques</w:t>
      </w:r>
      <w:r w:rsidR="003F46CD">
        <w:t>, au moins dans l’esprit de ceux qui les ressentent</w:t>
      </w:r>
      <w:r w:rsidR="00930024">
        <w:t xml:space="preserve">. Ce type de contrainte est défini comme </w:t>
      </w:r>
      <w:r w:rsidR="006B6653">
        <w:t>« </w:t>
      </w:r>
      <w:r w:rsidR="00930024">
        <w:t>une situation de fait dans laquelle un acteur de droit est conduit à adopter telle solution ou tel comportement plutôt qu’une ou</w:t>
      </w:r>
      <w:r w:rsidR="006B6653">
        <w:t xml:space="preserve"> </w:t>
      </w:r>
      <w:r w:rsidR="00930024">
        <w:t>un autre, en raison de la configuration du système juridique qu’il met en place ou dans lequel il opère »</w:t>
      </w:r>
      <w:r w:rsidR="00930024">
        <w:rPr>
          <w:rStyle w:val="Marquenotebasdepage"/>
        </w:rPr>
        <w:footnoteReference w:id="26"/>
      </w:r>
      <w:r w:rsidR="00930024">
        <w:t>.</w:t>
      </w:r>
      <w:r w:rsidR="00A96340">
        <w:t xml:space="preserve"> </w:t>
      </w:r>
      <w:r w:rsidR="008828BE">
        <w:t>En ce sens, cette théorie réintroduit la dimension interne du droit au sein d’une entreprise externe d’explication des modes de production de ce dernier.</w:t>
      </w:r>
    </w:p>
    <w:p w14:paraId="7D3BA583" w14:textId="77777777" w:rsidR="006B6653" w:rsidRDefault="006B6653" w:rsidP="00845C31">
      <w:pPr>
        <w:spacing w:line="360" w:lineRule="auto"/>
        <w:jc w:val="both"/>
      </w:pPr>
    </w:p>
    <w:p w14:paraId="3A2BA091" w14:textId="3507E176" w:rsidR="002D1F35" w:rsidRDefault="00453598" w:rsidP="00845C31">
      <w:pPr>
        <w:spacing w:line="360" w:lineRule="auto"/>
        <w:jc w:val="both"/>
      </w:pPr>
      <w:r>
        <w:t>S</w:t>
      </w:r>
      <w:r w:rsidR="003D1008">
        <w:t>timulante à plus d’un titre, cette approche</w:t>
      </w:r>
      <w:r w:rsidR="002D1F35">
        <w:t xml:space="preserve"> manque cependant l’essentiel pour notre propos : en passant à côté du paradoxe de l’infinitude du droit</w:t>
      </w:r>
      <w:r w:rsidR="003D1008">
        <w:t xml:space="preserve"> </w:t>
      </w:r>
      <w:r w:rsidR="002D1F35">
        <w:t>(comment peut-on être à la fois et en même temps fondement et mystification ?), elle s’interdit de penser la spécificité de ce dernier – mais là n’est sans doute pas son objectif</w:t>
      </w:r>
      <w:r>
        <w:t xml:space="preserve"> – et se condamne à une position épistémologique inconfortable: à la fois dedans et dehors, </w:t>
      </w:r>
      <w:r w:rsidR="00CB75B1">
        <w:t>prétendant faire</w:t>
      </w:r>
      <w:r>
        <w:t xml:space="preserve"> œuvre </w:t>
      </w:r>
      <w:r w:rsidRPr="00453598">
        <w:rPr>
          <w:i/>
        </w:rPr>
        <w:t>explicative</w:t>
      </w:r>
      <w:r>
        <w:t xml:space="preserve"> mais néanmoins exclusivement </w:t>
      </w:r>
      <w:r w:rsidRPr="00453598">
        <w:rPr>
          <w:i/>
        </w:rPr>
        <w:t>juridique</w:t>
      </w:r>
      <w:r w:rsidR="002D1F35">
        <w:t>.</w:t>
      </w:r>
    </w:p>
    <w:p w14:paraId="5A764FB6" w14:textId="77777777" w:rsidR="002D1F35" w:rsidRDefault="002D1F35" w:rsidP="00845C31">
      <w:pPr>
        <w:spacing w:line="360" w:lineRule="auto"/>
        <w:jc w:val="both"/>
      </w:pPr>
    </w:p>
    <w:p w14:paraId="77868A2D" w14:textId="11E0A9D9" w:rsidR="00F25152" w:rsidRDefault="005E17D0" w:rsidP="00845C31">
      <w:pPr>
        <w:spacing w:line="360" w:lineRule="auto"/>
        <w:jc w:val="both"/>
      </w:pPr>
      <w:r>
        <w:t xml:space="preserve">La théorie interdisciplinaire du droit </w:t>
      </w:r>
      <w:r w:rsidR="00C41B54">
        <w:t>élaborée</w:t>
      </w:r>
      <w:r>
        <w:t xml:space="preserve"> par Ost et van de Kerchove </w:t>
      </w:r>
      <w:r w:rsidR="00C41B54">
        <w:t xml:space="preserve">constitue quant à elle une tentative </w:t>
      </w:r>
      <w:r w:rsidR="002A51A8">
        <w:t>explicite</w:t>
      </w:r>
      <w:r w:rsidR="00453598">
        <w:t xml:space="preserve"> et réfléchie</w:t>
      </w:r>
      <w:r w:rsidR="00C41B54">
        <w:t xml:space="preserve"> de mêler les approches interne et externe du droit pour cerner au plu</w:t>
      </w:r>
      <w:r w:rsidR="002A51A8">
        <w:t>s près la spécificité d</w:t>
      </w:r>
      <w:r w:rsidR="002D2C19">
        <w:t>e ce dernier</w:t>
      </w:r>
      <w:r w:rsidR="00A835B7">
        <w:rPr>
          <w:rStyle w:val="Marquenotebasdepage"/>
        </w:rPr>
        <w:footnoteReference w:id="27"/>
      </w:r>
      <w:r w:rsidR="002A51A8">
        <w:t>.</w:t>
      </w:r>
      <w:r w:rsidR="00C41B54">
        <w:t xml:space="preserve"> </w:t>
      </w:r>
      <w:r w:rsidR="003F38DE">
        <w:t>Empruntant à Hart le concept de</w:t>
      </w:r>
      <w:r w:rsidR="00C41B54">
        <w:t xml:space="preserve"> « point de vue externe modéré », cette théorie ambitionne d’être </w:t>
      </w:r>
      <w:r w:rsidR="002A51A8">
        <w:t>« </w:t>
      </w:r>
      <w:r w:rsidR="00C41B54">
        <w:t xml:space="preserve">une instance de médiation entre une théorie analytique ou descriptive du droit – dont la </w:t>
      </w:r>
      <w:r w:rsidR="00C41B54">
        <w:rPr>
          <w:i/>
        </w:rPr>
        <w:t xml:space="preserve">Théorie pure du </w:t>
      </w:r>
      <w:r w:rsidR="00C41B54" w:rsidRPr="00C41B54">
        <w:rPr>
          <w:i/>
        </w:rPr>
        <w:t>droit</w:t>
      </w:r>
      <w:r w:rsidR="00C41B54">
        <w:t xml:space="preserve"> de Ke</w:t>
      </w:r>
      <w:r w:rsidR="002A51A8">
        <w:t>lsen de</w:t>
      </w:r>
      <w:r w:rsidR="00C41B54">
        <w:t>meure un exemple particulièrement représentatif – et les parties les plus générales des sciences humaines »</w:t>
      </w:r>
      <w:r w:rsidR="00C41B54">
        <w:rPr>
          <w:rStyle w:val="Marquenotebasdepage"/>
        </w:rPr>
        <w:footnoteReference w:id="28"/>
      </w:r>
      <w:r w:rsidR="00C41B54">
        <w:t xml:space="preserve">. </w:t>
      </w:r>
      <w:r w:rsidR="007423BE">
        <w:t>Forts de cette orientation épistémologique</w:t>
      </w:r>
      <w:r w:rsidR="00E10CCC">
        <w:t xml:space="preserve">, Ost et van de Kerchove </w:t>
      </w:r>
      <w:r w:rsidR="00121A1C">
        <w:t>mènent</w:t>
      </w:r>
      <w:r w:rsidR="00B80574">
        <w:t xml:space="preserve"> une entreprise de</w:t>
      </w:r>
      <w:r w:rsidR="00E10CCC">
        <w:t xml:space="preserve"> </w:t>
      </w:r>
      <w:r w:rsidR="00E10CCC" w:rsidRPr="007423BE">
        <w:rPr>
          <w:i/>
        </w:rPr>
        <w:t>compréhension</w:t>
      </w:r>
      <w:r w:rsidR="00E10CCC">
        <w:t xml:space="preserve"> du droit – ni simple </w:t>
      </w:r>
      <w:r w:rsidR="00E10CCC" w:rsidRPr="007423BE">
        <w:rPr>
          <w:i/>
        </w:rPr>
        <w:t>description</w:t>
      </w:r>
      <w:r w:rsidR="00E10CCC">
        <w:t xml:space="preserve"> (qui relève du point de vue interne du juriste), ni pure </w:t>
      </w:r>
      <w:r w:rsidR="00E10CCC" w:rsidRPr="007423BE">
        <w:rPr>
          <w:i/>
        </w:rPr>
        <w:t>explication</w:t>
      </w:r>
      <w:r w:rsidR="00E10CCC">
        <w:t xml:space="preserve"> (qui est l’apanage des autres sciences humaines et sociales) –</w:t>
      </w:r>
      <w:r w:rsidR="00B80574">
        <w:t xml:space="preserve"> tout entière fondée sur le</w:t>
      </w:r>
      <w:r w:rsidR="00E10CCC">
        <w:t xml:space="preserve"> caractère paradoxal</w:t>
      </w:r>
      <w:r w:rsidR="00B80574">
        <w:t xml:space="preserve"> de ce dernier</w:t>
      </w:r>
      <w:r w:rsidR="007423BE">
        <w:rPr>
          <w:rStyle w:val="Marquenotebasdepage"/>
        </w:rPr>
        <w:footnoteReference w:id="29"/>
      </w:r>
      <w:r w:rsidR="00E10CCC">
        <w:t xml:space="preserve">. </w:t>
      </w:r>
      <w:r w:rsidR="00A3398F">
        <w:t>L’observation de ce paradoxe les condu</w:t>
      </w:r>
      <w:r w:rsidR="00121A1C">
        <w:t>it</w:t>
      </w:r>
      <w:r w:rsidR="00A3398F">
        <w:t xml:space="preserve"> à privilégier une compréhension dialectique du droit, placée sous le signe de la relativité : relativité de l’autonomie du droit, de ses frontières, de son ordonnancement, etc</w:t>
      </w:r>
      <w:r w:rsidR="002D2C19">
        <w:t>.</w:t>
      </w:r>
      <w:r w:rsidR="00324C5A">
        <w:rPr>
          <w:rStyle w:val="Marquenotebasdepage"/>
        </w:rPr>
        <w:footnoteReference w:id="30"/>
      </w:r>
      <w:r w:rsidR="006756A8">
        <w:t xml:space="preserve"> </w:t>
      </w:r>
    </w:p>
    <w:p w14:paraId="021D51F0" w14:textId="77777777" w:rsidR="00F25152" w:rsidRDefault="00F25152" w:rsidP="00845C31">
      <w:pPr>
        <w:spacing w:line="360" w:lineRule="auto"/>
        <w:jc w:val="both"/>
      </w:pPr>
    </w:p>
    <w:p w14:paraId="2C17BF6E" w14:textId="77777777" w:rsidR="00324C5A" w:rsidRDefault="008A4CE5" w:rsidP="00845C31">
      <w:pPr>
        <w:spacing w:line="360" w:lineRule="auto"/>
        <w:jc w:val="both"/>
      </w:pPr>
      <w:r>
        <w:t>On</w:t>
      </w:r>
      <w:r w:rsidR="00B42C80">
        <w:t xml:space="preserve"> </w:t>
      </w:r>
      <w:r>
        <w:t xml:space="preserve">ne peut qu’être frappé par la puissance de cette théorie, qui réussit son pari : </w:t>
      </w:r>
      <w:r w:rsidR="00B42C80">
        <w:t xml:space="preserve">présenter une analyse du phénomène juridique </w:t>
      </w:r>
      <w:r w:rsidR="005F1609">
        <w:t xml:space="preserve">tout à la fois critique (externe) </w:t>
      </w:r>
      <w:r w:rsidR="005F1609" w:rsidRPr="00FE787B">
        <w:rPr>
          <w:i/>
        </w:rPr>
        <w:t>et</w:t>
      </w:r>
      <w:r w:rsidR="005F1609">
        <w:t xml:space="preserve"> en dialogue avec le po</w:t>
      </w:r>
      <w:r w:rsidR="003C6AD6">
        <w:t xml:space="preserve">int de vue interne des juristes, offrant à ceux-ci des ouvertures susceptibles d’enrichir leurs </w:t>
      </w:r>
      <w:r w:rsidR="009F766C">
        <w:t xml:space="preserve">propres </w:t>
      </w:r>
      <w:r w:rsidR="003C6AD6">
        <w:t>analyses</w:t>
      </w:r>
      <w:r w:rsidR="003C6AD6">
        <w:rPr>
          <w:rStyle w:val="Marquenotebasdepage"/>
        </w:rPr>
        <w:footnoteReference w:id="31"/>
      </w:r>
      <w:r w:rsidR="003C6AD6">
        <w:t>.</w:t>
      </w:r>
      <w:r w:rsidR="00FE787B">
        <w:t xml:space="preserve"> </w:t>
      </w:r>
      <w:r w:rsidR="00A7483D">
        <w:t>Il est cependant entendu que l’équilibre parfait n’existe pas. A cet égard, on observera</w:t>
      </w:r>
      <w:r w:rsidR="00E043C2">
        <w:t xml:space="preserve"> que la théorie d’Ost et van de Kerchove s’est construite en opposition au modèle positiviste alors (et sans doute aujourd’hui encore) archi-dominant dans les </w:t>
      </w:r>
      <w:r w:rsidR="00056888">
        <w:t>facultés de droit en Belgique et en France. Il en résulte qu’affairés à combattre une doxa fondée sur le point de vue interne, les penseurs belges ont</w:t>
      </w:r>
      <w:r w:rsidR="00A7483D">
        <w:t xml:space="preserve"> sans doute </w:t>
      </w:r>
      <w:r w:rsidR="00324C5A">
        <w:t>cru nécessaire de placer</w:t>
      </w:r>
      <w:r w:rsidR="00A7483D">
        <w:t xml:space="preserve"> davantage l’accent sur la </w:t>
      </w:r>
      <w:r w:rsidR="00A7483D">
        <w:rPr>
          <w:i/>
        </w:rPr>
        <w:t xml:space="preserve">mystification </w:t>
      </w:r>
      <w:r w:rsidR="009F766C">
        <w:t xml:space="preserve">dont procède cette dernière que sur le caractère </w:t>
      </w:r>
      <w:r w:rsidR="009F766C">
        <w:rPr>
          <w:i/>
        </w:rPr>
        <w:t xml:space="preserve">fondamental </w:t>
      </w:r>
      <w:r w:rsidR="009F766C">
        <w:t>(au sens premier du terme) de ses présupposés</w:t>
      </w:r>
      <w:r w:rsidR="00842BB2">
        <w:t xml:space="preserve">. </w:t>
      </w:r>
    </w:p>
    <w:p w14:paraId="743F42FE" w14:textId="77777777" w:rsidR="00324C5A" w:rsidRDefault="00324C5A" w:rsidP="00845C31">
      <w:pPr>
        <w:spacing w:line="360" w:lineRule="auto"/>
        <w:jc w:val="both"/>
      </w:pPr>
    </w:p>
    <w:p w14:paraId="6C21C363" w14:textId="02E86775" w:rsidR="00A62154" w:rsidRDefault="00324C5A" w:rsidP="00845C31">
      <w:pPr>
        <w:spacing w:line="360" w:lineRule="auto"/>
        <w:jc w:val="both"/>
      </w:pPr>
      <w:r>
        <w:t>Or,</w:t>
      </w:r>
      <w:r w:rsidR="005965C7">
        <w:t xml:space="preserve"> il convient d’éviter que </w:t>
      </w:r>
      <w:r w:rsidR="009D4161">
        <w:t xml:space="preserve">cette théorie </w:t>
      </w:r>
      <w:r w:rsidR="00811AC3">
        <w:t>devienne</w:t>
      </w:r>
      <w:r w:rsidR="009D4161">
        <w:t xml:space="preserve"> victime de sa propre force de persuasion et que, relançant vigoureusement le balancier </w:t>
      </w:r>
      <w:r w:rsidR="00030340">
        <w:t>en direction</w:t>
      </w:r>
      <w:r w:rsidR="00811AC3">
        <w:t xml:space="preserve"> </w:t>
      </w:r>
      <w:r w:rsidR="00030340">
        <w:t>d’une</w:t>
      </w:r>
      <w:r w:rsidR="00811AC3">
        <w:t xml:space="preserve"> approche critique du droit, elle soit perçue comme trop éloignée du </w:t>
      </w:r>
      <w:r w:rsidR="00811AC3">
        <w:rPr>
          <w:i/>
        </w:rPr>
        <w:t>discours du droit</w:t>
      </w:r>
      <w:r w:rsidR="00495B7B">
        <w:t xml:space="preserve"> </w:t>
      </w:r>
      <w:r w:rsidR="00495B7B">
        <w:rPr>
          <w:i/>
        </w:rPr>
        <w:t>sur lui-même</w:t>
      </w:r>
      <w:r w:rsidR="008B4A2F">
        <w:rPr>
          <w:i/>
        </w:rPr>
        <w:t xml:space="preserve">. </w:t>
      </w:r>
      <w:r w:rsidR="008B4A2F">
        <w:t xml:space="preserve">C’est pourquoi il nous semble </w:t>
      </w:r>
      <w:r w:rsidR="00557ADB">
        <w:t xml:space="preserve">que la pensée de Ost et van de Kerchove </w:t>
      </w:r>
      <w:r w:rsidR="0082299A">
        <w:t>– ou en tout cas la réception de cette pensée</w:t>
      </w:r>
      <w:r w:rsidR="000662C6">
        <w:t xml:space="preserve"> dans la communauté des juristes</w:t>
      </w:r>
      <w:r w:rsidR="0082299A">
        <w:t xml:space="preserve"> – </w:t>
      </w:r>
      <w:r w:rsidR="00557ADB">
        <w:t xml:space="preserve">pourrait être utilement </w:t>
      </w:r>
      <w:r w:rsidR="008B4A2F">
        <w:t>complétée d’</w:t>
      </w:r>
      <w:r w:rsidR="00A62154">
        <w:t xml:space="preserve">un </w:t>
      </w:r>
      <w:r w:rsidR="00A62154">
        <w:rPr>
          <w:i/>
        </w:rPr>
        <w:t>caveat</w:t>
      </w:r>
      <w:r w:rsidR="00A62154">
        <w:t xml:space="preserve">, qui s’inscrit dans </w:t>
      </w:r>
      <w:r w:rsidR="00820CC0">
        <w:t>le sillage de la théorie autopoï</w:t>
      </w:r>
      <w:r w:rsidR="00A62154">
        <w:t>étique du droit développée par Luhmann et Teubner</w:t>
      </w:r>
      <w:r w:rsidR="00392174">
        <w:rPr>
          <w:rStyle w:val="Marquenotebasdepage"/>
        </w:rPr>
        <w:footnoteReference w:id="32"/>
      </w:r>
      <w:r w:rsidR="00A62154">
        <w:t>.</w:t>
      </w:r>
    </w:p>
    <w:p w14:paraId="61797579" w14:textId="77777777" w:rsidR="00A62154" w:rsidRDefault="00A62154" w:rsidP="00845C31">
      <w:pPr>
        <w:spacing w:line="360" w:lineRule="auto"/>
        <w:jc w:val="both"/>
      </w:pPr>
    </w:p>
    <w:p w14:paraId="53FF0A6A" w14:textId="1863CBF9" w:rsidR="00550759" w:rsidRDefault="00A62154" w:rsidP="00845C31">
      <w:pPr>
        <w:spacing w:line="360" w:lineRule="auto"/>
        <w:jc w:val="both"/>
      </w:pPr>
      <w:r>
        <w:t xml:space="preserve">Ce </w:t>
      </w:r>
      <w:r>
        <w:rPr>
          <w:i/>
        </w:rPr>
        <w:t>caveat</w:t>
      </w:r>
      <w:r w:rsidR="008F7200">
        <w:rPr>
          <w:i/>
        </w:rPr>
        <w:t xml:space="preserve"> </w:t>
      </w:r>
      <w:r w:rsidR="008F7200">
        <w:t xml:space="preserve">invite à </w:t>
      </w:r>
      <w:r w:rsidR="00550759">
        <w:t>concevoir</w:t>
      </w:r>
      <w:r w:rsidR="008F7200">
        <w:t xml:space="preserve"> l’ « infinitude » du droit </w:t>
      </w:r>
      <w:r w:rsidR="00B81F34">
        <w:t>(son autonomie, sa complé</w:t>
      </w:r>
      <w:r w:rsidR="00B83EA6">
        <w:t>tude, mais on pourrait ajouter s</w:t>
      </w:r>
      <w:r w:rsidR="00B81F34">
        <w:t xml:space="preserve">a clôture sur lui-même) </w:t>
      </w:r>
      <w:r w:rsidR="00550759">
        <w:t xml:space="preserve">comme </w:t>
      </w:r>
      <w:r w:rsidR="008F7200">
        <w:t xml:space="preserve">un </w:t>
      </w:r>
      <w:r w:rsidR="008F7200" w:rsidRPr="008F7200">
        <w:rPr>
          <w:i/>
        </w:rPr>
        <w:t>mythe</w:t>
      </w:r>
      <w:r w:rsidR="008F7200">
        <w:t xml:space="preserve">. </w:t>
      </w:r>
      <w:r w:rsidR="001B4F29">
        <w:t>Ce terme nous semble refléter mieux que tout autre l’ambivalence de</w:t>
      </w:r>
      <w:r w:rsidR="00B81F34">
        <w:t xml:space="preserve"> cette propriété du droit. D’un côté, </w:t>
      </w:r>
      <w:r w:rsidR="001B4F29">
        <w:t>il</w:t>
      </w:r>
      <w:r w:rsidR="00B81F34">
        <w:t xml:space="preserve"> renvoie au caractère contrefactuel, </w:t>
      </w:r>
      <w:r w:rsidR="00B81F34" w:rsidRPr="00B81F34">
        <w:rPr>
          <w:i/>
        </w:rPr>
        <w:t>mystificateur</w:t>
      </w:r>
      <w:r w:rsidR="00B81F34">
        <w:t xml:space="preserve"> </w:t>
      </w:r>
      <w:r w:rsidR="002D2C19">
        <w:t>de celle-ci</w:t>
      </w:r>
      <w:r w:rsidR="00B81F34">
        <w:t xml:space="preserve">. </w:t>
      </w:r>
      <w:r w:rsidR="00875E6D">
        <w:t xml:space="preserve">En ce sens, il rend justice aux </w:t>
      </w:r>
      <w:r w:rsidR="001B4F29">
        <w:t xml:space="preserve">enseignements des </w:t>
      </w:r>
      <w:r w:rsidR="00875E6D">
        <w:t xml:space="preserve">analyses externes </w:t>
      </w:r>
      <w:r w:rsidR="001B4F29">
        <w:t>« critiques »</w:t>
      </w:r>
      <w:r w:rsidR="00875E6D">
        <w:t xml:space="preserve">. Mais d’un autre côté, le mythe </w:t>
      </w:r>
      <w:r w:rsidR="00B6554B">
        <w:t xml:space="preserve">désigne aussi le </w:t>
      </w:r>
      <w:r w:rsidR="00B6554B">
        <w:rPr>
          <w:i/>
        </w:rPr>
        <w:t>fondement</w:t>
      </w:r>
      <w:r w:rsidR="00B83EA6">
        <w:t xml:space="preserve">, </w:t>
      </w:r>
      <w:r w:rsidR="00B6554B">
        <w:t xml:space="preserve">le récit fondateur d’une </w:t>
      </w:r>
      <w:r w:rsidR="009C2D36">
        <w:t xml:space="preserve">communauté. Il témoigne </w:t>
      </w:r>
      <w:r w:rsidR="008C0AC2">
        <w:t xml:space="preserve">ainsi </w:t>
      </w:r>
      <w:r w:rsidR="009C2D36">
        <w:t>d’</w:t>
      </w:r>
      <w:r w:rsidR="009D0343">
        <w:t xml:space="preserve">une prise au sérieux </w:t>
      </w:r>
      <w:r w:rsidR="009B3447">
        <w:t>de</w:t>
      </w:r>
      <w:r w:rsidR="001B4F29">
        <w:t>s prétentions du droit, dont le caractère illusoire ne change rien à l’efficace</w:t>
      </w:r>
      <w:r w:rsidR="005B3CD1">
        <w:rPr>
          <w:rStyle w:val="Marquenotebasdepage"/>
        </w:rPr>
        <w:footnoteReference w:id="33"/>
      </w:r>
      <w:r w:rsidR="001B4F29">
        <w:t>.</w:t>
      </w:r>
    </w:p>
    <w:p w14:paraId="6D947CAC" w14:textId="77777777" w:rsidR="00550759" w:rsidRDefault="00550759" w:rsidP="00845C31">
      <w:pPr>
        <w:spacing w:line="360" w:lineRule="auto"/>
        <w:jc w:val="both"/>
      </w:pPr>
    </w:p>
    <w:p w14:paraId="0833B355" w14:textId="69D9D312" w:rsidR="00D9209D" w:rsidRDefault="00AB6831" w:rsidP="00845C31">
      <w:pPr>
        <w:spacing w:line="360" w:lineRule="auto"/>
        <w:jc w:val="both"/>
      </w:pPr>
      <w:r>
        <w:t>A cet égard, on</w:t>
      </w:r>
      <w:r w:rsidR="00D9209D">
        <w:t xml:space="preserve"> observer</w:t>
      </w:r>
      <w:r>
        <w:t>a</w:t>
      </w:r>
      <w:r w:rsidR="00D9209D">
        <w:t xml:space="preserve"> qu’aussi respectueuses</w:t>
      </w:r>
      <w:r>
        <w:t xml:space="preserve"> soient-e</w:t>
      </w:r>
      <w:r w:rsidR="00D9209D">
        <w:t>l</w:t>
      </w:r>
      <w:r>
        <w:t>le</w:t>
      </w:r>
      <w:r w:rsidR="00D9209D">
        <w:t xml:space="preserve">s du point de vue interne, les </w:t>
      </w:r>
      <w:r w:rsidR="00C320CB">
        <w:t xml:space="preserve">théories </w:t>
      </w:r>
      <w:r>
        <w:t xml:space="preserve">esquissées ci-dessus ne </w:t>
      </w:r>
      <w:r w:rsidR="005B3CD1">
        <w:t xml:space="preserve">s’inscrivent pas dans le sillage du </w:t>
      </w:r>
      <w:r>
        <w:t>discours officiel des acteu</w:t>
      </w:r>
      <w:r w:rsidR="00340153">
        <w:t xml:space="preserve">rs du droit. Cela n’est du </w:t>
      </w:r>
      <w:r>
        <w:t xml:space="preserve">reste pas leur objectif. Comme l’écrit Michel Troper, </w:t>
      </w:r>
      <w:r w:rsidR="00D9209D">
        <w:t>« lorsqu’un théoricien appartenant au courant réali</w:t>
      </w:r>
      <w:r w:rsidR="00340153">
        <w:t>ste devient juge, (…) il ne peut</w:t>
      </w:r>
      <w:r w:rsidR="00D9209D">
        <w:t xml:space="preserve"> parler en réaliste qu’en tant qu’individu, commentant librement les décisions de la cour à laquelle il appartient. La cour, elle, ne peut pas être réaliste en ce sens et avouer que la règle qu’elle applique est celle qui émane d’elle-même »</w:t>
      </w:r>
      <w:r w:rsidR="00D9209D">
        <w:rPr>
          <w:rStyle w:val="Marquenotebasdepage"/>
        </w:rPr>
        <w:footnoteReference w:id="34"/>
      </w:r>
      <w:r w:rsidR="00D9209D">
        <w:t>.</w:t>
      </w:r>
    </w:p>
    <w:p w14:paraId="59EA3A9A" w14:textId="77777777" w:rsidR="00740D50" w:rsidRDefault="00740D50" w:rsidP="00845C31">
      <w:pPr>
        <w:spacing w:line="360" w:lineRule="auto"/>
        <w:jc w:val="both"/>
      </w:pPr>
    </w:p>
    <w:p w14:paraId="3B7ADC2C" w14:textId="2EBD4E6B" w:rsidR="00852C26" w:rsidRDefault="00740D50" w:rsidP="00845C31">
      <w:pPr>
        <w:spacing w:line="360" w:lineRule="auto"/>
        <w:jc w:val="both"/>
      </w:pPr>
      <w:r>
        <w:t>Cet hia</w:t>
      </w:r>
      <w:r w:rsidR="005736AE">
        <w:t>tus entre discours sur le droit</w:t>
      </w:r>
      <w:r w:rsidR="00373A04">
        <w:t xml:space="preserve"> </w:t>
      </w:r>
      <w:r>
        <w:t xml:space="preserve">et discours du droit est souvent résolu </w:t>
      </w:r>
      <w:r w:rsidR="00373A04">
        <w:t>en discréditant le second : il n’y aurait rien d’autre qu’un « pieux mensonge »</w:t>
      </w:r>
      <w:r w:rsidR="00321300">
        <w:rPr>
          <w:rStyle w:val="Marquenotebasdepage"/>
        </w:rPr>
        <w:footnoteReference w:id="35"/>
      </w:r>
      <w:r w:rsidR="00373A04">
        <w:t xml:space="preserve">, </w:t>
      </w:r>
      <w:r w:rsidR="00FE213D">
        <w:t>une</w:t>
      </w:r>
      <w:r w:rsidR="00373A04">
        <w:t xml:space="preserve"> « </w:t>
      </w:r>
      <w:r w:rsidR="00FE213D">
        <w:t>comédie</w:t>
      </w:r>
      <w:r w:rsidR="00373A04">
        <w:t>»</w:t>
      </w:r>
      <w:r w:rsidR="00321300">
        <w:rPr>
          <w:rStyle w:val="Marquenotebasdepage"/>
        </w:rPr>
        <w:footnoteReference w:id="36"/>
      </w:r>
      <w:r w:rsidR="00373A04">
        <w:t>, de la « rhétorique »</w:t>
      </w:r>
      <w:r w:rsidR="00321300">
        <w:rPr>
          <w:rStyle w:val="Marquenotebasdepage"/>
        </w:rPr>
        <w:footnoteReference w:id="37"/>
      </w:r>
      <w:r w:rsidR="00CE5A31">
        <w:t>, un « langage rituel »</w:t>
      </w:r>
      <w:r w:rsidR="00CE5A31">
        <w:rPr>
          <w:rStyle w:val="Marquenotebasdepage"/>
        </w:rPr>
        <w:footnoteReference w:id="38"/>
      </w:r>
      <w:r w:rsidR="00373A04">
        <w:t xml:space="preserve"> derrière les prétentions des juges ou des avocats à </w:t>
      </w:r>
      <w:r w:rsidR="00373A04" w:rsidRPr="00373A04">
        <w:rPr>
          <w:i/>
        </w:rPr>
        <w:t>découvrir</w:t>
      </w:r>
      <w:r w:rsidR="00373A04">
        <w:rPr>
          <w:i/>
        </w:rPr>
        <w:t xml:space="preserve"> dans le droit</w:t>
      </w:r>
      <w:r w:rsidR="00373A04">
        <w:t xml:space="preserve">, dans </w:t>
      </w:r>
      <w:r w:rsidR="00373A04">
        <w:rPr>
          <w:i/>
        </w:rPr>
        <w:t>tous les cas</w:t>
      </w:r>
      <w:r w:rsidR="00373A04">
        <w:t xml:space="preserve">, </w:t>
      </w:r>
      <w:r w:rsidR="00373A04">
        <w:rPr>
          <w:i/>
        </w:rPr>
        <w:t xml:space="preserve">la </w:t>
      </w:r>
      <w:r w:rsidR="00373A04">
        <w:t>bonne répo</w:t>
      </w:r>
      <w:r w:rsidR="001A0A25">
        <w:t>nse au cas qui leur est soumis.</w:t>
      </w:r>
      <w:r w:rsidR="00340153">
        <w:t xml:space="preserve"> </w:t>
      </w:r>
      <w:r w:rsidR="001A0A25">
        <w:t>Réduisant</w:t>
      </w:r>
      <w:r w:rsidR="00823D41">
        <w:t xml:space="preserve"> à nouveau le mythe du droit à une simple entreprise mystificatrice</w:t>
      </w:r>
      <w:r w:rsidR="001A0A25">
        <w:t xml:space="preserve">, cette explication </w:t>
      </w:r>
      <w:r w:rsidR="00900A46">
        <w:t>semble un peu</w:t>
      </w:r>
      <w:r w:rsidR="001A0A25">
        <w:t xml:space="preserve"> courte. E</w:t>
      </w:r>
      <w:r w:rsidR="006C5B41">
        <w:t xml:space="preserve">lle échoue à prendre en charge la question qu’elle suscite immédiatement, admirablement formulée par Dworkin : </w:t>
      </w:r>
      <w:r w:rsidR="00852C26">
        <w:t>« comment cette comédie peut-elle marcher ? La partie trompée n’aurait-elle pas toute facilité pour démontrer qu’il n’existait vraiment pas de loi suivant les fondements qui, tout le monde s’accorde à le dire, sont les bons fondements ? Et si cette comédie est si aisément démasquée, pourquoi s’embarrasser de cette charade ? »</w:t>
      </w:r>
      <w:r w:rsidR="00852C26">
        <w:rPr>
          <w:rStyle w:val="Marquenotebasdepage"/>
        </w:rPr>
        <w:footnoteReference w:id="39"/>
      </w:r>
      <w:r w:rsidR="00852C26">
        <w:t>.</w:t>
      </w:r>
    </w:p>
    <w:p w14:paraId="5FFF1829" w14:textId="77777777" w:rsidR="00852C26" w:rsidRDefault="00852C26" w:rsidP="00845C31">
      <w:pPr>
        <w:spacing w:line="360" w:lineRule="auto"/>
        <w:jc w:val="both"/>
      </w:pPr>
    </w:p>
    <w:p w14:paraId="380D6954" w14:textId="548BDD58" w:rsidR="00F051CF" w:rsidRDefault="00C30968" w:rsidP="00845C31">
      <w:pPr>
        <w:spacing w:line="360" w:lineRule="auto"/>
        <w:jc w:val="both"/>
      </w:pPr>
      <w:r>
        <w:t xml:space="preserve">Nous faisons le pari que, loin d’être une scorie de l’histoire ou un artifice trompeur, </w:t>
      </w:r>
      <w:r w:rsidR="007B23E6">
        <w:t xml:space="preserve">cette profession de foi </w:t>
      </w:r>
      <w:r w:rsidR="00327BC0">
        <w:t xml:space="preserve">– qui </w:t>
      </w:r>
      <w:r w:rsidR="00BA7323">
        <w:t xml:space="preserve">peut </w:t>
      </w:r>
      <w:r w:rsidR="00327BC0">
        <w:t xml:space="preserve">prendre des formes très variées selon les cultures juridiques – est consubstantielle au droit. </w:t>
      </w:r>
      <w:r w:rsidR="001B3267">
        <w:t>Ne pas la prendre au sérieux, ne pas lui donner une place cent</w:t>
      </w:r>
      <w:r w:rsidR="00085BD6">
        <w:t xml:space="preserve">rale dans une théorie du droit </w:t>
      </w:r>
      <w:r w:rsidR="009A3E28">
        <w:t>risque d’affecter celle-ci d’une double tache aveugle.</w:t>
      </w:r>
      <w:r w:rsidR="001B3267">
        <w:t xml:space="preserve"> </w:t>
      </w:r>
    </w:p>
    <w:p w14:paraId="78A025C4" w14:textId="77777777" w:rsidR="00F051CF" w:rsidRDefault="00F051CF" w:rsidP="00845C31">
      <w:pPr>
        <w:spacing w:line="360" w:lineRule="auto"/>
        <w:jc w:val="both"/>
      </w:pPr>
    </w:p>
    <w:p w14:paraId="32D5B608" w14:textId="23EE6355" w:rsidR="00F051CF" w:rsidRDefault="001B3267" w:rsidP="00845C31">
      <w:pPr>
        <w:spacing w:line="360" w:lineRule="auto"/>
        <w:jc w:val="both"/>
      </w:pPr>
      <w:r>
        <w:t xml:space="preserve">D’un côté, </w:t>
      </w:r>
      <w:r w:rsidR="00085BD6">
        <w:t>ce serait</w:t>
      </w:r>
      <w:r>
        <w:t xml:space="preserve"> manquer </w:t>
      </w:r>
      <w:r w:rsidR="00085BD6">
        <w:t>une des</w:t>
      </w:r>
      <w:r>
        <w:t xml:space="preserve"> spécificité</w:t>
      </w:r>
      <w:r w:rsidR="00085BD6">
        <w:t>s</w:t>
      </w:r>
      <w:r>
        <w:t xml:space="preserve"> du droit, laquelle réside dans cette articulation si particulière entre dimensions normative</w:t>
      </w:r>
      <w:r w:rsidR="003F2C4C">
        <w:t xml:space="preserve"> </w:t>
      </w:r>
      <w:r w:rsidR="003F2C4C">
        <w:rPr>
          <w:i/>
        </w:rPr>
        <w:t xml:space="preserve">et </w:t>
      </w:r>
      <w:r w:rsidR="003F2C4C">
        <w:t>cognitive</w:t>
      </w:r>
      <w:r w:rsidR="0046454B">
        <w:t>,</w:t>
      </w:r>
      <w:r>
        <w:t xml:space="preserve"> qui la distingue </w:t>
      </w:r>
      <w:r w:rsidR="0046454B">
        <w:t>à la fois</w:t>
      </w:r>
      <w:r>
        <w:t xml:space="preserve"> des </w:t>
      </w:r>
      <w:r w:rsidR="0046454B">
        <w:t>discours scientifiques</w:t>
      </w:r>
      <w:r>
        <w:t xml:space="preserve"> </w:t>
      </w:r>
      <w:r w:rsidR="0046454B">
        <w:t>et</w:t>
      </w:r>
      <w:r>
        <w:t xml:space="preserve"> des autres registres normatifs. </w:t>
      </w:r>
      <w:r w:rsidR="00174A5C">
        <w:t>Ce serait</w:t>
      </w:r>
      <w:r>
        <w:t>, par voie de conséquence, occulter la caractéristique du droit qui permet à ce dernier de remplir les buts qui lui sont assignés</w:t>
      </w:r>
      <w:r w:rsidR="008948C9">
        <w:t>, à commencer par le plus important d’entre eux : doter la société d’un langage susceptible d’exprimer (e</w:t>
      </w:r>
      <w:r w:rsidR="00085BD6">
        <w:t>t</w:t>
      </w:r>
      <w:r w:rsidR="008948C9">
        <w:t>, le cas échéant, de départager) l’ensemble des revendications qui y naissent</w:t>
      </w:r>
      <w:r w:rsidR="00F6503D">
        <w:rPr>
          <w:rStyle w:val="Marquenotebasdepage"/>
        </w:rPr>
        <w:footnoteReference w:id="40"/>
      </w:r>
      <w:r>
        <w:t xml:space="preserve">. </w:t>
      </w:r>
    </w:p>
    <w:p w14:paraId="7F5B3CE2" w14:textId="77777777" w:rsidR="00F051CF" w:rsidRDefault="00F051CF" w:rsidP="00845C31">
      <w:pPr>
        <w:spacing w:line="360" w:lineRule="auto"/>
        <w:jc w:val="both"/>
      </w:pPr>
    </w:p>
    <w:p w14:paraId="259DA970" w14:textId="1D023DDB" w:rsidR="00F051CF" w:rsidRDefault="001B3267" w:rsidP="00845C31">
      <w:pPr>
        <w:spacing w:line="360" w:lineRule="auto"/>
        <w:jc w:val="both"/>
      </w:pPr>
      <w:r>
        <w:t xml:space="preserve">D’un autre côté, </w:t>
      </w:r>
      <w:r w:rsidR="006509F6">
        <w:t xml:space="preserve">une théorie </w:t>
      </w:r>
      <w:r w:rsidR="003C67BB">
        <w:t xml:space="preserve">s’attachant à contester les postulats du discours du droit </w:t>
      </w:r>
      <w:r w:rsidR="005B3CD1">
        <w:t>partage</w:t>
      </w:r>
      <w:r w:rsidR="00085BD6">
        <w:t>, par la force des choses,</w:t>
      </w:r>
      <w:r w:rsidR="003C67BB">
        <w:t xml:space="preserve"> </w:t>
      </w:r>
      <w:r w:rsidR="005B3CD1">
        <w:t>la même visée</w:t>
      </w:r>
      <w:r w:rsidR="003C67BB">
        <w:t xml:space="preserve"> que son objet. Certes, elle trace un sillon parallèle à ce dernier (qu’elle ne prétend pas supplanter, on l’a dit) et en ce sens elle fournit </w:t>
      </w:r>
      <w:r w:rsidR="00F051CF">
        <w:t>sur ce</w:t>
      </w:r>
      <w:r w:rsidR="00CF27DD">
        <w:t>lui-ci</w:t>
      </w:r>
      <w:r w:rsidR="00F051CF">
        <w:t xml:space="preserve"> </w:t>
      </w:r>
      <w:r w:rsidR="003C67BB">
        <w:t>un regard externe très précieux</w:t>
      </w:r>
      <w:r w:rsidR="000662C6">
        <w:t>, salutaire même</w:t>
      </w:r>
      <w:r w:rsidR="003C67BB">
        <w:t xml:space="preserve">. Mais elle </w:t>
      </w:r>
      <w:r w:rsidR="00174A5C">
        <w:t>est obligée de rester</w:t>
      </w:r>
      <w:r w:rsidR="003C67BB">
        <w:t xml:space="preserve">, comme </w:t>
      </w:r>
      <w:r w:rsidR="004E5F63">
        <w:t>sa cible</w:t>
      </w:r>
      <w:r w:rsidR="003C67BB">
        <w:t xml:space="preserve">, </w:t>
      </w:r>
      <w:r w:rsidR="00900A46">
        <w:t xml:space="preserve">rivée à </w:t>
      </w:r>
      <w:r w:rsidR="003C67BB">
        <w:t xml:space="preserve">une vision « ontologique » du droit. </w:t>
      </w:r>
      <w:r w:rsidR="00F051CF">
        <w:t>En effet, l</w:t>
      </w:r>
      <w:r w:rsidR="009765D0">
        <w:t xml:space="preserve">orsqu’elle </w:t>
      </w:r>
      <w:r w:rsidR="00613AB5">
        <w:t>dénonce</w:t>
      </w:r>
      <w:r w:rsidR="009765D0">
        <w:t xml:space="preserve"> la mystification</w:t>
      </w:r>
      <w:r w:rsidR="00613AB5">
        <w:t xml:space="preserve"> dont le discours officiel du droit est l’otage</w:t>
      </w:r>
      <w:r w:rsidR="009765D0">
        <w:t xml:space="preserve">, </w:t>
      </w:r>
      <w:r w:rsidR="00613AB5">
        <w:t>une telle théorie</w:t>
      </w:r>
      <w:r w:rsidR="009765D0">
        <w:t xml:space="preserve"> fait nécessairement le postulat d’une « réalité du droit » </w:t>
      </w:r>
      <w:r w:rsidR="001D7185">
        <w:rPr>
          <w:i/>
        </w:rPr>
        <w:t>out there</w:t>
      </w:r>
      <w:r w:rsidR="001D7185">
        <w:t xml:space="preserve"> </w:t>
      </w:r>
      <w:r w:rsidR="009765D0">
        <w:t xml:space="preserve">qu’elle prétend mieux décrire que le </w:t>
      </w:r>
      <w:r w:rsidR="00613AB5">
        <w:t>discours qu’elle critique</w:t>
      </w:r>
      <w:r w:rsidR="009765D0">
        <w:t>.</w:t>
      </w:r>
      <w:r w:rsidR="00613AB5">
        <w:t xml:space="preserve"> </w:t>
      </w:r>
      <w:r w:rsidR="004E5F63">
        <w:t>S’efforçant de</w:t>
      </w:r>
      <w:r w:rsidR="005A6C1B">
        <w:t xml:space="preserve"> départager le « vrai » du « faux » dans ce discours, elle </w:t>
      </w:r>
      <w:r w:rsidR="00174A5C">
        <w:t xml:space="preserve">ne peut en même temps offrir </w:t>
      </w:r>
      <w:r w:rsidR="000662C6">
        <w:t xml:space="preserve">sur celui-ci </w:t>
      </w:r>
      <w:r w:rsidR="005A6C1B">
        <w:t xml:space="preserve">un regard </w:t>
      </w:r>
      <w:r w:rsidR="00A54B91">
        <w:t xml:space="preserve">« radicalement » </w:t>
      </w:r>
      <w:r w:rsidR="005A6C1B">
        <w:t xml:space="preserve">surplombant. </w:t>
      </w:r>
    </w:p>
    <w:p w14:paraId="5F8E2294" w14:textId="77777777" w:rsidR="00F051CF" w:rsidRDefault="00F051CF" w:rsidP="00845C31">
      <w:pPr>
        <w:spacing w:line="360" w:lineRule="auto"/>
        <w:jc w:val="both"/>
      </w:pPr>
    </w:p>
    <w:p w14:paraId="77D14ED5" w14:textId="57AFC312" w:rsidR="00D056BE" w:rsidRDefault="00174A5C" w:rsidP="00845C31">
      <w:pPr>
        <w:spacing w:line="360" w:lineRule="auto"/>
        <w:jc w:val="both"/>
      </w:pPr>
      <w:r>
        <w:t xml:space="preserve">C’est peut-être ici que </w:t>
      </w:r>
      <w:r w:rsidR="00883933">
        <w:t>réside</w:t>
      </w:r>
      <w:r>
        <w:t xml:space="preserve"> l’apport</w:t>
      </w:r>
      <w:r w:rsidR="005A6C1B">
        <w:t xml:space="preserve"> d’une </w:t>
      </w:r>
      <w:r w:rsidR="000212E0">
        <w:t>« </w:t>
      </w:r>
      <w:r w:rsidR="005A6C1B">
        <w:t>théorie</w:t>
      </w:r>
      <w:r w:rsidR="000212E0">
        <w:t> »</w:t>
      </w:r>
      <w:r w:rsidR="005A6C1B">
        <w:t xml:space="preserve"> mythologique du droit</w:t>
      </w:r>
      <w:r w:rsidR="00F051CF">
        <w:t xml:space="preserve">, qui part du principe que le droit réside </w:t>
      </w:r>
      <w:r w:rsidR="0046454B">
        <w:t>exclusivement</w:t>
      </w:r>
      <w:r w:rsidR="00F051CF">
        <w:t xml:space="preserve"> dans le discours que tiennent sur lui les « diseurs de droit », c’est-à-dire toute personne qui prétend, à un moment donné, découvrir (dimension cognitive) la norme juridique (dimension normative) applicable à une situation donnée. Cette personne peut être un juge, un avocat ou un professeur, mais elle peut aussi être une administration, voire un simple quidam décidant de conduire à droite au motif que le code de la route le lui impose. </w:t>
      </w:r>
      <w:r w:rsidR="005A23B7">
        <w:t>Limitant son objet d’étude au</w:t>
      </w:r>
      <w:r w:rsidR="00D056BE">
        <w:t xml:space="preserve"> discours de ces diseurs de droit, une telle théorie </w:t>
      </w:r>
      <w:r w:rsidR="005A23B7">
        <w:t xml:space="preserve">prétend trouver l’ADN du droit dans la double hélice de ce discours – qui mobilise le droit tantôt au sens de </w:t>
      </w:r>
      <w:r w:rsidR="00A02799">
        <w:rPr>
          <w:i/>
        </w:rPr>
        <w:t xml:space="preserve">système </w:t>
      </w:r>
      <w:r w:rsidR="005A23B7" w:rsidRPr="00A02799">
        <w:rPr>
          <w:i/>
        </w:rPr>
        <w:t>norm</w:t>
      </w:r>
      <w:r w:rsidR="00A02799">
        <w:rPr>
          <w:i/>
        </w:rPr>
        <w:t>atif</w:t>
      </w:r>
      <w:r w:rsidR="005A23B7">
        <w:t xml:space="preserve">, tantôt au sens </w:t>
      </w:r>
      <w:r w:rsidR="005A23B7" w:rsidRPr="00A02799">
        <w:rPr>
          <w:i/>
        </w:rPr>
        <w:t>d’univers de</w:t>
      </w:r>
      <w:r w:rsidR="005A23B7">
        <w:t xml:space="preserve"> </w:t>
      </w:r>
      <w:r w:rsidR="005A23B7" w:rsidRPr="00A02799">
        <w:rPr>
          <w:i/>
        </w:rPr>
        <w:t>connaissance</w:t>
      </w:r>
      <w:r w:rsidR="005A23B7">
        <w:t xml:space="preserve">. </w:t>
      </w:r>
    </w:p>
    <w:p w14:paraId="71961F0C" w14:textId="77777777" w:rsidR="00D056BE" w:rsidRDefault="00D056BE" w:rsidP="00845C31">
      <w:pPr>
        <w:spacing w:line="360" w:lineRule="auto"/>
        <w:jc w:val="both"/>
      </w:pPr>
    </w:p>
    <w:p w14:paraId="7FECFE4B" w14:textId="21F7DEEB" w:rsidR="003A4415" w:rsidRDefault="00D056BE" w:rsidP="00845C31">
      <w:pPr>
        <w:spacing w:line="360" w:lineRule="auto"/>
        <w:jc w:val="both"/>
      </w:pPr>
      <w:r>
        <w:t xml:space="preserve">L’espace manque pour explorer davantage les potentialités d’une telle théorie, qui se veut à la fois </w:t>
      </w:r>
      <w:r w:rsidR="003A4415">
        <w:t>radicalement externe mais exclusivement centrée sur le point de vue interne</w:t>
      </w:r>
      <w:r w:rsidR="005E79B9">
        <w:rPr>
          <w:rStyle w:val="Marquenotebasdepage"/>
        </w:rPr>
        <w:footnoteReference w:id="41"/>
      </w:r>
      <w:r w:rsidR="003A4415">
        <w:t>.</w:t>
      </w:r>
    </w:p>
    <w:p w14:paraId="1DB38058" w14:textId="77777777" w:rsidR="00DD5DC2" w:rsidRDefault="00DD5DC2" w:rsidP="00845C31">
      <w:pPr>
        <w:spacing w:line="360" w:lineRule="auto"/>
        <w:jc w:val="both"/>
      </w:pPr>
    </w:p>
    <w:p w14:paraId="2EE24763" w14:textId="7AFFE49F" w:rsidR="00C66ED5" w:rsidRDefault="008E4A71" w:rsidP="00845C31">
      <w:pPr>
        <w:spacing w:line="360" w:lineRule="auto"/>
        <w:jc w:val="both"/>
      </w:pPr>
      <w:r>
        <w:t xml:space="preserve">On s’en voudrait toutefois de tromper le lecteur. Cette nouvelle approche du droit ne se prétend </w:t>
      </w:r>
      <w:r w:rsidR="0024566C">
        <w:t xml:space="preserve">certainement </w:t>
      </w:r>
      <w:r>
        <w:t xml:space="preserve">pas plus juste ou meilleure que les autres théories. </w:t>
      </w:r>
      <w:r w:rsidR="00A02799">
        <w:t>Elle se conçoit bien plutôt comme complémentaire</w:t>
      </w:r>
      <w:r w:rsidR="004E5F63">
        <w:t xml:space="preserve"> à</w:t>
      </w:r>
      <w:r w:rsidR="00A02799">
        <w:t xml:space="preserve"> </w:t>
      </w:r>
      <w:r w:rsidR="004603E1">
        <w:t>– et même auxiliaire</w:t>
      </w:r>
      <w:r w:rsidR="004E5F63">
        <w:t xml:space="preserve"> de</w:t>
      </w:r>
      <w:r w:rsidR="004603E1">
        <w:t xml:space="preserve"> –</w:t>
      </w:r>
      <w:r w:rsidR="004E5F63">
        <w:t xml:space="preserve"> </w:t>
      </w:r>
      <w:r w:rsidR="00A02799">
        <w:t xml:space="preserve">ces dernières, et tout particulièrement à la théorie </w:t>
      </w:r>
      <w:r w:rsidR="00782008">
        <w:t>du droit d’Ost et van de Kerchove</w:t>
      </w:r>
      <w:r w:rsidR="00F30583">
        <w:rPr>
          <w:rStyle w:val="Marquenotebasdepage"/>
        </w:rPr>
        <w:footnoteReference w:id="42"/>
      </w:r>
      <w:r w:rsidR="00782008">
        <w:t xml:space="preserve">. </w:t>
      </w:r>
      <w:r w:rsidR="00C646DD">
        <w:t>Elle se présente comme une modeste contribution au « pluralisme épistémologique » que ces derniers appellent de leurs vœux</w:t>
      </w:r>
      <w:r w:rsidR="00BF6E4F">
        <w:rPr>
          <w:rStyle w:val="Marquenotebasdepage"/>
        </w:rPr>
        <w:footnoteReference w:id="43"/>
      </w:r>
      <w:r w:rsidR="00C646DD">
        <w:t xml:space="preserve">. </w:t>
      </w:r>
      <w:r>
        <w:t xml:space="preserve"> </w:t>
      </w:r>
    </w:p>
    <w:p w14:paraId="39D95ACF" w14:textId="77777777" w:rsidR="00C66ED5" w:rsidRDefault="00C66ED5" w:rsidP="00845C31">
      <w:pPr>
        <w:spacing w:line="360" w:lineRule="auto"/>
        <w:jc w:val="both"/>
      </w:pPr>
    </w:p>
    <w:p w14:paraId="216CA2BC" w14:textId="309303A8" w:rsidR="00785923" w:rsidRPr="00C646DD" w:rsidRDefault="00F051CF" w:rsidP="00845C31">
      <w:pPr>
        <w:spacing w:line="360" w:lineRule="auto"/>
        <w:jc w:val="both"/>
        <w:rPr>
          <w:b/>
        </w:rPr>
      </w:pPr>
      <w:r>
        <w:t xml:space="preserve"> </w:t>
      </w:r>
      <w:r w:rsidR="00C646DD">
        <w:rPr>
          <w:b/>
        </w:rPr>
        <w:t>Co</w:t>
      </w:r>
      <w:r w:rsidR="008E708A">
        <w:rPr>
          <w:b/>
        </w:rPr>
        <w:t>n</w:t>
      </w:r>
      <w:r w:rsidR="00C646DD">
        <w:rPr>
          <w:b/>
        </w:rPr>
        <w:t>clusion</w:t>
      </w:r>
    </w:p>
    <w:p w14:paraId="16B4B7DA" w14:textId="77777777" w:rsidR="00340153" w:rsidRDefault="00340153" w:rsidP="00845C31">
      <w:pPr>
        <w:spacing w:line="360" w:lineRule="auto"/>
        <w:jc w:val="both"/>
      </w:pPr>
    </w:p>
    <w:p w14:paraId="0C24556E" w14:textId="0D119D3F" w:rsidR="00BE3100" w:rsidRDefault="007843D3" w:rsidP="00845C31">
      <w:pPr>
        <w:spacing w:line="360" w:lineRule="auto"/>
        <w:jc w:val="both"/>
      </w:pPr>
      <w:r>
        <w:t>On voudr</w:t>
      </w:r>
      <w:r w:rsidR="000212E0">
        <w:t xml:space="preserve">ait clôturer ces quelques réflexions </w:t>
      </w:r>
      <w:r w:rsidR="004603E1">
        <w:t>par un</w:t>
      </w:r>
      <w:r w:rsidR="000212E0">
        <w:t xml:space="preserve"> </w:t>
      </w:r>
      <w:r w:rsidR="004603E1">
        <w:t xml:space="preserve">appel aux membres des facultés </w:t>
      </w:r>
      <w:r w:rsidR="00C84497">
        <w:t xml:space="preserve">de droit </w:t>
      </w:r>
      <w:r w:rsidR="004603E1">
        <w:t xml:space="preserve">qui, jour après jour, façonnent l’esprit des juristes de demain. </w:t>
      </w:r>
      <w:r w:rsidR="00C84497">
        <w:t>On forme le vœu qu’ils puissent</w:t>
      </w:r>
      <w:r w:rsidR="00271C66">
        <w:t xml:space="preserve"> apprendre à leurs étudiants à renvoyer dos à dos deux attitudes </w:t>
      </w:r>
      <w:r w:rsidR="000212E0">
        <w:t>pareillement</w:t>
      </w:r>
      <w:r w:rsidR="001F23F7">
        <w:t xml:space="preserve"> </w:t>
      </w:r>
      <w:r w:rsidR="0046454B">
        <w:t>stériles</w:t>
      </w:r>
      <w:r w:rsidR="00271C66">
        <w:t xml:space="preserve">. La </w:t>
      </w:r>
      <w:r w:rsidR="00823769">
        <w:t xml:space="preserve">première </w:t>
      </w:r>
      <w:r w:rsidR="00E94C7E">
        <w:t>co</w:t>
      </w:r>
      <w:r w:rsidR="001F23F7">
        <w:t>nsiste</w:t>
      </w:r>
      <w:r w:rsidR="00E94C7E">
        <w:t xml:space="preserve"> à prendre pour argent comptant les mythes du droit. </w:t>
      </w:r>
      <w:r w:rsidR="00C321CB">
        <w:t>Cette croyance irréfléchie dans le discours du droit sur lui-même est largement répandue dans la population. Il serait regrettable que des étudiants en droit ne soient pas</w:t>
      </w:r>
      <w:r w:rsidR="0007318B">
        <w:t>, dès la première année,</w:t>
      </w:r>
      <w:r w:rsidR="00C321CB">
        <w:t xml:space="preserve"> dessillés</w:t>
      </w:r>
      <w:r w:rsidR="00B41839">
        <w:t xml:space="preserve"> sur la « réalité » du droit</w:t>
      </w:r>
      <w:r w:rsidR="00C321CB">
        <w:t>.</w:t>
      </w:r>
      <w:r w:rsidR="00B41839">
        <w:t xml:space="preserve"> </w:t>
      </w:r>
      <w:r w:rsidR="00517951">
        <w:t>Une</w:t>
      </w:r>
      <w:r w:rsidR="00B41839">
        <w:t xml:space="preserve"> revalorisation massive des cours non juridiques</w:t>
      </w:r>
      <w:r w:rsidR="00C321CB">
        <w:t xml:space="preserve"> </w:t>
      </w:r>
      <w:r w:rsidR="00C84497">
        <w:t>dans nos f</w:t>
      </w:r>
      <w:r w:rsidR="00B41839">
        <w:t>acultés</w:t>
      </w:r>
      <w:r w:rsidR="00517951">
        <w:t xml:space="preserve"> semble le meilleur antidote contre une tendance au « fanatisme juridique »</w:t>
      </w:r>
      <w:r w:rsidR="00B41839">
        <w:t>.</w:t>
      </w:r>
      <w:r w:rsidR="00517951">
        <w:t xml:space="preserve"> </w:t>
      </w:r>
      <w:r w:rsidR="009A7B3E">
        <w:t xml:space="preserve">Faute d’une telle éducation critique, le risque est grand </w:t>
      </w:r>
      <w:r w:rsidR="007216A8">
        <w:t>que, confronté à la brutale réalité de ses premiers dossiers,</w:t>
      </w:r>
      <w:r w:rsidR="009A7B3E">
        <w:t xml:space="preserve"> le juriste frais émoulu </w:t>
      </w:r>
      <w:r w:rsidR="007216A8">
        <w:t xml:space="preserve">verse </w:t>
      </w:r>
      <w:r w:rsidR="009A7B3E">
        <w:t xml:space="preserve">dans l’autre extrême, </w:t>
      </w:r>
      <w:r w:rsidR="00E16E72">
        <w:t xml:space="preserve">celle du cynique qui ne voit dans le droit qu’un artefact </w:t>
      </w:r>
      <w:r w:rsidR="008A21FF">
        <w:t xml:space="preserve">dépourvu de consistance, un outil </w:t>
      </w:r>
      <w:r w:rsidR="005E0D30">
        <w:t xml:space="preserve">au service du pouvoir. </w:t>
      </w:r>
    </w:p>
    <w:p w14:paraId="43113F35" w14:textId="77777777" w:rsidR="00BE3100" w:rsidRDefault="00BE3100" w:rsidP="00845C31">
      <w:pPr>
        <w:spacing w:line="360" w:lineRule="auto"/>
        <w:jc w:val="both"/>
      </w:pPr>
    </w:p>
    <w:p w14:paraId="031DAAE0" w14:textId="047D73D5" w:rsidR="0046454B" w:rsidRDefault="00BE3100" w:rsidP="00845C31">
      <w:pPr>
        <w:spacing w:line="360" w:lineRule="auto"/>
        <w:jc w:val="both"/>
      </w:pPr>
      <w:r>
        <w:t xml:space="preserve">A égale distance de ces deux postures, il nous semble </w:t>
      </w:r>
      <w:r w:rsidR="00E2658E">
        <w:t>qu’une formation juridique</w:t>
      </w:r>
      <w:r>
        <w:t xml:space="preserve"> digne de ce nom doit </w:t>
      </w:r>
      <w:r w:rsidR="00CE2964">
        <w:t>se donner pour mission d’</w:t>
      </w:r>
      <w:r>
        <w:t xml:space="preserve">éveiller l’étudiant au paradoxe </w:t>
      </w:r>
      <w:r w:rsidR="00E2658E">
        <w:t>qui fonde le droit</w:t>
      </w:r>
      <w:r w:rsidR="0046454B">
        <w:t>.</w:t>
      </w:r>
      <w:r>
        <w:t xml:space="preserve"> </w:t>
      </w:r>
      <w:r w:rsidR="004D0944">
        <w:t>Un paradoxe n</w:t>
      </w:r>
      <w:r w:rsidR="000E791D">
        <w:t>on pas inhibant mais libérateur : non,</w:t>
      </w:r>
      <w:r w:rsidR="004D0944">
        <w:t xml:space="preserve"> le droit n’obéit pas à une essence pré-donnée dont les juristes seraient les serviles </w:t>
      </w:r>
      <w:r w:rsidR="0046454B">
        <w:t>gardiens ;</w:t>
      </w:r>
      <w:r w:rsidR="000E791D">
        <w:t xml:space="preserve"> non</w:t>
      </w:r>
      <w:r w:rsidR="004D0944">
        <w:t xml:space="preserve">, le droit n’est pas </w:t>
      </w:r>
      <w:r w:rsidR="00C84497">
        <w:t>davantage</w:t>
      </w:r>
      <w:r w:rsidR="004D0944">
        <w:t xml:space="preserve"> une </w:t>
      </w:r>
      <w:r w:rsidR="00C84497">
        <w:t xml:space="preserve">simple </w:t>
      </w:r>
      <w:r w:rsidR="004D0944">
        <w:t xml:space="preserve">chambre d’enregistrement des normativités externes </w:t>
      </w:r>
      <w:r w:rsidR="00DD1C94">
        <w:t>(et</w:t>
      </w:r>
      <w:r w:rsidR="00C84497">
        <w:t>, aujourd’hui,</w:t>
      </w:r>
      <w:r w:rsidR="00DD1C94">
        <w:t xml:space="preserve"> d’abord économiques) ou </w:t>
      </w:r>
      <w:r w:rsidR="000E791D">
        <w:t>un manteau diaphane que le juge peut tailler à l’envi pour habiller ses humeurs</w:t>
      </w:r>
      <w:r w:rsidR="00DD1C94">
        <w:t xml:space="preserve">. </w:t>
      </w:r>
    </w:p>
    <w:p w14:paraId="09FD128F" w14:textId="77777777" w:rsidR="0046454B" w:rsidRDefault="0046454B" w:rsidP="00845C31">
      <w:pPr>
        <w:spacing w:line="360" w:lineRule="auto"/>
        <w:jc w:val="both"/>
      </w:pPr>
    </w:p>
    <w:p w14:paraId="091924A7" w14:textId="054786F7" w:rsidR="009578D4" w:rsidRPr="00141EB5" w:rsidRDefault="00DD1C94" w:rsidP="00845C31">
      <w:pPr>
        <w:spacing w:line="360" w:lineRule="auto"/>
        <w:jc w:val="both"/>
      </w:pPr>
      <w:r>
        <w:t>Eveiller les étudiants aux mythes du droit, c’est</w:t>
      </w:r>
      <w:r w:rsidR="003B76AC">
        <w:t xml:space="preserve"> </w:t>
      </w:r>
      <w:r w:rsidR="00E200D2">
        <w:t xml:space="preserve">donc </w:t>
      </w:r>
      <w:r w:rsidR="003B76AC">
        <w:t xml:space="preserve">leur donner un double élan. </w:t>
      </w:r>
      <w:r w:rsidR="00ED09A0">
        <w:t xml:space="preserve">D’une part, </w:t>
      </w:r>
      <w:r w:rsidR="00E200D2">
        <w:t>en leur faisant prendre conscience du fait</w:t>
      </w:r>
      <w:r w:rsidR="00ED09A0">
        <w:t xml:space="preserve"> que </w:t>
      </w:r>
      <w:r w:rsidR="003B20FC">
        <w:t xml:space="preserve">le droit </w:t>
      </w:r>
      <w:r w:rsidR="0046454B">
        <w:t xml:space="preserve">n’existe que </w:t>
      </w:r>
      <w:r w:rsidR="005223E4">
        <w:t>dans le discours des diseurs de droit</w:t>
      </w:r>
      <w:r w:rsidR="0046454B">
        <w:t xml:space="preserve">, c’est leur </w:t>
      </w:r>
      <w:r w:rsidR="003F40CD">
        <w:t>transmettre</w:t>
      </w:r>
      <w:r w:rsidR="0046454B">
        <w:t xml:space="preserve"> </w:t>
      </w:r>
      <w:r w:rsidR="000A6E36">
        <w:t xml:space="preserve">à eux, les diseurs de droit autorisés de demain, </w:t>
      </w:r>
      <w:r w:rsidR="0046454B">
        <w:t xml:space="preserve">les clefs </w:t>
      </w:r>
      <w:r w:rsidR="000A6E36">
        <w:t>de son évolution.</w:t>
      </w:r>
      <w:r w:rsidR="0046454B">
        <w:t xml:space="preserve"> </w:t>
      </w:r>
      <w:r w:rsidR="003B20FC">
        <w:t xml:space="preserve"> </w:t>
      </w:r>
      <w:r w:rsidR="005223E4">
        <w:t xml:space="preserve">D’autre part, </w:t>
      </w:r>
      <w:r w:rsidR="00E200D2">
        <w:t xml:space="preserve">en soulignant la nécessité des mythes du droit et l’utilité sociale de ce dernier, </w:t>
      </w:r>
      <w:r w:rsidR="005223E4">
        <w:t xml:space="preserve">c’est lester </w:t>
      </w:r>
      <w:r w:rsidR="00E200D2">
        <w:t>leur</w:t>
      </w:r>
      <w:r w:rsidR="005223E4">
        <w:t xml:space="preserve"> liberté </w:t>
      </w:r>
      <w:r w:rsidR="00E200D2">
        <w:t xml:space="preserve">future </w:t>
      </w:r>
      <w:r w:rsidR="005223E4">
        <w:t xml:space="preserve">d’une importante responsabilité. </w:t>
      </w:r>
      <w:r w:rsidR="008948C9">
        <w:t xml:space="preserve">Celle de s’assurer que leur discipline est, à tout moment, </w:t>
      </w:r>
      <w:r w:rsidR="00BC6AFF">
        <w:t xml:space="preserve">à la hauteur des vertus qu’on lui prête et de la première mission qui lui est assignée : </w:t>
      </w:r>
      <w:r w:rsidR="00EB5665">
        <w:t xml:space="preserve">celle de </w:t>
      </w:r>
      <w:r w:rsidR="00BC6AFF">
        <w:t xml:space="preserve">traduire dans un langage commun, en vue de </w:t>
      </w:r>
      <w:r w:rsidR="007A109F">
        <w:t xml:space="preserve">les </w:t>
      </w:r>
      <w:r w:rsidR="00BC6AFF">
        <w:t>départager,</w:t>
      </w:r>
      <w:r w:rsidR="008948C9">
        <w:t xml:space="preserve"> les différent</w:t>
      </w:r>
      <w:r w:rsidR="007A109F">
        <w:t>e</w:t>
      </w:r>
      <w:r w:rsidR="008948C9">
        <w:t>s</w:t>
      </w:r>
      <w:r w:rsidR="007A109F">
        <w:t xml:space="preserve"> revendications qui surgissent à tout moment d’une société </w:t>
      </w:r>
      <w:r w:rsidR="00EB5665">
        <w:t>de plus en plus fragmentée</w:t>
      </w:r>
      <w:r w:rsidR="008948C9">
        <w:t>.</w:t>
      </w:r>
      <w:r w:rsidR="007A109F">
        <w:t xml:space="preserve"> </w:t>
      </w:r>
      <w:r w:rsidR="008948C9">
        <w:t xml:space="preserve"> </w:t>
      </w:r>
    </w:p>
    <w:p w14:paraId="1BAE8910" w14:textId="77777777" w:rsidR="00AB5082" w:rsidRPr="00141EB5" w:rsidRDefault="00AB5082" w:rsidP="00845C31">
      <w:pPr>
        <w:spacing w:line="360" w:lineRule="auto"/>
        <w:jc w:val="both"/>
      </w:pPr>
    </w:p>
    <w:sectPr w:rsidR="00AB5082" w:rsidRPr="00141EB5" w:rsidSect="00967281">
      <w:footerReference w:type="even" r:id="rId8"/>
      <w:footerReference w:type="default" r:id="rId9"/>
      <w:pgSz w:w="11900" w:h="16840"/>
      <w:pgMar w:top="1418" w:right="1418" w:bottom="1418" w:left="1418"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1F7F44" w14:textId="77777777" w:rsidR="00845C31" w:rsidRDefault="00845C31" w:rsidP="00F952BF">
      <w:r>
        <w:separator/>
      </w:r>
    </w:p>
  </w:endnote>
  <w:endnote w:type="continuationSeparator" w:id="0">
    <w:p w14:paraId="0660A449" w14:textId="77777777" w:rsidR="00845C31" w:rsidRDefault="00845C31" w:rsidP="00F952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43D14B" w14:textId="77777777" w:rsidR="00845C31" w:rsidRDefault="00845C31" w:rsidP="001C2961">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50E4B6C0" w14:textId="77777777" w:rsidR="00845C31" w:rsidRDefault="00845C31" w:rsidP="00F952BF">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7C2CC0" w14:textId="77777777" w:rsidR="00845C31" w:rsidRDefault="00845C31" w:rsidP="001C2961">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12749E">
      <w:rPr>
        <w:rStyle w:val="Numrodepage"/>
        <w:noProof/>
      </w:rPr>
      <w:t>1</w:t>
    </w:r>
    <w:r>
      <w:rPr>
        <w:rStyle w:val="Numrodepage"/>
      </w:rPr>
      <w:fldChar w:fldCharType="end"/>
    </w:r>
  </w:p>
  <w:p w14:paraId="77FCACC0" w14:textId="77777777" w:rsidR="00845C31" w:rsidRDefault="00845C31" w:rsidP="00F952BF">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067CDA" w14:textId="77777777" w:rsidR="00845C31" w:rsidRDefault="00845C31" w:rsidP="00F952BF">
      <w:r>
        <w:separator/>
      </w:r>
    </w:p>
  </w:footnote>
  <w:footnote w:type="continuationSeparator" w:id="0">
    <w:p w14:paraId="7BAE25C0" w14:textId="77777777" w:rsidR="00845C31" w:rsidRDefault="00845C31" w:rsidP="00F952BF">
      <w:r>
        <w:continuationSeparator/>
      </w:r>
    </w:p>
  </w:footnote>
  <w:footnote w:id="1">
    <w:p w14:paraId="42AEF5F6" w14:textId="2D5EC9EC" w:rsidR="00845C31" w:rsidRPr="00430130" w:rsidRDefault="00845C31">
      <w:pPr>
        <w:pStyle w:val="Notedebasdepage"/>
      </w:pPr>
      <w:r w:rsidRPr="00430130">
        <w:rPr>
          <w:rStyle w:val="Marquenotebasdepage"/>
        </w:rPr>
        <w:t>*</w:t>
      </w:r>
      <w:r w:rsidRPr="00430130">
        <w:t xml:space="preserve"> L’auteur remercie vivement Isabelle Hachez, François Ost et Jérémie van Meerbeeck pour leurs précieux commentaires sur une première mouture de cet article.</w:t>
      </w:r>
    </w:p>
  </w:footnote>
  <w:footnote w:id="2">
    <w:p w14:paraId="2CA329CF" w14:textId="7B74EE15" w:rsidR="00845C31" w:rsidRPr="000E181B" w:rsidRDefault="00845C31">
      <w:pPr>
        <w:pStyle w:val="Notedebasdepage"/>
        <w:rPr>
          <w:szCs w:val="20"/>
        </w:rPr>
      </w:pPr>
      <w:r w:rsidRPr="000E181B">
        <w:rPr>
          <w:rStyle w:val="Marquenotebasdepage"/>
          <w:szCs w:val="20"/>
        </w:rPr>
        <w:footnoteRef/>
      </w:r>
      <w:r>
        <w:rPr>
          <w:szCs w:val="20"/>
        </w:rPr>
        <w:t xml:space="preserve"> Voy. l</w:t>
      </w:r>
      <w:r w:rsidRPr="000E181B">
        <w:rPr>
          <w:szCs w:val="20"/>
        </w:rPr>
        <w:t>’article 434-7-1 du Code pénal français et l’article 258 du Code pénal belge.</w:t>
      </w:r>
    </w:p>
  </w:footnote>
  <w:footnote w:id="3">
    <w:p w14:paraId="6F5FCAFD" w14:textId="1870B96A" w:rsidR="00845C31" w:rsidRPr="000E181B" w:rsidRDefault="00845C31">
      <w:pPr>
        <w:pStyle w:val="Notedebasdepage"/>
        <w:rPr>
          <w:szCs w:val="20"/>
        </w:rPr>
      </w:pPr>
      <w:r w:rsidRPr="000E181B">
        <w:rPr>
          <w:rStyle w:val="Marquenotebasdepage"/>
          <w:szCs w:val="20"/>
        </w:rPr>
        <w:footnoteRef/>
      </w:r>
      <w:r w:rsidRPr="000E181B">
        <w:rPr>
          <w:szCs w:val="20"/>
        </w:rPr>
        <w:t xml:space="preserve"> F. </w:t>
      </w:r>
      <w:r w:rsidRPr="000E181B">
        <w:rPr>
          <w:smallCaps/>
          <w:szCs w:val="20"/>
        </w:rPr>
        <w:t>Laurent</w:t>
      </w:r>
      <w:r w:rsidRPr="000E181B">
        <w:rPr>
          <w:szCs w:val="20"/>
        </w:rPr>
        <w:t xml:space="preserve">, </w:t>
      </w:r>
      <w:r w:rsidRPr="000E181B">
        <w:rPr>
          <w:i/>
          <w:szCs w:val="20"/>
        </w:rPr>
        <w:t>Cours élémentaire de droit civil</w:t>
      </w:r>
      <w:r w:rsidRPr="000E181B">
        <w:rPr>
          <w:szCs w:val="20"/>
        </w:rPr>
        <w:t>, tome premier, Bruxelles – Paris, Bruylant – Marescq, 1887, p. 57-58 (nous soulignons).</w:t>
      </w:r>
    </w:p>
  </w:footnote>
  <w:footnote w:id="4">
    <w:p w14:paraId="780679FA" w14:textId="71ABD552" w:rsidR="00845C31" w:rsidRPr="000E181B" w:rsidRDefault="00845C31">
      <w:pPr>
        <w:pStyle w:val="Notedebasdepage"/>
        <w:rPr>
          <w:szCs w:val="20"/>
        </w:rPr>
      </w:pPr>
      <w:r w:rsidRPr="000E181B">
        <w:rPr>
          <w:rStyle w:val="Marquenotebasdepage"/>
          <w:szCs w:val="20"/>
        </w:rPr>
        <w:footnoteRef/>
      </w:r>
      <w:r w:rsidRPr="000E181B">
        <w:rPr>
          <w:szCs w:val="20"/>
        </w:rPr>
        <w:t xml:space="preserve"> F. </w:t>
      </w:r>
      <w:r w:rsidRPr="000E181B">
        <w:rPr>
          <w:smallCaps/>
          <w:szCs w:val="20"/>
        </w:rPr>
        <w:t>Laurent</w:t>
      </w:r>
      <w:r w:rsidRPr="000E181B">
        <w:rPr>
          <w:szCs w:val="20"/>
        </w:rPr>
        <w:t xml:space="preserve">, </w:t>
      </w:r>
      <w:r w:rsidRPr="000E181B">
        <w:rPr>
          <w:i/>
          <w:szCs w:val="20"/>
        </w:rPr>
        <w:t>Principes de droit civil</w:t>
      </w:r>
      <w:r w:rsidRPr="000E181B">
        <w:rPr>
          <w:szCs w:val="20"/>
        </w:rPr>
        <w:t>, 4</w:t>
      </w:r>
      <w:r w:rsidRPr="000E181B">
        <w:rPr>
          <w:szCs w:val="20"/>
          <w:vertAlign w:val="superscript"/>
        </w:rPr>
        <w:t>e</w:t>
      </w:r>
      <w:r w:rsidRPr="000E181B">
        <w:rPr>
          <w:szCs w:val="20"/>
        </w:rPr>
        <w:t xml:space="preserve"> édition, tome 1er, Bruxelles – </w:t>
      </w:r>
      <w:r>
        <w:rPr>
          <w:szCs w:val="20"/>
        </w:rPr>
        <w:t>P</w:t>
      </w:r>
      <w:r w:rsidRPr="000E181B">
        <w:rPr>
          <w:szCs w:val="20"/>
        </w:rPr>
        <w:t>aris, Bruylant – Marescq, 1887, p. 329.</w:t>
      </w:r>
    </w:p>
  </w:footnote>
  <w:footnote w:id="5">
    <w:p w14:paraId="217F5DE0" w14:textId="3AD0A7DF" w:rsidR="00845C31" w:rsidRPr="000E181B" w:rsidRDefault="00845C31" w:rsidP="001544BE">
      <w:pPr>
        <w:pStyle w:val="Notedebasdepage"/>
        <w:rPr>
          <w:szCs w:val="20"/>
        </w:rPr>
      </w:pPr>
      <w:r w:rsidRPr="000E181B">
        <w:rPr>
          <w:rStyle w:val="Marquenotebasdepage"/>
          <w:szCs w:val="20"/>
        </w:rPr>
        <w:footnoteRef/>
      </w:r>
      <w:r w:rsidRPr="000E181B">
        <w:rPr>
          <w:szCs w:val="20"/>
        </w:rPr>
        <w:t xml:space="preserve"> Pour une défense de cette théorie, cf. M. </w:t>
      </w:r>
      <w:r w:rsidRPr="000E181B">
        <w:rPr>
          <w:smallCaps/>
          <w:szCs w:val="20"/>
        </w:rPr>
        <w:t>Troper</w:t>
      </w:r>
      <w:r w:rsidRPr="000E181B">
        <w:rPr>
          <w:szCs w:val="20"/>
        </w:rPr>
        <w:t xml:space="preserve">, </w:t>
      </w:r>
      <w:r w:rsidRPr="000E181B">
        <w:rPr>
          <w:i/>
          <w:szCs w:val="20"/>
        </w:rPr>
        <w:t>Le droit et la nécessité</w:t>
      </w:r>
      <w:r w:rsidRPr="000E181B">
        <w:rPr>
          <w:szCs w:val="20"/>
        </w:rPr>
        <w:t>,</w:t>
      </w:r>
      <w:r w:rsidRPr="000E181B">
        <w:rPr>
          <w:i/>
          <w:szCs w:val="20"/>
        </w:rPr>
        <w:t xml:space="preserve"> </w:t>
      </w:r>
      <w:r w:rsidRPr="000E181B">
        <w:rPr>
          <w:szCs w:val="20"/>
        </w:rPr>
        <w:t>coll. Léviathan,</w:t>
      </w:r>
      <w:r>
        <w:rPr>
          <w:szCs w:val="20"/>
        </w:rPr>
        <w:t xml:space="preserve"> Paris, PUF, 2011, chapitre II « Le dogme de la complétude »</w:t>
      </w:r>
      <w:r w:rsidRPr="000E181B">
        <w:rPr>
          <w:szCs w:val="20"/>
        </w:rPr>
        <w:t>, p. 19-29.</w:t>
      </w:r>
    </w:p>
  </w:footnote>
  <w:footnote w:id="6">
    <w:p w14:paraId="61E645BF" w14:textId="5B90D2A6" w:rsidR="00845C31" w:rsidRPr="000E181B" w:rsidRDefault="00845C31" w:rsidP="00AD5FCE">
      <w:pPr>
        <w:pStyle w:val="Notedebasdepage"/>
        <w:rPr>
          <w:szCs w:val="20"/>
        </w:rPr>
      </w:pPr>
      <w:r w:rsidRPr="000E181B">
        <w:rPr>
          <w:rStyle w:val="Marquenotebasdepage"/>
          <w:szCs w:val="20"/>
        </w:rPr>
        <w:footnoteRef/>
      </w:r>
      <w:r w:rsidRPr="000E181B">
        <w:rPr>
          <w:szCs w:val="20"/>
        </w:rPr>
        <w:t xml:space="preserve"> H. </w:t>
      </w:r>
      <w:r w:rsidRPr="000E181B">
        <w:rPr>
          <w:smallCaps/>
          <w:szCs w:val="20"/>
        </w:rPr>
        <w:t>Kelsen</w:t>
      </w:r>
      <w:r w:rsidRPr="000E181B">
        <w:rPr>
          <w:szCs w:val="20"/>
        </w:rPr>
        <w:t xml:space="preserve">, </w:t>
      </w:r>
      <w:r w:rsidRPr="000E181B">
        <w:rPr>
          <w:i/>
          <w:szCs w:val="20"/>
        </w:rPr>
        <w:t>Théorie pure du droit</w:t>
      </w:r>
      <w:r w:rsidRPr="000E181B">
        <w:rPr>
          <w:szCs w:val="20"/>
        </w:rPr>
        <w:t>, trad. Ch. Eisenmann, coll. La pensée juridique, Bruxelles – Paris, Bruylant – LGDJ, 1999 (éd. or. 1962), p. 246 et 248.</w:t>
      </w:r>
    </w:p>
  </w:footnote>
  <w:footnote w:id="7">
    <w:p w14:paraId="17E6B10F" w14:textId="11C3B6B3" w:rsidR="00845C31" w:rsidRPr="000E181B" w:rsidRDefault="00845C31" w:rsidP="006A5D90">
      <w:pPr>
        <w:pStyle w:val="Notedebasdepage"/>
      </w:pPr>
      <w:r w:rsidRPr="000E181B">
        <w:rPr>
          <w:rStyle w:val="Marquenotebasdepage"/>
          <w:szCs w:val="20"/>
        </w:rPr>
        <w:footnoteRef/>
      </w:r>
      <w:r w:rsidRPr="000E181B">
        <w:t xml:space="preserve"> </w:t>
      </w:r>
      <w:r w:rsidRPr="000E181B">
        <w:rPr>
          <w:i/>
        </w:rPr>
        <w:t>Ibid.</w:t>
      </w:r>
      <w:r w:rsidRPr="000E181B">
        <w:t>, p. 247.</w:t>
      </w:r>
    </w:p>
  </w:footnote>
  <w:footnote w:id="8">
    <w:p w14:paraId="12DB70AD" w14:textId="108A819D" w:rsidR="00845C31" w:rsidRPr="000E181B" w:rsidRDefault="00845C31">
      <w:pPr>
        <w:pStyle w:val="Notedebasdepage"/>
        <w:rPr>
          <w:szCs w:val="20"/>
        </w:rPr>
      </w:pPr>
      <w:r w:rsidRPr="000E181B">
        <w:rPr>
          <w:rStyle w:val="Marquenotebasdepage"/>
          <w:szCs w:val="20"/>
        </w:rPr>
        <w:footnoteRef/>
      </w:r>
      <w:r w:rsidRPr="000E181B">
        <w:rPr>
          <w:szCs w:val="20"/>
        </w:rPr>
        <w:t xml:space="preserve"> </w:t>
      </w:r>
      <w:r w:rsidRPr="000E181B">
        <w:rPr>
          <w:i/>
          <w:szCs w:val="20"/>
        </w:rPr>
        <w:t>Ibid.</w:t>
      </w:r>
      <w:r w:rsidRPr="000E181B">
        <w:rPr>
          <w:szCs w:val="20"/>
        </w:rPr>
        <w:t>, p. 245.</w:t>
      </w:r>
    </w:p>
  </w:footnote>
  <w:footnote w:id="9">
    <w:p w14:paraId="0714A8BD" w14:textId="0365D6CF" w:rsidR="00845C31" w:rsidRPr="00413C02" w:rsidRDefault="00845C31" w:rsidP="00413C02">
      <w:pPr>
        <w:pStyle w:val="Notedebasdepage"/>
        <w:rPr>
          <w:szCs w:val="20"/>
        </w:rPr>
      </w:pPr>
      <w:r w:rsidRPr="00413C02">
        <w:rPr>
          <w:rStyle w:val="Marquenotebasdepage"/>
          <w:szCs w:val="20"/>
        </w:rPr>
        <w:footnoteRef/>
      </w:r>
      <w:r w:rsidRPr="00413C02">
        <w:rPr>
          <w:szCs w:val="20"/>
        </w:rPr>
        <w:t xml:space="preserve"> On peut discuter de l’affirmation selon laquelle la </w:t>
      </w:r>
      <w:r w:rsidRPr="00413C02">
        <w:rPr>
          <w:i/>
          <w:szCs w:val="20"/>
        </w:rPr>
        <w:t xml:space="preserve">Théorie pure du droit </w:t>
      </w:r>
      <w:r w:rsidRPr="00413C02">
        <w:rPr>
          <w:szCs w:val="20"/>
        </w:rPr>
        <w:t>est le fruit</w:t>
      </w:r>
      <w:r w:rsidRPr="00413C02">
        <w:rPr>
          <w:i/>
          <w:szCs w:val="20"/>
        </w:rPr>
        <w:t xml:space="preserve"> </w:t>
      </w:r>
      <w:r w:rsidRPr="00413C02">
        <w:rPr>
          <w:szCs w:val="20"/>
        </w:rPr>
        <w:t xml:space="preserve">d’une analyse interne du droit. </w:t>
      </w:r>
      <w:r>
        <w:rPr>
          <w:szCs w:val="20"/>
        </w:rPr>
        <w:t>On considérera ici que cette théorie redouble (et « anoblit ») le discours officiel du droit sur certains points mais s’en écarte sur d’autres. En ce sens, elle est mobilisée tant dans la première que dans la deuxième partie de cette contribution.</w:t>
      </w:r>
      <w:r w:rsidRPr="00413C02">
        <w:rPr>
          <w:szCs w:val="20"/>
        </w:rPr>
        <w:t xml:space="preserve"> </w:t>
      </w:r>
    </w:p>
  </w:footnote>
  <w:footnote w:id="10">
    <w:p w14:paraId="48578251" w14:textId="1288E392" w:rsidR="00845C31" w:rsidRPr="00947BB6" w:rsidRDefault="00845C31">
      <w:pPr>
        <w:pStyle w:val="Notedebasdepage"/>
      </w:pPr>
      <w:r w:rsidRPr="00947BB6">
        <w:rPr>
          <w:rStyle w:val="Marquenotebasdepage"/>
        </w:rPr>
        <w:footnoteRef/>
      </w:r>
      <w:r w:rsidRPr="00947BB6">
        <w:t xml:space="preserve"> Sur cet épineux débat, cf.</w:t>
      </w:r>
      <w:r>
        <w:t xml:space="preserve"> </w:t>
      </w:r>
      <w:r>
        <w:rPr>
          <w:smallCaps/>
        </w:rPr>
        <w:t xml:space="preserve">A. Bailleux, </w:t>
      </w:r>
      <w:r>
        <w:t xml:space="preserve">H. </w:t>
      </w:r>
      <w:r w:rsidRPr="00947BB6">
        <w:rPr>
          <w:smallCaps/>
        </w:rPr>
        <w:t>Dumont</w:t>
      </w:r>
      <w:r>
        <w:t>,</w:t>
      </w:r>
      <w:r w:rsidRPr="00947BB6">
        <w:t xml:space="preserve"> </w:t>
      </w:r>
      <w:r>
        <w:rPr>
          <w:i/>
        </w:rPr>
        <w:t>Le pacte constitutionnel européen</w:t>
      </w:r>
      <w:r>
        <w:t xml:space="preserve">, tome 1, </w:t>
      </w:r>
      <w:r>
        <w:rPr>
          <w:i/>
        </w:rPr>
        <w:t>Les fondements du droit de l’Union</w:t>
      </w:r>
      <w:r>
        <w:t xml:space="preserve">, Bruxelles, Bruylant, à paraître en 2015. </w:t>
      </w:r>
      <w:r w:rsidRPr="00947BB6">
        <w:t xml:space="preserve"> </w:t>
      </w:r>
    </w:p>
  </w:footnote>
  <w:footnote w:id="11">
    <w:p w14:paraId="0FBD32AC" w14:textId="04856409" w:rsidR="00845C31" w:rsidRPr="00B14F25" w:rsidRDefault="00845C31">
      <w:pPr>
        <w:pStyle w:val="Notedebasdepage"/>
        <w:rPr>
          <w:lang w:val="nl-NL"/>
        </w:rPr>
      </w:pPr>
      <w:r>
        <w:rPr>
          <w:rStyle w:val="Marquenotebasdepage"/>
        </w:rPr>
        <w:footnoteRef/>
      </w:r>
      <w:r>
        <w:t xml:space="preserve"> C-402/05 </w:t>
      </w:r>
      <w:r>
        <w:rPr>
          <w:i/>
        </w:rPr>
        <w:t>Kadi c. Conseil</w:t>
      </w:r>
      <w:r>
        <w:t>, 3 septembre 2008, ECLI:EU:C:2008:461.</w:t>
      </w:r>
    </w:p>
  </w:footnote>
  <w:footnote w:id="12">
    <w:p w14:paraId="5E25D1B0" w14:textId="44F457FF" w:rsidR="00845C31" w:rsidRPr="000E181B" w:rsidRDefault="00845C31">
      <w:pPr>
        <w:pStyle w:val="Notedebasdepage"/>
        <w:rPr>
          <w:szCs w:val="20"/>
        </w:rPr>
      </w:pPr>
      <w:r w:rsidRPr="000E181B">
        <w:rPr>
          <w:rStyle w:val="Marquenotebasdepage"/>
          <w:szCs w:val="20"/>
        </w:rPr>
        <w:footnoteRef/>
      </w:r>
      <w:r w:rsidRPr="000E181B">
        <w:rPr>
          <w:szCs w:val="20"/>
        </w:rPr>
        <w:t xml:space="preserve"> H. </w:t>
      </w:r>
      <w:r w:rsidRPr="000E181B">
        <w:rPr>
          <w:smallCaps/>
          <w:szCs w:val="20"/>
        </w:rPr>
        <w:t>Kelsen</w:t>
      </w:r>
      <w:r w:rsidRPr="000E181B">
        <w:rPr>
          <w:szCs w:val="20"/>
        </w:rPr>
        <w:t xml:space="preserve">, </w:t>
      </w:r>
      <w:r w:rsidRPr="000E181B">
        <w:rPr>
          <w:i/>
          <w:szCs w:val="20"/>
        </w:rPr>
        <w:t>Théorie pure du droit</w:t>
      </w:r>
      <w:r w:rsidRPr="000E181B">
        <w:rPr>
          <w:szCs w:val="20"/>
        </w:rPr>
        <w:t xml:space="preserve">, </w:t>
      </w:r>
      <w:r w:rsidRPr="000E181B">
        <w:rPr>
          <w:i/>
          <w:szCs w:val="20"/>
        </w:rPr>
        <w:t>op. cit.</w:t>
      </w:r>
      <w:r w:rsidRPr="000E181B">
        <w:rPr>
          <w:szCs w:val="20"/>
        </w:rPr>
        <w:t>, p. 340.</w:t>
      </w:r>
    </w:p>
  </w:footnote>
  <w:footnote w:id="13">
    <w:p w14:paraId="03F5321E" w14:textId="564ABC94" w:rsidR="00845C31" w:rsidRPr="000E181B" w:rsidRDefault="00845C31">
      <w:pPr>
        <w:pStyle w:val="Notedebasdepage"/>
        <w:rPr>
          <w:i/>
          <w:szCs w:val="20"/>
        </w:rPr>
      </w:pPr>
      <w:r w:rsidRPr="000E181B">
        <w:rPr>
          <w:rStyle w:val="Marquenotebasdepage"/>
          <w:szCs w:val="20"/>
        </w:rPr>
        <w:footnoteRef/>
      </w:r>
      <w:r w:rsidRPr="000E181B">
        <w:rPr>
          <w:szCs w:val="20"/>
        </w:rPr>
        <w:t xml:space="preserve"> </w:t>
      </w:r>
      <w:r w:rsidRPr="000E181B">
        <w:rPr>
          <w:i/>
          <w:szCs w:val="20"/>
        </w:rPr>
        <w:t>Ibid.</w:t>
      </w:r>
    </w:p>
  </w:footnote>
  <w:footnote w:id="14">
    <w:p w14:paraId="1054CEC5" w14:textId="649EA5BA" w:rsidR="00845C31" w:rsidRPr="000E181B" w:rsidRDefault="00845C31" w:rsidP="00D75B68">
      <w:pPr>
        <w:pStyle w:val="Notedebasdepage"/>
        <w:rPr>
          <w:szCs w:val="20"/>
        </w:rPr>
      </w:pPr>
      <w:r w:rsidRPr="000E181B">
        <w:rPr>
          <w:rStyle w:val="Marquenotebasdepage"/>
          <w:szCs w:val="20"/>
        </w:rPr>
        <w:footnoteRef/>
      </w:r>
      <w:r w:rsidRPr="000E181B">
        <w:rPr>
          <w:szCs w:val="20"/>
        </w:rPr>
        <w:t xml:space="preserve"> H. </w:t>
      </w:r>
      <w:r w:rsidRPr="000E181B">
        <w:rPr>
          <w:smallCaps/>
          <w:szCs w:val="20"/>
        </w:rPr>
        <w:t>Hart</w:t>
      </w:r>
      <w:r w:rsidRPr="000E181B">
        <w:rPr>
          <w:szCs w:val="20"/>
        </w:rPr>
        <w:t xml:space="preserve">, </w:t>
      </w:r>
      <w:r w:rsidRPr="000E181B">
        <w:rPr>
          <w:i/>
          <w:szCs w:val="20"/>
        </w:rPr>
        <w:t>Le concept de droit</w:t>
      </w:r>
      <w:r w:rsidRPr="000E181B">
        <w:rPr>
          <w:szCs w:val="20"/>
        </w:rPr>
        <w:t>, trad. M. van de Kerchove, 2</w:t>
      </w:r>
      <w:r w:rsidRPr="000E181B">
        <w:rPr>
          <w:szCs w:val="20"/>
          <w:vertAlign w:val="superscript"/>
        </w:rPr>
        <w:t>ème</w:t>
      </w:r>
      <w:r w:rsidRPr="000E181B">
        <w:rPr>
          <w:szCs w:val="20"/>
        </w:rPr>
        <w:t xml:space="preserve"> édition augmentée, Bruxelles, Publications des Facultés universitaires Saint-Louis, 2005, p. 291</w:t>
      </w:r>
      <w:r>
        <w:rPr>
          <w:szCs w:val="20"/>
        </w:rPr>
        <w:t xml:space="preserve"> (postface)</w:t>
      </w:r>
      <w:r w:rsidRPr="000E181B">
        <w:rPr>
          <w:szCs w:val="20"/>
        </w:rPr>
        <w:t>.</w:t>
      </w:r>
    </w:p>
  </w:footnote>
  <w:footnote w:id="15">
    <w:p w14:paraId="17EB0136" w14:textId="0AC38BAE" w:rsidR="00845C31" w:rsidRPr="000E181B" w:rsidRDefault="00845C31">
      <w:pPr>
        <w:pStyle w:val="Notedebasdepage"/>
        <w:rPr>
          <w:szCs w:val="20"/>
        </w:rPr>
      </w:pPr>
      <w:r w:rsidRPr="000E181B">
        <w:rPr>
          <w:rStyle w:val="Marquenotebasdepage"/>
          <w:szCs w:val="20"/>
        </w:rPr>
        <w:footnoteRef/>
      </w:r>
      <w:r w:rsidRPr="000E181B">
        <w:rPr>
          <w:szCs w:val="20"/>
        </w:rPr>
        <w:t xml:space="preserve"> </w:t>
      </w:r>
      <w:r>
        <w:rPr>
          <w:szCs w:val="20"/>
        </w:rPr>
        <w:t>Sur ces manquements graves et répétés de la Cour de Strasbourg à sa propre jurisprudence et sur les motifs économiques qui les sous-tendent, cf. la contribution de Michel Nouchy à cet ouvrage.</w:t>
      </w:r>
    </w:p>
  </w:footnote>
  <w:footnote w:id="16">
    <w:p w14:paraId="39914747" w14:textId="25A90689" w:rsidR="00845C31" w:rsidRPr="000A3009" w:rsidRDefault="00845C31">
      <w:pPr>
        <w:pStyle w:val="Notedebasdepage"/>
        <w:rPr>
          <w:szCs w:val="20"/>
        </w:rPr>
      </w:pPr>
      <w:r w:rsidRPr="000E181B">
        <w:rPr>
          <w:rStyle w:val="Marquenotebasdepage"/>
          <w:szCs w:val="20"/>
        </w:rPr>
        <w:footnoteRef/>
      </w:r>
      <w:r w:rsidRPr="000E181B">
        <w:rPr>
          <w:szCs w:val="20"/>
        </w:rPr>
        <w:t xml:space="preserve"> </w:t>
      </w:r>
      <w:r>
        <w:rPr>
          <w:szCs w:val="20"/>
        </w:rPr>
        <w:t xml:space="preserve">Cf. à cet égard la méfiance exprimée par Piketty à l’égard d’une interprétation trop extensive, par les juges, de la règle d’or : T. </w:t>
      </w:r>
      <w:r>
        <w:rPr>
          <w:smallCaps/>
          <w:szCs w:val="20"/>
        </w:rPr>
        <w:t>Piketty</w:t>
      </w:r>
      <w:r>
        <w:rPr>
          <w:szCs w:val="20"/>
        </w:rPr>
        <w:t xml:space="preserve">, </w:t>
      </w:r>
      <w:r>
        <w:rPr>
          <w:i/>
          <w:szCs w:val="20"/>
        </w:rPr>
        <w:t>Le capital au XXIe siècle</w:t>
      </w:r>
      <w:r>
        <w:rPr>
          <w:szCs w:val="20"/>
        </w:rPr>
        <w:t xml:space="preserve">, Paris, Seuil, 2013, p. 931-932. Cf. aussi W. </w:t>
      </w:r>
      <w:r w:rsidRPr="000A3009">
        <w:rPr>
          <w:smallCaps/>
          <w:szCs w:val="20"/>
        </w:rPr>
        <w:t>Streeck</w:t>
      </w:r>
      <w:r>
        <w:rPr>
          <w:szCs w:val="20"/>
        </w:rPr>
        <w:t xml:space="preserve">, </w:t>
      </w:r>
      <w:r w:rsidRPr="000A3009">
        <w:rPr>
          <w:i/>
          <w:szCs w:val="20"/>
        </w:rPr>
        <w:t>Du temps acheté.</w:t>
      </w:r>
      <w:r>
        <w:rPr>
          <w:szCs w:val="20"/>
        </w:rPr>
        <w:t xml:space="preserve"> </w:t>
      </w:r>
      <w:r>
        <w:rPr>
          <w:i/>
          <w:szCs w:val="20"/>
        </w:rPr>
        <w:t>La crise sans cesse ajournée du capitalisme démocratique</w:t>
      </w:r>
      <w:r>
        <w:rPr>
          <w:szCs w:val="20"/>
        </w:rPr>
        <w:t>, Paris, Gallimard, 2012.</w:t>
      </w:r>
    </w:p>
  </w:footnote>
  <w:footnote w:id="17">
    <w:p w14:paraId="54E4D575" w14:textId="3FA1EC99" w:rsidR="00845C31" w:rsidRPr="000E181B" w:rsidRDefault="00845C31">
      <w:pPr>
        <w:pStyle w:val="Notedebasdepage"/>
        <w:rPr>
          <w:szCs w:val="20"/>
        </w:rPr>
      </w:pPr>
      <w:r w:rsidRPr="000E181B">
        <w:rPr>
          <w:rStyle w:val="Marquenotebasdepage"/>
          <w:szCs w:val="20"/>
        </w:rPr>
        <w:footnoteRef/>
      </w:r>
      <w:r w:rsidRPr="000E181B">
        <w:rPr>
          <w:szCs w:val="20"/>
        </w:rPr>
        <w:t xml:space="preserve"> </w:t>
      </w:r>
      <w:r>
        <w:rPr>
          <w:szCs w:val="20"/>
        </w:rPr>
        <w:t xml:space="preserve">Cf. M. </w:t>
      </w:r>
      <w:r w:rsidRPr="00575AA2">
        <w:rPr>
          <w:smallCaps/>
          <w:szCs w:val="20"/>
        </w:rPr>
        <w:t>Maira, C. Majastre, O. Paye, C. Xhardez</w:t>
      </w:r>
      <w:r>
        <w:rPr>
          <w:szCs w:val="20"/>
        </w:rPr>
        <w:t xml:space="preserve">, « Formations et identités professionnelles dans la fabrique de l’action publique : Quelle place pour le droit et les juristes ? Regards de politologues », </w:t>
      </w:r>
      <w:r>
        <w:rPr>
          <w:i/>
          <w:szCs w:val="20"/>
        </w:rPr>
        <w:t>R.I.E.J.</w:t>
      </w:r>
      <w:r>
        <w:rPr>
          <w:szCs w:val="20"/>
        </w:rPr>
        <w:t>, 2014/73, p. 173-202, spéc. p. 185-186.</w:t>
      </w:r>
    </w:p>
  </w:footnote>
  <w:footnote w:id="18">
    <w:p w14:paraId="6B378956" w14:textId="12ECD91B" w:rsidR="00845C31" w:rsidRPr="000E181B" w:rsidRDefault="00845C31" w:rsidP="00240DFC">
      <w:pPr>
        <w:pStyle w:val="Notedebasdepage"/>
        <w:rPr>
          <w:szCs w:val="20"/>
        </w:rPr>
      </w:pPr>
      <w:r w:rsidRPr="000E181B">
        <w:rPr>
          <w:rStyle w:val="Marquenotebasdepage"/>
          <w:szCs w:val="20"/>
        </w:rPr>
        <w:footnoteRef/>
      </w:r>
      <w:r w:rsidRPr="000E181B">
        <w:rPr>
          <w:szCs w:val="20"/>
        </w:rPr>
        <w:t xml:space="preserve"> Pour une réflex</w:t>
      </w:r>
      <w:r>
        <w:rPr>
          <w:szCs w:val="20"/>
        </w:rPr>
        <w:t>ion récente sur le droit comme « registre d’action »</w:t>
      </w:r>
      <w:r w:rsidRPr="000E181B">
        <w:rPr>
          <w:szCs w:val="20"/>
        </w:rPr>
        <w:t xml:space="preserve">, cf. L. </w:t>
      </w:r>
      <w:r w:rsidRPr="000E181B">
        <w:rPr>
          <w:smallCaps/>
          <w:szCs w:val="20"/>
        </w:rPr>
        <w:t>Israël</w:t>
      </w:r>
      <w:r w:rsidRPr="000E181B">
        <w:rPr>
          <w:szCs w:val="20"/>
        </w:rPr>
        <w:t xml:space="preserve">, </w:t>
      </w:r>
      <w:r w:rsidRPr="000E181B">
        <w:rPr>
          <w:i/>
          <w:szCs w:val="20"/>
        </w:rPr>
        <w:t>L’arme du droit</w:t>
      </w:r>
      <w:r w:rsidRPr="000E181B">
        <w:rPr>
          <w:szCs w:val="20"/>
        </w:rPr>
        <w:t>, Paris, Presses de Sciences Po, 2009.</w:t>
      </w:r>
    </w:p>
  </w:footnote>
  <w:footnote w:id="19">
    <w:p w14:paraId="7D9E1ACB" w14:textId="41324328" w:rsidR="00845C31" w:rsidRPr="00EC2684" w:rsidRDefault="00845C31">
      <w:pPr>
        <w:pStyle w:val="Notedebasdepage"/>
        <w:rPr>
          <w:szCs w:val="20"/>
        </w:rPr>
      </w:pPr>
      <w:r w:rsidRPr="000E181B">
        <w:rPr>
          <w:rStyle w:val="Marquenotebasdepage"/>
          <w:szCs w:val="20"/>
        </w:rPr>
        <w:footnoteRef/>
      </w:r>
      <w:r w:rsidRPr="000E181B">
        <w:rPr>
          <w:szCs w:val="20"/>
        </w:rPr>
        <w:t xml:space="preserve"> </w:t>
      </w:r>
      <w:r>
        <w:rPr>
          <w:szCs w:val="20"/>
        </w:rPr>
        <w:t xml:space="preserve">Pour quelques références sur cette question, cf. A. </w:t>
      </w:r>
      <w:r w:rsidRPr="00EC2684">
        <w:rPr>
          <w:smallCaps/>
          <w:szCs w:val="20"/>
        </w:rPr>
        <w:t>Bailleux</w:t>
      </w:r>
      <w:r>
        <w:rPr>
          <w:szCs w:val="20"/>
        </w:rPr>
        <w:t xml:space="preserve">, </w:t>
      </w:r>
      <w:r>
        <w:rPr>
          <w:i/>
          <w:szCs w:val="20"/>
        </w:rPr>
        <w:t>Les interactions entre libre circulation et droits fondamentaux dans la jurisprudence communautaire. Essai sur la figure du juge traducteur</w:t>
      </w:r>
      <w:r w:rsidRPr="00EC2684">
        <w:rPr>
          <w:szCs w:val="20"/>
        </w:rPr>
        <w:t>, Bruxelles, Publications des Facultés universitaires Saint-Louis – Bruylant, 2009, p. 459-463 et 507-511.</w:t>
      </w:r>
    </w:p>
  </w:footnote>
  <w:footnote w:id="20">
    <w:p w14:paraId="1423AC0B" w14:textId="2757B5BD" w:rsidR="00845C31" w:rsidRPr="000E181B" w:rsidRDefault="00845C31">
      <w:pPr>
        <w:pStyle w:val="Notedebasdepage"/>
        <w:rPr>
          <w:szCs w:val="20"/>
        </w:rPr>
      </w:pPr>
      <w:r w:rsidRPr="000E181B">
        <w:rPr>
          <w:rStyle w:val="Marquenotebasdepage"/>
          <w:szCs w:val="20"/>
        </w:rPr>
        <w:footnoteRef/>
      </w:r>
      <w:r w:rsidRPr="000E181B">
        <w:rPr>
          <w:szCs w:val="20"/>
        </w:rPr>
        <w:t xml:space="preserve"> On renverra sur ce point aux recherches menées actuellement par le Centre Perelman de l’Université Libre de Bruxelles: </w:t>
      </w:r>
      <w:hyperlink r:id="rId1" w:history="1">
        <w:r w:rsidRPr="000E181B">
          <w:rPr>
            <w:rStyle w:val="Lienhypertexte"/>
            <w:szCs w:val="20"/>
          </w:rPr>
          <w:t>www.philodroit.be</w:t>
        </w:r>
      </w:hyperlink>
      <w:r w:rsidRPr="000E181B">
        <w:rPr>
          <w:szCs w:val="20"/>
        </w:rPr>
        <w:t>.</w:t>
      </w:r>
    </w:p>
  </w:footnote>
  <w:footnote w:id="21">
    <w:p w14:paraId="69EE4357" w14:textId="6E7E8A37" w:rsidR="00845C31" w:rsidRPr="000E181B" w:rsidRDefault="00845C31">
      <w:pPr>
        <w:pStyle w:val="Notedebasdepage"/>
        <w:rPr>
          <w:i/>
          <w:szCs w:val="20"/>
        </w:rPr>
      </w:pPr>
      <w:r w:rsidRPr="000E181B">
        <w:rPr>
          <w:rStyle w:val="Marquenotebasdepage"/>
          <w:szCs w:val="20"/>
        </w:rPr>
        <w:footnoteRef/>
      </w:r>
      <w:r w:rsidRPr="000E181B">
        <w:rPr>
          <w:szCs w:val="20"/>
        </w:rPr>
        <w:t xml:space="preserve"> Cf. R. </w:t>
      </w:r>
      <w:r w:rsidRPr="000E181B">
        <w:rPr>
          <w:smallCaps/>
          <w:szCs w:val="20"/>
        </w:rPr>
        <w:t>Dworkin</w:t>
      </w:r>
      <w:r w:rsidRPr="000E181B">
        <w:rPr>
          <w:szCs w:val="20"/>
        </w:rPr>
        <w:t xml:space="preserve">, </w:t>
      </w:r>
      <w:r w:rsidRPr="000E181B">
        <w:rPr>
          <w:i/>
          <w:szCs w:val="20"/>
        </w:rPr>
        <w:t>L’empire du droit</w:t>
      </w:r>
      <w:r w:rsidRPr="000E181B">
        <w:rPr>
          <w:szCs w:val="20"/>
        </w:rPr>
        <w:t xml:space="preserve">, trad. E. Soubrenie, Paris, PUF, 1994, p. 289 à 301, à propos du courant réaliste et des </w:t>
      </w:r>
      <w:r w:rsidRPr="000E181B">
        <w:rPr>
          <w:i/>
          <w:szCs w:val="20"/>
        </w:rPr>
        <w:t>critical legal studies.</w:t>
      </w:r>
    </w:p>
  </w:footnote>
  <w:footnote w:id="22">
    <w:p w14:paraId="2C09B80D" w14:textId="1E1C374E" w:rsidR="00845C31" w:rsidRPr="000E181B" w:rsidRDefault="00845C31">
      <w:pPr>
        <w:pStyle w:val="Notedebasdepage"/>
        <w:rPr>
          <w:szCs w:val="20"/>
        </w:rPr>
      </w:pPr>
      <w:r w:rsidRPr="000E181B">
        <w:rPr>
          <w:rStyle w:val="Marquenotebasdepage"/>
          <w:szCs w:val="20"/>
        </w:rPr>
        <w:footnoteRef/>
      </w:r>
      <w:r w:rsidRPr="000E181B">
        <w:rPr>
          <w:szCs w:val="20"/>
        </w:rPr>
        <w:t xml:space="preserve"> </w:t>
      </w:r>
      <w:r w:rsidRPr="000E181B">
        <w:rPr>
          <w:i/>
          <w:szCs w:val="20"/>
        </w:rPr>
        <w:t>Ibid</w:t>
      </w:r>
      <w:r w:rsidRPr="000E181B">
        <w:rPr>
          <w:szCs w:val="20"/>
        </w:rPr>
        <w:t>, p. 39-47, à propos des tenants du positivisme juridique.</w:t>
      </w:r>
    </w:p>
  </w:footnote>
  <w:footnote w:id="23">
    <w:p w14:paraId="690DCC99" w14:textId="6655891F" w:rsidR="00845C31" w:rsidRPr="000E181B" w:rsidRDefault="00845C31" w:rsidP="00930024">
      <w:pPr>
        <w:pStyle w:val="Notedebasdepage"/>
        <w:rPr>
          <w:szCs w:val="20"/>
        </w:rPr>
      </w:pPr>
      <w:r w:rsidRPr="000E181B">
        <w:rPr>
          <w:rStyle w:val="Marquenotebasdepage"/>
          <w:szCs w:val="20"/>
        </w:rPr>
        <w:footnoteRef/>
      </w:r>
      <w:r w:rsidRPr="000E181B">
        <w:rPr>
          <w:szCs w:val="20"/>
        </w:rPr>
        <w:t xml:space="preserve"> H.L.A. </w:t>
      </w:r>
      <w:r w:rsidRPr="000E181B">
        <w:rPr>
          <w:smallCaps/>
          <w:szCs w:val="20"/>
        </w:rPr>
        <w:t>Hart</w:t>
      </w:r>
      <w:r w:rsidRPr="000E181B">
        <w:rPr>
          <w:szCs w:val="20"/>
        </w:rPr>
        <w:t xml:space="preserve">, </w:t>
      </w:r>
      <w:r w:rsidRPr="000E181B">
        <w:rPr>
          <w:i/>
          <w:szCs w:val="20"/>
        </w:rPr>
        <w:t>op. cit.</w:t>
      </w:r>
      <w:r w:rsidRPr="000E181B">
        <w:rPr>
          <w:szCs w:val="20"/>
        </w:rPr>
        <w:t xml:space="preserve">, p. 75. Cf. également </w:t>
      </w:r>
      <w:r w:rsidRPr="000E181B">
        <w:rPr>
          <w:i/>
          <w:szCs w:val="20"/>
        </w:rPr>
        <w:t>ibid.</w:t>
      </w:r>
      <w:r w:rsidRPr="000E181B">
        <w:rPr>
          <w:szCs w:val="20"/>
        </w:rPr>
        <w:t>, p. 156-158, où cet argument revient pour réfuter l’attitude sceptique adoptée notamment par les réalistes américains.</w:t>
      </w:r>
    </w:p>
  </w:footnote>
  <w:footnote w:id="24">
    <w:p w14:paraId="3773ED0F" w14:textId="30345368" w:rsidR="00845C31" w:rsidRPr="000E181B" w:rsidRDefault="00845C31" w:rsidP="00307F9B">
      <w:pPr>
        <w:pStyle w:val="Notedebasdepage"/>
        <w:rPr>
          <w:szCs w:val="20"/>
        </w:rPr>
      </w:pPr>
      <w:r w:rsidRPr="000E181B">
        <w:rPr>
          <w:rStyle w:val="Marquenotebasdepage"/>
          <w:szCs w:val="20"/>
        </w:rPr>
        <w:footnoteRef/>
      </w:r>
      <w:r w:rsidRPr="000E181B">
        <w:rPr>
          <w:szCs w:val="20"/>
        </w:rPr>
        <w:t xml:space="preserve"> B. </w:t>
      </w:r>
      <w:r w:rsidRPr="000E181B">
        <w:rPr>
          <w:smallCaps/>
          <w:szCs w:val="20"/>
        </w:rPr>
        <w:t>Frydman</w:t>
      </w:r>
      <w:r w:rsidRPr="000E181B">
        <w:rPr>
          <w:szCs w:val="20"/>
        </w:rPr>
        <w:t xml:space="preserve">, « Comment penser le droit global ? », in J.-Y. </w:t>
      </w:r>
      <w:r w:rsidRPr="000E181B">
        <w:rPr>
          <w:smallCaps/>
          <w:szCs w:val="20"/>
        </w:rPr>
        <w:t>Cherot</w:t>
      </w:r>
      <w:r w:rsidRPr="000E181B">
        <w:rPr>
          <w:szCs w:val="20"/>
        </w:rPr>
        <w:t xml:space="preserve"> et B. </w:t>
      </w:r>
      <w:r w:rsidRPr="000E181B">
        <w:rPr>
          <w:smallCaps/>
          <w:szCs w:val="20"/>
        </w:rPr>
        <w:t>Frydman</w:t>
      </w:r>
      <w:r w:rsidRPr="000E181B">
        <w:rPr>
          <w:szCs w:val="20"/>
        </w:rPr>
        <w:t xml:space="preserve"> (dir.), </w:t>
      </w:r>
      <w:r w:rsidRPr="000E181B">
        <w:rPr>
          <w:i/>
          <w:szCs w:val="20"/>
        </w:rPr>
        <w:t>La science du droit dans la globalisation</w:t>
      </w:r>
      <w:r w:rsidRPr="000E181B">
        <w:rPr>
          <w:szCs w:val="20"/>
        </w:rPr>
        <w:t xml:space="preserve">, 2012, p. 17-48, ici p. 29. Cf. aussi B. </w:t>
      </w:r>
      <w:r w:rsidRPr="000E181B">
        <w:rPr>
          <w:smallCaps/>
          <w:szCs w:val="20"/>
        </w:rPr>
        <w:t>Frydman, G. Lewkowicz</w:t>
      </w:r>
      <w:r w:rsidRPr="000E181B">
        <w:rPr>
          <w:szCs w:val="20"/>
        </w:rPr>
        <w:t xml:space="preserve">, « Les codes de conduite : source du droit global ? », in I. </w:t>
      </w:r>
      <w:r w:rsidRPr="000E181B">
        <w:rPr>
          <w:smallCaps/>
          <w:szCs w:val="20"/>
        </w:rPr>
        <w:t>Hachez</w:t>
      </w:r>
      <w:r w:rsidRPr="000E181B">
        <w:rPr>
          <w:szCs w:val="20"/>
        </w:rPr>
        <w:t xml:space="preserve"> </w:t>
      </w:r>
      <w:r w:rsidRPr="000E181B">
        <w:rPr>
          <w:i/>
          <w:szCs w:val="20"/>
        </w:rPr>
        <w:t>e.a.</w:t>
      </w:r>
      <w:r w:rsidRPr="000E181B">
        <w:rPr>
          <w:szCs w:val="20"/>
        </w:rPr>
        <w:t xml:space="preserve"> (dir.), </w:t>
      </w:r>
      <w:r w:rsidRPr="000E181B">
        <w:rPr>
          <w:i/>
          <w:szCs w:val="20"/>
        </w:rPr>
        <w:t>Les sources du droit revisitées</w:t>
      </w:r>
      <w:r w:rsidRPr="000E181B">
        <w:rPr>
          <w:szCs w:val="20"/>
        </w:rPr>
        <w:t>, volume 3, Bruxelles – Limal, Publications des Facultés universitaires Saint-Louis – Anthémis, 2012, p. 179-210.</w:t>
      </w:r>
    </w:p>
  </w:footnote>
  <w:footnote w:id="25">
    <w:p w14:paraId="436B4604" w14:textId="68479C1C" w:rsidR="00845C31" w:rsidRPr="000E181B" w:rsidRDefault="00845C31" w:rsidP="003F46CD">
      <w:pPr>
        <w:pStyle w:val="Notedebasdepage"/>
        <w:rPr>
          <w:szCs w:val="20"/>
        </w:rPr>
      </w:pPr>
      <w:r w:rsidRPr="000E181B">
        <w:rPr>
          <w:rStyle w:val="Marquenotebasdepage"/>
          <w:szCs w:val="20"/>
        </w:rPr>
        <w:footnoteRef/>
      </w:r>
      <w:r w:rsidRPr="000E181B">
        <w:rPr>
          <w:szCs w:val="20"/>
        </w:rPr>
        <w:t xml:space="preserve"> Sur cette théorie,  cf. M. </w:t>
      </w:r>
      <w:r w:rsidRPr="000E181B">
        <w:rPr>
          <w:smallCaps/>
          <w:szCs w:val="20"/>
        </w:rPr>
        <w:t>Troper</w:t>
      </w:r>
      <w:r w:rsidRPr="000E181B">
        <w:rPr>
          <w:szCs w:val="20"/>
        </w:rPr>
        <w:t xml:space="preserve">, V. </w:t>
      </w:r>
      <w:r w:rsidRPr="000E181B">
        <w:rPr>
          <w:smallCaps/>
          <w:szCs w:val="20"/>
        </w:rPr>
        <w:t>Champeil-Desplats</w:t>
      </w:r>
      <w:r w:rsidRPr="000E181B">
        <w:rPr>
          <w:szCs w:val="20"/>
        </w:rPr>
        <w:t xml:space="preserve">, C. </w:t>
      </w:r>
      <w:r w:rsidRPr="000E181B">
        <w:rPr>
          <w:smallCaps/>
          <w:szCs w:val="20"/>
        </w:rPr>
        <w:t xml:space="preserve">Grzegorczyk </w:t>
      </w:r>
      <w:r w:rsidRPr="000E181B">
        <w:rPr>
          <w:szCs w:val="20"/>
        </w:rPr>
        <w:t xml:space="preserve">(dir.), </w:t>
      </w:r>
      <w:r w:rsidRPr="000E181B">
        <w:rPr>
          <w:i/>
          <w:szCs w:val="20"/>
        </w:rPr>
        <w:t>Théorie des contraintes juridiques</w:t>
      </w:r>
      <w:r w:rsidRPr="000E181B">
        <w:rPr>
          <w:szCs w:val="20"/>
        </w:rPr>
        <w:t xml:space="preserve">, Paris, L.G.D.J.-Bruylant, 2005 ; M. </w:t>
      </w:r>
      <w:r w:rsidRPr="002D2C19">
        <w:rPr>
          <w:smallCaps/>
          <w:szCs w:val="20"/>
        </w:rPr>
        <w:t>Troper</w:t>
      </w:r>
      <w:r w:rsidRPr="000E181B">
        <w:rPr>
          <w:szCs w:val="20"/>
        </w:rPr>
        <w:t xml:space="preserve">, </w:t>
      </w:r>
      <w:r w:rsidRPr="008041CA">
        <w:rPr>
          <w:i/>
          <w:szCs w:val="20"/>
        </w:rPr>
        <w:t>op. cit</w:t>
      </w:r>
      <w:r>
        <w:rPr>
          <w:szCs w:val="20"/>
        </w:rPr>
        <w:t>.</w:t>
      </w:r>
      <w:r w:rsidRPr="000E181B">
        <w:rPr>
          <w:szCs w:val="20"/>
        </w:rPr>
        <w:t xml:space="preserve">, p. 7-18 ; P. </w:t>
      </w:r>
      <w:r w:rsidRPr="000E181B">
        <w:rPr>
          <w:smallCaps/>
          <w:szCs w:val="20"/>
        </w:rPr>
        <w:t>Brunet</w:t>
      </w:r>
      <w:r w:rsidRPr="000E181B">
        <w:rPr>
          <w:szCs w:val="20"/>
        </w:rPr>
        <w:t xml:space="preserve">, V. </w:t>
      </w:r>
      <w:r w:rsidRPr="000E181B">
        <w:rPr>
          <w:smallCaps/>
          <w:szCs w:val="20"/>
        </w:rPr>
        <w:t>Champeil-Desplats</w:t>
      </w:r>
      <w:r w:rsidRPr="000E181B">
        <w:rPr>
          <w:szCs w:val="20"/>
        </w:rPr>
        <w:t xml:space="preserve">, « La théorie des contraintes juridiques face aux théories des sources du droit », in I. </w:t>
      </w:r>
      <w:r w:rsidRPr="000E181B">
        <w:rPr>
          <w:smallCaps/>
          <w:szCs w:val="20"/>
        </w:rPr>
        <w:t>Hachez</w:t>
      </w:r>
      <w:r w:rsidRPr="000E181B">
        <w:rPr>
          <w:szCs w:val="20"/>
        </w:rPr>
        <w:t xml:space="preserve"> </w:t>
      </w:r>
      <w:r w:rsidRPr="000E181B">
        <w:rPr>
          <w:i/>
          <w:szCs w:val="20"/>
        </w:rPr>
        <w:t>e.a.</w:t>
      </w:r>
      <w:r w:rsidRPr="000E181B">
        <w:rPr>
          <w:szCs w:val="20"/>
        </w:rPr>
        <w:t xml:space="preserve"> (dir.), </w:t>
      </w:r>
      <w:r w:rsidRPr="000E181B">
        <w:rPr>
          <w:i/>
          <w:szCs w:val="20"/>
        </w:rPr>
        <w:t>Les sources du droit revisitées</w:t>
      </w:r>
      <w:r w:rsidRPr="000E181B">
        <w:rPr>
          <w:szCs w:val="20"/>
        </w:rPr>
        <w:t>, volume 4, Bruxelles – Limal, Publications des Facultés universitaires Saint-Louis – Anthémis, 2012, p. 385-425.</w:t>
      </w:r>
    </w:p>
  </w:footnote>
  <w:footnote w:id="26">
    <w:p w14:paraId="0A89A134" w14:textId="79C650FA" w:rsidR="00845C31" w:rsidRPr="000E181B" w:rsidRDefault="00845C31" w:rsidP="00930024">
      <w:pPr>
        <w:pStyle w:val="Notedebasdepage"/>
        <w:rPr>
          <w:szCs w:val="20"/>
        </w:rPr>
      </w:pPr>
      <w:r w:rsidRPr="000E181B">
        <w:rPr>
          <w:rStyle w:val="Marquenotebasdepage"/>
          <w:szCs w:val="20"/>
        </w:rPr>
        <w:footnoteRef/>
      </w:r>
      <w:r w:rsidRPr="000E181B">
        <w:rPr>
          <w:szCs w:val="20"/>
        </w:rPr>
        <w:t xml:space="preserve"> P. </w:t>
      </w:r>
      <w:r w:rsidRPr="000E181B">
        <w:rPr>
          <w:smallCaps/>
          <w:szCs w:val="20"/>
        </w:rPr>
        <w:t>Brunet</w:t>
      </w:r>
      <w:r w:rsidRPr="000E181B">
        <w:rPr>
          <w:szCs w:val="20"/>
        </w:rPr>
        <w:t xml:space="preserve">, V. </w:t>
      </w:r>
      <w:r w:rsidRPr="000E181B">
        <w:rPr>
          <w:smallCaps/>
          <w:szCs w:val="20"/>
        </w:rPr>
        <w:t>Champeil-Desplats</w:t>
      </w:r>
      <w:r w:rsidRPr="000E181B">
        <w:rPr>
          <w:szCs w:val="20"/>
        </w:rPr>
        <w:t xml:space="preserve">, « La théorie des contraintes juridiques face aux théories des sources du droit », </w:t>
      </w:r>
      <w:r w:rsidRPr="000E181B">
        <w:rPr>
          <w:i/>
          <w:szCs w:val="20"/>
        </w:rPr>
        <w:t>op. cit.</w:t>
      </w:r>
      <w:r w:rsidRPr="000E181B">
        <w:rPr>
          <w:szCs w:val="20"/>
        </w:rPr>
        <w:t>, p. 407.</w:t>
      </w:r>
    </w:p>
  </w:footnote>
  <w:footnote w:id="27">
    <w:p w14:paraId="775C5317" w14:textId="2E9C7A9A" w:rsidR="00845C31" w:rsidRPr="000E181B" w:rsidRDefault="00845C31">
      <w:pPr>
        <w:pStyle w:val="Notedebasdepage"/>
        <w:rPr>
          <w:szCs w:val="20"/>
        </w:rPr>
      </w:pPr>
      <w:r w:rsidRPr="000E181B">
        <w:rPr>
          <w:rStyle w:val="Marquenotebasdepage"/>
          <w:szCs w:val="20"/>
        </w:rPr>
        <w:footnoteRef/>
      </w:r>
      <w:r w:rsidRPr="000E181B">
        <w:rPr>
          <w:szCs w:val="20"/>
        </w:rPr>
        <w:t xml:space="preserve"> Pour la dernière formulation de cette théorie, cf. F. </w:t>
      </w:r>
      <w:r w:rsidRPr="000E181B">
        <w:rPr>
          <w:smallCaps/>
          <w:szCs w:val="20"/>
        </w:rPr>
        <w:t>Ost, M. van de Kerchove</w:t>
      </w:r>
      <w:r w:rsidRPr="000E181B">
        <w:rPr>
          <w:szCs w:val="20"/>
        </w:rPr>
        <w:t xml:space="preserve">, </w:t>
      </w:r>
      <w:r w:rsidRPr="00BA7323">
        <w:rPr>
          <w:i/>
          <w:szCs w:val="20"/>
        </w:rPr>
        <w:t>D</w:t>
      </w:r>
      <w:r w:rsidRPr="000E181B">
        <w:rPr>
          <w:i/>
          <w:szCs w:val="20"/>
        </w:rPr>
        <w:t>e la pyramide au réseau ? Pour une théorie dialectique du droit</w:t>
      </w:r>
      <w:r w:rsidRPr="000E181B">
        <w:rPr>
          <w:szCs w:val="20"/>
        </w:rPr>
        <w:t>, Bruxelles, Publications des Facultés universitaires Saint-Louis, spéc. p. 449-488</w:t>
      </w:r>
    </w:p>
  </w:footnote>
  <w:footnote w:id="28">
    <w:p w14:paraId="2367FD5A" w14:textId="4A884C9C" w:rsidR="00845C31" w:rsidRPr="000E181B" w:rsidRDefault="00845C31" w:rsidP="00A835B7">
      <w:pPr>
        <w:pStyle w:val="Notedebasdepage"/>
        <w:rPr>
          <w:szCs w:val="20"/>
        </w:rPr>
      </w:pPr>
      <w:r w:rsidRPr="000E181B">
        <w:rPr>
          <w:rStyle w:val="Marquenotebasdepage"/>
          <w:szCs w:val="20"/>
        </w:rPr>
        <w:footnoteRef/>
      </w:r>
      <w:r w:rsidRPr="000E181B">
        <w:rPr>
          <w:szCs w:val="20"/>
        </w:rPr>
        <w:t xml:space="preserve"> </w:t>
      </w:r>
      <w:r w:rsidRPr="000E181B">
        <w:rPr>
          <w:i/>
          <w:szCs w:val="20"/>
        </w:rPr>
        <w:t>Ibid.</w:t>
      </w:r>
      <w:r w:rsidRPr="000E181B">
        <w:rPr>
          <w:szCs w:val="20"/>
        </w:rPr>
        <w:t>, p. 472.</w:t>
      </w:r>
    </w:p>
  </w:footnote>
  <w:footnote w:id="29">
    <w:p w14:paraId="77F4D231" w14:textId="2AD070FD" w:rsidR="00845C31" w:rsidRPr="000E181B" w:rsidRDefault="00845C31">
      <w:pPr>
        <w:pStyle w:val="Notedebasdepage"/>
        <w:rPr>
          <w:szCs w:val="20"/>
        </w:rPr>
      </w:pPr>
      <w:r w:rsidRPr="000E181B">
        <w:rPr>
          <w:rStyle w:val="Marquenotebasdepage"/>
          <w:szCs w:val="20"/>
        </w:rPr>
        <w:footnoteRef/>
      </w:r>
      <w:r w:rsidRPr="000E181B">
        <w:rPr>
          <w:szCs w:val="20"/>
        </w:rPr>
        <w:t xml:space="preserve"> Cf. Sur ce thème, cf. en particulier F. </w:t>
      </w:r>
      <w:r w:rsidRPr="000E181B">
        <w:rPr>
          <w:smallCaps/>
          <w:szCs w:val="20"/>
        </w:rPr>
        <w:t>Ost, M. Van de Kerchove</w:t>
      </w:r>
      <w:r w:rsidRPr="000E181B">
        <w:rPr>
          <w:szCs w:val="20"/>
        </w:rPr>
        <w:t xml:space="preserve">, </w:t>
      </w:r>
      <w:r w:rsidRPr="000E181B">
        <w:rPr>
          <w:i/>
          <w:szCs w:val="20"/>
        </w:rPr>
        <w:t>Le droit ou les paradoxes du jeu</w:t>
      </w:r>
      <w:r w:rsidRPr="000E181B">
        <w:rPr>
          <w:szCs w:val="20"/>
        </w:rPr>
        <w:t>, Paris, PUF, 1992.</w:t>
      </w:r>
    </w:p>
  </w:footnote>
  <w:footnote w:id="30">
    <w:p w14:paraId="4E2E9E72" w14:textId="64E387FA" w:rsidR="00845C31" w:rsidRPr="000E181B" w:rsidRDefault="00845C31" w:rsidP="00324C5A">
      <w:pPr>
        <w:pStyle w:val="Notedebasdepage"/>
        <w:rPr>
          <w:szCs w:val="20"/>
        </w:rPr>
      </w:pPr>
      <w:r w:rsidRPr="000E181B">
        <w:rPr>
          <w:rStyle w:val="Marquenotebasdepage"/>
          <w:szCs w:val="20"/>
        </w:rPr>
        <w:footnoteRef/>
      </w:r>
      <w:r w:rsidRPr="000E181B">
        <w:rPr>
          <w:szCs w:val="20"/>
        </w:rPr>
        <w:t xml:space="preserve"> Cf. encore la contribution de M. </w:t>
      </w:r>
      <w:r w:rsidRPr="00900A46">
        <w:rPr>
          <w:smallCaps/>
          <w:szCs w:val="20"/>
        </w:rPr>
        <w:t>van de Kerchove</w:t>
      </w:r>
      <w:r w:rsidRPr="000E181B">
        <w:rPr>
          <w:szCs w:val="20"/>
        </w:rPr>
        <w:t xml:space="preserve"> à cet ouvrag</w:t>
      </w:r>
      <w:r>
        <w:rPr>
          <w:szCs w:val="20"/>
        </w:rPr>
        <w:t>e, significativement intitulée « </w:t>
      </w:r>
      <w:r w:rsidRPr="000E181B">
        <w:rPr>
          <w:szCs w:val="20"/>
        </w:rPr>
        <w:t>Les limi</w:t>
      </w:r>
      <w:r>
        <w:rPr>
          <w:szCs w:val="20"/>
        </w:rPr>
        <w:t>tes relatives du droit »</w:t>
      </w:r>
      <w:r w:rsidRPr="000E181B">
        <w:rPr>
          <w:szCs w:val="20"/>
        </w:rPr>
        <w:t xml:space="preserve">. </w:t>
      </w:r>
    </w:p>
  </w:footnote>
  <w:footnote w:id="31">
    <w:p w14:paraId="580EBD93" w14:textId="0F91BB69" w:rsidR="00845C31" w:rsidRPr="000E181B" w:rsidRDefault="00845C31" w:rsidP="009F766C">
      <w:pPr>
        <w:pStyle w:val="Notedebasdepage"/>
        <w:rPr>
          <w:szCs w:val="20"/>
        </w:rPr>
      </w:pPr>
      <w:r w:rsidRPr="000E181B">
        <w:rPr>
          <w:rStyle w:val="Marquenotebasdepage"/>
          <w:szCs w:val="20"/>
        </w:rPr>
        <w:footnoteRef/>
      </w:r>
      <w:r w:rsidRPr="000E181B">
        <w:rPr>
          <w:szCs w:val="20"/>
        </w:rPr>
        <w:t xml:space="preserve"> Sur ce dernier point, cf. H. </w:t>
      </w:r>
      <w:r w:rsidRPr="000E181B">
        <w:rPr>
          <w:smallCaps/>
          <w:szCs w:val="20"/>
        </w:rPr>
        <w:t>Dumont</w:t>
      </w:r>
      <w:r w:rsidRPr="000E181B">
        <w:rPr>
          <w:szCs w:val="20"/>
        </w:rPr>
        <w:t xml:space="preserve">, A. </w:t>
      </w:r>
      <w:r w:rsidRPr="000E181B">
        <w:rPr>
          <w:smallCaps/>
          <w:szCs w:val="20"/>
        </w:rPr>
        <w:t>Bailleux</w:t>
      </w:r>
      <w:r w:rsidRPr="000E181B">
        <w:rPr>
          <w:szCs w:val="20"/>
        </w:rPr>
        <w:t xml:space="preserve">, « Esquisse d’une théorie des ouvertures interdisciplinaires accessibles aux juristes », </w:t>
      </w:r>
      <w:r w:rsidRPr="000E181B">
        <w:rPr>
          <w:i/>
          <w:szCs w:val="20"/>
        </w:rPr>
        <w:t>Droit et Société</w:t>
      </w:r>
      <w:r w:rsidRPr="000E181B">
        <w:rPr>
          <w:szCs w:val="20"/>
        </w:rPr>
        <w:t>, vol. 75, 2010, p. 275-293.</w:t>
      </w:r>
    </w:p>
  </w:footnote>
  <w:footnote w:id="32">
    <w:p w14:paraId="009D2F1E" w14:textId="07FE9DE9" w:rsidR="00845C31" w:rsidRPr="00376CDF" w:rsidRDefault="00845C31">
      <w:pPr>
        <w:pStyle w:val="Notedebasdepage"/>
        <w:rPr>
          <w:szCs w:val="20"/>
        </w:rPr>
      </w:pPr>
      <w:r w:rsidRPr="000E181B">
        <w:rPr>
          <w:rStyle w:val="Marquenotebasdepage"/>
          <w:szCs w:val="20"/>
        </w:rPr>
        <w:footnoteRef/>
      </w:r>
      <w:r>
        <w:rPr>
          <w:szCs w:val="20"/>
        </w:rPr>
        <w:t xml:space="preserve"> Pour une bonne introduction aux travaux de Luhmann et Teubner, cf. le numéro spécial de </w:t>
      </w:r>
      <w:r>
        <w:rPr>
          <w:i/>
          <w:szCs w:val="20"/>
        </w:rPr>
        <w:t>Droit et société</w:t>
      </w:r>
      <w:r>
        <w:rPr>
          <w:szCs w:val="20"/>
        </w:rPr>
        <w:t xml:space="preserve">, 1989, n°11/12, et le dossier intitulé « Aux racines sociales du droit : variations autour de quelques thèmes luhmanniens », </w:t>
      </w:r>
      <w:r>
        <w:rPr>
          <w:i/>
          <w:szCs w:val="20"/>
        </w:rPr>
        <w:t>Droit et Société</w:t>
      </w:r>
      <w:r>
        <w:rPr>
          <w:szCs w:val="20"/>
        </w:rPr>
        <w:t>, 2001, vol. 47.</w:t>
      </w:r>
    </w:p>
  </w:footnote>
  <w:footnote w:id="33">
    <w:p w14:paraId="4794CB66" w14:textId="6CE61FBD" w:rsidR="00845C31" w:rsidRPr="005B3CD1" w:rsidRDefault="00845C31">
      <w:pPr>
        <w:pStyle w:val="Notedebasdepage"/>
      </w:pPr>
      <w:r w:rsidRPr="005B3CD1">
        <w:rPr>
          <w:rStyle w:val="Marquenotebasdepage"/>
        </w:rPr>
        <w:footnoteRef/>
      </w:r>
      <w:r w:rsidRPr="005B3CD1">
        <w:t xml:space="preserve"> En ce sens, cf. également H. </w:t>
      </w:r>
      <w:r w:rsidRPr="005B3CD1">
        <w:rPr>
          <w:smallCaps/>
        </w:rPr>
        <w:t>Dumont</w:t>
      </w:r>
      <w:r w:rsidRPr="005B3CD1">
        <w:t xml:space="preserve">, </w:t>
      </w:r>
      <w:r>
        <w:t>« </w:t>
      </w:r>
      <w:r w:rsidRPr="005B3CD1">
        <w:t>Le mythe de la démythification</w:t>
      </w:r>
      <w:r>
        <w:t> »</w:t>
      </w:r>
      <w:r w:rsidRPr="005B3CD1">
        <w:rPr>
          <w:i/>
        </w:rPr>
        <w:t>, Journal des Tribunaux</w:t>
      </w:r>
      <w:r w:rsidRPr="005B3CD1">
        <w:t xml:space="preserve">, 2007, p. 290-292. </w:t>
      </w:r>
    </w:p>
  </w:footnote>
  <w:footnote w:id="34">
    <w:p w14:paraId="42737661" w14:textId="77777777" w:rsidR="00845C31" w:rsidRPr="000E181B" w:rsidRDefault="00845C31" w:rsidP="00D9209D">
      <w:pPr>
        <w:pStyle w:val="Notedebasdepage"/>
        <w:rPr>
          <w:szCs w:val="20"/>
        </w:rPr>
      </w:pPr>
      <w:r w:rsidRPr="000E181B">
        <w:rPr>
          <w:rStyle w:val="Marquenotebasdepage"/>
          <w:szCs w:val="20"/>
        </w:rPr>
        <w:footnoteRef/>
      </w:r>
      <w:r w:rsidRPr="000E181B">
        <w:rPr>
          <w:szCs w:val="20"/>
        </w:rPr>
        <w:t xml:space="preserve"> M. </w:t>
      </w:r>
      <w:r w:rsidRPr="000E181B">
        <w:rPr>
          <w:smallCaps/>
          <w:szCs w:val="20"/>
        </w:rPr>
        <w:t>Troper</w:t>
      </w:r>
      <w:r w:rsidRPr="000E181B">
        <w:rPr>
          <w:szCs w:val="20"/>
        </w:rPr>
        <w:t xml:space="preserve">, </w:t>
      </w:r>
      <w:r w:rsidRPr="000E181B">
        <w:rPr>
          <w:i/>
          <w:szCs w:val="20"/>
        </w:rPr>
        <w:t>Le droit et la nécessité</w:t>
      </w:r>
      <w:r w:rsidRPr="000E181B">
        <w:rPr>
          <w:szCs w:val="20"/>
        </w:rPr>
        <w:t xml:space="preserve">, </w:t>
      </w:r>
      <w:r w:rsidRPr="000E181B">
        <w:rPr>
          <w:i/>
          <w:szCs w:val="20"/>
        </w:rPr>
        <w:t>op. cit.</w:t>
      </w:r>
      <w:r w:rsidRPr="000E181B">
        <w:rPr>
          <w:szCs w:val="20"/>
        </w:rPr>
        <w:t>, p. 188.</w:t>
      </w:r>
    </w:p>
  </w:footnote>
  <w:footnote w:id="35">
    <w:p w14:paraId="6FA527D3" w14:textId="68611106" w:rsidR="00845C31" w:rsidRPr="000E181B" w:rsidRDefault="00845C31">
      <w:pPr>
        <w:pStyle w:val="Notedebasdepage"/>
        <w:rPr>
          <w:szCs w:val="20"/>
        </w:rPr>
      </w:pPr>
      <w:r w:rsidRPr="000E181B">
        <w:rPr>
          <w:rStyle w:val="Marquenotebasdepage"/>
          <w:szCs w:val="20"/>
        </w:rPr>
        <w:footnoteRef/>
      </w:r>
      <w:r w:rsidRPr="000E181B">
        <w:rPr>
          <w:szCs w:val="20"/>
        </w:rPr>
        <w:t xml:space="preserve"> R. </w:t>
      </w:r>
      <w:r w:rsidRPr="000E181B">
        <w:rPr>
          <w:smallCaps/>
          <w:szCs w:val="20"/>
        </w:rPr>
        <w:t>Dworkin</w:t>
      </w:r>
      <w:r w:rsidRPr="000E181B">
        <w:rPr>
          <w:szCs w:val="20"/>
        </w:rPr>
        <w:t xml:space="preserve">, </w:t>
      </w:r>
      <w:r w:rsidRPr="000E181B">
        <w:rPr>
          <w:i/>
          <w:szCs w:val="20"/>
        </w:rPr>
        <w:t>op. cit.</w:t>
      </w:r>
      <w:r w:rsidRPr="000E181B">
        <w:rPr>
          <w:szCs w:val="20"/>
        </w:rPr>
        <w:t>, p. 41, reprenant (pour la critiquer) l’argumentation de certains positivistes.</w:t>
      </w:r>
    </w:p>
  </w:footnote>
  <w:footnote w:id="36">
    <w:p w14:paraId="08771252" w14:textId="21C84C3D" w:rsidR="00845C31" w:rsidRPr="000E181B" w:rsidRDefault="00845C31">
      <w:pPr>
        <w:pStyle w:val="Notedebasdepage"/>
        <w:rPr>
          <w:szCs w:val="20"/>
        </w:rPr>
      </w:pPr>
      <w:r w:rsidRPr="000E181B">
        <w:rPr>
          <w:rStyle w:val="Marquenotebasdepage"/>
          <w:szCs w:val="20"/>
        </w:rPr>
        <w:footnoteRef/>
      </w:r>
      <w:r w:rsidRPr="000E181B">
        <w:rPr>
          <w:szCs w:val="20"/>
        </w:rPr>
        <w:t xml:space="preserve"> </w:t>
      </w:r>
      <w:r w:rsidRPr="000E181B">
        <w:rPr>
          <w:i/>
          <w:szCs w:val="20"/>
        </w:rPr>
        <w:t>Ibid.</w:t>
      </w:r>
      <w:r w:rsidRPr="000E181B">
        <w:rPr>
          <w:szCs w:val="20"/>
        </w:rPr>
        <w:t>, p. 40.</w:t>
      </w:r>
    </w:p>
  </w:footnote>
  <w:footnote w:id="37">
    <w:p w14:paraId="2BEC35F4" w14:textId="38638A1B" w:rsidR="00845C31" w:rsidRPr="000E181B" w:rsidRDefault="00845C31">
      <w:pPr>
        <w:pStyle w:val="Notedebasdepage"/>
        <w:rPr>
          <w:szCs w:val="20"/>
        </w:rPr>
      </w:pPr>
      <w:r w:rsidRPr="000E181B">
        <w:rPr>
          <w:rStyle w:val="Marquenotebasdepage"/>
          <w:szCs w:val="20"/>
        </w:rPr>
        <w:footnoteRef/>
      </w:r>
      <w:r w:rsidRPr="000E181B">
        <w:rPr>
          <w:szCs w:val="20"/>
        </w:rPr>
        <w:t xml:space="preserve"> H. </w:t>
      </w:r>
      <w:r w:rsidRPr="000E181B">
        <w:rPr>
          <w:smallCaps/>
          <w:szCs w:val="20"/>
        </w:rPr>
        <w:t>Hart</w:t>
      </w:r>
      <w:r w:rsidRPr="000E181B">
        <w:rPr>
          <w:szCs w:val="20"/>
        </w:rPr>
        <w:t xml:space="preserve">, </w:t>
      </w:r>
      <w:r w:rsidRPr="000E181B">
        <w:rPr>
          <w:i/>
          <w:szCs w:val="20"/>
        </w:rPr>
        <w:t>op. cit.</w:t>
      </w:r>
      <w:r w:rsidRPr="000E181B">
        <w:rPr>
          <w:szCs w:val="20"/>
        </w:rPr>
        <w:t>, p. 291.</w:t>
      </w:r>
    </w:p>
  </w:footnote>
  <w:footnote w:id="38">
    <w:p w14:paraId="5ED05B14" w14:textId="2A7B868C" w:rsidR="00845C31" w:rsidRPr="000E181B" w:rsidRDefault="00845C31">
      <w:pPr>
        <w:pStyle w:val="Notedebasdepage"/>
        <w:rPr>
          <w:szCs w:val="20"/>
        </w:rPr>
      </w:pPr>
      <w:r w:rsidRPr="000E181B">
        <w:rPr>
          <w:rStyle w:val="Marquenotebasdepage"/>
          <w:szCs w:val="20"/>
        </w:rPr>
        <w:footnoteRef/>
      </w:r>
      <w:r w:rsidRPr="000E181B">
        <w:rPr>
          <w:szCs w:val="20"/>
        </w:rPr>
        <w:t xml:space="preserve"> </w:t>
      </w:r>
      <w:r w:rsidRPr="000E181B">
        <w:rPr>
          <w:i/>
          <w:szCs w:val="20"/>
        </w:rPr>
        <w:t>Ibid.</w:t>
      </w:r>
      <w:r w:rsidRPr="000E181B">
        <w:rPr>
          <w:szCs w:val="20"/>
        </w:rPr>
        <w:t>, p. 292.</w:t>
      </w:r>
    </w:p>
  </w:footnote>
  <w:footnote w:id="39">
    <w:p w14:paraId="23016FB5" w14:textId="5171163B" w:rsidR="00845C31" w:rsidRPr="000E181B" w:rsidRDefault="00845C31">
      <w:pPr>
        <w:pStyle w:val="Notedebasdepage"/>
        <w:rPr>
          <w:szCs w:val="20"/>
        </w:rPr>
      </w:pPr>
      <w:r w:rsidRPr="000E181B">
        <w:rPr>
          <w:rStyle w:val="Marquenotebasdepage"/>
          <w:szCs w:val="20"/>
        </w:rPr>
        <w:footnoteRef/>
      </w:r>
      <w:r w:rsidRPr="000E181B">
        <w:rPr>
          <w:szCs w:val="20"/>
        </w:rPr>
        <w:t xml:space="preserve"> R. </w:t>
      </w:r>
      <w:r w:rsidRPr="000E181B">
        <w:rPr>
          <w:smallCaps/>
          <w:szCs w:val="20"/>
        </w:rPr>
        <w:t>Dworkin</w:t>
      </w:r>
      <w:r w:rsidRPr="000E181B">
        <w:rPr>
          <w:szCs w:val="20"/>
        </w:rPr>
        <w:t xml:space="preserve">, </w:t>
      </w:r>
      <w:r w:rsidRPr="000E181B">
        <w:rPr>
          <w:i/>
          <w:szCs w:val="20"/>
        </w:rPr>
        <w:t>op. cit.</w:t>
      </w:r>
      <w:r w:rsidRPr="000E181B">
        <w:rPr>
          <w:szCs w:val="20"/>
        </w:rPr>
        <w:t>, p. 40.</w:t>
      </w:r>
    </w:p>
  </w:footnote>
  <w:footnote w:id="40">
    <w:p w14:paraId="55C08A16" w14:textId="125A5E40" w:rsidR="00845C31" w:rsidRPr="002106AA" w:rsidRDefault="00845C31">
      <w:pPr>
        <w:pStyle w:val="Notedebasdepage"/>
      </w:pPr>
      <w:r>
        <w:rPr>
          <w:rStyle w:val="Marquenotebasdepage"/>
        </w:rPr>
        <w:footnoteRef/>
      </w:r>
      <w:r>
        <w:t xml:space="preserve"> On ne peut malheureusement s’attarder sur cette thèse passionnante, inspirée notamment de Lyotard et que l’on retrouve chez Habermas. Sur ce point, cf. A. </w:t>
      </w:r>
      <w:r w:rsidRPr="00900A46">
        <w:rPr>
          <w:smallCaps/>
        </w:rPr>
        <w:t>Bailleux</w:t>
      </w:r>
      <w:r>
        <w:t xml:space="preserve">, </w:t>
      </w:r>
      <w:r>
        <w:rPr>
          <w:i/>
        </w:rPr>
        <w:t>Les interactions…</w:t>
      </w:r>
      <w:r>
        <w:t xml:space="preserve">, </w:t>
      </w:r>
      <w:r>
        <w:rPr>
          <w:i/>
        </w:rPr>
        <w:t>op. cit.</w:t>
      </w:r>
      <w:r>
        <w:t xml:space="preserve">, p. 496-497. Cf. aussi les </w:t>
      </w:r>
      <w:r w:rsidRPr="002106AA">
        <w:t xml:space="preserve">pénétrantes réflexions en chantier de F. </w:t>
      </w:r>
      <w:r w:rsidRPr="002106AA">
        <w:rPr>
          <w:smallCaps/>
        </w:rPr>
        <w:t>Ost</w:t>
      </w:r>
      <w:r w:rsidRPr="002106AA">
        <w:t xml:space="preserve"> sur le sujet, dont on trouvera un premier reflet dans </w:t>
      </w:r>
      <w:r w:rsidRPr="002106AA">
        <w:rPr>
          <w:smallCaps/>
        </w:rPr>
        <w:t>P. Begasse de Dhaem, O. Van der Noot, C. Xhardez</w:t>
      </w:r>
      <w:r w:rsidRPr="002106AA">
        <w:t xml:space="preserve">, « “A quoi sert le droit ?” Reflets de la conférence donnée par le professeur François Ost au Séminaire interdisciplinaire d’études juridiques le 29 novembre 2013 », </w:t>
      </w:r>
      <w:r w:rsidRPr="002106AA">
        <w:rPr>
          <w:i/>
        </w:rPr>
        <w:t>R.I.E.J.</w:t>
      </w:r>
      <w:r w:rsidRPr="002106AA">
        <w:t>, 2014.72, p. 163-184.</w:t>
      </w:r>
    </w:p>
  </w:footnote>
  <w:footnote w:id="41">
    <w:p w14:paraId="3D2FA933" w14:textId="4746E47B" w:rsidR="00845C31" w:rsidRPr="002106AA" w:rsidRDefault="00845C31" w:rsidP="005E79B9">
      <w:pPr>
        <w:jc w:val="both"/>
        <w:rPr>
          <w:sz w:val="20"/>
          <w:szCs w:val="20"/>
        </w:rPr>
      </w:pPr>
      <w:r w:rsidRPr="002106AA">
        <w:rPr>
          <w:rStyle w:val="Marquenotebasdepage"/>
          <w:sz w:val="20"/>
          <w:szCs w:val="20"/>
        </w:rPr>
        <w:footnoteRef/>
      </w:r>
      <w:r w:rsidRPr="002106AA">
        <w:rPr>
          <w:sz w:val="20"/>
          <w:szCs w:val="20"/>
        </w:rPr>
        <w:t xml:space="preserve"> Pour une formulation un peu plus détaillée de ces idées, cf. A. </w:t>
      </w:r>
      <w:r w:rsidRPr="002106AA">
        <w:rPr>
          <w:smallCaps/>
          <w:sz w:val="20"/>
          <w:szCs w:val="20"/>
        </w:rPr>
        <w:t>Bailleux</w:t>
      </w:r>
      <w:r w:rsidRPr="002106AA">
        <w:rPr>
          <w:sz w:val="20"/>
          <w:szCs w:val="20"/>
        </w:rPr>
        <w:t xml:space="preserve">, « Le </w:t>
      </w:r>
      <w:r w:rsidRPr="002106AA">
        <w:rPr>
          <w:i/>
          <w:sz w:val="20"/>
          <w:szCs w:val="20"/>
        </w:rPr>
        <w:t xml:space="preserve">soft law </w:t>
      </w:r>
      <w:r w:rsidRPr="002106AA">
        <w:rPr>
          <w:sz w:val="20"/>
          <w:szCs w:val="20"/>
        </w:rPr>
        <w:t xml:space="preserve">et les deux droits », in H. </w:t>
      </w:r>
      <w:r w:rsidRPr="002106AA">
        <w:rPr>
          <w:smallCaps/>
          <w:sz w:val="20"/>
          <w:szCs w:val="20"/>
        </w:rPr>
        <w:t>Dumont, Ph. Gérard, I. Hachez, F. Ost, M. van de Kerchove</w:t>
      </w:r>
      <w:r w:rsidRPr="002106AA">
        <w:rPr>
          <w:sz w:val="20"/>
          <w:szCs w:val="20"/>
        </w:rPr>
        <w:t xml:space="preserve"> (dir.), </w:t>
      </w:r>
      <w:r w:rsidRPr="002106AA">
        <w:rPr>
          <w:i/>
          <w:sz w:val="20"/>
          <w:szCs w:val="20"/>
        </w:rPr>
        <w:t>Les sources du droit revisitées</w:t>
      </w:r>
      <w:r w:rsidRPr="002106AA">
        <w:rPr>
          <w:sz w:val="20"/>
          <w:szCs w:val="20"/>
        </w:rPr>
        <w:t>, tome IV, Bruxelles, Anthémis, 2013, p. 503-537.</w:t>
      </w:r>
    </w:p>
  </w:footnote>
  <w:footnote w:id="42">
    <w:p w14:paraId="2216DDCA" w14:textId="145C2B1E" w:rsidR="00845C31" w:rsidRPr="00F30583" w:rsidRDefault="00845C31">
      <w:pPr>
        <w:pStyle w:val="Notedebasdepage"/>
        <w:rPr>
          <w:lang w:val="nl-NL"/>
        </w:rPr>
      </w:pPr>
      <w:r>
        <w:rPr>
          <w:rStyle w:val="Marquenotebasdepage"/>
        </w:rPr>
        <w:footnoteRef/>
      </w:r>
      <w:r>
        <w:t xml:space="preserve"> </w:t>
      </w:r>
      <w:r>
        <w:rPr>
          <w:lang w:val="nl-NL"/>
        </w:rPr>
        <w:t xml:space="preserve">En ce sens, cf. </w:t>
      </w:r>
      <w:r w:rsidRPr="005E79B9">
        <w:rPr>
          <w:szCs w:val="20"/>
          <w:lang w:val="nl-NL"/>
        </w:rPr>
        <w:t xml:space="preserve">A. </w:t>
      </w:r>
      <w:r w:rsidRPr="005E79B9">
        <w:rPr>
          <w:smallCaps/>
          <w:szCs w:val="20"/>
          <w:lang w:val="nl-NL"/>
        </w:rPr>
        <w:t>Bailleux</w:t>
      </w:r>
      <w:r w:rsidRPr="005E79B9">
        <w:rPr>
          <w:szCs w:val="20"/>
          <w:lang w:val="nl-NL"/>
        </w:rPr>
        <w:t>,</w:t>
      </w:r>
      <w:r>
        <w:rPr>
          <w:szCs w:val="20"/>
          <w:lang w:val="nl-NL"/>
        </w:rPr>
        <w:t>, F. O</w:t>
      </w:r>
      <w:r>
        <w:rPr>
          <w:smallCaps/>
          <w:szCs w:val="20"/>
          <w:lang w:val="nl-NL"/>
        </w:rPr>
        <w:t>st</w:t>
      </w:r>
      <w:r>
        <w:rPr>
          <w:szCs w:val="20"/>
          <w:lang w:val="nl-NL"/>
        </w:rPr>
        <w:t xml:space="preserve">, </w:t>
      </w:r>
      <w:r>
        <w:rPr>
          <w:smallCaps/>
        </w:rPr>
        <w:t>« </w:t>
      </w:r>
      <w:r w:rsidRPr="00ED7606">
        <w:t>Droit, contexte et interdisciplinarité</w:t>
      </w:r>
      <w:r>
        <w:t xml:space="preserve"> : refondation d’une démarche », </w:t>
      </w:r>
      <w:r>
        <w:rPr>
          <w:i/>
        </w:rPr>
        <w:t>R.I.E.J.</w:t>
      </w:r>
      <w:r>
        <w:t>, vol. 70, 2013, p. 25-44.</w:t>
      </w:r>
    </w:p>
  </w:footnote>
  <w:footnote w:id="43">
    <w:p w14:paraId="5D28D1B1" w14:textId="49BBBE3C" w:rsidR="00845C31" w:rsidRPr="000E181B" w:rsidRDefault="00845C31">
      <w:pPr>
        <w:pStyle w:val="Notedebasdepage"/>
        <w:rPr>
          <w:szCs w:val="20"/>
        </w:rPr>
      </w:pPr>
      <w:r w:rsidRPr="000E181B">
        <w:rPr>
          <w:rStyle w:val="Marquenotebasdepage"/>
          <w:szCs w:val="20"/>
        </w:rPr>
        <w:footnoteRef/>
      </w:r>
      <w:r w:rsidRPr="000E181B">
        <w:rPr>
          <w:szCs w:val="20"/>
        </w:rPr>
        <w:t xml:space="preserve"> F. </w:t>
      </w:r>
      <w:r w:rsidRPr="00F6503D">
        <w:rPr>
          <w:smallCaps/>
          <w:szCs w:val="20"/>
        </w:rPr>
        <w:t>Ost, M. Van de Kerchove</w:t>
      </w:r>
      <w:r w:rsidRPr="000E181B">
        <w:rPr>
          <w:szCs w:val="20"/>
        </w:rPr>
        <w:t xml:space="preserve">, </w:t>
      </w:r>
      <w:r w:rsidRPr="000E181B">
        <w:rPr>
          <w:i/>
          <w:szCs w:val="20"/>
        </w:rPr>
        <w:t>De la pyramide…</w:t>
      </w:r>
      <w:r w:rsidRPr="000E181B">
        <w:rPr>
          <w:szCs w:val="20"/>
        </w:rPr>
        <w:t xml:space="preserve">, </w:t>
      </w:r>
      <w:r w:rsidRPr="000E181B">
        <w:rPr>
          <w:i/>
          <w:szCs w:val="20"/>
        </w:rPr>
        <w:t>op. cit.</w:t>
      </w:r>
      <w:r w:rsidRPr="000E181B">
        <w:rPr>
          <w:szCs w:val="20"/>
        </w:rPr>
        <w:t>, p. 458-459.</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094B27"/>
    <w:multiLevelType w:val="hybridMultilevel"/>
    <w:tmpl w:val="BB368A0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defaultTabStop w:val="708"/>
  <w:hyphenationZone w:val="425"/>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320"/>
    <w:rsid w:val="00001F8B"/>
    <w:rsid w:val="0000216C"/>
    <w:rsid w:val="0001164D"/>
    <w:rsid w:val="00011C40"/>
    <w:rsid w:val="00012960"/>
    <w:rsid w:val="00016F60"/>
    <w:rsid w:val="000206AF"/>
    <w:rsid w:val="000212E0"/>
    <w:rsid w:val="000239B9"/>
    <w:rsid w:val="00025D26"/>
    <w:rsid w:val="00026569"/>
    <w:rsid w:val="000300D7"/>
    <w:rsid w:val="00030340"/>
    <w:rsid w:val="0003050C"/>
    <w:rsid w:val="00031276"/>
    <w:rsid w:val="00033E2C"/>
    <w:rsid w:val="00034980"/>
    <w:rsid w:val="00056846"/>
    <w:rsid w:val="00056888"/>
    <w:rsid w:val="00056FE5"/>
    <w:rsid w:val="000662C6"/>
    <w:rsid w:val="00071B24"/>
    <w:rsid w:val="0007318B"/>
    <w:rsid w:val="000736B5"/>
    <w:rsid w:val="00080425"/>
    <w:rsid w:val="000816C1"/>
    <w:rsid w:val="0008430E"/>
    <w:rsid w:val="00085BD6"/>
    <w:rsid w:val="000866E1"/>
    <w:rsid w:val="00087DCE"/>
    <w:rsid w:val="00094AC7"/>
    <w:rsid w:val="00096849"/>
    <w:rsid w:val="000A3009"/>
    <w:rsid w:val="000A5F5C"/>
    <w:rsid w:val="000A6872"/>
    <w:rsid w:val="000A6E36"/>
    <w:rsid w:val="000A7BE8"/>
    <w:rsid w:val="000C056D"/>
    <w:rsid w:val="000C3BE3"/>
    <w:rsid w:val="000C518C"/>
    <w:rsid w:val="000E181B"/>
    <w:rsid w:val="000E3464"/>
    <w:rsid w:val="000E4540"/>
    <w:rsid w:val="000E791D"/>
    <w:rsid w:val="000F4A45"/>
    <w:rsid w:val="000F6DC4"/>
    <w:rsid w:val="00101DB1"/>
    <w:rsid w:val="00103E88"/>
    <w:rsid w:val="00111A05"/>
    <w:rsid w:val="001129ED"/>
    <w:rsid w:val="00120920"/>
    <w:rsid w:val="00121A1C"/>
    <w:rsid w:val="00125B60"/>
    <w:rsid w:val="0012749E"/>
    <w:rsid w:val="0013245E"/>
    <w:rsid w:val="00137FD8"/>
    <w:rsid w:val="00141130"/>
    <w:rsid w:val="00141EB5"/>
    <w:rsid w:val="00143A79"/>
    <w:rsid w:val="00145704"/>
    <w:rsid w:val="0015443C"/>
    <w:rsid w:val="001544BE"/>
    <w:rsid w:val="00154B23"/>
    <w:rsid w:val="0015554C"/>
    <w:rsid w:val="00160A59"/>
    <w:rsid w:val="00164029"/>
    <w:rsid w:val="00167E87"/>
    <w:rsid w:val="0017497A"/>
    <w:rsid w:val="00174A5C"/>
    <w:rsid w:val="00176CE4"/>
    <w:rsid w:val="00180499"/>
    <w:rsid w:val="001822C2"/>
    <w:rsid w:val="00185D9B"/>
    <w:rsid w:val="00195541"/>
    <w:rsid w:val="00195650"/>
    <w:rsid w:val="00195F95"/>
    <w:rsid w:val="001A0A25"/>
    <w:rsid w:val="001A27C7"/>
    <w:rsid w:val="001A285D"/>
    <w:rsid w:val="001A4417"/>
    <w:rsid w:val="001B3267"/>
    <w:rsid w:val="001B3DCE"/>
    <w:rsid w:val="001B44EE"/>
    <w:rsid w:val="001B49F8"/>
    <w:rsid w:val="001B4F29"/>
    <w:rsid w:val="001C2961"/>
    <w:rsid w:val="001D498B"/>
    <w:rsid w:val="001D6842"/>
    <w:rsid w:val="001D7185"/>
    <w:rsid w:val="001D76EE"/>
    <w:rsid w:val="001E7290"/>
    <w:rsid w:val="001F23F7"/>
    <w:rsid w:val="00203DF6"/>
    <w:rsid w:val="002106AA"/>
    <w:rsid w:val="002138D8"/>
    <w:rsid w:val="002154F9"/>
    <w:rsid w:val="00225760"/>
    <w:rsid w:val="00226203"/>
    <w:rsid w:val="00233891"/>
    <w:rsid w:val="0023705A"/>
    <w:rsid w:val="00237D09"/>
    <w:rsid w:val="00240DFC"/>
    <w:rsid w:val="00242011"/>
    <w:rsid w:val="0024467F"/>
    <w:rsid w:val="00245430"/>
    <w:rsid w:val="0024566C"/>
    <w:rsid w:val="00250614"/>
    <w:rsid w:val="002512A8"/>
    <w:rsid w:val="00252B48"/>
    <w:rsid w:val="00254BE8"/>
    <w:rsid w:val="0026115F"/>
    <w:rsid w:val="00261C00"/>
    <w:rsid w:val="00265102"/>
    <w:rsid w:val="00271C66"/>
    <w:rsid w:val="00281F9C"/>
    <w:rsid w:val="00286136"/>
    <w:rsid w:val="00290207"/>
    <w:rsid w:val="00293771"/>
    <w:rsid w:val="00294048"/>
    <w:rsid w:val="002A1EDC"/>
    <w:rsid w:val="002A51A8"/>
    <w:rsid w:val="002B7067"/>
    <w:rsid w:val="002B749D"/>
    <w:rsid w:val="002C0C1B"/>
    <w:rsid w:val="002C2BED"/>
    <w:rsid w:val="002C3A9F"/>
    <w:rsid w:val="002C3E86"/>
    <w:rsid w:val="002C47E8"/>
    <w:rsid w:val="002C7598"/>
    <w:rsid w:val="002D0011"/>
    <w:rsid w:val="002D1F35"/>
    <w:rsid w:val="002D2341"/>
    <w:rsid w:val="002D2C19"/>
    <w:rsid w:val="002E09FA"/>
    <w:rsid w:val="002E420F"/>
    <w:rsid w:val="002E44DF"/>
    <w:rsid w:val="002E454D"/>
    <w:rsid w:val="002E567A"/>
    <w:rsid w:val="002E5F93"/>
    <w:rsid w:val="00306F68"/>
    <w:rsid w:val="00307F9B"/>
    <w:rsid w:val="003135B1"/>
    <w:rsid w:val="00314303"/>
    <w:rsid w:val="0032021D"/>
    <w:rsid w:val="00321300"/>
    <w:rsid w:val="00321C94"/>
    <w:rsid w:val="00323BCB"/>
    <w:rsid w:val="00324C5A"/>
    <w:rsid w:val="00326025"/>
    <w:rsid w:val="00326B61"/>
    <w:rsid w:val="00327BC0"/>
    <w:rsid w:val="0033299B"/>
    <w:rsid w:val="00340153"/>
    <w:rsid w:val="00340521"/>
    <w:rsid w:val="00355401"/>
    <w:rsid w:val="00355E6C"/>
    <w:rsid w:val="00357583"/>
    <w:rsid w:val="0036024E"/>
    <w:rsid w:val="0036120C"/>
    <w:rsid w:val="0036340F"/>
    <w:rsid w:val="00373A04"/>
    <w:rsid w:val="00376CDF"/>
    <w:rsid w:val="00392174"/>
    <w:rsid w:val="00393161"/>
    <w:rsid w:val="003962F1"/>
    <w:rsid w:val="003A3ED0"/>
    <w:rsid w:val="003A4415"/>
    <w:rsid w:val="003B20FC"/>
    <w:rsid w:val="003B515F"/>
    <w:rsid w:val="003B76AC"/>
    <w:rsid w:val="003C15F2"/>
    <w:rsid w:val="003C3991"/>
    <w:rsid w:val="003C40A7"/>
    <w:rsid w:val="003C55E0"/>
    <w:rsid w:val="003C67BB"/>
    <w:rsid w:val="003C6AD6"/>
    <w:rsid w:val="003C7320"/>
    <w:rsid w:val="003C7617"/>
    <w:rsid w:val="003D1008"/>
    <w:rsid w:val="003D242F"/>
    <w:rsid w:val="003E30AB"/>
    <w:rsid w:val="003E3A6C"/>
    <w:rsid w:val="003E7012"/>
    <w:rsid w:val="003F2C4C"/>
    <w:rsid w:val="003F38DE"/>
    <w:rsid w:val="003F40CD"/>
    <w:rsid w:val="003F46CD"/>
    <w:rsid w:val="003F7AB3"/>
    <w:rsid w:val="004019C9"/>
    <w:rsid w:val="00405C4B"/>
    <w:rsid w:val="00407074"/>
    <w:rsid w:val="00412E1E"/>
    <w:rsid w:val="00413C02"/>
    <w:rsid w:val="00415002"/>
    <w:rsid w:val="00430130"/>
    <w:rsid w:val="00430307"/>
    <w:rsid w:val="00431678"/>
    <w:rsid w:val="004321F8"/>
    <w:rsid w:val="00432343"/>
    <w:rsid w:val="0043286F"/>
    <w:rsid w:val="004335BB"/>
    <w:rsid w:val="004339D6"/>
    <w:rsid w:val="00436FDA"/>
    <w:rsid w:val="00437DBF"/>
    <w:rsid w:val="00447E68"/>
    <w:rsid w:val="00453598"/>
    <w:rsid w:val="004537C3"/>
    <w:rsid w:val="004603E1"/>
    <w:rsid w:val="004627C2"/>
    <w:rsid w:val="0046454B"/>
    <w:rsid w:val="004724F2"/>
    <w:rsid w:val="00476FEA"/>
    <w:rsid w:val="0048446E"/>
    <w:rsid w:val="004945A4"/>
    <w:rsid w:val="0049542E"/>
    <w:rsid w:val="00495B7B"/>
    <w:rsid w:val="004A44C3"/>
    <w:rsid w:val="004A646B"/>
    <w:rsid w:val="004B2F9C"/>
    <w:rsid w:val="004B65E4"/>
    <w:rsid w:val="004B75F5"/>
    <w:rsid w:val="004C5ACF"/>
    <w:rsid w:val="004C64AA"/>
    <w:rsid w:val="004C74C7"/>
    <w:rsid w:val="004D0944"/>
    <w:rsid w:val="004D4465"/>
    <w:rsid w:val="004D6DC4"/>
    <w:rsid w:val="004E24A2"/>
    <w:rsid w:val="004E3C06"/>
    <w:rsid w:val="004E5F63"/>
    <w:rsid w:val="00506142"/>
    <w:rsid w:val="00510B11"/>
    <w:rsid w:val="00511774"/>
    <w:rsid w:val="00512024"/>
    <w:rsid w:val="005150CB"/>
    <w:rsid w:val="00517951"/>
    <w:rsid w:val="005223E4"/>
    <w:rsid w:val="005353A2"/>
    <w:rsid w:val="00537914"/>
    <w:rsid w:val="00537B5E"/>
    <w:rsid w:val="005436E7"/>
    <w:rsid w:val="00547E07"/>
    <w:rsid w:val="00550759"/>
    <w:rsid w:val="00557ADB"/>
    <w:rsid w:val="00563532"/>
    <w:rsid w:val="005702C7"/>
    <w:rsid w:val="0057288F"/>
    <w:rsid w:val="00572A42"/>
    <w:rsid w:val="005736AE"/>
    <w:rsid w:val="00575AA2"/>
    <w:rsid w:val="00576612"/>
    <w:rsid w:val="005965C7"/>
    <w:rsid w:val="005A23B7"/>
    <w:rsid w:val="005A28A2"/>
    <w:rsid w:val="005A301B"/>
    <w:rsid w:val="005A4145"/>
    <w:rsid w:val="005A41F2"/>
    <w:rsid w:val="005A6442"/>
    <w:rsid w:val="005A6C1B"/>
    <w:rsid w:val="005B1453"/>
    <w:rsid w:val="005B3CD1"/>
    <w:rsid w:val="005B4831"/>
    <w:rsid w:val="005C20A0"/>
    <w:rsid w:val="005C281B"/>
    <w:rsid w:val="005D114E"/>
    <w:rsid w:val="005D4762"/>
    <w:rsid w:val="005E0D30"/>
    <w:rsid w:val="005E17D0"/>
    <w:rsid w:val="005E79B9"/>
    <w:rsid w:val="005F1609"/>
    <w:rsid w:val="005F3905"/>
    <w:rsid w:val="0060045C"/>
    <w:rsid w:val="006033C5"/>
    <w:rsid w:val="00606A89"/>
    <w:rsid w:val="00607439"/>
    <w:rsid w:val="00607CFE"/>
    <w:rsid w:val="00612000"/>
    <w:rsid w:val="00613096"/>
    <w:rsid w:val="00613AB5"/>
    <w:rsid w:val="00617FA9"/>
    <w:rsid w:val="0062013E"/>
    <w:rsid w:val="00626992"/>
    <w:rsid w:val="0062709C"/>
    <w:rsid w:val="00627ACB"/>
    <w:rsid w:val="00630529"/>
    <w:rsid w:val="0063055C"/>
    <w:rsid w:val="0064209B"/>
    <w:rsid w:val="00643930"/>
    <w:rsid w:val="00646318"/>
    <w:rsid w:val="006509F6"/>
    <w:rsid w:val="00653048"/>
    <w:rsid w:val="006537A8"/>
    <w:rsid w:val="00654FBB"/>
    <w:rsid w:val="00655DD9"/>
    <w:rsid w:val="00657BA7"/>
    <w:rsid w:val="00657F99"/>
    <w:rsid w:val="00660700"/>
    <w:rsid w:val="00664755"/>
    <w:rsid w:val="00665C92"/>
    <w:rsid w:val="0066636B"/>
    <w:rsid w:val="00671F71"/>
    <w:rsid w:val="006741E6"/>
    <w:rsid w:val="006756A8"/>
    <w:rsid w:val="0068051D"/>
    <w:rsid w:val="00681438"/>
    <w:rsid w:val="006821D0"/>
    <w:rsid w:val="006903F0"/>
    <w:rsid w:val="006A4D54"/>
    <w:rsid w:val="006A5D90"/>
    <w:rsid w:val="006A66A9"/>
    <w:rsid w:val="006B2D50"/>
    <w:rsid w:val="006B4148"/>
    <w:rsid w:val="006B4E8F"/>
    <w:rsid w:val="006B6653"/>
    <w:rsid w:val="006C02C8"/>
    <w:rsid w:val="006C1FC8"/>
    <w:rsid w:val="006C5B41"/>
    <w:rsid w:val="006E3CC0"/>
    <w:rsid w:val="006F139D"/>
    <w:rsid w:val="006F3FA4"/>
    <w:rsid w:val="006F545B"/>
    <w:rsid w:val="006F5AD0"/>
    <w:rsid w:val="00705622"/>
    <w:rsid w:val="007216A8"/>
    <w:rsid w:val="00722589"/>
    <w:rsid w:val="0072550D"/>
    <w:rsid w:val="0072740E"/>
    <w:rsid w:val="00730BA2"/>
    <w:rsid w:val="00731D7B"/>
    <w:rsid w:val="007334BE"/>
    <w:rsid w:val="00735B9E"/>
    <w:rsid w:val="00740D50"/>
    <w:rsid w:val="007423BE"/>
    <w:rsid w:val="00767EC1"/>
    <w:rsid w:val="00773CBE"/>
    <w:rsid w:val="00774775"/>
    <w:rsid w:val="007765FB"/>
    <w:rsid w:val="007773F0"/>
    <w:rsid w:val="00782008"/>
    <w:rsid w:val="007843D3"/>
    <w:rsid w:val="00785923"/>
    <w:rsid w:val="00792572"/>
    <w:rsid w:val="00795166"/>
    <w:rsid w:val="0079608A"/>
    <w:rsid w:val="007A0AB5"/>
    <w:rsid w:val="007A109F"/>
    <w:rsid w:val="007A55F8"/>
    <w:rsid w:val="007B23E6"/>
    <w:rsid w:val="007B6E0B"/>
    <w:rsid w:val="007C4A08"/>
    <w:rsid w:val="007D0635"/>
    <w:rsid w:val="007D119A"/>
    <w:rsid w:val="007D5118"/>
    <w:rsid w:val="007D5BA2"/>
    <w:rsid w:val="007E6A81"/>
    <w:rsid w:val="007F501A"/>
    <w:rsid w:val="007F7F5B"/>
    <w:rsid w:val="0080023D"/>
    <w:rsid w:val="0080036E"/>
    <w:rsid w:val="008032AF"/>
    <w:rsid w:val="008041CA"/>
    <w:rsid w:val="00807839"/>
    <w:rsid w:val="00811AC3"/>
    <w:rsid w:val="00816B04"/>
    <w:rsid w:val="008170C5"/>
    <w:rsid w:val="00820CC0"/>
    <w:rsid w:val="00822687"/>
    <w:rsid w:val="0082299A"/>
    <w:rsid w:val="00823769"/>
    <w:rsid w:val="00823D41"/>
    <w:rsid w:val="0083425B"/>
    <w:rsid w:val="00842BB2"/>
    <w:rsid w:val="00845C31"/>
    <w:rsid w:val="008468D4"/>
    <w:rsid w:val="00852C26"/>
    <w:rsid w:val="00856622"/>
    <w:rsid w:val="008605A9"/>
    <w:rsid w:val="00871F3D"/>
    <w:rsid w:val="008730CB"/>
    <w:rsid w:val="00875E6D"/>
    <w:rsid w:val="00876529"/>
    <w:rsid w:val="00876A4F"/>
    <w:rsid w:val="008828BE"/>
    <w:rsid w:val="00883933"/>
    <w:rsid w:val="00885136"/>
    <w:rsid w:val="0088707A"/>
    <w:rsid w:val="0089234F"/>
    <w:rsid w:val="008948C9"/>
    <w:rsid w:val="00895925"/>
    <w:rsid w:val="00896CBA"/>
    <w:rsid w:val="008A21FF"/>
    <w:rsid w:val="008A2D45"/>
    <w:rsid w:val="008A4CE5"/>
    <w:rsid w:val="008A6557"/>
    <w:rsid w:val="008A784B"/>
    <w:rsid w:val="008B4A2F"/>
    <w:rsid w:val="008B4E39"/>
    <w:rsid w:val="008B51A0"/>
    <w:rsid w:val="008B5CE0"/>
    <w:rsid w:val="008B5F53"/>
    <w:rsid w:val="008C0AC2"/>
    <w:rsid w:val="008C3ADF"/>
    <w:rsid w:val="008C4182"/>
    <w:rsid w:val="008C55A5"/>
    <w:rsid w:val="008C5AD5"/>
    <w:rsid w:val="008C65DC"/>
    <w:rsid w:val="008E277E"/>
    <w:rsid w:val="008E4A71"/>
    <w:rsid w:val="008E4BA2"/>
    <w:rsid w:val="008E708A"/>
    <w:rsid w:val="008F41C0"/>
    <w:rsid w:val="008F7200"/>
    <w:rsid w:val="00900A46"/>
    <w:rsid w:val="009029F0"/>
    <w:rsid w:val="00902A36"/>
    <w:rsid w:val="009063BF"/>
    <w:rsid w:val="00906A31"/>
    <w:rsid w:val="00906B6E"/>
    <w:rsid w:val="00907C35"/>
    <w:rsid w:val="00907C7C"/>
    <w:rsid w:val="0092653B"/>
    <w:rsid w:val="00930024"/>
    <w:rsid w:val="009356F2"/>
    <w:rsid w:val="0094220A"/>
    <w:rsid w:val="00942EDA"/>
    <w:rsid w:val="00947BB6"/>
    <w:rsid w:val="009578D4"/>
    <w:rsid w:val="00957F91"/>
    <w:rsid w:val="00967281"/>
    <w:rsid w:val="00967C57"/>
    <w:rsid w:val="009754FF"/>
    <w:rsid w:val="009765D0"/>
    <w:rsid w:val="00977DE2"/>
    <w:rsid w:val="00981408"/>
    <w:rsid w:val="0098204B"/>
    <w:rsid w:val="009918CD"/>
    <w:rsid w:val="009970B2"/>
    <w:rsid w:val="009A0678"/>
    <w:rsid w:val="009A3E28"/>
    <w:rsid w:val="009A7B3E"/>
    <w:rsid w:val="009B21B0"/>
    <w:rsid w:val="009B3447"/>
    <w:rsid w:val="009C1389"/>
    <w:rsid w:val="009C2D36"/>
    <w:rsid w:val="009D0343"/>
    <w:rsid w:val="009D14FB"/>
    <w:rsid w:val="009D1A2C"/>
    <w:rsid w:val="009D1ECE"/>
    <w:rsid w:val="009D4161"/>
    <w:rsid w:val="009D59F1"/>
    <w:rsid w:val="009D5CCE"/>
    <w:rsid w:val="009E207C"/>
    <w:rsid w:val="009E2DB6"/>
    <w:rsid w:val="009E3CE8"/>
    <w:rsid w:val="009E657A"/>
    <w:rsid w:val="009F19C8"/>
    <w:rsid w:val="009F4FA1"/>
    <w:rsid w:val="009F766C"/>
    <w:rsid w:val="00A02799"/>
    <w:rsid w:val="00A02F55"/>
    <w:rsid w:val="00A03C2F"/>
    <w:rsid w:val="00A0545C"/>
    <w:rsid w:val="00A05A70"/>
    <w:rsid w:val="00A071D4"/>
    <w:rsid w:val="00A10D61"/>
    <w:rsid w:val="00A114F1"/>
    <w:rsid w:val="00A16FB2"/>
    <w:rsid w:val="00A212E6"/>
    <w:rsid w:val="00A31EFB"/>
    <w:rsid w:val="00A3398F"/>
    <w:rsid w:val="00A414F0"/>
    <w:rsid w:val="00A43494"/>
    <w:rsid w:val="00A445D7"/>
    <w:rsid w:val="00A51969"/>
    <w:rsid w:val="00A51EB6"/>
    <w:rsid w:val="00A54B6E"/>
    <w:rsid w:val="00A54B91"/>
    <w:rsid w:val="00A60279"/>
    <w:rsid w:val="00A62154"/>
    <w:rsid w:val="00A67764"/>
    <w:rsid w:val="00A67F95"/>
    <w:rsid w:val="00A7483D"/>
    <w:rsid w:val="00A835B7"/>
    <w:rsid w:val="00A90648"/>
    <w:rsid w:val="00A91BF7"/>
    <w:rsid w:val="00A92ED0"/>
    <w:rsid w:val="00A94619"/>
    <w:rsid w:val="00A94A4B"/>
    <w:rsid w:val="00A96340"/>
    <w:rsid w:val="00A977DB"/>
    <w:rsid w:val="00A97E0A"/>
    <w:rsid w:val="00AA048A"/>
    <w:rsid w:val="00AA205C"/>
    <w:rsid w:val="00AA429E"/>
    <w:rsid w:val="00AA6070"/>
    <w:rsid w:val="00AA6833"/>
    <w:rsid w:val="00AB26C5"/>
    <w:rsid w:val="00AB5082"/>
    <w:rsid w:val="00AB5A6E"/>
    <w:rsid w:val="00AB6831"/>
    <w:rsid w:val="00AC0FC8"/>
    <w:rsid w:val="00AC47B7"/>
    <w:rsid w:val="00AC592D"/>
    <w:rsid w:val="00AC794B"/>
    <w:rsid w:val="00AD099C"/>
    <w:rsid w:val="00AD25F1"/>
    <w:rsid w:val="00AD5FCE"/>
    <w:rsid w:val="00AE2041"/>
    <w:rsid w:val="00AE3C18"/>
    <w:rsid w:val="00AF251E"/>
    <w:rsid w:val="00AF624B"/>
    <w:rsid w:val="00AF7211"/>
    <w:rsid w:val="00B044D8"/>
    <w:rsid w:val="00B13EA5"/>
    <w:rsid w:val="00B14F25"/>
    <w:rsid w:val="00B16C13"/>
    <w:rsid w:val="00B21A55"/>
    <w:rsid w:val="00B228CA"/>
    <w:rsid w:val="00B311AD"/>
    <w:rsid w:val="00B41839"/>
    <w:rsid w:val="00B42C80"/>
    <w:rsid w:val="00B44A77"/>
    <w:rsid w:val="00B44F81"/>
    <w:rsid w:val="00B6554B"/>
    <w:rsid w:val="00B7262F"/>
    <w:rsid w:val="00B76BD9"/>
    <w:rsid w:val="00B77241"/>
    <w:rsid w:val="00B80574"/>
    <w:rsid w:val="00B81F34"/>
    <w:rsid w:val="00B83EA6"/>
    <w:rsid w:val="00B8502C"/>
    <w:rsid w:val="00B971AF"/>
    <w:rsid w:val="00BA0C1B"/>
    <w:rsid w:val="00BA44D2"/>
    <w:rsid w:val="00BA7323"/>
    <w:rsid w:val="00BC3E3D"/>
    <w:rsid w:val="00BC57BC"/>
    <w:rsid w:val="00BC6936"/>
    <w:rsid w:val="00BC6AFF"/>
    <w:rsid w:val="00BC7606"/>
    <w:rsid w:val="00BD170D"/>
    <w:rsid w:val="00BD3879"/>
    <w:rsid w:val="00BE08B7"/>
    <w:rsid w:val="00BE3100"/>
    <w:rsid w:val="00BE4C80"/>
    <w:rsid w:val="00BE6BD1"/>
    <w:rsid w:val="00BF2C48"/>
    <w:rsid w:val="00BF54B4"/>
    <w:rsid w:val="00BF6E4F"/>
    <w:rsid w:val="00C00E6A"/>
    <w:rsid w:val="00C02A69"/>
    <w:rsid w:val="00C05ACE"/>
    <w:rsid w:val="00C16C54"/>
    <w:rsid w:val="00C228C2"/>
    <w:rsid w:val="00C23358"/>
    <w:rsid w:val="00C266CF"/>
    <w:rsid w:val="00C30968"/>
    <w:rsid w:val="00C320CB"/>
    <w:rsid w:val="00C321CB"/>
    <w:rsid w:val="00C32C2A"/>
    <w:rsid w:val="00C34025"/>
    <w:rsid w:val="00C41B54"/>
    <w:rsid w:val="00C464EF"/>
    <w:rsid w:val="00C646DD"/>
    <w:rsid w:val="00C66ED5"/>
    <w:rsid w:val="00C67C2D"/>
    <w:rsid w:val="00C7224B"/>
    <w:rsid w:val="00C84497"/>
    <w:rsid w:val="00C90AC6"/>
    <w:rsid w:val="00C93913"/>
    <w:rsid w:val="00CA131F"/>
    <w:rsid w:val="00CA4149"/>
    <w:rsid w:val="00CA4DCC"/>
    <w:rsid w:val="00CA72B5"/>
    <w:rsid w:val="00CB012A"/>
    <w:rsid w:val="00CB3FB2"/>
    <w:rsid w:val="00CB5E9D"/>
    <w:rsid w:val="00CB6FBC"/>
    <w:rsid w:val="00CB75B1"/>
    <w:rsid w:val="00CC45BC"/>
    <w:rsid w:val="00CC6C9D"/>
    <w:rsid w:val="00CD6912"/>
    <w:rsid w:val="00CE01E4"/>
    <w:rsid w:val="00CE2964"/>
    <w:rsid w:val="00CE5A31"/>
    <w:rsid w:val="00CF032F"/>
    <w:rsid w:val="00CF27DD"/>
    <w:rsid w:val="00CF3395"/>
    <w:rsid w:val="00D056BE"/>
    <w:rsid w:val="00D13EB2"/>
    <w:rsid w:val="00D23AB1"/>
    <w:rsid w:val="00D2451A"/>
    <w:rsid w:val="00D257A0"/>
    <w:rsid w:val="00D274C7"/>
    <w:rsid w:val="00D35048"/>
    <w:rsid w:val="00D43355"/>
    <w:rsid w:val="00D609AB"/>
    <w:rsid w:val="00D611ED"/>
    <w:rsid w:val="00D75B68"/>
    <w:rsid w:val="00D80A7C"/>
    <w:rsid w:val="00D82BB0"/>
    <w:rsid w:val="00D83303"/>
    <w:rsid w:val="00D85B02"/>
    <w:rsid w:val="00D9209D"/>
    <w:rsid w:val="00D94E36"/>
    <w:rsid w:val="00DA0010"/>
    <w:rsid w:val="00DB0612"/>
    <w:rsid w:val="00DB727B"/>
    <w:rsid w:val="00DC2EDD"/>
    <w:rsid w:val="00DC34B2"/>
    <w:rsid w:val="00DC355D"/>
    <w:rsid w:val="00DC3C55"/>
    <w:rsid w:val="00DC525F"/>
    <w:rsid w:val="00DC539E"/>
    <w:rsid w:val="00DC7A05"/>
    <w:rsid w:val="00DD1866"/>
    <w:rsid w:val="00DD1C94"/>
    <w:rsid w:val="00DD28E0"/>
    <w:rsid w:val="00DD3885"/>
    <w:rsid w:val="00DD435B"/>
    <w:rsid w:val="00DD5398"/>
    <w:rsid w:val="00DD5DC2"/>
    <w:rsid w:val="00DD6B44"/>
    <w:rsid w:val="00DE089A"/>
    <w:rsid w:val="00DE2757"/>
    <w:rsid w:val="00DE2EB2"/>
    <w:rsid w:val="00DE7342"/>
    <w:rsid w:val="00DE7ECB"/>
    <w:rsid w:val="00DF04C7"/>
    <w:rsid w:val="00DF1BD2"/>
    <w:rsid w:val="00DF61D5"/>
    <w:rsid w:val="00DF77A4"/>
    <w:rsid w:val="00E01F07"/>
    <w:rsid w:val="00E036EF"/>
    <w:rsid w:val="00E043C2"/>
    <w:rsid w:val="00E05C04"/>
    <w:rsid w:val="00E10CCC"/>
    <w:rsid w:val="00E13142"/>
    <w:rsid w:val="00E16E72"/>
    <w:rsid w:val="00E17BF1"/>
    <w:rsid w:val="00E200D2"/>
    <w:rsid w:val="00E26341"/>
    <w:rsid w:val="00E2658E"/>
    <w:rsid w:val="00E26723"/>
    <w:rsid w:val="00E336C6"/>
    <w:rsid w:val="00E41876"/>
    <w:rsid w:val="00E4401E"/>
    <w:rsid w:val="00E44351"/>
    <w:rsid w:val="00E457B6"/>
    <w:rsid w:val="00E511F3"/>
    <w:rsid w:val="00E51514"/>
    <w:rsid w:val="00E515F4"/>
    <w:rsid w:val="00E5329B"/>
    <w:rsid w:val="00E532B7"/>
    <w:rsid w:val="00E60FFE"/>
    <w:rsid w:val="00E629B5"/>
    <w:rsid w:val="00E64227"/>
    <w:rsid w:val="00E77C83"/>
    <w:rsid w:val="00E816D8"/>
    <w:rsid w:val="00E83E42"/>
    <w:rsid w:val="00E87608"/>
    <w:rsid w:val="00E910DA"/>
    <w:rsid w:val="00E94C7E"/>
    <w:rsid w:val="00EA19B0"/>
    <w:rsid w:val="00EA2C85"/>
    <w:rsid w:val="00EA2E08"/>
    <w:rsid w:val="00EA5625"/>
    <w:rsid w:val="00EB15A2"/>
    <w:rsid w:val="00EB2701"/>
    <w:rsid w:val="00EB5264"/>
    <w:rsid w:val="00EB5665"/>
    <w:rsid w:val="00EB6EF5"/>
    <w:rsid w:val="00EC0E9E"/>
    <w:rsid w:val="00EC2684"/>
    <w:rsid w:val="00EC5369"/>
    <w:rsid w:val="00EC765D"/>
    <w:rsid w:val="00ED09A0"/>
    <w:rsid w:val="00ED31B8"/>
    <w:rsid w:val="00ED3937"/>
    <w:rsid w:val="00ED3EB0"/>
    <w:rsid w:val="00EE02AB"/>
    <w:rsid w:val="00EF06C2"/>
    <w:rsid w:val="00EF18B1"/>
    <w:rsid w:val="00EF50F4"/>
    <w:rsid w:val="00EF5C0B"/>
    <w:rsid w:val="00EF7560"/>
    <w:rsid w:val="00F0394E"/>
    <w:rsid w:val="00F051CF"/>
    <w:rsid w:val="00F0579E"/>
    <w:rsid w:val="00F134BD"/>
    <w:rsid w:val="00F1798D"/>
    <w:rsid w:val="00F25152"/>
    <w:rsid w:val="00F25C0F"/>
    <w:rsid w:val="00F30583"/>
    <w:rsid w:val="00F4114A"/>
    <w:rsid w:val="00F41219"/>
    <w:rsid w:val="00F44504"/>
    <w:rsid w:val="00F47F1A"/>
    <w:rsid w:val="00F6008C"/>
    <w:rsid w:val="00F6503D"/>
    <w:rsid w:val="00F65BD8"/>
    <w:rsid w:val="00F72DDC"/>
    <w:rsid w:val="00F85A3A"/>
    <w:rsid w:val="00F8648A"/>
    <w:rsid w:val="00F869FE"/>
    <w:rsid w:val="00F90DD9"/>
    <w:rsid w:val="00F91AD5"/>
    <w:rsid w:val="00F921A2"/>
    <w:rsid w:val="00F952BF"/>
    <w:rsid w:val="00F96AAC"/>
    <w:rsid w:val="00F97A5F"/>
    <w:rsid w:val="00FA2FDA"/>
    <w:rsid w:val="00FA3D97"/>
    <w:rsid w:val="00FA6E6F"/>
    <w:rsid w:val="00FB4A15"/>
    <w:rsid w:val="00FB6CFD"/>
    <w:rsid w:val="00FC1DCF"/>
    <w:rsid w:val="00FC4DF6"/>
    <w:rsid w:val="00FC7D6C"/>
    <w:rsid w:val="00FD0A12"/>
    <w:rsid w:val="00FD2B30"/>
    <w:rsid w:val="00FD6256"/>
    <w:rsid w:val="00FD7122"/>
    <w:rsid w:val="00FD7D76"/>
    <w:rsid w:val="00FE125D"/>
    <w:rsid w:val="00FE213D"/>
    <w:rsid w:val="00FE7691"/>
    <w:rsid w:val="00FE787B"/>
    <w:rsid w:val="00FF0112"/>
    <w:rsid w:val="00FF193E"/>
    <w:rsid w:val="00FF29A9"/>
    <w:rsid w:val="00FF6600"/>
  </w:rsids>
  <m:mathPr>
    <m:mathFont m:val="Cambria Math"/>
    <m:brkBin m:val="before"/>
    <m:brkBinSub m:val="--"/>
    <m:smallFrac m:val="0"/>
    <m:dispDef m:val="0"/>
    <m:lMargin m:val="0"/>
    <m:rMargin m:val="0"/>
    <m:defJc m:val="centerGroup"/>
    <m:wrapRight/>
    <m:intLim m:val="subSup"/>
    <m:naryLim m:val="subSup"/>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F248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32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F952BF"/>
    <w:pPr>
      <w:tabs>
        <w:tab w:val="center" w:pos="4536"/>
        <w:tab w:val="right" w:pos="9072"/>
      </w:tabs>
    </w:pPr>
  </w:style>
  <w:style w:type="character" w:customStyle="1" w:styleId="PieddepageCar">
    <w:name w:val="Pied de page Car"/>
    <w:basedOn w:val="Policepardfaut"/>
    <w:link w:val="Pieddepage"/>
    <w:uiPriority w:val="99"/>
    <w:rsid w:val="00F952BF"/>
    <w:rPr>
      <w:rFonts w:eastAsiaTheme="minorHAnsi"/>
      <w:lang w:eastAsia="en-US"/>
    </w:rPr>
  </w:style>
  <w:style w:type="character" w:styleId="Numrodepage">
    <w:name w:val="page number"/>
    <w:basedOn w:val="Policepardfaut"/>
    <w:uiPriority w:val="99"/>
    <w:semiHidden/>
    <w:unhideWhenUsed/>
    <w:rsid w:val="00F952BF"/>
  </w:style>
  <w:style w:type="paragraph" w:styleId="Paragraphedeliste">
    <w:name w:val="List Paragraph"/>
    <w:basedOn w:val="Normal"/>
    <w:uiPriority w:val="34"/>
    <w:qFormat/>
    <w:rsid w:val="00F0579E"/>
    <w:pPr>
      <w:ind w:left="720"/>
      <w:contextualSpacing/>
    </w:pPr>
  </w:style>
  <w:style w:type="paragraph" w:styleId="Notedebasdepage">
    <w:name w:val="footnote text"/>
    <w:basedOn w:val="Normal"/>
    <w:link w:val="NotedebasdepageCar"/>
    <w:uiPriority w:val="99"/>
    <w:unhideWhenUsed/>
    <w:rsid w:val="006A5D90"/>
    <w:pPr>
      <w:jc w:val="both"/>
    </w:pPr>
    <w:rPr>
      <w:sz w:val="20"/>
    </w:rPr>
  </w:style>
  <w:style w:type="character" w:customStyle="1" w:styleId="NotedebasdepageCar">
    <w:name w:val="Note de bas de page Car"/>
    <w:basedOn w:val="Policepardfaut"/>
    <w:link w:val="Notedebasdepage"/>
    <w:uiPriority w:val="99"/>
    <w:rsid w:val="006A5D90"/>
    <w:rPr>
      <w:sz w:val="20"/>
    </w:rPr>
  </w:style>
  <w:style w:type="character" w:styleId="Marquenotebasdepage">
    <w:name w:val="footnote reference"/>
    <w:basedOn w:val="Policepardfaut"/>
    <w:uiPriority w:val="99"/>
    <w:unhideWhenUsed/>
    <w:rsid w:val="000C518C"/>
    <w:rPr>
      <w:vertAlign w:val="superscript"/>
    </w:rPr>
  </w:style>
  <w:style w:type="character" w:styleId="Lienhypertexte">
    <w:name w:val="Hyperlink"/>
    <w:basedOn w:val="Policepardfaut"/>
    <w:uiPriority w:val="99"/>
    <w:unhideWhenUsed/>
    <w:rsid w:val="006537A8"/>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32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F952BF"/>
    <w:pPr>
      <w:tabs>
        <w:tab w:val="center" w:pos="4536"/>
        <w:tab w:val="right" w:pos="9072"/>
      </w:tabs>
    </w:pPr>
  </w:style>
  <w:style w:type="character" w:customStyle="1" w:styleId="PieddepageCar">
    <w:name w:val="Pied de page Car"/>
    <w:basedOn w:val="Policepardfaut"/>
    <w:link w:val="Pieddepage"/>
    <w:uiPriority w:val="99"/>
    <w:rsid w:val="00F952BF"/>
    <w:rPr>
      <w:rFonts w:eastAsiaTheme="minorHAnsi"/>
      <w:lang w:eastAsia="en-US"/>
    </w:rPr>
  </w:style>
  <w:style w:type="character" w:styleId="Numrodepage">
    <w:name w:val="page number"/>
    <w:basedOn w:val="Policepardfaut"/>
    <w:uiPriority w:val="99"/>
    <w:semiHidden/>
    <w:unhideWhenUsed/>
    <w:rsid w:val="00F952BF"/>
  </w:style>
  <w:style w:type="paragraph" w:styleId="Paragraphedeliste">
    <w:name w:val="List Paragraph"/>
    <w:basedOn w:val="Normal"/>
    <w:uiPriority w:val="34"/>
    <w:qFormat/>
    <w:rsid w:val="00F0579E"/>
    <w:pPr>
      <w:ind w:left="720"/>
      <w:contextualSpacing/>
    </w:pPr>
  </w:style>
  <w:style w:type="paragraph" w:styleId="Notedebasdepage">
    <w:name w:val="footnote text"/>
    <w:basedOn w:val="Normal"/>
    <w:link w:val="NotedebasdepageCar"/>
    <w:uiPriority w:val="99"/>
    <w:unhideWhenUsed/>
    <w:rsid w:val="006A5D90"/>
    <w:pPr>
      <w:jc w:val="both"/>
    </w:pPr>
    <w:rPr>
      <w:sz w:val="20"/>
    </w:rPr>
  </w:style>
  <w:style w:type="character" w:customStyle="1" w:styleId="NotedebasdepageCar">
    <w:name w:val="Note de bas de page Car"/>
    <w:basedOn w:val="Policepardfaut"/>
    <w:link w:val="Notedebasdepage"/>
    <w:uiPriority w:val="99"/>
    <w:rsid w:val="006A5D90"/>
    <w:rPr>
      <w:sz w:val="20"/>
    </w:rPr>
  </w:style>
  <w:style w:type="character" w:styleId="Marquenotebasdepage">
    <w:name w:val="footnote reference"/>
    <w:basedOn w:val="Policepardfaut"/>
    <w:uiPriority w:val="99"/>
    <w:unhideWhenUsed/>
    <w:rsid w:val="000C518C"/>
    <w:rPr>
      <w:vertAlign w:val="superscript"/>
    </w:rPr>
  </w:style>
  <w:style w:type="character" w:styleId="Lienhypertexte">
    <w:name w:val="Hyperlink"/>
    <w:basedOn w:val="Policepardfaut"/>
    <w:uiPriority w:val="99"/>
    <w:unhideWhenUsed/>
    <w:rsid w:val="006537A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www.philodroit.be"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1666</TotalTime>
  <Pages>16</Pages>
  <Words>5430</Words>
  <Characters>29868</Characters>
  <Application>Microsoft Macintosh Word</Application>
  <DocSecurity>0</DocSecurity>
  <Lines>248</Lines>
  <Paragraphs>70</Paragraphs>
  <ScaleCrop>false</ScaleCrop>
  <Company>USL</Company>
  <LinksUpToDate>false</LinksUpToDate>
  <CharactersWithSpaces>35228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 B</dc:creator>
  <cp:keywords/>
  <dc:description/>
  <cp:lastModifiedBy>A B</cp:lastModifiedBy>
  <cp:revision>610</cp:revision>
  <dcterms:created xsi:type="dcterms:W3CDTF">2014-04-07T14:36:00Z</dcterms:created>
  <dcterms:modified xsi:type="dcterms:W3CDTF">2015-01-16T15:31:00Z</dcterms:modified>
</cp:coreProperties>
</file>