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B399E" w14:textId="77777777" w:rsidR="00F60E38" w:rsidRDefault="00F60E38" w:rsidP="00F60E38">
      <w:pPr>
        <w:jc w:val="center"/>
        <w:rPr>
          <w:lang w:val="nl-BE"/>
        </w:rPr>
      </w:pPr>
    </w:p>
    <w:p w14:paraId="015E3832" w14:textId="77777777" w:rsidR="00F60E38" w:rsidRDefault="00F60E38" w:rsidP="00F60E38">
      <w:pPr>
        <w:jc w:val="center"/>
        <w:rPr>
          <w:rFonts w:eastAsia="Times New Roman" w:cs="Times New Roman"/>
          <w:b/>
          <w:color w:val="000000"/>
          <w:sz w:val="28"/>
          <w:szCs w:val="28"/>
          <w:lang w:eastAsia="fr-FR"/>
        </w:rPr>
      </w:pPr>
    </w:p>
    <w:p w14:paraId="169E88D2" w14:textId="77777777" w:rsidR="00F60E38" w:rsidRDefault="00F60E38" w:rsidP="00F60E38">
      <w:pPr>
        <w:jc w:val="center"/>
        <w:rPr>
          <w:rFonts w:eastAsia="Times New Roman" w:cs="Times New Roman"/>
          <w:b/>
          <w:color w:val="000000"/>
          <w:sz w:val="28"/>
          <w:szCs w:val="28"/>
          <w:lang w:eastAsia="fr-FR"/>
        </w:rPr>
      </w:pPr>
    </w:p>
    <w:p w14:paraId="5AF38BAC" w14:textId="77777777" w:rsidR="00F60E38" w:rsidRDefault="00F60E38" w:rsidP="00F60E38">
      <w:pPr>
        <w:jc w:val="center"/>
        <w:rPr>
          <w:rFonts w:eastAsia="Times New Roman" w:cs="Times New Roman"/>
          <w:b/>
          <w:color w:val="000000"/>
          <w:sz w:val="28"/>
          <w:szCs w:val="28"/>
          <w:lang w:eastAsia="fr-FR"/>
        </w:rPr>
      </w:pPr>
    </w:p>
    <w:p w14:paraId="265DF316" w14:textId="34530CA6" w:rsidR="003A6958" w:rsidRDefault="00F60E38" w:rsidP="00F60E38">
      <w:pPr>
        <w:jc w:val="center"/>
        <w:rPr>
          <w:rFonts w:eastAsia="Times New Roman" w:cs="Times New Roman"/>
          <w:b/>
          <w:color w:val="000000"/>
          <w:sz w:val="28"/>
          <w:szCs w:val="28"/>
          <w:lang w:eastAsia="fr-FR"/>
        </w:rPr>
      </w:pPr>
      <w:r w:rsidRPr="00B61C21">
        <w:rPr>
          <w:rFonts w:eastAsia="Times New Roman" w:cs="Times New Roman"/>
          <w:b/>
          <w:color w:val="000000"/>
          <w:sz w:val="28"/>
          <w:szCs w:val="28"/>
          <w:lang w:eastAsia="fr-FR"/>
        </w:rPr>
        <w:t>R</w:t>
      </w:r>
      <w:r w:rsidR="003A6958">
        <w:rPr>
          <w:rFonts w:eastAsia="Times New Roman" w:cs="Times New Roman"/>
          <w:b/>
          <w:color w:val="000000"/>
          <w:sz w:val="28"/>
          <w:szCs w:val="28"/>
          <w:lang w:eastAsia="fr-FR"/>
        </w:rPr>
        <w:t xml:space="preserve">éparer les </w:t>
      </w:r>
      <w:r w:rsidR="00111F0F">
        <w:rPr>
          <w:rFonts w:eastAsia="Times New Roman" w:cs="Times New Roman"/>
          <w:b/>
          <w:color w:val="000000"/>
          <w:sz w:val="28"/>
          <w:szCs w:val="28"/>
          <w:lang w:eastAsia="fr-FR"/>
        </w:rPr>
        <w:t>fractures</w:t>
      </w:r>
      <w:r w:rsidR="003A6958">
        <w:rPr>
          <w:rFonts w:eastAsia="Times New Roman" w:cs="Times New Roman"/>
          <w:b/>
          <w:color w:val="000000"/>
          <w:sz w:val="28"/>
          <w:szCs w:val="28"/>
          <w:lang w:eastAsia="fr-FR"/>
        </w:rPr>
        <w:t xml:space="preserve"> dans l’Église et le monde</w:t>
      </w:r>
      <w:r w:rsidRPr="00B61C21">
        <w:rPr>
          <w:rFonts w:eastAsia="Times New Roman" w:cs="Times New Roman"/>
          <w:b/>
          <w:color w:val="000000"/>
          <w:sz w:val="28"/>
          <w:szCs w:val="28"/>
          <w:lang w:eastAsia="fr-FR"/>
        </w:rPr>
        <w:t>.</w:t>
      </w:r>
    </w:p>
    <w:p w14:paraId="4C423158" w14:textId="59402424" w:rsidR="00F60E38" w:rsidRPr="00B61C21" w:rsidRDefault="00F60E38" w:rsidP="00F60E38">
      <w:pPr>
        <w:jc w:val="center"/>
        <w:rPr>
          <w:rFonts w:eastAsia="Times New Roman" w:cs="Times New Roman"/>
          <w:b/>
          <w:sz w:val="28"/>
          <w:szCs w:val="28"/>
          <w:lang w:eastAsia="fr-FR"/>
        </w:rPr>
      </w:pPr>
      <w:r w:rsidRPr="00B61C21">
        <w:rPr>
          <w:rFonts w:eastAsia="Times New Roman" w:cs="Times New Roman"/>
          <w:b/>
          <w:color w:val="000000"/>
          <w:sz w:val="28"/>
          <w:szCs w:val="28"/>
          <w:lang w:eastAsia="fr-FR"/>
        </w:rPr>
        <w:t>L’</w:t>
      </w:r>
      <w:r w:rsidR="003A6958">
        <w:rPr>
          <w:rFonts w:eastAsia="Times New Roman" w:cs="Times New Roman"/>
          <w:b/>
          <w:color w:val="000000"/>
          <w:sz w:val="28"/>
          <w:szCs w:val="28"/>
          <w:lang w:eastAsia="fr-FR"/>
        </w:rPr>
        <w:t>œcuménisme et l’engagement pour la justice</w:t>
      </w:r>
      <w:r w:rsidRPr="00B61C21">
        <w:rPr>
          <w:rFonts w:eastAsia="Times New Roman" w:cs="Times New Roman"/>
          <w:b/>
          <w:color w:val="000000"/>
          <w:sz w:val="28"/>
          <w:szCs w:val="28"/>
          <w:lang w:eastAsia="fr-FR"/>
        </w:rPr>
        <w:t xml:space="preserve"> com</w:t>
      </w:r>
      <w:r w:rsidR="003A6958">
        <w:rPr>
          <w:rFonts w:eastAsia="Times New Roman" w:cs="Times New Roman"/>
          <w:b/>
          <w:color w:val="000000"/>
          <w:sz w:val="28"/>
          <w:szCs w:val="28"/>
          <w:lang w:eastAsia="fr-FR"/>
        </w:rPr>
        <w:t>m</w:t>
      </w:r>
      <w:r w:rsidRPr="00B61C21">
        <w:rPr>
          <w:rFonts w:eastAsia="Times New Roman" w:cs="Times New Roman"/>
          <w:b/>
          <w:color w:val="000000"/>
          <w:sz w:val="28"/>
          <w:szCs w:val="28"/>
          <w:lang w:eastAsia="fr-FR"/>
        </w:rPr>
        <w:t xml:space="preserve">e </w:t>
      </w:r>
      <w:r w:rsidR="003A6958">
        <w:rPr>
          <w:rFonts w:eastAsia="Times New Roman" w:cs="Times New Roman"/>
          <w:b/>
          <w:color w:val="000000"/>
          <w:sz w:val="28"/>
          <w:szCs w:val="28"/>
          <w:lang w:eastAsia="fr-FR"/>
        </w:rPr>
        <w:t>réparation</w:t>
      </w:r>
    </w:p>
    <w:p w14:paraId="226BD5B0" w14:textId="77777777" w:rsidR="00F60E38" w:rsidRPr="003A6958" w:rsidRDefault="00F60E38" w:rsidP="00F60E38">
      <w:pPr>
        <w:spacing w:line="360" w:lineRule="auto"/>
        <w:jc w:val="center"/>
        <w:rPr>
          <w:lang w:val="fr-BE"/>
        </w:rPr>
      </w:pPr>
    </w:p>
    <w:p w14:paraId="1DF176D0" w14:textId="77777777" w:rsidR="00F60E38" w:rsidRDefault="00F60E38" w:rsidP="00F60E38">
      <w:pPr>
        <w:spacing w:line="360" w:lineRule="auto"/>
        <w:ind w:firstLine="284"/>
        <w:jc w:val="both"/>
      </w:pPr>
    </w:p>
    <w:p w14:paraId="513E729A" w14:textId="07259CD2" w:rsidR="00F60E38" w:rsidRPr="009E3548" w:rsidRDefault="00F60E38" w:rsidP="00F60E38">
      <w:pPr>
        <w:spacing w:line="360" w:lineRule="auto"/>
        <w:ind w:firstLine="284"/>
        <w:jc w:val="both"/>
      </w:pPr>
      <w:r w:rsidRPr="009E3548">
        <w:t xml:space="preserve">Dans la spiritualité </w:t>
      </w:r>
      <w:proofErr w:type="spellStart"/>
      <w:r w:rsidRPr="009E3548">
        <w:t>victimale</w:t>
      </w:r>
      <w:proofErr w:type="spellEnd"/>
      <w:r w:rsidRPr="009E3548">
        <w:t xml:space="preserve"> française, la réparation a pour objet Dieu ou le Christ lui-même</w:t>
      </w:r>
      <w:r>
        <w:t> :</w:t>
      </w:r>
      <w:r w:rsidRPr="009E3548">
        <w:t xml:space="preserve"> il s’agit de réparer ou de restaurer l’honneur (</w:t>
      </w:r>
      <w:r w:rsidR="00351889">
        <w:t xml:space="preserve">voir </w:t>
      </w:r>
      <w:r w:rsidRPr="009E3548">
        <w:t>Anselme de Cantorbéry</w:t>
      </w:r>
      <w:r w:rsidR="00700F86">
        <w:rPr>
          <w:rStyle w:val="Appelnotedebasdep"/>
        </w:rPr>
        <w:footnoteReference w:id="1"/>
      </w:r>
      <w:r w:rsidRPr="009E3548">
        <w:t xml:space="preserve">) ou mieux l’amour dont </w:t>
      </w:r>
      <w:r w:rsidR="00B66A47">
        <w:t>le Père ou le Fils</w:t>
      </w:r>
      <w:r w:rsidRPr="009E3548">
        <w:t xml:space="preserve"> ont été (injustement) privés par le péché des humains.</w:t>
      </w:r>
    </w:p>
    <w:p w14:paraId="63BF5828" w14:textId="386FAFFC" w:rsidR="00F60E38" w:rsidRPr="009E3548" w:rsidRDefault="00F60E38" w:rsidP="00F60E38">
      <w:pPr>
        <w:spacing w:line="360" w:lineRule="auto"/>
        <w:ind w:firstLine="284"/>
        <w:jc w:val="both"/>
      </w:pPr>
      <w:r w:rsidRPr="009E3548">
        <w:t>Vouloir réparer ce manque d’amour</w:t>
      </w:r>
      <w:r w:rsidR="00B66A47">
        <w:t xml:space="preserve"> à leur égard</w:t>
      </w:r>
      <w:r w:rsidRPr="009E3548">
        <w:t xml:space="preserve"> est généreux, mais n’est pas à la portée de l’être humain. Seul le Christ peut renouveler la nature humaine ou l’humanité tout entière et la réconcilier avec Dieu son Père, la réconcilier, c’est-à-dire la faire bénéficier du pardon ou de la miséricorde de Dieu et la transfigurer (ou la diviniser, disent les Orientaux) pour une vie nouvelle de ressuscités (</w:t>
      </w:r>
      <w:r w:rsidRPr="009E3548">
        <w:rPr>
          <w:i/>
        </w:rPr>
        <w:t xml:space="preserve">in </w:t>
      </w:r>
      <w:proofErr w:type="spellStart"/>
      <w:r w:rsidRPr="009E3548">
        <w:rPr>
          <w:i/>
        </w:rPr>
        <w:t>spe</w:t>
      </w:r>
      <w:proofErr w:type="spellEnd"/>
      <w:r w:rsidRPr="009E3548">
        <w:t>) ou de fils et filles adoptifs de Dieu dans le Christ Jésus.</w:t>
      </w:r>
    </w:p>
    <w:p w14:paraId="3EA5EB0C" w14:textId="4948C88B" w:rsidR="00F60E38" w:rsidRDefault="00F60E38" w:rsidP="00F60E38">
      <w:pPr>
        <w:spacing w:line="360" w:lineRule="auto"/>
        <w:ind w:firstLine="284"/>
        <w:jc w:val="both"/>
      </w:pPr>
      <w:r w:rsidRPr="009E3548">
        <w:t>Il faut donc éviter toute compréhension pélagienne de la réparation, comme si elle était à la porté</w:t>
      </w:r>
      <w:r>
        <w:t>e</w:t>
      </w:r>
      <w:r w:rsidRPr="009E3548">
        <w:t xml:space="preserve"> et dans la capacité de l’être humain. La réparation ne peut qu’être </w:t>
      </w:r>
      <w:r w:rsidRPr="00C16312">
        <w:rPr>
          <w:i/>
        </w:rPr>
        <w:t>reçue</w:t>
      </w:r>
      <w:r w:rsidRPr="009E3548">
        <w:t xml:space="preserve"> comme un don premier de Dieu en Christ, comme une participation à l’œuvre gracieuse de rédemption et de salut du Christ, accomplie une fois pour toutes dans le mystère pascal, mais dont les effets ne cessent de se déployer dans l’Esprit Saint jusqu’à la fin des temps. La réparation prend ici un autre sens, plus authentiquement christique</w:t>
      </w:r>
      <w:r>
        <w:t> :</w:t>
      </w:r>
      <w:r w:rsidRPr="009E3548">
        <w:t xml:space="preserve"> son objet est l’humanité tout entière (blessée, en mal de rédemption et de salut), et plus largement encore le cosmos, la création tout entière qui </w:t>
      </w:r>
      <w:r>
        <w:t>« </w:t>
      </w:r>
      <w:r w:rsidRPr="009E3548">
        <w:t xml:space="preserve">gémit maintenant encore dans les douleurs de </w:t>
      </w:r>
      <w:r>
        <w:t>l’enfantement » (</w:t>
      </w:r>
      <w:proofErr w:type="spellStart"/>
      <w:r>
        <w:t>Rm</w:t>
      </w:r>
      <w:proofErr w:type="spellEnd"/>
      <w:r>
        <w:t xml:space="preserve"> 8, 22/TOB)</w:t>
      </w:r>
      <w:r w:rsidR="00574723">
        <w:rPr>
          <w:rStyle w:val="Appelnotedebasdep"/>
        </w:rPr>
        <w:footnoteReference w:id="2"/>
      </w:r>
      <w:r>
        <w:t>.</w:t>
      </w:r>
    </w:p>
    <w:p w14:paraId="7E36F024" w14:textId="7D2B584C" w:rsidR="00F60E38" w:rsidRDefault="00F60E38" w:rsidP="00F60E38">
      <w:pPr>
        <w:spacing w:line="360" w:lineRule="auto"/>
        <w:ind w:firstLine="284"/>
        <w:jc w:val="both"/>
      </w:pPr>
      <w:r>
        <w:t xml:space="preserve">Toute œuvre qui travaille à l’unité (réconciliation) de l’humanité (et, au-delà, du cosmos) est une œuvre réparatrice. C’est éminemment le cas de l’œcuménisme, qui travaille plus </w:t>
      </w:r>
      <w:r>
        <w:lastRenderedPageBreak/>
        <w:t>spécifiquement à la réconciliation entre les chrétiens séparés ou divisés</w:t>
      </w:r>
      <w:r w:rsidR="00A9556F">
        <w:rPr>
          <w:rStyle w:val="Appelnotedebasdep"/>
        </w:rPr>
        <w:footnoteReference w:id="3"/>
      </w:r>
      <w:r w:rsidR="00CB2CF5">
        <w:t>, et du combat pour la justice, qui travaille à réparer les fractures sociales entre humains et entre sociétés.</w:t>
      </w:r>
    </w:p>
    <w:p w14:paraId="1CA78B8B" w14:textId="43C0F91D" w:rsidR="00F60E38" w:rsidRDefault="00F60E38" w:rsidP="00F60E38">
      <w:pPr>
        <w:spacing w:line="360" w:lineRule="auto"/>
        <w:ind w:firstLine="284"/>
        <w:jc w:val="both"/>
      </w:pPr>
      <w:r>
        <w:t xml:space="preserve">Dans un premier temps, je </w:t>
      </w:r>
      <w:r w:rsidR="00A03B5F">
        <w:t xml:space="preserve">me </w:t>
      </w:r>
      <w:r>
        <w:t>propose de rappeler les grands traits de la réparation telle que la relit</w:t>
      </w:r>
      <w:r w:rsidR="00294103">
        <w:t>, à titre d’exemple,</w:t>
      </w:r>
      <w:r>
        <w:t xml:space="preserve"> la Règle de Vie de</w:t>
      </w:r>
      <w:r w:rsidR="00294103">
        <w:t xml:space="preserve"> la Congrégation de</w:t>
      </w:r>
      <w:r>
        <w:t xml:space="preserve">s Prêtres du Sacré-Cœur </w:t>
      </w:r>
      <w:r w:rsidR="00294103">
        <w:t>de Jésus ou Dehoniens</w:t>
      </w:r>
      <w:r w:rsidR="004068DE">
        <w:rPr>
          <w:rStyle w:val="Appelnotedebasdep"/>
        </w:rPr>
        <w:footnoteReference w:id="4"/>
      </w:r>
      <w:r w:rsidR="00294103">
        <w:t xml:space="preserve"> </w:t>
      </w:r>
      <w:r>
        <w:t>(</w:t>
      </w:r>
      <w:r w:rsidR="00073D45">
        <w:t xml:space="preserve">RV, </w:t>
      </w:r>
      <w:r w:rsidR="00137BC4">
        <w:t xml:space="preserve">nouvelle </w:t>
      </w:r>
      <w:r w:rsidR="00073D45">
        <w:t xml:space="preserve">édition </w:t>
      </w:r>
      <w:r w:rsidR="00137BC4">
        <w:t>typique</w:t>
      </w:r>
      <w:r w:rsidR="00294103">
        <w:t xml:space="preserve"> de</w:t>
      </w:r>
      <w:r w:rsidR="00137BC4">
        <w:t xml:space="preserve"> </w:t>
      </w:r>
      <w:r>
        <w:t>2011</w:t>
      </w:r>
      <w:r w:rsidR="007F7F0A">
        <w:rPr>
          <w:rStyle w:val="Appelnotedebasdep"/>
        </w:rPr>
        <w:footnoteReference w:id="5"/>
      </w:r>
      <w:r>
        <w:t xml:space="preserve">) ; dans un second temps, je vérifierai si </w:t>
      </w:r>
      <w:r w:rsidR="00073D45">
        <w:t xml:space="preserve">respectivement </w:t>
      </w:r>
      <w:r>
        <w:t xml:space="preserve">l’œcuménisme </w:t>
      </w:r>
      <w:r w:rsidR="00073D45">
        <w:t xml:space="preserve">et l’engagement social </w:t>
      </w:r>
      <w:r>
        <w:t>peu</w:t>
      </w:r>
      <w:r w:rsidR="00073D45">
        <w:t>ven</w:t>
      </w:r>
      <w:r>
        <w:t xml:space="preserve">t être compris comme </w:t>
      </w:r>
      <w:r w:rsidR="00073D45">
        <w:t>des</w:t>
      </w:r>
      <w:r>
        <w:t xml:space="preserve"> modalité</w:t>
      </w:r>
      <w:r w:rsidR="00073D45">
        <w:t>s</w:t>
      </w:r>
      <w:r>
        <w:t xml:space="preserve"> de la réparation telle qu’elle a été repensée à la suite du concile Vatican II.</w:t>
      </w:r>
    </w:p>
    <w:p w14:paraId="62A10DB7" w14:textId="77777777" w:rsidR="00F60E38" w:rsidRDefault="00F60E38" w:rsidP="00F60E38">
      <w:pPr>
        <w:spacing w:line="360" w:lineRule="auto"/>
        <w:ind w:firstLine="284"/>
        <w:jc w:val="both"/>
      </w:pPr>
    </w:p>
    <w:p w14:paraId="5798047D" w14:textId="77777777" w:rsidR="00F60E38" w:rsidRPr="00D07723" w:rsidRDefault="00F60E38" w:rsidP="00F60E38">
      <w:pPr>
        <w:pStyle w:val="Paragraphedeliste"/>
        <w:numPr>
          <w:ilvl w:val="0"/>
          <w:numId w:val="1"/>
        </w:numPr>
        <w:spacing w:line="360" w:lineRule="auto"/>
        <w:jc w:val="center"/>
        <w:rPr>
          <w:smallCaps/>
        </w:rPr>
      </w:pPr>
      <w:r w:rsidRPr="00D07723">
        <w:rPr>
          <w:smallCaps/>
        </w:rPr>
        <w:t>La réparation selon la Règle de Vie dehonienne</w:t>
      </w:r>
    </w:p>
    <w:p w14:paraId="7DF11589" w14:textId="77777777" w:rsidR="00F60E38" w:rsidRDefault="00F60E38" w:rsidP="00F60E38">
      <w:pPr>
        <w:spacing w:line="360" w:lineRule="auto"/>
        <w:jc w:val="center"/>
      </w:pPr>
    </w:p>
    <w:p w14:paraId="24D418B7" w14:textId="7909E1C3" w:rsidR="00F60E38" w:rsidRDefault="00F60E38" w:rsidP="00F60E38">
      <w:pPr>
        <w:spacing w:line="360" w:lineRule="auto"/>
        <w:ind w:firstLine="284"/>
        <w:jc w:val="both"/>
      </w:pPr>
      <w:r>
        <w:t xml:space="preserve">« (Le Père </w:t>
      </w:r>
      <w:proofErr w:type="spellStart"/>
      <w:r>
        <w:t>Dehon</w:t>
      </w:r>
      <w:proofErr w:type="spellEnd"/>
      <w:r>
        <w:t xml:space="preserve">) voit la cause la plus profonde de </w:t>
      </w:r>
      <w:r w:rsidR="00073D45">
        <w:t>(la)</w:t>
      </w:r>
      <w:r>
        <w:t xml:space="preserve"> misère humaine dans le refus de l’amour du Christ. Saisi par cet amour méconnu, il veut y répondre par une union intime au Cœur du Christ, et par l’instauration de son Règne dans les âmes et dans la société » (RV 4). La réparation est ici interprétée comme une « réponse » ou une « réaction » à l’amour méconnu du Christ, non par une action exclusivement humaine, mais en union intime au Cœur du Christ, source de tout amour réconciliateur et réparateur, et par l’instauration de son Règne, auquel nous pouvons collaborer, mais qui est d’abord son œuvre à lui.</w:t>
      </w:r>
    </w:p>
    <w:p w14:paraId="77C4E657" w14:textId="439CEE0F" w:rsidR="00F60E38" w:rsidRDefault="00F60E38" w:rsidP="00F60E38">
      <w:pPr>
        <w:spacing w:line="360" w:lineRule="auto"/>
        <w:ind w:firstLine="284"/>
        <w:jc w:val="both"/>
      </w:pPr>
      <w:r>
        <w:t xml:space="preserve">« Cette adhésion au Christ, venant de l’intimité du cœur, doit se réaliser en toute sa vie, surtout dans son apostolat, caractérisé par une extrême attention aux hommes, en particulier aux plus démunis, et par le souci de remédier activement aux insuffisances pastorales de l’Église de son temps » (RV 5). La réparation prend ici la forme d’une « remédiation » aux insuffisances pastorales de l’Église, comme une action apostolique pleinement humaine (une extrême attention aux plus démunis) et une action pleinement christique (l’adhésion au Christ est la source de cette attention apostolique). La réparation a donc ici en quelque sorte un </w:t>
      </w:r>
      <w:r>
        <w:lastRenderedPageBreak/>
        <w:t>statut chalcédonien : elle est pleinement humaine et pleinement divine, cette seconde dimension étant la source de la première.</w:t>
      </w:r>
    </w:p>
    <w:p w14:paraId="57C58AD8" w14:textId="77777777" w:rsidR="00F60E38" w:rsidRDefault="00F60E38" w:rsidP="00F60E38">
      <w:pPr>
        <w:spacing w:line="360" w:lineRule="auto"/>
        <w:ind w:firstLine="284"/>
        <w:jc w:val="both"/>
      </w:pPr>
      <w:r>
        <w:t xml:space="preserve">« En fondant la Congrégation des </w:t>
      </w:r>
      <w:r w:rsidRPr="00526194">
        <w:rPr>
          <w:i/>
        </w:rPr>
        <w:t>Oblats</w:t>
      </w:r>
      <w:r>
        <w:t xml:space="preserve">, Prêtres du Sacré-Cœur de Jésus, le Père </w:t>
      </w:r>
      <w:proofErr w:type="spellStart"/>
      <w:r>
        <w:t>Dehon</w:t>
      </w:r>
      <w:proofErr w:type="spellEnd"/>
      <w:r>
        <w:t xml:space="preserve"> a voulu que ses membres unissent d’une manière explicite leur vie religieuse et apostolique à l’oblation réparatrice du Christ au Père pour les hommes » (RV 6). Comme le précise d’ailleurs la suite de ce n° 6, l’oblation (</w:t>
      </w:r>
      <w:r>
        <w:rPr>
          <w:i/>
        </w:rPr>
        <w:t>e</w:t>
      </w:r>
      <w:r w:rsidRPr="00C22CBC">
        <w:rPr>
          <w:i/>
        </w:rPr>
        <w:t xml:space="preserve">cce </w:t>
      </w:r>
      <w:proofErr w:type="spellStart"/>
      <w:r w:rsidRPr="00C22CBC">
        <w:rPr>
          <w:i/>
        </w:rPr>
        <w:t>venio</w:t>
      </w:r>
      <w:proofErr w:type="spellEnd"/>
      <w:r>
        <w:t xml:space="preserve">, </w:t>
      </w:r>
      <w:r w:rsidRPr="00C22CBC">
        <w:rPr>
          <w:i/>
        </w:rPr>
        <w:t xml:space="preserve">ecce </w:t>
      </w:r>
      <w:proofErr w:type="spellStart"/>
      <w:r w:rsidRPr="00C22CBC">
        <w:rPr>
          <w:i/>
        </w:rPr>
        <w:t>ancilla</w:t>
      </w:r>
      <w:proofErr w:type="spellEnd"/>
      <w:r>
        <w:t>) est vraiment l’intention (spirituelle) spécifique et originelle du Fondateur, une oblation en union à l’oblation du Christ au Père et pour les hommes, oblation du Christ qualifiée de réparatrice ou réconciliatrice entre le Père et les hommes : seul le Christ est vraiment réparateur et réconciliateur. Nous, religieux dehoniens, ne sommes que « des serviteurs de la réconciliation des hommes et du monde dans le Christ », appelés à rendre « </w:t>
      </w:r>
      <w:r w:rsidRPr="00553950">
        <w:rPr>
          <w:i/>
        </w:rPr>
        <w:t>le culte d’amour et de réparation que son Cœur désire</w:t>
      </w:r>
      <w:r>
        <w:t> » (RV 7), sachant que lui seul peut en être la source.</w:t>
      </w:r>
    </w:p>
    <w:p w14:paraId="506C6865" w14:textId="77777777" w:rsidR="00F60E38" w:rsidRDefault="00F60E38" w:rsidP="00F60E38">
      <w:pPr>
        <w:spacing w:line="360" w:lineRule="auto"/>
        <w:ind w:firstLine="284"/>
        <w:jc w:val="both"/>
      </w:pPr>
      <w:r>
        <w:t xml:space="preserve">Vivre la réparation selon l’expérience de foi du Père </w:t>
      </w:r>
      <w:proofErr w:type="spellStart"/>
      <w:r>
        <w:t>Dehon</w:t>
      </w:r>
      <w:proofErr w:type="spellEnd"/>
      <w:r>
        <w:t xml:space="preserve"> au service de l’Église conduit, en fidélité au « </w:t>
      </w:r>
      <w:r w:rsidRPr="00D21915">
        <w:rPr>
          <w:i/>
        </w:rPr>
        <w:t>Sint unum</w:t>
      </w:r>
      <w:r>
        <w:t> » du Christ, à vivre en une communauté fraternelle et à porter « fraternellement les fardeaux les uns des autres » (RV 8).</w:t>
      </w:r>
    </w:p>
    <w:p w14:paraId="69EDC20E" w14:textId="06433217" w:rsidR="00F60E38" w:rsidRDefault="00F60E38" w:rsidP="00F60E38">
      <w:pPr>
        <w:spacing w:line="360" w:lineRule="auto"/>
        <w:ind w:firstLine="284"/>
        <w:jc w:val="both"/>
      </w:pPr>
      <w:r>
        <w:t xml:space="preserve">Réconciliation, </w:t>
      </w:r>
      <w:r w:rsidRPr="00D21915">
        <w:rPr>
          <w:i/>
        </w:rPr>
        <w:t>Sint unum</w:t>
      </w:r>
      <w:r w:rsidR="00741CE9">
        <w:rPr>
          <w:iCs/>
        </w:rPr>
        <w:t>, solidarité</w:t>
      </w:r>
      <w:r>
        <w:t xml:space="preserve"> en Christ</w:t>
      </w:r>
      <w:r>
        <w:rPr>
          <w:i/>
        </w:rPr>
        <w:t> </w:t>
      </w:r>
      <w:r>
        <w:t xml:space="preserve">: on voit comment la réinterprétation postconciliaire de la réparation inscrit, en creux du moins, l’œcuménisme </w:t>
      </w:r>
      <w:r w:rsidR="00741CE9">
        <w:t xml:space="preserve">comme l’engagement pour la justice </w:t>
      </w:r>
      <w:r>
        <w:t>au cœur de la vocation dehonienne. Plus largement, « ainsi comprenons-nous la réparation : comme l’accueil de l’Esprit (cf. 1 Th 4,8), comme une réponse à l’amour du Christ pour nous</w:t>
      </w:r>
      <w:r w:rsidR="00111F0F">
        <w:t xml:space="preserve"> </w:t>
      </w:r>
      <w:r w:rsidR="002B4EF2">
        <w:t>[</w:t>
      </w:r>
      <w:proofErr w:type="spellStart"/>
      <w:r w:rsidR="00111F0F" w:rsidRPr="00111F0F">
        <w:rPr>
          <w:i/>
          <w:iCs/>
        </w:rPr>
        <w:t>redamatio</w:t>
      </w:r>
      <w:proofErr w:type="spellEnd"/>
      <w:r w:rsidR="002B4EF2">
        <w:t>]</w:t>
      </w:r>
      <w:r>
        <w:t>, une communion à son amour pour le Père et une coopération à son œuvre de rédemption au sein du monde » (RV 23), ce qui peut être très onéreux (RV 24-25).</w:t>
      </w:r>
    </w:p>
    <w:p w14:paraId="613A8B58" w14:textId="77777777" w:rsidR="00F60E38" w:rsidRDefault="00F60E38" w:rsidP="00F60E38">
      <w:pPr>
        <w:spacing w:line="360" w:lineRule="auto"/>
        <w:ind w:firstLine="284"/>
        <w:jc w:val="both"/>
      </w:pPr>
    </w:p>
    <w:p w14:paraId="1E009D44" w14:textId="77777777" w:rsidR="00F60E38" w:rsidRPr="00762BD1" w:rsidRDefault="00F60E38" w:rsidP="00F60E38">
      <w:pPr>
        <w:pStyle w:val="Paragraphedeliste"/>
        <w:numPr>
          <w:ilvl w:val="0"/>
          <w:numId w:val="1"/>
        </w:numPr>
        <w:spacing w:line="360" w:lineRule="auto"/>
        <w:jc w:val="center"/>
        <w:rPr>
          <w:smallCaps/>
        </w:rPr>
      </w:pPr>
      <w:r w:rsidRPr="00762BD1">
        <w:rPr>
          <w:smallCaps/>
        </w:rPr>
        <w:t>L’œcuménisme comme réparation</w:t>
      </w:r>
    </w:p>
    <w:p w14:paraId="189DFB91" w14:textId="77777777" w:rsidR="00F60E38" w:rsidRDefault="00F60E38" w:rsidP="00F60E38">
      <w:pPr>
        <w:spacing w:line="360" w:lineRule="auto"/>
        <w:ind w:firstLine="284"/>
        <w:jc w:val="both"/>
      </w:pPr>
    </w:p>
    <w:p w14:paraId="7FC8B68C" w14:textId="3A984E0F" w:rsidR="00F60E38" w:rsidRDefault="00F60E38" w:rsidP="00F60E38">
      <w:pPr>
        <w:spacing w:line="360" w:lineRule="auto"/>
        <w:ind w:firstLine="284"/>
        <w:jc w:val="both"/>
      </w:pPr>
      <w:r>
        <w:t>Oui, fondamentalement et authentiquement, l’œcuménisme est par excellence accueil de l’Esprit, réponse à l’amour du Christ pour nous, communion à son amour pour le Père et coopération à son œuvre de rédemption au sein de l’humanité et du cosmos, plus spécifiquement restauration (réparation) de l’unité entre tous les chrétiens séparés : « </w:t>
      </w:r>
      <w:proofErr w:type="spellStart"/>
      <w:r>
        <w:t>Unitatis</w:t>
      </w:r>
      <w:proofErr w:type="spellEnd"/>
      <w:r>
        <w:t xml:space="preserve"> </w:t>
      </w:r>
      <w:proofErr w:type="spellStart"/>
      <w:r>
        <w:t>redintegratio</w:t>
      </w:r>
      <w:proofErr w:type="spellEnd"/>
      <w:r>
        <w:t xml:space="preserve"> inter </w:t>
      </w:r>
      <w:proofErr w:type="spellStart"/>
      <w:r>
        <w:t>universos</w:t>
      </w:r>
      <w:proofErr w:type="spellEnd"/>
      <w:r>
        <w:t xml:space="preserve"> </w:t>
      </w:r>
      <w:proofErr w:type="spellStart"/>
      <w:r>
        <w:t>Christianos</w:t>
      </w:r>
      <w:proofErr w:type="spellEnd"/>
      <w:r>
        <w:t xml:space="preserve">… » (Vatican II, Décret sur l’œcuménisme </w:t>
      </w:r>
      <w:proofErr w:type="spellStart"/>
      <w:r w:rsidRPr="008D18FE">
        <w:rPr>
          <w:i/>
        </w:rPr>
        <w:lastRenderedPageBreak/>
        <w:t>Unitatis</w:t>
      </w:r>
      <w:proofErr w:type="spellEnd"/>
      <w:r w:rsidRPr="008D18FE">
        <w:rPr>
          <w:i/>
        </w:rPr>
        <w:t xml:space="preserve"> </w:t>
      </w:r>
      <w:proofErr w:type="spellStart"/>
      <w:r w:rsidRPr="008D18FE">
        <w:rPr>
          <w:i/>
        </w:rPr>
        <w:t>redintegratio</w:t>
      </w:r>
      <w:proofErr w:type="spellEnd"/>
      <w:r w:rsidR="00762BD1">
        <w:rPr>
          <w:iCs/>
        </w:rPr>
        <w:t xml:space="preserve"> [UR]</w:t>
      </w:r>
      <w:r>
        <w:t>, 1</w:t>
      </w:r>
      <w:r w:rsidR="00981803">
        <w:t>)</w:t>
      </w:r>
      <w:r w:rsidR="00AF7DD9">
        <w:rPr>
          <w:rStyle w:val="Appelnotedebasdep"/>
        </w:rPr>
        <w:footnoteReference w:id="6"/>
      </w:r>
      <w:r>
        <w:t>. En effet, la division des chrétiens s’oppose ouvertement à la volonté du Christ (</w:t>
      </w:r>
      <w:r w:rsidRPr="00C03B0E">
        <w:rPr>
          <w:i/>
        </w:rPr>
        <w:t>Sint unum</w:t>
      </w:r>
      <w:r>
        <w:t>), elle est pour le monde un objet de scandale et empêche la prédication de l’Évangile d’être crédible et pertinente aux yeux du monde (UR 1).</w:t>
      </w:r>
    </w:p>
    <w:p w14:paraId="521026FF" w14:textId="6F554A0B" w:rsidR="00F60E38" w:rsidRDefault="00F60E38" w:rsidP="00F60E38">
      <w:pPr>
        <w:spacing w:line="360" w:lineRule="auto"/>
        <w:ind w:firstLine="284"/>
        <w:jc w:val="both"/>
      </w:pPr>
      <w:r>
        <w:t>L’Église catholique, à Vatican II, reconnaît, réparant ainsi une injustice et une erreur, que le mouvement œcuménique, apparu en dehors d’elle et sans elle, est né sous l’action de l’Esprit (UR 1). Non seulement l’Église catholique reconnaît que les torts sont partagés dans les divisions entre chrétiens, mais valorise aussi tout ce qu’il y a d’authentiquement chrétien dans les autres Églises (UR 3), commençant ainsi, dès le Concile, à réparer les liens avec elles, rapprochement qui s’est grandement approfondi depuis lors</w:t>
      </w:r>
      <w:r w:rsidR="00323A77">
        <w:rPr>
          <w:rStyle w:val="Appelnotedebasdep"/>
        </w:rPr>
        <w:footnoteReference w:id="7"/>
      </w:r>
      <w:r>
        <w:t>.</w:t>
      </w:r>
    </w:p>
    <w:p w14:paraId="50B4F481" w14:textId="77777777" w:rsidR="00F60E38" w:rsidRDefault="00F60E38" w:rsidP="00F60E38">
      <w:pPr>
        <w:spacing w:line="360" w:lineRule="auto"/>
        <w:ind w:firstLine="284"/>
        <w:jc w:val="both"/>
      </w:pPr>
      <w:r>
        <w:t>La restauration ou réparation de l’Unité chrétienne en quoi consiste la tâche œcuménique concerne toutes les dimensions fondamentales de la vie des chrétiens et des Églises : la dimension spirituelle, la dimension intellectuelle ou doctrinale, la dimension pratique et éthique.</w:t>
      </w:r>
    </w:p>
    <w:p w14:paraId="4914D9F8" w14:textId="0F9D2A05" w:rsidR="00F60E38" w:rsidRDefault="00F60E38" w:rsidP="00F60E38">
      <w:pPr>
        <w:spacing w:line="360" w:lineRule="auto"/>
        <w:ind w:firstLine="284"/>
        <w:jc w:val="both"/>
      </w:pPr>
      <w:r w:rsidRPr="00E7217E">
        <w:t xml:space="preserve">L’œcuménisme </w:t>
      </w:r>
      <w:r w:rsidRPr="00E7217E">
        <w:rPr>
          <w:i/>
        </w:rPr>
        <w:t>spirituel</w:t>
      </w:r>
      <w:r w:rsidRPr="00E7217E">
        <w:t xml:space="preserve"> </w:t>
      </w:r>
      <w:r>
        <w:t>a été lancé par l’abbé Paul Couturier (Lyon). C’est l’œcuménisme de la prière pour l’Unité : il s’agit, chrétiens (séparés) de différentes traditions, de se tourner ensemble vers le Christ, à l’écoute de l’Esprit Saint, persuadés que c’est le Christ seul qui peut nous donner l’unité visible de toutes les Églises, quand il veut et par les moyens qu’il veut. Cette prière commune pour l’Unité est aussi une prière pour la conversion ou rénovation spirituelle de chaque chrétien et de chaque Église (UR 6-8). « Cette conversion du cœur et cette sainteté de vie, unies aux prières publiques et privées pour l’unité des chrétiens, doivent être regardées comme l’âme de tout l’œcuménisme et peuvent à bon droit être appelées œcuménisme spirituel » (</w:t>
      </w:r>
      <w:r w:rsidR="004B577C">
        <w:t>UR 8</w:t>
      </w:r>
      <w:r>
        <w:t>)</w:t>
      </w:r>
      <w:r w:rsidR="004B577C">
        <w:rPr>
          <w:rStyle w:val="Appelnotedebasdep"/>
        </w:rPr>
        <w:footnoteReference w:id="8"/>
      </w:r>
      <w:r>
        <w:t xml:space="preserve">. Si cette écoute de l’Esprit et cette prière commune adressée au Christ, unique Sauveur, sont </w:t>
      </w:r>
      <w:r w:rsidR="003038EB">
        <w:t>la source, « </w:t>
      </w:r>
      <w:r>
        <w:t>l’âme</w:t>
      </w:r>
      <w:r w:rsidR="003038EB">
        <w:t> »</w:t>
      </w:r>
      <w:r>
        <w:t xml:space="preserve"> permanente de la restauration ou réparation en cours de l’unité des chrétiens et des Églises, </w:t>
      </w:r>
      <w:r w:rsidR="003038EB">
        <w:t>en suscitant d’abord la conversion</w:t>
      </w:r>
      <w:r w:rsidR="00892D60">
        <w:t xml:space="preserve"> (réparatrice)</w:t>
      </w:r>
      <w:r w:rsidR="003038EB">
        <w:t xml:space="preserve"> des individus et des communautés, </w:t>
      </w:r>
      <w:r>
        <w:t>cela est vrai aussi pour toute œuvre chrétienne de réparation. On peut joindre à cet œcuménisme spirituel un œcuménisme de type existentiel, où des chrétiens d’Églises séparées apprennent à se rencontrer, à se connaître de manière juste et par le fait même à laisser tomber tout</w:t>
      </w:r>
      <w:r w:rsidR="008F04DC">
        <w:t>e</w:t>
      </w:r>
      <w:r>
        <w:t xml:space="preserve"> une série de préjugés. </w:t>
      </w:r>
      <w:r>
        <w:lastRenderedPageBreak/>
        <w:t>Cet œcuménisme de la rencontre interpersonnelle honnête fait souvent beaucoup pour la réparation de l’unité. Et c’est certainement vrai aussi dans d’autres domaines de réparation.</w:t>
      </w:r>
    </w:p>
    <w:p w14:paraId="3FFAE885" w14:textId="1E5814E7" w:rsidR="00F60E38" w:rsidRDefault="00F60E38" w:rsidP="00F60E38">
      <w:pPr>
        <w:spacing w:line="360" w:lineRule="auto"/>
        <w:ind w:firstLine="284"/>
        <w:jc w:val="both"/>
      </w:pPr>
      <w:r>
        <w:t xml:space="preserve">L’œcuménisme </w:t>
      </w:r>
      <w:r w:rsidRPr="00E7136C">
        <w:rPr>
          <w:i/>
        </w:rPr>
        <w:t xml:space="preserve">doctrinal </w:t>
      </w:r>
      <w:r>
        <w:t xml:space="preserve">(ou théologique) répond à la dimension </w:t>
      </w:r>
      <w:r w:rsidRPr="00E7136C">
        <w:rPr>
          <w:i/>
        </w:rPr>
        <w:t>intellectuelle</w:t>
      </w:r>
      <w:r>
        <w:t xml:space="preserve"> de l’être humain. Il fut brillamment représenté dans l’aire francophone par le dominicain </w:t>
      </w:r>
      <w:r w:rsidR="003D65D6">
        <w:t xml:space="preserve">pionnier </w:t>
      </w:r>
      <w:r>
        <w:t xml:space="preserve">Yves </w:t>
      </w:r>
      <w:proofErr w:type="spellStart"/>
      <w:r>
        <w:t>Congar</w:t>
      </w:r>
      <w:proofErr w:type="spellEnd"/>
      <w:r w:rsidR="0098245E">
        <w:rPr>
          <w:rStyle w:val="Appelnotedebasdep"/>
        </w:rPr>
        <w:footnoteReference w:id="9"/>
      </w:r>
      <w:r>
        <w:t>. S’il ne suffit pas, cet œcuménisme est néanmoins indispensable (UR 9-10). La réparation de l’unité (comme d’autres réalités : le mal, l’injustice…) passe nécessairement par une réflexion critique sur les divisions doctrinales (théologiques)</w:t>
      </w:r>
      <w:r w:rsidR="008F1832">
        <w:t>, leurs causes, leur nature</w:t>
      </w:r>
      <w:r w:rsidR="00A96342">
        <w:t> :</w:t>
      </w:r>
      <w:r>
        <w:t xml:space="preserve"> les différences doctrinales sont-elles des différences séparatrices ou des différences légitimes ? Comment des différences apparemment séparatrices peuvent-elles devenir légitimes ? Un consensus différencié est-il possible et acceptable sur tel ou tel point de doctrine ? En d’autres termes, la réparation de l’unité, loin de toute uniformité, n’est-elle pas la reconnaissance ou la recherche d’une unité dans une diversité éprouvée comme légitime ? Dans la même ligne, les catholiques « se rappelleront qu’il y a un ordre ou une ‘hiérarchie’ des vérités de la doctrine catholique</w:t>
      </w:r>
      <w:r w:rsidR="00B728BF">
        <w:t xml:space="preserve"> en raison de leur rapport différent avec les fondements de la foi chrétienne (</w:t>
      </w:r>
      <w:r w:rsidR="00B728BF" w:rsidRPr="00B728BF">
        <w:rPr>
          <w:i/>
        </w:rPr>
        <w:t xml:space="preserve">cum </w:t>
      </w:r>
      <w:proofErr w:type="spellStart"/>
      <w:r w:rsidR="00B728BF" w:rsidRPr="00B728BF">
        <w:rPr>
          <w:i/>
        </w:rPr>
        <w:t>diversus</w:t>
      </w:r>
      <w:proofErr w:type="spellEnd"/>
      <w:r w:rsidR="00B728BF" w:rsidRPr="00B728BF">
        <w:rPr>
          <w:i/>
        </w:rPr>
        <w:t xml:space="preserve"> </w:t>
      </w:r>
      <w:proofErr w:type="spellStart"/>
      <w:r w:rsidR="00B728BF" w:rsidRPr="00B728BF">
        <w:rPr>
          <w:i/>
        </w:rPr>
        <w:t>sit</w:t>
      </w:r>
      <w:proofErr w:type="spellEnd"/>
      <w:r w:rsidR="00B728BF">
        <w:rPr>
          <w:i/>
        </w:rPr>
        <w:t xml:space="preserve"> </w:t>
      </w:r>
      <w:proofErr w:type="spellStart"/>
      <w:r w:rsidR="00B728BF">
        <w:rPr>
          <w:i/>
        </w:rPr>
        <w:t>e</w:t>
      </w:r>
      <w:r w:rsidR="00B728BF" w:rsidRPr="00B728BF">
        <w:rPr>
          <w:i/>
        </w:rPr>
        <w:t>arum</w:t>
      </w:r>
      <w:proofErr w:type="spellEnd"/>
      <w:r w:rsidR="00B728BF" w:rsidRPr="00B728BF">
        <w:rPr>
          <w:i/>
        </w:rPr>
        <w:t xml:space="preserve"> nexus cum </w:t>
      </w:r>
      <w:proofErr w:type="spellStart"/>
      <w:r w:rsidR="00B728BF" w:rsidRPr="00B728BF">
        <w:rPr>
          <w:i/>
        </w:rPr>
        <w:t>fundamento</w:t>
      </w:r>
      <w:proofErr w:type="spellEnd"/>
      <w:r w:rsidR="00B728BF" w:rsidRPr="00B728BF">
        <w:rPr>
          <w:i/>
        </w:rPr>
        <w:t xml:space="preserve"> </w:t>
      </w:r>
      <w:proofErr w:type="spellStart"/>
      <w:r w:rsidR="00B728BF" w:rsidRPr="00B728BF">
        <w:rPr>
          <w:i/>
        </w:rPr>
        <w:t>fidei</w:t>
      </w:r>
      <w:proofErr w:type="spellEnd"/>
      <w:r w:rsidR="00B728BF" w:rsidRPr="00B728BF">
        <w:rPr>
          <w:i/>
        </w:rPr>
        <w:t xml:space="preserve"> </w:t>
      </w:r>
      <w:proofErr w:type="spellStart"/>
      <w:r w:rsidR="00B728BF" w:rsidRPr="00B728BF">
        <w:rPr>
          <w:i/>
        </w:rPr>
        <w:t>christianae</w:t>
      </w:r>
      <w:proofErr w:type="spellEnd"/>
      <w:r w:rsidR="00B728BF">
        <w:t>)</w:t>
      </w:r>
      <w:r>
        <w:t> » (UR 11)</w:t>
      </w:r>
      <w:r w:rsidR="00B728BF">
        <w:rPr>
          <w:rStyle w:val="Appelnotedebasdep"/>
        </w:rPr>
        <w:footnoteReference w:id="10"/>
      </w:r>
      <w:r>
        <w:t>.</w:t>
      </w:r>
      <w:r w:rsidR="00080212">
        <w:t xml:space="preserve"> Il est salutaire, et en ce sens réparateur, pour la foi catholique elle-même (et l’Église catholique), de ne pas mettre sur le même pied toutes les vérités de la doctrine catholique, mais de reconnaître que certaines vérités</w:t>
      </w:r>
      <w:r w:rsidR="008F1832">
        <w:t>, comme les dogmes trinitaires et christologiques,</w:t>
      </w:r>
      <w:r w:rsidR="00080212">
        <w:t xml:space="preserve"> sont plus centrales et fondamentales que d’autres.</w:t>
      </w:r>
      <w:r w:rsidR="00956142">
        <w:t xml:space="preserve"> Cette hiérarchie interne à la doctrine catholique contribue à rendre possible un consensus différencié, évoqué ci-dessus, entre les doctrines de différentes Églises chrétiennes. </w:t>
      </w:r>
      <w:r w:rsidR="00EB2075">
        <w:t>En effet, en partant des consensus doctrinaux les plus fondamentaux entre Églises, on est amené en bien des cas à considérer certaines divergences apparentes</w:t>
      </w:r>
      <w:r w:rsidR="002A58B9">
        <w:t xml:space="preserve"> </w:t>
      </w:r>
      <w:r w:rsidR="00DF4C6F">
        <w:t xml:space="preserve">comme des différences ou des accentuations légitimes </w:t>
      </w:r>
      <w:r w:rsidR="002A58B9">
        <w:t xml:space="preserve">propres à </w:t>
      </w:r>
      <w:r w:rsidR="00DF4C6F">
        <w:t>chaque tradition</w:t>
      </w:r>
      <w:r w:rsidR="00204C6A">
        <w:t>,</w:t>
      </w:r>
      <w:r w:rsidR="00DF4C6F">
        <w:t xml:space="preserve"> en raison même du cons</w:t>
      </w:r>
      <w:r w:rsidR="00752B3B">
        <w:t>ensus fondamental qui les porte et qu’elles ne remettent p</w:t>
      </w:r>
      <w:r w:rsidR="00204C6A">
        <w:t>as en cause. On voit ainsi combien</w:t>
      </w:r>
      <w:r w:rsidR="00752B3B">
        <w:t xml:space="preserve"> l’œcuménisme doctrinal ou théologique sert une réconciliation ou réparation de l’unité qui soit profonde et durable.</w:t>
      </w:r>
    </w:p>
    <w:p w14:paraId="62785CC8" w14:textId="6EEC24A0" w:rsidR="00F60E38" w:rsidRDefault="00F60E38" w:rsidP="00222C40">
      <w:pPr>
        <w:spacing w:line="360" w:lineRule="auto"/>
        <w:ind w:firstLine="284"/>
        <w:jc w:val="both"/>
      </w:pPr>
      <w:r>
        <w:t xml:space="preserve">L’œcuménisme </w:t>
      </w:r>
      <w:r w:rsidRPr="007138E2">
        <w:rPr>
          <w:i/>
        </w:rPr>
        <w:t>pratique</w:t>
      </w:r>
      <w:r>
        <w:t xml:space="preserve"> ou </w:t>
      </w:r>
      <w:r w:rsidRPr="007138E2">
        <w:rPr>
          <w:i/>
        </w:rPr>
        <w:t>éthique</w:t>
      </w:r>
      <w:r>
        <w:t xml:space="preserve"> vise une collaboration de tous les chrétiens au service de la justice et de la paix dans le monde. </w:t>
      </w:r>
      <w:r w:rsidR="003C6E7A">
        <w:t>Selon le luthérien suédois Nathan Söderblom (vers 1920), l</w:t>
      </w:r>
      <w:r>
        <w:t xml:space="preserve">à où la doctrine divise, l’action unit. C’est parfois vrai, pas toujours. Mais effectivement l’action commune des chrétiens au service des grandes causes de l’humanité et du cosmos (il </w:t>
      </w:r>
      <w:r>
        <w:lastRenderedPageBreak/>
        <w:t>faudrait parler aujourd’hui de la réparation de la planète, vu les dérèglements climatiques) a fait aussi beaucoup pour le rapprochement des chrétiens et leur témoignage commun dans le monde, même s’il reste des divergences dogmatiques ou éthiques.</w:t>
      </w:r>
      <w:r w:rsidR="00B17112">
        <w:t xml:space="preserve"> Pour le dire autrement, l’idéal serait que cet engagement commun des chrétiens pour le bien de l’humanité et du cosmos soit indissociable d’une réflexion éthique fondamentale commune des chrétiens.</w:t>
      </w:r>
      <w:r w:rsidR="00BF43F8">
        <w:t xml:space="preserve"> D’une part, l’agir suppose la réflexion ; d’autre part, </w:t>
      </w:r>
      <w:r w:rsidR="00E71614">
        <w:t>l’agir</w:t>
      </w:r>
      <w:r w:rsidR="00A87999">
        <w:t xml:space="preserve"> dans sa spécificité est irremplaçable : il engage concrètement la liberté, il implique l’existence tout entière. C’est toute la différence entre la théorie et la pratique</w:t>
      </w:r>
      <w:r w:rsidR="003935BF">
        <w:t>, entre la pensée et la décision individuelle ou communautaire</w:t>
      </w:r>
      <w:r w:rsidR="00A87999">
        <w:t xml:space="preserve">. La pratique est concrètement transformante. D’où le caractère </w:t>
      </w:r>
      <w:r w:rsidR="003935BF">
        <w:t xml:space="preserve">propre et indispensable de l’œcuménisme de l’action commune des chrétiens pour l’unité, la justice et la paix. Là où l’œcuménisme doctrinal pense </w:t>
      </w:r>
      <w:r w:rsidR="00FE658B">
        <w:t xml:space="preserve">(la réparation de) </w:t>
      </w:r>
      <w:r w:rsidR="003935BF">
        <w:t xml:space="preserve">l’unité des chrétiens (et c’est toujours nécessaire), l’œcuménisme pratique peut la réaliser ou en tout cas </w:t>
      </w:r>
      <w:r w:rsidR="003935BF" w:rsidRPr="006838BE">
        <w:rPr>
          <w:i/>
        </w:rPr>
        <w:t>décider</w:t>
      </w:r>
      <w:r w:rsidR="003935BF">
        <w:t xml:space="preserve"> des pas </w:t>
      </w:r>
      <w:r w:rsidR="002878BC">
        <w:t xml:space="preserve">ou des étapes </w:t>
      </w:r>
      <w:r w:rsidR="003935BF">
        <w:t xml:space="preserve">vers sa réalisation </w:t>
      </w:r>
      <w:r w:rsidR="000B2295">
        <w:t>(et c’est ce qui manque le plus aujourd’hui)</w:t>
      </w:r>
      <w:r w:rsidR="00024CFB">
        <w:t>, sans oublier que l’unité ici visée, au-delà de celle des Églises, est celle du monde et même de la création tout entière.</w:t>
      </w:r>
    </w:p>
    <w:p w14:paraId="541A15EE" w14:textId="125B3B03" w:rsidR="00C14CF6" w:rsidRDefault="00F60E38" w:rsidP="00C14CF6">
      <w:pPr>
        <w:spacing w:line="360" w:lineRule="auto"/>
        <w:ind w:firstLine="284"/>
        <w:jc w:val="both"/>
      </w:pPr>
      <w:r>
        <w:t>On le voit, l’œcuménisme, dans ses trois dimensions</w:t>
      </w:r>
      <w:r w:rsidR="003935BF">
        <w:t xml:space="preserve"> indissociables</w:t>
      </w:r>
      <w:r>
        <w:t>, est un laboratoire extraordinaire de toute réparation holistique (spirituelle, intellectuelle, pratique) : laboratoire (non encore pleinement réussi) de l’unité de tous les humains à partir de l’expérience des divisions chrétiennes et de</w:t>
      </w:r>
      <w:r w:rsidR="001E5B95">
        <w:t>s</w:t>
      </w:r>
      <w:r>
        <w:t xml:space="preserve"> tentative</w:t>
      </w:r>
      <w:r w:rsidR="001E5B95">
        <w:t>s</w:t>
      </w:r>
      <w:r>
        <w:t xml:space="preserve"> de </w:t>
      </w:r>
      <w:r w:rsidR="001E5B95">
        <w:t xml:space="preserve">leur </w:t>
      </w:r>
      <w:r>
        <w:t>dépassement</w:t>
      </w:r>
      <w:r w:rsidR="006838BE">
        <w:t xml:space="preserve"> dans l’Esprit du Christ</w:t>
      </w:r>
      <w:r>
        <w:t>, laboratoire de dialogue intellectuel entre humains, labora</w:t>
      </w:r>
      <w:r w:rsidR="006838BE">
        <w:t xml:space="preserve">toire de lutte contre le mal, </w:t>
      </w:r>
      <w:r>
        <w:t>l’injustice</w:t>
      </w:r>
      <w:r w:rsidR="006838BE">
        <w:t xml:space="preserve"> et la division</w:t>
      </w:r>
      <w:r>
        <w:t>…</w:t>
      </w:r>
      <w:r w:rsidR="00222C40">
        <w:t xml:space="preserve"> Cette dernière dimension de l’œcuménisme, je voudrais aussi la développer pour elle-même vu son importance : l’engagement pour la justice comme réparation, d’autant plus que c’est un aspect de la réinterprétation postconciliaire de cette dernière dans la Congrégation des Prêtres du Sacré-Cœur de Jésus</w:t>
      </w:r>
      <w:r w:rsidR="009F501A">
        <w:t>, que je convoque ici à titre d’exemple.</w:t>
      </w:r>
    </w:p>
    <w:p w14:paraId="07C83E68" w14:textId="77777777" w:rsidR="00C14CF6" w:rsidRDefault="00C14CF6" w:rsidP="00C14CF6">
      <w:pPr>
        <w:spacing w:line="360" w:lineRule="auto"/>
        <w:ind w:firstLine="284"/>
        <w:jc w:val="both"/>
      </w:pPr>
    </w:p>
    <w:p w14:paraId="280EC152" w14:textId="156CD220" w:rsidR="00C14CF6" w:rsidRPr="00C14CF6" w:rsidRDefault="00C14CF6" w:rsidP="00C14CF6">
      <w:pPr>
        <w:pStyle w:val="Paragraphedeliste"/>
        <w:numPr>
          <w:ilvl w:val="0"/>
          <w:numId w:val="1"/>
        </w:numPr>
        <w:spacing w:line="360" w:lineRule="auto"/>
        <w:jc w:val="center"/>
        <w:rPr>
          <w:smallCaps/>
        </w:rPr>
      </w:pPr>
      <w:r w:rsidRPr="00C14CF6">
        <w:rPr>
          <w:smallCaps/>
        </w:rPr>
        <w:t>L</w:t>
      </w:r>
      <w:r>
        <w:rPr>
          <w:smallCaps/>
        </w:rPr>
        <w:t>a justice</w:t>
      </w:r>
      <w:r w:rsidRPr="00C14CF6">
        <w:rPr>
          <w:smallCaps/>
        </w:rPr>
        <w:t xml:space="preserve"> </w:t>
      </w:r>
      <w:r w:rsidR="009C68D8">
        <w:rPr>
          <w:smallCaps/>
        </w:rPr>
        <w:t xml:space="preserve">sociale </w:t>
      </w:r>
      <w:r w:rsidRPr="00C14CF6">
        <w:rPr>
          <w:smallCaps/>
        </w:rPr>
        <w:t>comme réparation</w:t>
      </w:r>
    </w:p>
    <w:p w14:paraId="591B40B4" w14:textId="77777777" w:rsidR="00C14CF6" w:rsidRDefault="00C14CF6" w:rsidP="00C14CF6">
      <w:pPr>
        <w:spacing w:line="360" w:lineRule="auto"/>
        <w:ind w:firstLine="284"/>
        <w:jc w:val="both"/>
      </w:pPr>
    </w:p>
    <w:p w14:paraId="19F5E446" w14:textId="62DF2A36" w:rsidR="00222C40" w:rsidRDefault="007F7F0A" w:rsidP="00412F3A">
      <w:pPr>
        <w:spacing w:line="360" w:lineRule="auto"/>
        <w:ind w:firstLine="284"/>
        <w:jc w:val="both"/>
      </w:pPr>
      <w:r>
        <w:t>En 1988, cette congrégation a tenu sa IV</w:t>
      </w:r>
      <w:r w:rsidRPr="007F7F0A">
        <w:rPr>
          <w:vertAlign w:val="superscript"/>
        </w:rPr>
        <w:t>e</w:t>
      </w:r>
      <w:r>
        <w:t xml:space="preserve"> Conférence </w:t>
      </w:r>
      <w:r w:rsidR="002E3CFC">
        <w:t>G</w:t>
      </w:r>
      <w:r>
        <w:t>énérale à Brusque (Brésil)</w:t>
      </w:r>
      <w:r w:rsidR="00340DEA">
        <w:rPr>
          <w:rStyle w:val="Appelnotedebasdep"/>
        </w:rPr>
        <w:footnoteReference w:id="11"/>
      </w:r>
      <w:r>
        <w:t xml:space="preserve">, </w:t>
      </w:r>
      <w:r w:rsidR="00412F3A">
        <w:t xml:space="preserve">y proposant une </w:t>
      </w:r>
      <w:r>
        <w:t xml:space="preserve">réinterprétation </w:t>
      </w:r>
      <w:r w:rsidR="00BA4AEB">
        <w:t xml:space="preserve">assez </w:t>
      </w:r>
      <w:r>
        <w:t>radicale</w:t>
      </w:r>
      <w:r w:rsidR="00412F3A">
        <w:t xml:space="preserve"> de la réparation comme justice sociale</w:t>
      </w:r>
      <w:r>
        <w:t>.</w:t>
      </w:r>
      <w:r w:rsidR="00412F3A">
        <w:t xml:space="preserve"> Cette démarche doit être comprise sur le fond du contexte social et économique</w:t>
      </w:r>
      <w:r w:rsidR="00C3511C">
        <w:t> :</w:t>
      </w:r>
      <w:r w:rsidR="00412F3A">
        <w:t xml:space="preserve"> à cette époque</w:t>
      </w:r>
      <w:r w:rsidR="00C3511C">
        <w:t xml:space="preserve">, </w:t>
      </w:r>
      <w:r w:rsidR="00C3511C">
        <w:lastRenderedPageBreak/>
        <w:t xml:space="preserve">les tensions géopolitiques sont grandes, les dictatures nombreuses, notamment en Amérique Latine, des </w:t>
      </w:r>
      <w:r w:rsidR="00E93658">
        <w:t>théologies et mouvements de libération émergent dans et en dehors de l’Église</w:t>
      </w:r>
      <w:r w:rsidR="00E93658">
        <w:rPr>
          <w:rStyle w:val="Appelnotedebasdep"/>
        </w:rPr>
        <w:footnoteReference w:id="12"/>
      </w:r>
      <w:r w:rsidR="00E93658">
        <w:t>.</w:t>
      </w:r>
    </w:p>
    <w:p w14:paraId="71CA3DEB" w14:textId="5E21FA28" w:rsidR="00832965" w:rsidRDefault="0039706D" w:rsidP="00412F3A">
      <w:pPr>
        <w:spacing w:line="360" w:lineRule="auto"/>
        <w:ind w:firstLine="284"/>
        <w:jc w:val="both"/>
      </w:pPr>
      <w:r>
        <w:t>Le document final de la conférence générale s’intitule « la réparation dehonienne aujourd’hui »</w:t>
      </w:r>
      <w:r>
        <w:rPr>
          <w:rStyle w:val="Appelnotedebasdep"/>
        </w:rPr>
        <w:footnoteReference w:id="13"/>
      </w:r>
      <w:r>
        <w:t>. Après une introduction (n° 1-6), il est structuré en trois parties selon la méthode de la JOC « voir, juger, agir »</w:t>
      </w:r>
      <w:r w:rsidR="00F21101">
        <w:t xml:space="preserve"> : </w:t>
      </w:r>
      <w:r w:rsidR="00D94994">
        <w:t>I. Dans quel monde sommes-nous appelés à vivre la réparation ? (n° 7-11) ; II. Comment comprenons-nous la réparation ? (n° 12-19) ; III. Quelles options devons-nous prendre, pour mieux vivre la réparation aujourd’hui ? (n° 20-26)</w:t>
      </w:r>
    </w:p>
    <w:p w14:paraId="10F91E72" w14:textId="77777777" w:rsidR="009D5F68" w:rsidRDefault="00976DBE" w:rsidP="00412F3A">
      <w:pPr>
        <w:spacing w:line="360" w:lineRule="auto"/>
        <w:ind w:firstLine="284"/>
        <w:jc w:val="both"/>
      </w:pPr>
      <w:r>
        <w:t>C’est dans la deuxième partie du document que nous lisons l’énoncé d’une compréhension renouvelée de la réparation</w:t>
      </w:r>
      <w:r w:rsidR="00D96C3A">
        <w:t>, de la réparation en général d’abord (n° 12-16), de la réparation dehonienne ensuite (n° 17-19).</w:t>
      </w:r>
    </w:p>
    <w:p w14:paraId="7F0CE5D3" w14:textId="7816A382" w:rsidR="00976DBE" w:rsidRDefault="00D96C3A" w:rsidP="00412F3A">
      <w:pPr>
        <w:spacing w:line="360" w:lineRule="auto"/>
        <w:ind w:firstLine="284"/>
        <w:jc w:val="both"/>
      </w:pPr>
      <w:r>
        <w:t>La réparation en tant que telle prend son origine historique dans le contexte culturel bien défini du culte du Sacré-Cœur de Jésus</w:t>
      </w:r>
      <w:r w:rsidR="00020BED">
        <w:t xml:space="preserve">, en particulier à partir du siècle de sainte Marguerite-Marie </w:t>
      </w:r>
      <w:proofErr w:type="spellStart"/>
      <w:r w:rsidR="00020BED">
        <w:t>Alacoque</w:t>
      </w:r>
      <w:proofErr w:type="spellEnd"/>
      <w:r w:rsidR="00020BED">
        <w:t>. Ceci n’empêche pas que le mot réparation ait pu être retenu comme instrument valable pour exprimer à sa façon les « merveilles de Dieu ». Ainsi, chez les Dehoniens, n’a-t-il pas cessé d’être l’objet de méditations, réunissant en quelque sorte les deux faces du charisme du Fondateur : l’amour personnel pour le Christ dans son oblation au Père et l’implication dans le travail apostolique</w:t>
      </w:r>
      <w:r w:rsidR="003740FC">
        <w:rPr>
          <w:rStyle w:val="Appelnotedebasdep"/>
        </w:rPr>
        <w:footnoteReference w:id="14"/>
      </w:r>
      <w:r w:rsidR="00020BED">
        <w:t>.</w:t>
      </w:r>
      <w:r w:rsidR="007354D4">
        <w:t xml:space="preserve"> Quand nous parlons du mystère de la rédemption, le mot réparation ne devrait jamais être séparé des autres aspects complémentaires de ce mystère : libération, restauration, réconciliation, solidarité… Il est en tout cas difficile de l’extraire de son contexte d’origine pour le réemployer comme tel dans un contexte assez différent. Ainsi en Amérique Latine, on devra l’associer étroitement aux valeurs de libération et de solidarité, qui ont une si forte répercussion sociale, une si intense charge </w:t>
      </w:r>
      <w:r w:rsidR="007354D4">
        <w:lastRenderedPageBreak/>
        <w:t>prophétique sur ce continent. Dans l’approche de la réparation, trois perspectives apparaissent complémentaires</w:t>
      </w:r>
      <w:r w:rsidR="00544D9D">
        <w:t> : la perspective anthropologique (tout [l’] homme compris à partir du mystère du Christ Sauveur) ; la perspective christologique (attention privilégiée au comportement humain de Jésus, le Fils incarné) ; la perspective trinitaire (l’Esprit reçu du Christ en croix</w:t>
      </w:r>
      <w:r w:rsidR="00A51508">
        <w:t xml:space="preserve"> éveille en nous les mêmes sentiments qui sont dans le Christ et nous fait retourner en lui vers le Père). Comment dès lors comprendre la réparation dehonienne ?</w:t>
      </w:r>
    </w:p>
    <w:p w14:paraId="48C331C9" w14:textId="04D79457" w:rsidR="00A51508" w:rsidRDefault="00A51508" w:rsidP="00412F3A">
      <w:pPr>
        <w:spacing w:line="360" w:lineRule="auto"/>
        <w:ind w:firstLine="284"/>
        <w:jc w:val="both"/>
      </w:pPr>
      <w:r>
        <w:t>La Conférence a bien conscience</w:t>
      </w:r>
      <w:r w:rsidR="00A0178F">
        <w:t xml:space="preserve"> que « notre » vocation de vie religieuse s’inscrit dans une histoire</w:t>
      </w:r>
      <w:r w:rsidR="00E917B8">
        <w:rPr>
          <w:rStyle w:val="Appelnotedebasdep"/>
        </w:rPr>
        <w:footnoteReference w:id="15"/>
      </w:r>
      <w:r w:rsidR="00A0178F">
        <w:t xml:space="preserve">. Dans cette histoire, qui se continue à travers la diversité de « nos » vies, se déploie une grâce commune à faire fructifier. Cette grâce des origines, « nous » la recevons de l’expérience de foi du Père </w:t>
      </w:r>
      <w:proofErr w:type="spellStart"/>
      <w:r w:rsidR="00A0178F">
        <w:t>Dehon</w:t>
      </w:r>
      <w:proofErr w:type="spellEnd"/>
      <w:r w:rsidR="00A0178F">
        <w:t xml:space="preserve"> (cf. Ga 2,20), en laquelle </w:t>
      </w:r>
      <w:r w:rsidR="00F513F1">
        <w:t>« </w:t>
      </w:r>
      <w:r w:rsidR="00A0178F">
        <w:t>nous</w:t>
      </w:r>
      <w:r w:rsidR="00F513F1">
        <w:t> »</w:t>
      </w:r>
      <w:r w:rsidR="00A0178F">
        <w:t xml:space="preserve"> relevons surtout la fervente union à l’oblation que Jésus présente au Père et qui se célèbre dans l’oblation eucharistique, pour ensuite retentir en toute la vie, surtout dans l’apostolat, caractérisé par une extrême attention aux hommes, en particulier aux plus démunis (cf. RV 5).</w:t>
      </w:r>
      <w:r w:rsidR="00F513F1">
        <w:t xml:space="preserve"> Cette grâce ouvre une histoire, toujours ouverte à l’action de Dieu. C’est précisément en ce sens que « notre » réparation, « nous » la comprenons comme « l’accueil de l’Esprit » (RV 23) : unité entre union à l’oblation du Christ, en réponse d’amour à son amour pour nous et pour le Père, et participation à son œuvre rédemptrice au sein de notre monde, en particulier le service privilégié de ceux à qui il a donné la préférence. « Notre » réparation devient ainsi service de la réconciliation avec Dieu et entre frères</w:t>
      </w:r>
      <w:r w:rsidR="004E08EE">
        <w:t xml:space="preserve"> (cf. RV 25).</w:t>
      </w:r>
    </w:p>
    <w:p w14:paraId="12EB13CE" w14:textId="77777777" w:rsidR="00582612" w:rsidRDefault="007A130D" w:rsidP="00412F3A">
      <w:pPr>
        <w:spacing w:line="360" w:lineRule="auto"/>
        <w:ind w:firstLine="284"/>
        <w:jc w:val="both"/>
      </w:pPr>
      <w:r>
        <w:t>Dans l</w:t>
      </w:r>
      <w:r w:rsidR="004E08EE">
        <w:t>a troisième partie (n°20-26)</w:t>
      </w:r>
      <w:r>
        <w:t>, on</w:t>
      </w:r>
      <w:r w:rsidR="004E08EE">
        <w:t xml:space="preserve"> se demande comment mieux vivre aujourd’hui la réparation.</w:t>
      </w:r>
      <w:r>
        <w:t xml:space="preserve"> L’Esprit de Dieu incite « notre » Congrégation à considérer l’aujourd’hui de notre monde comme le moment et le terrain privilégiés de « notre » mission réparatrice.</w:t>
      </w:r>
      <w:r w:rsidR="00E92962">
        <w:t xml:space="preserve"> Cette Conférence générale a entendu l’appel à faire progresser parmi « nous » la conscience de ce charisme en tout ce qu’il comporte (attentes du monde, présence active du Dieu de Jésus-Christ, passionnément intéressé au sort des humains…) et à redire l’insistance du Père </w:t>
      </w:r>
      <w:proofErr w:type="spellStart"/>
      <w:r w:rsidR="00E92962">
        <w:t>Dehon</w:t>
      </w:r>
      <w:proofErr w:type="spellEnd"/>
      <w:r w:rsidR="00E92962">
        <w:t> : « Allons vers le peuple ». D’où l’affirmation centrale de ce document :</w:t>
      </w:r>
    </w:p>
    <w:p w14:paraId="064E8272" w14:textId="77777777" w:rsidR="00582612" w:rsidRDefault="00582612" w:rsidP="00412F3A">
      <w:pPr>
        <w:spacing w:line="360" w:lineRule="auto"/>
        <w:ind w:firstLine="284"/>
        <w:jc w:val="both"/>
      </w:pPr>
    </w:p>
    <w:p w14:paraId="44125E5A" w14:textId="06EE3C36" w:rsidR="004E08EE" w:rsidRPr="00582612" w:rsidRDefault="00E92962" w:rsidP="00582612">
      <w:pPr>
        <w:tabs>
          <w:tab w:val="left" w:pos="567"/>
        </w:tabs>
        <w:ind w:left="425"/>
        <w:jc w:val="both"/>
        <w:rPr>
          <w:sz w:val="20"/>
          <w:szCs w:val="20"/>
        </w:rPr>
      </w:pPr>
      <w:r w:rsidRPr="00582612">
        <w:rPr>
          <w:sz w:val="20"/>
          <w:szCs w:val="20"/>
        </w:rPr>
        <w:t>« Aussi, en maintenant bien clairement que l’inspiration réparatrice doit ‘animer tout ce que nous sommes et tout ce que nous faisons</w:t>
      </w:r>
      <w:r w:rsidR="00582612" w:rsidRPr="00582612">
        <w:rPr>
          <w:sz w:val="20"/>
          <w:szCs w:val="20"/>
        </w:rPr>
        <w:t xml:space="preserve">’ ([RV] 25), en Conférence générale </w:t>
      </w:r>
      <w:r w:rsidR="00582612" w:rsidRPr="00ED28FE">
        <w:rPr>
          <w:i/>
          <w:iCs/>
          <w:sz w:val="20"/>
          <w:szCs w:val="20"/>
        </w:rPr>
        <w:t>nous avons retenu comme objectif premier de notre réparation l’engagement pour la justice sociale, dans les contextes précis des pays où nous nous trouvons</w:t>
      </w:r>
      <w:r w:rsidR="00582612" w:rsidRPr="00582612">
        <w:rPr>
          <w:sz w:val="20"/>
          <w:szCs w:val="20"/>
        </w:rPr>
        <w:t>.</w:t>
      </w:r>
    </w:p>
    <w:p w14:paraId="1E853C0E" w14:textId="21A0E1FE" w:rsidR="00582612" w:rsidRDefault="00582612" w:rsidP="00582612">
      <w:pPr>
        <w:tabs>
          <w:tab w:val="left" w:pos="567"/>
        </w:tabs>
        <w:ind w:left="425"/>
        <w:jc w:val="both"/>
      </w:pPr>
      <w:r w:rsidRPr="00582612">
        <w:rPr>
          <w:sz w:val="20"/>
          <w:szCs w:val="20"/>
        </w:rPr>
        <w:lastRenderedPageBreak/>
        <w:t>Dans quelques-uns de ces pays, cela signifiera principalement une option évangélique plus déterminée pour les ‘pauvres’. En d’autres, ce sera surtout le souci de contester les structures injustes d’oppression et de marginalisation, ou la lutte contre un système de discrimination sociale, raciale… »</w:t>
      </w:r>
      <w:r w:rsidR="00CE4E6E">
        <w:rPr>
          <w:sz w:val="20"/>
          <w:szCs w:val="20"/>
        </w:rPr>
        <w:t xml:space="preserve"> (n°22)</w:t>
      </w:r>
      <w:r w:rsidR="00CE4E6E">
        <w:rPr>
          <w:rStyle w:val="Appelnotedebasdep"/>
          <w:sz w:val="20"/>
          <w:szCs w:val="20"/>
        </w:rPr>
        <w:footnoteReference w:id="16"/>
      </w:r>
    </w:p>
    <w:p w14:paraId="4F7841F2" w14:textId="77777777" w:rsidR="00582612" w:rsidRDefault="00582612" w:rsidP="00582612">
      <w:pPr>
        <w:tabs>
          <w:tab w:val="left" w:pos="567"/>
        </w:tabs>
        <w:spacing w:line="360" w:lineRule="auto"/>
        <w:ind w:left="425"/>
        <w:jc w:val="both"/>
      </w:pPr>
    </w:p>
    <w:p w14:paraId="33C64023" w14:textId="05708B9A" w:rsidR="00582612" w:rsidRDefault="00CE4E6E" w:rsidP="00582612">
      <w:pPr>
        <w:tabs>
          <w:tab w:val="left" w:pos="567"/>
        </w:tabs>
        <w:spacing w:line="360" w:lineRule="auto"/>
        <w:ind w:firstLine="284"/>
        <w:jc w:val="both"/>
      </w:pPr>
      <w:r>
        <w:t>Quelle que soit la forme de l’engagement, il s’agit toujours de combattre ce qui, dans le monde actuel, fait obstacle à l’amour du Seigneur, et en croyant vraiment que tout effort humain a besoin</w:t>
      </w:r>
      <w:r w:rsidR="00B30A0E">
        <w:t xml:space="preserve"> d’</w:t>
      </w:r>
      <w:r>
        <w:t>être sans cesse purifié et transfiguré par le mystère pascal. Pour atteindre cet objectif prioritaire, plusieurs moyens se présentent : l’étude sérieuse de la Doctrine sociale de l’Église</w:t>
      </w:r>
      <w:r w:rsidR="00E917B8">
        <w:t> ;</w:t>
      </w:r>
      <w:r>
        <w:t xml:space="preserve"> la mise en place de commissions Justice et Paix</w:t>
      </w:r>
      <w:r w:rsidR="00E917B8">
        <w:t> ;</w:t>
      </w:r>
      <w:r>
        <w:t xml:space="preserve"> le partage avec les laïcs de la spiritualité dehonienne</w:t>
      </w:r>
      <w:r w:rsidR="00E917B8">
        <w:t xml:space="preserve"> dans la vie apostolique ; l’apport des confrères âgés ou malades par leur fidélité dans l’épreuve ; la célébration, dans la prière, la liturgie et l’adoration eucharistique, des merveilles que Dieu accomplit dans le monde d’aujourd’hui et de sa présence dans les souffrances et les joies des peuples…</w:t>
      </w:r>
    </w:p>
    <w:p w14:paraId="33FC12FA" w14:textId="292B113B" w:rsidR="004F3AD4" w:rsidRDefault="004F3AD4" w:rsidP="00582612">
      <w:pPr>
        <w:tabs>
          <w:tab w:val="left" w:pos="567"/>
        </w:tabs>
        <w:spacing w:line="360" w:lineRule="auto"/>
        <w:ind w:firstLine="284"/>
        <w:jc w:val="both"/>
      </w:pPr>
      <w:r>
        <w:t>Aussi l</w:t>
      </w:r>
      <w:r w:rsidR="000A4B98">
        <w:t>a</w:t>
      </w:r>
      <w:r>
        <w:t xml:space="preserve"> conclusion de la Règle de Vie dehonienne peut-elle être reprise ici : « Assurés de l’indéfectible fidélité de Dieu, enracinés dans l’amour du Christ, nous savons que notre choix de vie religieuse, pour demeurer vivant, exige la rencontre assidue du Seigneur dans la prière, la conversion permanente à l’Évangile, et la disponibilité de cœur et d’attitude pour accueillir l’</w:t>
      </w:r>
      <w:r w:rsidRPr="004F3AD4">
        <w:rPr>
          <w:b/>
          <w:bCs/>
        </w:rPr>
        <w:t>Aujourd’hui de Dieu</w:t>
      </w:r>
      <w:r>
        <w:t> » (RV 147).</w:t>
      </w:r>
    </w:p>
    <w:p w14:paraId="556316C1" w14:textId="77777777" w:rsidR="003462D3" w:rsidRPr="0021349E" w:rsidRDefault="003462D3" w:rsidP="00582612">
      <w:pPr>
        <w:tabs>
          <w:tab w:val="left" w:pos="567"/>
        </w:tabs>
        <w:spacing w:line="360" w:lineRule="auto"/>
        <w:ind w:firstLine="284"/>
        <w:jc w:val="both"/>
      </w:pPr>
    </w:p>
    <w:p w14:paraId="476A078A" w14:textId="592F5947" w:rsidR="003462D3" w:rsidRDefault="003462D3" w:rsidP="00582612">
      <w:pPr>
        <w:tabs>
          <w:tab w:val="left" w:pos="567"/>
        </w:tabs>
        <w:spacing w:line="360" w:lineRule="auto"/>
        <w:ind w:firstLine="284"/>
        <w:jc w:val="both"/>
      </w:pPr>
      <w:r>
        <w:t>Ce texte de la IV</w:t>
      </w:r>
      <w:r w:rsidRPr="003462D3">
        <w:rPr>
          <w:vertAlign w:val="superscript"/>
        </w:rPr>
        <w:t>e</w:t>
      </w:r>
      <w:r>
        <w:t xml:space="preserve"> Conférence Générale des Dehoniens, tout en gardant un certain équilibre, insiste néanmoins de façon récurrente sur l’engagement social comme </w:t>
      </w:r>
      <w:r w:rsidR="00F36AD0">
        <w:t>(</w:t>
      </w:r>
      <w:r>
        <w:t>objectif premier de la</w:t>
      </w:r>
      <w:r w:rsidR="00F36AD0">
        <w:t>)</w:t>
      </w:r>
      <w:r>
        <w:t xml:space="preserve"> réparation</w:t>
      </w:r>
      <w:r w:rsidR="00F36AD0">
        <w:t xml:space="preserve">. Sans ignorer du tout la source christologique et trinitaire de la réparation, le document conclusif mentionne </w:t>
      </w:r>
      <w:r w:rsidR="002C3AA7">
        <w:t xml:space="preserve">cependant </w:t>
      </w:r>
      <w:r w:rsidR="00F36AD0">
        <w:t>relativement peu la pratique de la vie spirituelle qui doit alimenter et éclairer quotidiennement les convictions théologiques et éthiques ici exprimées. Et pourtant, l’expérience de foi</w:t>
      </w:r>
      <w:r w:rsidR="00B36489">
        <w:t>, la capacité de prière, d’adoration, de méditation doivent toujours rester premières. Il faut toujours mieux proportionner activité et prière, engagement et réflexion. Le danger de l’activisme est réel et permanent pour beaucoup. L’adoration réparatrice aussi est apostolat.</w:t>
      </w:r>
    </w:p>
    <w:p w14:paraId="782661F9" w14:textId="77777777" w:rsidR="00F8767B" w:rsidRPr="00F8767B" w:rsidRDefault="00B36489" w:rsidP="00F8767B">
      <w:pPr>
        <w:tabs>
          <w:tab w:val="left" w:pos="567"/>
        </w:tabs>
        <w:spacing w:line="360" w:lineRule="auto"/>
        <w:ind w:firstLine="284"/>
        <w:jc w:val="both"/>
        <w:rPr>
          <w:sz w:val="10"/>
          <w:szCs w:val="10"/>
        </w:rPr>
      </w:pPr>
      <w:r>
        <w:t xml:space="preserve">Il est donc essentiel de préserver le statut chalcédonien de la réparation, don </w:t>
      </w:r>
      <w:r w:rsidR="00BD57A1">
        <w:t xml:space="preserve">premier </w:t>
      </w:r>
      <w:r>
        <w:t xml:space="preserve">de Dieu et coopération humaine. Sans quoi, l’on risque d’encourir à notre époque, mais pour des raisons opposées, le même reproche que celui adressé à une certaine </w:t>
      </w:r>
      <w:r w:rsidR="0026204E">
        <w:t xml:space="preserve">notion et pratique de la </w:t>
      </w:r>
      <w:r w:rsidR="0026204E">
        <w:lastRenderedPageBreak/>
        <w:t xml:space="preserve">réparation à l’époque du P. </w:t>
      </w:r>
      <w:proofErr w:type="spellStart"/>
      <w:r w:rsidR="0026204E">
        <w:t>Dehon</w:t>
      </w:r>
      <w:proofErr w:type="spellEnd"/>
      <w:r w:rsidR="0026204E">
        <w:t xml:space="preserve">, il y a un siècle : que ce soit un surdimensionnement </w:t>
      </w:r>
      <w:r w:rsidR="00BD57A1">
        <w:t>spirituel ou social du concept de réparation, une espèce de pélagianisme est à l’œuvre, où l’être humain se fie plus à lui-même qu’à Dieu</w:t>
      </w:r>
      <w:r w:rsidR="00BD57A1">
        <w:rPr>
          <w:rStyle w:val="Appelnotedebasdep"/>
        </w:rPr>
        <w:footnoteReference w:id="17"/>
      </w:r>
      <w:r w:rsidR="00BD57A1">
        <w:t>.</w:t>
      </w:r>
    </w:p>
    <w:p w14:paraId="3DB23A04" w14:textId="51F0B5DE" w:rsidR="00101440" w:rsidRPr="00F8767B" w:rsidRDefault="00F8767B" w:rsidP="00F8767B">
      <w:pPr>
        <w:tabs>
          <w:tab w:val="left" w:pos="567"/>
        </w:tabs>
        <w:spacing w:line="360" w:lineRule="auto"/>
        <w:ind w:firstLine="284"/>
        <w:jc w:val="right"/>
        <w:rPr>
          <w:sz w:val="20"/>
          <w:szCs w:val="20"/>
        </w:rPr>
      </w:pPr>
      <w:r w:rsidRPr="00F8767B">
        <w:rPr>
          <w:sz w:val="10"/>
          <w:szCs w:val="10"/>
        </w:rPr>
        <w:tab/>
      </w:r>
      <w:r w:rsidR="00F60E38" w:rsidRPr="00F8767B">
        <w:rPr>
          <w:sz w:val="20"/>
          <w:szCs w:val="20"/>
        </w:rPr>
        <w:t xml:space="preserve">Joseph Famerée, </w:t>
      </w:r>
      <w:proofErr w:type="spellStart"/>
      <w:r w:rsidR="00F60E38" w:rsidRPr="00F8767B">
        <w:rPr>
          <w:sz w:val="20"/>
          <w:szCs w:val="20"/>
        </w:rPr>
        <w:t>scj</w:t>
      </w:r>
      <w:proofErr w:type="spellEnd"/>
    </w:p>
    <w:sectPr w:rsidR="00101440" w:rsidRPr="00F8767B" w:rsidSect="00D21915">
      <w:headerReference w:type="even" r:id="rId7"/>
      <w:head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DF49" w14:textId="77777777" w:rsidR="00422114" w:rsidRDefault="00422114" w:rsidP="00F60E38">
      <w:r>
        <w:separator/>
      </w:r>
    </w:p>
  </w:endnote>
  <w:endnote w:type="continuationSeparator" w:id="0">
    <w:p w14:paraId="4275E887" w14:textId="77777777" w:rsidR="00422114" w:rsidRDefault="00422114" w:rsidP="00F6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4DD6" w14:textId="77777777" w:rsidR="00422114" w:rsidRDefault="00422114" w:rsidP="00F60E38">
      <w:r>
        <w:separator/>
      </w:r>
    </w:p>
  </w:footnote>
  <w:footnote w:type="continuationSeparator" w:id="0">
    <w:p w14:paraId="220689C8" w14:textId="77777777" w:rsidR="00422114" w:rsidRDefault="00422114" w:rsidP="00F60E38">
      <w:r>
        <w:continuationSeparator/>
      </w:r>
    </w:p>
  </w:footnote>
  <w:footnote w:id="1">
    <w:p w14:paraId="743F973B" w14:textId="0155AD50" w:rsidR="00700F86" w:rsidRPr="003A6958" w:rsidRDefault="00700F86" w:rsidP="00700F86">
      <w:pPr>
        <w:pStyle w:val="Notedebasdepage"/>
        <w:jc w:val="both"/>
        <w:rPr>
          <w:sz w:val="20"/>
          <w:szCs w:val="20"/>
          <w:lang w:val="fr-BE"/>
        </w:rPr>
      </w:pPr>
      <w:r w:rsidRPr="00700F86">
        <w:rPr>
          <w:rStyle w:val="Appelnotedebasdep"/>
          <w:sz w:val="20"/>
          <w:szCs w:val="20"/>
        </w:rPr>
        <w:footnoteRef/>
      </w:r>
      <w:r w:rsidRPr="00700F86">
        <w:rPr>
          <w:sz w:val="20"/>
          <w:szCs w:val="20"/>
        </w:rPr>
        <w:t xml:space="preserve"> </w:t>
      </w:r>
      <w:r>
        <w:rPr>
          <w:sz w:val="20"/>
          <w:szCs w:val="20"/>
        </w:rPr>
        <w:t xml:space="preserve">Son </w:t>
      </w:r>
      <w:proofErr w:type="spellStart"/>
      <w:r w:rsidRPr="00700F86">
        <w:rPr>
          <w:i/>
          <w:sz w:val="20"/>
          <w:szCs w:val="20"/>
        </w:rPr>
        <w:t>Cur</w:t>
      </w:r>
      <w:proofErr w:type="spellEnd"/>
      <w:r w:rsidRPr="00700F86">
        <w:rPr>
          <w:i/>
          <w:sz w:val="20"/>
          <w:szCs w:val="20"/>
        </w:rPr>
        <w:t xml:space="preserve"> Deus homo ?</w:t>
      </w:r>
    </w:p>
  </w:footnote>
  <w:footnote w:id="2">
    <w:p w14:paraId="08424734" w14:textId="6B6E5D70" w:rsidR="00574723" w:rsidRPr="003A6958" w:rsidRDefault="00574723" w:rsidP="00574723">
      <w:pPr>
        <w:pStyle w:val="Notedebasdepage"/>
        <w:jc w:val="both"/>
        <w:rPr>
          <w:sz w:val="20"/>
          <w:szCs w:val="20"/>
          <w:lang w:val="fr-BE"/>
        </w:rPr>
      </w:pPr>
      <w:r w:rsidRPr="00574723">
        <w:rPr>
          <w:rStyle w:val="Appelnotedebasdep"/>
          <w:sz w:val="20"/>
          <w:szCs w:val="20"/>
        </w:rPr>
        <w:footnoteRef/>
      </w:r>
      <w:r w:rsidRPr="00574723">
        <w:rPr>
          <w:sz w:val="20"/>
          <w:szCs w:val="20"/>
        </w:rPr>
        <w:t xml:space="preserve"> </w:t>
      </w:r>
      <w:r w:rsidR="00ED40F7">
        <w:rPr>
          <w:sz w:val="20"/>
          <w:szCs w:val="20"/>
        </w:rPr>
        <w:t xml:space="preserve">L’apôtre Paul développe une vision cosmique, non seulement anthropologique, du salut en Christ : la création tout entière est appelée à la </w:t>
      </w:r>
      <w:r w:rsidR="00E91E84">
        <w:rPr>
          <w:sz w:val="20"/>
          <w:szCs w:val="20"/>
        </w:rPr>
        <w:t>vie nouvelle de la résurrection, ce qui est bien plus encore qu’une simple restauration dans son intégrité. On ne p</w:t>
      </w:r>
      <w:r w:rsidR="006D7C8F">
        <w:rPr>
          <w:sz w:val="20"/>
          <w:szCs w:val="20"/>
        </w:rPr>
        <w:t xml:space="preserve">eut que percevoir certaines connivences avec les préoccupations écologiques actuelles (voir l’encyclique </w:t>
      </w:r>
      <w:proofErr w:type="spellStart"/>
      <w:r w:rsidR="006D7C8F" w:rsidRPr="006D7C8F">
        <w:rPr>
          <w:i/>
          <w:sz w:val="20"/>
          <w:szCs w:val="20"/>
        </w:rPr>
        <w:t>Laudato</w:t>
      </w:r>
      <w:proofErr w:type="spellEnd"/>
      <w:r w:rsidR="006D7C8F" w:rsidRPr="006D7C8F">
        <w:rPr>
          <w:i/>
          <w:sz w:val="20"/>
          <w:szCs w:val="20"/>
        </w:rPr>
        <w:t xml:space="preserve"> si’</w:t>
      </w:r>
      <w:r w:rsidR="006D7C8F">
        <w:rPr>
          <w:sz w:val="20"/>
          <w:szCs w:val="20"/>
        </w:rPr>
        <w:t xml:space="preserve"> du pape François).</w:t>
      </w:r>
    </w:p>
  </w:footnote>
  <w:footnote w:id="3">
    <w:p w14:paraId="56CF1181" w14:textId="25F11AA3" w:rsidR="00A9556F" w:rsidRPr="003A6958" w:rsidRDefault="00A9556F" w:rsidP="00A9556F">
      <w:pPr>
        <w:pStyle w:val="Notedebasdepage"/>
        <w:jc w:val="both"/>
        <w:rPr>
          <w:sz w:val="20"/>
          <w:szCs w:val="20"/>
          <w:lang w:val="fr-BE"/>
        </w:rPr>
      </w:pPr>
      <w:r w:rsidRPr="00A9556F">
        <w:rPr>
          <w:rStyle w:val="Appelnotedebasdep"/>
          <w:sz w:val="20"/>
          <w:szCs w:val="20"/>
        </w:rPr>
        <w:footnoteRef/>
      </w:r>
      <w:r w:rsidRPr="00A9556F">
        <w:rPr>
          <w:sz w:val="20"/>
          <w:szCs w:val="20"/>
        </w:rPr>
        <w:t xml:space="preserve"> </w:t>
      </w:r>
      <w:r>
        <w:rPr>
          <w:sz w:val="20"/>
          <w:szCs w:val="20"/>
        </w:rPr>
        <w:t>Le mot « œcuménisme » apparaît dans les années 1920, signifiant par le fait même l’apparition d’une réalité nouvelle. L’œcuménisme contemporain est daté symboliquement de 1910, année de la première conférence mondiale des missions anglicanes et protestantes à Édimbourg, qui signa la prise de conscience par ces missionnaires des divisions scandaleuses et donc inacceptables entre ceux qui annoncent l’Évangile de l’amour et de la réconciliation.</w:t>
      </w:r>
    </w:p>
  </w:footnote>
  <w:footnote w:id="4">
    <w:p w14:paraId="7CDC9B27" w14:textId="16960422" w:rsidR="004068DE" w:rsidRPr="004068DE" w:rsidRDefault="004068DE" w:rsidP="00C61E96">
      <w:pPr>
        <w:pStyle w:val="Notedebasdepage"/>
        <w:jc w:val="both"/>
        <w:rPr>
          <w:sz w:val="20"/>
          <w:szCs w:val="20"/>
        </w:rPr>
      </w:pPr>
      <w:r w:rsidRPr="004068DE">
        <w:rPr>
          <w:rStyle w:val="Appelnotedebasdep"/>
          <w:sz w:val="20"/>
          <w:szCs w:val="20"/>
        </w:rPr>
        <w:footnoteRef/>
      </w:r>
      <w:r w:rsidRPr="004068DE">
        <w:rPr>
          <w:sz w:val="20"/>
          <w:szCs w:val="20"/>
        </w:rPr>
        <w:t xml:space="preserve"> </w:t>
      </w:r>
      <w:r>
        <w:rPr>
          <w:sz w:val="20"/>
          <w:szCs w:val="20"/>
        </w:rPr>
        <w:t xml:space="preserve">Cette congrégation a été fondée à Saint-Quentin (Aisne, France) en 1878 par Léon-Jean </w:t>
      </w:r>
      <w:proofErr w:type="spellStart"/>
      <w:r>
        <w:rPr>
          <w:sz w:val="20"/>
          <w:szCs w:val="20"/>
        </w:rPr>
        <w:t>Dehon</w:t>
      </w:r>
      <w:proofErr w:type="spellEnd"/>
      <w:r>
        <w:rPr>
          <w:sz w:val="20"/>
          <w:szCs w:val="20"/>
        </w:rPr>
        <w:t xml:space="preserve"> (1843-1925).</w:t>
      </w:r>
      <w:r w:rsidR="00A073E0">
        <w:rPr>
          <w:sz w:val="20"/>
          <w:szCs w:val="20"/>
        </w:rPr>
        <w:t xml:space="preserve"> Adresse du Généralat : </w:t>
      </w:r>
      <w:proofErr w:type="spellStart"/>
      <w:r w:rsidR="00A073E0">
        <w:rPr>
          <w:sz w:val="20"/>
          <w:szCs w:val="20"/>
        </w:rPr>
        <w:t>Sacerdoti</w:t>
      </w:r>
      <w:proofErr w:type="spellEnd"/>
      <w:r w:rsidR="00A073E0">
        <w:rPr>
          <w:sz w:val="20"/>
          <w:szCs w:val="20"/>
        </w:rPr>
        <w:t xml:space="preserve"> </w:t>
      </w:r>
      <w:proofErr w:type="spellStart"/>
      <w:r w:rsidR="00A073E0">
        <w:rPr>
          <w:sz w:val="20"/>
          <w:szCs w:val="20"/>
        </w:rPr>
        <w:t>del</w:t>
      </w:r>
      <w:proofErr w:type="spellEnd"/>
      <w:r w:rsidR="00A073E0">
        <w:rPr>
          <w:sz w:val="20"/>
          <w:szCs w:val="20"/>
        </w:rPr>
        <w:t xml:space="preserve"> Sacro </w:t>
      </w:r>
      <w:proofErr w:type="spellStart"/>
      <w:r w:rsidR="00A073E0">
        <w:rPr>
          <w:sz w:val="20"/>
          <w:szCs w:val="20"/>
        </w:rPr>
        <w:t>Cuore</w:t>
      </w:r>
      <w:proofErr w:type="spellEnd"/>
      <w:r w:rsidR="00A073E0">
        <w:rPr>
          <w:sz w:val="20"/>
          <w:szCs w:val="20"/>
        </w:rPr>
        <w:t xml:space="preserve"> du </w:t>
      </w:r>
      <w:proofErr w:type="spellStart"/>
      <w:r w:rsidR="00A073E0">
        <w:rPr>
          <w:sz w:val="20"/>
          <w:szCs w:val="20"/>
        </w:rPr>
        <w:t>Gesù</w:t>
      </w:r>
      <w:proofErr w:type="spellEnd"/>
      <w:r w:rsidR="00A073E0">
        <w:rPr>
          <w:sz w:val="20"/>
          <w:szCs w:val="20"/>
        </w:rPr>
        <w:t xml:space="preserve">, Via </w:t>
      </w:r>
      <w:proofErr w:type="spellStart"/>
      <w:r w:rsidR="00A073E0">
        <w:rPr>
          <w:sz w:val="20"/>
          <w:szCs w:val="20"/>
        </w:rPr>
        <w:t>del</w:t>
      </w:r>
      <w:proofErr w:type="spellEnd"/>
      <w:r w:rsidR="00A073E0">
        <w:rPr>
          <w:sz w:val="20"/>
          <w:szCs w:val="20"/>
        </w:rPr>
        <w:t xml:space="preserve"> </w:t>
      </w:r>
      <w:proofErr w:type="spellStart"/>
      <w:r w:rsidR="00A073E0">
        <w:rPr>
          <w:sz w:val="20"/>
          <w:szCs w:val="20"/>
        </w:rPr>
        <w:t>Casale</w:t>
      </w:r>
      <w:proofErr w:type="spellEnd"/>
      <w:r w:rsidR="00A073E0">
        <w:rPr>
          <w:sz w:val="20"/>
          <w:szCs w:val="20"/>
        </w:rPr>
        <w:t xml:space="preserve"> di S. Pio V, 20, I-00165 Roma.</w:t>
      </w:r>
    </w:p>
  </w:footnote>
  <w:footnote w:id="5">
    <w:p w14:paraId="61B2862A" w14:textId="4552EC63" w:rsidR="007F7F0A" w:rsidRPr="007F7F0A" w:rsidRDefault="007F7F0A" w:rsidP="00C61E96">
      <w:pPr>
        <w:pStyle w:val="Notedebasdepage"/>
        <w:jc w:val="both"/>
        <w:rPr>
          <w:sz w:val="20"/>
          <w:szCs w:val="20"/>
        </w:rPr>
      </w:pPr>
      <w:r w:rsidRPr="007F7F0A">
        <w:rPr>
          <w:rStyle w:val="Appelnotedebasdep"/>
          <w:sz w:val="20"/>
          <w:szCs w:val="20"/>
        </w:rPr>
        <w:footnoteRef/>
      </w:r>
      <w:r w:rsidRPr="007F7F0A">
        <w:rPr>
          <w:sz w:val="20"/>
          <w:szCs w:val="20"/>
        </w:rPr>
        <w:t xml:space="preserve"> </w:t>
      </w:r>
      <w:r>
        <w:rPr>
          <w:sz w:val="20"/>
          <w:szCs w:val="20"/>
        </w:rPr>
        <w:t xml:space="preserve">Cette Règle de Vie fut adoptée </w:t>
      </w:r>
      <w:r w:rsidRPr="007F7F0A">
        <w:rPr>
          <w:i/>
          <w:iCs/>
          <w:sz w:val="20"/>
          <w:szCs w:val="20"/>
        </w:rPr>
        <w:t xml:space="preserve">ad </w:t>
      </w:r>
      <w:proofErr w:type="spellStart"/>
      <w:r w:rsidRPr="007F7F0A">
        <w:rPr>
          <w:i/>
          <w:iCs/>
          <w:sz w:val="20"/>
          <w:szCs w:val="20"/>
        </w:rPr>
        <w:t>experimentum</w:t>
      </w:r>
      <w:proofErr w:type="spellEnd"/>
      <w:r>
        <w:rPr>
          <w:sz w:val="20"/>
          <w:szCs w:val="20"/>
        </w:rPr>
        <w:t xml:space="preserve"> au Chapitre Général de 1973</w:t>
      </w:r>
      <w:r w:rsidR="00C61E96">
        <w:rPr>
          <w:sz w:val="20"/>
          <w:szCs w:val="20"/>
        </w:rPr>
        <w:t>, autorisée, avec des modifications, comme Constitutions au chapitre suivant de 1979 et approuvée par le Saint-Siège en 1982.</w:t>
      </w:r>
    </w:p>
  </w:footnote>
  <w:footnote w:id="6">
    <w:p w14:paraId="47B52DEE" w14:textId="76A4C974" w:rsidR="00AF7DD9" w:rsidRPr="003A6958" w:rsidRDefault="00AF7DD9" w:rsidP="00981803">
      <w:pPr>
        <w:pStyle w:val="Notedebasdepage"/>
        <w:jc w:val="both"/>
        <w:rPr>
          <w:sz w:val="20"/>
          <w:szCs w:val="20"/>
          <w:lang w:val="fr-BE"/>
        </w:rPr>
      </w:pPr>
      <w:r w:rsidRPr="00981803">
        <w:rPr>
          <w:rStyle w:val="Appelnotedebasdep"/>
          <w:sz w:val="20"/>
          <w:szCs w:val="20"/>
        </w:rPr>
        <w:footnoteRef/>
      </w:r>
      <w:r w:rsidRPr="00981803">
        <w:rPr>
          <w:sz w:val="20"/>
          <w:szCs w:val="20"/>
        </w:rPr>
        <w:t xml:space="preserve"> </w:t>
      </w:r>
      <w:r w:rsidR="00981803" w:rsidRPr="004B577C">
        <w:rPr>
          <w:i/>
          <w:sz w:val="20"/>
          <w:szCs w:val="20"/>
        </w:rPr>
        <w:t>Concile œcuménique Vatican II</w:t>
      </w:r>
      <w:r w:rsidR="00981803">
        <w:rPr>
          <w:sz w:val="20"/>
          <w:szCs w:val="20"/>
        </w:rPr>
        <w:t xml:space="preserve">, Paris, Éd. du Centurion, 1967, p. </w:t>
      </w:r>
      <w:r w:rsidR="004B577C">
        <w:rPr>
          <w:sz w:val="20"/>
          <w:szCs w:val="20"/>
        </w:rPr>
        <w:t>605.</w:t>
      </w:r>
    </w:p>
  </w:footnote>
  <w:footnote w:id="7">
    <w:p w14:paraId="36066A87" w14:textId="06D52F6B" w:rsidR="00323A77" w:rsidRPr="003A6958" w:rsidRDefault="00323A77" w:rsidP="00323A77">
      <w:pPr>
        <w:pStyle w:val="Notedebasdepage"/>
        <w:jc w:val="both"/>
        <w:rPr>
          <w:sz w:val="20"/>
          <w:szCs w:val="20"/>
          <w:lang w:val="fr-BE"/>
        </w:rPr>
      </w:pPr>
      <w:r w:rsidRPr="00323A77">
        <w:rPr>
          <w:rStyle w:val="Appelnotedebasdep"/>
          <w:sz w:val="20"/>
          <w:szCs w:val="20"/>
        </w:rPr>
        <w:footnoteRef/>
      </w:r>
      <w:r w:rsidRPr="00323A77">
        <w:rPr>
          <w:sz w:val="20"/>
          <w:szCs w:val="20"/>
        </w:rPr>
        <w:t xml:space="preserve"> </w:t>
      </w:r>
      <w:r w:rsidRPr="00323A77">
        <w:rPr>
          <w:rFonts w:cs="Times New Roman"/>
          <w:sz w:val="20"/>
          <w:szCs w:val="20"/>
        </w:rPr>
        <w:t>Voir</w:t>
      </w:r>
      <w:r>
        <w:rPr>
          <w:rFonts w:cs="Times New Roman"/>
          <w:sz w:val="20"/>
          <w:szCs w:val="20"/>
        </w:rPr>
        <w:t>, par exemple,</w:t>
      </w:r>
      <w:r w:rsidRPr="00323A77">
        <w:rPr>
          <w:rFonts w:cs="Times New Roman"/>
          <w:sz w:val="20"/>
          <w:szCs w:val="20"/>
        </w:rPr>
        <w:t xml:space="preserve"> les quatre gros volumes de </w:t>
      </w:r>
      <w:proofErr w:type="spellStart"/>
      <w:r w:rsidRPr="00323A77">
        <w:rPr>
          <w:rFonts w:cs="Times New Roman"/>
          <w:i/>
          <w:sz w:val="20"/>
          <w:szCs w:val="20"/>
        </w:rPr>
        <w:t>Growth</w:t>
      </w:r>
      <w:proofErr w:type="spellEnd"/>
      <w:r w:rsidRPr="00323A77">
        <w:rPr>
          <w:rFonts w:cs="Times New Roman"/>
          <w:i/>
          <w:sz w:val="20"/>
          <w:szCs w:val="20"/>
        </w:rPr>
        <w:t xml:space="preserve"> in Agreement</w:t>
      </w:r>
      <w:r w:rsidRPr="00323A77">
        <w:rPr>
          <w:rFonts w:cs="Times New Roman"/>
          <w:sz w:val="20"/>
          <w:szCs w:val="20"/>
        </w:rPr>
        <w:t xml:space="preserve">, publiés au WCC à Genève dans la collection </w:t>
      </w:r>
      <w:r w:rsidRPr="00323A77">
        <w:rPr>
          <w:rFonts w:cs="Times New Roman"/>
          <w:i/>
          <w:sz w:val="20"/>
          <w:szCs w:val="20"/>
        </w:rPr>
        <w:t xml:space="preserve">Faith and </w:t>
      </w:r>
      <w:proofErr w:type="spellStart"/>
      <w:r w:rsidRPr="00323A77">
        <w:rPr>
          <w:rFonts w:cs="Times New Roman"/>
          <w:i/>
          <w:sz w:val="20"/>
          <w:szCs w:val="20"/>
        </w:rPr>
        <w:t>Order</w:t>
      </w:r>
      <w:proofErr w:type="spellEnd"/>
      <w:r w:rsidRPr="00323A77">
        <w:rPr>
          <w:rFonts w:cs="Times New Roman"/>
          <w:i/>
          <w:sz w:val="20"/>
          <w:szCs w:val="20"/>
        </w:rPr>
        <w:t xml:space="preserve"> Paper</w:t>
      </w:r>
      <w:r w:rsidRPr="00323A77">
        <w:rPr>
          <w:rFonts w:cs="Times New Roman"/>
          <w:sz w:val="20"/>
          <w:szCs w:val="20"/>
        </w:rPr>
        <w:t xml:space="preserve"> entre 1984 et 2017, et totalisant plus de 3000 pages de rapports et accords œcuméniques internationaux (jusqu’à l’année 2014).</w:t>
      </w:r>
    </w:p>
  </w:footnote>
  <w:footnote w:id="8">
    <w:p w14:paraId="0B7B60AC" w14:textId="546E054E" w:rsidR="004B577C" w:rsidRPr="003A6958" w:rsidRDefault="004B577C" w:rsidP="004B577C">
      <w:pPr>
        <w:pStyle w:val="Notedebasdepage"/>
        <w:jc w:val="both"/>
        <w:rPr>
          <w:sz w:val="20"/>
          <w:szCs w:val="20"/>
          <w:lang w:val="fr-BE"/>
        </w:rPr>
      </w:pPr>
      <w:r w:rsidRPr="004B577C">
        <w:rPr>
          <w:rStyle w:val="Appelnotedebasdep"/>
          <w:sz w:val="20"/>
          <w:szCs w:val="20"/>
        </w:rPr>
        <w:footnoteRef/>
      </w:r>
      <w:r w:rsidRPr="004B577C">
        <w:rPr>
          <w:sz w:val="20"/>
          <w:szCs w:val="20"/>
        </w:rPr>
        <w:t xml:space="preserve"> </w:t>
      </w:r>
      <w:r w:rsidRPr="004B577C">
        <w:rPr>
          <w:i/>
          <w:sz w:val="20"/>
          <w:szCs w:val="20"/>
        </w:rPr>
        <w:t>Concile œcuménique Vatican II</w:t>
      </w:r>
      <w:r>
        <w:rPr>
          <w:sz w:val="20"/>
          <w:szCs w:val="20"/>
        </w:rPr>
        <w:t xml:space="preserve">, </w:t>
      </w:r>
      <w:r w:rsidR="008F04DC" w:rsidRPr="008F04DC">
        <w:rPr>
          <w:i/>
          <w:iCs/>
          <w:sz w:val="20"/>
          <w:szCs w:val="20"/>
        </w:rPr>
        <w:t xml:space="preserve">op. </w:t>
      </w:r>
      <w:proofErr w:type="spellStart"/>
      <w:r w:rsidR="008F04DC" w:rsidRPr="008F04DC">
        <w:rPr>
          <w:i/>
          <w:iCs/>
          <w:sz w:val="20"/>
          <w:szCs w:val="20"/>
        </w:rPr>
        <w:t>cit</w:t>
      </w:r>
      <w:proofErr w:type="spellEnd"/>
      <w:r w:rsidR="008F04DC" w:rsidRPr="008F04DC">
        <w:rPr>
          <w:i/>
          <w:iCs/>
          <w:sz w:val="20"/>
          <w:szCs w:val="20"/>
        </w:rPr>
        <w:t>.</w:t>
      </w:r>
      <w:r>
        <w:rPr>
          <w:sz w:val="20"/>
          <w:szCs w:val="20"/>
        </w:rPr>
        <w:t>, p. 617.</w:t>
      </w:r>
    </w:p>
  </w:footnote>
  <w:footnote w:id="9">
    <w:p w14:paraId="47AFFB64" w14:textId="503FEEDF" w:rsidR="0098245E" w:rsidRPr="003A6958" w:rsidRDefault="0098245E" w:rsidP="0098245E">
      <w:pPr>
        <w:pStyle w:val="Notedebasdepage"/>
        <w:jc w:val="both"/>
        <w:rPr>
          <w:sz w:val="20"/>
          <w:szCs w:val="20"/>
          <w:lang w:val="fr-BE"/>
        </w:rPr>
      </w:pPr>
      <w:r w:rsidRPr="0098245E">
        <w:rPr>
          <w:rStyle w:val="Appelnotedebasdep"/>
          <w:sz w:val="20"/>
          <w:szCs w:val="20"/>
        </w:rPr>
        <w:footnoteRef/>
      </w:r>
      <w:r w:rsidRPr="0098245E">
        <w:rPr>
          <w:sz w:val="20"/>
          <w:szCs w:val="20"/>
        </w:rPr>
        <w:t xml:space="preserve"> </w:t>
      </w:r>
      <w:r w:rsidRPr="0098245E">
        <w:rPr>
          <w:i/>
          <w:sz w:val="20"/>
          <w:szCs w:val="20"/>
        </w:rPr>
        <w:t>Chrétiens désunis. Principes d’un « œcuménisme » catholique</w:t>
      </w:r>
      <w:r>
        <w:rPr>
          <w:sz w:val="20"/>
          <w:szCs w:val="20"/>
        </w:rPr>
        <w:t xml:space="preserve"> (</w:t>
      </w:r>
      <w:proofErr w:type="spellStart"/>
      <w:r>
        <w:rPr>
          <w:sz w:val="20"/>
          <w:szCs w:val="20"/>
        </w:rPr>
        <w:t>Unam</w:t>
      </w:r>
      <w:proofErr w:type="spellEnd"/>
      <w:r>
        <w:rPr>
          <w:sz w:val="20"/>
          <w:szCs w:val="20"/>
        </w:rPr>
        <w:t xml:space="preserve"> </w:t>
      </w:r>
      <w:proofErr w:type="spellStart"/>
      <w:r>
        <w:rPr>
          <w:sz w:val="20"/>
          <w:szCs w:val="20"/>
        </w:rPr>
        <w:t>Sanctam</w:t>
      </w:r>
      <w:proofErr w:type="spellEnd"/>
      <w:r>
        <w:rPr>
          <w:sz w:val="20"/>
          <w:szCs w:val="20"/>
        </w:rPr>
        <w:t>, 1), Paris, Éd. du Cerf, 1937.</w:t>
      </w:r>
    </w:p>
  </w:footnote>
  <w:footnote w:id="10">
    <w:p w14:paraId="1EB22D60" w14:textId="435ED3FF" w:rsidR="00B728BF" w:rsidRPr="003A6958" w:rsidRDefault="00B728BF" w:rsidP="00B728BF">
      <w:pPr>
        <w:pStyle w:val="Notedebasdepage"/>
        <w:jc w:val="both"/>
        <w:rPr>
          <w:sz w:val="20"/>
          <w:szCs w:val="20"/>
          <w:lang w:val="fr-BE"/>
        </w:rPr>
      </w:pPr>
      <w:r w:rsidRPr="00B728BF">
        <w:rPr>
          <w:rStyle w:val="Appelnotedebasdep"/>
          <w:sz w:val="20"/>
          <w:szCs w:val="20"/>
        </w:rPr>
        <w:footnoteRef/>
      </w:r>
      <w:r w:rsidRPr="00B728BF">
        <w:rPr>
          <w:sz w:val="20"/>
          <w:szCs w:val="20"/>
        </w:rPr>
        <w:t xml:space="preserve"> </w:t>
      </w:r>
      <w:r w:rsidRPr="004B577C">
        <w:rPr>
          <w:i/>
          <w:sz w:val="20"/>
          <w:szCs w:val="20"/>
        </w:rPr>
        <w:t>Concile œcuménique Vatican II</w:t>
      </w:r>
      <w:r>
        <w:rPr>
          <w:sz w:val="20"/>
          <w:szCs w:val="20"/>
        </w:rPr>
        <w:t xml:space="preserve">, </w:t>
      </w:r>
      <w:r w:rsidR="008F04DC" w:rsidRPr="008F04DC">
        <w:rPr>
          <w:i/>
          <w:iCs/>
          <w:sz w:val="20"/>
          <w:szCs w:val="20"/>
        </w:rPr>
        <w:t xml:space="preserve">op. </w:t>
      </w:r>
      <w:proofErr w:type="spellStart"/>
      <w:r w:rsidR="008F04DC" w:rsidRPr="008F04DC">
        <w:rPr>
          <w:i/>
          <w:iCs/>
          <w:sz w:val="20"/>
          <w:szCs w:val="20"/>
        </w:rPr>
        <w:t>cit</w:t>
      </w:r>
      <w:proofErr w:type="spellEnd"/>
      <w:r w:rsidR="008F04DC" w:rsidRPr="008F04DC">
        <w:rPr>
          <w:i/>
          <w:iCs/>
          <w:sz w:val="20"/>
          <w:szCs w:val="20"/>
        </w:rPr>
        <w:t>.</w:t>
      </w:r>
      <w:r>
        <w:rPr>
          <w:sz w:val="20"/>
          <w:szCs w:val="20"/>
        </w:rPr>
        <w:t>, p. 620.</w:t>
      </w:r>
    </w:p>
  </w:footnote>
  <w:footnote w:id="11">
    <w:p w14:paraId="61A2EB82" w14:textId="73D37252" w:rsidR="00340DEA" w:rsidRPr="00F21101" w:rsidRDefault="00340DEA" w:rsidP="00340DEA">
      <w:pPr>
        <w:pStyle w:val="Notedebasdepage"/>
        <w:jc w:val="both"/>
        <w:rPr>
          <w:sz w:val="20"/>
          <w:szCs w:val="20"/>
          <w:lang w:val="fr-BE"/>
        </w:rPr>
      </w:pPr>
      <w:r w:rsidRPr="00340DEA">
        <w:rPr>
          <w:rStyle w:val="Appelnotedebasdep"/>
          <w:sz w:val="20"/>
          <w:szCs w:val="20"/>
        </w:rPr>
        <w:footnoteRef/>
      </w:r>
      <w:r w:rsidRPr="00F21101">
        <w:rPr>
          <w:sz w:val="20"/>
          <w:szCs w:val="20"/>
          <w:lang w:val="fr-BE"/>
        </w:rPr>
        <w:t xml:space="preserve"> Cf. </w:t>
      </w:r>
      <w:r w:rsidRPr="00F21101">
        <w:rPr>
          <w:i/>
          <w:iCs/>
          <w:sz w:val="20"/>
          <w:szCs w:val="20"/>
          <w:lang w:val="fr-BE"/>
        </w:rPr>
        <w:t xml:space="preserve">Documenta XIV (quarta </w:t>
      </w:r>
      <w:proofErr w:type="spellStart"/>
      <w:r w:rsidRPr="00F21101">
        <w:rPr>
          <w:i/>
          <w:iCs/>
          <w:sz w:val="20"/>
          <w:szCs w:val="20"/>
          <w:lang w:val="fr-BE"/>
        </w:rPr>
        <w:t>conferentia</w:t>
      </w:r>
      <w:proofErr w:type="spellEnd"/>
      <w:r w:rsidRPr="00F21101">
        <w:rPr>
          <w:i/>
          <w:iCs/>
          <w:sz w:val="20"/>
          <w:szCs w:val="20"/>
          <w:lang w:val="fr-BE"/>
        </w:rPr>
        <w:t xml:space="preserve"> </w:t>
      </w:r>
      <w:proofErr w:type="spellStart"/>
      <w:r w:rsidRPr="00F21101">
        <w:rPr>
          <w:i/>
          <w:iCs/>
          <w:sz w:val="20"/>
          <w:szCs w:val="20"/>
          <w:lang w:val="fr-BE"/>
        </w:rPr>
        <w:t>generalis</w:t>
      </w:r>
      <w:proofErr w:type="spellEnd"/>
      <w:r w:rsidRPr="00F21101">
        <w:rPr>
          <w:i/>
          <w:iCs/>
          <w:sz w:val="20"/>
          <w:szCs w:val="20"/>
          <w:lang w:val="fr-BE"/>
        </w:rPr>
        <w:t>)</w:t>
      </w:r>
      <w:r w:rsidRPr="00F21101">
        <w:rPr>
          <w:sz w:val="20"/>
          <w:szCs w:val="20"/>
          <w:lang w:val="fr-BE"/>
        </w:rPr>
        <w:t xml:space="preserve">, </w:t>
      </w:r>
      <w:proofErr w:type="spellStart"/>
      <w:r w:rsidRPr="00F21101">
        <w:rPr>
          <w:sz w:val="20"/>
          <w:szCs w:val="20"/>
          <w:lang w:val="fr-BE"/>
        </w:rPr>
        <w:t>Romae</w:t>
      </w:r>
      <w:proofErr w:type="spellEnd"/>
      <w:r w:rsidRPr="00F21101">
        <w:rPr>
          <w:sz w:val="20"/>
          <w:szCs w:val="20"/>
          <w:lang w:val="fr-BE"/>
        </w:rPr>
        <w:t xml:space="preserve">, </w:t>
      </w:r>
      <w:proofErr w:type="spellStart"/>
      <w:r w:rsidRPr="00F21101">
        <w:rPr>
          <w:sz w:val="20"/>
          <w:szCs w:val="20"/>
          <w:lang w:val="fr-BE"/>
        </w:rPr>
        <w:t>Apud</w:t>
      </w:r>
      <w:proofErr w:type="spellEnd"/>
      <w:r w:rsidRPr="00F21101">
        <w:rPr>
          <w:sz w:val="20"/>
          <w:szCs w:val="20"/>
          <w:lang w:val="fr-BE"/>
        </w:rPr>
        <w:t xml:space="preserve"> </w:t>
      </w:r>
      <w:proofErr w:type="spellStart"/>
      <w:r w:rsidRPr="00F21101">
        <w:rPr>
          <w:sz w:val="20"/>
          <w:szCs w:val="20"/>
          <w:lang w:val="fr-BE"/>
        </w:rPr>
        <w:t>Curiam</w:t>
      </w:r>
      <w:proofErr w:type="spellEnd"/>
      <w:r w:rsidRPr="00F21101">
        <w:rPr>
          <w:sz w:val="20"/>
          <w:szCs w:val="20"/>
          <w:lang w:val="fr-BE"/>
        </w:rPr>
        <w:t xml:space="preserve"> </w:t>
      </w:r>
      <w:proofErr w:type="spellStart"/>
      <w:r w:rsidRPr="00F21101">
        <w:rPr>
          <w:sz w:val="20"/>
          <w:szCs w:val="20"/>
          <w:lang w:val="fr-BE"/>
        </w:rPr>
        <w:t>Generalem</w:t>
      </w:r>
      <w:proofErr w:type="spellEnd"/>
      <w:r w:rsidRPr="00F21101">
        <w:rPr>
          <w:sz w:val="20"/>
          <w:szCs w:val="20"/>
          <w:lang w:val="fr-BE"/>
        </w:rPr>
        <w:t xml:space="preserve"> </w:t>
      </w:r>
      <w:proofErr w:type="spellStart"/>
      <w:r w:rsidRPr="00F21101">
        <w:rPr>
          <w:sz w:val="20"/>
          <w:szCs w:val="20"/>
          <w:lang w:val="fr-BE"/>
        </w:rPr>
        <w:t>Congregationis</w:t>
      </w:r>
      <w:proofErr w:type="spellEnd"/>
      <w:r w:rsidRPr="00F21101">
        <w:rPr>
          <w:sz w:val="20"/>
          <w:szCs w:val="20"/>
          <w:lang w:val="fr-BE"/>
        </w:rPr>
        <w:t xml:space="preserve"> </w:t>
      </w:r>
      <w:proofErr w:type="spellStart"/>
      <w:r w:rsidRPr="00F21101">
        <w:rPr>
          <w:sz w:val="20"/>
          <w:szCs w:val="20"/>
          <w:lang w:val="fr-BE"/>
        </w:rPr>
        <w:t>Sacerdotum</w:t>
      </w:r>
      <w:proofErr w:type="spellEnd"/>
      <w:r w:rsidRPr="00F21101">
        <w:rPr>
          <w:sz w:val="20"/>
          <w:szCs w:val="20"/>
          <w:lang w:val="fr-BE"/>
        </w:rPr>
        <w:t xml:space="preserve"> a Sacro Corde </w:t>
      </w:r>
      <w:proofErr w:type="spellStart"/>
      <w:r w:rsidRPr="00F21101">
        <w:rPr>
          <w:sz w:val="20"/>
          <w:szCs w:val="20"/>
          <w:lang w:val="fr-BE"/>
        </w:rPr>
        <w:t>Jesu</w:t>
      </w:r>
      <w:proofErr w:type="spellEnd"/>
      <w:r w:rsidRPr="00F21101">
        <w:rPr>
          <w:sz w:val="20"/>
          <w:szCs w:val="20"/>
          <w:lang w:val="fr-BE"/>
        </w:rPr>
        <w:t>, 1988.</w:t>
      </w:r>
    </w:p>
  </w:footnote>
  <w:footnote w:id="12">
    <w:p w14:paraId="1FA19B19" w14:textId="0DA87AB8" w:rsidR="00E93658" w:rsidRPr="00E93658" w:rsidRDefault="00E93658" w:rsidP="00E93658">
      <w:pPr>
        <w:pStyle w:val="Notedebasdepage"/>
        <w:jc w:val="both"/>
        <w:rPr>
          <w:sz w:val="20"/>
          <w:szCs w:val="20"/>
          <w:lang w:val="fr-BE"/>
        </w:rPr>
      </w:pPr>
      <w:r w:rsidRPr="00E93658">
        <w:rPr>
          <w:rStyle w:val="Appelnotedebasdep"/>
          <w:sz w:val="20"/>
          <w:szCs w:val="20"/>
        </w:rPr>
        <w:footnoteRef/>
      </w:r>
      <w:r w:rsidRPr="00E93658">
        <w:rPr>
          <w:sz w:val="20"/>
          <w:szCs w:val="20"/>
        </w:rPr>
        <w:t xml:space="preserve"> </w:t>
      </w:r>
      <w:r>
        <w:rPr>
          <w:sz w:val="20"/>
          <w:szCs w:val="20"/>
        </w:rPr>
        <w:t xml:space="preserve">Cf. Stefan </w:t>
      </w:r>
      <w:proofErr w:type="spellStart"/>
      <w:r>
        <w:rPr>
          <w:sz w:val="20"/>
          <w:szCs w:val="20"/>
        </w:rPr>
        <w:t>T</w:t>
      </w:r>
      <w:r w:rsidRPr="00E93658">
        <w:rPr>
          <w:rFonts w:cs="Times New Roman (Corps CS)"/>
          <w:smallCaps/>
          <w:sz w:val="20"/>
          <w:szCs w:val="20"/>
        </w:rPr>
        <w:t>ertünte</w:t>
      </w:r>
      <w:proofErr w:type="spellEnd"/>
      <w:r>
        <w:rPr>
          <w:sz w:val="20"/>
          <w:szCs w:val="20"/>
        </w:rPr>
        <w:t xml:space="preserve">, « La </w:t>
      </w:r>
      <w:proofErr w:type="spellStart"/>
      <w:r>
        <w:rPr>
          <w:sz w:val="20"/>
          <w:szCs w:val="20"/>
        </w:rPr>
        <w:t>riflessione</w:t>
      </w:r>
      <w:proofErr w:type="spellEnd"/>
      <w:r>
        <w:rPr>
          <w:sz w:val="20"/>
          <w:szCs w:val="20"/>
        </w:rPr>
        <w:t xml:space="preserve"> </w:t>
      </w:r>
      <w:proofErr w:type="spellStart"/>
      <w:r>
        <w:rPr>
          <w:sz w:val="20"/>
          <w:szCs w:val="20"/>
        </w:rPr>
        <w:t>dehoniana</w:t>
      </w:r>
      <w:proofErr w:type="spellEnd"/>
      <w:r>
        <w:rPr>
          <w:sz w:val="20"/>
          <w:szCs w:val="20"/>
        </w:rPr>
        <w:t xml:space="preserve"> </w:t>
      </w:r>
      <w:proofErr w:type="spellStart"/>
      <w:r>
        <w:rPr>
          <w:sz w:val="20"/>
          <w:szCs w:val="20"/>
        </w:rPr>
        <w:t>sulla</w:t>
      </w:r>
      <w:proofErr w:type="spellEnd"/>
      <w:r>
        <w:rPr>
          <w:sz w:val="20"/>
          <w:szCs w:val="20"/>
        </w:rPr>
        <w:t xml:space="preserve"> </w:t>
      </w:r>
      <w:proofErr w:type="spellStart"/>
      <w:r>
        <w:rPr>
          <w:sz w:val="20"/>
          <w:szCs w:val="20"/>
        </w:rPr>
        <w:t>riparazione</w:t>
      </w:r>
      <w:proofErr w:type="spellEnd"/>
      <w:r>
        <w:rPr>
          <w:sz w:val="20"/>
          <w:szCs w:val="20"/>
        </w:rPr>
        <w:t xml:space="preserve"> », in </w:t>
      </w:r>
      <w:proofErr w:type="spellStart"/>
      <w:r w:rsidRPr="00E93658">
        <w:rPr>
          <w:i/>
          <w:iCs/>
          <w:sz w:val="20"/>
          <w:szCs w:val="20"/>
        </w:rPr>
        <w:t>Dehoniana</w:t>
      </w:r>
      <w:proofErr w:type="spellEnd"/>
      <w:r>
        <w:rPr>
          <w:sz w:val="20"/>
          <w:szCs w:val="20"/>
        </w:rPr>
        <w:t xml:space="preserve">, Anno XX – 2022, p. 29-38, spécialement 33-36. </w:t>
      </w:r>
    </w:p>
  </w:footnote>
  <w:footnote w:id="13">
    <w:p w14:paraId="0925C544" w14:textId="5C12DCE4" w:rsidR="0039706D" w:rsidRPr="00762BD1" w:rsidRDefault="0039706D" w:rsidP="0039706D">
      <w:pPr>
        <w:pStyle w:val="Notedebasdepage"/>
        <w:jc w:val="both"/>
        <w:rPr>
          <w:sz w:val="20"/>
          <w:szCs w:val="20"/>
          <w:lang w:val="fr-BE"/>
        </w:rPr>
      </w:pPr>
      <w:r w:rsidRPr="0039706D">
        <w:rPr>
          <w:rStyle w:val="Appelnotedebasdep"/>
          <w:sz w:val="20"/>
          <w:szCs w:val="20"/>
        </w:rPr>
        <w:footnoteRef/>
      </w:r>
      <w:r w:rsidRPr="0039706D">
        <w:rPr>
          <w:sz w:val="20"/>
          <w:szCs w:val="20"/>
        </w:rPr>
        <w:t xml:space="preserve"> </w:t>
      </w:r>
      <w:r>
        <w:rPr>
          <w:sz w:val="20"/>
          <w:szCs w:val="20"/>
        </w:rPr>
        <w:t xml:space="preserve">Cf. </w:t>
      </w:r>
      <w:r w:rsidRPr="0039706D">
        <w:rPr>
          <w:i/>
          <w:iCs/>
          <w:sz w:val="20"/>
          <w:szCs w:val="20"/>
        </w:rPr>
        <w:t>Documenta XIV</w:t>
      </w:r>
      <w:r>
        <w:rPr>
          <w:sz w:val="20"/>
          <w:szCs w:val="20"/>
        </w:rPr>
        <w:t>, p. 97-103.</w:t>
      </w:r>
    </w:p>
  </w:footnote>
  <w:footnote w:id="14">
    <w:p w14:paraId="178BA399" w14:textId="73DB0FE6" w:rsidR="003740FC" w:rsidRPr="003740FC" w:rsidRDefault="003740FC" w:rsidP="003740FC">
      <w:pPr>
        <w:pStyle w:val="Notedebasdepage"/>
        <w:jc w:val="both"/>
        <w:rPr>
          <w:sz w:val="20"/>
          <w:szCs w:val="20"/>
        </w:rPr>
      </w:pPr>
      <w:r w:rsidRPr="003740FC">
        <w:rPr>
          <w:rStyle w:val="Appelnotedebasdep"/>
          <w:sz w:val="20"/>
          <w:szCs w:val="20"/>
        </w:rPr>
        <w:footnoteRef/>
      </w:r>
      <w:r w:rsidRPr="003740FC">
        <w:rPr>
          <w:sz w:val="20"/>
          <w:szCs w:val="20"/>
        </w:rPr>
        <w:t xml:space="preserve"> </w:t>
      </w:r>
      <w:r>
        <w:rPr>
          <w:sz w:val="20"/>
          <w:szCs w:val="20"/>
        </w:rPr>
        <w:t xml:space="preserve">Cette double face de la réparation, spirituelle et apostolique (et même spécifiquement sociale), est également soulignée dans la récente encyclique </w:t>
      </w:r>
      <w:proofErr w:type="spellStart"/>
      <w:r w:rsidRPr="003740FC">
        <w:rPr>
          <w:i/>
          <w:iCs/>
          <w:sz w:val="20"/>
          <w:szCs w:val="20"/>
        </w:rPr>
        <w:t>Dilexit</w:t>
      </w:r>
      <w:proofErr w:type="spellEnd"/>
      <w:r w:rsidRPr="003740FC">
        <w:rPr>
          <w:i/>
          <w:iCs/>
          <w:sz w:val="20"/>
          <w:szCs w:val="20"/>
        </w:rPr>
        <w:t xml:space="preserve"> nos</w:t>
      </w:r>
      <w:r>
        <w:rPr>
          <w:sz w:val="20"/>
          <w:szCs w:val="20"/>
        </w:rPr>
        <w:t xml:space="preserve"> du pape François sur l’amour humain et divin du Cœur de Jésus-Christ, n° 181-194, </w:t>
      </w:r>
      <w:r w:rsidR="00553A52">
        <w:rPr>
          <w:sz w:val="20"/>
          <w:szCs w:val="20"/>
        </w:rPr>
        <w:t xml:space="preserve">181 (« quel sens nous devons donner à la ‘réparation’ que nous offrons au Cœur du Christ, ce que le Seigneur attend vraiment que nous réparions avec l’aide de sa grâce (…) dans un esprit de réparation plus conforme à l’Évangile ») et </w:t>
      </w:r>
      <w:r>
        <w:rPr>
          <w:sz w:val="20"/>
          <w:szCs w:val="20"/>
        </w:rPr>
        <w:t>182 notamment</w:t>
      </w:r>
      <w:r w:rsidR="00881A9E">
        <w:rPr>
          <w:sz w:val="20"/>
          <w:szCs w:val="20"/>
        </w:rPr>
        <w:t>,</w:t>
      </w:r>
      <w:r>
        <w:rPr>
          <w:sz w:val="20"/>
          <w:szCs w:val="20"/>
        </w:rPr>
        <w:t xml:space="preserve"> sous-titré </w:t>
      </w:r>
      <w:r w:rsidRPr="003740FC">
        <w:rPr>
          <w:i/>
          <w:iCs/>
          <w:sz w:val="20"/>
          <w:szCs w:val="20"/>
        </w:rPr>
        <w:t>Sens social de la réparation au Cœur du Christ</w:t>
      </w:r>
      <w:r>
        <w:rPr>
          <w:sz w:val="20"/>
          <w:szCs w:val="20"/>
        </w:rPr>
        <w:t> : « Avec le Christ, nous sommes appelés à construire une nouvelle civilisation de l’amour sur les ruines</w:t>
      </w:r>
      <w:r w:rsidR="00881A9E">
        <w:rPr>
          <w:sz w:val="20"/>
          <w:szCs w:val="20"/>
        </w:rPr>
        <w:t xml:space="preserve"> que nous avons laissées en ce monde par notre péché. Telle est la réparation que le Cœur du Christ attend de nous. Au milieu du désastre laissé par le mal, le Cœur du Christ veut avoir besoin de notre collaboration pour reconstruire le bien et le beau</w:t>
      </w:r>
      <w:r w:rsidR="008E40E8">
        <w:rPr>
          <w:sz w:val="20"/>
          <w:szCs w:val="20"/>
        </w:rPr>
        <w:t>. »</w:t>
      </w:r>
      <w:r w:rsidR="00B872F1">
        <w:rPr>
          <w:sz w:val="20"/>
          <w:szCs w:val="20"/>
        </w:rPr>
        <w:t xml:space="preserve"> Voir aussi n° 184 : « C’est précisément parce que la réparation évangélique a cette forte signification sociale que nos actes d’amour, de service, de réconciliation, pour être effectivement réparateurs, ont besoin que le Christ les pousse, les motive, les rende possibles. (…) La réparation chrétienne ne peut être comprise uniquement comme un ensemble d’œuvres extérieures</w:t>
      </w:r>
      <w:r w:rsidR="005D0F5A">
        <w:rPr>
          <w:sz w:val="20"/>
          <w:szCs w:val="20"/>
        </w:rPr>
        <w:t xml:space="preserve"> (…). Elle exige une mystique (…). »</w:t>
      </w:r>
    </w:p>
  </w:footnote>
  <w:footnote w:id="15">
    <w:p w14:paraId="6CFD9C57" w14:textId="7E5DC646" w:rsidR="00E917B8" w:rsidRPr="00E917B8" w:rsidRDefault="00E917B8" w:rsidP="00E917B8">
      <w:pPr>
        <w:pStyle w:val="Notedebasdepage"/>
        <w:jc w:val="both"/>
        <w:rPr>
          <w:sz w:val="20"/>
          <w:szCs w:val="20"/>
          <w:lang w:val="fr-BE"/>
        </w:rPr>
      </w:pPr>
      <w:r w:rsidRPr="00E917B8">
        <w:rPr>
          <w:rStyle w:val="Appelnotedebasdep"/>
          <w:sz w:val="20"/>
          <w:szCs w:val="20"/>
        </w:rPr>
        <w:footnoteRef/>
      </w:r>
      <w:r w:rsidRPr="00E917B8">
        <w:rPr>
          <w:sz w:val="20"/>
          <w:szCs w:val="20"/>
        </w:rPr>
        <w:t xml:space="preserve"> </w:t>
      </w:r>
      <w:r>
        <w:rPr>
          <w:sz w:val="20"/>
          <w:szCs w:val="20"/>
        </w:rPr>
        <w:t xml:space="preserve">Ici, nous mettons </w:t>
      </w:r>
      <w:r w:rsidR="00496376">
        <w:rPr>
          <w:sz w:val="20"/>
          <w:szCs w:val="20"/>
        </w:rPr>
        <w:t>« </w:t>
      </w:r>
      <w:r>
        <w:rPr>
          <w:sz w:val="20"/>
          <w:szCs w:val="20"/>
        </w:rPr>
        <w:t>nous</w:t>
      </w:r>
      <w:r w:rsidR="00496376">
        <w:rPr>
          <w:sz w:val="20"/>
          <w:szCs w:val="20"/>
        </w:rPr>
        <w:t> »</w:t>
      </w:r>
      <w:r>
        <w:rPr>
          <w:sz w:val="20"/>
          <w:szCs w:val="20"/>
        </w:rPr>
        <w:t xml:space="preserve"> et </w:t>
      </w:r>
      <w:r w:rsidR="00496376">
        <w:rPr>
          <w:sz w:val="20"/>
          <w:szCs w:val="20"/>
        </w:rPr>
        <w:t>« </w:t>
      </w:r>
      <w:r>
        <w:rPr>
          <w:sz w:val="20"/>
          <w:szCs w:val="20"/>
        </w:rPr>
        <w:t>notre</w:t>
      </w:r>
      <w:r w:rsidR="00496376">
        <w:rPr>
          <w:sz w:val="20"/>
          <w:szCs w:val="20"/>
        </w:rPr>
        <w:t> »</w:t>
      </w:r>
      <w:r>
        <w:rPr>
          <w:sz w:val="20"/>
          <w:szCs w:val="20"/>
        </w:rPr>
        <w:t xml:space="preserve"> entre </w:t>
      </w:r>
      <w:r w:rsidR="00496376">
        <w:rPr>
          <w:sz w:val="20"/>
          <w:szCs w:val="20"/>
        </w:rPr>
        <w:t>guillemets pour indiquer que ce sont les Dehoniens qui parlent d’eux-mêmes, de leur charisme, de leur spiritualité et de leur apostolat.</w:t>
      </w:r>
    </w:p>
  </w:footnote>
  <w:footnote w:id="16">
    <w:p w14:paraId="695E3B01" w14:textId="39B99C83" w:rsidR="00CE4E6E" w:rsidRPr="00E917B8" w:rsidRDefault="00CE4E6E" w:rsidP="00CE4E6E">
      <w:pPr>
        <w:pStyle w:val="Notedebasdepage"/>
        <w:jc w:val="both"/>
        <w:rPr>
          <w:sz w:val="20"/>
          <w:szCs w:val="20"/>
          <w:lang w:val="fr-BE"/>
        </w:rPr>
      </w:pPr>
      <w:r w:rsidRPr="00CE4E6E">
        <w:rPr>
          <w:rStyle w:val="Appelnotedebasdep"/>
          <w:sz w:val="20"/>
          <w:szCs w:val="20"/>
        </w:rPr>
        <w:footnoteRef/>
      </w:r>
      <w:r w:rsidRPr="00CE4E6E">
        <w:rPr>
          <w:sz w:val="20"/>
          <w:szCs w:val="20"/>
        </w:rPr>
        <w:t xml:space="preserve"> </w:t>
      </w:r>
      <w:r w:rsidRPr="0039706D">
        <w:rPr>
          <w:i/>
          <w:iCs/>
          <w:sz w:val="20"/>
          <w:szCs w:val="20"/>
        </w:rPr>
        <w:t>Documenta XIV</w:t>
      </w:r>
      <w:r>
        <w:rPr>
          <w:sz w:val="20"/>
          <w:szCs w:val="20"/>
        </w:rPr>
        <w:t>, p. 102.</w:t>
      </w:r>
      <w:r w:rsidR="00ED28FE">
        <w:rPr>
          <w:sz w:val="20"/>
          <w:szCs w:val="20"/>
        </w:rPr>
        <w:t xml:space="preserve"> Nous soulignons.</w:t>
      </w:r>
    </w:p>
  </w:footnote>
  <w:footnote w:id="17">
    <w:p w14:paraId="6F7DE4E6" w14:textId="3E4A4A2C" w:rsidR="00BD57A1" w:rsidRPr="00BD57A1" w:rsidRDefault="00BD57A1" w:rsidP="00BD57A1">
      <w:pPr>
        <w:pStyle w:val="Notedebasdepage"/>
        <w:jc w:val="both"/>
        <w:rPr>
          <w:sz w:val="20"/>
          <w:szCs w:val="20"/>
          <w:lang w:val="fr-BE"/>
        </w:rPr>
      </w:pPr>
      <w:r w:rsidRPr="00BD57A1">
        <w:rPr>
          <w:rStyle w:val="Appelnotedebasdep"/>
          <w:sz w:val="20"/>
          <w:szCs w:val="20"/>
        </w:rPr>
        <w:footnoteRef/>
      </w:r>
      <w:r w:rsidRPr="00BD57A1">
        <w:rPr>
          <w:sz w:val="20"/>
          <w:szCs w:val="20"/>
        </w:rPr>
        <w:t xml:space="preserve"> </w:t>
      </w:r>
      <w:r>
        <w:rPr>
          <w:sz w:val="20"/>
          <w:szCs w:val="20"/>
        </w:rPr>
        <w:t xml:space="preserve">Cf. Stefan </w:t>
      </w:r>
      <w:proofErr w:type="spellStart"/>
      <w:r>
        <w:rPr>
          <w:sz w:val="20"/>
          <w:szCs w:val="20"/>
        </w:rPr>
        <w:t>T</w:t>
      </w:r>
      <w:r w:rsidRPr="00E93658">
        <w:rPr>
          <w:rFonts w:cs="Times New Roman (Corps CS)"/>
          <w:smallCaps/>
          <w:sz w:val="20"/>
          <w:szCs w:val="20"/>
        </w:rPr>
        <w:t>ertünte</w:t>
      </w:r>
      <w:proofErr w:type="spellEnd"/>
      <w:r>
        <w:rPr>
          <w:sz w:val="20"/>
          <w:szCs w:val="20"/>
        </w:rPr>
        <w:t xml:space="preserve">, « La </w:t>
      </w:r>
      <w:proofErr w:type="spellStart"/>
      <w:r>
        <w:rPr>
          <w:sz w:val="20"/>
          <w:szCs w:val="20"/>
        </w:rPr>
        <w:t>riflessione</w:t>
      </w:r>
      <w:proofErr w:type="spellEnd"/>
      <w:r>
        <w:rPr>
          <w:sz w:val="20"/>
          <w:szCs w:val="20"/>
        </w:rPr>
        <w:t xml:space="preserve"> </w:t>
      </w:r>
      <w:proofErr w:type="spellStart"/>
      <w:r>
        <w:rPr>
          <w:sz w:val="20"/>
          <w:szCs w:val="20"/>
        </w:rPr>
        <w:t>dehoniana</w:t>
      </w:r>
      <w:proofErr w:type="spellEnd"/>
      <w:r>
        <w:rPr>
          <w:sz w:val="20"/>
          <w:szCs w:val="20"/>
        </w:rPr>
        <w:t xml:space="preserve"> </w:t>
      </w:r>
      <w:proofErr w:type="spellStart"/>
      <w:r>
        <w:rPr>
          <w:sz w:val="20"/>
          <w:szCs w:val="20"/>
        </w:rPr>
        <w:t>sulla</w:t>
      </w:r>
      <w:proofErr w:type="spellEnd"/>
      <w:r>
        <w:rPr>
          <w:sz w:val="20"/>
          <w:szCs w:val="20"/>
        </w:rPr>
        <w:t xml:space="preserve"> </w:t>
      </w:r>
      <w:proofErr w:type="spellStart"/>
      <w:r>
        <w:rPr>
          <w:sz w:val="20"/>
          <w:szCs w:val="20"/>
        </w:rPr>
        <w:t>riparazione</w:t>
      </w:r>
      <w:proofErr w:type="spellEnd"/>
      <w:r>
        <w:rPr>
          <w:sz w:val="20"/>
          <w:szCs w:val="20"/>
        </w:rPr>
        <w:t xml:space="preserve"> », </w:t>
      </w:r>
      <w:r w:rsidRPr="00BD57A1">
        <w:rPr>
          <w:i/>
          <w:iCs/>
          <w:sz w:val="20"/>
          <w:szCs w:val="20"/>
        </w:rPr>
        <w:t xml:space="preserve">art. </w:t>
      </w:r>
      <w:proofErr w:type="spellStart"/>
      <w:r w:rsidRPr="00BD57A1">
        <w:rPr>
          <w:i/>
          <w:iCs/>
          <w:sz w:val="20"/>
          <w:szCs w:val="20"/>
        </w:rPr>
        <w:t>cit</w:t>
      </w:r>
      <w:proofErr w:type="spellEnd"/>
      <w:r w:rsidRPr="00BD57A1">
        <w:rPr>
          <w:i/>
          <w:iCs/>
          <w:sz w:val="20"/>
          <w:szCs w:val="20"/>
        </w:rPr>
        <w:t>.</w:t>
      </w:r>
      <w:r>
        <w:rPr>
          <w:sz w:val="20"/>
          <w:szCs w:val="20"/>
        </w:rPr>
        <w:t>, p. 35-36.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B969" w14:textId="77777777" w:rsidR="00101440" w:rsidRDefault="00170413" w:rsidP="004F2562">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68AC7B0" w14:textId="77777777" w:rsidR="00101440" w:rsidRDefault="00101440" w:rsidP="00D2191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C58A" w14:textId="77777777" w:rsidR="00101440" w:rsidRDefault="00170413" w:rsidP="004F2562">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E5B95">
      <w:rPr>
        <w:rStyle w:val="Numrodepage"/>
        <w:noProof/>
      </w:rPr>
      <w:t>6</w:t>
    </w:r>
    <w:r>
      <w:rPr>
        <w:rStyle w:val="Numrodepage"/>
      </w:rPr>
      <w:fldChar w:fldCharType="end"/>
    </w:r>
  </w:p>
  <w:p w14:paraId="120E499A" w14:textId="77777777" w:rsidR="00101440" w:rsidRDefault="00101440" w:rsidP="00D21915">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1B53"/>
    <w:multiLevelType w:val="hybridMultilevel"/>
    <w:tmpl w:val="DEC48288"/>
    <w:lvl w:ilvl="0" w:tplc="9A705E3A">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ACE3587"/>
    <w:multiLevelType w:val="hybridMultilevel"/>
    <w:tmpl w:val="4C78297C"/>
    <w:lvl w:ilvl="0" w:tplc="9A705E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84064279">
    <w:abstractNumId w:val="1"/>
  </w:num>
  <w:num w:numId="2" w16cid:durableId="169372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E38"/>
    <w:rsid w:val="00020BED"/>
    <w:rsid w:val="00024CFB"/>
    <w:rsid w:val="00072C47"/>
    <w:rsid w:val="00073D45"/>
    <w:rsid w:val="00080212"/>
    <w:rsid w:val="000A4B98"/>
    <w:rsid w:val="000A5979"/>
    <w:rsid w:val="000A7F85"/>
    <w:rsid w:val="000B2295"/>
    <w:rsid w:val="00101440"/>
    <w:rsid w:val="00111F0F"/>
    <w:rsid w:val="00137BC4"/>
    <w:rsid w:val="00170413"/>
    <w:rsid w:val="001E5B95"/>
    <w:rsid w:val="00204C6A"/>
    <w:rsid w:val="0021349E"/>
    <w:rsid w:val="00222C40"/>
    <w:rsid w:val="00225565"/>
    <w:rsid w:val="0026204E"/>
    <w:rsid w:val="002878BC"/>
    <w:rsid w:val="00294103"/>
    <w:rsid w:val="002A1C96"/>
    <w:rsid w:val="002A58B9"/>
    <w:rsid w:val="002B4EF2"/>
    <w:rsid w:val="002C3AA7"/>
    <w:rsid w:val="002E3CFC"/>
    <w:rsid w:val="003038EB"/>
    <w:rsid w:val="00323A77"/>
    <w:rsid w:val="00340DEA"/>
    <w:rsid w:val="003462D3"/>
    <w:rsid w:val="00351889"/>
    <w:rsid w:val="003632A2"/>
    <w:rsid w:val="003740FC"/>
    <w:rsid w:val="003935BF"/>
    <w:rsid w:val="0039706D"/>
    <w:rsid w:val="003A6958"/>
    <w:rsid w:val="003C6E7A"/>
    <w:rsid w:val="003D65D6"/>
    <w:rsid w:val="004068DE"/>
    <w:rsid w:val="00412F3A"/>
    <w:rsid w:val="00422114"/>
    <w:rsid w:val="00496376"/>
    <w:rsid w:val="004B4B90"/>
    <w:rsid w:val="004B577C"/>
    <w:rsid w:val="004C7FA4"/>
    <w:rsid w:val="004E08EE"/>
    <w:rsid w:val="004F1FE9"/>
    <w:rsid w:val="004F3AD4"/>
    <w:rsid w:val="005403D1"/>
    <w:rsid w:val="00544D9D"/>
    <w:rsid w:val="00553A52"/>
    <w:rsid w:val="00574723"/>
    <w:rsid w:val="00582612"/>
    <w:rsid w:val="005A5F3F"/>
    <w:rsid w:val="005D0F5A"/>
    <w:rsid w:val="006838BE"/>
    <w:rsid w:val="00694408"/>
    <w:rsid w:val="006D7C8F"/>
    <w:rsid w:val="006E30B6"/>
    <w:rsid w:val="00700F86"/>
    <w:rsid w:val="007354D4"/>
    <w:rsid w:val="00741CE9"/>
    <w:rsid w:val="00752B3B"/>
    <w:rsid w:val="00762BD1"/>
    <w:rsid w:val="007A130D"/>
    <w:rsid w:val="007F7F0A"/>
    <w:rsid w:val="00832965"/>
    <w:rsid w:val="0083321F"/>
    <w:rsid w:val="00881A9E"/>
    <w:rsid w:val="00892D60"/>
    <w:rsid w:val="008C3E7B"/>
    <w:rsid w:val="008E40E8"/>
    <w:rsid w:val="008F04DC"/>
    <w:rsid w:val="008F1832"/>
    <w:rsid w:val="00914882"/>
    <w:rsid w:val="00945681"/>
    <w:rsid w:val="00956142"/>
    <w:rsid w:val="00976DBE"/>
    <w:rsid w:val="00981803"/>
    <w:rsid w:val="0098245E"/>
    <w:rsid w:val="009C1B0D"/>
    <w:rsid w:val="009C5267"/>
    <w:rsid w:val="009C68D8"/>
    <w:rsid w:val="009D5F68"/>
    <w:rsid w:val="009F501A"/>
    <w:rsid w:val="00A0178F"/>
    <w:rsid w:val="00A03B5F"/>
    <w:rsid w:val="00A073E0"/>
    <w:rsid w:val="00A51508"/>
    <w:rsid w:val="00A87999"/>
    <w:rsid w:val="00A9556F"/>
    <w:rsid w:val="00A96342"/>
    <w:rsid w:val="00AD54F1"/>
    <w:rsid w:val="00AF5EC7"/>
    <w:rsid w:val="00AF7DD9"/>
    <w:rsid w:val="00B02C8C"/>
    <w:rsid w:val="00B17112"/>
    <w:rsid w:val="00B30A0E"/>
    <w:rsid w:val="00B36489"/>
    <w:rsid w:val="00B66A47"/>
    <w:rsid w:val="00B728BF"/>
    <w:rsid w:val="00B872F1"/>
    <w:rsid w:val="00BA4AEB"/>
    <w:rsid w:val="00BD57A1"/>
    <w:rsid w:val="00BF43F8"/>
    <w:rsid w:val="00C11476"/>
    <w:rsid w:val="00C14CF6"/>
    <w:rsid w:val="00C3511C"/>
    <w:rsid w:val="00C61E96"/>
    <w:rsid w:val="00C76F04"/>
    <w:rsid w:val="00CB2CF5"/>
    <w:rsid w:val="00CD0135"/>
    <w:rsid w:val="00CE4E6E"/>
    <w:rsid w:val="00D90033"/>
    <w:rsid w:val="00D94994"/>
    <w:rsid w:val="00D96C3A"/>
    <w:rsid w:val="00DD2139"/>
    <w:rsid w:val="00DF4C6F"/>
    <w:rsid w:val="00E71614"/>
    <w:rsid w:val="00E7217E"/>
    <w:rsid w:val="00E917B8"/>
    <w:rsid w:val="00E91E84"/>
    <w:rsid w:val="00E92962"/>
    <w:rsid w:val="00E93658"/>
    <w:rsid w:val="00EB2075"/>
    <w:rsid w:val="00ED28FE"/>
    <w:rsid w:val="00ED40F7"/>
    <w:rsid w:val="00F21101"/>
    <w:rsid w:val="00F36AD0"/>
    <w:rsid w:val="00F513F1"/>
    <w:rsid w:val="00F60E38"/>
    <w:rsid w:val="00F8767B"/>
    <w:rsid w:val="00FE65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406D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0E3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60E38"/>
    <w:pPr>
      <w:tabs>
        <w:tab w:val="center" w:pos="4536"/>
        <w:tab w:val="right" w:pos="9072"/>
      </w:tabs>
    </w:pPr>
  </w:style>
  <w:style w:type="character" w:customStyle="1" w:styleId="En-tteCar">
    <w:name w:val="En-tête Car"/>
    <w:basedOn w:val="Policepardfaut"/>
    <w:link w:val="En-tte"/>
    <w:uiPriority w:val="99"/>
    <w:rsid w:val="00F60E38"/>
  </w:style>
  <w:style w:type="paragraph" w:styleId="Pieddepage">
    <w:name w:val="footer"/>
    <w:basedOn w:val="Normal"/>
    <w:link w:val="PieddepageCar"/>
    <w:uiPriority w:val="99"/>
    <w:unhideWhenUsed/>
    <w:rsid w:val="00F60E38"/>
    <w:pPr>
      <w:tabs>
        <w:tab w:val="center" w:pos="4536"/>
        <w:tab w:val="right" w:pos="9072"/>
      </w:tabs>
    </w:pPr>
  </w:style>
  <w:style w:type="character" w:customStyle="1" w:styleId="PieddepageCar">
    <w:name w:val="Pied de page Car"/>
    <w:basedOn w:val="Policepardfaut"/>
    <w:link w:val="Pieddepage"/>
    <w:uiPriority w:val="99"/>
    <w:rsid w:val="00F60E38"/>
  </w:style>
  <w:style w:type="paragraph" w:styleId="Paragraphedeliste">
    <w:name w:val="List Paragraph"/>
    <w:basedOn w:val="Normal"/>
    <w:uiPriority w:val="34"/>
    <w:qFormat/>
    <w:rsid w:val="00F60E38"/>
    <w:pPr>
      <w:ind w:left="720"/>
      <w:contextualSpacing/>
    </w:pPr>
  </w:style>
  <w:style w:type="character" w:styleId="Numrodepage">
    <w:name w:val="page number"/>
    <w:basedOn w:val="Policepardfaut"/>
    <w:uiPriority w:val="99"/>
    <w:semiHidden/>
    <w:unhideWhenUsed/>
    <w:rsid w:val="00F60E38"/>
  </w:style>
  <w:style w:type="paragraph" w:styleId="Notedebasdepage">
    <w:name w:val="footnote text"/>
    <w:basedOn w:val="Normal"/>
    <w:link w:val="NotedebasdepageCar"/>
    <w:uiPriority w:val="99"/>
    <w:unhideWhenUsed/>
    <w:rsid w:val="00700F86"/>
  </w:style>
  <w:style w:type="character" w:customStyle="1" w:styleId="NotedebasdepageCar">
    <w:name w:val="Note de bas de page Car"/>
    <w:basedOn w:val="Policepardfaut"/>
    <w:link w:val="Notedebasdepage"/>
    <w:uiPriority w:val="99"/>
    <w:rsid w:val="00700F86"/>
  </w:style>
  <w:style w:type="character" w:styleId="Appelnotedebasdep">
    <w:name w:val="footnote reference"/>
    <w:basedOn w:val="Policepardfaut"/>
    <w:uiPriority w:val="99"/>
    <w:unhideWhenUsed/>
    <w:rsid w:val="00700F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10</Pages>
  <Words>3338</Words>
  <Characters>17661</Characters>
  <Application>Microsoft Office Word</Application>
  <DocSecurity>0</DocSecurity>
  <Lines>259</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Famerée</dc:creator>
  <cp:keywords/>
  <dc:description/>
  <cp:lastModifiedBy>Joseph Famerée</cp:lastModifiedBy>
  <cp:revision>69</cp:revision>
  <dcterms:created xsi:type="dcterms:W3CDTF">2022-04-16T09:56:00Z</dcterms:created>
  <dcterms:modified xsi:type="dcterms:W3CDTF">2024-12-26T09:03:00Z</dcterms:modified>
</cp:coreProperties>
</file>