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6BFD8" w14:textId="7A1224CA" w:rsidR="0057095D" w:rsidRPr="00F27EB2" w:rsidRDefault="0057095D" w:rsidP="001B4074">
      <w:pPr>
        <w:spacing w:before="100" w:beforeAutospacing="1" w:after="100" w:afterAutospacing="1"/>
        <w:jc w:val="center"/>
        <w:rPr>
          <w:rFonts w:ascii="Times New Roman" w:eastAsia="Times New Roman" w:hAnsi="Times New Roman" w:cs="Times New Roman"/>
          <w:b/>
          <w:bCs/>
          <w:i/>
          <w:iCs/>
          <w:lang w:val="en-US" w:eastAsia="nl-NL"/>
        </w:rPr>
      </w:pPr>
      <w:r w:rsidRPr="00F27EB2">
        <w:rPr>
          <w:rFonts w:ascii="Times New Roman" w:eastAsia="Times New Roman" w:hAnsi="Times New Roman" w:cs="Times New Roman"/>
          <w:b/>
          <w:bCs/>
          <w:i/>
          <w:iCs/>
          <w:lang w:val="en-US" w:eastAsia="nl-NL"/>
        </w:rPr>
        <w:t>Anthropomorphisms in the Septuagint</w:t>
      </w:r>
    </w:p>
    <w:p w14:paraId="15996423" w14:textId="46A2926D" w:rsidR="0057095D" w:rsidRPr="00F27EB2" w:rsidRDefault="0057095D" w:rsidP="00565BE9">
      <w:pPr>
        <w:spacing w:before="100" w:beforeAutospacing="1" w:after="100" w:afterAutospacing="1"/>
        <w:jc w:val="center"/>
        <w:rPr>
          <w:rFonts w:ascii="Times New Roman" w:eastAsia="Times New Roman" w:hAnsi="Times New Roman" w:cs="Times New Roman"/>
          <w:b/>
          <w:bCs/>
          <w:i/>
          <w:iCs/>
          <w:lang w:val="en-US" w:eastAsia="nl-NL"/>
        </w:rPr>
      </w:pPr>
      <w:r w:rsidRPr="00F27EB2">
        <w:rPr>
          <w:rFonts w:ascii="Times New Roman" w:eastAsia="Times New Roman" w:hAnsi="Times New Roman" w:cs="Times New Roman"/>
          <w:b/>
          <w:bCs/>
          <w:i/>
          <w:iCs/>
          <w:lang w:val="en-US" w:eastAsia="nl-NL"/>
        </w:rPr>
        <w:t xml:space="preserve">Status </w:t>
      </w:r>
      <w:proofErr w:type="spellStart"/>
      <w:r w:rsidRPr="00F27EB2">
        <w:rPr>
          <w:rFonts w:ascii="Times New Roman" w:eastAsia="Times New Roman" w:hAnsi="Times New Roman" w:cs="Times New Roman"/>
          <w:b/>
          <w:bCs/>
          <w:i/>
          <w:iCs/>
          <w:lang w:val="en-US" w:eastAsia="nl-NL"/>
        </w:rPr>
        <w:t>Quaestionis</w:t>
      </w:r>
      <w:proofErr w:type="spellEnd"/>
      <w:r w:rsidRPr="00F27EB2">
        <w:rPr>
          <w:rFonts w:ascii="Times New Roman" w:eastAsia="Times New Roman" w:hAnsi="Times New Roman" w:cs="Times New Roman"/>
          <w:b/>
          <w:bCs/>
          <w:i/>
          <w:iCs/>
          <w:lang w:val="en-US" w:eastAsia="nl-NL"/>
        </w:rPr>
        <w:t xml:space="preserve"> and New Perspectives</w:t>
      </w:r>
    </w:p>
    <w:p w14:paraId="4BB26354" w14:textId="6D5AB827" w:rsidR="0057095D" w:rsidRPr="00F27EB2" w:rsidRDefault="001878C8" w:rsidP="001728C3">
      <w:pPr>
        <w:jc w:val="both"/>
        <w:rPr>
          <w:rFonts w:ascii="Times New Roman" w:hAnsi="Times New Roman" w:cs="Times New Roman"/>
          <w:lang w:val="en-US"/>
        </w:rPr>
      </w:pPr>
      <w:r w:rsidRPr="00F27EB2">
        <w:rPr>
          <w:rFonts w:ascii="Times New Roman" w:hAnsi="Times New Roman" w:cs="Times New Roman"/>
          <w:lang w:val="en-US"/>
        </w:rPr>
        <w:t xml:space="preserve"> </w:t>
      </w:r>
    </w:p>
    <w:p w14:paraId="597810E1" w14:textId="66CAD650" w:rsidR="0057095D" w:rsidRPr="00F27EB2" w:rsidRDefault="001878C8" w:rsidP="001728C3">
      <w:pPr>
        <w:jc w:val="both"/>
        <w:rPr>
          <w:rFonts w:ascii="Times New Roman" w:hAnsi="Times New Roman" w:cs="Times New Roman"/>
          <w:lang w:val="en-US"/>
        </w:rPr>
      </w:pPr>
      <w:r w:rsidRPr="00F27EB2">
        <w:rPr>
          <w:rFonts w:ascii="Times New Roman" w:hAnsi="Times New Roman" w:cs="Times New Roman"/>
          <w:lang w:val="en-US"/>
        </w:rPr>
        <w:t>A general introduction to the Septuagint</w:t>
      </w:r>
      <w:r w:rsidR="0057095D" w:rsidRPr="00F27EB2">
        <w:rPr>
          <w:rFonts w:ascii="Times New Roman" w:hAnsi="Times New Roman" w:cs="Times New Roman"/>
          <w:lang w:val="en-US"/>
        </w:rPr>
        <w:t xml:space="preserve"> (</w:t>
      </w:r>
      <w:r w:rsidR="0057095D" w:rsidRPr="00F27EB2">
        <w:rPr>
          <w:rFonts w:ascii="Times New Roman" w:hAnsi="Times New Roman" w:cs="Times New Roman"/>
          <w:smallCaps/>
          <w:lang w:val="en-US"/>
        </w:rPr>
        <w:t>lxx</w:t>
      </w:r>
      <w:r w:rsidR="0057095D" w:rsidRPr="00F27EB2">
        <w:rPr>
          <w:rFonts w:ascii="Times New Roman" w:hAnsi="Times New Roman" w:cs="Times New Roman"/>
          <w:lang w:val="en-US"/>
        </w:rPr>
        <w:t>)</w:t>
      </w:r>
      <w:r w:rsidRPr="00F27EB2">
        <w:rPr>
          <w:rFonts w:ascii="Times New Roman" w:hAnsi="Times New Roman" w:cs="Times New Roman"/>
          <w:lang w:val="en-US"/>
        </w:rPr>
        <w:t xml:space="preserve"> often </w:t>
      </w:r>
      <w:r w:rsidR="00B238AF" w:rsidRPr="00F27EB2">
        <w:rPr>
          <w:rFonts w:ascii="Times New Roman" w:hAnsi="Times New Roman" w:cs="Times New Roman"/>
          <w:lang w:val="en-US"/>
        </w:rPr>
        <w:t>asserts</w:t>
      </w:r>
      <w:r w:rsidRPr="00F27EB2">
        <w:rPr>
          <w:rFonts w:ascii="Times New Roman" w:hAnsi="Times New Roman" w:cs="Times New Roman"/>
          <w:lang w:val="en-US"/>
        </w:rPr>
        <w:t xml:space="preserve"> that the translators deliberately avoided anthropomorphisms.</w:t>
      </w:r>
      <w:r w:rsidRPr="00F27EB2">
        <w:rPr>
          <w:rStyle w:val="Voetnootmarkering"/>
          <w:rFonts w:ascii="Times New Roman" w:hAnsi="Times New Roman" w:cs="Times New Roman"/>
          <w:lang w:val="en-US"/>
        </w:rPr>
        <w:footnoteReference w:id="1"/>
      </w:r>
      <w:r w:rsidRPr="00F27EB2">
        <w:rPr>
          <w:rFonts w:ascii="Times New Roman" w:hAnsi="Times New Roman" w:cs="Times New Roman"/>
          <w:lang w:val="en-US"/>
        </w:rPr>
        <w:t xml:space="preserve"> While this theory lost some credibility,</w:t>
      </w:r>
      <w:r w:rsidRPr="00F27EB2">
        <w:rPr>
          <w:rStyle w:val="Voetnootmarkering"/>
          <w:rFonts w:ascii="Times New Roman" w:hAnsi="Times New Roman" w:cs="Times New Roman"/>
          <w:lang w:val="en-US"/>
        </w:rPr>
        <w:footnoteReference w:id="2"/>
      </w:r>
      <w:r w:rsidRPr="00F27EB2">
        <w:rPr>
          <w:rFonts w:ascii="Times New Roman" w:hAnsi="Times New Roman" w:cs="Times New Roman"/>
          <w:lang w:val="en-US"/>
        </w:rPr>
        <w:t xml:space="preserve"> the perception that the </w:t>
      </w:r>
      <w:r w:rsidR="00B238AF" w:rsidRPr="00F27EB2">
        <w:rPr>
          <w:rFonts w:ascii="Times New Roman" w:hAnsi="Times New Roman" w:cs="Times New Roman"/>
          <w:smallCaps/>
          <w:lang w:val="en-US"/>
        </w:rPr>
        <w:t>lxx</w:t>
      </w:r>
      <w:r w:rsidRPr="00F27EB2">
        <w:rPr>
          <w:rFonts w:ascii="Times New Roman" w:hAnsi="Times New Roman" w:cs="Times New Roman"/>
          <w:lang w:val="en-US"/>
        </w:rPr>
        <w:t xml:space="preserve"> presents a more transcendent</w:t>
      </w:r>
      <w:r w:rsidR="00B238AF" w:rsidRPr="00F27EB2">
        <w:rPr>
          <w:rFonts w:ascii="Times New Roman" w:hAnsi="Times New Roman" w:cs="Times New Roman"/>
          <w:lang w:val="en-US"/>
        </w:rPr>
        <w:t xml:space="preserve">, </w:t>
      </w:r>
      <w:r w:rsidRPr="00F27EB2">
        <w:rPr>
          <w:rFonts w:ascii="Times New Roman" w:hAnsi="Times New Roman" w:cs="Times New Roman"/>
          <w:lang w:val="en-US"/>
        </w:rPr>
        <w:t xml:space="preserve">less physical God persists. </w:t>
      </w:r>
      <w:r w:rsidR="00CE09E2" w:rsidRPr="00F27EB2">
        <w:rPr>
          <w:rFonts w:ascii="Times New Roman" w:hAnsi="Times New Roman" w:cs="Times New Roman"/>
          <w:lang w:val="en-US"/>
        </w:rPr>
        <w:t xml:space="preserve">The question of how </w:t>
      </w:r>
      <w:r w:rsidR="006B6965" w:rsidRPr="00F27EB2">
        <w:rPr>
          <w:rFonts w:ascii="Times New Roman" w:hAnsi="Times New Roman" w:cs="Times New Roman"/>
          <w:smallCaps/>
          <w:lang w:val="en-US"/>
        </w:rPr>
        <w:t>lxx</w:t>
      </w:r>
      <w:r w:rsidR="00CE09E2" w:rsidRPr="00F27EB2">
        <w:rPr>
          <w:rFonts w:ascii="Times New Roman" w:hAnsi="Times New Roman" w:cs="Times New Roman"/>
          <w:lang w:val="en-US"/>
        </w:rPr>
        <w:t xml:space="preserve"> treats anthropomorphisms</w:t>
      </w:r>
      <w:r w:rsidR="00EA1B44" w:rsidRPr="00F27EB2">
        <w:rPr>
          <w:rFonts w:ascii="Times New Roman" w:hAnsi="Times New Roman" w:cs="Times New Roman"/>
          <w:lang w:val="en-US"/>
        </w:rPr>
        <w:t xml:space="preserve"> – </w:t>
      </w:r>
      <w:r w:rsidR="00CE09E2" w:rsidRPr="00F27EB2">
        <w:rPr>
          <w:rFonts w:ascii="Times New Roman" w:hAnsi="Times New Roman" w:cs="Times New Roman"/>
          <w:lang w:val="en-US"/>
        </w:rPr>
        <w:t>descriptions of God in human terms, whether physical or psychological</w:t>
      </w:r>
      <w:r w:rsidR="00EA1B44" w:rsidRPr="00F27EB2">
        <w:rPr>
          <w:rFonts w:ascii="Times New Roman" w:hAnsi="Times New Roman" w:cs="Times New Roman"/>
          <w:lang w:val="en-US"/>
        </w:rPr>
        <w:t xml:space="preserve"> – </w:t>
      </w:r>
      <w:r w:rsidR="00CE09E2" w:rsidRPr="00F27EB2">
        <w:rPr>
          <w:rFonts w:ascii="Times New Roman" w:hAnsi="Times New Roman" w:cs="Times New Roman"/>
          <w:lang w:val="en-US"/>
        </w:rPr>
        <w:t xml:space="preserve">has a long and complex history, and scholarly consensus remains elusive. The present study offers a </w:t>
      </w:r>
      <w:r w:rsidR="00CE09E2" w:rsidRPr="00F27EB2">
        <w:rPr>
          <w:rStyle w:val="Nadruk"/>
          <w:rFonts w:ascii="Times New Roman" w:hAnsi="Times New Roman" w:cs="Times New Roman"/>
          <w:lang w:val="en-US"/>
        </w:rPr>
        <w:t xml:space="preserve">status </w:t>
      </w:r>
      <w:proofErr w:type="spellStart"/>
      <w:r w:rsidR="00CE09E2" w:rsidRPr="00F27EB2">
        <w:rPr>
          <w:rStyle w:val="Nadruk"/>
          <w:rFonts w:ascii="Times New Roman" w:hAnsi="Times New Roman" w:cs="Times New Roman"/>
          <w:lang w:val="en-US"/>
        </w:rPr>
        <w:t>quaestionis</w:t>
      </w:r>
      <w:proofErr w:type="spellEnd"/>
      <w:r w:rsidR="00CE09E2" w:rsidRPr="00F27EB2">
        <w:rPr>
          <w:rFonts w:ascii="Times New Roman" w:hAnsi="Times New Roman" w:cs="Times New Roman"/>
          <w:lang w:val="en-US"/>
        </w:rPr>
        <w:t xml:space="preserve"> of this debate, tracing its developments, </w:t>
      </w:r>
      <w:r w:rsidR="00B238AF" w:rsidRPr="00F27EB2">
        <w:rPr>
          <w:rFonts w:ascii="Times New Roman" w:hAnsi="Times New Roman" w:cs="Times New Roman"/>
          <w:lang w:val="en-US"/>
        </w:rPr>
        <w:t>problems</w:t>
      </w:r>
      <w:r w:rsidR="00CE09E2" w:rsidRPr="00F27EB2">
        <w:rPr>
          <w:rFonts w:ascii="Times New Roman" w:hAnsi="Times New Roman" w:cs="Times New Roman"/>
          <w:lang w:val="en-US"/>
        </w:rPr>
        <w:t xml:space="preserve">, and methodological shifts. To date, no comprehensive </w:t>
      </w:r>
      <w:r w:rsidRPr="00F27EB2">
        <w:rPr>
          <w:rFonts w:ascii="Times New Roman" w:hAnsi="Times New Roman" w:cs="Times New Roman"/>
          <w:lang w:val="en-US"/>
        </w:rPr>
        <w:t xml:space="preserve">overview of </w:t>
      </w:r>
      <w:proofErr w:type="spellStart"/>
      <w:r w:rsidR="00CE09E2" w:rsidRPr="00F27EB2">
        <w:rPr>
          <w:rFonts w:ascii="Times New Roman" w:hAnsi="Times New Roman" w:cs="Times New Roman"/>
          <w:smallCaps/>
          <w:lang w:val="en-US"/>
        </w:rPr>
        <w:t>lxx</w:t>
      </w:r>
      <w:r w:rsidR="00CE09E2" w:rsidRPr="00F27EB2">
        <w:rPr>
          <w:rFonts w:ascii="Times New Roman" w:hAnsi="Times New Roman" w:cs="Times New Roman"/>
          <w:lang w:val="en-US"/>
        </w:rPr>
        <w:t>’s</w:t>
      </w:r>
      <w:proofErr w:type="spellEnd"/>
      <w:r w:rsidRPr="00F27EB2">
        <w:rPr>
          <w:rFonts w:ascii="Times New Roman" w:hAnsi="Times New Roman" w:cs="Times New Roman"/>
          <w:lang w:val="en-US"/>
        </w:rPr>
        <w:t xml:space="preserve"> attitude towards anthropomorphisms</w:t>
      </w:r>
      <w:r w:rsidR="00CE09E2" w:rsidRPr="00F27EB2">
        <w:rPr>
          <w:rFonts w:ascii="Times New Roman" w:hAnsi="Times New Roman" w:cs="Times New Roman"/>
          <w:lang w:val="en-US"/>
        </w:rPr>
        <w:t xml:space="preserve"> exists</w:t>
      </w:r>
      <w:r w:rsidRPr="00F27EB2">
        <w:rPr>
          <w:rFonts w:ascii="Times New Roman" w:hAnsi="Times New Roman" w:cs="Times New Roman"/>
          <w:lang w:val="en-US"/>
        </w:rPr>
        <w:t xml:space="preserve">. </w:t>
      </w:r>
      <w:r w:rsidR="00B238AF" w:rsidRPr="00F27EB2">
        <w:rPr>
          <w:rFonts w:ascii="Times New Roman" w:hAnsi="Times New Roman" w:cs="Times New Roman"/>
          <w:lang w:val="en-US"/>
        </w:rPr>
        <w:t>Thus</w:t>
      </w:r>
      <w:r w:rsidR="00CE09E2" w:rsidRPr="00F27EB2">
        <w:rPr>
          <w:rFonts w:ascii="Times New Roman" w:hAnsi="Times New Roman" w:cs="Times New Roman"/>
          <w:lang w:val="en-US"/>
        </w:rPr>
        <w:t xml:space="preserve">, terminology is often confused, positions polarized, and conclusions from individual studies remain </w:t>
      </w:r>
      <w:proofErr w:type="spellStart"/>
      <w:r w:rsidR="00CE09E2" w:rsidRPr="00F27EB2">
        <w:rPr>
          <w:rFonts w:ascii="Times New Roman" w:hAnsi="Times New Roman" w:cs="Times New Roman"/>
          <w:lang w:val="en-US"/>
        </w:rPr>
        <w:t>unsynthesized</w:t>
      </w:r>
      <w:proofErr w:type="spellEnd"/>
      <w:r w:rsidRPr="00F27EB2">
        <w:rPr>
          <w:rFonts w:ascii="Times New Roman" w:hAnsi="Times New Roman" w:cs="Times New Roman"/>
          <w:lang w:val="en-US"/>
        </w:rPr>
        <w:t>.</w:t>
      </w:r>
      <w:r w:rsidR="006A19AE" w:rsidRPr="00F27EB2">
        <w:rPr>
          <w:rStyle w:val="Voetnootmarkering"/>
          <w:rFonts w:ascii="Times New Roman" w:hAnsi="Times New Roman" w:cs="Times New Roman"/>
          <w:lang w:val="en-US"/>
        </w:rPr>
        <w:footnoteReference w:id="3"/>
      </w:r>
      <w:r w:rsidRPr="00F27EB2">
        <w:rPr>
          <w:rFonts w:ascii="Times New Roman" w:hAnsi="Times New Roman" w:cs="Times New Roman"/>
          <w:lang w:val="en-US"/>
        </w:rPr>
        <w:t xml:space="preserve"> I </w:t>
      </w:r>
      <w:r w:rsidR="00D67A37" w:rsidRPr="00F27EB2">
        <w:rPr>
          <w:rFonts w:ascii="Times New Roman" w:hAnsi="Times New Roman" w:cs="Times New Roman"/>
          <w:lang w:val="en-US"/>
        </w:rPr>
        <w:t xml:space="preserve">first </w:t>
      </w:r>
      <w:r w:rsidRPr="00F27EB2">
        <w:rPr>
          <w:rFonts w:ascii="Times New Roman" w:hAnsi="Times New Roman" w:cs="Times New Roman"/>
          <w:lang w:val="en-US"/>
        </w:rPr>
        <w:t xml:space="preserve">present a general history of the </w:t>
      </w:r>
      <w:r w:rsidR="00D67A37" w:rsidRPr="00F27EB2">
        <w:rPr>
          <w:rFonts w:ascii="Times New Roman" w:hAnsi="Times New Roman" w:cs="Times New Roman"/>
          <w:lang w:val="en-US"/>
        </w:rPr>
        <w:t>research</w:t>
      </w:r>
      <w:r w:rsidRPr="00F27EB2">
        <w:rPr>
          <w:rFonts w:ascii="Times New Roman" w:hAnsi="Times New Roman" w:cs="Times New Roman"/>
          <w:lang w:val="en-US"/>
        </w:rPr>
        <w:t xml:space="preserve">, without attempting exhaustive coverage. I then provide a summary of the problems </w:t>
      </w:r>
      <w:r w:rsidR="00F570E8" w:rsidRPr="00F27EB2">
        <w:rPr>
          <w:rFonts w:ascii="Times New Roman" w:hAnsi="Times New Roman" w:cs="Times New Roman"/>
          <w:lang w:val="en-US"/>
        </w:rPr>
        <w:t>emerging from</w:t>
      </w:r>
      <w:r w:rsidRPr="00F27EB2">
        <w:rPr>
          <w:rFonts w:ascii="Times New Roman" w:hAnsi="Times New Roman" w:cs="Times New Roman"/>
          <w:lang w:val="en-US"/>
        </w:rPr>
        <w:t xml:space="preserve"> the</w:t>
      </w:r>
      <w:r w:rsidR="00D67A37" w:rsidRPr="00F27EB2">
        <w:rPr>
          <w:rFonts w:ascii="Times New Roman" w:hAnsi="Times New Roman" w:cs="Times New Roman"/>
          <w:lang w:val="en-US"/>
        </w:rPr>
        <w:t xml:space="preserve"> research</w:t>
      </w:r>
      <w:r w:rsidRPr="00F27EB2">
        <w:rPr>
          <w:rFonts w:ascii="Times New Roman" w:hAnsi="Times New Roman" w:cs="Times New Roman"/>
          <w:lang w:val="en-US"/>
        </w:rPr>
        <w:t xml:space="preserve"> history, </w:t>
      </w:r>
      <w:r w:rsidR="00F570E8" w:rsidRPr="00F27EB2">
        <w:rPr>
          <w:rFonts w:ascii="Times New Roman" w:hAnsi="Times New Roman" w:cs="Times New Roman"/>
          <w:lang w:val="en-US"/>
        </w:rPr>
        <w:t>offering</w:t>
      </w:r>
      <w:r w:rsidRPr="00F27EB2">
        <w:rPr>
          <w:rFonts w:ascii="Times New Roman" w:hAnsi="Times New Roman" w:cs="Times New Roman"/>
          <w:lang w:val="en-US"/>
        </w:rPr>
        <w:t xml:space="preserve"> a more comprehensive overview of the issues associated with </w:t>
      </w:r>
      <w:r w:rsidR="0057095D" w:rsidRPr="00F27EB2">
        <w:rPr>
          <w:rFonts w:ascii="Times New Roman" w:hAnsi="Times New Roman" w:cs="Times New Roman"/>
          <w:lang w:val="en-US"/>
        </w:rPr>
        <w:t>“</w:t>
      </w:r>
      <w:r w:rsidR="00F570E8" w:rsidRPr="00F27EB2">
        <w:rPr>
          <w:rFonts w:ascii="Times New Roman" w:hAnsi="Times New Roman" w:cs="Times New Roman"/>
          <w:smallCaps/>
          <w:lang w:val="en-US"/>
        </w:rPr>
        <w:t>lxx-</w:t>
      </w:r>
      <w:r w:rsidRPr="00F27EB2">
        <w:rPr>
          <w:rFonts w:ascii="Times New Roman" w:hAnsi="Times New Roman" w:cs="Times New Roman"/>
          <w:lang w:val="en-US"/>
        </w:rPr>
        <w:t>anthropomorphisms.</w:t>
      </w:r>
      <w:r w:rsidR="0057095D" w:rsidRPr="00F27EB2">
        <w:rPr>
          <w:rFonts w:ascii="Times New Roman" w:hAnsi="Times New Roman" w:cs="Times New Roman"/>
          <w:lang w:val="en-US"/>
        </w:rPr>
        <w:t>”</w:t>
      </w:r>
      <w:r w:rsidRPr="00F27EB2">
        <w:rPr>
          <w:rFonts w:ascii="Times New Roman" w:hAnsi="Times New Roman" w:cs="Times New Roman"/>
          <w:lang w:val="en-US"/>
        </w:rPr>
        <w:t xml:space="preserve"> </w:t>
      </w:r>
      <w:r w:rsidR="00D67A37" w:rsidRPr="00F27EB2">
        <w:rPr>
          <w:rFonts w:ascii="Times New Roman" w:hAnsi="Times New Roman" w:cs="Times New Roman"/>
          <w:lang w:val="en-US"/>
        </w:rPr>
        <w:t xml:space="preserve">These in turn lead to </w:t>
      </w:r>
      <w:r w:rsidRPr="00F27EB2">
        <w:rPr>
          <w:rFonts w:ascii="Times New Roman" w:hAnsi="Times New Roman" w:cs="Times New Roman"/>
          <w:lang w:val="en-US"/>
        </w:rPr>
        <w:t xml:space="preserve">methodological considerations that address these various issues and offer suggestions for further research in this area. </w:t>
      </w:r>
      <w:r w:rsidR="0057095D" w:rsidRPr="00F27EB2">
        <w:rPr>
          <w:rFonts w:ascii="Times New Roman" w:hAnsi="Times New Roman" w:cs="Times New Roman"/>
          <w:lang w:val="en-US"/>
        </w:rPr>
        <w:t xml:space="preserve">I conclude by tracing some striking strategies reflected throughout </w:t>
      </w:r>
      <w:r w:rsidR="00AC4256" w:rsidRPr="00F27EB2">
        <w:rPr>
          <w:rFonts w:ascii="Times New Roman" w:hAnsi="Times New Roman" w:cs="Times New Roman"/>
          <w:smallCaps/>
          <w:lang w:val="en-US"/>
        </w:rPr>
        <w:t>lxx</w:t>
      </w:r>
      <w:r w:rsidR="00F570E8" w:rsidRPr="00F27EB2">
        <w:rPr>
          <w:rFonts w:ascii="Times New Roman" w:hAnsi="Times New Roman" w:cs="Times New Roman"/>
          <w:lang w:val="en-US"/>
        </w:rPr>
        <w:t>-</w:t>
      </w:r>
      <w:r w:rsidR="0057095D" w:rsidRPr="00F27EB2">
        <w:rPr>
          <w:rFonts w:ascii="Times New Roman" w:hAnsi="Times New Roman" w:cs="Times New Roman"/>
          <w:lang w:val="en-US"/>
        </w:rPr>
        <w:t>translation</w:t>
      </w:r>
      <w:r w:rsidR="00F570E8" w:rsidRPr="00F27EB2">
        <w:rPr>
          <w:rFonts w:ascii="Times New Roman" w:hAnsi="Times New Roman" w:cs="Times New Roman"/>
          <w:lang w:val="en-US"/>
        </w:rPr>
        <w:t>s</w:t>
      </w:r>
      <w:r w:rsidR="0057095D" w:rsidRPr="00F27EB2">
        <w:rPr>
          <w:rFonts w:ascii="Times New Roman" w:hAnsi="Times New Roman" w:cs="Times New Roman"/>
          <w:lang w:val="en-US"/>
        </w:rPr>
        <w:t xml:space="preserve"> of anthropomorphisms, without speaking of an actual “trend.” </w:t>
      </w:r>
    </w:p>
    <w:p w14:paraId="3B543226" w14:textId="77777777" w:rsidR="0057095D" w:rsidRPr="00F27EB2" w:rsidRDefault="0057095D" w:rsidP="001728C3">
      <w:pPr>
        <w:jc w:val="both"/>
        <w:rPr>
          <w:rFonts w:ascii="Times New Roman" w:hAnsi="Times New Roman" w:cs="Times New Roman"/>
          <w:lang w:val="en-US"/>
        </w:rPr>
      </w:pPr>
    </w:p>
    <w:p w14:paraId="130BF382" w14:textId="57EC00A0" w:rsidR="0057095D" w:rsidRPr="00F27EB2" w:rsidRDefault="0057095D" w:rsidP="001728C3">
      <w:pPr>
        <w:pStyle w:val="Lijstalinea"/>
        <w:numPr>
          <w:ilvl w:val="0"/>
          <w:numId w:val="14"/>
        </w:numPr>
        <w:jc w:val="both"/>
        <w:rPr>
          <w:rFonts w:ascii="Times New Roman" w:hAnsi="Times New Roman" w:cs="Times New Roman"/>
          <w:lang w:val="en-US"/>
        </w:rPr>
      </w:pPr>
      <w:r w:rsidRPr="00F27EB2">
        <w:rPr>
          <w:rFonts w:ascii="Times New Roman" w:hAnsi="Times New Roman" w:cs="Times New Roman"/>
          <w:b/>
          <w:bCs/>
          <w:lang w:val="en-US"/>
        </w:rPr>
        <w:t xml:space="preserve">History of </w:t>
      </w:r>
      <w:r w:rsidR="00A50275" w:rsidRPr="00F27EB2">
        <w:rPr>
          <w:rFonts w:ascii="Times New Roman" w:hAnsi="Times New Roman" w:cs="Times New Roman"/>
          <w:b/>
          <w:bCs/>
          <w:lang w:val="en-US"/>
        </w:rPr>
        <w:t>R</w:t>
      </w:r>
      <w:r w:rsidRPr="00F27EB2">
        <w:rPr>
          <w:rFonts w:ascii="Times New Roman" w:hAnsi="Times New Roman" w:cs="Times New Roman"/>
          <w:b/>
          <w:bCs/>
          <w:lang w:val="en-US"/>
        </w:rPr>
        <w:t xml:space="preserve">esearch </w:t>
      </w:r>
      <w:r w:rsidR="00A50275" w:rsidRPr="00F27EB2">
        <w:rPr>
          <w:rFonts w:ascii="Times New Roman" w:hAnsi="Times New Roman" w:cs="Times New Roman"/>
          <w:b/>
          <w:bCs/>
          <w:lang w:val="en-US"/>
        </w:rPr>
        <w:t>on</w:t>
      </w:r>
      <w:r w:rsidRPr="00F27EB2">
        <w:rPr>
          <w:rFonts w:ascii="Times New Roman" w:hAnsi="Times New Roman" w:cs="Times New Roman"/>
          <w:b/>
          <w:bCs/>
          <w:lang w:val="en-US"/>
        </w:rPr>
        <w:t xml:space="preserve"> </w:t>
      </w:r>
      <w:proofErr w:type="spellStart"/>
      <w:r w:rsidRPr="00F27EB2">
        <w:rPr>
          <w:rFonts w:ascii="Times New Roman" w:hAnsi="Times New Roman" w:cs="Times New Roman"/>
          <w:b/>
          <w:bCs/>
          <w:lang w:val="en-US"/>
        </w:rPr>
        <w:t>Septuagintal</w:t>
      </w:r>
      <w:proofErr w:type="spellEnd"/>
      <w:r w:rsidRPr="00F27EB2">
        <w:rPr>
          <w:rFonts w:ascii="Times New Roman" w:hAnsi="Times New Roman" w:cs="Times New Roman"/>
          <w:b/>
          <w:bCs/>
          <w:lang w:val="en-US"/>
        </w:rPr>
        <w:t xml:space="preserve"> </w:t>
      </w:r>
      <w:r w:rsidR="00A50275" w:rsidRPr="00F27EB2">
        <w:rPr>
          <w:rFonts w:ascii="Times New Roman" w:hAnsi="Times New Roman" w:cs="Times New Roman"/>
          <w:b/>
          <w:bCs/>
          <w:lang w:val="en-US"/>
        </w:rPr>
        <w:t>A</w:t>
      </w:r>
      <w:r w:rsidRPr="00F27EB2">
        <w:rPr>
          <w:rFonts w:ascii="Times New Roman" w:hAnsi="Times New Roman" w:cs="Times New Roman"/>
          <w:b/>
          <w:bCs/>
          <w:lang w:val="en-US"/>
        </w:rPr>
        <w:t xml:space="preserve">nthropomorphisms </w:t>
      </w:r>
    </w:p>
    <w:p w14:paraId="1CDAE307" w14:textId="1D7E7EEC" w:rsidR="008251C8" w:rsidRPr="00F27EB2" w:rsidRDefault="00FC1764" w:rsidP="008251C8">
      <w:pPr>
        <w:pStyle w:val="Normaalweb"/>
        <w:spacing w:after="0" w:afterAutospacing="0"/>
        <w:jc w:val="both"/>
        <w:rPr>
          <w:lang w:val="en-US"/>
        </w:rPr>
      </w:pPr>
      <w:r w:rsidRPr="00F27EB2">
        <w:rPr>
          <w:lang w:val="en-US"/>
        </w:rPr>
        <w:t xml:space="preserve">Anthropomorphism in </w:t>
      </w:r>
      <w:r w:rsidR="00D67A37" w:rsidRPr="00F27EB2">
        <w:rPr>
          <w:smallCaps/>
          <w:lang w:val="en-US"/>
        </w:rPr>
        <w:t>lxx</w:t>
      </w:r>
      <w:r w:rsidRPr="00F27EB2">
        <w:rPr>
          <w:lang w:val="en-US"/>
        </w:rPr>
        <w:t xml:space="preserve">, </w:t>
      </w:r>
      <w:r w:rsidR="00FF077C" w:rsidRPr="00F27EB2">
        <w:rPr>
          <w:lang w:val="en-US"/>
        </w:rPr>
        <w:t>especially its</w:t>
      </w:r>
      <w:r w:rsidRPr="00F27EB2">
        <w:rPr>
          <w:lang w:val="en-US"/>
        </w:rPr>
        <w:t xml:space="preserve"> </w:t>
      </w:r>
      <w:r w:rsidR="00085A6C" w:rsidRPr="00F27EB2">
        <w:rPr>
          <w:lang w:val="en-US"/>
        </w:rPr>
        <w:t>“</w:t>
      </w:r>
      <w:r w:rsidRPr="00F27EB2">
        <w:rPr>
          <w:lang w:val="en-US"/>
        </w:rPr>
        <w:t>anti-anthropomorphic tendency</w:t>
      </w:r>
      <w:r w:rsidR="00085A6C" w:rsidRPr="00F27EB2">
        <w:rPr>
          <w:lang w:val="en-US"/>
        </w:rPr>
        <w:t>”</w:t>
      </w:r>
      <w:r w:rsidR="00FF077C" w:rsidRPr="00F27EB2">
        <w:rPr>
          <w:lang w:val="en-US"/>
        </w:rPr>
        <w:t xml:space="preserve"> </w:t>
      </w:r>
      <w:r w:rsidR="00FF077C" w:rsidRPr="00F27EB2">
        <w:rPr>
          <w:lang w:val="en-US"/>
        </w:rPr>
        <w:t>has been the focus of extensive research</w:t>
      </w:r>
      <w:r w:rsidR="00FF077C" w:rsidRPr="00F27EB2">
        <w:rPr>
          <w:lang w:val="en-US"/>
        </w:rPr>
        <w:t>.</w:t>
      </w:r>
      <w:r w:rsidRPr="00F27EB2">
        <w:rPr>
          <w:lang w:val="en-US"/>
        </w:rPr>
        <w:t xml:space="preserve"> </w:t>
      </w:r>
      <w:r w:rsidR="00B90B7F" w:rsidRPr="00F27EB2">
        <w:rPr>
          <w:lang w:val="en-US"/>
        </w:rPr>
        <w:t>The</w:t>
      </w:r>
      <w:r w:rsidR="009A7DF1" w:rsidRPr="00F27EB2">
        <w:rPr>
          <w:lang w:val="en-US"/>
        </w:rPr>
        <w:t xml:space="preserve"> </w:t>
      </w:r>
      <w:proofErr w:type="spellStart"/>
      <w:r w:rsidR="009A7DF1" w:rsidRPr="00F27EB2">
        <w:rPr>
          <w:smallCaps/>
          <w:lang w:val="en-US"/>
        </w:rPr>
        <w:t>lxx’</w:t>
      </w:r>
      <w:r w:rsidR="009A7DF1" w:rsidRPr="00F27EB2">
        <w:rPr>
          <w:lang w:val="en-US"/>
        </w:rPr>
        <w:t>s</w:t>
      </w:r>
      <w:proofErr w:type="spellEnd"/>
      <w:r w:rsidR="00B90B7F" w:rsidRPr="00F27EB2">
        <w:rPr>
          <w:lang w:val="en-US"/>
        </w:rPr>
        <w:t xml:space="preserve"> a</w:t>
      </w:r>
      <w:r w:rsidR="00FF077C" w:rsidRPr="00F27EB2">
        <w:rPr>
          <w:lang w:val="en-US"/>
        </w:rPr>
        <w:t>nti-anthropomorphism</w:t>
      </w:r>
      <w:r w:rsidR="00B90B7F" w:rsidRPr="00F27EB2">
        <w:rPr>
          <w:lang w:val="en-US"/>
        </w:rPr>
        <w:t xml:space="preserve"> </w:t>
      </w:r>
      <w:r w:rsidR="008251C8" w:rsidRPr="00F27EB2">
        <w:rPr>
          <w:lang w:val="en-US"/>
        </w:rPr>
        <w:t xml:space="preserve">has often been interpreted as evidence of Hellenistic philosophical influence or Jewish-Alexandrian theology. Yet scholars have also observed that traces of anti-anthropomorphism are already present within the </w:t>
      </w:r>
      <w:r w:rsidR="008B5C3D" w:rsidRPr="00F27EB2">
        <w:rPr>
          <w:smallCaps/>
          <w:lang w:val="en-US"/>
        </w:rPr>
        <w:t>H</w:t>
      </w:r>
      <w:r w:rsidR="008B5C3D" w:rsidRPr="00F27EB2">
        <w:rPr>
          <w:lang w:val="en-US"/>
        </w:rPr>
        <w:t>ebrew</w:t>
      </w:r>
      <w:r w:rsidR="00B90B7F" w:rsidRPr="00F27EB2">
        <w:rPr>
          <w:lang w:val="en-US"/>
        </w:rPr>
        <w:t xml:space="preserve"> text</w:t>
      </w:r>
      <w:r w:rsidR="009A7DF1" w:rsidRPr="00F27EB2">
        <w:rPr>
          <w:lang w:val="en-US"/>
        </w:rPr>
        <w:t>, which</w:t>
      </w:r>
      <w:r w:rsidR="008251C8" w:rsidRPr="00F27EB2">
        <w:rPr>
          <w:lang w:val="en-US"/>
        </w:rPr>
        <w:t xml:space="preserve"> reveals a tension: while certain passages stress God’s non-human nature (e.g. Num 23:19), others describe him in human terms (e.g. </w:t>
      </w:r>
      <w:proofErr w:type="spellStart"/>
      <w:r w:rsidR="008251C8" w:rsidRPr="00F27EB2">
        <w:rPr>
          <w:lang w:val="en-US"/>
        </w:rPr>
        <w:t>Deut</w:t>
      </w:r>
      <w:proofErr w:type="spellEnd"/>
      <w:r w:rsidR="008251C8" w:rsidRPr="00F27EB2">
        <w:rPr>
          <w:lang w:val="en-US"/>
        </w:rPr>
        <w:t xml:space="preserve"> 8:5</w:t>
      </w:r>
      <w:r w:rsidR="00FF077C" w:rsidRPr="00F27EB2">
        <w:rPr>
          <w:lang w:val="en-US"/>
        </w:rPr>
        <w:t>)</w:t>
      </w:r>
      <w:r w:rsidR="00085A6C" w:rsidRPr="00F27EB2">
        <w:rPr>
          <w:lang w:val="en-US"/>
        </w:rPr>
        <w:t>.</w:t>
      </w:r>
      <w:r w:rsidR="00085A6C" w:rsidRPr="00F27EB2">
        <w:rPr>
          <w:rStyle w:val="Voetnootmarkering"/>
          <w:lang w:val="en-US"/>
        </w:rPr>
        <w:footnoteReference w:id="4"/>
      </w:r>
      <w:r w:rsidR="00085A6C" w:rsidRPr="00F27EB2">
        <w:rPr>
          <w:lang w:val="en-US"/>
        </w:rPr>
        <w:t xml:space="preserve"> </w:t>
      </w:r>
      <w:r w:rsidR="008251C8" w:rsidRPr="00F27EB2">
        <w:rPr>
          <w:lang w:val="en-US"/>
        </w:rPr>
        <w:t xml:space="preserve">On the one hand, anthropomorphic categories </w:t>
      </w:r>
      <w:r w:rsidR="008B5C3D" w:rsidRPr="00F27EB2">
        <w:rPr>
          <w:lang w:val="en-US"/>
        </w:rPr>
        <w:t>are employed</w:t>
      </w:r>
      <w:r w:rsidR="008251C8" w:rsidRPr="00F27EB2">
        <w:rPr>
          <w:lang w:val="en-US"/>
        </w:rPr>
        <w:t xml:space="preserve">, </w:t>
      </w:r>
      <w:r w:rsidR="008B5C3D" w:rsidRPr="00F27EB2">
        <w:rPr>
          <w:lang w:val="en-US"/>
        </w:rPr>
        <w:t>speaking of God’s body</w:t>
      </w:r>
      <w:r w:rsidR="008251C8" w:rsidRPr="00F27EB2">
        <w:rPr>
          <w:lang w:val="en-US"/>
        </w:rPr>
        <w:t xml:space="preserve"> (face, eyes, hands, feet), actions (seeing, speaking, eating), emotions and thoughts, and dwelling places (mountains, the Temple)</w:t>
      </w:r>
      <w:r w:rsidR="00B90B7F" w:rsidRPr="00F27EB2">
        <w:rPr>
          <w:lang w:val="en-US"/>
        </w:rPr>
        <w:t xml:space="preserve"> – perhaps reflecting</w:t>
      </w:r>
      <w:r w:rsidR="008251C8" w:rsidRPr="00F27EB2">
        <w:rPr>
          <w:lang w:val="en-US"/>
        </w:rPr>
        <w:t xml:space="preserve"> the necessity of human language in speaking about </w:t>
      </w:r>
      <w:r w:rsidR="008B5C3D" w:rsidRPr="00F27EB2">
        <w:rPr>
          <w:lang w:val="en-US"/>
        </w:rPr>
        <w:t>God</w:t>
      </w:r>
      <w:r w:rsidR="008251C8" w:rsidRPr="00F27EB2">
        <w:rPr>
          <w:lang w:val="en-US"/>
        </w:rPr>
        <w:t>.</w:t>
      </w:r>
      <w:r w:rsidR="008251C8" w:rsidRPr="00F27EB2">
        <w:rPr>
          <w:rStyle w:val="Voetnootmarkering"/>
          <w:lang w:val="en-US"/>
        </w:rPr>
        <w:footnoteReference w:id="5"/>
      </w:r>
      <w:r w:rsidR="008251C8" w:rsidRPr="00F27EB2">
        <w:rPr>
          <w:lang w:val="en-US"/>
        </w:rPr>
        <w:t xml:space="preserve"> </w:t>
      </w:r>
      <w:r w:rsidR="00085A6C" w:rsidRPr="00F27EB2">
        <w:rPr>
          <w:lang w:val="en-US"/>
        </w:rPr>
        <w:t xml:space="preserve">On the other hand, </w:t>
      </w:r>
      <w:r w:rsidR="00AF241D" w:rsidRPr="00F27EB2">
        <w:rPr>
          <w:lang w:val="en-US"/>
        </w:rPr>
        <w:t>efforts appear to mitigate an embodied image of God,</w:t>
      </w:r>
      <w:r w:rsidRPr="00F27EB2">
        <w:rPr>
          <w:lang w:val="en-US"/>
        </w:rPr>
        <w:t xml:space="preserve"> such as prohibitions against graven images, the assertion that no one can see God and live, the use of intermediary angel, and textual modifications like the shift from </w:t>
      </w:r>
      <w:proofErr w:type="spellStart"/>
      <w:r w:rsidRPr="00F27EB2">
        <w:rPr>
          <w:i/>
          <w:iCs/>
          <w:lang w:val="en-US"/>
        </w:rPr>
        <w:t>Qal</w:t>
      </w:r>
      <w:proofErr w:type="spellEnd"/>
      <w:r w:rsidRPr="00F27EB2">
        <w:rPr>
          <w:lang w:val="en-US"/>
        </w:rPr>
        <w:t xml:space="preserve"> to </w:t>
      </w:r>
      <w:proofErr w:type="spellStart"/>
      <w:r w:rsidRPr="00F27EB2">
        <w:rPr>
          <w:i/>
          <w:iCs/>
          <w:lang w:val="en-US"/>
        </w:rPr>
        <w:t>Niphal</w:t>
      </w:r>
      <w:proofErr w:type="spellEnd"/>
      <w:r w:rsidRPr="00F27EB2">
        <w:rPr>
          <w:lang w:val="en-US"/>
        </w:rPr>
        <w:t xml:space="preserve"> in references to seeing God.</w:t>
      </w:r>
      <w:r w:rsidRPr="00F27EB2">
        <w:rPr>
          <w:rStyle w:val="Voetnootmarkering"/>
          <w:lang w:val="en-US"/>
        </w:rPr>
        <w:footnoteReference w:id="6"/>
      </w:r>
      <w:r w:rsidRPr="00F27EB2">
        <w:rPr>
          <w:lang w:val="en-US"/>
        </w:rPr>
        <w:t xml:space="preserve"> </w:t>
      </w:r>
      <w:r w:rsidR="008251C8" w:rsidRPr="00F27EB2">
        <w:rPr>
          <w:lang w:val="en-US"/>
        </w:rPr>
        <w:t xml:space="preserve">While these </w:t>
      </w:r>
      <w:r w:rsidR="008251C8" w:rsidRPr="00F27EB2">
        <w:rPr>
          <w:lang w:val="en-US"/>
        </w:rPr>
        <w:lastRenderedPageBreak/>
        <w:t xml:space="preserve">features do not amount to a systematic </w:t>
      </w:r>
      <w:r w:rsidR="00B90B7F" w:rsidRPr="00F27EB2">
        <w:rPr>
          <w:lang w:val="en-US"/>
        </w:rPr>
        <w:t>anti-anthropomorphism</w:t>
      </w:r>
      <w:r w:rsidRPr="00F27EB2">
        <w:rPr>
          <w:lang w:val="en-US"/>
        </w:rPr>
        <w:t>,</w:t>
      </w:r>
      <w:r w:rsidRPr="00F27EB2">
        <w:rPr>
          <w:rStyle w:val="Voetnootmarkering"/>
          <w:lang w:val="en-US"/>
        </w:rPr>
        <w:footnoteReference w:id="7"/>
      </w:r>
      <w:r w:rsidRPr="00F27EB2">
        <w:rPr>
          <w:lang w:val="en-US"/>
        </w:rPr>
        <w:t xml:space="preserve"> they suggest a certain </w:t>
      </w:r>
      <w:r w:rsidR="008251C8" w:rsidRPr="00F27EB2">
        <w:rPr>
          <w:lang w:val="en-US"/>
        </w:rPr>
        <w:t xml:space="preserve">unease with </w:t>
      </w:r>
      <w:r w:rsidR="00B90B7F" w:rsidRPr="00F27EB2">
        <w:rPr>
          <w:lang w:val="en-US"/>
        </w:rPr>
        <w:t>a humanlike God in the Hebrew text</w:t>
      </w:r>
      <w:r w:rsidRPr="00F27EB2">
        <w:rPr>
          <w:lang w:val="en-US"/>
        </w:rPr>
        <w:t xml:space="preserve">. </w:t>
      </w:r>
      <w:r w:rsidR="00085A6C" w:rsidRPr="00F27EB2">
        <w:rPr>
          <w:lang w:val="en-US"/>
        </w:rPr>
        <w:t xml:space="preserve">Moreover, the divine body differs from the human: </w:t>
      </w:r>
      <w:r w:rsidR="008251C8" w:rsidRPr="00F27EB2">
        <w:rPr>
          <w:rtl/>
          <w:lang w:val="en-US"/>
        </w:rPr>
        <w:t>בָּשָׂר</w:t>
      </w:r>
      <w:r w:rsidR="008251C8" w:rsidRPr="00F27EB2">
        <w:rPr>
          <w:lang w:val="en-US"/>
        </w:rPr>
        <w:t xml:space="preserve"> (“flesh”) is never used, God is not described as having lips, a tongue, a left hand, or internal organs, nor is he associated with blood, fat, gender, or illness; conversely, God’s superhuman stature</w:t>
      </w:r>
      <w:r w:rsidR="00B90B7F" w:rsidRPr="00F27EB2">
        <w:rPr>
          <w:lang w:val="en-US"/>
        </w:rPr>
        <w:t xml:space="preserve"> is stressed</w:t>
      </w:r>
      <w:r w:rsidR="00085A6C" w:rsidRPr="00F27EB2">
        <w:rPr>
          <w:lang w:val="en-US"/>
        </w:rPr>
        <w:t>.</w:t>
      </w:r>
      <w:r w:rsidR="00085A6C" w:rsidRPr="00F27EB2">
        <w:rPr>
          <w:rStyle w:val="Voetnootmarkering"/>
          <w:rFonts w:eastAsiaTheme="majorEastAsia"/>
          <w:lang w:val="en-US"/>
        </w:rPr>
        <w:footnoteReference w:id="8"/>
      </w:r>
    </w:p>
    <w:p w14:paraId="6357D3AB" w14:textId="77A7AEC1" w:rsidR="00951BD2" w:rsidRPr="00F27EB2" w:rsidRDefault="00FB0C62" w:rsidP="00951BD2">
      <w:pPr>
        <w:pStyle w:val="Normaalweb"/>
        <w:spacing w:before="0" w:beforeAutospacing="0" w:after="0" w:afterAutospacing="0"/>
        <w:ind w:firstLine="360"/>
        <w:jc w:val="both"/>
        <w:rPr>
          <w:lang w:val="en-US"/>
        </w:rPr>
      </w:pPr>
      <w:r w:rsidRPr="00F27EB2">
        <w:rPr>
          <w:lang w:val="en-US"/>
        </w:rPr>
        <w:t xml:space="preserve">Scholars </w:t>
      </w:r>
      <w:r w:rsidR="00B90B7F" w:rsidRPr="00F27EB2">
        <w:rPr>
          <w:lang w:val="en-US"/>
        </w:rPr>
        <w:t>like</w:t>
      </w:r>
      <w:r w:rsidRPr="00F27EB2">
        <w:rPr>
          <w:lang w:val="en-US"/>
        </w:rPr>
        <w:t xml:space="preserve"> </w:t>
      </w:r>
      <w:r w:rsidR="00AF241D" w:rsidRPr="00F27EB2">
        <w:rPr>
          <w:lang w:val="en-US"/>
        </w:rPr>
        <w:t xml:space="preserve">Marmorstein </w:t>
      </w:r>
      <w:r w:rsidR="008251C8" w:rsidRPr="00F27EB2">
        <w:rPr>
          <w:lang w:val="en-US"/>
        </w:rPr>
        <w:t>argue that</w:t>
      </w:r>
      <w:r w:rsidR="00AF241D" w:rsidRPr="00F27EB2">
        <w:rPr>
          <w:lang w:val="en-US"/>
        </w:rPr>
        <w:t xml:space="preserve"> this “anti-anthropomorph</w:t>
      </w:r>
      <w:r w:rsidR="00B90B7F" w:rsidRPr="00F27EB2">
        <w:rPr>
          <w:lang w:val="en-US"/>
        </w:rPr>
        <w:t>ism</w:t>
      </w:r>
      <w:r w:rsidR="00AF241D" w:rsidRPr="00F27EB2">
        <w:rPr>
          <w:lang w:val="en-US"/>
        </w:rPr>
        <w:t xml:space="preserve">” </w:t>
      </w:r>
      <w:r w:rsidR="000245ED" w:rsidRPr="00F27EB2">
        <w:rPr>
          <w:lang w:val="en-US"/>
        </w:rPr>
        <w:t>grew</w:t>
      </w:r>
      <w:r w:rsidR="00B90B7F" w:rsidRPr="00F27EB2">
        <w:rPr>
          <w:lang w:val="en-US"/>
        </w:rPr>
        <w:t xml:space="preserve"> even stronger </w:t>
      </w:r>
      <w:r w:rsidR="00AF241D" w:rsidRPr="00F27EB2">
        <w:rPr>
          <w:lang w:val="en-US"/>
        </w:rPr>
        <w:t>in</w:t>
      </w:r>
      <w:r w:rsidRPr="00F27EB2">
        <w:rPr>
          <w:lang w:val="en-US"/>
        </w:rPr>
        <w:t xml:space="preserve"> the</w:t>
      </w:r>
      <w:r w:rsidR="00AF241D" w:rsidRPr="00F27EB2">
        <w:rPr>
          <w:lang w:val="en-US"/>
        </w:rPr>
        <w:t xml:space="preserve"> Greek-speaking Jewish </w:t>
      </w:r>
      <w:r w:rsidR="000245ED" w:rsidRPr="00F27EB2">
        <w:rPr>
          <w:lang w:val="en-US"/>
        </w:rPr>
        <w:t>Diaspora-</w:t>
      </w:r>
      <w:r w:rsidR="00AF241D" w:rsidRPr="00F27EB2">
        <w:rPr>
          <w:lang w:val="en-US"/>
        </w:rPr>
        <w:t>communities</w:t>
      </w:r>
      <w:r w:rsidR="008251C8" w:rsidRPr="00F27EB2">
        <w:rPr>
          <w:lang w:val="en-US"/>
        </w:rPr>
        <w:t xml:space="preserve">. </w:t>
      </w:r>
      <w:r w:rsidRPr="00F27EB2">
        <w:rPr>
          <w:lang w:val="en-US"/>
        </w:rPr>
        <w:t>Marmorstein</w:t>
      </w:r>
      <w:r w:rsidR="00AF241D" w:rsidRPr="00F27EB2">
        <w:rPr>
          <w:lang w:val="en-US"/>
        </w:rPr>
        <w:t xml:space="preserve"> notes that while Greek philosophy confronted tangible divine images, Jewish aniconism – though historically complex</w:t>
      </w:r>
      <w:r w:rsidRPr="00F27EB2">
        <w:rPr>
          <w:rStyle w:val="Voetnootmarkering"/>
          <w:lang w:val="en-US"/>
        </w:rPr>
        <w:footnoteReference w:id="9"/>
      </w:r>
      <w:r w:rsidR="00AF241D" w:rsidRPr="00F27EB2">
        <w:rPr>
          <w:lang w:val="en-US"/>
        </w:rPr>
        <w:t xml:space="preserve"> – </w:t>
      </w:r>
      <w:r w:rsidR="00CC0D42" w:rsidRPr="00F27EB2">
        <w:rPr>
          <w:lang w:val="en-US"/>
        </w:rPr>
        <w:t>limited physical</w:t>
      </w:r>
      <w:r w:rsidR="00AF241D" w:rsidRPr="00F27EB2">
        <w:rPr>
          <w:lang w:val="en-US"/>
        </w:rPr>
        <w:t xml:space="preserve"> depictions of God.</w:t>
      </w:r>
      <w:r w:rsidRPr="00F27EB2">
        <w:rPr>
          <w:rStyle w:val="Voetnootmarkering"/>
          <w:lang w:val="en-US"/>
        </w:rPr>
        <w:footnoteReference w:id="10"/>
      </w:r>
      <w:r w:rsidR="00AF241D" w:rsidRPr="00F27EB2">
        <w:rPr>
          <w:lang w:val="en-US"/>
        </w:rPr>
        <w:t xml:space="preserve"> As a reaction,</w:t>
      </w:r>
      <w:r w:rsidRPr="00F27EB2">
        <w:rPr>
          <w:lang w:val="en-US"/>
        </w:rPr>
        <w:t xml:space="preserve"> he holds,</w:t>
      </w:r>
      <w:r w:rsidR="00AF241D" w:rsidRPr="00F27EB2">
        <w:rPr>
          <w:lang w:val="en-US"/>
        </w:rPr>
        <w:t xml:space="preserve"> </w:t>
      </w:r>
      <w:r w:rsidR="00C84418" w:rsidRPr="00F27EB2">
        <w:rPr>
          <w:lang w:val="en-US"/>
        </w:rPr>
        <w:t>Alexandrian Judaism developed</w:t>
      </w:r>
      <w:r w:rsidR="000245ED" w:rsidRPr="00F27EB2">
        <w:rPr>
          <w:lang w:val="en-US"/>
        </w:rPr>
        <w:t xml:space="preserve"> further</w:t>
      </w:r>
      <w:r w:rsidR="00C84418" w:rsidRPr="00F27EB2">
        <w:rPr>
          <w:lang w:val="en-US"/>
        </w:rPr>
        <w:t xml:space="preserve"> strategies of avoidance and reinterpretation</w:t>
      </w:r>
      <w:r w:rsidR="000245ED" w:rsidRPr="00F27EB2">
        <w:rPr>
          <w:lang w:val="en-US"/>
        </w:rPr>
        <w:t xml:space="preserve"> (</w:t>
      </w:r>
      <w:r w:rsidR="00C84418" w:rsidRPr="00F27EB2">
        <w:rPr>
          <w:lang w:val="en-US"/>
        </w:rPr>
        <w:t>exemplified in the allegorical exegesis of Philo and Aristobulus</w:t>
      </w:r>
      <w:proofErr w:type="gramStart"/>
      <w:r w:rsidR="000245ED" w:rsidRPr="00F27EB2">
        <w:rPr>
          <w:lang w:val="en-US"/>
        </w:rPr>
        <w:t>)</w:t>
      </w:r>
      <w:r w:rsidR="00C84418" w:rsidRPr="00F27EB2">
        <w:rPr>
          <w:lang w:val="en-US"/>
        </w:rPr>
        <w:t xml:space="preserve">, </w:t>
      </w:r>
      <w:r w:rsidR="00AF241D" w:rsidRPr="00F27EB2">
        <w:rPr>
          <w:lang w:val="en-US"/>
        </w:rPr>
        <w:t>and</w:t>
      </w:r>
      <w:proofErr w:type="gramEnd"/>
      <w:r w:rsidR="00AF241D" w:rsidRPr="00F27EB2">
        <w:rPr>
          <w:lang w:val="en-US"/>
        </w:rPr>
        <w:t xml:space="preserve"> contributed to </w:t>
      </w:r>
      <w:proofErr w:type="spellStart"/>
      <w:r w:rsidR="00CC0D42" w:rsidRPr="00F27EB2">
        <w:rPr>
          <w:smallCaps/>
          <w:lang w:val="en-US"/>
        </w:rPr>
        <w:t>lxx’</w:t>
      </w:r>
      <w:r w:rsidR="00CC0D42" w:rsidRPr="00F27EB2">
        <w:rPr>
          <w:lang w:val="en-US"/>
        </w:rPr>
        <w:t>s</w:t>
      </w:r>
      <w:proofErr w:type="spellEnd"/>
      <w:r w:rsidR="00AF241D" w:rsidRPr="00F27EB2">
        <w:rPr>
          <w:lang w:val="en-US"/>
        </w:rPr>
        <w:t xml:space="preserve"> treatment of </w:t>
      </w:r>
      <w:r w:rsidR="000245ED" w:rsidRPr="00F27EB2">
        <w:rPr>
          <w:lang w:val="en-US"/>
        </w:rPr>
        <w:t>anthropomorphisms</w:t>
      </w:r>
      <w:r w:rsidR="00AF241D" w:rsidRPr="00F27EB2">
        <w:rPr>
          <w:lang w:val="en-US"/>
        </w:rPr>
        <w:t>. However, anti-anthropomorphic tendencies appear throughout Jewish tradition</w:t>
      </w:r>
      <w:r w:rsidR="00951BD2" w:rsidRPr="00F27EB2">
        <w:rPr>
          <w:lang w:val="en-US"/>
        </w:rPr>
        <w:t xml:space="preserve"> at large</w:t>
      </w:r>
      <w:r w:rsidR="000245ED" w:rsidRPr="00F27EB2">
        <w:rPr>
          <w:lang w:val="en-US"/>
        </w:rPr>
        <w:t xml:space="preserve"> – f</w:t>
      </w:r>
      <w:r w:rsidRPr="00F27EB2">
        <w:rPr>
          <w:lang w:val="en-US"/>
        </w:rPr>
        <w:t>or</w:t>
      </w:r>
      <w:r w:rsidR="00951BD2" w:rsidRPr="00F27EB2">
        <w:rPr>
          <w:lang w:val="en-US"/>
        </w:rPr>
        <w:t xml:space="preserve"> i</w:t>
      </w:r>
      <w:r w:rsidRPr="00F27EB2">
        <w:rPr>
          <w:lang w:val="en-US"/>
        </w:rPr>
        <w:t xml:space="preserve">nstance, </w:t>
      </w:r>
      <w:r w:rsidR="000245ED" w:rsidRPr="00F27EB2">
        <w:rPr>
          <w:lang w:val="en-US"/>
        </w:rPr>
        <w:t>the</w:t>
      </w:r>
      <w:r w:rsidR="00AF241D" w:rsidRPr="00F27EB2">
        <w:rPr>
          <w:lang w:val="en-US"/>
        </w:rPr>
        <w:t xml:space="preserve"> debates between Sadducees, </w:t>
      </w:r>
      <w:r w:rsidR="000245ED" w:rsidRPr="00F27EB2">
        <w:rPr>
          <w:lang w:val="en-US"/>
        </w:rPr>
        <w:t>affirming</w:t>
      </w:r>
      <w:r w:rsidR="00AF241D" w:rsidRPr="00F27EB2">
        <w:rPr>
          <w:lang w:val="en-US"/>
        </w:rPr>
        <w:t xml:space="preserve"> divine visibility, and Pharisees, </w:t>
      </w:r>
      <w:r w:rsidR="000245ED" w:rsidRPr="00F27EB2">
        <w:rPr>
          <w:lang w:val="en-US"/>
        </w:rPr>
        <w:t>denying</w:t>
      </w:r>
      <w:r w:rsidR="00AF241D" w:rsidRPr="00F27EB2">
        <w:rPr>
          <w:lang w:val="en-US"/>
        </w:rPr>
        <w:t xml:space="preserve"> it.</w:t>
      </w:r>
      <w:r w:rsidRPr="00F27EB2">
        <w:rPr>
          <w:rStyle w:val="Voetnootmarkering"/>
          <w:lang w:val="en-US"/>
        </w:rPr>
        <w:footnoteReference w:id="11"/>
      </w:r>
      <w:r w:rsidR="00AF241D" w:rsidRPr="00F27EB2">
        <w:rPr>
          <w:lang w:val="en-US"/>
        </w:rPr>
        <w:t xml:space="preserve"> </w:t>
      </w:r>
    </w:p>
    <w:p w14:paraId="4068AB7B" w14:textId="5F497755" w:rsidR="008F45E4" w:rsidRPr="00F27EB2" w:rsidRDefault="000245ED" w:rsidP="007457DC">
      <w:pPr>
        <w:pStyle w:val="Normaalweb"/>
        <w:spacing w:before="0" w:beforeAutospacing="0" w:after="0" w:afterAutospacing="0"/>
        <w:ind w:firstLine="360"/>
        <w:jc w:val="both"/>
        <w:rPr>
          <w:lang w:val="en-US"/>
        </w:rPr>
      </w:pPr>
      <w:r w:rsidRPr="00F27EB2">
        <w:rPr>
          <w:lang w:val="en-US"/>
        </w:rPr>
        <w:t>These</w:t>
      </w:r>
      <w:r w:rsidR="00A50275" w:rsidRPr="00F27EB2">
        <w:rPr>
          <w:lang w:val="en-US"/>
        </w:rPr>
        <w:t xml:space="preserve"> tensions provide the framework for the study of </w:t>
      </w:r>
      <w:r w:rsidRPr="00F27EB2">
        <w:rPr>
          <w:smallCaps/>
          <w:lang w:val="en-US"/>
        </w:rPr>
        <w:t>lxx-</w:t>
      </w:r>
      <w:r w:rsidR="00A50275" w:rsidRPr="00F27EB2">
        <w:rPr>
          <w:lang w:val="en-US"/>
        </w:rPr>
        <w:t xml:space="preserve">anthropomorphisms. </w:t>
      </w:r>
      <w:r w:rsidR="00951BD2" w:rsidRPr="00F27EB2">
        <w:rPr>
          <w:lang w:val="en-US"/>
        </w:rPr>
        <w:t xml:space="preserve">In what follows, </w:t>
      </w:r>
      <w:r w:rsidRPr="00F27EB2">
        <w:rPr>
          <w:lang w:val="en-US"/>
        </w:rPr>
        <w:t>its</w:t>
      </w:r>
      <w:r w:rsidR="00951BD2" w:rsidRPr="00F27EB2">
        <w:rPr>
          <w:lang w:val="en-US"/>
        </w:rPr>
        <w:t xml:space="preserve"> history of research </w:t>
      </w:r>
      <w:r w:rsidRPr="00F27EB2">
        <w:rPr>
          <w:lang w:val="en-US"/>
        </w:rPr>
        <w:t xml:space="preserve">is divided </w:t>
      </w:r>
      <w:r w:rsidR="00951BD2" w:rsidRPr="00F27EB2">
        <w:rPr>
          <w:lang w:val="en-US"/>
        </w:rPr>
        <w:t>into four phases. While general and non-exhaustive, this framework allows to trace larger trends, highlight recurring questions, and identify the methodological issues that continue to shape the debate.</w:t>
      </w:r>
    </w:p>
    <w:p w14:paraId="34A32D2E" w14:textId="456D0267" w:rsidR="00A50275" w:rsidRPr="00F27EB2" w:rsidRDefault="00FD2D86" w:rsidP="001728C3">
      <w:pPr>
        <w:pStyle w:val="Normaalweb"/>
        <w:numPr>
          <w:ilvl w:val="1"/>
          <w:numId w:val="14"/>
        </w:numPr>
        <w:jc w:val="both"/>
        <w:rPr>
          <w:b/>
          <w:bCs/>
          <w:lang w:val="en-US"/>
        </w:rPr>
      </w:pPr>
      <w:r w:rsidRPr="00F27EB2">
        <w:rPr>
          <w:b/>
          <w:bCs/>
          <w:lang w:val="en-US"/>
        </w:rPr>
        <w:t>(</w:t>
      </w:r>
      <w:r w:rsidR="00A50275" w:rsidRPr="00F27EB2">
        <w:rPr>
          <w:b/>
          <w:bCs/>
          <w:lang w:val="en-US"/>
        </w:rPr>
        <w:t>Early</w:t>
      </w:r>
      <w:r w:rsidRPr="00F27EB2">
        <w:rPr>
          <w:b/>
          <w:bCs/>
          <w:lang w:val="en-US"/>
        </w:rPr>
        <w:t>)</w:t>
      </w:r>
      <w:r w:rsidR="00A50275" w:rsidRPr="00F27EB2">
        <w:rPr>
          <w:b/>
          <w:bCs/>
          <w:lang w:val="en-US"/>
        </w:rPr>
        <w:t xml:space="preserve"> Modern Studies of the Septuagint: Between Philosophy and Theology</w:t>
      </w:r>
    </w:p>
    <w:p w14:paraId="799ED8A5" w14:textId="6DBA1C4E" w:rsidR="00DF570E" w:rsidRPr="00F27EB2" w:rsidRDefault="00DF570E" w:rsidP="001728C3">
      <w:pPr>
        <w:jc w:val="both"/>
        <w:rPr>
          <w:rFonts w:ascii="Times New Roman" w:hAnsi="Times New Roman" w:cs="Times New Roman"/>
          <w:lang w:val="en-US"/>
        </w:rPr>
      </w:pPr>
      <w:r w:rsidRPr="00F27EB2">
        <w:rPr>
          <w:rFonts w:ascii="Times New Roman" w:hAnsi="Times New Roman" w:cs="Times New Roman"/>
          <w:lang w:val="en-US"/>
        </w:rPr>
        <w:t xml:space="preserve">Disparities between the Hebrew and Greek </w:t>
      </w:r>
      <w:proofErr w:type="spellStart"/>
      <w:r w:rsidR="00DC0988" w:rsidRPr="00F27EB2">
        <w:rPr>
          <w:rFonts w:ascii="Times New Roman" w:hAnsi="Times New Roman" w:cs="Times New Roman"/>
          <w:smallCaps/>
          <w:lang w:val="en-US"/>
        </w:rPr>
        <w:t>ot</w:t>
      </w:r>
      <w:proofErr w:type="spellEnd"/>
      <w:r w:rsidRPr="00F27EB2">
        <w:rPr>
          <w:rFonts w:ascii="Times New Roman" w:hAnsi="Times New Roman" w:cs="Times New Roman"/>
          <w:lang w:val="en-US"/>
        </w:rPr>
        <w:t xml:space="preserve"> were identified at an early stage. For instance, Jerome acknowledged that cataloging all the additions and omissions in </w:t>
      </w:r>
      <w:r w:rsidR="00CC0D42" w:rsidRPr="00F27EB2">
        <w:rPr>
          <w:rFonts w:ascii="Times New Roman" w:hAnsi="Times New Roman" w:cs="Times New Roman"/>
          <w:smallCaps/>
          <w:lang w:val="en-US"/>
        </w:rPr>
        <w:t>lxx</w:t>
      </w:r>
      <w:r w:rsidRPr="00F27EB2">
        <w:rPr>
          <w:rFonts w:ascii="Times New Roman" w:hAnsi="Times New Roman" w:cs="Times New Roman"/>
          <w:lang w:val="en-US"/>
        </w:rPr>
        <w:t xml:space="preserve"> would necessitate a substantial investment of time and effort, given the sheer volume of such </w:t>
      </w:r>
      <w:r w:rsidR="00DC0988" w:rsidRPr="00F27EB2">
        <w:rPr>
          <w:rFonts w:ascii="Times New Roman" w:hAnsi="Times New Roman" w:cs="Times New Roman"/>
          <w:lang w:val="en-US"/>
        </w:rPr>
        <w:t>“</w:t>
      </w:r>
      <w:r w:rsidRPr="00F27EB2">
        <w:rPr>
          <w:rFonts w:ascii="Times New Roman" w:hAnsi="Times New Roman" w:cs="Times New Roman"/>
          <w:lang w:val="en-US"/>
        </w:rPr>
        <w:t>modifications</w:t>
      </w:r>
      <w:r w:rsidR="00DC0988" w:rsidRPr="00F27EB2">
        <w:rPr>
          <w:rFonts w:ascii="Times New Roman" w:hAnsi="Times New Roman" w:cs="Times New Roman"/>
          <w:lang w:val="en-US"/>
        </w:rPr>
        <w:t>.”</w:t>
      </w:r>
      <w:r w:rsidRPr="00F27EB2">
        <w:rPr>
          <w:rStyle w:val="Voetnootmarkering"/>
          <w:rFonts w:ascii="Times New Roman" w:hAnsi="Times New Roman" w:cs="Times New Roman"/>
          <w:lang w:val="en-US"/>
        </w:rPr>
        <w:footnoteReference w:id="12"/>
      </w:r>
      <w:r w:rsidRPr="00F27EB2">
        <w:rPr>
          <w:rFonts w:ascii="Times New Roman" w:hAnsi="Times New Roman" w:cs="Times New Roman"/>
          <w:lang w:val="en-US"/>
        </w:rPr>
        <w:t xml:space="preserve"> </w:t>
      </w:r>
    </w:p>
    <w:p w14:paraId="7B9673DE" w14:textId="3CE660DD" w:rsidR="00747362" w:rsidRPr="00F27EB2" w:rsidRDefault="00DF570E" w:rsidP="00747362">
      <w:pPr>
        <w:ind w:firstLine="708"/>
        <w:jc w:val="both"/>
        <w:rPr>
          <w:rFonts w:ascii="Times New Roman" w:hAnsi="Times New Roman" w:cs="Times New Roman"/>
          <w:lang w:val="en-US"/>
        </w:rPr>
      </w:pPr>
      <w:r w:rsidRPr="00F27EB2">
        <w:rPr>
          <w:rFonts w:ascii="Times New Roman" w:hAnsi="Times New Roman" w:cs="Times New Roman"/>
          <w:lang w:val="en-US"/>
        </w:rPr>
        <w:t xml:space="preserve">A more </w:t>
      </w:r>
      <w:r w:rsidRPr="00F27EB2">
        <w:rPr>
          <w:rFonts w:ascii="Times New Roman" w:hAnsi="Times New Roman" w:cs="Times New Roman"/>
          <w:i/>
          <w:iCs/>
          <w:lang w:val="en-US"/>
        </w:rPr>
        <w:t>systematic</w:t>
      </w:r>
      <w:r w:rsidRPr="00F27EB2">
        <w:rPr>
          <w:rFonts w:ascii="Times New Roman" w:hAnsi="Times New Roman" w:cs="Times New Roman"/>
          <w:lang w:val="en-US"/>
        </w:rPr>
        <w:t xml:space="preserve"> treatment of the changes in </w:t>
      </w:r>
      <w:r w:rsidR="00951BD2" w:rsidRPr="00F27EB2">
        <w:rPr>
          <w:rFonts w:ascii="Times New Roman" w:hAnsi="Times New Roman" w:cs="Times New Roman"/>
          <w:smallCaps/>
          <w:lang w:val="en-US"/>
        </w:rPr>
        <w:t>lxx</w:t>
      </w:r>
      <w:r w:rsidRPr="00F27EB2">
        <w:rPr>
          <w:rFonts w:ascii="Times New Roman" w:hAnsi="Times New Roman" w:cs="Times New Roman"/>
          <w:lang w:val="en-US"/>
        </w:rPr>
        <w:t xml:space="preserve"> </w:t>
      </w:r>
      <w:r w:rsidR="00DC0988" w:rsidRPr="00F27EB2">
        <w:rPr>
          <w:rFonts w:ascii="Times New Roman" w:hAnsi="Times New Roman" w:cs="Times New Roman"/>
          <w:lang w:val="en-US"/>
        </w:rPr>
        <w:t>appeared</w:t>
      </w:r>
      <w:r w:rsidRPr="00F27EB2">
        <w:rPr>
          <w:rFonts w:ascii="Times New Roman" w:hAnsi="Times New Roman" w:cs="Times New Roman"/>
          <w:lang w:val="en-US"/>
        </w:rPr>
        <w:t xml:space="preserve"> in the early modern period. </w:t>
      </w:r>
      <w:r w:rsidR="009A7DF1" w:rsidRPr="00F27EB2">
        <w:rPr>
          <w:rFonts w:ascii="Times New Roman" w:hAnsi="Times New Roman" w:cs="Times New Roman"/>
        </w:rPr>
        <w:t>By the late 17th and early 18th centuries</w:t>
      </w:r>
      <w:r w:rsidRPr="00F27EB2">
        <w:rPr>
          <w:rFonts w:ascii="Times New Roman" w:hAnsi="Times New Roman" w:cs="Times New Roman"/>
          <w:lang w:val="en-US"/>
        </w:rPr>
        <w:t xml:space="preserve">, </w:t>
      </w:r>
      <w:r w:rsidR="00951BD2" w:rsidRPr="00F27EB2">
        <w:rPr>
          <w:rFonts w:ascii="Times New Roman" w:hAnsi="Times New Roman" w:cs="Times New Roman"/>
          <w:lang w:val="en-US"/>
        </w:rPr>
        <w:t xml:space="preserve">innovative </w:t>
      </w:r>
      <w:r w:rsidRPr="00F27EB2">
        <w:rPr>
          <w:rFonts w:ascii="Times New Roman" w:hAnsi="Times New Roman" w:cs="Times New Roman"/>
          <w:lang w:val="en-US"/>
        </w:rPr>
        <w:t xml:space="preserve">works </w:t>
      </w:r>
      <w:r w:rsidR="009A7DF1" w:rsidRPr="00F27EB2">
        <w:rPr>
          <w:rFonts w:ascii="Times New Roman" w:hAnsi="Times New Roman" w:cs="Times New Roman"/>
          <w:lang w:val="en-US"/>
        </w:rPr>
        <w:t>began to view</w:t>
      </w:r>
      <w:r w:rsidRPr="00F27EB2">
        <w:rPr>
          <w:rFonts w:ascii="Times New Roman" w:hAnsi="Times New Roman" w:cs="Times New Roman"/>
          <w:lang w:val="en-US"/>
        </w:rPr>
        <w:t xml:space="preserve"> </w:t>
      </w:r>
      <w:r w:rsidR="00951BD2" w:rsidRPr="00F27EB2">
        <w:rPr>
          <w:rFonts w:ascii="Times New Roman" w:hAnsi="Times New Roman" w:cs="Times New Roman"/>
          <w:smallCaps/>
          <w:lang w:val="en-US"/>
        </w:rPr>
        <w:t>lxx</w:t>
      </w:r>
      <w:r w:rsidRPr="00F27EB2">
        <w:rPr>
          <w:rFonts w:ascii="Times New Roman" w:hAnsi="Times New Roman" w:cs="Times New Roman"/>
          <w:lang w:val="en-US"/>
        </w:rPr>
        <w:t xml:space="preserve"> </w:t>
      </w:r>
      <w:r w:rsidR="009A7DF1" w:rsidRPr="00F27EB2">
        <w:rPr>
          <w:rFonts w:ascii="Times New Roman" w:hAnsi="Times New Roman" w:cs="Times New Roman"/>
          <w:lang w:val="en-US"/>
        </w:rPr>
        <w:t>not</w:t>
      </w:r>
      <w:r w:rsidRPr="00F27EB2">
        <w:rPr>
          <w:rFonts w:ascii="Times New Roman" w:hAnsi="Times New Roman" w:cs="Times New Roman"/>
          <w:lang w:val="en-US"/>
        </w:rPr>
        <w:t xml:space="preserve"> merely</w:t>
      </w:r>
      <w:r w:rsidR="009A7DF1" w:rsidRPr="00F27EB2">
        <w:rPr>
          <w:rFonts w:ascii="Times New Roman" w:hAnsi="Times New Roman" w:cs="Times New Roman"/>
          <w:lang w:val="en-US"/>
        </w:rPr>
        <w:t xml:space="preserve"> as</w:t>
      </w:r>
      <w:r w:rsidRPr="00F27EB2">
        <w:rPr>
          <w:rFonts w:ascii="Times New Roman" w:hAnsi="Times New Roman" w:cs="Times New Roman"/>
          <w:lang w:val="en-US"/>
        </w:rPr>
        <w:t xml:space="preserve"> a </w:t>
      </w:r>
      <w:r w:rsidR="009A7DF1" w:rsidRPr="00F27EB2">
        <w:rPr>
          <w:rFonts w:ascii="Times New Roman" w:hAnsi="Times New Roman" w:cs="Times New Roman"/>
          <w:lang w:val="en-US"/>
        </w:rPr>
        <w:t>tool</w:t>
      </w:r>
      <w:r w:rsidRPr="00F27EB2">
        <w:rPr>
          <w:rFonts w:ascii="Times New Roman" w:hAnsi="Times New Roman" w:cs="Times New Roman"/>
          <w:lang w:val="en-US"/>
        </w:rPr>
        <w:t xml:space="preserve"> intended to “stitch” problems in the Hebrew text. </w:t>
      </w:r>
      <w:r w:rsidR="009A7DF1" w:rsidRPr="00F27EB2">
        <w:rPr>
          <w:rFonts w:ascii="Times New Roman" w:hAnsi="Times New Roman" w:cs="Times New Roman"/>
        </w:rPr>
        <w:t xml:space="preserve">In the mid-17th century, Johann Michaelis initiated a systematic examination of </w:t>
      </w:r>
      <w:r w:rsidR="009A7DF1" w:rsidRPr="00F27EB2">
        <w:rPr>
          <w:rFonts w:ascii="Times New Roman" w:hAnsi="Times New Roman" w:cs="Times New Roman"/>
          <w:i/>
          <w:iCs/>
        </w:rPr>
        <w:t>philosophical</w:t>
      </w:r>
      <w:r w:rsidR="009A7DF1" w:rsidRPr="00F27EB2">
        <w:rPr>
          <w:rFonts w:ascii="Times New Roman" w:hAnsi="Times New Roman" w:cs="Times New Roman"/>
        </w:rPr>
        <w:t xml:space="preserve"> influences within the LXX, distinguishing it from the Hebrew</w:t>
      </w:r>
      <w:r w:rsidRPr="00F27EB2">
        <w:rPr>
          <w:rFonts w:ascii="Times New Roman" w:hAnsi="Times New Roman" w:cs="Times New Roman"/>
          <w:lang w:val="en-US"/>
        </w:rPr>
        <w:t>.</w:t>
      </w:r>
      <w:r w:rsidR="00DB391E" w:rsidRPr="00F27EB2">
        <w:rPr>
          <w:rStyle w:val="Voetnootmarkering"/>
          <w:rFonts w:ascii="Times New Roman" w:hAnsi="Times New Roman" w:cs="Times New Roman"/>
          <w:lang w:val="en-US"/>
        </w:rPr>
        <w:footnoteReference w:id="13"/>
      </w:r>
      <w:r w:rsidRPr="00F27EB2">
        <w:rPr>
          <w:rFonts w:ascii="Times New Roman" w:hAnsi="Times New Roman" w:cs="Times New Roman"/>
          <w:lang w:val="en-US"/>
        </w:rPr>
        <w:t xml:space="preserve"> </w:t>
      </w:r>
      <w:r w:rsidR="009A7DF1" w:rsidRPr="00F27EB2">
        <w:rPr>
          <w:rFonts w:ascii="Times New Roman" w:hAnsi="Times New Roman" w:cs="Times New Roman"/>
        </w:rPr>
        <w:t>Early in the 18th century, Humphrey Hody further shifted the focus, dismissing the Letter of Aristeas as unreliable and emphasizing the translation technique of the LXX</w:t>
      </w:r>
      <w:r w:rsidRPr="00F27EB2">
        <w:rPr>
          <w:rFonts w:ascii="Times New Roman" w:hAnsi="Times New Roman" w:cs="Times New Roman"/>
          <w:lang w:val="en-US"/>
        </w:rPr>
        <w:t>.</w:t>
      </w:r>
      <w:r w:rsidR="00DB391E" w:rsidRPr="00F27EB2">
        <w:rPr>
          <w:rStyle w:val="Voetnootmarkering"/>
          <w:rFonts w:ascii="Times New Roman" w:hAnsi="Times New Roman" w:cs="Times New Roman"/>
          <w:lang w:val="en-US"/>
        </w:rPr>
        <w:footnoteReference w:id="14"/>
      </w:r>
      <w:r w:rsidRPr="00F27EB2">
        <w:rPr>
          <w:rFonts w:ascii="Times New Roman" w:hAnsi="Times New Roman" w:cs="Times New Roman"/>
          <w:lang w:val="en-US"/>
        </w:rPr>
        <w:t xml:space="preserve"> </w:t>
      </w:r>
      <w:r w:rsidR="009A7DF1" w:rsidRPr="00F27EB2">
        <w:rPr>
          <w:rFonts w:ascii="Times New Roman" w:hAnsi="Times New Roman" w:cs="Times New Roman"/>
        </w:rPr>
        <w:t xml:space="preserve">He analyzed how proper names, plants, and other terms were rendered—such as </w:t>
      </w:r>
      <w:r w:rsidR="009A7DF1" w:rsidRPr="00F27EB2">
        <w:rPr>
          <w:rFonts w:ascii="Times New Roman" w:hAnsi="Times New Roman" w:cs="Times New Roman"/>
          <w:rtl/>
        </w:rPr>
        <w:t>כְּבָרָה</w:t>
      </w:r>
      <w:r w:rsidR="009A7DF1" w:rsidRPr="00F27EB2">
        <w:rPr>
          <w:rFonts w:ascii="Times New Roman" w:hAnsi="Times New Roman" w:cs="Times New Roman"/>
        </w:rPr>
        <w:t xml:space="preserve"> (“distance”) as ἱππόδρομος (Gen 48:7) or </w:t>
      </w:r>
      <w:r w:rsidR="009A7DF1" w:rsidRPr="00F27EB2">
        <w:rPr>
          <w:rFonts w:ascii="Times New Roman" w:hAnsi="Times New Roman" w:cs="Times New Roman"/>
          <w:rtl/>
        </w:rPr>
        <w:t>גֹּמֶא</w:t>
      </w:r>
      <w:r w:rsidR="009A7DF1" w:rsidRPr="00F27EB2">
        <w:rPr>
          <w:rFonts w:ascii="Times New Roman" w:hAnsi="Times New Roman" w:cs="Times New Roman"/>
        </w:rPr>
        <w:t xml:space="preserve"> (“reed”) as πάπυρος (Job </w:t>
      </w:r>
      <w:r w:rsidR="009A7DF1" w:rsidRPr="00F27EB2">
        <w:rPr>
          <w:rFonts w:ascii="Times New Roman" w:hAnsi="Times New Roman" w:cs="Times New Roman"/>
        </w:rPr>
        <w:lastRenderedPageBreak/>
        <w:t>8:10)—showing that these deliberate deviations adapted the text to the style and expectations of an Alexandrian Jewish audience.</w:t>
      </w:r>
      <w:r w:rsidR="00F73D01" w:rsidRPr="00F27EB2">
        <w:rPr>
          <w:rStyle w:val="Voetnootmarkering"/>
          <w:rFonts w:ascii="Times New Roman" w:hAnsi="Times New Roman" w:cs="Times New Roman"/>
          <w:lang w:val="en-US"/>
        </w:rPr>
        <w:footnoteReference w:id="15"/>
      </w:r>
      <w:r w:rsidRPr="00F27EB2">
        <w:rPr>
          <w:rFonts w:ascii="Times New Roman" w:hAnsi="Times New Roman" w:cs="Times New Roman"/>
          <w:lang w:val="en-US"/>
        </w:rPr>
        <w:t xml:space="preserve"> </w:t>
      </w:r>
      <w:r w:rsidR="00747362" w:rsidRPr="00F27EB2">
        <w:rPr>
          <w:rFonts w:ascii="Times New Roman" w:hAnsi="Times New Roman" w:cs="Times New Roman"/>
          <w:lang w:val="en-US"/>
        </w:rPr>
        <w:t xml:space="preserve">These early studies argue that </w:t>
      </w:r>
      <w:r w:rsidR="006B6965" w:rsidRPr="00F27EB2">
        <w:rPr>
          <w:rFonts w:ascii="Times New Roman" w:hAnsi="Times New Roman" w:cs="Times New Roman"/>
          <w:smallCaps/>
          <w:lang w:val="en-US"/>
        </w:rPr>
        <w:t>lxx</w:t>
      </w:r>
      <w:r w:rsidR="00747362" w:rsidRPr="00F27EB2">
        <w:rPr>
          <w:rFonts w:ascii="Times New Roman" w:hAnsi="Times New Roman" w:cs="Times New Roman"/>
          <w:lang w:val="en-US"/>
        </w:rPr>
        <w:t xml:space="preserve"> is more than a text-critical </w:t>
      </w:r>
      <w:r w:rsidR="00DF0EFE" w:rsidRPr="00F27EB2">
        <w:rPr>
          <w:rFonts w:ascii="Times New Roman" w:hAnsi="Times New Roman" w:cs="Times New Roman"/>
          <w:lang w:val="en-US"/>
        </w:rPr>
        <w:t>instrument</w:t>
      </w:r>
      <w:r w:rsidR="00747362" w:rsidRPr="00F27EB2">
        <w:rPr>
          <w:rFonts w:ascii="Times New Roman" w:hAnsi="Times New Roman" w:cs="Times New Roman"/>
          <w:lang w:val="en-US"/>
        </w:rPr>
        <w:t xml:space="preserve"> to </w:t>
      </w:r>
      <w:r w:rsidR="00DF0EFE" w:rsidRPr="00F27EB2">
        <w:rPr>
          <w:rFonts w:ascii="Times New Roman" w:hAnsi="Times New Roman" w:cs="Times New Roman"/>
          <w:lang w:val="en-US"/>
        </w:rPr>
        <w:t>reconstruct</w:t>
      </w:r>
      <w:r w:rsidR="00747362" w:rsidRPr="00F27EB2">
        <w:rPr>
          <w:rFonts w:ascii="Times New Roman" w:hAnsi="Times New Roman" w:cs="Times New Roman"/>
          <w:lang w:val="en-US"/>
        </w:rPr>
        <w:t xml:space="preserve"> the Hebrew – </w:t>
      </w:r>
      <w:r w:rsidR="009A7DF1" w:rsidRPr="00F27EB2">
        <w:rPr>
          <w:rFonts w:ascii="Times New Roman" w:hAnsi="Times New Roman" w:cs="Times New Roman"/>
        </w:rPr>
        <w:t xml:space="preserve">it is a document in which translators </w:t>
      </w:r>
      <w:r w:rsidR="009A7DF1" w:rsidRPr="00F27EB2">
        <w:rPr>
          <w:rFonts w:ascii="Times New Roman" w:hAnsi="Times New Roman" w:cs="Times New Roman"/>
          <w:i/>
          <w:iCs/>
        </w:rPr>
        <w:t>intentionally</w:t>
      </w:r>
      <w:r w:rsidR="009A7DF1" w:rsidRPr="00F27EB2">
        <w:rPr>
          <w:rFonts w:ascii="Times New Roman" w:hAnsi="Times New Roman" w:cs="Times New Roman"/>
        </w:rPr>
        <w:t xml:space="preserve"> adjusted elements for theological, philosophical, and stylistic purposes</w:t>
      </w:r>
      <w:r w:rsidR="00747362" w:rsidRPr="00F27EB2">
        <w:rPr>
          <w:rFonts w:ascii="Times New Roman" w:hAnsi="Times New Roman" w:cs="Times New Roman"/>
          <w:lang w:val="en-US"/>
        </w:rPr>
        <w:t>.</w:t>
      </w:r>
    </w:p>
    <w:p w14:paraId="5255EFCE" w14:textId="78D2BBA1" w:rsidR="00554F2D" w:rsidRPr="00F27EB2" w:rsidRDefault="004F20DD" w:rsidP="00747362">
      <w:pPr>
        <w:ind w:firstLine="708"/>
        <w:jc w:val="both"/>
        <w:rPr>
          <w:rFonts w:ascii="Times New Roman" w:hAnsi="Times New Roman" w:cs="Times New Roman"/>
          <w:lang w:val="en-US"/>
        </w:rPr>
      </w:pPr>
      <w:r w:rsidRPr="00F27EB2">
        <w:rPr>
          <w:rFonts w:ascii="Times New Roman" w:hAnsi="Times New Roman" w:cs="Times New Roman"/>
          <w:lang w:val="en-US"/>
        </w:rPr>
        <w:t>Consequently</w:t>
      </w:r>
      <w:r w:rsidR="00DF570E" w:rsidRPr="00F27EB2">
        <w:rPr>
          <w:rFonts w:ascii="Times New Roman" w:hAnsi="Times New Roman" w:cs="Times New Roman"/>
          <w:lang w:val="en-US"/>
        </w:rPr>
        <w:t>, the 19</w:t>
      </w:r>
      <w:r w:rsidR="00DF570E" w:rsidRPr="00F27EB2">
        <w:rPr>
          <w:rFonts w:ascii="Times New Roman" w:hAnsi="Times New Roman" w:cs="Times New Roman"/>
          <w:vertAlign w:val="superscript"/>
          <w:lang w:val="en-US"/>
        </w:rPr>
        <w:t>th</w:t>
      </w:r>
      <w:r w:rsidR="00DF570E" w:rsidRPr="00F27EB2">
        <w:rPr>
          <w:rFonts w:ascii="Times New Roman" w:hAnsi="Times New Roman" w:cs="Times New Roman"/>
          <w:lang w:val="en-US"/>
        </w:rPr>
        <w:t xml:space="preserve"> century witnessed a surge in </w:t>
      </w:r>
      <w:r w:rsidR="00D15C91" w:rsidRPr="00F27EB2">
        <w:rPr>
          <w:rFonts w:ascii="Times New Roman" w:hAnsi="Times New Roman" w:cs="Times New Roman"/>
          <w:smallCaps/>
          <w:lang w:val="en-US"/>
        </w:rPr>
        <w:t>lxx</w:t>
      </w:r>
      <w:r w:rsidR="00D15C91" w:rsidRPr="00F27EB2">
        <w:rPr>
          <w:rFonts w:ascii="Times New Roman" w:hAnsi="Times New Roman" w:cs="Times New Roman"/>
          <w:lang w:val="en-US"/>
        </w:rPr>
        <w:t>-</w:t>
      </w:r>
      <w:r w:rsidR="00DF570E" w:rsidRPr="00F27EB2">
        <w:rPr>
          <w:rFonts w:ascii="Times New Roman" w:hAnsi="Times New Roman" w:cs="Times New Roman"/>
          <w:lang w:val="en-US"/>
        </w:rPr>
        <w:t xml:space="preserve">research, with these </w:t>
      </w:r>
      <w:r w:rsidR="009D08D8" w:rsidRPr="00F27EB2">
        <w:rPr>
          <w:rFonts w:ascii="Times New Roman" w:hAnsi="Times New Roman" w:cs="Times New Roman"/>
          <w:lang w:val="en-US"/>
        </w:rPr>
        <w:t>adaptations</w:t>
      </w:r>
      <w:r w:rsidR="00DF570E" w:rsidRPr="00F27EB2">
        <w:rPr>
          <w:rFonts w:ascii="Times New Roman" w:hAnsi="Times New Roman" w:cs="Times New Roman"/>
          <w:lang w:val="en-US"/>
        </w:rPr>
        <w:t xml:space="preserve"> assuming a central role.</w:t>
      </w:r>
      <w:r w:rsidR="00DB391E" w:rsidRPr="00F27EB2">
        <w:rPr>
          <w:rFonts w:ascii="Times New Roman" w:hAnsi="Times New Roman" w:cs="Times New Roman"/>
          <w:lang w:val="en-US"/>
        </w:rPr>
        <w:t xml:space="preserve"> </w:t>
      </w:r>
      <w:r w:rsidR="009D08D8" w:rsidRPr="00F27EB2">
        <w:rPr>
          <w:rFonts w:ascii="Times New Roman" w:hAnsi="Times New Roman" w:cs="Times New Roman"/>
          <w:lang w:val="en-US"/>
        </w:rPr>
        <w:t>S</w:t>
      </w:r>
      <w:r w:rsidR="00DF570E" w:rsidRPr="00F27EB2">
        <w:rPr>
          <w:rFonts w:ascii="Times New Roman" w:hAnsi="Times New Roman" w:cs="Times New Roman"/>
          <w:lang w:val="en-US"/>
        </w:rPr>
        <w:t>cholars started to discern a rationale behind the</w:t>
      </w:r>
      <w:r w:rsidR="009D08D8" w:rsidRPr="00F27EB2">
        <w:rPr>
          <w:rFonts w:ascii="Times New Roman" w:hAnsi="Times New Roman" w:cs="Times New Roman"/>
          <w:lang w:val="en-US"/>
        </w:rPr>
        <w:t>se</w:t>
      </w:r>
      <w:r w:rsidR="00DF570E" w:rsidRPr="00F27EB2">
        <w:rPr>
          <w:rFonts w:ascii="Times New Roman" w:hAnsi="Times New Roman" w:cs="Times New Roman"/>
          <w:lang w:val="en-US"/>
        </w:rPr>
        <w:t xml:space="preserve"> </w:t>
      </w:r>
      <w:r w:rsidR="009D08D8" w:rsidRPr="00F27EB2">
        <w:rPr>
          <w:rFonts w:ascii="Times New Roman" w:hAnsi="Times New Roman" w:cs="Times New Roman"/>
          <w:lang w:val="en-US"/>
        </w:rPr>
        <w:t>adaptations</w:t>
      </w:r>
      <w:r w:rsidR="00DF570E" w:rsidRPr="00F27EB2">
        <w:rPr>
          <w:rFonts w:ascii="Times New Roman" w:hAnsi="Times New Roman" w:cs="Times New Roman"/>
          <w:lang w:val="en-US"/>
        </w:rPr>
        <w:t xml:space="preserve">, </w:t>
      </w:r>
      <w:r w:rsidR="00554F2D" w:rsidRPr="00F27EB2">
        <w:rPr>
          <w:rFonts w:ascii="Times New Roman" w:hAnsi="Times New Roman" w:cs="Times New Roman"/>
          <w:lang w:val="en-US"/>
        </w:rPr>
        <w:t xml:space="preserve">arguing that the translators deliberately avoided anthropomorphisms, clarified polytheistic implications, or reflected elements of Greek philosophy. </w:t>
      </w:r>
      <w:r w:rsidR="00DB391E" w:rsidRPr="00F27EB2">
        <w:rPr>
          <w:rFonts w:ascii="Times New Roman" w:hAnsi="Times New Roman" w:cs="Times New Roman"/>
          <w:lang w:val="en-US"/>
        </w:rPr>
        <w:t>The topic of anthropomorphism (and its often associated “anthropopathism” – using imagery of the psychological life of humans to describe God) grew to be a focal point in the examination of</w:t>
      </w:r>
      <w:r w:rsidR="007457DC" w:rsidRPr="00F27EB2">
        <w:rPr>
          <w:rFonts w:ascii="Times New Roman" w:hAnsi="Times New Roman" w:cs="Times New Roman"/>
          <w:lang w:val="en-US"/>
        </w:rPr>
        <w:t xml:space="preserve"> </w:t>
      </w:r>
      <w:proofErr w:type="spellStart"/>
      <w:r w:rsidR="00D15C91" w:rsidRPr="00F27EB2">
        <w:rPr>
          <w:rFonts w:ascii="Times New Roman" w:hAnsi="Times New Roman" w:cs="Times New Roman"/>
          <w:smallCaps/>
          <w:lang w:val="en-US"/>
        </w:rPr>
        <w:t>lxx’</w:t>
      </w:r>
      <w:r w:rsidR="00D15C91" w:rsidRPr="00F27EB2">
        <w:rPr>
          <w:rFonts w:ascii="Times New Roman" w:hAnsi="Times New Roman" w:cs="Times New Roman"/>
          <w:lang w:val="en-US"/>
        </w:rPr>
        <w:t>s</w:t>
      </w:r>
      <w:proofErr w:type="spellEnd"/>
      <w:r w:rsidR="00DB391E" w:rsidRPr="00F27EB2">
        <w:rPr>
          <w:rFonts w:ascii="Times New Roman" w:hAnsi="Times New Roman" w:cs="Times New Roman"/>
          <w:lang w:val="en-US"/>
        </w:rPr>
        <w:t xml:space="preserve"> divergences</w:t>
      </w:r>
      <w:r w:rsidR="00696309" w:rsidRPr="00F27EB2">
        <w:rPr>
          <w:rFonts w:ascii="Times New Roman" w:hAnsi="Times New Roman" w:cs="Times New Roman"/>
          <w:lang w:val="en-US"/>
        </w:rPr>
        <w:t xml:space="preserve"> from the presumed Hebrew </w:t>
      </w:r>
      <w:r w:rsidR="00696309" w:rsidRPr="00F27EB2">
        <w:rPr>
          <w:rFonts w:ascii="Times New Roman" w:hAnsi="Times New Roman" w:cs="Times New Roman"/>
          <w:i/>
          <w:iCs/>
          <w:lang w:val="en-US"/>
        </w:rPr>
        <w:t>Vorlage</w:t>
      </w:r>
      <w:r w:rsidR="00DB391E" w:rsidRPr="00F27EB2">
        <w:rPr>
          <w:rFonts w:ascii="Times New Roman" w:hAnsi="Times New Roman" w:cs="Times New Roman"/>
          <w:lang w:val="en-US"/>
        </w:rPr>
        <w:t>.</w:t>
      </w:r>
      <w:r w:rsidR="00696309" w:rsidRPr="00F27EB2">
        <w:rPr>
          <w:rFonts w:ascii="Times New Roman" w:hAnsi="Times New Roman" w:cs="Times New Roman"/>
          <w:lang w:val="en-US"/>
        </w:rPr>
        <w:t xml:space="preserve"> </w:t>
      </w:r>
    </w:p>
    <w:p w14:paraId="2AF3E629" w14:textId="5F12CA22" w:rsidR="00E443B7" w:rsidRPr="00F27EB2" w:rsidRDefault="00554F2D" w:rsidP="00747362">
      <w:pPr>
        <w:ind w:firstLine="708"/>
        <w:jc w:val="both"/>
        <w:rPr>
          <w:rFonts w:ascii="Times New Roman" w:hAnsi="Times New Roman" w:cs="Times New Roman"/>
          <w:lang w:val="en-US"/>
        </w:rPr>
      </w:pPr>
      <w:r w:rsidRPr="00F27EB2">
        <w:rPr>
          <w:rFonts w:ascii="Times New Roman" w:hAnsi="Times New Roman" w:cs="Times New Roman"/>
          <w:lang w:val="en-US"/>
        </w:rPr>
        <w:t xml:space="preserve">From the 1830s onward, the key question concerned the </w:t>
      </w:r>
      <w:r w:rsidRPr="00F27EB2">
        <w:rPr>
          <w:rFonts w:ascii="Times New Roman" w:hAnsi="Times New Roman" w:cs="Times New Roman"/>
          <w:i/>
          <w:iCs/>
          <w:lang w:val="en-US"/>
        </w:rPr>
        <w:t>motivation</w:t>
      </w:r>
      <w:r w:rsidRPr="00F27EB2">
        <w:rPr>
          <w:rFonts w:ascii="Times New Roman" w:hAnsi="Times New Roman" w:cs="Times New Roman"/>
          <w:lang w:val="en-US"/>
        </w:rPr>
        <w:t xml:space="preserve"> behind such changes</w:t>
      </w:r>
      <w:r w:rsidR="009D08D8" w:rsidRPr="00F27EB2">
        <w:rPr>
          <w:rFonts w:ascii="Times New Roman" w:hAnsi="Times New Roman" w:cs="Times New Roman"/>
          <w:lang w:val="en-US"/>
        </w:rPr>
        <w:t xml:space="preserve">: </w:t>
      </w:r>
      <w:r w:rsidR="00E20EFA" w:rsidRPr="00F27EB2">
        <w:rPr>
          <w:rFonts w:ascii="Times New Roman" w:hAnsi="Times New Roman" w:cs="Times New Roman"/>
          <w:lang w:val="en-US"/>
        </w:rPr>
        <w:t xml:space="preserve">scholars either attributed this </w:t>
      </w:r>
      <w:r w:rsidR="009D08D8" w:rsidRPr="00F27EB2">
        <w:rPr>
          <w:rFonts w:ascii="Times New Roman" w:hAnsi="Times New Roman" w:cs="Times New Roman"/>
          <w:lang w:val="en-US"/>
        </w:rPr>
        <w:t xml:space="preserve">presumed </w:t>
      </w:r>
      <w:r w:rsidR="00E20EFA" w:rsidRPr="00F27EB2">
        <w:rPr>
          <w:rFonts w:ascii="Times New Roman" w:hAnsi="Times New Roman" w:cs="Times New Roman"/>
          <w:lang w:val="en-US"/>
        </w:rPr>
        <w:t>anti-anthropomorphism to a (Jewish-Alexandrian</w:t>
      </w:r>
      <w:r w:rsidR="00315298" w:rsidRPr="00F27EB2">
        <w:rPr>
          <w:rFonts w:ascii="Times New Roman" w:hAnsi="Times New Roman" w:cs="Times New Roman"/>
          <w:lang w:val="en-US"/>
        </w:rPr>
        <w:t>)</w:t>
      </w:r>
      <w:r w:rsidR="00E20EFA" w:rsidRPr="00F27EB2">
        <w:rPr>
          <w:rFonts w:ascii="Times New Roman" w:hAnsi="Times New Roman" w:cs="Times New Roman"/>
          <w:lang w:val="en-US"/>
        </w:rPr>
        <w:t xml:space="preserve"> </w:t>
      </w:r>
      <w:r w:rsidR="00E20EFA" w:rsidRPr="00F27EB2">
        <w:rPr>
          <w:rFonts w:ascii="Times New Roman" w:hAnsi="Times New Roman" w:cs="Times New Roman"/>
          <w:i/>
          <w:iCs/>
          <w:lang w:val="en-US"/>
        </w:rPr>
        <w:t>religious</w:t>
      </w:r>
      <w:r w:rsidR="00E20EFA" w:rsidRPr="00F27EB2">
        <w:rPr>
          <w:rFonts w:ascii="Times New Roman" w:hAnsi="Times New Roman" w:cs="Times New Roman"/>
          <w:lang w:val="en-US"/>
        </w:rPr>
        <w:t xml:space="preserve"> sentiment, or to a trace of (Hellenistic)</w:t>
      </w:r>
      <w:r w:rsidR="00696309" w:rsidRPr="00F27EB2">
        <w:rPr>
          <w:rFonts w:ascii="Times New Roman" w:hAnsi="Times New Roman" w:cs="Times New Roman"/>
          <w:lang w:val="en-US"/>
        </w:rPr>
        <w:t xml:space="preserve"> </w:t>
      </w:r>
      <w:r w:rsidR="00E20EFA" w:rsidRPr="00F27EB2">
        <w:rPr>
          <w:rFonts w:ascii="Times New Roman" w:hAnsi="Times New Roman" w:cs="Times New Roman"/>
          <w:i/>
          <w:iCs/>
          <w:lang w:val="en-US"/>
        </w:rPr>
        <w:t>philosophy</w:t>
      </w:r>
      <w:r w:rsidR="00E20EFA" w:rsidRPr="00F27EB2">
        <w:rPr>
          <w:rFonts w:ascii="Times New Roman" w:hAnsi="Times New Roman" w:cs="Times New Roman"/>
          <w:lang w:val="en-US"/>
        </w:rPr>
        <w:t xml:space="preserve">. The </w:t>
      </w:r>
      <w:r w:rsidR="009D08D8" w:rsidRPr="00F27EB2">
        <w:rPr>
          <w:rFonts w:ascii="Times New Roman" w:hAnsi="Times New Roman" w:cs="Times New Roman"/>
          <w:lang w:val="en-US"/>
        </w:rPr>
        <w:t>former</w:t>
      </w:r>
      <w:r w:rsidR="00E20EFA" w:rsidRPr="00F27EB2">
        <w:rPr>
          <w:rFonts w:ascii="Times New Roman" w:hAnsi="Times New Roman" w:cs="Times New Roman"/>
          <w:lang w:val="en-US"/>
        </w:rPr>
        <w:t xml:space="preserve">, </w:t>
      </w:r>
      <w:proofErr w:type="spellStart"/>
      <w:r w:rsidR="00E20EFA" w:rsidRPr="00F27EB2">
        <w:rPr>
          <w:rFonts w:ascii="Times New Roman" w:hAnsi="Times New Roman" w:cs="Times New Roman"/>
          <w:lang w:val="en-US"/>
        </w:rPr>
        <w:t>a.o.</w:t>
      </w:r>
      <w:proofErr w:type="spellEnd"/>
      <w:r w:rsidR="00E20EFA" w:rsidRPr="00F27EB2">
        <w:rPr>
          <w:rFonts w:ascii="Times New Roman" w:hAnsi="Times New Roman" w:cs="Times New Roman"/>
          <w:lang w:val="en-US"/>
        </w:rPr>
        <w:t xml:space="preserve"> </w:t>
      </w:r>
      <w:r w:rsidR="00D84B63" w:rsidRPr="00F27EB2">
        <w:rPr>
          <w:rFonts w:ascii="Times New Roman" w:hAnsi="Times New Roman" w:cs="Times New Roman"/>
          <w:lang w:val="en-US"/>
        </w:rPr>
        <w:t>Theophilus Töpler, h</w:t>
      </w:r>
      <w:r w:rsidR="009D08D8" w:rsidRPr="00F27EB2">
        <w:rPr>
          <w:rFonts w:ascii="Times New Roman" w:hAnsi="Times New Roman" w:cs="Times New Roman"/>
          <w:lang w:val="en-US"/>
        </w:rPr>
        <w:t>eld</w:t>
      </w:r>
      <w:r w:rsidR="00D84B63" w:rsidRPr="00F27EB2">
        <w:rPr>
          <w:rFonts w:ascii="Times New Roman" w:hAnsi="Times New Roman" w:cs="Times New Roman"/>
          <w:lang w:val="en-US"/>
        </w:rPr>
        <w:t xml:space="preserve"> that </w:t>
      </w:r>
      <w:r w:rsidR="009D08D8" w:rsidRPr="00F27EB2">
        <w:rPr>
          <w:rFonts w:ascii="Times New Roman" w:hAnsi="Times New Roman" w:cs="Times New Roman"/>
          <w:smallCaps/>
          <w:lang w:val="en-US"/>
        </w:rPr>
        <w:t xml:space="preserve">lxx </w:t>
      </w:r>
      <w:r w:rsidR="009D08D8" w:rsidRPr="00F27EB2">
        <w:rPr>
          <w:rFonts w:ascii="Times New Roman" w:hAnsi="Times New Roman" w:cs="Times New Roman"/>
          <w:lang w:val="en-US"/>
        </w:rPr>
        <w:t>altered</w:t>
      </w:r>
      <w:r w:rsidR="00D84B63" w:rsidRPr="00F27EB2">
        <w:rPr>
          <w:rFonts w:ascii="Times New Roman" w:hAnsi="Times New Roman" w:cs="Times New Roman"/>
          <w:lang w:val="en-US"/>
        </w:rPr>
        <w:t xml:space="preserve"> anthropomorphisms to safeguard God’s majesty, </w:t>
      </w:r>
      <w:r w:rsidR="009D08D8" w:rsidRPr="00F27EB2">
        <w:rPr>
          <w:rFonts w:ascii="Times New Roman" w:hAnsi="Times New Roman" w:cs="Times New Roman"/>
          <w:lang w:val="en-US"/>
        </w:rPr>
        <w:t>and</w:t>
      </w:r>
      <w:r w:rsidR="00D84B63" w:rsidRPr="00F27EB2">
        <w:rPr>
          <w:rFonts w:ascii="Times New Roman" w:hAnsi="Times New Roman" w:cs="Times New Roman"/>
          <w:lang w:val="en-US"/>
        </w:rPr>
        <w:t xml:space="preserve"> further altered</w:t>
      </w:r>
      <w:r w:rsidR="009D08D8" w:rsidRPr="00F27EB2">
        <w:rPr>
          <w:rFonts w:ascii="Times New Roman" w:hAnsi="Times New Roman" w:cs="Times New Roman"/>
          <w:lang w:val="en-US"/>
        </w:rPr>
        <w:t xml:space="preserve"> it</w:t>
      </w:r>
      <w:r w:rsidR="00D84B63" w:rsidRPr="00F27EB2">
        <w:rPr>
          <w:rFonts w:ascii="Times New Roman" w:hAnsi="Times New Roman" w:cs="Times New Roman"/>
          <w:lang w:val="en-US"/>
        </w:rPr>
        <w:t xml:space="preserve"> </w:t>
      </w:r>
      <w:r w:rsidR="009D08D8" w:rsidRPr="00F27EB2">
        <w:rPr>
          <w:rFonts w:ascii="Times New Roman" w:hAnsi="Times New Roman" w:cs="Times New Roman"/>
          <w:lang w:val="en-US"/>
        </w:rPr>
        <w:t>with</w:t>
      </w:r>
      <w:r w:rsidR="00D84B63" w:rsidRPr="00F27EB2">
        <w:rPr>
          <w:rFonts w:ascii="Times New Roman" w:hAnsi="Times New Roman" w:cs="Times New Roman"/>
          <w:lang w:val="en-US"/>
        </w:rPr>
        <w:t xml:space="preserve"> “Jewish opinions and prejudices</w:t>
      </w:r>
      <w:r w:rsidR="00D15C91" w:rsidRPr="00F27EB2">
        <w:rPr>
          <w:rFonts w:ascii="Times New Roman" w:hAnsi="Times New Roman" w:cs="Times New Roman"/>
          <w:lang w:val="en-US"/>
        </w:rPr>
        <w:t>.</w:t>
      </w:r>
      <w:r w:rsidR="00D84B63" w:rsidRPr="00F27EB2">
        <w:rPr>
          <w:rFonts w:ascii="Times New Roman" w:hAnsi="Times New Roman" w:cs="Times New Roman"/>
          <w:lang w:val="en-US"/>
        </w:rPr>
        <w:t>”</w:t>
      </w:r>
      <w:r w:rsidR="00D84B63" w:rsidRPr="00F27EB2">
        <w:rPr>
          <w:rStyle w:val="Voetnootmarkering"/>
          <w:rFonts w:ascii="Times New Roman" w:hAnsi="Times New Roman" w:cs="Times New Roman"/>
          <w:lang w:val="en-US"/>
        </w:rPr>
        <w:footnoteReference w:id="16"/>
      </w:r>
      <w:r w:rsidR="00E20EFA" w:rsidRPr="00F27EB2">
        <w:rPr>
          <w:rFonts w:ascii="Times New Roman" w:hAnsi="Times New Roman" w:cs="Times New Roman"/>
          <w:lang w:val="en-US"/>
        </w:rPr>
        <w:t xml:space="preserve"> </w:t>
      </w:r>
      <w:r w:rsidR="00D84B63" w:rsidRPr="00F27EB2">
        <w:rPr>
          <w:rFonts w:ascii="Times New Roman" w:hAnsi="Times New Roman" w:cs="Times New Roman"/>
          <w:lang w:val="en-US"/>
        </w:rPr>
        <w:t xml:space="preserve">The </w:t>
      </w:r>
      <w:r w:rsidR="009D08D8" w:rsidRPr="00F27EB2">
        <w:rPr>
          <w:rFonts w:ascii="Times New Roman" w:hAnsi="Times New Roman" w:cs="Times New Roman"/>
          <w:lang w:val="en-US"/>
        </w:rPr>
        <w:t>latter</w:t>
      </w:r>
      <w:r w:rsidR="00D84B63" w:rsidRPr="00F27EB2">
        <w:rPr>
          <w:rFonts w:ascii="Times New Roman" w:hAnsi="Times New Roman" w:cs="Times New Roman"/>
          <w:lang w:val="en-US"/>
        </w:rPr>
        <w:t xml:space="preserve">, </w:t>
      </w:r>
      <w:proofErr w:type="spellStart"/>
      <w:r w:rsidR="009D08D8" w:rsidRPr="00F27EB2">
        <w:rPr>
          <w:rFonts w:ascii="Times New Roman" w:hAnsi="Times New Roman" w:cs="Times New Roman"/>
          <w:lang w:val="en-US"/>
        </w:rPr>
        <w:t>a.o.</w:t>
      </w:r>
      <w:proofErr w:type="spellEnd"/>
      <w:r w:rsidR="00D84B63" w:rsidRPr="00F27EB2">
        <w:rPr>
          <w:rFonts w:ascii="Times New Roman" w:hAnsi="Times New Roman" w:cs="Times New Roman"/>
          <w:lang w:val="en-US"/>
        </w:rPr>
        <w:t xml:space="preserve"> </w:t>
      </w:r>
      <w:r w:rsidR="00E443B7" w:rsidRPr="00F27EB2">
        <w:rPr>
          <w:rFonts w:ascii="Times New Roman" w:hAnsi="Times New Roman" w:cs="Times New Roman"/>
          <w:lang w:val="en-US"/>
        </w:rPr>
        <w:t xml:space="preserve">August </w:t>
      </w:r>
      <w:r w:rsidR="00D84B63" w:rsidRPr="00F27EB2">
        <w:rPr>
          <w:rFonts w:ascii="Times New Roman" w:hAnsi="Times New Roman" w:cs="Times New Roman"/>
          <w:lang w:val="en-US"/>
        </w:rPr>
        <w:t xml:space="preserve">Gfrörer and </w:t>
      </w:r>
      <w:r w:rsidR="00E443B7" w:rsidRPr="00F27EB2">
        <w:rPr>
          <w:rFonts w:ascii="Times New Roman" w:hAnsi="Times New Roman" w:cs="Times New Roman"/>
          <w:lang w:val="en-US"/>
        </w:rPr>
        <w:t xml:space="preserve">August </w:t>
      </w:r>
      <w:r w:rsidR="00D84B63" w:rsidRPr="00F27EB2">
        <w:rPr>
          <w:rFonts w:ascii="Times New Roman" w:hAnsi="Times New Roman" w:cs="Times New Roman"/>
          <w:lang w:val="en-US"/>
        </w:rPr>
        <w:t>Dähne,</w:t>
      </w:r>
      <w:r w:rsidR="00E443B7" w:rsidRPr="00F27EB2">
        <w:rPr>
          <w:rStyle w:val="Voetnootmarkering"/>
          <w:rFonts w:ascii="Times New Roman" w:hAnsi="Times New Roman" w:cs="Times New Roman"/>
          <w:lang w:val="en-US"/>
        </w:rPr>
        <w:footnoteReference w:id="17"/>
      </w:r>
      <w:r w:rsidR="00D84B63" w:rsidRPr="00F27EB2">
        <w:rPr>
          <w:rFonts w:ascii="Times New Roman" w:hAnsi="Times New Roman" w:cs="Times New Roman"/>
          <w:lang w:val="en-US"/>
        </w:rPr>
        <w:t xml:space="preserve"> read into </w:t>
      </w:r>
      <w:r w:rsidR="00D84B63" w:rsidRPr="00F27EB2">
        <w:rPr>
          <w:rFonts w:ascii="Times New Roman" w:hAnsi="Times New Roman" w:cs="Times New Roman"/>
          <w:smallCaps/>
          <w:lang w:val="en-US"/>
        </w:rPr>
        <w:t xml:space="preserve">lxx </w:t>
      </w:r>
      <w:r w:rsidR="00D84B63" w:rsidRPr="00F27EB2">
        <w:rPr>
          <w:rFonts w:ascii="Times New Roman" w:hAnsi="Times New Roman" w:cs="Times New Roman"/>
          <w:lang w:val="en-US"/>
        </w:rPr>
        <w:t xml:space="preserve">traces of </w:t>
      </w:r>
      <w:r w:rsidR="009D08D8" w:rsidRPr="00F27EB2">
        <w:rPr>
          <w:rFonts w:ascii="Times New Roman" w:hAnsi="Times New Roman" w:cs="Times New Roman"/>
          <w:lang w:val="en-US"/>
        </w:rPr>
        <w:t>Alexandrian</w:t>
      </w:r>
      <w:r w:rsidR="00D84B63" w:rsidRPr="00F27EB2">
        <w:rPr>
          <w:rFonts w:ascii="Times New Roman" w:hAnsi="Times New Roman" w:cs="Times New Roman"/>
          <w:lang w:val="en-US"/>
        </w:rPr>
        <w:t xml:space="preserve"> allegorical theosophy, where especially the </w:t>
      </w:r>
      <w:r w:rsidR="009D08D8" w:rsidRPr="00F27EB2">
        <w:rPr>
          <w:rFonts w:ascii="Times New Roman" w:hAnsi="Times New Roman" w:cs="Times New Roman"/>
          <w:lang w:val="en-US"/>
        </w:rPr>
        <w:t xml:space="preserve">themes of divine repentance or </w:t>
      </w:r>
      <w:r w:rsidR="001D3928" w:rsidRPr="00F27EB2">
        <w:rPr>
          <w:rFonts w:ascii="Times New Roman" w:hAnsi="Times New Roman" w:cs="Times New Roman"/>
          <w:lang w:val="en-US"/>
        </w:rPr>
        <w:t>visibility</w:t>
      </w:r>
      <w:r w:rsidR="00D84B63" w:rsidRPr="00F27EB2">
        <w:rPr>
          <w:rFonts w:ascii="Times New Roman" w:hAnsi="Times New Roman" w:cs="Times New Roman"/>
          <w:lang w:val="en-US"/>
        </w:rPr>
        <w:t xml:space="preserve"> </w:t>
      </w:r>
      <w:r w:rsidR="009D08D8" w:rsidRPr="00F27EB2">
        <w:rPr>
          <w:rFonts w:ascii="Times New Roman" w:hAnsi="Times New Roman" w:cs="Times New Roman"/>
          <w:lang w:val="en-US"/>
        </w:rPr>
        <w:t>are</w:t>
      </w:r>
      <w:r w:rsidR="00D84B63" w:rsidRPr="00F27EB2">
        <w:rPr>
          <w:rFonts w:ascii="Times New Roman" w:hAnsi="Times New Roman" w:cs="Times New Roman"/>
          <w:lang w:val="en-US"/>
        </w:rPr>
        <w:t xml:space="preserve"> strongly avoided.</w:t>
      </w:r>
      <w:r w:rsidR="009137BA" w:rsidRPr="00F27EB2">
        <w:rPr>
          <w:rStyle w:val="Voetnootmarkering"/>
          <w:rFonts w:ascii="Times New Roman" w:hAnsi="Times New Roman" w:cs="Times New Roman"/>
          <w:lang w:val="en-US"/>
        </w:rPr>
        <w:footnoteReference w:id="18"/>
      </w:r>
      <w:r w:rsidR="00D84B63" w:rsidRPr="00F27EB2">
        <w:rPr>
          <w:rFonts w:ascii="Times New Roman" w:hAnsi="Times New Roman" w:cs="Times New Roman"/>
          <w:lang w:val="en-US"/>
        </w:rPr>
        <w:t xml:space="preserve"> That they find instances of such avoidance in </w:t>
      </w:r>
      <w:r w:rsidR="00CC0D42" w:rsidRPr="00F27EB2">
        <w:rPr>
          <w:rFonts w:ascii="Times New Roman" w:hAnsi="Times New Roman" w:cs="Times New Roman"/>
          <w:smallCaps/>
          <w:lang w:val="en-US"/>
        </w:rPr>
        <w:t>lxx</w:t>
      </w:r>
      <w:r w:rsidR="00D84B63" w:rsidRPr="00F27EB2">
        <w:rPr>
          <w:rFonts w:ascii="Times New Roman" w:hAnsi="Times New Roman" w:cs="Times New Roman"/>
          <w:lang w:val="en-US"/>
        </w:rPr>
        <w:t xml:space="preserve">, leads them to confirm that </w:t>
      </w:r>
      <w:r w:rsidR="00D84B63" w:rsidRPr="00F27EB2">
        <w:rPr>
          <w:rFonts w:ascii="Times New Roman" w:hAnsi="Times New Roman" w:cs="Times New Roman"/>
          <w:smallCaps/>
          <w:lang w:val="en-US"/>
        </w:rPr>
        <w:t xml:space="preserve">lxx </w:t>
      </w:r>
      <w:r w:rsidR="00D84B63" w:rsidRPr="00F27EB2">
        <w:rPr>
          <w:rFonts w:ascii="Times New Roman" w:hAnsi="Times New Roman" w:cs="Times New Roman"/>
          <w:lang w:val="en-US"/>
        </w:rPr>
        <w:t>is truly Alexand</w:t>
      </w:r>
      <w:r w:rsidR="00914DCD" w:rsidRPr="00F27EB2">
        <w:rPr>
          <w:rFonts w:ascii="Times New Roman" w:hAnsi="Times New Roman" w:cs="Times New Roman"/>
          <w:lang w:val="en-US"/>
        </w:rPr>
        <w:t>r</w:t>
      </w:r>
      <w:r w:rsidR="00D84B63" w:rsidRPr="00F27EB2">
        <w:rPr>
          <w:rFonts w:ascii="Times New Roman" w:hAnsi="Times New Roman" w:cs="Times New Roman"/>
          <w:lang w:val="en-US"/>
        </w:rPr>
        <w:t xml:space="preserve">ian in origin, and philosophical in nature. </w:t>
      </w:r>
      <w:proofErr w:type="spellStart"/>
      <w:r w:rsidR="00E443B7" w:rsidRPr="00F27EB2">
        <w:rPr>
          <w:rFonts w:ascii="Times New Roman" w:hAnsi="Times New Roman" w:cs="Times New Roman"/>
          <w:lang w:val="en-US"/>
        </w:rPr>
        <w:t>Dähne</w:t>
      </w:r>
      <w:proofErr w:type="spellEnd"/>
      <w:r w:rsidR="00E443B7" w:rsidRPr="00F27EB2">
        <w:rPr>
          <w:rFonts w:ascii="Times New Roman" w:hAnsi="Times New Roman" w:cs="Times New Roman"/>
          <w:lang w:val="en-US"/>
        </w:rPr>
        <w:t xml:space="preserve"> is one of</w:t>
      </w:r>
      <w:r w:rsidR="00D84B63" w:rsidRPr="00F27EB2">
        <w:rPr>
          <w:rFonts w:ascii="Times New Roman" w:hAnsi="Times New Roman" w:cs="Times New Roman"/>
          <w:lang w:val="en-US"/>
        </w:rPr>
        <w:t xml:space="preserve"> the first to note that there is no </w:t>
      </w:r>
      <w:r w:rsidR="00D84B63" w:rsidRPr="00F27EB2">
        <w:rPr>
          <w:rFonts w:ascii="Times New Roman" w:hAnsi="Times New Roman" w:cs="Times New Roman"/>
          <w:i/>
          <w:iCs/>
          <w:lang w:val="en-US"/>
        </w:rPr>
        <w:t>consistent</w:t>
      </w:r>
      <w:r w:rsidR="00D84B63" w:rsidRPr="00F27EB2">
        <w:rPr>
          <w:rFonts w:ascii="Times New Roman" w:hAnsi="Times New Roman" w:cs="Times New Roman"/>
          <w:lang w:val="en-US"/>
        </w:rPr>
        <w:t xml:space="preserve"> anti-anthropomorphism throughout </w:t>
      </w:r>
      <w:r w:rsidR="00D84B63" w:rsidRPr="00F27EB2">
        <w:rPr>
          <w:rFonts w:ascii="Times New Roman" w:hAnsi="Times New Roman" w:cs="Times New Roman"/>
          <w:smallCaps/>
          <w:lang w:val="en-US"/>
        </w:rPr>
        <w:t>lxx</w:t>
      </w:r>
      <w:r w:rsidR="009D08D8" w:rsidRPr="00F27EB2">
        <w:rPr>
          <w:rFonts w:ascii="Times New Roman" w:hAnsi="Times New Roman" w:cs="Times New Roman"/>
          <w:smallCaps/>
          <w:lang w:val="en-US"/>
        </w:rPr>
        <w:t xml:space="preserve"> – </w:t>
      </w:r>
      <w:r w:rsidR="009D08D8" w:rsidRPr="00F27EB2">
        <w:rPr>
          <w:rFonts w:ascii="Times New Roman" w:hAnsi="Times New Roman" w:cs="Times New Roman"/>
          <w:lang w:val="en-US"/>
        </w:rPr>
        <w:t xml:space="preserve">the translators </w:t>
      </w:r>
      <w:r w:rsidR="00D84B63" w:rsidRPr="00F27EB2">
        <w:rPr>
          <w:rFonts w:ascii="Times New Roman" w:hAnsi="Times New Roman" w:cs="Times New Roman"/>
          <w:lang w:val="en-US"/>
        </w:rPr>
        <w:t>would have interpreted</w:t>
      </w:r>
      <w:r w:rsidR="00914DCD" w:rsidRPr="00F27EB2">
        <w:rPr>
          <w:rFonts w:ascii="Times New Roman" w:hAnsi="Times New Roman" w:cs="Times New Roman"/>
          <w:lang w:val="en-US"/>
        </w:rPr>
        <w:t xml:space="preserve"> the remaining</w:t>
      </w:r>
      <w:r w:rsidR="00D84B63" w:rsidRPr="00F27EB2">
        <w:rPr>
          <w:rFonts w:ascii="Times New Roman" w:hAnsi="Times New Roman" w:cs="Times New Roman"/>
          <w:lang w:val="en-US"/>
        </w:rPr>
        <w:t xml:space="preserve"> anthropomorphic elements as </w:t>
      </w:r>
      <w:r w:rsidR="00D84B63" w:rsidRPr="00F27EB2">
        <w:rPr>
          <w:rFonts w:ascii="Times New Roman" w:hAnsi="Times New Roman" w:cs="Times New Roman"/>
          <w:i/>
          <w:iCs/>
          <w:lang w:val="en-US"/>
        </w:rPr>
        <w:t>allegorical</w:t>
      </w:r>
      <w:r w:rsidR="00D84B63" w:rsidRPr="00F27EB2">
        <w:rPr>
          <w:rFonts w:ascii="Times New Roman" w:hAnsi="Times New Roman" w:cs="Times New Roman"/>
          <w:lang w:val="en-US"/>
        </w:rPr>
        <w:t xml:space="preserve"> references to God’s majesty.</w:t>
      </w:r>
      <w:r w:rsidR="00E443B7" w:rsidRPr="00F27EB2">
        <w:rPr>
          <w:rStyle w:val="Voetnootmarkering"/>
          <w:rFonts w:ascii="Times New Roman" w:hAnsi="Times New Roman" w:cs="Times New Roman"/>
          <w:lang w:val="en-US"/>
        </w:rPr>
        <w:footnoteReference w:id="19"/>
      </w:r>
    </w:p>
    <w:p w14:paraId="798D049B" w14:textId="0B9B565C" w:rsidR="00376C3C" w:rsidRPr="00F27EB2" w:rsidRDefault="00914DCD" w:rsidP="002F3F11">
      <w:pPr>
        <w:ind w:firstLine="708"/>
        <w:jc w:val="both"/>
        <w:rPr>
          <w:rFonts w:ascii="Times New Roman" w:hAnsi="Times New Roman" w:cs="Times New Roman"/>
          <w:lang w:val="en-US"/>
        </w:rPr>
      </w:pPr>
      <w:r w:rsidRPr="00F27EB2">
        <w:rPr>
          <w:rFonts w:ascii="Times New Roman" w:hAnsi="Times New Roman" w:cs="Times New Roman"/>
          <w:lang w:val="en-US"/>
        </w:rPr>
        <w:t xml:space="preserve">In the 1840s, the debate turned to geographical questions when Zacharias Frankel argued that the avoidance of anthropomorphisms reflected </w:t>
      </w:r>
      <w:r w:rsidRPr="00F27EB2">
        <w:rPr>
          <w:rFonts w:ascii="Times New Roman" w:hAnsi="Times New Roman" w:cs="Times New Roman"/>
          <w:i/>
          <w:iCs/>
          <w:lang w:val="en-US"/>
        </w:rPr>
        <w:t>Palestinian</w:t>
      </w:r>
      <w:r w:rsidR="00FB3B3F" w:rsidRPr="00F27EB2">
        <w:rPr>
          <w:rFonts w:ascii="Times New Roman" w:hAnsi="Times New Roman" w:cs="Times New Roman"/>
          <w:i/>
          <w:iCs/>
          <w:lang w:val="en-US"/>
        </w:rPr>
        <w:t>,</w:t>
      </w:r>
      <w:r w:rsidRPr="00F27EB2">
        <w:rPr>
          <w:rFonts w:ascii="Times New Roman" w:hAnsi="Times New Roman" w:cs="Times New Roman"/>
          <w:lang w:val="en-US"/>
        </w:rPr>
        <w:t xml:space="preserve"> rather than Alexandrian</w:t>
      </w:r>
      <w:r w:rsidR="00FB3B3F" w:rsidRPr="00F27EB2">
        <w:rPr>
          <w:rFonts w:ascii="Times New Roman" w:hAnsi="Times New Roman" w:cs="Times New Roman"/>
          <w:lang w:val="en-US"/>
        </w:rPr>
        <w:t>,</w:t>
      </w:r>
      <w:r w:rsidRPr="00F27EB2">
        <w:rPr>
          <w:rFonts w:ascii="Times New Roman" w:hAnsi="Times New Roman" w:cs="Times New Roman"/>
          <w:lang w:val="en-US"/>
        </w:rPr>
        <w:t xml:space="preserve"> exegesis</w:t>
      </w:r>
      <w:r w:rsidR="00E20EFA" w:rsidRPr="00F27EB2">
        <w:rPr>
          <w:rFonts w:ascii="Times New Roman" w:hAnsi="Times New Roman" w:cs="Times New Roman"/>
          <w:lang w:val="en-US"/>
        </w:rPr>
        <w:t>.</w:t>
      </w:r>
      <w:r w:rsidR="00C16FBE" w:rsidRPr="00F27EB2">
        <w:rPr>
          <w:rStyle w:val="Voetnootmarkering"/>
          <w:rFonts w:ascii="Times New Roman" w:hAnsi="Times New Roman" w:cs="Times New Roman"/>
          <w:lang w:val="en-US"/>
        </w:rPr>
        <w:footnoteReference w:id="20"/>
      </w:r>
      <w:r w:rsidR="00E20EFA" w:rsidRPr="00F27EB2">
        <w:rPr>
          <w:rFonts w:ascii="Times New Roman" w:hAnsi="Times New Roman" w:cs="Times New Roman"/>
          <w:lang w:val="en-US"/>
        </w:rPr>
        <w:t xml:space="preserve"> </w:t>
      </w:r>
      <w:r w:rsidRPr="00F27EB2">
        <w:rPr>
          <w:rFonts w:ascii="Times New Roman" w:hAnsi="Times New Roman" w:cs="Times New Roman"/>
          <w:lang w:val="en-US"/>
        </w:rPr>
        <w:t>He identified several</w:t>
      </w:r>
      <w:r w:rsidR="00FB3B3F" w:rsidRPr="00F27EB2">
        <w:rPr>
          <w:rFonts w:ascii="Times New Roman" w:hAnsi="Times New Roman" w:cs="Times New Roman"/>
          <w:lang w:val="en-US"/>
        </w:rPr>
        <w:t xml:space="preserve"> </w:t>
      </w:r>
      <w:r w:rsidR="00FB3B3F" w:rsidRPr="00F27EB2">
        <w:rPr>
          <w:rFonts w:ascii="Times New Roman" w:hAnsi="Times New Roman" w:cs="Times New Roman"/>
          <w:smallCaps/>
          <w:lang w:val="en-US"/>
        </w:rPr>
        <w:t>lxx</w:t>
      </w:r>
      <w:r w:rsidRPr="00F27EB2">
        <w:rPr>
          <w:rFonts w:ascii="Times New Roman" w:hAnsi="Times New Roman" w:cs="Times New Roman"/>
          <w:lang w:val="en-US"/>
        </w:rPr>
        <w:t xml:space="preserve"> translation</w:t>
      </w:r>
      <w:r w:rsidR="00FB3B3F" w:rsidRPr="00F27EB2">
        <w:rPr>
          <w:rFonts w:ascii="Times New Roman" w:hAnsi="Times New Roman" w:cs="Times New Roman"/>
          <w:lang w:val="en-US"/>
        </w:rPr>
        <w:t>-</w:t>
      </w:r>
      <w:r w:rsidRPr="00F27EB2">
        <w:rPr>
          <w:rFonts w:ascii="Times New Roman" w:hAnsi="Times New Roman" w:cs="Times New Roman"/>
          <w:lang w:val="en-US"/>
        </w:rPr>
        <w:t>strategies linked to Palestinian traditions</w:t>
      </w:r>
      <w:r w:rsidR="001D3928" w:rsidRPr="00F27EB2">
        <w:rPr>
          <w:rFonts w:ascii="Times New Roman" w:hAnsi="Times New Roman" w:cs="Times New Roman"/>
          <w:lang w:val="en-US"/>
        </w:rPr>
        <w:t xml:space="preserve"> –</w:t>
      </w:r>
      <w:r w:rsidRPr="00F27EB2">
        <w:rPr>
          <w:rFonts w:ascii="Times New Roman" w:hAnsi="Times New Roman" w:cs="Times New Roman"/>
          <w:lang w:val="en-US"/>
        </w:rPr>
        <w:t xml:space="preserve"> among them the so-called </w:t>
      </w:r>
      <w:proofErr w:type="spellStart"/>
      <w:r w:rsidRPr="00F27EB2">
        <w:rPr>
          <w:rStyle w:val="Nadruk"/>
          <w:rFonts w:ascii="Times New Roman" w:hAnsi="Times New Roman" w:cs="Times New Roman"/>
          <w:lang w:val="en-US"/>
        </w:rPr>
        <w:t>Euphemismus</w:t>
      </w:r>
      <w:proofErr w:type="spellEnd"/>
      <w:r w:rsidRPr="00F27EB2">
        <w:rPr>
          <w:rFonts w:ascii="Times New Roman" w:hAnsi="Times New Roman" w:cs="Times New Roman"/>
          <w:lang w:val="en-US"/>
        </w:rPr>
        <w:t>, whereby an “</w:t>
      </w:r>
      <w:proofErr w:type="spellStart"/>
      <w:r w:rsidRPr="00F27EB2">
        <w:rPr>
          <w:rFonts w:ascii="Times New Roman" w:hAnsi="Times New Roman" w:cs="Times New Roman"/>
          <w:lang w:val="en-US"/>
        </w:rPr>
        <w:t>unedle</w:t>
      </w:r>
      <w:proofErr w:type="spellEnd"/>
      <w:r w:rsidRPr="00F27EB2">
        <w:rPr>
          <w:rFonts w:ascii="Times New Roman" w:hAnsi="Times New Roman" w:cs="Times New Roman"/>
          <w:lang w:val="en-US"/>
        </w:rPr>
        <w:t xml:space="preserve"> </w:t>
      </w:r>
      <w:proofErr w:type="spellStart"/>
      <w:r w:rsidRPr="00F27EB2">
        <w:rPr>
          <w:rFonts w:ascii="Times New Roman" w:hAnsi="Times New Roman" w:cs="Times New Roman"/>
          <w:lang w:val="en-US"/>
        </w:rPr>
        <w:t>Ausdruck</w:t>
      </w:r>
      <w:proofErr w:type="spellEnd"/>
      <w:r w:rsidRPr="00F27EB2">
        <w:rPr>
          <w:rFonts w:ascii="Times New Roman" w:hAnsi="Times New Roman" w:cs="Times New Roman"/>
          <w:lang w:val="en-US"/>
        </w:rPr>
        <w:t>”</w:t>
      </w:r>
      <w:r w:rsidRPr="00F27EB2">
        <w:rPr>
          <w:rStyle w:val="Voetnootmarkering"/>
          <w:rFonts w:ascii="Times New Roman" w:hAnsi="Times New Roman" w:cs="Times New Roman"/>
          <w:lang w:val="en-US"/>
        </w:rPr>
        <w:footnoteReference w:id="21"/>
      </w:r>
      <w:r w:rsidRPr="00F27EB2">
        <w:rPr>
          <w:rFonts w:ascii="Times New Roman" w:hAnsi="Times New Roman" w:cs="Times New Roman"/>
          <w:lang w:val="en-US"/>
        </w:rPr>
        <w:t xml:space="preserve"> was rendered in a nobler form. For Frankel, the </w:t>
      </w:r>
      <w:r w:rsidR="00376C3C" w:rsidRPr="00F27EB2">
        <w:rPr>
          <w:rFonts w:ascii="Times New Roman" w:hAnsi="Times New Roman" w:cs="Times New Roman"/>
          <w:lang w:val="en-US"/>
        </w:rPr>
        <w:t xml:space="preserve">(inconsistent) </w:t>
      </w:r>
      <w:r w:rsidRPr="00F27EB2">
        <w:rPr>
          <w:rFonts w:ascii="Times New Roman" w:hAnsi="Times New Roman" w:cs="Times New Roman"/>
          <w:lang w:val="en-US"/>
        </w:rPr>
        <w:t xml:space="preserve">transformation of anthropomorphisms was one such </w:t>
      </w:r>
      <w:r w:rsidRPr="00F27EB2">
        <w:rPr>
          <w:rFonts w:ascii="Times New Roman" w:hAnsi="Times New Roman" w:cs="Times New Roman"/>
          <w:i/>
          <w:iCs/>
          <w:lang w:val="en-US"/>
        </w:rPr>
        <w:t>euphemism</w:t>
      </w:r>
      <w:r w:rsidR="005772F3" w:rsidRPr="00F27EB2">
        <w:rPr>
          <w:rFonts w:ascii="Times New Roman" w:hAnsi="Times New Roman" w:cs="Times New Roman"/>
          <w:lang w:val="en-US"/>
        </w:rPr>
        <w:t>.</w:t>
      </w:r>
      <w:r w:rsidR="005772F3" w:rsidRPr="00F27EB2">
        <w:rPr>
          <w:rStyle w:val="Voetnootmarkering"/>
          <w:rFonts w:ascii="Times New Roman" w:hAnsi="Times New Roman" w:cs="Times New Roman"/>
          <w:lang w:val="en-US"/>
        </w:rPr>
        <w:footnoteReference w:id="22"/>
      </w:r>
      <w:r w:rsidR="005772F3" w:rsidRPr="00F27EB2">
        <w:rPr>
          <w:rFonts w:ascii="Times New Roman" w:hAnsi="Times New Roman" w:cs="Times New Roman"/>
          <w:lang w:val="en-US"/>
        </w:rPr>
        <w:t xml:space="preserve"> </w:t>
      </w:r>
      <w:r w:rsidR="00376C3C" w:rsidRPr="00F27EB2">
        <w:rPr>
          <w:rFonts w:ascii="Times New Roman" w:hAnsi="Times New Roman" w:cs="Times New Roman"/>
          <w:lang w:val="en-US"/>
        </w:rPr>
        <w:t>With Frankel, the focus shifted away from philosophy and back toward religion, highlighting the specifically Jewish</w:t>
      </w:r>
      <w:r w:rsidR="001D3928" w:rsidRPr="00F27EB2">
        <w:rPr>
          <w:rFonts w:ascii="Times New Roman" w:hAnsi="Times New Roman" w:cs="Times New Roman"/>
          <w:lang w:val="en-US"/>
        </w:rPr>
        <w:t>-</w:t>
      </w:r>
      <w:r w:rsidR="00376C3C" w:rsidRPr="00F27EB2">
        <w:rPr>
          <w:rFonts w:ascii="Times New Roman" w:hAnsi="Times New Roman" w:cs="Times New Roman"/>
          <w:lang w:val="en-US"/>
        </w:rPr>
        <w:t xml:space="preserve">Palestinian character of </w:t>
      </w:r>
      <w:r w:rsidR="00376C3C" w:rsidRPr="00F27EB2">
        <w:rPr>
          <w:rFonts w:ascii="Times New Roman" w:hAnsi="Times New Roman" w:cs="Times New Roman"/>
          <w:smallCaps/>
          <w:lang w:val="en-US"/>
        </w:rPr>
        <w:t>lxx</w:t>
      </w:r>
      <w:r w:rsidR="00376C3C" w:rsidRPr="00F27EB2">
        <w:rPr>
          <w:rFonts w:ascii="Times New Roman" w:hAnsi="Times New Roman" w:cs="Times New Roman"/>
          <w:lang w:val="en-US"/>
        </w:rPr>
        <w:t xml:space="preserve"> and its anti-anthropomorphism. In the same year (1841) as Frankel’s </w:t>
      </w:r>
      <w:proofErr w:type="spellStart"/>
      <w:r w:rsidR="00376C3C" w:rsidRPr="00F27EB2">
        <w:rPr>
          <w:rStyle w:val="Nadruk"/>
          <w:rFonts w:ascii="Times New Roman" w:hAnsi="Times New Roman" w:cs="Times New Roman"/>
          <w:lang w:val="en-US"/>
        </w:rPr>
        <w:t>Vorstudien</w:t>
      </w:r>
      <w:proofErr w:type="spellEnd"/>
      <w:r w:rsidR="00376C3C" w:rsidRPr="00F27EB2">
        <w:rPr>
          <w:rFonts w:ascii="Times New Roman" w:hAnsi="Times New Roman" w:cs="Times New Roman"/>
          <w:lang w:val="en-US"/>
        </w:rPr>
        <w:t xml:space="preserve">, Heinrich Thiersch published a study on </w:t>
      </w:r>
      <w:r w:rsidR="00376C3C" w:rsidRPr="00F27EB2">
        <w:rPr>
          <w:rFonts w:ascii="Times New Roman" w:hAnsi="Times New Roman" w:cs="Times New Roman"/>
          <w:smallCaps/>
          <w:lang w:val="en-US"/>
        </w:rPr>
        <w:t>lxx</w:t>
      </w:r>
      <w:r w:rsidR="00376C3C" w:rsidRPr="00F27EB2">
        <w:rPr>
          <w:rFonts w:ascii="Times New Roman" w:hAnsi="Times New Roman" w:cs="Times New Roman"/>
          <w:lang w:val="en-US"/>
        </w:rPr>
        <w:t>-Pentateuch,</w:t>
      </w:r>
      <w:r w:rsidR="00376C3C" w:rsidRPr="00F27EB2">
        <w:rPr>
          <w:rStyle w:val="Voetnootmarkering"/>
          <w:rFonts w:ascii="Times New Roman" w:hAnsi="Times New Roman" w:cs="Times New Roman"/>
          <w:lang w:val="en-US"/>
        </w:rPr>
        <w:footnoteReference w:id="23"/>
      </w:r>
      <w:r w:rsidR="00376C3C" w:rsidRPr="00F27EB2">
        <w:rPr>
          <w:rFonts w:ascii="Times New Roman" w:hAnsi="Times New Roman" w:cs="Times New Roman"/>
          <w:lang w:val="en-US"/>
        </w:rPr>
        <w:t xml:space="preserve"> further countering </w:t>
      </w:r>
      <w:proofErr w:type="spellStart"/>
      <w:r w:rsidR="00376C3C" w:rsidRPr="00F27EB2">
        <w:rPr>
          <w:rFonts w:ascii="Times New Roman" w:hAnsi="Times New Roman" w:cs="Times New Roman"/>
          <w:lang w:val="en-US"/>
        </w:rPr>
        <w:t>Dähne’s</w:t>
      </w:r>
      <w:proofErr w:type="spellEnd"/>
      <w:r w:rsidR="00376C3C" w:rsidRPr="00F27EB2">
        <w:rPr>
          <w:rFonts w:ascii="Times New Roman" w:hAnsi="Times New Roman" w:cs="Times New Roman"/>
          <w:lang w:val="en-US"/>
        </w:rPr>
        <w:t xml:space="preserve"> attribution of </w:t>
      </w:r>
      <w:r w:rsidR="00376C3C" w:rsidRPr="00F27EB2">
        <w:rPr>
          <w:rFonts w:ascii="Times New Roman" w:hAnsi="Times New Roman" w:cs="Times New Roman"/>
          <w:smallCaps/>
          <w:lang w:val="en-US"/>
        </w:rPr>
        <w:t>lxx</w:t>
      </w:r>
      <w:r w:rsidR="00376C3C" w:rsidRPr="00F27EB2">
        <w:rPr>
          <w:rFonts w:ascii="Times New Roman" w:hAnsi="Times New Roman" w:cs="Times New Roman"/>
          <w:lang w:val="en-US"/>
        </w:rPr>
        <w:t xml:space="preserve"> to Alexandrian philosophy.</w:t>
      </w:r>
      <w:r w:rsidR="00913EFF" w:rsidRPr="00F27EB2">
        <w:rPr>
          <w:rFonts w:ascii="Times New Roman" w:hAnsi="Times New Roman" w:cs="Times New Roman"/>
          <w:lang w:val="en-US"/>
        </w:rPr>
        <w:t xml:space="preserve"> </w:t>
      </w:r>
      <w:r w:rsidR="004003D4" w:rsidRPr="00F27EB2">
        <w:rPr>
          <w:rFonts w:ascii="Times New Roman" w:hAnsi="Times New Roman" w:cs="Times New Roman"/>
        </w:rPr>
        <w:t xml:space="preserve">While Thiersch also saw deliberate modification of anthropomorphisms as informed by philosophical ideas about God, he refrained from invoking </w:t>
      </w:r>
      <w:r w:rsidR="004003D4" w:rsidRPr="00F27EB2">
        <w:rPr>
          <w:rFonts w:ascii="Times New Roman" w:hAnsi="Times New Roman" w:cs="Times New Roman"/>
        </w:rPr>
        <w:lastRenderedPageBreak/>
        <w:t>Philo or Aristobulus, and additionally noted that the LXX-Pentateuch presents a less violent portrayal of God (e.g., LXX-Num 15:4)</w:t>
      </w:r>
      <w:r w:rsidR="00376C3C" w:rsidRPr="00F27EB2">
        <w:rPr>
          <w:rFonts w:ascii="Times New Roman" w:hAnsi="Times New Roman" w:cs="Times New Roman"/>
          <w:lang w:val="en-US"/>
        </w:rPr>
        <w:t>.</w:t>
      </w:r>
      <w:r w:rsidR="00376C3C" w:rsidRPr="00F27EB2">
        <w:rPr>
          <w:rStyle w:val="Voetnootmarkering"/>
          <w:rFonts w:ascii="Times New Roman" w:hAnsi="Times New Roman" w:cs="Times New Roman"/>
          <w:lang w:val="en-US"/>
        </w:rPr>
        <w:footnoteReference w:id="24"/>
      </w:r>
      <w:r w:rsidR="009137BA" w:rsidRPr="00F27EB2">
        <w:rPr>
          <w:rFonts w:ascii="Times New Roman" w:hAnsi="Times New Roman" w:cs="Times New Roman"/>
          <w:lang w:val="en-US"/>
        </w:rPr>
        <w:t xml:space="preserve">  </w:t>
      </w:r>
    </w:p>
    <w:p w14:paraId="38D06ACE" w14:textId="71780C6A" w:rsidR="001412C0" w:rsidRPr="00F27EB2" w:rsidRDefault="009137BA" w:rsidP="002F3F11">
      <w:pPr>
        <w:ind w:firstLine="708"/>
        <w:jc w:val="both"/>
        <w:rPr>
          <w:rFonts w:ascii="Times New Roman" w:hAnsi="Times New Roman" w:cs="Times New Roman"/>
          <w:lang w:val="en-US"/>
        </w:rPr>
      </w:pPr>
      <w:r w:rsidRPr="00F27EB2">
        <w:rPr>
          <w:rFonts w:ascii="Times New Roman" w:hAnsi="Times New Roman" w:cs="Times New Roman"/>
          <w:lang w:val="en-US"/>
        </w:rPr>
        <w:t>In the latter half of the 19</w:t>
      </w:r>
      <w:r w:rsidRPr="00F27EB2">
        <w:rPr>
          <w:rFonts w:ascii="Times New Roman" w:hAnsi="Times New Roman" w:cs="Times New Roman"/>
          <w:vertAlign w:val="superscript"/>
          <w:lang w:val="en-US"/>
        </w:rPr>
        <w:t>th</w:t>
      </w:r>
      <w:r w:rsidRPr="00F27EB2">
        <w:rPr>
          <w:rFonts w:ascii="Times New Roman" w:hAnsi="Times New Roman" w:cs="Times New Roman"/>
          <w:lang w:val="en-US"/>
        </w:rPr>
        <w:t xml:space="preserve"> century, these topics </w:t>
      </w:r>
      <w:r w:rsidR="00465EC0" w:rsidRPr="00F27EB2">
        <w:rPr>
          <w:rFonts w:ascii="Times New Roman" w:hAnsi="Times New Roman" w:cs="Times New Roman"/>
          <w:lang w:val="en-US"/>
        </w:rPr>
        <w:t>are</w:t>
      </w:r>
      <w:r w:rsidRPr="00F27EB2">
        <w:rPr>
          <w:rFonts w:ascii="Times New Roman" w:hAnsi="Times New Roman" w:cs="Times New Roman"/>
          <w:lang w:val="en-US"/>
        </w:rPr>
        <w:t xml:space="preserve"> further elaborated. </w:t>
      </w:r>
      <w:r w:rsidR="004003D4" w:rsidRPr="00F27EB2">
        <w:rPr>
          <w:rFonts w:ascii="Times New Roman" w:hAnsi="Times New Roman" w:cs="Times New Roman"/>
          <w:lang w:val="en-US"/>
        </w:rPr>
        <w:t>A</w:t>
      </w:r>
      <w:r w:rsidR="004003D4" w:rsidRPr="00F27EB2">
        <w:rPr>
          <w:rFonts w:ascii="Times New Roman" w:hAnsi="Times New Roman" w:cs="Times New Roman"/>
        </w:rPr>
        <w:t>braham Geiger shifted the focus from philosophy back to theology, interpreting Greek modifications of anthropomorphisms as religiously motivated and providing numerous examples of supposed anti-anthropomorphism</w:t>
      </w:r>
      <w:r w:rsidRPr="00F27EB2">
        <w:rPr>
          <w:rFonts w:ascii="Times New Roman" w:hAnsi="Times New Roman" w:cs="Times New Roman"/>
          <w:lang w:val="en-US"/>
        </w:rPr>
        <w:t>.</w:t>
      </w:r>
      <w:r w:rsidRPr="00F27EB2">
        <w:rPr>
          <w:rStyle w:val="Voetnootmarkering"/>
          <w:rFonts w:ascii="Times New Roman" w:hAnsi="Times New Roman" w:cs="Times New Roman"/>
          <w:lang w:val="en-US"/>
        </w:rPr>
        <w:footnoteReference w:id="25"/>
      </w:r>
      <w:r w:rsidR="00465EC0" w:rsidRPr="00F27EB2">
        <w:rPr>
          <w:rFonts w:ascii="Times New Roman" w:hAnsi="Times New Roman" w:cs="Times New Roman"/>
          <w:lang w:val="en-US"/>
        </w:rPr>
        <w:t xml:space="preserve"> </w:t>
      </w:r>
      <w:r w:rsidR="002F3F11" w:rsidRPr="00F27EB2">
        <w:rPr>
          <w:rFonts w:ascii="Times New Roman" w:hAnsi="Times New Roman" w:cs="Times New Roman"/>
          <w:lang w:val="en-US"/>
        </w:rPr>
        <w:t xml:space="preserve">Geiger broadened the debate, linking </w:t>
      </w:r>
      <w:r w:rsidR="004003D4" w:rsidRPr="00F27EB2">
        <w:rPr>
          <w:rFonts w:ascii="Times New Roman" w:hAnsi="Times New Roman" w:cs="Times New Roman"/>
        </w:rPr>
        <w:t xml:space="preserve">anthropomorphism to wider theological questions about </w:t>
      </w:r>
      <w:r w:rsidR="004003D4" w:rsidRPr="00F27EB2">
        <w:rPr>
          <w:rFonts w:ascii="Times New Roman" w:hAnsi="Times New Roman" w:cs="Times New Roman"/>
          <w:smallCaps/>
        </w:rPr>
        <w:t>lxx</w:t>
      </w:r>
      <w:r w:rsidR="004003D4" w:rsidRPr="00F27EB2">
        <w:rPr>
          <w:rFonts w:ascii="Times New Roman" w:hAnsi="Times New Roman" w:cs="Times New Roman"/>
        </w:rPr>
        <w:t>’s portrayal of God</w:t>
      </w:r>
      <w:r w:rsidR="002F3F11" w:rsidRPr="00F27EB2">
        <w:rPr>
          <w:rFonts w:ascii="Times New Roman" w:hAnsi="Times New Roman" w:cs="Times New Roman"/>
          <w:lang w:val="en-US"/>
        </w:rPr>
        <w:t xml:space="preserve">. In </w:t>
      </w:r>
      <w:r w:rsidR="004003D4" w:rsidRPr="00F27EB2">
        <w:rPr>
          <w:rFonts w:ascii="Times New Roman" w:hAnsi="Times New Roman" w:cs="Times New Roman"/>
          <w:lang w:val="en-US"/>
        </w:rPr>
        <w:t>1862</w:t>
      </w:r>
      <w:r w:rsidR="002F3F11" w:rsidRPr="00F27EB2">
        <w:rPr>
          <w:rFonts w:ascii="Times New Roman" w:hAnsi="Times New Roman" w:cs="Times New Roman"/>
          <w:lang w:val="en-US"/>
        </w:rPr>
        <w:t xml:space="preserve">, Gustav Bickell published his study on </w:t>
      </w:r>
      <w:r w:rsidR="001D3928" w:rsidRPr="00F27EB2">
        <w:rPr>
          <w:rFonts w:ascii="Times New Roman" w:hAnsi="Times New Roman" w:cs="Times New Roman"/>
          <w:smallCaps/>
          <w:lang w:val="en-US"/>
        </w:rPr>
        <w:t>lxx</w:t>
      </w:r>
      <w:r w:rsidR="001D3928" w:rsidRPr="00F27EB2">
        <w:rPr>
          <w:rFonts w:ascii="Times New Roman" w:hAnsi="Times New Roman" w:cs="Times New Roman"/>
          <w:lang w:val="en-US"/>
        </w:rPr>
        <w:t>-</w:t>
      </w:r>
      <w:r w:rsidR="002F3F11" w:rsidRPr="00F27EB2">
        <w:rPr>
          <w:rFonts w:ascii="Times New Roman" w:hAnsi="Times New Roman" w:cs="Times New Roman"/>
          <w:lang w:val="en-US"/>
        </w:rPr>
        <w:t xml:space="preserve">Job, noting the alteration of anthropomorphisms in </w:t>
      </w:r>
      <w:r w:rsidR="002F3F11" w:rsidRPr="00F27EB2">
        <w:rPr>
          <w:rFonts w:ascii="Times New Roman" w:hAnsi="Times New Roman" w:cs="Times New Roman"/>
          <w:smallCaps/>
          <w:lang w:val="en-US"/>
        </w:rPr>
        <w:t>lxx</w:t>
      </w:r>
      <w:r w:rsidR="00465EC0" w:rsidRPr="00F27EB2">
        <w:rPr>
          <w:rFonts w:ascii="Times New Roman" w:hAnsi="Times New Roman" w:cs="Times New Roman"/>
          <w:smallCaps/>
          <w:lang w:val="en-US"/>
        </w:rPr>
        <w:t>.</w:t>
      </w:r>
      <w:r w:rsidR="00465EC0" w:rsidRPr="00F27EB2">
        <w:rPr>
          <w:rStyle w:val="Voetnootmarkering"/>
          <w:rFonts w:ascii="Times New Roman" w:hAnsi="Times New Roman" w:cs="Times New Roman"/>
          <w:smallCaps/>
          <w:lang w:val="en-US"/>
        </w:rPr>
        <w:footnoteReference w:id="26"/>
      </w:r>
      <w:r w:rsidR="00465EC0" w:rsidRPr="00F27EB2">
        <w:rPr>
          <w:rFonts w:ascii="Times New Roman" w:hAnsi="Times New Roman" w:cs="Times New Roman"/>
          <w:smallCaps/>
          <w:lang w:val="en-US"/>
        </w:rPr>
        <w:t xml:space="preserve"> </w:t>
      </w:r>
      <w:r w:rsidR="002F3F11" w:rsidRPr="00F27EB2">
        <w:rPr>
          <w:rFonts w:ascii="Times New Roman" w:hAnsi="Times New Roman" w:cs="Times New Roman"/>
          <w:lang w:val="en-US"/>
        </w:rPr>
        <w:t xml:space="preserve">While he acknowledged that the </w:t>
      </w:r>
      <w:r w:rsidR="002F3F11" w:rsidRPr="00F27EB2">
        <w:rPr>
          <w:rFonts w:ascii="Times New Roman" w:hAnsi="Times New Roman" w:cs="Times New Roman"/>
          <w:smallCaps/>
          <w:lang w:val="en-US"/>
        </w:rPr>
        <w:t>lxx-</w:t>
      </w:r>
      <w:r w:rsidR="002F3F11" w:rsidRPr="00F27EB2">
        <w:rPr>
          <w:rFonts w:ascii="Times New Roman" w:hAnsi="Times New Roman" w:cs="Times New Roman"/>
          <w:lang w:val="en-US"/>
        </w:rPr>
        <w:t xml:space="preserve">Pentateuch did not consistently avoid </w:t>
      </w:r>
      <w:r w:rsidR="004003D4" w:rsidRPr="00F27EB2">
        <w:rPr>
          <w:rFonts w:ascii="Times New Roman" w:hAnsi="Times New Roman" w:cs="Times New Roman"/>
          <w:lang w:val="en-US"/>
        </w:rPr>
        <w:t>anthropomorphisms</w:t>
      </w:r>
      <w:r w:rsidR="002F3F11" w:rsidRPr="00F27EB2">
        <w:rPr>
          <w:rFonts w:ascii="Times New Roman" w:hAnsi="Times New Roman" w:cs="Times New Roman"/>
          <w:lang w:val="en-US"/>
        </w:rPr>
        <w:t xml:space="preserve">, he detected in </w:t>
      </w:r>
      <w:r w:rsidR="002F3F11" w:rsidRPr="00F27EB2">
        <w:rPr>
          <w:rFonts w:ascii="Times New Roman" w:hAnsi="Times New Roman" w:cs="Times New Roman"/>
          <w:smallCaps/>
          <w:lang w:val="en-US"/>
        </w:rPr>
        <w:t>lxx-</w:t>
      </w:r>
      <w:r w:rsidR="002F3F11" w:rsidRPr="00F27EB2">
        <w:rPr>
          <w:rFonts w:ascii="Times New Roman" w:hAnsi="Times New Roman" w:cs="Times New Roman"/>
          <w:lang w:val="en-US"/>
        </w:rPr>
        <w:t>Job a “</w:t>
      </w:r>
      <w:proofErr w:type="spellStart"/>
      <w:r w:rsidR="002F3F11" w:rsidRPr="00F27EB2">
        <w:rPr>
          <w:rFonts w:ascii="Times New Roman" w:hAnsi="Times New Roman" w:cs="Times New Roman"/>
          <w:lang w:val="en-US"/>
        </w:rPr>
        <w:t>detestatio</w:t>
      </w:r>
      <w:proofErr w:type="spellEnd"/>
      <w:r w:rsidR="002F3F11" w:rsidRPr="00F27EB2">
        <w:rPr>
          <w:rFonts w:ascii="Times New Roman" w:hAnsi="Times New Roman" w:cs="Times New Roman"/>
          <w:lang w:val="en-US"/>
        </w:rPr>
        <w:t xml:space="preserve"> </w:t>
      </w:r>
      <w:proofErr w:type="spellStart"/>
      <w:r w:rsidR="002F3F11" w:rsidRPr="00F27EB2">
        <w:rPr>
          <w:rFonts w:ascii="Times New Roman" w:hAnsi="Times New Roman" w:cs="Times New Roman"/>
          <w:lang w:val="en-US"/>
        </w:rPr>
        <w:t>anthropomorphismorum</w:t>
      </w:r>
      <w:proofErr w:type="spellEnd"/>
      <w:r w:rsidR="002F3F11" w:rsidRPr="00F27EB2">
        <w:rPr>
          <w:rFonts w:ascii="Times New Roman" w:hAnsi="Times New Roman" w:cs="Times New Roman"/>
          <w:lang w:val="en-US"/>
        </w:rPr>
        <w:t xml:space="preserve"> et </w:t>
      </w:r>
      <w:proofErr w:type="spellStart"/>
      <w:r w:rsidR="002F3F11" w:rsidRPr="00F27EB2">
        <w:rPr>
          <w:rFonts w:ascii="Times New Roman" w:hAnsi="Times New Roman" w:cs="Times New Roman"/>
          <w:lang w:val="en-US"/>
        </w:rPr>
        <w:t>anthropopathismorum</w:t>
      </w:r>
      <w:proofErr w:type="spellEnd"/>
      <w:r w:rsidR="001D3928" w:rsidRPr="00F27EB2">
        <w:rPr>
          <w:rFonts w:ascii="Times New Roman" w:hAnsi="Times New Roman" w:cs="Times New Roman"/>
          <w:lang w:val="en-US"/>
        </w:rPr>
        <w:t>.</w:t>
      </w:r>
      <w:r w:rsidR="002F3F11" w:rsidRPr="00F27EB2">
        <w:rPr>
          <w:rFonts w:ascii="Times New Roman" w:hAnsi="Times New Roman" w:cs="Times New Roman"/>
          <w:lang w:val="en-US"/>
        </w:rPr>
        <w:t>”</w:t>
      </w:r>
      <w:r w:rsidR="00465EC0" w:rsidRPr="00F27EB2">
        <w:rPr>
          <w:rStyle w:val="Voetnootmarkering"/>
          <w:rFonts w:ascii="Times New Roman" w:hAnsi="Times New Roman" w:cs="Times New Roman"/>
          <w:lang w:val="en-US"/>
        </w:rPr>
        <w:footnoteReference w:id="27"/>
      </w:r>
      <w:r w:rsidR="00465EC0" w:rsidRPr="00F27EB2">
        <w:rPr>
          <w:rFonts w:ascii="Times New Roman" w:hAnsi="Times New Roman" w:cs="Times New Roman"/>
          <w:lang w:val="en-US"/>
        </w:rPr>
        <w:t xml:space="preserve"> </w:t>
      </w:r>
      <w:r w:rsidR="004003D4" w:rsidRPr="00F27EB2">
        <w:rPr>
          <w:rFonts w:ascii="Times New Roman" w:hAnsi="Times New Roman" w:cs="Times New Roman"/>
        </w:rPr>
        <w:t>Bickell attributed the changes to philosophical considerations, but his work is especially significant for extending the discussion beyond the Pentateuch, long the dominant focus</w:t>
      </w:r>
      <w:r w:rsidR="00465EC0" w:rsidRPr="00F27EB2">
        <w:rPr>
          <w:rFonts w:ascii="Times New Roman" w:hAnsi="Times New Roman" w:cs="Times New Roman"/>
          <w:lang w:val="en-US"/>
        </w:rPr>
        <w:t>.</w:t>
      </w:r>
      <w:r w:rsidR="002F3F11" w:rsidRPr="00F27EB2">
        <w:rPr>
          <w:rFonts w:ascii="Times New Roman" w:hAnsi="Times New Roman" w:cs="Times New Roman"/>
          <w:lang w:val="en-US"/>
        </w:rPr>
        <w:t xml:space="preserve"> In 1876, </w:t>
      </w:r>
      <w:r w:rsidR="004003D4" w:rsidRPr="00F27EB2">
        <w:rPr>
          <w:rFonts w:ascii="Times New Roman" w:hAnsi="Times New Roman" w:cs="Times New Roman"/>
        </w:rPr>
        <w:t>Hollenberg’s study of LXX-Joshua observed a similar anti-anthropomorphic tendency, particularly concerning divine visibility</w:t>
      </w:r>
      <w:r w:rsidR="00465EC0" w:rsidRPr="00F27EB2">
        <w:rPr>
          <w:rFonts w:ascii="Times New Roman" w:hAnsi="Times New Roman" w:cs="Times New Roman"/>
          <w:lang w:val="en-US"/>
        </w:rPr>
        <w:t>.</w:t>
      </w:r>
      <w:r w:rsidR="00C35DDD" w:rsidRPr="00F27EB2">
        <w:rPr>
          <w:rStyle w:val="Voetnootmarkering"/>
          <w:rFonts w:ascii="Times New Roman" w:hAnsi="Times New Roman" w:cs="Times New Roman"/>
          <w:lang w:val="en-US"/>
        </w:rPr>
        <w:footnoteReference w:id="28"/>
      </w:r>
    </w:p>
    <w:p w14:paraId="4CA73394" w14:textId="2F7AA315" w:rsidR="00130525" w:rsidRPr="00F27EB2" w:rsidRDefault="002F3F11" w:rsidP="006D682B">
      <w:pPr>
        <w:ind w:firstLine="708"/>
        <w:jc w:val="both"/>
        <w:rPr>
          <w:rFonts w:ascii="Times New Roman" w:hAnsi="Times New Roman" w:cs="Times New Roman"/>
          <w:lang w:val="en-US"/>
        </w:rPr>
      </w:pPr>
      <w:r w:rsidRPr="00F27EB2">
        <w:rPr>
          <w:rFonts w:ascii="Times New Roman" w:hAnsi="Times New Roman" w:cs="Times New Roman"/>
          <w:lang w:val="en-US"/>
        </w:rPr>
        <w:t xml:space="preserve">At the close of the 19th century, debates on </w:t>
      </w:r>
      <w:proofErr w:type="spellStart"/>
      <w:r w:rsidRPr="00F27EB2">
        <w:rPr>
          <w:rFonts w:ascii="Times New Roman" w:hAnsi="Times New Roman" w:cs="Times New Roman"/>
          <w:smallCaps/>
          <w:lang w:val="en-US"/>
        </w:rPr>
        <w:t>lxx’</w:t>
      </w:r>
      <w:r w:rsidRPr="00F27EB2">
        <w:rPr>
          <w:rFonts w:ascii="Times New Roman" w:hAnsi="Times New Roman" w:cs="Times New Roman"/>
          <w:lang w:val="en-US"/>
        </w:rPr>
        <w:t>s</w:t>
      </w:r>
      <w:proofErr w:type="spellEnd"/>
      <w:r w:rsidRPr="00F27EB2">
        <w:rPr>
          <w:rFonts w:ascii="Times New Roman" w:hAnsi="Times New Roman" w:cs="Times New Roman"/>
          <w:lang w:val="en-US"/>
        </w:rPr>
        <w:t xml:space="preserve"> treatment of anthropomorphisms had produced more questions than answers, oscillating between religious and philosophical explanations, Palestinian and Alexandrian origins, and issues of translator consistency, intention, and identity. Freudenthal’s influential 1890 article illustrates this complexity.</w:t>
      </w:r>
      <w:r w:rsidRPr="00F27EB2">
        <w:rPr>
          <w:rStyle w:val="Voetnootmarkering"/>
          <w:rFonts w:ascii="Times New Roman" w:hAnsi="Times New Roman" w:cs="Times New Roman"/>
          <w:lang w:val="en-US"/>
        </w:rPr>
        <w:footnoteReference w:id="29"/>
      </w:r>
      <w:r w:rsidRPr="00F27EB2">
        <w:rPr>
          <w:rFonts w:ascii="Times New Roman" w:hAnsi="Times New Roman" w:cs="Times New Roman"/>
          <w:lang w:val="en-US"/>
        </w:rPr>
        <w:t xml:space="preserve"> He argued against reducing </w:t>
      </w:r>
      <w:r w:rsidR="00130525" w:rsidRPr="00F27EB2">
        <w:rPr>
          <w:rFonts w:ascii="Times New Roman" w:hAnsi="Times New Roman" w:cs="Times New Roman"/>
          <w:smallCaps/>
          <w:lang w:val="en-US"/>
        </w:rPr>
        <w:t>lxx</w:t>
      </w:r>
      <w:r w:rsidRPr="00F27EB2">
        <w:rPr>
          <w:rFonts w:ascii="Times New Roman" w:hAnsi="Times New Roman" w:cs="Times New Roman"/>
          <w:lang w:val="en-US"/>
        </w:rPr>
        <w:t xml:space="preserve"> to a product of “Greek philosophy,” insisting that </w:t>
      </w:r>
      <w:r w:rsidR="001D3928" w:rsidRPr="00F27EB2">
        <w:rPr>
          <w:rFonts w:ascii="Times New Roman" w:hAnsi="Times New Roman" w:cs="Times New Roman"/>
          <w:smallCaps/>
          <w:lang w:val="en-US"/>
        </w:rPr>
        <w:t>lxx</w:t>
      </w:r>
      <w:r w:rsidRPr="00F27EB2">
        <w:rPr>
          <w:rFonts w:ascii="Times New Roman" w:hAnsi="Times New Roman" w:cs="Times New Roman"/>
          <w:lang w:val="en-US"/>
        </w:rPr>
        <w:t xml:space="preserve"> should be understood primarily as a translation rather than a philosophical treatise. Aligning with Frankel, he maintained that the avoidance of anthropomorphisms reflected tendencies already present in the </w:t>
      </w:r>
      <w:proofErr w:type="gramStart"/>
      <w:r w:rsidRPr="00F27EB2">
        <w:rPr>
          <w:rFonts w:ascii="Times New Roman" w:hAnsi="Times New Roman" w:cs="Times New Roman"/>
          <w:lang w:val="en-US"/>
        </w:rPr>
        <w:t>Hebrew</w:t>
      </w:r>
      <w:r w:rsidR="001D3928" w:rsidRPr="00F27EB2">
        <w:rPr>
          <w:rFonts w:ascii="Times New Roman" w:hAnsi="Times New Roman" w:cs="Times New Roman"/>
          <w:lang w:val="en-US"/>
        </w:rPr>
        <w:t>,</w:t>
      </w:r>
      <w:r w:rsidRPr="00F27EB2">
        <w:rPr>
          <w:rFonts w:ascii="Times New Roman" w:hAnsi="Times New Roman" w:cs="Times New Roman"/>
          <w:lang w:val="en-US"/>
        </w:rPr>
        <w:t xml:space="preserve"> and</w:t>
      </w:r>
      <w:proofErr w:type="gramEnd"/>
      <w:r w:rsidRPr="00F27EB2">
        <w:rPr>
          <w:rFonts w:ascii="Times New Roman" w:hAnsi="Times New Roman" w:cs="Times New Roman"/>
          <w:lang w:val="en-US"/>
        </w:rPr>
        <w:t xml:space="preserve"> linked the </w:t>
      </w:r>
      <w:r w:rsidR="001D3928" w:rsidRPr="00F27EB2">
        <w:rPr>
          <w:rFonts w:ascii="Times New Roman" w:hAnsi="Times New Roman" w:cs="Times New Roman"/>
          <w:smallCaps/>
          <w:lang w:val="en-US"/>
        </w:rPr>
        <w:t>lxx</w:t>
      </w:r>
      <w:r w:rsidR="001D3928" w:rsidRPr="00F27EB2">
        <w:rPr>
          <w:rFonts w:ascii="Times New Roman" w:hAnsi="Times New Roman" w:cs="Times New Roman"/>
          <w:lang w:val="en-US"/>
        </w:rPr>
        <w:t>-</w:t>
      </w:r>
      <w:r w:rsidRPr="00F27EB2">
        <w:rPr>
          <w:rFonts w:ascii="Times New Roman" w:hAnsi="Times New Roman" w:cs="Times New Roman"/>
          <w:lang w:val="en-US"/>
        </w:rPr>
        <w:t xml:space="preserve">anti-anthropomorphisms to Palestinian thought. Despite unresolved tensions, by the end of the century </w:t>
      </w:r>
      <w:r w:rsidRPr="00F27EB2">
        <w:rPr>
          <w:rFonts w:ascii="Times New Roman" w:hAnsi="Times New Roman" w:cs="Times New Roman"/>
          <w:i/>
          <w:iCs/>
          <w:lang w:val="en-US"/>
        </w:rPr>
        <w:t>one consensus</w:t>
      </w:r>
      <w:r w:rsidRPr="00F27EB2">
        <w:rPr>
          <w:rFonts w:ascii="Times New Roman" w:hAnsi="Times New Roman" w:cs="Times New Roman"/>
          <w:lang w:val="en-US"/>
        </w:rPr>
        <w:t xml:space="preserve"> had emerged: </w:t>
      </w:r>
      <w:r w:rsidR="00130525" w:rsidRPr="00F27EB2">
        <w:rPr>
          <w:rFonts w:ascii="Times New Roman" w:hAnsi="Times New Roman" w:cs="Times New Roman"/>
          <w:smallCaps/>
          <w:lang w:val="en-US"/>
        </w:rPr>
        <w:t xml:space="preserve">lxx </w:t>
      </w:r>
      <w:r w:rsidR="00130525" w:rsidRPr="00F27EB2">
        <w:rPr>
          <w:rFonts w:ascii="Times New Roman" w:hAnsi="Times New Roman" w:cs="Times New Roman"/>
          <w:lang w:val="en-US"/>
        </w:rPr>
        <w:t>is anti-anthropomorphic</w:t>
      </w:r>
      <w:r w:rsidRPr="00F27EB2">
        <w:rPr>
          <w:rFonts w:ascii="Times New Roman" w:hAnsi="Times New Roman" w:cs="Times New Roman"/>
          <w:lang w:val="en-US"/>
        </w:rPr>
        <w:t>.</w:t>
      </w:r>
    </w:p>
    <w:p w14:paraId="2E536F2E" w14:textId="77777777" w:rsidR="00882DDC" w:rsidRPr="00F27EB2" w:rsidRDefault="00882DDC" w:rsidP="001728C3">
      <w:pPr>
        <w:jc w:val="both"/>
        <w:rPr>
          <w:rFonts w:ascii="Times New Roman" w:hAnsi="Times New Roman" w:cs="Times New Roman"/>
          <w:lang w:val="en-US"/>
        </w:rPr>
      </w:pPr>
    </w:p>
    <w:p w14:paraId="4460E377" w14:textId="4F1ED34C" w:rsidR="00E578FD" w:rsidRPr="00F27EB2" w:rsidRDefault="00E578FD" w:rsidP="001728C3">
      <w:pPr>
        <w:jc w:val="both"/>
        <w:rPr>
          <w:rFonts w:ascii="Times New Roman" w:hAnsi="Times New Roman" w:cs="Times New Roman"/>
          <w:b/>
          <w:bCs/>
          <w:lang w:val="en-US"/>
        </w:rPr>
      </w:pPr>
      <w:r w:rsidRPr="00F27EB2">
        <w:rPr>
          <w:rFonts w:ascii="Times New Roman" w:hAnsi="Times New Roman" w:cs="Times New Roman"/>
          <w:b/>
          <w:bCs/>
          <w:lang w:val="en-US"/>
        </w:rPr>
        <w:t>1.2. The Early 20</w:t>
      </w:r>
      <w:r w:rsidRPr="00F27EB2">
        <w:rPr>
          <w:rFonts w:ascii="Times New Roman" w:hAnsi="Times New Roman" w:cs="Times New Roman"/>
          <w:b/>
          <w:bCs/>
          <w:vertAlign w:val="superscript"/>
          <w:lang w:val="en-US"/>
        </w:rPr>
        <w:t>th</w:t>
      </w:r>
      <w:r w:rsidRPr="00F27EB2">
        <w:rPr>
          <w:rFonts w:ascii="Times New Roman" w:hAnsi="Times New Roman" w:cs="Times New Roman"/>
          <w:b/>
          <w:bCs/>
          <w:lang w:val="en-US"/>
        </w:rPr>
        <w:t xml:space="preserve"> Century: </w:t>
      </w:r>
      <w:r w:rsidR="001728C3" w:rsidRPr="00F27EB2">
        <w:rPr>
          <w:rFonts w:ascii="Times New Roman" w:hAnsi="Times New Roman" w:cs="Times New Roman"/>
          <w:b/>
          <w:bCs/>
          <w:lang w:val="en-US"/>
        </w:rPr>
        <w:t xml:space="preserve">Presuppositions and </w:t>
      </w:r>
      <w:r w:rsidR="00565BE9" w:rsidRPr="00F27EB2">
        <w:rPr>
          <w:rFonts w:ascii="Times New Roman" w:hAnsi="Times New Roman" w:cs="Times New Roman"/>
          <w:b/>
          <w:bCs/>
          <w:lang w:val="en-US"/>
        </w:rPr>
        <w:t>Perspectives</w:t>
      </w:r>
    </w:p>
    <w:p w14:paraId="16CFDE1D" w14:textId="77777777" w:rsidR="00E578FD" w:rsidRPr="00F27EB2" w:rsidRDefault="00E578FD" w:rsidP="001728C3">
      <w:pPr>
        <w:jc w:val="both"/>
        <w:rPr>
          <w:rFonts w:ascii="Times New Roman" w:hAnsi="Times New Roman" w:cs="Times New Roman"/>
          <w:lang w:val="en-US"/>
        </w:rPr>
      </w:pPr>
    </w:p>
    <w:p w14:paraId="6A5FFED4" w14:textId="54ECF17B" w:rsidR="00C4002B" w:rsidRPr="00F27EB2" w:rsidRDefault="00F91294" w:rsidP="001728C3">
      <w:pPr>
        <w:jc w:val="both"/>
        <w:rPr>
          <w:rFonts w:ascii="Times New Roman" w:hAnsi="Times New Roman" w:cs="Times New Roman"/>
          <w:lang w:val="en-US"/>
        </w:rPr>
      </w:pPr>
      <w:r w:rsidRPr="00F27EB2">
        <w:rPr>
          <w:rFonts w:ascii="Times New Roman" w:hAnsi="Times New Roman" w:cs="Times New Roman"/>
          <w:lang w:val="en-US"/>
        </w:rPr>
        <w:t>The scholars of the early 20</w:t>
      </w:r>
      <w:r w:rsidRPr="00F27EB2">
        <w:rPr>
          <w:rFonts w:ascii="Times New Roman" w:hAnsi="Times New Roman" w:cs="Times New Roman"/>
          <w:vertAlign w:val="superscript"/>
          <w:lang w:val="en-US"/>
        </w:rPr>
        <w:t>th</w:t>
      </w:r>
      <w:r w:rsidRPr="00F27EB2">
        <w:rPr>
          <w:rFonts w:ascii="Times New Roman" w:hAnsi="Times New Roman" w:cs="Times New Roman"/>
          <w:lang w:val="en-US"/>
        </w:rPr>
        <w:t xml:space="preserve"> century were building on the fundaments laid out above – meaning that for them too, anti-anthropomorphism in </w:t>
      </w:r>
      <w:r w:rsidRPr="00F27EB2">
        <w:rPr>
          <w:rFonts w:ascii="Times New Roman" w:hAnsi="Times New Roman" w:cs="Times New Roman"/>
          <w:smallCaps/>
          <w:lang w:val="en-US"/>
        </w:rPr>
        <w:t xml:space="preserve">lxx </w:t>
      </w:r>
      <w:r w:rsidRPr="00F27EB2">
        <w:rPr>
          <w:rFonts w:ascii="Times New Roman" w:hAnsi="Times New Roman" w:cs="Times New Roman"/>
          <w:lang w:val="en-US"/>
        </w:rPr>
        <w:t xml:space="preserve">was a </w:t>
      </w:r>
      <w:r w:rsidRPr="00F27EB2">
        <w:rPr>
          <w:rFonts w:ascii="Times New Roman" w:hAnsi="Times New Roman" w:cs="Times New Roman"/>
          <w:i/>
          <w:iCs/>
          <w:lang w:val="en-US"/>
        </w:rPr>
        <w:t xml:space="preserve">given. </w:t>
      </w:r>
      <w:r w:rsidR="00993E77" w:rsidRPr="00F27EB2">
        <w:rPr>
          <w:rFonts w:ascii="Times New Roman" w:hAnsi="Times New Roman" w:cs="Times New Roman"/>
          <w:lang w:val="en-US"/>
        </w:rPr>
        <w:t xml:space="preserve">This presupposition produced several striking byproducts. In 1901, for example, Barnes argued that the Peshitta-Psalms were dependent on </w:t>
      </w:r>
      <w:r w:rsidR="00993E77" w:rsidRPr="00F27EB2">
        <w:rPr>
          <w:rFonts w:ascii="Times New Roman" w:hAnsi="Times New Roman" w:cs="Times New Roman"/>
          <w:smallCaps/>
          <w:lang w:val="en-US"/>
        </w:rPr>
        <w:t>lxx</w:t>
      </w:r>
      <w:r w:rsidR="00993E77" w:rsidRPr="00F27EB2">
        <w:rPr>
          <w:rFonts w:ascii="Times New Roman" w:hAnsi="Times New Roman" w:cs="Times New Roman"/>
          <w:lang w:val="en-US"/>
        </w:rPr>
        <w:t xml:space="preserve"> because both avoided anthropomorphisms, considering this “dread of anthropomorphisms” to be a defining feature of the </w:t>
      </w:r>
      <w:r w:rsidR="001D3928" w:rsidRPr="00F27EB2">
        <w:rPr>
          <w:rFonts w:ascii="Times New Roman" w:hAnsi="Times New Roman" w:cs="Times New Roman"/>
          <w:smallCaps/>
          <w:lang w:val="en-US"/>
        </w:rPr>
        <w:t>lxx-</w:t>
      </w:r>
      <w:r w:rsidR="00993E77" w:rsidRPr="00F27EB2">
        <w:rPr>
          <w:rFonts w:ascii="Times New Roman" w:hAnsi="Times New Roman" w:cs="Times New Roman"/>
          <w:lang w:val="en-US"/>
        </w:rPr>
        <w:t>Psal</w:t>
      </w:r>
      <w:r w:rsidR="001D3928" w:rsidRPr="00F27EB2">
        <w:rPr>
          <w:rFonts w:ascii="Times New Roman" w:hAnsi="Times New Roman" w:cs="Times New Roman"/>
          <w:lang w:val="en-US"/>
        </w:rPr>
        <w:t>ms</w:t>
      </w:r>
      <w:r w:rsidRPr="00F27EB2">
        <w:rPr>
          <w:rFonts w:ascii="Times New Roman" w:hAnsi="Times New Roman" w:cs="Times New Roman"/>
          <w:lang w:val="en-US"/>
        </w:rPr>
        <w:t>.</w:t>
      </w:r>
      <w:r w:rsidRPr="00F27EB2">
        <w:rPr>
          <w:rStyle w:val="Voetnootmarkering"/>
          <w:rFonts w:ascii="Times New Roman" w:hAnsi="Times New Roman" w:cs="Times New Roman"/>
          <w:lang w:val="en-US"/>
        </w:rPr>
        <w:footnoteReference w:id="30"/>
      </w:r>
      <w:r w:rsidR="00C4002B" w:rsidRPr="00F27EB2">
        <w:rPr>
          <w:rFonts w:ascii="Times New Roman" w:hAnsi="Times New Roman" w:cs="Times New Roman"/>
          <w:lang w:val="en-US"/>
        </w:rPr>
        <w:t xml:space="preserve"> </w:t>
      </w:r>
    </w:p>
    <w:p w14:paraId="2126B705" w14:textId="20B5B43D" w:rsidR="00A50275" w:rsidRPr="00F27EB2" w:rsidRDefault="00C4002B" w:rsidP="00062D8D">
      <w:pPr>
        <w:jc w:val="both"/>
        <w:rPr>
          <w:rFonts w:ascii="Times New Roman" w:hAnsi="Times New Roman" w:cs="Times New Roman"/>
          <w:lang w:val="en-US"/>
        </w:rPr>
      </w:pPr>
      <w:r w:rsidRPr="00F27EB2">
        <w:rPr>
          <w:rFonts w:ascii="Times New Roman" w:hAnsi="Times New Roman" w:cs="Times New Roman"/>
          <w:lang w:val="en-US"/>
        </w:rPr>
        <w:tab/>
        <w:t>In</w:t>
      </w:r>
      <w:r w:rsidR="000D37E7" w:rsidRPr="00F27EB2">
        <w:rPr>
          <w:rFonts w:ascii="Times New Roman" w:hAnsi="Times New Roman" w:cs="Times New Roman"/>
          <w:lang w:val="en-US"/>
        </w:rPr>
        <w:t xml:space="preserve"> early</w:t>
      </w:r>
      <w:r w:rsidRPr="00F27EB2">
        <w:rPr>
          <w:rFonts w:ascii="Times New Roman" w:hAnsi="Times New Roman" w:cs="Times New Roman"/>
          <w:lang w:val="en-US"/>
        </w:rPr>
        <w:t xml:space="preserve"> </w:t>
      </w:r>
      <w:r w:rsidR="000D37E7" w:rsidRPr="00F27EB2">
        <w:rPr>
          <w:rFonts w:ascii="Times New Roman" w:hAnsi="Times New Roman" w:cs="Times New Roman"/>
          <w:lang w:val="en-US"/>
        </w:rPr>
        <w:t>20</w:t>
      </w:r>
      <w:r w:rsidR="000D37E7" w:rsidRPr="00F27EB2">
        <w:rPr>
          <w:rFonts w:ascii="Times New Roman" w:hAnsi="Times New Roman" w:cs="Times New Roman"/>
          <w:vertAlign w:val="superscript"/>
          <w:lang w:val="en-US"/>
        </w:rPr>
        <w:t>th</w:t>
      </w:r>
      <w:r w:rsidR="000D37E7" w:rsidRPr="00F27EB2">
        <w:rPr>
          <w:rFonts w:ascii="Times New Roman" w:hAnsi="Times New Roman" w:cs="Times New Roman"/>
          <w:lang w:val="en-US"/>
        </w:rPr>
        <w:t xml:space="preserve"> century </w:t>
      </w:r>
      <w:r w:rsidRPr="00F27EB2">
        <w:rPr>
          <w:rFonts w:ascii="Times New Roman" w:hAnsi="Times New Roman" w:cs="Times New Roman"/>
          <w:smallCaps/>
          <w:lang w:val="en-US"/>
        </w:rPr>
        <w:t>lxx-</w:t>
      </w:r>
      <w:r w:rsidRPr="00F27EB2">
        <w:rPr>
          <w:rFonts w:ascii="Times New Roman" w:hAnsi="Times New Roman" w:cs="Times New Roman"/>
          <w:lang w:val="en-US"/>
        </w:rPr>
        <w:t xml:space="preserve">scholarship, anti-anthropomorphism is presupposed and asserted without true investigation. For instance, </w:t>
      </w:r>
      <w:r w:rsidR="001A588B" w:rsidRPr="00F27EB2">
        <w:rPr>
          <w:rFonts w:ascii="Times New Roman" w:hAnsi="Times New Roman" w:cs="Times New Roman"/>
          <w:lang w:val="en-US"/>
        </w:rPr>
        <w:t xml:space="preserve">Henry St. John Thackeray’s influential </w:t>
      </w:r>
      <w:r w:rsidR="001A588B" w:rsidRPr="00F27EB2">
        <w:rPr>
          <w:rStyle w:val="Nadruk"/>
          <w:rFonts w:ascii="Times New Roman" w:hAnsi="Times New Roman" w:cs="Times New Roman"/>
          <w:lang w:val="en-US"/>
        </w:rPr>
        <w:t>Some Aspects of the Greek Old Testament</w:t>
      </w:r>
      <w:r w:rsidR="001A588B" w:rsidRPr="00F27EB2">
        <w:rPr>
          <w:rFonts w:ascii="Times New Roman" w:hAnsi="Times New Roman" w:cs="Times New Roman"/>
          <w:lang w:val="en-US"/>
        </w:rPr>
        <w:t xml:space="preserve"> (1927) advanced crucial observations on </w:t>
      </w:r>
      <w:r w:rsidR="00062D8D" w:rsidRPr="00F27EB2">
        <w:rPr>
          <w:rFonts w:ascii="Times New Roman" w:hAnsi="Times New Roman" w:cs="Times New Roman"/>
          <w:smallCaps/>
          <w:lang w:val="en-US"/>
        </w:rPr>
        <w:t>lxx</w:t>
      </w:r>
      <w:r w:rsidR="001A588B" w:rsidRPr="00F27EB2">
        <w:rPr>
          <w:rFonts w:ascii="Times New Roman" w:hAnsi="Times New Roman" w:cs="Times New Roman"/>
          <w:lang w:val="en-US"/>
        </w:rPr>
        <w:t>-Greek, yet his treatment of anthropomorphisms essentially repeated Frankel’s conclusions without fresh evidence.</w:t>
      </w:r>
      <w:r w:rsidR="001A588B" w:rsidRPr="00F27EB2">
        <w:rPr>
          <w:rStyle w:val="Voetnootmarkering"/>
          <w:rFonts w:ascii="Times New Roman" w:hAnsi="Times New Roman" w:cs="Times New Roman"/>
          <w:lang w:val="en-US"/>
        </w:rPr>
        <w:footnoteReference w:id="31"/>
      </w:r>
      <w:r w:rsidR="001A588B" w:rsidRPr="00F27EB2">
        <w:rPr>
          <w:rFonts w:ascii="Times New Roman" w:hAnsi="Times New Roman" w:cs="Times New Roman"/>
          <w:lang w:val="en-US"/>
        </w:rPr>
        <w:t xml:space="preserve"> Similarly, Gillis Gerleman’s study of </w:t>
      </w:r>
      <w:r w:rsidR="009D469A" w:rsidRPr="00F27EB2">
        <w:rPr>
          <w:rFonts w:ascii="Times New Roman" w:hAnsi="Times New Roman" w:cs="Times New Roman"/>
          <w:smallCaps/>
          <w:lang w:val="en-US"/>
        </w:rPr>
        <w:t>lxx-</w:t>
      </w:r>
      <w:r w:rsidR="001A588B" w:rsidRPr="00F27EB2">
        <w:rPr>
          <w:rFonts w:ascii="Times New Roman" w:hAnsi="Times New Roman" w:cs="Times New Roman"/>
          <w:lang w:val="en-US"/>
        </w:rPr>
        <w:t xml:space="preserve">Job offered important methodological insights but accepted without </w:t>
      </w:r>
      <w:r w:rsidR="009D469A" w:rsidRPr="00F27EB2">
        <w:rPr>
          <w:rFonts w:ascii="Times New Roman" w:hAnsi="Times New Roman" w:cs="Times New Roman"/>
          <w:lang w:val="en-US"/>
        </w:rPr>
        <w:t>examination</w:t>
      </w:r>
      <w:r w:rsidR="001A588B" w:rsidRPr="00F27EB2">
        <w:rPr>
          <w:rFonts w:ascii="Times New Roman" w:hAnsi="Times New Roman" w:cs="Times New Roman"/>
          <w:lang w:val="en-US"/>
        </w:rPr>
        <w:t xml:space="preserve"> the thesis of </w:t>
      </w:r>
      <w:proofErr w:type="spellStart"/>
      <w:r w:rsidR="001A588B" w:rsidRPr="00F27EB2">
        <w:rPr>
          <w:rFonts w:ascii="Times New Roman" w:hAnsi="Times New Roman" w:cs="Times New Roman"/>
          <w:lang w:val="en-US"/>
        </w:rPr>
        <w:t>Septuagintal</w:t>
      </w:r>
      <w:proofErr w:type="spellEnd"/>
      <w:r w:rsidR="001A588B" w:rsidRPr="00F27EB2">
        <w:rPr>
          <w:rFonts w:ascii="Times New Roman" w:hAnsi="Times New Roman" w:cs="Times New Roman"/>
          <w:lang w:val="en-US"/>
        </w:rPr>
        <w:t xml:space="preserve"> anti-anthropomorphism.</w:t>
      </w:r>
      <w:r w:rsidR="00062D8D" w:rsidRPr="00F27EB2">
        <w:rPr>
          <w:rStyle w:val="Voetnootmarkering"/>
          <w:rFonts w:ascii="Times New Roman" w:hAnsi="Times New Roman" w:cs="Times New Roman"/>
          <w:lang w:val="en-US"/>
        </w:rPr>
        <w:footnoteReference w:id="32"/>
      </w:r>
      <w:r w:rsidR="001A588B" w:rsidRPr="00F27EB2">
        <w:rPr>
          <w:rFonts w:ascii="Times New Roman" w:hAnsi="Times New Roman" w:cs="Times New Roman"/>
          <w:lang w:val="en-US"/>
        </w:rPr>
        <w:t xml:space="preserve"> </w:t>
      </w:r>
      <w:r w:rsidR="001A588B" w:rsidRPr="00F27EB2">
        <w:rPr>
          <w:rFonts w:ascii="Times New Roman" w:hAnsi="Times New Roman" w:cs="Times New Roman"/>
          <w:lang w:val="en-US"/>
        </w:rPr>
        <w:lastRenderedPageBreak/>
        <w:t>Although he noted inconsistencies in the rendering of anthropomorphisms</w:t>
      </w:r>
      <w:r w:rsidR="00062D8D" w:rsidRPr="00F27EB2">
        <w:rPr>
          <w:rFonts w:ascii="Times New Roman" w:hAnsi="Times New Roman" w:cs="Times New Roman"/>
          <w:lang w:val="en-US"/>
        </w:rPr>
        <w:t xml:space="preserve"> – </w:t>
      </w:r>
      <w:r w:rsidR="001A588B" w:rsidRPr="00F27EB2">
        <w:rPr>
          <w:rFonts w:ascii="Times New Roman" w:hAnsi="Times New Roman" w:cs="Times New Roman"/>
          <w:lang w:val="en-US"/>
        </w:rPr>
        <w:t>some retained, others avoided</w:t>
      </w:r>
      <w:r w:rsidR="00062D8D" w:rsidRPr="00F27EB2">
        <w:rPr>
          <w:rFonts w:ascii="Times New Roman" w:hAnsi="Times New Roman" w:cs="Times New Roman"/>
          <w:lang w:val="en-US"/>
        </w:rPr>
        <w:t xml:space="preserve"> – </w:t>
      </w:r>
      <w:r w:rsidR="001A588B" w:rsidRPr="00F27EB2">
        <w:rPr>
          <w:rFonts w:ascii="Times New Roman" w:hAnsi="Times New Roman" w:cs="Times New Roman"/>
          <w:lang w:val="en-US"/>
        </w:rPr>
        <w:t>he dismissed them by assigning unchanged anthropomorphisms a “purely symbolical significance.”</w:t>
      </w:r>
      <w:r w:rsidR="00062D8D" w:rsidRPr="00F27EB2">
        <w:rPr>
          <w:rStyle w:val="Voetnootmarkering"/>
          <w:rFonts w:ascii="Times New Roman" w:hAnsi="Times New Roman" w:cs="Times New Roman"/>
          <w:lang w:val="en-US"/>
        </w:rPr>
        <w:footnoteReference w:id="33"/>
      </w:r>
      <w:r w:rsidRPr="00F27EB2">
        <w:rPr>
          <w:rFonts w:ascii="Times New Roman" w:hAnsi="Times New Roman" w:cs="Times New Roman"/>
          <w:lang w:val="en-US"/>
        </w:rPr>
        <w:t xml:space="preserve"> </w:t>
      </w:r>
      <w:r w:rsidR="00062D8D" w:rsidRPr="00F27EB2">
        <w:rPr>
          <w:rFonts w:ascii="Times New Roman" w:hAnsi="Times New Roman" w:cs="Times New Roman"/>
          <w:lang w:val="en-US"/>
        </w:rPr>
        <w:t xml:space="preserve">The ideological climate of the time also colored interpretation. Georg Bertram, a committed National Socialist, advanced a view of </w:t>
      </w:r>
      <w:r w:rsidR="00062D8D" w:rsidRPr="00F27EB2">
        <w:rPr>
          <w:rFonts w:ascii="Times New Roman" w:hAnsi="Times New Roman" w:cs="Times New Roman"/>
          <w:smallCaps/>
          <w:lang w:val="en-US"/>
        </w:rPr>
        <w:t>lxx</w:t>
      </w:r>
      <w:r w:rsidR="00062D8D" w:rsidRPr="00F27EB2">
        <w:rPr>
          <w:rFonts w:ascii="Times New Roman" w:hAnsi="Times New Roman" w:cs="Times New Roman"/>
          <w:lang w:val="en-US"/>
        </w:rPr>
        <w:t xml:space="preserve"> as </w:t>
      </w:r>
      <w:proofErr w:type="spellStart"/>
      <w:r w:rsidR="00062D8D" w:rsidRPr="00F27EB2">
        <w:rPr>
          <w:rStyle w:val="Nadruk"/>
          <w:rFonts w:ascii="Times New Roman" w:hAnsi="Times New Roman" w:cs="Times New Roman"/>
          <w:lang w:val="en-US"/>
        </w:rPr>
        <w:t>preparatio</w:t>
      </w:r>
      <w:proofErr w:type="spellEnd"/>
      <w:r w:rsidR="00062D8D" w:rsidRPr="00F27EB2">
        <w:rPr>
          <w:rStyle w:val="Nadruk"/>
          <w:rFonts w:ascii="Times New Roman" w:hAnsi="Times New Roman" w:cs="Times New Roman"/>
          <w:lang w:val="en-US"/>
        </w:rPr>
        <w:t xml:space="preserve"> </w:t>
      </w:r>
      <w:proofErr w:type="spellStart"/>
      <w:r w:rsidR="00062D8D" w:rsidRPr="00F27EB2">
        <w:rPr>
          <w:rStyle w:val="Nadruk"/>
          <w:rFonts w:ascii="Times New Roman" w:hAnsi="Times New Roman" w:cs="Times New Roman"/>
          <w:lang w:val="en-US"/>
        </w:rPr>
        <w:t>evangelica</w:t>
      </w:r>
      <w:proofErr w:type="spellEnd"/>
      <w:r w:rsidR="00062D8D" w:rsidRPr="00F27EB2">
        <w:rPr>
          <w:rFonts w:ascii="Times New Roman" w:hAnsi="Times New Roman" w:cs="Times New Roman"/>
          <w:lang w:val="en-US"/>
        </w:rPr>
        <w:t>, where primitive “Jewish” conceptions were corrected and elevated to pave the way for the Gospels.</w:t>
      </w:r>
      <w:r w:rsidR="00062D8D" w:rsidRPr="00F27EB2">
        <w:rPr>
          <w:rStyle w:val="Voetnootmarkering"/>
          <w:rFonts w:ascii="Times New Roman" w:hAnsi="Times New Roman" w:cs="Times New Roman"/>
          <w:lang w:val="en-US"/>
        </w:rPr>
        <w:footnoteReference w:id="34"/>
      </w:r>
      <w:r w:rsidR="00062D8D" w:rsidRPr="00F27EB2">
        <w:rPr>
          <w:rFonts w:ascii="Times New Roman" w:hAnsi="Times New Roman" w:cs="Times New Roman"/>
          <w:lang w:val="en-US"/>
        </w:rPr>
        <w:t xml:space="preserve"> In this “Septuagint piety,”</w:t>
      </w:r>
      <w:r w:rsidR="00062D8D" w:rsidRPr="00F27EB2">
        <w:rPr>
          <w:rStyle w:val="Voetnootmarkering"/>
          <w:rFonts w:ascii="Times New Roman" w:hAnsi="Times New Roman" w:cs="Times New Roman"/>
          <w:lang w:val="en-US"/>
        </w:rPr>
        <w:footnoteReference w:id="35"/>
      </w:r>
      <w:r w:rsidR="00062D8D" w:rsidRPr="00F27EB2">
        <w:rPr>
          <w:rFonts w:ascii="Times New Roman" w:hAnsi="Times New Roman" w:cs="Times New Roman"/>
          <w:lang w:val="en-US"/>
        </w:rPr>
        <w:t xml:space="preserve"> anthropomorphisms were assumed to be systematically removed, not </w:t>
      </w:r>
      <w:r w:rsidR="009D469A" w:rsidRPr="00F27EB2">
        <w:rPr>
          <w:rFonts w:ascii="Times New Roman" w:hAnsi="Times New Roman" w:cs="Times New Roman"/>
          <w:lang w:val="en-US"/>
        </w:rPr>
        <w:t>based on</w:t>
      </w:r>
      <w:r w:rsidR="00062D8D" w:rsidRPr="00F27EB2">
        <w:rPr>
          <w:rFonts w:ascii="Times New Roman" w:hAnsi="Times New Roman" w:cs="Times New Roman"/>
          <w:lang w:val="en-US"/>
        </w:rPr>
        <w:t xml:space="preserve"> textual analysis, but </w:t>
      </w:r>
      <w:r w:rsidR="009D469A" w:rsidRPr="00F27EB2">
        <w:rPr>
          <w:rFonts w:ascii="Times New Roman" w:hAnsi="Times New Roman" w:cs="Times New Roman"/>
          <w:lang w:val="en-US"/>
        </w:rPr>
        <w:t>at</w:t>
      </w:r>
      <w:r w:rsidR="00062D8D" w:rsidRPr="00F27EB2">
        <w:rPr>
          <w:rFonts w:ascii="Times New Roman" w:hAnsi="Times New Roman" w:cs="Times New Roman"/>
          <w:lang w:val="en-US"/>
        </w:rPr>
        <w:t xml:space="preserve"> the service of a</w:t>
      </w:r>
      <w:r w:rsidR="009D469A" w:rsidRPr="00F27EB2">
        <w:rPr>
          <w:rFonts w:ascii="Times New Roman" w:hAnsi="Times New Roman" w:cs="Times New Roman"/>
          <w:lang w:val="en-US"/>
        </w:rPr>
        <w:t xml:space="preserve">n </w:t>
      </w:r>
      <w:r w:rsidR="00062D8D" w:rsidRPr="00F27EB2">
        <w:rPr>
          <w:rFonts w:ascii="Times New Roman" w:hAnsi="Times New Roman" w:cs="Times New Roman"/>
          <w:lang w:val="en-US"/>
        </w:rPr>
        <w:t>antisemitic agenda.</w:t>
      </w:r>
    </w:p>
    <w:p w14:paraId="30CF955D" w14:textId="19C45C07" w:rsidR="00062D8D" w:rsidRPr="00F27EB2" w:rsidRDefault="00062D8D" w:rsidP="00CC0D42">
      <w:pPr>
        <w:pStyle w:val="Normaalweb"/>
        <w:spacing w:before="0" w:beforeAutospacing="0" w:after="0" w:afterAutospacing="0"/>
        <w:jc w:val="both"/>
        <w:rPr>
          <w:lang w:val="en-US"/>
        </w:rPr>
      </w:pPr>
      <w:r w:rsidRPr="00F27EB2">
        <w:rPr>
          <w:lang w:val="en-US"/>
        </w:rPr>
        <w:tab/>
        <w:t>Martin Flasha</w:t>
      </w:r>
      <w:r w:rsidR="00560A34" w:rsidRPr="00F27EB2">
        <w:rPr>
          <w:lang w:val="en-US"/>
        </w:rPr>
        <w:t xml:space="preserve">r’s </w:t>
      </w:r>
      <w:r w:rsidR="00560A34" w:rsidRPr="00F27EB2">
        <w:rPr>
          <w:lang w:val="en-US"/>
        </w:rPr>
        <w:t>lengthy study</w:t>
      </w:r>
      <w:r w:rsidR="00560A34" w:rsidRPr="00F27EB2">
        <w:rPr>
          <w:lang w:val="en-US"/>
        </w:rPr>
        <w:t xml:space="preserve">, </w:t>
      </w:r>
      <w:r w:rsidR="00560A34" w:rsidRPr="00F27EB2">
        <w:rPr>
          <w:lang w:val="en-US"/>
        </w:rPr>
        <w:t xml:space="preserve">foundational for research on </w:t>
      </w:r>
      <w:r w:rsidR="00560A34" w:rsidRPr="00F27EB2">
        <w:rPr>
          <w:smallCaps/>
          <w:lang w:val="en-US"/>
        </w:rPr>
        <w:t>lxx</w:t>
      </w:r>
      <w:r w:rsidR="00560A34" w:rsidRPr="00F27EB2">
        <w:rPr>
          <w:lang w:val="en-US"/>
        </w:rPr>
        <w:t>-translation-</w:t>
      </w:r>
      <w:proofErr w:type="gramStart"/>
      <w:r w:rsidR="00560A34" w:rsidRPr="00F27EB2">
        <w:rPr>
          <w:lang w:val="en-US"/>
        </w:rPr>
        <w:t>technique</w:t>
      </w:r>
      <w:r w:rsidR="00560A34" w:rsidRPr="00F27EB2">
        <w:rPr>
          <w:lang w:val="en-US"/>
        </w:rPr>
        <w:t>,  offe</w:t>
      </w:r>
      <w:r w:rsidRPr="00F27EB2">
        <w:rPr>
          <w:lang w:val="en-US"/>
        </w:rPr>
        <w:t>r</w:t>
      </w:r>
      <w:r w:rsidR="00560A34" w:rsidRPr="00F27EB2">
        <w:rPr>
          <w:lang w:val="en-US"/>
        </w:rPr>
        <w:t>ed</w:t>
      </w:r>
      <w:proofErr w:type="gramEnd"/>
      <w:r w:rsidR="00560A34" w:rsidRPr="00F27EB2">
        <w:rPr>
          <w:lang w:val="en-US"/>
        </w:rPr>
        <w:t xml:space="preserve"> a more nuanced perspective</w:t>
      </w:r>
      <w:r w:rsidRPr="00F27EB2">
        <w:rPr>
          <w:lang w:val="en-US"/>
        </w:rPr>
        <w:t>.</w:t>
      </w:r>
      <w:r w:rsidRPr="00F27EB2">
        <w:rPr>
          <w:rStyle w:val="Voetnootmarkering"/>
          <w:lang w:val="en-US"/>
        </w:rPr>
        <w:footnoteReference w:id="36"/>
      </w:r>
      <w:r w:rsidRPr="00F27EB2">
        <w:rPr>
          <w:lang w:val="en-US"/>
        </w:rPr>
        <w:t xml:space="preserve"> </w:t>
      </w:r>
      <w:proofErr w:type="spellStart"/>
      <w:r w:rsidRPr="00F27EB2">
        <w:rPr>
          <w:lang w:val="en-US"/>
        </w:rPr>
        <w:t>Flashar</w:t>
      </w:r>
      <w:proofErr w:type="spellEnd"/>
      <w:r w:rsidRPr="00F27EB2">
        <w:rPr>
          <w:lang w:val="en-US"/>
        </w:rPr>
        <w:t xml:space="preserve"> argued that it is insufficient to stop at an “</w:t>
      </w:r>
      <w:proofErr w:type="spellStart"/>
      <w:r w:rsidRPr="00F27EB2">
        <w:rPr>
          <w:lang w:val="en-US"/>
        </w:rPr>
        <w:t>atomistische</w:t>
      </w:r>
      <w:proofErr w:type="spellEnd"/>
      <w:r w:rsidRPr="00F27EB2">
        <w:rPr>
          <w:lang w:val="en-US"/>
        </w:rPr>
        <w:t xml:space="preserve"> </w:t>
      </w:r>
      <w:proofErr w:type="spellStart"/>
      <w:r w:rsidRPr="00F27EB2">
        <w:rPr>
          <w:lang w:val="en-US"/>
        </w:rPr>
        <w:t>Vergleichung</w:t>
      </w:r>
      <w:proofErr w:type="spellEnd"/>
      <w:r w:rsidRPr="00F27EB2">
        <w:rPr>
          <w:lang w:val="en-US"/>
        </w:rPr>
        <w:t xml:space="preserve"> von Urtext und </w:t>
      </w:r>
      <w:proofErr w:type="spellStart"/>
      <w:r w:rsidRPr="00F27EB2">
        <w:rPr>
          <w:lang w:val="en-US"/>
        </w:rPr>
        <w:t>Übersetzung</w:t>
      </w:r>
      <w:proofErr w:type="spellEnd"/>
      <w:r w:rsidRPr="00F27EB2">
        <w:rPr>
          <w:lang w:val="en-US"/>
        </w:rPr>
        <w:t>.”</w:t>
      </w:r>
      <w:r w:rsidRPr="00F27EB2">
        <w:rPr>
          <w:rStyle w:val="Voetnootmarkering"/>
          <w:lang w:val="en-US"/>
        </w:rPr>
        <w:footnoteReference w:id="37"/>
      </w:r>
      <w:r w:rsidRPr="00F27EB2">
        <w:rPr>
          <w:lang w:val="en-US"/>
        </w:rPr>
        <w:t xml:space="preserve"> Instead, he insisted on contextual analysis within the broader translation technique of each book. </w:t>
      </w:r>
      <w:proofErr w:type="spellStart"/>
      <w:r w:rsidRPr="00F27EB2">
        <w:rPr>
          <w:lang w:val="en-US"/>
        </w:rPr>
        <w:t>Flashar</w:t>
      </w:r>
      <w:proofErr w:type="spellEnd"/>
      <w:r w:rsidRPr="00F27EB2">
        <w:rPr>
          <w:lang w:val="en-US"/>
        </w:rPr>
        <w:t xml:space="preserve"> demonstrated that translators occasionally made changes to adjust the image of God, yet these remained </w:t>
      </w:r>
      <w:r w:rsidRPr="00F27EB2">
        <w:rPr>
          <w:i/>
          <w:iCs/>
          <w:lang w:val="en-US"/>
        </w:rPr>
        <w:t>small</w:t>
      </w:r>
      <w:r w:rsidRPr="00F27EB2">
        <w:rPr>
          <w:lang w:val="en-US"/>
        </w:rPr>
        <w:t xml:space="preserve"> in scale, since the overarching goal was not theological revision but the production of an intelligible Greek text.</w:t>
      </w:r>
      <w:r w:rsidR="002B3AEC" w:rsidRPr="00F27EB2">
        <w:rPr>
          <w:rStyle w:val="Voetnootmarkering"/>
          <w:lang w:val="en-US"/>
        </w:rPr>
        <w:footnoteReference w:id="38"/>
      </w:r>
      <w:r w:rsidR="00477CC1" w:rsidRPr="00F27EB2">
        <w:rPr>
          <w:lang w:val="en-US"/>
        </w:rPr>
        <w:t xml:space="preserve"> This offers a more plausible way out of the problem of </w:t>
      </w:r>
      <w:r w:rsidR="00477CC1" w:rsidRPr="00F27EB2">
        <w:rPr>
          <w:i/>
          <w:iCs/>
          <w:lang w:val="en-US"/>
        </w:rPr>
        <w:t xml:space="preserve">inconsistency </w:t>
      </w:r>
      <w:r w:rsidR="00477CC1" w:rsidRPr="00F27EB2">
        <w:rPr>
          <w:lang w:val="en-US"/>
        </w:rPr>
        <w:t xml:space="preserve">in the rendering of anthropomorphisms: </w:t>
      </w:r>
      <w:r w:rsidR="00560A34" w:rsidRPr="00F27EB2">
        <w:rPr>
          <w:lang w:val="en-US"/>
        </w:rPr>
        <w:t>anthropomorphisms were not</w:t>
      </w:r>
      <w:r w:rsidR="00477CC1" w:rsidRPr="00F27EB2">
        <w:rPr>
          <w:lang w:val="en-US"/>
        </w:rPr>
        <w:t xml:space="preserve"> consistently</w:t>
      </w:r>
      <w:r w:rsidR="00560A34" w:rsidRPr="00F27EB2">
        <w:rPr>
          <w:lang w:val="en-US"/>
        </w:rPr>
        <w:t xml:space="preserve"> altered</w:t>
      </w:r>
      <w:r w:rsidR="00477CC1" w:rsidRPr="00F27EB2">
        <w:rPr>
          <w:lang w:val="en-US"/>
        </w:rPr>
        <w:t>, since the translator’s foremost wished to transfer the Hebrew into Greek</w:t>
      </w:r>
      <w:r w:rsidR="00560A34" w:rsidRPr="00F27EB2">
        <w:rPr>
          <w:lang w:val="en-US"/>
        </w:rPr>
        <w:t>, not a systematic rewriting</w:t>
      </w:r>
      <w:r w:rsidR="00477CC1" w:rsidRPr="00F27EB2">
        <w:rPr>
          <w:lang w:val="en-US"/>
        </w:rPr>
        <w:t>.</w:t>
      </w:r>
      <w:r w:rsidRPr="00F27EB2">
        <w:rPr>
          <w:lang w:val="en-US"/>
        </w:rPr>
        <w:t xml:space="preserve"> </w:t>
      </w:r>
      <w:r w:rsidR="00477CC1" w:rsidRPr="00F27EB2">
        <w:rPr>
          <w:lang w:val="en-US"/>
        </w:rPr>
        <w:t xml:space="preserve">These </w:t>
      </w:r>
      <w:r w:rsidR="00477CC1" w:rsidRPr="00F27EB2">
        <w:rPr>
          <w:i/>
          <w:iCs/>
          <w:lang w:val="en-US"/>
        </w:rPr>
        <w:t>small changes</w:t>
      </w:r>
      <w:r w:rsidR="00477CC1" w:rsidRPr="00F27EB2">
        <w:rPr>
          <w:lang w:val="en-US"/>
        </w:rPr>
        <w:t xml:space="preserve"> can take many forms, from simple omissions to a “creative etymology,”  </w:t>
      </w:r>
      <w:r w:rsidRPr="00F27EB2">
        <w:rPr>
          <w:lang w:val="en-US"/>
        </w:rPr>
        <w:t>such as the rendering of</w:t>
      </w:r>
      <w:r w:rsidR="00560A34" w:rsidRPr="00F27EB2">
        <w:rPr>
          <w:lang w:val="en-US"/>
        </w:rPr>
        <w:t xml:space="preserve"> God’s</w:t>
      </w:r>
      <w:r w:rsidRPr="00F27EB2">
        <w:rPr>
          <w:lang w:val="en-US"/>
        </w:rPr>
        <w:t xml:space="preserve"> </w:t>
      </w:r>
      <w:r w:rsidRPr="00F27EB2">
        <w:rPr>
          <w:rtl/>
          <w:lang w:val="en-US"/>
        </w:rPr>
        <w:t>הוֹד</w:t>
      </w:r>
      <w:r w:rsidRPr="00F27EB2">
        <w:rPr>
          <w:lang w:val="en-US"/>
        </w:rPr>
        <w:t xml:space="preserve"> (“splendor”) </w:t>
      </w:r>
      <w:r w:rsidR="00560A34" w:rsidRPr="00F27EB2">
        <w:rPr>
          <w:lang w:val="en-US"/>
        </w:rPr>
        <w:t>into</w:t>
      </w:r>
      <w:r w:rsidRPr="00F27EB2">
        <w:rPr>
          <w:lang w:val="en-US"/>
        </w:rPr>
        <w:t xml:space="preserve"> </w:t>
      </w:r>
      <w:proofErr w:type="spellStart"/>
      <w:r w:rsidRPr="00F27EB2">
        <w:rPr>
          <w:lang w:val="en-US"/>
        </w:rPr>
        <w:t>ἐξομολόγησις</w:t>
      </w:r>
      <w:proofErr w:type="spellEnd"/>
      <w:r w:rsidRPr="00F27EB2">
        <w:rPr>
          <w:lang w:val="en-US"/>
        </w:rPr>
        <w:t xml:space="preserve"> </w:t>
      </w:r>
      <w:r w:rsidR="00560A34" w:rsidRPr="00F27EB2">
        <w:rPr>
          <w:lang w:val="en-US"/>
        </w:rPr>
        <w:t>(</w:t>
      </w:r>
      <w:r w:rsidR="00560A34" w:rsidRPr="00F27EB2">
        <w:rPr>
          <w:smallCaps/>
          <w:lang w:val="en-US"/>
        </w:rPr>
        <w:t>lxx-</w:t>
      </w:r>
      <w:r w:rsidRPr="00F27EB2">
        <w:rPr>
          <w:lang w:val="en-US"/>
        </w:rPr>
        <w:t>Ps 103:1</w:t>
      </w:r>
      <w:r w:rsidR="00560A34" w:rsidRPr="00F27EB2">
        <w:rPr>
          <w:lang w:val="en-US"/>
        </w:rPr>
        <w:t>)</w:t>
      </w:r>
      <w:r w:rsidRPr="00F27EB2">
        <w:rPr>
          <w:lang w:val="en-US"/>
        </w:rPr>
        <w:t xml:space="preserve"> via </w:t>
      </w:r>
      <w:r w:rsidR="00477CC1" w:rsidRPr="00F27EB2">
        <w:rPr>
          <w:lang w:val="en-US"/>
        </w:rPr>
        <w:t xml:space="preserve">creative </w:t>
      </w:r>
      <w:r w:rsidRPr="00F27EB2">
        <w:rPr>
          <w:lang w:val="en-US"/>
        </w:rPr>
        <w:t xml:space="preserve">association with </w:t>
      </w:r>
      <w:r w:rsidRPr="00F27EB2">
        <w:rPr>
          <w:rtl/>
          <w:lang w:val="en-US"/>
        </w:rPr>
        <w:t>תּוֹדָה</w:t>
      </w:r>
      <w:r w:rsidRPr="00F27EB2">
        <w:rPr>
          <w:lang w:val="en-US"/>
        </w:rPr>
        <w:t xml:space="preserve"> (“thanksgiving”)</w:t>
      </w:r>
      <w:r w:rsidR="00477CC1" w:rsidRPr="00F27EB2">
        <w:rPr>
          <w:lang w:val="en-US"/>
        </w:rPr>
        <w:t xml:space="preserve"> </w:t>
      </w:r>
      <w:r w:rsidR="00477CC1" w:rsidRPr="00F27EB2">
        <w:rPr>
          <w:color w:val="000000"/>
          <w:lang w:val="en-US"/>
        </w:rPr>
        <w:t xml:space="preserve">or </w:t>
      </w:r>
      <w:r w:rsidR="00477CC1" w:rsidRPr="00F27EB2">
        <w:rPr>
          <w:color w:val="000000"/>
          <w:rtl/>
          <w:lang w:val="en-US"/>
        </w:rPr>
        <w:t>ידה</w:t>
      </w:r>
      <w:r w:rsidR="00477CC1" w:rsidRPr="00F27EB2">
        <w:rPr>
          <w:color w:val="000000"/>
          <w:lang w:val="en-US"/>
        </w:rPr>
        <w:t xml:space="preserve"> (“praise”)</w:t>
      </w:r>
      <w:r w:rsidRPr="00F27EB2">
        <w:rPr>
          <w:lang w:val="en-US"/>
        </w:rPr>
        <w:t>.</w:t>
      </w:r>
      <w:r w:rsidR="00477CC1" w:rsidRPr="00F27EB2">
        <w:rPr>
          <w:rStyle w:val="Voetnootmarkering"/>
          <w:color w:val="000000"/>
          <w:lang w:val="en-US"/>
        </w:rPr>
        <w:footnoteReference w:id="39"/>
      </w:r>
      <w:r w:rsidRPr="00F27EB2">
        <w:rPr>
          <w:lang w:val="en-US"/>
        </w:rPr>
        <w:t xml:space="preserve"> </w:t>
      </w:r>
      <w:r w:rsidR="00477CC1" w:rsidRPr="00F27EB2">
        <w:rPr>
          <w:color w:val="000000"/>
          <w:lang w:val="en-US"/>
        </w:rPr>
        <w:t xml:space="preserve">Contrary to earlier studies, </w:t>
      </w:r>
      <w:proofErr w:type="spellStart"/>
      <w:r w:rsidR="00477CC1" w:rsidRPr="00F27EB2">
        <w:rPr>
          <w:color w:val="000000"/>
          <w:lang w:val="en-US"/>
        </w:rPr>
        <w:t>Flashar</w:t>
      </w:r>
      <w:proofErr w:type="spellEnd"/>
      <w:r w:rsidR="00477CC1" w:rsidRPr="00F27EB2">
        <w:rPr>
          <w:color w:val="000000"/>
          <w:lang w:val="en-US"/>
        </w:rPr>
        <w:t>,</w:t>
      </w:r>
      <w:r w:rsidR="00560A34" w:rsidRPr="00F27EB2">
        <w:rPr>
          <w:color w:val="000000"/>
          <w:lang w:val="en-US"/>
        </w:rPr>
        <w:t xml:space="preserve"> </w:t>
      </w:r>
      <w:r w:rsidR="00477CC1" w:rsidRPr="00F27EB2">
        <w:rPr>
          <w:color w:val="000000"/>
          <w:lang w:val="en-US"/>
        </w:rPr>
        <w:t xml:space="preserve">accounts for </w:t>
      </w:r>
      <w:r w:rsidR="00477CC1" w:rsidRPr="00F27EB2">
        <w:rPr>
          <w:lang w:val="en-US"/>
        </w:rPr>
        <w:t xml:space="preserve">a wider variety of factors behind textual divergences in </w:t>
      </w:r>
      <w:r w:rsidR="00477CC1" w:rsidRPr="00F27EB2">
        <w:rPr>
          <w:smallCaps/>
          <w:lang w:val="en-US"/>
        </w:rPr>
        <w:t>lxx</w:t>
      </w:r>
      <w:r w:rsidR="00560A34" w:rsidRPr="00F27EB2">
        <w:rPr>
          <w:lang w:val="en-US"/>
        </w:rPr>
        <w:t xml:space="preserve">: </w:t>
      </w:r>
      <w:r w:rsidR="00477CC1" w:rsidRPr="00F27EB2">
        <w:rPr>
          <w:lang w:val="en-US"/>
        </w:rPr>
        <w:t xml:space="preserve">dogmatic avoidance, misunderstanding of the Hebrew, stylistic preference, alternative vocalization, misreading, or even another </w:t>
      </w:r>
      <w:r w:rsidR="00477CC1" w:rsidRPr="00F27EB2">
        <w:rPr>
          <w:i/>
          <w:iCs/>
          <w:lang w:val="en-US"/>
        </w:rPr>
        <w:t>Vorlage</w:t>
      </w:r>
      <w:r w:rsidR="00477CC1" w:rsidRPr="00F27EB2">
        <w:rPr>
          <w:lang w:val="en-US"/>
        </w:rPr>
        <w:t>.</w:t>
      </w:r>
      <w:r w:rsidR="00477CC1" w:rsidRPr="00F27EB2">
        <w:rPr>
          <w:rStyle w:val="Voetnootmarkering"/>
          <w:color w:val="000000"/>
          <w:lang w:val="en-US"/>
        </w:rPr>
        <w:footnoteReference w:id="40"/>
      </w:r>
      <w:r w:rsidR="00477CC1" w:rsidRPr="00F27EB2">
        <w:rPr>
          <w:lang w:val="en-US"/>
        </w:rPr>
        <w:t xml:space="preserve"> </w:t>
      </w:r>
      <w:proofErr w:type="spellStart"/>
      <w:r w:rsidRPr="00F27EB2">
        <w:rPr>
          <w:lang w:val="en-US"/>
        </w:rPr>
        <w:t>Flashar</w:t>
      </w:r>
      <w:proofErr w:type="spellEnd"/>
      <w:r w:rsidRPr="00F27EB2">
        <w:rPr>
          <w:lang w:val="en-US"/>
        </w:rPr>
        <w:t xml:space="preserve"> thus moved beyond the reductive framework of anti-anthropomorphism, though his insights were not immediately applied.</w:t>
      </w:r>
    </w:p>
    <w:p w14:paraId="6CB49E4E" w14:textId="42743C68" w:rsidR="00BA2B4E" w:rsidRPr="00F27EB2" w:rsidRDefault="00560A34" w:rsidP="00E42CE1">
      <w:pPr>
        <w:ind w:firstLine="340"/>
        <w:jc w:val="both"/>
        <w:rPr>
          <w:rFonts w:ascii="Times New Roman" w:hAnsi="Times New Roman" w:cs="Times New Roman"/>
          <w:color w:val="000000"/>
          <w:lang w:val="en-US"/>
        </w:rPr>
      </w:pPr>
      <w:r w:rsidRPr="00F27EB2">
        <w:rPr>
          <w:rFonts w:ascii="Times New Roman" w:hAnsi="Times New Roman" w:cs="Times New Roman"/>
          <w:lang w:val="en-US"/>
        </w:rPr>
        <w:t xml:space="preserve">The first major study directly addressing the topic appeared </w:t>
      </w:r>
      <w:r w:rsidR="00E42CE1" w:rsidRPr="00F27EB2">
        <w:rPr>
          <w:rFonts w:ascii="Times New Roman" w:hAnsi="Times New Roman" w:cs="Times New Roman"/>
          <w:lang w:val="en-US"/>
        </w:rPr>
        <w:t xml:space="preserve">only in 1943: Charles Fritsch’s dissertation on the anti-anthropomorphisms of </w:t>
      </w:r>
      <w:r w:rsidR="00E42CE1" w:rsidRPr="00F27EB2">
        <w:rPr>
          <w:rFonts w:ascii="Times New Roman" w:hAnsi="Times New Roman" w:cs="Times New Roman"/>
          <w:smallCaps/>
          <w:lang w:val="en-US"/>
        </w:rPr>
        <w:t>lxx</w:t>
      </w:r>
      <w:r w:rsidR="00E42CE1" w:rsidRPr="00F27EB2">
        <w:rPr>
          <w:rFonts w:ascii="Times New Roman" w:hAnsi="Times New Roman" w:cs="Times New Roman"/>
          <w:lang w:val="en-US"/>
        </w:rPr>
        <w:t>-Pentateuch.</w:t>
      </w:r>
      <w:r w:rsidR="00E42CE1" w:rsidRPr="00F27EB2">
        <w:rPr>
          <w:rStyle w:val="Voetnootmarkering"/>
          <w:rFonts w:ascii="Times New Roman" w:hAnsi="Times New Roman" w:cs="Times New Roman"/>
          <w:spacing w:val="-2"/>
          <w:lang w:val="en-US"/>
        </w:rPr>
        <w:footnoteReference w:id="41"/>
      </w:r>
      <w:r w:rsidR="00E42CE1" w:rsidRPr="00F27EB2">
        <w:rPr>
          <w:rFonts w:ascii="Times New Roman" w:hAnsi="Times New Roman" w:cs="Times New Roman"/>
          <w:lang w:val="en-US"/>
        </w:rPr>
        <w:t xml:space="preserve"> Fritsch argued that certain grammatical constructions reveal anti-anthropomorphic tendencies, yet no overarching strategy of avoidance can be detected. His analysis, however, remained largely “atomistic.”</w:t>
      </w:r>
      <w:r w:rsidR="00E42CE1" w:rsidRPr="00F27EB2">
        <w:rPr>
          <w:rStyle w:val="Voetnootmarkering"/>
          <w:rFonts w:ascii="Times New Roman" w:hAnsi="Times New Roman" w:cs="Times New Roman"/>
          <w:lang w:val="en-US"/>
        </w:rPr>
        <w:footnoteReference w:id="42"/>
      </w:r>
      <w:r w:rsidR="00E42CE1" w:rsidRPr="00F27EB2">
        <w:rPr>
          <w:rFonts w:ascii="Times New Roman" w:hAnsi="Times New Roman" w:cs="Times New Roman"/>
          <w:lang w:val="en-US"/>
        </w:rPr>
        <w:t xml:space="preserve"> He did not apply </w:t>
      </w:r>
      <w:proofErr w:type="spellStart"/>
      <w:r w:rsidR="00E42CE1" w:rsidRPr="00F27EB2">
        <w:rPr>
          <w:rFonts w:ascii="Times New Roman" w:hAnsi="Times New Roman" w:cs="Times New Roman"/>
          <w:lang w:val="en-US"/>
        </w:rPr>
        <w:t>Flashar’s</w:t>
      </w:r>
      <w:proofErr w:type="spellEnd"/>
      <w:r w:rsidR="00E42CE1" w:rsidRPr="00F27EB2">
        <w:rPr>
          <w:rFonts w:ascii="Times New Roman" w:hAnsi="Times New Roman" w:cs="Times New Roman"/>
          <w:lang w:val="en-US"/>
        </w:rPr>
        <w:t xml:space="preserve"> criteria, failed to consider alternative </w:t>
      </w:r>
      <w:proofErr w:type="spellStart"/>
      <w:r w:rsidR="00E42CE1" w:rsidRPr="00F27EB2">
        <w:rPr>
          <w:rFonts w:ascii="Times New Roman" w:hAnsi="Times New Roman" w:cs="Times New Roman"/>
          <w:i/>
          <w:iCs/>
          <w:lang w:val="en-US"/>
        </w:rPr>
        <w:t>Vorlagen</w:t>
      </w:r>
      <w:proofErr w:type="spellEnd"/>
      <w:r w:rsidR="00E42CE1" w:rsidRPr="00F27EB2">
        <w:rPr>
          <w:rFonts w:ascii="Times New Roman" w:hAnsi="Times New Roman" w:cs="Times New Roman"/>
          <w:lang w:val="en-US"/>
        </w:rPr>
        <w:t xml:space="preserve"> or stylistic explanations, and too readily attributed variants to anti-anthropomorphism. He also neglected systematic comparison between renderings applied to God and to humans, a step crucial to the investigation. Nevertheless, he cautiously acknowledged that “in the technical sense of the term, the anti-anthropomorphisms in the Pentateuch of </w:t>
      </w:r>
      <w:r w:rsidR="00E42CE1" w:rsidRPr="00F27EB2">
        <w:rPr>
          <w:rFonts w:ascii="Times New Roman" w:hAnsi="Times New Roman" w:cs="Times New Roman"/>
          <w:smallCaps/>
          <w:lang w:val="en-US"/>
        </w:rPr>
        <w:t>lxx</w:t>
      </w:r>
      <w:r w:rsidR="00E42CE1" w:rsidRPr="00F27EB2">
        <w:rPr>
          <w:rFonts w:ascii="Times New Roman" w:hAnsi="Times New Roman" w:cs="Times New Roman"/>
          <w:lang w:val="en-US"/>
        </w:rPr>
        <w:t xml:space="preserve"> are disappointingly few,”</w:t>
      </w:r>
      <w:r w:rsidR="00E42CE1" w:rsidRPr="00F27EB2">
        <w:rPr>
          <w:rStyle w:val="Voetnootmarkering"/>
          <w:rFonts w:ascii="Times New Roman" w:hAnsi="Times New Roman" w:cs="Times New Roman"/>
          <w:spacing w:val="-2"/>
          <w:lang w:val="en-US"/>
        </w:rPr>
        <w:footnoteReference w:id="43"/>
      </w:r>
      <w:r w:rsidR="00E42CE1" w:rsidRPr="00F27EB2">
        <w:rPr>
          <w:rFonts w:ascii="Times New Roman" w:hAnsi="Times New Roman" w:cs="Times New Roman"/>
          <w:lang w:val="en-US"/>
        </w:rPr>
        <w:t xml:space="preserve"> and emphasized the translators’ concern to produce a faithful rendering of the Hebrew </w:t>
      </w:r>
      <w:r w:rsidRPr="00F27EB2">
        <w:rPr>
          <w:rFonts w:ascii="Times New Roman" w:hAnsi="Times New Roman" w:cs="Times New Roman"/>
          <w:lang w:val="en-US"/>
        </w:rPr>
        <w:t>into</w:t>
      </w:r>
      <w:r w:rsidR="00E42CE1" w:rsidRPr="00F27EB2">
        <w:rPr>
          <w:rFonts w:ascii="Times New Roman" w:hAnsi="Times New Roman" w:cs="Times New Roman"/>
          <w:lang w:val="en-US"/>
        </w:rPr>
        <w:t xml:space="preserve"> idiomatic Greek.</w:t>
      </w:r>
      <w:r w:rsidR="00E42CE1" w:rsidRPr="00F27EB2">
        <w:rPr>
          <w:rStyle w:val="Voetnootmarkering"/>
          <w:rFonts w:ascii="Times New Roman" w:hAnsi="Times New Roman" w:cs="Times New Roman"/>
          <w:spacing w:val="-2"/>
          <w:lang w:val="en-US"/>
        </w:rPr>
        <w:footnoteReference w:id="44"/>
      </w:r>
      <w:r w:rsidR="00783936" w:rsidRPr="00F27EB2">
        <w:rPr>
          <w:rFonts w:ascii="Times New Roman" w:hAnsi="Times New Roman" w:cs="Times New Roman"/>
          <w:color w:val="000000"/>
          <w:lang w:val="en-US"/>
        </w:rPr>
        <w:t xml:space="preserve"> </w:t>
      </w:r>
    </w:p>
    <w:p w14:paraId="47403F60" w14:textId="7BD562A5" w:rsidR="000B0B34" w:rsidRPr="00F27EB2" w:rsidRDefault="006D6FC9" w:rsidP="00E42CE1">
      <w:pPr>
        <w:ind w:firstLine="340"/>
        <w:jc w:val="both"/>
        <w:rPr>
          <w:rFonts w:ascii="Times New Roman" w:hAnsi="Times New Roman" w:cs="Times New Roman"/>
          <w:lang w:val="en-US"/>
        </w:rPr>
      </w:pPr>
      <w:r w:rsidRPr="00F27EB2">
        <w:rPr>
          <w:rFonts w:ascii="Times New Roman" w:hAnsi="Times New Roman" w:cs="Times New Roman"/>
          <w:color w:val="000000"/>
          <w:lang w:val="en-US"/>
        </w:rPr>
        <w:tab/>
      </w:r>
      <w:r w:rsidRPr="00F27EB2">
        <w:rPr>
          <w:rFonts w:ascii="Times New Roman" w:hAnsi="Times New Roman" w:cs="Times New Roman"/>
          <w:spacing w:val="-2"/>
          <w:lang w:val="en-US"/>
        </w:rPr>
        <w:t>The first half of the 20</w:t>
      </w:r>
      <w:r w:rsidRPr="00F27EB2">
        <w:rPr>
          <w:rFonts w:ascii="Times New Roman" w:hAnsi="Times New Roman" w:cs="Times New Roman"/>
          <w:spacing w:val="-2"/>
          <w:vertAlign w:val="superscript"/>
          <w:lang w:val="en-US"/>
        </w:rPr>
        <w:t>th</w:t>
      </w:r>
      <w:r w:rsidRPr="00F27EB2">
        <w:rPr>
          <w:rFonts w:ascii="Times New Roman" w:hAnsi="Times New Roman" w:cs="Times New Roman"/>
          <w:spacing w:val="-2"/>
          <w:lang w:val="en-US"/>
        </w:rPr>
        <w:t xml:space="preserve"> century thus leads to an assertion of anti-anthropomorphism in </w:t>
      </w:r>
      <w:r w:rsidR="00E42CE1" w:rsidRPr="00F27EB2">
        <w:rPr>
          <w:rFonts w:ascii="Times New Roman" w:hAnsi="Times New Roman" w:cs="Times New Roman"/>
          <w:smallCaps/>
          <w:spacing w:val="-2"/>
          <w:lang w:val="en-US"/>
        </w:rPr>
        <w:t>lxx</w:t>
      </w:r>
      <w:r w:rsidRPr="00F27EB2">
        <w:rPr>
          <w:rFonts w:ascii="Times New Roman" w:hAnsi="Times New Roman" w:cs="Times New Roman"/>
          <w:spacing w:val="-2"/>
          <w:lang w:val="en-US"/>
        </w:rPr>
        <w:t xml:space="preserve">, often without much foundation. </w:t>
      </w:r>
      <w:r w:rsidR="00E42CE1" w:rsidRPr="00F27EB2">
        <w:rPr>
          <w:rFonts w:ascii="Times New Roman" w:hAnsi="Times New Roman" w:cs="Times New Roman"/>
          <w:lang w:val="en-US"/>
        </w:rPr>
        <w:t xml:space="preserve">At the same time, important methodological advances were </w:t>
      </w:r>
      <w:proofErr w:type="gramStart"/>
      <w:r w:rsidR="00E42CE1" w:rsidRPr="00F27EB2">
        <w:rPr>
          <w:rFonts w:ascii="Times New Roman" w:hAnsi="Times New Roman" w:cs="Times New Roman"/>
          <w:lang w:val="en-US"/>
        </w:rPr>
        <w:t>made:</w:t>
      </w:r>
      <w:proofErr w:type="gramEnd"/>
      <w:r w:rsidR="00E42CE1" w:rsidRPr="00F27EB2">
        <w:rPr>
          <w:rFonts w:ascii="Times New Roman" w:hAnsi="Times New Roman" w:cs="Times New Roman"/>
          <w:lang w:val="en-US"/>
        </w:rPr>
        <w:t xml:space="preserve"> recognition of different translators behind individual books, closer attention to </w:t>
      </w:r>
      <w:r w:rsidR="00E42CE1" w:rsidRPr="00F27EB2">
        <w:rPr>
          <w:rFonts w:ascii="Times New Roman" w:hAnsi="Times New Roman" w:cs="Times New Roman"/>
          <w:lang w:val="en-US"/>
        </w:rPr>
        <w:lastRenderedPageBreak/>
        <w:t>“translation technique</w:t>
      </w:r>
      <w:r w:rsidR="00560A34" w:rsidRPr="00F27EB2">
        <w:rPr>
          <w:rFonts w:ascii="Times New Roman" w:hAnsi="Times New Roman" w:cs="Times New Roman"/>
          <w:lang w:val="en-US"/>
        </w:rPr>
        <w:t>,</w:t>
      </w:r>
      <w:r w:rsidR="00E42CE1" w:rsidRPr="00F27EB2">
        <w:rPr>
          <w:rFonts w:ascii="Times New Roman" w:hAnsi="Times New Roman" w:cs="Times New Roman"/>
          <w:lang w:val="en-US"/>
        </w:rPr>
        <w:t xml:space="preserve">” and growing awareness of the multiple factors that may explain divergences. </w:t>
      </w:r>
    </w:p>
    <w:p w14:paraId="0522C2D6" w14:textId="77777777" w:rsidR="00E42CE1" w:rsidRPr="00F27EB2" w:rsidRDefault="00E42CE1" w:rsidP="00E42CE1">
      <w:pPr>
        <w:ind w:firstLine="340"/>
        <w:jc w:val="both"/>
        <w:rPr>
          <w:rFonts w:ascii="Times New Roman" w:hAnsi="Times New Roman" w:cs="Times New Roman"/>
          <w:b/>
          <w:bCs/>
          <w:spacing w:val="-2"/>
          <w:lang w:val="en-US"/>
        </w:rPr>
      </w:pPr>
    </w:p>
    <w:p w14:paraId="0CD493DA" w14:textId="469A7F3B" w:rsidR="000B0B34" w:rsidRPr="00F27EB2" w:rsidRDefault="000B0B34" w:rsidP="000B0B34">
      <w:pPr>
        <w:jc w:val="both"/>
        <w:rPr>
          <w:rFonts w:ascii="Times New Roman" w:hAnsi="Times New Roman" w:cs="Times New Roman"/>
          <w:b/>
          <w:bCs/>
          <w:spacing w:val="-2"/>
          <w:lang w:val="en-US"/>
        </w:rPr>
      </w:pPr>
      <w:r w:rsidRPr="00F27EB2">
        <w:rPr>
          <w:rFonts w:ascii="Times New Roman" w:hAnsi="Times New Roman" w:cs="Times New Roman"/>
          <w:b/>
          <w:bCs/>
          <w:spacing w:val="-2"/>
          <w:lang w:val="en-US"/>
        </w:rPr>
        <w:t>1.3. Second Half of the 20</w:t>
      </w:r>
      <w:r w:rsidRPr="00F27EB2">
        <w:rPr>
          <w:rFonts w:ascii="Times New Roman" w:hAnsi="Times New Roman" w:cs="Times New Roman"/>
          <w:b/>
          <w:bCs/>
          <w:spacing w:val="-2"/>
          <w:vertAlign w:val="superscript"/>
          <w:lang w:val="en-US"/>
        </w:rPr>
        <w:t>th</w:t>
      </w:r>
      <w:r w:rsidRPr="00F27EB2">
        <w:rPr>
          <w:rFonts w:ascii="Times New Roman" w:hAnsi="Times New Roman" w:cs="Times New Roman"/>
          <w:b/>
          <w:bCs/>
          <w:spacing w:val="-2"/>
          <w:lang w:val="en-US"/>
        </w:rPr>
        <w:t xml:space="preserve"> Century: Split in Two</w:t>
      </w:r>
    </w:p>
    <w:p w14:paraId="310F9503" w14:textId="77777777" w:rsidR="00565BE9" w:rsidRPr="00F27EB2" w:rsidRDefault="00565BE9" w:rsidP="00565BE9">
      <w:pPr>
        <w:pStyle w:val="Normaalweb"/>
        <w:spacing w:before="0" w:beforeAutospacing="0" w:after="0" w:afterAutospacing="0"/>
        <w:rPr>
          <w:lang w:val="en-US"/>
        </w:rPr>
      </w:pPr>
    </w:p>
    <w:p w14:paraId="379177EC" w14:textId="32A41030" w:rsidR="00D448B7" w:rsidRPr="00F27EB2" w:rsidRDefault="00D448B7" w:rsidP="001C73FB">
      <w:pPr>
        <w:pStyle w:val="Normaalweb"/>
        <w:spacing w:before="0" w:beforeAutospacing="0" w:after="0" w:afterAutospacing="0"/>
        <w:jc w:val="both"/>
        <w:rPr>
          <w:lang w:val="en-US"/>
        </w:rPr>
      </w:pPr>
      <w:r w:rsidRPr="00F27EB2">
        <w:rPr>
          <w:lang w:val="en-US"/>
        </w:rPr>
        <w:t xml:space="preserve">The publication of Fritsch’s dissertation acted as a catalyst. </w:t>
      </w:r>
      <w:r w:rsidR="00454E3F" w:rsidRPr="00F27EB2">
        <w:rPr>
          <w:lang w:val="en-US"/>
        </w:rPr>
        <w:t>Soon</w:t>
      </w:r>
      <w:r w:rsidRPr="00F27EB2">
        <w:rPr>
          <w:lang w:val="en-US"/>
        </w:rPr>
        <w:t xml:space="preserve">, responses emerged from Jewish </w:t>
      </w:r>
      <w:r w:rsidR="00454E3F" w:rsidRPr="00F27EB2">
        <w:rPr>
          <w:lang w:val="en-US"/>
        </w:rPr>
        <w:t xml:space="preserve">scholarship: </w:t>
      </w:r>
      <w:r w:rsidRPr="00F27EB2">
        <w:rPr>
          <w:lang w:val="en-US"/>
        </w:rPr>
        <w:t>Orlinsky, together with his students Soffer, Zlotowitz, Hurwitz, Wittstruck, and Aronson, launched a strong critique of Fritsch.</w:t>
      </w:r>
      <w:r w:rsidR="00565BE9" w:rsidRPr="00F27EB2">
        <w:rPr>
          <w:rStyle w:val="Voetnootmarkering"/>
          <w:lang w:val="en-US"/>
        </w:rPr>
        <w:footnoteReference w:id="45"/>
      </w:r>
      <w:r w:rsidRPr="00F27EB2">
        <w:rPr>
          <w:lang w:val="en-US"/>
        </w:rPr>
        <w:t xml:space="preserve"> They rightly questioned his methodology and pointed out that the Greek variants should not simply be understood as anti-anthropomorphisms. Other factors, such as a </w:t>
      </w:r>
      <w:r w:rsidR="00454E3F" w:rsidRPr="00F27EB2">
        <w:rPr>
          <w:lang w:val="en-US"/>
        </w:rPr>
        <w:t xml:space="preserve">different </w:t>
      </w:r>
      <w:r w:rsidRPr="00F27EB2">
        <w:rPr>
          <w:i/>
          <w:iCs/>
          <w:lang w:val="en-US"/>
        </w:rPr>
        <w:t>Vorlage</w:t>
      </w:r>
      <w:r w:rsidR="00454E3F" w:rsidRPr="00F27EB2">
        <w:rPr>
          <w:lang w:val="en-US"/>
        </w:rPr>
        <w:t xml:space="preserve"> </w:t>
      </w:r>
      <w:r w:rsidRPr="00F27EB2">
        <w:rPr>
          <w:lang w:val="en-US"/>
        </w:rPr>
        <w:t xml:space="preserve">or Greek stylistic features, had also to be </w:t>
      </w:r>
      <w:proofErr w:type="gramStart"/>
      <w:r w:rsidRPr="00F27EB2">
        <w:rPr>
          <w:lang w:val="en-US"/>
        </w:rPr>
        <w:t>taken into account</w:t>
      </w:r>
      <w:proofErr w:type="gramEnd"/>
      <w:r w:rsidRPr="00F27EB2">
        <w:rPr>
          <w:lang w:val="en-US"/>
        </w:rPr>
        <w:t xml:space="preserve">. For them, the principle of </w:t>
      </w:r>
      <w:r w:rsidRPr="00F27EB2">
        <w:rPr>
          <w:i/>
          <w:iCs/>
          <w:lang w:val="en-US"/>
        </w:rPr>
        <w:t>consistency</w:t>
      </w:r>
      <w:r w:rsidRPr="00F27EB2">
        <w:rPr>
          <w:lang w:val="en-US"/>
        </w:rPr>
        <w:t xml:space="preserve"> was crucial: one could only speak of a tendency if it was sustained throughout a translation unit. Since this was not the case, they concluded that </w:t>
      </w:r>
      <w:r w:rsidR="00CC0D42" w:rsidRPr="00F27EB2">
        <w:rPr>
          <w:smallCaps/>
          <w:lang w:val="en-US"/>
        </w:rPr>
        <w:t>lxx</w:t>
      </w:r>
      <w:r w:rsidRPr="00F27EB2">
        <w:rPr>
          <w:lang w:val="en-US"/>
        </w:rPr>
        <w:t xml:space="preserve"> </w:t>
      </w:r>
      <w:r w:rsidR="00454E3F" w:rsidRPr="00F27EB2">
        <w:rPr>
          <w:lang w:val="en-US"/>
        </w:rPr>
        <w:t>could</w:t>
      </w:r>
      <w:r w:rsidRPr="00F27EB2">
        <w:rPr>
          <w:lang w:val="en-US"/>
        </w:rPr>
        <w:t xml:space="preserve"> not be described as anti-anthropomorphic.</w:t>
      </w:r>
    </w:p>
    <w:p w14:paraId="0CD53E82" w14:textId="6B7F1C4F" w:rsidR="00D448B7" w:rsidRPr="00F27EB2" w:rsidRDefault="00D448B7" w:rsidP="001C73FB">
      <w:pPr>
        <w:pStyle w:val="Normaalweb"/>
        <w:spacing w:before="0" w:beforeAutospacing="0" w:after="0" w:afterAutospacing="0"/>
        <w:ind w:firstLine="708"/>
        <w:jc w:val="both"/>
        <w:rPr>
          <w:lang w:val="en-US"/>
        </w:rPr>
      </w:pPr>
      <w:r w:rsidRPr="00F27EB2">
        <w:rPr>
          <w:lang w:val="en-US"/>
        </w:rPr>
        <w:t>The Orlinsky</w:t>
      </w:r>
      <w:r w:rsidR="00454E3F" w:rsidRPr="00F27EB2">
        <w:rPr>
          <w:lang w:val="en-US"/>
        </w:rPr>
        <w:t>-</w:t>
      </w:r>
      <w:r w:rsidRPr="00F27EB2">
        <w:rPr>
          <w:lang w:val="en-US"/>
        </w:rPr>
        <w:t xml:space="preserve">group thus continued </w:t>
      </w:r>
      <w:r w:rsidR="00454E3F" w:rsidRPr="00F27EB2">
        <w:rPr>
          <w:lang w:val="en-US"/>
        </w:rPr>
        <w:t>the</w:t>
      </w:r>
      <w:r w:rsidRPr="00F27EB2">
        <w:rPr>
          <w:lang w:val="en-US"/>
        </w:rPr>
        <w:t xml:space="preserve"> early twentieth-century scholarship</w:t>
      </w:r>
      <w:r w:rsidR="00454E3F" w:rsidRPr="00F27EB2">
        <w:t xml:space="preserve"> </w:t>
      </w:r>
      <w:r w:rsidR="00454E3F" w:rsidRPr="00F27EB2">
        <w:t xml:space="preserve">of examining each </w:t>
      </w:r>
      <w:r w:rsidR="00565BE9" w:rsidRPr="00F27EB2">
        <w:rPr>
          <w:smallCaps/>
          <w:lang w:val="en-US"/>
        </w:rPr>
        <w:t>lxx</w:t>
      </w:r>
      <w:r w:rsidR="00454E3F" w:rsidRPr="00F27EB2">
        <w:rPr>
          <w:lang w:val="en-US"/>
        </w:rPr>
        <w:t>-</w:t>
      </w:r>
      <w:r w:rsidRPr="00F27EB2">
        <w:rPr>
          <w:lang w:val="en-US"/>
        </w:rPr>
        <w:t xml:space="preserve">book </w:t>
      </w:r>
      <w:r w:rsidR="00454E3F" w:rsidRPr="00F27EB2">
        <w:t>individually</w:t>
      </w:r>
      <w:r w:rsidR="00454E3F" w:rsidRPr="00F27EB2">
        <w:t>,</w:t>
      </w:r>
      <w:r w:rsidR="00454E3F" w:rsidRPr="00F27EB2">
        <w:t xml:space="preserve"> to assess how its translator handled anthropomorphisms</w:t>
      </w:r>
      <w:r w:rsidRPr="00F27EB2">
        <w:rPr>
          <w:lang w:val="en-US"/>
        </w:rPr>
        <w:t xml:space="preserve">. Only in Isa 36–39 did they find </w:t>
      </w:r>
      <w:r w:rsidR="00454E3F" w:rsidRPr="00F27EB2">
        <w:t>detect signs of anti-anthropomorphism</w:t>
      </w:r>
      <w:r w:rsidRPr="00F27EB2">
        <w:rPr>
          <w:lang w:val="en-US"/>
        </w:rPr>
        <w:t xml:space="preserve">; </w:t>
      </w:r>
      <w:r w:rsidR="00454E3F" w:rsidRPr="00F27EB2">
        <w:rPr>
          <w:lang w:val="en-US"/>
        </w:rPr>
        <w:t>elsewhere</w:t>
      </w:r>
      <w:r w:rsidRPr="00F27EB2">
        <w:rPr>
          <w:lang w:val="en-US"/>
        </w:rPr>
        <w:t xml:space="preserve">, variants were attributed to style or </w:t>
      </w:r>
      <w:r w:rsidRPr="00F27EB2">
        <w:rPr>
          <w:i/>
          <w:iCs/>
          <w:lang w:val="en-US"/>
        </w:rPr>
        <w:t>Vorlage</w:t>
      </w:r>
      <w:r w:rsidRPr="00F27EB2">
        <w:rPr>
          <w:lang w:val="en-US"/>
        </w:rPr>
        <w:t>.</w:t>
      </w:r>
      <w:r w:rsidR="001A2B43" w:rsidRPr="00F27EB2">
        <w:rPr>
          <w:rStyle w:val="Voetnootmarkering"/>
          <w:lang w:val="en-US"/>
        </w:rPr>
        <w:footnoteReference w:id="46"/>
      </w:r>
      <w:r w:rsidRPr="00F27EB2">
        <w:rPr>
          <w:lang w:val="en-US"/>
        </w:rPr>
        <w:t xml:space="preserve"> The</w:t>
      </w:r>
      <w:r w:rsidR="00454E3F" w:rsidRPr="00F27EB2">
        <w:rPr>
          <w:lang w:val="en-US"/>
        </w:rPr>
        <w:t>ir</w:t>
      </w:r>
      <w:r w:rsidRPr="00F27EB2">
        <w:rPr>
          <w:lang w:val="en-US"/>
        </w:rPr>
        <w:t xml:space="preserve"> reaction to Fritsch was sharp, </w:t>
      </w:r>
      <w:r w:rsidR="00454E3F" w:rsidRPr="00F27EB2">
        <w:rPr>
          <w:lang w:val="en-US"/>
        </w:rPr>
        <w:t xml:space="preserve">can </w:t>
      </w:r>
      <w:r w:rsidR="00454E3F" w:rsidRPr="00F27EB2">
        <w:t>be read against</w:t>
      </w:r>
      <w:r w:rsidRPr="00F27EB2">
        <w:rPr>
          <w:lang w:val="en-US"/>
        </w:rPr>
        <w:t xml:space="preserve"> the post</w:t>
      </w:r>
      <w:r w:rsidR="007457DC" w:rsidRPr="00F27EB2">
        <w:rPr>
          <w:lang w:val="en-US"/>
        </w:rPr>
        <w:t>-</w:t>
      </w:r>
      <w:r w:rsidRPr="00F27EB2">
        <w:rPr>
          <w:i/>
          <w:iCs/>
          <w:lang w:val="en-US"/>
        </w:rPr>
        <w:t>World War II</w:t>
      </w:r>
      <w:r w:rsidRPr="00F27EB2">
        <w:rPr>
          <w:lang w:val="en-US"/>
        </w:rPr>
        <w:t xml:space="preserve"> context. Whereas anti</w:t>
      </w:r>
      <w:r w:rsidR="00454E3F" w:rsidRPr="00F27EB2">
        <w:rPr>
          <w:lang w:val="en-US"/>
        </w:rPr>
        <w:t>s</w:t>
      </w:r>
      <w:r w:rsidRPr="00F27EB2">
        <w:rPr>
          <w:lang w:val="en-US"/>
        </w:rPr>
        <w:t xml:space="preserve">emitic scholars such as Bertram had read </w:t>
      </w:r>
      <w:r w:rsidR="00565BE9" w:rsidRPr="00F27EB2">
        <w:rPr>
          <w:smallCaps/>
          <w:lang w:val="en-US"/>
        </w:rPr>
        <w:t>lxx</w:t>
      </w:r>
      <w:r w:rsidRPr="00F27EB2">
        <w:rPr>
          <w:lang w:val="en-US"/>
        </w:rPr>
        <w:t xml:space="preserve"> as an advance over the supposedly naïve Hebrew thought-world, purged of its offensive anthropomorphisms, Orlinsky and his circle sought to restore the dignity of </w:t>
      </w:r>
      <w:r w:rsidR="00CC0D42" w:rsidRPr="00F27EB2">
        <w:rPr>
          <w:smallCaps/>
          <w:lang w:val="en-US"/>
        </w:rPr>
        <w:t>lxx</w:t>
      </w:r>
      <w:r w:rsidRPr="00F27EB2">
        <w:rPr>
          <w:lang w:val="en-US"/>
        </w:rPr>
        <w:t xml:space="preserve">: </w:t>
      </w:r>
      <w:r w:rsidR="00454E3F" w:rsidRPr="00F27EB2">
        <w:t>not as a correction of primitive Hebrew, but as a stylistically diverse product of Diaspora Judaism</w:t>
      </w:r>
      <w:r w:rsidRPr="00F27EB2">
        <w:rPr>
          <w:lang w:val="en-US"/>
        </w:rPr>
        <w:t xml:space="preserve">. Yet their response </w:t>
      </w:r>
      <w:r w:rsidR="00454E3F" w:rsidRPr="00F27EB2">
        <w:rPr>
          <w:lang w:val="en-US"/>
        </w:rPr>
        <w:t>carried</w:t>
      </w:r>
      <w:r w:rsidRPr="00F27EB2">
        <w:rPr>
          <w:lang w:val="en-US"/>
        </w:rPr>
        <w:t xml:space="preserve"> its own methodological shortcomings. They rarely engaged with the broader usage of a given term in Greek literature, left “style” </w:t>
      </w:r>
      <w:r w:rsidR="00454E3F" w:rsidRPr="00F27EB2">
        <w:rPr>
          <w:lang w:val="en-US"/>
        </w:rPr>
        <w:t xml:space="preserve">largely </w:t>
      </w:r>
      <w:r w:rsidRPr="00F27EB2">
        <w:rPr>
          <w:lang w:val="en-US"/>
        </w:rPr>
        <w:t xml:space="preserve">undefined, and </w:t>
      </w:r>
      <w:r w:rsidR="00454E3F" w:rsidRPr="00F27EB2">
        <w:rPr>
          <w:lang w:val="en-US"/>
        </w:rPr>
        <w:t>some</w:t>
      </w:r>
      <w:r w:rsidRPr="00F27EB2">
        <w:rPr>
          <w:lang w:val="en-US"/>
        </w:rPr>
        <w:t xml:space="preserve"> striking variants were easily dismissed </w:t>
      </w:r>
      <w:r w:rsidR="00454E3F" w:rsidRPr="00F27EB2">
        <w:rPr>
          <w:lang w:val="en-US"/>
        </w:rPr>
        <w:t>as</w:t>
      </w:r>
      <w:r w:rsidRPr="00F27EB2">
        <w:rPr>
          <w:lang w:val="en-US"/>
        </w:rPr>
        <w:t xml:space="preserve"> </w:t>
      </w:r>
      <w:r w:rsidR="00454E3F" w:rsidRPr="00F27EB2">
        <w:rPr>
          <w:lang w:val="en-US"/>
        </w:rPr>
        <w:t>“</w:t>
      </w:r>
      <w:r w:rsidRPr="00F27EB2">
        <w:rPr>
          <w:lang w:val="en-US"/>
        </w:rPr>
        <w:t>inconsistency.</w:t>
      </w:r>
      <w:r w:rsidR="00454E3F" w:rsidRPr="00F27EB2">
        <w:rPr>
          <w:lang w:val="en-US"/>
        </w:rPr>
        <w:t>”</w:t>
      </w:r>
      <w:r w:rsidRPr="00F27EB2">
        <w:rPr>
          <w:lang w:val="en-US"/>
        </w:rPr>
        <w:t xml:space="preserve"> Since no </w:t>
      </w:r>
      <w:r w:rsidRPr="00F27EB2">
        <w:rPr>
          <w:i/>
          <w:iCs/>
          <w:lang w:val="en-US"/>
        </w:rPr>
        <w:t>consistent</w:t>
      </w:r>
      <w:r w:rsidRPr="00F27EB2">
        <w:rPr>
          <w:lang w:val="en-US"/>
        </w:rPr>
        <w:t xml:space="preserve"> anti-anthropomorphic trend could be demonstrated, unusual renderings that might still point to exegetical motives were </w:t>
      </w:r>
      <w:r w:rsidR="00454E3F" w:rsidRPr="00F27EB2">
        <w:t>left unexplored</w:t>
      </w:r>
      <w:r w:rsidRPr="00F27EB2">
        <w:rPr>
          <w:lang w:val="en-US"/>
        </w:rPr>
        <w:t>.</w:t>
      </w:r>
    </w:p>
    <w:p w14:paraId="6BCBC03D" w14:textId="63D00D8F" w:rsidR="00D448B7" w:rsidRPr="00F27EB2" w:rsidRDefault="00215F8D" w:rsidP="00215F8D">
      <w:pPr>
        <w:pStyle w:val="Normaalweb"/>
        <w:spacing w:before="0" w:beforeAutospacing="0" w:after="0" w:afterAutospacing="0"/>
        <w:ind w:firstLine="708"/>
        <w:jc w:val="both"/>
        <w:rPr>
          <w:lang w:val="en-US"/>
        </w:rPr>
      </w:pPr>
      <w:r w:rsidRPr="00F27EB2">
        <w:t xml:space="preserve">Fritsch, for his part, maintained his position: neither revising his anti-anthropomorphic thesis in later work, nor abandoning his “atomistic” method by which he highlighted divergences between </w:t>
      </w:r>
      <w:r w:rsidRPr="00F27EB2">
        <w:rPr>
          <w:smallCaps/>
        </w:rPr>
        <w:t>mt</w:t>
      </w:r>
      <w:r w:rsidRPr="00F27EB2">
        <w:t xml:space="preserve"> and </w:t>
      </w:r>
      <w:r w:rsidRPr="00F27EB2">
        <w:rPr>
          <w:smallCaps/>
        </w:rPr>
        <w:t>lxx,</w:t>
      </w:r>
      <w:r w:rsidRPr="00F27EB2">
        <w:t xml:space="preserve"> attributing them directly to anti-anthropomorphism</w:t>
      </w:r>
      <w:r w:rsidR="00D448B7" w:rsidRPr="00F27EB2">
        <w:rPr>
          <w:lang w:val="en-US"/>
        </w:rPr>
        <w:t>.</w:t>
      </w:r>
      <w:r w:rsidR="001C73FB" w:rsidRPr="00F27EB2">
        <w:rPr>
          <w:rStyle w:val="Voetnootmarkering"/>
          <w:lang w:val="en-US"/>
        </w:rPr>
        <w:footnoteReference w:id="47"/>
      </w:r>
      <w:r w:rsidRPr="00F27EB2">
        <w:rPr>
          <w:lang w:val="en-US"/>
        </w:rPr>
        <w:t xml:space="preserve"> </w:t>
      </w:r>
      <w:r w:rsidRPr="00F27EB2">
        <w:t xml:space="preserve">His students at Princeton followed a similar path: Howard Erwin confidently identified anti-anthropomorphisms in </w:t>
      </w:r>
      <w:r w:rsidRPr="00F27EB2">
        <w:rPr>
          <w:smallCaps/>
        </w:rPr>
        <w:t>lxx</w:t>
      </w:r>
      <w:r w:rsidRPr="00F27EB2">
        <w:t>-Psalms,</w:t>
      </w:r>
      <w:r w:rsidRPr="00F27EB2">
        <w:rPr>
          <w:rStyle w:val="Voetnootmarkering"/>
          <w:lang w:val="en-US"/>
        </w:rPr>
        <w:footnoteReference w:id="48"/>
      </w:r>
      <w:r w:rsidRPr="00F27EB2">
        <w:t xml:space="preserve"> while Donald Gard did the same in </w:t>
      </w:r>
      <w:r w:rsidRPr="00F27EB2">
        <w:rPr>
          <w:smallCaps/>
        </w:rPr>
        <w:t>lxx</w:t>
      </w:r>
      <w:r w:rsidRPr="00F27EB2">
        <w:t>-Job</w:t>
      </w:r>
      <w:r w:rsidRPr="00F27EB2">
        <w:t>,</w:t>
      </w:r>
      <w:r w:rsidRPr="00F27EB2">
        <w:rPr>
          <w:rStyle w:val="Voetnootmarkering"/>
          <w:lang w:val="en-US"/>
        </w:rPr>
        <w:footnoteReference w:id="49"/>
      </w:r>
      <w:r w:rsidRPr="00F27EB2">
        <w:t xml:space="preserve"> both without </w:t>
      </w:r>
      <w:r w:rsidRPr="00F27EB2">
        <w:t>detailed</w:t>
      </w:r>
      <w:r w:rsidRPr="00F27EB2">
        <w:t xml:space="preserve"> investigation.</w:t>
      </w:r>
    </w:p>
    <w:p w14:paraId="1ABF7E06" w14:textId="558B6937" w:rsidR="001B4074" w:rsidRPr="00F27EB2" w:rsidRDefault="00D448B7" w:rsidP="00215F8D">
      <w:pPr>
        <w:pStyle w:val="Normaalweb"/>
        <w:spacing w:before="0" w:beforeAutospacing="0" w:after="0" w:afterAutospacing="0"/>
        <w:ind w:firstLine="708"/>
        <w:jc w:val="both"/>
        <w:rPr>
          <w:lang w:val="en-US"/>
        </w:rPr>
      </w:pPr>
      <w:r w:rsidRPr="00F27EB2">
        <w:rPr>
          <w:lang w:val="en-US"/>
        </w:rPr>
        <w:lastRenderedPageBreak/>
        <w:t xml:space="preserve">By the 1960s, a </w:t>
      </w:r>
      <w:r w:rsidR="00215F8D" w:rsidRPr="00F27EB2">
        <w:rPr>
          <w:lang w:val="en-US"/>
        </w:rPr>
        <w:t xml:space="preserve">clear </w:t>
      </w:r>
      <w:r w:rsidRPr="00F27EB2">
        <w:rPr>
          <w:i/>
          <w:iCs/>
          <w:lang w:val="en-US"/>
        </w:rPr>
        <w:t>polarization</w:t>
      </w:r>
      <w:r w:rsidRPr="00F27EB2">
        <w:rPr>
          <w:lang w:val="en-US"/>
        </w:rPr>
        <w:t xml:space="preserve"> emerged. </w:t>
      </w:r>
      <w:r w:rsidR="00215F8D" w:rsidRPr="00F27EB2">
        <w:t xml:space="preserve">On one side, figures linked to Hebrew Union College, such as Orlinsky and Soffer, argued for a </w:t>
      </w:r>
      <w:r w:rsidR="00215F8D" w:rsidRPr="00F27EB2">
        <w:rPr>
          <w:i/>
          <w:iCs/>
        </w:rPr>
        <w:t>minimal</w:t>
      </w:r>
      <w:r w:rsidR="00215F8D" w:rsidRPr="00F27EB2">
        <w:t xml:space="preserve"> role of the translator, claiming that anthropomorphisms were not suppressed for theological reasons but</w:t>
      </w:r>
      <w:r w:rsidR="00215F8D" w:rsidRPr="00F27EB2">
        <w:t xml:space="preserve"> simply</w:t>
      </w:r>
      <w:r w:rsidR="00215F8D" w:rsidRPr="00F27EB2">
        <w:t xml:space="preserve"> reflected a different </w:t>
      </w:r>
      <w:r w:rsidR="00215F8D" w:rsidRPr="00F27EB2">
        <w:rPr>
          <w:i/>
          <w:iCs/>
        </w:rPr>
        <w:t>Vorlage</w:t>
      </w:r>
      <w:r w:rsidR="00215F8D" w:rsidRPr="00F27EB2">
        <w:t xml:space="preserve"> or stylistic choice. On the other side, scholars such as Fritsch and Erwin </w:t>
      </w:r>
      <w:r w:rsidR="00215F8D" w:rsidRPr="00F27EB2">
        <w:t>(</w:t>
      </w:r>
      <w:r w:rsidR="00215F8D" w:rsidRPr="00F27EB2">
        <w:t>Princeton</w:t>
      </w:r>
      <w:r w:rsidR="00215F8D" w:rsidRPr="00F27EB2">
        <w:t xml:space="preserve"> University)</w:t>
      </w:r>
      <w:r w:rsidR="00215F8D" w:rsidRPr="00F27EB2">
        <w:t xml:space="preserve"> assigned the translator a </w:t>
      </w:r>
      <w:r w:rsidR="00215F8D" w:rsidRPr="00F27EB2">
        <w:rPr>
          <w:i/>
          <w:iCs/>
        </w:rPr>
        <w:t>maximal</w:t>
      </w:r>
      <w:r w:rsidR="00215F8D" w:rsidRPr="00F27EB2">
        <w:t xml:space="preserve"> role, </w:t>
      </w:r>
      <w:r w:rsidR="00215F8D" w:rsidRPr="00F27EB2">
        <w:t>perceiving</w:t>
      </w:r>
      <w:r w:rsidR="00215F8D" w:rsidRPr="00F27EB2">
        <w:t xml:space="preserve"> deliberate theological alterations </w:t>
      </w:r>
      <w:r w:rsidR="00215F8D" w:rsidRPr="00F27EB2">
        <w:t xml:space="preserve">in </w:t>
      </w:r>
      <w:r w:rsidR="00215F8D" w:rsidRPr="00F27EB2">
        <w:t>the removal of anthropomorphisms. Between these poles</w:t>
      </w:r>
      <w:r w:rsidR="00215F8D" w:rsidRPr="00F27EB2">
        <w:rPr>
          <w:rStyle w:val="Voetnootmarkering"/>
          <w:lang w:val="en-US"/>
        </w:rPr>
        <w:footnoteReference w:id="50"/>
      </w:r>
      <w:r w:rsidR="00215F8D" w:rsidRPr="00F27EB2">
        <w:t xml:space="preserve"> stood Elias Bickerman’s 1959 study, which rejected both extremes and restored </w:t>
      </w:r>
      <w:r w:rsidR="00215F8D" w:rsidRPr="00F27EB2">
        <w:rPr>
          <w:smallCaps/>
        </w:rPr>
        <w:t>lxx</w:t>
      </w:r>
      <w:r w:rsidR="00215F8D" w:rsidRPr="00F27EB2">
        <w:t xml:space="preserve"> to its character as a </w:t>
      </w:r>
      <w:r w:rsidR="00215F8D" w:rsidRPr="00F27EB2">
        <w:rPr>
          <w:i/>
          <w:iCs/>
        </w:rPr>
        <w:t>translation</w:t>
      </w:r>
      <w:r w:rsidR="00215F8D" w:rsidRPr="00F27EB2">
        <w:t xml:space="preserve"> rather than a neutral document or theological manifesto.</w:t>
      </w:r>
      <w:r w:rsidR="00F5513A" w:rsidRPr="00F27EB2">
        <w:rPr>
          <w:rStyle w:val="Voetnootmarkering"/>
          <w:lang w:val="en-US"/>
        </w:rPr>
        <w:footnoteReference w:id="51"/>
      </w:r>
      <w:r w:rsidRPr="00F27EB2">
        <w:rPr>
          <w:lang w:val="en-US"/>
        </w:rPr>
        <w:t xml:space="preserve"> </w:t>
      </w:r>
    </w:p>
    <w:p w14:paraId="367556D2" w14:textId="595980A4" w:rsidR="00637BFF" w:rsidRPr="00F27EB2" w:rsidRDefault="009415D1" w:rsidP="009415D1">
      <w:pPr>
        <w:pStyle w:val="Normaalweb"/>
        <w:spacing w:before="0" w:beforeAutospacing="0" w:after="0" w:afterAutospacing="0"/>
        <w:ind w:firstLine="708"/>
        <w:jc w:val="both"/>
      </w:pPr>
      <w:r w:rsidRPr="00F27EB2">
        <w:t xml:space="preserve">With Bickerman, </w:t>
      </w:r>
      <w:r w:rsidRPr="00F27EB2">
        <w:rPr>
          <w:i/>
          <w:iCs/>
          <w:smallCaps/>
        </w:rPr>
        <w:t>lxx-</w:t>
      </w:r>
      <w:r w:rsidRPr="00F27EB2">
        <w:rPr>
          <w:i/>
          <w:iCs/>
        </w:rPr>
        <w:t>as</w:t>
      </w:r>
      <w:r w:rsidRPr="00F27EB2">
        <w:rPr>
          <w:i/>
          <w:iCs/>
          <w:smallCaps/>
        </w:rPr>
        <w:t>-</w:t>
      </w:r>
      <w:r w:rsidRPr="00F27EB2">
        <w:rPr>
          <w:i/>
          <w:iCs/>
        </w:rPr>
        <w:t xml:space="preserve">translation </w:t>
      </w:r>
      <w:r w:rsidRPr="00F27EB2">
        <w:t xml:space="preserve">moved to the center of discussion. His main contribution was to place </w:t>
      </w:r>
      <w:r w:rsidRPr="00F27EB2">
        <w:rPr>
          <w:smallCaps/>
        </w:rPr>
        <w:t>lxx</w:t>
      </w:r>
      <w:r w:rsidRPr="00F27EB2">
        <w:t xml:space="preserve"> within the broader framework of Egyptian translation practice, treating it as part of the Hellenistic translation culture rather than as a </w:t>
      </w:r>
      <w:r w:rsidRPr="00F27EB2">
        <w:t>theological</w:t>
      </w:r>
      <w:r w:rsidRPr="00F27EB2">
        <w:t xml:space="preserve"> phenomenon. A weakness, however, was his reliance on the hypothesis of oral translation by a “dragoman,” which lacks firm evidence and remains largely speculative.</w:t>
      </w:r>
      <w:r w:rsidRPr="00F27EB2">
        <w:rPr>
          <w:rStyle w:val="Voetnootmarkering"/>
          <w:lang w:val="en-US"/>
        </w:rPr>
        <w:footnoteReference w:id="52"/>
      </w:r>
      <w:r w:rsidRPr="00F27EB2">
        <w:t xml:space="preserve"> Still, his </w:t>
      </w:r>
      <w:r w:rsidRPr="00F27EB2">
        <w:t>appraoch</w:t>
      </w:r>
      <w:r w:rsidRPr="00F27EB2">
        <w:t xml:space="preserve"> underscored that even non-literal renderings could remain profoundly faithful. Variants in anthropomorphic language</w:t>
      </w:r>
      <w:r w:rsidRPr="00F27EB2">
        <w:t>,</w:t>
      </w:r>
      <w:r w:rsidRPr="00F27EB2">
        <w:t xml:space="preserve"> therefore</w:t>
      </w:r>
      <w:r w:rsidRPr="00F27EB2">
        <w:t>,</w:t>
      </w:r>
      <w:r w:rsidRPr="00F27EB2">
        <w:t xml:space="preserve"> had to be read within the context of </w:t>
      </w:r>
      <w:r w:rsidRPr="00F27EB2">
        <w:rPr>
          <w:smallCaps/>
        </w:rPr>
        <w:t>lxx’</w:t>
      </w:r>
      <w:r w:rsidRPr="00F27EB2">
        <w:t>s</w:t>
      </w:r>
      <w:r w:rsidRPr="00F27EB2">
        <w:t xml:space="preserve"> readership and translation</w:t>
      </w:r>
      <w:r w:rsidRPr="00F27EB2">
        <w:t>-</w:t>
      </w:r>
      <w:r w:rsidRPr="00F27EB2">
        <w:t>environmen</w:t>
      </w:r>
      <w:r w:rsidRPr="00F27EB2">
        <w:t>t.</w:t>
      </w:r>
    </w:p>
    <w:p w14:paraId="14AEF577" w14:textId="5AAA4427" w:rsidR="00637BFF" w:rsidRPr="00F27EB2" w:rsidRDefault="00637BFF" w:rsidP="009415D1">
      <w:pPr>
        <w:ind w:firstLine="708"/>
        <w:jc w:val="both"/>
        <w:rPr>
          <w:rFonts w:ascii="Times New Roman" w:hAnsi="Times New Roman" w:cs="Times New Roman"/>
          <w:spacing w:val="-2"/>
          <w:lang w:val="en-US"/>
        </w:rPr>
      </w:pPr>
      <w:r w:rsidRPr="00F27EB2">
        <w:rPr>
          <w:rFonts w:ascii="Times New Roman" w:hAnsi="Times New Roman" w:cs="Times New Roman"/>
          <w:lang w:val="en-US"/>
        </w:rPr>
        <w:t xml:space="preserve">The focus on translation technique soon became central to </w:t>
      </w:r>
      <w:r w:rsidR="009415D1" w:rsidRPr="00F27EB2">
        <w:rPr>
          <w:rFonts w:ascii="Times New Roman" w:hAnsi="Times New Roman" w:cs="Times New Roman"/>
        </w:rPr>
        <w:t xml:space="preserve">debates about </w:t>
      </w:r>
      <w:r w:rsidR="009415D1" w:rsidRPr="00F27EB2">
        <w:rPr>
          <w:rFonts w:ascii="Times New Roman" w:hAnsi="Times New Roman" w:cs="Times New Roman"/>
          <w:smallCaps/>
        </w:rPr>
        <w:t>lxx</w:t>
      </w:r>
      <w:r w:rsidR="009415D1" w:rsidRPr="00F27EB2">
        <w:rPr>
          <w:rFonts w:ascii="Times New Roman" w:hAnsi="Times New Roman" w:cs="Times New Roman"/>
        </w:rPr>
        <w:t>’s alleged anti-anthropomorphism</w:t>
      </w:r>
      <w:r w:rsidRPr="00F27EB2">
        <w:rPr>
          <w:rFonts w:ascii="Times New Roman" w:hAnsi="Times New Roman" w:cs="Times New Roman"/>
          <w:lang w:val="en-US"/>
        </w:rPr>
        <w:t xml:space="preserve">. </w:t>
      </w:r>
      <w:r w:rsidR="009415D1" w:rsidRPr="00F27EB2">
        <w:rPr>
          <w:rFonts w:ascii="Times New Roman" w:hAnsi="Times New Roman" w:cs="Times New Roman"/>
        </w:rPr>
        <w:t>From the mid-twentieth century onward</w:t>
      </w:r>
      <w:r w:rsidRPr="00F27EB2">
        <w:rPr>
          <w:rFonts w:ascii="Times New Roman" w:hAnsi="Times New Roman" w:cs="Times New Roman"/>
          <w:lang w:val="en-US"/>
        </w:rPr>
        <w:t xml:space="preserve">, the study of the </w:t>
      </w:r>
      <w:proofErr w:type="spellStart"/>
      <w:r w:rsidRPr="00F27EB2">
        <w:rPr>
          <w:rStyle w:val="Nadruk"/>
          <w:rFonts w:ascii="Times New Roman" w:hAnsi="Times New Roman" w:cs="Times New Roman"/>
          <w:lang w:val="en-US"/>
        </w:rPr>
        <w:t>Übersetzungstechnik</w:t>
      </w:r>
      <w:proofErr w:type="spellEnd"/>
      <w:r w:rsidRPr="00F27EB2">
        <w:rPr>
          <w:rFonts w:ascii="Times New Roman" w:hAnsi="Times New Roman" w:cs="Times New Roman"/>
          <w:lang w:val="en-US"/>
        </w:rPr>
        <w:t xml:space="preserve"> of </w:t>
      </w:r>
      <w:r w:rsidR="007457DC" w:rsidRPr="00F27EB2">
        <w:rPr>
          <w:rFonts w:ascii="Times New Roman" w:hAnsi="Times New Roman" w:cs="Times New Roman"/>
          <w:smallCaps/>
          <w:lang w:val="en-US"/>
        </w:rPr>
        <w:t>lxx</w:t>
      </w:r>
      <w:r w:rsidRPr="00F27EB2">
        <w:rPr>
          <w:rFonts w:ascii="Times New Roman" w:hAnsi="Times New Roman" w:cs="Times New Roman"/>
          <w:lang w:val="en-US"/>
        </w:rPr>
        <w:t>, that is, how the translators rendered the Hebrew into Greek,</w:t>
      </w:r>
      <w:r w:rsidRPr="00F27EB2">
        <w:rPr>
          <w:rStyle w:val="Voetnootmarkering"/>
          <w:rFonts w:ascii="Times New Roman" w:hAnsi="Times New Roman" w:cs="Times New Roman"/>
          <w:spacing w:val="-2"/>
          <w:lang w:val="en-US"/>
        </w:rPr>
        <w:footnoteReference w:id="53"/>
      </w:r>
      <w:r w:rsidRPr="00F27EB2">
        <w:rPr>
          <w:rFonts w:ascii="Times New Roman" w:hAnsi="Times New Roman" w:cs="Times New Roman"/>
          <w:lang w:val="en-US"/>
        </w:rPr>
        <w:t xml:space="preserve"> gained interest.</w:t>
      </w:r>
      <w:r w:rsidRPr="00F27EB2">
        <w:rPr>
          <w:rStyle w:val="Voetnootmarkering"/>
          <w:rFonts w:ascii="Times New Roman" w:hAnsi="Times New Roman" w:cs="Times New Roman"/>
          <w:spacing w:val="-2"/>
          <w:lang w:val="en-US"/>
        </w:rPr>
        <w:footnoteReference w:id="54"/>
      </w:r>
      <w:r w:rsidRPr="00F27EB2">
        <w:rPr>
          <w:rFonts w:ascii="Times New Roman" w:hAnsi="Times New Roman" w:cs="Times New Roman"/>
          <w:lang w:val="en-US"/>
        </w:rPr>
        <w:t xml:space="preserve"> In this approach, morphological, grammatical, and lexical difficulties are explained </w:t>
      </w:r>
      <w:r w:rsidR="00CF3314" w:rsidRPr="00F27EB2">
        <w:rPr>
          <w:rFonts w:ascii="Times New Roman" w:hAnsi="Times New Roman" w:cs="Times New Roman"/>
          <w:lang w:val="en-US"/>
        </w:rPr>
        <w:t>through</w:t>
      </w:r>
      <w:r w:rsidRPr="00F27EB2">
        <w:rPr>
          <w:rFonts w:ascii="Times New Roman" w:hAnsi="Times New Roman" w:cs="Times New Roman"/>
          <w:lang w:val="en-US"/>
        </w:rPr>
        <w:t xml:space="preserve"> the active and </w:t>
      </w:r>
      <w:r w:rsidR="00CF3314" w:rsidRPr="00F27EB2">
        <w:rPr>
          <w:rFonts w:ascii="Times New Roman" w:hAnsi="Times New Roman" w:cs="Times New Roman"/>
          <w:lang w:val="en-US"/>
        </w:rPr>
        <w:t xml:space="preserve">often </w:t>
      </w:r>
      <w:r w:rsidRPr="00F27EB2">
        <w:rPr>
          <w:rFonts w:ascii="Times New Roman" w:hAnsi="Times New Roman" w:cs="Times New Roman"/>
          <w:lang w:val="en-US"/>
        </w:rPr>
        <w:t>creative role of translator</w:t>
      </w:r>
      <w:r w:rsidR="00CF3314" w:rsidRPr="00F27EB2">
        <w:rPr>
          <w:rFonts w:ascii="Times New Roman" w:hAnsi="Times New Roman" w:cs="Times New Roman"/>
          <w:lang w:val="en-US"/>
        </w:rPr>
        <w:t>s</w:t>
      </w:r>
      <w:r w:rsidRPr="00F27EB2">
        <w:rPr>
          <w:rFonts w:ascii="Times New Roman" w:hAnsi="Times New Roman" w:cs="Times New Roman"/>
          <w:lang w:val="en-US"/>
        </w:rPr>
        <w:t xml:space="preserve">. Broader textual divergences between </w:t>
      </w:r>
      <w:r w:rsidR="00CF3314" w:rsidRPr="00F27EB2">
        <w:rPr>
          <w:rFonts w:ascii="Times New Roman" w:hAnsi="Times New Roman" w:cs="Times New Roman"/>
          <w:smallCaps/>
          <w:lang w:val="en-US"/>
        </w:rPr>
        <w:t xml:space="preserve">mt </w:t>
      </w:r>
      <w:r w:rsidR="00CF3314" w:rsidRPr="00F27EB2">
        <w:rPr>
          <w:rFonts w:ascii="Times New Roman" w:hAnsi="Times New Roman" w:cs="Times New Roman"/>
          <w:lang w:val="en-US"/>
        </w:rPr>
        <w:t xml:space="preserve">and </w:t>
      </w:r>
      <w:r w:rsidR="00CF3314" w:rsidRPr="00F27EB2">
        <w:rPr>
          <w:rFonts w:ascii="Times New Roman" w:hAnsi="Times New Roman" w:cs="Times New Roman"/>
          <w:smallCaps/>
          <w:lang w:val="en-US"/>
        </w:rPr>
        <w:t>lxx</w:t>
      </w:r>
      <w:r w:rsidRPr="00F27EB2">
        <w:rPr>
          <w:rFonts w:ascii="Times New Roman" w:hAnsi="Times New Roman" w:cs="Times New Roman"/>
          <w:lang w:val="en-US"/>
        </w:rPr>
        <w:t xml:space="preserve"> may then be attributed to three causes: a) a different </w:t>
      </w:r>
      <w:r w:rsidRPr="00F27EB2">
        <w:rPr>
          <w:rFonts w:ascii="Times New Roman" w:hAnsi="Times New Roman" w:cs="Times New Roman"/>
          <w:i/>
          <w:iCs/>
          <w:lang w:val="en-US"/>
        </w:rPr>
        <w:t>Vorlage</w:t>
      </w:r>
      <w:r w:rsidRPr="00F27EB2">
        <w:rPr>
          <w:rFonts w:ascii="Times New Roman" w:hAnsi="Times New Roman" w:cs="Times New Roman"/>
          <w:lang w:val="en-US"/>
        </w:rPr>
        <w:t>, b) theological or ideological considerations,</w:t>
      </w:r>
      <w:r w:rsidR="00985530" w:rsidRPr="00F27EB2">
        <w:rPr>
          <w:rStyle w:val="Voetnootmarkering"/>
          <w:rFonts w:ascii="Times New Roman" w:hAnsi="Times New Roman" w:cs="Times New Roman"/>
          <w:lang w:val="en-US"/>
        </w:rPr>
        <w:footnoteReference w:id="55"/>
      </w:r>
      <w:r w:rsidRPr="00F27EB2">
        <w:rPr>
          <w:rFonts w:ascii="Times New Roman" w:hAnsi="Times New Roman" w:cs="Times New Roman"/>
          <w:lang w:val="en-US"/>
        </w:rPr>
        <w:t xml:space="preserve"> or c) translation technique</w:t>
      </w:r>
      <w:r w:rsidR="00CF3314" w:rsidRPr="00F27EB2">
        <w:rPr>
          <w:rFonts w:ascii="Times New Roman" w:hAnsi="Times New Roman" w:cs="Times New Roman"/>
          <w:lang w:val="en-US"/>
        </w:rPr>
        <w:t xml:space="preserve"> – </w:t>
      </w:r>
      <w:r w:rsidR="00CF3314" w:rsidRPr="00F27EB2">
        <w:rPr>
          <w:rFonts w:ascii="Times New Roman" w:hAnsi="Times New Roman" w:cs="Times New Roman"/>
        </w:rPr>
        <w:t>with (b) and (c) at times overlapping, since theological views could be expressed through translation choices</w:t>
      </w:r>
      <w:r w:rsidRPr="00F27EB2">
        <w:rPr>
          <w:rFonts w:ascii="Times New Roman" w:hAnsi="Times New Roman" w:cs="Times New Roman"/>
          <w:lang w:val="en-US"/>
        </w:rPr>
        <w:t xml:space="preserve">. Staffan Olofsson’s study of anthropomorphisms in the </w:t>
      </w:r>
      <w:r w:rsidR="007457DC" w:rsidRPr="00F27EB2">
        <w:rPr>
          <w:rFonts w:ascii="Times New Roman" w:hAnsi="Times New Roman" w:cs="Times New Roman"/>
          <w:smallCaps/>
          <w:lang w:val="en-US"/>
        </w:rPr>
        <w:t>lxx</w:t>
      </w:r>
      <w:r w:rsidRPr="00F27EB2">
        <w:rPr>
          <w:rFonts w:ascii="Times New Roman" w:hAnsi="Times New Roman" w:cs="Times New Roman"/>
          <w:lang w:val="en-US"/>
        </w:rPr>
        <w:t>-Psalms</w:t>
      </w:r>
      <w:r w:rsidR="00CF3314" w:rsidRPr="00F27EB2">
        <w:rPr>
          <w:rFonts w:ascii="Times New Roman" w:hAnsi="Times New Roman" w:cs="Times New Roman"/>
          <w:lang w:val="en-US"/>
        </w:rPr>
        <w:t xml:space="preserve"> </w:t>
      </w:r>
      <w:r w:rsidR="00CF3314" w:rsidRPr="00F27EB2">
        <w:rPr>
          <w:rFonts w:ascii="Times New Roman" w:hAnsi="Times New Roman" w:cs="Times New Roman"/>
        </w:rPr>
        <w:t>exemplifies this</w:t>
      </w:r>
      <w:r w:rsidR="00CF3314" w:rsidRPr="00F27EB2">
        <w:rPr>
          <w:rFonts w:ascii="Times New Roman" w:hAnsi="Times New Roman" w:cs="Times New Roman"/>
        </w:rPr>
        <w:t>:</w:t>
      </w:r>
      <w:r w:rsidR="00CF3314" w:rsidRPr="00F27EB2">
        <w:rPr>
          <w:rFonts w:ascii="Times New Roman" w:hAnsi="Times New Roman" w:cs="Times New Roman"/>
        </w:rPr>
        <w:t xml:space="preserve"> he argues that theological exegesis and translation technique cannot be separated, as both are reflected in the equivalents chosen by the translator.</w:t>
      </w:r>
      <w:r w:rsidR="00CF3314" w:rsidRPr="00F27EB2">
        <w:rPr>
          <w:rStyle w:val="Voetnootmarkering"/>
          <w:rFonts w:ascii="Times New Roman" w:hAnsi="Times New Roman" w:cs="Times New Roman"/>
          <w:spacing w:val="-2"/>
          <w:lang w:val="en-US"/>
        </w:rPr>
        <w:footnoteReference w:id="56"/>
      </w:r>
      <w:r w:rsidR="00CF3314" w:rsidRPr="00F27EB2">
        <w:rPr>
          <w:rFonts w:ascii="Times New Roman" w:hAnsi="Times New Roman" w:cs="Times New Roman"/>
        </w:rPr>
        <w:t xml:space="preserve"> </w:t>
      </w:r>
      <w:r w:rsidR="00CF3314" w:rsidRPr="00F27EB2">
        <w:rPr>
          <w:rFonts w:ascii="Times New Roman" w:hAnsi="Times New Roman" w:cs="Times New Roman"/>
        </w:rPr>
        <w:t>E</w:t>
      </w:r>
      <w:r w:rsidR="00CF3314" w:rsidRPr="00F27EB2">
        <w:rPr>
          <w:rFonts w:ascii="Times New Roman" w:hAnsi="Times New Roman" w:cs="Times New Roman"/>
        </w:rPr>
        <w:t xml:space="preserve">ven factors beyond translation technique in the narrow sense, such as </w:t>
      </w:r>
      <w:r w:rsidR="00CF3314" w:rsidRPr="00F27EB2">
        <w:rPr>
          <w:rFonts w:ascii="Times New Roman" w:hAnsi="Times New Roman" w:cs="Times New Roman"/>
        </w:rPr>
        <w:t>ideological</w:t>
      </w:r>
      <w:r w:rsidR="00CF3314" w:rsidRPr="00F27EB2">
        <w:rPr>
          <w:rFonts w:ascii="Times New Roman" w:hAnsi="Times New Roman" w:cs="Times New Roman"/>
        </w:rPr>
        <w:t xml:space="preserve"> motivation or the translator’s level of Hebrew knowledge, must be </w:t>
      </w:r>
      <w:r w:rsidR="00CF3314" w:rsidRPr="00F27EB2">
        <w:rPr>
          <w:rFonts w:ascii="Times New Roman" w:hAnsi="Times New Roman" w:cs="Times New Roman"/>
        </w:rPr>
        <w:t>considered</w:t>
      </w:r>
      <w:r w:rsidR="00CF3314" w:rsidRPr="00F27EB2">
        <w:rPr>
          <w:rFonts w:ascii="Times New Roman" w:hAnsi="Times New Roman" w:cs="Times New Roman"/>
        </w:rPr>
        <w:t xml:space="preserve">. Divergent renderings of anthropomorphisms thus need to be evaluated in light of the translator’s </w:t>
      </w:r>
      <w:r w:rsidR="00CF3314" w:rsidRPr="00F27EB2">
        <w:rPr>
          <w:rFonts w:ascii="Times New Roman" w:hAnsi="Times New Roman" w:cs="Times New Roman"/>
          <w:i/>
          <w:iCs/>
        </w:rPr>
        <w:t>broader method</w:t>
      </w:r>
      <w:r w:rsidR="00CF3314" w:rsidRPr="00F27EB2">
        <w:rPr>
          <w:rFonts w:ascii="Times New Roman" w:hAnsi="Times New Roman" w:cs="Times New Roman"/>
        </w:rPr>
        <w:t>, where linguistic, textual, and contextual considerations may weigh as heavily as theology.</w:t>
      </w:r>
      <w:r w:rsidR="001B4074" w:rsidRPr="00F27EB2">
        <w:rPr>
          <w:rStyle w:val="Voetnootmarkering"/>
          <w:rFonts w:ascii="Times New Roman" w:hAnsi="Times New Roman" w:cs="Times New Roman"/>
          <w:spacing w:val="-2"/>
          <w:lang w:val="en-US"/>
        </w:rPr>
        <w:footnoteReference w:id="57"/>
      </w:r>
      <w:r w:rsidR="00D42FD0" w:rsidRPr="00F27EB2">
        <w:rPr>
          <w:rFonts w:ascii="Times New Roman" w:hAnsi="Times New Roman" w:cs="Times New Roman"/>
          <w:lang w:val="en-US"/>
        </w:rPr>
        <w:t xml:space="preserve"> </w:t>
      </w:r>
      <w:r w:rsidR="00CF3314" w:rsidRPr="00F27EB2">
        <w:rPr>
          <w:rFonts w:ascii="Times New Roman" w:hAnsi="Times New Roman" w:cs="Times New Roman"/>
        </w:rPr>
        <w:t>These developments also brought new terminology</w:t>
      </w:r>
      <w:r w:rsidRPr="00F27EB2">
        <w:rPr>
          <w:rFonts w:ascii="Times New Roman" w:hAnsi="Times New Roman" w:cs="Times New Roman"/>
          <w:lang w:val="en-US"/>
        </w:rPr>
        <w:t>.</w:t>
      </w:r>
      <w:r w:rsidR="00D42FD0" w:rsidRPr="00F27EB2">
        <w:rPr>
          <w:rStyle w:val="Voetnootmarkering"/>
          <w:rFonts w:ascii="Times New Roman" w:hAnsi="Times New Roman" w:cs="Times New Roman"/>
          <w:lang w:val="en-US"/>
        </w:rPr>
        <w:footnoteReference w:id="58"/>
      </w:r>
      <w:r w:rsidRPr="00F27EB2">
        <w:rPr>
          <w:rFonts w:ascii="Times New Roman" w:hAnsi="Times New Roman" w:cs="Times New Roman"/>
          <w:lang w:val="en-US"/>
        </w:rPr>
        <w:t xml:space="preserve"> If translation technique is </w:t>
      </w:r>
      <w:r w:rsidR="00CF3314" w:rsidRPr="00F27EB2">
        <w:rPr>
          <w:rFonts w:ascii="Times New Roman" w:hAnsi="Times New Roman" w:cs="Times New Roman"/>
          <w:lang w:val="en-US"/>
        </w:rPr>
        <w:t>considered</w:t>
      </w:r>
      <w:r w:rsidRPr="00F27EB2">
        <w:rPr>
          <w:rFonts w:ascii="Times New Roman" w:hAnsi="Times New Roman" w:cs="Times New Roman"/>
          <w:lang w:val="en-US"/>
        </w:rPr>
        <w:t xml:space="preserve"> </w:t>
      </w:r>
      <w:r w:rsidR="00CF3314" w:rsidRPr="00F27EB2">
        <w:rPr>
          <w:rFonts w:ascii="Times New Roman" w:hAnsi="Times New Roman" w:cs="Times New Roman"/>
          <w:lang w:val="en-US"/>
        </w:rPr>
        <w:t>in</w:t>
      </w:r>
      <w:r w:rsidRPr="00F27EB2">
        <w:rPr>
          <w:rFonts w:ascii="Times New Roman" w:hAnsi="Times New Roman" w:cs="Times New Roman"/>
          <w:lang w:val="en-US"/>
        </w:rPr>
        <w:t xml:space="preserve"> assessing Greek renderings of anthropomorphisms, one must clarify what is meant by a free rendering as opposed to a literal one. Olofsson insists that </w:t>
      </w:r>
      <w:r w:rsidRPr="00F27EB2">
        <w:rPr>
          <w:rFonts w:ascii="Times New Roman" w:hAnsi="Times New Roman" w:cs="Times New Roman"/>
          <w:i/>
          <w:iCs/>
          <w:lang w:val="en-US"/>
        </w:rPr>
        <w:lastRenderedPageBreak/>
        <w:t>quantitative</w:t>
      </w:r>
      <w:r w:rsidRPr="00F27EB2">
        <w:rPr>
          <w:rFonts w:ascii="Times New Roman" w:hAnsi="Times New Roman" w:cs="Times New Roman"/>
          <w:lang w:val="en-US"/>
        </w:rPr>
        <w:t xml:space="preserve"> criteria remain crucial: an anti-anthropomorphic tendency can only be posited if it appears </w:t>
      </w:r>
      <w:r w:rsidRPr="00F27EB2">
        <w:rPr>
          <w:rFonts w:ascii="Times New Roman" w:hAnsi="Times New Roman" w:cs="Times New Roman"/>
          <w:i/>
          <w:iCs/>
          <w:lang w:val="en-US"/>
        </w:rPr>
        <w:t>consistently</w:t>
      </w:r>
      <w:r w:rsidRPr="00F27EB2">
        <w:rPr>
          <w:rFonts w:ascii="Times New Roman" w:hAnsi="Times New Roman" w:cs="Times New Roman"/>
          <w:lang w:val="en-US"/>
        </w:rPr>
        <w:t xml:space="preserve"> throughout a translation unit. Yet such quantitative analysis must also incorporate broader </w:t>
      </w:r>
      <w:r w:rsidR="00D42FD0" w:rsidRPr="00F27EB2">
        <w:rPr>
          <w:rFonts w:ascii="Times New Roman" w:hAnsi="Times New Roman" w:cs="Times New Roman"/>
          <w:lang w:val="en-US"/>
        </w:rPr>
        <w:t xml:space="preserve">and </w:t>
      </w:r>
      <w:r w:rsidR="00D42FD0" w:rsidRPr="00F27EB2">
        <w:rPr>
          <w:rFonts w:ascii="Times New Roman" w:hAnsi="Times New Roman" w:cs="Times New Roman"/>
          <w:i/>
          <w:iCs/>
          <w:lang w:val="en-US"/>
        </w:rPr>
        <w:t xml:space="preserve">qualitative </w:t>
      </w:r>
      <w:r w:rsidRPr="00F27EB2">
        <w:rPr>
          <w:rFonts w:ascii="Times New Roman" w:hAnsi="Times New Roman" w:cs="Times New Roman"/>
          <w:lang w:val="en-US"/>
        </w:rPr>
        <w:t>factors, including the resources and demands of the target language.</w:t>
      </w:r>
      <w:r w:rsidR="00777777" w:rsidRPr="00F27EB2">
        <w:rPr>
          <w:rFonts w:ascii="Times New Roman" w:hAnsi="Times New Roman" w:cs="Times New Roman"/>
          <w:lang w:val="en-US"/>
        </w:rPr>
        <w:t xml:space="preserve"> </w:t>
      </w:r>
    </w:p>
    <w:p w14:paraId="61F00BE5" w14:textId="54E35BEC" w:rsidR="007F6772" w:rsidRPr="00F27EB2" w:rsidRDefault="007F6772" w:rsidP="007F6772">
      <w:pPr>
        <w:jc w:val="both"/>
        <w:rPr>
          <w:rFonts w:ascii="Times New Roman" w:hAnsi="Times New Roman" w:cs="Times New Roman"/>
          <w:lang w:val="en-US"/>
        </w:rPr>
      </w:pPr>
      <w:r w:rsidRPr="00F27EB2">
        <w:rPr>
          <w:rFonts w:ascii="Times New Roman" w:hAnsi="Times New Roman" w:cs="Times New Roman"/>
          <w:lang w:val="en-US"/>
        </w:rPr>
        <w:tab/>
        <w:t xml:space="preserve">By the close of the twentieth century, scholarship on the Greek rendering of anthropomorphisms had become polarized </w:t>
      </w:r>
      <w:r w:rsidR="008D7984" w:rsidRPr="00F27EB2">
        <w:rPr>
          <w:rFonts w:ascii="Times New Roman" w:hAnsi="Times New Roman" w:cs="Times New Roman"/>
          <w:lang w:val="en-US"/>
        </w:rPr>
        <w:t>between</w:t>
      </w:r>
      <w:r w:rsidRPr="00F27EB2">
        <w:rPr>
          <w:rFonts w:ascii="Times New Roman" w:hAnsi="Times New Roman" w:cs="Times New Roman"/>
          <w:lang w:val="en-US"/>
        </w:rPr>
        <w:t xml:space="preserve"> a minimalist </w:t>
      </w:r>
      <w:r w:rsidR="008D7984" w:rsidRPr="00F27EB2">
        <w:rPr>
          <w:rFonts w:ascii="Times New Roman" w:hAnsi="Times New Roman" w:cs="Times New Roman"/>
          <w:lang w:val="en-US"/>
        </w:rPr>
        <w:t>(</w:t>
      </w:r>
      <w:r w:rsidRPr="00F27EB2">
        <w:rPr>
          <w:rFonts w:ascii="Times New Roman" w:hAnsi="Times New Roman" w:cs="Times New Roman"/>
          <w:lang w:val="en-US"/>
        </w:rPr>
        <w:t xml:space="preserve">attributing differences to style or </w:t>
      </w:r>
      <w:r w:rsidRPr="00F27EB2">
        <w:rPr>
          <w:rFonts w:ascii="Times New Roman" w:hAnsi="Times New Roman" w:cs="Times New Roman"/>
          <w:i/>
          <w:iCs/>
          <w:lang w:val="en-US"/>
        </w:rPr>
        <w:t>Vorlage</w:t>
      </w:r>
      <w:r w:rsidR="008D7984" w:rsidRPr="00F27EB2">
        <w:rPr>
          <w:rFonts w:ascii="Times New Roman" w:hAnsi="Times New Roman" w:cs="Times New Roman"/>
          <w:lang w:val="en-US"/>
        </w:rPr>
        <w:t>)</w:t>
      </w:r>
      <w:r w:rsidRPr="00F27EB2">
        <w:rPr>
          <w:rFonts w:ascii="Times New Roman" w:hAnsi="Times New Roman" w:cs="Times New Roman"/>
          <w:lang w:val="en-US"/>
        </w:rPr>
        <w:t xml:space="preserve">, and maximalist </w:t>
      </w:r>
      <w:r w:rsidR="008D7984" w:rsidRPr="00F27EB2">
        <w:rPr>
          <w:rFonts w:ascii="Times New Roman" w:hAnsi="Times New Roman" w:cs="Times New Roman"/>
          <w:lang w:val="en-US"/>
        </w:rPr>
        <w:t>(</w:t>
      </w:r>
      <w:r w:rsidRPr="00F27EB2">
        <w:rPr>
          <w:rFonts w:ascii="Times New Roman" w:hAnsi="Times New Roman" w:cs="Times New Roman"/>
          <w:lang w:val="en-US"/>
        </w:rPr>
        <w:t>interpreting each divergence as theological exegesis</w:t>
      </w:r>
      <w:r w:rsidR="008D7984" w:rsidRPr="00F27EB2">
        <w:rPr>
          <w:rFonts w:ascii="Times New Roman" w:hAnsi="Times New Roman" w:cs="Times New Roman"/>
          <w:lang w:val="en-US"/>
        </w:rPr>
        <w:t>) stance</w:t>
      </w:r>
      <w:r w:rsidRPr="00F27EB2">
        <w:rPr>
          <w:rFonts w:ascii="Times New Roman" w:hAnsi="Times New Roman" w:cs="Times New Roman"/>
          <w:lang w:val="en-US"/>
        </w:rPr>
        <w:t xml:space="preserve">. The emphasis on translation technique introduced a fresh perspective to the debate, yet its initial, predominantly quantitative orientation requires refinement before </w:t>
      </w:r>
      <w:r w:rsidR="008D7984" w:rsidRPr="00F27EB2">
        <w:rPr>
          <w:rFonts w:ascii="Times New Roman" w:hAnsi="Times New Roman" w:cs="Times New Roman"/>
          <w:lang w:val="en-US"/>
        </w:rPr>
        <w:t>serving</w:t>
      </w:r>
      <w:r w:rsidRPr="00F27EB2">
        <w:rPr>
          <w:rFonts w:ascii="Times New Roman" w:hAnsi="Times New Roman" w:cs="Times New Roman"/>
          <w:lang w:val="en-US"/>
        </w:rPr>
        <w:t xml:space="preserve"> as </w:t>
      </w:r>
      <w:r w:rsidR="008D7984" w:rsidRPr="00F27EB2">
        <w:rPr>
          <w:rFonts w:ascii="Times New Roman" w:hAnsi="Times New Roman" w:cs="Times New Roman"/>
          <w:lang w:val="en-US"/>
        </w:rPr>
        <w:t>a</w:t>
      </w:r>
      <w:r w:rsidRPr="00F27EB2">
        <w:rPr>
          <w:rFonts w:ascii="Times New Roman" w:hAnsi="Times New Roman" w:cs="Times New Roman"/>
          <w:lang w:val="en-US"/>
        </w:rPr>
        <w:t xml:space="preserve"> framework for analyzing </w:t>
      </w:r>
      <w:r w:rsidR="008D7984" w:rsidRPr="00F27EB2">
        <w:rPr>
          <w:rFonts w:ascii="Times New Roman" w:hAnsi="Times New Roman" w:cs="Times New Roman"/>
          <w:smallCaps/>
          <w:lang w:val="en-US"/>
        </w:rPr>
        <w:t>lxx</w:t>
      </w:r>
      <w:r w:rsidR="008D7984" w:rsidRPr="00F27EB2">
        <w:rPr>
          <w:rFonts w:ascii="Times New Roman" w:hAnsi="Times New Roman" w:cs="Times New Roman"/>
          <w:lang w:val="en-US"/>
        </w:rPr>
        <w:t>-</w:t>
      </w:r>
      <w:r w:rsidRPr="00F27EB2">
        <w:rPr>
          <w:rFonts w:ascii="Times New Roman" w:hAnsi="Times New Roman" w:cs="Times New Roman"/>
          <w:lang w:val="en-US"/>
        </w:rPr>
        <w:t>anthropomorphisms.</w:t>
      </w:r>
    </w:p>
    <w:p w14:paraId="79D50BA5" w14:textId="170B80A5" w:rsidR="00637BFF" w:rsidRPr="00F27EB2" w:rsidRDefault="00637BFF" w:rsidP="000B1A93">
      <w:pPr>
        <w:jc w:val="both"/>
        <w:rPr>
          <w:rFonts w:ascii="Times New Roman" w:hAnsi="Times New Roman" w:cs="Times New Roman"/>
          <w:lang w:val="en-US"/>
        </w:rPr>
      </w:pPr>
    </w:p>
    <w:p w14:paraId="7056FA83" w14:textId="77777777" w:rsidR="007F6772" w:rsidRPr="00F27EB2" w:rsidRDefault="007F6772">
      <w:pPr>
        <w:rPr>
          <w:rFonts w:ascii="Times New Roman" w:hAnsi="Times New Roman" w:cs="Times New Roman"/>
          <w:b/>
          <w:bCs/>
          <w:spacing w:val="-2"/>
          <w:lang w:val="en-US"/>
        </w:rPr>
      </w:pPr>
      <w:r w:rsidRPr="00F27EB2">
        <w:rPr>
          <w:rFonts w:ascii="Times New Roman" w:hAnsi="Times New Roman" w:cs="Times New Roman"/>
          <w:b/>
          <w:bCs/>
          <w:spacing w:val="-2"/>
          <w:lang w:val="en-US"/>
        </w:rPr>
        <w:t>1.4. The 21</w:t>
      </w:r>
      <w:r w:rsidRPr="00F27EB2">
        <w:rPr>
          <w:rFonts w:ascii="Times New Roman" w:hAnsi="Times New Roman" w:cs="Times New Roman"/>
          <w:b/>
          <w:bCs/>
          <w:spacing w:val="-2"/>
          <w:vertAlign w:val="superscript"/>
          <w:lang w:val="en-US"/>
        </w:rPr>
        <w:t>st</w:t>
      </w:r>
      <w:r w:rsidRPr="00F27EB2">
        <w:rPr>
          <w:rFonts w:ascii="Times New Roman" w:hAnsi="Times New Roman" w:cs="Times New Roman"/>
          <w:b/>
          <w:bCs/>
          <w:spacing w:val="-2"/>
          <w:lang w:val="en-US"/>
        </w:rPr>
        <w:t xml:space="preserve"> Century: New Answers to Old Problems</w:t>
      </w:r>
    </w:p>
    <w:p w14:paraId="3BDCA61E" w14:textId="77777777" w:rsidR="007F6772" w:rsidRPr="00F27EB2" w:rsidRDefault="007F6772">
      <w:pPr>
        <w:rPr>
          <w:rFonts w:ascii="Times New Roman" w:hAnsi="Times New Roman" w:cs="Times New Roman"/>
          <w:b/>
          <w:bCs/>
          <w:spacing w:val="-2"/>
          <w:lang w:val="en-US"/>
        </w:rPr>
      </w:pPr>
    </w:p>
    <w:p w14:paraId="664A5500" w14:textId="2E92287D" w:rsidR="00FD33D9" w:rsidRPr="00F27EB2" w:rsidRDefault="00FD33D9" w:rsidP="00FD33D9">
      <w:pPr>
        <w:pStyle w:val="Normaalweb"/>
        <w:spacing w:before="0" w:beforeAutospacing="0" w:after="0" w:afterAutospacing="0"/>
        <w:jc w:val="both"/>
        <w:rPr>
          <w:lang w:val="en-US"/>
        </w:rPr>
      </w:pPr>
      <w:r w:rsidRPr="00F27EB2">
        <w:rPr>
          <w:lang w:val="en-US"/>
        </w:rPr>
        <w:t xml:space="preserve">In the twenty-first century, the trends established in the latter half of the twentieth century continue to shape </w:t>
      </w:r>
      <w:r w:rsidRPr="00F27EB2">
        <w:rPr>
          <w:smallCaps/>
          <w:lang w:val="en-US"/>
        </w:rPr>
        <w:t>lxx</w:t>
      </w:r>
      <w:r w:rsidR="00C029DC" w:rsidRPr="00F27EB2">
        <w:rPr>
          <w:lang w:val="en-US"/>
        </w:rPr>
        <w:t>-</w:t>
      </w:r>
      <w:r w:rsidRPr="00F27EB2">
        <w:rPr>
          <w:lang w:val="en-US"/>
        </w:rPr>
        <w:t xml:space="preserve">research. </w:t>
      </w:r>
      <w:r w:rsidR="00C029DC" w:rsidRPr="00F27EB2">
        <w:rPr>
          <w:lang w:val="en-US"/>
        </w:rPr>
        <w:t>T</w:t>
      </w:r>
      <w:r w:rsidRPr="00F27EB2">
        <w:rPr>
          <w:lang w:val="en-US"/>
        </w:rPr>
        <w:t>he minimalist</w:t>
      </w:r>
      <w:r w:rsidR="002B090E" w:rsidRPr="00F27EB2">
        <w:rPr>
          <w:rStyle w:val="Voetnootmarkering"/>
          <w:lang w:val="en-US"/>
        </w:rPr>
        <w:footnoteReference w:id="59"/>
      </w:r>
      <w:r w:rsidRPr="00F27EB2">
        <w:rPr>
          <w:lang w:val="en-US"/>
        </w:rPr>
        <w:t xml:space="preserve"> and maximalist</w:t>
      </w:r>
      <w:r w:rsidR="002B090E" w:rsidRPr="00F27EB2">
        <w:rPr>
          <w:rStyle w:val="Voetnootmarkering"/>
          <w:lang w:val="en-US"/>
        </w:rPr>
        <w:footnoteReference w:id="60"/>
      </w:r>
      <w:r w:rsidRPr="00F27EB2">
        <w:rPr>
          <w:lang w:val="en-US"/>
        </w:rPr>
        <w:t xml:space="preserve"> camp</w:t>
      </w:r>
      <w:r w:rsidR="00C029DC" w:rsidRPr="00F27EB2">
        <w:rPr>
          <w:lang w:val="en-US"/>
        </w:rPr>
        <w:t xml:space="preserve"> drift further apart</w:t>
      </w:r>
      <w:r w:rsidRPr="00F27EB2">
        <w:rPr>
          <w:lang w:val="en-US"/>
        </w:rPr>
        <w:t>, though both now employ a broader range of arguments. A key development</w:t>
      </w:r>
      <w:r w:rsidR="00C029DC" w:rsidRPr="00F27EB2">
        <w:rPr>
          <w:lang w:val="en-US"/>
        </w:rPr>
        <w:t xml:space="preserve"> in this polarization</w:t>
      </w:r>
      <w:r w:rsidRPr="00F27EB2">
        <w:rPr>
          <w:lang w:val="en-US"/>
        </w:rPr>
        <w:t xml:space="preserve"> is the elaboration of </w:t>
      </w:r>
      <w:r w:rsidR="00C029DC" w:rsidRPr="00F27EB2">
        <w:rPr>
          <w:lang w:val="en-US"/>
        </w:rPr>
        <w:t xml:space="preserve">the so-called </w:t>
      </w:r>
      <w:r w:rsidRPr="00F27EB2">
        <w:rPr>
          <w:lang w:val="en-US"/>
        </w:rPr>
        <w:t xml:space="preserve">“theology of </w:t>
      </w:r>
      <w:r w:rsidR="00CC0D42" w:rsidRPr="00F27EB2">
        <w:rPr>
          <w:smallCaps/>
          <w:lang w:val="en-US"/>
        </w:rPr>
        <w:t>lxx</w:t>
      </w:r>
      <w:r w:rsidR="00C029DC" w:rsidRPr="00F27EB2">
        <w:rPr>
          <w:lang w:val="en-US"/>
        </w:rPr>
        <w:t>,</w:t>
      </w:r>
      <w:r w:rsidRPr="00F27EB2">
        <w:rPr>
          <w:lang w:val="en-US"/>
        </w:rPr>
        <w:t xml:space="preserve">” distinct from </w:t>
      </w:r>
      <w:r w:rsidRPr="00F27EB2">
        <w:rPr>
          <w:smallCaps/>
          <w:lang w:val="en-US"/>
        </w:rPr>
        <w:t>mt</w:t>
      </w:r>
      <w:r w:rsidRPr="00F27EB2">
        <w:rPr>
          <w:lang w:val="en-US"/>
        </w:rPr>
        <w:t>.</w:t>
      </w:r>
      <w:r w:rsidRPr="00F27EB2">
        <w:rPr>
          <w:rStyle w:val="Voetnootmarkering"/>
          <w:lang w:val="en-US"/>
        </w:rPr>
        <w:t xml:space="preserve"> </w:t>
      </w:r>
      <w:r w:rsidRPr="00F27EB2">
        <w:rPr>
          <w:rStyle w:val="Voetnootmarkering"/>
          <w:lang w:val="en-US"/>
        </w:rPr>
        <w:footnoteReference w:id="61"/>
      </w:r>
    </w:p>
    <w:p w14:paraId="74ACD84E" w14:textId="55A9B2E0" w:rsidR="00FD33D9" w:rsidRPr="00F27EB2" w:rsidRDefault="00FD33D9" w:rsidP="00A57D52">
      <w:pPr>
        <w:pStyle w:val="Normaalweb"/>
        <w:spacing w:before="0" w:beforeAutospacing="0" w:after="0" w:afterAutospacing="0"/>
        <w:ind w:firstLine="708"/>
        <w:jc w:val="both"/>
        <w:rPr>
          <w:lang w:val="en-US"/>
        </w:rPr>
      </w:pPr>
      <w:r w:rsidRPr="00F27EB2">
        <w:rPr>
          <w:lang w:val="en-US"/>
        </w:rPr>
        <w:t>No consensus has yet been reached on what exactly constitutes the “</w:t>
      </w:r>
      <w:r w:rsidR="00CC0D42" w:rsidRPr="00F27EB2">
        <w:rPr>
          <w:smallCaps/>
          <w:lang w:val="en-US"/>
        </w:rPr>
        <w:t>lxx-</w:t>
      </w:r>
      <w:r w:rsidR="00CC0D42" w:rsidRPr="00F27EB2">
        <w:rPr>
          <w:lang w:val="en-US"/>
        </w:rPr>
        <w:t>theology</w:t>
      </w:r>
      <w:r w:rsidRPr="00F27EB2">
        <w:rPr>
          <w:lang w:val="en-US"/>
        </w:rPr>
        <w:t>,”</w:t>
      </w:r>
      <w:r w:rsidRPr="00F27EB2">
        <w:rPr>
          <w:rStyle w:val="Voetnootmarkering"/>
          <w:lang w:val="en-US"/>
        </w:rPr>
        <w:footnoteReference w:id="62"/>
      </w:r>
      <w:r w:rsidRPr="00F27EB2">
        <w:rPr>
          <w:lang w:val="en-US"/>
        </w:rPr>
        <w:t xml:space="preserve"> yet many scholars maintain that theological concerns shaped </w:t>
      </w:r>
      <w:r w:rsidR="00F00036" w:rsidRPr="00F27EB2">
        <w:rPr>
          <w:smallCaps/>
          <w:lang w:val="en-US"/>
        </w:rPr>
        <w:t>lxx</w:t>
      </w:r>
      <w:r w:rsidRPr="00F27EB2">
        <w:rPr>
          <w:lang w:val="en-US"/>
        </w:rPr>
        <w:t xml:space="preserve"> and that these concerns are reflected in the text itself</w:t>
      </w:r>
      <w:r w:rsidR="00A57D52" w:rsidRPr="00F27EB2">
        <w:rPr>
          <w:lang w:val="en-US"/>
        </w:rPr>
        <w:t>,</w:t>
      </w:r>
      <w:r w:rsidRPr="00F27EB2">
        <w:rPr>
          <w:rStyle w:val="Voetnootmarkering"/>
          <w:lang w:val="en-US"/>
        </w:rPr>
        <w:footnoteReference w:id="63"/>
      </w:r>
      <w:r w:rsidR="00A57D52" w:rsidRPr="00F27EB2">
        <w:rPr>
          <w:lang w:val="en-US"/>
        </w:rPr>
        <w:t xml:space="preserve"> especially in</w:t>
      </w:r>
      <w:r w:rsidR="00A57D52" w:rsidRPr="00F27EB2">
        <w:rPr>
          <w:lang w:val="en-US"/>
        </w:rPr>
        <w:t xml:space="preserve"> the differences between </w:t>
      </w:r>
      <w:r w:rsidR="00A57D52" w:rsidRPr="00F27EB2">
        <w:rPr>
          <w:smallCaps/>
          <w:lang w:val="en-US"/>
        </w:rPr>
        <w:t>mt</w:t>
      </w:r>
      <w:r w:rsidR="00A57D52" w:rsidRPr="00F27EB2">
        <w:rPr>
          <w:lang w:val="en-US"/>
        </w:rPr>
        <w:t xml:space="preserve"> and </w:t>
      </w:r>
      <w:r w:rsidR="00A57D52" w:rsidRPr="00F27EB2">
        <w:rPr>
          <w:smallCaps/>
          <w:lang w:val="en-US"/>
        </w:rPr>
        <w:t>lxx</w:t>
      </w:r>
      <w:r w:rsidR="00906490" w:rsidRPr="00F27EB2">
        <w:rPr>
          <w:smallCaps/>
          <w:lang w:val="en-US"/>
        </w:rPr>
        <w:t xml:space="preserve"> – </w:t>
      </w:r>
      <w:r w:rsidR="00906490" w:rsidRPr="00F27EB2">
        <w:rPr>
          <w:lang w:val="en-US"/>
        </w:rPr>
        <w:t>for instance</w:t>
      </w:r>
      <w:r w:rsidR="002735D5" w:rsidRPr="00F27EB2">
        <w:rPr>
          <w:lang w:val="en-US"/>
        </w:rPr>
        <w:t xml:space="preserve"> in</w:t>
      </w:r>
      <w:r w:rsidR="00906490" w:rsidRPr="00F27EB2">
        <w:rPr>
          <w:lang w:val="en-US"/>
        </w:rPr>
        <w:t xml:space="preserve"> the rendering</w:t>
      </w:r>
      <w:r w:rsidR="002735D5" w:rsidRPr="00F27EB2">
        <w:rPr>
          <w:lang w:val="en-US"/>
        </w:rPr>
        <w:t xml:space="preserve"> of anthropomorphisms</w:t>
      </w:r>
      <w:r w:rsidR="00906490" w:rsidRPr="00F27EB2">
        <w:rPr>
          <w:smallCaps/>
          <w:lang w:val="en-US"/>
        </w:rPr>
        <w:t xml:space="preserve"> </w:t>
      </w:r>
      <w:r w:rsidR="00A57D52" w:rsidRPr="00F27EB2">
        <w:rPr>
          <w:lang w:val="en-US"/>
        </w:rPr>
        <w:t>.</w:t>
      </w:r>
      <w:r w:rsidR="00A57D52" w:rsidRPr="00F27EB2">
        <w:rPr>
          <w:rStyle w:val="Voetnootmarkering"/>
          <w:smallCaps/>
          <w:lang w:val="en-US"/>
        </w:rPr>
        <w:footnoteReference w:id="64"/>
      </w:r>
      <w:r w:rsidR="00A57D52" w:rsidRPr="00F27EB2">
        <w:rPr>
          <w:lang w:val="en-US"/>
        </w:rPr>
        <w:t xml:space="preserve"> Yet these</w:t>
      </w:r>
      <w:r w:rsidR="002735D5" w:rsidRPr="00F27EB2">
        <w:rPr>
          <w:lang w:val="en-US"/>
        </w:rPr>
        <w:t xml:space="preserve"> </w:t>
      </w:r>
      <w:r w:rsidR="00473B34" w:rsidRPr="00F27EB2">
        <w:rPr>
          <w:lang w:val="en-US"/>
        </w:rPr>
        <w:t>theological</w:t>
      </w:r>
      <w:r w:rsidR="00A57D52" w:rsidRPr="00F27EB2">
        <w:rPr>
          <w:lang w:val="en-US"/>
        </w:rPr>
        <w:t xml:space="preserve"> elements must be carefully distinguished from phenomena arising from textual transmission, translation technique, or the use of a different </w:t>
      </w:r>
      <w:r w:rsidR="00A57D52" w:rsidRPr="00F27EB2">
        <w:rPr>
          <w:i/>
          <w:iCs/>
          <w:lang w:val="en-US"/>
        </w:rPr>
        <w:t>Vorlage</w:t>
      </w:r>
      <w:r w:rsidR="00A57D52" w:rsidRPr="00F27EB2">
        <w:rPr>
          <w:lang w:val="en-US"/>
        </w:rPr>
        <w:t>.</w:t>
      </w:r>
      <w:r w:rsidRPr="00F27EB2">
        <w:rPr>
          <w:lang w:val="en-US"/>
        </w:rPr>
        <w:t xml:space="preserve"> It is</w:t>
      </w:r>
      <w:r w:rsidR="00906490" w:rsidRPr="00F27EB2">
        <w:rPr>
          <w:lang w:val="en-US"/>
        </w:rPr>
        <w:t xml:space="preserve"> also</w:t>
      </w:r>
      <w:r w:rsidRPr="00F27EB2">
        <w:rPr>
          <w:lang w:val="en-US"/>
        </w:rPr>
        <w:t xml:space="preserve"> important to stress the difficulty of speaking of a single theology of </w:t>
      </w:r>
      <w:r w:rsidRPr="00F27EB2">
        <w:rPr>
          <w:smallCaps/>
          <w:lang w:val="en-US"/>
        </w:rPr>
        <w:t>lxx</w:t>
      </w:r>
      <w:r w:rsidRPr="00F27EB2">
        <w:rPr>
          <w:lang w:val="en-US"/>
        </w:rPr>
        <w:t xml:space="preserve">, since the </w:t>
      </w:r>
      <w:r w:rsidR="00F00036" w:rsidRPr="00F27EB2">
        <w:rPr>
          <w:smallCaps/>
          <w:lang w:val="en-US"/>
        </w:rPr>
        <w:t>lxx</w:t>
      </w:r>
      <w:r w:rsidRPr="00F27EB2">
        <w:rPr>
          <w:lang w:val="en-US"/>
        </w:rPr>
        <w:t xml:space="preserve"> </w:t>
      </w:r>
      <w:r w:rsidR="00F00036" w:rsidRPr="00F27EB2">
        <w:rPr>
          <w:lang w:val="en-US"/>
        </w:rPr>
        <w:t>is often diverse</w:t>
      </w:r>
      <w:r w:rsidRPr="00F27EB2">
        <w:rPr>
          <w:lang w:val="en-US"/>
        </w:rPr>
        <w:t xml:space="preserve">, and individual books sometimes reflect conflicting ideological positions. </w:t>
      </w:r>
      <w:r w:rsidR="00473B34" w:rsidRPr="00F27EB2">
        <w:rPr>
          <w:lang w:val="en-US"/>
        </w:rPr>
        <w:t xml:space="preserve">Hans </w:t>
      </w:r>
      <w:r w:rsidRPr="00F27EB2">
        <w:rPr>
          <w:lang w:val="en-US"/>
        </w:rPr>
        <w:t xml:space="preserve">Ausloos and </w:t>
      </w:r>
      <w:r w:rsidR="00473B34" w:rsidRPr="00F27EB2">
        <w:rPr>
          <w:lang w:val="en-US"/>
        </w:rPr>
        <w:t xml:space="preserve">Bénédicte </w:t>
      </w:r>
      <w:r w:rsidRPr="00F27EB2">
        <w:rPr>
          <w:lang w:val="en-US"/>
        </w:rPr>
        <w:t xml:space="preserve">Lemmelijn have therefore argued </w:t>
      </w:r>
      <w:r w:rsidR="00F00036" w:rsidRPr="00F27EB2">
        <w:rPr>
          <w:lang w:val="en-US"/>
        </w:rPr>
        <w:t>urged for caution, speaking</w:t>
      </w:r>
      <w:r w:rsidRPr="00F27EB2">
        <w:rPr>
          <w:lang w:val="en-US"/>
        </w:rPr>
        <w:t xml:space="preserve"> of “theological elements” or “accents” discernible in specific passages, rather than positing a unified theology across the entire translation.</w:t>
      </w:r>
      <w:r w:rsidRPr="00F27EB2">
        <w:rPr>
          <w:rStyle w:val="Voetnootmarkering"/>
          <w:lang w:val="en-US"/>
        </w:rPr>
        <w:t xml:space="preserve"> </w:t>
      </w:r>
      <w:r w:rsidRPr="00F27EB2">
        <w:rPr>
          <w:rStyle w:val="Voetnootmarkering"/>
          <w:lang w:val="en-US"/>
        </w:rPr>
        <w:footnoteReference w:id="65"/>
      </w:r>
      <w:r w:rsidRPr="00F27EB2">
        <w:rPr>
          <w:lang w:val="en-US"/>
        </w:rPr>
        <w:t xml:space="preserve"> One such “</w:t>
      </w:r>
      <w:r w:rsidR="00906490" w:rsidRPr="00F27EB2">
        <w:rPr>
          <w:lang w:val="en-US"/>
        </w:rPr>
        <w:t xml:space="preserve">theological </w:t>
      </w:r>
      <w:r w:rsidRPr="00F27EB2">
        <w:rPr>
          <w:lang w:val="en-US"/>
        </w:rPr>
        <w:t>accent”</w:t>
      </w:r>
      <w:r w:rsidR="00F00036" w:rsidRPr="00F27EB2">
        <w:rPr>
          <w:lang w:val="en-US"/>
        </w:rPr>
        <w:t xml:space="preserve"> is</w:t>
      </w:r>
      <w:r w:rsidRPr="00F27EB2">
        <w:rPr>
          <w:lang w:val="en-US"/>
        </w:rPr>
        <w:t xml:space="preserve"> the </w:t>
      </w:r>
      <w:proofErr w:type="spellStart"/>
      <w:r w:rsidR="00CC0D42" w:rsidRPr="00F27EB2">
        <w:rPr>
          <w:smallCaps/>
          <w:lang w:val="en-US"/>
        </w:rPr>
        <w:t>lxx’</w:t>
      </w:r>
      <w:r w:rsidR="00CC0D42" w:rsidRPr="00F27EB2">
        <w:rPr>
          <w:lang w:val="en-US"/>
        </w:rPr>
        <w:t>s</w:t>
      </w:r>
      <w:proofErr w:type="spellEnd"/>
      <w:r w:rsidRPr="00F27EB2">
        <w:rPr>
          <w:lang w:val="en-US"/>
        </w:rPr>
        <w:t xml:space="preserve"> handling of anthropomorphisms.</w:t>
      </w:r>
      <w:r w:rsidR="000A3572" w:rsidRPr="00F27EB2">
        <w:rPr>
          <w:rStyle w:val="Voetnootmarkering"/>
          <w:lang w:val="en-US"/>
        </w:rPr>
        <w:footnoteReference w:id="66"/>
      </w:r>
      <w:r w:rsidRPr="00F27EB2">
        <w:rPr>
          <w:lang w:val="en-US"/>
        </w:rPr>
        <w:t xml:space="preserve"> </w:t>
      </w:r>
    </w:p>
    <w:p w14:paraId="3E3A49F3" w14:textId="30F5A367" w:rsidR="005069EF" w:rsidRPr="00F27EB2" w:rsidRDefault="002735D5" w:rsidP="00E24839">
      <w:pPr>
        <w:pStyle w:val="Normaalweb"/>
        <w:spacing w:before="0" w:beforeAutospacing="0" w:after="0" w:afterAutospacing="0"/>
        <w:ind w:firstLine="708"/>
        <w:jc w:val="both"/>
        <w:rPr>
          <w:lang w:val="en-US"/>
        </w:rPr>
      </w:pPr>
      <w:r w:rsidRPr="00F27EB2">
        <w:t xml:space="preserve">Parallel to theological debates, research on translation technique has developed significantly. The old binary of “free” versus “literal” translation is now considered too </w:t>
      </w:r>
      <w:r w:rsidRPr="00F27EB2">
        <w:lastRenderedPageBreak/>
        <w:t>reductive,</w:t>
      </w:r>
      <w:r w:rsidRPr="00F27EB2">
        <w:rPr>
          <w:rStyle w:val="Voetnootmarkering"/>
          <w:lang w:val="en-US"/>
        </w:rPr>
        <w:footnoteReference w:id="67"/>
      </w:r>
      <w:r w:rsidRPr="00F27EB2">
        <w:t xml:space="preserve"> and three main approaches can be distinguished</w:t>
      </w:r>
      <w:r w:rsidR="00FD33D9" w:rsidRPr="00F27EB2">
        <w:rPr>
          <w:lang w:val="en-US"/>
        </w:rPr>
        <w:t xml:space="preserve">. First, the </w:t>
      </w:r>
      <w:r w:rsidR="00FD33D9" w:rsidRPr="00F27EB2">
        <w:rPr>
          <w:i/>
          <w:iCs/>
          <w:lang w:val="en-US"/>
        </w:rPr>
        <w:t>quantitative</w:t>
      </w:r>
      <w:r w:rsidR="00FD33D9" w:rsidRPr="00F27EB2">
        <w:rPr>
          <w:lang w:val="en-US"/>
        </w:rPr>
        <w:t xml:space="preserve"> approach</w:t>
      </w:r>
      <w:r w:rsidR="00323431" w:rsidRPr="00F27EB2">
        <w:rPr>
          <w:lang w:val="en-US"/>
        </w:rPr>
        <w:t xml:space="preserve"> </w:t>
      </w:r>
      <w:r w:rsidR="00FD33D9" w:rsidRPr="00F27EB2">
        <w:rPr>
          <w:lang w:val="en-US"/>
        </w:rPr>
        <w:t xml:space="preserve">evaluates translation technique </w:t>
      </w:r>
      <w:r w:rsidR="00CA48C1" w:rsidRPr="00F27EB2">
        <w:rPr>
          <w:lang w:val="en-US"/>
        </w:rPr>
        <w:t>based on</w:t>
      </w:r>
      <w:r w:rsidR="00FD33D9" w:rsidRPr="00F27EB2">
        <w:rPr>
          <w:lang w:val="en-US"/>
        </w:rPr>
        <w:t xml:space="preserve"> measurable criteria like word order and lexical alignment with the </w:t>
      </w:r>
      <w:r w:rsidR="00FD33D9" w:rsidRPr="00F27EB2">
        <w:rPr>
          <w:i/>
          <w:iCs/>
          <w:lang w:val="en-US"/>
        </w:rPr>
        <w:t>Vorlage</w:t>
      </w:r>
      <w:r w:rsidR="00FD33D9" w:rsidRPr="00F27EB2">
        <w:rPr>
          <w:lang w:val="en-US"/>
        </w:rPr>
        <w:t xml:space="preserve">, often using statistical tools. </w:t>
      </w:r>
      <w:r w:rsidR="00323431" w:rsidRPr="00F27EB2">
        <w:rPr>
          <w:lang w:val="en-US"/>
        </w:rPr>
        <w:t xml:space="preserve">Mikhail </w:t>
      </w:r>
      <w:r w:rsidR="00FD33D9" w:rsidRPr="00F27EB2">
        <w:rPr>
          <w:lang w:val="en-US"/>
        </w:rPr>
        <w:t xml:space="preserve">Seleznev, for instance, applied such methods to </w:t>
      </w:r>
      <w:r w:rsidRPr="00F27EB2">
        <w:rPr>
          <w:smallCaps/>
          <w:lang w:val="en-US"/>
        </w:rPr>
        <w:t>lxx</w:t>
      </w:r>
      <w:r w:rsidRPr="00F27EB2">
        <w:rPr>
          <w:lang w:val="en-US"/>
        </w:rPr>
        <w:t>-</w:t>
      </w:r>
      <w:r w:rsidR="00FD33D9" w:rsidRPr="00F27EB2">
        <w:rPr>
          <w:lang w:val="en-US"/>
        </w:rPr>
        <w:t>translation of</w:t>
      </w:r>
      <w:r w:rsidRPr="00F27EB2">
        <w:rPr>
          <w:lang w:val="en-US"/>
        </w:rPr>
        <w:t xml:space="preserve"> (anthropomorphic)</w:t>
      </w:r>
      <w:r w:rsidR="00FD33D9" w:rsidRPr="00F27EB2">
        <w:rPr>
          <w:lang w:val="en-US"/>
        </w:rPr>
        <w:t xml:space="preserve"> “eyes”, but his results highlighted the diversity of </w:t>
      </w:r>
      <w:r w:rsidR="00FD33D9" w:rsidRPr="00F27EB2">
        <w:rPr>
          <w:i/>
          <w:iCs/>
          <w:lang w:val="en-US"/>
        </w:rPr>
        <w:t>translation preferences</w:t>
      </w:r>
      <w:r w:rsidR="00FD33D9" w:rsidRPr="00F27EB2">
        <w:rPr>
          <w:lang w:val="en-US"/>
        </w:rPr>
        <w:t xml:space="preserve"> across books rather than yielding clear conclusions about anti-anthropomorphic tendencies.</w:t>
      </w:r>
      <w:r w:rsidR="00323431" w:rsidRPr="00F27EB2">
        <w:rPr>
          <w:rStyle w:val="Voetnootmarkering"/>
          <w:lang w:val="en-US"/>
        </w:rPr>
        <w:footnoteReference w:id="68"/>
      </w:r>
      <w:r w:rsidR="00FD33D9" w:rsidRPr="00F27EB2">
        <w:rPr>
          <w:lang w:val="en-US"/>
        </w:rPr>
        <w:t xml:space="preserve"> </w:t>
      </w:r>
      <w:r w:rsidR="002A6A14" w:rsidRPr="00F27EB2">
        <w:rPr>
          <w:lang w:val="en-US"/>
        </w:rPr>
        <w:t xml:space="preserve">Second, the </w:t>
      </w:r>
      <w:r w:rsidR="002A6A14" w:rsidRPr="00F27EB2">
        <w:rPr>
          <w:i/>
          <w:iCs/>
          <w:lang w:val="en-US"/>
        </w:rPr>
        <w:t>qualitative</w:t>
      </w:r>
      <w:r w:rsidR="002A6A14" w:rsidRPr="00F27EB2">
        <w:rPr>
          <w:lang w:val="en-US"/>
        </w:rPr>
        <w:t xml:space="preserve"> approach, developed especially by the Finnish school, examines how translators engage </w:t>
      </w:r>
      <w:r w:rsidR="00CA48C1" w:rsidRPr="00F27EB2">
        <w:rPr>
          <w:lang w:val="en-US"/>
        </w:rPr>
        <w:t>Hebrew’s</w:t>
      </w:r>
      <w:r w:rsidR="002A6A14" w:rsidRPr="00F27EB2">
        <w:rPr>
          <w:lang w:val="en-US"/>
        </w:rPr>
        <w:t xml:space="preserve"> </w:t>
      </w:r>
      <w:r w:rsidR="00CA48C1" w:rsidRPr="00F27EB2">
        <w:rPr>
          <w:lang w:val="en-US"/>
        </w:rPr>
        <w:t>syntactic and stylistic</w:t>
      </w:r>
      <w:r w:rsidR="002A6A14" w:rsidRPr="00F27EB2">
        <w:rPr>
          <w:lang w:val="en-US"/>
        </w:rPr>
        <w:t xml:space="preserve"> features, with particular attention to </w:t>
      </w:r>
      <w:r w:rsidR="002A6A14" w:rsidRPr="00F27EB2">
        <w:rPr>
          <w:i/>
          <w:iCs/>
          <w:lang w:val="en-US"/>
        </w:rPr>
        <w:t>faithfulness</w:t>
      </w:r>
      <w:r w:rsidR="002A6A14" w:rsidRPr="00F27EB2">
        <w:rPr>
          <w:lang w:val="en-US"/>
        </w:rPr>
        <w:t xml:space="preserve"> and </w:t>
      </w:r>
      <w:r w:rsidR="002A6A14" w:rsidRPr="00F27EB2">
        <w:rPr>
          <w:i/>
          <w:iCs/>
          <w:lang w:val="en-US"/>
        </w:rPr>
        <w:t>idiomatic expression</w:t>
      </w:r>
      <w:r w:rsidR="002A6A14" w:rsidRPr="00F27EB2">
        <w:rPr>
          <w:lang w:val="en-US"/>
        </w:rPr>
        <w:t xml:space="preserve">. </w:t>
      </w:r>
      <w:r w:rsidR="00CA48C1" w:rsidRPr="00F27EB2">
        <w:rPr>
          <w:lang w:val="en-US"/>
        </w:rPr>
        <w:t xml:space="preserve">Raija </w:t>
      </w:r>
      <w:proofErr w:type="spellStart"/>
      <w:r w:rsidR="00CA48C1" w:rsidRPr="00F27EB2">
        <w:rPr>
          <w:lang w:val="en-US"/>
        </w:rPr>
        <w:t>Sollamo</w:t>
      </w:r>
      <w:proofErr w:type="spellEnd"/>
      <w:r w:rsidR="00CA48C1" w:rsidRPr="00F27EB2">
        <w:rPr>
          <w:lang w:val="en-US"/>
        </w:rPr>
        <w:t xml:space="preserve"> made an</w:t>
      </w:r>
      <w:r w:rsidR="002A6A14" w:rsidRPr="00F27EB2">
        <w:rPr>
          <w:lang w:val="en-US"/>
        </w:rPr>
        <w:t xml:space="preserve"> important contribution</w:t>
      </w:r>
      <w:r w:rsidR="00CA48C1" w:rsidRPr="00F27EB2">
        <w:rPr>
          <w:lang w:val="en-US"/>
        </w:rPr>
        <w:t>,</w:t>
      </w:r>
      <w:r w:rsidR="002A6A14" w:rsidRPr="00F27EB2">
        <w:rPr>
          <w:color w:val="000000"/>
          <w:lang w:val="en-US"/>
        </w:rPr>
        <w:t xml:space="preserve"> urg</w:t>
      </w:r>
      <w:r w:rsidR="00CA48C1" w:rsidRPr="00F27EB2">
        <w:rPr>
          <w:color w:val="000000"/>
          <w:lang w:val="en-US"/>
        </w:rPr>
        <w:t>ing</w:t>
      </w:r>
      <w:r w:rsidR="002A6A14" w:rsidRPr="00F27EB2">
        <w:rPr>
          <w:lang w:val="en-US"/>
        </w:rPr>
        <w:t xml:space="preserve"> caution against interpreting non-literal Greek renderings of </w:t>
      </w:r>
      <w:proofErr w:type="spellStart"/>
      <w:r w:rsidR="002A6A14" w:rsidRPr="00F27EB2">
        <w:rPr>
          <w:lang w:val="en-US"/>
        </w:rPr>
        <w:t>semiprepositions</w:t>
      </w:r>
      <w:proofErr w:type="spellEnd"/>
      <w:r w:rsidR="002A6A14" w:rsidRPr="00F27EB2">
        <w:rPr>
          <w:lang w:val="en-US"/>
        </w:rPr>
        <w:t xml:space="preserve"> (e.g., </w:t>
      </w:r>
      <w:proofErr w:type="spellStart"/>
      <w:r w:rsidR="002A6A14" w:rsidRPr="00F27EB2">
        <w:rPr>
          <w:lang w:val="en-US"/>
        </w:rPr>
        <w:t>ἐν</w:t>
      </w:r>
      <w:proofErr w:type="spellEnd"/>
      <w:r w:rsidR="002A6A14" w:rsidRPr="00F27EB2">
        <w:rPr>
          <w:lang w:val="en-US"/>
        </w:rPr>
        <w:t>α</w:t>
      </w:r>
      <w:proofErr w:type="spellStart"/>
      <w:r w:rsidR="002A6A14" w:rsidRPr="00F27EB2">
        <w:rPr>
          <w:lang w:val="en-US"/>
        </w:rPr>
        <w:t>ντίον</w:t>
      </w:r>
      <w:proofErr w:type="spellEnd"/>
      <w:r w:rsidR="002A6A14" w:rsidRPr="00F27EB2">
        <w:rPr>
          <w:lang w:val="en-US"/>
        </w:rPr>
        <w:t xml:space="preserve"> for </w:t>
      </w:r>
      <w:r w:rsidR="002A6A14" w:rsidRPr="00F27EB2">
        <w:rPr>
          <w:rtl/>
          <w:lang w:val="en-US"/>
        </w:rPr>
        <w:t>לפני</w:t>
      </w:r>
      <w:r w:rsidR="002A6A14" w:rsidRPr="00F27EB2">
        <w:rPr>
          <w:lang w:val="en-US"/>
        </w:rPr>
        <w:t>, lit. “before the face of” – instead of π</w:t>
      </w:r>
      <w:proofErr w:type="spellStart"/>
      <w:r w:rsidR="002A6A14" w:rsidRPr="00F27EB2">
        <w:rPr>
          <w:lang w:val="en-US"/>
        </w:rPr>
        <w:t>ρο</w:t>
      </w:r>
      <w:proofErr w:type="spellEnd"/>
      <w:r w:rsidR="002A6A14" w:rsidRPr="00F27EB2">
        <w:rPr>
          <w:lang w:val="en-US"/>
        </w:rPr>
        <w:t>̀ π</w:t>
      </w:r>
      <w:proofErr w:type="spellStart"/>
      <w:r w:rsidR="002A6A14" w:rsidRPr="00F27EB2">
        <w:rPr>
          <w:lang w:val="en-US"/>
        </w:rPr>
        <w:t>ροσω</w:t>
      </w:r>
      <w:proofErr w:type="spellEnd"/>
      <w:r w:rsidR="002A6A14" w:rsidRPr="00F27EB2">
        <w:rPr>
          <w:lang w:val="en-US"/>
        </w:rPr>
        <w:t>́π</w:t>
      </w:r>
      <w:proofErr w:type="spellStart"/>
      <w:r w:rsidR="002A6A14" w:rsidRPr="00F27EB2">
        <w:rPr>
          <w:lang w:val="en-US"/>
        </w:rPr>
        <w:t>ου</w:t>
      </w:r>
      <w:proofErr w:type="spellEnd"/>
      <w:r w:rsidR="002A6A14" w:rsidRPr="00F27EB2">
        <w:rPr>
          <w:lang w:val="en-US"/>
        </w:rPr>
        <w:t>) as anti-anthropomorphic.</w:t>
      </w:r>
      <w:r w:rsidR="002A6A14" w:rsidRPr="00F27EB2">
        <w:rPr>
          <w:rStyle w:val="Voetnootmarkering"/>
          <w:lang w:val="en-US"/>
        </w:rPr>
        <w:footnoteReference w:id="69"/>
      </w:r>
      <w:r w:rsidR="002A6A14" w:rsidRPr="00F27EB2">
        <w:rPr>
          <w:lang w:val="en-US"/>
        </w:rPr>
        <w:t xml:space="preserve"> </w:t>
      </w:r>
      <w:r w:rsidR="00CA48C1" w:rsidRPr="00F27EB2">
        <w:t>Such choices, she argues, are better explained as idiomatic rather than theological</w:t>
      </w:r>
      <w:r w:rsidR="002A6A14" w:rsidRPr="00F27EB2">
        <w:rPr>
          <w:lang w:val="en-US"/>
        </w:rPr>
        <w:t>.</w:t>
      </w:r>
      <w:r w:rsidR="002A6A14" w:rsidRPr="00F27EB2">
        <w:rPr>
          <w:rStyle w:val="Voetnootmarkering"/>
          <w:lang w:val="en-US"/>
        </w:rPr>
        <w:footnoteReference w:id="70"/>
      </w:r>
      <w:r w:rsidR="002A6A14" w:rsidRPr="00F27EB2">
        <w:rPr>
          <w:lang w:val="en-US"/>
        </w:rPr>
        <w:t xml:space="preserve"> </w:t>
      </w:r>
      <w:r w:rsidR="00FD33D9" w:rsidRPr="00F27EB2">
        <w:rPr>
          <w:lang w:val="en-US"/>
        </w:rPr>
        <w:t xml:space="preserve">Third, a </w:t>
      </w:r>
      <w:r w:rsidR="00FD33D9" w:rsidRPr="00F27EB2">
        <w:rPr>
          <w:i/>
          <w:iCs/>
          <w:lang w:val="en-US"/>
        </w:rPr>
        <w:t>content- and context-related approach</w:t>
      </w:r>
      <w:r w:rsidR="00FD33D9" w:rsidRPr="00F27EB2">
        <w:rPr>
          <w:lang w:val="en-US"/>
        </w:rPr>
        <w:t xml:space="preserve">, initiated by Ausloos and </w:t>
      </w:r>
      <w:proofErr w:type="spellStart"/>
      <w:r w:rsidR="00FD33D9" w:rsidRPr="00F27EB2">
        <w:rPr>
          <w:lang w:val="en-US"/>
        </w:rPr>
        <w:t>Lemmelijn</w:t>
      </w:r>
      <w:proofErr w:type="spellEnd"/>
      <w:r w:rsidR="0064257D" w:rsidRPr="00F27EB2">
        <w:rPr>
          <w:lang w:val="en-US"/>
        </w:rPr>
        <w:t xml:space="preserve">. This approach extends the qualitative </w:t>
      </w:r>
      <w:r w:rsidR="00473B34" w:rsidRPr="00F27EB2">
        <w:rPr>
          <w:lang w:val="en-US"/>
        </w:rPr>
        <w:t>focus</w:t>
      </w:r>
      <w:r w:rsidR="0064257D" w:rsidRPr="00F27EB2">
        <w:rPr>
          <w:lang w:val="en-US"/>
        </w:rPr>
        <w:t xml:space="preserve"> </w:t>
      </w:r>
      <w:r w:rsidR="00CA48C1" w:rsidRPr="00F27EB2">
        <w:rPr>
          <w:lang w:val="en-US"/>
        </w:rPr>
        <w:t>by</w:t>
      </w:r>
      <w:r w:rsidR="00FD33D9" w:rsidRPr="00F27EB2">
        <w:rPr>
          <w:lang w:val="en-US"/>
        </w:rPr>
        <w:t xml:space="preserve"> investigat</w:t>
      </w:r>
      <w:r w:rsidR="00CA48C1" w:rsidRPr="00F27EB2">
        <w:rPr>
          <w:lang w:val="en-US"/>
        </w:rPr>
        <w:t>ing</w:t>
      </w:r>
      <w:r w:rsidR="00FD33D9" w:rsidRPr="00F27EB2">
        <w:rPr>
          <w:lang w:val="en-US"/>
        </w:rPr>
        <w:t xml:space="preserve"> the translator’s creative handling of specific elements such as wordplays, </w:t>
      </w:r>
      <w:r w:rsidR="00FD33D9" w:rsidRPr="00F27EB2">
        <w:rPr>
          <w:i/>
          <w:iCs/>
          <w:lang w:val="en-US"/>
        </w:rPr>
        <w:t>hapax legomena</w:t>
      </w:r>
      <w:r w:rsidR="00FD33D9" w:rsidRPr="00F27EB2">
        <w:rPr>
          <w:lang w:val="en-US"/>
        </w:rPr>
        <w:t>, or toponyms, thereby helping to distinguish translation</w:t>
      </w:r>
      <w:r w:rsidR="00473B34" w:rsidRPr="00F27EB2">
        <w:rPr>
          <w:lang w:val="en-US"/>
        </w:rPr>
        <w:t>-</w:t>
      </w:r>
      <w:r w:rsidR="00FD33D9" w:rsidRPr="00F27EB2">
        <w:rPr>
          <w:lang w:val="en-US"/>
        </w:rPr>
        <w:t>choices from divergences due to textual variation.</w:t>
      </w:r>
      <w:r w:rsidR="0064257D" w:rsidRPr="00F27EB2">
        <w:rPr>
          <w:lang w:val="en-US"/>
        </w:rPr>
        <w:t xml:space="preserve"> Ausloos, in his pilot studies on anthropomorphisms in </w:t>
      </w:r>
      <w:r w:rsidR="007457DC" w:rsidRPr="00F27EB2">
        <w:rPr>
          <w:lang w:val="en-US"/>
        </w:rPr>
        <w:t xml:space="preserve">the </w:t>
      </w:r>
      <w:r w:rsidR="0064257D" w:rsidRPr="00F27EB2">
        <w:rPr>
          <w:smallCaps/>
          <w:lang w:val="en-US"/>
        </w:rPr>
        <w:t>lxx P</w:t>
      </w:r>
      <w:r w:rsidR="0064257D" w:rsidRPr="00F27EB2">
        <w:rPr>
          <w:lang w:val="en-US"/>
        </w:rPr>
        <w:t>entateuch, illustrates the value of this approach.</w:t>
      </w:r>
      <w:r w:rsidR="0064257D" w:rsidRPr="00F27EB2">
        <w:rPr>
          <w:rStyle w:val="Voetnootmarkering"/>
          <w:lang w:val="en-US"/>
        </w:rPr>
        <w:footnoteReference w:id="71"/>
      </w:r>
      <w:r w:rsidR="0064257D" w:rsidRPr="00F27EB2">
        <w:rPr>
          <w:lang w:val="en-US"/>
        </w:rPr>
        <w:t xml:space="preserve"> </w:t>
      </w:r>
      <w:r w:rsidR="00473B34" w:rsidRPr="00F27EB2">
        <w:t>H</w:t>
      </w:r>
      <w:r w:rsidR="00473B34" w:rsidRPr="00F27EB2">
        <w:t>e shows that supposed anti-anthropomorphic renderings often arise from a wish to produce idiomatic Greek rather than from theological intent</w:t>
      </w:r>
      <w:r w:rsidR="0064257D" w:rsidRPr="00F27EB2">
        <w:rPr>
          <w:lang w:val="en-US"/>
        </w:rPr>
        <w:t xml:space="preserve">. </w:t>
      </w:r>
      <w:r w:rsidR="00473B34" w:rsidRPr="00F27EB2">
        <w:t xml:space="preserve">He further insists that the study of anthropomorphisms must be embedded in a broader analysis of a book’s overall translation technique. A simple comparison between </w:t>
      </w:r>
      <w:r w:rsidR="00473B34" w:rsidRPr="00F27EB2">
        <w:rPr>
          <w:smallCaps/>
        </w:rPr>
        <w:t>lxx</w:t>
      </w:r>
      <w:r w:rsidR="00473B34" w:rsidRPr="00F27EB2">
        <w:t xml:space="preserve"> and </w:t>
      </w:r>
      <w:r w:rsidR="00473B34" w:rsidRPr="00F27EB2">
        <w:rPr>
          <w:smallCaps/>
        </w:rPr>
        <w:t>lxx</w:t>
      </w:r>
      <w:r w:rsidR="00473B34" w:rsidRPr="00F27EB2">
        <w:t xml:space="preserve"> is inadequate, since what appears to be anti-anthropomorphism may instead reflect idiomatic or creative translation</w:t>
      </w:r>
      <w:r w:rsidR="0064257D" w:rsidRPr="00F27EB2">
        <w:rPr>
          <w:lang w:val="en-US"/>
        </w:rPr>
        <w:t>.</w:t>
      </w:r>
      <w:r w:rsidR="00FD33D9" w:rsidRPr="00F27EB2">
        <w:rPr>
          <w:lang w:val="en-US"/>
        </w:rPr>
        <w:t xml:space="preserve"> </w:t>
      </w:r>
    </w:p>
    <w:p w14:paraId="7D895ABD" w14:textId="47350BFB" w:rsidR="00FD33D9" w:rsidRPr="00F27EB2" w:rsidRDefault="005069EF" w:rsidP="005463DF">
      <w:pPr>
        <w:pStyle w:val="Normaalweb"/>
        <w:spacing w:before="0" w:beforeAutospacing="0" w:after="0" w:afterAutospacing="0"/>
        <w:ind w:firstLine="708"/>
        <w:jc w:val="both"/>
        <w:rPr>
          <w:lang w:val="en-US"/>
        </w:rPr>
      </w:pPr>
      <w:r w:rsidRPr="00F27EB2">
        <w:t>From these developments has emerged the recognition of</w:t>
      </w:r>
      <w:r w:rsidR="00FD33D9" w:rsidRPr="00F27EB2">
        <w:rPr>
          <w:lang w:val="en-US"/>
        </w:rPr>
        <w:t xml:space="preserve"> “multicausality</w:t>
      </w:r>
      <w:r w:rsidR="007A2993" w:rsidRPr="00F27EB2">
        <w:rPr>
          <w:lang w:val="en-US"/>
        </w:rPr>
        <w:t>:</w:t>
      </w:r>
      <w:r w:rsidR="00FD33D9" w:rsidRPr="00F27EB2">
        <w:rPr>
          <w:lang w:val="en-US"/>
        </w:rPr>
        <w:t>”</w:t>
      </w:r>
      <w:r w:rsidR="00617920" w:rsidRPr="00F27EB2">
        <w:rPr>
          <w:rStyle w:val="Voetnootmarkering"/>
          <w:lang w:val="en-US"/>
        </w:rPr>
        <w:footnoteReference w:id="72"/>
      </w:r>
      <w:r w:rsidR="00FD33D9" w:rsidRPr="00F27EB2">
        <w:rPr>
          <w:lang w:val="en-US"/>
        </w:rPr>
        <w:t xml:space="preserve"> </w:t>
      </w:r>
      <w:r w:rsidRPr="00F27EB2">
        <w:t>translation is now seen as a multidimensional process shaped by various conscious and unconscious factors, including linguistic resources, textual transmission, and theological concerns</w:t>
      </w:r>
      <w:r w:rsidR="00FD33D9" w:rsidRPr="00F27EB2">
        <w:rPr>
          <w:lang w:val="en-US"/>
        </w:rPr>
        <w:t xml:space="preserve">. As </w:t>
      </w:r>
      <w:proofErr w:type="spellStart"/>
      <w:r w:rsidR="00FD33D9" w:rsidRPr="00F27EB2">
        <w:rPr>
          <w:lang w:val="en-US"/>
        </w:rPr>
        <w:t>Jokiranta</w:t>
      </w:r>
      <w:proofErr w:type="spellEnd"/>
      <w:r w:rsidR="00FD33D9" w:rsidRPr="00F27EB2">
        <w:rPr>
          <w:lang w:val="en-US"/>
        </w:rPr>
        <w:t xml:space="preserve">, </w:t>
      </w:r>
      <w:proofErr w:type="spellStart"/>
      <w:r w:rsidR="00FD33D9" w:rsidRPr="00F27EB2">
        <w:rPr>
          <w:lang w:val="en-US"/>
        </w:rPr>
        <w:t>Mäkipelto</w:t>
      </w:r>
      <w:proofErr w:type="spellEnd"/>
      <w:r w:rsidR="00FD33D9" w:rsidRPr="00F27EB2">
        <w:rPr>
          <w:lang w:val="en-US"/>
        </w:rPr>
        <w:t xml:space="preserve">, and Tucker have recently observed, </w:t>
      </w:r>
      <w:r w:rsidRPr="00F27EB2">
        <w:t xml:space="preserve">non-literal renderings of anthropomorphisms in </w:t>
      </w:r>
      <w:r w:rsidR="00E24839" w:rsidRPr="00F27EB2">
        <w:rPr>
          <w:smallCaps/>
        </w:rPr>
        <w:t>lxx</w:t>
      </w:r>
      <w:r w:rsidRPr="00F27EB2">
        <w:t xml:space="preserve"> should not be explained too quickly as anti-anthropomorphic, since variant Hebrew texts still circulated in the Second Temple period</w:t>
      </w:r>
      <w:r w:rsidR="00FD33D9" w:rsidRPr="00F27EB2">
        <w:rPr>
          <w:lang w:val="en-US"/>
        </w:rPr>
        <w:t>.</w:t>
      </w:r>
      <w:r w:rsidR="00617920" w:rsidRPr="00F27EB2">
        <w:rPr>
          <w:rStyle w:val="Voetnootmarkering"/>
          <w:lang w:val="en-US"/>
        </w:rPr>
        <w:footnoteReference w:id="73"/>
      </w:r>
      <w:r w:rsidR="00FD33D9" w:rsidRPr="00F27EB2">
        <w:rPr>
          <w:lang w:val="en-US"/>
        </w:rPr>
        <w:t xml:space="preserve"> </w:t>
      </w:r>
      <w:r w:rsidRPr="00F27EB2">
        <w:rPr>
          <w:i/>
          <w:iCs/>
        </w:rPr>
        <w:t>Euphemism</w:t>
      </w:r>
      <w:r w:rsidRPr="00F27EB2">
        <w:t xml:space="preserve"> has also been identified as a relevant factor, given that bodily language in Hebrew sometimes carried negative or sexual overtones. Ausloos, for example, highlights the sexual associations of the Hebrew term </w:t>
      </w:r>
      <w:r w:rsidRPr="00F27EB2">
        <w:rPr>
          <w:rtl/>
        </w:rPr>
        <w:t>רֶגֶל</w:t>
      </w:r>
      <w:r w:rsidRPr="00F27EB2">
        <w:t xml:space="preserve"> (“foot”), which can euphemistically denote the genitals. Expressions such as </w:t>
      </w:r>
      <w:r w:rsidRPr="00F27EB2">
        <w:rPr>
          <w:rtl/>
        </w:rPr>
        <w:t>בֵין הָרְגָלִים</w:t>
      </w:r>
      <w:r w:rsidRPr="00F27EB2">
        <w:t xml:space="preserve"> (“between the feet,” Deut 28:57, of childbirth) or </w:t>
      </w:r>
      <w:r w:rsidRPr="00F27EB2">
        <w:rPr>
          <w:rtl/>
        </w:rPr>
        <w:t>שַעַר הָרְגָלִים</w:t>
      </w:r>
      <w:r w:rsidRPr="00F27EB2">
        <w:t xml:space="preserve"> (“hair of the feet,” Isa 7:20, for pubic hair) may have motivated the </w:t>
      </w:r>
      <w:r w:rsidRPr="00F27EB2">
        <w:t>mitigation</w:t>
      </w:r>
      <w:r w:rsidRPr="00F27EB2">
        <w:t xml:space="preserve"> of this term in the </w:t>
      </w:r>
      <w:r w:rsidRPr="00F27EB2">
        <w:rPr>
          <w:smallCaps/>
        </w:rPr>
        <w:t>lxx</w:t>
      </w:r>
      <w:r w:rsidRPr="00F27EB2">
        <w:t>-Pentateuch</w:t>
      </w:r>
      <w:r w:rsidR="00E24839" w:rsidRPr="00F27EB2">
        <w:t>,</w:t>
      </w:r>
      <w:r w:rsidRPr="00F27EB2">
        <w:t xml:space="preserve"> when used of God</w:t>
      </w:r>
      <w:r w:rsidR="00FD33D9" w:rsidRPr="00F27EB2">
        <w:rPr>
          <w:lang w:val="en-US"/>
        </w:rPr>
        <w:t>.</w:t>
      </w:r>
      <w:r w:rsidR="005463DF" w:rsidRPr="00F27EB2">
        <w:rPr>
          <w:rStyle w:val="Voetnootmarkering"/>
          <w:lang w:val="en-US"/>
        </w:rPr>
        <w:footnoteReference w:id="74"/>
      </w:r>
    </w:p>
    <w:p w14:paraId="196B0A2F" w14:textId="207D7483" w:rsidR="00FD33D9" w:rsidRPr="00F27EB2" w:rsidRDefault="00FD33D9" w:rsidP="005463DF">
      <w:pPr>
        <w:pStyle w:val="Normaalweb"/>
        <w:spacing w:before="0" w:beforeAutospacing="0" w:after="0" w:afterAutospacing="0"/>
        <w:ind w:firstLine="708"/>
        <w:jc w:val="both"/>
        <w:rPr>
          <w:lang w:val="en-US"/>
        </w:rPr>
      </w:pPr>
      <w:r w:rsidRPr="00F27EB2">
        <w:rPr>
          <w:lang w:val="en-US"/>
        </w:rPr>
        <w:lastRenderedPageBreak/>
        <w:t xml:space="preserve">Beyond </w:t>
      </w:r>
      <w:r w:rsidR="00E24839" w:rsidRPr="00F27EB2">
        <w:rPr>
          <w:lang w:val="en-US"/>
        </w:rPr>
        <w:t>these observations</w:t>
      </w:r>
      <w:r w:rsidRPr="00F27EB2">
        <w:rPr>
          <w:lang w:val="en-US"/>
        </w:rPr>
        <w:t xml:space="preserve">, other approaches </w:t>
      </w:r>
      <w:r w:rsidR="00E24839" w:rsidRPr="00F27EB2">
        <w:rPr>
          <w:lang w:val="en-US"/>
        </w:rPr>
        <w:t>addressed</w:t>
      </w:r>
      <w:r w:rsidRPr="00F27EB2">
        <w:rPr>
          <w:lang w:val="en-US"/>
        </w:rPr>
        <w:t xml:space="preserve"> the problem of </w:t>
      </w:r>
      <w:r w:rsidR="00E24839" w:rsidRPr="00F27EB2">
        <w:rPr>
          <w:smallCaps/>
          <w:lang w:val="en-US"/>
        </w:rPr>
        <w:t>lxx-</w:t>
      </w:r>
      <w:r w:rsidRPr="00F27EB2">
        <w:rPr>
          <w:lang w:val="en-US"/>
        </w:rPr>
        <w:t xml:space="preserve">anthropomorphisms. One is the study of </w:t>
      </w:r>
      <w:r w:rsidR="00CC0D42" w:rsidRPr="00F27EB2">
        <w:rPr>
          <w:smallCaps/>
          <w:lang w:val="en-US"/>
        </w:rPr>
        <w:t>lxx</w:t>
      </w:r>
      <w:r w:rsidRPr="00F27EB2">
        <w:rPr>
          <w:lang w:val="en-US"/>
        </w:rPr>
        <w:t xml:space="preserve"> within the broader history of Greek</w:t>
      </w:r>
      <w:r w:rsidR="00E24839" w:rsidRPr="00F27EB2">
        <w:rPr>
          <w:lang w:val="en-US"/>
        </w:rPr>
        <w:t xml:space="preserve"> (SHG)</w:t>
      </w:r>
      <w:r w:rsidRPr="00F27EB2">
        <w:rPr>
          <w:lang w:val="en-US"/>
        </w:rPr>
        <w:t>.</w:t>
      </w:r>
      <w:r w:rsidR="00026CD6" w:rsidRPr="00F27EB2">
        <w:rPr>
          <w:rStyle w:val="Voetnootmarkering"/>
          <w:lang w:val="en-US"/>
        </w:rPr>
        <w:footnoteReference w:id="75"/>
      </w:r>
      <w:r w:rsidRPr="00F27EB2">
        <w:rPr>
          <w:lang w:val="en-US"/>
        </w:rPr>
        <w:t xml:space="preserve"> The </w:t>
      </w:r>
      <w:r w:rsidRPr="00F27EB2">
        <w:rPr>
          <w:i/>
          <w:iCs/>
          <w:lang w:val="en-US"/>
        </w:rPr>
        <w:t>SHG</w:t>
      </w:r>
      <w:r w:rsidR="00E24839" w:rsidRPr="00F27EB2">
        <w:rPr>
          <w:i/>
          <w:iCs/>
          <w:lang w:val="en-US"/>
        </w:rPr>
        <w:t>-</w:t>
      </w:r>
      <w:r w:rsidR="00E24839" w:rsidRPr="00F27EB2">
        <w:rPr>
          <w:lang w:val="en-US"/>
        </w:rPr>
        <w:t xml:space="preserve">approach </w:t>
      </w:r>
      <w:r w:rsidRPr="00F27EB2">
        <w:rPr>
          <w:lang w:val="en-US"/>
        </w:rPr>
        <w:t xml:space="preserve">situates </w:t>
      </w:r>
      <w:r w:rsidR="007457DC" w:rsidRPr="00F27EB2">
        <w:rPr>
          <w:smallCaps/>
          <w:lang w:val="en-US"/>
        </w:rPr>
        <w:t>lxx</w:t>
      </w:r>
      <w:r w:rsidR="00E24839" w:rsidRPr="00F27EB2">
        <w:rPr>
          <w:smallCaps/>
          <w:lang w:val="en-US"/>
        </w:rPr>
        <w:t xml:space="preserve"> </w:t>
      </w:r>
      <w:r w:rsidR="00E24839" w:rsidRPr="00F27EB2">
        <w:rPr>
          <w:lang w:val="en-US"/>
        </w:rPr>
        <w:t>in</w:t>
      </w:r>
      <w:r w:rsidRPr="00F27EB2">
        <w:rPr>
          <w:lang w:val="en-US"/>
        </w:rPr>
        <w:t xml:space="preserve"> </w:t>
      </w:r>
      <w:r w:rsidR="00E24839" w:rsidRPr="00F27EB2">
        <w:t>its</w:t>
      </w:r>
      <w:r w:rsidR="00E24839" w:rsidRPr="00F27EB2">
        <w:t xml:space="preserve"> </w:t>
      </w:r>
      <w:r w:rsidR="00E24839" w:rsidRPr="00F27EB2">
        <w:t>sociolinguistic</w:t>
      </w:r>
      <w:r w:rsidR="00E24839" w:rsidRPr="00F27EB2">
        <w:t xml:space="preserve"> context</w:t>
      </w:r>
      <w:r w:rsidRPr="00F27EB2">
        <w:rPr>
          <w:lang w:val="en-US"/>
        </w:rPr>
        <w:t xml:space="preserve">. </w:t>
      </w:r>
      <w:r w:rsidR="00E24839" w:rsidRPr="00F27EB2">
        <w:rPr>
          <w:lang w:val="en-US"/>
        </w:rPr>
        <w:t>Accordingly,</w:t>
      </w:r>
      <w:r w:rsidR="005463DF" w:rsidRPr="00F27EB2">
        <w:rPr>
          <w:lang w:val="en-US"/>
        </w:rPr>
        <w:t xml:space="preserve"> </w:t>
      </w:r>
      <w:r w:rsidR="00E24839" w:rsidRPr="00F27EB2">
        <w:rPr>
          <w:lang w:val="en-US"/>
        </w:rPr>
        <w:t>the</w:t>
      </w:r>
      <w:r w:rsidR="005463DF" w:rsidRPr="00F27EB2">
        <w:rPr>
          <w:lang w:val="en-US"/>
        </w:rPr>
        <w:t xml:space="preserve"> anthropomorphi</w:t>
      </w:r>
      <w:r w:rsidR="00E24839" w:rsidRPr="00F27EB2">
        <w:rPr>
          <w:lang w:val="en-US"/>
        </w:rPr>
        <w:t>c</w:t>
      </w:r>
      <w:r w:rsidR="005463DF" w:rsidRPr="00F27EB2">
        <w:rPr>
          <w:lang w:val="en-US"/>
        </w:rPr>
        <w:t xml:space="preserve"> imagery of </w:t>
      </w:r>
      <w:r w:rsidR="00CC0D42" w:rsidRPr="00F27EB2">
        <w:rPr>
          <w:smallCaps/>
          <w:lang w:val="en-US"/>
        </w:rPr>
        <w:t>lxx</w:t>
      </w:r>
      <w:r w:rsidR="005463DF" w:rsidRPr="00F27EB2">
        <w:rPr>
          <w:lang w:val="en-US"/>
        </w:rPr>
        <w:t xml:space="preserve"> must</w:t>
      </w:r>
      <w:r w:rsidR="00E24839" w:rsidRPr="00F27EB2">
        <w:rPr>
          <w:lang w:val="en-US"/>
        </w:rPr>
        <w:t xml:space="preserve"> </w:t>
      </w:r>
      <w:r w:rsidR="005463DF" w:rsidRPr="00F27EB2">
        <w:rPr>
          <w:lang w:val="en-US"/>
        </w:rPr>
        <w:t xml:space="preserve">be </w:t>
      </w:r>
      <w:r w:rsidR="00E24839" w:rsidRPr="00F27EB2">
        <w:t>within this milieu</w:t>
      </w:r>
      <w:r w:rsidR="005463DF" w:rsidRPr="00F27EB2">
        <w:rPr>
          <w:lang w:val="en-US"/>
        </w:rPr>
        <w:t xml:space="preserve">. For example, </w:t>
      </w:r>
      <w:r w:rsidR="00E24839" w:rsidRPr="00F27EB2">
        <w:rPr>
          <w:lang w:val="en-US"/>
        </w:rPr>
        <w:t>God’s</w:t>
      </w:r>
      <w:r w:rsidR="005463DF" w:rsidRPr="00F27EB2">
        <w:rPr>
          <w:lang w:val="en-US"/>
        </w:rPr>
        <w:t xml:space="preserve"> “listening” is often rendered with </w:t>
      </w:r>
      <w:r w:rsidR="00E24839" w:rsidRPr="00F27EB2">
        <w:rPr>
          <w:lang w:val="en-US"/>
        </w:rPr>
        <w:t>as</w:t>
      </w:r>
      <w:r w:rsidR="005463DF" w:rsidRPr="00F27EB2">
        <w:rPr>
          <w:lang w:val="en-US"/>
        </w:rPr>
        <w:t xml:space="preserve"> </w:t>
      </w:r>
      <w:r w:rsidR="00480B17" w:rsidRPr="00F27EB2">
        <w:rPr>
          <w:lang w:val="en-US"/>
        </w:rPr>
        <w:t>ἐπα</w:t>
      </w:r>
      <w:proofErr w:type="spellStart"/>
      <w:r w:rsidR="00480B17" w:rsidRPr="00F27EB2">
        <w:rPr>
          <w:lang w:val="en-US"/>
        </w:rPr>
        <w:t>κούω</w:t>
      </w:r>
      <w:proofErr w:type="spellEnd"/>
      <w:r w:rsidR="00E24839" w:rsidRPr="00F27EB2">
        <w:rPr>
          <w:lang w:val="en-US"/>
        </w:rPr>
        <w:t>:</w:t>
      </w:r>
      <w:r w:rsidR="005463DF" w:rsidRPr="00F27EB2">
        <w:rPr>
          <w:lang w:val="en-US"/>
        </w:rPr>
        <w:t xml:space="preserve"> </w:t>
      </w:r>
      <w:r w:rsidR="00E24839" w:rsidRPr="00F27EB2">
        <w:t>a verb attested in votive inscriptions for deities who hear and answer prayer</w:t>
      </w:r>
      <w:r w:rsidR="005463DF" w:rsidRPr="00F27EB2">
        <w:rPr>
          <w:lang w:val="en-US"/>
        </w:rPr>
        <w:t>.</w:t>
      </w:r>
      <w:r w:rsidR="00480B17" w:rsidRPr="00F27EB2">
        <w:rPr>
          <w:rStyle w:val="Voetnootmarkering"/>
          <w:lang w:val="en-US"/>
        </w:rPr>
        <w:footnoteReference w:id="76"/>
      </w:r>
      <w:r w:rsidR="005463DF" w:rsidRPr="00F27EB2">
        <w:rPr>
          <w:lang w:val="en-US"/>
        </w:rPr>
        <w:t xml:space="preserve"> This perspective underscores the importance of moving beyond the simple identification of </w:t>
      </w:r>
      <w:r w:rsidR="005463DF" w:rsidRPr="00F27EB2">
        <w:rPr>
          <w:i/>
          <w:iCs/>
          <w:lang w:val="en-US"/>
        </w:rPr>
        <w:t>anti-anthropomorphisms</w:t>
      </w:r>
      <w:r w:rsidR="005463DF" w:rsidRPr="00F27EB2">
        <w:rPr>
          <w:lang w:val="en-US"/>
        </w:rPr>
        <w:t xml:space="preserve">. Greek </w:t>
      </w:r>
      <w:r w:rsidR="005463DF" w:rsidRPr="00F27EB2">
        <w:rPr>
          <w:i/>
          <w:iCs/>
          <w:lang w:val="en-US"/>
        </w:rPr>
        <w:t>anthropomorphic</w:t>
      </w:r>
      <w:r w:rsidR="005463DF" w:rsidRPr="00F27EB2">
        <w:rPr>
          <w:lang w:val="en-US"/>
        </w:rPr>
        <w:t xml:space="preserve"> language </w:t>
      </w:r>
      <w:r w:rsidR="0004714C" w:rsidRPr="00F27EB2">
        <w:t xml:space="preserve">distinct semantic and cultural connotations that may align with, diverge from, or reshape the Hebrew </w:t>
      </w:r>
      <w:r w:rsidR="0004714C" w:rsidRPr="00F27EB2">
        <w:rPr>
          <w:i/>
          <w:iCs/>
        </w:rPr>
        <w:t>Vorlage</w:t>
      </w:r>
      <w:r w:rsidR="005463DF" w:rsidRPr="00F27EB2">
        <w:rPr>
          <w:lang w:val="en-US"/>
        </w:rPr>
        <w:t xml:space="preserve">. </w:t>
      </w:r>
      <w:r w:rsidR="0004714C" w:rsidRPr="00F27EB2">
        <w:t>A related line of inquiry considers the possible Egyptian</w:t>
      </w:r>
      <w:r w:rsidR="0004714C" w:rsidRPr="00F27EB2">
        <w:t>-Ptolemaic/</w:t>
      </w:r>
      <w:r w:rsidR="0004714C" w:rsidRPr="00F27EB2">
        <w:t xml:space="preserve">Alexandrian background of </w:t>
      </w:r>
      <w:r w:rsidR="0004714C" w:rsidRPr="00F27EB2">
        <w:rPr>
          <w:smallCaps/>
        </w:rPr>
        <w:t>lxx</w:t>
      </w:r>
      <w:r w:rsidR="0004714C" w:rsidRPr="00F27EB2">
        <w:t>.</w:t>
      </w:r>
      <w:r w:rsidRPr="00F27EB2">
        <w:rPr>
          <w:lang w:val="en-US"/>
        </w:rPr>
        <w:t xml:space="preserve"> The treatment of </w:t>
      </w:r>
      <w:r w:rsidR="00480B17" w:rsidRPr="00F27EB2">
        <w:rPr>
          <w:lang w:val="en-US"/>
        </w:rPr>
        <w:t xml:space="preserve">anthropomorphic </w:t>
      </w:r>
      <w:r w:rsidRPr="00F27EB2">
        <w:rPr>
          <w:lang w:val="en-US"/>
        </w:rPr>
        <w:t xml:space="preserve">themes such as the </w:t>
      </w:r>
      <w:r w:rsidR="00480B17" w:rsidRPr="00F27EB2">
        <w:rPr>
          <w:lang w:val="en-US"/>
        </w:rPr>
        <w:t>visibility of God</w:t>
      </w:r>
      <w:r w:rsidRPr="00F27EB2">
        <w:rPr>
          <w:lang w:val="en-US"/>
        </w:rPr>
        <w:t xml:space="preserve"> in </w:t>
      </w:r>
      <w:r w:rsidR="00480B17" w:rsidRPr="00F27EB2">
        <w:rPr>
          <w:smallCaps/>
          <w:lang w:val="en-US"/>
        </w:rPr>
        <w:t>lxx</w:t>
      </w:r>
      <w:r w:rsidRPr="00F27EB2">
        <w:rPr>
          <w:lang w:val="en-US"/>
        </w:rPr>
        <w:t xml:space="preserve"> has been read against Egyptian religious traditions, </w:t>
      </w:r>
      <w:r w:rsidR="0004714C" w:rsidRPr="00F27EB2">
        <w:t>suggesting that the LXX sometimes reframed rather than suppressed anthropomorphisms to resonate with its Alexandrian context</w:t>
      </w:r>
      <w:r w:rsidRPr="00F27EB2">
        <w:rPr>
          <w:lang w:val="en-US"/>
        </w:rPr>
        <w:t>.</w:t>
      </w:r>
      <w:r w:rsidR="00480B17" w:rsidRPr="00F27EB2">
        <w:rPr>
          <w:rStyle w:val="Voetnootmarkering"/>
          <w:lang w:val="en-US"/>
        </w:rPr>
        <w:footnoteReference w:id="77"/>
      </w:r>
    </w:p>
    <w:p w14:paraId="017EA3D7" w14:textId="37DEECEC" w:rsidR="009C5A84" w:rsidRPr="00F27EB2" w:rsidRDefault="009C5A84" w:rsidP="005463DF">
      <w:pPr>
        <w:pStyle w:val="Normaalweb"/>
        <w:spacing w:before="0" w:beforeAutospacing="0" w:after="0" w:afterAutospacing="0"/>
        <w:ind w:firstLine="708"/>
        <w:jc w:val="both"/>
        <w:rPr>
          <w:lang w:val="en-US"/>
        </w:rPr>
      </w:pPr>
      <w:r w:rsidRPr="00F27EB2">
        <w:t>A</w:t>
      </w:r>
      <w:r w:rsidRPr="00F27EB2">
        <w:t>nother</w:t>
      </w:r>
      <w:r w:rsidRPr="00F27EB2">
        <w:t xml:space="preserve"> recent development has been the use of cognitive science. Jokiranta and colleagues (2024) ask how the translators themselves understood Hebrew anthropomorphisms:</w:t>
      </w:r>
      <w:r w:rsidRPr="00F27EB2">
        <w:rPr>
          <w:rStyle w:val="Voetnootmarkering"/>
          <w:lang w:val="en-US"/>
        </w:rPr>
        <w:footnoteReference w:id="78"/>
      </w:r>
      <w:r w:rsidRPr="00F27EB2">
        <w:t xml:space="preserve"> did they </w:t>
      </w:r>
      <w:r w:rsidRPr="00F27EB2">
        <w:t>perceive</w:t>
      </w:r>
      <w:r w:rsidRPr="00F27EB2">
        <w:t xml:space="preserve"> them as metaphors, or as </w:t>
      </w:r>
      <w:r w:rsidRPr="00F27EB2">
        <w:t>actual</w:t>
      </w:r>
      <w:r w:rsidRPr="00F27EB2">
        <w:t xml:space="preserve"> descriptions of an embodied deity? They caution against attributing Greek renderings solely to theology, suggesting instead that they may reflect the translators’ interpretive stance. Drawing on empirical studies of anthropomorphic thought in contemporary contexts, they argue that cultural and individual </w:t>
      </w:r>
      <w:r w:rsidRPr="00F27EB2">
        <w:rPr>
          <w:i/>
          <w:iCs/>
        </w:rPr>
        <w:t>variation</w:t>
      </w:r>
      <w:r w:rsidRPr="00F27EB2">
        <w:t xml:space="preserve"> in attributing human traits to the divine parallels the diversity across the </w:t>
      </w:r>
      <w:r w:rsidRPr="00F27EB2">
        <w:rPr>
          <w:smallCaps/>
        </w:rPr>
        <w:t>lxx</w:t>
      </w:r>
      <w:r w:rsidRPr="00F27EB2">
        <w:t>-</w:t>
      </w:r>
      <w:r w:rsidRPr="00F27EB2">
        <w:t>corpus.</w:t>
      </w:r>
      <w:r w:rsidRPr="00F27EB2">
        <w:rPr>
          <w:rStyle w:val="Voetnootmarkering"/>
          <w:lang w:val="en-US"/>
        </w:rPr>
        <w:footnoteReference w:id="79"/>
      </w:r>
      <w:r w:rsidRPr="00F27EB2">
        <w:t xml:space="preserve"> This perspective offers an alternative explanation for the inconsistencies in its anthropomorphic imagery.</w:t>
      </w:r>
    </w:p>
    <w:p w14:paraId="66F581E7" w14:textId="3920B352" w:rsidR="00FD33D9" w:rsidRPr="00F27EB2" w:rsidRDefault="00910854" w:rsidP="001B4074">
      <w:pPr>
        <w:pStyle w:val="Normaalweb"/>
        <w:spacing w:before="0" w:beforeAutospacing="0" w:after="0" w:afterAutospacing="0"/>
        <w:ind w:firstLine="708"/>
        <w:jc w:val="both"/>
        <w:rPr>
          <w:lang w:val="en-US"/>
        </w:rPr>
      </w:pPr>
      <w:r w:rsidRPr="00F27EB2">
        <w:rPr>
          <w:lang w:val="en-US"/>
        </w:rPr>
        <w:t xml:space="preserve">Thus, twenty-first century research on anthropomorphisms in </w:t>
      </w:r>
      <w:r w:rsidRPr="00F27EB2">
        <w:rPr>
          <w:smallCaps/>
          <w:lang w:val="en-US"/>
        </w:rPr>
        <w:t>lxx</w:t>
      </w:r>
      <w:r w:rsidRPr="00F27EB2">
        <w:rPr>
          <w:lang w:val="en-US"/>
        </w:rPr>
        <w:t xml:space="preserve"> shows that their treatment reflects a combination of translation strategies, textual variation, and possible theological concerns. Divergent renderings </w:t>
      </w:r>
      <w:r w:rsidR="009C5A84" w:rsidRPr="00F27EB2">
        <w:rPr>
          <w:lang w:val="en-US"/>
        </w:rPr>
        <w:t>can no longer</w:t>
      </w:r>
      <w:r w:rsidRPr="00F27EB2">
        <w:rPr>
          <w:lang w:val="en-US"/>
        </w:rPr>
        <w:t xml:space="preserve"> be reduced to a single cause. The variety of responses highlights the need for a broad and detailed methodology that integrates </w:t>
      </w:r>
      <w:r w:rsidR="009C5A84" w:rsidRPr="00F27EB2">
        <w:rPr>
          <w:lang w:val="en-US"/>
        </w:rPr>
        <w:t>these diverse</w:t>
      </w:r>
      <w:r w:rsidRPr="00F27EB2">
        <w:rPr>
          <w:lang w:val="en-US"/>
        </w:rPr>
        <w:t xml:space="preserve"> factors, </w:t>
      </w:r>
      <w:proofErr w:type="gramStart"/>
      <w:r w:rsidRPr="00F27EB2">
        <w:rPr>
          <w:lang w:val="en-US"/>
        </w:rPr>
        <w:t>in order to</w:t>
      </w:r>
      <w:proofErr w:type="gramEnd"/>
      <w:r w:rsidRPr="00F27EB2">
        <w:rPr>
          <w:lang w:val="en-US"/>
        </w:rPr>
        <w:t xml:space="preserve"> reach a nuanced rather than polarized evaluation. Although the polarization between maximalist and minimalist views on anti-anthropomorphism, characteristic of the late twentieth century, continues to shape current research, a more constructive trend of the twentieth century has also persisted: the effort to study each </w:t>
      </w:r>
      <w:r w:rsidRPr="00F27EB2">
        <w:rPr>
          <w:smallCaps/>
          <w:lang w:val="en-US"/>
        </w:rPr>
        <w:t>lxx</w:t>
      </w:r>
      <w:r w:rsidR="009C5A84" w:rsidRPr="00F27EB2">
        <w:rPr>
          <w:lang w:val="en-US"/>
        </w:rPr>
        <w:t>-</w:t>
      </w:r>
      <w:r w:rsidRPr="00F27EB2">
        <w:rPr>
          <w:lang w:val="en-US"/>
        </w:rPr>
        <w:t xml:space="preserve">book on its own terms. To date, in-depth studies have been conducted on anthropomorphisms in the </w:t>
      </w:r>
      <w:r w:rsidRPr="00F27EB2">
        <w:rPr>
          <w:smallCaps/>
          <w:lang w:val="en-US"/>
        </w:rPr>
        <w:lastRenderedPageBreak/>
        <w:t>lxx</w:t>
      </w:r>
      <w:r w:rsidR="007457DC" w:rsidRPr="00F27EB2">
        <w:rPr>
          <w:smallCaps/>
          <w:lang w:val="en-US"/>
        </w:rPr>
        <w:t>-</w:t>
      </w:r>
      <w:r w:rsidRPr="00F27EB2">
        <w:rPr>
          <w:lang w:val="en-US"/>
        </w:rPr>
        <w:t>books of the Pentateuch,</w:t>
      </w:r>
      <w:r w:rsidRPr="00F27EB2">
        <w:rPr>
          <w:rStyle w:val="Voetnootmarkering"/>
          <w:lang w:val="en-US"/>
        </w:rPr>
        <w:footnoteReference w:id="80"/>
      </w:r>
      <w:r w:rsidRPr="00F27EB2">
        <w:rPr>
          <w:lang w:val="en-US"/>
        </w:rPr>
        <w:t xml:space="preserve"> Joshua,</w:t>
      </w:r>
      <w:r w:rsidRPr="00F27EB2">
        <w:rPr>
          <w:rStyle w:val="Voetnootmarkering"/>
          <w:lang w:val="en-US"/>
        </w:rPr>
        <w:footnoteReference w:id="81"/>
      </w:r>
      <w:r w:rsidRPr="00F27EB2">
        <w:rPr>
          <w:lang w:val="en-US"/>
        </w:rPr>
        <w:t xml:space="preserve"> Judges,</w:t>
      </w:r>
      <w:r w:rsidRPr="00F27EB2">
        <w:rPr>
          <w:rStyle w:val="Voetnootmarkering"/>
          <w:lang w:val="en-US"/>
        </w:rPr>
        <w:footnoteReference w:id="82"/>
      </w:r>
      <w:r w:rsidRPr="00F27EB2">
        <w:rPr>
          <w:lang w:val="en-US"/>
        </w:rPr>
        <w:t xml:space="preserve"> Psalms,</w:t>
      </w:r>
      <w:r w:rsidRPr="00F27EB2">
        <w:rPr>
          <w:rStyle w:val="Voetnootmarkering"/>
          <w:lang w:val="en-US"/>
        </w:rPr>
        <w:footnoteReference w:id="83"/>
      </w:r>
      <w:r w:rsidRPr="00F27EB2">
        <w:rPr>
          <w:lang w:val="en-US"/>
        </w:rPr>
        <w:t xml:space="preserve"> Job,</w:t>
      </w:r>
      <w:r w:rsidRPr="00F27EB2">
        <w:rPr>
          <w:rStyle w:val="Voetnootmarkering"/>
          <w:lang w:val="en-US"/>
        </w:rPr>
        <w:footnoteReference w:id="84"/>
      </w:r>
      <w:r w:rsidRPr="00F27EB2">
        <w:rPr>
          <w:lang w:val="en-US"/>
        </w:rPr>
        <w:t xml:space="preserve"> Isaiah,</w:t>
      </w:r>
      <w:r w:rsidRPr="00F27EB2">
        <w:rPr>
          <w:rStyle w:val="Voetnootmarkering"/>
          <w:lang w:val="en-US"/>
        </w:rPr>
        <w:footnoteReference w:id="85"/>
      </w:r>
      <w:r w:rsidRPr="00F27EB2">
        <w:rPr>
          <w:lang w:val="en-US"/>
        </w:rPr>
        <w:t xml:space="preserve"> Jeremiah,</w:t>
      </w:r>
      <w:r w:rsidRPr="00F27EB2">
        <w:rPr>
          <w:rStyle w:val="Voetnootmarkering"/>
          <w:lang w:val="en-US"/>
        </w:rPr>
        <w:footnoteReference w:id="86"/>
      </w:r>
      <w:r w:rsidRPr="00F27EB2">
        <w:rPr>
          <w:lang w:val="en-US"/>
        </w:rPr>
        <w:t xml:space="preserve"> and the Minor Prophets,</w:t>
      </w:r>
      <w:r w:rsidRPr="00F27EB2">
        <w:rPr>
          <w:rStyle w:val="Voetnootmarkering"/>
          <w:lang w:val="en-US"/>
        </w:rPr>
        <w:footnoteReference w:id="87"/>
      </w:r>
      <w:r w:rsidRPr="00F27EB2">
        <w:rPr>
          <w:lang w:val="en-US"/>
        </w:rPr>
        <w:t xml:space="preserve"> including Hosea,</w:t>
      </w:r>
      <w:r w:rsidRPr="00F27EB2">
        <w:rPr>
          <w:rStyle w:val="Voetnootmarkering"/>
          <w:lang w:val="en-US"/>
        </w:rPr>
        <w:footnoteReference w:id="88"/>
      </w:r>
      <w:r w:rsidRPr="00F27EB2">
        <w:rPr>
          <w:lang w:val="en-US"/>
        </w:rPr>
        <w:t xml:space="preserve"> Amos,</w:t>
      </w:r>
      <w:r w:rsidRPr="00F27EB2">
        <w:rPr>
          <w:rStyle w:val="Voetnootmarkering"/>
          <w:lang w:val="en-US"/>
        </w:rPr>
        <w:footnoteReference w:id="89"/>
      </w:r>
      <w:r w:rsidRPr="00F27EB2">
        <w:rPr>
          <w:lang w:val="en-US"/>
        </w:rPr>
        <w:t xml:space="preserve"> and Zechariah.</w:t>
      </w:r>
      <w:r w:rsidRPr="00F27EB2">
        <w:rPr>
          <w:rStyle w:val="Voetnootmarkering"/>
          <w:lang w:val="en-US"/>
        </w:rPr>
        <w:footnoteReference w:id="90"/>
      </w:r>
      <w:r w:rsidRPr="00F27EB2">
        <w:rPr>
          <w:lang w:val="en-US"/>
        </w:rPr>
        <w:t xml:space="preserve"> </w:t>
      </w:r>
    </w:p>
    <w:p w14:paraId="54A8B8A1" w14:textId="77777777" w:rsidR="00FD33D9" w:rsidRPr="00F27EB2" w:rsidRDefault="00FD33D9">
      <w:pPr>
        <w:rPr>
          <w:rFonts w:ascii="Times New Roman" w:hAnsi="Times New Roman" w:cs="Times New Roman"/>
          <w:spacing w:val="-2"/>
          <w:lang w:val="en-US"/>
        </w:rPr>
      </w:pPr>
    </w:p>
    <w:p w14:paraId="2B85C5C7" w14:textId="59270980" w:rsidR="00F00B8B" w:rsidRPr="00F27EB2" w:rsidRDefault="00F00B8B" w:rsidP="00F00B8B">
      <w:pPr>
        <w:pStyle w:val="Lijstalinea"/>
        <w:numPr>
          <w:ilvl w:val="0"/>
          <w:numId w:val="14"/>
        </w:numPr>
        <w:jc w:val="both"/>
        <w:rPr>
          <w:rFonts w:ascii="Times New Roman" w:hAnsi="Times New Roman" w:cs="Times New Roman"/>
          <w:b/>
          <w:bCs/>
          <w:lang w:val="en-US"/>
        </w:rPr>
      </w:pPr>
      <w:r w:rsidRPr="00F27EB2">
        <w:rPr>
          <w:rFonts w:ascii="Times New Roman" w:hAnsi="Times New Roman" w:cs="Times New Roman"/>
          <w:b/>
          <w:bCs/>
          <w:lang w:val="en-US"/>
        </w:rPr>
        <w:t xml:space="preserve">Problems and </w:t>
      </w:r>
      <w:r w:rsidR="000243BD" w:rsidRPr="00F27EB2">
        <w:rPr>
          <w:rFonts w:ascii="Times New Roman" w:hAnsi="Times New Roman" w:cs="Times New Roman"/>
          <w:b/>
          <w:bCs/>
          <w:lang w:val="en-US"/>
        </w:rPr>
        <w:t>M</w:t>
      </w:r>
      <w:r w:rsidRPr="00F27EB2">
        <w:rPr>
          <w:rFonts w:ascii="Times New Roman" w:hAnsi="Times New Roman" w:cs="Times New Roman"/>
          <w:b/>
          <w:bCs/>
          <w:lang w:val="en-US"/>
        </w:rPr>
        <w:t>ethodology</w:t>
      </w:r>
    </w:p>
    <w:p w14:paraId="7D73EAD3" w14:textId="77777777" w:rsidR="00F00B8B" w:rsidRPr="00F27EB2" w:rsidRDefault="00F00B8B" w:rsidP="00F00B8B">
      <w:pPr>
        <w:jc w:val="both"/>
        <w:rPr>
          <w:rFonts w:ascii="Times New Roman" w:hAnsi="Times New Roman" w:cs="Times New Roman"/>
          <w:lang w:val="en-US"/>
        </w:rPr>
      </w:pPr>
    </w:p>
    <w:p w14:paraId="5013CB55" w14:textId="6CD2CDE3" w:rsidR="008923EB" w:rsidRPr="00F27EB2" w:rsidRDefault="008923EB" w:rsidP="00CC0D42">
      <w:pPr>
        <w:pStyle w:val="Normaalweb"/>
        <w:spacing w:before="0" w:beforeAutospacing="0"/>
        <w:jc w:val="both"/>
        <w:rPr>
          <w:lang w:val="en-US"/>
        </w:rPr>
      </w:pPr>
      <w:r w:rsidRPr="00F27EB2">
        <w:rPr>
          <w:lang w:val="en-US"/>
        </w:rPr>
        <w:t>After this general</w:t>
      </w:r>
      <w:r w:rsidR="00034DBC" w:rsidRPr="00F27EB2">
        <w:rPr>
          <w:lang w:val="en-US"/>
        </w:rPr>
        <w:t xml:space="preserve">, </w:t>
      </w:r>
      <w:r w:rsidRPr="00F27EB2">
        <w:rPr>
          <w:lang w:val="en-US"/>
        </w:rPr>
        <w:t>non-exhaustive overview of previous research, certain trends can be identified</w:t>
      </w:r>
      <w:r w:rsidR="00034DBC" w:rsidRPr="00F27EB2">
        <w:rPr>
          <w:lang w:val="en-US"/>
        </w:rPr>
        <w:t>.</w:t>
      </w:r>
      <w:r w:rsidRPr="00F27EB2">
        <w:rPr>
          <w:lang w:val="en-US"/>
        </w:rPr>
        <w:t xml:space="preserve"> </w:t>
      </w:r>
      <w:r w:rsidR="00034DBC" w:rsidRPr="00F27EB2">
        <w:rPr>
          <w:lang w:val="en-US"/>
        </w:rPr>
        <w:t>Several</w:t>
      </w:r>
      <w:r w:rsidRPr="00F27EB2">
        <w:rPr>
          <w:lang w:val="en-US"/>
        </w:rPr>
        <w:t xml:space="preserve"> major issues emerge that complicate the study of </w:t>
      </w:r>
      <w:r w:rsidR="00034DBC" w:rsidRPr="00F27EB2">
        <w:rPr>
          <w:smallCaps/>
          <w:lang w:val="en-US"/>
        </w:rPr>
        <w:t>lxx-</w:t>
      </w:r>
      <w:r w:rsidR="00034DBC" w:rsidRPr="00F27EB2">
        <w:rPr>
          <w:lang w:val="en-US"/>
        </w:rPr>
        <w:t>anthropomorphisms</w:t>
      </w:r>
      <w:r w:rsidRPr="00F27EB2">
        <w:rPr>
          <w:lang w:val="en-US"/>
        </w:rPr>
        <w:t>.</w:t>
      </w:r>
      <w:r w:rsidR="000243BD" w:rsidRPr="00F27EB2">
        <w:rPr>
          <w:lang w:val="en-US"/>
        </w:rPr>
        <w:t xml:space="preserve"> Identifying these problems is essential for developing a more adequate framework and methodology to assess the Greek renderings.</w:t>
      </w:r>
    </w:p>
    <w:p w14:paraId="3D92456A" w14:textId="780518B6" w:rsidR="008923EB" w:rsidRPr="00F27EB2" w:rsidRDefault="000243BD" w:rsidP="00221046">
      <w:pPr>
        <w:pStyle w:val="Normaalweb"/>
        <w:jc w:val="both"/>
        <w:rPr>
          <w:b/>
          <w:bCs/>
          <w:lang w:val="en-US"/>
        </w:rPr>
      </w:pPr>
      <w:r w:rsidRPr="00F27EB2">
        <w:rPr>
          <w:b/>
          <w:bCs/>
          <w:lang w:val="en-US"/>
        </w:rPr>
        <w:t>2.1 Terminology</w:t>
      </w:r>
    </w:p>
    <w:p w14:paraId="61B8E8DA" w14:textId="71B3D21B" w:rsidR="00EB6B7B" w:rsidRPr="00F27EB2" w:rsidRDefault="008923EB" w:rsidP="00221046">
      <w:pPr>
        <w:pStyle w:val="Normaalweb"/>
        <w:spacing w:before="0" w:beforeAutospacing="0" w:after="0" w:afterAutospacing="0"/>
        <w:jc w:val="both"/>
        <w:rPr>
          <w:lang w:val="en-US"/>
        </w:rPr>
      </w:pPr>
      <w:r w:rsidRPr="00F27EB2">
        <w:rPr>
          <w:lang w:val="en-US"/>
        </w:rPr>
        <w:t xml:space="preserve">A first difficulty concerns terminology. Neither </w:t>
      </w:r>
      <w:r w:rsidR="00080E21" w:rsidRPr="00F27EB2">
        <w:rPr>
          <w:lang w:val="en-US"/>
        </w:rPr>
        <w:t>general</w:t>
      </w:r>
      <w:r w:rsidRPr="00F27EB2">
        <w:rPr>
          <w:lang w:val="en-US"/>
        </w:rPr>
        <w:t xml:space="preserve"> </w:t>
      </w:r>
      <w:r w:rsidR="00080E21" w:rsidRPr="00F27EB2">
        <w:rPr>
          <w:smallCaps/>
          <w:lang w:val="en-US"/>
        </w:rPr>
        <w:t>ot</w:t>
      </w:r>
      <w:r w:rsidR="000243BD" w:rsidRPr="00F27EB2">
        <w:rPr>
          <w:lang w:val="en-US"/>
        </w:rPr>
        <w:t>-</w:t>
      </w:r>
      <w:r w:rsidR="00080E21" w:rsidRPr="00F27EB2">
        <w:rPr>
          <w:lang w:val="en-US"/>
        </w:rPr>
        <w:t>studies</w:t>
      </w:r>
      <w:r w:rsidRPr="00F27EB2">
        <w:rPr>
          <w:lang w:val="en-US"/>
        </w:rPr>
        <w:t xml:space="preserve"> on divine corporeality</w:t>
      </w:r>
      <w:r w:rsidR="00080E21" w:rsidRPr="00F27EB2">
        <w:rPr>
          <w:lang w:val="en-US"/>
        </w:rPr>
        <w:t>,</w:t>
      </w:r>
      <w:r w:rsidRPr="00F27EB2">
        <w:rPr>
          <w:lang w:val="en-US"/>
        </w:rPr>
        <w:t xml:space="preserve"> nor </w:t>
      </w:r>
      <w:r w:rsidR="000243BD" w:rsidRPr="00F27EB2">
        <w:rPr>
          <w:smallCaps/>
          <w:lang w:val="en-US"/>
        </w:rPr>
        <w:t>lxx</w:t>
      </w:r>
      <w:r w:rsidR="000243BD" w:rsidRPr="00F27EB2">
        <w:rPr>
          <w:lang w:val="en-US"/>
        </w:rPr>
        <w:t>-</w:t>
      </w:r>
      <w:r w:rsidR="00080E21" w:rsidRPr="00F27EB2">
        <w:rPr>
          <w:lang w:val="en-US"/>
        </w:rPr>
        <w:t>scholarship</w:t>
      </w:r>
      <w:r w:rsidRPr="00F27EB2">
        <w:rPr>
          <w:lang w:val="en-US"/>
        </w:rPr>
        <w:t xml:space="preserve"> </w:t>
      </w:r>
      <w:r w:rsidR="00080E21" w:rsidRPr="00F27EB2">
        <w:rPr>
          <w:lang w:val="en-US"/>
        </w:rPr>
        <w:t>offers</w:t>
      </w:r>
      <w:r w:rsidRPr="00F27EB2">
        <w:rPr>
          <w:lang w:val="en-US"/>
        </w:rPr>
        <w:t xml:space="preserve"> a standard definition of anthropomorphism. </w:t>
      </w:r>
      <w:r w:rsidR="00080E21" w:rsidRPr="00F27EB2">
        <w:t>Some limit the term to the attribution of bodily parts, such as hands or ears, to God, while others extend it to divine visibility or emotions</w:t>
      </w:r>
      <w:r w:rsidRPr="00F27EB2">
        <w:rPr>
          <w:lang w:val="en-US"/>
        </w:rPr>
        <w:t>.</w:t>
      </w:r>
      <w:r w:rsidR="000243BD" w:rsidRPr="00F27EB2">
        <w:rPr>
          <w:rStyle w:val="Voetnootmarkering"/>
          <w:lang w:val="en-US"/>
        </w:rPr>
        <w:footnoteReference w:id="91"/>
      </w:r>
      <w:r w:rsidRPr="00F27EB2">
        <w:rPr>
          <w:lang w:val="en-US"/>
        </w:rPr>
        <w:t xml:space="preserve"> </w:t>
      </w:r>
      <w:r w:rsidR="00080E21" w:rsidRPr="00F27EB2">
        <w:rPr>
          <w:lang w:val="en-US"/>
        </w:rPr>
        <w:t>Similarly, there is no consensus of</w:t>
      </w:r>
      <w:r w:rsidRPr="00F27EB2">
        <w:rPr>
          <w:lang w:val="en-US"/>
        </w:rPr>
        <w:t xml:space="preserve"> what </w:t>
      </w:r>
      <w:r w:rsidR="00080E21" w:rsidRPr="00F27EB2">
        <w:rPr>
          <w:lang w:val="en-US"/>
        </w:rPr>
        <w:t>is</w:t>
      </w:r>
      <w:r w:rsidRPr="00F27EB2">
        <w:rPr>
          <w:lang w:val="en-US"/>
        </w:rPr>
        <w:t xml:space="preserve"> </w:t>
      </w:r>
      <w:r w:rsidR="00080E21" w:rsidRPr="00F27EB2">
        <w:rPr>
          <w:lang w:val="en-US"/>
        </w:rPr>
        <w:t>“</w:t>
      </w:r>
      <w:r w:rsidRPr="00F27EB2">
        <w:rPr>
          <w:lang w:val="en-US"/>
        </w:rPr>
        <w:t>anti-anthropomorphism.</w:t>
      </w:r>
      <w:r w:rsidR="00080E21" w:rsidRPr="00F27EB2">
        <w:rPr>
          <w:lang w:val="en-US"/>
        </w:rPr>
        <w:t>”</w:t>
      </w:r>
      <w:r w:rsidRPr="00F27EB2">
        <w:rPr>
          <w:lang w:val="en-US"/>
        </w:rPr>
        <w:t xml:space="preserve"> </w:t>
      </w:r>
      <w:r w:rsidR="007A4C0F" w:rsidRPr="00F27EB2">
        <w:t>While generally understood as the deliberate modification of anthropomorphic expressions from Hebrew into Greek, no fixed criteria exist</w:t>
      </w:r>
      <w:r w:rsidRPr="00F27EB2">
        <w:rPr>
          <w:lang w:val="en-US"/>
        </w:rPr>
        <w:t>. Some even classify non-literal renderings of semi-prepositions as anti-anthropomorphic,</w:t>
      </w:r>
      <w:r w:rsidR="000243BD" w:rsidRPr="00F27EB2">
        <w:rPr>
          <w:rStyle w:val="Voetnootmarkering"/>
          <w:lang w:val="en-US"/>
        </w:rPr>
        <w:footnoteReference w:id="92"/>
      </w:r>
      <w:r w:rsidRPr="00F27EB2">
        <w:rPr>
          <w:lang w:val="en-US"/>
        </w:rPr>
        <w:t xml:space="preserve"> </w:t>
      </w:r>
      <w:r w:rsidR="007A4C0F" w:rsidRPr="00F27EB2">
        <w:t>though these likely reflect the translators’ linguistic skill and their effort to produce idiomatic Greek</w:t>
      </w:r>
      <w:r w:rsidRPr="00F27EB2">
        <w:rPr>
          <w:lang w:val="en-US"/>
        </w:rPr>
        <w:t xml:space="preserve">. Others argue that anti-anthropomorphism can only be identified as a </w:t>
      </w:r>
      <w:r w:rsidRPr="00F27EB2">
        <w:rPr>
          <w:i/>
          <w:iCs/>
          <w:lang w:val="en-US"/>
        </w:rPr>
        <w:t>consistent tendency</w:t>
      </w:r>
      <w:r w:rsidR="007A4C0F" w:rsidRPr="00F27EB2">
        <w:rPr>
          <w:lang w:val="en-US"/>
        </w:rPr>
        <w:t>.</w:t>
      </w:r>
      <w:r w:rsidR="000243BD" w:rsidRPr="00F27EB2">
        <w:rPr>
          <w:rStyle w:val="Voetnootmarkering"/>
          <w:lang w:val="en-US"/>
        </w:rPr>
        <w:footnoteReference w:id="93"/>
      </w:r>
      <w:r w:rsidRPr="00F27EB2">
        <w:rPr>
          <w:lang w:val="en-US"/>
        </w:rPr>
        <w:t xml:space="preserve"> Alternation between anthropomorphic and metonymic expressions, they claim, undermines this classification. Yet consistency need not be decisive. Inconsistencies may result from variation within or between </w:t>
      </w:r>
      <w:r w:rsidRPr="00F27EB2">
        <w:rPr>
          <w:lang w:val="en-US"/>
        </w:rPr>
        <w:lastRenderedPageBreak/>
        <w:t>translators and revisers,</w:t>
      </w:r>
      <w:r w:rsidR="004B04CD" w:rsidRPr="00F27EB2">
        <w:rPr>
          <w:rStyle w:val="Voetnootmarkering"/>
          <w:lang w:val="en-US"/>
        </w:rPr>
        <w:footnoteReference w:id="94"/>
      </w:r>
      <w:r w:rsidRPr="00F27EB2">
        <w:rPr>
          <w:lang w:val="en-US"/>
        </w:rPr>
        <w:t xml:space="preserve"> </w:t>
      </w:r>
      <w:r w:rsidR="007A4C0F" w:rsidRPr="00F27EB2">
        <w:t>or indicate that some anthropomorphisms were considered problematic in specific contexts while others were tolerated</w:t>
      </w:r>
      <w:r w:rsidRPr="00F27EB2">
        <w:rPr>
          <w:lang w:val="en-US"/>
        </w:rPr>
        <w:t>.</w:t>
      </w:r>
    </w:p>
    <w:p w14:paraId="08EDA495" w14:textId="2E9CCC48" w:rsidR="00CC0D42" w:rsidRPr="00F27EB2" w:rsidRDefault="008923EB" w:rsidP="008F2C53">
      <w:pPr>
        <w:pStyle w:val="Normaalweb"/>
        <w:spacing w:before="0" w:beforeAutospacing="0" w:after="0" w:afterAutospacing="0"/>
        <w:ind w:firstLine="708"/>
        <w:jc w:val="both"/>
        <w:rPr>
          <w:lang w:val="en-US"/>
        </w:rPr>
      </w:pPr>
      <w:r w:rsidRPr="00F27EB2">
        <w:rPr>
          <w:lang w:val="en-US"/>
        </w:rPr>
        <w:t xml:space="preserve">This raises </w:t>
      </w:r>
      <w:r w:rsidR="00903DFF" w:rsidRPr="00F27EB2">
        <w:rPr>
          <w:lang w:val="en-US"/>
        </w:rPr>
        <w:t>another</w:t>
      </w:r>
      <w:r w:rsidRPr="00F27EB2">
        <w:rPr>
          <w:lang w:val="en-US"/>
        </w:rPr>
        <w:t xml:space="preserve"> central question: how did the translator understand his text, and what did </w:t>
      </w:r>
      <w:r w:rsidR="00903DFF" w:rsidRPr="00F27EB2">
        <w:rPr>
          <w:lang w:val="en-US"/>
        </w:rPr>
        <w:t>they</w:t>
      </w:r>
      <w:r w:rsidRPr="00F27EB2">
        <w:rPr>
          <w:lang w:val="en-US"/>
        </w:rPr>
        <w:t xml:space="preserve"> intend to convey? </w:t>
      </w:r>
      <w:r w:rsidR="00903DFF" w:rsidRPr="00F27EB2">
        <w:rPr>
          <w:lang w:val="en-US"/>
        </w:rPr>
        <w:t>Regarding</w:t>
      </w:r>
      <w:r w:rsidRPr="00F27EB2">
        <w:rPr>
          <w:lang w:val="en-US"/>
        </w:rPr>
        <w:t xml:space="preserve"> anthropomorphisms: which did </w:t>
      </w:r>
      <w:r w:rsidR="00903DFF" w:rsidRPr="00F27EB2">
        <w:rPr>
          <w:lang w:val="en-US"/>
        </w:rPr>
        <w:t>they</w:t>
      </w:r>
      <w:r w:rsidRPr="00F27EB2">
        <w:rPr>
          <w:lang w:val="en-US"/>
        </w:rPr>
        <w:t xml:space="preserve"> regard as “strong anthropomorphisms,” and which as metaphorical? How </w:t>
      </w:r>
      <w:r w:rsidR="00903DFF" w:rsidRPr="00F27EB2">
        <w:rPr>
          <w:lang w:val="en-US"/>
        </w:rPr>
        <w:t>to</w:t>
      </w:r>
      <w:r w:rsidRPr="00F27EB2">
        <w:rPr>
          <w:lang w:val="en-US"/>
        </w:rPr>
        <w:t xml:space="preserve"> determine whether the translator considered an anthropomorphism to be a </w:t>
      </w:r>
      <w:r w:rsidR="00903DFF" w:rsidRPr="00F27EB2">
        <w:rPr>
          <w:lang w:val="en-US"/>
        </w:rPr>
        <w:t xml:space="preserve">metaphor, </w:t>
      </w:r>
      <w:r w:rsidRPr="00F27EB2">
        <w:rPr>
          <w:lang w:val="en-US"/>
        </w:rPr>
        <w:t>or a reference to a corporeal reality? This problem is tied to the phenomenon of the “death” of metaphors.</w:t>
      </w:r>
      <w:r w:rsidR="004B04CD" w:rsidRPr="00F27EB2">
        <w:rPr>
          <w:rStyle w:val="Voetnootmarkering"/>
          <w:lang w:val="en-US"/>
        </w:rPr>
        <w:footnoteReference w:id="95"/>
      </w:r>
      <w:r w:rsidRPr="00F27EB2">
        <w:rPr>
          <w:lang w:val="en-US"/>
        </w:rPr>
        <w:t xml:space="preserve"> Some bodily metaphors in Hebrew may still have been “alive,” retaining ambiguity between literal and figurative senses, while to the Greek translator they may already have been “dead,” that is, so conventionalized that their original force was no longer felt.</w:t>
      </w:r>
      <w:r w:rsidR="00EB6B7B" w:rsidRPr="00F27EB2">
        <w:rPr>
          <w:lang w:val="en-US"/>
        </w:rPr>
        <w:t xml:space="preserve"> Two approaches are useful</w:t>
      </w:r>
      <w:r w:rsidR="00903DFF" w:rsidRPr="00F27EB2">
        <w:rPr>
          <w:lang w:val="en-US"/>
        </w:rPr>
        <w:t xml:space="preserve"> he</w:t>
      </w:r>
      <w:r w:rsidR="000534BA" w:rsidRPr="00F27EB2">
        <w:rPr>
          <w:lang w:val="en-US"/>
        </w:rPr>
        <w:t xml:space="preserve">re: </w:t>
      </w:r>
      <w:r w:rsidR="00EB6B7B" w:rsidRPr="00F27EB2">
        <w:rPr>
          <w:lang w:val="en-US"/>
        </w:rPr>
        <w:t xml:space="preserve">examining </w:t>
      </w:r>
      <w:r w:rsidR="00EB6B7B" w:rsidRPr="00F27EB2">
        <w:rPr>
          <w:i/>
          <w:iCs/>
          <w:lang w:val="en-US"/>
        </w:rPr>
        <w:t>metaphorical</w:t>
      </w:r>
      <w:r w:rsidR="00EB6B7B" w:rsidRPr="00F27EB2">
        <w:rPr>
          <w:lang w:val="en-US"/>
        </w:rPr>
        <w:t xml:space="preserve"> renderings of body language, and </w:t>
      </w:r>
      <w:r w:rsidR="00EB6B7B" w:rsidRPr="00F27EB2">
        <w:rPr>
          <w:i/>
          <w:iCs/>
          <w:lang w:val="en-US"/>
        </w:rPr>
        <w:t>non-metaphorical</w:t>
      </w:r>
      <w:r w:rsidR="00EB6B7B" w:rsidRPr="00F27EB2">
        <w:rPr>
          <w:lang w:val="en-US"/>
        </w:rPr>
        <w:t xml:space="preserve"> renderings of figurative body language. If a body term appears both literally and figuratively, the metaphor is not yet “dead,” retaining both senses. </w:t>
      </w:r>
      <w:r w:rsidR="000534BA" w:rsidRPr="00F27EB2">
        <w:rPr>
          <w:lang w:val="en-US"/>
        </w:rPr>
        <w:t>For the first</w:t>
      </w:r>
      <w:r w:rsidR="00EB6B7B" w:rsidRPr="00F27EB2">
        <w:rPr>
          <w:lang w:val="en-US"/>
        </w:rPr>
        <w:t xml:space="preserve">, </w:t>
      </w:r>
      <w:r w:rsidR="00EB6B7B" w:rsidRPr="00F27EB2">
        <w:rPr>
          <w:i/>
          <w:iCs/>
          <w:lang w:val="en-US"/>
        </w:rPr>
        <w:t>consistent</w:t>
      </w:r>
      <w:r w:rsidR="00EB6B7B" w:rsidRPr="00F27EB2">
        <w:rPr>
          <w:lang w:val="en-US"/>
        </w:rPr>
        <w:t xml:space="preserve"> </w:t>
      </w:r>
      <w:r w:rsidR="00EB6B7B" w:rsidRPr="00F27EB2">
        <w:rPr>
          <w:i/>
          <w:iCs/>
          <w:lang w:val="en-US"/>
        </w:rPr>
        <w:t>metaphorical</w:t>
      </w:r>
      <w:r w:rsidR="00EB6B7B" w:rsidRPr="00F27EB2">
        <w:rPr>
          <w:lang w:val="en-US"/>
        </w:rPr>
        <w:t xml:space="preserve"> renderings</w:t>
      </w:r>
      <w:r w:rsidR="000534BA" w:rsidRPr="00F27EB2">
        <w:rPr>
          <w:lang w:val="en-US"/>
        </w:rPr>
        <w:t xml:space="preserve"> of Hebrew body language</w:t>
      </w:r>
      <w:r w:rsidR="00EB6B7B" w:rsidRPr="00F27EB2">
        <w:rPr>
          <w:lang w:val="en-US"/>
        </w:rPr>
        <w:t xml:space="preserve"> in Greek may suggest that the translator viewed the expression as conventionalized, while </w:t>
      </w:r>
      <w:r w:rsidR="00EB6B7B" w:rsidRPr="00F27EB2">
        <w:rPr>
          <w:i/>
          <w:iCs/>
          <w:lang w:val="en-US"/>
        </w:rPr>
        <w:t>variation</w:t>
      </w:r>
      <w:r w:rsidR="00EB6B7B" w:rsidRPr="00F27EB2">
        <w:rPr>
          <w:lang w:val="en-US"/>
        </w:rPr>
        <w:t xml:space="preserve"> between literal and metaphorical equivalents (e.g., </w:t>
      </w:r>
      <w:r w:rsidR="004B04CD" w:rsidRPr="00F27EB2">
        <w:rPr>
          <w:lang w:val="en-US"/>
        </w:rPr>
        <w:t xml:space="preserve">between </w:t>
      </w:r>
      <w:proofErr w:type="spellStart"/>
      <w:r w:rsidR="004B04CD" w:rsidRPr="00F27EB2">
        <w:rPr>
          <w:color w:val="000000"/>
          <w:lang w:val="en-US"/>
        </w:rPr>
        <w:t>στόμ</w:t>
      </w:r>
      <w:proofErr w:type="spellEnd"/>
      <w:r w:rsidR="004B04CD" w:rsidRPr="00F27EB2">
        <w:rPr>
          <w:color w:val="000000"/>
          <w:lang w:val="en-US"/>
        </w:rPr>
        <w:t xml:space="preserve">α and </w:t>
      </w:r>
      <w:proofErr w:type="spellStart"/>
      <w:r w:rsidR="004B04CD" w:rsidRPr="00F27EB2">
        <w:rPr>
          <w:color w:val="000000"/>
          <w:lang w:val="en-US"/>
        </w:rPr>
        <w:t>ῥῆμ</w:t>
      </w:r>
      <w:proofErr w:type="spellEnd"/>
      <w:r w:rsidR="004B04CD" w:rsidRPr="00F27EB2">
        <w:rPr>
          <w:color w:val="000000"/>
          <w:lang w:val="en-US"/>
        </w:rPr>
        <w:t xml:space="preserve">α for </w:t>
      </w:r>
      <w:r w:rsidR="004B04CD" w:rsidRPr="00F27EB2">
        <w:rPr>
          <w:color w:val="000000"/>
          <w:rtl/>
          <w:lang w:val="en-US"/>
        </w:rPr>
        <w:t>פֶּה</w:t>
      </w:r>
      <w:r w:rsidR="004B04CD" w:rsidRPr="00F27EB2">
        <w:rPr>
          <w:color w:val="000000"/>
          <w:lang w:val="en-US"/>
        </w:rPr>
        <w:t>)</w:t>
      </w:r>
      <w:r w:rsidR="00EB6B7B" w:rsidRPr="00F27EB2">
        <w:rPr>
          <w:lang w:val="en-US"/>
        </w:rPr>
        <w:t xml:space="preserve"> indicates awareness of both meanings. The second approach concerns semi-prepositions, where </w:t>
      </w:r>
      <w:r w:rsidR="008F2C53" w:rsidRPr="00F27EB2">
        <w:rPr>
          <w:lang w:val="en-US"/>
        </w:rPr>
        <w:t>their</w:t>
      </w:r>
      <w:r w:rsidR="00EB6B7B" w:rsidRPr="00F27EB2">
        <w:rPr>
          <w:lang w:val="en-US"/>
        </w:rPr>
        <w:t xml:space="preserve"> Greek renderings shed light on how figurative </w:t>
      </w:r>
      <w:r w:rsidR="008F2C53" w:rsidRPr="00F27EB2">
        <w:rPr>
          <w:lang w:val="en-US"/>
        </w:rPr>
        <w:t xml:space="preserve">body </w:t>
      </w:r>
      <w:r w:rsidR="00EB6B7B" w:rsidRPr="00F27EB2">
        <w:rPr>
          <w:lang w:val="en-US"/>
        </w:rPr>
        <w:t>language was perceived. Notably, the use of “literal” equivalents (e.g., ἀπὸ π</w:t>
      </w:r>
      <w:proofErr w:type="spellStart"/>
      <w:r w:rsidR="00EB6B7B" w:rsidRPr="00F27EB2">
        <w:rPr>
          <w:lang w:val="en-US"/>
        </w:rPr>
        <w:t>ροσώ</w:t>
      </w:r>
      <w:proofErr w:type="spellEnd"/>
      <w:r w:rsidR="00EB6B7B" w:rsidRPr="00F27EB2">
        <w:rPr>
          <w:lang w:val="en-US"/>
        </w:rPr>
        <w:t>π</w:t>
      </w:r>
      <w:proofErr w:type="spellStart"/>
      <w:r w:rsidR="00EB6B7B" w:rsidRPr="00F27EB2">
        <w:rPr>
          <w:lang w:val="en-US"/>
        </w:rPr>
        <w:t>ου</w:t>
      </w:r>
      <w:proofErr w:type="spellEnd"/>
      <w:r w:rsidR="00EB6B7B" w:rsidRPr="00F27EB2">
        <w:rPr>
          <w:lang w:val="en-US"/>
        </w:rPr>
        <w:t xml:space="preserve"> for </w:t>
      </w:r>
      <w:r w:rsidR="00EB6B7B" w:rsidRPr="00F27EB2">
        <w:rPr>
          <w:rtl/>
          <w:lang w:val="en-US"/>
        </w:rPr>
        <w:t>לפני</w:t>
      </w:r>
      <w:r w:rsidR="00EB6B7B" w:rsidRPr="00F27EB2">
        <w:rPr>
          <w:lang w:val="en-US"/>
        </w:rPr>
        <w:t xml:space="preserve">) suggests that translators did not regard such </w:t>
      </w:r>
      <w:r w:rsidR="008F2C53" w:rsidRPr="00F27EB2">
        <w:rPr>
          <w:lang w:val="en-US"/>
        </w:rPr>
        <w:t xml:space="preserve">bodily </w:t>
      </w:r>
      <w:r w:rsidR="00EB6B7B" w:rsidRPr="00F27EB2">
        <w:rPr>
          <w:lang w:val="en-US"/>
        </w:rPr>
        <w:t>imagery as purely metaphorical.</w:t>
      </w:r>
      <w:r w:rsidR="004B04CD" w:rsidRPr="00F27EB2">
        <w:rPr>
          <w:lang w:val="en-US"/>
        </w:rPr>
        <w:t xml:space="preserve"> </w:t>
      </w:r>
    </w:p>
    <w:p w14:paraId="7B7E3E22" w14:textId="1FCF9FBA" w:rsidR="00CC0D42" w:rsidRPr="00F27EB2" w:rsidRDefault="004B04CD" w:rsidP="00CC0D42">
      <w:pPr>
        <w:pStyle w:val="Normaalweb"/>
        <w:jc w:val="both"/>
        <w:rPr>
          <w:b/>
          <w:bCs/>
          <w:lang w:val="en-US"/>
        </w:rPr>
      </w:pPr>
      <w:r w:rsidRPr="00F27EB2">
        <w:rPr>
          <w:b/>
          <w:bCs/>
          <w:lang w:val="en-US"/>
        </w:rPr>
        <w:t>2.2 The Goal of LXX</w:t>
      </w:r>
    </w:p>
    <w:p w14:paraId="1BE759FA" w14:textId="2D49DF12" w:rsidR="00FB490F" w:rsidRPr="00F27EB2" w:rsidRDefault="00026CD6" w:rsidP="00221046">
      <w:pPr>
        <w:pStyle w:val="Normaalweb"/>
        <w:spacing w:before="0" w:beforeAutospacing="0" w:after="0" w:afterAutospacing="0"/>
        <w:jc w:val="both"/>
        <w:rPr>
          <w:lang w:val="en-US"/>
        </w:rPr>
      </w:pPr>
      <w:r w:rsidRPr="00F27EB2">
        <w:rPr>
          <w:lang w:val="en-US"/>
        </w:rPr>
        <w:t xml:space="preserve">A second obstacle lies in the obscurity of the circumstances and purposes of the </w:t>
      </w:r>
      <w:proofErr w:type="spellStart"/>
      <w:r w:rsidR="00CC0D42" w:rsidRPr="00F27EB2">
        <w:rPr>
          <w:smallCaps/>
          <w:lang w:val="en-US"/>
        </w:rPr>
        <w:t>lxx’</w:t>
      </w:r>
      <w:r w:rsidR="00CC0D42" w:rsidRPr="00F27EB2">
        <w:rPr>
          <w:lang w:val="en-US"/>
        </w:rPr>
        <w:t>s</w:t>
      </w:r>
      <w:proofErr w:type="spellEnd"/>
      <w:r w:rsidRPr="00F27EB2">
        <w:rPr>
          <w:lang w:val="en-US"/>
        </w:rPr>
        <w:t xml:space="preserve"> creation.</w:t>
      </w:r>
      <w:r w:rsidRPr="00F27EB2">
        <w:rPr>
          <w:rStyle w:val="Voetnootmarkering"/>
          <w:lang w:val="en-US"/>
        </w:rPr>
        <w:footnoteReference w:id="96"/>
      </w:r>
      <w:r w:rsidRPr="00F27EB2">
        <w:rPr>
          <w:lang w:val="en-US"/>
        </w:rPr>
        <w:t xml:space="preserve"> Apart from the </w:t>
      </w:r>
      <w:r w:rsidRPr="00F27EB2">
        <w:rPr>
          <w:rStyle w:val="Nadruk"/>
          <w:rFonts w:eastAsiaTheme="majorEastAsia"/>
          <w:lang w:val="en-US"/>
        </w:rPr>
        <w:t>Letter of Aristeas</w:t>
      </w:r>
      <w:r w:rsidRPr="00F27EB2">
        <w:rPr>
          <w:lang w:val="en-US"/>
        </w:rPr>
        <w:t xml:space="preserve">, no external sources contextualize the Greek translation. </w:t>
      </w:r>
      <w:r w:rsidR="00FB490F" w:rsidRPr="00F27EB2">
        <w:rPr>
          <w:lang w:val="en-US"/>
        </w:rPr>
        <w:t xml:space="preserve">However, much of the debate over the rendering of Hebrew anthropomorphisms hinges on discerning both the translators’ intentions and the broader aims of </w:t>
      </w:r>
      <w:r w:rsidR="00CC0D42" w:rsidRPr="00F27EB2">
        <w:rPr>
          <w:smallCaps/>
          <w:lang w:val="en-US"/>
        </w:rPr>
        <w:t>lxx</w:t>
      </w:r>
      <w:r w:rsidR="00FB490F" w:rsidRPr="00F27EB2">
        <w:rPr>
          <w:lang w:val="en-US"/>
        </w:rPr>
        <w:t>.</w:t>
      </w:r>
    </w:p>
    <w:p w14:paraId="6592188F" w14:textId="08732B3C" w:rsidR="00026CD6" w:rsidRPr="00F27EB2" w:rsidRDefault="00FB490F" w:rsidP="00221046">
      <w:pPr>
        <w:pStyle w:val="Normaalweb"/>
        <w:spacing w:before="0" w:beforeAutospacing="0" w:after="0" w:afterAutospacing="0"/>
        <w:ind w:firstLine="708"/>
        <w:jc w:val="both"/>
        <w:rPr>
          <w:lang w:val="en-US"/>
        </w:rPr>
      </w:pPr>
      <w:r w:rsidRPr="00F27EB2">
        <w:rPr>
          <w:lang w:val="en-US"/>
        </w:rPr>
        <w:t>On the part of the translators</w:t>
      </w:r>
      <w:r w:rsidR="00026CD6" w:rsidRPr="00F27EB2">
        <w:rPr>
          <w:lang w:val="en-US"/>
        </w:rPr>
        <w:t xml:space="preserve">: did they </w:t>
      </w:r>
      <w:r w:rsidRPr="00F27EB2">
        <w:rPr>
          <w:i/>
          <w:iCs/>
          <w:lang w:val="en-US"/>
        </w:rPr>
        <w:t>intentionally</w:t>
      </w:r>
      <w:r w:rsidR="00026CD6" w:rsidRPr="00F27EB2">
        <w:rPr>
          <w:lang w:val="en-US"/>
        </w:rPr>
        <w:t xml:space="preserve"> avoid anthropomorphisms? As the saying goes, </w:t>
      </w:r>
      <w:proofErr w:type="spellStart"/>
      <w:r w:rsidR="00026CD6" w:rsidRPr="00F27EB2">
        <w:rPr>
          <w:rStyle w:val="Nadruk"/>
          <w:rFonts w:eastAsiaTheme="majorEastAsia"/>
          <w:lang w:val="en-US"/>
        </w:rPr>
        <w:t>traduire</w:t>
      </w:r>
      <w:proofErr w:type="spellEnd"/>
      <w:r w:rsidR="00026CD6" w:rsidRPr="00F27EB2">
        <w:rPr>
          <w:rStyle w:val="Nadruk"/>
          <w:rFonts w:eastAsiaTheme="majorEastAsia"/>
          <w:lang w:val="en-US"/>
        </w:rPr>
        <w:t xml:space="preserve"> </w:t>
      </w:r>
      <w:proofErr w:type="spellStart"/>
      <w:r w:rsidR="00026CD6" w:rsidRPr="00F27EB2">
        <w:rPr>
          <w:rStyle w:val="Nadruk"/>
          <w:rFonts w:eastAsiaTheme="majorEastAsia"/>
          <w:lang w:val="en-US"/>
        </w:rPr>
        <w:t>c’est</w:t>
      </w:r>
      <w:proofErr w:type="spellEnd"/>
      <w:r w:rsidR="00026CD6" w:rsidRPr="00F27EB2">
        <w:rPr>
          <w:rStyle w:val="Nadruk"/>
          <w:rFonts w:eastAsiaTheme="majorEastAsia"/>
          <w:lang w:val="en-US"/>
        </w:rPr>
        <w:t xml:space="preserve"> </w:t>
      </w:r>
      <w:proofErr w:type="spellStart"/>
      <w:r w:rsidR="00026CD6" w:rsidRPr="00F27EB2">
        <w:rPr>
          <w:rStyle w:val="Nadruk"/>
          <w:rFonts w:eastAsiaTheme="majorEastAsia"/>
          <w:lang w:val="en-US"/>
        </w:rPr>
        <w:t>trahir</w:t>
      </w:r>
      <w:proofErr w:type="spellEnd"/>
      <w:r w:rsidR="00026CD6" w:rsidRPr="00F27EB2">
        <w:rPr>
          <w:lang w:val="en-US"/>
        </w:rPr>
        <w:t xml:space="preserve">: every translation bears traces of the translator’s own </w:t>
      </w:r>
      <w:proofErr w:type="spellStart"/>
      <w:r w:rsidR="00026CD6" w:rsidRPr="00F27EB2">
        <w:rPr>
          <w:lang w:val="en-US"/>
        </w:rPr>
        <w:t>interpretation</w:t>
      </w:r>
      <w:r w:rsidR="006672B9" w:rsidRPr="00F27EB2">
        <w:rPr>
          <w:lang w:val="en-US"/>
        </w:rPr>
        <w:t>sss</w:t>
      </w:r>
      <w:proofErr w:type="spellEnd"/>
      <w:r w:rsidR="006672B9" w:rsidRPr="00F27EB2">
        <w:rPr>
          <w:lang w:val="en-US"/>
        </w:rPr>
        <w:t xml:space="preserve"> and intentions – </w:t>
      </w:r>
      <w:r w:rsidR="00026CD6" w:rsidRPr="00F27EB2">
        <w:rPr>
          <w:lang w:val="en-US"/>
        </w:rPr>
        <w:t>this is no less true in the case of anthropomorphisms.</w:t>
      </w:r>
      <w:r w:rsidR="00F65708" w:rsidRPr="00F27EB2">
        <w:rPr>
          <w:rStyle w:val="Voetnootmarkering"/>
          <w:lang w:val="en-US"/>
        </w:rPr>
        <w:footnoteReference w:id="97"/>
      </w:r>
      <w:r w:rsidR="00026CD6" w:rsidRPr="00F27EB2">
        <w:rPr>
          <w:lang w:val="en-US"/>
        </w:rPr>
        <w:t xml:space="preserve"> But how can such traces be detected? </w:t>
      </w:r>
      <w:r w:rsidR="006672B9" w:rsidRPr="00F27EB2">
        <w:rPr>
          <w:lang w:val="en-US"/>
        </w:rPr>
        <w:t>Assuming</w:t>
      </w:r>
      <w:r w:rsidR="00026CD6" w:rsidRPr="00F27EB2">
        <w:rPr>
          <w:lang w:val="en-US"/>
        </w:rPr>
        <w:t xml:space="preserve"> that intention is visible only in divergences,</w:t>
      </w:r>
      <w:r w:rsidRPr="00F27EB2">
        <w:rPr>
          <w:rStyle w:val="Voetnootmarkering"/>
          <w:lang w:val="en-US"/>
        </w:rPr>
        <w:footnoteReference w:id="98"/>
      </w:r>
      <w:r w:rsidR="00026CD6" w:rsidRPr="00F27EB2">
        <w:rPr>
          <w:lang w:val="en-US"/>
        </w:rPr>
        <w:t xml:space="preserve"> research </w:t>
      </w:r>
      <w:r w:rsidR="006672B9" w:rsidRPr="00F27EB2">
        <w:rPr>
          <w:lang w:val="en-US"/>
        </w:rPr>
        <w:t>should</w:t>
      </w:r>
      <w:r w:rsidR="00026CD6" w:rsidRPr="00F27EB2">
        <w:rPr>
          <w:lang w:val="en-US"/>
        </w:rPr>
        <w:t xml:space="preserve"> focus exclusively on </w:t>
      </w:r>
      <w:r w:rsidR="00026CD6" w:rsidRPr="00F27EB2">
        <w:rPr>
          <w:i/>
          <w:iCs/>
          <w:lang w:val="en-US"/>
        </w:rPr>
        <w:t>anti</w:t>
      </w:r>
      <w:r w:rsidR="00026CD6" w:rsidRPr="00F27EB2">
        <w:rPr>
          <w:lang w:val="en-US"/>
        </w:rPr>
        <w:t>-anthropomorphism, where Hebrew anthropomorphisms disappear in the Greek text. Yet the opposite also offers important insights. In Hos</w:t>
      </w:r>
      <w:r w:rsidRPr="00F27EB2">
        <w:rPr>
          <w:lang w:val="en-US"/>
        </w:rPr>
        <w:t xml:space="preserve"> 9:12</w:t>
      </w:r>
      <w:r w:rsidR="00026CD6" w:rsidRPr="00F27EB2">
        <w:rPr>
          <w:lang w:val="en-US"/>
        </w:rPr>
        <w:t xml:space="preserve">, for instance, the Greek speaks of God’s </w:t>
      </w:r>
      <w:proofErr w:type="spellStart"/>
      <w:r w:rsidR="00026CD6" w:rsidRPr="00F27EB2">
        <w:rPr>
          <w:lang w:val="en-US"/>
        </w:rPr>
        <w:t>σάρξ</w:t>
      </w:r>
      <w:proofErr w:type="spellEnd"/>
      <w:r w:rsidR="00026CD6" w:rsidRPr="00F27EB2">
        <w:rPr>
          <w:lang w:val="en-US"/>
        </w:rPr>
        <w:t>,</w:t>
      </w:r>
      <w:r w:rsidRPr="00F27EB2">
        <w:rPr>
          <w:rStyle w:val="Voetnootmarkering"/>
          <w:lang w:val="en-US"/>
        </w:rPr>
        <w:footnoteReference w:id="99"/>
      </w:r>
      <w:r w:rsidR="00026CD6" w:rsidRPr="00F27EB2">
        <w:rPr>
          <w:lang w:val="en-US"/>
        </w:rPr>
        <w:t xml:space="preserve"> though the Hebrew never attributes </w:t>
      </w:r>
      <w:r w:rsidR="00026CD6" w:rsidRPr="00F27EB2">
        <w:rPr>
          <w:rtl/>
          <w:lang w:val="en-US"/>
        </w:rPr>
        <w:t>בָּשָׂר</w:t>
      </w:r>
      <w:r w:rsidR="00026CD6" w:rsidRPr="00F27EB2">
        <w:rPr>
          <w:lang w:val="en-US"/>
        </w:rPr>
        <w:t xml:space="preserve"> to God.</w:t>
      </w:r>
      <w:r w:rsidRPr="00F27EB2">
        <w:rPr>
          <w:rStyle w:val="Voetnootmarkering"/>
          <w:lang w:val="en-US"/>
        </w:rPr>
        <w:footnoteReference w:id="100"/>
      </w:r>
      <w:r w:rsidR="00026CD6" w:rsidRPr="00F27EB2">
        <w:rPr>
          <w:lang w:val="en-US"/>
        </w:rPr>
        <w:t xml:space="preserve"> Such examples show that the study of Greek anthropomorphisms themselves, not merely their suppression, reveals what translators found objectionable or acceptable.</w:t>
      </w:r>
      <w:r w:rsidRPr="00F27EB2">
        <w:rPr>
          <w:lang w:val="en-US"/>
        </w:rPr>
        <w:t xml:space="preserve"> </w:t>
      </w:r>
      <w:r w:rsidR="00D65C31" w:rsidRPr="00F27EB2">
        <w:rPr>
          <w:lang w:val="en-US"/>
        </w:rPr>
        <w:t>Details</w:t>
      </w:r>
      <w:r w:rsidR="00026CD6" w:rsidRPr="00F27EB2">
        <w:rPr>
          <w:lang w:val="en-US"/>
        </w:rPr>
        <w:t xml:space="preserve"> also illuminate the translators’ attitude to divine corporeality. </w:t>
      </w:r>
      <w:r w:rsidRPr="00F27EB2">
        <w:rPr>
          <w:lang w:val="en-US"/>
        </w:rPr>
        <w:t>For instance, i</w:t>
      </w:r>
      <w:r w:rsidR="00026CD6" w:rsidRPr="00F27EB2">
        <w:rPr>
          <w:lang w:val="en-US"/>
        </w:rPr>
        <w:t xml:space="preserve">n the Pentateuch, the rendering of God’s sensory activity is marked by subtle distinctions: the Hebrew </w:t>
      </w:r>
      <w:r w:rsidR="00026CD6" w:rsidRPr="00F27EB2">
        <w:rPr>
          <w:rtl/>
          <w:lang w:val="en-US"/>
        </w:rPr>
        <w:t>שָׁמַע</w:t>
      </w:r>
      <w:r w:rsidR="00026CD6" w:rsidRPr="00F27EB2">
        <w:rPr>
          <w:lang w:val="en-US"/>
        </w:rPr>
        <w:t xml:space="preserve"> is translated with different compounds, such as ἐπα</w:t>
      </w:r>
      <w:proofErr w:type="spellStart"/>
      <w:r w:rsidR="00026CD6" w:rsidRPr="00F27EB2">
        <w:rPr>
          <w:lang w:val="en-US"/>
        </w:rPr>
        <w:t>κούω</w:t>
      </w:r>
      <w:proofErr w:type="spellEnd"/>
      <w:r w:rsidR="00026CD6" w:rsidRPr="00F27EB2">
        <w:rPr>
          <w:lang w:val="en-US"/>
        </w:rPr>
        <w:t xml:space="preserve"> for God and ὑπα</w:t>
      </w:r>
      <w:proofErr w:type="spellStart"/>
      <w:r w:rsidR="00026CD6" w:rsidRPr="00F27EB2">
        <w:rPr>
          <w:lang w:val="en-US"/>
        </w:rPr>
        <w:t>κούω</w:t>
      </w:r>
      <w:proofErr w:type="spellEnd"/>
      <w:r w:rsidR="00026CD6" w:rsidRPr="00F27EB2">
        <w:rPr>
          <w:lang w:val="en-US"/>
        </w:rPr>
        <w:t xml:space="preserve"> for humans. Both retain anthropomorphic imagery</w:t>
      </w:r>
      <w:r w:rsidRPr="00F27EB2">
        <w:rPr>
          <w:lang w:val="en-US"/>
        </w:rPr>
        <w:t xml:space="preserve"> </w:t>
      </w:r>
      <w:proofErr w:type="gramStart"/>
      <w:r w:rsidRPr="00F27EB2">
        <w:rPr>
          <w:lang w:val="en-US"/>
        </w:rPr>
        <w:t>–</w:t>
      </w:r>
      <w:r w:rsidR="00026CD6" w:rsidRPr="00F27EB2">
        <w:rPr>
          <w:lang w:val="en-US"/>
        </w:rPr>
        <w:t>“</w:t>
      </w:r>
      <w:proofErr w:type="gramEnd"/>
      <w:r w:rsidR="00026CD6" w:rsidRPr="00F27EB2">
        <w:rPr>
          <w:lang w:val="en-US"/>
        </w:rPr>
        <w:t>hearing” applied to God and man alike</w:t>
      </w:r>
      <w:r w:rsidRPr="00F27EB2">
        <w:rPr>
          <w:lang w:val="en-US"/>
        </w:rPr>
        <w:t xml:space="preserve"> – </w:t>
      </w:r>
      <w:r w:rsidR="00026CD6" w:rsidRPr="00F27EB2">
        <w:rPr>
          <w:lang w:val="en-US"/>
        </w:rPr>
        <w:t xml:space="preserve">but prepositional nuances create theological </w:t>
      </w:r>
      <w:r w:rsidRPr="00F27EB2">
        <w:rPr>
          <w:lang w:val="en-US"/>
        </w:rPr>
        <w:t xml:space="preserve">(a listening God, an obedient human) </w:t>
      </w:r>
      <w:r w:rsidR="00026CD6" w:rsidRPr="00F27EB2">
        <w:rPr>
          <w:lang w:val="en-US"/>
        </w:rPr>
        <w:t xml:space="preserve">or even spatial distinctions. A narrow focus on </w:t>
      </w:r>
      <w:r w:rsidRPr="00F27EB2">
        <w:rPr>
          <w:lang w:val="en-US"/>
        </w:rPr>
        <w:t>gross anti-anthropomorphisms alone</w:t>
      </w:r>
      <w:r w:rsidR="00026CD6" w:rsidRPr="00F27EB2">
        <w:rPr>
          <w:lang w:val="en-US"/>
        </w:rPr>
        <w:t xml:space="preserve"> would overlook such meaningful details.</w:t>
      </w:r>
    </w:p>
    <w:p w14:paraId="621246F7" w14:textId="2F3D7217" w:rsidR="00B95669" w:rsidRPr="00F27EB2" w:rsidRDefault="00026CD6" w:rsidP="00CC0D42">
      <w:pPr>
        <w:pStyle w:val="Normaalweb"/>
        <w:spacing w:before="0" w:beforeAutospacing="0" w:after="0" w:afterAutospacing="0"/>
        <w:ind w:firstLine="708"/>
        <w:jc w:val="both"/>
        <w:rPr>
          <w:lang w:val="en-US"/>
        </w:rPr>
      </w:pPr>
      <w:r w:rsidRPr="00F27EB2">
        <w:rPr>
          <w:lang w:val="en-US"/>
        </w:rPr>
        <w:lastRenderedPageBreak/>
        <w:t xml:space="preserve">Beyond the </w:t>
      </w:r>
      <w:r w:rsidRPr="00F27EB2">
        <w:rPr>
          <w:i/>
          <w:iCs/>
          <w:lang w:val="en-US"/>
        </w:rPr>
        <w:t>translator</w:t>
      </w:r>
      <w:r w:rsidRPr="00F27EB2">
        <w:rPr>
          <w:lang w:val="en-US"/>
        </w:rPr>
        <w:t xml:space="preserve">’s intention lies the question of the </w:t>
      </w:r>
      <w:proofErr w:type="spellStart"/>
      <w:r w:rsidR="00CC0D42" w:rsidRPr="00F27EB2">
        <w:rPr>
          <w:smallCaps/>
          <w:lang w:val="en-US"/>
        </w:rPr>
        <w:t>lxx</w:t>
      </w:r>
      <w:r w:rsidR="00CC0D42" w:rsidRPr="00F27EB2">
        <w:rPr>
          <w:lang w:val="en-US"/>
        </w:rPr>
        <w:t>’s</w:t>
      </w:r>
      <w:proofErr w:type="spellEnd"/>
      <w:r w:rsidRPr="00F27EB2">
        <w:rPr>
          <w:lang w:val="en-US"/>
        </w:rPr>
        <w:t xml:space="preserve"> </w:t>
      </w:r>
      <w:proofErr w:type="gramStart"/>
      <w:r w:rsidRPr="00F27EB2">
        <w:rPr>
          <w:lang w:val="en-US"/>
        </w:rPr>
        <w:t xml:space="preserve">purpose </w:t>
      </w:r>
      <w:r w:rsidRPr="00F27EB2">
        <w:rPr>
          <w:i/>
          <w:iCs/>
          <w:lang w:val="en-US"/>
        </w:rPr>
        <w:t>as a whole</w:t>
      </w:r>
      <w:proofErr w:type="gramEnd"/>
      <w:r w:rsidRPr="00F27EB2">
        <w:rPr>
          <w:lang w:val="en-US"/>
        </w:rPr>
        <w:t>.</w:t>
      </w:r>
      <w:r w:rsidR="00FB490F" w:rsidRPr="00F27EB2">
        <w:rPr>
          <w:rStyle w:val="Voetnootmarkering"/>
          <w:lang w:val="en-US"/>
        </w:rPr>
        <w:footnoteReference w:id="101"/>
      </w:r>
      <w:r w:rsidRPr="00F27EB2">
        <w:rPr>
          <w:lang w:val="en-US"/>
        </w:rPr>
        <w:t xml:space="preserve"> Interpretations of </w:t>
      </w:r>
      <w:r w:rsidR="00CC434D" w:rsidRPr="00F27EB2">
        <w:rPr>
          <w:smallCaps/>
          <w:lang w:val="en-US"/>
        </w:rPr>
        <w:t>lxx</w:t>
      </w:r>
      <w:r w:rsidRPr="00F27EB2">
        <w:rPr>
          <w:lang w:val="en-US"/>
        </w:rPr>
        <w:t xml:space="preserve"> text depend on </w:t>
      </w:r>
      <w:r w:rsidR="0015399C" w:rsidRPr="00F27EB2">
        <w:rPr>
          <w:lang w:val="en-US"/>
        </w:rPr>
        <w:t>its</w:t>
      </w:r>
      <w:r w:rsidRPr="00F27EB2">
        <w:rPr>
          <w:lang w:val="en-US"/>
        </w:rPr>
        <w:t xml:space="preserve"> assumed </w:t>
      </w:r>
      <w:r w:rsidRPr="00F27EB2">
        <w:rPr>
          <w:i/>
          <w:iCs/>
          <w:lang w:val="en-US"/>
        </w:rPr>
        <w:t xml:space="preserve">Sitz </w:t>
      </w:r>
      <w:proofErr w:type="spellStart"/>
      <w:r w:rsidRPr="00F27EB2">
        <w:rPr>
          <w:i/>
          <w:iCs/>
          <w:lang w:val="en-US"/>
        </w:rPr>
        <w:t>im</w:t>
      </w:r>
      <w:proofErr w:type="spellEnd"/>
      <w:r w:rsidRPr="00F27EB2">
        <w:rPr>
          <w:i/>
          <w:iCs/>
          <w:lang w:val="en-US"/>
        </w:rPr>
        <w:t xml:space="preserve"> Leben</w:t>
      </w:r>
      <w:r w:rsidRPr="00F27EB2">
        <w:rPr>
          <w:lang w:val="en-US"/>
        </w:rPr>
        <w:t xml:space="preserve">. If seen as a synagogue text for Diaspora Judaism, differences in anthropomorphic language may be read as theologically motivated. If linked to the Alexandrian </w:t>
      </w:r>
      <w:proofErr w:type="spellStart"/>
      <w:r w:rsidRPr="00F27EB2">
        <w:rPr>
          <w:rStyle w:val="Nadruk"/>
          <w:rFonts w:eastAsiaTheme="majorEastAsia"/>
          <w:lang w:val="en-US"/>
        </w:rPr>
        <w:t>Mouseion</w:t>
      </w:r>
      <w:proofErr w:type="spellEnd"/>
      <w:r w:rsidRPr="00F27EB2">
        <w:rPr>
          <w:lang w:val="en-US"/>
        </w:rPr>
        <w:t xml:space="preserve">, pedagogical or philosophical aims come to the fore, and are aligned with Alexandrian thought. If regarded as a legal document within the Ptolemaic administration, </w:t>
      </w:r>
      <w:r w:rsidR="0015399C" w:rsidRPr="00F27EB2">
        <w:rPr>
          <w:lang w:val="en-US"/>
        </w:rPr>
        <w:t>geopolitical</w:t>
      </w:r>
      <w:r w:rsidRPr="00F27EB2">
        <w:rPr>
          <w:lang w:val="en-US"/>
        </w:rPr>
        <w:t xml:space="preserve"> concerns dominate, with elements </w:t>
      </w:r>
      <w:r w:rsidR="0015399C" w:rsidRPr="00F27EB2">
        <w:rPr>
          <w:lang w:val="en-US"/>
        </w:rPr>
        <w:t>like</w:t>
      </w:r>
      <w:r w:rsidRPr="00F27EB2">
        <w:rPr>
          <w:lang w:val="en-US"/>
        </w:rPr>
        <w:t xml:space="preserve"> </w:t>
      </w:r>
      <w:r w:rsidR="0015399C" w:rsidRPr="00F27EB2">
        <w:rPr>
          <w:lang w:val="en-US"/>
        </w:rPr>
        <w:t xml:space="preserve">the </w:t>
      </w:r>
      <w:r w:rsidR="00FB490F" w:rsidRPr="00F27EB2">
        <w:rPr>
          <w:lang w:val="en-US"/>
        </w:rPr>
        <w:t>anthropomorphic</w:t>
      </w:r>
      <w:r w:rsidRPr="00F27EB2">
        <w:rPr>
          <w:lang w:val="en-US"/>
        </w:rPr>
        <w:t xml:space="preserve"> </w:t>
      </w:r>
      <w:proofErr w:type="spellStart"/>
      <w:r w:rsidRPr="00F27EB2">
        <w:rPr>
          <w:rStyle w:val="Nadruk"/>
          <w:rFonts w:eastAsiaTheme="majorEastAsia"/>
          <w:lang w:val="en-US"/>
        </w:rPr>
        <w:t>visio</w:t>
      </w:r>
      <w:proofErr w:type="spellEnd"/>
      <w:r w:rsidRPr="00F27EB2">
        <w:rPr>
          <w:rStyle w:val="Nadruk"/>
          <w:rFonts w:eastAsiaTheme="majorEastAsia"/>
          <w:lang w:val="en-US"/>
        </w:rPr>
        <w:t xml:space="preserve"> Dei</w:t>
      </w:r>
      <w:r w:rsidRPr="00F27EB2">
        <w:rPr>
          <w:lang w:val="en-US"/>
        </w:rPr>
        <w:t xml:space="preserve"> serving as indicators of an Egyptian rather than Palestinian context.</w:t>
      </w:r>
      <w:r w:rsidR="00FB490F" w:rsidRPr="00F27EB2">
        <w:rPr>
          <w:rStyle w:val="Voetnootmarkering"/>
          <w:lang w:val="en-US"/>
        </w:rPr>
        <w:footnoteReference w:id="102"/>
      </w:r>
      <w:r w:rsidRPr="00F27EB2">
        <w:rPr>
          <w:lang w:val="en-US"/>
        </w:rPr>
        <w:t xml:space="preserve"> Clarifying such frameworks is </w:t>
      </w:r>
      <w:r w:rsidR="0015399C" w:rsidRPr="00F27EB2">
        <w:rPr>
          <w:lang w:val="en-US"/>
        </w:rPr>
        <w:t>a prerequisite</w:t>
      </w:r>
      <w:r w:rsidRPr="00F27EB2">
        <w:rPr>
          <w:lang w:val="en-US"/>
        </w:rPr>
        <w:t xml:space="preserve"> for evaluating </w:t>
      </w:r>
      <w:r w:rsidR="0015399C" w:rsidRPr="00F27EB2">
        <w:rPr>
          <w:smallCaps/>
          <w:lang w:val="en-US"/>
        </w:rPr>
        <w:t>lxx-</w:t>
      </w:r>
      <w:r w:rsidRPr="00F27EB2">
        <w:rPr>
          <w:lang w:val="en-US"/>
        </w:rPr>
        <w:t>anthropomorphisms.</w:t>
      </w:r>
    </w:p>
    <w:p w14:paraId="5C92AB21" w14:textId="77777777" w:rsidR="00221046" w:rsidRPr="00F27EB2" w:rsidRDefault="00221046" w:rsidP="00F00B8B">
      <w:pPr>
        <w:spacing w:before="100" w:beforeAutospacing="1" w:after="100" w:afterAutospacing="1"/>
        <w:jc w:val="both"/>
        <w:rPr>
          <w:rFonts w:ascii="Times New Roman" w:eastAsia="Times New Roman" w:hAnsi="Times New Roman" w:cs="Times New Roman"/>
          <w:b/>
          <w:bCs/>
          <w:lang w:val="en-US" w:eastAsia="nl-NL"/>
        </w:rPr>
      </w:pPr>
      <w:r w:rsidRPr="00F27EB2">
        <w:rPr>
          <w:rFonts w:ascii="Times New Roman" w:eastAsia="Times New Roman" w:hAnsi="Times New Roman" w:cs="Times New Roman"/>
          <w:b/>
          <w:bCs/>
          <w:lang w:val="en-US" w:eastAsia="nl-NL"/>
        </w:rPr>
        <w:t>2.3 Translation Technique</w:t>
      </w:r>
    </w:p>
    <w:p w14:paraId="65C905C0" w14:textId="4FC2B03D" w:rsidR="00CC434D" w:rsidRPr="00F27EB2" w:rsidRDefault="00221046" w:rsidP="00A41134">
      <w:pPr>
        <w:pStyle w:val="Normaalweb"/>
        <w:jc w:val="both"/>
        <w:rPr>
          <w:lang w:val="en-US"/>
        </w:rPr>
      </w:pPr>
      <w:r w:rsidRPr="00F27EB2">
        <w:rPr>
          <w:lang w:val="en-US"/>
        </w:rPr>
        <w:t xml:space="preserve">A third challenge </w:t>
      </w:r>
      <w:r w:rsidR="0015399C" w:rsidRPr="00F27EB2">
        <w:rPr>
          <w:lang w:val="en-US"/>
        </w:rPr>
        <w:t>concerns</w:t>
      </w:r>
      <w:r w:rsidRPr="00F27EB2">
        <w:rPr>
          <w:lang w:val="en-US"/>
        </w:rPr>
        <w:t xml:space="preserve"> the expanding field of </w:t>
      </w:r>
      <w:r w:rsidR="00CC0D42" w:rsidRPr="00F27EB2">
        <w:rPr>
          <w:smallCaps/>
          <w:lang w:val="en-US"/>
        </w:rPr>
        <w:t>lxx</w:t>
      </w:r>
      <w:r w:rsidR="00CC0D42" w:rsidRPr="00F27EB2">
        <w:rPr>
          <w:lang w:val="en-US"/>
        </w:rPr>
        <w:t>-</w:t>
      </w:r>
      <w:r w:rsidRPr="00F27EB2">
        <w:rPr>
          <w:lang w:val="en-US"/>
        </w:rPr>
        <w:t>translation</w:t>
      </w:r>
      <w:r w:rsidR="00CC0D42" w:rsidRPr="00F27EB2">
        <w:rPr>
          <w:lang w:val="en-US"/>
        </w:rPr>
        <w:t>-</w:t>
      </w:r>
      <w:r w:rsidRPr="00F27EB2">
        <w:rPr>
          <w:lang w:val="en-US"/>
        </w:rPr>
        <w:t>technique</w:t>
      </w:r>
      <w:r w:rsidR="0015399C" w:rsidRPr="00F27EB2">
        <w:rPr>
          <w:lang w:val="en-US"/>
        </w:rPr>
        <w:t xml:space="preserve">, where </w:t>
      </w:r>
      <w:r w:rsidRPr="00F27EB2">
        <w:rPr>
          <w:lang w:val="en-US"/>
        </w:rPr>
        <w:t xml:space="preserve">anthropomorphisms </w:t>
      </w:r>
      <w:r w:rsidR="0015399C" w:rsidRPr="00F27EB2">
        <w:rPr>
          <w:lang w:val="en-US"/>
        </w:rPr>
        <w:t>raise</w:t>
      </w:r>
      <w:r w:rsidRPr="00F27EB2">
        <w:rPr>
          <w:lang w:val="en-US"/>
        </w:rPr>
        <w:t xml:space="preserve"> several issues. For example, Pentateuchal anthropomorphisms have received extensive attention, while books</w:t>
      </w:r>
      <w:r w:rsidR="0015399C" w:rsidRPr="00F27EB2">
        <w:rPr>
          <w:lang w:val="en-US"/>
        </w:rPr>
        <w:t xml:space="preserve"> like </w:t>
      </w:r>
      <w:r w:rsidRPr="00F27EB2">
        <w:rPr>
          <w:lang w:val="en-US"/>
        </w:rPr>
        <w:t xml:space="preserve">Ruth </w:t>
      </w:r>
      <w:r w:rsidR="0015399C" w:rsidRPr="00F27EB2">
        <w:rPr>
          <w:lang w:val="en-US"/>
        </w:rPr>
        <w:t>remain</w:t>
      </w:r>
      <w:r w:rsidRPr="00F27EB2">
        <w:rPr>
          <w:lang w:val="en-US"/>
        </w:rPr>
        <w:t xml:space="preserve"> largely </w:t>
      </w:r>
      <w:r w:rsidR="0015399C" w:rsidRPr="00F27EB2">
        <w:rPr>
          <w:lang w:val="en-US"/>
        </w:rPr>
        <w:t>overlooked</w:t>
      </w:r>
      <w:r w:rsidRPr="00F27EB2">
        <w:rPr>
          <w:lang w:val="en-US"/>
        </w:rPr>
        <w:t xml:space="preserve">. This </w:t>
      </w:r>
      <w:r w:rsidR="0015399C" w:rsidRPr="00F27EB2">
        <w:rPr>
          <w:lang w:val="en-US"/>
        </w:rPr>
        <w:t>imbalance</w:t>
      </w:r>
      <w:r w:rsidRPr="00F27EB2">
        <w:rPr>
          <w:lang w:val="en-US"/>
        </w:rPr>
        <w:t xml:space="preserve"> may reflect </w:t>
      </w:r>
      <w:r w:rsidR="00A41134" w:rsidRPr="00F27EB2">
        <w:rPr>
          <w:lang w:val="en-US"/>
        </w:rPr>
        <w:t>assumptions</w:t>
      </w:r>
      <w:r w:rsidR="0015399C" w:rsidRPr="00F27EB2">
        <w:rPr>
          <w:lang w:val="en-US"/>
        </w:rPr>
        <w:t xml:space="preserve"> about</w:t>
      </w:r>
      <w:r w:rsidRPr="00F27EB2">
        <w:rPr>
          <w:lang w:val="en-US"/>
        </w:rPr>
        <w:t xml:space="preserve"> translation style: </w:t>
      </w:r>
      <w:r w:rsidR="00B95669" w:rsidRPr="00F27EB2">
        <w:rPr>
          <w:smallCaps/>
          <w:lang w:val="en-US"/>
        </w:rPr>
        <w:t>lxx</w:t>
      </w:r>
      <w:r w:rsidR="00B95669" w:rsidRPr="00F27EB2">
        <w:rPr>
          <w:lang w:val="en-US"/>
        </w:rPr>
        <w:t>-</w:t>
      </w:r>
      <w:r w:rsidRPr="00F27EB2">
        <w:rPr>
          <w:lang w:val="en-US"/>
        </w:rPr>
        <w:t xml:space="preserve">Ruth has historically been </w:t>
      </w:r>
      <w:r w:rsidR="0015399C" w:rsidRPr="00F27EB2">
        <w:rPr>
          <w:lang w:val="en-US"/>
        </w:rPr>
        <w:t>considered</w:t>
      </w:r>
      <w:r w:rsidRPr="00F27EB2">
        <w:rPr>
          <w:lang w:val="en-US"/>
        </w:rPr>
        <w:t xml:space="preserve"> literal,</w:t>
      </w:r>
      <w:r w:rsidR="00B95669" w:rsidRPr="00F27EB2">
        <w:rPr>
          <w:rStyle w:val="Voetnootmarkering"/>
          <w:lang w:val="en-US"/>
        </w:rPr>
        <w:footnoteReference w:id="103"/>
      </w:r>
      <w:r w:rsidRPr="00F27EB2">
        <w:rPr>
          <w:lang w:val="en-US"/>
        </w:rPr>
        <w:t xml:space="preserve"> suggesting that little could be </w:t>
      </w:r>
      <w:r w:rsidR="0015399C" w:rsidRPr="00F27EB2">
        <w:rPr>
          <w:lang w:val="en-US"/>
        </w:rPr>
        <w:t xml:space="preserve">learned from </w:t>
      </w:r>
      <w:r w:rsidRPr="00F27EB2">
        <w:rPr>
          <w:lang w:val="en-US"/>
        </w:rPr>
        <w:t xml:space="preserve">its anthropomorphisms. </w:t>
      </w:r>
      <w:r w:rsidR="00A41134" w:rsidRPr="00F27EB2">
        <w:t>It</w:t>
      </w:r>
      <w:r w:rsidR="00A41134" w:rsidRPr="00F27EB2">
        <w:t xml:space="preserve"> </w:t>
      </w:r>
      <w:r w:rsidR="00A41134" w:rsidRPr="00F27EB2">
        <w:t>is</w:t>
      </w:r>
      <w:r w:rsidR="00A41134" w:rsidRPr="00F27EB2">
        <w:t xml:space="preserve"> worth asking whether such “literal” books always maintain strict correspondence, or whether deviations occur that complicate this view</w:t>
      </w:r>
      <w:r w:rsidR="00A41134" w:rsidRPr="00F27EB2">
        <w:t>.</w:t>
      </w:r>
      <w:r w:rsidR="00A41134" w:rsidRPr="00F27EB2">
        <w:rPr>
          <w:lang w:val="en-US"/>
        </w:rPr>
        <w:t xml:space="preserve"> </w:t>
      </w:r>
      <w:r w:rsidR="00A41134" w:rsidRPr="00F27EB2">
        <w:t xml:space="preserve">Similar questions arise in Isaiah, where some chapters render anthropomorphisms literally while others </w:t>
      </w:r>
      <w:r w:rsidR="00A41134" w:rsidRPr="00F27EB2">
        <w:t>(</w:t>
      </w:r>
      <w:r w:rsidR="00A41134" w:rsidRPr="00F27EB2">
        <w:t>36–39) seem to alter them</w:t>
      </w:r>
      <w:r w:rsidRPr="00F27EB2">
        <w:rPr>
          <w:lang w:val="en-US"/>
        </w:rPr>
        <w:t>.</w:t>
      </w:r>
      <w:r w:rsidR="00B95669" w:rsidRPr="00F27EB2">
        <w:rPr>
          <w:rStyle w:val="Voetnootmarkering"/>
          <w:lang w:val="en-US"/>
        </w:rPr>
        <w:footnoteReference w:id="104"/>
      </w:r>
      <w:r w:rsidRPr="00F27EB2">
        <w:rPr>
          <w:lang w:val="en-US"/>
        </w:rPr>
        <w:t xml:space="preserve"> Should this be attributed, as Hurwitz suggests,</w:t>
      </w:r>
      <w:r w:rsidR="00B95669" w:rsidRPr="00F27EB2">
        <w:rPr>
          <w:rStyle w:val="Voetnootmarkering"/>
          <w:lang w:val="en-US"/>
        </w:rPr>
        <w:footnoteReference w:id="105"/>
      </w:r>
      <w:r w:rsidRPr="00F27EB2">
        <w:rPr>
          <w:lang w:val="en-US"/>
        </w:rPr>
        <w:t xml:space="preserve"> to multiple translators, or are other factors at play?</w:t>
      </w:r>
      <w:r w:rsidR="00A41134" w:rsidRPr="00F27EB2">
        <w:rPr>
          <w:lang w:val="en-US"/>
        </w:rPr>
        <w:t xml:space="preserve"> </w:t>
      </w:r>
      <w:r w:rsidR="00A41134" w:rsidRPr="00F27EB2">
        <w:t>The issue also touches on translator identity and intertextual relationships</w:t>
      </w:r>
      <w:r w:rsidR="00A41134" w:rsidRPr="00F27EB2">
        <w:t>. For instance, t</w:t>
      </w:r>
      <w:r w:rsidR="00A41134" w:rsidRPr="00F27EB2">
        <w:t xml:space="preserve">o what extent did later </w:t>
      </w:r>
      <w:r w:rsidR="00A41134" w:rsidRPr="00F27EB2">
        <w:rPr>
          <w:smallCaps/>
        </w:rPr>
        <w:t>lxx</w:t>
      </w:r>
      <w:r w:rsidR="00A41134" w:rsidRPr="00F27EB2">
        <w:t>-books draw on the Pentateuch as a lexical or stylistic model?</w:t>
      </w:r>
      <w:r w:rsidR="00A41134" w:rsidRPr="00F27EB2">
        <w:rPr>
          <w:rStyle w:val="Voetnootmarkering"/>
          <w:lang w:val="en-US"/>
        </w:rPr>
        <w:t xml:space="preserve"> </w:t>
      </w:r>
      <w:r w:rsidR="00A41134" w:rsidRPr="00F27EB2">
        <w:rPr>
          <w:rStyle w:val="Voetnootmarkering"/>
          <w:lang w:val="en-US"/>
        </w:rPr>
        <w:footnoteReference w:id="106"/>
      </w:r>
      <w:r w:rsidR="00A41134" w:rsidRPr="00F27EB2">
        <w:t xml:space="preserve"> Some apparent anti-anthropomorphic renderings may reflect such dependence rather than </w:t>
      </w:r>
      <w:r w:rsidR="00A41134" w:rsidRPr="00F27EB2">
        <w:t>intentional omission</w:t>
      </w:r>
      <w:r w:rsidR="00A41134" w:rsidRPr="00F27EB2">
        <w:t>.</w:t>
      </w:r>
      <w:r w:rsidRPr="00F27EB2">
        <w:rPr>
          <w:lang w:val="en-US"/>
        </w:rPr>
        <w:t xml:space="preserve"> In this way, the study of anthropomorphisms </w:t>
      </w:r>
      <w:r w:rsidR="00A41134" w:rsidRPr="00F27EB2">
        <w:t xml:space="preserve">continues to illuminate broader questions of translation technique, translator identity, and the interaction of different </w:t>
      </w:r>
      <w:r w:rsidR="00A41134" w:rsidRPr="00F27EB2">
        <w:rPr>
          <w:smallCaps/>
        </w:rPr>
        <w:t>lxx-</w:t>
      </w:r>
      <w:r w:rsidR="00A41134" w:rsidRPr="00F27EB2">
        <w:t>texts</w:t>
      </w:r>
      <w:r w:rsidRPr="00F27EB2">
        <w:rPr>
          <w:lang w:val="en-US"/>
        </w:rPr>
        <w:t>.</w:t>
      </w:r>
    </w:p>
    <w:p w14:paraId="67656589" w14:textId="4653C998" w:rsidR="00C4002B" w:rsidRPr="00F27EB2" w:rsidRDefault="00221046" w:rsidP="006B306F">
      <w:pPr>
        <w:spacing w:before="100" w:beforeAutospacing="1" w:after="100" w:afterAutospacing="1"/>
        <w:jc w:val="both"/>
        <w:rPr>
          <w:rFonts w:ascii="Times New Roman" w:hAnsi="Times New Roman" w:cs="Times New Roman"/>
          <w:b/>
          <w:bCs/>
          <w:lang w:val="en-US"/>
        </w:rPr>
      </w:pPr>
      <w:r w:rsidRPr="00F27EB2">
        <w:rPr>
          <w:rFonts w:ascii="Times New Roman" w:eastAsia="Times New Roman" w:hAnsi="Times New Roman" w:cs="Times New Roman"/>
          <w:b/>
          <w:bCs/>
          <w:lang w:val="en-US" w:eastAsia="nl-NL"/>
        </w:rPr>
        <w:t xml:space="preserve"> </w:t>
      </w:r>
      <w:r w:rsidR="002E51B1" w:rsidRPr="00F27EB2">
        <w:rPr>
          <w:rFonts w:ascii="Times New Roman" w:eastAsia="Times New Roman" w:hAnsi="Times New Roman" w:cs="Times New Roman"/>
          <w:b/>
          <w:bCs/>
          <w:lang w:val="en-US" w:eastAsia="nl-NL"/>
        </w:rPr>
        <w:t>2.4 Towards a Methodology</w:t>
      </w:r>
    </w:p>
    <w:p w14:paraId="1E8288B3" w14:textId="71BE7524" w:rsidR="002E51B1" w:rsidRPr="00F27EB2" w:rsidRDefault="002E51B1" w:rsidP="00070E3C">
      <w:pPr>
        <w:pStyle w:val="Normaalweb"/>
        <w:spacing w:before="0" w:beforeAutospacing="0" w:after="0" w:afterAutospacing="0"/>
        <w:jc w:val="both"/>
        <w:rPr>
          <w:lang w:val="en-US"/>
        </w:rPr>
      </w:pPr>
      <w:r w:rsidRPr="00F27EB2">
        <w:rPr>
          <w:lang w:val="en-US"/>
        </w:rPr>
        <w:t xml:space="preserve">These three challenges indicate the need for a robust methodological framework, to reach more nuanced conclusions that contribute to broader debates in </w:t>
      </w:r>
      <w:r w:rsidRPr="00F27EB2">
        <w:rPr>
          <w:smallCaps/>
          <w:lang w:val="en-US"/>
        </w:rPr>
        <w:t>lxx</w:t>
      </w:r>
      <w:r w:rsidRPr="00F27EB2">
        <w:rPr>
          <w:lang w:val="en-US"/>
        </w:rPr>
        <w:t>-scholarship.</w:t>
      </w:r>
    </w:p>
    <w:p w14:paraId="10C2F9F8" w14:textId="5897D3AD" w:rsidR="002E51B1" w:rsidRPr="00F27EB2" w:rsidRDefault="002E51B1" w:rsidP="00070E3C">
      <w:pPr>
        <w:pStyle w:val="Normaalweb"/>
        <w:spacing w:before="0" w:beforeAutospacing="0" w:after="0" w:afterAutospacing="0"/>
        <w:ind w:firstLine="708"/>
        <w:jc w:val="both"/>
        <w:rPr>
          <w:lang w:val="en-US"/>
        </w:rPr>
      </w:pPr>
      <w:proofErr w:type="gramStart"/>
      <w:r w:rsidRPr="00F27EB2">
        <w:rPr>
          <w:lang w:val="en-US"/>
        </w:rPr>
        <w:t>It is clear that an</w:t>
      </w:r>
      <w:proofErr w:type="gramEnd"/>
      <w:r w:rsidRPr="00F27EB2">
        <w:rPr>
          <w:lang w:val="en-US"/>
        </w:rPr>
        <w:t xml:space="preserve"> “</w:t>
      </w:r>
      <w:proofErr w:type="spellStart"/>
      <w:r w:rsidRPr="00F27EB2">
        <w:rPr>
          <w:lang w:val="en-US"/>
        </w:rPr>
        <w:t>atomistische</w:t>
      </w:r>
      <w:proofErr w:type="spellEnd"/>
      <w:r w:rsidRPr="00F27EB2">
        <w:rPr>
          <w:lang w:val="en-US"/>
        </w:rPr>
        <w:t xml:space="preserve"> </w:t>
      </w:r>
      <w:proofErr w:type="spellStart"/>
      <w:r w:rsidRPr="00F27EB2">
        <w:rPr>
          <w:lang w:val="en-US"/>
        </w:rPr>
        <w:t>Vergleichung</w:t>
      </w:r>
      <w:proofErr w:type="spellEnd"/>
      <w:r w:rsidRPr="00F27EB2">
        <w:rPr>
          <w:lang w:val="en-US"/>
        </w:rPr>
        <w:t xml:space="preserve"> von Urtext und </w:t>
      </w:r>
      <w:proofErr w:type="spellStart"/>
      <w:r w:rsidRPr="00F27EB2">
        <w:rPr>
          <w:lang w:val="en-US"/>
        </w:rPr>
        <w:t>Übersetzung</w:t>
      </w:r>
      <w:proofErr w:type="spellEnd"/>
      <w:r w:rsidR="00F355B2" w:rsidRPr="00F27EB2">
        <w:rPr>
          <w:lang w:val="en-US"/>
        </w:rPr>
        <w:t>,</w:t>
      </w:r>
      <w:r w:rsidRPr="00F27EB2">
        <w:rPr>
          <w:lang w:val="en-US"/>
        </w:rPr>
        <w:t>”</w:t>
      </w:r>
      <w:r w:rsidRPr="00F27EB2">
        <w:rPr>
          <w:rStyle w:val="Voetnootmarkering"/>
          <w:lang w:val="en-US"/>
        </w:rPr>
        <w:footnoteReference w:id="107"/>
      </w:r>
      <w:r w:rsidRPr="00F27EB2">
        <w:rPr>
          <w:lang w:val="en-US"/>
        </w:rPr>
        <w:t xml:space="preserve"> which juxtaposes </w:t>
      </w:r>
      <w:r w:rsidRPr="00F27EB2">
        <w:rPr>
          <w:smallCaps/>
          <w:lang w:val="en-US"/>
        </w:rPr>
        <w:t>mt</w:t>
      </w:r>
      <w:r w:rsidRPr="00F27EB2">
        <w:rPr>
          <w:lang w:val="en-US"/>
        </w:rPr>
        <w:t xml:space="preserve"> and </w:t>
      </w:r>
      <w:r w:rsidRPr="00F27EB2">
        <w:rPr>
          <w:smallCaps/>
          <w:lang w:val="en-US"/>
        </w:rPr>
        <w:t>lxx</w:t>
      </w:r>
      <w:r w:rsidRPr="00F27EB2">
        <w:rPr>
          <w:lang w:val="en-US"/>
        </w:rPr>
        <w:t xml:space="preserve"> word-by-word, is insufficient. While common in </w:t>
      </w:r>
      <w:r w:rsidR="00951815" w:rsidRPr="00F27EB2">
        <w:rPr>
          <w:lang w:val="en-US"/>
        </w:rPr>
        <w:t>studies</w:t>
      </w:r>
      <w:r w:rsidRPr="00F27EB2">
        <w:rPr>
          <w:lang w:val="en-US"/>
        </w:rPr>
        <w:t xml:space="preserve"> on </w:t>
      </w:r>
      <w:r w:rsidRPr="00F27EB2">
        <w:rPr>
          <w:smallCaps/>
          <w:lang w:val="en-US"/>
        </w:rPr>
        <w:t>lxx</w:t>
      </w:r>
      <w:r w:rsidRPr="00F27EB2">
        <w:rPr>
          <w:lang w:val="en-US"/>
        </w:rPr>
        <w:t xml:space="preserve">-anthropomorphisms, such comparisons reduce the </w:t>
      </w:r>
      <w:r w:rsidR="00951815" w:rsidRPr="00F27EB2">
        <w:rPr>
          <w:lang w:val="en-US"/>
        </w:rPr>
        <w:t>question</w:t>
      </w:r>
      <w:r w:rsidRPr="00F27EB2">
        <w:rPr>
          <w:lang w:val="en-US"/>
        </w:rPr>
        <w:t xml:space="preserve"> to a binary: is </w:t>
      </w:r>
      <w:r w:rsidRPr="00F27EB2">
        <w:rPr>
          <w:smallCaps/>
          <w:lang w:val="en-US"/>
        </w:rPr>
        <w:t>lxx</w:t>
      </w:r>
      <w:r w:rsidRPr="00F27EB2">
        <w:rPr>
          <w:lang w:val="en-US"/>
        </w:rPr>
        <w:t xml:space="preserve"> anthropomorphic or not? </w:t>
      </w:r>
      <w:proofErr w:type="gramStart"/>
      <w:r w:rsidR="00951815" w:rsidRPr="00F27EB2">
        <w:rPr>
          <w:lang w:val="en-US"/>
        </w:rPr>
        <w:t xml:space="preserve">In reality, </w:t>
      </w:r>
      <w:r w:rsidRPr="00F27EB2">
        <w:rPr>
          <w:lang w:val="en-US"/>
        </w:rPr>
        <w:t>renderings</w:t>
      </w:r>
      <w:proofErr w:type="gramEnd"/>
      <w:r w:rsidRPr="00F27EB2">
        <w:rPr>
          <w:lang w:val="en-US"/>
        </w:rPr>
        <w:t xml:space="preserve"> may vary within the same book or even verse, and more precise explanation</w:t>
      </w:r>
      <w:r w:rsidR="00951815" w:rsidRPr="00F27EB2">
        <w:rPr>
          <w:lang w:val="en-US"/>
        </w:rPr>
        <w:t>s</w:t>
      </w:r>
      <w:r w:rsidRPr="00F27EB2">
        <w:rPr>
          <w:lang w:val="en-US"/>
        </w:rPr>
        <w:t xml:space="preserve"> </w:t>
      </w:r>
      <w:r w:rsidR="00951815" w:rsidRPr="00F27EB2">
        <w:rPr>
          <w:lang w:val="en-US"/>
        </w:rPr>
        <w:t>are</w:t>
      </w:r>
      <w:r w:rsidRPr="00F27EB2">
        <w:rPr>
          <w:lang w:val="en-US"/>
        </w:rPr>
        <w:t xml:space="preserve"> required for these inconsistencies than simply dismissing them as either a lack of anti-anthropomorphic, consistent tendency, or as “glitches” in a thoroughly anti-anthropomorphic text. It is necessary to investigate </w:t>
      </w:r>
      <w:r w:rsidRPr="00F27EB2">
        <w:rPr>
          <w:i/>
          <w:iCs/>
          <w:lang w:val="en-US"/>
        </w:rPr>
        <w:t>why</w:t>
      </w:r>
      <w:r w:rsidRPr="00F27EB2">
        <w:rPr>
          <w:lang w:val="en-US"/>
        </w:rPr>
        <w:t xml:space="preserve"> certain elements were altered while others were retained. Evidence suggests that the translators were not avoiding </w:t>
      </w:r>
      <w:r w:rsidRPr="00F27EB2">
        <w:rPr>
          <w:lang w:val="en-US"/>
        </w:rPr>
        <w:lastRenderedPageBreak/>
        <w:t xml:space="preserve">anthropomorphisms </w:t>
      </w:r>
      <w:r w:rsidRPr="00F27EB2">
        <w:rPr>
          <w:i/>
          <w:iCs/>
          <w:lang w:val="en-US"/>
        </w:rPr>
        <w:t>per se</w:t>
      </w:r>
      <w:r w:rsidRPr="00F27EB2">
        <w:rPr>
          <w:lang w:val="en-US"/>
        </w:rPr>
        <w:t>, but rather specific associations connected to them</w:t>
      </w:r>
      <w:r w:rsidR="00951815" w:rsidRPr="00F27EB2">
        <w:rPr>
          <w:lang w:val="en-US"/>
        </w:rPr>
        <w:t xml:space="preserve"> – s</w:t>
      </w:r>
      <w:r w:rsidR="00951815" w:rsidRPr="00F27EB2">
        <w:t>uch as euphemistic references to “feet,” or broader religious concerns</w:t>
      </w:r>
      <w:r w:rsidR="00951815" w:rsidRPr="00F27EB2">
        <w:t>, like</w:t>
      </w:r>
      <w:r w:rsidRPr="00F27EB2">
        <w:rPr>
          <w:lang w:val="en-US"/>
        </w:rPr>
        <w:t xml:space="preserve"> their spatial and cultural distance from the Jerusalem Temple. </w:t>
      </w:r>
      <w:r w:rsidR="00951815" w:rsidRPr="00F27EB2">
        <w:t>Residing in the Diaspora, they may have sought to mitigate the impression that God was confined to the Jerusalem Temple. For example, in Exod 25:8, they rendered God’s contingent presence (ὀφθήσομαι) rather than a fixed dwelling (</w:t>
      </w:r>
      <w:r w:rsidR="00951815" w:rsidRPr="00F27EB2">
        <w:rPr>
          <w:rtl/>
        </w:rPr>
        <w:t>שכן</w:t>
      </w:r>
      <w:r w:rsidR="00951815" w:rsidRPr="00F27EB2">
        <w:t>), allowing for the possibility of divine appearance beyond the Temple, including within Diaspora communities</w:t>
      </w:r>
      <w:r w:rsidRPr="00F27EB2">
        <w:rPr>
          <w:lang w:val="en-US"/>
        </w:rPr>
        <w:t>.</w:t>
      </w:r>
      <w:r w:rsidR="00CB1EDE" w:rsidRPr="00F27EB2">
        <w:rPr>
          <w:rStyle w:val="Voetnootmarkering"/>
          <w:lang w:val="en-US"/>
        </w:rPr>
        <w:footnoteReference w:id="108"/>
      </w:r>
    </w:p>
    <w:p w14:paraId="7C91D947" w14:textId="6BC6BD8B" w:rsidR="00CB1EDE" w:rsidRPr="00F27EB2" w:rsidRDefault="002E51B1" w:rsidP="00070E3C">
      <w:pPr>
        <w:pStyle w:val="Normaalweb"/>
        <w:spacing w:before="0" w:beforeAutospacing="0" w:after="0" w:afterAutospacing="0"/>
        <w:ind w:firstLine="284"/>
        <w:jc w:val="both"/>
        <w:rPr>
          <w:lang w:val="en-US"/>
        </w:rPr>
      </w:pPr>
      <w:r w:rsidRPr="00F27EB2">
        <w:rPr>
          <w:lang w:val="en-US"/>
        </w:rPr>
        <w:t xml:space="preserve">Hence, to account for the </w:t>
      </w:r>
      <w:r w:rsidRPr="00F27EB2">
        <w:rPr>
          <w:i/>
          <w:iCs/>
          <w:lang w:val="en-US"/>
        </w:rPr>
        <w:t>multicausality</w:t>
      </w:r>
      <w:r w:rsidRPr="00F27EB2">
        <w:rPr>
          <w:lang w:val="en-US"/>
        </w:rPr>
        <w:t xml:space="preserve"> behind less literal renderings, </w:t>
      </w:r>
      <w:r w:rsidR="00951815" w:rsidRPr="00F27EB2">
        <w:t>analysis must be broad</w:t>
      </w:r>
      <w:r w:rsidRPr="00F27EB2">
        <w:rPr>
          <w:lang w:val="en-US"/>
        </w:rPr>
        <w:t xml:space="preserve">, </w:t>
      </w:r>
      <w:r w:rsidR="00951815" w:rsidRPr="00F27EB2">
        <w:t xml:space="preserve">combining quantitative aspects, such as consistency, with qualitative factors, including the contextual use of Greek vocabulary, stylistic features, and the translator’s </w:t>
      </w:r>
      <w:r w:rsidR="00951815" w:rsidRPr="00F27EB2">
        <w:t>sociolinguistic</w:t>
      </w:r>
      <w:r w:rsidR="00951815" w:rsidRPr="00F27EB2">
        <w:t xml:space="preserve"> milieu</w:t>
      </w:r>
      <w:r w:rsidRPr="00F27EB2">
        <w:rPr>
          <w:lang w:val="en-US"/>
        </w:rPr>
        <w:t xml:space="preserve">. For instance, hyperboles and tautologies (e.g., </w:t>
      </w:r>
      <w:proofErr w:type="spellStart"/>
      <w:r w:rsidRPr="00F27EB2">
        <w:rPr>
          <w:color w:val="000000"/>
          <w:lang w:val="en-US"/>
        </w:rPr>
        <w:t>θυμὸς</w:t>
      </w:r>
      <w:proofErr w:type="spellEnd"/>
      <w:r w:rsidRPr="00F27EB2">
        <w:rPr>
          <w:color w:val="000000"/>
          <w:lang w:val="en-US"/>
        </w:rPr>
        <w:t xml:space="preserve"> </w:t>
      </w:r>
      <w:proofErr w:type="spellStart"/>
      <w:r w:rsidRPr="00F27EB2">
        <w:rPr>
          <w:color w:val="000000"/>
          <w:lang w:val="en-US"/>
        </w:rPr>
        <w:t>τῆς</w:t>
      </w:r>
      <w:proofErr w:type="spellEnd"/>
      <w:r w:rsidRPr="00F27EB2">
        <w:rPr>
          <w:color w:val="000000"/>
          <w:lang w:val="en-US"/>
        </w:rPr>
        <w:t xml:space="preserve"> </w:t>
      </w:r>
      <w:proofErr w:type="spellStart"/>
      <w:r w:rsidRPr="00F27EB2">
        <w:rPr>
          <w:color w:val="000000"/>
          <w:lang w:val="en-US"/>
        </w:rPr>
        <w:t>ὀργῆς</w:t>
      </w:r>
      <w:proofErr w:type="spellEnd"/>
      <w:r w:rsidRPr="00F27EB2">
        <w:rPr>
          <w:color w:val="000000"/>
          <w:lang w:val="en-US"/>
        </w:rPr>
        <w:t>)</w:t>
      </w:r>
      <w:r w:rsidRPr="00F27EB2">
        <w:rPr>
          <w:lang w:val="en-US"/>
        </w:rPr>
        <w:t xml:space="preserve"> frequently convey divine anger, contrary to “simpler” human anger (e.g., </w:t>
      </w:r>
      <w:proofErr w:type="spellStart"/>
      <w:r w:rsidRPr="00F27EB2">
        <w:rPr>
          <w:color w:val="000000"/>
          <w:lang w:val="en-US"/>
        </w:rPr>
        <w:t>θυμός</w:t>
      </w:r>
      <w:proofErr w:type="spellEnd"/>
      <w:r w:rsidRPr="00F27EB2">
        <w:rPr>
          <w:color w:val="000000"/>
          <w:lang w:val="en-US"/>
        </w:rPr>
        <w:t xml:space="preserve"> alone </w:t>
      </w:r>
      <w:proofErr w:type="spellStart"/>
      <w:r w:rsidRPr="00F27EB2">
        <w:rPr>
          <w:color w:val="000000"/>
          <w:lang w:val="en-US"/>
        </w:rPr>
        <w:t>fort he</w:t>
      </w:r>
      <w:proofErr w:type="spellEnd"/>
      <w:r w:rsidRPr="00F27EB2">
        <w:rPr>
          <w:color w:val="000000"/>
          <w:lang w:val="en-US"/>
        </w:rPr>
        <w:t xml:space="preserve"> same </w:t>
      </w:r>
      <w:r w:rsidR="007038DD" w:rsidRPr="00F27EB2">
        <w:rPr>
          <w:color w:val="000000"/>
          <w:lang w:val="en-US"/>
        </w:rPr>
        <w:t xml:space="preserve">combination </w:t>
      </w:r>
      <w:r w:rsidR="007038DD" w:rsidRPr="00F27EB2">
        <w:rPr>
          <w:color w:val="000000"/>
          <w:rtl/>
          <w:lang w:val="en-US"/>
        </w:rPr>
        <w:t>אַף + חֳרִי</w:t>
      </w:r>
      <w:r w:rsidR="007038DD" w:rsidRPr="00F27EB2">
        <w:rPr>
          <w:color w:val="000000"/>
          <w:lang w:val="en-US"/>
        </w:rPr>
        <w:t>)</w:t>
      </w:r>
      <w:r w:rsidRPr="00F27EB2">
        <w:rPr>
          <w:lang w:val="en-US"/>
        </w:rPr>
        <w:t xml:space="preserve">. </w:t>
      </w:r>
      <w:r w:rsidR="00CB1EDE" w:rsidRPr="00F27EB2">
        <w:rPr>
          <w:lang w:val="en-US"/>
        </w:rPr>
        <w:t xml:space="preserve">In evaluating the Greek rendering of Pentateuchal anthropomorphisms, two </w:t>
      </w:r>
      <w:r w:rsidR="00951815" w:rsidRPr="00F27EB2">
        <w:t>urther considerations are crucial</w:t>
      </w:r>
      <w:r w:rsidR="00CB1EDE" w:rsidRPr="00F27EB2">
        <w:rPr>
          <w:lang w:val="en-US"/>
        </w:rPr>
        <w:t xml:space="preserve">. First, </w:t>
      </w:r>
      <w:r w:rsidR="00EC1F90" w:rsidRPr="00F27EB2">
        <w:t>each anthropomorphism should be examined within the broader context of the LXX-book and its specific translation technique</w:t>
      </w:r>
      <w:r w:rsidR="00CB1EDE" w:rsidRPr="00F27EB2">
        <w:rPr>
          <w:lang w:val="en-US"/>
        </w:rPr>
        <w:t>.</w:t>
      </w:r>
      <w:r w:rsidR="00CB1EDE" w:rsidRPr="00F27EB2">
        <w:rPr>
          <w:rStyle w:val="Voetnootmarkering"/>
          <w:lang w:val="en-US"/>
        </w:rPr>
        <w:footnoteReference w:id="109"/>
      </w:r>
      <w:r w:rsidR="00CB1EDE" w:rsidRPr="00F27EB2">
        <w:rPr>
          <w:lang w:val="en-US"/>
        </w:rPr>
        <w:t xml:space="preserve"> Second, the socio-cultural setting of the translator must be </w:t>
      </w:r>
      <w:proofErr w:type="gramStart"/>
      <w:r w:rsidR="00CB1EDE" w:rsidRPr="00F27EB2">
        <w:rPr>
          <w:lang w:val="en-US"/>
        </w:rPr>
        <w:t>taken into account</w:t>
      </w:r>
      <w:proofErr w:type="gramEnd"/>
      <w:r w:rsidR="00CB1EDE" w:rsidRPr="00F27EB2">
        <w:rPr>
          <w:lang w:val="en-US"/>
        </w:rPr>
        <w:t xml:space="preserve"> to assess the </w:t>
      </w:r>
      <w:r w:rsidR="00CB1EDE" w:rsidRPr="00F27EB2">
        <w:rPr>
          <w:i/>
          <w:iCs/>
          <w:lang w:val="en-US"/>
        </w:rPr>
        <w:t>plausibility</w:t>
      </w:r>
      <w:r w:rsidR="00CB1EDE" w:rsidRPr="00F27EB2">
        <w:rPr>
          <w:lang w:val="en-US"/>
        </w:rPr>
        <w:t xml:space="preserve"> of any anti-anthropomorphic avoidance in that context.</w:t>
      </w:r>
      <w:r w:rsidR="00CB1EDE" w:rsidRPr="00F27EB2">
        <w:rPr>
          <w:rStyle w:val="Voetnootmarkering"/>
          <w:lang w:val="en-US"/>
        </w:rPr>
        <w:footnoteReference w:id="110"/>
      </w:r>
      <w:r w:rsidR="00CB1EDE" w:rsidRPr="00F27EB2">
        <w:rPr>
          <w:lang w:val="en-US"/>
        </w:rPr>
        <w:t xml:space="preserve"> </w:t>
      </w:r>
    </w:p>
    <w:p w14:paraId="22EC27D1" w14:textId="58B22B69" w:rsidR="00EC1F90" w:rsidRPr="00F27EB2" w:rsidRDefault="00CB1EDE" w:rsidP="002A7BF9">
      <w:pPr>
        <w:pStyle w:val="Normaalweb"/>
        <w:spacing w:before="0" w:beforeAutospacing="0" w:after="0" w:afterAutospacing="0"/>
        <w:ind w:firstLine="284"/>
        <w:jc w:val="both"/>
        <w:rPr>
          <w:lang w:val="en-US"/>
        </w:rPr>
      </w:pPr>
      <w:r w:rsidRPr="00F27EB2">
        <w:rPr>
          <w:lang w:val="en-US"/>
        </w:rPr>
        <w:t xml:space="preserve">A careful approach is needed, </w:t>
      </w:r>
      <w:r w:rsidR="00EC1F90" w:rsidRPr="00F27EB2">
        <w:rPr>
          <w:lang w:val="en-US"/>
        </w:rPr>
        <w:t>avoiding</w:t>
      </w:r>
      <w:r w:rsidRPr="00F27EB2">
        <w:rPr>
          <w:lang w:val="en-US"/>
        </w:rPr>
        <w:t xml:space="preserve"> hastily attributing unique Greek renderings to anti-anthropomorphism as a </w:t>
      </w:r>
      <w:r w:rsidR="00EC1F90" w:rsidRPr="00F27EB2">
        <w:rPr>
          <w:lang w:val="en-US"/>
        </w:rPr>
        <w:t>“</w:t>
      </w:r>
      <w:r w:rsidRPr="00F27EB2">
        <w:rPr>
          <w:lang w:val="en-US"/>
        </w:rPr>
        <w:t>default explanation.</w:t>
      </w:r>
      <w:r w:rsidR="00EC1F90" w:rsidRPr="00F27EB2">
        <w:rPr>
          <w:lang w:val="en-US"/>
        </w:rPr>
        <w:t>”</w:t>
      </w:r>
      <w:r w:rsidRPr="00F27EB2">
        <w:rPr>
          <w:rStyle w:val="Voetnootmarkering"/>
          <w:lang w:val="en-US"/>
        </w:rPr>
        <w:footnoteReference w:id="111"/>
      </w:r>
      <w:r w:rsidRPr="00F27EB2">
        <w:rPr>
          <w:lang w:val="en-US"/>
        </w:rPr>
        <w:t xml:space="preserve"> Attention must be given both to the possibility of a divergent </w:t>
      </w:r>
      <w:r w:rsidRPr="00F27EB2">
        <w:rPr>
          <w:i/>
          <w:iCs/>
          <w:lang w:val="en-US"/>
        </w:rPr>
        <w:t>Vorlage</w:t>
      </w:r>
      <w:r w:rsidRPr="00F27EB2">
        <w:rPr>
          <w:lang w:val="en-US"/>
        </w:rPr>
        <w:t xml:space="preserve"> and to idiomatic Greek. The analysis should also take into consideration both the immediate and broader textual </w:t>
      </w:r>
      <w:r w:rsidRPr="00F27EB2">
        <w:rPr>
          <w:i/>
          <w:iCs/>
          <w:lang w:val="en-US"/>
        </w:rPr>
        <w:t>contexts</w:t>
      </w:r>
      <w:r w:rsidRPr="00F27EB2">
        <w:rPr>
          <w:lang w:val="en-US"/>
        </w:rPr>
        <w:t xml:space="preserve"> of each anthropomorphism, identifying anomalie</w:t>
      </w:r>
      <w:r w:rsidR="00EC1F90" w:rsidRPr="00F27EB2">
        <w:rPr>
          <w:lang w:val="en-US"/>
        </w:rPr>
        <w:t xml:space="preserve">s, </w:t>
      </w:r>
      <w:r w:rsidRPr="00F27EB2">
        <w:rPr>
          <w:lang w:val="en-US"/>
        </w:rPr>
        <w:t xml:space="preserve">intertextual interpolations, idiomatic expressions, cultural imagery, </w:t>
      </w:r>
      <w:r w:rsidR="00EC1F90" w:rsidRPr="00F27EB2">
        <w:rPr>
          <w:lang w:val="en-US"/>
        </w:rPr>
        <w:t>situated within</w:t>
      </w:r>
      <w:r w:rsidRPr="00F27EB2">
        <w:rPr>
          <w:lang w:val="en-US"/>
        </w:rPr>
        <w:t xml:space="preserve"> the overall translation technique of the book. Finally, the </w:t>
      </w:r>
      <w:r w:rsidRPr="00F27EB2">
        <w:rPr>
          <w:i/>
          <w:iCs/>
          <w:lang w:val="en-US"/>
        </w:rPr>
        <w:t>nature</w:t>
      </w:r>
      <w:r w:rsidR="00EC1F90" w:rsidRPr="00F27EB2">
        <w:rPr>
          <w:i/>
          <w:iCs/>
          <w:lang w:val="en-US"/>
        </w:rPr>
        <w:t xml:space="preserve"> </w:t>
      </w:r>
      <w:r w:rsidR="00EC1F90" w:rsidRPr="00F27EB2">
        <w:rPr>
          <w:lang w:val="en-US"/>
        </w:rPr>
        <w:t xml:space="preserve">and </w:t>
      </w:r>
      <w:r w:rsidR="00EC1F90" w:rsidRPr="00F27EB2">
        <w:rPr>
          <w:i/>
          <w:iCs/>
          <w:lang w:val="en-US"/>
        </w:rPr>
        <w:t>connotations</w:t>
      </w:r>
      <w:r w:rsidRPr="00F27EB2">
        <w:rPr>
          <w:lang w:val="en-US"/>
        </w:rPr>
        <w:t xml:space="preserve"> of the anthropomorphism itself should be assessed </w:t>
      </w:r>
      <w:proofErr w:type="gramStart"/>
      <w:r w:rsidRPr="00F27EB2">
        <w:rPr>
          <w:lang w:val="en-US"/>
        </w:rPr>
        <w:t>in light of</w:t>
      </w:r>
      <w:proofErr w:type="gramEnd"/>
      <w:r w:rsidRPr="00F27EB2">
        <w:rPr>
          <w:lang w:val="en-US"/>
        </w:rPr>
        <w:t xml:space="preserve"> the translator’s socio-cultural milieu</w:t>
      </w:r>
    </w:p>
    <w:p w14:paraId="337288E6" w14:textId="77777777" w:rsidR="00070E3C" w:rsidRPr="00F27EB2" w:rsidRDefault="00070E3C">
      <w:pPr>
        <w:rPr>
          <w:rFonts w:ascii="Times New Roman" w:eastAsia="Times New Roman" w:hAnsi="Times New Roman" w:cs="Times New Roman"/>
          <w:lang w:val="en-US" w:eastAsia="nl-NL"/>
        </w:rPr>
      </w:pPr>
    </w:p>
    <w:p w14:paraId="0BAFAFD8" w14:textId="77777777" w:rsidR="00814AD6" w:rsidRPr="00F27EB2" w:rsidRDefault="00814AD6" w:rsidP="00814AD6">
      <w:pPr>
        <w:pStyle w:val="Lijstalinea"/>
        <w:numPr>
          <w:ilvl w:val="0"/>
          <w:numId w:val="14"/>
        </w:numPr>
        <w:rPr>
          <w:rFonts w:ascii="Times New Roman" w:eastAsia="Times New Roman" w:hAnsi="Times New Roman" w:cs="Times New Roman"/>
          <w:b/>
          <w:bCs/>
          <w:lang w:val="en-US" w:eastAsia="nl-NL"/>
        </w:rPr>
      </w:pPr>
      <w:r w:rsidRPr="00F27EB2">
        <w:rPr>
          <w:rFonts w:ascii="Times New Roman" w:eastAsia="Times New Roman" w:hAnsi="Times New Roman" w:cs="Times New Roman"/>
          <w:b/>
          <w:bCs/>
          <w:lang w:val="en-US" w:eastAsia="nl-NL"/>
        </w:rPr>
        <w:t>Tendencies and New Perspectives</w:t>
      </w:r>
    </w:p>
    <w:p w14:paraId="0299D29E" w14:textId="77777777" w:rsidR="00DC43F2" w:rsidRPr="00F27EB2" w:rsidRDefault="00DC43F2" w:rsidP="00DC43F2">
      <w:pPr>
        <w:pStyle w:val="Lijstalinea"/>
        <w:rPr>
          <w:rFonts w:ascii="Times New Roman" w:eastAsia="Times New Roman" w:hAnsi="Times New Roman" w:cs="Times New Roman"/>
          <w:lang w:val="en-US" w:eastAsia="nl-NL"/>
        </w:rPr>
      </w:pPr>
    </w:p>
    <w:p w14:paraId="6ABE5A9C" w14:textId="1EE42119" w:rsidR="00814AD6" w:rsidRPr="00F27EB2" w:rsidRDefault="00814AD6" w:rsidP="009659FF">
      <w:pPr>
        <w:pStyle w:val="Normaalweb"/>
        <w:spacing w:before="0" w:beforeAutospacing="0" w:after="0" w:afterAutospacing="0"/>
        <w:jc w:val="both"/>
        <w:rPr>
          <w:lang w:val="en-US"/>
        </w:rPr>
      </w:pPr>
      <w:r w:rsidRPr="00F27EB2">
        <w:rPr>
          <w:lang w:val="en-US"/>
        </w:rPr>
        <w:t xml:space="preserve">After outlining </w:t>
      </w:r>
      <w:proofErr w:type="spellStart"/>
      <w:r w:rsidR="009F3B68" w:rsidRPr="00F27EB2">
        <w:rPr>
          <w:lang w:val="en-US"/>
        </w:rPr>
        <w:t>thessse</w:t>
      </w:r>
      <w:proofErr w:type="spellEnd"/>
      <w:r w:rsidR="009F3B68" w:rsidRPr="00F27EB2">
        <w:rPr>
          <w:lang w:val="en-US"/>
        </w:rPr>
        <w:t xml:space="preserve"> considerations</w:t>
      </w:r>
      <w:r w:rsidRPr="00F27EB2">
        <w:rPr>
          <w:lang w:val="en-US"/>
        </w:rPr>
        <w:t xml:space="preserve">, this survey may be concluded with an overview of </w:t>
      </w:r>
      <w:proofErr w:type="gramStart"/>
      <w:r w:rsidRPr="00F27EB2">
        <w:rPr>
          <w:lang w:val="en-US"/>
        </w:rPr>
        <w:t>particular tendencies</w:t>
      </w:r>
      <w:proofErr w:type="gramEnd"/>
      <w:r w:rsidRPr="00F27EB2">
        <w:rPr>
          <w:lang w:val="en-US"/>
        </w:rPr>
        <w:t xml:space="preserve"> within the </w:t>
      </w:r>
      <w:proofErr w:type="spellStart"/>
      <w:r w:rsidR="00CC0D42" w:rsidRPr="00F27EB2">
        <w:rPr>
          <w:smallCaps/>
          <w:lang w:val="en-US"/>
        </w:rPr>
        <w:t>lxx’</w:t>
      </w:r>
      <w:r w:rsidR="00CC0D42" w:rsidRPr="00F27EB2">
        <w:rPr>
          <w:lang w:val="en-US"/>
        </w:rPr>
        <w:t>s</w:t>
      </w:r>
      <w:proofErr w:type="spellEnd"/>
      <w:r w:rsidRPr="00F27EB2">
        <w:rPr>
          <w:lang w:val="en-US"/>
        </w:rPr>
        <w:t xml:space="preserve"> rendering of anthropomorphisms</w:t>
      </w:r>
      <w:r w:rsidR="00A306E3" w:rsidRPr="00F27EB2">
        <w:rPr>
          <w:lang w:val="en-US"/>
        </w:rPr>
        <w:t>, which is usually a faithful rendering</w:t>
      </w:r>
      <w:r w:rsidRPr="00F27EB2">
        <w:rPr>
          <w:lang w:val="en-US"/>
        </w:rPr>
        <w:t>. Although it is impossible to identify patterns that are consistent across a single book, let alone across</w:t>
      </w:r>
      <w:r w:rsidR="007457DC" w:rsidRPr="00F27EB2">
        <w:rPr>
          <w:lang w:val="en-US"/>
        </w:rPr>
        <w:t xml:space="preserve"> </w:t>
      </w:r>
      <w:r w:rsidR="00CC0D42" w:rsidRPr="00F27EB2">
        <w:rPr>
          <w:smallCaps/>
          <w:lang w:val="en-US"/>
        </w:rPr>
        <w:t>lxx</w:t>
      </w:r>
      <w:r w:rsidRPr="00F27EB2">
        <w:rPr>
          <w:lang w:val="en-US"/>
        </w:rPr>
        <w:t xml:space="preserve">, certain </w:t>
      </w:r>
      <w:r w:rsidR="00A306E3" w:rsidRPr="00F27EB2">
        <w:rPr>
          <w:lang w:val="en-US"/>
        </w:rPr>
        <w:t xml:space="preserve">fascinating </w:t>
      </w:r>
      <w:r w:rsidRPr="00F27EB2">
        <w:rPr>
          <w:lang w:val="en-US"/>
        </w:rPr>
        <w:t>features emerge throughout the corpus.</w:t>
      </w:r>
    </w:p>
    <w:p w14:paraId="25BD260E" w14:textId="07F1083B" w:rsidR="00A306E3" w:rsidRPr="00F27EB2" w:rsidRDefault="00814AD6" w:rsidP="009659FF">
      <w:pPr>
        <w:pStyle w:val="Normaalweb"/>
        <w:spacing w:before="0" w:beforeAutospacing="0" w:after="0" w:afterAutospacing="0"/>
        <w:ind w:firstLine="708"/>
        <w:jc w:val="both"/>
        <w:rPr>
          <w:lang w:val="en-US"/>
        </w:rPr>
      </w:pPr>
      <w:r w:rsidRPr="00F27EB2">
        <w:rPr>
          <w:lang w:val="en-US"/>
        </w:rPr>
        <w:t>One such feature continues a tendency already visible in the Hebrew: God’s sexual organs, digestive system, and related bodily parts are never mentioned.</w:t>
      </w:r>
      <w:r w:rsidR="002B4C57" w:rsidRPr="00F27EB2">
        <w:rPr>
          <w:rStyle w:val="Voetnootmarkering"/>
          <w:lang w:val="en-US"/>
        </w:rPr>
        <w:footnoteReference w:id="112"/>
      </w:r>
      <w:r w:rsidRPr="00F27EB2">
        <w:rPr>
          <w:lang w:val="en-US"/>
        </w:rPr>
        <w:t xml:space="preserve"> The same avoidance seems evident in </w:t>
      </w:r>
      <w:r w:rsidR="002B4C57" w:rsidRPr="00F27EB2">
        <w:rPr>
          <w:smallCaps/>
          <w:lang w:val="en-US"/>
        </w:rPr>
        <w:t>lxx</w:t>
      </w:r>
      <w:r w:rsidRPr="00F27EB2">
        <w:rPr>
          <w:lang w:val="en-US"/>
        </w:rPr>
        <w:t xml:space="preserve">. The translators’ consistent </w:t>
      </w:r>
      <w:r w:rsidRPr="00F27EB2">
        <w:rPr>
          <w:i/>
          <w:iCs/>
          <w:lang w:val="en-US"/>
        </w:rPr>
        <w:t>omission</w:t>
      </w:r>
      <w:r w:rsidRPr="00F27EB2">
        <w:rPr>
          <w:lang w:val="en-US"/>
        </w:rPr>
        <w:t xml:space="preserve"> of God’s “feet” in texts such as </w:t>
      </w:r>
      <w:proofErr w:type="spellStart"/>
      <w:r w:rsidRPr="00F27EB2">
        <w:rPr>
          <w:lang w:val="en-US"/>
        </w:rPr>
        <w:t>Deut</w:t>
      </w:r>
      <w:proofErr w:type="spellEnd"/>
      <w:r w:rsidRPr="00F27EB2">
        <w:rPr>
          <w:lang w:val="en-US"/>
        </w:rPr>
        <w:t xml:space="preserve"> 33:3 and Isa 60:13</w:t>
      </w:r>
      <w:r w:rsidR="002B4C57" w:rsidRPr="00F27EB2">
        <w:rPr>
          <w:lang w:val="en-US"/>
        </w:rPr>
        <w:t>,</w:t>
      </w:r>
      <w:r w:rsidR="002B4C57" w:rsidRPr="00F27EB2">
        <w:rPr>
          <w:rStyle w:val="Voetnootmarkering"/>
          <w:lang w:val="en-US"/>
        </w:rPr>
        <w:footnoteReference w:id="113"/>
      </w:r>
      <w:r w:rsidRPr="00F27EB2">
        <w:rPr>
          <w:lang w:val="en-US"/>
        </w:rPr>
        <w:t xml:space="preserve"> may reflect an effort to avoid possible euphemistic associations.</w:t>
      </w:r>
      <w:r w:rsidR="002B4C57" w:rsidRPr="00F27EB2">
        <w:rPr>
          <w:rStyle w:val="Voetnootmarkering"/>
          <w:lang w:val="en-US"/>
        </w:rPr>
        <w:footnoteReference w:id="114"/>
      </w:r>
      <w:r w:rsidRPr="00F27EB2">
        <w:rPr>
          <w:lang w:val="en-US"/>
        </w:rPr>
        <w:t xml:space="preserve"> </w:t>
      </w:r>
      <w:r w:rsidR="00A306E3" w:rsidRPr="00F27EB2">
        <w:rPr>
          <w:lang w:val="en-US"/>
        </w:rPr>
        <w:t>R</w:t>
      </w:r>
      <w:r w:rsidRPr="00F27EB2">
        <w:rPr>
          <w:lang w:val="en-US"/>
        </w:rPr>
        <w:t>eferences to God’s digestive organs are</w:t>
      </w:r>
      <w:r w:rsidR="00A306E3" w:rsidRPr="00F27EB2">
        <w:rPr>
          <w:lang w:val="en-US"/>
        </w:rPr>
        <w:t xml:space="preserve"> also</w:t>
      </w:r>
      <w:r w:rsidRPr="00F27EB2">
        <w:rPr>
          <w:lang w:val="en-US"/>
        </w:rPr>
        <w:t xml:space="preserve"> </w:t>
      </w:r>
      <w:r w:rsidR="009F3B68" w:rsidRPr="00F27EB2">
        <w:rPr>
          <w:lang w:val="en-US"/>
        </w:rPr>
        <w:t>absent</w:t>
      </w:r>
      <w:r w:rsidRPr="00F27EB2">
        <w:rPr>
          <w:lang w:val="en-US"/>
        </w:rPr>
        <w:t xml:space="preserve">. </w:t>
      </w:r>
      <w:r w:rsidR="009F3B68" w:rsidRPr="00F27EB2">
        <w:rPr>
          <w:lang w:val="en-US"/>
        </w:rPr>
        <w:t>Moreover</w:t>
      </w:r>
      <w:r w:rsidRPr="00F27EB2">
        <w:rPr>
          <w:lang w:val="en-US"/>
        </w:rPr>
        <w:t xml:space="preserve">, in </w:t>
      </w:r>
      <w:r w:rsidR="002B4C57" w:rsidRPr="00F27EB2">
        <w:rPr>
          <w:smallCaps/>
          <w:lang w:val="en-US"/>
        </w:rPr>
        <w:t>lxx</w:t>
      </w:r>
      <w:r w:rsidRPr="00F27EB2">
        <w:rPr>
          <w:lang w:val="en-US"/>
        </w:rPr>
        <w:t>-Leviticus, every occurrence of</w:t>
      </w:r>
      <w:r w:rsidR="009F3B68" w:rsidRPr="00F27EB2">
        <w:rPr>
          <w:lang w:val="en-US"/>
        </w:rPr>
        <w:t xml:space="preserve"> God’s</w:t>
      </w:r>
      <w:r w:rsidRPr="00F27EB2">
        <w:rPr>
          <w:lang w:val="en-US"/>
        </w:rPr>
        <w:t xml:space="preserve"> </w:t>
      </w:r>
      <w:r w:rsidRPr="00F27EB2">
        <w:rPr>
          <w:rtl/>
          <w:lang w:val="en-US"/>
        </w:rPr>
        <w:t>לֶחֶם</w:t>
      </w:r>
      <w:r w:rsidRPr="00F27EB2">
        <w:rPr>
          <w:lang w:val="en-US"/>
        </w:rPr>
        <w:t xml:space="preserve"> (“bread</w:t>
      </w:r>
      <w:r w:rsidR="009F3B68" w:rsidRPr="00F27EB2">
        <w:rPr>
          <w:lang w:val="en-US"/>
        </w:rPr>
        <w:t>, food</w:t>
      </w:r>
      <w:r w:rsidRPr="00F27EB2">
        <w:rPr>
          <w:lang w:val="en-US"/>
        </w:rPr>
        <w:t xml:space="preserve">”) is replaced with </w:t>
      </w:r>
      <w:proofErr w:type="spellStart"/>
      <w:r w:rsidR="009F3B68" w:rsidRPr="00F27EB2">
        <w:rPr>
          <w:color w:val="000000"/>
          <w:lang w:val="nl-NL"/>
        </w:rPr>
        <w:t>δῶρον</w:t>
      </w:r>
      <w:proofErr w:type="spellEnd"/>
      <w:r w:rsidR="009F3B68" w:rsidRPr="00F27EB2">
        <w:rPr>
          <w:lang w:val="en-US"/>
        </w:rPr>
        <w:t xml:space="preserve"> (</w:t>
      </w:r>
      <w:r w:rsidRPr="00F27EB2">
        <w:rPr>
          <w:lang w:val="en-US"/>
        </w:rPr>
        <w:t>“gift”</w:t>
      </w:r>
      <w:r w:rsidR="009F3B68" w:rsidRPr="00F27EB2">
        <w:rPr>
          <w:lang w:val="en-US"/>
        </w:rPr>
        <w:t>).</w:t>
      </w:r>
      <w:r w:rsidR="002B4C57" w:rsidRPr="00F27EB2">
        <w:rPr>
          <w:rStyle w:val="Voetnootmarkering"/>
          <w:lang w:val="en-US"/>
        </w:rPr>
        <w:footnoteReference w:id="115"/>
      </w:r>
      <w:r w:rsidRPr="00F27EB2">
        <w:rPr>
          <w:lang w:val="en-US"/>
        </w:rPr>
        <w:t xml:space="preserve"> Likewise, the verb </w:t>
      </w:r>
      <w:r w:rsidRPr="00F27EB2">
        <w:rPr>
          <w:rtl/>
          <w:lang w:val="en-US"/>
        </w:rPr>
        <w:t>אכל</w:t>
      </w:r>
      <w:r w:rsidRPr="00F27EB2">
        <w:rPr>
          <w:lang w:val="en-US"/>
        </w:rPr>
        <w:t>, when applied to God</w:t>
      </w:r>
      <w:r w:rsidR="00A306E3" w:rsidRPr="00F27EB2">
        <w:rPr>
          <w:lang w:val="en-US"/>
        </w:rPr>
        <w:t xml:space="preserve"> in the Pentateuch</w:t>
      </w:r>
      <w:r w:rsidRPr="00F27EB2">
        <w:rPr>
          <w:lang w:val="en-US"/>
        </w:rPr>
        <w:t xml:space="preserve">, is regularly rendered by violent verbs </w:t>
      </w:r>
      <w:r w:rsidR="009F3B68" w:rsidRPr="00F27EB2">
        <w:rPr>
          <w:lang w:val="en-US"/>
        </w:rPr>
        <w:t>(</w:t>
      </w:r>
      <w:r w:rsidRPr="00F27EB2">
        <w:rPr>
          <w:lang w:val="en-US"/>
        </w:rPr>
        <w:t>κα</w:t>
      </w:r>
      <w:proofErr w:type="spellStart"/>
      <w:r w:rsidRPr="00F27EB2">
        <w:rPr>
          <w:lang w:val="en-US"/>
        </w:rPr>
        <w:t>τεσθίω</w:t>
      </w:r>
      <w:proofErr w:type="spellEnd"/>
      <w:r w:rsidR="00AE5284" w:rsidRPr="00F27EB2">
        <w:rPr>
          <w:lang w:val="en-US"/>
        </w:rPr>
        <w:t xml:space="preserve">, </w:t>
      </w:r>
      <w:r w:rsidRPr="00F27EB2">
        <w:rPr>
          <w:lang w:val="en-US"/>
        </w:rPr>
        <w:lastRenderedPageBreak/>
        <w:t>κατανα</w:t>
      </w:r>
      <w:proofErr w:type="spellStart"/>
      <w:r w:rsidRPr="00F27EB2">
        <w:rPr>
          <w:lang w:val="en-US"/>
        </w:rPr>
        <w:t>λίσκω</w:t>
      </w:r>
      <w:proofErr w:type="spellEnd"/>
      <w:r w:rsidR="009F3B68" w:rsidRPr="00F27EB2">
        <w:rPr>
          <w:lang w:val="en-US"/>
        </w:rPr>
        <w:t>)</w:t>
      </w:r>
      <w:r w:rsidRPr="00F27EB2">
        <w:rPr>
          <w:lang w:val="en-US"/>
        </w:rPr>
        <w:t xml:space="preserve">, while verbs </w:t>
      </w:r>
      <w:r w:rsidR="00AE5284" w:rsidRPr="00F27EB2">
        <w:rPr>
          <w:lang w:val="en-US"/>
        </w:rPr>
        <w:t>of</w:t>
      </w:r>
      <w:r w:rsidRPr="00F27EB2">
        <w:rPr>
          <w:lang w:val="en-US"/>
        </w:rPr>
        <w:t xml:space="preserve"> convivial eating </w:t>
      </w:r>
      <w:r w:rsidR="00AE5284" w:rsidRPr="00F27EB2">
        <w:rPr>
          <w:lang w:val="en-US"/>
        </w:rPr>
        <w:t>(</w:t>
      </w:r>
      <w:proofErr w:type="spellStart"/>
      <w:r w:rsidRPr="00F27EB2">
        <w:rPr>
          <w:lang w:val="en-US"/>
        </w:rPr>
        <w:t>συνεσθίω</w:t>
      </w:r>
      <w:proofErr w:type="spellEnd"/>
      <w:r w:rsidR="00AE5284" w:rsidRPr="00F27EB2">
        <w:rPr>
          <w:lang w:val="en-US"/>
        </w:rPr>
        <w:t>)</w:t>
      </w:r>
      <w:r w:rsidRPr="00F27EB2">
        <w:rPr>
          <w:lang w:val="en-US"/>
        </w:rPr>
        <w:t xml:space="preserve"> are </w:t>
      </w:r>
      <w:proofErr w:type="spellStart"/>
      <w:r w:rsidR="00AE5284" w:rsidRPr="00F27EB2">
        <w:rPr>
          <w:lang w:val="en-US"/>
        </w:rPr>
        <w:t>stricktly</w:t>
      </w:r>
      <w:proofErr w:type="spellEnd"/>
      <w:r w:rsidR="00AE5284" w:rsidRPr="00F27EB2">
        <w:rPr>
          <w:lang w:val="en-US"/>
        </w:rPr>
        <w:t xml:space="preserve"> </w:t>
      </w:r>
      <w:r w:rsidRPr="00F27EB2">
        <w:rPr>
          <w:lang w:val="en-US"/>
        </w:rPr>
        <w:t>reserved for humans. The result is a subtle distinction: although the Greek renders the Hebrew faithfully, an underlying discomfort with the idea of divine consumption is discernible. God is portrayed as receiving sacrificial gifts</w:t>
      </w:r>
      <w:r w:rsidR="00A306E3" w:rsidRPr="00F27EB2">
        <w:rPr>
          <w:lang w:val="en-US"/>
        </w:rPr>
        <w:t xml:space="preserve"> (translating </w:t>
      </w:r>
      <w:r w:rsidR="00A306E3" w:rsidRPr="00F27EB2">
        <w:rPr>
          <w:rtl/>
          <w:lang w:val="en-US"/>
        </w:rPr>
        <w:t>לֶחֶם</w:t>
      </w:r>
      <w:r w:rsidR="00A306E3" w:rsidRPr="00F27EB2">
        <w:rPr>
          <w:lang w:val="en-US"/>
        </w:rPr>
        <w:t xml:space="preserve"> by </w:t>
      </w:r>
      <w:proofErr w:type="spellStart"/>
      <w:r w:rsidR="00A306E3" w:rsidRPr="00F27EB2">
        <w:rPr>
          <w:color w:val="000000"/>
          <w:lang w:val="en-US"/>
        </w:rPr>
        <w:t>δῶρον</w:t>
      </w:r>
      <w:proofErr w:type="spellEnd"/>
      <w:r w:rsidR="00A306E3" w:rsidRPr="00F27EB2">
        <w:rPr>
          <w:color w:val="000000"/>
          <w:lang w:val="en-US"/>
        </w:rPr>
        <w:t xml:space="preserve"> in Lev 21:6.8.17.21.22; 22:25; Num 28:24</w:t>
      </w:r>
      <w:r w:rsidR="00AE5284" w:rsidRPr="00F27EB2">
        <w:rPr>
          <w:color w:val="000000"/>
          <w:lang w:val="en-US"/>
        </w:rPr>
        <w:t>)</w:t>
      </w:r>
      <w:r w:rsidRPr="00F27EB2">
        <w:rPr>
          <w:lang w:val="en-US"/>
        </w:rPr>
        <w:t xml:space="preserve"> or as destroying rather than digesting</w:t>
      </w:r>
      <w:r w:rsidR="00A306E3" w:rsidRPr="00F27EB2">
        <w:rPr>
          <w:lang w:val="en-US"/>
        </w:rPr>
        <w:t xml:space="preserve"> (κα</w:t>
      </w:r>
      <w:proofErr w:type="spellStart"/>
      <w:r w:rsidR="00A306E3" w:rsidRPr="00F27EB2">
        <w:rPr>
          <w:lang w:val="en-US"/>
        </w:rPr>
        <w:t>τεσθίω</w:t>
      </w:r>
      <w:proofErr w:type="spellEnd"/>
      <w:r w:rsidR="00A306E3" w:rsidRPr="00F27EB2">
        <w:rPr>
          <w:lang w:val="en-US"/>
        </w:rPr>
        <w:t xml:space="preserve"> instead of the simplex </w:t>
      </w:r>
      <w:proofErr w:type="spellStart"/>
      <w:r w:rsidR="00A306E3" w:rsidRPr="00F27EB2">
        <w:rPr>
          <w:lang w:val="en-US"/>
        </w:rPr>
        <w:t>ἐσθίω</w:t>
      </w:r>
      <w:proofErr w:type="spellEnd"/>
      <w:r w:rsidR="00A306E3" w:rsidRPr="00F27EB2">
        <w:rPr>
          <w:lang w:val="en-US"/>
        </w:rPr>
        <w:t>)</w:t>
      </w:r>
      <w:r w:rsidRPr="00F27EB2">
        <w:rPr>
          <w:lang w:val="en-US"/>
        </w:rPr>
        <w:t>, a shift that continues in the Psalms</w:t>
      </w:r>
      <w:r w:rsidR="00AE5284" w:rsidRPr="00F27EB2">
        <w:rPr>
          <w:lang w:val="en-US"/>
        </w:rPr>
        <w:t xml:space="preserve">, where </w:t>
      </w:r>
      <w:r w:rsidRPr="00F27EB2">
        <w:rPr>
          <w:rtl/>
          <w:lang w:val="en-US"/>
        </w:rPr>
        <w:t>בלע</w:t>
      </w:r>
      <w:r w:rsidRPr="00F27EB2">
        <w:rPr>
          <w:lang w:val="en-US"/>
        </w:rPr>
        <w:t xml:space="preserve"> (“to swallow up”) is consistently avoided </w:t>
      </w:r>
      <w:proofErr w:type="gramStart"/>
      <w:r w:rsidR="00AE5284" w:rsidRPr="00F27EB2">
        <w:rPr>
          <w:lang w:val="en-US"/>
        </w:rPr>
        <w:t xml:space="preserve">for </w:t>
      </w:r>
      <w:r w:rsidRPr="00F27EB2">
        <w:rPr>
          <w:lang w:val="en-US"/>
        </w:rPr>
        <w:t xml:space="preserve"> God</w:t>
      </w:r>
      <w:proofErr w:type="gramEnd"/>
      <w:r w:rsidRPr="00F27EB2">
        <w:rPr>
          <w:lang w:val="en-US"/>
        </w:rPr>
        <w:t xml:space="preserve">. In </w:t>
      </w:r>
      <w:r w:rsidR="00A306E3" w:rsidRPr="00F27EB2">
        <w:rPr>
          <w:smallCaps/>
          <w:lang w:val="en-US"/>
        </w:rPr>
        <w:t>lxx</w:t>
      </w:r>
      <w:r w:rsidR="00A306E3" w:rsidRPr="00F27EB2">
        <w:rPr>
          <w:lang w:val="en-US"/>
        </w:rPr>
        <w:t>-</w:t>
      </w:r>
      <w:r w:rsidRPr="00F27EB2">
        <w:rPr>
          <w:lang w:val="en-US"/>
        </w:rPr>
        <w:t xml:space="preserve">Ps 20:10 it is rendered with </w:t>
      </w:r>
      <w:proofErr w:type="spellStart"/>
      <w:r w:rsidRPr="00F27EB2">
        <w:rPr>
          <w:lang w:val="en-US"/>
        </w:rPr>
        <w:t>συντ</w:t>
      </w:r>
      <w:proofErr w:type="spellEnd"/>
      <w:r w:rsidRPr="00F27EB2">
        <w:rPr>
          <w:lang w:val="en-US"/>
        </w:rPr>
        <w:t>α</w:t>
      </w:r>
      <w:proofErr w:type="spellStart"/>
      <w:r w:rsidRPr="00F27EB2">
        <w:rPr>
          <w:lang w:val="en-US"/>
        </w:rPr>
        <w:t>ράσσω</w:t>
      </w:r>
      <w:proofErr w:type="spellEnd"/>
      <w:r w:rsidRPr="00F27EB2">
        <w:rPr>
          <w:lang w:val="en-US"/>
        </w:rPr>
        <w:t xml:space="preserve">, and in </w:t>
      </w:r>
      <w:r w:rsidR="00A306E3" w:rsidRPr="00F27EB2">
        <w:rPr>
          <w:smallCaps/>
          <w:lang w:val="en-US"/>
        </w:rPr>
        <w:t>lxx</w:t>
      </w:r>
      <w:r w:rsidR="00A306E3" w:rsidRPr="00F27EB2">
        <w:rPr>
          <w:lang w:val="en-US"/>
        </w:rPr>
        <w:t>-</w:t>
      </w:r>
      <w:r w:rsidRPr="00F27EB2">
        <w:rPr>
          <w:lang w:val="en-US"/>
        </w:rPr>
        <w:t>Ps 54:10 with καταπ</w:t>
      </w:r>
      <w:proofErr w:type="spellStart"/>
      <w:r w:rsidRPr="00F27EB2">
        <w:rPr>
          <w:lang w:val="en-US"/>
        </w:rPr>
        <w:t>οντίζω</w:t>
      </w:r>
      <w:proofErr w:type="spellEnd"/>
      <w:r w:rsidR="00A306E3" w:rsidRPr="00F27EB2">
        <w:rPr>
          <w:lang w:val="en-US"/>
        </w:rPr>
        <w:t xml:space="preserve"> – </w:t>
      </w:r>
      <w:r w:rsidRPr="00F27EB2">
        <w:rPr>
          <w:lang w:val="en-US"/>
        </w:rPr>
        <w:t>verbs evoking violent destruction rather than digestion.</w:t>
      </w:r>
      <w:r w:rsidR="00A33F53" w:rsidRPr="00F27EB2">
        <w:rPr>
          <w:rStyle w:val="Voetnootmarkering"/>
          <w:lang w:val="en-US"/>
        </w:rPr>
        <w:footnoteReference w:id="116"/>
      </w:r>
      <w:r w:rsidR="00A306E3" w:rsidRPr="00F27EB2">
        <w:rPr>
          <w:lang w:val="en-US"/>
        </w:rPr>
        <w:t xml:space="preserve"> Also the idea that God could be saturated with sacrifices appears changed in </w:t>
      </w:r>
      <w:r w:rsidR="00A306E3" w:rsidRPr="00F27EB2">
        <w:rPr>
          <w:smallCaps/>
          <w:lang w:val="en-US"/>
        </w:rPr>
        <w:t>lxx-</w:t>
      </w:r>
      <w:r w:rsidR="00A306E3" w:rsidRPr="00F27EB2">
        <w:rPr>
          <w:lang w:val="en-US"/>
        </w:rPr>
        <w:t xml:space="preserve">Isa 43:24, where </w:t>
      </w:r>
      <w:r w:rsidR="00AE5284" w:rsidRPr="00F27EB2">
        <w:rPr>
          <w:smallCaps/>
          <w:lang w:val="en-US"/>
        </w:rPr>
        <w:t>lxx</w:t>
      </w:r>
      <w:r w:rsidR="00A306E3" w:rsidRPr="00F27EB2">
        <w:rPr>
          <w:lang w:val="en-US"/>
        </w:rPr>
        <w:t xml:space="preserve"> states that God does not desire sacrifices.</w:t>
      </w:r>
      <w:r w:rsidR="00A306E3" w:rsidRPr="00F27EB2">
        <w:rPr>
          <w:rStyle w:val="Voetnootmarkering"/>
          <w:lang w:val="en-US"/>
        </w:rPr>
        <w:footnoteReference w:id="117"/>
      </w:r>
      <w:r w:rsidRPr="00F27EB2">
        <w:rPr>
          <w:lang w:val="en-US"/>
        </w:rPr>
        <w:t xml:space="preserve"> These changes raise questions: are they driven by theological unease with divine embodiment, by idiomatic features of Greek, by divergent </w:t>
      </w:r>
      <w:proofErr w:type="spellStart"/>
      <w:r w:rsidRPr="00F27EB2">
        <w:rPr>
          <w:i/>
          <w:iCs/>
          <w:lang w:val="en-US"/>
        </w:rPr>
        <w:t>Vorlagen</w:t>
      </w:r>
      <w:proofErr w:type="spellEnd"/>
      <w:r w:rsidRPr="00F27EB2">
        <w:rPr>
          <w:lang w:val="en-US"/>
        </w:rPr>
        <w:t>, or by broader Second Temple Jewish reflections on sacrifice and the nature of divine corporeality?</w:t>
      </w:r>
    </w:p>
    <w:p w14:paraId="569E05D2" w14:textId="7476C4B6" w:rsidR="00814AD6" w:rsidRPr="00F27EB2" w:rsidRDefault="00814AD6" w:rsidP="009659FF">
      <w:pPr>
        <w:pStyle w:val="Normaalweb"/>
        <w:spacing w:before="0" w:beforeAutospacing="0" w:after="0" w:afterAutospacing="0"/>
        <w:ind w:firstLine="708"/>
        <w:jc w:val="both"/>
        <w:rPr>
          <w:lang w:val="en-US"/>
        </w:rPr>
      </w:pPr>
      <w:r w:rsidRPr="00F27EB2">
        <w:rPr>
          <w:lang w:val="en-US"/>
        </w:rPr>
        <w:t xml:space="preserve">A second tendency is the removal of imperfections or disabilities from God. Several passages suggest intentional modifications by the translators, where neither an alternative </w:t>
      </w:r>
      <w:r w:rsidRPr="00F27EB2">
        <w:rPr>
          <w:i/>
          <w:iCs/>
          <w:lang w:val="en-US"/>
        </w:rPr>
        <w:t>Vorlage</w:t>
      </w:r>
      <w:r w:rsidRPr="00F27EB2">
        <w:rPr>
          <w:lang w:val="en-US"/>
        </w:rPr>
        <w:t xml:space="preserve"> nor stylistic considerations offer sufficient explanation. In such cases, depictions of God as blind, deaf, </w:t>
      </w:r>
      <w:r w:rsidR="00A33F53" w:rsidRPr="00F27EB2">
        <w:rPr>
          <w:lang w:val="en-US"/>
        </w:rPr>
        <w:t xml:space="preserve">mute, </w:t>
      </w:r>
      <w:r w:rsidRPr="00F27EB2">
        <w:rPr>
          <w:lang w:val="en-US"/>
        </w:rPr>
        <w:t>or forgetful are systematically avoided.</w:t>
      </w:r>
      <w:r w:rsidR="00A306E3" w:rsidRPr="00F27EB2">
        <w:rPr>
          <w:rStyle w:val="Voetnootmarkering"/>
          <w:lang w:val="en-US"/>
        </w:rPr>
        <w:footnoteReference w:id="118"/>
      </w:r>
      <w:r w:rsidRPr="00F27EB2">
        <w:rPr>
          <w:lang w:val="en-US"/>
        </w:rPr>
        <w:t xml:space="preserve"> These renderings seem to reflect a distancing of God from images of human disability. </w:t>
      </w:r>
      <w:r w:rsidR="001A513C" w:rsidRPr="00F27EB2">
        <w:rPr>
          <w:lang w:val="en-US"/>
        </w:rPr>
        <w:t xml:space="preserve">Do these renderings </w:t>
      </w:r>
      <w:r w:rsidR="001A513C" w:rsidRPr="00F27EB2">
        <w:t>reflect concerns with anthropomorphism or broader considerations of divine perfection</w:t>
      </w:r>
      <w:r w:rsidRPr="00F27EB2">
        <w:rPr>
          <w:lang w:val="en-US"/>
        </w:rPr>
        <w:t xml:space="preserve">? </w:t>
      </w:r>
    </w:p>
    <w:p w14:paraId="27C0BD38" w14:textId="75363A68" w:rsidR="000A499A" w:rsidRPr="00F27EB2" w:rsidRDefault="00814AD6" w:rsidP="001344C6">
      <w:pPr>
        <w:pStyle w:val="Normaalweb"/>
        <w:spacing w:before="0" w:beforeAutospacing="0" w:after="0" w:afterAutospacing="0"/>
        <w:ind w:firstLine="708"/>
        <w:jc w:val="both"/>
        <w:rPr>
          <w:lang w:val="en-US"/>
        </w:rPr>
      </w:pPr>
      <w:r w:rsidRPr="00F27EB2">
        <w:rPr>
          <w:lang w:val="en-US"/>
        </w:rPr>
        <w:t xml:space="preserve">Other tendencies </w:t>
      </w:r>
      <w:r w:rsidR="00F027EE" w:rsidRPr="00F27EB2">
        <w:rPr>
          <w:lang w:val="en-US"/>
        </w:rPr>
        <w:t>reflect</w:t>
      </w:r>
      <w:r w:rsidR="004D329D" w:rsidRPr="00F27EB2">
        <w:rPr>
          <w:lang w:val="en-US"/>
        </w:rPr>
        <w:t xml:space="preserve"> </w:t>
      </w:r>
      <w:r w:rsidR="00F027EE" w:rsidRPr="00F27EB2">
        <w:t>broader currents in Second Temple Judaism</w:t>
      </w:r>
      <w:r w:rsidR="00F027EE" w:rsidRPr="00F27EB2">
        <w:t xml:space="preserve">. </w:t>
      </w:r>
      <w:r w:rsidR="00F027EE" w:rsidRPr="00F27EB2">
        <w:t xml:space="preserve">For instance, </w:t>
      </w:r>
      <w:r w:rsidR="00F027EE" w:rsidRPr="00F27EB2">
        <w:rPr>
          <w:lang w:val="en-US"/>
        </w:rPr>
        <w:t>t</w:t>
      </w:r>
      <w:r w:rsidRPr="00F27EB2">
        <w:rPr>
          <w:lang w:val="en-US"/>
        </w:rPr>
        <w:t>he</w:t>
      </w:r>
      <w:r w:rsidR="004D329D" w:rsidRPr="00F27EB2">
        <w:rPr>
          <w:lang w:val="en-US"/>
        </w:rPr>
        <w:t xml:space="preserve"> Greek</w:t>
      </w:r>
      <w:r w:rsidRPr="00F27EB2">
        <w:rPr>
          <w:lang w:val="en-US"/>
        </w:rPr>
        <w:t xml:space="preserve"> translators often emphasize God’s spatial transcendence, preserving a </w:t>
      </w:r>
      <w:r w:rsidR="00F027EE" w:rsidRPr="00F27EB2">
        <w:rPr>
          <w:lang w:val="en-US"/>
        </w:rPr>
        <w:t xml:space="preserve">spatial </w:t>
      </w:r>
      <w:r w:rsidRPr="00F27EB2">
        <w:rPr>
          <w:lang w:val="en-US"/>
        </w:rPr>
        <w:t xml:space="preserve">asymmetry between God and humanity. Compound verbs with </w:t>
      </w:r>
      <w:r w:rsidR="004D329D" w:rsidRPr="00F27EB2">
        <w:rPr>
          <w:lang w:val="en-US"/>
        </w:rPr>
        <w:t>“high”</w:t>
      </w:r>
      <w:r w:rsidRPr="00F27EB2">
        <w:rPr>
          <w:lang w:val="en-US"/>
        </w:rPr>
        <w:t xml:space="preserve"> preverbs, such as ἐπιβ</w:t>
      </w:r>
      <w:proofErr w:type="spellStart"/>
      <w:r w:rsidRPr="00F27EB2">
        <w:rPr>
          <w:lang w:val="en-US"/>
        </w:rPr>
        <w:t>λέ</w:t>
      </w:r>
      <w:proofErr w:type="spellEnd"/>
      <w:r w:rsidRPr="00F27EB2">
        <w:rPr>
          <w:lang w:val="en-US"/>
        </w:rPr>
        <w:t>πω (“to look down upon”)</w:t>
      </w:r>
      <w:r w:rsidR="00F027EE" w:rsidRPr="00F27EB2">
        <w:rPr>
          <w:lang w:val="en-US"/>
        </w:rPr>
        <w:t>,</w:t>
      </w:r>
      <w:r w:rsidRPr="00F27EB2">
        <w:rPr>
          <w:lang w:val="en-US"/>
        </w:rPr>
        <w:t xml:space="preserve"> </w:t>
      </w:r>
      <w:r w:rsidR="00F027EE" w:rsidRPr="00F27EB2">
        <w:rPr>
          <w:lang w:val="en-US"/>
        </w:rPr>
        <w:t>convey</w:t>
      </w:r>
      <w:r w:rsidR="00C120FD" w:rsidRPr="00F27EB2">
        <w:rPr>
          <w:lang w:val="en-US"/>
        </w:rPr>
        <w:t xml:space="preserve"> (</w:t>
      </w:r>
      <w:r w:rsidRPr="00F27EB2">
        <w:rPr>
          <w:lang w:val="en-US"/>
        </w:rPr>
        <w:t>even when the spatial nuance</w:t>
      </w:r>
      <w:r w:rsidR="00C120FD" w:rsidRPr="00F27EB2">
        <w:rPr>
          <w:lang w:val="en-US"/>
        </w:rPr>
        <w:t xml:space="preserve"> of the preverb</w:t>
      </w:r>
      <w:r w:rsidRPr="00F27EB2">
        <w:rPr>
          <w:lang w:val="en-US"/>
        </w:rPr>
        <w:t xml:space="preserve"> had faded</w:t>
      </w:r>
      <w:r w:rsidR="004D329D" w:rsidRPr="00F27EB2">
        <w:rPr>
          <w:rStyle w:val="Voetnootmarkering"/>
          <w:lang w:val="en-US"/>
        </w:rPr>
        <w:footnoteReference w:id="119"/>
      </w:r>
      <w:r w:rsidR="00C120FD" w:rsidRPr="00F27EB2">
        <w:rPr>
          <w:lang w:val="en-US"/>
        </w:rPr>
        <w:t xml:space="preserve">) </w:t>
      </w:r>
      <w:r w:rsidRPr="00F27EB2">
        <w:rPr>
          <w:lang w:val="en-US"/>
        </w:rPr>
        <w:t>a divine perspective “from above</w:t>
      </w:r>
      <w:proofErr w:type="gramStart"/>
      <w:r w:rsidR="00F027EE" w:rsidRPr="00F27EB2">
        <w:rPr>
          <w:lang w:val="en-US"/>
        </w:rPr>
        <w:t xml:space="preserve">, </w:t>
      </w:r>
      <w:r w:rsidRPr="00F27EB2">
        <w:rPr>
          <w:lang w:val="en-US"/>
        </w:rPr>
        <w:t>”</w:t>
      </w:r>
      <w:proofErr w:type="gramEnd"/>
      <w:r w:rsidR="004D329D" w:rsidRPr="00F27EB2">
        <w:rPr>
          <w:rStyle w:val="Voetnootmarkering"/>
          <w:lang w:val="en-US"/>
        </w:rPr>
        <w:footnoteReference w:id="120"/>
      </w:r>
      <w:r w:rsidRPr="00F27EB2">
        <w:rPr>
          <w:lang w:val="en-US"/>
        </w:rPr>
        <w:t xml:space="preserve"> </w:t>
      </w:r>
      <w:r w:rsidR="00F027EE" w:rsidRPr="00F27EB2">
        <w:t>while</w:t>
      </w:r>
      <w:r w:rsidR="00F027EE" w:rsidRPr="00F27EB2">
        <w:t xml:space="preserve"> “</w:t>
      </w:r>
      <w:r w:rsidR="00F027EE" w:rsidRPr="00F27EB2">
        <w:t>horizontal</w:t>
      </w:r>
      <w:r w:rsidR="00F027EE" w:rsidRPr="00F27EB2">
        <w:t>”</w:t>
      </w:r>
      <w:r w:rsidR="00F027EE" w:rsidRPr="00F27EB2">
        <w:t xml:space="preserve"> verbs used for human sight, such as περιβλέπω or παροράω, are never applied to God</w:t>
      </w:r>
      <w:r w:rsidRPr="00F27EB2">
        <w:rPr>
          <w:lang w:val="en-US"/>
        </w:rPr>
        <w:t xml:space="preserve">. Similarly, in </w:t>
      </w:r>
      <w:r w:rsidR="004D329D" w:rsidRPr="00F27EB2">
        <w:rPr>
          <w:smallCaps/>
          <w:lang w:val="en-US"/>
        </w:rPr>
        <w:t>lxx</w:t>
      </w:r>
      <w:r w:rsidR="004D329D" w:rsidRPr="00F27EB2">
        <w:rPr>
          <w:lang w:val="en-US"/>
        </w:rPr>
        <w:t>-</w:t>
      </w:r>
      <w:r w:rsidRPr="00F27EB2">
        <w:rPr>
          <w:lang w:val="en-US"/>
        </w:rPr>
        <w:t xml:space="preserve">Isaiah, passages </w:t>
      </w:r>
      <w:r w:rsidR="00F027EE" w:rsidRPr="00F27EB2">
        <w:t>describing</w:t>
      </w:r>
      <w:r w:rsidRPr="00F27EB2">
        <w:rPr>
          <w:lang w:val="en-US"/>
        </w:rPr>
        <w:t xml:space="preserve"> God’s descent in </w:t>
      </w:r>
      <w:r w:rsidR="004D329D" w:rsidRPr="00F27EB2">
        <w:rPr>
          <w:smallCaps/>
          <w:lang w:val="en-US"/>
        </w:rPr>
        <w:t>mt</w:t>
      </w:r>
      <w:r w:rsidRPr="00F27EB2">
        <w:rPr>
          <w:lang w:val="en-US"/>
        </w:rPr>
        <w:t xml:space="preserve"> are recalibrated to maintain divine </w:t>
      </w:r>
      <w:r w:rsidR="00F027EE" w:rsidRPr="00F27EB2">
        <w:rPr>
          <w:lang w:val="en-US"/>
        </w:rPr>
        <w:t>“height</w:t>
      </w:r>
      <w:proofErr w:type="gramStart"/>
      <w:r w:rsidR="001344C6" w:rsidRPr="00F27EB2">
        <w:rPr>
          <w:lang w:val="en-US"/>
        </w:rPr>
        <w:t xml:space="preserve">, </w:t>
      </w:r>
      <w:r w:rsidR="00F027EE" w:rsidRPr="00F27EB2">
        <w:rPr>
          <w:lang w:val="en-US"/>
        </w:rPr>
        <w:t>”</w:t>
      </w:r>
      <w:proofErr w:type="gramEnd"/>
      <w:r w:rsidR="004D329D" w:rsidRPr="00F27EB2">
        <w:rPr>
          <w:rStyle w:val="Voetnootmarkering"/>
          <w:lang w:val="en-US"/>
        </w:rPr>
        <w:footnoteReference w:id="121"/>
      </w:r>
      <w:r w:rsidRPr="00F27EB2">
        <w:rPr>
          <w:lang w:val="en-US"/>
        </w:rPr>
        <w:t xml:space="preserve"> </w:t>
      </w:r>
      <w:r w:rsidR="001344C6" w:rsidRPr="00F27EB2">
        <w:t>possibly reflecting emerging traditions concerning the heavenly temple</w:t>
      </w:r>
      <w:r w:rsidRPr="00F27EB2">
        <w:rPr>
          <w:lang w:val="en-US"/>
        </w:rPr>
        <w:t>.</w:t>
      </w:r>
      <w:r w:rsidR="004D329D" w:rsidRPr="00F27EB2">
        <w:rPr>
          <w:rStyle w:val="Voetnootmarkering"/>
          <w:lang w:val="en-US"/>
        </w:rPr>
        <w:footnoteReference w:id="122"/>
      </w:r>
      <w:r w:rsidR="004D329D" w:rsidRPr="00F27EB2">
        <w:rPr>
          <w:lang w:val="en-US"/>
        </w:rPr>
        <w:t xml:space="preserve"> Also at </w:t>
      </w:r>
      <w:r w:rsidRPr="00F27EB2">
        <w:rPr>
          <w:lang w:val="en-US"/>
        </w:rPr>
        <w:t xml:space="preserve">other points, the translators’ context seems to have shaped their choices. Verbs of divine </w:t>
      </w:r>
      <w:proofErr w:type="spellStart"/>
      <w:r w:rsidRPr="00F27EB2">
        <w:rPr>
          <w:i/>
          <w:iCs/>
          <w:lang w:val="en-US"/>
        </w:rPr>
        <w:t>statesthesis</w:t>
      </w:r>
      <w:proofErr w:type="spellEnd"/>
      <w:r w:rsidRPr="00F27EB2">
        <w:rPr>
          <w:lang w:val="en-US"/>
        </w:rPr>
        <w:t xml:space="preserve"> such as </w:t>
      </w:r>
      <w:r w:rsidRPr="00F27EB2">
        <w:rPr>
          <w:rtl/>
          <w:lang w:val="en-US"/>
        </w:rPr>
        <w:t>עמד</w:t>
      </w:r>
      <w:r w:rsidRPr="00F27EB2">
        <w:rPr>
          <w:lang w:val="en-US"/>
        </w:rPr>
        <w:t xml:space="preserve"> or </w:t>
      </w:r>
      <w:proofErr w:type="spellStart"/>
      <w:r w:rsidRPr="00F27EB2">
        <w:rPr>
          <w:rtl/>
          <w:lang w:val="en-US"/>
        </w:rPr>
        <w:t>נצב</w:t>
      </w:r>
      <w:proofErr w:type="spellEnd"/>
      <w:r w:rsidRPr="00F27EB2">
        <w:rPr>
          <w:lang w:val="en-US"/>
        </w:rPr>
        <w:t xml:space="preserve"> are generally rendered straightforwardly, </w:t>
      </w:r>
      <w:r w:rsidR="001344C6" w:rsidRPr="00F27EB2">
        <w:t>showing no hesitation in depicting God’s spatial presence</w:t>
      </w:r>
      <w:r w:rsidRPr="00F27EB2">
        <w:rPr>
          <w:lang w:val="en-US"/>
        </w:rPr>
        <w:t xml:space="preserve">. Yet in passages involving </w:t>
      </w:r>
      <w:r w:rsidRPr="00F27EB2">
        <w:rPr>
          <w:rtl/>
          <w:lang w:val="en-US"/>
        </w:rPr>
        <w:t>קרא, קרה, יעד</w:t>
      </w:r>
      <w:r w:rsidRPr="00F27EB2">
        <w:rPr>
          <w:lang w:val="en-US"/>
        </w:rPr>
        <w:t xml:space="preserve">, and </w:t>
      </w:r>
      <w:r w:rsidRPr="00F27EB2">
        <w:rPr>
          <w:rtl/>
          <w:lang w:val="en-US"/>
        </w:rPr>
        <w:t>שכן</w:t>
      </w:r>
      <w:r w:rsidRPr="00F27EB2">
        <w:rPr>
          <w:lang w:val="en-US"/>
        </w:rPr>
        <w:t xml:space="preserve">, the </w:t>
      </w:r>
      <w:r w:rsidR="004D329D" w:rsidRPr="00F27EB2">
        <w:rPr>
          <w:lang w:val="en-US"/>
        </w:rPr>
        <w:t xml:space="preserve">Greek </w:t>
      </w:r>
      <w:r w:rsidRPr="00F27EB2">
        <w:rPr>
          <w:lang w:val="en-US"/>
        </w:rPr>
        <w:t>renderings suggest a deliberate reframin</w:t>
      </w:r>
      <w:r w:rsidR="001344C6" w:rsidRPr="00F27EB2">
        <w:rPr>
          <w:lang w:val="en-US"/>
        </w:rPr>
        <w:t>g –</w:t>
      </w:r>
      <w:r w:rsidR="000A499A" w:rsidRPr="00F27EB2">
        <w:rPr>
          <w:lang w:val="en-US"/>
        </w:rPr>
        <w:t xml:space="preserve"> </w:t>
      </w:r>
      <w:r w:rsidR="001344C6" w:rsidRPr="00F27EB2">
        <w:t xml:space="preserve">for example, translating </w:t>
      </w:r>
      <w:r w:rsidR="001344C6" w:rsidRPr="00F27EB2">
        <w:rPr>
          <w:rtl/>
        </w:rPr>
        <w:t>שכן</w:t>
      </w:r>
      <w:r w:rsidR="001344C6" w:rsidRPr="00F27EB2">
        <w:t xml:space="preserve"> as ὀφθήσομαι in Ex 25:8</w:t>
      </w:r>
      <w:r w:rsidRPr="00F27EB2">
        <w:rPr>
          <w:lang w:val="en-US"/>
        </w:rPr>
        <w:t xml:space="preserve">. </w:t>
      </w:r>
      <w:r w:rsidR="001344C6" w:rsidRPr="00F27EB2">
        <w:t>The result is a portrayal of God as present yet not confined to a single sanctuary, resonating with communities worshipping outside Jerusalem</w:t>
      </w:r>
      <w:r w:rsidRPr="00F27EB2">
        <w:rPr>
          <w:lang w:val="en-US"/>
        </w:rPr>
        <w:t xml:space="preserve">. </w:t>
      </w:r>
      <w:r w:rsidR="000A499A" w:rsidRPr="00F27EB2">
        <w:rPr>
          <w:lang w:val="en-US"/>
        </w:rPr>
        <w:t xml:space="preserve"> </w:t>
      </w:r>
    </w:p>
    <w:p w14:paraId="0F21E731" w14:textId="72638F42" w:rsidR="00AD3719" w:rsidRPr="00F27EB2" w:rsidRDefault="000A499A" w:rsidP="009659FF">
      <w:pPr>
        <w:pStyle w:val="Normaalweb"/>
        <w:spacing w:before="0" w:beforeAutospacing="0" w:after="0" w:afterAutospacing="0"/>
        <w:ind w:firstLine="708"/>
        <w:jc w:val="both"/>
        <w:rPr>
          <w:lang w:val="en-US"/>
        </w:rPr>
      </w:pPr>
      <w:r w:rsidRPr="00F27EB2">
        <w:rPr>
          <w:lang w:val="en-US"/>
        </w:rPr>
        <w:t xml:space="preserve">The rendering of these dwelling/meeting-verbs </w:t>
      </w:r>
      <w:r w:rsidR="001344C6" w:rsidRPr="00F27EB2">
        <w:rPr>
          <w:lang w:val="en-US"/>
        </w:rPr>
        <w:t>illustrates</w:t>
      </w:r>
      <w:r w:rsidRPr="00F27EB2">
        <w:rPr>
          <w:lang w:val="en-US"/>
        </w:rPr>
        <w:t xml:space="preserve"> the translator’s </w:t>
      </w:r>
      <w:r w:rsidR="00814AD6" w:rsidRPr="00F27EB2">
        <w:rPr>
          <w:lang w:val="en-US"/>
        </w:rPr>
        <w:t>interpretive strategy</w:t>
      </w:r>
      <w:r w:rsidRPr="00F27EB2">
        <w:rPr>
          <w:lang w:val="en-US"/>
        </w:rPr>
        <w:t xml:space="preserve">, </w:t>
      </w:r>
      <w:r w:rsidR="001344C6" w:rsidRPr="00F27EB2">
        <w:rPr>
          <w:lang w:val="en-US"/>
        </w:rPr>
        <w:t>particularly with</w:t>
      </w:r>
      <w:r w:rsidR="00814AD6" w:rsidRPr="00F27EB2">
        <w:rPr>
          <w:lang w:val="en-US"/>
        </w:rPr>
        <w:t xml:space="preserve"> verbs such as </w:t>
      </w:r>
      <w:r w:rsidR="00814AD6" w:rsidRPr="00F27EB2">
        <w:rPr>
          <w:rtl/>
          <w:lang w:val="en-US"/>
        </w:rPr>
        <w:t>יעד</w:t>
      </w:r>
      <w:r w:rsidR="00814AD6" w:rsidRPr="00F27EB2">
        <w:rPr>
          <w:lang w:val="en-US"/>
        </w:rPr>
        <w:t xml:space="preserve"> (“to appoint, meet”) and </w:t>
      </w:r>
      <w:r w:rsidR="00814AD6" w:rsidRPr="00F27EB2">
        <w:rPr>
          <w:rtl/>
          <w:lang w:val="en-US"/>
        </w:rPr>
        <w:t>קרה</w:t>
      </w:r>
      <w:r w:rsidR="00814AD6" w:rsidRPr="00F27EB2">
        <w:rPr>
          <w:lang w:val="en-US"/>
        </w:rPr>
        <w:t xml:space="preserve"> (“to meet”). In several </w:t>
      </w:r>
      <w:r w:rsidRPr="00F27EB2">
        <w:rPr>
          <w:smallCaps/>
          <w:lang w:val="en-US"/>
        </w:rPr>
        <w:t>lxx</w:t>
      </w:r>
      <w:r w:rsidRPr="00F27EB2">
        <w:rPr>
          <w:lang w:val="en-US"/>
        </w:rPr>
        <w:t>-Pentateuch</w:t>
      </w:r>
      <w:r w:rsidR="001344C6" w:rsidRPr="00F27EB2">
        <w:rPr>
          <w:lang w:val="en-US"/>
        </w:rPr>
        <w:t xml:space="preserve"> passages</w:t>
      </w:r>
      <w:r w:rsidRPr="00F27EB2">
        <w:rPr>
          <w:lang w:val="en-US"/>
        </w:rPr>
        <w:t>,</w:t>
      </w:r>
      <w:r w:rsidR="00814AD6" w:rsidRPr="00F27EB2">
        <w:rPr>
          <w:lang w:val="en-US"/>
        </w:rPr>
        <w:t xml:space="preserve"> </w:t>
      </w:r>
      <w:r w:rsidR="001344C6" w:rsidRPr="00F27EB2">
        <w:t>these verbs appear “misread</w:t>
      </w:r>
      <w:r w:rsidR="00814AD6" w:rsidRPr="00F27EB2">
        <w:rPr>
          <w:lang w:val="en-US"/>
        </w:rPr>
        <w:t>:</w:t>
      </w:r>
      <w:r w:rsidR="001344C6" w:rsidRPr="00F27EB2">
        <w:rPr>
          <w:lang w:val="en-US"/>
        </w:rPr>
        <w:t>”</w:t>
      </w:r>
      <w:r w:rsidR="00814AD6" w:rsidRPr="00F27EB2">
        <w:rPr>
          <w:lang w:val="en-US"/>
        </w:rPr>
        <w:t xml:space="preserve"> </w:t>
      </w:r>
      <w:r w:rsidR="00814AD6" w:rsidRPr="00F27EB2">
        <w:rPr>
          <w:rtl/>
          <w:lang w:val="en-US"/>
        </w:rPr>
        <w:t>יעד</w:t>
      </w:r>
      <w:r w:rsidR="00814AD6" w:rsidRPr="00F27EB2">
        <w:rPr>
          <w:lang w:val="en-US"/>
        </w:rPr>
        <w:t xml:space="preserve"> taken as </w:t>
      </w:r>
      <w:r w:rsidR="00814AD6" w:rsidRPr="00F27EB2">
        <w:rPr>
          <w:rtl/>
          <w:lang w:val="en-US"/>
        </w:rPr>
        <w:t>ידע</w:t>
      </w:r>
      <w:r w:rsidR="00814AD6" w:rsidRPr="00F27EB2">
        <w:rPr>
          <w:lang w:val="en-US"/>
        </w:rPr>
        <w:t xml:space="preserve">, and </w:t>
      </w:r>
      <w:r w:rsidR="00814AD6" w:rsidRPr="00F27EB2">
        <w:rPr>
          <w:rtl/>
          <w:lang w:val="en-US"/>
        </w:rPr>
        <w:t>קרה</w:t>
      </w:r>
      <w:r w:rsidR="00814AD6" w:rsidRPr="00F27EB2">
        <w:rPr>
          <w:lang w:val="en-US"/>
        </w:rPr>
        <w:t xml:space="preserve"> as </w:t>
      </w:r>
      <w:r w:rsidR="00814AD6" w:rsidRPr="00F27EB2">
        <w:rPr>
          <w:rtl/>
          <w:lang w:val="en-US"/>
        </w:rPr>
        <w:t>קרא</w:t>
      </w:r>
      <w:r w:rsidR="00814AD6" w:rsidRPr="00F27EB2">
        <w:rPr>
          <w:lang w:val="en-US"/>
        </w:rPr>
        <w:t xml:space="preserve">, </w:t>
      </w:r>
      <w:r w:rsidRPr="00F27EB2">
        <w:rPr>
          <w:lang w:val="en-US"/>
        </w:rPr>
        <w:t xml:space="preserve">visible </w:t>
      </w:r>
      <w:r w:rsidRPr="00F27EB2">
        <w:rPr>
          <w:lang w:val="en-US"/>
        </w:rPr>
        <w:lastRenderedPageBreak/>
        <w:t>in the</w:t>
      </w:r>
      <w:r w:rsidR="00814AD6" w:rsidRPr="00F27EB2">
        <w:rPr>
          <w:lang w:val="en-US"/>
        </w:rPr>
        <w:t xml:space="preserve"> </w:t>
      </w:r>
      <w:r w:rsidR="001344C6" w:rsidRPr="00F27EB2">
        <w:rPr>
          <w:lang w:val="en-US"/>
        </w:rPr>
        <w:t>respective</w:t>
      </w:r>
      <w:r w:rsidRPr="00F27EB2">
        <w:rPr>
          <w:lang w:val="en-US"/>
        </w:rPr>
        <w:t xml:space="preserve"> equivalents</w:t>
      </w:r>
      <w:r w:rsidR="00814AD6" w:rsidRPr="00F27EB2">
        <w:rPr>
          <w:lang w:val="en-US"/>
        </w:rPr>
        <w:t xml:space="preserve"> </w:t>
      </w:r>
      <w:proofErr w:type="spellStart"/>
      <w:r w:rsidR="00814AD6" w:rsidRPr="00F27EB2">
        <w:rPr>
          <w:lang w:val="en-US"/>
        </w:rPr>
        <w:t>γινώσκω</w:t>
      </w:r>
      <w:proofErr w:type="spellEnd"/>
      <w:r w:rsidR="00814AD6" w:rsidRPr="00F27EB2">
        <w:rPr>
          <w:lang w:val="en-US"/>
        </w:rPr>
        <w:t xml:space="preserve"> or </w:t>
      </w:r>
      <w:r w:rsidR="001344C6" w:rsidRPr="00F27EB2">
        <w:t>προσκαλέομαι, so that God is “known” or “called” rather than spatially encountering people</w:t>
      </w:r>
      <w:r w:rsidR="00814AD6" w:rsidRPr="00F27EB2">
        <w:rPr>
          <w:lang w:val="en-US"/>
        </w:rPr>
        <w:t>. Perkins has described this</w:t>
      </w:r>
      <w:r w:rsidRPr="00F27EB2">
        <w:rPr>
          <w:lang w:val="en-US"/>
        </w:rPr>
        <w:t xml:space="preserve"> “misreading”</w:t>
      </w:r>
      <w:r w:rsidR="00814AD6" w:rsidRPr="00F27EB2">
        <w:rPr>
          <w:lang w:val="en-US"/>
        </w:rPr>
        <w:t xml:space="preserve"> as a deliberate interpretive strategy.</w:t>
      </w:r>
      <w:r w:rsidR="002B4C57" w:rsidRPr="00F27EB2">
        <w:rPr>
          <w:rStyle w:val="Voetnootmarkering"/>
          <w:lang w:val="en-US"/>
        </w:rPr>
        <w:footnoteReference w:id="123"/>
      </w:r>
      <w:r w:rsidR="00814AD6" w:rsidRPr="00F27EB2">
        <w:rPr>
          <w:lang w:val="en-US"/>
        </w:rPr>
        <w:t xml:space="preserve"> Similar </w:t>
      </w:r>
      <w:r w:rsidR="001344C6" w:rsidRPr="00F27EB2">
        <w:t xml:space="preserve">strategies </w:t>
      </w:r>
      <w:r w:rsidR="00814AD6" w:rsidRPr="00F27EB2">
        <w:rPr>
          <w:lang w:val="en-US"/>
        </w:rPr>
        <w:t xml:space="preserve">occur in Gen 6:7, where </w:t>
      </w:r>
      <w:r w:rsidRPr="00F27EB2">
        <w:rPr>
          <w:smallCaps/>
          <w:lang w:val="en-US"/>
        </w:rPr>
        <w:t>mt’</w:t>
      </w:r>
      <w:r w:rsidRPr="00F27EB2">
        <w:rPr>
          <w:lang w:val="en-US"/>
        </w:rPr>
        <w:t>s</w:t>
      </w:r>
      <w:r w:rsidR="00814AD6" w:rsidRPr="00F27EB2">
        <w:rPr>
          <w:lang w:val="en-US"/>
        </w:rPr>
        <w:t xml:space="preserve"> anthropopathism of divine “repentance” (</w:t>
      </w:r>
      <w:r w:rsidR="00814AD6" w:rsidRPr="00F27EB2">
        <w:rPr>
          <w:rtl/>
          <w:lang w:val="en-US"/>
        </w:rPr>
        <w:t>נחם</w:t>
      </w:r>
      <w:r w:rsidR="00814AD6" w:rsidRPr="00F27EB2">
        <w:rPr>
          <w:lang w:val="en-US"/>
        </w:rPr>
        <w:t>) is rendered as anger</w:t>
      </w:r>
      <w:r w:rsidRPr="00F27EB2">
        <w:rPr>
          <w:lang w:val="en-US"/>
        </w:rPr>
        <w:t xml:space="preserve"> (</w:t>
      </w:r>
      <w:proofErr w:type="spellStart"/>
      <w:r w:rsidRPr="00F27EB2">
        <w:rPr>
          <w:lang w:val="en-US"/>
        </w:rPr>
        <w:t>θυμόω</w:t>
      </w:r>
      <w:proofErr w:type="spellEnd"/>
      <w:r w:rsidRPr="00F27EB2">
        <w:rPr>
          <w:lang w:val="en-US"/>
        </w:rPr>
        <w:t>)</w:t>
      </w:r>
      <w:r w:rsidR="00814AD6" w:rsidRPr="00F27EB2">
        <w:rPr>
          <w:lang w:val="en-US"/>
        </w:rPr>
        <w:t xml:space="preserve">. Van der Louw </w:t>
      </w:r>
      <w:r w:rsidR="001344C6" w:rsidRPr="00F27EB2">
        <w:rPr>
          <w:lang w:val="en-US"/>
        </w:rPr>
        <w:t>suggests</w:t>
      </w:r>
      <w:r w:rsidR="00814AD6" w:rsidRPr="00F27EB2">
        <w:rPr>
          <w:lang w:val="en-US"/>
        </w:rPr>
        <w:t xml:space="preserve"> that the translator </w:t>
      </w:r>
      <w:r w:rsidR="002B4C57" w:rsidRPr="00F27EB2">
        <w:rPr>
          <w:lang w:val="en-US"/>
        </w:rPr>
        <w:t>linked</w:t>
      </w:r>
      <w:r w:rsidR="00814AD6" w:rsidRPr="00F27EB2">
        <w:rPr>
          <w:lang w:val="en-US"/>
        </w:rPr>
        <w:t xml:space="preserve"> </w:t>
      </w:r>
      <w:r w:rsidR="00814AD6" w:rsidRPr="00F27EB2">
        <w:rPr>
          <w:rtl/>
          <w:lang w:val="en-US"/>
        </w:rPr>
        <w:t>נחם</w:t>
      </w:r>
      <w:r w:rsidR="00814AD6" w:rsidRPr="00F27EB2">
        <w:rPr>
          <w:lang w:val="en-US"/>
        </w:rPr>
        <w:t xml:space="preserve"> </w:t>
      </w:r>
      <w:r w:rsidR="002B4C57" w:rsidRPr="00F27EB2">
        <w:rPr>
          <w:lang w:val="en-US"/>
        </w:rPr>
        <w:t>with</w:t>
      </w:r>
      <w:r w:rsidR="00814AD6" w:rsidRPr="00F27EB2">
        <w:rPr>
          <w:lang w:val="en-US"/>
        </w:rPr>
        <w:t xml:space="preserve"> </w:t>
      </w:r>
      <w:r w:rsidR="00814AD6" w:rsidRPr="00F27EB2">
        <w:rPr>
          <w:rtl/>
          <w:lang w:val="en-US"/>
        </w:rPr>
        <w:t>יחם</w:t>
      </w:r>
      <w:r w:rsidR="00814AD6" w:rsidRPr="00F27EB2">
        <w:rPr>
          <w:lang w:val="en-US"/>
        </w:rPr>
        <w:t xml:space="preserve"> or </w:t>
      </w:r>
      <w:r w:rsidR="00814AD6" w:rsidRPr="00F27EB2">
        <w:rPr>
          <w:rtl/>
          <w:lang w:val="en-US"/>
        </w:rPr>
        <w:t>חמם</w:t>
      </w:r>
      <w:r w:rsidR="00814AD6" w:rsidRPr="00F27EB2">
        <w:rPr>
          <w:lang w:val="en-US"/>
        </w:rPr>
        <w:t xml:space="preserve"> (“to be hot”), </w:t>
      </w:r>
      <w:r w:rsidR="001344C6" w:rsidRPr="00F27EB2">
        <w:rPr>
          <w:lang w:val="en-US"/>
        </w:rPr>
        <w:t>producing the</w:t>
      </w:r>
      <w:r w:rsidR="00814AD6" w:rsidRPr="00F27EB2">
        <w:rPr>
          <w:lang w:val="en-US"/>
        </w:rPr>
        <w:t xml:space="preserve"> “burning anger.”</w:t>
      </w:r>
      <w:r w:rsidR="002B4C57" w:rsidRPr="00F27EB2">
        <w:rPr>
          <w:rStyle w:val="Voetnootmarkering"/>
          <w:lang w:val="en-US"/>
        </w:rPr>
        <w:footnoteReference w:id="124"/>
      </w:r>
      <w:r w:rsidR="00814AD6" w:rsidRPr="00F27EB2">
        <w:rPr>
          <w:lang w:val="en-US"/>
        </w:rPr>
        <w:t xml:space="preserve"> This kind of </w:t>
      </w:r>
      <w:r w:rsidRPr="00F27EB2">
        <w:rPr>
          <w:lang w:val="en-US"/>
        </w:rPr>
        <w:t>“</w:t>
      </w:r>
      <w:r w:rsidR="00814AD6" w:rsidRPr="00F27EB2">
        <w:rPr>
          <w:lang w:val="en-US"/>
        </w:rPr>
        <w:t>creative etymologizing</w:t>
      </w:r>
      <w:r w:rsidRPr="00F27EB2">
        <w:rPr>
          <w:lang w:val="en-US"/>
        </w:rPr>
        <w:t>”</w:t>
      </w:r>
      <w:r w:rsidR="00814AD6" w:rsidRPr="00F27EB2">
        <w:rPr>
          <w:lang w:val="en-US"/>
        </w:rPr>
        <w:t xml:space="preserve"> was already observed by </w:t>
      </w:r>
      <w:proofErr w:type="spellStart"/>
      <w:r w:rsidR="00814AD6" w:rsidRPr="00F27EB2">
        <w:rPr>
          <w:lang w:val="en-US"/>
        </w:rPr>
        <w:t>Flash</w:t>
      </w:r>
      <w:r w:rsidR="002B4C57" w:rsidRPr="00F27EB2">
        <w:rPr>
          <w:lang w:val="en-US"/>
        </w:rPr>
        <w:t>a</w:t>
      </w:r>
      <w:r w:rsidR="00814AD6" w:rsidRPr="00F27EB2">
        <w:rPr>
          <w:lang w:val="en-US"/>
        </w:rPr>
        <w:t>r</w:t>
      </w:r>
      <w:proofErr w:type="spellEnd"/>
      <w:r w:rsidR="00814AD6" w:rsidRPr="00F27EB2">
        <w:rPr>
          <w:lang w:val="en-US"/>
        </w:rPr>
        <w:t>, who labeled it “</w:t>
      </w:r>
      <w:proofErr w:type="spellStart"/>
      <w:r w:rsidR="00814AD6" w:rsidRPr="00F27EB2">
        <w:rPr>
          <w:lang w:val="en-US"/>
        </w:rPr>
        <w:t>künstliche</w:t>
      </w:r>
      <w:proofErr w:type="spellEnd"/>
      <w:r w:rsidR="00814AD6" w:rsidRPr="00F27EB2">
        <w:rPr>
          <w:lang w:val="en-US"/>
        </w:rPr>
        <w:t xml:space="preserve"> </w:t>
      </w:r>
      <w:proofErr w:type="spellStart"/>
      <w:r w:rsidR="00814AD6" w:rsidRPr="00F27EB2">
        <w:rPr>
          <w:lang w:val="en-US"/>
        </w:rPr>
        <w:t>Etymologien</w:t>
      </w:r>
      <w:proofErr w:type="spellEnd"/>
      <w:r w:rsidR="00814AD6" w:rsidRPr="00F27EB2">
        <w:rPr>
          <w:lang w:val="en-US"/>
        </w:rPr>
        <w:t>”</w:t>
      </w:r>
      <w:r w:rsidR="002B4C57" w:rsidRPr="00F27EB2">
        <w:rPr>
          <w:rStyle w:val="Voetnootmarkering"/>
          <w:lang w:val="en-US"/>
        </w:rPr>
        <w:footnoteReference w:id="125"/>
      </w:r>
      <w:r w:rsidR="00814AD6" w:rsidRPr="00F27EB2">
        <w:rPr>
          <w:lang w:val="en-US"/>
        </w:rPr>
        <w:t xml:space="preserve"> </w:t>
      </w:r>
      <w:r w:rsidR="001344C6" w:rsidRPr="00F27EB2">
        <w:t xml:space="preserve">comparing them to the Hebrew </w:t>
      </w:r>
      <w:r w:rsidR="00814AD6" w:rsidRPr="00F27EB2">
        <w:rPr>
          <w:lang w:val="en-US"/>
        </w:rPr>
        <w:t>Bible</w:t>
      </w:r>
      <w:r w:rsidR="002B4C57" w:rsidRPr="00F27EB2">
        <w:rPr>
          <w:lang w:val="en-US"/>
        </w:rPr>
        <w:t>’</w:t>
      </w:r>
      <w:r w:rsidR="00814AD6" w:rsidRPr="00F27EB2">
        <w:rPr>
          <w:lang w:val="en-US"/>
        </w:rPr>
        <w:t>s</w:t>
      </w:r>
      <w:r w:rsidR="002B4C57" w:rsidRPr="00F27EB2">
        <w:rPr>
          <w:lang w:val="en-US"/>
        </w:rPr>
        <w:t xml:space="preserve"> etymologically loose</w:t>
      </w:r>
      <w:r w:rsidR="00814AD6" w:rsidRPr="00F27EB2">
        <w:rPr>
          <w:lang w:val="en-US"/>
        </w:rPr>
        <w:t xml:space="preserve"> </w:t>
      </w:r>
      <w:r w:rsidRPr="00F27EB2">
        <w:rPr>
          <w:lang w:val="en-US"/>
        </w:rPr>
        <w:t>etiologies</w:t>
      </w:r>
      <w:r w:rsidR="00814AD6" w:rsidRPr="00F27EB2">
        <w:rPr>
          <w:lang w:val="en-US"/>
        </w:rPr>
        <w:t xml:space="preserve">. </w:t>
      </w:r>
      <w:r w:rsidR="001344C6" w:rsidRPr="00F27EB2">
        <w:t>Far from indicating a poor grasp of Hebrew, these strategies demonstrate the translators’ creative engagement with their Vorlage, generating new associations through pseudo-etymological links</w:t>
      </w:r>
      <w:r w:rsidR="00814AD6" w:rsidRPr="00F27EB2">
        <w:rPr>
          <w:lang w:val="en-US"/>
        </w:rPr>
        <w:t>. They should thus be regarded as deliberate and interpretive,</w:t>
      </w:r>
      <w:r w:rsidR="001344C6" w:rsidRPr="00F27EB2">
        <w:rPr>
          <w:lang w:val="en-US"/>
        </w:rPr>
        <w:t xml:space="preserve"> </w:t>
      </w:r>
      <w:r w:rsidR="00814AD6" w:rsidRPr="00F27EB2">
        <w:rPr>
          <w:lang w:val="en-US"/>
        </w:rPr>
        <w:t>and as crucial for understanding both the translation of anthropomorphisms and the broader translation technique of</w:t>
      </w:r>
      <w:r w:rsidR="001344C6" w:rsidRPr="00F27EB2">
        <w:rPr>
          <w:lang w:val="en-US"/>
        </w:rPr>
        <w:t xml:space="preserve"> </w:t>
      </w:r>
      <w:r w:rsidRPr="00F27EB2">
        <w:rPr>
          <w:smallCaps/>
          <w:lang w:val="en-US"/>
        </w:rPr>
        <w:t>lxx</w:t>
      </w:r>
      <w:r w:rsidR="00814AD6" w:rsidRPr="00F27EB2">
        <w:rPr>
          <w:lang w:val="en-US"/>
        </w:rPr>
        <w:t>.</w:t>
      </w:r>
    </w:p>
    <w:p w14:paraId="206B60D0" w14:textId="70EB42A5" w:rsidR="000A499A" w:rsidRPr="00F27EB2" w:rsidRDefault="000A499A" w:rsidP="009659FF">
      <w:pPr>
        <w:pStyle w:val="Normaalweb"/>
        <w:spacing w:before="0" w:beforeAutospacing="0" w:after="0" w:afterAutospacing="0"/>
        <w:ind w:firstLine="708"/>
        <w:jc w:val="both"/>
        <w:rPr>
          <w:lang w:val="en-US"/>
        </w:rPr>
      </w:pPr>
      <w:r w:rsidRPr="00F27EB2">
        <w:rPr>
          <w:lang w:val="en-US"/>
        </w:rPr>
        <w:t xml:space="preserve">Even though there is no consistent anti-anthropomorphic </w:t>
      </w:r>
      <w:r w:rsidR="001344C6" w:rsidRPr="00F27EB2">
        <w:rPr>
          <w:lang w:val="en-US"/>
        </w:rPr>
        <w:t>avoidance</w:t>
      </w:r>
      <w:r w:rsidRPr="00F27EB2">
        <w:rPr>
          <w:lang w:val="en-US"/>
        </w:rPr>
        <w:t xml:space="preserve"> to be felt throughout </w:t>
      </w:r>
      <w:r w:rsidRPr="00F27EB2">
        <w:rPr>
          <w:smallCaps/>
          <w:lang w:val="en-US"/>
        </w:rPr>
        <w:t xml:space="preserve">lxx, </w:t>
      </w:r>
      <w:r w:rsidRPr="00F27EB2">
        <w:rPr>
          <w:lang w:val="en-US"/>
        </w:rPr>
        <w:t xml:space="preserve">these examples show that the translators did not merely reproduce their </w:t>
      </w:r>
      <w:r w:rsidRPr="00F27EB2">
        <w:rPr>
          <w:i/>
          <w:iCs/>
          <w:lang w:val="en-US"/>
        </w:rPr>
        <w:t>Vorlage</w:t>
      </w:r>
      <w:r w:rsidRPr="00F27EB2">
        <w:rPr>
          <w:lang w:val="en-US"/>
        </w:rPr>
        <w:t xml:space="preserve"> but actively reshaped anthropomorphisms through avoidance of specific themes (such as digestion, euphemistic connotations, disabilities etc</w:t>
      </w:r>
      <w:r w:rsidR="00345BF7" w:rsidRPr="00F27EB2">
        <w:rPr>
          <w:lang w:val="en-US"/>
        </w:rPr>
        <w:t>.</w:t>
      </w:r>
      <w:r w:rsidRPr="00F27EB2">
        <w:rPr>
          <w:lang w:val="en-US"/>
        </w:rPr>
        <w:t>), contextual reinterpretation</w:t>
      </w:r>
      <w:r w:rsidR="009659FF" w:rsidRPr="00F27EB2">
        <w:rPr>
          <w:lang w:val="en-US"/>
        </w:rPr>
        <w:t xml:space="preserve"> reflecting broader currents in the translators’ surroundings</w:t>
      </w:r>
      <w:r w:rsidRPr="00F27EB2">
        <w:rPr>
          <w:lang w:val="en-US"/>
        </w:rPr>
        <w:t>, and creative etymologizing</w:t>
      </w:r>
      <w:r w:rsidR="009659FF" w:rsidRPr="00F27EB2">
        <w:rPr>
          <w:lang w:val="en-US"/>
        </w:rPr>
        <w:t xml:space="preserve"> – </w:t>
      </w:r>
      <w:r w:rsidRPr="00F27EB2">
        <w:rPr>
          <w:lang w:val="en-US"/>
        </w:rPr>
        <w:t>producing a version of the text that reflects both fidelity to the Hebrew and the translators’ own theological and cultural context.</w:t>
      </w:r>
    </w:p>
    <w:p w14:paraId="0FFE3FDD" w14:textId="77777777" w:rsidR="001344C6" w:rsidRPr="00F27EB2" w:rsidRDefault="001344C6" w:rsidP="00A466B6">
      <w:pPr>
        <w:pStyle w:val="Normaalweb"/>
        <w:spacing w:before="0" w:beforeAutospacing="0" w:after="0" w:afterAutospacing="0"/>
        <w:jc w:val="both"/>
        <w:rPr>
          <w:lang w:val="en-US"/>
        </w:rPr>
      </w:pPr>
    </w:p>
    <w:p w14:paraId="4B611E76" w14:textId="38A0102C" w:rsidR="00A466B6" w:rsidRPr="00F27EB2" w:rsidRDefault="00A466B6" w:rsidP="00A466B6">
      <w:pPr>
        <w:pStyle w:val="Normaalweb"/>
        <w:numPr>
          <w:ilvl w:val="0"/>
          <w:numId w:val="14"/>
        </w:numPr>
        <w:spacing w:before="0" w:beforeAutospacing="0" w:after="0" w:afterAutospacing="0"/>
        <w:jc w:val="both"/>
        <w:rPr>
          <w:b/>
          <w:bCs/>
          <w:lang w:val="en-US"/>
        </w:rPr>
      </w:pPr>
      <w:r w:rsidRPr="00F27EB2">
        <w:rPr>
          <w:b/>
          <w:bCs/>
          <w:lang w:val="en-US"/>
        </w:rPr>
        <w:t>Conclusion</w:t>
      </w:r>
    </w:p>
    <w:p w14:paraId="6348C6CD" w14:textId="77777777" w:rsidR="00A466B6" w:rsidRPr="00F27EB2" w:rsidRDefault="00A466B6" w:rsidP="00A466B6">
      <w:pPr>
        <w:pStyle w:val="Normaalweb"/>
        <w:spacing w:before="0" w:beforeAutospacing="0" w:after="0" w:afterAutospacing="0"/>
        <w:jc w:val="both"/>
        <w:rPr>
          <w:b/>
          <w:bCs/>
          <w:lang w:val="en-US"/>
        </w:rPr>
      </w:pPr>
    </w:p>
    <w:p w14:paraId="7ABD02A2" w14:textId="285ADB30" w:rsidR="00A466B6" w:rsidRPr="00F27EB2" w:rsidRDefault="001C697D" w:rsidP="001C697D">
      <w:pPr>
        <w:pStyle w:val="Normaalweb"/>
        <w:spacing w:before="0" w:beforeAutospacing="0" w:after="0" w:afterAutospacing="0"/>
        <w:jc w:val="both"/>
        <w:rPr>
          <w:b/>
          <w:bCs/>
          <w:lang w:val="en-US"/>
        </w:rPr>
      </w:pPr>
      <w:r w:rsidRPr="00F27EB2">
        <w:t xml:space="preserve">This article has tried to trace problems, responses, methodological frameworks and new perspectives in the study of the Greek rendering of anthropomorphisms. </w:t>
      </w:r>
      <w:r w:rsidRPr="00F27EB2">
        <w:t>Historical scholarship reveals persistent debates over the translators’ intentions, whether theological, philosophical, or stylistic, while modern approaches emphasize the importance of translation technique, textual variation, and the socio-cultural milieu.</w:t>
      </w:r>
      <w:r w:rsidRPr="00F27EB2">
        <w:t xml:space="preserve"> </w:t>
      </w:r>
      <w:r w:rsidR="00E67F29" w:rsidRPr="00F27EB2">
        <w:t xml:space="preserve">Methodologically, this underscores the need for a multidimensional approach that combines quantitative assessment of consistency with qualitative evaluation of vocabulary, style, and broader literary and cultural context. </w:t>
      </w:r>
      <w:r w:rsidRPr="00F27EB2">
        <w:t xml:space="preserve">While </w:t>
      </w:r>
      <w:r w:rsidRPr="00F27EB2">
        <w:rPr>
          <w:smallCaps/>
        </w:rPr>
        <w:t>lxx</w:t>
      </w:r>
      <w:r w:rsidRPr="00F27EB2">
        <w:t xml:space="preserve"> does not exhibit a consistent anti-anthropomorphic agenda, patterns emerge in which specific themes</w:t>
      </w:r>
      <w:r w:rsidRPr="00F27EB2">
        <w:t xml:space="preserve">, </w:t>
      </w:r>
      <w:r w:rsidRPr="00F27EB2">
        <w:t>such as human bodily functions, disabilities, or euphemistic imagery</w:t>
      </w:r>
      <w:r w:rsidRPr="00F27EB2">
        <w:t xml:space="preserve">, </w:t>
      </w:r>
      <w:r w:rsidRPr="00F27EB2">
        <w:t>are modified, omitted, or reframed. These adjustments reflect a combination of linguistic, cultural, and theological factors, including the translators’ Diaspora context and sensitivity to the Hebrew text. Creative strategies, such as “künstliche Etymologien</w:t>
      </w:r>
      <w:r w:rsidRPr="00F27EB2">
        <w:t>,</w:t>
      </w:r>
      <w:r w:rsidRPr="00F27EB2">
        <w:t xml:space="preserve">” further illustrate their active engagement with the source text. The diversity of approaches across books and passages underscores the necessity of examining each </w:t>
      </w:r>
      <w:r w:rsidRPr="00F27EB2">
        <w:rPr>
          <w:smallCaps/>
        </w:rPr>
        <w:t>lxx</w:t>
      </w:r>
      <w:r w:rsidRPr="00F27EB2">
        <w:t>-</w:t>
      </w:r>
      <w:r w:rsidRPr="00F27EB2">
        <w:t>text on its own terms, integrating translation technique, textual variation, and socio-cultural milieu, rather than reducing divergences to a simplistic notion of anti-anthropomorphism.</w:t>
      </w:r>
      <w:r w:rsidRPr="00F27EB2">
        <w:t xml:space="preserve"> </w:t>
      </w:r>
    </w:p>
    <w:sectPr w:rsidR="00A466B6" w:rsidRPr="00F27EB2">
      <w:headerReference w:type="default" r:id="rId8"/>
      <w:footerReference w:type="even"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8301C" w14:textId="77777777" w:rsidR="002D3CAC" w:rsidRDefault="002D3CAC" w:rsidP="00192253">
      <w:r>
        <w:separator/>
      </w:r>
    </w:p>
  </w:endnote>
  <w:endnote w:type="continuationSeparator" w:id="0">
    <w:p w14:paraId="0FC2E0F1" w14:textId="77777777" w:rsidR="002D3CAC" w:rsidRDefault="002D3CAC" w:rsidP="00192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w:altName w:val="Times New Roman"/>
    <w:panose1 w:val="00000500000000020000"/>
    <w:charset w:val="00"/>
    <w:family w:val="auto"/>
    <w:pitch w:val="variable"/>
    <w:sig w:usb0="E00002FF" w:usb1="5000205A"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451280853"/>
      <w:docPartObj>
        <w:docPartGallery w:val="Page Numbers (Bottom of Page)"/>
        <w:docPartUnique/>
      </w:docPartObj>
    </w:sdtPr>
    <w:sdtContent>
      <w:p w14:paraId="36964252" w14:textId="77777777" w:rsidR="00192253" w:rsidRDefault="00192253" w:rsidP="001D0A62">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3D7B0CB2" w14:textId="77777777" w:rsidR="00192253" w:rsidRDefault="00192253" w:rsidP="00D83D14">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240990357"/>
      <w:docPartObj>
        <w:docPartGallery w:val="Page Numbers (Bottom of Page)"/>
        <w:docPartUnique/>
      </w:docPartObj>
    </w:sdtPr>
    <w:sdtContent>
      <w:p w14:paraId="665431FE" w14:textId="77777777" w:rsidR="00192253" w:rsidRDefault="00192253" w:rsidP="001D0A62">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6</w:t>
        </w:r>
        <w:r>
          <w:rPr>
            <w:rStyle w:val="Paginanummer"/>
            <w:noProof/>
          </w:rPr>
          <w:t>7</w:t>
        </w:r>
        <w:r>
          <w:rPr>
            <w:rStyle w:val="Paginanummer"/>
          </w:rPr>
          <w:fldChar w:fldCharType="end"/>
        </w:r>
      </w:p>
    </w:sdtContent>
  </w:sdt>
  <w:p w14:paraId="470EC9EB" w14:textId="77777777" w:rsidR="00192253" w:rsidRDefault="00192253" w:rsidP="00D83D14">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3EEE4" w14:textId="77777777" w:rsidR="002D3CAC" w:rsidRDefault="002D3CAC" w:rsidP="00192253">
      <w:r>
        <w:separator/>
      </w:r>
    </w:p>
  </w:footnote>
  <w:footnote w:type="continuationSeparator" w:id="0">
    <w:p w14:paraId="7ECFB665" w14:textId="77777777" w:rsidR="002D3CAC" w:rsidRDefault="002D3CAC" w:rsidP="00192253">
      <w:r>
        <w:continuationSeparator/>
      </w:r>
    </w:p>
  </w:footnote>
  <w:footnote w:id="1">
    <w:p w14:paraId="7B04B56B" w14:textId="09E45BFA" w:rsidR="001878C8" w:rsidRPr="009C5A84" w:rsidRDefault="001878C8"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CC0D42" w:rsidRPr="009C5A84">
        <w:rPr>
          <w:rStyle w:val="Nadruk"/>
          <w:rFonts w:cs="Times New Roman"/>
          <w:i w:val="0"/>
          <w:iCs w:val="0"/>
          <w:color w:val="000000" w:themeColor="text1"/>
        </w:rPr>
        <w:t>Mogens Müller</w:t>
      </w:r>
      <w:r w:rsidR="008B7259" w:rsidRPr="009C5A84">
        <w:rPr>
          <w:rStyle w:val="apple-converted-space"/>
          <w:rFonts w:cs="Times New Roman"/>
          <w:color w:val="000000" w:themeColor="text1"/>
          <w:shd w:val="clear" w:color="auto" w:fill="FFFFFF"/>
        </w:rPr>
        <w:t>,</w:t>
      </w:r>
      <w:r w:rsidR="00CC0D42" w:rsidRPr="009C5A84">
        <w:rPr>
          <w:rStyle w:val="apple-converted-space"/>
          <w:rFonts w:cs="Times New Roman"/>
          <w:color w:val="000000" w:themeColor="text1"/>
          <w:shd w:val="clear" w:color="auto" w:fill="FFFFFF"/>
        </w:rPr>
        <w:t> </w:t>
      </w:r>
      <w:r w:rsidR="008B7259" w:rsidRPr="009C5A84">
        <w:rPr>
          <w:rStyle w:val="apple-converted-space"/>
          <w:rFonts w:cs="Times New Roman"/>
          <w:color w:val="000000" w:themeColor="text1"/>
          <w:shd w:val="clear" w:color="auto" w:fill="FFFFFF"/>
        </w:rPr>
        <w:t>“</w:t>
      </w:r>
      <w:r w:rsidR="00CC0D42" w:rsidRPr="009C5A84">
        <w:rPr>
          <w:rStyle w:val="Nadruk"/>
          <w:rFonts w:cs="Times New Roman"/>
          <w:i w:val="0"/>
          <w:iCs w:val="0"/>
          <w:color w:val="000000" w:themeColor="text1"/>
        </w:rPr>
        <w:t>Theology in the Septuagint</w:t>
      </w:r>
      <w:r w:rsidR="008B7259" w:rsidRPr="009C5A84">
        <w:rPr>
          <w:rStyle w:val="apple-converted-space"/>
          <w:rFonts w:cs="Times New Roman"/>
          <w:color w:val="000000" w:themeColor="text1"/>
          <w:shd w:val="clear" w:color="auto" w:fill="FFFFFF"/>
        </w:rPr>
        <w:t>?,”</w:t>
      </w:r>
      <w:r w:rsidR="00CC0D42" w:rsidRPr="009C5A84">
        <w:rPr>
          <w:rFonts w:cs="Times New Roman"/>
          <w:color w:val="000000" w:themeColor="text1"/>
          <w:shd w:val="clear" w:color="auto" w:fill="FFFFFF"/>
        </w:rPr>
        <w:t xml:space="preserve"> in</w:t>
      </w:r>
      <w:r w:rsidR="008B7259" w:rsidRPr="009C5A84">
        <w:rPr>
          <w:rFonts w:cs="Times New Roman"/>
          <w:color w:val="000000" w:themeColor="text1"/>
          <w:shd w:val="clear" w:color="auto" w:fill="FFFFFF"/>
        </w:rPr>
        <w:t xml:space="preserve"> </w:t>
      </w:r>
      <w:r w:rsidR="00A920E7" w:rsidRPr="009C5A84">
        <w:rPr>
          <w:rFonts w:cs="Times New Roman"/>
          <w:i/>
          <w:iCs/>
          <w:color w:val="000000" w:themeColor="text1"/>
          <w:shd w:val="clear" w:color="auto" w:fill="FFFFFF"/>
        </w:rPr>
        <w:t>Oxford Handbook of the Septuagint</w:t>
      </w:r>
      <w:r w:rsidR="00A920E7" w:rsidRPr="009C5A84">
        <w:rPr>
          <w:rFonts w:cs="Times New Roman"/>
          <w:color w:val="000000" w:themeColor="text1"/>
          <w:shd w:val="clear" w:color="auto" w:fill="FFFFFF"/>
        </w:rPr>
        <w:t xml:space="preserve"> (ed. Alison</w:t>
      </w:r>
      <w:r w:rsidR="00CC0D42" w:rsidRPr="009C5A84">
        <w:rPr>
          <w:rFonts w:cs="Times New Roman"/>
          <w:color w:val="000000" w:themeColor="text1"/>
          <w:shd w:val="clear" w:color="auto" w:fill="FFFFFF"/>
        </w:rPr>
        <w:t xml:space="preserve"> Salvesen and</w:t>
      </w:r>
      <w:r w:rsidR="00A920E7" w:rsidRPr="009C5A84">
        <w:rPr>
          <w:rFonts w:cs="Times New Roman"/>
          <w:color w:val="000000" w:themeColor="text1"/>
          <w:shd w:val="clear" w:color="auto" w:fill="FFFFFF"/>
        </w:rPr>
        <w:t xml:space="preserve"> Timothy</w:t>
      </w:r>
      <w:r w:rsidR="00CC0D42" w:rsidRPr="009C5A84">
        <w:rPr>
          <w:rFonts w:cs="Times New Roman"/>
          <w:color w:val="000000" w:themeColor="text1"/>
          <w:shd w:val="clear" w:color="auto" w:fill="FFFFFF"/>
        </w:rPr>
        <w:t xml:space="preserve"> Law</w:t>
      </w:r>
      <w:r w:rsidR="00A920E7" w:rsidRPr="009C5A84">
        <w:rPr>
          <w:rFonts w:cs="Times New Roman"/>
          <w:color w:val="000000" w:themeColor="text1"/>
          <w:shd w:val="clear" w:color="auto" w:fill="FFFFFF"/>
        </w:rPr>
        <w:t>; Oxford: University Press, 2021</w:t>
      </w:r>
      <w:r w:rsidR="00B374D5" w:rsidRPr="009C5A84">
        <w:rPr>
          <w:rFonts w:cs="Times New Roman"/>
          <w:color w:val="000000" w:themeColor="text1"/>
          <w:shd w:val="clear" w:color="auto" w:fill="FFFFFF"/>
        </w:rPr>
        <w:t xml:space="preserve">, </w:t>
      </w:r>
      <w:r w:rsidR="00CC0D42" w:rsidRPr="009C5A84">
        <w:rPr>
          <w:rFonts w:cs="Times New Roman"/>
          <w:color w:val="000000" w:themeColor="text1"/>
          <w:shd w:val="clear" w:color="auto" w:fill="FFFFFF"/>
        </w:rPr>
        <w:t>105</w:t>
      </w:r>
      <w:r w:rsidR="00A920E7" w:rsidRPr="009C5A84">
        <w:rPr>
          <w:rFonts w:cs="Times New Roman"/>
          <w:color w:val="000000" w:themeColor="text1"/>
          <w:shd w:val="clear" w:color="auto" w:fill="FFFFFF"/>
        </w:rPr>
        <w:t>–</w:t>
      </w:r>
      <w:r w:rsidR="00CC0D42" w:rsidRPr="009C5A84">
        <w:rPr>
          <w:rFonts w:cs="Times New Roman"/>
          <w:color w:val="000000" w:themeColor="text1"/>
          <w:shd w:val="clear" w:color="auto" w:fill="FFFFFF"/>
        </w:rPr>
        <w:t>19</w:t>
      </w:r>
      <w:r w:rsidR="00A920E7" w:rsidRPr="009C5A84">
        <w:rPr>
          <w:rFonts w:cs="Times New Roman"/>
          <w:color w:val="000000" w:themeColor="text1"/>
          <w:lang w:val="en-US"/>
        </w:rPr>
        <w:t xml:space="preserve"> (</w:t>
      </w:r>
      <w:r w:rsidRPr="009C5A84">
        <w:rPr>
          <w:rFonts w:cs="Times New Roman"/>
          <w:color w:val="000000" w:themeColor="text1"/>
          <w:lang w:val="en-US"/>
        </w:rPr>
        <w:t>110</w:t>
      </w:r>
      <w:r w:rsidR="00A920E7" w:rsidRPr="009C5A84">
        <w:rPr>
          <w:rFonts w:cs="Times New Roman"/>
          <w:color w:val="000000" w:themeColor="text1"/>
          <w:lang w:val="en-US"/>
        </w:rPr>
        <w:t>–</w:t>
      </w:r>
      <w:r w:rsidRPr="009C5A84">
        <w:rPr>
          <w:rFonts w:cs="Times New Roman"/>
          <w:color w:val="000000" w:themeColor="text1"/>
          <w:lang w:val="en-US"/>
        </w:rPr>
        <w:t>11</w:t>
      </w:r>
      <w:r w:rsidR="00A920E7" w:rsidRPr="009C5A84">
        <w:rPr>
          <w:rFonts w:cs="Times New Roman"/>
          <w:color w:val="000000" w:themeColor="text1"/>
          <w:lang w:val="en-US"/>
        </w:rPr>
        <w:t>)</w:t>
      </w:r>
      <w:r w:rsidRPr="009C5A84">
        <w:rPr>
          <w:rFonts w:cs="Times New Roman"/>
          <w:color w:val="000000" w:themeColor="text1"/>
          <w:lang w:val="en-US"/>
        </w:rPr>
        <w:t xml:space="preserve">; </w:t>
      </w:r>
      <w:r w:rsidR="00D752DB" w:rsidRPr="009C5A84">
        <w:rPr>
          <w:rStyle w:val="Nadruk"/>
          <w:rFonts w:cs="Times New Roman"/>
          <w:i w:val="0"/>
          <w:iCs w:val="0"/>
          <w:color w:val="000000" w:themeColor="text1"/>
        </w:rPr>
        <w:t>Folker Siegert</w:t>
      </w:r>
      <w:r w:rsidR="00D752DB" w:rsidRPr="009C5A84">
        <w:rPr>
          <w:rFonts w:cs="Times New Roman"/>
          <w:color w:val="000000" w:themeColor="text1"/>
          <w:shd w:val="clear" w:color="auto" w:fill="FFFFFF"/>
        </w:rPr>
        <w:t>,</w:t>
      </w:r>
      <w:r w:rsidR="00D752DB" w:rsidRPr="009C5A84">
        <w:rPr>
          <w:rStyle w:val="apple-converted-space"/>
          <w:rFonts w:cs="Times New Roman"/>
          <w:color w:val="000000" w:themeColor="text1"/>
          <w:shd w:val="clear" w:color="auto" w:fill="FFFFFF"/>
        </w:rPr>
        <w:t> </w:t>
      </w:r>
      <w:r w:rsidR="00D752DB" w:rsidRPr="009C5A84">
        <w:rPr>
          <w:rStyle w:val="Nadruk"/>
          <w:rFonts w:cs="Times New Roman"/>
          <w:color w:val="000000" w:themeColor="text1"/>
        </w:rPr>
        <w:t>Zwischen Hebräischer Bibel</w:t>
      </w:r>
      <w:r w:rsidR="00D752DB" w:rsidRPr="009C5A84">
        <w:rPr>
          <w:rStyle w:val="apple-converted-space"/>
          <w:rFonts w:cs="Times New Roman"/>
          <w:color w:val="000000" w:themeColor="text1"/>
          <w:shd w:val="clear" w:color="auto" w:fill="FFFFFF"/>
        </w:rPr>
        <w:t> </w:t>
      </w:r>
      <w:r w:rsidR="00D752DB" w:rsidRPr="009C5A84">
        <w:rPr>
          <w:rFonts w:cs="Times New Roman"/>
          <w:color w:val="000000" w:themeColor="text1"/>
          <w:shd w:val="clear" w:color="auto" w:fill="FFFFFF"/>
        </w:rPr>
        <w:t>und Altem Testament: eine Einführung in die Septuaginta (Munsteraner Judaistische Studien 9; Münster: Li</w:t>
      </w:r>
      <w:r w:rsidR="00A920E7" w:rsidRPr="009C5A84">
        <w:rPr>
          <w:rFonts w:cs="Times New Roman"/>
          <w:color w:val="000000" w:themeColor="text1"/>
          <w:shd w:val="clear" w:color="auto" w:fill="FFFFFF"/>
        </w:rPr>
        <w:t>t</w:t>
      </w:r>
      <w:r w:rsidR="00D752DB" w:rsidRPr="009C5A84">
        <w:rPr>
          <w:rFonts w:cs="Times New Roman"/>
          <w:color w:val="000000" w:themeColor="text1"/>
          <w:shd w:val="clear" w:color="auto" w:fill="FFFFFF"/>
        </w:rPr>
        <w:t>-Verlag, 2001)</w:t>
      </w:r>
      <w:r w:rsidRPr="009C5A84">
        <w:rPr>
          <w:rFonts w:cs="Times New Roman"/>
          <w:color w:val="000000" w:themeColor="text1"/>
          <w:lang w:val="en-US"/>
        </w:rPr>
        <w:t>, 247</w:t>
      </w:r>
      <w:r w:rsidR="00A920E7" w:rsidRPr="009C5A84">
        <w:rPr>
          <w:rFonts w:cs="Times New Roman"/>
          <w:color w:val="000000" w:themeColor="text1"/>
          <w:lang w:val="en-US"/>
        </w:rPr>
        <w:t>–</w:t>
      </w:r>
      <w:r w:rsidRPr="009C5A84">
        <w:rPr>
          <w:rFonts w:cs="Times New Roman"/>
          <w:color w:val="000000" w:themeColor="text1"/>
          <w:lang w:val="en-US"/>
        </w:rPr>
        <w:t xml:space="preserve">50; </w:t>
      </w:r>
      <w:r w:rsidR="00A920E7" w:rsidRPr="009C5A84">
        <w:rPr>
          <w:rFonts w:cs="Times New Roman"/>
          <w:color w:val="000000" w:themeColor="text1"/>
          <w:lang w:val="en-US"/>
        </w:rPr>
        <w:t>more carefully</w:t>
      </w:r>
      <w:r w:rsidRPr="009C5A84">
        <w:rPr>
          <w:rFonts w:cs="Times New Roman"/>
          <w:color w:val="000000" w:themeColor="text1"/>
          <w:lang w:val="en-US"/>
        </w:rPr>
        <w:t xml:space="preserve">: </w:t>
      </w:r>
      <w:r w:rsidR="00D752DB" w:rsidRPr="009C5A84">
        <w:rPr>
          <w:rFonts w:cs="Times New Roman"/>
          <w:color w:val="000000" w:themeColor="text1"/>
          <w:lang w:val="en-US"/>
        </w:rPr>
        <w:t xml:space="preserve">Eberhard Bons, Dionisio Candido, Daniela Scialabba, </w:t>
      </w:r>
      <w:r w:rsidR="00D752DB" w:rsidRPr="009C5A84">
        <w:rPr>
          <w:rFonts w:cs="Times New Roman"/>
          <w:i/>
          <w:iCs/>
          <w:color w:val="000000" w:themeColor="text1"/>
          <w:lang w:val="en-US"/>
        </w:rPr>
        <w:t xml:space="preserve">La </w:t>
      </w:r>
      <w:proofErr w:type="spellStart"/>
      <w:r w:rsidR="00D752DB" w:rsidRPr="009C5A84">
        <w:rPr>
          <w:rFonts w:cs="Times New Roman"/>
          <w:i/>
          <w:iCs/>
          <w:color w:val="000000" w:themeColor="text1"/>
          <w:lang w:val="en-US"/>
        </w:rPr>
        <w:t>Settanta</w:t>
      </w:r>
      <w:proofErr w:type="spellEnd"/>
      <w:r w:rsidR="00D752DB" w:rsidRPr="009C5A84">
        <w:rPr>
          <w:rFonts w:cs="Times New Roman"/>
          <w:i/>
          <w:iCs/>
          <w:color w:val="000000" w:themeColor="text1"/>
          <w:lang w:val="en-US"/>
        </w:rPr>
        <w:t xml:space="preserve"> – </w:t>
      </w:r>
      <w:proofErr w:type="spellStart"/>
      <w:r w:rsidR="00D752DB" w:rsidRPr="009C5A84">
        <w:rPr>
          <w:rFonts w:cs="Times New Roman"/>
          <w:i/>
          <w:iCs/>
          <w:color w:val="000000" w:themeColor="text1"/>
          <w:lang w:val="en-US"/>
        </w:rPr>
        <w:t>Perché</w:t>
      </w:r>
      <w:proofErr w:type="spellEnd"/>
      <w:r w:rsidR="00D752DB" w:rsidRPr="009C5A84">
        <w:rPr>
          <w:rFonts w:cs="Times New Roman"/>
          <w:i/>
          <w:iCs/>
          <w:color w:val="000000" w:themeColor="text1"/>
          <w:lang w:val="en-US"/>
        </w:rPr>
        <w:t xml:space="preserve"> è </w:t>
      </w:r>
      <w:proofErr w:type="spellStart"/>
      <w:r w:rsidR="00D752DB" w:rsidRPr="009C5A84">
        <w:rPr>
          <w:rFonts w:cs="Times New Roman"/>
          <w:i/>
          <w:iCs/>
          <w:color w:val="000000" w:themeColor="text1"/>
          <w:lang w:val="en-US"/>
        </w:rPr>
        <w:t>attuale</w:t>
      </w:r>
      <w:proofErr w:type="spellEnd"/>
      <w:r w:rsidR="00D752DB" w:rsidRPr="009C5A84">
        <w:rPr>
          <w:rFonts w:cs="Times New Roman"/>
          <w:i/>
          <w:iCs/>
          <w:color w:val="000000" w:themeColor="text1"/>
          <w:lang w:val="en-US"/>
        </w:rPr>
        <w:t xml:space="preserve"> la </w:t>
      </w:r>
      <w:proofErr w:type="spellStart"/>
      <w:r w:rsidR="00D752DB" w:rsidRPr="009C5A84">
        <w:rPr>
          <w:rFonts w:cs="Times New Roman"/>
          <w:i/>
          <w:iCs/>
          <w:color w:val="000000" w:themeColor="text1"/>
          <w:lang w:val="en-US"/>
        </w:rPr>
        <w:t>Bibbia</w:t>
      </w:r>
      <w:proofErr w:type="spellEnd"/>
      <w:r w:rsidR="00D752DB" w:rsidRPr="009C5A84">
        <w:rPr>
          <w:rFonts w:cs="Times New Roman"/>
          <w:i/>
          <w:iCs/>
          <w:color w:val="000000" w:themeColor="text1"/>
          <w:lang w:val="en-US"/>
        </w:rPr>
        <w:t xml:space="preserve"> </w:t>
      </w:r>
      <w:proofErr w:type="spellStart"/>
      <w:r w:rsidR="00D752DB" w:rsidRPr="009C5A84">
        <w:rPr>
          <w:rFonts w:cs="Times New Roman"/>
          <w:i/>
          <w:iCs/>
          <w:color w:val="000000" w:themeColor="text1"/>
          <w:lang w:val="en-US"/>
        </w:rPr>
        <w:t>greca</w:t>
      </w:r>
      <w:proofErr w:type="spellEnd"/>
      <w:r w:rsidR="00D752DB" w:rsidRPr="009C5A84">
        <w:rPr>
          <w:rFonts w:cs="Times New Roman"/>
          <w:i/>
          <w:iCs/>
          <w:color w:val="000000" w:themeColor="text1"/>
          <w:lang w:val="en-US"/>
        </w:rPr>
        <w:t xml:space="preserve"> ?</w:t>
      </w:r>
      <w:r w:rsidR="00D752DB" w:rsidRPr="009C5A84">
        <w:rPr>
          <w:rFonts w:cs="Times New Roman"/>
          <w:color w:val="000000" w:themeColor="text1"/>
          <w:lang w:val="en-US"/>
        </w:rPr>
        <w:t xml:space="preserve"> (Siracusa: </w:t>
      </w:r>
      <w:proofErr w:type="spellStart"/>
      <w:r w:rsidR="00D752DB" w:rsidRPr="009C5A84">
        <w:rPr>
          <w:rFonts w:cs="Times New Roman"/>
          <w:color w:val="000000" w:themeColor="text1"/>
          <w:lang w:val="en-US"/>
        </w:rPr>
        <w:t>Edizioni</w:t>
      </w:r>
      <w:proofErr w:type="spellEnd"/>
      <w:r w:rsidR="00D752DB" w:rsidRPr="009C5A84">
        <w:rPr>
          <w:rFonts w:cs="Times New Roman"/>
          <w:color w:val="000000" w:themeColor="text1"/>
          <w:lang w:val="en-US"/>
        </w:rPr>
        <w:t xml:space="preserve"> San </w:t>
      </w:r>
      <w:proofErr w:type="spellStart"/>
      <w:r w:rsidR="00D752DB" w:rsidRPr="009C5A84">
        <w:rPr>
          <w:rFonts w:cs="Times New Roman"/>
          <w:color w:val="000000" w:themeColor="text1"/>
          <w:lang w:val="en-US"/>
        </w:rPr>
        <w:t>Metodio</w:t>
      </w:r>
      <w:proofErr w:type="spellEnd"/>
      <w:r w:rsidR="00D752DB" w:rsidRPr="009C5A84">
        <w:rPr>
          <w:rFonts w:cs="Times New Roman"/>
          <w:color w:val="000000" w:themeColor="text1"/>
          <w:lang w:val="en-US"/>
        </w:rPr>
        <w:t>, 2016),</w:t>
      </w:r>
      <w:r w:rsidR="00A920E7" w:rsidRPr="009C5A84">
        <w:rPr>
          <w:rFonts w:cs="Times New Roman"/>
          <w:color w:val="000000" w:themeColor="text1"/>
          <w:lang w:val="en-US"/>
        </w:rPr>
        <w:t xml:space="preserve"> </w:t>
      </w:r>
      <w:r w:rsidRPr="009C5A84">
        <w:rPr>
          <w:rFonts w:cs="Times New Roman"/>
          <w:color w:val="000000" w:themeColor="text1"/>
          <w:lang w:val="en-US"/>
        </w:rPr>
        <w:t>25</w:t>
      </w:r>
      <w:r w:rsidR="00A920E7" w:rsidRPr="009C5A84">
        <w:rPr>
          <w:rFonts w:cs="Times New Roman"/>
          <w:color w:val="000000" w:themeColor="text1"/>
          <w:lang w:val="en-US"/>
        </w:rPr>
        <w:t>–</w:t>
      </w:r>
      <w:r w:rsidRPr="009C5A84">
        <w:rPr>
          <w:rFonts w:cs="Times New Roman"/>
          <w:color w:val="000000" w:themeColor="text1"/>
          <w:lang w:val="en-US"/>
        </w:rPr>
        <w:t>30.</w:t>
      </w:r>
    </w:p>
  </w:footnote>
  <w:footnote w:id="2">
    <w:p w14:paraId="62550107" w14:textId="21BA2155" w:rsidR="001878C8" w:rsidRPr="009C5A84" w:rsidRDefault="001878C8"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E.g., Karen H. Jobes &amp; Moisés Silva, </w:t>
      </w:r>
      <w:r w:rsidRPr="009C5A84">
        <w:rPr>
          <w:rFonts w:cs="Times New Roman"/>
          <w:i/>
          <w:iCs/>
          <w:color w:val="000000" w:themeColor="text1"/>
          <w:lang w:val="en-US"/>
        </w:rPr>
        <w:t>Invitation to the Septuagint</w:t>
      </w:r>
      <w:r w:rsidRPr="009C5A84">
        <w:rPr>
          <w:rFonts w:cs="Times New Roman"/>
          <w:color w:val="000000" w:themeColor="text1"/>
          <w:lang w:val="en-US"/>
        </w:rPr>
        <w:t xml:space="preserve"> (Grand Rapid</w:t>
      </w:r>
      <w:r w:rsidR="00A920E7" w:rsidRPr="009C5A84">
        <w:rPr>
          <w:rFonts w:cs="Times New Roman"/>
          <w:color w:val="000000" w:themeColor="text1"/>
          <w:lang w:val="en-US"/>
        </w:rPr>
        <w:t>s</w:t>
      </w:r>
      <w:r w:rsidRPr="009C5A84">
        <w:rPr>
          <w:rFonts w:cs="Times New Roman"/>
          <w:color w:val="000000" w:themeColor="text1"/>
          <w:lang w:val="en-US"/>
        </w:rPr>
        <w:t>: Baker, 2000), 94</w:t>
      </w:r>
      <w:r w:rsidR="00A920E7" w:rsidRPr="009C5A84">
        <w:rPr>
          <w:rFonts w:cs="Times New Roman"/>
          <w:color w:val="000000" w:themeColor="text1"/>
          <w:lang w:val="en-US"/>
        </w:rPr>
        <w:t>–</w:t>
      </w:r>
      <w:r w:rsidRPr="009C5A84">
        <w:rPr>
          <w:rFonts w:cs="Times New Roman"/>
          <w:color w:val="000000" w:themeColor="text1"/>
          <w:lang w:val="en-US"/>
        </w:rPr>
        <w:t>5.</w:t>
      </w:r>
    </w:p>
  </w:footnote>
  <w:footnote w:id="3">
    <w:p w14:paraId="2E0B5813" w14:textId="00AD4494" w:rsidR="006A19AE" w:rsidRPr="009C5A84" w:rsidRDefault="006A19A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Cf. </w:t>
      </w:r>
      <w:r w:rsidR="00D752DB" w:rsidRPr="009C5A84">
        <w:rPr>
          <w:rFonts w:cs="Times New Roman"/>
          <w:color w:val="000000" w:themeColor="text1"/>
          <w:shd w:val="clear" w:color="auto" w:fill="FFFFFF"/>
        </w:rPr>
        <w:t>Jutta Jokiranta, Ville Mäkipelto, and Miika Tucker</w:t>
      </w:r>
      <w:r w:rsidRPr="009C5A84">
        <w:rPr>
          <w:rFonts w:cs="Times New Roman"/>
          <w:color w:val="000000" w:themeColor="text1"/>
          <w:spacing w:val="-4"/>
          <w:lang w:val="en-US"/>
        </w:rPr>
        <w:t>, “Cognitive Science Meets Septuagint Studies: seeking Clarity and Complexity to the Case of Anthropomorphism</w:t>
      </w:r>
      <w:r w:rsidR="00A920E7" w:rsidRPr="009C5A84">
        <w:rPr>
          <w:rFonts w:cs="Times New Roman"/>
          <w:color w:val="000000" w:themeColor="text1"/>
          <w:spacing w:val="-4"/>
          <w:lang w:val="en-US"/>
        </w:rPr>
        <w:t>,</w:t>
      </w:r>
      <w:r w:rsidRPr="009C5A84">
        <w:rPr>
          <w:rFonts w:cs="Times New Roman"/>
          <w:color w:val="000000" w:themeColor="text1"/>
          <w:spacing w:val="-4"/>
          <w:lang w:val="en-US"/>
        </w:rPr>
        <w:t xml:space="preserve">” in </w:t>
      </w:r>
      <w:r w:rsidR="00A920E7" w:rsidRPr="009C5A84">
        <w:rPr>
          <w:rFonts w:cs="Times New Roman"/>
          <w:i/>
          <w:iCs/>
          <w:color w:val="000000" w:themeColor="text1"/>
          <w:spacing w:val="-4"/>
          <w:lang w:val="en-US"/>
        </w:rPr>
        <w:t>Changes in Sacred Texts and Traditions: Methodological Encounters and Debates</w:t>
      </w:r>
      <w:r w:rsidR="00A920E7" w:rsidRPr="009C5A84">
        <w:rPr>
          <w:rFonts w:cs="Times New Roman"/>
          <w:color w:val="000000" w:themeColor="text1"/>
          <w:spacing w:val="-4"/>
          <w:lang w:val="en-US"/>
        </w:rPr>
        <w:t xml:space="preserve"> (ed. </w:t>
      </w:r>
      <w:r w:rsidR="00D752DB" w:rsidRPr="009C5A84">
        <w:rPr>
          <w:rFonts w:cs="Times New Roman"/>
          <w:color w:val="000000" w:themeColor="text1"/>
          <w:shd w:val="clear" w:color="auto" w:fill="FFFFFF"/>
        </w:rPr>
        <w:t>Martti Nissinen, Jutta Jokiranta</w:t>
      </w:r>
      <w:r w:rsidR="00A920E7" w:rsidRPr="009C5A84">
        <w:rPr>
          <w:rFonts w:cs="Times New Roman"/>
          <w:color w:val="000000" w:themeColor="text1"/>
          <w:spacing w:val="-4"/>
          <w:lang w:val="en-US"/>
        </w:rPr>
        <w:t>;</w:t>
      </w:r>
      <w:r w:rsidRPr="009C5A84">
        <w:rPr>
          <w:rFonts w:cs="Times New Roman"/>
          <w:color w:val="000000" w:themeColor="text1"/>
          <w:spacing w:val="-4"/>
          <w:lang w:val="en-US"/>
        </w:rPr>
        <w:t xml:space="preserve"> Atlanta</w:t>
      </w:r>
      <w:r w:rsidR="00A920E7" w:rsidRPr="009C5A84">
        <w:rPr>
          <w:rFonts w:cs="Times New Roman"/>
          <w:color w:val="000000" w:themeColor="text1"/>
          <w:spacing w:val="-4"/>
          <w:lang w:val="en-US"/>
        </w:rPr>
        <w:t>:</w:t>
      </w:r>
      <w:r w:rsidRPr="009C5A84">
        <w:rPr>
          <w:rFonts w:cs="Times New Roman"/>
          <w:color w:val="000000" w:themeColor="text1"/>
          <w:spacing w:val="-4"/>
          <w:lang w:val="en-US"/>
        </w:rPr>
        <w:t xml:space="preserve"> SBL, 2024</w:t>
      </w:r>
      <w:r w:rsidR="00A920E7" w:rsidRPr="009C5A84">
        <w:rPr>
          <w:rFonts w:cs="Times New Roman"/>
          <w:color w:val="000000" w:themeColor="text1"/>
          <w:spacing w:val="-4"/>
          <w:lang w:val="en-US"/>
        </w:rPr>
        <w:t>)</w:t>
      </w:r>
      <w:r w:rsidRPr="009C5A84">
        <w:rPr>
          <w:rFonts w:cs="Times New Roman"/>
          <w:color w:val="000000" w:themeColor="text1"/>
          <w:spacing w:val="-4"/>
          <w:lang w:val="en-US"/>
        </w:rPr>
        <w:t>, 327</w:t>
      </w:r>
      <w:r w:rsidR="00A920E7" w:rsidRPr="009C5A84">
        <w:rPr>
          <w:rFonts w:cs="Times New Roman"/>
          <w:color w:val="000000" w:themeColor="text1"/>
          <w:spacing w:val="-4"/>
          <w:lang w:val="en-US"/>
        </w:rPr>
        <w:t>–</w:t>
      </w:r>
      <w:r w:rsidRPr="009C5A84">
        <w:rPr>
          <w:rFonts w:cs="Times New Roman"/>
          <w:color w:val="000000" w:themeColor="text1"/>
          <w:spacing w:val="-4"/>
          <w:lang w:val="en-US"/>
        </w:rPr>
        <w:t>65 (335).</w:t>
      </w:r>
    </w:p>
  </w:footnote>
  <w:footnote w:id="4">
    <w:p w14:paraId="0879467E" w14:textId="3701F123" w:rsidR="00085A6C" w:rsidRPr="009C5A84" w:rsidRDefault="00085A6C"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Origen </w:t>
      </w:r>
      <w:r w:rsidR="00FF077C" w:rsidRPr="009C5A84">
        <w:rPr>
          <w:rFonts w:cs="Times New Roman"/>
          <w:color w:val="000000" w:themeColor="text1"/>
          <w:lang w:val="en-US"/>
        </w:rPr>
        <w:t>already observed this tension in</w:t>
      </w:r>
      <w:r w:rsidRPr="009C5A84">
        <w:rPr>
          <w:rFonts w:cs="Times New Roman"/>
          <w:color w:val="000000" w:themeColor="text1"/>
          <w:lang w:val="en-US"/>
        </w:rPr>
        <w:t xml:space="preserve"> </w:t>
      </w:r>
      <w:r w:rsidRPr="009C5A84">
        <w:rPr>
          <w:rFonts w:cs="Times New Roman"/>
          <w:i/>
          <w:iCs/>
          <w:color w:val="000000" w:themeColor="text1"/>
          <w:lang w:val="en-US"/>
        </w:rPr>
        <w:t xml:space="preserve">Homily on Jeremiah, </w:t>
      </w:r>
      <w:r w:rsidRPr="009C5A84">
        <w:rPr>
          <w:rFonts w:cs="Times New Roman"/>
          <w:color w:val="000000" w:themeColor="text1"/>
          <w:lang w:val="en-US"/>
        </w:rPr>
        <w:t>18.6.3.</w:t>
      </w:r>
    </w:p>
  </w:footnote>
  <w:footnote w:id="5">
    <w:p w14:paraId="5EE345CE" w14:textId="17F5AC4D" w:rsidR="008251C8" w:rsidRPr="009C5A84" w:rsidRDefault="008251C8"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w:t>
      </w:r>
      <w:r w:rsidR="00D752DB" w:rsidRPr="009C5A84">
        <w:rPr>
          <w:rFonts w:cs="Times New Roman"/>
          <w:color w:val="000000" w:themeColor="text1"/>
          <w:lang w:val="en-US"/>
        </w:rPr>
        <w:t>ans</w:t>
      </w:r>
      <w:r w:rsidRPr="009C5A84">
        <w:rPr>
          <w:rFonts w:cs="Times New Roman"/>
          <w:color w:val="000000" w:themeColor="text1"/>
          <w:lang w:val="en-US"/>
        </w:rPr>
        <w:t xml:space="preserve"> Ausloos, “</w:t>
      </w:r>
      <w:r w:rsidR="00961A31" w:rsidRPr="009C5A84">
        <w:rPr>
          <w:rFonts w:cs="Times New Roman"/>
          <w:color w:val="000000" w:themeColor="text1"/>
          <w:lang w:val="en-US"/>
        </w:rPr>
        <w:t>‘</w:t>
      </w:r>
      <w:r w:rsidRPr="009C5A84">
        <w:rPr>
          <w:rFonts w:cs="Times New Roman"/>
          <w:color w:val="000000" w:themeColor="text1"/>
          <w:lang w:val="en-US"/>
        </w:rPr>
        <w:t>You Saw No Form when YHWH Spoke to You at Horeb</w:t>
      </w:r>
      <w:r w:rsidR="00961A31" w:rsidRPr="009C5A84">
        <w:rPr>
          <w:rFonts w:cs="Times New Roman"/>
          <w:color w:val="000000" w:themeColor="text1"/>
          <w:lang w:val="en-US"/>
        </w:rPr>
        <w:t>’</w:t>
      </w:r>
      <w:r w:rsidRPr="009C5A84">
        <w:rPr>
          <w:rFonts w:cs="Times New Roman"/>
          <w:color w:val="000000" w:themeColor="text1"/>
          <w:lang w:val="en-US"/>
        </w:rPr>
        <w:t xml:space="preserve"> (</w:t>
      </w:r>
      <w:proofErr w:type="spellStart"/>
      <w:r w:rsidRPr="009C5A84">
        <w:rPr>
          <w:rFonts w:cs="Times New Roman"/>
          <w:color w:val="000000" w:themeColor="text1"/>
          <w:lang w:val="en-US"/>
        </w:rPr>
        <w:t>Deut</w:t>
      </w:r>
      <w:proofErr w:type="spellEnd"/>
      <w:r w:rsidRPr="009C5A84">
        <w:rPr>
          <w:rFonts w:cs="Times New Roman"/>
          <w:color w:val="000000" w:themeColor="text1"/>
          <w:lang w:val="en-US"/>
        </w:rPr>
        <w:t xml:space="preserve"> 4,15). Anti-Anthropomorphisms in the Greek Deuteronomy</w:t>
      </w:r>
      <w:r w:rsidR="00A920E7" w:rsidRPr="009C5A84">
        <w:rPr>
          <w:rFonts w:cs="Times New Roman"/>
          <w:color w:val="000000" w:themeColor="text1"/>
          <w:lang w:val="en-US"/>
        </w:rPr>
        <w:t>,</w:t>
      </w:r>
      <w:r w:rsidRPr="009C5A84">
        <w:rPr>
          <w:rFonts w:cs="Times New Roman"/>
          <w:color w:val="000000" w:themeColor="text1"/>
          <w:lang w:val="en-US"/>
        </w:rPr>
        <w:t>” in</w:t>
      </w:r>
      <w:r w:rsidR="00A920E7" w:rsidRPr="009C5A84">
        <w:rPr>
          <w:rFonts w:cs="Times New Roman"/>
          <w:color w:val="000000" w:themeColor="text1"/>
          <w:lang w:val="en-US"/>
        </w:rPr>
        <w:t xml:space="preserve"> </w:t>
      </w:r>
      <w:r w:rsidR="00A920E7" w:rsidRPr="009C5A84">
        <w:rPr>
          <w:rFonts w:cs="Times New Roman"/>
          <w:i/>
          <w:iCs/>
          <w:color w:val="000000" w:themeColor="text1"/>
          <w:lang w:val="en-US"/>
        </w:rPr>
        <w:t>Towards the Formulation of a Theology of the Septuagint – Proceedings of the Septuagint Congress Held at Stellenbosch University 17-19 of August 2018</w:t>
      </w:r>
      <w:r w:rsidR="0097553B" w:rsidRPr="009C5A84">
        <w:rPr>
          <w:rFonts w:cs="Times New Roman"/>
          <w:color w:val="000000" w:themeColor="text1"/>
          <w:lang w:val="en-US"/>
        </w:rPr>
        <w:t xml:space="preserve">, </w:t>
      </w:r>
      <w:r w:rsidR="00A920E7" w:rsidRPr="009C5A84">
        <w:rPr>
          <w:rFonts w:cs="Times New Roman"/>
          <w:color w:val="000000" w:themeColor="text1"/>
          <w:lang w:val="en-US"/>
        </w:rPr>
        <w:t xml:space="preserve">ed. </w:t>
      </w:r>
      <w:r w:rsidRPr="009C5A84">
        <w:rPr>
          <w:rFonts w:cs="Times New Roman"/>
          <w:color w:val="000000" w:themeColor="text1"/>
          <w:lang w:val="en-US"/>
        </w:rPr>
        <w:t>Martin Rösel &amp; Johann Cook</w:t>
      </w:r>
      <w:r w:rsidR="0097553B" w:rsidRPr="009C5A84">
        <w:rPr>
          <w:rFonts w:cs="Times New Roman"/>
          <w:color w:val="000000" w:themeColor="text1"/>
          <w:lang w:val="en-US"/>
        </w:rPr>
        <w:t>,</w:t>
      </w:r>
      <w:r w:rsidRPr="009C5A84">
        <w:rPr>
          <w:rFonts w:cs="Times New Roman"/>
          <w:color w:val="000000" w:themeColor="text1"/>
          <w:lang w:val="en-US"/>
        </w:rPr>
        <w:t xml:space="preserve"> SBLSCS 74</w:t>
      </w:r>
      <w:r w:rsidR="0097553B" w:rsidRPr="009C5A84">
        <w:rPr>
          <w:rFonts w:cs="Times New Roman"/>
          <w:color w:val="000000" w:themeColor="text1"/>
          <w:lang w:val="en-US"/>
        </w:rPr>
        <w:t xml:space="preserve"> (</w:t>
      </w:r>
      <w:r w:rsidRPr="009C5A84">
        <w:rPr>
          <w:rFonts w:cs="Times New Roman"/>
          <w:color w:val="000000" w:themeColor="text1"/>
          <w:lang w:val="en-US"/>
        </w:rPr>
        <w:t>Atlanta: SBL, 2020</w:t>
      </w:r>
      <w:r w:rsidR="00A920E7" w:rsidRPr="009C5A84">
        <w:rPr>
          <w:rFonts w:cs="Times New Roman"/>
          <w:color w:val="000000" w:themeColor="text1"/>
          <w:lang w:val="en-US"/>
        </w:rPr>
        <w:t xml:space="preserve">), </w:t>
      </w:r>
      <w:r w:rsidRPr="009C5A84">
        <w:rPr>
          <w:rFonts w:cs="Times New Roman"/>
          <w:color w:val="000000" w:themeColor="text1"/>
          <w:lang w:val="en-US"/>
        </w:rPr>
        <w:t>163</w:t>
      </w:r>
      <w:r w:rsidR="00A920E7" w:rsidRPr="009C5A84">
        <w:rPr>
          <w:rFonts w:cs="Times New Roman"/>
          <w:color w:val="000000" w:themeColor="text1"/>
          <w:lang w:val="en-US"/>
        </w:rPr>
        <w:t>–</w:t>
      </w:r>
      <w:r w:rsidRPr="009C5A84">
        <w:rPr>
          <w:rFonts w:cs="Times New Roman"/>
          <w:color w:val="000000" w:themeColor="text1"/>
          <w:lang w:val="en-US"/>
        </w:rPr>
        <w:t>77 (163).</w:t>
      </w:r>
    </w:p>
  </w:footnote>
  <w:footnote w:id="6">
    <w:p w14:paraId="21BCA3EE" w14:textId="487FA9D3" w:rsidR="00FC1764" w:rsidRPr="009C5A84" w:rsidRDefault="00FC176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w:t>
      </w:r>
      <w:r w:rsidR="00D752DB" w:rsidRPr="009C5A84">
        <w:rPr>
          <w:rFonts w:cs="Times New Roman"/>
          <w:color w:val="000000" w:themeColor="text1"/>
          <w:lang w:val="en-US"/>
        </w:rPr>
        <w:t>harles</w:t>
      </w:r>
      <w:r w:rsidRPr="009C5A84">
        <w:rPr>
          <w:rFonts w:cs="Times New Roman"/>
          <w:color w:val="000000" w:themeColor="text1"/>
          <w:lang w:val="en-US"/>
        </w:rPr>
        <w:t xml:space="preserve"> T. Fritsch, </w:t>
      </w:r>
      <w:r w:rsidRPr="009C5A84">
        <w:rPr>
          <w:rFonts w:cs="Times New Roman"/>
          <w:i/>
          <w:iCs/>
          <w:color w:val="000000" w:themeColor="text1"/>
          <w:lang w:val="en-US"/>
        </w:rPr>
        <w:t>The anti-anthropomorphisms of the Greek Pentateuch</w:t>
      </w:r>
      <w:r w:rsidR="00A920E7" w:rsidRPr="009C5A84">
        <w:rPr>
          <w:rFonts w:cs="Times New Roman"/>
          <w:i/>
          <w:iCs/>
          <w:color w:val="000000" w:themeColor="text1"/>
          <w:lang w:val="en-US"/>
        </w:rPr>
        <w:t xml:space="preserve"> </w:t>
      </w:r>
      <w:r w:rsidR="00A920E7" w:rsidRPr="009C5A84">
        <w:rPr>
          <w:rFonts w:cs="Times New Roman"/>
          <w:color w:val="000000" w:themeColor="text1"/>
          <w:lang w:val="en-US"/>
        </w:rPr>
        <w:t>(</w:t>
      </w:r>
      <w:r w:rsidRPr="009C5A84">
        <w:rPr>
          <w:rFonts w:cs="Times New Roman"/>
          <w:color w:val="000000" w:themeColor="text1"/>
          <w:lang w:val="en-US"/>
        </w:rPr>
        <w:t>Princeton</w:t>
      </w:r>
      <w:r w:rsidR="00A920E7" w:rsidRPr="009C5A84">
        <w:rPr>
          <w:rFonts w:cs="Times New Roman"/>
          <w:color w:val="000000" w:themeColor="text1"/>
          <w:lang w:val="en-US"/>
        </w:rPr>
        <w:t>:</w:t>
      </w:r>
      <w:r w:rsidRPr="009C5A84">
        <w:rPr>
          <w:rFonts w:cs="Times New Roman"/>
          <w:color w:val="000000" w:themeColor="text1"/>
          <w:lang w:val="en-US"/>
        </w:rPr>
        <w:t xml:space="preserve"> University Press, 1943</w:t>
      </w:r>
      <w:r w:rsidR="00A920E7" w:rsidRPr="009C5A84">
        <w:rPr>
          <w:rFonts w:cs="Times New Roman"/>
          <w:color w:val="000000" w:themeColor="text1"/>
          <w:lang w:val="en-US"/>
        </w:rPr>
        <w:t>)</w:t>
      </w:r>
      <w:r w:rsidRPr="009C5A84">
        <w:rPr>
          <w:rFonts w:cs="Times New Roman"/>
          <w:color w:val="000000" w:themeColor="text1"/>
          <w:lang w:val="en-US"/>
        </w:rPr>
        <w:t>, 5.</w:t>
      </w:r>
      <w:r w:rsidR="00085A6C" w:rsidRPr="009C5A84">
        <w:rPr>
          <w:rFonts w:cs="Times New Roman"/>
          <w:color w:val="000000" w:themeColor="text1"/>
          <w:lang w:val="en-US"/>
        </w:rPr>
        <w:t xml:space="preserve"> </w:t>
      </w:r>
      <w:r w:rsidR="00D752DB" w:rsidRPr="009C5A84">
        <w:rPr>
          <w:rFonts w:cs="Times New Roman"/>
          <w:color w:val="000000" w:themeColor="text1"/>
          <w:lang w:val="en-US"/>
        </w:rPr>
        <w:t xml:space="preserve">Frank Michaeli, </w:t>
      </w:r>
      <w:r w:rsidR="00D752DB" w:rsidRPr="009C5A84">
        <w:rPr>
          <w:rFonts w:cs="Times New Roman"/>
          <w:i/>
          <w:iCs/>
          <w:color w:val="000000" w:themeColor="text1"/>
          <w:lang w:val="en-US"/>
        </w:rPr>
        <w:t xml:space="preserve">Dieu à </w:t>
      </w:r>
      <w:proofErr w:type="spellStart"/>
      <w:r w:rsidR="00D752DB" w:rsidRPr="009C5A84">
        <w:rPr>
          <w:rFonts w:cs="Times New Roman"/>
          <w:i/>
          <w:iCs/>
          <w:color w:val="000000" w:themeColor="text1"/>
          <w:lang w:val="en-US"/>
        </w:rPr>
        <w:t>l’image</w:t>
      </w:r>
      <w:proofErr w:type="spellEnd"/>
      <w:r w:rsidR="00D752DB" w:rsidRPr="009C5A84">
        <w:rPr>
          <w:rFonts w:cs="Times New Roman"/>
          <w:i/>
          <w:iCs/>
          <w:color w:val="000000" w:themeColor="text1"/>
          <w:lang w:val="en-US"/>
        </w:rPr>
        <w:t xml:space="preserve"> de </w:t>
      </w:r>
      <w:proofErr w:type="spellStart"/>
      <w:r w:rsidR="00D752DB" w:rsidRPr="009C5A84">
        <w:rPr>
          <w:rFonts w:cs="Times New Roman"/>
          <w:i/>
          <w:iCs/>
          <w:color w:val="000000" w:themeColor="text1"/>
          <w:lang w:val="en-US"/>
        </w:rPr>
        <w:t>l’homme</w:t>
      </w:r>
      <w:proofErr w:type="spellEnd"/>
      <w:r w:rsidR="00D752DB" w:rsidRPr="009C5A84">
        <w:rPr>
          <w:rFonts w:cs="Times New Roman"/>
          <w:i/>
          <w:iCs/>
          <w:color w:val="000000" w:themeColor="text1"/>
          <w:lang w:val="en-US"/>
        </w:rPr>
        <w:t xml:space="preserve">: Etude de la notion </w:t>
      </w:r>
      <w:proofErr w:type="spellStart"/>
      <w:r w:rsidR="00D752DB" w:rsidRPr="009C5A84">
        <w:rPr>
          <w:rFonts w:cs="Times New Roman"/>
          <w:i/>
          <w:iCs/>
          <w:color w:val="000000" w:themeColor="text1"/>
          <w:lang w:val="en-US"/>
        </w:rPr>
        <w:t>anthropomorphique</w:t>
      </w:r>
      <w:proofErr w:type="spellEnd"/>
      <w:r w:rsidR="00D752DB" w:rsidRPr="009C5A84">
        <w:rPr>
          <w:rFonts w:cs="Times New Roman"/>
          <w:i/>
          <w:iCs/>
          <w:color w:val="000000" w:themeColor="text1"/>
          <w:lang w:val="en-US"/>
        </w:rPr>
        <w:t xml:space="preserve"> de Dieu dans </w:t>
      </w:r>
      <w:proofErr w:type="spellStart"/>
      <w:r w:rsidR="00D752DB" w:rsidRPr="009C5A84">
        <w:rPr>
          <w:rFonts w:cs="Times New Roman"/>
          <w:i/>
          <w:iCs/>
          <w:color w:val="000000" w:themeColor="text1"/>
          <w:lang w:val="en-US"/>
        </w:rPr>
        <w:t>l’Ancien</w:t>
      </w:r>
      <w:proofErr w:type="spellEnd"/>
      <w:r w:rsidR="00D752DB" w:rsidRPr="009C5A84">
        <w:rPr>
          <w:rFonts w:cs="Times New Roman"/>
          <w:i/>
          <w:iCs/>
          <w:color w:val="000000" w:themeColor="text1"/>
          <w:lang w:val="en-US"/>
        </w:rPr>
        <w:t xml:space="preserve"> Testament, </w:t>
      </w:r>
      <w:r w:rsidR="008A34D6" w:rsidRPr="009C5A84">
        <w:rPr>
          <w:rFonts w:cs="Times New Roman"/>
          <w:color w:val="000000" w:themeColor="text1"/>
          <w:lang w:val="en-US"/>
        </w:rPr>
        <w:t xml:space="preserve">Neuchâtel: </w:t>
      </w:r>
      <w:proofErr w:type="spellStart"/>
      <w:r w:rsidR="00D752DB" w:rsidRPr="009C5A84">
        <w:rPr>
          <w:rFonts w:cs="Times New Roman"/>
          <w:color w:val="000000" w:themeColor="text1"/>
          <w:lang w:val="en-US"/>
        </w:rPr>
        <w:t>Delchaux</w:t>
      </w:r>
      <w:proofErr w:type="spellEnd"/>
      <w:r w:rsidR="00D752DB" w:rsidRPr="009C5A84">
        <w:rPr>
          <w:rFonts w:cs="Times New Roman"/>
          <w:color w:val="000000" w:themeColor="text1"/>
          <w:lang w:val="en-US"/>
        </w:rPr>
        <w:t xml:space="preserve"> &amp; </w:t>
      </w:r>
      <w:proofErr w:type="spellStart"/>
      <w:r w:rsidR="00D752DB" w:rsidRPr="009C5A84">
        <w:rPr>
          <w:rFonts w:cs="Times New Roman"/>
          <w:color w:val="000000" w:themeColor="text1"/>
          <w:lang w:val="en-US"/>
        </w:rPr>
        <w:t>Niestlé</w:t>
      </w:r>
      <w:proofErr w:type="spellEnd"/>
      <w:r w:rsidR="00D752DB" w:rsidRPr="009C5A84">
        <w:rPr>
          <w:rFonts w:cs="Times New Roman"/>
          <w:color w:val="000000" w:themeColor="text1"/>
          <w:lang w:val="en-US"/>
        </w:rPr>
        <w:t>,</w:t>
      </w:r>
      <w:r w:rsidR="008A34D6" w:rsidRPr="009C5A84">
        <w:rPr>
          <w:rFonts w:cs="Times New Roman"/>
          <w:color w:val="000000" w:themeColor="text1"/>
          <w:lang w:val="en-US"/>
        </w:rPr>
        <w:t xml:space="preserve"> </w:t>
      </w:r>
      <w:r w:rsidR="00D752DB" w:rsidRPr="009C5A84">
        <w:rPr>
          <w:rFonts w:cs="Times New Roman"/>
          <w:color w:val="000000" w:themeColor="text1"/>
          <w:lang w:val="en-US"/>
        </w:rPr>
        <w:t>1950</w:t>
      </w:r>
      <w:r w:rsidR="008A34D6" w:rsidRPr="009C5A84">
        <w:rPr>
          <w:rFonts w:cs="Times New Roman"/>
          <w:color w:val="000000" w:themeColor="text1"/>
          <w:lang w:val="en-US"/>
        </w:rPr>
        <w:t>)</w:t>
      </w:r>
      <w:r w:rsidR="00D752DB" w:rsidRPr="009C5A84">
        <w:rPr>
          <w:rFonts w:cs="Times New Roman"/>
          <w:color w:val="000000" w:themeColor="text1"/>
          <w:lang w:val="en-US"/>
        </w:rPr>
        <w:t xml:space="preserve">, </w:t>
      </w:r>
      <w:r w:rsidR="00085A6C" w:rsidRPr="009C5A84">
        <w:rPr>
          <w:rFonts w:cs="Times New Roman"/>
          <w:color w:val="000000" w:themeColor="text1"/>
          <w:lang w:val="en-US"/>
        </w:rPr>
        <w:t>121</w:t>
      </w:r>
      <w:r w:rsidR="008A34D6" w:rsidRPr="009C5A84">
        <w:rPr>
          <w:rFonts w:cs="Times New Roman"/>
          <w:color w:val="000000" w:themeColor="text1"/>
          <w:lang w:val="en-US"/>
        </w:rPr>
        <w:t>–</w:t>
      </w:r>
      <w:r w:rsidR="00085A6C" w:rsidRPr="009C5A84">
        <w:rPr>
          <w:rFonts w:cs="Times New Roman"/>
          <w:color w:val="000000" w:themeColor="text1"/>
          <w:lang w:val="en-US"/>
        </w:rPr>
        <w:t>3.</w:t>
      </w:r>
    </w:p>
  </w:footnote>
  <w:footnote w:id="7">
    <w:p w14:paraId="3F361C82" w14:textId="7123F8BD" w:rsidR="00FC1764" w:rsidRPr="009C5A84" w:rsidRDefault="00FC1764"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nl-NL"/>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961A31" w:rsidRPr="009C5A84">
        <w:rPr>
          <w:rFonts w:ascii="Times New Roman" w:hAnsi="Times New Roman" w:cs="Times New Roman"/>
          <w:color w:val="000000" w:themeColor="text1"/>
          <w:sz w:val="20"/>
          <w:szCs w:val="20"/>
          <w:lang w:val="en-US"/>
        </w:rPr>
        <w:t>C</w:t>
      </w:r>
      <w:r w:rsidRPr="009C5A84">
        <w:rPr>
          <w:rFonts w:ascii="Times New Roman" w:hAnsi="Times New Roman" w:cs="Times New Roman"/>
          <w:color w:val="000000" w:themeColor="text1"/>
          <w:sz w:val="20"/>
          <w:szCs w:val="20"/>
          <w:lang w:val="en-US"/>
        </w:rPr>
        <w:t>onsciousness of distance (</w:t>
      </w:r>
      <w:r w:rsidR="008F45E4" w:rsidRPr="009C5A84">
        <w:rPr>
          <w:rFonts w:ascii="Times New Roman" w:hAnsi="Times New Roman" w:cs="Times New Roman"/>
          <w:color w:val="000000" w:themeColor="text1"/>
          <w:sz w:val="20"/>
          <w:szCs w:val="20"/>
          <w:lang w:val="en-US"/>
        </w:rPr>
        <w:t>e.g., throu</w:t>
      </w:r>
      <w:r w:rsidR="006B6965" w:rsidRPr="009C5A84">
        <w:rPr>
          <w:rFonts w:ascii="Times New Roman" w:hAnsi="Times New Roman" w:cs="Times New Roman"/>
          <w:color w:val="000000" w:themeColor="text1"/>
          <w:sz w:val="20"/>
          <w:szCs w:val="20"/>
          <w:lang w:val="en-US"/>
        </w:rPr>
        <w:t>gh</w:t>
      </w:r>
      <w:r w:rsidRPr="009C5A84">
        <w:rPr>
          <w:rFonts w:ascii="Times New Roman" w:hAnsi="Times New Roman" w:cs="Times New Roman"/>
          <w:color w:val="000000" w:themeColor="text1"/>
          <w:sz w:val="20"/>
          <w:szCs w:val="20"/>
          <w:lang w:val="en-US"/>
        </w:rPr>
        <w:t xml:space="preserve"> an intermediary angel) does not necessarily imply anti-anthropomorphism</w:t>
      </w:r>
      <w:r w:rsidR="00D752DB" w:rsidRPr="009C5A84">
        <w:rPr>
          <w:rFonts w:ascii="Times New Roman" w:hAnsi="Times New Roman" w:cs="Times New Roman"/>
          <w:color w:val="000000" w:themeColor="text1"/>
          <w:sz w:val="20"/>
          <w:szCs w:val="20"/>
          <w:lang w:val="en-US"/>
        </w:rPr>
        <w:t xml:space="preserve"> (</w:t>
      </w:r>
      <w:r w:rsidR="00D752DB" w:rsidRPr="009C5A84">
        <w:rPr>
          <w:rFonts w:ascii="Times New Roman" w:hAnsi="Times New Roman" w:cs="Times New Roman"/>
          <w:color w:val="000000" w:themeColor="text1"/>
          <w:sz w:val="20"/>
          <w:szCs w:val="20"/>
          <w:shd w:val="clear" w:color="auto" w:fill="FFFFFF"/>
        </w:rPr>
        <w:t>Harminus</w:t>
      </w:r>
      <w:r w:rsidR="00D752DB" w:rsidRPr="009C5A84">
        <w:rPr>
          <w:rFonts w:ascii="Times New Roman" w:hAnsi="Times New Roman" w:cs="Times New Roman"/>
          <w:color w:val="000000" w:themeColor="text1"/>
          <w:sz w:val="20"/>
          <w:szCs w:val="20"/>
          <w:lang w:val="nl-NL"/>
        </w:rPr>
        <w:t xml:space="preserve"> M. </w:t>
      </w:r>
      <w:proofErr w:type="spellStart"/>
      <w:r w:rsidR="008A34D6" w:rsidRPr="009C5A84">
        <w:rPr>
          <w:rFonts w:ascii="Times New Roman" w:hAnsi="Times New Roman" w:cs="Times New Roman"/>
          <w:color w:val="000000" w:themeColor="text1"/>
          <w:sz w:val="20"/>
          <w:szCs w:val="20"/>
          <w:lang w:val="nl-NL"/>
        </w:rPr>
        <w:t>Kuitert</w:t>
      </w:r>
      <w:proofErr w:type="spellEnd"/>
      <w:r w:rsidR="00D752DB" w:rsidRPr="009C5A84">
        <w:rPr>
          <w:rFonts w:ascii="Times New Roman" w:hAnsi="Times New Roman" w:cs="Times New Roman"/>
          <w:color w:val="000000" w:themeColor="text1"/>
          <w:sz w:val="20"/>
          <w:szCs w:val="20"/>
          <w:lang w:val="nl-NL"/>
        </w:rPr>
        <w:t xml:space="preserve">, </w:t>
      </w:r>
      <w:r w:rsidR="00D752DB" w:rsidRPr="009C5A84">
        <w:rPr>
          <w:rFonts w:ascii="Times New Roman" w:hAnsi="Times New Roman" w:cs="Times New Roman"/>
          <w:i/>
          <w:iCs/>
          <w:color w:val="000000" w:themeColor="text1"/>
          <w:sz w:val="20"/>
          <w:szCs w:val="20"/>
          <w:lang w:val="nl-NL"/>
        </w:rPr>
        <w:t xml:space="preserve">De </w:t>
      </w:r>
      <w:proofErr w:type="spellStart"/>
      <w:r w:rsidR="00D752DB" w:rsidRPr="009C5A84">
        <w:rPr>
          <w:rFonts w:ascii="Times New Roman" w:hAnsi="Times New Roman" w:cs="Times New Roman"/>
          <w:i/>
          <w:iCs/>
          <w:color w:val="000000" w:themeColor="text1"/>
          <w:sz w:val="20"/>
          <w:szCs w:val="20"/>
          <w:lang w:val="nl-NL"/>
        </w:rPr>
        <w:t>mensvormigheid</w:t>
      </w:r>
      <w:proofErr w:type="spellEnd"/>
      <w:r w:rsidR="00D752DB" w:rsidRPr="009C5A84">
        <w:rPr>
          <w:rFonts w:ascii="Times New Roman" w:hAnsi="Times New Roman" w:cs="Times New Roman"/>
          <w:i/>
          <w:iCs/>
          <w:color w:val="000000" w:themeColor="text1"/>
          <w:sz w:val="20"/>
          <w:szCs w:val="20"/>
          <w:lang w:val="nl-NL"/>
        </w:rPr>
        <w:t xml:space="preserve"> Gods: Een dogmatisch-hermeneutische studie over de </w:t>
      </w:r>
      <w:proofErr w:type="spellStart"/>
      <w:r w:rsidR="00D752DB" w:rsidRPr="009C5A84">
        <w:rPr>
          <w:rFonts w:ascii="Times New Roman" w:hAnsi="Times New Roman" w:cs="Times New Roman"/>
          <w:i/>
          <w:iCs/>
          <w:color w:val="000000" w:themeColor="text1"/>
          <w:sz w:val="20"/>
          <w:szCs w:val="20"/>
          <w:lang w:val="nl-NL"/>
        </w:rPr>
        <w:t>anthropomorfismen</w:t>
      </w:r>
      <w:proofErr w:type="spellEnd"/>
      <w:r w:rsidR="00D752DB" w:rsidRPr="009C5A84">
        <w:rPr>
          <w:rFonts w:ascii="Times New Roman" w:hAnsi="Times New Roman" w:cs="Times New Roman"/>
          <w:i/>
          <w:iCs/>
          <w:color w:val="000000" w:themeColor="text1"/>
          <w:sz w:val="20"/>
          <w:szCs w:val="20"/>
          <w:lang w:val="nl-NL"/>
        </w:rPr>
        <w:t xml:space="preserve"> van de Heilige Schrift </w:t>
      </w:r>
      <w:r w:rsidR="008A34D6" w:rsidRPr="009C5A84">
        <w:rPr>
          <w:rFonts w:ascii="Times New Roman" w:hAnsi="Times New Roman" w:cs="Times New Roman"/>
          <w:color w:val="000000" w:themeColor="text1"/>
          <w:sz w:val="20"/>
          <w:szCs w:val="20"/>
          <w:lang w:val="nl-NL"/>
        </w:rPr>
        <w:t xml:space="preserve">(Kampen: </w:t>
      </w:r>
      <w:r w:rsidR="00D752DB" w:rsidRPr="009C5A84">
        <w:rPr>
          <w:rFonts w:ascii="Times New Roman" w:hAnsi="Times New Roman" w:cs="Times New Roman"/>
          <w:color w:val="000000" w:themeColor="text1"/>
          <w:sz w:val="20"/>
          <w:szCs w:val="20"/>
          <w:lang w:val="nl-NL"/>
        </w:rPr>
        <w:t>Kok, 1962</w:t>
      </w:r>
      <w:r w:rsidR="008A34D6" w:rsidRPr="009C5A84">
        <w:rPr>
          <w:rFonts w:ascii="Times New Roman" w:hAnsi="Times New Roman" w:cs="Times New Roman"/>
          <w:color w:val="000000" w:themeColor="text1"/>
          <w:sz w:val="20"/>
          <w:szCs w:val="20"/>
          <w:lang w:val="nl-NL"/>
        </w:rPr>
        <w:t>)</w:t>
      </w:r>
      <w:r w:rsidR="008A34D6"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37</w:t>
      </w:r>
      <w:r w:rsidR="00D752DB"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Th</w:t>
      </w:r>
      <w:r w:rsidR="002A1E3B">
        <w:rPr>
          <w:rFonts w:ascii="Times New Roman" w:hAnsi="Times New Roman" w:cs="Times New Roman"/>
          <w:color w:val="000000" w:themeColor="text1"/>
          <w:sz w:val="20"/>
          <w:szCs w:val="20"/>
          <w:lang w:val="en-US"/>
        </w:rPr>
        <w:t>is</w:t>
      </w:r>
      <w:r w:rsidRPr="009C5A84">
        <w:rPr>
          <w:rFonts w:ascii="Times New Roman" w:hAnsi="Times New Roman" w:cs="Times New Roman"/>
          <w:color w:val="000000" w:themeColor="text1"/>
          <w:sz w:val="20"/>
          <w:szCs w:val="20"/>
          <w:lang w:val="en-US"/>
        </w:rPr>
        <w:t xml:space="preserve"> </w:t>
      </w:r>
      <w:r w:rsidR="002A1E3B">
        <w:rPr>
          <w:rFonts w:ascii="Times New Roman" w:hAnsi="Times New Roman" w:cs="Times New Roman"/>
          <w:color w:val="000000" w:themeColor="text1"/>
          <w:sz w:val="20"/>
          <w:szCs w:val="20"/>
          <w:lang w:val="en-US"/>
        </w:rPr>
        <w:t>applies also to</w:t>
      </w:r>
      <w:r w:rsidRPr="009C5A84">
        <w:rPr>
          <w:rFonts w:ascii="Times New Roman" w:hAnsi="Times New Roman" w:cs="Times New Roman"/>
          <w:color w:val="000000" w:themeColor="text1"/>
          <w:sz w:val="20"/>
          <w:szCs w:val="20"/>
          <w:lang w:val="en-US"/>
        </w:rPr>
        <w:t xml:space="preserve"> aniconism</w:t>
      </w:r>
      <w:r w:rsidR="00D752DB" w:rsidRPr="009C5A84">
        <w:rPr>
          <w:rFonts w:ascii="Times New Roman" w:hAnsi="Times New Roman" w:cs="Times New Roman"/>
          <w:color w:val="000000" w:themeColor="text1"/>
          <w:sz w:val="20"/>
          <w:szCs w:val="20"/>
          <w:lang w:val="en-US"/>
        </w:rPr>
        <w:t xml:space="preserve">: Andreas Wagner, </w:t>
      </w:r>
      <w:r w:rsidR="00D752DB" w:rsidRPr="009C5A84">
        <w:rPr>
          <w:rFonts w:ascii="Times New Roman" w:hAnsi="Times New Roman" w:cs="Times New Roman"/>
          <w:i/>
          <w:iCs/>
          <w:color w:val="000000" w:themeColor="text1"/>
          <w:spacing w:val="-4"/>
          <w:sz w:val="20"/>
          <w:szCs w:val="20"/>
          <w:lang w:val="en-US"/>
        </w:rPr>
        <w:t>God’s Body: The Anthropomorphic God in the Old Testament</w:t>
      </w:r>
      <w:r w:rsidR="00D752DB" w:rsidRPr="009C5A84">
        <w:rPr>
          <w:rFonts w:ascii="Times New Roman" w:hAnsi="Times New Roman" w:cs="Times New Roman"/>
          <w:color w:val="000000" w:themeColor="text1"/>
          <w:spacing w:val="-4"/>
          <w:sz w:val="20"/>
          <w:szCs w:val="20"/>
          <w:lang w:val="en-US"/>
        </w:rPr>
        <w:t>, transl. from German by M. Salzmann</w:t>
      </w:r>
      <w:r w:rsidR="008A34D6" w:rsidRPr="009C5A84">
        <w:rPr>
          <w:rFonts w:ascii="Times New Roman" w:hAnsi="Times New Roman" w:cs="Times New Roman"/>
          <w:color w:val="000000" w:themeColor="text1"/>
          <w:spacing w:val="-4"/>
          <w:sz w:val="20"/>
          <w:szCs w:val="20"/>
          <w:lang w:val="en-US"/>
        </w:rPr>
        <w:t xml:space="preserve"> (</w:t>
      </w:r>
      <w:r w:rsidR="00D752DB" w:rsidRPr="009C5A84">
        <w:rPr>
          <w:rFonts w:ascii="Times New Roman" w:hAnsi="Times New Roman" w:cs="Times New Roman"/>
          <w:color w:val="000000" w:themeColor="text1"/>
          <w:spacing w:val="-4"/>
          <w:sz w:val="20"/>
          <w:szCs w:val="20"/>
          <w:lang w:val="en-US"/>
        </w:rPr>
        <w:t>New York</w:t>
      </w:r>
      <w:r w:rsidR="008A34D6" w:rsidRPr="009C5A84">
        <w:rPr>
          <w:rFonts w:ascii="Times New Roman" w:hAnsi="Times New Roman" w:cs="Times New Roman"/>
          <w:color w:val="000000" w:themeColor="text1"/>
          <w:spacing w:val="-4"/>
          <w:sz w:val="20"/>
          <w:szCs w:val="20"/>
          <w:lang w:val="en-US"/>
        </w:rPr>
        <w:t>:</w:t>
      </w:r>
      <w:r w:rsidR="00D752DB" w:rsidRPr="009C5A84">
        <w:rPr>
          <w:rFonts w:ascii="Times New Roman" w:hAnsi="Times New Roman" w:cs="Times New Roman"/>
          <w:color w:val="000000" w:themeColor="text1"/>
          <w:spacing w:val="-4"/>
          <w:sz w:val="20"/>
          <w:szCs w:val="20"/>
          <w:lang w:val="en-US"/>
        </w:rPr>
        <w:t xml:space="preserve"> T&amp;T Clark, 2019</w:t>
      </w:r>
      <w:r w:rsidR="008A34D6" w:rsidRPr="009C5A84">
        <w:rPr>
          <w:rFonts w:ascii="Times New Roman" w:hAnsi="Times New Roman" w:cs="Times New Roman"/>
          <w:color w:val="000000" w:themeColor="text1"/>
          <w:spacing w:val="-4"/>
          <w:sz w:val="20"/>
          <w:szCs w:val="20"/>
          <w:lang w:val="en-US"/>
        </w:rPr>
        <w:t>)</w:t>
      </w:r>
      <w:r w:rsidR="00D752DB" w:rsidRPr="009C5A84">
        <w:rPr>
          <w:rFonts w:ascii="Times New Roman" w:hAnsi="Times New Roman" w:cs="Times New Roman"/>
          <w:color w:val="000000" w:themeColor="text1"/>
          <w:spacing w:val="-4"/>
          <w:sz w:val="20"/>
          <w:szCs w:val="20"/>
          <w:lang w:val="en-US"/>
        </w:rPr>
        <w:t xml:space="preserve">, </w:t>
      </w:r>
      <w:r w:rsidRPr="009C5A84">
        <w:rPr>
          <w:rFonts w:ascii="Times New Roman" w:hAnsi="Times New Roman" w:cs="Times New Roman"/>
          <w:color w:val="000000" w:themeColor="text1"/>
          <w:sz w:val="20"/>
          <w:szCs w:val="20"/>
          <w:lang w:val="en-US"/>
        </w:rPr>
        <w:t>29.</w:t>
      </w:r>
      <w:r w:rsidR="00D752DB" w:rsidRPr="009C5A84">
        <w:rPr>
          <w:rFonts w:ascii="Times New Roman" w:hAnsi="Times New Roman" w:cs="Times New Roman"/>
          <w:color w:val="000000" w:themeColor="text1"/>
          <w:sz w:val="20"/>
          <w:szCs w:val="20"/>
          <w:lang w:val="en-US"/>
        </w:rPr>
        <w:t xml:space="preserve"> </w:t>
      </w:r>
    </w:p>
  </w:footnote>
  <w:footnote w:id="8">
    <w:p w14:paraId="56706075" w14:textId="4435C07D" w:rsidR="00085A6C" w:rsidRPr="009C5A84" w:rsidRDefault="00085A6C"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nl-NL"/>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D752DB" w:rsidRPr="009C5A84">
        <w:rPr>
          <w:rFonts w:ascii="Times New Roman" w:hAnsi="Times New Roman" w:cs="Times New Roman"/>
          <w:color w:val="000000" w:themeColor="text1"/>
          <w:sz w:val="20"/>
          <w:szCs w:val="20"/>
          <w:lang w:val="nl-NL"/>
        </w:rPr>
        <w:t>C</w:t>
      </w:r>
      <w:r w:rsidR="002F63F9" w:rsidRPr="009C5A84">
        <w:rPr>
          <w:rFonts w:ascii="Times New Roman" w:hAnsi="Times New Roman" w:cs="Times New Roman"/>
          <w:color w:val="000000" w:themeColor="text1"/>
          <w:sz w:val="20"/>
          <w:szCs w:val="20"/>
          <w:lang w:val="nl-NL"/>
        </w:rPr>
        <w:t>hristoph</w:t>
      </w:r>
      <w:r w:rsidR="00D752DB" w:rsidRPr="009C5A84">
        <w:rPr>
          <w:rFonts w:ascii="Times New Roman" w:hAnsi="Times New Roman" w:cs="Times New Roman"/>
          <w:color w:val="000000" w:themeColor="text1"/>
          <w:sz w:val="20"/>
          <w:szCs w:val="20"/>
          <w:lang w:val="nl-NL"/>
        </w:rPr>
        <w:t xml:space="preserve"> </w:t>
      </w:r>
      <w:proofErr w:type="spellStart"/>
      <w:r w:rsidR="008A34D6" w:rsidRPr="009C5A84">
        <w:rPr>
          <w:rFonts w:ascii="Times New Roman" w:hAnsi="Times New Roman" w:cs="Times New Roman"/>
          <w:color w:val="000000" w:themeColor="text1"/>
          <w:sz w:val="20"/>
          <w:szCs w:val="20"/>
          <w:lang w:val="nl-NL"/>
        </w:rPr>
        <w:t>Markschies</w:t>
      </w:r>
      <w:proofErr w:type="spellEnd"/>
      <w:r w:rsidR="00D752DB" w:rsidRPr="009C5A84">
        <w:rPr>
          <w:rFonts w:ascii="Times New Roman" w:hAnsi="Times New Roman" w:cs="Times New Roman"/>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Gottes</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Körper</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Jüdische</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christliche</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und</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pagane</w:t>
      </w:r>
      <w:proofErr w:type="spellEnd"/>
      <w:r w:rsidR="00D752DB" w:rsidRPr="009C5A84">
        <w:rPr>
          <w:rFonts w:ascii="Times New Roman" w:hAnsi="Times New Roman" w:cs="Times New Roman"/>
          <w:i/>
          <w:iCs/>
          <w:color w:val="000000" w:themeColor="text1"/>
          <w:sz w:val="20"/>
          <w:szCs w:val="20"/>
          <w:lang w:val="nl-NL"/>
        </w:rPr>
        <w:t xml:space="preserve"> </w:t>
      </w:r>
      <w:proofErr w:type="spellStart"/>
      <w:r w:rsidR="00D752DB" w:rsidRPr="009C5A84">
        <w:rPr>
          <w:rFonts w:ascii="Times New Roman" w:hAnsi="Times New Roman" w:cs="Times New Roman"/>
          <w:i/>
          <w:iCs/>
          <w:color w:val="000000" w:themeColor="text1"/>
          <w:sz w:val="20"/>
          <w:szCs w:val="20"/>
          <w:lang w:val="nl-NL"/>
        </w:rPr>
        <w:t>Gottesvorstellungen</w:t>
      </w:r>
      <w:proofErr w:type="spellEnd"/>
      <w:r w:rsidR="00D752DB" w:rsidRPr="009C5A84">
        <w:rPr>
          <w:rFonts w:ascii="Times New Roman" w:hAnsi="Times New Roman" w:cs="Times New Roman"/>
          <w:i/>
          <w:iCs/>
          <w:color w:val="000000" w:themeColor="text1"/>
          <w:sz w:val="20"/>
          <w:szCs w:val="20"/>
          <w:lang w:val="nl-NL"/>
        </w:rPr>
        <w:t xml:space="preserve"> in der </w:t>
      </w:r>
      <w:proofErr w:type="spellStart"/>
      <w:r w:rsidR="00D752DB" w:rsidRPr="009C5A84">
        <w:rPr>
          <w:rFonts w:ascii="Times New Roman" w:hAnsi="Times New Roman" w:cs="Times New Roman"/>
          <w:i/>
          <w:iCs/>
          <w:color w:val="000000" w:themeColor="text1"/>
          <w:sz w:val="20"/>
          <w:szCs w:val="20"/>
          <w:lang w:val="nl-NL"/>
        </w:rPr>
        <w:t>Antike</w:t>
      </w:r>
      <w:proofErr w:type="spellEnd"/>
      <w:r w:rsidR="008A34D6" w:rsidRPr="009C5A84">
        <w:rPr>
          <w:rFonts w:ascii="Times New Roman" w:hAnsi="Times New Roman" w:cs="Times New Roman"/>
          <w:color w:val="000000" w:themeColor="text1"/>
          <w:sz w:val="20"/>
          <w:szCs w:val="20"/>
          <w:lang w:val="nl-NL"/>
        </w:rPr>
        <w:t xml:space="preserve"> (</w:t>
      </w:r>
      <w:r w:rsidR="00D752DB" w:rsidRPr="009C5A84">
        <w:rPr>
          <w:rFonts w:ascii="Times New Roman" w:hAnsi="Times New Roman" w:cs="Times New Roman"/>
          <w:color w:val="000000" w:themeColor="text1"/>
          <w:sz w:val="20"/>
          <w:szCs w:val="20"/>
          <w:lang w:val="nl-NL"/>
        </w:rPr>
        <w:t>München</w:t>
      </w:r>
      <w:r w:rsidR="008A34D6" w:rsidRPr="009C5A84">
        <w:rPr>
          <w:rFonts w:ascii="Times New Roman" w:hAnsi="Times New Roman" w:cs="Times New Roman"/>
          <w:color w:val="000000" w:themeColor="text1"/>
          <w:sz w:val="20"/>
          <w:szCs w:val="20"/>
          <w:lang w:val="nl-NL"/>
        </w:rPr>
        <w:t>:</w:t>
      </w:r>
      <w:r w:rsidR="00D752DB" w:rsidRPr="009C5A84">
        <w:rPr>
          <w:rFonts w:ascii="Times New Roman" w:hAnsi="Times New Roman" w:cs="Times New Roman"/>
          <w:color w:val="000000" w:themeColor="text1"/>
          <w:sz w:val="20"/>
          <w:szCs w:val="20"/>
          <w:lang w:val="nl-NL"/>
        </w:rPr>
        <w:t xml:space="preserve"> Beck, 2016</w:t>
      </w:r>
      <w:r w:rsidR="008A34D6" w:rsidRPr="009C5A84">
        <w:rPr>
          <w:rFonts w:ascii="Times New Roman" w:hAnsi="Times New Roman" w:cs="Times New Roman"/>
          <w:color w:val="000000" w:themeColor="text1"/>
          <w:sz w:val="20"/>
          <w:szCs w:val="20"/>
          <w:lang w:val="nl-NL"/>
        </w:rPr>
        <w:t>)</w:t>
      </w:r>
      <w:r w:rsidRPr="009C5A84">
        <w:rPr>
          <w:rFonts w:ascii="Times New Roman" w:hAnsi="Times New Roman" w:cs="Times New Roman"/>
          <w:i/>
          <w:iCs/>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44; Wagner, </w:t>
      </w:r>
      <w:r w:rsidRPr="009C5A84">
        <w:rPr>
          <w:rFonts w:ascii="Times New Roman" w:hAnsi="Times New Roman" w:cs="Times New Roman"/>
          <w:i/>
          <w:iCs/>
          <w:color w:val="000000" w:themeColor="text1"/>
          <w:spacing w:val="-4"/>
          <w:sz w:val="20"/>
          <w:szCs w:val="20"/>
          <w:lang w:val="en-US"/>
        </w:rPr>
        <w:t>God’s Body</w:t>
      </w:r>
      <w:r w:rsidRPr="009C5A84">
        <w:rPr>
          <w:rFonts w:ascii="Times New Roman" w:hAnsi="Times New Roman" w:cs="Times New Roman"/>
          <w:color w:val="000000" w:themeColor="text1"/>
          <w:spacing w:val="-4"/>
          <w:sz w:val="20"/>
          <w:szCs w:val="20"/>
          <w:lang w:val="en-US"/>
        </w:rPr>
        <w:t>, 19, 119.</w:t>
      </w:r>
    </w:p>
  </w:footnote>
  <w:footnote w:id="9">
    <w:p w14:paraId="68979885" w14:textId="274C4B83" w:rsidR="00FB0C62" w:rsidRPr="009C5A84" w:rsidRDefault="00FB0C62"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Cf. R</w:t>
      </w:r>
      <w:r w:rsidR="00B97ABC" w:rsidRPr="009C5A84">
        <w:rPr>
          <w:rFonts w:cs="Times New Roman"/>
          <w:color w:val="000000" w:themeColor="text1"/>
          <w:lang w:val="en-US"/>
        </w:rPr>
        <w:t>onald</w:t>
      </w:r>
      <w:r w:rsidRPr="009C5A84">
        <w:rPr>
          <w:rFonts w:cs="Times New Roman"/>
          <w:color w:val="000000" w:themeColor="text1"/>
          <w:lang w:val="en-US"/>
        </w:rPr>
        <w:t xml:space="preserve"> Hendel, “Aniconism and Anthropomorphism in Ancient Israel</w:t>
      </w:r>
      <w:r w:rsidR="008A34D6" w:rsidRPr="009C5A84">
        <w:rPr>
          <w:rFonts w:cs="Times New Roman"/>
          <w:color w:val="000000" w:themeColor="text1"/>
          <w:lang w:val="en-US"/>
        </w:rPr>
        <w:t>,</w:t>
      </w:r>
      <w:r w:rsidRPr="009C5A84">
        <w:rPr>
          <w:rFonts w:cs="Times New Roman"/>
          <w:color w:val="000000" w:themeColor="text1"/>
          <w:lang w:val="en-US"/>
        </w:rPr>
        <w:t>” in</w:t>
      </w:r>
      <w:r w:rsidR="008A34D6" w:rsidRPr="009C5A84">
        <w:rPr>
          <w:rFonts w:cs="Times New Roman"/>
          <w:color w:val="000000" w:themeColor="text1"/>
          <w:lang w:val="en-US"/>
        </w:rPr>
        <w:t xml:space="preserve"> </w:t>
      </w:r>
      <w:r w:rsidR="008A34D6" w:rsidRPr="009C5A84">
        <w:rPr>
          <w:rFonts w:cs="Times New Roman"/>
          <w:i/>
          <w:iCs/>
          <w:color w:val="000000" w:themeColor="text1"/>
          <w:lang w:val="en-US"/>
        </w:rPr>
        <w:t>The Image and the Book: Iconic Cults, Aniconism, and the Veneration of the Holy Book in Israel and the Ancient Near East</w:t>
      </w:r>
      <w:r w:rsidR="0097553B" w:rsidRPr="009C5A84">
        <w:rPr>
          <w:rFonts w:cs="Times New Roman"/>
          <w:color w:val="000000" w:themeColor="text1"/>
          <w:lang w:val="en-US"/>
        </w:rPr>
        <w:t xml:space="preserve">, </w:t>
      </w:r>
      <w:r w:rsidR="008A34D6" w:rsidRPr="009C5A84">
        <w:rPr>
          <w:rFonts w:cs="Times New Roman"/>
          <w:color w:val="000000" w:themeColor="text1"/>
          <w:lang w:val="en-US"/>
        </w:rPr>
        <w:t xml:space="preserve">ed. </w:t>
      </w:r>
      <w:r w:rsidRPr="009C5A84">
        <w:rPr>
          <w:rFonts w:cs="Times New Roman"/>
          <w:color w:val="000000" w:themeColor="text1"/>
          <w:lang w:val="en-US"/>
        </w:rPr>
        <w:t>K</w:t>
      </w:r>
      <w:r w:rsidR="00B97ABC" w:rsidRPr="009C5A84">
        <w:rPr>
          <w:rFonts w:cs="Times New Roman"/>
          <w:color w:val="000000" w:themeColor="text1"/>
          <w:lang w:val="en-US"/>
        </w:rPr>
        <w:t>arel</w:t>
      </w:r>
      <w:r w:rsidRPr="009C5A84">
        <w:rPr>
          <w:rFonts w:cs="Times New Roman"/>
          <w:color w:val="000000" w:themeColor="text1"/>
          <w:lang w:val="en-US"/>
        </w:rPr>
        <w:t xml:space="preserve"> van der </w:t>
      </w:r>
      <w:proofErr w:type="spellStart"/>
      <w:r w:rsidRPr="009C5A84">
        <w:rPr>
          <w:rFonts w:cs="Times New Roman"/>
          <w:color w:val="000000" w:themeColor="text1"/>
          <w:lang w:val="en-US"/>
        </w:rPr>
        <w:t>Toorn</w:t>
      </w:r>
      <w:proofErr w:type="spellEnd"/>
      <w:r w:rsidR="008A34D6" w:rsidRPr="009C5A84">
        <w:rPr>
          <w:rFonts w:cs="Times New Roman"/>
          <w:color w:val="000000" w:themeColor="text1"/>
          <w:lang w:val="en-US"/>
        </w:rPr>
        <w:t xml:space="preserve"> </w:t>
      </w:r>
      <w:r w:rsidR="0097553B" w:rsidRPr="009C5A84">
        <w:rPr>
          <w:rFonts w:cs="Times New Roman"/>
          <w:color w:val="000000" w:themeColor="text1"/>
          <w:lang w:val="en-US"/>
        </w:rPr>
        <w:t>(</w:t>
      </w:r>
      <w:r w:rsidRPr="009C5A84">
        <w:rPr>
          <w:rFonts w:cs="Times New Roman"/>
          <w:color w:val="000000" w:themeColor="text1"/>
          <w:lang w:val="en-US"/>
        </w:rPr>
        <w:t>Leuven</w:t>
      </w:r>
      <w:r w:rsidR="008A34D6" w:rsidRPr="009C5A84">
        <w:rPr>
          <w:rFonts w:cs="Times New Roman"/>
          <w:color w:val="000000" w:themeColor="text1"/>
          <w:lang w:val="en-US"/>
        </w:rPr>
        <w:t>:</w:t>
      </w:r>
      <w:r w:rsidRPr="009C5A84">
        <w:rPr>
          <w:rFonts w:cs="Times New Roman"/>
          <w:color w:val="000000" w:themeColor="text1"/>
          <w:lang w:val="en-US"/>
        </w:rPr>
        <w:t xml:space="preserve"> Peeters, 1997</w:t>
      </w:r>
      <w:r w:rsidR="008A34D6" w:rsidRPr="009C5A84">
        <w:rPr>
          <w:rFonts w:cs="Times New Roman"/>
          <w:color w:val="000000" w:themeColor="text1"/>
          <w:lang w:val="en-US"/>
        </w:rPr>
        <w:t>)</w:t>
      </w:r>
      <w:r w:rsidRPr="009C5A84">
        <w:rPr>
          <w:rFonts w:cs="Times New Roman"/>
          <w:color w:val="000000" w:themeColor="text1"/>
          <w:lang w:val="en-US"/>
        </w:rPr>
        <w:t>, 205</w:t>
      </w:r>
      <w:r w:rsidR="008A34D6" w:rsidRPr="009C5A84">
        <w:rPr>
          <w:rFonts w:cs="Times New Roman"/>
          <w:color w:val="000000" w:themeColor="text1"/>
          <w:lang w:val="en-US"/>
        </w:rPr>
        <w:t>–</w:t>
      </w:r>
      <w:r w:rsidRPr="009C5A84">
        <w:rPr>
          <w:rFonts w:cs="Times New Roman"/>
          <w:color w:val="000000" w:themeColor="text1"/>
          <w:lang w:val="en-US"/>
        </w:rPr>
        <w:t>28.</w:t>
      </w:r>
    </w:p>
  </w:footnote>
  <w:footnote w:id="10">
    <w:p w14:paraId="7AB6BDDC" w14:textId="5A6B1649" w:rsidR="00FB0C62" w:rsidRPr="009C5A84" w:rsidRDefault="00FB0C62"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w:t>
      </w:r>
      <w:r w:rsidR="00B97ABC" w:rsidRPr="009C5A84">
        <w:rPr>
          <w:rFonts w:cs="Times New Roman"/>
          <w:color w:val="000000" w:themeColor="text1"/>
          <w:lang w:val="en-US"/>
        </w:rPr>
        <w:t>rthur</w:t>
      </w:r>
      <w:r w:rsidRPr="009C5A84">
        <w:rPr>
          <w:rFonts w:cs="Times New Roman"/>
          <w:color w:val="000000" w:themeColor="text1"/>
          <w:lang w:val="en-US"/>
        </w:rPr>
        <w:t xml:space="preserve"> Marmorstein, </w:t>
      </w:r>
      <w:r w:rsidRPr="009C5A84">
        <w:rPr>
          <w:rFonts w:cs="Times New Roman"/>
          <w:i/>
          <w:iCs/>
          <w:color w:val="000000" w:themeColor="text1"/>
          <w:lang w:val="en-US"/>
        </w:rPr>
        <w:t>The Old Rabbinic Doctrine of God: Essays in Anthropomorphism</w:t>
      </w:r>
      <w:r w:rsidR="0097553B" w:rsidRPr="009C5A84">
        <w:rPr>
          <w:rFonts w:cs="Times New Roman"/>
          <w:i/>
          <w:iCs/>
          <w:color w:val="000000" w:themeColor="text1"/>
          <w:lang w:val="en-US"/>
        </w:rPr>
        <w:t xml:space="preserve"> </w:t>
      </w:r>
      <w:r w:rsidR="0097553B" w:rsidRPr="009C5A84">
        <w:rPr>
          <w:rFonts w:cs="Times New Roman"/>
          <w:color w:val="000000" w:themeColor="text1"/>
          <w:lang w:val="en-US"/>
        </w:rPr>
        <w:t>(</w:t>
      </w:r>
      <w:r w:rsidRPr="009C5A84">
        <w:rPr>
          <w:rFonts w:cs="Times New Roman"/>
          <w:color w:val="000000" w:themeColor="text1"/>
          <w:lang w:val="en-US"/>
        </w:rPr>
        <w:t>Oxford</w:t>
      </w:r>
      <w:r w:rsidR="008A34D6" w:rsidRPr="009C5A84">
        <w:rPr>
          <w:rFonts w:cs="Times New Roman"/>
          <w:color w:val="000000" w:themeColor="text1"/>
          <w:lang w:val="en-US"/>
        </w:rPr>
        <w:t>:</w:t>
      </w:r>
      <w:r w:rsidRPr="009C5A84">
        <w:rPr>
          <w:rFonts w:cs="Times New Roman"/>
          <w:color w:val="000000" w:themeColor="text1"/>
          <w:lang w:val="en-US"/>
        </w:rPr>
        <w:t xml:space="preserve"> University Press, 1937</w:t>
      </w:r>
      <w:r w:rsidR="008A34D6" w:rsidRPr="009C5A84">
        <w:rPr>
          <w:rFonts w:cs="Times New Roman"/>
          <w:color w:val="000000" w:themeColor="text1"/>
          <w:lang w:val="en-US"/>
        </w:rPr>
        <w:t>),</w:t>
      </w:r>
      <w:r w:rsidRPr="009C5A84">
        <w:rPr>
          <w:rFonts w:cs="Times New Roman"/>
          <w:color w:val="000000" w:themeColor="text1"/>
          <w:lang w:val="en-US"/>
        </w:rPr>
        <w:t xml:space="preserve"> 2.</w:t>
      </w:r>
    </w:p>
  </w:footnote>
  <w:footnote w:id="11">
    <w:p w14:paraId="34EA1F02" w14:textId="56AE4AC3" w:rsidR="00FB0C62" w:rsidRPr="009C5A84" w:rsidRDefault="00FB0C62"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J</w:t>
      </w:r>
      <w:r w:rsidR="00B97ABC" w:rsidRPr="009C5A84">
        <w:rPr>
          <w:rFonts w:cs="Times New Roman"/>
          <w:color w:val="000000" w:themeColor="text1"/>
          <w:lang w:val="en-US"/>
        </w:rPr>
        <w:t>acob</w:t>
      </w:r>
      <w:r w:rsidRPr="009C5A84">
        <w:rPr>
          <w:rFonts w:cs="Times New Roman"/>
          <w:color w:val="000000" w:themeColor="text1"/>
          <w:lang w:val="en-US"/>
        </w:rPr>
        <w:t xml:space="preserve"> Lauterbach, “A Significant Controversy between the Sadducees and the Pharisees,</w:t>
      </w:r>
      <w:r w:rsidR="00B97ABC" w:rsidRPr="009C5A84">
        <w:rPr>
          <w:rFonts w:cs="Times New Roman"/>
          <w:color w:val="000000" w:themeColor="text1"/>
          <w:lang w:val="en-US"/>
        </w:rPr>
        <w:t>”</w:t>
      </w:r>
      <w:r w:rsidRPr="009C5A84">
        <w:rPr>
          <w:rFonts w:cs="Times New Roman"/>
          <w:color w:val="000000" w:themeColor="text1"/>
          <w:lang w:val="en-US"/>
        </w:rPr>
        <w:t xml:space="preserve"> </w:t>
      </w:r>
      <w:r w:rsidRPr="009C5A84">
        <w:rPr>
          <w:rFonts w:cs="Times New Roman"/>
          <w:i/>
          <w:iCs/>
          <w:color w:val="000000" w:themeColor="text1"/>
          <w:lang w:val="en-US"/>
        </w:rPr>
        <w:t xml:space="preserve">HUCA </w:t>
      </w:r>
      <w:r w:rsidRPr="009C5A84">
        <w:rPr>
          <w:rFonts w:cs="Times New Roman"/>
          <w:color w:val="000000" w:themeColor="text1"/>
          <w:lang w:val="en-US"/>
        </w:rPr>
        <w:t>4</w:t>
      </w:r>
      <w:r w:rsidR="008A34D6" w:rsidRPr="009C5A84">
        <w:rPr>
          <w:rFonts w:cs="Times New Roman"/>
          <w:color w:val="000000" w:themeColor="text1"/>
          <w:lang w:val="en-US"/>
        </w:rPr>
        <w:t xml:space="preserve"> (</w:t>
      </w:r>
      <w:r w:rsidRPr="009C5A84">
        <w:rPr>
          <w:rFonts w:cs="Times New Roman"/>
          <w:color w:val="000000" w:themeColor="text1"/>
          <w:lang w:val="en-US"/>
        </w:rPr>
        <w:t>1927</w:t>
      </w:r>
      <w:r w:rsidR="008A34D6" w:rsidRPr="009C5A84">
        <w:rPr>
          <w:rFonts w:cs="Times New Roman"/>
          <w:color w:val="000000" w:themeColor="text1"/>
          <w:lang w:val="en-US"/>
        </w:rPr>
        <w:t>):</w:t>
      </w:r>
      <w:r w:rsidRPr="009C5A84">
        <w:rPr>
          <w:rFonts w:cs="Times New Roman"/>
          <w:color w:val="000000" w:themeColor="text1"/>
          <w:lang w:val="en-US"/>
        </w:rPr>
        <w:t xml:space="preserve"> 173</w:t>
      </w:r>
      <w:r w:rsidR="008A34D6" w:rsidRPr="009C5A84">
        <w:rPr>
          <w:rFonts w:cs="Times New Roman"/>
          <w:color w:val="000000" w:themeColor="text1"/>
          <w:lang w:val="en-US"/>
        </w:rPr>
        <w:t>–</w:t>
      </w:r>
      <w:r w:rsidRPr="009C5A84">
        <w:rPr>
          <w:rFonts w:cs="Times New Roman"/>
          <w:color w:val="000000" w:themeColor="text1"/>
          <w:lang w:val="en-US"/>
        </w:rPr>
        <w:t xml:space="preserve">205. </w:t>
      </w:r>
      <w:r w:rsidR="00536649">
        <w:rPr>
          <w:rFonts w:cs="Times New Roman"/>
          <w:color w:val="000000" w:themeColor="text1"/>
          <w:lang w:val="en-US"/>
        </w:rPr>
        <w:t>See</w:t>
      </w:r>
      <w:r w:rsidRPr="009C5A84">
        <w:rPr>
          <w:rFonts w:cs="Times New Roman"/>
          <w:color w:val="000000" w:themeColor="text1"/>
          <w:lang w:val="en-US"/>
        </w:rPr>
        <w:t xml:space="preserve"> for a critical note on Lauterbach: M</w:t>
      </w:r>
      <w:r w:rsidR="00B97ABC" w:rsidRPr="009C5A84">
        <w:rPr>
          <w:rFonts w:cs="Times New Roman"/>
          <w:color w:val="000000" w:themeColor="text1"/>
          <w:lang w:val="en-US"/>
        </w:rPr>
        <w:t>ichaël</w:t>
      </w:r>
      <w:r w:rsidRPr="009C5A84">
        <w:rPr>
          <w:rFonts w:cs="Times New Roman"/>
          <w:color w:val="000000" w:themeColor="text1"/>
          <w:lang w:val="en-US"/>
        </w:rPr>
        <w:t xml:space="preserve"> </w:t>
      </w:r>
      <w:r w:rsidR="00055A1C" w:rsidRPr="009C5A84">
        <w:rPr>
          <w:rFonts w:cs="Times New Roman"/>
          <w:color w:val="000000" w:themeColor="text1"/>
          <w:lang w:val="en-US"/>
        </w:rPr>
        <w:t>v</w:t>
      </w:r>
      <w:r w:rsidRPr="009C5A84">
        <w:rPr>
          <w:rFonts w:cs="Times New Roman"/>
          <w:color w:val="000000" w:themeColor="text1"/>
          <w:lang w:val="en-US"/>
        </w:rPr>
        <w:t>an der Meer, “Visio Dei in the Septuagint</w:t>
      </w:r>
      <w:r w:rsidR="008A34D6" w:rsidRPr="009C5A84">
        <w:rPr>
          <w:rFonts w:cs="Times New Roman"/>
          <w:color w:val="000000" w:themeColor="text1"/>
          <w:lang w:val="en-US"/>
        </w:rPr>
        <w:t>,</w:t>
      </w:r>
      <w:r w:rsidRPr="009C5A84">
        <w:rPr>
          <w:rFonts w:cs="Times New Roman"/>
          <w:color w:val="000000" w:themeColor="text1"/>
          <w:lang w:val="en-US"/>
        </w:rPr>
        <w:t xml:space="preserve">” in </w:t>
      </w:r>
      <w:r w:rsidR="008A34D6" w:rsidRPr="009C5A84">
        <w:rPr>
          <w:rFonts w:cs="Times New Roman"/>
          <w:i/>
          <w:iCs/>
          <w:color w:val="000000" w:themeColor="text1"/>
          <w:lang w:val="en-US"/>
        </w:rPr>
        <w:t>XVI Congress of the International Organization for Septuagint and Cognate Studies: Stellenbosch, 2016</w:t>
      </w:r>
      <w:r w:rsidR="0097553B" w:rsidRPr="009C5A84">
        <w:rPr>
          <w:rFonts w:cs="Times New Roman"/>
          <w:i/>
          <w:iCs/>
          <w:color w:val="000000" w:themeColor="text1"/>
          <w:lang w:val="en-US"/>
        </w:rPr>
        <w:t xml:space="preserve">, </w:t>
      </w:r>
      <w:r w:rsidR="008A34D6" w:rsidRPr="009C5A84">
        <w:rPr>
          <w:rFonts w:cs="Times New Roman"/>
          <w:color w:val="000000" w:themeColor="text1"/>
          <w:lang w:val="en-US"/>
        </w:rPr>
        <w:t xml:space="preserve">ed. </w:t>
      </w:r>
      <w:r w:rsidR="00B97ABC" w:rsidRPr="009C5A84">
        <w:rPr>
          <w:rFonts w:cs="Times New Roman"/>
          <w:color w:val="000000" w:themeColor="text1"/>
          <w:lang w:val="en-US"/>
        </w:rPr>
        <w:t xml:space="preserve">Wolfgang Kraus, Michaël N. van der Meer, Gideon R. </w:t>
      </w:r>
      <w:proofErr w:type="spellStart"/>
      <w:r w:rsidR="00B97ABC" w:rsidRPr="009C5A84">
        <w:rPr>
          <w:rFonts w:cs="Times New Roman"/>
          <w:color w:val="000000" w:themeColor="text1"/>
          <w:lang w:val="en-US"/>
        </w:rPr>
        <w:t>Kotzé</w:t>
      </w:r>
      <w:proofErr w:type="spellEnd"/>
      <w:r w:rsidR="0097553B" w:rsidRPr="009C5A84">
        <w:rPr>
          <w:rFonts w:cs="Times New Roman"/>
          <w:color w:val="000000" w:themeColor="text1"/>
          <w:lang w:val="en-US"/>
        </w:rPr>
        <w:t>,</w:t>
      </w:r>
      <w:r w:rsidR="008A34D6" w:rsidRPr="009C5A84">
        <w:rPr>
          <w:rFonts w:cs="Times New Roman"/>
          <w:color w:val="000000" w:themeColor="text1"/>
          <w:lang w:val="en-US"/>
        </w:rPr>
        <w:t xml:space="preserve"> </w:t>
      </w:r>
      <w:r w:rsidRPr="009C5A84">
        <w:rPr>
          <w:rFonts w:cs="Times New Roman"/>
          <w:color w:val="000000" w:themeColor="text1"/>
          <w:lang w:val="en-US"/>
        </w:rPr>
        <w:t xml:space="preserve">SBLSCS 71 </w:t>
      </w:r>
      <w:r w:rsidR="0097553B" w:rsidRPr="009C5A84">
        <w:rPr>
          <w:rFonts w:cs="Times New Roman"/>
          <w:color w:val="000000" w:themeColor="text1"/>
          <w:lang w:val="en-US"/>
        </w:rPr>
        <w:t>(</w:t>
      </w:r>
      <w:r w:rsidRPr="009C5A84">
        <w:rPr>
          <w:rFonts w:cs="Times New Roman"/>
          <w:color w:val="000000" w:themeColor="text1"/>
          <w:lang w:val="en-US"/>
        </w:rPr>
        <w:t>Atlanta</w:t>
      </w:r>
      <w:r w:rsidR="008A34D6" w:rsidRPr="009C5A84">
        <w:rPr>
          <w:rFonts w:cs="Times New Roman"/>
          <w:color w:val="000000" w:themeColor="text1"/>
          <w:lang w:val="en-US"/>
        </w:rPr>
        <w:t>:</w:t>
      </w:r>
      <w:r w:rsidRPr="009C5A84">
        <w:rPr>
          <w:rFonts w:cs="Times New Roman"/>
          <w:color w:val="000000" w:themeColor="text1"/>
          <w:lang w:val="en-US"/>
        </w:rPr>
        <w:t xml:space="preserve"> </w:t>
      </w:r>
      <w:r w:rsidR="008A34D6" w:rsidRPr="009C5A84">
        <w:rPr>
          <w:rFonts w:cs="Times New Roman"/>
          <w:color w:val="000000" w:themeColor="text1"/>
          <w:lang w:val="en-US"/>
        </w:rPr>
        <w:t>SBL</w:t>
      </w:r>
      <w:r w:rsidRPr="009C5A84">
        <w:rPr>
          <w:rFonts w:cs="Times New Roman"/>
          <w:color w:val="000000" w:themeColor="text1"/>
          <w:lang w:val="en-US"/>
        </w:rPr>
        <w:t>, 2019</w:t>
      </w:r>
      <w:r w:rsidR="008A34D6" w:rsidRPr="009C5A84">
        <w:rPr>
          <w:rFonts w:cs="Times New Roman"/>
          <w:color w:val="000000" w:themeColor="text1"/>
          <w:lang w:val="en-US"/>
        </w:rPr>
        <w:t>)</w:t>
      </w:r>
      <w:r w:rsidRPr="009C5A84">
        <w:rPr>
          <w:rFonts w:cs="Times New Roman"/>
          <w:color w:val="000000" w:themeColor="text1"/>
          <w:lang w:val="en-US"/>
        </w:rPr>
        <w:t>, 171</w:t>
      </w:r>
      <w:r w:rsidR="008A34D6" w:rsidRPr="009C5A84">
        <w:rPr>
          <w:rFonts w:cs="Times New Roman"/>
          <w:color w:val="000000" w:themeColor="text1"/>
          <w:lang w:val="en-US"/>
        </w:rPr>
        <w:t>–</w:t>
      </w:r>
      <w:r w:rsidRPr="009C5A84">
        <w:rPr>
          <w:rFonts w:cs="Times New Roman"/>
          <w:color w:val="000000" w:themeColor="text1"/>
          <w:lang w:val="en-US"/>
        </w:rPr>
        <w:t>206 (202).</w:t>
      </w:r>
    </w:p>
  </w:footnote>
  <w:footnote w:id="12">
    <w:p w14:paraId="7A559ADB" w14:textId="29996425" w:rsidR="00DF570E" w:rsidRPr="009C5A84" w:rsidRDefault="00DF570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“Longum </w:t>
      </w:r>
      <w:proofErr w:type="spellStart"/>
      <w:r w:rsidRPr="009C5A84">
        <w:rPr>
          <w:rFonts w:cs="Times New Roman"/>
          <w:color w:val="000000" w:themeColor="text1"/>
          <w:lang w:val="en-US"/>
        </w:rPr>
        <w:t>est</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revolvere</w:t>
      </w:r>
      <w:proofErr w:type="spellEnd"/>
      <w:r w:rsidRPr="009C5A84">
        <w:rPr>
          <w:rFonts w:cs="Times New Roman"/>
          <w:color w:val="000000" w:themeColor="text1"/>
          <w:lang w:val="en-US"/>
        </w:rPr>
        <w:t xml:space="preserve">, quanta </w:t>
      </w:r>
      <w:proofErr w:type="spellStart"/>
      <w:r w:rsidRPr="009C5A84">
        <w:rPr>
          <w:rFonts w:cs="Times New Roman"/>
          <w:color w:val="000000" w:themeColor="text1"/>
          <w:lang w:val="en-US"/>
        </w:rPr>
        <w:t>Septuaginta</w:t>
      </w:r>
      <w:proofErr w:type="spellEnd"/>
      <w:r w:rsidRPr="009C5A84">
        <w:rPr>
          <w:rFonts w:cs="Times New Roman"/>
          <w:color w:val="000000" w:themeColor="text1"/>
          <w:lang w:val="en-US"/>
        </w:rPr>
        <w:t xml:space="preserve"> de </w:t>
      </w:r>
      <w:proofErr w:type="spellStart"/>
      <w:r w:rsidRPr="009C5A84">
        <w:rPr>
          <w:rFonts w:cs="Times New Roman"/>
          <w:color w:val="000000" w:themeColor="text1"/>
          <w:lang w:val="en-US"/>
        </w:rPr>
        <w:t>suo</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addiderint</w:t>
      </w:r>
      <w:proofErr w:type="spellEnd"/>
      <w:r w:rsidRPr="009C5A84">
        <w:rPr>
          <w:rFonts w:cs="Times New Roman"/>
          <w:color w:val="000000" w:themeColor="text1"/>
          <w:lang w:val="en-US"/>
        </w:rPr>
        <w:t xml:space="preserve">, quanta </w:t>
      </w:r>
      <w:proofErr w:type="spellStart"/>
      <w:r w:rsidRPr="009C5A84">
        <w:rPr>
          <w:rFonts w:cs="Times New Roman"/>
          <w:color w:val="000000" w:themeColor="text1"/>
          <w:lang w:val="en-US"/>
        </w:rPr>
        <w:t>dimiserint</w:t>
      </w:r>
      <w:proofErr w:type="spellEnd"/>
      <w:r w:rsidRPr="009C5A84">
        <w:rPr>
          <w:rFonts w:cs="Times New Roman"/>
          <w:color w:val="000000" w:themeColor="text1"/>
          <w:lang w:val="en-US"/>
        </w:rPr>
        <w:t xml:space="preserve">.” </w:t>
      </w:r>
      <w:proofErr w:type="spellStart"/>
      <w:r w:rsidRPr="009C5A84">
        <w:rPr>
          <w:rFonts w:cs="Times New Roman"/>
          <w:i/>
          <w:iCs/>
          <w:color w:val="000000" w:themeColor="text1"/>
          <w:lang w:val="en-US"/>
        </w:rPr>
        <w:t>Epistula</w:t>
      </w:r>
      <w:proofErr w:type="spellEnd"/>
      <w:r w:rsidRPr="009C5A84">
        <w:rPr>
          <w:rFonts w:cs="Times New Roman"/>
          <w:i/>
          <w:iCs/>
          <w:color w:val="000000" w:themeColor="text1"/>
          <w:lang w:val="en-US"/>
        </w:rPr>
        <w:t xml:space="preserve"> </w:t>
      </w:r>
      <w:r w:rsidRPr="009C5A84">
        <w:rPr>
          <w:rFonts w:cs="Times New Roman"/>
          <w:color w:val="000000" w:themeColor="text1"/>
          <w:lang w:val="en-US"/>
        </w:rPr>
        <w:t>57:11.</w:t>
      </w:r>
    </w:p>
  </w:footnote>
  <w:footnote w:id="13">
    <w:p w14:paraId="70137096" w14:textId="1037318E" w:rsidR="00DB391E" w:rsidRPr="009C5A84" w:rsidRDefault="00DB391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Johann David Michaelis, </w:t>
      </w:r>
      <w:proofErr w:type="spellStart"/>
      <w:r w:rsidRPr="009C5A84">
        <w:rPr>
          <w:rFonts w:cs="Times New Roman"/>
          <w:i/>
          <w:iCs/>
          <w:color w:val="000000" w:themeColor="text1"/>
          <w:lang w:val="en-US"/>
        </w:rPr>
        <w:t>Indiciis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Philosophiæ</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gnosticæ</w:t>
      </w:r>
      <w:proofErr w:type="spellEnd"/>
      <w:r w:rsidRPr="009C5A84">
        <w:rPr>
          <w:rFonts w:cs="Times New Roman"/>
          <w:i/>
          <w:iCs/>
          <w:color w:val="000000" w:themeColor="text1"/>
          <w:lang w:val="en-US"/>
        </w:rPr>
        <w:t xml:space="preserve"> Tempore LXX </w:t>
      </w:r>
      <w:proofErr w:type="spellStart"/>
      <w:r w:rsidRPr="009C5A84">
        <w:rPr>
          <w:rFonts w:cs="Times New Roman"/>
          <w:i/>
          <w:iCs/>
          <w:color w:val="000000" w:themeColor="text1"/>
          <w:lang w:val="en-US"/>
        </w:rPr>
        <w:t>interpretum</w:t>
      </w:r>
      <w:proofErr w:type="spellEnd"/>
      <w:r w:rsidRPr="009C5A84">
        <w:rPr>
          <w:rFonts w:cs="Times New Roman"/>
          <w:i/>
          <w:iCs/>
          <w:color w:val="000000" w:themeColor="text1"/>
          <w:lang w:val="en-US"/>
        </w:rPr>
        <w:t xml:space="preserve"> et </w:t>
      </w:r>
      <w:proofErr w:type="spellStart"/>
      <w:r w:rsidRPr="009C5A84">
        <w:rPr>
          <w:rFonts w:cs="Times New Roman"/>
          <w:i/>
          <w:iCs/>
          <w:color w:val="000000" w:themeColor="text1"/>
          <w:lang w:val="en-US"/>
        </w:rPr>
        <w:t>Philonis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Judæi</w:t>
      </w:r>
      <w:proofErr w:type="spellEnd"/>
      <w:r w:rsidRPr="009C5A84">
        <w:rPr>
          <w:rFonts w:cs="Times New Roman"/>
          <w:color w:val="000000" w:themeColor="text1"/>
          <w:lang w:val="en-US"/>
        </w:rPr>
        <w:t xml:space="preserve"> </w:t>
      </w:r>
      <w:r w:rsidR="0097553B" w:rsidRPr="009C5A84">
        <w:rPr>
          <w:rFonts w:cs="Times New Roman"/>
          <w:color w:val="000000" w:themeColor="text1"/>
          <w:lang w:val="en-US"/>
        </w:rPr>
        <w:t>(</w:t>
      </w:r>
      <w:r w:rsidRPr="009C5A84">
        <w:rPr>
          <w:rFonts w:cs="Times New Roman"/>
          <w:color w:val="000000" w:themeColor="text1"/>
          <w:lang w:val="en-US"/>
        </w:rPr>
        <w:t>Göttingen</w:t>
      </w:r>
      <w:r w:rsidR="006D682B" w:rsidRPr="009C5A84">
        <w:rPr>
          <w:rFonts w:cs="Times New Roman"/>
          <w:color w:val="000000" w:themeColor="text1"/>
          <w:lang w:val="en-US"/>
        </w:rPr>
        <w:t xml:space="preserve">, </w:t>
      </w:r>
      <w:r w:rsidRPr="009C5A84">
        <w:rPr>
          <w:rFonts w:cs="Times New Roman"/>
          <w:color w:val="000000" w:themeColor="text1"/>
          <w:lang w:val="en-US"/>
        </w:rPr>
        <w:t>1667</w:t>
      </w:r>
      <w:r w:rsidR="008A34D6" w:rsidRPr="009C5A84">
        <w:rPr>
          <w:rFonts w:cs="Times New Roman"/>
          <w:color w:val="000000" w:themeColor="text1"/>
          <w:lang w:val="en-US"/>
        </w:rPr>
        <w:t>)</w:t>
      </w:r>
      <w:r w:rsidRPr="009C5A84">
        <w:rPr>
          <w:rFonts w:cs="Times New Roman"/>
          <w:color w:val="000000" w:themeColor="text1"/>
          <w:lang w:val="en-US"/>
        </w:rPr>
        <w:t>.</w:t>
      </w:r>
    </w:p>
  </w:footnote>
  <w:footnote w:id="14">
    <w:p w14:paraId="65E1CDFE" w14:textId="65438C1E" w:rsidR="00DB391E" w:rsidRPr="009C5A84" w:rsidRDefault="00DB391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Humphrey Hody, </w:t>
      </w:r>
      <w:r w:rsidRPr="009C5A84">
        <w:rPr>
          <w:rFonts w:cs="Times New Roman"/>
          <w:i/>
          <w:iCs/>
          <w:color w:val="000000" w:themeColor="text1"/>
          <w:lang w:val="en-US"/>
        </w:rPr>
        <w:t xml:space="preserve">De </w:t>
      </w:r>
      <w:proofErr w:type="spellStart"/>
      <w:r w:rsidRPr="009C5A84">
        <w:rPr>
          <w:rFonts w:cs="Times New Roman"/>
          <w:i/>
          <w:iCs/>
          <w:color w:val="000000" w:themeColor="text1"/>
          <w:lang w:val="en-US"/>
        </w:rPr>
        <w:t>Bibliorum</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textibus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originalibus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versionibus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graecis</w:t>
      </w:r>
      <w:proofErr w:type="spellEnd"/>
      <w:r w:rsidRPr="009C5A84">
        <w:rPr>
          <w:rFonts w:cs="Times New Roman"/>
          <w:i/>
          <w:iCs/>
          <w:color w:val="000000" w:themeColor="text1"/>
          <w:lang w:val="en-US"/>
        </w:rPr>
        <w:t xml:space="preserve"> et </w:t>
      </w:r>
      <w:proofErr w:type="spellStart"/>
      <w:r w:rsidRPr="009C5A84">
        <w:rPr>
          <w:rFonts w:cs="Times New Roman"/>
          <w:i/>
          <w:iCs/>
          <w:color w:val="000000" w:themeColor="text1"/>
          <w:lang w:val="en-US"/>
        </w:rPr>
        <w:t>latina</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Vulgata</w:t>
      </w:r>
      <w:proofErr w:type="spellEnd"/>
      <w:r w:rsidRPr="009C5A84">
        <w:rPr>
          <w:rFonts w:cs="Times New Roman"/>
          <w:i/>
          <w:iCs/>
          <w:color w:val="000000" w:themeColor="text1"/>
          <w:lang w:val="en-US"/>
        </w:rPr>
        <w:t xml:space="preserve"> </w:t>
      </w:r>
      <w:r w:rsidRPr="009C5A84">
        <w:rPr>
          <w:rFonts w:cs="Times New Roman"/>
          <w:color w:val="000000" w:themeColor="text1"/>
          <w:lang w:val="en-US"/>
        </w:rPr>
        <w:t>(Oxford: Sheldon, 1705).</w:t>
      </w:r>
    </w:p>
  </w:footnote>
  <w:footnote w:id="15">
    <w:p w14:paraId="10B2D3EA" w14:textId="01A1DDCE" w:rsidR="00F73D01" w:rsidRPr="009C5A84" w:rsidRDefault="00F73D01" w:rsidP="00055A1C">
      <w:pPr>
        <w:pStyle w:val="Normaalweb"/>
        <w:spacing w:before="0" w:beforeAutospacing="0" w:after="0" w:afterAutospacing="0"/>
        <w:jc w:val="both"/>
        <w:rPr>
          <w:color w:val="000000" w:themeColor="text1"/>
          <w:sz w:val="20"/>
          <w:szCs w:val="20"/>
          <w:lang w:val="en-US"/>
        </w:rPr>
      </w:pPr>
      <w:r w:rsidRPr="009C5A84">
        <w:rPr>
          <w:rStyle w:val="Voetnootmarkering"/>
          <w:color w:val="000000" w:themeColor="text1"/>
          <w:sz w:val="20"/>
          <w:szCs w:val="20"/>
          <w:lang w:val="en-US"/>
        </w:rPr>
        <w:footnoteRef/>
      </w:r>
      <w:r w:rsidRPr="009C5A84">
        <w:rPr>
          <w:color w:val="000000" w:themeColor="text1"/>
          <w:sz w:val="20"/>
          <w:szCs w:val="20"/>
          <w:lang w:val="en-US"/>
        </w:rPr>
        <w:t xml:space="preserve"> </w:t>
      </w:r>
      <w:r w:rsidR="006D682B" w:rsidRPr="009C5A84">
        <w:rPr>
          <w:color w:val="000000" w:themeColor="text1"/>
          <w:sz w:val="20"/>
          <w:szCs w:val="20"/>
          <w:lang w:val="en-US"/>
        </w:rPr>
        <w:t xml:space="preserve">For </w:t>
      </w:r>
      <w:r w:rsidR="0097553B" w:rsidRPr="009C5A84">
        <w:rPr>
          <w:color w:val="000000" w:themeColor="text1"/>
          <w:sz w:val="20"/>
          <w:szCs w:val="20"/>
          <w:lang w:val="en-US"/>
        </w:rPr>
        <w:t>instance,</w:t>
      </w:r>
      <w:r w:rsidR="006D682B" w:rsidRPr="009C5A84">
        <w:rPr>
          <w:color w:val="000000" w:themeColor="text1"/>
          <w:sz w:val="20"/>
          <w:szCs w:val="20"/>
          <w:lang w:val="en-US"/>
        </w:rPr>
        <w:t xml:space="preserve"> </w:t>
      </w:r>
      <w:proofErr w:type="spellStart"/>
      <w:r w:rsidRPr="009C5A84">
        <w:rPr>
          <w:i/>
          <w:iCs/>
          <w:color w:val="000000" w:themeColor="text1"/>
          <w:sz w:val="20"/>
          <w:szCs w:val="20"/>
          <w:lang w:val="en-US"/>
        </w:rPr>
        <w:t>Lib</w:t>
      </w:r>
      <w:r w:rsidR="006D682B" w:rsidRPr="009C5A84">
        <w:rPr>
          <w:i/>
          <w:iCs/>
          <w:color w:val="000000" w:themeColor="text1"/>
          <w:sz w:val="20"/>
          <w:szCs w:val="20"/>
          <w:lang w:val="en-US"/>
        </w:rPr>
        <w:t>.</w:t>
      </w:r>
      <w:r w:rsidRPr="009C5A84">
        <w:rPr>
          <w:color w:val="000000" w:themeColor="text1"/>
          <w:sz w:val="20"/>
          <w:szCs w:val="20"/>
          <w:lang w:val="en-US"/>
        </w:rPr>
        <w:t>II</w:t>
      </w:r>
      <w:proofErr w:type="spellEnd"/>
      <w:r w:rsidRPr="009C5A84">
        <w:rPr>
          <w:color w:val="000000" w:themeColor="text1"/>
          <w:sz w:val="20"/>
          <w:szCs w:val="20"/>
          <w:lang w:val="en-US"/>
        </w:rPr>
        <w:t xml:space="preserve">, </w:t>
      </w:r>
      <w:r w:rsidRPr="009C5A84">
        <w:rPr>
          <w:i/>
          <w:iCs/>
          <w:color w:val="000000" w:themeColor="text1"/>
          <w:sz w:val="20"/>
          <w:szCs w:val="20"/>
          <w:lang w:val="en-US"/>
        </w:rPr>
        <w:t>Cap</w:t>
      </w:r>
      <w:r w:rsidR="006D682B" w:rsidRPr="009C5A84">
        <w:rPr>
          <w:i/>
          <w:iCs/>
          <w:color w:val="000000" w:themeColor="text1"/>
          <w:sz w:val="20"/>
          <w:szCs w:val="20"/>
          <w:lang w:val="en-US"/>
        </w:rPr>
        <w:t>.</w:t>
      </w:r>
      <w:r w:rsidRPr="009C5A84">
        <w:rPr>
          <w:color w:val="000000" w:themeColor="text1"/>
          <w:sz w:val="20"/>
          <w:szCs w:val="20"/>
          <w:lang w:val="en-US"/>
        </w:rPr>
        <w:t>IV</w:t>
      </w:r>
      <w:r w:rsidR="006D682B" w:rsidRPr="009C5A84">
        <w:rPr>
          <w:color w:val="000000" w:themeColor="text1"/>
          <w:sz w:val="20"/>
          <w:szCs w:val="20"/>
          <w:lang w:val="en-US"/>
        </w:rPr>
        <w:t>§</w:t>
      </w:r>
      <w:r w:rsidR="0097553B" w:rsidRPr="009C5A84">
        <w:rPr>
          <w:color w:val="000000" w:themeColor="text1"/>
          <w:sz w:val="20"/>
          <w:szCs w:val="20"/>
          <w:lang w:val="en-US"/>
        </w:rPr>
        <w:t>9</w:t>
      </w:r>
      <w:r w:rsidR="002A1E3B">
        <w:rPr>
          <w:color w:val="000000" w:themeColor="text1"/>
          <w:sz w:val="20"/>
          <w:szCs w:val="20"/>
          <w:lang w:val="en-US"/>
        </w:rPr>
        <w:t>:</w:t>
      </w:r>
      <w:r w:rsidR="0097553B" w:rsidRPr="009C5A84">
        <w:rPr>
          <w:color w:val="000000" w:themeColor="text1"/>
          <w:sz w:val="20"/>
          <w:szCs w:val="20"/>
          <w:lang w:val="en-US"/>
        </w:rPr>
        <w:t xml:space="preserve"> ἱππ</w:t>
      </w:r>
      <w:proofErr w:type="spellStart"/>
      <w:r w:rsidR="0097553B" w:rsidRPr="009C5A84">
        <w:rPr>
          <w:color w:val="000000" w:themeColor="text1"/>
          <w:sz w:val="20"/>
          <w:szCs w:val="20"/>
          <w:lang w:val="en-US"/>
        </w:rPr>
        <w:t>όδρομος</w:t>
      </w:r>
      <w:proofErr w:type="spellEnd"/>
      <w:r w:rsidR="0097553B" w:rsidRPr="009C5A84">
        <w:rPr>
          <w:color w:val="000000" w:themeColor="text1"/>
          <w:sz w:val="20"/>
          <w:szCs w:val="20"/>
          <w:lang w:val="en-US"/>
        </w:rPr>
        <w:t xml:space="preserve"> </w:t>
      </w:r>
      <w:r w:rsidR="00055A1C" w:rsidRPr="009C5A84">
        <w:rPr>
          <w:color w:val="000000" w:themeColor="text1"/>
          <w:sz w:val="20"/>
          <w:szCs w:val="20"/>
          <w:lang w:val="en-US"/>
        </w:rPr>
        <w:t xml:space="preserve">for </w:t>
      </w:r>
      <w:r w:rsidR="00055A1C" w:rsidRPr="009C5A84">
        <w:rPr>
          <w:color w:val="000000" w:themeColor="text1"/>
          <w:sz w:val="20"/>
          <w:szCs w:val="20"/>
          <w:rtl/>
          <w:lang w:val="en-US"/>
        </w:rPr>
        <w:t>בִבְרַ</w:t>
      </w:r>
      <w:r w:rsidR="00055A1C" w:rsidRPr="009C5A84">
        <w:rPr>
          <w:color w:val="000000" w:themeColor="text1"/>
          <w:sz w:val="20"/>
          <w:szCs w:val="20"/>
          <w:lang w:val="en-US"/>
        </w:rPr>
        <w:t xml:space="preserve"> is seen as a contextual gloss, based </w:t>
      </w:r>
      <w:r w:rsidR="0097553B" w:rsidRPr="009C5A84">
        <w:rPr>
          <w:color w:val="000000" w:themeColor="text1"/>
          <w:sz w:val="20"/>
          <w:szCs w:val="20"/>
          <w:lang w:val="en-US"/>
        </w:rPr>
        <w:t>off</w:t>
      </w:r>
      <w:r w:rsidR="00055A1C" w:rsidRPr="009C5A84">
        <w:rPr>
          <w:color w:val="000000" w:themeColor="text1"/>
          <w:sz w:val="20"/>
          <w:szCs w:val="20"/>
          <w:lang w:val="en-US"/>
        </w:rPr>
        <w:t xml:space="preserve"> the Alexandrian hippodrome. </w:t>
      </w:r>
    </w:p>
  </w:footnote>
  <w:footnote w:id="16">
    <w:p w14:paraId="5DE3EF17" w14:textId="6C30F3B4" w:rsidR="00D84B63" w:rsidRPr="009C5A84" w:rsidRDefault="00D84B63" w:rsidP="00055A1C">
      <w:pPr>
        <w:pStyle w:val="Normaalweb"/>
        <w:spacing w:before="0" w:beforeAutospacing="0" w:after="0" w:afterAutospacing="0"/>
        <w:jc w:val="both"/>
        <w:rPr>
          <w:color w:val="000000" w:themeColor="text1"/>
          <w:sz w:val="20"/>
          <w:szCs w:val="20"/>
          <w:lang w:val="en-US"/>
        </w:rPr>
      </w:pPr>
      <w:r w:rsidRPr="009C5A84">
        <w:rPr>
          <w:rStyle w:val="Voetnootmarkering"/>
          <w:color w:val="000000" w:themeColor="text1"/>
          <w:sz w:val="20"/>
          <w:szCs w:val="20"/>
          <w:lang w:val="en-US"/>
        </w:rPr>
        <w:footnoteRef/>
      </w:r>
      <w:r w:rsidRPr="009C5A84">
        <w:rPr>
          <w:color w:val="000000" w:themeColor="text1"/>
          <w:sz w:val="20"/>
          <w:szCs w:val="20"/>
          <w:lang w:val="en-US"/>
        </w:rPr>
        <w:t xml:space="preserve"> Theophilus </w:t>
      </w:r>
      <w:r w:rsidRPr="009C5A84">
        <w:rPr>
          <w:color w:val="000000" w:themeColor="text1"/>
          <w:sz w:val="20"/>
          <w:szCs w:val="20"/>
          <w:shd w:val="clear" w:color="auto" w:fill="FFFFFF"/>
          <w:lang w:val="en-US"/>
        </w:rPr>
        <w:t xml:space="preserve">Eduardus </w:t>
      </w:r>
      <w:r w:rsidRPr="009C5A84">
        <w:rPr>
          <w:color w:val="000000" w:themeColor="text1"/>
          <w:sz w:val="20"/>
          <w:szCs w:val="20"/>
          <w:lang w:val="en-US"/>
        </w:rPr>
        <w:t xml:space="preserve">Töpler, </w:t>
      </w:r>
      <w:r w:rsidRPr="009C5A84">
        <w:rPr>
          <w:i/>
          <w:iCs/>
          <w:color w:val="000000" w:themeColor="text1"/>
          <w:sz w:val="20"/>
          <w:szCs w:val="20"/>
          <w:lang w:val="en-US"/>
        </w:rPr>
        <w:t xml:space="preserve">De </w:t>
      </w:r>
      <w:proofErr w:type="spellStart"/>
      <w:r w:rsidRPr="009C5A84">
        <w:rPr>
          <w:i/>
          <w:iCs/>
          <w:color w:val="000000" w:themeColor="text1"/>
          <w:sz w:val="20"/>
          <w:szCs w:val="20"/>
          <w:lang w:val="en-US"/>
        </w:rPr>
        <w:t>Pentateuchi</w:t>
      </w:r>
      <w:proofErr w:type="spellEnd"/>
      <w:r w:rsidRPr="009C5A84">
        <w:rPr>
          <w:i/>
          <w:iCs/>
          <w:color w:val="000000" w:themeColor="text1"/>
          <w:sz w:val="20"/>
          <w:szCs w:val="20"/>
          <w:lang w:val="en-US"/>
        </w:rPr>
        <w:t xml:space="preserve"> </w:t>
      </w:r>
      <w:proofErr w:type="spellStart"/>
      <w:r w:rsidRPr="009C5A84">
        <w:rPr>
          <w:i/>
          <w:iCs/>
          <w:color w:val="000000" w:themeColor="text1"/>
          <w:sz w:val="20"/>
          <w:szCs w:val="20"/>
          <w:lang w:val="en-US"/>
        </w:rPr>
        <w:t>interpretationis</w:t>
      </w:r>
      <w:proofErr w:type="spellEnd"/>
      <w:r w:rsidRPr="009C5A84">
        <w:rPr>
          <w:i/>
          <w:iCs/>
          <w:color w:val="000000" w:themeColor="text1"/>
          <w:sz w:val="20"/>
          <w:szCs w:val="20"/>
          <w:lang w:val="en-US"/>
        </w:rPr>
        <w:t xml:space="preserve"> </w:t>
      </w:r>
      <w:proofErr w:type="spellStart"/>
      <w:r w:rsidRPr="009C5A84">
        <w:rPr>
          <w:i/>
          <w:iCs/>
          <w:color w:val="000000" w:themeColor="text1"/>
          <w:sz w:val="20"/>
          <w:szCs w:val="20"/>
          <w:lang w:val="en-US"/>
        </w:rPr>
        <w:t>Alexandrinae</w:t>
      </w:r>
      <w:proofErr w:type="spellEnd"/>
      <w:r w:rsidRPr="009C5A84">
        <w:rPr>
          <w:i/>
          <w:iCs/>
          <w:color w:val="000000" w:themeColor="text1"/>
          <w:sz w:val="20"/>
          <w:szCs w:val="20"/>
          <w:lang w:val="en-US"/>
        </w:rPr>
        <w:t xml:space="preserve"> indole </w:t>
      </w:r>
      <w:proofErr w:type="spellStart"/>
      <w:r w:rsidRPr="009C5A84">
        <w:rPr>
          <w:i/>
          <w:iCs/>
          <w:color w:val="000000" w:themeColor="text1"/>
          <w:sz w:val="20"/>
          <w:szCs w:val="20"/>
          <w:lang w:val="en-US"/>
        </w:rPr>
        <w:t>critica</w:t>
      </w:r>
      <w:proofErr w:type="spellEnd"/>
      <w:r w:rsidRPr="009C5A84">
        <w:rPr>
          <w:i/>
          <w:iCs/>
          <w:color w:val="000000" w:themeColor="text1"/>
          <w:sz w:val="20"/>
          <w:szCs w:val="20"/>
          <w:lang w:val="en-US"/>
        </w:rPr>
        <w:t xml:space="preserve"> et </w:t>
      </w:r>
      <w:proofErr w:type="spellStart"/>
      <w:r w:rsidRPr="009C5A84">
        <w:rPr>
          <w:i/>
          <w:iCs/>
          <w:color w:val="000000" w:themeColor="text1"/>
          <w:sz w:val="20"/>
          <w:szCs w:val="20"/>
          <w:lang w:val="en-US"/>
        </w:rPr>
        <w:t>hermeneutica</w:t>
      </w:r>
      <w:proofErr w:type="spellEnd"/>
      <w:r w:rsidRPr="009C5A84">
        <w:rPr>
          <w:i/>
          <w:iCs/>
          <w:color w:val="000000" w:themeColor="text1"/>
          <w:sz w:val="20"/>
          <w:szCs w:val="20"/>
          <w:lang w:val="en-US"/>
        </w:rPr>
        <w:t xml:space="preserve"> </w:t>
      </w:r>
      <w:r w:rsidRPr="009C5A84">
        <w:rPr>
          <w:color w:val="000000" w:themeColor="text1"/>
          <w:sz w:val="20"/>
          <w:szCs w:val="20"/>
          <w:lang w:val="en-US"/>
        </w:rPr>
        <w:t xml:space="preserve">(Halle: </w:t>
      </w:r>
      <w:proofErr w:type="spellStart"/>
      <w:r w:rsidRPr="009C5A84">
        <w:rPr>
          <w:color w:val="000000" w:themeColor="text1"/>
          <w:sz w:val="20"/>
          <w:szCs w:val="20"/>
          <w:lang w:val="en-US"/>
        </w:rPr>
        <w:t>Schwetschke</w:t>
      </w:r>
      <w:proofErr w:type="spellEnd"/>
      <w:r w:rsidRPr="009C5A84">
        <w:rPr>
          <w:color w:val="000000" w:themeColor="text1"/>
          <w:sz w:val="20"/>
          <w:szCs w:val="20"/>
          <w:lang w:val="en-US"/>
        </w:rPr>
        <w:t>, 1830), 36</w:t>
      </w:r>
      <w:r w:rsidR="006D682B" w:rsidRPr="009C5A84">
        <w:rPr>
          <w:color w:val="000000" w:themeColor="text1"/>
          <w:sz w:val="20"/>
          <w:szCs w:val="20"/>
          <w:lang w:val="en-US"/>
        </w:rPr>
        <w:t>–</w:t>
      </w:r>
      <w:r w:rsidRPr="009C5A84">
        <w:rPr>
          <w:color w:val="000000" w:themeColor="text1"/>
          <w:sz w:val="20"/>
          <w:szCs w:val="20"/>
          <w:lang w:val="en-US"/>
        </w:rPr>
        <w:t>8.</w:t>
      </w:r>
    </w:p>
  </w:footnote>
  <w:footnote w:id="17">
    <w:p w14:paraId="7E6B9E97" w14:textId="1B83C06E" w:rsidR="00E443B7" w:rsidRPr="009C5A84" w:rsidRDefault="00E443B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006D682B" w:rsidRPr="009C5A84">
        <w:rPr>
          <w:rFonts w:cs="Times New Roman"/>
          <w:color w:val="000000" w:themeColor="text1"/>
          <w:lang w:val="en-US"/>
        </w:rPr>
        <w:t xml:space="preserve"> </w:t>
      </w:r>
      <w:r w:rsidR="0097553B" w:rsidRPr="009C5A84">
        <w:rPr>
          <w:rFonts w:cs="Times New Roman"/>
          <w:color w:val="000000" w:themeColor="text1"/>
          <w:lang w:val="en-US"/>
        </w:rPr>
        <w:t>August Gfrörer</w:t>
      </w:r>
      <w:r w:rsidR="006D682B" w:rsidRPr="009C5A84">
        <w:rPr>
          <w:rFonts w:cs="Times New Roman"/>
          <w:color w:val="000000" w:themeColor="text1"/>
          <w:lang w:val="en-US"/>
        </w:rPr>
        <w:t xml:space="preserve">, </w:t>
      </w:r>
      <w:proofErr w:type="spellStart"/>
      <w:r w:rsidR="006D682B" w:rsidRPr="009C5A84">
        <w:rPr>
          <w:rFonts w:cs="Times New Roman"/>
          <w:i/>
          <w:iCs/>
          <w:color w:val="000000" w:themeColor="text1"/>
          <w:lang w:val="en-US"/>
        </w:rPr>
        <w:t>Kritische</w:t>
      </w:r>
      <w:proofErr w:type="spellEnd"/>
      <w:r w:rsidR="006D682B" w:rsidRPr="009C5A84">
        <w:rPr>
          <w:rFonts w:cs="Times New Roman"/>
          <w:i/>
          <w:iCs/>
          <w:color w:val="000000" w:themeColor="text1"/>
          <w:lang w:val="en-US"/>
        </w:rPr>
        <w:t xml:space="preserve"> </w:t>
      </w:r>
      <w:proofErr w:type="spellStart"/>
      <w:r w:rsidR="006D682B" w:rsidRPr="009C5A84">
        <w:rPr>
          <w:rFonts w:cs="Times New Roman"/>
          <w:i/>
          <w:iCs/>
          <w:color w:val="000000" w:themeColor="text1"/>
          <w:lang w:val="en-US"/>
        </w:rPr>
        <w:t>Geschichte</w:t>
      </w:r>
      <w:proofErr w:type="spellEnd"/>
      <w:r w:rsidR="006D682B" w:rsidRPr="009C5A84">
        <w:rPr>
          <w:rFonts w:cs="Times New Roman"/>
          <w:i/>
          <w:iCs/>
          <w:color w:val="000000" w:themeColor="text1"/>
          <w:lang w:val="en-US"/>
        </w:rPr>
        <w:t xml:space="preserve"> des </w:t>
      </w:r>
      <w:proofErr w:type="spellStart"/>
      <w:r w:rsidR="006D682B" w:rsidRPr="009C5A84">
        <w:rPr>
          <w:rFonts w:cs="Times New Roman"/>
          <w:i/>
          <w:iCs/>
          <w:color w:val="000000" w:themeColor="text1"/>
          <w:lang w:val="en-US"/>
        </w:rPr>
        <w:t>Urchristentums</w:t>
      </w:r>
      <w:proofErr w:type="spellEnd"/>
      <w:r w:rsidR="006D682B" w:rsidRPr="009C5A84">
        <w:rPr>
          <w:rFonts w:cs="Times New Roman"/>
          <w:i/>
          <w:iCs/>
          <w:color w:val="000000" w:themeColor="text1"/>
          <w:lang w:val="en-US"/>
        </w:rPr>
        <w:t xml:space="preserve">, I.2: Philo und die </w:t>
      </w:r>
      <w:proofErr w:type="spellStart"/>
      <w:r w:rsidR="006D682B" w:rsidRPr="009C5A84">
        <w:rPr>
          <w:rFonts w:cs="Times New Roman"/>
          <w:i/>
          <w:iCs/>
          <w:color w:val="000000" w:themeColor="text1"/>
          <w:lang w:val="en-US"/>
        </w:rPr>
        <w:t>jüdisch-alexandrinische</w:t>
      </w:r>
      <w:proofErr w:type="spellEnd"/>
      <w:r w:rsidR="006D682B" w:rsidRPr="009C5A84">
        <w:rPr>
          <w:rFonts w:cs="Times New Roman"/>
          <w:i/>
          <w:iCs/>
          <w:color w:val="000000" w:themeColor="text1"/>
          <w:lang w:val="en-US"/>
        </w:rPr>
        <w:t xml:space="preserve"> </w:t>
      </w:r>
      <w:proofErr w:type="spellStart"/>
      <w:r w:rsidR="006D682B" w:rsidRPr="009C5A84">
        <w:rPr>
          <w:rFonts w:cs="Times New Roman"/>
          <w:i/>
          <w:iCs/>
          <w:color w:val="000000" w:themeColor="text1"/>
          <w:lang w:val="en-US"/>
        </w:rPr>
        <w:t>Theosophie</w:t>
      </w:r>
      <w:proofErr w:type="spellEnd"/>
      <w:r w:rsidR="006D682B" w:rsidRPr="009C5A84">
        <w:rPr>
          <w:rFonts w:cs="Times New Roman"/>
          <w:i/>
          <w:iCs/>
          <w:color w:val="000000" w:themeColor="text1"/>
          <w:lang w:val="en-US"/>
        </w:rPr>
        <w:t xml:space="preserve">, </w:t>
      </w:r>
      <w:r w:rsidR="006D682B" w:rsidRPr="009C5A84">
        <w:rPr>
          <w:rFonts w:cs="Times New Roman"/>
          <w:color w:val="000000" w:themeColor="text1"/>
          <w:lang w:val="en-US"/>
        </w:rPr>
        <w:t xml:space="preserve">(Stuttgart: E. </w:t>
      </w:r>
      <w:proofErr w:type="spellStart"/>
      <w:r w:rsidR="006D682B" w:rsidRPr="009C5A84">
        <w:rPr>
          <w:rFonts w:cs="Times New Roman"/>
          <w:color w:val="000000" w:themeColor="text1"/>
          <w:lang w:val="en-US"/>
        </w:rPr>
        <w:t>Schweizerbart’s</w:t>
      </w:r>
      <w:proofErr w:type="spellEnd"/>
      <w:r w:rsidR="006D682B" w:rsidRPr="009C5A84">
        <w:rPr>
          <w:rFonts w:cs="Times New Roman"/>
          <w:color w:val="000000" w:themeColor="text1"/>
          <w:lang w:val="en-US"/>
        </w:rPr>
        <w:t xml:space="preserve"> </w:t>
      </w:r>
      <w:proofErr w:type="spellStart"/>
      <w:r w:rsidR="006D682B" w:rsidRPr="009C5A84">
        <w:rPr>
          <w:rFonts w:cs="Times New Roman"/>
          <w:color w:val="000000" w:themeColor="text1"/>
          <w:lang w:val="en-US"/>
        </w:rPr>
        <w:t>Verlagsshandlung</w:t>
      </w:r>
      <w:proofErr w:type="spellEnd"/>
      <w:r w:rsidR="006D682B" w:rsidRPr="009C5A84">
        <w:rPr>
          <w:rFonts w:cs="Times New Roman"/>
          <w:color w:val="000000" w:themeColor="text1"/>
          <w:lang w:val="en-US"/>
        </w:rPr>
        <w:t>, 1835</w:t>
      </w:r>
      <w:r w:rsidR="0097553B" w:rsidRPr="009C5A84">
        <w:rPr>
          <w:rFonts w:cs="Times New Roman"/>
          <w:color w:val="000000" w:themeColor="text1"/>
          <w:lang w:val="en-US"/>
        </w:rPr>
        <w:t xml:space="preserve">, </w:t>
      </w:r>
      <w:r w:rsidR="006D682B" w:rsidRPr="009C5A84">
        <w:rPr>
          <w:rFonts w:cs="Times New Roman"/>
          <w:color w:val="000000" w:themeColor="text1"/>
          <w:lang w:val="en-US"/>
        </w:rPr>
        <w:t>2</w:t>
      </w:r>
      <w:r w:rsidR="0097553B" w:rsidRPr="009C5A84">
        <w:rPr>
          <w:rFonts w:cs="Times New Roman"/>
          <w:color w:val="000000" w:themeColor="text1"/>
          <w:vertAlign w:val="superscript"/>
          <w:lang w:val="en-US"/>
        </w:rPr>
        <w:t>nd</w:t>
      </w:r>
      <w:r w:rsidR="006D682B" w:rsidRPr="009C5A84">
        <w:rPr>
          <w:rFonts w:cs="Times New Roman"/>
          <w:color w:val="000000" w:themeColor="text1"/>
          <w:lang w:val="en-US"/>
        </w:rPr>
        <w:t xml:space="preserve"> ed.), 9–19; </w:t>
      </w:r>
      <w:r w:rsidRPr="009C5A84">
        <w:rPr>
          <w:rFonts w:cs="Times New Roman"/>
          <w:color w:val="000000" w:themeColor="text1"/>
          <w:lang w:val="en-US"/>
        </w:rPr>
        <w:t xml:space="preserve">August Ferdinand </w:t>
      </w:r>
      <w:r w:rsidRPr="009C5A84">
        <w:rPr>
          <w:rStyle w:val="Nadruk"/>
          <w:rFonts w:cs="Times New Roman"/>
          <w:i w:val="0"/>
          <w:iCs w:val="0"/>
          <w:color w:val="000000" w:themeColor="text1"/>
          <w:lang w:val="en-US"/>
        </w:rPr>
        <w:t>Dähne</w:t>
      </w:r>
      <w:r w:rsidRPr="009C5A84">
        <w:rPr>
          <w:rFonts w:cs="Times New Roman"/>
          <w:color w:val="000000" w:themeColor="text1"/>
          <w:shd w:val="clear" w:color="auto" w:fill="FFFFFF"/>
          <w:lang w:val="en-US"/>
        </w:rPr>
        <w:t>,</w:t>
      </w:r>
      <w:r w:rsidRPr="009C5A84">
        <w:rPr>
          <w:rStyle w:val="apple-converted-space"/>
          <w:rFonts w:cs="Times New Roman"/>
          <w:color w:val="000000" w:themeColor="text1"/>
          <w:shd w:val="clear" w:color="auto" w:fill="FFFFFF"/>
          <w:lang w:val="en-US"/>
        </w:rPr>
        <w:t> </w:t>
      </w:r>
      <w:proofErr w:type="spellStart"/>
      <w:r w:rsidRPr="009C5A84">
        <w:rPr>
          <w:rStyle w:val="Nadruk"/>
          <w:rFonts w:cs="Times New Roman"/>
          <w:color w:val="000000" w:themeColor="text1"/>
          <w:lang w:val="en-US"/>
        </w:rPr>
        <w:t>Geschichtliche</w:t>
      </w:r>
      <w:proofErr w:type="spellEnd"/>
      <w:r w:rsidRPr="009C5A84">
        <w:rPr>
          <w:rStyle w:val="Nadruk"/>
          <w:rFonts w:cs="Times New Roman"/>
          <w:color w:val="000000" w:themeColor="text1"/>
          <w:lang w:val="en-US"/>
        </w:rPr>
        <w:t xml:space="preserve"> </w:t>
      </w:r>
      <w:proofErr w:type="spellStart"/>
      <w:r w:rsidRPr="009C5A84">
        <w:rPr>
          <w:rStyle w:val="Nadruk"/>
          <w:rFonts w:cs="Times New Roman"/>
          <w:color w:val="000000" w:themeColor="text1"/>
          <w:lang w:val="en-US"/>
        </w:rPr>
        <w:t>Darstellung</w:t>
      </w:r>
      <w:proofErr w:type="spellEnd"/>
      <w:r w:rsidRPr="009C5A84">
        <w:rPr>
          <w:rStyle w:val="apple-converted-space"/>
          <w:rFonts w:cs="Times New Roman"/>
          <w:color w:val="000000" w:themeColor="text1"/>
          <w:shd w:val="clear" w:color="auto" w:fill="FFFFFF"/>
          <w:lang w:val="en-US"/>
        </w:rPr>
        <w:t> </w:t>
      </w:r>
      <w:r w:rsidRPr="009C5A84">
        <w:rPr>
          <w:rFonts w:cs="Times New Roman"/>
          <w:color w:val="000000" w:themeColor="text1"/>
          <w:shd w:val="clear" w:color="auto" w:fill="FFFFFF"/>
          <w:lang w:val="en-US"/>
        </w:rPr>
        <w:t>der</w:t>
      </w:r>
      <w:r w:rsidRPr="009C5A84">
        <w:rPr>
          <w:rStyle w:val="apple-converted-space"/>
          <w:rFonts w:cs="Times New Roman"/>
          <w:color w:val="000000" w:themeColor="text1"/>
          <w:shd w:val="clear" w:color="auto" w:fill="FFFFFF"/>
          <w:lang w:val="en-US"/>
        </w:rPr>
        <w:t> </w:t>
      </w:r>
      <w:proofErr w:type="spellStart"/>
      <w:r w:rsidRPr="009C5A84">
        <w:rPr>
          <w:rStyle w:val="Nadruk"/>
          <w:rFonts w:cs="Times New Roman"/>
          <w:color w:val="000000" w:themeColor="text1"/>
          <w:lang w:val="en-US"/>
        </w:rPr>
        <w:t>jüdisch</w:t>
      </w:r>
      <w:r w:rsidRPr="009C5A84">
        <w:rPr>
          <w:rFonts w:cs="Times New Roman"/>
          <w:color w:val="000000" w:themeColor="text1"/>
          <w:shd w:val="clear" w:color="auto" w:fill="FFFFFF"/>
          <w:lang w:val="en-US"/>
        </w:rPr>
        <w:t>-</w:t>
      </w:r>
      <w:r w:rsidRPr="009C5A84">
        <w:rPr>
          <w:rStyle w:val="Nadruk"/>
          <w:rFonts w:cs="Times New Roman"/>
          <w:color w:val="000000" w:themeColor="text1"/>
          <w:lang w:val="en-US"/>
        </w:rPr>
        <w:t>alexandrinischen</w:t>
      </w:r>
      <w:proofErr w:type="spellEnd"/>
      <w:r w:rsidRPr="009C5A84">
        <w:rPr>
          <w:rStyle w:val="apple-converted-space"/>
          <w:rFonts w:cs="Times New Roman"/>
          <w:color w:val="000000" w:themeColor="text1"/>
          <w:shd w:val="clear" w:color="auto" w:fill="FFFFFF"/>
          <w:lang w:val="en-US"/>
        </w:rPr>
        <w:t> </w:t>
      </w:r>
      <w:r w:rsidRPr="009C5A84">
        <w:rPr>
          <w:rFonts w:cs="Times New Roman"/>
          <w:color w:val="000000" w:themeColor="text1"/>
          <w:shd w:val="clear" w:color="auto" w:fill="FFFFFF"/>
          <w:lang w:val="en-US"/>
        </w:rPr>
        <w:t>Religions-Philosophie,</w:t>
      </w:r>
      <w:r w:rsidR="006D682B" w:rsidRPr="009C5A84">
        <w:rPr>
          <w:rFonts w:cs="Times New Roman"/>
          <w:color w:val="000000" w:themeColor="text1"/>
          <w:shd w:val="clear" w:color="auto" w:fill="FFFFFF"/>
          <w:lang w:val="en-US"/>
        </w:rPr>
        <w:t xml:space="preserve"> </w:t>
      </w:r>
      <w:r w:rsidRPr="009C5A84">
        <w:rPr>
          <w:rFonts w:cs="Times New Roman"/>
          <w:color w:val="000000" w:themeColor="text1"/>
          <w:shd w:val="clear" w:color="auto" w:fill="FFFFFF"/>
          <w:lang w:val="en-US"/>
        </w:rPr>
        <w:t xml:space="preserve">Vol. 2, (Halle: </w:t>
      </w:r>
      <w:r w:rsidRPr="009C5A84">
        <w:rPr>
          <w:rStyle w:val="Nadruk"/>
          <w:rFonts w:cs="Times New Roman"/>
          <w:i w:val="0"/>
          <w:iCs w:val="0"/>
          <w:color w:val="000000" w:themeColor="text1"/>
          <w:lang w:val="en-US"/>
        </w:rPr>
        <w:t xml:space="preserve">Verlag der </w:t>
      </w:r>
      <w:proofErr w:type="spellStart"/>
      <w:r w:rsidRPr="009C5A84">
        <w:rPr>
          <w:rStyle w:val="Nadruk"/>
          <w:rFonts w:cs="Times New Roman"/>
          <w:i w:val="0"/>
          <w:iCs w:val="0"/>
          <w:color w:val="000000" w:themeColor="text1"/>
          <w:lang w:val="en-US"/>
        </w:rPr>
        <w:t>Buchhandlung</w:t>
      </w:r>
      <w:proofErr w:type="spellEnd"/>
      <w:r w:rsidRPr="009C5A84">
        <w:rPr>
          <w:rStyle w:val="Nadruk"/>
          <w:rFonts w:cs="Times New Roman"/>
          <w:i w:val="0"/>
          <w:iCs w:val="0"/>
          <w:color w:val="000000" w:themeColor="text1"/>
          <w:lang w:val="en-US"/>
        </w:rPr>
        <w:t xml:space="preserve"> des </w:t>
      </w:r>
      <w:proofErr w:type="spellStart"/>
      <w:r w:rsidRPr="009C5A84">
        <w:rPr>
          <w:rStyle w:val="Nadruk"/>
          <w:rFonts w:cs="Times New Roman"/>
          <w:i w:val="0"/>
          <w:iCs w:val="0"/>
          <w:color w:val="000000" w:themeColor="text1"/>
          <w:lang w:val="en-US"/>
        </w:rPr>
        <w:t>Waisenhauses</w:t>
      </w:r>
      <w:proofErr w:type="spellEnd"/>
      <w:r w:rsidRPr="009C5A84">
        <w:rPr>
          <w:rStyle w:val="Nadruk"/>
          <w:rFonts w:cs="Times New Roman"/>
          <w:i w:val="0"/>
          <w:iCs w:val="0"/>
          <w:color w:val="000000" w:themeColor="text1"/>
          <w:lang w:val="en-US"/>
        </w:rPr>
        <w:t>,</w:t>
      </w:r>
      <w:r w:rsidRPr="009C5A84">
        <w:rPr>
          <w:rFonts w:cs="Times New Roman"/>
          <w:color w:val="000000" w:themeColor="text1"/>
          <w:shd w:val="clear" w:color="auto" w:fill="FFFFFF"/>
          <w:lang w:val="en-US"/>
        </w:rPr>
        <w:t xml:space="preserve"> 1834), 33</w:t>
      </w:r>
      <w:r w:rsidR="006D682B" w:rsidRPr="009C5A84">
        <w:rPr>
          <w:rFonts w:cs="Times New Roman"/>
          <w:color w:val="000000" w:themeColor="text1"/>
          <w:shd w:val="clear" w:color="auto" w:fill="FFFFFF"/>
          <w:lang w:val="en-US"/>
        </w:rPr>
        <w:t>–</w:t>
      </w:r>
      <w:r w:rsidRPr="009C5A84">
        <w:rPr>
          <w:rFonts w:cs="Times New Roman"/>
          <w:color w:val="000000" w:themeColor="text1"/>
          <w:shd w:val="clear" w:color="auto" w:fill="FFFFFF"/>
          <w:lang w:val="en-US"/>
        </w:rPr>
        <w:t>48.</w:t>
      </w:r>
    </w:p>
  </w:footnote>
  <w:footnote w:id="18">
    <w:p w14:paraId="741E0857" w14:textId="1E069E9C" w:rsidR="009137BA" w:rsidRPr="009C5A84" w:rsidRDefault="009137BA"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Cf. Philo, </w:t>
      </w:r>
      <w:proofErr w:type="spellStart"/>
      <w:r w:rsidRPr="009C5A84">
        <w:rPr>
          <w:rStyle w:val="Nadruk"/>
          <w:rFonts w:cs="Times New Roman"/>
          <w:color w:val="000000" w:themeColor="text1"/>
          <w:lang w:val="en-US"/>
        </w:rPr>
        <w:t>Quod</w:t>
      </w:r>
      <w:proofErr w:type="spellEnd"/>
      <w:r w:rsidRPr="009C5A84">
        <w:rPr>
          <w:rStyle w:val="Nadruk"/>
          <w:rFonts w:cs="Times New Roman"/>
          <w:color w:val="000000" w:themeColor="text1"/>
          <w:lang w:val="en-US"/>
        </w:rPr>
        <w:t xml:space="preserve"> Deus </w:t>
      </w:r>
      <w:proofErr w:type="spellStart"/>
      <w:r w:rsidRPr="009C5A84">
        <w:rPr>
          <w:rStyle w:val="Nadruk"/>
          <w:rFonts w:cs="Times New Roman"/>
          <w:color w:val="000000" w:themeColor="text1"/>
          <w:lang w:val="en-US"/>
        </w:rPr>
        <w:t>Immutabilis</w:t>
      </w:r>
      <w:proofErr w:type="spellEnd"/>
      <w:r w:rsidRPr="009C5A84">
        <w:rPr>
          <w:rStyle w:val="Nadruk"/>
          <w:rFonts w:cs="Times New Roman"/>
          <w:color w:val="000000" w:themeColor="text1"/>
          <w:lang w:val="en-US"/>
        </w:rPr>
        <w:t xml:space="preserve"> Sit</w:t>
      </w:r>
      <w:r w:rsidRPr="009C5A84">
        <w:rPr>
          <w:rStyle w:val="Nadruk"/>
          <w:rFonts w:cs="Times New Roman"/>
          <w:i w:val="0"/>
          <w:iCs w:val="0"/>
          <w:color w:val="000000" w:themeColor="text1"/>
          <w:lang w:val="en-US"/>
        </w:rPr>
        <w:t>.</w:t>
      </w:r>
    </w:p>
  </w:footnote>
  <w:footnote w:id="19">
    <w:p w14:paraId="5EEB23B3" w14:textId="1B818C64" w:rsidR="00E443B7" w:rsidRPr="009C5A84" w:rsidRDefault="00E443B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Style w:val="Nadruk"/>
          <w:rFonts w:cs="Times New Roman"/>
          <w:i w:val="0"/>
          <w:iCs w:val="0"/>
          <w:color w:val="000000" w:themeColor="text1"/>
          <w:lang w:val="en-US"/>
        </w:rPr>
        <w:t>Dähne</w:t>
      </w:r>
      <w:proofErr w:type="spellEnd"/>
      <w:r w:rsidRPr="009C5A84">
        <w:rPr>
          <w:rFonts w:cs="Times New Roman"/>
          <w:color w:val="000000" w:themeColor="text1"/>
          <w:shd w:val="clear" w:color="auto" w:fill="FFFFFF"/>
          <w:lang w:val="en-US"/>
        </w:rPr>
        <w:t>,</w:t>
      </w:r>
      <w:r w:rsidRPr="009C5A84">
        <w:rPr>
          <w:rStyle w:val="apple-converted-space"/>
          <w:rFonts w:cs="Times New Roman"/>
          <w:color w:val="000000" w:themeColor="text1"/>
          <w:shd w:val="clear" w:color="auto" w:fill="FFFFFF"/>
          <w:lang w:val="en-US"/>
        </w:rPr>
        <w:t> </w:t>
      </w:r>
      <w:proofErr w:type="spellStart"/>
      <w:r w:rsidRPr="009C5A84">
        <w:rPr>
          <w:rStyle w:val="Nadruk"/>
          <w:rFonts w:cs="Times New Roman"/>
          <w:color w:val="000000" w:themeColor="text1"/>
          <w:lang w:val="en-US"/>
        </w:rPr>
        <w:t>Geschichtliche</w:t>
      </w:r>
      <w:proofErr w:type="spellEnd"/>
      <w:r w:rsidRPr="009C5A84">
        <w:rPr>
          <w:rStyle w:val="Nadruk"/>
          <w:rFonts w:cs="Times New Roman"/>
          <w:color w:val="000000" w:themeColor="text1"/>
          <w:lang w:val="en-US"/>
        </w:rPr>
        <w:t xml:space="preserve"> </w:t>
      </w:r>
      <w:proofErr w:type="spellStart"/>
      <w:r w:rsidRPr="009C5A84">
        <w:rPr>
          <w:rStyle w:val="Nadruk"/>
          <w:rFonts w:cs="Times New Roman"/>
          <w:color w:val="000000" w:themeColor="text1"/>
          <w:lang w:val="en-US"/>
        </w:rPr>
        <w:t>Darstellung</w:t>
      </w:r>
      <w:proofErr w:type="spellEnd"/>
      <w:r w:rsidRPr="009C5A84">
        <w:rPr>
          <w:rStyle w:val="apple-converted-space"/>
          <w:rFonts w:cs="Times New Roman"/>
          <w:color w:val="000000" w:themeColor="text1"/>
          <w:shd w:val="clear" w:color="auto" w:fill="FFFFFF"/>
          <w:lang w:val="en-US"/>
        </w:rPr>
        <w:t>, 33.</w:t>
      </w:r>
      <w:r w:rsidR="009D08D8" w:rsidRPr="009C5A84">
        <w:rPr>
          <w:rStyle w:val="apple-converted-space"/>
          <w:rFonts w:cs="Times New Roman"/>
          <w:color w:val="000000" w:themeColor="text1"/>
          <w:shd w:val="clear" w:color="auto" w:fill="FFFFFF"/>
          <w:lang w:val="en-US"/>
        </w:rPr>
        <w:t xml:space="preserve"> This is circular reasoning, with Alexandrian theosophy as evidence and as goal.</w:t>
      </w:r>
    </w:p>
  </w:footnote>
  <w:footnote w:id="20">
    <w:p w14:paraId="34321CB2" w14:textId="6872E546" w:rsidR="00C16FBE" w:rsidRPr="009C5A84" w:rsidRDefault="00C16FBE" w:rsidP="00055A1C">
      <w:pPr>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B97ABC" w:rsidRPr="009C5A84">
        <w:rPr>
          <w:rFonts w:ascii="Times New Roman" w:hAnsi="Times New Roman" w:cs="Times New Roman"/>
          <w:color w:val="000000" w:themeColor="text1"/>
          <w:sz w:val="20"/>
          <w:szCs w:val="20"/>
          <w:lang w:val="nl-NL"/>
        </w:rPr>
        <w:t xml:space="preserve">Zacharias </w:t>
      </w:r>
      <w:proofErr w:type="spellStart"/>
      <w:r w:rsidR="006D682B" w:rsidRPr="009C5A84">
        <w:rPr>
          <w:rFonts w:ascii="Times New Roman" w:hAnsi="Times New Roman" w:cs="Times New Roman"/>
          <w:color w:val="000000" w:themeColor="text1"/>
          <w:sz w:val="20"/>
          <w:szCs w:val="20"/>
          <w:lang w:val="nl-NL"/>
        </w:rPr>
        <w:t>Frankel</w:t>
      </w:r>
      <w:proofErr w:type="spellEnd"/>
      <w:r w:rsidR="00B97ABC" w:rsidRPr="009C5A84">
        <w:rPr>
          <w:rFonts w:ascii="Times New Roman" w:hAnsi="Times New Roman" w:cs="Times New Roman"/>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Über</w:t>
      </w:r>
      <w:proofErr w:type="spellEnd"/>
      <w:r w:rsidR="00B97ABC" w:rsidRPr="009C5A84">
        <w:rPr>
          <w:rFonts w:ascii="Times New Roman" w:hAnsi="Times New Roman" w:cs="Times New Roman"/>
          <w:i/>
          <w:iCs/>
          <w:color w:val="000000" w:themeColor="text1"/>
          <w:sz w:val="20"/>
          <w:szCs w:val="20"/>
          <w:lang w:val="nl-NL"/>
        </w:rPr>
        <w:t xml:space="preserve"> den </w:t>
      </w:r>
      <w:proofErr w:type="spellStart"/>
      <w:r w:rsidR="00B97ABC" w:rsidRPr="009C5A84">
        <w:rPr>
          <w:rFonts w:ascii="Times New Roman" w:hAnsi="Times New Roman" w:cs="Times New Roman"/>
          <w:i/>
          <w:iCs/>
          <w:color w:val="000000" w:themeColor="text1"/>
          <w:sz w:val="20"/>
          <w:szCs w:val="20"/>
          <w:lang w:val="nl-NL"/>
        </w:rPr>
        <w:t>Einfluss</w:t>
      </w:r>
      <w:proofErr w:type="spellEnd"/>
      <w:r w:rsidR="00B97ABC" w:rsidRPr="009C5A84">
        <w:rPr>
          <w:rFonts w:ascii="Times New Roman" w:hAnsi="Times New Roman" w:cs="Times New Roman"/>
          <w:i/>
          <w:iCs/>
          <w:color w:val="000000" w:themeColor="text1"/>
          <w:sz w:val="20"/>
          <w:szCs w:val="20"/>
          <w:lang w:val="nl-NL"/>
        </w:rPr>
        <w:t xml:space="preserve"> der </w:t>
      </w:r>
      <w:proofErr w:type="spellStart"/>
      <w:r w:rsidR="00B97ABC" w:rsidRPr="009C5A84">
        <w:rPr>
          <w:rFonts w:ascii="Times New Roman" w:hAnsi="Times New Roman" w:cs="Times New Roman"/>
          <w:i/>
          <w:iCs/>
          <w:color w:val="000000" w:themeColor="text1"/>
          <w:sz w:val="20"/>
          <w:szCs w:val="20"/>
          <w:lang w:val="nl-NL"/>
        </w:rPr>
        <w:t>palästinischen</w:t>
      </w:r>
      <w:proofErr w:type="spellEnd"/>
      <w:r w:rsidR="00B97ABC" w:rsidRPr="009C5A84">
        <w:rPr>
          <w:rFonts w:ascii="Times New Roman" w:hAnsi="Times New Roman" w:cs="Times New Roman"/>
          <w:i/>
          <w:iCs/>
          <w:color w:val="000000" w:themeColor="text1"/>
          <w:sz w:val="20"/>
          <w:szCs w:val="20"/>
          <w:lang w:val="nl-NL"/>
        </w:rPr>
        <w:t xml:space="preserve"> Exegese </w:t>
      </w:r>
      <w:proofErr w:type="spellStart"/>
      <w:r w:rsidR="00B97ABC" w:rsidRPr="009C5A84">
        <w:rPr>
          <w:rFonts w:ascii="Times New Roman" w:hAnsi="Times New Roman" w:cs="Times New Roman"/>
          <w:i/>
          <w:iCs/>
          <w:color w:val="000000" w:themeColor="text1"/>
          <w:sz w:val="20"/>
          <w:szCs w:val="20"/>
          <w:lang w:val="nl-NL"/>
        </w:rPr>
        <w:t>auf</w:t>
      </w:r>
      <w:proofErr w:type="spellEnd"/>
      <w:r w:rsidR="00B97ABC" w:rsidRPr="009C5A84">
        <w:rPr>
          <w:rFonts w:ascii="Times New Roman" w:hAnsi="Times New Roman" w:cs="Times New Roman"/>
          <w:i/>
          <w:iCs/>
          <w:color w:val="000000" w:themeColor="text1"/>
          <w:sz w:val="20"/>
          <w:szCs w:val="20"/>
          <w:lang w:val="nl-NL"/>
        </w:rPr>
        <w:t xml:space="preserve"> die </w:t>
      </w:r>
      <w:proofErr w:type="spellStart"/>
      <w:r w:rsidR="00B97ABC" w:rsidRPr="009C5A84">
        <w:rPr>
          <w:rFonts w:ascii="Times New Roman" w:hAnsi="Times New Roman" w:cs="Times New Roman"/>
          <w:i/>
          <w:iCs/>
          <w:color w:val="000000" w:themeColor="text1"/>
          <w:sz w:val="20"/>
          <w:szCs w:val="20"/>
          <w:lang w:val="nl-NL"/>
        </w:rPr>
        <w:t>alexandrinische</w:t>
      </w:r>
      <w:proofErr w:type="spellEnd"/>
      <w:r w:rsidR="00B97ABC" w:rsidRPr="009C5A84">
        <w:rPr>
          <w:rFonts w:ascii="Times New Roman" w:hAnsi="Times New Roman" w:cs="Times New Roman"/>
          <w:i/>
          <w:iCs/>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Hermeneutik</w:t>
      </w:r>
      <w:proofErr w:type="spellEnd"/>
      <w:r w:rsidR="00B97ABC" w:rsidRPr="009C5A84">
        <w:rPr>
          <w:rFonts w:ascii="Times New Roman" w:hAnsi="Times New Roman" w:cs="Times New Roman"/>
          <w:color w:val="000000" w:themeColor="text1"/>
          <w:sz w:val="20"/>
          <w:szCs w:val="20"/>
          <w:lang w:val="nl-NL"/>
        </w:rPr>
        <w:t xml:space="preserve"> </w:t>
      </w:r>
      <w:r w:rsidR="006D682B" w:rsidRPr="009C5A84">
        <w:rPr>
          <w:rFonts w:ascii="Times New Roman" w:hAnsi="Times New Roman" w:cs="Times New Roman"/>
          <w:color w:val="000000" w:themeColor="text1"/>
          <w:sz w:val="20"/>
          <w:szCs w:val="20"/>
          <w:lang w:val="nl-NL"/>
        </w:rPr>
        <w:t>(</w:t>
      </w:r>
      <w:r w:rsidR="00B97ABC" w:rsidRPr="009C5A84">
        <w:rPr>
          <w:rFonts w:ascii="Times New Roman" w:hAnsi="Times New Roman" w:cs="Times New Roman"/>
          <w:color w:val="000000" w:themeColor="text1"/>
          <w:sz w:val="20"/>
          <w:szCs w:val="20"/>
          <w:lang w:val="nl-NL"/>
        </w:rPr>
        <w:t>Leipzig</w:t>
      </w:r>
      <w:r w:rsidR="006D682B" w:rsidRPr="009C5A84">
        <w:rPr>
          <w:rFonts w:ascii="Times New Roman" w:hAnsi="Times New Roman" w:cs="Times New Roman"/>
          <w:color w:val="000000" w:themeColor="text1"/>
          <w:sz w:val="20"/>
          <w:szCs w:val="20"/>
          <w:lang w:val="nl-NL"/>
        </w:rPr>
        <w:t>:</w:t>
      </w:r>
      <w:r w:rsidR="00B97ABC" w:rsidRPr="009C5A84">
        <w:rPr>
          <w:rFonts w:ascii="Times New Roman" w:hAnsi="Times New Roman" w:cs="Times New Roman"/>
          <w:color w:val="000000" w:themeColor="text1"/>
          <w:sz w:val="20"/>
          <w:szCs w:val="20"/>
          <w:lang w:val="nl-NL"/>
        </w:rPr>
        <w:t xml:space="preserve"> J.A. Barth, 1831</w:t>
      </w:r>
      <w:r w:rsidR="006D682B" w:rsidRPr="009C5A84">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en-US"/>
        </w:rPr>
        <w:t>, 30, 82, 130;</w:t>
      </w:r>
      <w:r w:rsidR="00B97ABC" w:rsidRPr="009C5A84">
        <w:rPr>
          <w:rFonts w:ascii="Times New Roman" w:hAnsi="Times New Roman" w:cs="Times New Roman"/>
          <w:color w:val="000000" w:themeColor="text1"/>
          <w:sz w:val="20"/>
          <w:szCs w:val="20"/>
          <w:lang w:val="en-US"/>
        </w:rPr>
        <w:t xml:space="preserve"> </w:t>
      </w:r>
      <w:r w:rsidR="006D682B" w:rsidRPr="009C5A84">
        <w:rPr>
          <w:rFonts w:ascii="Times New Roman" w:hAnsi="Times New Roman" w:cs="Times New Roman"/>
          <w:color w:val="000000" w:themeColor="text1"/>
          <w:sz w:val="20"/>
          <w:szCs w:val="20"/>
          <w:lang w:val="en-US"/>
        </w:rPr>
        <w:t>Idem</w:t>
      </w:r>
      <w:r w:rsidR="00B97ABC" w:rsidRPr="009C5A84">
        <w:rPr>
          <w:rFonts w:ascii="Times New Roman" w:hAnsi="Times New Roman" w:cs="Times New Roman"/>
          <w:color w:val="000000" w:themeColor="text1"/>
          <w:sz w:val="20"/>
          <w:szCs w:val="20"/>
          <w:lang w:val="nl-NL"/>
        </w:rPr>
        <w:t xml:space="preserve">, </w:t>
      </w:r>
      <w:r w:rsidR="00B97ABC" w:rsidRPr="009C5A84">
        <w:rPr>
          <w:rFonts w:ascii="Times New Roman" w:hAnsi="Times New Roman" w:cs="Times New Roman"/>
          <w:i/>
          <w:iCs/>
          <w:color w:val="000000" w:themeColor="text1"/>
          <w:sz w:val="20"/>
          <w:szCs w:val="20"/>
          <w:lang w:val="nl-NL"/>
        </w:rPr>
        <w:t xml:space="preserve">Historisch-kritische </w:t>
      </w:r>
      <w:proofErr w:type="spellStart"/>
      <w:r w:rsidR="00B97ABC" w:rsidRPr="009C5A84">
        <w:rPr>
          <w:rFonts w:ascii="Times New Roman" w:hAnsi="Times New Roman" w:cs="Times New Roman"/>
          <w:i/>
          <w:iCs/>
          <w:color w:val="000000" w:themeColor="text1"/>
          <w:sz w:val="20"/>
          <w:szCs w:val="20"/>
          <w:lang w:val="nl-NL"/>
        </w:rPr>
        <w:t>Studien</w:t>
      </w:r>
      <w:proofErr w:type="spellEnd"/>
      <w:r w:rsidR="00B97ABC" w:rsidRPr="009C5A84">
        <w:rPr>
          <w:rFonts w:ascii="Times New Roman" w:hAnsi="Times New Roman" w:cs="Times New Roman"/>
          <w:i/>
          <w:iCs/>
          <w:color w:val="000000" w:themeColor="text1"/>
          <w:sz w:val="20"/>
          <w:szCs w:val="20"/>
          <w:lang w:val="nl-NL"/>
        </w:rPr>
        <w:t xml:space="preserve"> der Septuaginta </w:t>
      </w:r>
      <w:proofErr w:type="spellStart"/>
      <w:r w:rsidR="00B97ABC" w:rsidRPr="009C5A84">
        <w:rPr>
          <w:rFonts w:ascii="Times New Roman" w:hAnsi="Times New Roman" w:cs="Times New Roman"/>
          <w:i/>
          <w:iCs/>
          <w:color w:val="000000" w:themeColor="text1"/>
          <w:sz w:val="20"/>
          <w:szCs w:val="20"/>
          <w:lang w:val="nl-NL"/>
        </w:rPr>
        <w:t>nebst</w:t>
      </w:r>
      <w:proofErr w:type="spellEnd"/>
      <w:r w:rsidR="00B97ABC" w:rsidRPr="009C5A84">
        <w:rPr>
          <w:rFonts w:ascii="Times New Roman" w:hAnsi="Times New Roman" w:cs="Times New Roman"/>
          <w:i/>
          <w:iCs/>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Beiträgen</w:t>
      </w:r>
      <w:proofErr w:type="spellEnd"/>
      <w:r w:rsidR="00B97ABC" w:rsidRPr="009C5A84">
        <w:rPr>
          <w:rFonts w:ascii="Times New Roman" w:hAnsi="Times New Roman" w:cs="Times New Roman"/>
          <w:i/>
          <w:iCs/>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zu</w:t>
      </w:r>
      <w:proofErr w:type="spellEnd"/>
      <w:r w:rsidR="00B97ABC" w:rsidRPr="009C5A84">
        <w:rPr>
          <w:rFonts w:ascii="Times New Roman" w:hAnsi="Times New Roman" w:cs="Times New Roman"/>
          <w:i/>
          <w:iCs/>
          <w:color w:val="000000" w:themeColor="text1"/>
          <w:sz w:val="20"/>
          <w:szCs w:val="20"/>
          <w:lang w:val="nl-NL"/>
        </w:rPr>
        <w:t xml:space="preserve"> den </w:t>
      </w:r>
      <w:proofErr w:type="spellStart"/>
      <w:r w:rsidR="00B97ABC" w:rsidRPr="009C5A84">
        <w:rPr>
          <w:rFonts w:ascii="Times New Roman" w:hAnsi="Times New Roman" w:cs="Times New Roman"/>
          <w:i/>
          <w:iCs/>
          <w:color w:val="000000" w:themeColor="text1"/>
          <w:sz w:val="20"/>
          <w:szCs w:val="20"/>
          <w:lang w:val="nl-NL"/>
        </w:rPr>
        <w:t>Targumim</w:t>
      </w:r>
      <w:proofErr w:type="spellEnd"/>
      <w:r w:rsidR="00B97ABC" w:rsidRPr="009C5A84">
        <w:rPr>
          <w:rFonts w:ascii="Times New Roman" w:hAnsi="Times New Roman" w:cs="Times New Roman"/>
          <w:i/>
          <w:iCs/>
          <w:color w:val="000000" w:themeColor="text1"/>
          <w:sz w:val="20"/>
          <w:szCs w:val="20"/>
          <w:lang w:val="nl-NL"/>
        </w:rPr>
        <w:t xml:space="preserve">. </w:t>
      </w:r>
      <w:r w:rsidR="006D682B" w:rsidRPr="009C5A84">
        <w:rPr>
          <w:rFonts w:ascii="Times New Roman" w:hAnsi="Times New Roman" w:cs="Times New Roman"/>
          <w:i/>
          <w:iCs/>
          <w:color w:val="000000" w:themeColor="text1"/>
          <w:sz w:val="20"/>
          <w:szCs w:val="20"/>
          <w:lang w:val="nl-NL"/>
        </w:rPr>
        <w:t>I.1</w:t>
      </w:r>
      <w:r w:rsidR="00B97ABC" w:rsidRPr="009C5A84">
        <w:rPr>
          <w:rFonts w:ascii="Times New Roman" w:hAnsi="Times New Roman" w:cs="Times New Roman"/>
          <w:i/>
          <w:iCs/>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Vorstudien</w:t>
      </w:r>
      <w:proofErr w:type="spellEnd"/>
      <w:r w:rsidR="00B97ABC" w:rsidRPr="009C5A84">
        <w:rPr>
          <w:rFonts w:ascii="Times New Roman" w:hAnsi="Times New Roman" w:cs="Times New Roman"/>
          <w:i/>
          <w:iCs/>
          <w:color w:val="000000" w:themeColor="text1"/>
          <w:sz w:val="20"/>
          <w:szCs w:val="20"/>
          <w:lang w:val="nl-NL"/>
        </w:rPr>
        <w:t xml:space="preserve"> </w:t>
      </w:r>
      <w:proofErr w:type="spellStart"/>
      <w:r w:rsidR="00B97ABC" w:rsidRPr="009C5A84">
        <w:rPr>
          <w:rFonts w:ascii="Times New Roman" w:hAnsi="Times New Roman" w:cs="Times New Roman"/>
          <w:i/>
          <w:iCs/>
          <w:color w:val="000000" w:themeColor="text1"/>
          <w:sz w:val="20"/>
          <w:szCs w:val="20"/>
          <w:lang w:val="nl-NL"/>
        </w:rPr>
        <w:t>zu</w:t>
      </w:r>
      <w:proofErr w:type="spellEnd"/>
      <w:r w:rsidR="00B97ABC" w:rsidRPr="009C5A84">
        <w:rPr>
          <w:rFonts w:ascii="Times New Roman" w:hAnsi="Times New Roman" w:cs="Times New Roman"/>
          <w:i/>
          <w:iCs/>
          <w:color w:val="000000" w:themeColor="text1"/>
          <w:sz w:val="20"/>
          <w:szCs w:val="20"/>
          <w:lang w:val="nl-NL"/>
        </w:rPr>
        <w:t xml:space="preserve"> der Septuaginta, </w:t>
      </w:r>
      <w:r w:rsidR="006D682B" w:rsidRPr="009C5A84">
        <w:rPr>
          <w:rFonts w:ascii="Times New Roman" w:hAnsi="Times New Roman" w:cs="Times New Roman"/>
          <w:color w:val="000000" w:themeColor="text1"/>
          <w:sz w:val="20"/>
          <w:szCs w:val="20"/>
          <w:lang w:val="nl-NL"/>
        </w:rPr>
        <w:t>(</w:t>
      </w:r>
      <w:r w:rsidR="00B97ABC" w:rsidRPr="009C5A84">
        <w:rPr>
          <w:rFonts w:ascii="Times New Roman" w:hAnsi="Times New Roman" w:cs="Times New Roman"/>
          <w:color w:val="000000" w:themeColor="text1"/>
          <w:sz w:val="20"/>
          <w:szCs w:val="20"/>
          <w:lang w:val="nl-NL"/>
        </w:rPr>
        <w:t>Leipzig</w:t>
      </w:r>
      <w:r w:rsidR="006D682B" w:rsidRPr="009C5A84">
        <w:rPr>
          <w:rFonts w:ascii="Times New Roman" w:hAnsi="Times New Roman" w:cs="Times New Roman"/>
          <w:color w:val="000000" w:themeColor="text1"/>
          <w:sz w:val="20"/>
          <w:szCs w:val="20"/>
          <w:lang w:val="nl-NL"/>
        </w:rPr>
        <w:t>:</w:t>
      </w:r>
      <w:r w:rsidR="00B97ABC" w:rsidRPr="009C5A84">
        <w:rPr>
          <w:rFonts w:ascii="Times New Roman" w:hAnsi="Times New Roman" w:cs="Times New Roman"/>
          <w:color w:val="000000" w:themeColor="text1"/>
          <w:sz w:val="20"/>
          <w:szCs w:val="20"/>
          <w:lang w:val="nl-NL"/>
        </w:rPr>
        <w:t xml:space="preserve"> Vogel, 1841</w:t>
      </w:r>
      <w:r w:rsidR="006D682B" w:rsidRPr="009C5A84">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en-US"/>
        </w:rPr>
        <w:t>, 172</w:t>
      </w:r>
      <w:r w:rsidR="006D682B"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9.</w:t>
      </w:r>
      <w:r w:rsidR="001D3928" w:rsidRPr="009C5A84">
        <w:rPr>
          <w:rFonts w:ascii="Times New Roman" w:hAnsi="Times New Roman" w:cs="Times New Roman"/>
          <w:color w:val="000000" w:themeColor="text1"/>
          <w:sz w:val="20"/>
          <w:szCs w:val="20"/>
          <w:lang w:val="en-US"/>
        </w:rPr>
        <w:t xml:space="preserve">  </w:t>
      </w:r>
      <w:r w:rsidR="001D3928" w:rsidRPr="009C5A84">
        <w:rPr>
          <w:rFonts w:ascii="Times New Roman" w:hAnsi="Times New Roman" w:cs="Times New Roman"/>
          <w:color w:val="000000" w:themeColor="text1"/>
          <w:sz w:val="20"/>
          <w:szCs w:val="20"/>
          <w:lang w:val="en-US"/>
        </w:rPr>
        <w:t>Frankel’s insistence on Palestine relates to his situation as Jewish scholar in Germany at the time</w:t>
      </w:r>
      <w:r w:rsidR="00536649">
        <w:rPr>
          <w:rFonts w:ascii="Times New Roman" w:hAnsi="Times New Roman" w:cs="Times New Roman"/>
          <w:color w:val="000000" w:themeColor="text1"/>
          <w:sz w:val="20"/>
          <w:szCs w:val="20"/>
          <w:lang w:val="en-US"/>
        </w:rPr>
        <w:t>:</w:t>
      </w:r>
      <w:r w:rsidR="001D3928" w:rsidRPr="009C5A84">
        <w:rPr>
          <w:rFonts w:ascii="Times New Roman" w:hAnsi="Times New Roman" w:cs="Times New Roman"/>
          <w:color w:val="000000" w:themeColor="text1"/>
          <w:sz w:val="20"/>
          <w:szCs w:val="20"/>
          <w:lang w:val="en-US"/>
        </w:rPr>
        <w:t xml:space="preserve"> </w:t>
      </w:r>
      <w:r w:rsidR="001D3928" w:rsidRPr="009C5A84">
        <w:rPr>
          <w:rFonts w:ascii="Times New Roman" w:hAnsi="Times New Roman" w:cs="Times New Roman"/>
          <w:color w:val="000000" w:themeColor="text1"/>
          <w:sz w:val="20"/>
          <w:szCs w:val="20"/>
          <w:shd w:val="clear" w:color="auto" w:fill="FFFFFF"/>
          <w:lang w:val="en-US"/>
        </w:rPr>
        <w:t>Theo A.W. van der Louw, “Zacharias Frankel’s Conception of the Septuagint in Context,”</w:t>
      </w:r>
      <w:r w:rsidR="001D3928" w:rsidRPr="009C5A84">
        <w:rPr>
          <w:rStyle w:val="apple-converted-space"/>
          <w:rFonts w:ascii="Times New Roman" w:hAnsi="Times New Roman" w:cs="Times New Roman"/>
          <w:color w:val="000000" w:themeColor="text1"/>
          <w:sz w:val="20"/>
          <w:szCs w:val="20"/>
          <w:shd w:val="clear" w:color="auto" w:fill="FFFFFF"/>
          <w:lang w:val="en-US"/>
        </w:rPr>
        <w:t> </w:t>
      </w:r>
      <w:r w:rsidR="001D3928" w:rsidRPr="009C5A84">
        <w:rPr>
          <w:rStyle w:val="Nadruk"/>
          <w:rFonts w:ascii="Times New Roman" w:hAnsi="Times New Roman" w:cs="Times New Roman"/>
          <w:color w:val="000000" w:themeColor="text1"/>
          <w:sz w:val="20"/>
          <w:szCs w:val="20"/>
          <w:lang w:val="en-US"/>
        </w:rPr>
        <w:t>Textus</w:t>
      </w:r>
      <w:r w:rsidR="001D3928" w:rsidRPr="009C5A84">
        <w:rPr>
          <w:rStyle w:val="apple-converted-space"/>
          <w:rFonts w:ascii="Times New Roman" w:hAnsi="Times New Roman" w:cs="Times New Roman"/>
          <w:color w:val="000000" w:themeColor="text1"/>
          <w:sz w:val="20"/>
          <w:szCs w:val="20"/>
          <w:shd w:val="clear" w:color="auto" w:fill="FFFFFF"/>
          <w:lang w:val="en-US"/>
        </w:rPr>
        <w:t> </w:t>
      </w:r>
      <w:r w:rsidR="001D3928" w:rsidRPr="009C5A84">
        <w:rPr>
          <w:rFonts w:ascii="Times New Roman" w:hAnsi="Times New Roman" w:cs="Times New Roman"/>
          <w:color w:val="000000" w:themeColor="text1"/>
          <w:sz w:val="20"/>
          <w:szCs w:val="20"/>
          <w:shd w:val="clear" w:color="auto" w:fill="FFFFFF"/>
          <w:lang w:val="en-US"/>
        </w:rPr>
        <w:t>30/2 (2021): 187–205.</w:t>
      </w:r>
    </w:p>
  </w:footnote>
  <w:footnote w:id="21">
    <w:p w14:paraId="6CA46CBB" w14:textId="17B31CBF" w:rsidR="00914DCD" w:rsidRPr="009C5A84" w:rsidRDefault="00914DC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Frankel, </w:t>
      </w:r>
      <w:proofErr w:type="spellStart"/>
      <w:r w:rsidRPr="009C5A84">
        <w:rPr>
          <w:rFonts w:cs="Times New Roman"/>
          <w:i/>
          <w:iCs/>
          <w:color w:val="000000" w:themeColor="text1"/>
          <w:lang w:val="en-US"/>
        </w:rPr>
        <w:t>Vorstudien</w:t>
      </w:r>
      <w:proofErr w:type="spellEnd"/>
      <w:r w:rsidRPr="009C5A84">
        <w:rPr>
          <w:rFonts w:cs="Times New Roman"/>
          <w:color w:val="000000" w:themeColor="text1"/>
          <w:lang w:val="en-US"/>
        </w:rPr>
        <w:t>, 172.</w:t>
      </w:r>
    </w:p>
  </w:footnote>
  <w:footnote w:id="22">
    <w:p w14:paraId="71D4A25A" w14:textId="622BD9D1" w:rsidR="005772F3" w:rsidRPr="009C5A84" w:rsidRDefault="005772F3"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Frankel, </w:t>
      </w:r>
      <w:proofErr w:type="spellStart"/>
      <w:r w:rsidRPr="009C5A84">
        <w:rPr>
          <w:rFonts w:cs="Times New Roman"/>
          <w:i/>
          <w:iCs/>
          <w:color w:val="000000" w:themeColor="text1"/>
          <w:lang w:val="en-US"/>
        </w:rPr>
        <w:t>Vorstudien</w:t>
      </w:r>
      <w:proofErr w:type="spellEnd"/>
      <w:r w:rsidRPr="009C5A84">
        <w:rPr>
          <w:rFonts w:cs="Times New Roman"/>
          <w:i/>
          <w:iCs/>
          <w:color w:val="000000" w:themeColor="text1"/>
          <w:lang w:val="en-US"/>
        </w:rPr>
        <w:t>,</w:t>
      </w:r>
      <w:r w:rsidRPr="009C5A84">
        <w:rPr>
          <w:rFonts w:cs="Times New Roman"/>
          <w:color w:val="000000" w:themeColor="text1"/>
          <w:lang w:val="en-US"/>
        </w:rPr>
        <w:t xml:space="preserve"> 177</w:t>
      </w:r>
      <w:r w:rsidR="006D682B" w:rsidRPr="009C5A84">
        <w:rPr>
          <w:rFonts w:cs="Times New Roman"/>
          <w:color w:val="000000" w:themeColor="text1"/>
          <w:lang w:val="en-US"/>
        </w:rPr>
        <w:t>–</w:t>
      </w:r>
      <w:r w:rsidRPr="009C5A84">
        <w:rPr>
          <w:rFonts w:cs="Times New Roman"/>
          <w:color w:val="000000" w:themeColor="text1"/>
          <w:lang w:val="en-US"/>
        </w:rPr>
        <w:t>9.</w:t>
      </w:r>
    </w:p>
  </w:footnote>
  <w:footnote w:id="23">
    <w:p w14:paraId="0630F23E" w14:textId="77777777" w:rsidR="00376C3C" w:rsidRPr="009C5A84" w:rsidRDefault="00376C3C"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Heinrich W.J. Thiersch, </w:t>
      </w:r>
      <w:r w:rsidRPr="009C5A84">
        <w:rPr>
          <w:rFonts w:cs="Times New Roman"/>
          <w:i/>
          <w:iCs/>
          <w:color w:val="000000" w:themeColor="text1"/>
          <w:lang w:val="en-US"/>
        </w:rPr>
        <w:t xml:space="preserve">De </w:t>
      </w:r>
      <w:proofErr w:type="spellStart"/>
      <w:r w:rsidRPr="009C5A84">
        <w:rPr>
          <w:rFonts w:cs="Times New Roman"/>
          <w:i/>
          <w:iCs/>
          <w:color w:val="000000" w:themeColor="text1"/>
          <w:lang w:val="en-US"/>
        </w:rPr>
        <w:t>Pentateuchi</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Versione</w:t>
      </w:r>
      <w:proofErr w:type="spellEnd"/>
      <w:r w:rsidRPr="009C5A84">
        <w:rPr>
          <w:rFonts w:cs="Times New Roman"/>
          <w:i/>
          <w:iCs/>
          <w:color w:val="000000" w:themeColor="text1"/>
          <w:lang w:val="en-US"/>
        </w:rPr>
        <w:t xml:space="preserve"> Alexandrina Libri Tres</w:t>
      </w:r>
      <w:r w:rsidRPr="009C5A84">
        <w:rPr>
          <w:rFonts w:cs="Times New Roman"/>
          <w:color w:val="000000" w:themeColor="text1"/>
          <w:lang w:val="en-US"/>
        </w:rPr>
        <w:t xml:space="preserve"> (Erlangen: Th. Blaesing, 1841).</w:t>
      </w:r>
    </w:p>
  </w:footnote>
  <w:footnote w:id="24">
    <w:p w14:paraId="574F3B5B" w14:textId="575A5ED9" w:rsidR="00376C3C" w:rsidRPr="009C5A84" w:rsidRDefault="00376C3C"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Thiersch, </w:t>
      </w:r>
      <w:r w:rsidRPr="009C5A84">
        <w:rPr>
          <w:rFonts w:cs="Times New Roman"/>
          <w:i/>
          <w:iCs/>
          <w:color w:val="000000" w:themeColor="text1"/>
          <w:lang w:val="en-US"/>
        </w:rPr>
        <w:t xml:space="preserve">De </w:t>
      </w:r>
      <w:proofErr w:type="spellStart"/>
      <w:r w:rsidRPr="009C5A84">
        <w:rPr>
          <w:rFonts w:cs="Times New Roman"/>
          <w:i/>
          <w:iCs/>
          <w:color w:val="000000" w:themeColor="text1"/>
          <w:lang w:val="en-US"/>
        </w:rPr>
        <w:t>Pentateuchi</w:t>
      </w:r>
      <w:proofErr w:type="spellEnd"/>
      <w:r w:rsidRPr="009C5A84">
        <w:rPr>
          <w:rFonts w:cs="Times New Roman"/>
          <w:i/>
          <w:iCs/>
          <w:color w:val="000000" w:themeColor="text1"/>
          <w:lang w:val="en-US"/>
        </w:rPr>
        <w:t xml:space="preserve"> Versione, </w:t>
      </w:r>
      <w:r w:rsidRPr="009C5A84">
        <w:rPr>
          <w:rFonts w:cs="Times New Roman"/>
          <w:color w:val="000000" w:themeColor="text1"/>
          <w:lang w:val="en-US"/>
        </w:rPr>
        <w:t>41</w:t>
      </w:r>
      <w:r w:rsidR="004003D4">
        <w:rPr>
          <w:rFonts w:cs="Times New Roman"/>
          <w:color w:val="000000" w:themeColor="text1"/>
          <w:lang w:val="en-US"/>
        </w:rPr>
        <w:t>–2</w:t>
      </w:r>
      <w:r w:rsidRPr="009C5A84">
        <w:rPr>
          <w:rFonts w:cs="Times New Roman"/>
          <w:color w:val="000000" w:themeColor="text1"/>
          <w:lang w:val="en-US"/>
        </w:rPr>
        <w:t>.</w:t>
      </w:r>
    </w:p>
  </w:footnote>
  <w:footnote w:id="25">
    <w:p w14:paraId="2B11223E" w14:textId="2621955B" w:rsidR="009137BA" w:rsidRPr="009C5A84" w:rsidRDefault="009137BA"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Abraham Geiger, </w:t>
      </w:r>
      <w:proofErr w:type="spellStart"/>
      <w:r w:rsidRPr="009C5A84">
        <w:rPr>
          <w:rFonts w:cs="Times New Roman"/>
          <w:color w:val="000000" w:themeColor="text1"/>
          <w:lang w:val="en-US"/>
        </w:rPr>
        <w:t>U</w:t>
      </w:r>
      <w:r w:rsidRPr="009C5A84">
        <w:rPr>
          <w:rFonts w:cs="Times New Roman"/>
          <w:i/>
          <w:iCs/>
          <w:color w:val="000000" w:themeColor="text1"/>
          <w:lang w:val="en-US"/>
        </w:rPr>
        <w:t>rschrift</w:t>
      </w:r>
      <w:proofErr w:type="spellEnd"/>
      <w:r w:rsidRPr="009C5A84">
        <w:rPr>
          <w:rFonts w:cs="Times New Roman"/>
          <w:i/>
          <w:iCs/>
          <w:color w:val="000000" w:themeColor="text1"/>
          <w:lang w:val="en-US"/>
        </w:rPr>
        <w:t xml:space="preserve"> und </w:t>
      </w:r>
      <w:proofErr w:type="spellStart"/>
      <w:r w:rsidRPr="009C5A84">
        <w:rPr>
          <w:rFonts w:cs="Times New Roman"/>
          <w:i/>
          <w:iCs/>
          <w:color w:val="000000" w:themeColor="text1"/>
          <w:lang w:val="en-US"/>
        </w:rPr>
        <w:t>Übersetzungen</w:t>
      </w:r>
      <w:proofErr w:type="spellEnd"/>
      <w:r w:rsidRPr="009C5A84">
        <w:rPr>
          <w:rFonts w:cs="Times New Roman"/>
          <w:i/>
          <w:iCs/>
          <w:color w:val="000000" w:themeColor="text1"/>
          <w:lang w:val="en-US"/>
        </w:rPr>
        <w:t xml:space="preserve"> der Bibel in </w:t>
      </w:r>
      <w:proofErr w:type="spellStart"/>
      <w:r w:rsidRPr="009C5A84">
        <w:rPr>
          <w:rFonts w:cs="Times New Roman"/>
          <w:i/>
          <w:iCs/>
          <w:color w:val="000000" w:themeColor="text1"/>
          <w:lang w:val="en-US"/>
        </w:rPr>
        <w:t>ihrer</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Abhängigkeit</w:t>
      </w:r>
      <w:proofErr w:type="spellEnd"/>
      <w:r w:rsidRPr="009C5A84">
        <w:rPr>
          <w:rFonts w:cs="Times New Roman"/>
          <w:i/>
          <w:iCs/>
          <w:color w:val="000000" w:themeColor="text1"/>
          <w:lang w:val="en-US"/>
        </w:rPr>
        <w:t xml:space="preserve"> von der </w:t>
      </w:r>
      <w:proofErr w:type="spellStart"/>
      <w:r w:rsidRPr="009C5A84">
        <w:rPr>
          <w:rFonts w:cs="Times New Roman"/>
          <w:i/>
          <w:iCs/>
          <w:color w:val="000000" w:themeColor="text1"/>
          <w:lang w:val="en-US"/>
        </w:rPr>
        <w:t>innern</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Entwicklung</w:t>
      </w:r>
      <w:proofErr w:type="spellEnd"/>
      <w:r w:rsidRPr="009C5A84">
        <w:rPr>
          <w:rFonts w:cs="Times New Roman"/>
          <w:i/>
          <w:iCs/>
          <w:color w:val="000000" w:themeColor="text1"/>
          <w:lang w:val="en-US"/>
        </w:rPr>
        <w:t xml:space="preserve"> des </w:t>
      </w:r>
      <w:proofErr w:type="spellStart"/>
      <w:r w:rsidRPr="009C5A84">
        <w:rPr>
          <w:rFonts w:cs="Times New Roman"/>
          <w:i/>
          <w:iCs/>
          <w:color w:val="000000" w:themeColor="text1"/>
          <w:lang w:val="en-US"/>
        </w:rPr>
        <w:t>Judenthums</w:t>
      </w:r>
      <w:proofErr w:type="spellEnd"/>
      <w:r w:rsidR="006D682B" w:rsidRPr="009C5A84">
        <w:rPr>
          <w:rFonts w:cs="Times New Roman"/>
          <w:color w:val="000000" w:themeColor="text1"/>
          <w:lang w:val="en-US"/>
        </w:rPr>
        <w:t xml:space="preserve"> (</w:t>
      </w:r>
      <w:r w:rsidRPr="009C5A84">
        <w:rPr>
          <w:rFonts w:cs="Times New Roman"/>
          <w:color w:val="000000" w:themeColor="text1"/>
          <w:lang w:val="en-US"/>
        </w:rPr>
        <w:t>Breslau: Verlag von Julius Hainauer, 1857</w:t>
      </w:r>
      <w:r w:rsidR="006D682B" w:rsidRPr="009C5A84">
        <w:rPr>
          <w:rFonts w:cs="Times New Roman"/>
          <w:color w:val="000000" w:themeColor="text1"/>
          <w:lang w:val="en-US"/>
        </w:rPr>
        <w:t>)</w:t>
      </w:r>
      <w:r w:rsidR="00465EC0" w:rsidRPr="009C5A84">
        <w:rPr>
          <w:rFonts w:cs="Times New Roman"/>
          <w:color w:val="000000" w:themeColor="text1"/>
          <w:lang w:val="en-US"/>
        </w:rPr>
        <w:t>, 308</w:t>
      </w:r>
      <w:r w:rsidR="006D682B" w:rsidRPr="009C5A84">
        <w:rPr>
          <w:rFonts w:cs="Times New Roman"/>
          <w:color w:val="000000" w:themeColor="text1"/>
          <w:lang w:val="en-US"/>
        </w:rPr>
        <w:t>–</w:t>
      </w:r>
      <w:r w:rsidR="00465EC0" w:rsidRPr="009C5A84">
        <w:rPr>
          <w:rFonts w:cs="Times New Roman"/>
          <w:color w:val="000000" w:themeColor="text1"/>
          <w:lang w:val="en-US"/>
        </w:rPr>
        <w:t>45</w:t>
      </w:r>
    </w:p>
  </w:footnote>
  <w:footnote w:id="26">
    <w:p w14:paraId="7FD4C3A3" w14:textId="795E70DF" w:rsidR="00465EC0" w:rsidRPr="009C5A84" w:rsidRDefault="00465EC0"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Gustav Bickell, </w:t>
      </w:r>
      <w:r w:rsidRPr="009C5A84">
        <w:rPr>
          <w:rFonts w:cs="Times New Roman"/>
          <w:i/>
          <w:iCs/>
          <w:color w:val="000000" w:themeColor="text1"/>
          <w:lang w:val="en-US"/>
        </w:rPr>
        <w:t xml:space="preserve">De Indole ac Ratione </w:t>
      </w:r>
      <w:proofErr w:type="spellStart"/>
      <w:r w:rsidRPr="009C5A84">
        <w:rPr>
          <w:rFonts w:cs="Times New Roman"/>
          <w:i/>
          <w:iCs/>
          <w:color w:val="000000" w:themeColor="text1"/>
          <w:lang w:val="en-US"/>
        </w:rPr>
        <w:t>Verstionis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Alexandrinae</w:t>
      </w:r>
      <w:proofErr w:type="spellEnd"/>
      <w:r w:rsidRPr="009C5A84">
        <w:rPr>
          <w:rFonts w:cs="Times New Roman"/>
          <w:i/>
          <w:iCs/>
          <w:color w:val="000000" w:themeColor="text1"/>
          <w:lang w:val="en-US"/>
        </w:rPr>
        <w:t xml:space="preserve"> in </w:t>
      </w:r>
      <w:proofErr w:type="spellStart"/>
      <w:r w:rsidRPr="009C5A84">
        <w:rPr>
          <w:rFonts w:cs="Times New Roman"/>
          <w:i/>
          <w:iCs/>
          <w:color w:val="000000" w:themeColor="text1"/>
          <w:lang w:val="en-US"/>
        </w:rPr>
        <w:t>Interpretando</w:t>
      </w:r>
      <w:proofErr w:type="spellEnd"/>
      <w:r w:rsidRPr="009C5A84">
        <w:rPr>
          <w:rFonts w:cs="Times New Roman"/>
          <w:i/>
          <w:iCs/>
          <w:color w:val="000000" w:themeColor="text1"/>
          <w:lang w:val="en-US"/>
        </w:rPr>
        <w:t xml:space="preserve"> Libro Jobi</w:t>
      </w:r>
      <w:r w:rsidR="006D682B" w:rsidRPr="009C5A84">
        <w:rPr>
          <w:rFonts w:cs="Times New Roman"/>
          <w:color w:val="000000" w:themeColor="text1"/>
          <w:lang w:val="en-US"/>
        </w:rPr>
        <w:t xml:space="preserve"> (</w:t>
      </w:r>
      <w:r w:rsidRPr="009C5A84">
        <w:rPr>
          <w:rFonts w:cs="Times New Roman"/>
          <w:color w:val="000000" w:themeColor="text1"/>
          <w:lang w:val="en-US"/>
        </w:rPr>
        <w:t>Elwert</w:t>
      </w:r>
      <w:r w:rsidR="006D682B" w:rsidRPr="009C5A84">
        <w:rPr>
          <w:rFonts w:cs="Times New Roman"/>
          <w:color w:val="000000" w:themeColor="text1"/>
          <w:lang w:val="en-US"/>
        </w:rPr>
        <w:t>:</w:t>
      </w:r>
      <w:r w:rsidRPr="009C5A84">
        <w:rPr>
          <w:rFonts w:cs="Times New Roman"/>
          <w:color w:val="000000" w:themeColor="text1"/>
          <w:lang w:val="en-US"/>
        </w:rPr>
        <w:t xml:space="preserve"> Marburg, 1862</w:t>
      </w:r>
      <w:r w:rsidR="006D682B" w:rsidRPr="009C5A84">
        <w:rPr>
          <w:rFonts w:cs="Times New Roman"/>
          <w:color w:val="000000" w:themeColor="text1"/>
          <w:lang w:val="en-US"/>
        </w:rPr>
        <w:t>)</w:t>
      </w:r>
      <w:r w:rsidRPr="009C5A84">
        <w:rPr>
          <w:rFonts w:cs="Times New Roman"/>
          <w:color w:val="000000" w:themeColor="text1"/>
          <w:lang w:val="en-US"/>
        </w:rPr>
        <w:t>, 5</w:t>
      </w:r>
      <w:r w:rsidR="006D682B" w:rsidRPr="009C5A84">
        <w:rPr>
          <w:rFonts w:cs="Times New Roman"/>
          <w:color w:val="000000" w:themeColor="text1"/>
          <w:lang w:val="en-US"/>
        </w:rPr>
        <w:t>.</w:t>
      </w:r>
    </w:p>
  </w:footnote>
  <w:footnote w:id="27">
    <w:p w14:paraId="20625162" w14:textId="6FE01CCD" w:rsidR="00465EC0" w:rsidRPr="009C5A84" w:rsidRDefault="00465EC0"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6D682B" w:rsidRPr="009C5A84">
        <w:rPr>
          <w:rFonts w:cs="Times New Roman"/>
          <w:color w:val="000000" w:themeColor="text1"/>
          <w:lang w:val="en-US"/>
        </w:rPr>
        <w:t>Idem,</w:t>
      </w:r>
      <w:r w:rsidRPr="009C5A84">
        <w:rPr>
          <w:rFonts w:cs="Times New Roman"/>
          <w:color w:val="000000" w:themeColor="text1"/>
          <w:lang w:val="en-US"/>
        </w:rPr>
        <w:t xml:space="preserve"> 5.</w:t>
      </w:r>
    </w:p>
  </w:footnote>
  <w:footnote w:id="28">
    <w:p w14:paraId="7BE253EF" w14:textId="55861A7D" w:rsidR="00C35DDD" w:rsidRPr="009C5A84" w:rsidRDefault="00C35DD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Johannes Hollenberg, </w:t>
      </w:r>
      <w:r w:rsidRPr="009C5A84">
        <w:rPr>
          <w:rFonts w:cs="Times New Roman"/>
          <w:i/>
          <w:iCs/>
          <w:color w:val="000000" w:themeColor="text1"/>
          <w:lang w:val="en-US"/>
        </w:rPr>
        <w:t xml:space="preserve">Der Charakter der </w:t>
      </w:r>
      <w:proofErr w:type="spellStart"/>
      <w:r w:rsidRPr="009C5A84">
        <w:rPr>
          <w:rFonts w:cs="Times New Roman"/>
          <w:i/>
          <w:iCs/>
          <w:color w:val="000000" w:themeColor="text1"/>
          <w:lang w:val="en-US"/>
        </w:rPr>
        <w:t>alexandrinisches</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Uebersetzung</w:t>
      </w:r>
      <w:proofErr w:type="spellEnd"/>
      <w:r w:rsidRPr="009C5A84">
        <w:rPr>
          <w:rFonts w:cs="Times New Roman"/>
          <w:i/>
          <w:iCs/>
          <w:color w:val="000000" w:themeColor="text1"/>
          <w:lang w:val="en-US"/>
        </w:rPr>
        <w:t xml:space="preserve"> des Buches Josua und </w:t>
      </w:r>
      <w:proofErr w:type="spellStart"/>
      <w:r w:rsidRPr="009C5A84">
        <w:rPr>
          <w:rFonts w:cs="Times New Roman"/>
          <w:i/>
          <w:iCs/>
          <w:color w:val="000000" w:themeColor="text1"/>
          <w:lang w:val="en-US"/>
        </w:rPr>
        <w:t>ihr</w:t>
      </w:r>
      <w:proofErr w:type="spellEnd"/>
      <w:r w:rsidRPr="009C5A84">
        <w:rPr>
          <w:rFonts w:cs="Times New Roman"/>
          <w:i/>
          <w:iCs/>
          <w:color w:val="000000" w:themeColor="text1"/>
          <w:lang w:val="en-US"/>
        </w:rPr>
        <w:t xml:space="preserve"> </w:t>
      </w:r>
      <w:proofErr w:type="spellStart"/>
      <w:r w:rsidRPr="009C5A84">
        <w:rPr>
          <w:rFonts w:cs="Times New Roman"/>
          <w:i/>
          <w:iCs/>
          <w:color w:val="000000" w:themeColor="text1"/>
          <w:lang w:val="en-US"/>
        </w:rPr>
        <w:t>textkritischer</w:t>
      </w:r>
      <w:proofErr w:type="spellEnd"/>
      <w:r w:rsidRPr="009C5A84">
        <w:rPr>
          <w:rFonts w:cs="Times New Roman"/>
          <w:i/>
          <w:iCs/>
          <w:color w:val="000000" w:themeColor="text1"/>
          <w:lang w:val="en-US"/>
        </w:rPr>
        <w:t xml:space="preserve"> Werth</w:t>
      </w:r>
      <w:r w:rsidRPr="009C5A84">
        <w:rPr>
          <w:rFonts w:cs="Times New Roman"/>
          <w:color w:val="000000" w:themeColor="text1"/>
          <w:lang w:val="en-US"/>
        </w:rPr>
        <w:t xml:space="preserve"> (Moers: Druck von J. Einer, 1876), 9.</w:t>
      </w:r>
    </w:p>
  </w:footnote>
  <w:footnote w:id="29">
    <w:p w14:paraId="6870CE69" w14:textId="3A5D6D5B" w:rsidR="002F3F11" w:rsidRPr="009C5A84" w:rsidRDefault="002F3F1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J. Freudenthal, “Are There Traces of Greek Philosophy in the </w:t>
      </w:r>
      <w:proofErr w:type="gramStart"/>
      <w:r w:rsidRPr="009C5A84">
        <w:rPr>
          <w:rFonts w:cs="Times New Roman"/>
          <w:color w:val="000000" w:themeColor="text1"/>
          <w:lang w:val="en-US"/>
        </w:rPr>
        <w:t>Septuagint?</w:t>
      </w:r>
      <w:r w:rsidR="006D682B" w:rsidRPr="009C5A84">
        <w:rPr>
          <w:rFonts w:cs="Times New Roman"/>
          <w:color w:val="000000" w:themeColor="text1"/>
          <w:lang w:val="en-US"/>
        </w:rPr>
        <w:t>,</w:t>
      </w:r>
      <w:proofErr w:type="gramEnd"/>
      <w:r w:rsidRPr="009C5A84">
        <w:rPr>
          <w:rFonts w:cs="Times New Roman"/>
          <w:color w:val="000000" w:themeColor="text1"/>
          <w:lang w:val="en-US"/>
        </w:rPr>
        <w:t xml:space="preserve">” </w:t>
      </w:r>
      <w:r w:rsidRPr="009C5A84">
        <w:rPr>
          <w:rFonts w:cs="Times New Roman"/>
          <w:i/>
          <w:iCs/>
          <w:color w:val="000000" w:themeColor="text1"/>
          <w:lang w:val="en-US"/>
        </w:rPr>
        <w:t xml:space="preserve">JQR </w:t>
      </w:r>
      <w:r w:rsidRPr="009C5A84">
        <w:rPr>
          <w:rFonts w:cs="Times New Roman"/>
          <w:color w:val="000000" w:themeColor="text1"/>
          <w:lang w:val="en-US"/>
        </w:rPr>
        <w:t>2/3</w:t>
      </w:r>
      <w:r w:rsidR="006D682B" w:rsidRPr="009C5A84">
        <w:rPr>
          <w:rFonts w:cs="Times New Roman"/>
          <w:color w:val="000000" w:themeColor="text1"/>
          <w:lang w:val="en-US"/>
        </w:rPr>
        <w:t xml:space="preserve"> (</w:t>
      </w:r>
      <w:r w:rsidRPr="009C5A84">
        <w:rPr>
          <w:rFonts w:cs="Times New Roman"/>
          <w:color w:val="000000" w:themeColor="text1"/>
          <w:lang w:val="en-US"/>
        </w:rPr>
        <w:t>1890</w:t>
      </w:r>
      <w:r w:rsidR="006D682B" w:rsidRPr="009C5A84">
        <w:rPr>
          <w:rFonts w:cs="Times New Roman"/>
          <w:color w:val="000000" w:themeColor="text1"/>
          <w:lang w:val="en-US"/>
        </w:rPr>
        <w:t>)</w:t>
      </w:r>
      <w:r w:rsidR="000009E4" w:rsidRPr="009C5A84">
        <w:rPr>
          <w:rFonts w:cs="Times New Roman"/>
          <w:color w:val="000000" w:themeColor="text1"/>
          <w:lang w:val="en-US"/>
        </w:rPr>
        <w:t>:</w:t>
      </w:r>
      <w:r w:rsidRPr="009C5A84">
        <w:rPr>
          <w:rFonts w:cs="Times New Roman"/>
          <w:color w:val="000000" w:themeColor="text1"/>
          <w:lang w:val="en-US"/>
        </w:rPr>
        <w:t xml:space="preserve"> 205</w:t>
      </w:r>
      <w:r w:rsidR="006D682B" w:rsidRPr="009C5A84">
        <w:rPr>
          <w:rFonts w:cs="Times New Roman"/>
          <w:color w:val="000000" w:themeColor="text1"/>
          <w:lang w:val="en-US"/>
        </w:rPr>
        <w:t>–</w:t>
      </w:r>
      <w:r w:rsidRPr="009C5A84">
        <w:rPr>
          <w:rFonts w:cs="Times New Roman"/>
          <w:color w:val="000000" w:themeColor="text1"/>
          <w:lang w:val="en-US"/>
        </w:rPr>
        <w:t>22.</w:t>
      </w:r>
    </w:p>
  </w:footnote>
  <w:footnote w:id="30">
    <w:p w14:paraId="4875C432" w14:textId="62966C8F" w:rsidR="00F91294" w:rsidRPr="009C5A84" w:rsidRDefault="00F9129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C4002B" w:rsidRPr="009C5A84">
        <w:rPr>
          <w:rFonts w:cs="Times New Roman"/>
          <w:color w:val="000000" w:themeColor="text1"/>
          <w:lang w:val="en-US"/>
        </w:rPr>
        <w:t>W. E. Barnes, “On the Influence of the Septuagint on the Peshitta</w:t>
      </w:r>
      <w:r w:rsidR="006D682B" w:rsidRPr="009C5A84">
        <w:rPr>
          <w:rFonts w:cs="Times New Roman"/>
          <w:color w:val="000000" w:themeColor="text1"/>
          <w:lang w:val="en-US"/>
        </w:rPr>
        <w:t>,</w:t>
      </w:r>
      <w:r w:rsidR="00C4002B" w:rsidRPr="009C5A84">
        <w:rPr>
          <w:rFonts w:cs="Times New Roman"/>
          <w:color w:val="000000" w:themeColor="text1"/>
          <w:lang w:val="en-US"/>
        </w:rPr>
        <w:t xml:space="preserve">” </w:t>
      </w:r>
      <w:r w:rsidR="00C4002B" w:rsidRPr="009C5A84">
        <w:rPr>
          <w:rFonts w:cs="Times New Roman"/>
          <w:i/>
          <w:iCs/>
          <w:color w:val="000000" w:themeColor="text1"/>
          <w:lang w:val="en-US"/>
        </w:rPr>
        <w:t>JTS</w:t>
      </w:r>
      <w:r w:rsidR="00C4002B" w:rsidRPr="009C5A84">
        <w:rPr>
          <w:rFonts w:cs="Times New Roman"/>
          <w:color w:val="000000" w:themeColor="text1"/>
          <w:lang w:val="en-US"/>
        </w:rPr>
        <w:t xml:space="preserve"> 2 (1901)</w:t>
      </w:r>
      <w:r w:rsidR="000009E4" w:rsidRPr="009C5A84">
        <w:rPr>
          <w:rFonts w:cs="Times New Roman"/>
          <w:color w:val="000000" w:themeColor="text1"/>
          <w:lang w:val="en-US"/>
        </w:rPr>
        <w:t xml:space="preserve">: </w:t>
      </w:r>
      <w:r w:rsidR="00C4002B" w:rsidRPr="009C5A84">
        <w:rPr>
          <w:rFonts w:cs="Times New Roman"/>
          <w:color w:val="000000" w:themeColor="text1"/>
          <w:lang w:val="en-US"/>
        </w:rPr>
        <w:t>186</w:t>
      </w:r>
      <w:r w:rsidR="000009E4" w:rsidRPr="009C5A84">
        <w:rPr>
          <w:rFonts w:cs="Times New Roman"/>
          <w:color w:val="000000" w:themeColor="text1"/>
          <w:lang w:val="en-US"/>
        </w:rPr>
        <w:t>–</w:t>
      </w:r>
      <w:r w:rsidR="00C4002B" w:rsidRPr="009C5A84">
        <w:rPr>
          <w:rFonts w:cs="Times New Roman"/>
          <w:color w:val="000000" w:themeColor="text1"/>
          <w:lang w:val="en-US"/>
        </w:rPr>
        <w:t>97.</w:t>
      </w:r>
    </w:p>
  </w:footnote>
  <w:footnote w:id="31">
    <w:p w14:paraId="51EC8F80" w14:textId="06E816F9" w:rsidR="001A588B" w:rsidRPr="009C5A84" w:rsidRDefault="001A588B"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Henry St John Thackeray, </w:t>
      </w:r>
      <w:r w:rsidRPr="009C5A84">
        <w:rPr>
          <w:rFonts w:cs="Times New Roman"/>
          <w:i/>
          <w:iCs/>
          <w:color w:val="000000" w:themeColor="text1"/>
          <w:lang w:val="en-US"/>
        </w:rPr>
        <w:t>Some Aspects of the Greek Old Testament</w:t>
      </w:r>
      <w:r w:rsidRPr="009C5A84">
        <w:rPr>
          <w:rFonts w:cs="Times New Roman"/>
          <w:color w:val="000000" w:themeColor="text1"/>
          <w:lang w:val="en-US"/>
        </w:rPr>
        <w:t xml:space="preserve"> (London: George Allen &amp; Unwin, 1927), 36</w:t>
      </w:r>
      <w:r w:rsidR="000009E4" w:rsidRPr="009C5A84">
        <w:rPr>
          <w:rFonts w:cs="Times New Roman"/>
          <w:color w:val="000000" w:themeColor="text1"/>
          <w:lang w:val="en-US"/>
        </w:rPr>
        <w:t>–</w:t>
      </w:r>
      <w:r w:rsidRPr="009C5A84">
        <w:rPr>
          <w:rFonts w:cs="Times New Roman"/>
          <w:color w:val="000000" w:themeColor="text1"/>
          <w:lang w:val="en-US"/>
        </w:rPr>
        <w:t>9.</w:t>
      </w:r>
    </w:p>
  </w:footnote>
  <w:footnote w:id="32">
    <w:p w14:paraId="371ADCDA" w14:textId="508A682E" w:rsidR="00062D8D" w:rsidRPr="009C5A84" w:rsidRDefault="00062D8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Gillis Gerleman, </w:t>
      </w:r>
      <w:r w:rsidRPr="009C5A84">
        <w:rPr>
          <w:rFonts w:cs="Times New Roman"/>
          <w:i/>
          <w:iCs/>
          <w:color w:val="000000" w:themeColor="text1"/>
          <w:lang w:val="en-US"/>
        </w:rPr>
        <w:t>Studies in the Septuagint. I: Book of Job</w:t>
      </w:r>
      <w:r w:rsidRPr="009C5A84">
        <w:rPr>
          <w:rFonts w:cs="Times New Roman"/>
          <w:color w:val="000000" w:themeColor="text1"/>
          <w:lang w:val="en-US"/>
        </w:rPr>
        <w:t xml:space="preserve"> (Lund: Gleerup, 1946), 58</w:t>
      </w:r>
      <w:r w:rsidR="000009E4" w:rsidRPr="009C5A84">
        <w:rPr>
          <w:rFonts w:cs="Times New Roman"/>
          <w:color w:val="000000" w:themeColor="text1"/>
          <w:lang w:val="en-US"/>
        </w:rPr>
        <w:t>–</w:t>
      </w:r>
      <w:r w:rsidRPr="009C5A84">
        <w:rPr>
          <w:rFonts w:cs="Times New Roman"/>
          <w:color w:val="000000" w:themeColor="text1"/>
          <w:lang w:val="en-US"/>
        </w:rPr>
        <w:t>9.</w:t>
      </w:r>
    </w:p>
  </w:footnote>
  <w:footnote w:id="33">
    <w:p w14:paraId="33484905" w14:textId="25B0B688" w:rsidR="00062D8D" w:rsidRPr="009C5A84" w:rsidRDefault="00062D8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i/>
          <w:iCs/>
          <w:color w:val="000000" w:themeColor="text1"/>
          <w:lang w:val="en-US"/>
        </w:rPr>
        <w:t xml:space="preserve">, </w:t>
      </w:r>
      <w:r w:rsidRPr="009C5A84">
        <w:rPr>
          <w:rFonts w:cs="Times New Roman"/>
          <w:color w:val="000000" w:themeColor="text1"/>
          <w:lang w:val="en-US"/>
        </w:rPr>
        <w:t>59.</w:t>
      </w:r>
    </w:p>
  </w:footnote>
  <w:footnote w:id="34">
    <w:p w14:paraId="11DE65F7" w14:textId="20C311BE" w:rsidR="00062D8D" w:rsidRPr="009C5A84" w:rsidRDefault="00062D8D" w:rsidP="00055A1C">
      <w:pPr>
        <w:pStyle w:val="Voetnoottekst"/>
        <w:rPr>
          <w:rFonts w:cs="Times New Roman"/>
          <w:color w:val="000000" w:themeColor="text1"/>
          <w:spacing w:val="-4"/>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Pr="009C5A84">
        <w:rPr>
          <w:rFonts w:cs="Times New Roman"/>
          <w:color w:val="000000" w:themeColor="text1"/>
          <w:spacing w:val="-4"/>
          <w:lang w:val="en-US"/>
        </w:rPr>
        <w:t>G</w:t>
      </w:r>
      <w:r w:rsidR="000009E4" w:rsidRPr="009C5A84">
        <w:rPr>
          <w:rFonts w:cs="Times New Roman"/>
          <w:color w:val="000000" w:themeColor="text1"/>
          <w:spacing w:val="-4"/>
          <w:lang w:val="en-US"/>
        </w:rPr>
        <w:t>eorg</w:t>
      </w:r>
      <w:r w:rsidRPr="009C5A84">
        <w:rPr>
          <w:rFonts w:cs="Times New Roman"/>
          <w:color w:val="000000" w:themeColor="text1"/>
          <w:spacing w:val="-4"/>
          <w:lang w:val="en-US"/>
        </w:rPr>
        <w:t xml:space="preserve"> Bertram, “</w:t>
      </w:r>
      <w:proofErr w:type="spellStart"/>
      <w:r w:rsidRPr="009C5A84">
        <w:rPr>
          <w:rFonts w:cs="Times New Roman"/>
          <w:color w:val="000000" w:themeColor="text1"/>
          <w:spacing w:val="-4"/>
          <w:lang w:val="en-US"/>
        </w:rPr>
        <w:t>Praeparatio</w:t>
      </w:r>
      <w:proofErr w:type="spellEnd"/>
      <w:r w:rsidRPr="009C5A84">
        <w:rPr>
          <w:rFonts w:cs="Times New Roman"/>
          <w:color w:val="000000" w:themeColor="text1"/>
          <w:spacing w:val="-4"/>
          <w:lang w:val="en-US"/>
        </w:rPr>
        <w:t xml:space="preserve"> </w:t>
      </w:r>
      <w:proofErr w:type="spellStart"/>
      <w:r w:rsidRPr="009C5A84">
        <w:rPr>
          <w:rFonts w:cs="Times New Roman"/>
          <w:color w:val="000000" w:themeColor="text1"/>
          <w:spacing w:val="-4"/>
          <w:lang w:val="en-US"/>
        </w:rPr>
        <w:t>evangelica</w:t>
      </w:r>
      <w:proofErr w:type="spellEnd"/>
      <w:r w:rsidRPr="009C5A84">
        <w:rPr>
          <w:rFonts w:cs="Times New Roman"/>
          <w:color w:val="000000" w:themeColor="text1"/>
          <w:spacing w:val="-4"/>
          <w:lang w:val="en-US"/>
        </w:rPr>
        <w:t xml:space="preserve"> in der </w:t>
      </w:r>
      <w:proofErr w:type="spellStart"/>
      <w:r w:rsidRPr="009C5A84">
        <w:rPr>
          <w:rFonts w:cs="Times New Roman"/>
          <w:color w:val="000000" w:themeColor="text1"/>
          <w:spacing w:val="-4"/>
          <w:lang w:val="en-US"/>
        </w:rPr>
        <w:t>Septuaginta</w:t>
      </w:r>
      <w:proofErr w:type="spellEnd"/>
      <w:r w:rsidR="000009E4" w:rsidRPr="009C5A84">
        <w:rPr>
          <w:rFonts w:cs="Times New Roman"/>
          <w:color w:val="000000" w:themeColor="text1"/>
          <w:spacing w:val="-4"/>
          <w:lang w:val="en-US"/>
        </w:rPr>
        <w:t>,</w:t>
      </w:r>
      <w:r w:rsidRPr="009C5A84">
        <w:rPr>
          <w:rFonts w:cs="Times New Roman"/>
          <w:color w:val="000000" w:themeColor="text1"/>
          <w:spacing w:val="-4"/>
          <w:lang w:val="en-US"/>
        </w:rPr>
        <w:t xml:space="preserve">” </w:t>
      </w:r>
      <w:r w:rsidRPr="009C5A84">
        <w:rPr>
          <w:rFonts w:cs="Times New Roman"/>
          <w:i/>
          <w:iCs/>
          <w:color w:val="000000" w:themeColor="text1"/>
          <w:spacing w:val="-4"/>
          <w:lang w:val="en-US"/>
        </w:rPr>
        <w:t xml:space="preserve">VT </w:t>
      </w:r>
      <w:r w:rsidRPr="009C5A84">
        <w:rPr>
          <w:rFonts w:cs="Times New Roman"/>
          <w:color w:val="000000" w:themeColor="text1"/>
          <w:spacing w:val="-4"/>
          <w:lang w:val="en-US"/>
        </w:rPr>
        <w:t>7</w:t>
      </w:r>
      <w:r w:rsidR="000009E4" w:rsidRPr="009C5A84">
        <w:rPr>
          <w:rFonts w:cs="Times New Roman"/>
          <w:color w:val="000000" w:themeColor="text1"/>
          <w:spacing w:val="-4"/>
          <w:lang w:val="en-US"/>
        </w:rPr>
        <w:t xml:space="preserve"> (</w:t>
      </w:r>
      <w:r w:rsidRPr="009C5A84">
        <w:rPr>
          <w:rFonts w:cs="Times New Roman"/>
          <w:color w:val="000000" w:themeColor="text1"/>
          <w:spacing w:val="-4"/>
          <w:lang w:val="en-US"/>
        </w:rPr>
        <w:t>1967</w:t>
      </w:r>
      <w:r w:rsidR="000009E4" w:rsidRPr="009C5A84">
        <w:rPr>
          <w:rFonts w:cs="Times New Roman"/>
          <w:color w:val="000000" w:themeColor="text1"/>
          <w:spacing w:val="-4"/>
          <w:lang w:val="en-US"/>
        </w:rPr>
        <w:t>):</w:t>
      </w:r>
      <w:r w:rsidRPr="009C5A84">
        <w:rPr>
          <w:rFonts w:cs="Times New Roman"/>
          <w:color w:val="000000" w:themeColor="text1"/>
          <w:spacing w:val="-4"/>
          <w:lang w:val="en-US"/>
        </w:rPr>
        <w:t xml:space="preserve"> 225–49.</w:t>
      </w:r>
    </w:p>
  </w:footnote>
  <w:footnote w:id="35">
    <w:p w14:paraId="2C23C94B" w14:textId="2D1E7CF8" w:rsidR="00062D8D" w:rsidRPr="009C5A84" w:rsidRDefault="00062D8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 xml:space="preserve">Georg </w:t>
      </w:r>
      <w:r w:rsidRPr="009C5A84">
        <w:rPr>
          <w:rStyle w:val="Nadruk"/>
          <w:rFonts w:cs="Times New Roman"/>
          <w:i w:val="0"/>
          <w:iCs w:val="0"/>
          <w:color w:val="000000" w:themeColor="text1"/>
          <w:lang w:val="en-US"/>
        </w:rPr>
        <w:t>Bertram</w:t>
      </w:r>
      <w:r w:rsidR="000009E4" w:rsidRPr="009C5A84">
        <w:rPr>
          <w:rStyle w:val="apple-converted-space"/>
          <w:rFonts w:cs="Times New Roman"/>
          <w:color w:val="000000" w:themeColor="text1"/>
          <w:shd w:val="clear" w:color="auto" w:fill="FFFFFF"/>
          <w:lang w:val="en-US"/>
        </w:rPr>
        <w:t>, “</w:t>
      </w:r>
      <w:proofErr w:type="spellStart"/>
      <w:r w:rsidRPr="009C5A84">
        <w:rPr>
          <w:rFonts w:cs="Times New Roman"/>
          <w:color w:val="000000" w:themeColor="text1"/>
          <w:shd w:val="clear" w:color="auto" w:fill="FFFFFF"/>
          <w:lang w:val="en-US"/>
        </w:rPr>
        <w:t>Vom</w:t>
      </w:r>
      <w:proofErr w:type="spellEnd"/>
      <w:r w:rsidRPr="009C5A84">
        <w:rPr>
          <w:rFonts w:cs="Times New Roman"/>
          <w:color w:val="000000" w:themeColor="text1"/>
          <w:shd w:val="clear" w:color="auto" w:fill="FFFFFF"/>
          <w:lang w:val="en-US"/>
        </w:rPr>
        <w:t xml:space="preserve"> Wesen der</w:t>
      </w:r>
      <w:r w:rsidRPr="009C5A84">
        <w:rPr>
          <w:rStyle w:val="apple-converted-space"/>
          <w:rFonts w:cs="Times New Roman"/>
          <w:color w:val="000000" w:themeColor="text1"/>
          <w:shd w:val="clear" w:color="auto" w:fill="FFFFFF"/>
          <w:lang w:val="en-US"/>
        </w:rPr>
        <w:t> </w:t>
      </w:r>
      <w:proofErr w:type="spellStart"/>
      <w:r w:rsidRPr="009C5A84">
        <w:rPr>
          <w:rStyle w:val="Nadruk"/>
          <w:rFonts w:cs="Times New Roman"/>
          <w:i w:val="0"/>
          <w:iCs w:val="0"/>
          <w:color w:val="000000" w:themeColor="text1"/>
          <w:lang w:val="en-US"/>
        </w:rPr>
        <w:t>Septuaginta</w:t>
      </w:r>
      <w:r w:rsidRPr="009C5A84">
        <w:rPr>
          <w:rFonts w:cs="Times New Roman"/>
          <w:color w:val="000000" w:themeColor="text1"/>
          <w:shd w:val="clear" w:color="auto" w:fill="FFFFFF"/>
          <w:lang w:val="en-US"/>
        </w:rPr>
        <w:t>-</w:t>
      </w:r>
      <w:r w:rsidRPr="009C5A84">
        <w:rPr>
          <w:rStyle w:val="Nadruk"/>
          <w:rFonts w:cs="Times New Roman"/>
          <w:i w:val="0"/>
          <w:iCs w:val="0"/>
          <w:color w:val="000000" w:themeColor="text1"/>
          <w:lang w:val="en-US"/>
        </w:rPr>
        <w:t>Frömmigkeit</w:t>
      </w:r>
      <w:proofErr w:type="spellEnd"/>
      <w:r w:rsidR="000009E4" w:rsidRPr="009C5A84">
        <w:rPr>
          <w:rStyle w:val="Nadruk"/>
          <w:rFonts w:cs="Times New Roman"/>
          <w:i w:val="0"/>
          <w:iCs w:val="0"/>
          <w:color w:val="000000" w:themeColor="text1"/>
          <w:lang w:val="en-US"/>
        </w:rPr>
        <w:t>,”</w:t>
      </w:r>
      <w:r w:rsidR="000009E4" w:rsidRPr="009C5A84">
        <w:rPr>
          <w:rStyle w:val="apple-converted-space"/>
          <w:rFonts w:cs="Times New Roman"/>
          <w:color w:val="000000" w:themeColor="text1"/>
          <w:shd w:val="clear" w:color="auto" w:fill="FFFFFF"/>
          <w:lang w:val="en-US"/>
        </w:rPr>
        <w:t xml:space="preserve"> </w:t>
      </w:r>
      <w:r w:rsidRPr="009C5A84">
        <w:rPr>
          <w:rFonts w:cs="Times New Roman"/>
          <w:i/>
          <w:iCs/>
          <w:color w:val="000000" w:themeColor="text1"/>
          <w:shd w:val="clear" w:color="auto" w:fill="FFFFFF"/>
          <w:lang w:val="en-US"/>
        </w:rPr>
        <w:t>WO</w:t>
      </w:r>
      <w:r w:rsidRPr="009C5A84">
        <w:rPr>
          <w:rFonts w:cs="Times New Roman"/>
          <w:color w:val="000000" w:themeColor="text1"/>
          <w:shd w:val="clear" w:color="auto" w:fill="FFFFFF"/>
          <w:lang w:val="en-US"/>
        </w:rPr>
        <w:t xml:space="preserve"> 2</w:t>
      </w:r>
      <w:r w:rsidR="000009E4" w:rsidRPr="009C5A84">
        <w:rPr>
          <w:rFonts w:cs="Times New Roman"/>
          <w:color w:val="000000" w:themeColor="text1"/>
          <w:shd w:val="clear" w:color="auto" w:fill="FFFFFF"/>
          <w:lang w:val="en-US"/>
        </w:rPr>
        <w:t xml:space="preserve"> (1956)</w:t>
      </w:r>
      <w:r w:rsidRPr="009C5A84">
        <w:rPr>
          <w:rFonts w:cs="Times New Roman"/>
          <w:color w:val="000000" w:themeColor="text1"/>
          <w:shd w:val="clear" w:color="auto" w:fill="FFFFFF"/>
          <w:lang w:val="en-US"/>
        </w:rPr>
        <w:t>: 274</w:t>
      </w:r>
      <w:r w:rsidR="000009E4" w:rsidRPr="009C5A84">
        <w:rPr>
          <w:rFonts w:cs="Times New Roman"/>
          <w:color w:val="000000" w:themeColor="text1"/>
          <w:shd w:val="clear" w:color="auto" w:fill="FFFFFF"/>
          <w:lang w:val="en-US"/>
        </w:rPr>
        <w:t>–</w:t>
      </w:r>
      <w:r w:rsidRPr="009C5A84">
        <w:rPr>
          <w:rFonts w:cs="Times New Roman"/>
          <w:color w:val="000000" w:themeColor="text1"/>
          <w:shd w:val="clear" w:color="auto" w:fill="FFFFFF"/>
          <w:lang w:val="en-US"/>
        </w:rPr>
        <w:t>83</w:t>
      </w:r>
      <w:r w:rsidR="000009E4" w:rsidRPr="009C5A84">
        <w:rPr>
          <w:rFonts w:cs="Times New Roman"/>
          <w:color w:val="000000" w:themeColor="text1"/>
          <w:shd w:val="clear" w:color="auto" w:fill="FFFFFF"/>
          <w:lang w:val="en-US"/>
        </w:rPr>
        <w:t>.</w:t>
      </w:r>
    </w:p>
  </w:footnote>
  <w:footnote w:id="36">
    <w:p w14:paraId="027D0FC6" w14:textId="732E33B1" w:rsidR="00062D8D" w:rsidRPr="009C5A84" w:rsidRDefault="00062D8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Martin </w:t>
      </w:r>
      <w:r w:rsidRPr="009C5A84">
        <w:rPr>
          <w:rStyle w:val="Nadruk"/>
          <w:rFonts w:cs="Times New Roman"/>
          <w:i w:val="0"/>
          <w:iCs w:val="0"/>
          <w:color w:val="000000" w:themeColor="text1"/>
          <w:lang w:val="en-US"/>
        </w:rPr>
        <w:t>Flashar</w:t>
      </w:r>
      <w:r w:rsidRPr="009C5A84">
        <w:rPr>
          <w:rFonts w:cs="Times New Roman"/>
          <w:color w:val="000000" w:themeColor="text1"/>
          <w:shd w:val="clear" w:color="auto" w:fill="FFFFFF"/>
          <w:lang w:val="en-US"/>
        </w:rPr>
        <w:t>, “</w:t>
      </w:r>
      <w:proofErr w:type="spellStart"/>
      <w:r w:rsidRPr="009C5A84">
        <w:rPr>
          <w:rStyle w:val="Nadruk"/>
          <w:rFonts w:cs="Times New Roman"/>
          <w:i w:val="0"/>
          <w:iCs w:val="0"/>
          <w:color w:val="000000" w:themeColor="text1"/>
          <w:lang w:val="en-US"/>
        </w:rPr>
        <w:t>Exegetische</w:t>
      </w:r>
      <w:proofErr w:type="spellEnd"/>
      <w:r w:rsidRPr="009C5A84">
        <w:rPr>
          <w:rStyle w:val="Nadruk"/>
          <w:rFonts w:cs="Times New Roman"/>
          <w:i w:val="0"/>
          <w:iCs w:val="0"/>
          <w:color w:val="000000" w:themeColor="text1"/>
          <w:lang w:val="en-US"/>
        </w:rPr>
        <w:t xml:space="preserve"> </w:t>
      </w:r>
      <w:proofErr w:type="spellStart"/>
      <w:r w:rsidRPr="009C5A84">
        <w:rPr>
          <w:rStyle w:val="Nadruk"/>
          <w:rFonts w:cs="Times New Roman"/>
          <w:i w:val="0"/>
          <w:iCs w:val="0"/>
          <w:color w:val="000000" w:themeColor="text1"/>
          <w:lang w:val="en-US"/>
        </w:rPr>
        <w:t>Studien</w:t>
      </w:r>
      <w:proofErr w:type="spellEnd"/>
      <w:r w:rsidRPr="009C5A84">
        <w:rPr>
          <w:rStyle w:val="apple-converted-space"/>
          <w:rFonts w:cs="Times New Roman"/>
          <w:color w:val="000000" w:themeColor="text1"/>
          <w:shd w:val="clear" w:color="auto" w:fill="FFFFFF"/>
          <w:lang w:val="en-US"/>
        </w:rPr>
        <w:t> </w:t>
      </w:r>
      <w:proofErr w:type="spellStart"/>
      <w:r w:rsidRPr="009C5A84">
        <w:rPr>
          <w:rFonts w:cs="Times New Roman"/>
          <w:color w:val="000000" w:themeColor="text1"/>
          <w:shd w:val="clear" w:color="auto" w:fill="FFFFFF"/>
          <w:lang w:val="en-US"/>
        </w:rPr>
        <w:t>zum</w:t>
      </w:r>
      <w:proofErr w:type="spellEnd"/>
      <w:r w:rsidRPr="009C5A84">
        <w:rPr>
          <w:rFonts w:cs="Times New Roman"/>
          <w:color w:val="000000" w:themeColor="text1"/>
          <w:shd w:val="clear" w:color="auto" w:fill="FFFFFF"/>
          <w:lang w:val="en-US"/>
        </w:rPr>
        <w:t xml:space="preserve"> </w:t>
      </w:r>
      <w:proofErr w:type="spellStart"/>
      <w:r w:rsidRPr="009C5A84">
        <w:rPr>
          <w:rFonts w:cs="Times New Roman"/>
          <w:color w:val="000000" w:themeColor="text1"/>
          <w:shd w:val="clear" w:color="auto" w:fill="FFFFFF"/>
          <w:lang w:val="en-US"/>
        </w:rPr>
        <w:t>Septuagintapsalter</w:t>
      </w:r>
      <w:proofErr w:type="spellEnd"/>
      <w:r w:rsidRPr="009C5A84">
        <w:rPr>
          <w:rFonts w:cs="Times New Roman"/>
          <w:color w:val="000000" w:themeColor="text1"/>
          <w:shd w:val="clear" w:color="auto" w:fill="FFFFFF"/>
          <w:lang w:val="en-US"/>
        </w:rPr>
        <w:t>,</w:t>
      </w:r>
      <w:r w:rsidR="000009E4" w:rsidRPr="009C5A84">
        <w:rPr>
          <w:rFonts w:cs="Times New Roman"/>
          <w:color w:val="000000" w:themeColor="text1"/>
          <w:shd w:val="clear" w:color="auto" w:fill="FFFFFF"/>
          <w:lang w:val="en-US"/>
        </w:rPr>
        <w:t>”</w:t>
      </w:r>
      <w:r w:rsidRPr="009C5A84">
        <w:rPr>
          <w:rFonts w:cs="Times New Roman"/>
          <w:color w:val="000000" w:themeColor="text1"/>
          <w:shd w:val="clear" w:color="auto" w:fill="FFFFFF"/>
          <w:lang w:val="en-US"/>
        </w:rPr>
        <w:t xml:space="preserve"> </w:t>
      </w:r>
      <w:r w:rsidRPr="009C5A84">
        <w:rPr>
          <w:rFonts w:cs="Times New Roman"/>
          <w:i/>
          <w:iCs/>
          <w:color w:val="000000" w:themeColor="text1"/>
          <w:shd w:val="clear" w:color="auto" w:fill="FFFFFF"/>
          <w:lang w:val="en-US"/>
        </w:rPr>
        <w:t>ZAW</w:t>
      </w:r>
      <w:r w:rsidRPr="009C5A84">
        <w:rPr>
          <w:rFonts w:cs="Times New Roman"/>
          <w:color w:val="000000" w:themeColor="text1"/>
          <w:shd w:val="clear" w:color="auto" w:fill="FFFFFF"/>
          <w:lang w:val="en-US"/>
        </w:rPr>
        <w:t xml:space="preserve"> 32 (1912): 81–116, 161–89, 241–68</w:t>
      </w:r>
      <w:r w:rsidR="000009E4" w:rsidRPr="009C5A84">
        <w:rPr>
          <w:rFonts w:cs="Times New Roman"/>
          <w:color w:val="000000" w:themeColor="text1"/>
          <w:shd w:val="clear" w:color="auto" w:fill="FFFFFF"/>
          <w:lang w:val="en-US"/>
        </w:rPr>
        <w:t>.</w:t>
      </w:r>
    </w:p>
  </w:footnote>
  <w:footnote w:id="37">
    <w:p w14:paraId="2D3D0105" w14:textId="7E4ADEFC" w:rsidR="00062D8D" w:rsidRPr="009C5A84" w:rsidRDefault="00062D8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color w:val="000000" w:themeColor="text1"/>
          <w:lang w:val="en-US"/>
        </w:rPr>
        <w:t xml:space="preserve"> 85.</w:t>
      </w:r>
    </w:p>
  </w:footnote>
  <w:footnote w:id="38">
    <w:p w14:paraId="7BF3F47F" w14:textId="5859B7D3" w:rsidR="002B3AEC" w:rsidRPr="009C5A84" w:rsidRDefault="002B3AEC"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color w:val="000000" w:themeColor="text1"/>
          <w:lang w:val="en-US"/>
        </w:rPr>
        <w:t>163</w:t>
      </w:r>
    </w:p>
  </w:footnote>
  <w:footnote w:id="39">
    <w:p w14:paraId="2EB1F8C1" w14:textId="3A017F29" w:rsidR="00477CC1" w:rsidRPr="009C5A84" w:rsidRDefault="00477CC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color w:val="000000" w:themeColor="text1"/>
          <w:lang w:val="en-US"/>
        </w:rPr>
        <w:t>176-180</w:t>
      </w:r>
    </w:p>
  </w:footnote>
  <w:footnote w:id="40">
    <w:p w14:paraId="4B5FD8C0" w14:textId="25CD87D9" w:rsidR="00477CC1" w:rsidRPr="009C5A84" w:rsidRDefault="00477CC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color w:val="000000" w:themeColor="text1"/>
          <w:lang w:val="en-US"/>
        </w:rPr>
        <w:t>252-253.</w:t>
      </w:r>
    </w:p>
  </w:footnote>
  <w:footnote w:id="41">
    <w:p w14:paraId="5CF0626B" w14:textId="6C47240E" w:rsidR="00E42CE1" w:rsidRPr="009C5A84" w:rsidRDefault="00E42CE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Fritsch, </w:t>
      </w:r>
      <w:r w:rsidRPr="009C5A84">
        <w:rPr>
          <w:rFonts w:cs="Times New Roman"/>
          <w:i/>
          <w:iCs/>
          <w:color w:val="000000" w:themeColor="text1"/>
          <w:lang w:val="en-US"/>
        </w:rPr>
        <w:t>Anti-anthropomorphisms</w:t>
      </w:r>
      <w:r w:rsidRPr="009C5A84">
        <w:rPr>
          <w:rFonts w:cs="Times New Roman"/>
          <w:color w:val="000000" w:themeColor="text1"/>
          <w:lang w:val="en-US"/>
        </w:rPr>
        <w:t>.</w:t>
      </w:r>
    </w:p>
  </w:footnote>
  <w:footnote w:id="42">
    <w:p w14:paraId="0A1C6901" w14:textId="31C29CE9" w:rsidR="00E42CE1" w:rsidRPr="009C5A84" w:rsidRDefault="00E42CE1"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Pr="009C5A84">
        <w:rPr>
          <w:rFonts w:cs="Times New Roman"/>
          <w:color w:val="000000" w:themeColor="text1"/>
          <w:lang w:val="fr-FR"/>
        </w:rPr>
        <w:t xml:space="preserve">Cf. </w:t>
      </w:r>
      <w:r w:rsidR="00B97ABC" w:rsidRPr="009C5A84">
        <w:rPr>
          <w:rFonts w:cs="Times New Roman"/>
          <w:color w:val="000000" w:themeColor="text1"/>
          <w:lang w:val="en-US"/>
        </w:rPr>
        <w:t>Harry Orlinsky, “Review of Charles T. Fritsch, The Anti-Anthropomorphisms of the Greek Pentateuch</w:t>
      </w:r>
      <w:r w:rsidR="000009E4" w:rsidRPr="009C5A84">
        <w:rPr>
          <w:rFonts w:cs="Times New Roman"/>
          <w:color w:val="000000" w:themeColor="text1"/>
          <w:lang w:val="en-US"/>
        </w:rPr>
        <w:t>,</w:t>
      </w:r>
      <w:r w:rsidR="00B97ABC" w:rsidRPr="009C5A84">
        <w:rPr>
          <w:rFonts w:cs="Times New Roman"/>
          <w:color w:val="000000" w:themeColor="text1"/>
          <w:lang w:val="en-US"/>
        </w:rPr>
        <w:t xml:space="preserve">” </w:t>
      </w:r>
      <w:proofErr w:type="spellStart"/>
      <w:r w:rsidR="00B97ABC" w:rsidRPr="009C5A84">
        <w:rPr>
          <w:rFonts w:cs="Times New Roman"/>
          <w:i/>
          <w:iCs/>
          <w:color w:val="000000" w:themeColor="text1"/>
          <w:lang w:val="en-US"/>
        </w:rPr>
        <w:t>CrozQ</w:t>
      </w:r>
      <w:proofErr w:type="spellEnd"/>
      <w:r w:rsidR="00B97ABC" w:rsidRPr="009C5A84">
        <w:rPr>
          <w:rFonts w:cs="Times New Roman"/>
          <w:color w:val="000000" w:themeColor="text1"/>
          <w:lang w:val="en-US"/>
        </w:rPr>
        <w:t xml:space="preserve"> 21</w:t>
      </w:r>
      <w:r w:rsidR="000009E4" w:rsidRPr="009C5A84">
        <w:rPr>
          <w:rFonts w:cs="Times New Roman"/>
          <w:color w:val="000000" w:themeColor="text1"/>
          <w:lang w:val="en-US"/>
        </w:rPr>
        <w:t xml:space="preserve"> (</w:t>
      </w:r>
      <w:r w:rsidR="00B97ABC" w:rsidRPr="009C5A84">
        <w:rPr>
          <w:rFonts w:cs="Times New Roman"/>
          <w:color w:val="000000" w:themeColor="text1"/>
          <w:lang w:val="en-US"/>
        </w:rPr>
        <w:t>1944</w:t>
      </w:r>
      <w:proofErr w:type="gramStart"/>
      <w:r w:rsidR="000009E4" w:rsidRPr="009C5A84">
        <w:rPr>
          <w:rFonts w:cs="Times New Roman"/>
          <w:color w:val="000000" w:themeColor="text1"/>
          <w:lang w:val="en-US"/>
        </w:rPr>
        <w:t>):</w:t>
      </w:r>
      <w:proofErr w:type="gramEnd"/>
      <w:r w:rsidR="00B97ABC" w:rsidRPr="009C5A84">
        <w:rPr>
          <w:rFonts w:cs="Times New Roman"/>
          <w:color w:val="000000" w:themeColor="text1"/>
          <w:lang w:val="en-US"/>
        </w:rPr>
        <w:t xml:space="preserve"> 156</w:t>
      </w:r>
      <w:r w:rsidR="000009E4" w:rsidRPr="009C5A84">
        <w:rPr>
          <w:rFonts w:cs="Times New Roman"/>
          <w:color w:val="000000" w:themeColor="text1"/>
          <w:lang w:val="en-US"/>
        </w:rPr>
        <w:t>–</w:t>
      </w:r>
      <w:r w:rsidR="00B97ABC" w:rsidRPr="009C5A84">
        <w:rPr>
          <w:rFonts w:cs="Times New Roman"/>
          <w:color w:val="000000" w:themeColor="text1"/>
          <w:lang w:val="en-US"/>
        </w:rPr>
        <w:t>60</w:t>
      </w:r>
      <w:r w:rsidRPr="009C5A84">
        <w:rPr>
          <w:rFonts w:cs="Times New Roman"/>
          <w:color w:val="000000" w:themeColor="text1"/>
          <w:lang w:val="fr-FR"/>
        </w:rPr>
        <w:t>.</w:t>
      </w:r>
    </w:p>
  </w:footnote>
  <w:footnote w:id="43">
    <w:p w14:paraId="2ADF8984" w14:textId="47DC5F77" w:rsidR="00E42CE1" w:rsidRPr="009C5A84" w:rsidRDefault="00E42CE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Fritsch, </w:t>
      </w:r>
      <w:r w:rsidRPr="009C5A84">
        <w:rPr>
          <w:rFonts w:cs="Times New Roman"/>
          <w:i/>
          <w:iCs/>
          <w:color w:val="000000" w:themeColor="text1"/>
          <w:lang w:val="en-US"/>
        </w:rPr>
        <w:t xml:space="preserve">Anti-anthropomorphisms, </w:t>
      </w:r>
      <w:r w:rsidRPr="009C5A84">
        <w:rPr>
          <w:rFonts w:cs="Times New Roman"/>
          <w:color w:val="000000" w:themeColor="text1"/>
          <w:lang w:val="en-US"/>
        </w:rPr>
        <w:t>15.</w:t>
      </w:r>
    </w:p>
  </w:footnote>
  <w:footnote w:id="44">
    <w:p w14:paraId="1F07558C" w14:textId="0C6B3F6C" w:rsidR="00E42CE1" w:rsidRPr="009C5A84" w:rsidRDefault="00E42CE1" w:rsidP="00055A1C">
      <w:pPr>
        <w:pStyle w:val="Voetnoottekst"/>
        <w:rPr>
          <w:rFonts w:cs="Times New Roman"/>
          <w:iCs/>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iCs/>
          <w:color w:val="000000" w:themeColor="text1"/>
          <w:lang w:val="en-US"/>
        </w:rPr>
        <w:t xml:space="preserve"> 16.</w:t>
      </w:r>
    </w:p>
  </w:footnote>
  <w:footnote w:id="45">
    <w:p w14:paraId="518BADA7" w14:textId="3603272D" w:rsidR="00565BE9" w:rsidRPr="009C5A84" w:rsidRDefault="00565BE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B97ABC" w:rsidRPr="009C5A84">
        <w:rPr>
          <w:rFonts w:cs="Times New Roman"/>
          <w:color w:val="000000" w:themeColor="text1"/>
          <w:lang w:val="en-US"/>
        </w:rPr>
        <w:t>Orlinsky, “Review of Charles T. Fritsch”</w:t>
      </w:r>
      <w:r w:rsidRPr="009C5A84">
        <w:rPr>
          <w:rFonts w:cs="Times New Roman"/>
          <w:color w:val="000000" w:themeColor="text1"/>
          <w:lang w:val="en-US"/>
        </w:rPr>
        <w:t xml:space="preserve">; </w:t>
      </w:r>
      <w:r w:rsidR="000009E4" w:rsidRPr="009C5A84">
        <w:rPr>
          <w:rFonts w:cs="Times New Roman"/>
          <w:color w:val="000000" w:themeColor="text1"/>
          <w:lang w:val="en-US"/>
        </w:rPr>
        <w:t>Idem</w:t>
      </w:r>
      <w:r w:rsidRPr="009C5A84">
        <w:rPr>
          <w:rFonts w:cs="Times New Roman"/>
          <w:color w:val="000000" w:themeColor="text1"/>
          <w:lang w:val="en-US"/>
        </w:rPr>
        <w:t xml:space="preserve">, “Studies in the Septuagint of the Book of Job. Chapter III: On the Matter of Anthropomorphisms, </w:t>
      </w:r>
      <w:proofErr w:type="spellStart"/>
      <w:r w:rsidRPr="009C5A84">
        <w:rPr>
          <w:rFonts w:cs="Times New Roman"/>
          <w:color w:val="000000" w:themeColor="text1"/>
          <w:lang w:val="en-US"/>
        </w:rPr>
        <w:t>Anthropopathisms</w:t>
      </w:r>
      <w:proofErr w:type="spellEnd"/>
      <w:r w:rsidRPr="009C5A84">
        <w:rPr>
          <w:rFonts w:cs="Times New Roman"/>
          <w:color w:val="000000" w:themeColor="text1"/>
          <w:lang w:val="en-US"/>
        </w:rPr>
        <w:t>, and Euphemisms</w:t>
      </w:r>
      <w:r w:rsidR="000009E4" w:rsidRPr="009C5A84">
        <w:rPr>
          <w:rFonts w:cs="Times New Roman"/>
          <w:color w:val="000000" w:themeColor="text1"/>
          <w:lang w:val="en-US"/>
        </w:rPr>
        <w:t>,</w:t>
      </w:r>
      <w:r w:rsidRPr="009C5A84">
        <w:rPr>
          <w:rFonts w:cs="Times New Roman"/>
          <w:color w:val="000000" w:themeColor="text1"/>
          <w:lang w:val="en-US"/>
        </w:rPr>
        <w:t xml:space="preserve">” </w:t>
      </w:r>
      <w:r w:rsidRPr="009C5A84">
        <w:rPr>
          <w:rFonts w:cs="Times New Roman"/>
          <w:i/>
          <w:iCs/>
          <w:color w:val="000000" w:themeColor="text1"/>
          <w:lang w:val="en-US"/>
        </w:rPr>
        <w:t>HUCA</w:t>
      </w:r>
      <w:r w:rsidRPr="009C5A84">
        <w:rPr>
          <w:rFonts w:cs="Times New Roman"/>
          <w:color w:val="000000" w:themeColor="text1"/>
          <w:lang w:val="en-US"/>
        </w:rPr>
        <w:t xml:space="preserve"> 30</w:t>
      </w:r>
      <w:r w:rsidR="000009E4" w:rsidRPr="009C5A84">
        <w:rPr>
          <w:rFonts w:cs="Times New Roman"/>
          <w:color w:val="000000" w:themeColor="text1"/>
          <w:lang w:val="en-US"/>
        </w:rPr>
        <w:t xml:space="preserve"> (</w:t>
      </w:r>
      <w:r w:rsidRPr="009C5A84">
        <w:rPr>
          <w:rFonts w:cs="Times New Roman"/>
          <w:color w:val="000000" w:themeColor="text1"/>
          <w:lang w:val="en-US"/>
        </w:rPr>
        <w:t>1959</w:t>
      </w:r>
      <w:r w:rsidR="000009E4" w:rsidRPr="009C5A84">
        <w:rPr>
          <w:rFonts w:cs="Times New Roman"/>
          <w:color w:val="000000" w:themeColor="text1"/>
          <w:lang w:val="en-US"/>
        </w:rPr>
        <w:t>):</w:t>
      </w:r>
      <w:r w:rsidRPr="009C5A84">
        <w:rPr>
          <w:rFonts w:cs="Times New Roman"/>
          <w:color w:val="000000" w:themeColor="text1"/>
          <w:lang w:val="en-US"/>
        </w:rPr>
        <w:t xml:space="preserve"> 153–67</w:t>
      </w:r>
      <w:r w:rsidR="00644273" w:rsidRPr="009C5A84">
        <w:rPr>
          <w:rFonts w:cs="Times New Roman"/>
          <w:color w:val="000000" w:themeColor="text1"/>
          <w:lang w:val="en-US"/>
        </w:rPr>
        <w:t xml:space="preserve">; Idem, “The Treatment of Anthropomorphisms and </w:t>
      </w:r>
      <w:proofErr w:type="spellStart"/>
      <w:r w:rsidR="00644273" w:rsidRPr="009C5A84">
        <w:rPr>
          <w:rFonts w:cs="Times New Roman"/>
          <w:color w:val="000000" w:themeColor="text1"/>
          <w:lang w:val="en-US"/>
        </w:rPr>
        <w:t>Anthropopathisms</w:t>
      </w:r>
      <w:proofErr w:type="spellEnd"/>
      <w:r w:rsidR="00644273" w:rsidRPr="009C5A84">
        <w:rPr>
          <w:rFonts w:cs="Times New Roman"/>
          <w:color w:val="000000" w:themeColor="text1"/>
          <w:lang w:val="en-US"/>
        </w:rPr>
        <w:t xml:space="preserve"> in the Septuagint of Isaiah,” </w:t>
      </w:r>
      <w:r w:rsidR="00644273" w:rsidRPr="009C5A84">
        <w:rPr>
          <w:rFonts w:cs="Times New Roman"/>
          <w:i/>
          <w:iCs/>
          <w:color w:val="000000" w:themeColor="text1"/>
          <w:lang w:val="en-US"/>
        </w:rPr>
        <w:t>HUCA</w:t>
      </w:r>
      <w:r w:rsidR="00644273" w:rsidRPr="009C5A84">
        <w:rPr>
          <w:rFonts w:cs="Times New Roman"/>
          <w:color w:val="000000" w:themeColor="text1"/>
          <w:lang w:val="en-US"/>
        </w:rPr>
        <w:t xml:space="preserve"> 27 (1956): 193-200</w:t>
      </w:r>
      <w:r w:rsidR="00D42FD0" w:rsidRPr="009C5A84">
        <w:rPr>
          <w:rFonts w:cs="Times New Roman"/>
          <w:color w:val="000000" w:themeColor="text1"/>
          <w:lang w:val="en-US"/>
        </w:rPr>
        <w:t xml:space="preserve"> </w:t>
      </w:r>
      <w:r w:rsidRPr="009C5A84">
        <w:rPr>
          <w:rFonts w:cs="Times New Roman"/>
          <w:color w:val="000000" w:themeColor="text1"/>
          <w:lang w:val="en-US"/>
        </w:rPr>
        <w:t>M</w:t>
      </w:r>
      <w:r w:rsidR="00B97ABC" w:rsidRPr="009C5A84">
        <w:rPr>
          <w:rFonts w:cs="Times New Roman"/>
          <w:color w:val="000000" w:themeColor="text1"/>
          <w:lang w:val="en-US"/>
        </w:rPr>
        <w:t>arshall</w:t>
      </w:r>
      <w:r w:rsidRPr="009C5A84">
        <w:rPr>
          <w:rFonts w:cs="Times New Roman"/>
          <w:color w:val="000000" w:themeColor="text1"/>
          <w:lang w:val="en-US"/>
        </w:rPr>
        <w:t xml:space="preserve"> Hurwitz, “The Septuagint of Isaiah 36–39 in Relation to that of 1–35, 40–66</w:t>
      </w:r>
      <w:r w:rsidR="000009E4" w:rsidRPr="009C5A84">
        <w:rPr>
          <w:rFonts w:cs="Times New Roman"/>
          <w:color w:val="000000" w:themeColor="text1"/>
          <w:lang w:val="en-US"/>
        </w:rPr>
        <w:t>,</w:t>
      </w:r>
      <w:r w:rsidRPr="009C5A84">
        <w:rPr>
          <w:rFonts w:cs="Times New Roman"/>
          <w:color w:val="000000" w:themeColor="text1"/>
          <w:lang w:val="en-US"/>
        </w:rPr>
        <w:t xml:space="preserve">” </w:t>
      </w:r>
      <w:r w:rsidRPr="009C5A84">
        <w:rPr>
          <w:rFonts w:cs="Times New Roman"/>
          <w:i/>
          <w:iCs/>
          <w:color w:val="000000" w:themeColor="text1"/>
          <w:lang w:val="en-US"/>
        </w:rPr>
        <w:t>HUCA</w:t>
      </w:r>
      <w:r w:rsidRPr="009C5A84">
        <w:rPr>
          <w:rFonts w:cs="Times New Roman"/>
          <w:color w:val="000000" w:themeColor="text1"/>
          <w:lang w:val="en-US"/>
        </w:rPr>
        <w:t xml:space="preserve"> 28</w:t>
      </w:r>
      <w:r w:rsidR="000009E4" w:rsidRPr="009C5A84">
        <w:rPr>
          <w:rFonts w:cs="Times New Roman"/>
          <w:color w:val="000000" w:themeColor="text1"/>
          <w:lang w:val="en-US"/>
        </w:rPr>
        <w:t xml:space="preserve"> (</w:t>
      </w:r>
      <w:r w:rsidRPr="009C5A84">
        <w:rPr>
          <w:rFonts w:cs="Times New Roman"/>
          <w:color w:val="000000" w:themeColor="text1"/>
          <w:lang w:val="en-US"/>
        </w:rPr>
        <w:t>1957</w:t>
      </w:r>
      <w:r w:rsidR="000009E4" w:rsidRPr="009C5A84">
        <w:rPr>
          <w:rFonts w:cs="Times New Roman"/>
          <w:color w:val="000000" w:themeColor="text1"/>
          <w:lang w:val="en-US"/>
        </w:rPr>
        <w:t>):</w:t>
      </w:r>
      <w:r w:rsidRPr="009C5A84">
        <w:rPr>
          <w:rFonts w:cs="Times New Roman"/>
          <w:color w:val="000000" w:themeColor="text1"/>
          <w:lang w:val="en-US"/>
        </w:rPr>
        <w:t xml:space="preserve"> 75–83; A</w:t>
      </w:r>
      <w:r w:rsidR="00B97ABC" w:rsidRPr="009C5A84">
        <w:rPr>
          <w:rFonts w:cs="Times New Roman"/>
          <w:color w:val="000000" w:themeColor="text1"/>
          <w:lang w:val="en-US"/>
        </w:rPr>
        <w:t>rthur</w:t>
      </w:r>
      <w:r w:rsidRPr="009C5A84">
        <w:rPr>
          <w:rFonts w:cs="Times New Roman"/>
          <w:color w:val="000000" w:themeColor="text1"/>
          <w:lang w:val="en-US"/>
        </w:rPr>
        <w:t xml:space="preserve"> Soffer, “The Treatment of Anthropomorphisms and </w:t>
      </w:r>
      <w:proofErr w:type="spellStart"/>
      <w:r w:rsidRPr="009C5A84">
        <w:rPr>
          <w:rFonts w:cs="Times New Roman"/>
          <w:color w:val="000000" w:themeColor="text1"/>
          <w:lang w:val="en-US"/>
        </w:rPr>
        <w:t>Anthropopathisms</w:t>
      </w:r>
      <w:proofErr w:type="spellEnd"/>
      <w:r w:rsidRPr="009C5A84">
        <w:rPr>
          <w:rFonts w:cs="Times New Roman"/>
          <w:color w:val="000000" w:themeColor="text1"/>
          <w:lang w:val="en-US"/>
        </w:rPr>
        <w:t xml:space="preserve"> in the Septuagint of Psalms</w:t>
      </w:r>
      <w:r w:rsidR="000009E4" w:rsidRPr="009C5A84">
        <w:rPr>
          <w:rFonts w:cs="Times New Roman"/>
          <w:color w:val="000000" w:themeColor="text1"/>
          <w:lang w:val="en-US"/>
        </w:rPr>
        <w:t>,</w:t>
      </w:r>
      <w:r w:rsidRPr="009C5A84">
        <w:rPr>
          <w:rFonts w:cs="Times New Roman"/>
          <w:color w:val="000000" w:themeColor="text1"/>
          <w:lang w:val="en-US"/>
        </w:rPr>
        <w:t xml:space="preserve">” </w:t>
      </w:r>
      <w:r w:rsidRPr="009C5A84">
        <w:rPr>
          <w:rFonts w:cs="Times New Roman"/>
          <w:i/>
          <w:iCs/>
          <w:color w:val="000000" w:themeColor="text1"/>
          <w:lang w:val="en-US"/>
        </w:rPr>
        <w:t>HUCA</w:t>
      </w:r>
      <w:r w:rsidRPr="009C5A84">
        <w:rPr>
          <w:rFonts w:cs="Times New Roman"/>
          <w:color w:val="000000" w:themeColor="text1"/>
          <w:lang w:val="en-US"/>
        </w:rPr>
        <w:t xml:space="preserve"> 28</w:t>
      </w:r>
      <w:r w:rsidR="000009E4" w:rsidRPr="009C5A84">
        <w:rPr>
          <w:rFonts w:cs="Times New Roman"/>
          <w:color w:val="000000" w:themeColor="text1"/>
          <w:lang w:val="en-US"/>
        </w:rPr>
        <w:t xml:space="preserve"> (</w:t>
      </w:r>
      <w:r w:rsidRPr="009C5A84">
        <w:rPr>
          <w:rFonts w:cs="Times New Roman"/>
          <w:color w:val="000000" w:themeColor="text1"/>
          <w:lang w:val="en-US"/>
        </w:rPr>
        <w:t>1957</w:t>
      </w:r>
      <w:r w:rsidR="000009E4" w:rsidRPr="009C5A84">
        <w:rPr>
          <w:rFonts w:cs="Times New Roman"/>
          <w:color w:val="000000" w:themeColor="text1"/>
          <w:lang w:val="en-US"/>
        </w:rPr>
        <w:t>):</w:t>
      </w:r>
      <w:r w:rsidRPr="009C5A84">
        <w:rPr>
          <w:rFonts w:cs="Times New Roman"/>
          <w:color w:val="000000" w:themeColor="text1"/>
          <w:lang w:val="en-US"/>
        </w:rPr>
        <w:t xml:space="preserve"> 85–107</w:t>
      </w:r>
      <w:r w:rsidR="000009E4" w:rsidRPr="009C5A84">
        <w:rPr>
          <w:rFonts w:cs="Times New Roman"/>
          <w:color w:val="000000" w:themeColor="text1"/>
          <w:lang w:val="en-US"/>
        </w:rPr>
        <w:t>;</w:t>
      </w:r>
      <w:r w:rsidR="00B97ABC" w:rsidRPr="009C5A84">
        <w:rPr>
          <w:rFonts w:cs="Times New Roman"/>
          <w:color w:val="000000" w:themeColor="text1"/>
          <w:lang w:val="en-US"/>
        </w:rPr>
        <w:t xml:space="preserve"> </w:t>
      </w:r>
      <w:r w:rsidRPr="009C5A84">
        <w:rPr>
          <w:rFonts w:cs="Times New Roman"/>
          <w:color w:val="000000" w:themeColor="text1"/>
          <w:lang w:val="en-US"/>
        </w:rPr>
        <w:t>T</w:t>
      </w:r>
      <w:r w:rsidR="00B97ABC" w:rsidRPr="009C5A84">
        <w:rPr>
          <w:rFonts w:cs="Times New Roman"/>
          <w:color w:val="000000" w:themeColor="text1"/>
          <w:lang w:val="en-US"/>
        </w:rPr>
        <w:t>horne</w:t>
      </w:r>
      <w:r w:rsidRPr="009C5A84">
        <w:rPr>
          <w:rFonts w:cs="Times New Roman"/>
          <w:color w:val="000000" w:themeColor="text1"/>
          <w:lang w:val="en-US"/>
        </w:rPr>
        <w:t xml:space="preserve"> Wittstruck, “The So-Called Anti-Anthropomorphisms in the Greek Text of Deuteronomy</w:t>
      </w:r>
      <w:r w:rsidR="000009E4" w:rsidRPr="009C5A84">
        <w:rPr>
          <w:rFonts w:cs="Times New Roman"/>
          <w:color w:val="000000" w:themeColor="text1"/>
          <w:lang w:val="en-US"/>
        </w:rPr>
        <w:t>,</w:t>
      </w:r>
      <w:r w:rsidRPr="009C5A84">
        <w:rPr>
          <w:rFonts w:cs="Times New Roman"/>
          <w:color w:val="000000" w:themeColor="text1"/>
          <w:lang w:val="en-US"/>
        </w:rPr>
        <w:t xml:space="preserve">” </w:t>
      </w:r>
      <w:r w:rsidRPr="009C5A84">
        <w:rPr>
          <w:rFonts w:cs="Times New Roman"/>
          <w:i/>
          <w:iCs/>
          <w:color w:val="000000" w:themeColor="text1"/>
          <w:lang w:val="en-US"/>
        </w:rPr>
        <w:t>CBQ</w:t>
      </w:r>
      <w:r w:rsidRPr="009C5A84">
        <w:rPr>
          <w:rFonts w:cs="Times New Roman"/>
          <w:color w:val="000000" w:themeColor="text1"/>
          <w:lang w:val="en-US"/>
        </w:rPr>
        <w:t xml:space="preserve"> 38/1</w:t>
      </w:r>
      <w:r w:rsidR="000009E4" w:rsidRPr="009C5A84">
        <w:rPr>
          <w:rFonts w:cs="Times New Roman"/>
          <w:color w:val="000000" w:themeColor="text1"/>
          <w:lang w:val="en-US"/>
        </w:rPr>
        <w:t xml:space="preserve"> (</w:t>
      </w:r>
      <w:r w:rsidRPr="009C5A84">
        <w:rPr>
          <w:rFonts w:cs="Times New Roman"/>
          <w:color w:val="000000" w:themeColor="text1"/>
          <w:lang w:val="en-US"/>
        </w:rPr>
        <w:t>1976</w:t>
      </w:r>
      <w:r w:rsidR="000009E4" w:rsidRPr="009C5A84">
        <w:rPr>
          <w:rFonts w:cs="Times New Roman"/>
          <w:color w:val="000000" w:themeColor="text1"/>
          <w:lang w:val="en-US"/>
        </w:rPr>
        <w:t>):</w:t>
      </w:r>
      <w:r w:rsidRPr="009C5A84">
        <w:rPr>
          <w:rFonts w:cs="Times New Roman"/>
          <w:color w:val="000000" w:themeColor="text1"/>
          <w:lang w:val="en-US"/>
        </w:rPr>
        <w:t xml:space="preserve"> 29–34</w:t>
      </w:r>
      <w:r w:rsidR="004F6B54" w:rsidRPr="009C5A84">
        <w:rPr>
          <w:rFonts w:cs="Times New Roman"/>
          <w:color w:val="000000" w:themeColor="text1"/>
          <w:lang w:val="en-US"/>
        </w:rPr>
        <w:t xml:space="preserve">; Philip M. Aronson, </w:t>
      </w:r>
      <w:r w:rsidR="004F6B54" w:rsidRPr="009C5A84">
        <w:rPr>
          <w:rFonts w:cs="Times New Roman"/>
          <w:i/>
          <w:iCs/>
          <w:color w:val="000000" w:themeColor="text1"/>
          <w:lang w:val="en-US"/>
        </w:rPr>
        <w:t xml:space="preserve">The Treatment of Anthropomorphisms and </w:t>
      </w:r>
      <w:proofErr w:type="spellStart"/>
      <w:r w:rsidR="004F6B54" w:rsidRPr="009C5A84">
        <w:rPr>
          <w:rFonts w:cs="Times New Roman"/>
          <w:i/>
          <w:iCs/>
          <w:color w:val="000000" w:themeColor="text1"/>
          <w:lang w:val="en-US"/>
        </w:rPr>
        <w:t>Anthropopathisms</w:t>
      </w:r>
      <w:proofErr w:type="spellEnd"/>
      <w:r w:rsidR="004F6B54" w:rsidRPr="009C5A84">
        <w:rPr>
          <w:rFonts w:cs="Times New Roman"/>
          <w:i/>
          <w:iCs/>
          <w:color w:val="000000" w:themeColor="text1"/>
          <w:lang w:val="en-US"/>
        </w:rPr>
        <w:t xml:space="preserve"> in the Septuagint of the Minor Prophets</w:t>
      </w:r>
      <w:r w:rsidR="000009E4" w:rsidRPr="009C5A84">
        <w:rPr>
          <w:rFonts w:cs="Times New Roman"/>
          <w:color w:val="000000" w:themeColor="text1"/>
          <w:lang w:val="en-US"/>
        </w:rPr>
        <w:t xml:space="preserve"> (</w:t>
      </w:r>
      <w:r w:rsidR="004F6B54" w:rsidRPr="009C5A84">
        <w:rPr>
          <w:rFonts w:cs="Times New Roman"/>
          <w:color w:val="000000" w:themeColor="text1"/>
          <w:lang w:val="en-US"/>
        </w:rPr>
        <w:t>PhD diss.</w:t>
      </w:r>
      <w:r w:rsidR="000009E4" w:rsidRPr="009C5A84">
        <w:rPr>
          <w:rFonts w:cs="Times New Roman"/>
          <w:color w:val="000000" w:themeColor="text1"/>
          <w:lang w:val="en-US"/>
        </w:rPr>
        <w:t>, supervisors: Harry Orlinsky &amp; Arthur Soffer;</w:t>
      </w:r>
      <w:r w:rsidR="004F6B54" w:rsidRPr="009C5A84">
        <w:rPr>
          <w:rFonts w:cs="Times New Roman"/>
          <w:color w:val="000000" w:themeColor="text1"/>
          <w:lang w:val="en-US"/>
        </w:rPr>
        <w:t xml:space="preserve"> Hebrew Union College New York, 1969). </w:t>
      </w:r>
      <w:r w:rsidR="00D42FD0" w:rsidRPr="009C5A84">
        <w:rPr>
          <w:rFonts w:cs="Times New Roman"/>
          <w:color w:val="000000" w:themeColor="text1"/>
          <w:lang w:val="en-US"/>
        </w:rPr>
        <w:t xml:space="preserve">Even though </w:t>
      </w:r>
      <w:proofErr w:type="spellStart"/>
      <w:r w:rsidR="00D42FD0" w:rsidRPr="009C5A84">
        <w:rPr>
          <w:rFonts w:cs="Times New Roman"/>
          <w:color w:val="000000" w:themeColor="text1"/>
          <w:lang w:val="en-US"/>
        </w:rPr>
        <w:t>Arieti</w:t>
      </w:r>
      <w:proofErr w:type="spellEnd"/>
      <w:r w:rsidR="00D42FD0" w:rsidRPr="009C5A84">
        <w:rPr>
          <w:rFonts w:cs="Times New Roman"/>
          <w:color w:val="000000" w:themeColor="text1"/>
          <w:lang w:val="en-US"/>
        </w:rPr>
        <w:t xml:space="preserve"> did not truly belong to this group, his PhD reaches a similar conclusion</w:t>
      </w:r>
      <w:r w:rsidR="00536649">
        <w:rPr>
          <w:rFonts w:cs="Times New Roman"/>
          <w:color w:val="000000" w:themeColor="text1"/>
          <w:lang w:val="en-US"/>
        </w:rPr>
        <w:t xml:space="preserve">: </w:t>
      </w:r>
      <w:r w:rsidR="00985530" w:rsidRPr="009C5A84">
        <w:rPr>
          <w:rFonts w:cs="Times New Roman"/>
          <w:color w:val="000000" w:themeColor="text1"/>
          <w:lang w:val="en-US"/>
        </w:rPr>
        <w:t xml:space="preserve">James A. </w:t>
      </w:r>
      <w:proofErr w:type="spellStart"/>
      <w:r w:rsidR="00985530" w:rsidRPr="009C5A84">
        <w:rPr>
          <w:rFonts w:cs="Times New Roman"/>
          <w:color w:val="000000" w:themeColor="text1"/>
          <w:lang w:val="en-US"/>
        </w:rPr>
        <w:t>Arieti</w:t>
      </w:r>
      <w:proofErr w:type="spellEnd"/>
      <w:r w:rsidR="00985530" w:rsidRPr="009C5A84">
        <w:rPr>
          <w:rFonts w:cs="Times New Roman"/>
          <w:color w:val="000000" w:themeColor="text1"/>
          <w:lang w:val="en-US"/>
        </w:rPr>
        <w:t xml:space="preserve">, </w:t>
      </w:r>
      <w:r w:rsidR="00985530" w:rsidRPr="009C5A84">
        <w:rPr>
          <w:rFonts w:cs="Times New Roman"/>
          <w:i/>
          <w:iCs/>
          <w:color w:val="000000" w:themeColor="text1"/>
          <w:lang w:val="en-US"/>
        </w:rPr>
        <w:t>A Study in the Septuagint of Amos</w:t>
      </w:r>
      <w:r w:rsidR="000009E4" w:rsidRPr="009C5A84">
        <w:rPr>
          <w:rFonts w:cs="Times New Roman"/>
          <w:i/>
          <w:iCs/>
          <w:color w:val="000000" w:themeColor="text1"/>
          <w:lang w:val="en-US"/>
        </w:rPr>
        <w:t xml:space="preserve"> </w:t>
      </w:r>
      <w:r w:rsidR="000009E4" w:rsidRPr="009C5A84">
        <w:rPr>
          <w:rFonts w:cs="Times New Roman"/>
          <w:color w:val="000000" w:themeColor="text1"/>
          <w:lang w:val="en-US"/>
        </w:rPr>
        <w:t>(</w:t>
      </w:r>
      <w:r w:rsidR="00985530" w:rsidRPr="009C5A84">
        <w:rPr>
          <w:rFonts w:cs="Times New Roman"/>
          <w:color w:val="000000" w:themeColor="text1"/>
          <w:lang w:val="en-US"/>
        </w:rPr>
        <w:t>PhD diss.</w:t>
      </w:r>
      <w:r w:rsidR="000009E4" w:rsidRPr="009C5A84">
        <w:rPr>
          <w:rFonts w:cs="Times New Roman"/>
          <w:color w:val="000000" w:themeColor="text1"/>
          <w:lang w:val="en-US"/>
        </w:rPr>
        <w:t>;</w:t>
      </w:r>
      <w:r w:rsidR="00985530" w:rsidRPr="009C5A84">
        <w:rPr>
          <w:rFonts w:cs="Times New Roman"/>
          <w:color w:val="000000" w:themeColor="text1"/>
          <w:lang w:val="en-US"/>
        </w:rPr>
        <w:t xml:space="preserve"> Stanford University, 1972</w:t>
      </w:r>
      <w:r w:rsidR="000009E4" w:rsidRPr="009C5A84">
        <w:rPr>
          <w:rFonts w:cs="Times New Roman"/>
          <w:color w:val="000000" w:themeColor="text1"/>
          <w:lang w:val="en-US"/>
        </w:rPr>
        <w:t>)</w:t>
      </w:r>
      <w:r w:rsidR="009C5597" w:rsidRPr="009C5A84">
        <w:rPr>
          <w:rFonts w:cs="Times New Roman"/>
          <w:color w:val="000000" w:themeColor="text1"/>
          <w:lang w:val="en-US"/>
        </w:rPr>
        <w:t xml:space="preserve">, </w:t>
      </w:r>
      <w:r w:rsidR="00536649">
        <w:rPr>
          <w:rFonts w:cs="Times New Roman"/>
          <w:color w:val="000000" w:themeColor="text1"/>
          <w:lang w:val="en-US"/>
        </w:rPr>
        <w:t>esp. 92–</w:t>
      </w:r>
      <w:r w:rsidR="009C5597" w:rsidRPr="009C5A84">
        <w:rPr>
          <w:rFonts w:cs="Times New Roman"/>
          <w:color w:val="000000" w:themeColor="text1"/>
          <w:lang w:val="en-US"/>
        </w:rPr>
        <w:t>102</w:t>
      </w:r>
      <w:r w:rsidR="00985530" w:rsidRPr="009C5A84">
        <w:rPr>
          <w:rFonts w:cs="Times New Roman"/>
          <w:color w:val="000000" w:themeColor="text1"/>
          <w:lang w:val="en-US"/>
        </w:rPr>
        <w:t>.</w:t>
      </w:r>
    </w:p>
  </w:footnote>
  <w:footnote w:id="46">
    <w:p w14:paraId="604385B1" w14:textId="59687B0E" w:rsidR="001A2B43" w:rsidRPr="009C5A84" w:rsidRDefault="001A2B43"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 synthesis </w:t>
      </w:r>
      <w:r w:rsidR="00FE4A9C" w:rsidRPr="009C5A84">
        <w:rPr>
          <w:rFonts w:cs="Times New Roman"/>
          <w:color w:val="000000" w:themeColor="text1"/>
          <w:lang w:val="en-US"/>
        </w:rPr>
        <w:t xml:space="preserve">is found in </w:t>
      </w:r>
      <w:r w:rsidR="000009E4" w:rsidRPr="009C5A84">
        <w:rPr>
          <w:rFonts w:cs="Times New Roman"/>
          <w:color w:val="000000" w:themeColor="text1"/>
          <w:lang w:val="en-US"/>
        </w:rPr>
        <w:t xml:space="preserve">Harry Orlinsky, “The Septuagint as Holy Writ and the Philosophy of the Translators,” </w:t>
      </w:r>
      <w:r w:rsidR="000009E4" w:rsidRPr="009C5A84">
        <w:rPr>
          <w:rFonts w:cs="Times New Roman"/>
          <w:i/>
          <w:iCs/>
          <w:color w:val="000000" w:themeColor="text1"/>
          <w:lang w:val="en-US"/>
        </w:rPr>
        <w:t>HUCA</w:t>
      </w:r>
      <w:r w:rsidR="000009E4" w:rsidRPr="009C5A84">
        <w:rPr>
          <w:rFonts w:cs="Times New Roman"/>
          <w:color w:val="000000" w:themeColor="text1"/>
          <w:lang w:val="en-US"/>
        </w:rPr>
        <w:t xml:space="preserve"> 46 (1975): 89–114</w:t>
      </w:r>
    </w:p>
  </w:footnote>
  <w:footnote w:id="47">
    <w:p w14:paraId="037B94B7" w14:textId="68B27D2F" w:rsidR="001C73FB" w:rsidRPr="009C5A84" w:rsidRDefault="001C73FB"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4F6B54" w:rsidRPr="009C5A84">
        <w:rPr>
          <w:rFonts w:ascii="Times New Roman" w:hAnsi="Times New Roman" w:cs="Times New Roman"/>
          <w:color w:val="000000" w:themeColor="text1"/>
          <w:sz w:val="20"/>
          <w:szCs w:val="20"/>
          <w:lang w:val="en-US"/>
        </w:rPr>
        <w:t xml:space="preserve">Charles </w:t>
      </w:r>
      <w:r w:rsidRPr="009C5A84">
        <w:rPr>
          <w:rFonts w:ascii="Times New Roman" w:hAnsi="Times New Roman" w:cs="Times New Roman"/>
          <w:color w:val="000000" w:themeColor="text1"/>
          <w:sz w:val="20"/>
          <w:szCs w:val="20"/>
          <w:lang w:val="en-US"/>
        </w:rPr>
        <w:t>Fritsch, “A Study of the Greek Translation of the Hebrew Verbs “To See”, With the Deity as Subject or Object</w:t>
      </w:r>
      <w:r w:rsidR="000009E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w:t>
      </w:r>
      <w:proofErr w:type="spellStart"/>
      <w:r w:rsidR="004F6B54" w:rsidRPr="009C5A84">
        <w:rPr>
          <w:rFonts w:ascii="Times New Roman" w:hAnsi="Times New Roman" w:cs="Times New Roman"/>
          <w:i/>
          <w:iCs/>
          <w:color w:val="000000" w:themeColor="text1"/>
          <w:sz w:val="20"/>
          <w:szCs w:val="20"/>
          <w:lang w:val="en-US"/>
        </w:rPr>
        <w:t>EretzIsrael</w:t>
      </w:r>
      <w:proofErr w:type="spellEnd"/>
      <w:r w:rsidRPr="009C5A84">
        <w:rPr>
          <w:rFonts w:ascii="Times New Roman" w:hAnsi="Times New Roman" w:cs="Times New Roman"/>
          <w:color w:val="000000" w:themeColor="text1"/>
          <w:sz w:val="20"/>
          <w:szCs w:val="20"/>
          <w:lang w:val="en-US"/>
        </w:rPr>
        <w:t xml:space="preserve"> 16</w:t>
      </w:r>
      <w:r w:rsidR="000009E4" w:rsidRPr="009C5A84">
        <w:rPr>
          <w:rFonts w:ascii="Times New Roman" w:hAnsi="Times New Roman" w:cs="Times New Roman"/>
          <w:i/>
          <w:iCs/>
          <w:color w:val="000000" w:themeColor="text1"/>
          <w:sz w:val="20"/>
          <w:szCs w:val="20"/>
          <w:lang w:val="en-US"/>
        </w:rPr>
        <w:t xml:space="preserve"> </w:t>
      </w:r>
      <w:r w:rsidR="000009E4" w:rsidRPr="009C5A84">
        <w:rPr>
          <w:rFonts w:ascii="Times New Roman" w:hAnsi="Times New Roman" w:cs="Times New Roman"/>
          <w:color w:val="000000" w:themeColor="text1"/>
          <w:sz w:val="20"/>
          <w:szCs w:val="20"/>
          <w:lang w:val="en-US"/>
        </w:rPr>
        <w:t>(1982):</w:t>
      </w:r>
      <w:r w:rsidR="004F6B54" w:rsidRPr="009C5A84">
        <w:rPr>
          <w:rFonts w:ascii="Times New Roman" w:hAnsi="Times New Roman" w:cs="Times New Roman"/>
          <w:i/>
          <w:iCs/>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51</w:t>
      </w:r>
      <w:r w:rsidR="000009E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6; </w:t>
      </w:r>
      <w:r w:rsidR="000009E4" w:rsidRPr="009C5A84">
        <w:rPr>
          <w:rFonts w:ascii="Times New Roman" w:hAnsi="Times New Roman" w:cs="Times New Roman"/>
          <w:color w:val="000000" w:themeColor="text1"/>
          <w:sz w:val="20"/>
          <w:szCs w:val="20"/>
          <w:lang w:val="en-US"/>
        </w:rPr>
        <w:t>Idem</w:t>
      </w:r>
      <w:r w:rsidRPr="009C5A84">
        <w:rPr>
          <w:rStyle w:val="Nadruk"/>
          <w:rFonts w:ascii="Times New Roman" w:hAnsi="Times New Roman" w:cs="Times New Roman"/>
          <w:b/>
          <w:bCs/>
          <w:i w:val="0"/>
          <w:iCs w:val="0"/>
          <w:color w:val="000000" w:themeColor="text1"/>
          <w:sz w:val="20"/>
          <w:szCs w:val="20"/>
          <w:lang w:val="en-US"/>
        </w:rPr>
        <w:t xml:space="preserve">, </w:t>
      </w:r>
      <w:r w:rsidRPr="009C5A84">
        <w:rPr>
          <w:rStyle w:val="Nadruk"/>
          <w:rFonts w:ascii="Times New Roman" w:hAnsi="Times New Roman" w:cs="Times New Roman"/>
          <w:i w:val="0"/>
          <w:iCs w:val="0"/>
          <w:color w:val="000000" w:themeColor="text1"/>
          <w:sz w:val="20"/>
          <w:szCs w:val="20"/>
          <w:lang w:val="en-US"/>
        </w:rPr>
        <w:t>“The Concept of God</w:t>
      </w:r>
      <w:r w:rsidRPr="009C5A84">
        <w:rPr>
          <w:rStyle w:val="apple-converted-space"/>
          <w:rFonts w:ascii="Times New Roman" w:hAnsi="Times New Roman" w:cs="Times New Roman"/>
          <w:color w:val="000000" w:themeColor="text1"/>
          <w:sz w:val="20"/>
          <w:szCs w:val="20"/>
          <w:shd w:val="clear" w:color="auto" w:fill="FFFFFF"/>
          <w:lang w:val="en-US"/>
        </w:rPr>
        <w:t> </w:t>
      </w:r>
      <w:r w:rsidRPr="009C5A84">
        <w:rPr>
          <w:rFonts w:ascii="Times New Roman" w:hAnsi="Times New Roman" w:cs="Times New Roman"/>
          <w:color w:val="000000" w:themeColor="text1"/>
          <w:sz w:val="20"/>
          <w:szCs w:val="20"/>
          <w:shd w:val="clear" w:color="auto" w:fill="FFFFFF"/>
          <w:lang w:val="en-US"/>
        </w:rPr>
        <w:t>in the Greek Translation of</w:t>
      </w:r>
      <w:r w:rsidRPr="009C5A84">
        <w:rPr>
          <w:rStyle w:val="apple-converted-space"/>
          <w:rFonts w:ascii="Times New Roman" w:hAnsi="Times New Roman" w:cs="Times New Roman"/>
          <w:color w:val="000000" w:themeColor="text1"/>
          <w:sz w:val="20"/>
          <w:szCs w:val="20"/>
          <w:shd w:val="clear" w:color="auto" w:fill="FFFFFF"/>
          <w:lang w:val="en-US"/>
        </w:rPr>
        <w:t> </w:t>
      </w:r>
      <w:r w:rsidRPr="009C5A84">
        <w:rPr>
          <w:rStyle w:val="Nadruk"/>
          <w:rFonts w:ascii="Times New Roman" w:hAnsi="Times New Roman" w:cs="Times New Roman"/>
          <w:i w:val="0"/>
          <w:iCs w:val="0"/>
          <w:color w:val="000000" w:themeColor="text1"/>
          <w:sz w:val="20"/>
          <w:szCs w:val="20"/>
          <w:lang w:val="en-US"/>
        </w:rPr>
        <w:t>Isaiah</w:t>
      </w:r>
      <w:r w:rsidR="000009E4" w:rsidRPr="009C5A84">
        <w:rPr>
          <w:rFonts w:ascii="Times New Roman" w:hAnsi="Times New Roman" w:cs="Times New Roman"/>
          <w:color w:val="000000" w:themeColor="text1"/>
          <w:sz w:val="20"/>
          <w:szCs w:val="20"/>
          <w:shd w:val="clear" w:color="auto" w:fill="FFFFFF"/>
          <w:lang w:val="en-US"/>
        </w:rPr>
        <w:t>,</w:t>
      </w:r>
      <w:r w:rsidRPr="009C5A84">
        <w:rPr>
          <w:rFonts w:ascii="Times New Roman" w:hAnsi="Times New Roman" w:cs="Times New Roman"/>
          <w:color w:val="000000" w:themeColor="text1"/>
          <w:sz w:val="20"/>
          <w:szCs w:val="20"/>
          <w:shd w:val="clear" w:color="auto" w:fill="FFFFFF"/>
          <w:lang w:val="en-US"/>
        </w:rPr>
        <w:t xml:space="preserve">” in </w:t>
      </w:r>
      <w:r w:rsidRPr="009C5A84">
        <w:rPr>
          <w:rFonts w:ascii="Times New Roman" w:hAnsi="Times New Roman" w:cs="Times New Roman"/>
          <w:i/>
          <w:iCs/>
          <w:color w:val="000000" w:themeColor="text1"/>
          <w:sz w:val="20"/>
          <w:szCs w:val="20"/>
          <w:shd w:val="clear" w:color="auto" w:fill="FFFFFF"/>
          <w:lang w:val="en-US"/>
        </w:rPr>
        <w:t>Biblical Studies in Memory of H. C. Alleman</w:t>
      </w:r>
      <w:r w:rsidR="002A1E3B">
        <w:rPr>
          <w:rFonts w:ascii="Times New Roman" w:hAnsi="Times New Roman" w:cs="Times New Roman"/>
          <w:color w:val="000000" w:themeColor="text1"/>
          <w:sz w:val="20"/>
          <w:szCs w:val="20"/>
          <w:shd w:val="clear" w:color="auto" w:fill="FFFFFF"/>
          <w:lang w:val="en-US"/>
        </w:rPr>
        <w:t xml:space="preserve">, </w:t>
      </w:r>
      <w:r w:rsidRPr="009C5A84">
        <w:rPr>
          <w:rFonts w:ascii="Times New Roman" w:hAnsi="Times New Roman" w:cs="Times New Roman"/>
          <w:color w:val="000000" w:themeColor="text1"/>
          <w:sz w:val="20"/>
          <w:szCs w:val="20"/>
          <w:shd w:val="clear" w:color="auto" w:fill="FFFFFF"/>
          <w:lang w:val="en-US"/>
        </w:rPr>
        <w:t xml:space="preserve">ed. O. </w:t>
      </w:r>
      <w:proofErr w:type="spellStart"/>
      <w:r w:rsidRPr="009C5A84">
        <w:rPr>
          <w:rFonts w:ascii="Times New Roman" w:hAnsi="Times New Roman" w:cs="Times New Roman"/>
          <w:color w:val="000000" w:themeColor="text1"/>
          <w:sz w:val="20"/>
          <w:szCs w:val="20"/>
          <w:shd w:val="clear" w:color="auto" w:fill="FFFFFF"/>
          <w:lang w:val="en-US"/>
        </w:rPr>
        <w:t>Reimherr</w:t>
      </w:r>
      <w:proofErr w:type="spellEnd"/>
      <w:r w:rsidRPr="009C5A84">
        <w:rPr>
          <w:rFonts w:ascii="Times New Roman" w:hAnsi="Times New Roman" w:cs="Times New Roman"/>
          <w:color w:val="000000" w:themeColor="text1"/>
          <w:sz w:val="20"/>
          <w:szCs w:val="20"/>
          <w:shd w:val="clear" w:color="auto" w:fill="FFFFFF"/>
          <w:lang w:val="en-US"/>
        </w:rPr>
        <w:t>, Jacob M. Myers, and H. N. Bream</w:t>
      </w:r>
      <w:r w:rsidR="000009E4" w:rsidRPr="009C5A84">
        <w:rPr>
          <w:rFonts w:ascii="Times New Roman" w:hAnsi="Times New Roman" w:cs="Times New Roman"/>
          <w:color w:val="000000" w:themeColor="text1"/>
          <w:sz w:val="20"/>
          <w:szCs w:val="20"/>
          <w:shd w:val="clear" w:color="auto" w:fill="FFFFFF"/>
          <w:lang w:val="en-US"/>
        </w:rPr>
        <w:t xml:space="preserve"> </w:t>
      </w:r>
      <w:r w:rsidR="002A1E3B">
        <w:rPr>
          <w:rFonts w:ascii="Times New Roman" w:hAnsi="Times New Roman" w:cs="Times New Roman"/>
          <w:color w:val="000000" w:themeColor="text1"/>
          <w:sz w:val="20"/>
          <w:szCs w:val="20"/>
          <w:shd w:val="clear" w:color="auto" w:fill="FFFFFF"/>
          <w:lang w:val="en-US"/>
        </w:rPr>
        <w:t>(</w:t>
      </w:r>
      <w:r w:rsidRPr="009C5A84">
        <w:rPr>
          <w:rFonts w:ascii="Times New Roman" w:hAnsi="Times New Roman" w:cs="Times New Roman"/>
          <w:color w:val="000000" w:themeColor="text1"/>
          <w:sz w:val="20"/>
          <w:szCs w:val="20"/>
          <w:shd w:val="clear" w:color="auto" w:fill="FFFFFF"/>
          <w:lang w:val="en-US"/>
        </w:rPr>
        <w:t>Locust Valley: J. J. Augustin, 1960), 155</w:t>
      </w:r>
      <w:r w:rsidR="000009E4" w:rsidRPr="009C5A84">
        <w:rPr>
          <w:rFonts w:ascii="Times New Roman" w:hAnsi="Times New Roman" w:cs="Times New Roman"/>
          <w:color w:val="000000" w:themeColor="text1"/>
          <w:sz w:val="20"/>
          <w:szCs w:val="20"/>
          <w:shd w:val="clear" w:color="auto" w:fill="FFFFFF"/>
          <w:lang w:val="en-US"/>
        </w:rPr>
        <w:t>–</w:t>
      </w:r>
      <w:r w:rsidRPr="009C5A84">
        <w:rPr>
          <w:rFonts w:ascii="Times New Roman" w:hAnsi="Times New Roman" w:cs="Times New Roman"/>
          <w:color w:val="000000" w:themeColor="text1"/>
          <w:sz w:val="20"/>
          <w:szCs w:val="20"/>
          <w:shd w:val="clear" w:color="auto" w:fill="FFFFFF"/>
          <w:lang w:val="en-US"/>
        </w:rPr>
        <w:t>69 (165</w:t>
      </w:r>
      <w:r w:rsidR="000009E4" w:rsidRPr="009C5A84">
        <w:rPr>
          <w:rFonts w:ascii="Times New Roman" w:hAnsi="Times New Roman" w:cs="Times New Roman"/>
          <w:color w:val="000000" w:themeColor="text1"/>
          <w:sz w:val="20"/>
          <w:szCs w:val="20"/>
          <w:shd w:val="clear" w:color="auto" w:fill="FFFFFF"/>
          <w:lang w:val="en-US"/>
        </w:rPr>
        <w:t>–</w:t>
      </w:r>
      <w:r w:rsidRPr="009C5A84">
        <w:rPr>
          <w:rFonts w:ascii="Times New Roman" w:hAnsi="Times New Roman" w:cs="Times New Roman"/>
          <w:color w:val="000000" w:themeColor="text1"/>
          <w:sz w:val="20"/>
          <w:szCs w:val="20"/>
          <w:shd w:val="clear" w:color="auto" w:fill="FFFFFF"/>
          <w:lang w:val="en-US"/>
        </w:rPr>
        <w:t>6).</w:t>
      </w:r>
    </w:p>
  </w:footnote>
  <w:footnote w:id="48">
    <w:p w14:paraId="51BE0154" w14:textId="77777777" w:rsidR="00215F8D" w:rsidRPr="009C5A84" w:rsidRDefault="00215F8D" w:rsidP="00215F8D">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Howard M. </w:t>
      </w:r>
      <w:r w:rsidRPr="009C5A84">
        <w:rPr>
          <w:rStyle w:val="Nadruk"/>
          <w:rFonts w:cs="Times New Roman"/>
          <w:i w:val="0"/>
          <w:iCs w:val="0"/>
          <w:color w:val="000000" w:themeColor="text1"/>
          <w:lang w:val="en-US"/>
        </w:rPr>
        <w:t>Erwin</w:t>
      </w:r>
      <w:r w:rsidRPr="009C5A84">
        <w:rPr>
          <w:rFonts w:cs="Times New Roman"/>
          <w:color w:val="000000" w:themeColor="text1"/>
          <w:shd w:val="clear" w:color="auto" w:fill="FFFFFF"/>
          <w:lang w:val="en-US"/>
        </w:rPr>
        <w:t xml:space="preserve">, </w:t>
      </w:r>
      <w:r w:rsidRPr="009C5A84">
        <w:rPr>
          <w:rStyle w:val="Nadruk"/>
          <w:rFonts w:cs="Times New Roman"/>
          <w:color w:val="000000" w:themeColor="text1"/>
          <w:lang w:val="en-US"/>
        </w:rPr>
        <w:t>Theological Aspects</w:t>
      </w:r>
      <w:r w:rsidRPr="009C5A84">
        <w:rPr>
          <w:rStyle w:val="apple-converted-space"/>
          <w:rFonts w:cs="Times New Roman"/>
          <w:color w:val="000000" w:themeColor="text1"/>
          <w:shd w:val="clear" w:color="auto" w:fill="FFFFFF"/>
          <w:lang w:val="en-US"/>
        </w:rPr>
        <w:t> </w:t>
      </w:r>
      <w:r w:rsidRPr="009C5A84">
        <w:rPr>
          <w:rFonts w:cs="Times New Roman"/>
          <w:color w:val="000000" w:themeColor="text1"/>
          <w:shd w:val="clear" w:color="auto" w:fill="FFFFFF"/>
          <w:lang w:val="en-US"/>
        </w:rPr>
        <w:t>of the Septuagint of the Book of</w:t>
      </w:r>
      <w:r w:rsidRPr="009C5A84">
        <w:rPr>
          <w:rStyle w:val="apple-converted-space"/>
          <w:rFonts w:cs="Times New Roman"/>
          <w:color w:val="000000" w:themeColor="text1"/>
          <w:shd w:val="clear" w:color="auto" w:fill="FFFFFF"/>
          <w:lang w:val="en-US"/>
        </w:rPr>
        <w:t> </w:t>
      </w:r>
      <w:r w:rsidRPr="009C5A84">
        <w:rPr>
          <w:rStyle w:val="Nadruk"/>
          <w:rFonts w:cs="Times New Roman"/>
          <w:color w:val="000000" w:themeColor="text1"/>
          <w:lang w:val="en-US"/>
        </w:rPr>
        <w:t>Psalms</w:t>
      </w:r>
      <w:r w:rsidRPr="009C5A84">
        <w:rPr>
          <w:rFonts w:cs="Times New Roman"/>
          <w:color w:val="000000" w:themeColor="text1"/>
          <w:shd w:val="clear" w:color="auto" w:fill="FFFFFF"/>
          <w:lang w:val="en-US"/>
        </w:rPr>
        <w:t xml:space="preserve"> (Ph.D. diss.; Princeton University, 1962), 23–55.</w:t>
      </w:r>
    </w:p>
  </w:footnote>
  <w:footnote w:id="49">
    <w:p w14:paraId="26CD5429" w14:textId="77777777" w:rsidR="00215F8D" w:rsidRPr="009C5A84" w:rsidRDefault="00215F8D" w:rsidP="00215F8D">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Pr="009C5A84">
        <w:rPr>
          <w:rFonts w:cs="Times New Roman"/>
          <w:color w:val="000000" w:themeColor="text1"/>
          <w:shd w:val="clear" w:color="auto" w:fill="FFFFFF"/>
          <w:lang w:val="en-US"/>
        </w:rPr>
        <w:t>Donald H.</w:t>
      </w:r>
      <w:r w:rsidRPr="009C5A84">
        <w:rPr>
          <w:rStyle w:val="apple-converted-space"/>
          <w:rFonts w:cs="Times New Roman"/>
          <w:color w:val="000000" w:themeColor="text1"/>
          <w:shd w:val="clear" w:color="auto" w:fill="FFFFFF"/>
          <w:lang w:val="en-US"/>
        </w:rPr>
        <w:t> </w:t>
      </w:r>
      <w:r w:rsidRPr="009C5A84">
        <w:rPr>
          <w:rStyle w:val="Nadruk"/>
          <w:rFonts w:cs="Times New Roman"/>
          <w:i w:val="0"/>
          <w:iCs w:val="0"/>
          <w:color w:val="000000" w:themeColor="text1"/>
          <w:lang w:val="en-US"/>
        </w:rPr>
        <w:t xml:space="preserve">Gard, </w:t>
      </w:r>
      <w:r w:rsidRPr="009C5A84">
        <w:rPr>
          <w:rStyle w:val="Nadruk"/>
          <w:rFonts w:cs="Times New Roman"/>
          <w:color w:val="000000" w:themeColor="text1"/>
          <w:lang w:val="en-US"/>
        </w:rPr>
        <w:t>The Exegetical Method</w:t>
      </w:r>
      <w:r w:rsidRPr="009C5A84">
        <w:rPr>
          <w:rStyle w:val="apple-converted-space"/>
          <w:rFonts w:cs="Times New Roman"/>
          <w:color w:val="000000" w:themeColor="text1"/>
          <w:shd w:val="clear" w:color="auto" w:fill="FFFFFF"/>
          <w:lang w:val="en-US"/>
        </w:rPr>
        <w:t> </w:t>
      </w:r>
      <w:r w:rsidRPr="009C5A84">
        <w:rPr>
          <w:rFonts w:cs="Times New Roman"/>
          <w:i/>
          <w:iCs/>
          <w:color w:val="000000" w:themeColor="text1"/>
          <w:shd w:val="clear" w:color="auto" w:fill="FFFFFF"/>
          <w:lang w:val="en-US"/>
        </w:rPr>
        <w:t xml:space="preserve">of the Greek Translator of the Book of Job </w:t>
      </w:r>
      <w:r w:rsidRPr="009C5A84">
        <w:rPr>
          <w:rFonts w:cs="Times New Roman"/>
          <w:color w:val="000000" w:themeColor="text1"/>
          <w:shd w:val="clear" w:color="auto" w:fill="FFFFFF"/>
          <w:lang w:val="en-US"/>
        </w:rPr>
        <w:t>(JBLMS 8; Philadelphia: SBL, 1952), 32f.</w:t>
      </w:r>
    </w:p>
  </w:footnote>
  <w:footnote w:id="50">
    <w:p w14:paraId="30722852" w14:textId="77777777" w:rsidR="00215F8D" w:rsidRPr="009C5A84" w:rsidRDefault="00215F8D" w:rsidP="00215F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Cf. Albert Pietersma, “Exegesis in the Septuagint: Possibilities and limits (The Psalter as a Case in Point),” in </w:t>
      </w:r>
      <w:r w:rsidRPr="009C5A84">
        <w:rPr>
          <w:rFonts w:ascii="Times New Roman" w:hAnsi="Times New Roman" w:cs="Times New Roman"/>
          <w:i/>
          <w:iCs/>
          <w:color w:val="000000" w:themeColor="text1"/>
          <w:sz w:val="20"/>
          <w:szCs w:val="20"/>
          <w:lang w:val="en-US"/>
        </w:rPr>
        <w:t>Septuagint research: Issues and challenges in the study of the Greek Jewish Scriptures</w:t>
      </w:r>
      <w:r w:rsidRPr="009C5A84">
        <w:rPr>
          <w:rFonts w:ascii="Times New Roman" w:hAnsi="Times New Roman" w:cs="Times New Roman"/>
          <w:color w:val="000000" w:themeColor="text1"/>
          <w:sz w:val="20"/>
          <w:szCs w:val="20"/>
          <w:lang w:val="en-US"/>
        </w:rPr>
        <w:t xml:space="preserve"> (ed. Wolfgang Kraus &amp; R. Glenn Wooden; SBLSCS 53; Atlanta: SBL, 2006), 33–47. For </w:t>
      </w:r>
      <w:proofErr w:type="spellStart"/>
      <w:r w:rsidRPr="009C5A84">
        <w:rPr>
          <w:rFonts w:ascii="Times New Roman" w:hAnsi="Times New Roman" w:cs="Times New Roman"/>
          <w:color w:val="000000" w:themeColor="text1"/>
          <w:sz w:val="20"/>
          <w:szCs w:val="20"/>
          <w:lang w:val="en-US"/>
        </w:rPr>
        <w:t>Pietersma</w:t>
      </w:r>
      <w:proofErr w:type="spellEnd"/>
      <w:r w:rsidRPr="009C5A84">
        <w:rPr>
          <w:rFonts w:ascii="Times New Roman" w:hAnsi="Times New Roman" w:cs="Times New Roman"/>
          <w:color w:val="000000" w:themeColor="text1"/>
          <w:sz w:val="20"/>
          <w:szCs w:val="20"/>
          <w:lang w:val="en-US"/>
        </w:rPr>
        <w:t xml:space="preserve">, minimalists view the translator as a mere medium of the source text, whereas maximalists promote the Greek translator to the status of an author, leaving their perceptible, intentional traces in their translation (36). </w:t>
      </w:r>
    </w:p>
  </w:footnote>
  <w:footnote w:id="51">
    <w:p w14:paraId="7CDCD730" w14:textId="2DDDD93B" w:rsidR="00F5513A" w:rsidRPr="009C5A84" w:rsidRDefault="00F5513A"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6704D8" w:rsidRPr="009C5A84">
        <w:rPr>
          <w:rFonts w:cs="Times New Roman"/>
          <w:color w:val="000000" w:themeColor="text1"/>
          <w:shd w:val="clear" w:color="auto" w:fill="FFFFFF"/>
          <w:lang w:val="en-US"/>
        </w:rPr>
        <w:t xml:space="preserve">Elias J. </w:t>
      </w:r>
      <w:r w:rsidR="00645F38" w:rsidRPr="009C5A84">
        <w:rPr>
          <w:rStyle w:val="Nadruk"/>
          <w:rFonts w:cs="Times New Roman"/>
          <w:i w:val="0"/>
          <w:iCs w:val="0"/>
          <w:color w:val="000000" w:themeColor="text1"/>
          <w:lang w:val="en-US"/>
        </w:rPr>
        <w:t>Bickerman</w:t>
      </w:r>
      <w:r w:rsidR="00645F38" w:rsidRPr="009C5A84">
        <w:rPr>
          <w:rFonts w:cs="Times New Roman"/>
          <w:color w:val="000000" w:themeColor="text1"/>
          <w:shd w:val="clear" w:color="auto" w:fill="FFFFFF"/>
          <w:lang w:val="en-US"/>
        </w:rPr>
        <w:t>, “The</w:t>
      </w:r>
      <w:r w:rsidR="00645F38" w:rsidRPr="009C5A84">
        <w:rPr>
          <w:rStyle w:val="apple-converted-space"/>
          <w:rFonts w:cs="Times New Roman"/>
          <w:color w:val="000000" w:themeColor="text1"/>
          <w:shd w:val="clear" w:color="auto" w:fill="FFFFFF"/>
          <w:lang w:val="en-US"/>
        </w:rPr>
        <w:t> </w:t>
      </w:r>
      <w:r w:rsidR="00645F38" w:rsidRPr="009C5A84">
        <w:rPr>
          <w:rStyle w:val="Nadruk"/>
          <w:rFonts w:cs="Times New Roman"/>
          <w:i w:val="0"/>
          <w:iCs w:val="0"/>
          <w:color w:val="000000" w:themeColor="text1"/>
          <w:lang w:val="en-US"/>
        </w:rPr>
        <w:t>Septuagint</w:t>
      </w:r>
      <w:r w:rsidR="00645F38" w:rsidRPr="009C5A84">
        <w:rPr>
          <w:rStyle w:val="apple-converted-space"/>
          <w:rFonts w:cs="Times New Roman"/>
          <w:color w:val="000000" w:themeColor="text1"/>
          <w:shd w:val="clear" w:color="auto" w:fill="FFFFFF"/>
          <w:lang w:val="en-US"/>
        </w:rPr>
        <w:t> </w:t>
      </w:r>
      <w:r w:rsidR="00645F38" w:rsidRPr="009C5A84">
        <w:rPr>
          <w:rFonts w:cs="Times New Roman"/>
          <w:color w:val="000000" w:themeColor="text1"/>
          <w:shd w:val="clear" w:color="auto" w:fill="FFFFFF"/>
          <w:lang w:val="en-US"/>
        </w:rPr>
        <w:t>as a</w:t>
      </w:r>
      <w:r w:rsidR="00645F38" w:rsidRPr="009C5A84">
        <w:rPr>
          <w:rStyle w:val="apple-converted-space"/>
          <w:rFonts w:cs="Times New Roman"/>
          <w:color w:val="000000" w:themeColor="text1"/>
          <w:shd w:val="clear" w:color="auto" w:fill="FFFFFF"/>
          <w:lang w:val="en-US"/>
        </w:rPr>
        <w:t> </w:t>
      </w:r>
      <w:r w:rsidR="00645F38" w:rsidRPr="009C5A84">
        <w:rPr>
          <w:rStyle w:val="Nadruk"/>
          <w:rFonts w:cs="Times New Roman"/>
          <w:i w:val="0"/>
          <w:iCs w:val="0"/>
          <w:color w:val="000000" w:themeColor="text1"/>
          <w:lang w:val="en-US"/>
        </w:rPr>
        <w:t>Translation</w:t>
      </w:r>
      <w:r w:rsidR="006704D8" w:rsidRPr="009C5A84">
        <w:rPr>
          <w:rFonts w:cs="Times New Roman"/>
          <w:color w:val="000000" w:themeColor="text1"/>
          <w:shd w:val="clear" w:color="auto" w:fill="FFFFFF"/>
          <w:lang w:val="en-US"/>
        </w:rPr>
        <w:t>,</w:t>
      </w:r>
      <w:r w:rsidR="00645F38" w:rsidRPr="009C5A84">
        <w:rPr>
          <w:rFonts w:cs="Times New Roman"/>
          <w:color w:val="000000" w:themeColor="text1"/>
          <w:shd w:val="clear" w:color="auto" w:fill="FFFFFF"/>
          <w:lang w:val="en-US"/>
        </w:rPr>
        <w:t xml:space="preserve">” </w:t>
      </w:r>
      <w:r w:rsidR="00645F38" w:rsidRPr="009C5A84">
        <w:rPr>
          <w:rFonts w:cs="Times New Roman"/>
          <w:i/>
          <w:iCs/>
          <w:color w:val="000000" w:themeColor="text1"/>
          <w:shd w:val="clear" w:color="auto" w:fill="FFFFFF"/>
          <w:lang w:val="en-US"/>
        </w:rPr>
        <w:t>Proceedings of the American Academy for Jewish Research</w:t>
      </w:r>
      <w:r w:rsidR="00645F38" w:rsidRPr="009C5A84">
        <w:rPr>
          <w:rFonts w:cs="Times New Roman"/>
          <w:color w:val="000000" w:themeColor="text1"/>
          <w:shd w:val="clear" w:color="auto" w:fill="FFFFFF"/>
          <w:lang w:val="en-US"/>
        </w:rPr>
        <w:t xml:space="preserve"> 28 (1959): 1–39.</w:t>
      </w:r>
    </w:p>
  </w:footnote>
  <w:footnote w:id="52">
    <w:p w14:paraId="1F0D68EA" w14:textId="7EBE13CA" w:rsidR="009415D1" w:rsidRPr="009C5A84" w:rsidRDefault="009415D1" w:rsidP="009415D1">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James K. Aitken, “The Septuagint and Egyptian Translation Methods,” in </w:t>
      </w:r>
      <w:r w:rsidRPr="009C5A84">
        <w:rPr>
          <w:rFonts w:cs="Times New Roman"/>
          <w:i/>
          <w:iCs/>
          <w:color w:val="000000" w:themeColor="text1"/>
          <w:lang w:val="en-US"/>
        </w:rPr>
        <w:t>XV Congress of the International Organization for Septuagint</w:t>
      </w:r>
      <w:r w:rsidR="002A1E3B">
        <w:rPr>
          <w:rFonts w:cs="Times New Roman"/>
          <w:color w:val="000000" w:themeColor="text1"/>
          <w:lang w:val="en-US"/>
        </w:rPr>
        <w:t xml:space="preserve">, </w:t>
      </w:r>
      <w:r w:rsidRPr="009C5A84">
        <w:rPr>
          <w:rFonts w:cs="Times New Roman"/>
          <w:color w:val="000000" w:themeColor="text1"/>
          <w:lang w:val="en-US"/>
        </w:rPr>
        <w:t>ed. Wolfgang Kraus, Michaël N. van der Meer, and Martin Meiser</w:t>
      </w:r>
      <w:r w:rsidR="002A1E3B">
        <w:rPr>
          <w:rFonts w:cs="Times New Roman"/>
          <w:color w:val="000000" w:themeColor="text1"/>
          <w:lang w:val="en-US"/>
        </w:rPr>
        <w:t xml:space="preserve"> (</w:t>
      </w:r>
      <w:r w:rsidRPr="009C5A84">
        <w:rPr>
          <w:rFonts w:cs="Times New Roman"/>
          <w:color w:val="000000" w:themeColor="text1"/>
          <w:lang w:val="en-US"/>
        </w:rPr>
        <w:t>Atlanta: SBL, 2016), 269–94 (274–5).</w:t>
      </w:r>
    </w:p>
  </w:footnote>
  <w:footnote w:id="53">
    <w:p w14:paraId="738B4CC7" w14:textId="7D2FFECF" w:rsidR="00637BFF" w:rsidRPr="009C5A84" w:rsidRDefault="00637BF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8C2F34" w:rsidRPr="009C5A84">
        <w:rPr>
          <w:rFonts w:cs="Times New Roman"/>
          <w:color w:val="000000" w:themeColor="text1"/>
          <w:lang w:val="en-US"/>
        </w:rPr>
        <w:t>Cf.</w:t>
      </w:r>
      <w:r w:rsidRPr="009C5A84">
        <w:rPr>
          <w:rFonts w:cs="Times New Roman"/>
          <w:color w:val="000000" w:themeColor="text1"/>
          <w:lang w:val="en-US"/>
        </w:rPr>
        <w:t xml:space="preserve"> A</w:t>
      </w:r>
      <w:r w:rsidR="006704D8" w:rsidRPr="009C5A84">
        <w:rPr>
          <w:rFonts w:cs="Times New Roman"/>
          <w:color w:val="000000" w:themeColor="text1"/>
          <w:lang w:val="en-US"/>
        </w:rPr>
        <w:t>nneli</w:t>
      </w:r>
      <w:r w:rsidRPr="009C5A84">
        <w:rPr>
          <w:rFonts w:cs="Times New Roman"/>
          <w:color w:val="000000" w:themeColor="text1"/>
          <w:lang w:val="en-US"/>
        </w:rPr>
        <w:t xml:space="preserve"> Aejmelaeus, “What We Talk About When We Talk About Translation Technique</w:t>
      </w:r>
      <w:r w:rsidR="006704D8" w:rsidRPr="009C5A84">
        <w:rPr>
          <w:rFonts w:cs="Times New Roman"/>
          <w:color w:val="000000" w:themeColor="text1"/>
          <w:lang w:val="en-US"/>
        </w:rPr>
        <w:t>,</w:t>
      </w:r>
      <w:r w:rsidRPr="009C5A84">
        <w:rPr>
          <w:rFonts w:cs="Times New Roman"/>
          <w:color w:val="000000" w:themeColor="text1"/>
          <w:lang w:val="en-US"/>
        </w:rPr>
        <w:t xml:space="preserve">” in </w:t>
      </w:r>
      <w:r w:rsidRPr="009C5A84">
        <w:rPr>
          <w:rFonts w:cs="Times New Roman"/>
          <w:i/>
          <w:iCs/>
          <w:color w:val="000000" w:themeColor="text1"/>
          <w:lang w:val="en-US"/>
        </w:rPr>
        <w:t>On the Trail of the Septuagint Translators: Collected Essays</w:t>
      </w:r>
      <w:r w:rsidR="002A1E3B">
        <w:rPr>
          <w:rFonts w:cs="Times New Roman"/>
          <w:i/>
          <w:iCs/>
          <w:color w:val="000000" w:themeColor="text1"/>
          <w:lang w:val="en-US"/>
        </w:rPr>
        <w:t xml:space="preserve">, </w:t>
      </w:r>
      <w:r w:rsidRPr="009C5A84">
        <w:rPr>
          <w:rFonts w:cs="Times New Roman"/>
          <w:color w:val="000000" w:themeColor="text1"/>
          <w:lang w:val="en-US"/>
        </w:rPr>
        <w:t>CBET 50</w:t>
      </w:r>
      <w:r w:rsidR="002A1E3B">
        <w:rPr>
          <w:rFonts w:cs="Times New Roman"/>
          <w:color w:val="000000" w:themeColor="text1"/>
          <w:lang w:val="en-US"/>
        </w:rPr>
        <w:t xml:space="preserve"> (</w:t>
      </w:r>
      <w:r w:rsidRPr="009C5A84">
        <w:rPr>
          <w:rFonts w:cs="Times New Roman"/>
          <w:color w:val="000000" w:themeColor="text1"/>
          <w:lang w:val="en-US"/>
        </w:rPr>
        <w:t>Leuven</w:t>
      </w:r>
      <w:r w:rsidR="006704D8" w:rsidRPr="009C5A84">
        <w:rPr>
          <w:rFonts w:cs="Times New Roman"/>
          <w:color w:val="000000" w:themeColor="text1"/>
          <w:lang w:val="en-US"/>
        </w:rPr>
        <w:t>:</w:t>
      </w:r>
      <w:r w:rsidRPr="009C5A84">
        <w:rPr>
          <w:rFonts w:cs="Times New Roman"/>
          <w:color w:val="000000" w:themeColor="text1"/>
          <w:lang w:val="en-US"/>
        </w:rPr>
        <w:t xml:space="preserve"> Peeters, 2007</w:t>
      </w:r>
      <w:r w:rsidR="006704D8" w:rsidRPr="009C5A84">
        <w:rPr>
          <w:rFonts w:cs="Times New Roman"/>
          <w:color w:val="000000" w:themeColor="text1"/>
          <w:lang w:val="en-US"/>
        </w:rPr>
        <w:t>),</w:t>
      </w:r>
      <w:r w:rsidRPr="009C5A84">
        <w:rPr>
          <w:rFonts w:cs="Times New Roman"/>
          <w:color w:val="000000" w:themeColor="text1"/>
          <w:lang w:val="en-US"/>
        </w:rPr>
        <w:t xml:space="preserve"> 205</w:t>
      </w:r>
      <w:r w:rsidR="006704D8" w:rsidRPr="009C5A84">
        <w:rPr>
          <w:rFonts w:cs="Times New Roman"/>
          <w:color w:val="000000" w:themeColor="text1"/>
          <w:lang w:val="en-US"/>
        </w:rPr>
        <w:t>–</w:t>
      </w:r>
      <w:r w:rsidRPr="009C5A84">
        <w:rPr>
          <w:rFonts w:cs="Times New Roman"/>
          <w:color w:val="000000" w:themeColor="text1"/>
          <w:lang w:val="en-US"/>
        </w:rPr>
        <w:t>22 (205</w:t>
      </w:r>
      <w:r w:rsidR="006704D8" w:rsidRPr="009C5A84">
        <w:rPr>
          <w:rFonts w:cs="Times New Roman"/>
          <w:color w:val="000000" w:themeColor="text1"/>
          <w:lang w:val="en-US"/>
        </w:rPr>
        <w:t>–</w:t>
      </w:r>
      <w:r w:rsidRPr="009C5A84">
        <w:rPr>
          <w:rFonts w:cs="Times New Roman"/>
          <w:color w:val="000000" w:themeColor="text1"/>
          <w:lang w:val="en-US"/>
        </w:rPr>
        <w:t>6).</w:t>
      </w:r>
    </w:p>
  </w:footnote>
  <w:footnote w:id="54">
    <w:p w14:paraId="0B21CE5A" w14:textId="3202BAF2" w:rsidR="00637BFF" w:rsidRPr="009C5A84" w:rsidRDefault="00637BF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P. Katz, “Zur </w:t>
      </w:r>
      <w:proofErr w:type="spellStart"/>
      <w:r w:rsidRPr="009C5A84">
        <w:rPr>
          <w:rFonts w:cs="Times New Roman"/>
          <w:color w:val="000000" w:themeColor="text1"/>
          <w:lang w:val="en-US"/>
        </w:rPr>
        <w:t>Übersetzungstechnik</w:t>
      </w:r>
      <w:proofErr w:type="spellEnd"/>
      <w:r w:rsidRPr="009C5A84">
        <w:rPr>
          <w:rFonts w:cs="Times New Roman"/>
          <w:color w:val="000000" w:themeColor="text1"/>
          <w:lang w:val="en-US"/>
        </w:rPr>
        <w:t xml:space="preserve"> der </w:t>
      </w:r>
      <w:proofErr w:type="spellStart"/>
      <w:r w:rsidRPr="009C5A84">
        <w:rPr>
          <w:rFonts w:cs="Times New Roman"/>
          <w:color w:val="000000" w:themeColor="text1"/>
          <w:lang w:val="en-US"/>
        </w:rPr>
        <w:t>Septuaginta</w:t>
      </w:r>
      <w:proofErr w:type="spellEnd"/>
      <w:r w:rsidR="006704D8" w:rsidRPr="009C5A84">
        <w:rPr>
          <w:rFonts w:cs="Times New Roman"/>
          <w:color w:val="000000" w:themeColor="text1"/>
          <w:lang w:val="en-US"/>
        </w:rPr>
        <w:t>,</w:t>
      </w:r>
      <w:r w:rsidRPr="009C5A84">
        <w:rPr>
          <w:rFonts w:cs="Times New Roman"/>
          <w:color w:val="000000" w:themeColor="text1"/>
          <w:lang w:val="en-US"/>
        </w:rPr>
        <w:t xml:space="preserve">” </w:t>
      </w:r>
      <w:r w:rsidR="006704D8" w:rsidRPr="009C5A84">
        <w:rPr>
          <w:rFonts w:cs="Times New Roman"/>
          <w:i/>
          <w:iCs/>
          <w:color w:val="000000" w:themeColor="text1"/>
          <w:lang w:val="en-US"/>
        </w:rPr>
        <w:t>WO</w:t>
      </w:r>
      <w:r w:rsidRPr="009C5A84">
        <w:rPr>
          <w:rFonts w:cs="Times New Roman"/>
          <w:color w:val="000000" w:themeColor="text1"/>
          <w:lang w:val="en-US"/>
        </w:rPr>
        <w:t xml:space="preserve"> 2</w:t>
      </w:r>
      <w:r w:rsidR="006704D8" w:rsidRPr="009C5A84">
        <w:rPr>
          <w:rFonts w:cs="Times New Roman"/>
          <w:color w:val="000000" w:themeColor="text1"/>
          <w:lang w:val="en-US"/>
        </w:rPr>
        <w:t xml:space="preserve"> (</w:t>
      </w:r>
      <w:r w:rsidRPr="009C5A84">
        <w:rPr>
          <w:rFonts w:cs="Times New Roman"/>
          <w:color w:val="000000" w:themeColor="text1"/>
          <w:lang w:val="en-US"/>
        </w:rPr>
        <w:t>1956</w:t>
      </w:r>
      <w:r w:rsidR="006704D8" w:rsidRPr="009C5A84">
        <w:rPr>
          <w:rFonts w:cs="Times New Roman"/>
          <w:color w:val="000000" w:themeColor="text1"/>
          <w:lang w:val="en-US"/>
        </w:rPr>
        <w:t>):</w:t>
      </w:r>
      <w:r w:rsidRPr="009C5A84">
        <w:rPr>
          <w:rFonts w:cs="Times New Roman"/>
          <w:color w:val="000000" w:themeColor="text1"/>
          <w:lang w:val="en-US"/>
        </w:rPr>
        <w:t xml:space="preserve"> 267</w:t>
      </w:r>
      <w:r w:rsidR="006704D8" w:rsidRPr="009C5A84">
        <w:rPr>
          <w:rFonts w:cs="Times New Roman"/>
          <w:color w:val="000000" w:themeColor="text1"/>
          <w:lang w:val="en-US"/>
        </w:rPr>
        <w:t>–</w:t>
      </w:r>
      <w:r w:rsidRPr="009C5A84">
        <w:rPr>
          <w:rFonts w:cs="Times New Roman"/>
          <w:color w:val="000000" w:themeColor="text1"/>
          <w:lang w:val="en-US"/>
        </w:rPr>
        <w:t>73</w:t>
      </w:r>
      <w:r w:rsidR="008C2F34" w:rsidRPr="009C5A84">
        <w:rPr>
          <w:rFonts w:cs="Times New Roman"/>
          <w:color w:val="000000" w:themeColor="text1"/>
          <w:lang w:val="en-US"/>
        </w:rPr>
        <w:t>.</w:t>
      </w:r>
    </w:p>
  </w:footnote>
  <w:footnote w:id="55">
    <w:p w14:paraId="26A20623" w14:textId="11B486F2" w:rsidR="00985530" w:rsidRPr="009C5A84" w:rsidRDefault="00985530"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Cf. E. Tov, “Theologically Motivated Exegesis Embedded in the Septuagint”, in </w:t>
      </w:r>
      <w:r w:rsidRPr="009C5A84">
        <w:rPr>
          <w:rFonts w:cs="Times New Roman"/>
          <w:i/>
          <w:iCs/>
          <w:color w:val="000000" w:themeColor="text1"/>
          <w:lang w:val="en-US"/>
        </w:rPr>
        <w:t>The Greek and Hebrew Bible: Collected Essays on the Septuagint</w:t>
      </w:r>
      <w:r w:rsidR="00536649">
        <w:rPr>
          <w:rFonts w:cs="Times New Roman"/>
          <w:i/>
          <w:iCs/>
          <w:color w:val="000000" w:themeColor="text1"/>
          <w:lang w:val="en-US"/>
        </w:rPr>
        <w:t xml:space="preserve">, </w:t>
      </w:r>
      <w:proofErr w:type="gramStart"/>
      <w:r w:rsidRPr="009C5A84">
        <w:rPr>
          <w:rFonts w:cs="Times New Roman"/>
          <w:color w:val="000000" w:themeColor="text1"/>
          <w:lang w:val="en-US"/>
        </w:rPr>
        <w:t>VT</w:t>
      </w:r>
      <w:r w:rsidR="006704D8" w:rsidRPr="009C5A84">
        <w:rPr>
          <w:rFonts w:cs="Times New Roman"/>
          <w:color w:val="000000" w:themeColor="text1"/>
          <w:lang w:val="en-US"/>
        </w:rPr>
        <w:t>.</w:t>
      </w:r>
      <w:r w:rsidRPr="009C5A84">
        <w:rPr>
          <w:rFonts w:cs="Times New Roman"/>
          <w:color w:val="000000" w:themeColor="text1"/>
          <w:lang w:val="en-US"/>
        </w:rPr>
        <w:t>S</w:t>
      </w:r>
      <w:proofErr w:type="gramEnd"/>
      <w:r w:rsidRPr="009C5A84">
        <w:rPr>
          <w:rFonts w:cs="Times New Roman"/>
          <w:color w:val="000000" w:themeColor="text1"/>
          <w:lang w:val="en-US"/>
        </w:rPr>
        <w:t xml:space="preserve"> 72</w:t>
      </w:r>
      <w:r w:rsidR="006704D8" w:rsidRPr="009C5A84">
        <w:rPr>
          <w:rFonts w:cs="Times New Roman"/>
          <w:color w:val="000000" w:themeColor="text1"/>
          <w:lang w:val="en-US"/>
        </w:rPr>
        <w:t xml:space="preserve"> </w:t>
      </w:r>
      <w:r w:rsidR="00536649">
        <w:rPr>
          <w:rFonts w:cs="Times New Roman"/>
          <w:color w:val="000000" w:themeColor="text1"/>
          <w:lang w:val="en-US"/>
        </w:rPr>
        <w:t>(</w:t>
      </w:r>
      <w:r w:rsidRPr="009C5A84">
        <w:rPr>
          <w:rFonts w:cs="Times New Roman"/>
          <w:color w:val="000000" w:themeColor="text1"/>
          <w:lang w:val="en-US"/>
        </w:rPr>
        <w:t>Leiden</w:t>
      </w:r>
      <w:r w:rsidR="006704D8" w:rsidRPr="009C5A84">
        <w:rPr>
          <w:rFonts w:cs="Times New Roman"/>
          <w:color w:val="000000" w:themeColor="text1"/>
          <w:lang w:val="en-US"/>
        </w:rPr>
        <w:t>:</w:t>
      </w:r>
      <w:r w:rsidRPr="009C5A84">
        <w:rPr>
          <w:rFonts w:cs="Times New Roman"/>
          <w:color w:val="000000" w:themeColor="text1"/>
          <w:lang w:val="en-US"/>
        </w:rPr>
        <w:t xml:space="preserve"> Brill, 1999</w:t>
      </w:r>
      <w:r w:rsidR="006704D8" w:rsidRPr="009C5A84">
        <w:rPr>
          <w:rFonts w:cs="Times New Roman"/>
          <w:color w:val="000000" w:themeColor="text1"/>
          <w:lang w:val="en-US"/>
        </w:rPr>
        <w:t>)</w:t>
      </w:r>
      <w:r w:rsidRPr="009C5A84">
        <w:rPr>
          <w:rFonts w:cs="Times New Roman"/>
          <w:color w:val="000000" w:themeColor="text1"/>
          <w:lang w:val="en-US"/>
        </w:rPr>
        <w:t>, 257</w:t>
      </w:r>
      <w:r w:rsidR="006704D8" w:rsidRPr="009C5A84">
        <w:rPr>
          <w:rFonts w:cs="Times New Roman"/>
          <w:color w:val="000000" w:themeColor="text1"/>
          <w:lang w:val="en-US"/>
        </w:rPr>
        <w:t>–</w:t>
      </w:r>
      <w:r w:rsidRPr="009C5A84">
        <w:rPr>
          <w:rFonts w:cs="Times New Roman"/>
          <w:color w:val="000000" w:themeColor="text1"/>
          <w:lang w:val="en-US"/>
        </w:rPr>
        <w:t>69.</w:t>
      </w:r>
    </w:p>
  </w:footnote>
  <w:footnote w:id="56">
    <w:p w14:paraId="1D8E8F25" w14:textId="1CC8C461" w:rsidR="00CF3314" w:rsidRPr="009C5A84" w:rsidRDefault="00CF3314" w:rsidP="00CF3314">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Staffan Olofsson, </w:t>
      </w:r>
      <w:r w:rsidRPr="009C5A84">
        <w:rPr>
          <w:rFonts w:cs="Times New Roman"/>
          <w:i/>
          <w:iCs/>
          <w:color w:val="000000" w:themeColor="text1"/>
          <w:lang w:val="en-US"/>
        </w:rPr>
        <w:t xml:space="preserve">God is my Rock: A Study of Translation Technique and Theological Exegesis in the Septuagint </w:t>
      </w:r>
      <w:proofErr w:type="gramStart"/>
      <w:r w:rsidRPr="009C5A84">
        <w:rPr>
          <w:rFonts w:cs="Times New Roman"/>
          <w:color w:val="000000" w:themeColor="text1"/>
          <w:lang w:val="en-US"/>
        </w:rPr>
        <w:t>CB.OT</w:t>
      </w:r>
      <w:proofErr w:type="gramEnd"/>
      <w:r w:rsidRPr="009C5A84">
        <w:rPr>
          <w:rFonts w:cs="Times New Roman"/>
          <w:color w:val="000000" w:themeColor="text1"/>
          <w:lang w:val="en-US"/>
        </w:rPr>
        <w:t xml:space="preserve"> 31</w:t>
      </w:r>
      <w:r w:rsidR="002A1E3B">
        <w:rPr>
          <w:rFonts w:cs="Times New Roman"/>
          <w:color w:val="000000" w:themeColor="text1"/>
          <w:lang w:val="en-US"/>
        </w:rPr>
        <w:t>(</w:t>
      </w:r>
      <w:r w:rsidRPr="009C5A84">
        <w:rPr>
          <w:rFonts w:cs="Times New Roman"/>
          <w:color w:val="000000" w:themeColor="text1"/>
          <w:lang w:val="en-US"/>
        </w:rPr>
        <w:t>Stockholm: Almqvist &amp; Wiksell, 1990), 2.</w:t>
      </w:r>
    </w:p>
  </w:footnote>
  <w:footnote w:id="57">
    <w:p w14:paraId="206D272E" w14:textId="653B5D33" w:rsidR="001B4074" w:rsidRPr="009C5A84" w:rsidRDefault="001B407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B374D5" w:rsidRPr="009C5A84">
        <w:rPr>
          <w:rFonts w:cs="Times New Roman"/>
          <w:color w:val="000000" w:themeColor="text1"/>
          <w:lang w:val="en-US"/>
        </w:rPr>
        <w:t>Idem</w:t>
      </w:r>
      <w:r w:rsidRPr="009C5A84">
        <w:rPr>
          <w:rFonts w:cs="Times New Roman"/>
          <w:i/>
          <w:iCs/>
          <w:color w:val="000000" w:themeColor="text1"/>
          <w:lang w:val="en-US"/>
        </w:rPr>
        <w:t xml:space="preserve">, </w:t>
      </w:r>
      <w:r w:rsidRPr="009C5A84">
        <w:rPr>
          <w:rFonts w:cs="Times New Roman"/>
          <w:color w:val="000000" w:themeColor="text1"/>
          <w:lang w:val="en-US"/>
        </w:rPr>
        <w:t>6</w:t>
      </w:r>
      <w:r w:rsidR="00B374D5" w:rsidRPr="009C5A84">
        <w:rPr>
          <w:rFonts w:cs="Times New Roman"/>
          <w:color w:val="000000" w:themeColor="text1"/>
          <w:lang w:val="en-US"/>
        </w:rPr>
        <w:t>–</w:t>
      </w:r>
      <w:r w:rsidRPr="009C5A84">
        <w:rPr>
          <w:rFonts w:cs="Times New Roman"/>
          <w:color w:val="000000" w:themeColor="text1"/>
          <w:lang w:val="en-US"/>
        </w:rPr>
        <w:t>7.</w:t>
      </w:r>
    </w:p>
  </w:footnote>
  <w:footnote w:id="58">
    <w:p w14:paraId="7C7FC418" w14:textId="5D22768F" w:rsidR="00D42FD0" w:rsidRPr="009C5A84" w:rsidRDefault="00D42FD0"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8C2F34" w:rsidRPr="009C5A84">
        <w:rPr>
          <w:rFonts w:ascii="Times New Roman" w:hAnsi="Times New Roman" w:cs="Times New Roman"/>
          <w:color w:val="000000" w:themeColor="text1"/>
          <w:sz w:val="20"/>
          <w:szCs w:val="20"/>
          <w:lang w:val="en-US"/>
        </w:rPr>
        <w:t>Cf.</w:t>
      </w:r>
      <w:r w:rsidRPr="009C5A84">
        <w:rPr>
          <w:rFonts w:ascii="Times New Roman" w:hAnsi="Times New Roman" w:cs="Times New Roman"/>
          <w:color w:val="000000" w:themeColor="text1"/>
          <w:sz w:val="20"/>
          <w:szCs w:val="20"/>
          <w:lang w:val="en-US"/>
        </w:rPr>
        <w:t xml:space="preserve"> </w:t>
      </w:r>
      <w:r w:rsidR="00B374D5" w:rsidRPr="009C5A84">
        <w:rPr>
          <w:rFonts w:ascii="Times New Roman" w:hAnsi="Times New Roman" w:cs="Times New Roman"/>
          <w:color w:val="000000" w:themeColor="text1"/>
          <w:sz w:val="20"/>
          <w:szCs w:val="20"/>
          <w:lang w:val="en-US"/>
        </w:rPr>
        <w:t xml:space="preserve">Hans Ausloos, “Translation Technique,” in </w:t>
      </w:r>
      <w:r w:rsidR="00B374D5" w:rsidRPr="009C5A84">
        <w:rPr>
          <w:rFonts w:ascii="Times New Roman" w:hAnsi="Times New Roman" w:cs="Times New Roman"/>
          <w:i/>
          <w:iCs/>
          <w:color w:val="000000" w:themeColor="text1"/>
          <w:sz w:val="20"/>
          <w:szCs w:val="20"/>
          <w:shd w:val="clear" w:color="auto" w:fill="FFFFFF"/>
        </w:rPr>
        <w:t>Oxford Handbook of the Septuagint</w:t>
      </w:r>
      <w:r w:rsidR="00B374D5" w:rsidRPr="009C5A84">
        <w:rPr>
          <w:rFonts w:ascii="Times New Roman" w:hAnsi="Times New Roman" w:cs="Times New Roman"/>
          <w:color w:val="000000" w:themeColor="text1"/>
          <w:sz w:val="20"/>
          <w:szCs w:val="20"/>
          <w:shd w:val="clear" w:color="auto" w:fill="FFFFFF"/>
        </w:rPr>
        <w:t xml:space="preserve"> (ed. Alison Salvesen and Timothy Law; Oxford: University Press, 2021, </w:t>
      </w:r>
      <w:r w:rsidR="00B374D5" w:rsidRPr="009C5A84">
        <w:rPr>
          <w:rFonts w:ascii="Times New Roman" w:hAnsi="Times New Roman" w:cs="Times New Roman"/>
          <w:color w:val="000000" w:themeColor="text1"/>
          <w:sz w:val="20"/>
          <w:szCs w:val="20"/>
          <w:lang w:val="en-US"/>
        </w:rPr>
        <w:t>165–81.</w:t>
      </w:r>
    </w:p>
  </w:footnote>
  <w:footnote w:id="59">
    <w:p w14:paraId="4BF7E670" w14:textId="27690193" w:rsidR="002B090E" w:rsidRPr="009C5A84" w:rsidRDefault="002B090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B374D5" w:rsidRPr="009C5A84">
        <w:rPr>
          <w:rFonts w:cs="Times New Roman"/>
          <w:color w:val="000000" w:themeColor="text1"/>
          <w:lang w:val="en-US"/>
        </w:rPr>
        <w:t xml:space="preserve">For </w:t>
      </w:r>
      <w:proofErr w:type="gramStart"/>
      <w:r w:rsidR="00B374D5" w:rsidRPr="009C5A84">
        <w:rPr>
          <w:rFonts w:cs="Times New Roman"/>
          <w:color w:val="000000" w:themeColor="text1"/>
          <w:lang w:val="en-US"/>
        </w:rPr>
        <w:t>instance</w:t>
      </w:r>
      <w:proofErr w:type="gramEnd"/>
      <w:r w:rsidR="00B374D5" w:rsidRPr="009C5A84">
        <w:rPr>
          <w:rFonts w:cs="Times New Roman"/>
          <w:color w:val="000000" w:themeColor="text1"/>
          <w:lang w:val="en-US"/>
        </w:rPr>
        <w:t xml:space="preserve"> Peg Kershenbaum, </w:t>
      </w:r>
      <w:r w:rsidR="00B374D5" w:rsidRPr="009C5A84">
        <w:rPr>
          <w:rFonts w:cs="Times New Roman"/>
          <w:i/>
          <w:iCs/>
          <w:color w:val="000000" w:themeColor="text1"/>
          <w:lang w:val="en-US"/>
        </w:rPr>
        <w:t xml:space="preserve">The Treatment of Anthropomorphisms, </w:t>
      </w:r>
      <w:proofErr w:type="spellStart"/>
      <w:r w:rsidR="00B374D5" w:rsidRPr="009C5A84">
        <w:rPr>
          <w:rFonts w:cs="Times New Roman"/>
          <w:i/>
          <w:iCs/>
          <w:color w:val="000000" w:themeColor="text1"/>
          <w:lang w:val="en-US"/>
        </w:rPr>
        <w:t>Anthropopathisms</w:t>
      </w:r>
      <w:proofErr w:type="spellEnd"/>
      <w:r w:rsidR="00B374D5" w:rsidRPr="009C5A84">
        <w:rPr>
          <w:rFonts w:cs="Times New Roman"/>
          <w:i/>
          <w:iCs/>
          <w:color w:val="000000" w:themeColor="text1"/>
          <w:lang w:val="en-US"/>
        </w:rPr>
        <w:t xml:space="preserve"> and Verbs Describing God in the Septuagint Translation of the Book of Judges</w:t>
      </w:r>
      <w:r w:rsidR="00B374D5" w:rsidRPr="009C5A84">
        <w:rPr>
          <w:rFonts w:cs="Times New Roman"/>
          <w:color w:val="000000" w:themeColor="text1"/>
          <w:lang w:val="en-US"/>
        </w:rPr>
        <w:t xml:space="preserve"> (PhD diss.; Academy for Jewish Religion, Riverdale, New York, 2007). </w:t>
      </w:r>
      <w:proofErr w:type="spellStart"/>
      <w:r w:rsidR="00B374D5" w:rsidRPr="009C5A84">
        <w:rPr>
          <w:rFonts w:cs="Times New Roman"/>
          <w:color w:val="000000" w:themeColor="text1"/>
          <w:lang w:val="en-US"/>
        </w:rPr>
        <w:t>Kershenbaum</w:t>
      </w:r>
      <w:proofErr w:type="spellEnd"/>
      <w:r w:rsidR="001A2B43" w:rsidRPr="009C5A84">
        <w:rPr>
          <w:rFonts w:cs="Times New Roman"/>
          <w:color w:val="000000" w:themeColor="text1"/>
          <w:lang w:val="en-US"/>
        </w:rPr>
        <w:t xml:space="preserve"> is </w:t>
      </w:r>
      <w:r w:rsidR="00B374D5" w:rsidRPr="009C5A84">
        <w:rPr>
          <w:rFonts w:cs="Times New Roman"/>
          <w:color w:val="000000" w:themeColor="text1"/>
          <w:lang w:val="en-US"/>
        </w:rPr>
        <w:t xml:space="preserve">a </w:t>
      </w:r>
      <w:r w:rsidR="001A2B43" w:rsidRPr="009C5A84">
        <w:rPr>
          <w:rFonts w:cs="Times New Roman"/>
          <w:color w:val="000000" w:themeColor="text1"/>
          <w:lang w:val="en-US"/>
        </w:rPr>
        <w:t xml:space="preserve">student of Zlotowitz, </w:t>
      </w:r>
      <w:r w:rsidR="00536649">
        <w:rPr>
          <w:rFonts w:cs="Times New Roman"/>
          <w:color w:val="000000" w:themeColor="text1"/>
          <w:lang w:val="en-US"/>
        </w:rPr>
        <w:t>following</w:t>
      </w:r>
      <w:r w:rsidR="001A2B43" w:rsidRPr="009C5A84">
        <w:rPr>
          <w:rFonts w:cs="Times New Roman"/>
          <w:color w:val="000000" w:themeColor="text1"/>
          <w:lang w:val="en-US"/>
        </w:rPr>
        <w:t xml:space="preserve"> the minimalist approach of Orlinsky and his student </w:t>
      </w:r>
      <w:proofErr w:type="spellStart"/>
      <w:r w:rsidR="001A2B43" w:rsidRPr="009C5A84">
        <w:rPr>
          <w:rFonts w:cs="Times New Roman"/>
          <w:color w:val="000000" w:themeColor="text1"/>
          <w:lang w:val="en-US"/>
        </w:rPr>
        <w:t>Zlotowitz</w:t>
      </w:r>
      <w:proofErr w:type="spellEnd"/>
    </w:p>
  </w:footnote>
  <w:footnote w:id="60">
    <w:p w14:paraId="30D14AB8" w14:textId="220AEFFF" w:rsidR="002B090E" w:rsidRPr="009C5A84" w:rsidRDefault="002B090E" w:rsidP="00055A1C">
      <w:pPr>
        <w:pStyle w:val="Voetnoottekst"/>
        <w:rPr>
          <w:rFonts w:cs="Times New Roman"/>
          <w:color w:val="000000" w:themeColor="text1"/>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DC3153" w:rsidRPr="009C5A84">
        <w:rPr>
          <w:rFonts w:cs="Times New Roman"/>
          <w:color w:val="000000" w:themeColor="text1"/>
          <w:lang w:val="en-US"/>
        </w:rPr>
        <w:t xml:space="preserve">For instance: D. A. Baer, </w:t>
      </w:r>
      <w:r w:rsidR="00DC3153" w:rsidRPr="009C5A84">
        <w:rPr>
          <w:rFonts w:cs="Times New Roman"/>
          <w:i/>
          <w:iCs/>
          <w:color w:val="000000" w:themeColor="text1"/>
          <w:lang w:val="en-US"/>
        </w:rPr>
        <w:t>When We All Go Home: Translation and Theology in LXX Isaiah 56–66</w:t>
      </w:r>
      <w:r w:rsidR="00DC3153" w:rsidRPr="009C5A84">
        <w:rPr>
          <w:rFonts w:cs="Times New Roman"/>
          <w:color w:val="000000" w:themeColor="text1"/>
          <w:lang w:val="en-US"/>
        </w:rPr>
        <w:t xml:space="preserve"> (</w:t>
      </w:r>
      <w:proofErr w:type="spellStart"/>
      <w:r w:rsidR="00DC3153" w:rsidRPr="009C5A84">
        <w:rPr>
          <w:rFonts w:cs="Times New Roman"/>
          <w:color w:val="000000" w:themeColor="text1"/>
          <w:lang w:val="en-US"/>
        </w:rPr>
        <w:t>JSOTSup</w:t>
      </w:r>
      <w:proofErr w:type="spellEnd"/>
      <w:r w:rsidR="00DC3153" w:rsidRPr="009C5A84">
        <w:rPr>
          <w:rFonts w:cs="Times New Roman"/>
          <w:color w:val="000000" w:themeColor="text1"/>
          <w:lang w:val="en-US"/>
        </w:rPr>
        <w:t xml:space="preserve"> 318; </w:t>
      </w:r>
      <w:r w:rsidR="00DC3153" w:rsidRPr="009C5A84">
        <w:rPr>
          <w:rFonts w:cs="Times New Roman"/>
          <w:color w:val="000000" w:themeColor="text1"/>
        </w:rPr>
        <w:t>Shefeld: Shefeld Academic Press, 2001)</w:t>
      </w:r>
      <w:r w:rsidRPr="009C5A84">
        <w:rPr>
          <w:rFonts w:cs="Times New Roman"/>
          <w:color w:val="000000" w:themeColor="text1"/>
          <w:lang w:val="en-US"/>
        </w:rPr>
        <w:t xml:space="preserve">; also </w:t>
      </w:r>
      <w:r w:rsidR="00DC3153" w:rsidRPr="009C5A84">
        <w:rPr>
          <w:rFonts w:cs="Times New Roman"/>
          <w:color w:val="000000" w:themeColor="text1"/>
          <w:lang w:val="en-US"/>
        </w:rPr>
        <w:t xml:space="preserve">in some instances Martin </w:t>
      </w:r>
      <w:r w:rsidRPr="009C5A84">
        <w:rPr>
          <w:rFonts w:cs="Times New Roman"/>
          <w:color w:val="000000" w:themeColor="text1"/>
          <w:lang w:val="en-US"/>
        </w:rPr>
        <w:t>Rösel</w:t>
      </w:r>
      <w:r w:rsidR="00DC3153" w:rsidRPr="009C5A84">
        <w:rPr>
          <w:rFonts w:cs="Times New Roman"/>
          <w:color w:val="000000" w:themeColor="text1"/>
          <w:lang w:val="en-US"/>
        </w:rPr>
        <w:t xml:space="preserve">, such as </w:t>
      </w:r>
      <w:r w:rsidRPr="009C5A84">
        <w:rPr>
          <w:rFonts w:cs="Times New Roman"/>
          <w:color w:val="000000" w:themeColor="text1"/>
          <w:lang w:val="en-US"/>
        </w:rPr>
        <w:t xml:space="preserve">his theory about </w:t>
      </w:r>
      <w:proofErr w:type="spellStart"/>
      <w:r w:rsidRPr="009C5A84">
        <w:rPr>
          <w:rFonts w:cs="Times New Roman"/>
          <w:i/>
          <w:iCs/>
          <w:color w:val="000000" w:themeColor="text1"/>
          <w:lang w:val="en-US"/>
        </w:rPr>
        <w:t>Entkörperung</w:t>
      </w:r>
      <w:proofErr w:type="spellEnd"/>
      <w:r w:rsidRPr="009C5A84">
        <w:rPr>
          <w:rFonts w:cs="Times New Roman"/>
          <w:color w:val="000000" w:themeColor="text1"/>
          <w:lang w:val="en-US"/>
        </w:rPr>
        <w:t>: M</w:t>
      </w:r>
      <w:r w:rsidR="00DC3153" w:rsidRPr="009C5A84">
        <w:rPr>
          <w:rFonts w:cs="Times New Roman"/>
          <w:color w:val="000000" w:themeColor="text1"/>
          <w:lang w:val="en-US"/>
        </w:rPr>
        <w:t>artin</w:t>
      </w:r>
      <w:r w:rsidRPr="009C5A84">
        <w:rPr>
          <w:rFonts w:cs="Times New Roman"/>
          <w:color w:val="000000" w:themeColor="text1"/>
          <w:lang w:val="en-US"/>
        </w:rPr>
        <w:t xml:space="preserve"> Rösel, “Den Herrn </w:t>
      </w:r>
      <w:proofErr w:type="spellStart"/>
      <w:r w:rsidRPr="009C5A84">
        <w:rPr>
          <w:rFonts w:cs="Times New Roman"/>
          <w:color w:val="000000" w:themeColor="text1"/>
          <w:lang w:val="en-US"/>
        </w:rPr>
        <w:t>aus</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ganzem</w:t>
      </w:r>
      <w:proofErr w:type="spellEnd"/>
      <w:r w:rsidRPr="009C5A84">
        <w:rPr>
          <w:rFonts w:cs="Times New Roman"/>
          <w:color w:val="000000" w:themeColor="text1"/>
          <w:lang w:val="en-US"/>
        </w:rPr>
        <w:t xml:space="preserve"> Denken </w:t>
      </w:r>
      <w:proofErr w:type="spellStart"/>
      <w:r w:rsidRPr="009C5A84">
        <w:rPr>
          <w:rFonts w:cs="Times New Roman"/>
          <w:color w:val="000000" w:themeColor="text1"/>
          <w:lang w:val="en-US"/>
        </w:rPr>
        <w:t>lieben</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Dtn</w:t>
      </w:r>
      <w:proofErr w:type="spellEnd"/>
      <w:r w:rsidRPr="009C5A84">
        <w:rPr>
          <w:rFonts w:cs="Times New Roman"/>
          <w:color w:val="000000" w:themeColor="text1"/>
          <w:lang w:val="en-US"/>
        </w:rPr>
        <w:t xml:space="preserve"> 6,5 LXX): “</w:t>
      </w:r>
      <w:proofErr w:type="spellStart"/>
      <w:r w:rsidRPr="009C5A84">
        <w:rPr>
          <w:rFonts w:cs="Times New Roman"/>
          <w:color w:val="000000" w:themeColor="text1"/>
          <w:lang w:val="en-US"/>
        </w:rPr>
        <w:t>Entkörperung</w:t>
      </w:r>
      <w:proofErr w:type="spellEnd"/>
      <w:r w:rsidRPr="009C5A84">
        <w:rPr>
          <w:rFonts w:cs="Times New Roman"/>
          <w:color w:val="000000" w:themeColor="text1"/>
          <w:lang w:val="en-US"/>
        </w:rPr>
        <w:t xml:space="preserve">” in der </w:t>
      </w:r>
      <w:proofErr w:type="spellStart"/>
      <w:r w:rsidRPr="009C5A84">
        <w:rPr>
          <w:rFonts w:cs="Times New Roman"/>
          <w:color w:val="000000" w:themeColor="text1"/>
          <w:lang w:val="en-US"/>
        </w:rPr>
        <w:t>griechischen</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Übersetzung</w:t>
      </w:r>
      <w:proofErr w:type="spellEnd"/>
      <w:r w:rsidRPr="009C5A84">
        <w:rPr>
          <w:rFonts w:cs="Times New Roman"/>
          <w:color w:val="000000" w:themeColor="text1"/>
          <w:lang w:val="en-US"/>
        </w:rPr>
        <w:t xml:space="preserve"> des </w:t>
      </w:r>
      <w:proofErr w:type="spellStart"/>
      <w:r w:rsidRPr="009C5A84">
        <w:rPr>
          <w:rFonts w:cs="Times New Roman"/>
          <w:color w:val="000000" w:themeColor="text1"/>
          <w:lang w:val="en-US"/>
        </w:rPr>
        <w:t>Alten</w:t>
      </w:r>
      <w:proofErr w:type="spellEnd"/>
      <w:r w:rsidRPr="009C5A84">
        <w:rPr>
          <w:rFonts w:cs="Times New Roman"/>
          <w:color w:val="000000" w:themeColor="text1"/>
          <w:lang w:val="en-US"/>
        </w:rPr>
        <w:t xml:space="preserve"> Testaments?</w:t>
      </w:r>
      <w:r w:rsidR="00DC3153" w:rsidRPr="009C5A84">
        <w:rPr>
          <w:rFonts w:cs="Times New Roman"/>
          <w:color w:val="000000" w:themeColor="text1"/>
          <w:lang w:val="en-US"/>
        </w:rPr>
        <w:t>,</w:t>
      </w:r>
      <w:r w:rsidRPr="009C5A84">
        <w:rPr>
          <w:rFonts w:cs="Times New Roman"/>
          <w:color w:val="000000" w:themeColor="text1"/>
          <w:lang w:val="en-US"/>
        </w:rPr>
        <w:t xml:space="preserve">” in </w:t>
      </w:r>
      <w:proofErr w:type="spellStart"/>
      <w:r w:rsidR="00DC3153" w:rsidRPr="009C5A84">
        <w:rPr>
          <w:rFonts w:cs="Times New Roman"/>
          <w:i/>
          <w:iCs/>
          <w:color w:val="000000" w:themeColor="text1"/>
          <w:lang w:val="en-US"/>
        </w:rPr>
        <w:t>Verkörperung</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als</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Paradigma</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theologischer</w:t>
      </w:r>
      <w:proofErr w:type="spellEnd"/>
      <w:r w:rsidR="00DC3153" w:rsidRPr="009C5A84">
        <w:rPr>
          <w:rFonts w:cs="Times New Roman"/>
          <w:i/>
          <w:iCs/>
          <w:color w:val="000000" w:themeColor="text1"/>
          <w:lang w:val="en-US"/>
        </w:rPr>
        <w:t xml:space="preserve"> Anthropologie  </w:t>
      </w:r>
      <w:r w:rsidR="00DC3153" w:rsidRPr="009C5A84">
        <w:rPr>
          <w:rFonts w:cs="Times New Roman"/>
          <w:color w:val="000000" w:themeColor="text1"/>
          <w:lang w:val="en-US"/>
        </w:rPr>
        <w:t xml:space="preserve">(ed. </w:t>
      </w:r>
      <w:r w:rsidRPr="009C5A84">
        <w:rPr>
          <w:rFonts w:cs="Times New Roman"/>
          <w:color w:val="000000" w:themeColor="text1"/>
          <w:lang w:val="en-US"/>
        </w:rPr>
        <w:t xml:space="preserve">G. </w:t>
      </w:r>
      <w:proofErr w:type="spellStart"/>
      <w:r w:rsidRPr="009C5A84">
        <w:rPr>
          <w:rFonts w:cs="Times New Roman"/>
          <w:color w:val="000000" w:themeColor="text1"/>
          <w:lang w:val="en-US"/>
        </w:rPr>
        <w:t>Etzelmüller</w:t>
      </w:r>
      <w:proofErr w:type="spellEnd"/>
      <w:r w:rsidRPr="009C5A84">
        <w:rPr>
          <w:rFonts w:cs="Times New Roman"/>
          <w:color w:val="000000" w:themeColor="text1"/>
          <w:lang w:val="en-US"/>
        </w:rPr>
        <w:t xml:space="preserve"> &amp; A. </w:t>
      </w:r>
      <w:proofErr w:type="spellStart"/>
      <w:r w:rsidRPr="009C5A84">
        <w:rPr>
          <w:rFonts w:cs="Times New Roman"/>
          <w:color w:val="000000" w:themeColor="text1"/>
          <w:lang w:val="en-US"/>
        </w:rPr>
        <w:t>Weissenrieder</w:t>
      </w:r>
      <w:proofErr w:type="spellEnd"/>
      <w:r w:rsidR="00DC3153" w:rsidRPr="009C5A84">
        <w:rPr>
          <w:rFonts w:cs="Times New Roman"/>
          <w:color w:val="000000" w:themeColor="text1"/>
          <w:lang w:val="en-US"/>
        </w:rPr>
        <w:t xml:space="preserve">; </w:t>
      </w:r>
      <w:r w:rsidRPr="009C5A84">
        <w:rPr>
          <w:rFonts w:cs="Times New Roman"/>
          <w:color w:val="000000" w:themeColor="text1"/>
          <w:lang w:val="en-US"/>
        </w:rPr>
        <w:t>TBT</w:t>
      </w:r>
      <w:r w:rsidR="00DC3153" w:rsidRPr="009C5A84">
        <w:rPr>
          <w:rFonts w:cs="Times New Roman"/>
          <w:color w:val="000000" w:themeColor="text1"/>
          <w:lang w:val="en-US"/>
        </w:rPr>
        <w:t xml:space="preserve"> </w:t>
      </w:r>
      <w:r w:rsidRPr="009C5A84">
        <w:rPr>
          <w:rFonts w:cs="Times New Roman"/>
          <w:color w:val="000000" w:themeColor="text1"/>
          <w:lang w:val="en-US"/>
        </w:rPr>
        <w:t>172</w:t>
      </w:r>
      <w:r w:rsidR="00DC3153" w:rsidRPr="009C5A84">
        <w:rPr>
          <w:rFonts w:cs="Times New Roman"/>
          <w:color w:val="000000" w:themeColor="text1"/>
          <w:lang w:val="en-US"/>
        </w:rPr>
        <w:t>;</w:t>
      </w:r>
      <w:r w:rsidRPr="009C5A84">
        <w:rPr>
          <w:rFonts w:cs="Times New Roman"/>
          <w:color w:val="000000" w:themeColor="text1"/>
          <w:lang w:val="en-US"/>
        </w:rPr>
        <w:t xml:space="preserve"> Berlin</w:t>
      </w:r>
      <w:r w:rsidR="00DC3153" w:rsidRPr="009C5A84">
        <w:rPr>
          <w:rFonts w:cs="Times New Roman"/>
          <w:color w:val="000000" w:themeColor="text1"/>
          <w:lang w:val="en-US"/>
        </w:rPr>
        <w:t xml:space="preserve">: </w:t>
      </w:r>
      <w:r w:rsidRPr="009C5A84">
        <w:rPr>
          <w:rFonts w:cs="Times New Roman"/>
          <w:color w:val="000000" w:themeColor="text1"/>
          <w:lang w:val="en-US"/>
        </w:rPr>
        <w:t>De Gruyter, 2016</w:t>
      </w:r>
      <w:r w:rsidR="00DC3153" w:rsidRPr="009C5A84">
        <w:rPr>
          <w:rFonts w:cs="Times New Roman"/>
          <w:color w:val="000000" w:themeColor="text1"/>
          <w:lang w:val="en-US"/>
        </w:rPr>
        <w:t>)</w:t>
      </w:r>
      <w:r w:rsidRPr="009C5A84">
        <w:rPr>
          <w:rFonts w:cs="Times New Roman"/>
          <w:color w:val="000000" w:themeColor="text1"/>
          <w:lang w:val="en-US"/>
        </w:rPr>
        <w:t>, 143</w:t>
      </w:r>
      <w:r w:rsidR="00DC3153" w:rsidRPr="009C5A84">
        <w:rPr>
          <w:rFonts w:cs="Times New Roman"/>
          <w:color w:val="000000" w:themeColor="text1"/>
          <w:lang w:val="en-US"/>
        </w:rPr>
        <w:t>–</w:t>
      </w:r>
      <w:r w:rsidRPr="009C5A84">
        <w:rPr>
          <w:rFonts w:cs="Times New Roman"/>
          <w:color w:val="000000" w:themeColor="text1"/>
          <w:lang w:val="en-US"/>
        </w:rPr>
        <w:t>58.</w:t>
      </w:r>
    </w:p>
  </w:footnote>
  <w:footnote w:id="61">
    <w:p w14:paraId="1FCCB7B7" w14:textId="2C62AA11" w:rsidR="00FD33D9" w:rsidRPr="009C5A84" w:rsidRDefault="00FD33D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bookmarkStart w:id="0" w:name="_Hlk73959704"/>
      <w:r w:rsidR="00F00036" w:rsidRPr="009C5A84">
        <w:rPr>
          <w:rFonts w:cs="Times New Roman"/>
          <w:color w:val="000000" w:themeColor="text1"/>
          <w:lang w:val="en-US"/>
        </w:rPr>
        <w:t>Cook speaks of a divide between “minimalists” and “maximalists”:</w:t>
      </w:r>
      <w:r w:rsidR="00DC3153" w:rsidRPr="009C5A84">
        <w:rPr>
          <w:rFonts w:cs="Times New Roman"/>
          <w:color w:val="000000" w:themeColor="text1"/>
          <w:lang w:val="en-US"/>
        </w:rPr>
        <w:t xml:space="preserve"> </w:t>
      </w:r>
      <w:r w:rsidRPr="009C5A84">
        <w:rPr>
          <w:rFonts w:cs="Times New Roman"/>
          <w:color w:val="000000" w:themeColor="text1"/>
          <w:lang w:val="en-US"/>
        </w:rPr>
        <w:t>J</w:t>
      </w:r>
      <w:r w:rsidR="00DC3153" w:rsidRPr="009C5A84">
        <w:rPr>
          <w:rFonts w:cs="Times New Roman"/>
          <w:color w:val="000000" w:themeColor="text1"/>
          <w:lang w:val="en-US"/>
        </w:rPr>
        <w:t>ohan</w:t>
      </w:r>
      <w:r w:rsidR="000D1914" w:rsidRPr="009C5A84">
        <w:rPr>
          <w:rFonts w:cs="Times New Roman"/>
          <w:color w:val="000000" w:themeColor="text1"/>
          <w:lang w:val="en-US"/>
        </w:rPr>
        <w:t>n</w:t>
      </w:r>
      <w:r w:rsidRPr="009C5A84">
        <w:rPr>
          <w:rFonts w:cs="Times New Roman"/>
          <w:color w:val="000000" w:themeColor="text1"/>
          <w:lang w:val="en-US"/>
        </w:rPr>
        <w:t xml:space="preserve"> Cook, “A Theology of the </w:t>
      </w:r>
      <w:proofErr w:type="gramStart"/>
      <w:r w:rsidRPr="009C5A84">
        <w:rPr>
          <w:rFonts w:cs="Times New Roman"/>
          <w:color w:val="000000" w:themeColor="text1"/>
          <w:lang w:val="en-US"/>
        </w:rPr>
        <w:t>Septuagint?</w:t>
      </w:r>
      <w:r w:rsidR="00DC3153" w:rsidRPr="009C5A84">
        <w:rPr>
          <w:rFonts w:cs="Times New Roman"/>
          <w:color w:val="000000" w:themeColor="text1"/>
          <w:lang w:val="en-US"/>
        </w:rPr>
        <w:t>,</w:t>
      </w:r>
      <w:proofErr w:type="gramEnd"/>
      <w:r w:rsidRPr="009C5A84">
        <w:rPr>
          <w:rFonts w:cs="Times New Roman"/>
          <w:color w:val="000000" w:themeColor="text1"/>
          <w:lang w:val="en-US"/>
        </w:rPr>
        <w:t xml:space="preserve">” </w:t>
      </w:r>
      <w:r w:rsidRPr="009C5A84">
        <w:rPr>
          <w:rFonts w:cs="Times New Roman"/>
          <w:i/>
          <w:iCs/>
          <w:color w:val="000000" w:themeColor="text1"/>
          <w:lang w:val="en-US"/>
        </w:rPr>
        <w:t>OTE</w:t>
      </w:r>
      <w:r w:rsidRPr="009C5A84">
        <w:rPr>
          <w:rFonts w:cs="Times New Roman"/>
          <w:color w:val="000000" w:themeColor="text1"/>
          <w:lang w:val="en-US"/>
        </w:rPr>
        <w:t xml:space="preserve"> 30/2</w:t>
      </w:r>
      <w:r w:rsidR="00DC3153" w:rsidRPr="009C5A84">
        <w:rPr>
          <w:rFonts w:cs="Times New Roman"/>
          <w:color w:val="000000" w:themeColor="text1"/>
          <w:lang w:val="en-US"/>
        </w:rPr>
        <w:t xml:space="preserve"> (</w:t>
      </w:r>
      <w:r w:rsidRPr="009C5A84">
        <w:rPr>
          <w:rFonts w:cs="Times New Roman"/>
          <w:color w:val="000000" w:themeColor="text1"/>
          <w:lang w:val="en-US"/>
        </w:rPr>
        <w:t>2017</w:t>
      </w:r>
      <w:r w:rsidR="00DC3153" w:rsidRPr="009C5A84">
        <w:rPr>
          <w:rFonts w:cs="Times New Roman"/>
          <w:color w:val="000000" w:themeColor="text1"/>
          <w:lang w:val="en-US"/>
        </w:rPr>
        <w:t xml:space="preserve">): </w:t>
      </w:r>
      <w:r w:rsidRPr="009C5A84">
        <w:rPr>
          <w:rFonts w:cs="Times New Roman"/>
          <w:color w:val="000000" w:themeColor="text1"/>
          <w:lang w:val="en-US"/>
        </w:rPr>
        <w:t>265</w:t>
      </w:r>
      <w:r w:rsidR="00DC3153" w:rsidRPr="009C5A84">
        <w:rPr>
          <w:rFonts w:cs="Times New Roman"/>
          <w:color w:val="000000" w:themeColor="text1"/>
          <w:lang w:val="en-US"/>
        </w:rPr>
        <w:t>–</w:t>
      </w:r>
      <w:r w:rsidRPr="009C5A84">
        <w:rPr>
          <w:rFonts w:cs="Times New Roman"/>
          <w:color w:val="000000" w:themeColor="text1"/>
          <w:lang w:val="en-US"/>
        </w:rPr>
        <w:t>82</w:t>
      </w:r>
      <w:bookmarkEnd w:id="0"/>
      <w:r w:rsidR="00F00036" w:rsidRPr="009C5A84">
        <w:rPr>
          <w:rFonts w:cs="Times New Roman"/>
          <w:color w:val="000000" w:themeColor="text1"/>
          <w:lang w:val="en-US"/>
        </w:rPr>
        <w:t xml:space="preserve">. Cf. </w:t>
      </w:r>
      <w:r w:rsidRPr="009C5A84">
        <w:rPr>
          <w:rFonts w:cs="Times New Roman"/>
          <w:color w:val="000000" w:themeColor="text1"/>
          <w:lang w:val="en-US"/>
        </w:rPr>
        <w:t xml:space="preserve"> </w:t>
      </w:r>
      <w:bookmarkStart w:id="1" w:name="_Hlk73959755"/>
      <w:r w:rsidRPr="009C5A84">
        <w:rPr>
          <w:rFonts w:cs="Times New Roman"/>
          <w:color w:val="000000" w:themeColor="text1"/>
          <w:lang w:val="en-US"/>
        </w:rPr>
        <w:t>M</w:t>
      </w:r>
      <w:r w:rsidR="00DC3153" w:rsidRPr="009C5A84">
        <w:rPr>
          <w:rFonts w:cs="Times New Roman"/>
          <w:color w:val="000000" w:themeColor="text1"/>
          <w:lang w:val="en-US"/>
        </w:rPr>
        <w:t>artin</w:t>
      </w:r>
      <w:r w:rsidRPr="009C5A84">
        <w:rPr>
          <w:rFonts w:cs="Times New Roman"/>
          <w:color w:val="000000" w:themeColor="text1"/>
          <w:lang w:val="en-US"/>
        </w:rPr>
        <w:t xml:space="preserve"> Rösel, “Eine </w:t>
      </w:r>
      <w:proofErr w:type="spellStart"/>
      <w:r w:rsidRPr="009C5A84">
        <w:rPr>
          <w:rFonts w:cs="Times New Roman"/>
          <w:color w:val="000000" w:themeColor="text1"/>
          <w:lang w:val="en-US"/>
        </w:rPr>
        <w:t>Theologie</w:t>
      </w:r>
      <w:proofErr w:type="spellEnd"/>
      <w:r w:rsidRPr="009C5A84">
        <w:rPr>
          <w:rFonts w:cs="Times New Roman"/>
          <w:color w:val="000000" w:themeColor="text1"/>
          <w:lang w:val="en-US"/>
        </w:rPr>
        <w:t xml:space="preserve"> der </w:t>
      </w:r>
      <w:proofErr w:type="spellStart"/>
      <w:r w:rsidRPr="009C5A84">
        <w:rPr>
          <w:rFonts w:cs="Times New Roman"/>
          <w:color w:val="000000" w:themeColor="text1"/>
          <w:lang w:val="en-US"/>
        </w:rPr>
        <w:t>Septuaginta</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Präzisierungen</w:t>
      </w:r>
      <w:proofErr w:type="spellEnd"/>
      <w:r w:rsidRPr="009C5A84">
        <w:rPr>
          <w:rFonts w:cs="Times New Roman"/>
          <w:color w:val="000000" w:themeColor="text1"/>
          <w:lang w:val="en-US"/>
        </w:rPr>
        <w:t xml:space="preserve"> und </w:t>
      </w:r>
      <w:proofErr w:type="spellStart"/>
      <w:r w:rsidRPr="009C5A84">
        <w:rPr>
          <w:rFonts w:cs="Times New Roman"/>
          <w:color w:val="000000" w:themeColor="text1"/>
          <w:lang w:val="en-US"/>
        </w:rPr>
        <w:t>Pointierungen</w:t>
      </w:r>
      <w:proofErr w:type="spellEnd"/>
      <w:r w:rsidR="00DC3153" w:rsidRPr="009C5A84">
        <w:rPr>
          <w:rFonts w:cs="Times New Roman"/>
          <w:color w:val="000000" w:themeColor="text1"/>
          <w:lang w:val="en-US"/>
        </w:rPr>
        <w:t>,</w:t>
      </w:r>
      <w:r w:rsidRPr="009C5A84">
        <w:rPr>
          <w:rFonts w:cs="Times New Roman"/>
          <w:color w:val="000000" w:themeColor="text1"/>
          <w:lang w:val="en-US"/>
        </w:rPr>
        <w:t xml:space="preserve">” in </w:t>
      </w:r>
      <w:proofErr w:type="spellStart"/>
      <w:r w:rsidR="00DC3153" w:rsidRPr="009C5A84">
        <w:rPr>
          <w:rFonts w:cs="Times New Roman"/>
          <w:i/>
          <w:iCs/>
          <w:color w:val="000000" w:themeColor="text1"/>
          <w:lang w:val="en-US"/>
        </w:rPr>
        <w:t>Theologie</w:t>
      </w:r>
      <w:proofErr w:type="spellEnd"/>
      <w:r w:rsidR="00DC3153" w:rsidRPr="009C5A84">
        <w:rPr>
          <w:rFonts w:cs="Times New Roman"/>
          <w:i/>
          <w:iCs/>
          <w:color w:val="000000" w:themeColor="text1"/>
          <w:lang w:val="en-US"/>
        </w:rPr>
        <w:t xml:space="preserve"> und </w:t>
      </w:r>
      <w:proofErr w:type="spellStart"/>
      <w:r w:rsidR="00DC3153" w:rsidRPr="009C5A84">
        <w:rPr>
          <w:rFonts w:cs="Times New Roman"/>
          <w:i/>
          <w:iCs/>
          <w:color w:val="000000" w:themeColor="text1"/>
          <w:lang w:val="en-US"/>
        </w:rPr>
        <w:t>Textgeschichte</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Septaginta</w:t>
      </w:r>
      <w:proofErr w:type="spellEnd"/>
      <w:r w:rsidR="00DC3153" w:rsidRPr="009C5A84">
        <w:rPr>
          <w:rFonts w:cs="Times New Roman"/>
          <w:i/>
          <w:iCs/>
          <w:color w:val="000000" w:themeColor="text1"/>
          <w:lang w:val="en-US"/>
        </w:rPr>
        <w:t xml:space="preserve"> und </w:t>
      </w:r>
      <w:proofErr w:type="spellStart"/>
      <w:r w:rsidR="00DC3153" w:rsidRPr="009C5A84">
        <w:rPr>
          <w:rFonts w:cs="Times New Roman"/>
          <w:i/>
          <w:iCs/>
          <w:color w:val="000000" w:themeColor="text1"/>
          <w:lang w:val="en-US"/>
        </w:rPr>
        <w:t>Masoretischer</w:t>
      </w:r>
      <w:proofErr w:type="spellEnd"/>
      <w:r w:rsidR="00DC3153" w:rsidRPr="009C5A84">
        <w:rPr>
          <w:rFonts w:cs="Times New Roman"/>
          <w:i/>
          <w:iCs/>
          <w:color w:val="000000" w:themeColor="text1"/>
          <w:lang w:val="en-US"/>
        </w:rPr>
        <w:t xml:space="preserve"> Text </w:t>
      </w:r>
      <w:proofErr w:type="spellStart"/>
      <w:r w:rsidR="00DC3153" w:rsidRPr="009C5A84">
        <w:rPr>
          <w:rFonts w:cs="Times New Roman"/>
          <w:i/>
          <w:iCs/>
          <w:color w:val="000000" w:themeColor="text1"/>
          <w:lang w:val="en-US"/>
        </w:rPr>
        <w:t>als</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Äußerungen</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theologischer</w:t>
      </w:r>
      <w:proofErr w:type="spellEnd"/>
      <w:r w:rsidR="00DC3153" w:rsidRPr="009C5A84">
        <w:rPr>
          <w:rFonts w:cs="Times New Roman"/>
          <w:i/>
          <w:iCs/>
          <w:color w:val="000000" w:themeColor="text1"/>
          <w:lang w:val="en-US"/>
        </w:rPr>
        <w:t xml:space="preserve"> </w:t>
      </w:r>
      <w:proofErr w:type="spellStart"/>
      <w:r w:rsidR="00DC3153" w:rsidRPr="009C5A84">
        <w:rPr>
          <w:rFonts w:cs="Times New Roman"/>
          <w:i/>
          <w:iCs/>
          <w:color w:val="000000" w:themeColor="text1"/>
          <w:lang w:val="en-US"/>
        </w:rPr>
        <w:t>Reflexion</w:t>
      </w:r>
      <w:proofErr w:type="spellEnd"/>
      <w:r w:rsidR="00DC3153" w:rsidRPr="009C5A84">
        <w:rPr>
          <w:rFonts w:cs="Times New Roman"/>
          <w:i/>
          <w:iCs/>
          <w:color w:val="000000" w:themeColor="text1"/>
          <w:lang w:val="en-US"/>
        </w:rPr>
        <w:t xml:space="preserve"> </w:t>
      </w:r>
      <w:r w:rsidR="00DC3153" w:rsidRPr="009C5A84">
        <w:rPr>
          <w:rFonts w:cs="Times New Roman"/>
          <w:color w:val="000000" w:themeColor="text1"/>
          <w:lang w:val="en-US"/>
        </w:rPr>
        <w:t xml:space="preserve">(ed. </w:t>
      </w:r>
      <w:r w:rsidRPr="009C5A84">
        <w:rPr>
          <w:rFonts w:cs="Times New Roman"/>
          <w:color w:val="000000" w:themeColor="text1"/>
          <w:lang w:val="en-US"/>
        </w:rPr>
        <w:t xml:space="preserve">F. </w:t>
      </w:r>
      <w:proofErr w:type="spellStart"/>
      <w:r w:rsidRPr="009C5A84">
        <w:rPr>
          <w:rFonts w:cs="Times New Roman"/>
          <w:color w:val="000000" w:themeColor="text1"/>
          <w:lang w:val="en-US"/>
        </w:rPr>
        <w:t>Ueberschaer</w:t>
      </w:r>
      <w:proofErr w:type="spellEnd"/>
      <w:r w:rsidRPr="009C5A84">
        <w:rPr>
          <w:rFonts w:cs="Times New Roman"/>
          <w:color w:val="000000" w:themeColor="text1"/>
          <w:lang w:val="en-US"/>
        </w:rPr>
        <w:t>, T. Wagner &amp; J.M. Robker</w:t>
      </w:r>
      <w:r w:rsidR="00DC3153" w:rsidRPr="009C5A84">
        <w:rPr>
          <w:rFonts w:cs="Times New Roman"/>
          <w:color w:val="000000" w:themeColor="text1"/>
          <w:lang w:val="en-US"/>
        </w:rPr>
        <w:t>;</w:t>
      </w:r>
      <w:r w:rsidRPr="009C5A84">
        <w:rPr>
          <w:rFonts w:cs="Times New Roman"/>
          <w:color w:val="000000" w:themeColor="text1"/>
          <w:lang w:val="en-US"/>
        </w:rPr>
        <w:t xml:space="preserve"> WUNT 407</w:t>
      </w:r>
      <w:r w:rsidR="00DC3153" w:rsidRPr="009C5A84">
        <w:rPr>
          <w:rFonts w:cs="Times New Roman"/>
          <w:color w:val="000000" w:themeColor="text1"/>
          <w:lang w:val="en-US"/>
        </w:rPr>
        <w:t>;</w:t>
      </w:r>
      <w:r w:rsidRPr="009C5A84">
        <w:rPr>
          <w:rFonts w:cs="Times New Roman"/>
          <w:color w:val="000000" w:themeColor="text1"/>
          <w:lang w:val="en-US"/>
        </w:rPr>
        <w:t xml:space="preserve"> Tübingen</w:t>
      </w:r>
      <w:r w:rsidR="00DC3153" w:rsidRPr="009C5A84">
        <w:rPr>
          <w:rFonts w:cs="Times New Roman"/>
          <w:color w:val="000000" w:themeColor="text1"/>
          <w:lang w:val="en-US"/>
        </w:rPr>
        <w:t>;</w:t>
      </w:r>
      <w:r w:rsidRPr="009C5A84">
        <w:rPr>
          <w:rFonts w:cs="Times New Roman"/>
          <w:color w:val="000000" w:themeColor="text1"/>
          <w:lang w:val="en-US"/>
        </w:rPr>
        <w:t xml:space="preserve"> Mohr, 2018</w:t>
      </w:r>
      <w:r w:rsidR="00DC3153" w:rsidRPr="009C5A84">
        <w:rPr>
          <w:rFonts w:cs="Times New Roman"/>
          <w:color w:val="000000" w:themeColor="text1"/>
          <w:lang w:val="en-US"/>
        </w:rPr>
        <w:t>)</w:t>
      </w:r>
      <w:r w:rsidRPr="009C5A84">
        <w:rPr>
          <w:rFonts w:cs="Times New Roman"/>
          <w:color w:val="000000" w:themeColor="text1"/>
          <w:lang w:val="en-US"/>
        </w:rPr>
        <w:t>, 25</w:t>
      </w:r>
      <w:r w:rsidR="00DC3153" w:rsidRPr="009C5A84">
        <w:rPr>
          <w:rFonts w:cs="Times New Roman"/>
          <w:color w:val="000000" w:themeColor="text1"/>
          <w:lang w:val="en-US"/>
        </w:rPr>
        <w:t>–</w:t>
      </w:r>
      <w:r w:rsidRPr="009C5A84">
        <w:rPr>
          <w:rFonts w:cs="Times New Roman"/>
          <w:color w:val="000000" w:themeColor="text1"/>
          <w:lang w:val="en-US"/>
        </w:rPr>
        <w:t xml:space="preserve">43; </w:t>
      </w:r>
      <w:bookmarkStart w:id="2" w:name="_Hlk73959797"/>
      <w:bookmarkStart w:id="3" w:name="_Hlk74065155"/>
      <w:bookmarkEnd w:id="1"/>
      <w:r w:rsidRPr="009C5A84">
        <w:rPr>
          <w:rFonts w:cs="Times New Roman"/>
          <w:color w:val="000000" w:themeColor="text1"/>
          <w:lang w:val="en-US"/>
        </w:rPr>
        <w:t>Müller, “Theology in the Septuagint?</w:t>
      </w:r>
      <w:r w:rsidR="000D1914" w:rsidRPr="009C5A84">
        <w:rPr>
          <w:rFonts w:cs="Times New Roman"/>
          <w:color w:val="000000" w:themeColor="text1"/>
          <w:lang w:val="en-US"/>
        </w:rPr>
        <w:t>”</w:t>
      </w:r>
      <w:r w:rsidRPr="009C5A84">
        <w:rPr>
          <w:rFonts w:cs="Times New Roman"/>
          <w:color w:val="000000" w:themeColor="text1"/>
          <w:lang w:val="en-US"/>
        </w:rPr>
        <w:t>.</w:t>
      </w:r>
      <w:bookmarkEnd w:id="2"/>
      <w:bookmarkEnd w:id="3"/>
    </w:p>
  </w:footnote>
  <w:footnote w:id="62">
    <w:p w14:paraId="04C37C26" w14:textId="2B187F56" w:rsidR="00FD33D9" w:rsidRPr="009C5A84" w:rsidRDefault="00FD33D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Cook, “A Theology of the Septuagint</w:t>
      </w:r>
      <w:r w:rsidR="000D1914" w:rsidRPr="009C5A84">
        <w:rPr>
          <w:rFonts w:cs="Times New Roman"/>
          <w:color w:val="000000" w:themeColor="text1"/>
          <w:lang w:val="en-US"/>
        </w:rPr>
        <w:t>?”</w:t>
      </w:r>
      <w:r w:rsidRPr="009C5A84">
        <w:rPr>
          <w:rFonts w:cs="Times New Roman"/>
          <w:color w:val="000000" w:themeColor="text1"/>
          <w:lang w:val="en-US"/>
        </w:rPr>
        <w:t>.</w:t>
      </w:r>
    </w:p>
  </w:footnote>
  <w:footnote w:id="63">
    <w:p w14:paraId="45120D0A" w14:textId="41A1386D" w:rsidR="00FD33D9" w:rsidRPr="009C5A84" w:rsidRDefault="00FD33D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D1914" w:rsidRPr="009C5A84">
        <w:rPr>
          <w:rFonts w:cs="Times New Roman"/>
          <w:color w:val="000000" w:themeColor="text1"/>
          <w:lang w:val="en-US"/>
        </w:rPr>
        <w:t>Idem</w:t>
      </w:r>
      <w:r w:rsidRPr="009C5A84">
        <w:rPr>
          <w:rFonts w:cs="Times New Roman"/>
          <w:color w:val="000000" w:themeColor="text1"/>
          <w:lang w:val="en-US"/>
        </w:rPr>
        <w:t>.</w:t>
      </w:r>
    </w:p>
  </w:footnote>
  <w:footnote w:id="64">
    <w:p w14:paraId="11ED5677" w14:textId="236BCFAB" w:rsidR="00A57D52" w:rsidRPr="009C5A84" w:rsidRDefault="00A57D52" w:rsidP="00A57D52">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bookmarkStart w:id="4" w:name="_Hlk74064691"/>
      <w:r w:rsidR="002A1E3B" w:rsidRPr="002A1E3B">
        <w:rPr>
          <w:rFonts w:cs="Times New Roman"/>
          <w:color w:val="000000" w:themeColor="text1"/>
          <w:lang w:val="en-US"/>
        </w:rPr>
        <w:t>Szabolcs-Ferencz</w:t>
      </w:r>
      <w:r w:rsidR="002A1E3B" w:rsidRPr="002A1E3B">
        <w:rPr>
          <w:rFonts w:cs="Times New Roman"/>
          <w:color w:val="000000" w:themeColor="text1"/>
          <w:lang w:val="en-US"/>
        </w:rPr>
        <w:t xml:space="preserve"> </w:t>
      </w:r>
      <w:r w:rsidRPr="009C5A84">
        <w:rPr>
          <w:rFonts w:cs="Times New Roman"/>
          <w:color w:val="000000" w:themeColor="text1"/>
          <w:lang w:val="en-US"/>
        </w:rPr>
        <w:t>Kató, “</w:t>
      </w:r>
      <w:proofErr w:type="spellStart"/>
      <w:r w:rsidRPr="009C5A84">
        <w:rPr>
          <w:rFonts w:cs="Times New Roman"/>
          <w:color w:val="000000" w:themeColor="text1"/>
          <w:lang w:val="en-US"/>
        </w:rPr>
        <w:t>Spuren</w:t>
      </w:r>
      <w:proofErr w:type="spellEnd"/>
      <w:r w:rsidRPr="009C5A84">
        <w:rPr>
          <w:rFonts w:cs="Times New Roman"/>
          <w:color w:val="000000" w:themeColor="text1"/>
          <w:lang w:val="en-US"/>
        </w:rPr>
        <w:t xml:space="preserve"> des Denkens: Die </w:t>
      </w:r>
      <w:proofErr w:type="spellStart"/>
      <w:r w:rsidRPr="009C5A84">
        <w:rPr>
          <w:rFonts w:cs="Times New Roman"/>
          <w:color w:val="000000" w:themeColor="text1"/>
          <w:lang w:val="en-US"/>
        </w:rPr>
        <w:t>Stellung</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einer</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Theologie</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innerhalb</w:t>
      </w:r>
      <w:proofErr w:type="spellEnd"/>
      <w:r w:rsidRPr="009C5A84">
        <w:rPr>
          <w:rFonts w:cs="Times New Roman"/>
          <w:color w:val="000000" w:themeColor="text1"/>
          <w:lang w:val="en-US"/>
        </w:rPr>
        <w:t xml:space="preserve"> der </w:t>
      </w:r>
      <w:proofErr w:type="spellStart"/>
      <w:r w:rsidRPr="009C5A84">
        <w:rPr>
          <w:rFonts w:cs="Times New Roman"/>
          <w:color w:val="000000" w:themeColor="text1"/>
          <w:lang w:val="en-US"/>
        </w:rPr>
        <w:t>wissenschaftlichen</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Theologie</w:t>
      </w:r>
      <w:proofErr w:type="spellEnd"/>
      <w:r w:rsidRPr="009C5A84">
        <w:rPr>
          <w:rFonts w:cs="Times New Roman"/>
          <w:color w:val="000000" w:themeColor="text1"/>
          <w:lang w:val="en-US"/>
        </w:rPr>
        <w:t xml:space="preserve">,” </w:t>
      </w:r>
      <w:r w:rsidRPr="009C5A84">
        <w:rPr>
          <w:rFonts w:cs="Times New Roman"/>
          <w:i/>
          <w:iCs/>
          <w:color w:val="000000" w:themeColor="text1"/>
          <w:lang w:val="en-US"/>
        </w:rPr>
        <w:t xml:space="preserve">HTS </w:t>
      </w:r>
      <w:r w:rsidRPr="009C5A84">
        <w:rPr>
          <w:rFonts w:cs="Times New Roman"/>
          <w:color w:val="000000" w:themeColor="text1"/>
          <w:lang w:val="en-US"/>
        </w:rPr>
        <w:t>76/4 (2020): 1–7</w:t>
      </w:r>
      <w:bookmarkEnd w:id="4"/>
      <w:r w:rsidRPr="009C5A84">
        <w:rPr>
          <w:rFonts w:cs="Times New Roman"/>
          <w:color w:val="000000" w:themeColor="text1"/>
          <w:lang w:val="en-US"/>
        </w:rPr>
        <w:t xml:space="preserve"> (3</w:t>
      </w:r>
      <w:r w:rsidR="00F52887" w:rsidRPr="009C5A84">
        <w:rPr>
          <w:rFonts w:cs="Times New Roman"/>
          <w:color w:val="000000" w:themeColor="text1"/>
          <w:lang w:val="en-US"/>
        </w:rPr>
        <w:t>)</w:t>
      </w:r>
      <w:r w:rsidRPr="009C5A84">
        <w:rPr>
          <w:rFonts w:cs="Times New Roman"/>
          <w:color w:val="000000" w:themeColor="text1"/>
          <w:lang w:val="en-US"/>
        </w:rPr>
        <w:t>.</w:t>
      </w:r>
    </w:p>
  </w:footnote>
  <w:footnote w:id="65">
    <w:p w14:paraId="71FCB297" w14:textId="67DE4B8A" w:rsidR="00FD33D9" w:rsidRPr="009C5A84" w:rsidRDefault="00FD33D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bookmarkStart w:id="5" w:name="_Hlk74063854"/>
      <w:r w:rsidRPr="009C5A84">
        <w:rPr>
          <w:rFonts w:cs="Times New Roman"/>
          <w:color w:val="000000" w:themeColor="text1"/>
          <w:lang w:val="en-US"/>
        </w:rPr>
        <w:t>H</w:t>
      </w:r>
      <w:r w:rsidR="000D1914" w:rsidRPr="009C5A84">
        <w:rPr>
          <w:rFonts w:cs="Times New Roman"/>
          <w:color w:val="000000" w:themeColor="text1"/>
          <w:lang w:val="en-US"/>
        </w:rPr>
        <w:t>ans</w:t>
      </w:r>
      <w:r w:rsidRPr="009C5A84">
        <w:rPr>
          <w:rFonts w:cs="Times New Roman"/>
          <w:color w:val="000000" w:themeColor="text1"/>
          <w:lang w:val="en-US"/>
        </w:rPr>
        <w:t xml:space="preserve"> Ausloos &amp; B</w:t>
      </w:r>
      <w:r w:rsidR="000D1914" w:rsidRPr="009C5A84">
        <w:rPr>
          <w:rFonts w:cs="Times New Roman"/>
          <w:color w:val="000000" w:themeColor="text1"/>
          <w:lang w:val="en-US"/>
        </w:rPr>
        <w:t>enedicte</w:t>
      </w:r>
      <w:r w:rsidRPr="009C5A84">
        <w:rPr>
          <w:rFonts w:cs="Times New Roman"/>
          <w:color w:val="000000" w:themeColor="text1"/>
          <w:lang w:val="en-US"/>
        </w:rPr>
        <w:t xml:space="preserve"> Lemmelijn, “Theology or not? That’s the question</w:t>
      </w:r>
      <w:r w:rsidR="000D1914" w:rsidRPr="009C5A84">
        <w:rPr>
          <w:rFonts w:cs="Times New Roman"/>
          <w:color w:val="000000" w:themeColor="text1"/>
          <w:lang w:val="en-US"/>
        </w:rPr>
        <w:t>,</w:t>
      </w:r>
      <w:r w:rsidRPr="009C5A84">
        <w:rPr>
          <w:rFonts w:cs="Times New Roman"/>
          <w:color w:val="000000" w:themeColor="text1"/>
          <w:lang w:val="en-US"/>
        </w:rPr>
        <w:t xml:space="preserve">” in </w:t>
      </w:r>
      <w:r w:rsidRPr="009C5A84">
        <w:rPr>
          <w:rFonts w:cs="Times New Roman"/>
          <w:i/>
          <w:iCs/>
          <w:color w:val="000000" w:themeColor="text1"/>
          <w:lang w:val="en-US"/>
        </w:rPr>
        <w:t xml:space="preserve">Die </w:t>
      </w:r>
      <w:proofErr w:type="spellStart"/>
      <w:r w:rsidRPr="009C5A84">
        <w:rPr>
          <w:rFonts w:cs="Times New Roman"/>
          <w:i/>
          <w:iCs/>
          <w:color w:val="000000" w:themeColor="text1"/>
          <w:lang w:val="en-US"/>
        </w:rPr>
        <w:t>Theologie</w:t>
      </w:r>
      <w:proofErr w:type="spellEnd"/>
      <w:r w:rsidRPr="009C5A84">
        <w:rPr>
          <w:rFonts w:cs="Times New Roman"/>
          <w:i/>
          <w:iCs/>
          <w:color w:val="000000" w:themeColor="text1"/>
          <w:lang w:val="en-US"/>
        </w:rPr>
        <w:t xml:space="preserve"> der </w:t>
      </w:r>
      <w:proofErr w:type="spellStart"/>
      <w:r w:rsidRPr="009C5A84">
        <w:rPr>
          <w:rFonts w:cs="Times New Roman"/>
          <w:i/>
          <w:iCs/>
          <w:color w:val="000000" w:themeColor="text1"/>
          <w:lang w:val="en-US"/>
        </w:rPr>
        <w:t>Septuaginta</w:t>
      </w:r>
      <w:proofErr w:type="spellEnd"/>
      <w:r w:rsidRPr="009C5A84">
        <w:rPr>
          <w:rFonts w:cs="Times New Roman"/>
          <w:color w:val="000000" w:themeColor="text1"/>
          <w:lang w:val="en-US"/>
        </w:rPr>
        <w:t xml:space="preserve"> (</w:t>
      </w:r>
      <w:r w:rsidR="000D1914" w:rsidRPr="009C5A84">
        <w:rPr>
          <w:rFonts w:cs="Times New Roman"/>
          <w:color w:val="000000" w:themeColor="text1"/>
          <w:lang w:val="en-US"/>
        </w:rPr>
        <w:t xml:space="preserve">ed. Hans Ausloos &amp; Benedicte Lemmelijn; </w:t>
      </w:r>
      <w:r w:rsidRPr="009C5A84">
        <w:rPr>
          <w:rFonts w:cs="Times New Roman"/>
          <w:color w:val="000000" w:themeColor="text1"/>
          <w:lang w:val="en-US"/>
        </w:rPr>
        <w:t>LXX.H 5</w:t>
      </w:r>
      <w:r w:rsidR="000D1914" w:rsidRPr="009C5A84">
        <w:rPr>
          <w:rFonts w:cs="Times New Roman"/>
          <w:color w:val="000000" w:themeColor="text1"/>
          <w:lang w:val="en-US"/>
        </w:rPr>
        <w:t>;</w:t>
      </w:r>
      <w:r w:rsidRPr="009C5A84">
        <w:rPr>
          <w:rFonts w:cs="Times New Roman"/>
          <w:color w:val="000000" w:themeColor="text1"/>
          <w:lang w:val="en-US"/>
        </w:rPr>
        <w:t xml:space="preserve"> </w:t>
      </w:r>
      <w:r w:rsidR="000D1914" w:rsidRPr="009C5A84">
        <w:rPr>
          <w:rFonts w:cs="Times New Roman"/>
          <w:color w:val="000000" w:themeColor="text1"/>
          <w:lang w:val="en-US"/>
        </w:rPr>
        <w:t xml:space="preserve">Gütersloh: </w:t>
      </w:r>
      <w:proofErr w:type="spellStart"/>
      <w:r w:rsidRPr="009C5A84">
        <w:rPr>
          <w:rFonts w:cs="Times New Roman"/>
          <w:color w:val="000000" w:themeColor="text1"/>
          <w:lang w:val="en-US"/>
        </w:rPr>
        <w:t>Gütersloher</w:t>
      </w:r>
      <w:proofErr w:type="spellEnd"/>
      <w:r w:rsidRPr="009C5A84">
        <w:rPr>
          <w:rFonts w:cs="Times New Roman"/>
          <w:color w:val="000000" w:themeColor="text1"/>
          <w:lang w:val="en-US"/>
        </w:rPr>
        <w:t xml:space="preserve"> </w:t>
      </w:r>
      <w:proofErr w:type="spellStart"/>
      <w:r w:rsidRPr="009C5A84">
        <w:rPr>
          <w:rFonts w:cs="Times New Roman"/>
          <w:color w:val="000000" w:themeColor="text1"/>
          <w:lang w:val="en-US"/>
        </w:rPr>
        <w:t>Verlagshaus</w:t>
      </w:r>
      <w:proofErr w:type="spellEnd"/>
      <w:r w:rsidRPr="009C5A84">
        <w:rPr>
          <w:rFonts w:cs="Times New Roman"/>
          <w:color w:val="000000" w:themeColor="text1"/>
          <w:lang w:val="en-US"/>
        </w:rPr>
        <w:t>, 2020</w:t>
      </w:r>
      <w:r w:rsidR="000D1914" w:rsidRPr="009C5A84">
        <w:rPr>
          <w:rFonts w:cs="Times New Roman"/>
          <w:color w:val="000000" w:themeColor="text1"/>
          <w:lang w:val="en-US"/>
        </w:rPr>
        <w:t>)</w:t>
      </w:r>
      <w:r w:rsidRPr="009C5A84">
        <w:rPr>
          <w:rFonts w:cs="Times New Roman"/>
          <w:color w:val="000000" w:themeColor="text1"/>
          <w:lang w:val="en-US"/>
        </w:rPr>
        <w:t>, 19</w:t>
      </w:r>
      <w:r w:rsidR="000D1914" w:rsidRPr="009C5A84">
        <w:rPr>
          <w:rFonts w:cs="Times New Roman"/>
          <w:color w:val="000000" w:themeColor="text1"/>
          <w:lang w:val="en-US"/>
        </w:rPr>
        <w:t>–</w:t>
      </w:r>
      <w:r w:rsidRPr="009C5A84">
        <w:rPr>
          <w:rFonts w:cs="Times New Roman"/>
          <w:color w:val="000000" w:themeColor="text1"/>
          <w:lang w:val="en-US"/>
        </w:rPr>
        <w:t>45 (45).</w:t>
      </w:r>
      <w:bookmarkEnd w:id="5"/>
    </w:p>
  </w:footnote>
  <w:footnote w:id="66">
    <w:p w14:paraId="362A6807" w14:textId="7C7C1C22" w:rsidR="000A3572" w:rsidRPr="009C5A84" w:rsidRDefault="000A3572"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nl-NL"/>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0D1914" w:rsidRPr="009C5A84">
        <w:rPr>
          <w:rFonts w:ascii="Times New Roman" w:hAnsi="Times New Roman" w:cs="Times New Roman"/>
          <w:color w:val="000000" w:themeColor="text1"/>
          <w:sz w:val="20"/>
          <w:szCs w:val="20"/>
          <w:lang w:val="nl-NL"/>
        </w:rPr>
        <w:t>M</w:t>
      </w:r>
      <w:r w:rsidR="008C2F34" w:rsidRPr="009C5A84">
        <w:rPr>
          <w:rFonts w:ascii="Times New Roman" w:hAnsi="Times New Roman" w:cs="Times New Roman"/>
          <w:color w:val="000000" w:themeColor="text1"/>
          <w:sz w:val="20"/>
          <w:szCs w:val="20"/>
          <w:lang w:val="nl-NL"/>
        </w:rPr>
        <w:t>artin</w:t>
      </w:r>
      <w:r w:rsidR="000D1914" w:rsidRPr="009C5A84">
        <w:rPr>
          <w:rFonts w:ascii="Times New Roman" w:hAnsi="Times New Roman" w:cs="Times New Roman"/>
          <w:color w:val="000000" w:themeColor="text1"/>
          <w:sz w:val="20"/>
          <w:szCs w:val="20"/>
          <w:lang w:val="nl-NL"/>
        </w:rPr>
        <w:t xml:space="preserve"> </w:t>
      </w:r>
      <w:proofErr w:type="spellStart"/>
      <w:r w:rsidR="008C2F34" w:rsidRPr="009C5A84">
        <w:rPr>
          <w:rFonts w:ascii="Times New Roman" w:hAnsi="Times New Roman" w:cs="Times New Roman"/>
          <w:color w:val="000000" w:themeColor="text1"/>
          <w:sz w:val="20"/>
          <w:szCs w:val="20"/>
          <w:lang w:val="nl-NL"/>
        </w:rPr>
        <w:t>Rösel</w:t>
      </w:r>
      <w:proofErr w:type="spellEnd"/>
      <w:r w:rsidR="000D1914" w:rsidRPr="009C5A84">
        <w:rPr>
          <w:rFonts w:ascii="Times New Roman" w:hAnsi="Times New Roman" w:cs="Times New Roman"/>
          <w:color w:val="000000" w:themeColor="text1"/>
          <w:sz w:val="20"/>
          <w:szCs w:val="20"/>
          <w:lang w:val="nl-NL"/>
        </w:rPr>
        <w:t>, “</w:t>
      </w:r>
      <w:proofErr w:type="spellStart"/>
      <w:r w:rsidR="000D1914" w:rsidRPr="009C5A84">
        <w:rPr>
          <w:rFonts w:ascii="Times New Roman" w:hAnsi="Times New Roman" w:cs="Times New Roman"/>
          <w:color w:val="000000" w:themeColor="text1"/>
          <w:sz w:val="20"/>
          <w:szCs w:val="20"/>
          <w:lang w:val="nl-NL"/>
        </w:rPr>
        <w:t>Theo-Logie</w:t>
      </w:r>
      <w:proofErr w:type="spellEnd"/>
      <w:r w:rsidR="000D1914" w:rsidRPr="009C5A84">
        <w:rPr>
          <w:rFonts w:ascii="Times New Roman" w:hAnsi="Times New Roman" w:cs="Times New Roman"/>
          <w:color w:val="000000" w:themeColor="text1"/>
          <w:sz w:val="20"/>
          <w:szCs w:val="20"/>
          <w:lang w:val="nl-NL"/>
        </w:rPr>
        <w:t xml:space="preserve"> der </w:t>
      </w:r>
      <w:proofErr w:type="spellStart"/>
      <w:r w:rsidR="000D1914" w:rsidRPr="009C5A84">
        <w:rPr>
          <w:rFonts w:ascii="Times New Roman" w:hAnsi="Times New Roman" w:cs="Times New Roman"/>
          <w:color w:val="000000" w:themeColor="text1"/>
          <w:sz w:val="20"/>
          <w:szCs w:val="20"/>
          <w:lang w:val="nl-NL"/>
        </w:rPr>
        <w:t>Griechischen</w:t>
      </w:r>
      <w:proofErr w:type="spellEnd"/>
      <w:r w:rsidR="000D1914" w:rsidRPr="009C5A84">
        <w:rPr>
          <w:rFonts w:ascii="Times New Roman" w:hAnsi="Times New Roman" w:cs="Times New Roman"/>
          <w:color w:val="000000" w:themeColor="text1"/>
          <w:sz w:val="20"/>
          <w:szCs w:val="20"/>
          <w:lang w:val="nl-NL"/>
        </w:rPr>
        <w:t xml:space="preserve"> </w:t>
      </w:r>
      <w:proofErr w:type="spellStart"/>
      <w:r w:rsidR="000D1914" w:rsidRPr="009C5A84">
        <w:rPr>
          <w:rFonts w:ascii="Times New Roman" w:hAnsi="Times New Roman" w:cs="Times New Roman"/>
          <w:color w:val="000000" w:themeColor="text1"/>
          <w:sz w:val="20"/>
          <w:szCs w:val="20"/>
          <w:lang w:val="nl-NL"/>
        </w:rPr>
        <w:t>Bibel</w:t>
      </w:r>
      <w:proofErr w:type="spellEnd"/>
      <w:r w:rsidR="000D1914" w:rsidRPr="009C5A84">
        <w:rPr>
          <w:rFonts w:ascii="Times New Roman" w:hAnsi="Times New Roman" w:cs="Times New Roman"/>
          <w:color w:val="000000" w:themeColor="text1"/>
          <w:sz w:val="20"/>
          <w:szCs w:val="20"/>
          <w:lang w:val="nl-NL"/>
        </w:rPr>
        <w:t xml:space="preserve"> </w:t>
      </w:r>
      <w:proofErr w:type="spellStart"/>
      <w:r w:rsidR="000D1914" w:rsidRPr="009C5A84">
        <w:rPr>
          <w:rFonts w:ascii="Times New Roman" w:hAnsi="Times New Roman" w:cs="Times New Roman"/>
          <w:color w:val="000000" w:themeColor="text1"/>
          <w:sz w:val="20"/>
          <w:szCs w:val="20"/>
          <w:lang w:val="nl-NL"/>
        </w:rPr>
        <w:t>zur</w:t>
      </w:r>
      <w:proofErr w:type="spellEnd"/>
      <w:r w:rsidR="000D1914" w:rsidRPr="009C5A84">
        <w:rPr>
          <w:rFonts w:ascii="Times New Roman" w:hAnsi="Times New Roman" w:cs="Times New Roman"/>
          <w:color w:val="000000" w:themeColor="text1"/>
          <w:sz w:val="20"/>
          <w:szCs w:val="20"/>
          <w:lang w:val="nl-NL"/>
        </w:rPr>
        <w:t xml:space="preserve"> </w:t>
      </w:r>
      <w:proofErr w:type="spellStart"/>
      <w:r w:rsidR="000D1914" w:rsidRPr="009C5A84">
        <w:rPr>
          <w:rFonts w:ascii="Times New Roman" w:hAnsi="Times New Roman" w:cs="Times New Roman"/>
          <w:color w:val="000000" w:themeColor="text1"/>
          <w:sz w:val="20"/>
          <w:szCs w:val="20"/>
          <w:lang w:val="nl-NL"/>
        </w:rPr>
        <w:t>Wiedergabe</w:t>
      </w:r>
      <w:proofErr w:type="spellEnd"/>
      <w:r w:rsidR="000D1914" w:rsidRPr="009C5A84">
        <w:rPr>
          <w:rFonts w:ascii="Times New Roman" w:hAnsi="Times New Roman" w:cs="Times New Roman"/>
          <w:color w:val="000000" w:themeColor="text1"/>
          <w:sz w:val="20"/>
          <w:szCs w:val="20"/>
          <w:lang w:val="nl-NL"/>
        </w:rPr>
        <w:t xml:space="preserve"> der </w:t>
      </w:r>
      <w:proofErr w:type="spellStart"/>
      <w:r w:rsidR="000D1914" w:rsidRPr="009C5A84">
        <w:rPr>
          <w:rFonts w:ascii="Times New Roman" w:hAnsi="Times New Roman" w:cs="Times New Roman"/>
          <w:color w:val="000000" w:themeColor="text1"/>
          <w:sz w:val="20"/>
          <w:szCs w:val="20"/>
          <w:lang w:val="nl-NL"/>
        </w:rPr>
        <w:t>Gottesaussagen</w:t>
      </w:r>
      <w:proofErr w:type="spellEnd"/>
      <w:r w:rsidR="000D1914" w:rsidRPr="009C5A84">
        <w:rPr>
          <w:rFonts w:ascii="Times New Roman" w:hAnsi="Times New Roman" w:cs="Times New Roman"/>
          <w:color w:val="000000" w:themeColor="text1"/>
          <w:sz w:val="20"/>
          <w:szCs w:val="20"/>
          <w:lang w:val="nl-NL"/>
        </w:rPr>
        <w:t xml:space="preserve"> </w:t>
      </w:r>
      <w:proofErr w:type="spellStart"/>
      <w:r w:rsidR="000D1914" w:rsidRPr="009C5A84">
        <w:rPr>
          <w:rFonts w:ascii="Times New Roman" w:hAnsi="Times New Roman" w:cs="Times New Roman"/>
          <w:color w:val="000000" w:themeColor="text1"/>
          <w:sz w:val="20"/>
          <w:szCs w:val="20"/>
          <w:lang w:val="nl-NL"/>
        </w:rPr>
        <w:t>im</w:t>
      </w:r>
      <w:proofErr w:type="spellEnd"/>
      <w:r w:rsidR="000D1914" w:rsidRPr="009C5A84">
        <w:rPr>
          <w:rFonts w:ascii="Times New Roman" w:hAnsi="Times New Roman" w:cs="Times New Roman"/>
          <w:color w:val="000000" w:themeColor="text1"/>
          <w:sz w:val="20"/>
          <w:szCs w:val="20"/>
          <w:lang w:val="nl-NL"/>
        </w:rPr>
        <w:t xml:space="preserve"> LXX-Pentateuch,” </w:t>
      </w:r>
      <w:r w:rsidR="000D1914" w:rsidRPr="009C5A84">
        <w:rPr>
          <w:rFonts w:ascii="Times New Roman" w:hAnsi="Times New Roman" w:cs="Times New Roman"/>
          <w:i/>
          <w:iCs/>
          <w:color w:val="000000" w:themeColor="text1"/>
          <w:sz w:val="20"/>
          <w:szCs w:val="20"/>
          <w:lang w:val="nl-NL"/>
        </w:rPr>
        <w:t>VT</w:t>
      </w:r>
      <w:r w:rsidR="000D1914" w:rsidRPr="009C5A84">
        <w:rPr>
          <w:rFonts w:ascii="Times New Roman" w:hAnsi="Times New Roman" w:cs="Times New Roman"/>
          <w:color w:val="000000" w:themeColor="text1"/>
          <w:sz w:val="20"/>
          <w:szCs w:val="20"/>
          <w:lang w:val="nl-NL"/>
        </w:rPr>
        <w:t xml:space="preserve"> 48/1 (1998): 49–</w:t>
      </w:r>
      <w:proofErr w:type="gramStart"/>
      <w:r w:rsidR="000D1914" w:rsidRPr="009C5A84">
        <w:rPr>
          <w:rFonts w:ascii="Times New Roman" w:hAnsi="Times New Roman" w:cs="Times New Roman"/>
          <w:color w:val="000000" w:themeColor="text1"/>
          <w:sz w:val="20"/>
          <w:szCs w:val="20"/>
          <w:lang w:val="nl-NL"/>
        </w:rPr>
        <w:t>62</w:t>
      </w:r>
      <w:r w:rsidR="000D1914"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 xml:space="preserve"> </w:t>
      </w:r>
      <w:r w:rsidR="000D1914" w:rsidRPr="009C5A84">
        <w:rPr>
          <w:rFonts w:ascii="Times New Roman" w:hAnsi="Times New Roman" w:cs="Times New Roman"/>
          <w:color w:val="000000" w:themeColor="text1"/>
          <w:sz w:val="20"/>
          <w:szCs w:val="20"/>
          <w:lang w:val="en-US"/>
        </w:rPr>
        <w:t>(</w:t>
      </w:r>
      <w:proofErr w:type="gramEnd"/>
      <w:r w:rsidRPr="009C5A84">
        <w:rPr>
          <w:rFonts w:ascii="Times New Roman" w:hAnsi="Times New Roman" w:cs="Times New Roman"/>
          <w:color w:val="000000" w:themeColor="text1"/>
          <w:sz w:val="20"/>
          <w:szCs w:val="20"/>
          <w:lang w:val="en-US"/>
        </w:rPr>
        <w:t>58</w:t>
      </w:r>
      <w:r w:rsidR="000D191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w:t>
      </w:r>
    </w:p>
  </w:footnote>
  <w:footnote w:id="67">
    <w:p w14:paraId="0765A6A4" w14:textId="77777777" w:rsidR="002735D5" w:rsidRPr="009C5A84" w:rsidRDefault="002735D5" w:rsidP="002735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An overview is found in Ausloos, “Translation Technique.”</w:t>
      </w:r>
    </w:p>
  </w:footnote>
  <w:footnote w:id="68">
    <w:p w14:paraId="61660A02" w14:textId="39A81990" w:rsidR="00323431" w:rsidRPr="009C5A84" w:rsidRDefault="0032343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Mikhail G. Seleznev</w:t>
      </w:r>
      <w:r w:rsidR="000D1914" w:rsidRPr="009C5A84">
        <w:rPr>
          <w:rFonts w:cs="Times New Roman"/>
          <w:color w:val="000000" w:themeColor="text1"/>
          <w:lang w:val="en-US"/>
        </w:rPr>
        <w:t>,</w:t>
      </w:r>
      <w:r w:rsidRPr="009C5A84">
        <w:rPr>
          <w:rFonts w:cs="Times New Roman"/>
          <w:color w:val="000000" w:themeColor="text1"/>
          <w:lang w:val="en-US"/>
        </w:rPr>
        <w:t xml:space="preserve"> </w:t>
      </w:r>
      <w:r w:rsidR="000D1914" w:rsidRPr="009C5A84">
        <w:rPr>
          <w:rFonts w:cs="Times New Roman"/>
          <w:color w:val="000000" w:themeColor="text1"/>
          <w:lang w:val="en-US"/>
        </w:rPr>
        <w:t>“</w:t>
      </w:r>
      <w:r w:rsidRPr="009C5A84">
        <w:rPr>
          <w:rFonts w:cs="Times New Roman"/>
          <w:color w:val="000000" w:themeColor="text1"/>
          <w:lang w:val="en-US"/>
        </w:rPr>
        <w:t>Anti-anthropomorphisms in the Septuagint: Statistical Testing of a Hypothesis</w:t>
      </w:r>
      <w:r w:rsidR="000D1914" w:rsidRPr="009C5A84">
        <w:rPr>
          <w:rFonts w:cs="Times New Roman"/>
          <w:color w:val="000000" w:themeColor="text1"/>
          <w:lang w:val="en-US"/>
        </w:rPr>
        <w:t>”</w:t>
      </w:r>
      <w:r w:rsidRPr="009C5A84">
        <w:rPr>
          <w:rFonts w:cs="Times New Roman"/>
          <w:color w:val="000000" w:themeColor="text1"/>
          <w:lang w:val="en-US"/>
        </w:rPr>
        <w:t xml:space="preserve">, in </w:t>
      </w:r>
      <w:r w:rsidR="000D1914" w:rsidRPr="009C5A84">
        <w:rPr>
          <w:rFonts w:cs="Times New Roman"/>
          <w:i/>
          <w:iCs/>
          <w:color w:val="000000" w:themeColor="text1"/>
          <w:lang w:val="en-US"/>
        </w:rPr>
        <w:t xml:space="preserve">Die </w:t>
      </w:r>
      <w:proofErr w:type="spellStart"/>
      <w:r w:rsidR="000D1914" w:rsidRPr="009C5A84">
        <w:rPr>
          <w:rFonts w:cs="Times New Roman"/>
          <w:i/>
          <w:iCs/>
          <w:color w:val="000000" w:themeColor="text1"/>
          <w:lang w:val="en-US"/>
        </w:rPr>
        <w:t>Septuaginta</w:t>
      </w:r>
      <w:proofErr w:type="spellEnd"/>
      <w:r w:rsidR="000D1914" w:rsidRPr="009C5A84">
        <w:rPr>
          <w:rFonts w:cs="Times New Roman"/>
          <w:i/>
          <w:iCs/>
          <w:color w:val="000000" w:themeColor="text1"/>
          <w:lang w:val="en-US"/>
        </w:rPr>
        <w:t xml:space="preserve"> – </w:t>
      </w:r>
      <w:proofErr w:type="spellStart"/>
      <w:r w:rsidR="000D1914" w:rsidRPr="009C5A84">
        <w:rPr>
          <w:rFonts w:cs="Times New Roman"/>
          <w:i/>
          <w:iCs/>
          <w:color w:val="000000" w:themeColor="text1"/>
          <w:lang w:val="en-US"/>
        </w:rPr>
        <w:t>Geschichte</w:t>
      </w:r>
      <w:proofErr w:type="spellEnd"/>
      <w:r w:rsidR="000D1914" w:rsidRPr="009C5A84">
        <w:rPr>
          <w:rFonts w:cs="Times New Roman"/>
          <w:i/>
          <w:iCs/>
          <w:color w:val="000000" w:themeColor="text1"/>
          <w:lang w:val="en-US"/>
        </w:rPr>
        <w:t xml:space="preserve">, </w:t>
      </w:r>
      <w:proofErr w:type="spellStart"/>
      <w:r w:rsidR="000D1914" w:rsidRPr="009C5A84">
        <w:rPr>
          <w:rFonts w:cs="Times New Roman"/>
          <w:i/>
          <w:iCs/>
          <w:color w:val="000000" w:themeColor="text1"/>
          <w:lang w:val="en-US"/>
        </w:rPr>
        <w:t>Wirkung</w:t>
      </w:r>
      <w:proofErr w:type="spellEnd"/>
      <w:r w:rsidR="000D1914" w:rsidRPr="009C5A84">
        <w:rPr>
          <w:rFonts w:cs="Times New Roman"/>
          <w:i/>
          <w:iCs/>
          <w:color w:val="000000" w:themeColor="text1"/>
          <w:lang w:val="en-US"/>
        </w:rPr>
        <w:t xml:space="preserve">, </w:t>
      </w:r>
      <w:proofErr w:type="spellStart"/>
      <w:r w:rsidR="000D1914" w:rsidRPr="009C5A84">
        <w:rPr>
          <w:rFonts w:cs="Times New Roman"/>
          <w:i/>
          <w:iCs/>
          <w:color w:val="000000" w:themeColor="text1"/>
          <w:lang w:val="en-US"/>
        </w:rPr>
        <w:t>Relevanz</w:t>
      </w:r>
      <w:proofErr w:type="spellEnd"/>
      <w:r w:rsidR="000D1914" w:rsidRPr="009C5A84">
        <w:rPr>
          <w:rFonts w:cs="Times New Roman"/>
          <w:i/>
          <w:iCs/>
          <w:color w:val="000000" w:themeColor="text1"/>
          <w:lang w:val="en-US"/>
        </w:rPr>
        <w:t xml:space="preserve">. VI </w:t>
      </w:r>
      <w:proofErr w:type="spellStart"/>
      <w:r w:rsidR="000D1914" w:rsidRPr="009C5A84">
        <w:rPr>
          <w:rFonts w:cs="Times New Roman"/>
          <w:i/>
          <w:iCs/>
          <w:color w:val="000000" w:themeColor="text1"/>
          <w:lang w:val="en-US"/>
        </w:rPr>
        <w:t>Internationale</w:t>
      </w:r>
      <w:proofErr w:type="spellEnd"/>
      <w:r w:rsidR="000D1914" w:rsidRPr="009C5A84">
        <w:rPr>
          <w:rFonts w:cs="Times New Roman"/>
          <w:i/>
          <w:iCs/>
          <w:color w:val="000000" w:themeColor="text1"/>
          <w:lang w:val="en-US"/>
        </w:rPr>
        <w:t xml:space="preserve"> </w:t>
      </w:r>
      <w:proofErr w:type="spellStart"/>
      <w:r w:rsidR="000D1914" w:rsidRPr="009C5A84">
        <w:rPr>
          <w:rFonts w:cs="Times New Roman"/>
          <w:i/>
          <w:iCs/>
          <w:color w:val="000000" w:themeColor="text1"/>
          <w:lang w:val="en-US"/>
        </w:rPr>
        <w:t>Fachtagung</w:t>
      </w:r>
      <w:proofErr w:type="spellEnd"/>
      <w:r w:rsidR="000D1914" w:rsidRPr="009C5A84">
        <w:rPr>
          <w:rFonts w:cs="Times New Roman"/>
          <w:i/>
          <w:iCs/>
          <w:color w:val="000000" w:themeColor="text1"/>
          <w:lang w:val="en-US"/>
        </w:rPr>
        <w:t xml:space="preserve"> </w:t>
      </w:r>
      <w:proofErr w:type="spellStart"/>
      <w:r w:rsidR="000D1914" w:rsidRPr="009C5A84">
        <w:rPr>
          <w:rFonts w:cs="Times New Roman"/>
          <w:i/>
          <w:iCs/>
          <w:color w:val="000000" w:themeColor="text1"/>
          <w:lang w:val="en-US"/>
        </w:rPr>
        <w:t>veranstaltet</w:t>
      </w:r>
      <w:proofErr w:type="spellEnd"/>
      <w:r w:rsidR="000D1914" w:rsidRPr="009C5A84">
        <w:rPr>
          <w:rFonts w:cs="Times New Roman"/>
          <w:i/>
          <w:iCs/>
          <w:color w:val="000000" w:themeColor="text1"/>
          <w:lang w:val="en-US"/>
        </w:rPr>
        <w:t xml:space="preserve"> von LXX.D</w:t>
      </w:r>
      <w:r w:rsidR="005069EF" w:rsidRPr="009C5A84">
        <w:rPr>
          <w:rFonts w:cs="Times New Roman"/>
          <w:color w:val="000000" w:themeColor="text1"/>
          <w:lang w:val="en-US"/>
        </w:rPr>
        <w:t xml:space="preserve">, </w:t>
      </w:r>
      <w:r w:rsidR="000D1914" w:rsidRPr="009C5A84">
        <w:rPr>
          <w:rFonts w:cs="Times New Roman"/>
          <w:color w:val="000000" w:themeColor="text1"/>
          <w:lang w:val="en-US"/>
        </w:rPr>
        <w:t xml:space="preserve">ed. </w:t>
      </w:r>
      <w:r w:rsidRPr="009C5A84">
        <w:rPr>
          <w:rFonts w:cs="Times New Roman"/>
          <w:color w:val="000000" w:themeColor="text1"/>
          <w:lang w:val="en-US"/>
        </w:rPr>
        <w:t>M. Meiser, M. Geiger, S. Kreuzer, and M. Sigismund</w:t>
      </w:r>
      <w:r w:rsidR="005069EF" w:rsidRPr="009C5A84">
        <w:rPr>
          <w:rFonts w:cs="Times New Roman"/>
          <w:color w:val="000000" w:themeColor="text1"/>
          <w:lang w:val="en-US"/>
        </w:rPr>
        <w:t xml:space="preserve">, </w:t>
      </w:r>
      <w:r w:rsidRPr="009C5A84">
        <w:rPr>
          <w:rFonts w:cs="Times New Roman"/>
          <w:color w:val="000000" w:themeColor="text1"/>
          <w:lang w:val="en-US"/>
        </w:rPr>
        <w:t>WUNT 405</w:t>
      </w:r>
      <w:r w:rsidR="000D1914" w:rsidRPr="009C5A84">
        <w:rPr>
          <w:rFonts w:cs="Times New Roman"/>
          <w:color w:val="000000" w:themeColor="text1"/>
          <w:lang w:val="en-US"/>
        </w:rPr>
        <w:t xml:space="preserve"> </w:t>
      </w:r>
      <w:r w:rsidR="005069EF" w:rsidRPr="009C5A84">
        <w:rPr>
          <w:rFonts w:cs="Times New Roman"/>
          <w:color w:val="000000" w:themeColor="text1"/>
          <w:lang w:val="en-US"/>
        </w:rPr>
        <w:t>(</w:t>
      </w:r>
      <w:r w:rsidRPr="009C5A84">
        <w:rPr>
          <w:rFonts w:cs="Times New Roman"/>
          <w:color w:val="000000" w:themeColor="text1"/>
          <w:lang w:val="en-US"/>
        </w:rPr>
        <w:t>Tübingen: Mohr Siebeck, 2018)</w:t>
      </w:r>
      <w:r w:rsidR="000D1914" w:rsidRPr="009C5A84">
        <w:rPr>
          <w:rFonts w:cs="Times New Roman"/>
          <w:color w:val="000000" w:themeColor="text1"/>
          <w:lang w:val="en-US"/>
        </w:rPr>
        <w:t>,</w:t>
      </w:r>
      <w:r w:rsidRPr="009C5A84">
        <w:rPr>
          <w:rFonts w:cs="Times New Roman"/>
          <w:color w:val="000000" w:themeColor="text1"/>
          <w:lang w:val="en-US"/>
        </w:rPr>
        <w:t xml:space="preserve"> 416</w:t>
      </w:r>
      <w:r w:rsidR="000D1914" w:rsidRPr="009C5A84">
        <w:rPr>
          <w:rFonts w:cs="Times New Roman"/>
          <w:color w:val="000000" w:themeColor="text1"/>
          <w:lang w:val="en-US"/>
        </w:rPr>
        <w:t>–</w:t>
      </w:r>
      <w:r w:rsidRPr="009C5A84">
        <w:rPr>
          <w:rFonts w:cs="Times New Roman"/>
          <w:color w:val="000000" w:themeColor="text1"/>
          <w:lang w:val="en-US"/>
        </w:rPr>
        <w:t>30.</w:t>
      </w:r>
    </w:p>
  </w:footnote>
  <w:footnote w:id="69">
    <w:p w14:paraId="6128D6BF" w14:textId="405044C7" w:rsidR="002A6A14" w:rsidRPr="009C5A84" w:rsidRDefault="002A6A1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Fonts w:cs="Times New Roman"/>
          <w:color w:val="000000" w:themeColor="text1"/>
          <w:lang w:val="en-US"/>
        </w:rPr>
        <w:t>Semiprepositions</w:t>
      </w:r>
      <w:proofErr w:type="spellEnd"/>
      <w:r w:rsidRPr="009C5A84">
        <w:rPr>
          <w:rFonts w:cs="Times New Roman"/>
          <w:color w:val="000000" w:themeColor="text1"/>
          <w:lang w:val="en-US"/>
        </w:rPr>
        <w:t xml:space="preserve"> may be defined as combinations of a preposition and a noun but whose function is prepositional. The first component of the semipreposition is a […] preposition</w:t>
      </w:r>
      <w:r w:rsidR="002A1E3B">
        <w:rPr>
          <w:rFonts w:cs="Times New Roman"/>
          <w:color w:val="000000" w:themeColor="text1"/>
          <w:lang w:val="en-US"/>
        </w:rPr>
        <w:t>.</w:t>
      </w:r>
      <w:r w:rsidRPr="009C5A84">
        <w:rPr>
          <w:rFonts w:cs="Times New Roman"/>
          <w:color w:val="000000" w:themeColor="text1"/>
          <w:lang w:val="en-US"/>
        </w:rPr>
        <w:t xml:space="preserve"> </w:t>
      </w:r>
      <w:proofErr w:type="gramStart"/>
      <w:r w:rsidRPr="009C5A84">
        <w:rPr>
          <w:rFonts w:cs="Times New Roman"/>
          <w:color w:val="000000" w:themeColor="text1"/>
          <w:lang w:val="en-US"/>
        </w:rPr>
        <w:t>The</w:t>
      </w:r>
      <w:proofErr w:type="gramEnd"/>
      <w:r w:rsidRPr="009C5A84">
        <w:rPr>
          <w:rFonts w:cs="Times New Roman"/>
          <w:color w:val="000000" w:themeColor="text1"/>
          <w:lang w:val="en-US"/>
        </w:rPr>
        <w:t xml:space="preserve"> second component of the semipreposition is usually the name for a part of the body, </w:t>
      </w:r>
      <w:r w:rsidR="007A2993" w:rsidRPr="009C5A84">
        <w:rPr>
          <w:rFonts w:cs="Times New Roman"/>
          <w:color w:val="000000" w:themeColor="text1"/>
          <w:lang w:val="en-US"/>
        </w:rPr>
        <w:t>[which] of</w:t>
      </w:r>
      <w:r w:rsidRPr="009C5A84">
        <w:rPr>
          <w:rFonts w:cs="Times New Roman"/>
          <w:color w:val="000000" w:themeColor="text1"/>
          <w:lang w:val="en-US"/>
        </w:rPr>
        <w:t>ten merely qualifies, restricts or corroborates the sense of the preposition with which it forms a semipreposition.” R</w:t>
      </w:r>
      <w:r w:rsidR="000D1914" w:rsidRPr="009C5A84">
        <w:rPr>
          <w:rFonts w:cs="Times New Roman"/>
          <w:color w:val="000000" w:themeColor="text1"/>
          <w:lang w:val="en-US"/>
        </w:rPr>
        <w:t>aija</w:t>
      </w:r>
      <w:r w:rsidRPr="009C5A84">
        <w:rPr>
          <w:rFonts w:cs="Times New Roman"/>
          <w:color w:val="000000" w:themeColor="text1"/>
          <w:lang w:val="en-US"/>
        </w:rPr>
        <w:t xml:space="preserve"> </w:t>
      </w:r>
      <w:r w:rsidR="000D1914" w:rsidRPr="009C5A84">
        <w:rPr>
          <w:rFonts w:cs="Times New Roman"/>
          <w:color w:val="000000" w:themeColor="text1"/>
          <w:lang w:val="en-US"/>
        </w:rPr>
        <w:t>Sollamo</w:t>
      </w:r>
      <w:r w:rsidRPr="009C5A84">
        <w:rPr>
          <w:rFonts w:cs="Times New Roman"/>
          <w:color w:val="000000" w:themeColor="text1"/>
          <w:lang w:val="en-US"/>
        </w:rPr>
        <w:t xml:space="preserve">, </w:t>
      </w:r>
      <w:r w:rsidRPr="009C5A84">
        <w:rPr>
          <w:rFonts w:cs="Times New Roman"/>
          <w:i/>
          <w:iCs/>
          <w:color w:val="000000" w:themeColor="text1"/>
          <w:lang w:val="en-US"/>
        </w:rPr>
        <w:t xml:space="preserve">Renderings of Hebrew </w:t>
      </w:r>
      <w:proofErr w:type="spellStart"/>
      <w:r w:rsidRPr="009C5A84">
        <w:rPr>
          <w:rFonts w:cs="Times New Roman"/>
          <w:i/>
          <w:iCs/>
          <w:color w:val="000000" w:themeColor="text1"/>
          <w:lang w:val="en-US"/>
        </w:rPr>
        <w:t>Semiprepositions</w:t>
      </w:r>
      <w:proofErr w:type="spellEnd"/>
      <w:r w:rsidRPr="009C5A84">
        <w:rPr>
          <w:rFonts w:cs="Times New Roman"/>
          <w:i/>
          <w:iCs/>
          <w:color w:val="000000" w:themeColor="text1"/>
          <w:lang w:val="en-US"/>
        </w:rPr>
        <w:t xml:space="preserve"> in the Septuagint</w:t>
      </w:r>
      <w:r w:rsidR="005069EF" w:rsidRPr="009C5A84">
        <w:rPr>
          <w:rFonts w:cs="Times New Roman"/>
          <w:color w:val="000000" w:themeColor="text1"/>
          <w:lang w:val="en-US"/>
        </w:rPr>
        <w:t xml:space="preserve">, </w:t>
      </w:r>
      <w:r w:rsidRPr="009C5A84">
        <w:rPr>
          <w:rFonts w:cs="Times New Roman"/>
          <w:color w:val="000000" w:themeColor="text1"/>
          <w:lang w:val="en-US"/>
        </w:rPr>
        <w:t xml:space="preserve">AASF 19 </w:t>
      </w:r>
      <w:r w:rsidR="005069EF" w:rsidRPr="009C5A84">
        <w:rPr>
          <w:rFonts w:cs="Times New Roman"/>
          <w:color w:val="000000" w:themeColor="text1"/>
          <w:lang w:val="en-US"/>
        </w:rPr>
        <w:t>(</w:t>
      </w:r>
      <w:r w:rsidRPr="009C5A84">
        <w:rPr>
          <w:rFonts w:cs="Times New Roman"/>
          <w:color w:val="000000" w:themeColor="text1"/>
          <w:lang w:val="en-US"/>
        </w:rPr>
        <w:t>Helsinki</w:t>
      </w:r>
      <w:r w:rsidR="000D1914" w:rsidRPr="009C5A84">
        <w:rPr>
          <w:rFonts w:cs="Times New Roman"/>
          <w:color w:val="000000" w:themeColor="text1"/>
          <w:lang w:val="en-US"/>
        </w:rPr>
        <w:t>:</w:t>
      </w:r>
      <w:r w:rsidRPr="009C5A84">
        <w:rPr>
          <w:rFonts w:cs="Times New Roman"/>
          <w:color w:val="000000" w:themeColor="text1"/>
          <w:lang w:val="en-US"/>
        </w:rPr>
        <w:t xml:space="preserve"> Suomalainen </w:t>
      </w:r>
      <w:proofErr w:type="spellStart"/>
      <w:r w:rsidRPr="009C5A84">
        <w:rPr>
          <w:rFonts w:cs="Times New Roman"/>
          <w:color w:val="000000" w:themeColor="text1"/>
          <w:lang w:val="en-US"/>
        </w:rPr>
        <w:t>Tiedeakatemia</w:t>
      </w:r>
      <w:proofErr w:type="spellEnd"/>
      <w:r w:rsidRPr="009C5A84">
        <w:rPr>
          <w:rFonts w:cs="Times New Roman"/>
          <w:color w:val="000000" w:themeColor="text1"/>
          <w:lang w:val="en-US"/>
        </w:rPr>
        <w:t>, 1979</w:t>
      </w:r>
      <w:r w:rsidR="000D1914" w:rsidRPr="009C5A84">
        <w:rPr>
          <w:rFonts w:cs="Times New Roman"/>
          <w:color w:val="000000" w:themeColor="text1"/>
          <w:lang w:val="en-US"/>
        </w:rPr>
        <w:t>)</w:t>
      </w:r>
      <w:r w:rsidRPr="009C5A84">
        <w:rPr>
          <w:rFonts w:cs="Times New Roman"/>
          <w:color w:val="000000" w:themeColor="text1"/>
          <w:lang w:val="en-US"/>
        </w:rPr>
        <w:t>,</w:t>
      </w:r>
      <w:r w:rsidR="000D1914" w:rsidRPr="009C5A84">
        <w:rPr>
          <w:rFonts w:cs="Times New Roman"/>
          <w:color w:val="000000" w:themeColor="text1"/>
          <w:lang w:val="en-US"/>
        </w:rPr>
        <w:t xml:space="preserve"> </w:t>
      </w:r>
      <w:r w:rsidRPr="009C5A84">
        <w:rPr>
          <w:rFonts w:cs="Times New Roman"/>
          <w:color w:val="000000" w:themeColor="text1"/>
          <w:lang w:val="en-US"/>
        </w:rPr>
        <w:t>1</w:t>
      </w:r>
      <w:r w:rsidR="000D1914" w:rsidRPr="009C5A84">
        <w:rPr>
          <w:rFonts w:cs="Times New Roman"/>
          <w:color w:val="000000" w:themeColor="text1"/>
          <w:lang w:val="en-US"/>
        </w:rPr>
        <w:t>.</w:t>
      </w:r>
    </w:p>
  </w:footnote>
  <w:footnote w:id="70">
    <w:p w14:paraId="4ECFF258" w14:textId="3D1524EA" w:rsidR="002A6A14" w:rsidRPr="009C5A84" w:rsidRDefault="002A6A14"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0D1914" w:rsidRPr="009C5A84">
        <w:rPr>
          <w:rFonts w:ascii="Times New Roman" w:hAnsi="Times New Roman" w:cs="Times New Roman"/>
          <w:color w:val="000000" w:themeColor="text1"/>
          <w:sz w:val="20"/>
          <w:szCs w:val="20"/>
          <w:lang w:val="en-US"/>
        </w:rPr>
        <w:t>Idem,</w:t>
      </w:r>
      <w:r w:rsidRPr="009C5A84">
        <w:rPr>
          <w:rFonts w:ascii="Times New Roman" w:hAnsi="Times New Roman" w:cs="Times New Roman"/>
          <w:color w:val="000000" w:themeColor="text1"/>
          <w:sz w:val="20"/>
          <w:szCs w:val="20"/>
          <w:lang w:val="en-US"/>
        </w:rPr>
        <w:t xml:space="preserve"> 74.</w:t>
      </w:r>
    </w:p>
  </w:footnote>
  <w:footnote w:id="71">
    <w:p w14:paraId="488543E5" w14:textId="5DEE7D93" w:rsidR="0064257D" w:rsidRPr="009C5A84" w:rsidRDefault="0064257D"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nl-NL"/>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0D1914" w:rsidRPr="009C5A84">
        <w:rPr>
          <w:rFonts w:ascii="Times New Roman" w:hAnsi="Times New Roman" w:cs="Times New Roman"/>
          <w:color w:val="000000" w:themeColor="text1"/>
          <w:sz w:val="20"/>
          <w:szCs w:val="20"/>
          <w:lang w:val="en-US"/>
        </w:rPr>
        <w:t>Cf. Ausloos</w:t>
      </w:r>
      <w:r w:rsidRPr="009C5A84">
        <w:rPr>
          <w:rFonts w:ascii="Times New Roman" w:hAnsi="Times New Roman" w:cs="Times New Roman"/>
          <w:color w:val="000000" w:themeColor="text1"/>
          <w:sz w:val="20"/>
          <w:szCs w:val="20"/>
          <w:lang w:val="en-US"/>
        </w:rPr>
        <w:t>,</w:t>
      </w:r>
      <w:r w:rsidR="000D1914"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“You Saw no Form When YHWH Spoke to You at Horeb”, 175</w:t>
      </w:r>
      <w:r w:rsidR="000D1914" w:rsidRPr="009C5A84">
        <w:rPr>
          <w:rFonts w:ascii="Times New Roman" w:hAnsi="Times New Roman" w:cs="Times New Roman"/>
          <w:color w:val="000000" w:themeColor="text1"/>
          <w:sz w:val="20"/>
          <w:szCs w:val="20"/>
          <w:lang w:val="en-US"/>
        </w:rPr>
        <w:t>; Idem</w:t>
      </w:r>
      <w:r w:rsidRPr="009C5A84">
        <w:rPr>
          <w:rFonts w:ascii="Times New Roman" w:hAnsi="Times New Roman" w:cs="Times New Roman"/>
          <w:color w:val="000000" w:themeColor="text1"/>
          <w:sz w:val="20"/>
          <w:szCs w:val="20"/>
          <w:lang w:val="en-US"/>
        </w:rPr>
        <w:t xml:space="preserve">, </w:t>
      </w:r>
      <w:r w:rsidR="007E3FCA" w:rsidRPr="009C5A84">
        <w:rPr>
          <w:rFonts w:ascii="Times New Roman" w:hAnsi="Times New Roman" w:cs="Times New Roman"/>
          <w:color w:val="000000" w:themeColor="text1"/>
          <w:sz w:val="20"/>
          <w:szCs w:val="20"/>
          <w:lang w:val="en-US"/>
        </w:rPr>
        <w:t>“</w:t>
      </w:r>
      <w:r w:rsidR="007E3FCA" w:rsidRPr="009C5A84">
        <w:rPr>
          <w:rFonts w:ascii="Times New Roman" w:hAnsi="Times New Roman" w:cs="Times New Roman"/>
          <w:color w:val="000000" w:themeColor="text1"/>
          <w:sz w:val="20"/>
          <w:szCs w:val="20"/>
          <w:lang w:val="nl-NL"/>
        </w:rPr>
        <w:t xml:space="preserve">Human </w:t>
      </w:r>
      <w:proofErr w:type="spellStart"/>
      <w:r w:rsidR="007E3FCA" w:rsidRPr="009C5A84">
        <w:rPr>
          <w:rFonts w:ascii="Times New Roman" w:hAnsi="Times New Roman" w:cs="Times New Roman"/>
          <w:color w:val="000000" w:themeColor="text1"/>
          <w:sz w:val="20"/>
          <w:szCs w:val="20"/>
          <w:lang w:val="nl-NL"/>
        </w:rPr>
        <w:t>Activities</w:t>
      </w:r>
      <w:proofErr w:type="spellEnd"/>
      <w:r w:rsidR="007E3FCA" w:rsidRPr="009C5A84">
        <w:rPr>
          <w:rFonts w:ascii="Times New Roman" w:hAnsi="Times New Roman" w:cs="Times New Roman"/>
          <w:color w:val="000000" w:themeColor="text1"/>
          <w:sz w:val="20"/>
          <w:szCs w:val="20"/>
          <w:lang w:val="nl-NL"/>
        </w:rPr>
        <w:t xml:space="preserve"> </w:t>
      </w:r>
      <w:proofErr w:type="spellStart"/>
      <w:r w:rsidR="007E3FCA" w:rsidRPr="009C5A84">
        <w:rPr>
          <w:rFonts w:ascii="Times New Roman" w:hAnsi="Times New Roman" w:cs="Times New Roman"/>
          <w:color w:val="000000" w:themeColor="text1"/>
          <w:sz w:val="20"/>
          <w:szCs w:val="20"/>
          <w:lang w:val="nl-NL"/>
        </w:rPr>
        <w:t>Attributed</w:t>
      </w:r>
      <w:proofErr w:type="spellEnd"/>
      <w:r w:rsidR="007E3FCA" w:rsidRPr="009C5A84">
        <w:rPr>
          <w:rFonts w:ascii="Times New Roman" w:hAnsi="Times New Roman" w:cs="Times New Roman"/>
          <w:color w:val="000000" w:themeColor="text1"/>
          <w:sz w:val="20"/>
          <w:szCs w:val="20"/>
          <w:lang w:val="nl-NL"/>
        </w:rPr>
        <w:t xml:space="preserve"> </w:t>
      </w:r>
      <w:proofErr w:type="spellStart"/>
      <w:r w:rsidR="007E3FCA" w:rsidRPr="009C5A84">
        <w:rPr>
          <w:rFonts w:ascii="Times New Roman" w:hAnsi="Times New Roman" w:cs="Times New Roman"/>
          <w:color w:val="000000" w:themeColor="text1"/>
          <w:sz w:val="20"/>
          <w:szCs w:val="20"/>
          <w:lang w:val="nl-NL"/>
        </w:rPr>
        <w:t>to</w:t>
      </w:r>
      <w:proofErr w:type="spellEnd"/>
      <w:r w:rsidR="007E3FCA" w:rsidRPr="009C5A84">
        <w:rPr>
          <w:rFonts w:ascii="Times New Roman" w:hAnsi="Times New Roman" w:cs="Times New Roman"/>
          <w:color w:val="000000" w:themeColor="text1"/>
          <w:sz w:val="20"/>
          <w:szCs w:val="20"/>
          <w:lang w:val="nl-NL"/>
        </w:rPr>
        <w:t xml:space="preserve"> God in </w:t>
      </w:r>
      <w:proofErr w:type="spellStart"/>
      <w:r w:rsidR="007E3FCA" w:rsidRPr="009C5A84">
        <w:rPr>
          <w:rFonts w:ascii="Times New Roman" w:hAnsi="Times New Roman" w:cs="Times New Roman"/>
          <w:color w:val="000000" w:themeColor="text1"/>
          <w:sz w:val="20"/>
          <w:szCs w:val="20"/>
          <w:lang w:val="nl-NL"/>
        </w:rPr>
        <w:t>Deuteronomy</w:t>
      </w:r>
      <w:proofErr w:type="spellEnd"/>
      <w:r w:rsidR="007E3FCA" w:rsidRPr="009C5A84">
        <w:rPr>
          <w:rFonts w:ascii="Times New Roman" w:hAnsi="Times New Roman" w:cs="Times New Roman"/>
          <w:color w:val="000000" w:themeColor="text1"/>
          <w:sz w:val="20"/>
          <w:szCs w:val="20"/>
          <w:lang w:val="nl-NL"/>
        </w:rPr>
        <w:t xml:space="preserve"> MT </w:t>
      </w:r>
      <w:proofErr w:type="spellStart"/>
      <w:r w:rsidR="007E3FCA" w:rsidRPr="009C5A84">
        <w:rPr>
          <w:rFonts w:ascii="Times New Roman" w:hAnsi="Times New Roman" w:cs="Times New Roman"/>
          <w:color w:val="000000" w:themeColor="text1"/>
          <w:sz w:val="20"/>
          <w:szCs w:val="20"/>
          <w:lang w:val="nl-NL"/>
        </w:rPr>
        <w:t>and</w:t>
      </w:r>
      <w:proofErr w:type="spellEnd"/>
      <w:r w:rsidR="007E3FCA" w:rsidRPr="009C5A84">
        <w:rPr>
          <w:rFonts w:ascii="Times New Roman" w:hAnsi="Times New Roman" w:cs="Times New Roman"/>
          <w:color w:val="000000" w:themeColor="text1"/>
          <w:sz w:val="20"/>
          <w:szCs w:val="20"/>
          <w:lang w:val="nl-NL"/>
        </w:rPr>
        <w:t xml:space="preserve"> LXX”, in </w:t>
      </w:r>
      <w:r w:rsidR="007E3FCA" w:rsidRPr="009C5A84">
        <w:rPr>
          <w:rFonts w:ascii="Times New Roman" w:hAnsi="Times New Roman" w:cs="Times New Roman"/>
          <w:i/>
          <w:iCs/>
          <w:color w:val="000000" w:themeColor="text1"/>
          <w:sz w:val="20"/>
          <w:szCs w:val="20"/>
          <w:lang w:val="nl-NL"/>
        </w:rPr>
        <w:t xml:space="preserve">Tempel, </w:t>
      </w:r>
      <w:proofErr w:type="spellStart"/>
      <w:r w:rsidR="007E3FCA" w:rsidRPr="009C5A84">
        <w:rPr>
          <w:rFonts w:ascii="Times New Roman" w:hAnsi="Times New Roman" w:cs="Times New Roman"/>
          <w:i/>
          <w:iCs/>
          <w:color w:val="000000" w:themeColor="text1"/>
          <w:sz w:val="20"/>
          <w:szCs w:val="20"/>
          <w:lang w:val="nl-NL"/>
        </w:rPr>
        <w:t>Lehrhaus</w:t>
      </w:r>
      <w:proofErr w:type="spellEnd"/>
      <w:r w:rsidR="007E3FCA" w:rsidRPr="009C5A84">
        <w:rPr>
          <w:rFonts w:ascii="Times New Roman" w:hAnsi="Times New Roman" w:cs="Times New Roman"/>
          <w:i/>
          <w:iCs/>
          <w:color w:val="000000" w:themeColor="text1"/>
          <w:sz w:val="20"/>
          <w:szCs w:val="20"/>
          <w:lang w:val="nl-NL"/>
        </w:rPr>
        <w:t xml:space="preserve">, Synagoge. </w:t>
      </w:r>
      <w:proofErr w:type="spellStart"/>
      <w:r w:rsidR="007E3FCA" w:rsidRPr="009C5A84">
        <w:rPr>
          <w:rFonts w:ascii="Times New Roman" w:hAnsi="Times New Roman" w:cs="Times New Roman"/>
          <w:i/>
          <w:iCs/>
          <w:color w:val="000000" w:themeColor="text1"/>
          <w:sz w:val="20"/>
          <w:szCs w:val="20"/>
          <w:lang w:val="nl-NL"/>
        </w:rPr>
        <w:t>Orte</w:t>
      </w:r>
      <w:proofErr w:type="spellEnd"/>
      <w:r w:rsidR="007E3FCA" w:rsidRPr="009C5A84">
        <w:rPr>
          <w:rFonts w:ascii="Times New Roman" w:hAnsi="Times New Roman" w:cs="Times New Roman"/>
          <w:i/>
          <w:iCs/>
          <w:color w:val="000000" w:themeColor="text1"/>
          <w:sz w:val="20"/>
          <w:szCs w:val="20"/>
          <w:lang w:val="nl-NL"/>
        </w:rPr>
        <w:t xml:space="preserve"> </w:t>
      </w:r>
      <w:proofErr w:type="spellStart"/>
      <w:r w:rsidR="007E3FCA" w:rsidRPr="009C5A84">
        <w:rPr>
          <w:rFonts w:ascii="Times New Roman" w:hAnsi="Times New Roman" w:cs="Times New Roman"/>
          <w:i/>
          <w:iCs/>
          <w:color w:val="000000" w:themeColor="text1"/>
          <w:sz w:val="20"/>
          <w:szCs w:val="20"/>
          <w:lang w:val="nl-NL"/>
        </w:rPr>
        <w:t>jüdischen</w:t>
      </w:r>
      <w:proofErr w:type="spellEnd"/>
      <w:r w:rsidR="007E3FCA" w:rsidRPr="009C5A84">
        <w:rPr>
          <w:rFonts w:ascii="Times New Roman" w:hAnsi="Times New Roman" w:cs="Times New Roman"/>
          <w:i/>
          <w:iCs/>
          <w:color w:val="000000" w:themeColor="text1"/>
          <w:sz w:val="20"/>
          <w:szCs w:val="20"/>
          <w:lang w:val="nl-NL"/>
        </w:rPr>
        <w:t xml:space="preserve"> </w:t>
      </w:r>
      <w:proofErr w:type="spellStart"/>
      <w:r w:rsidR="007E3FCA" w:rsidRPr="009C5A84">
        <w:rPr>
          <w:rFonts w:ascii="Times New Roman" w:hAnsi="Times New Roman" w:cs="Times New Roman"/>
          <w:i/>
          <w:iCs/>
          <w:color w:val="000000" w:themeColor="text1"/>
          <w:sz w:val="20"/>
          <w:szCs w:val="20"/>
          <w:lang w:val="nl-NL"/>
        </w:rPr>
        <w:t>Lernens</w:t>
      </w:r>
      <w:proofErr w:type="spellEnd"/>
      <w:r w:rsidR="007E3FCA" w:rsidRPr="009C5A84">
        <w:rPr>
          <w:rFonts w:ascii="Times New Roman" w:hAnsi="Times New Roman" w:cs="Times New Roman"/>
          <w:i/>
          <w:iCs/>
          <w:color w:val="000000" w:themeColor="text1"/>
          <w:sz w:val="20"/>
          <w:szCs w:val="20"/>
          <w:lang w:val="nl-NL"/>
        </w:rPr>
        <w:t xml:space="preserve"> </w:t>
      </w:r>
      <w:proofErr w:type="spellStart"/>
      <w:r w:rsidR="007E3FCA" w:rsidRPr="009C5A84">
        <w:rPr>
          <w:rFonts w:ascii="Times New Roman" w:hAnsi="Times New Roman" w:cs="Times New Roman"/>
          <w:i/>
          <w:iCs/>
          <w:color w:val="000000" w:themeColor="text1"/>
          <w:sz w:val="20"/>
          <w:szCs w:val="20"/>
          <w:lang w:val="nl-NL"/>
        </w:rPr>
        <w:t>und</w:t>
      </w:r>
      <w:proofErr w:type="spellEnd"/>
      <w:r w:rsidR="007E3FCA" w:rsidRPr="009C5A84">
        <w:rPr>
          <w:rFonts w:ascii="Times New Roman" w:hAnsi="Times New Roman" w:cs="Times New Roman"/>
          <w:i/>
          <w:iCs/>
          <w:color w:val="000000" w:themeColor="text1"/>
          <w:sz w:val="20"/>
          <w:szCs w:val="20"/>
          <w:lang w:val="nl-NL"/>
        </w:rPr>
        <w:t xml:space="preserve"> Lebens – </w:t>
      </w:r>
      <w:proofErr w:type="spellStart"/>
      <w:r w:rsidR="007E3FCA" w:rsidRPr="009C5A84">
        <w:rPr>
          <w:rFonts w:ascii="Times New Roman" w:hAnsi="Times New Roman" w:cs="Times New Roman"/>
          <w:i/>
          <w:iCs/>
          <w:color w:val="000000" w:themeColor="text1"/>
          <w:sz w:val="20"/>
          <w:szCs w:val="20"/>
          <w:lang w:val="nl-NL"/>
        </w:rPr>
        <w:t>Festschrift</w:t>
      </w:r>
      <w:proofErr w:type="spellEnd"/>
      <w:r w:rsidR="007E3FCA" w:rsidRPr="009C5A84">
        <w:rPr>
          <w:rFonts w:ascii="Times New Roman" w:hAnsi="Times New Roman" w:cs="Times New Roman"/>
          <w:i/>
          <w:iCs/>
          <w:color w:val="000000" w:themeColor="text1"/>
          <w:sz w:val="20"/>
          <w:szCs w:val="20"/>
          <w:lang w:val="nl-NL"/>
        </w:rPr>
        <w:t xml:space="preserve"> </w:t>
      </w:r>
      <w:proofErr w:type="spellStart"/>
      <w:r w:rsidR="007E3FCA" w:rsidRPr="009C5A84">
        <w:rPr>
          <w:rFonts w:ascii="Times New Roman" w:hAnsi="Times New Roman" w:cs="Times New Roman"/>
          <w:i/>
          <w:iCs/>
          <w:color w:val="000000" w:themeColor="text1"/>
          <w:sz w:val="20"/>
          <w:szCs w:val="20"/>
          <w:lang w:val="nl-NL"/>
        </w:rPr>
        <w:t>für</w:t>
      </w:r>
      <w:proofErr w:type="spellEnd"/>
      <w:r w:rsidR="007E3FCA" w:rsidRPr="009C5A84">
        <w:rPr>
          <w:rFonts w:ascii="Times New Roman" w:hAnsi="Times New Roman" w:cs="Times New Roman"/>
          <w:i/>
          <w:iCs/>
          <w:color w:val="000000" w:themeColor="text1"/>
          <w:sz w:val="20"/>
          <w:szCs w:val="20"/>
          <w:lang w:val="nl-NL"/>
        </w:rPr>
        <w:t xml:space="preserve"> Wolfgang Kraus</w:t>
      </w:r>
      <w:r w:rsidR="005069EF" w:rsidRPr="009C5A84">
        <w:rPr>
          <w:rFonts w:ascii="Times New Roman" w:hAnsi="Times New Roman" w:cs="Times New Roman"/>
          <w:i/>
          <w:iCs/>
          <w:color w:val="000000" w:themeColor="text1"/>
          <w:sz w:val="20"/>
          <w:szCs w:val="20"/>
          <w:lang w:val="nl-NL"/>
        </w:rPr>
        <w:t xml:space="preserve">, </w:t>
      </w:r>
      <w:r w:rsidR="007E3FCA" w:rsidRPr="009C5A84">
        <w:rPr>
          <w:rFonts w:ascii="Times New Roman" w:hAnsi="Times New Roman" w:cs="Times New Roman"/>
          <w:color w:val="000000" w:themeColor="text1"/>
          <w:sz w:val="20"/>
          <w:szCs w:val="20"/>
          <w:lang w:val="nl-NL"/>
        </w:rPr>
        <w:t>ed. C. Eberhart et al</w:t>
      </w:r>
      <w:r w:rsidR="005069EF" w:rsidRPr="009C5A84">
        <w:rPr>
          <w:rFonts w:ascii="Times New Roman" w:hAnsi="Times New Roman" w:cs="Times New Roman"/>
          <w:color w:val="000000" w:themeColor="text1"/>
          <w:sz w:val="20"/>
          <w:szCs w:val="20"/>
          <w:lang w:val="nl-NL"/>
        </w:rPr>
        <w:t>.</w:t>
      </w:r>
      <w:r w:rsidR="007E3FCA" w:rsidRPr="009C5A84">
        <w:rPr>
          <w:rFonts w:ascii="Times New Roman" w:hAnsi="Times New Roman" w:cs="Times New Roman"/>
          <w:color w:val="000000" w:themeColor="text1"/>
          <w:sz w:val="20"/>
          <w:szCs w:val="20"/>
          <w:lang w:val="nl-NL"/>
        </w:rPr>
        <w:t xml:space="preserve"> </w:t>
      </w:r>
      <w:r w:rsidR="005069EF" w:rsidRPr="009C5A84">
        <w:rPr>
          <w:rFonts w:ascii="Times New Roman" w:hAnsi="Times New Roman" w:cs="Times New Roman"/>
          <w:color w:val="000000" w:themeColor="text1"/>
          <w:sz w:val="20"/>
          <w:szCs w:val="20"/>
          <w:lang w:val="nl-NL"/>
        </w:rPr>
        <w:t>(</w:t>
      </w:r>
      <w:r w:rsidR="007E3FCA" w:rsidRPr="009C5A84">
        <w:rPr>
          <w:rFonts w:ascii="Times New Roman" w:hAnsi="Times New Roman" w:cs="Times New Roman"/>
          <w:color w:val="000000" w:themeColor="text1"/>
          <w:sz w:val="20"/>
          <w:szCs w:val="20"/>
          <w:lang w:val="nl-NL"/>
        </w:rPr>
        <w:t>Paderborn: Ferdinand</w:t>
      </w:r>
      <w:r w:rsidR="007E3FCA" w:rsidRPr="009C5A84">
        <w:rPr>
          <w:rFonts w:ascii="Times New Roman" w:hAnsi="Times New Roman" w:cs="Times New Roman"/>
          <w:i/>
          <w:iCs/>
          <w:color w:val="000000" w:themeColor="text1"/>
          <w:sz w:val="20"/>
          <w:szCs w:val="20"/>
          <w:lang w:val="nl-NL"/>
        </w:rPr>
        <w:t xml:space="preserve"> </w:t>
      </w:r>
      <w:proofErr w:type="spellStart"/>
      <w:r w:rsidR="007E3FCA" w:rsidRPr="009C5A84">
        <w:rPr>
          <w:rFonts w:ascii="Times New Roman" w:hAnsi="Times New Roman" w:cs="Times New Roman"/>
          <w:color w:val="000000" w:themeColor="text1"/>
          <w:sz w:val="20"/>
          <w:szCs w:val="20"/>
          <w:lang w:val="nl-NL"/>
        </w:rPr>
        <w:t>Schöningh</w:t>
      </w:r>
      <w:proofErr w:type="spellEnd"/>
      <w:r w:rsidR="007E3FCA" w:rsidRPr="009C5A84">
        <w:rPr>
          <w:rFonts w:ascii="Times New Roman" w:hAnsi="Times New Roman" w:cs="Times New Roman"/>
          <w:color w:val="000000" w:themeColor="text1"/>
          <w:sz w:val="20"/>
          <w:szCs w:val="20"/>
          <w:lang w:val="nl-NL"/>
        </w:rPr>
        <w:t>, 2020), 181–92</w:t>
      </w:r>
      <w:r w:rsidRPr="009C5A84">
        <w:rPr>
          <w:rFonts w:ascii="Times New Roman" w:hAnsi="Times New Roman" w:cs="Times New Roman"/>
          <w:color w:val="000000" w:themeColor="text1"/>
          <w:sz w:val="20"/>
          <w:szCs w:val="20"/>
          <w:lang w:val="en-US"/>
        </w:rPr>
        <w:t xml:space="preserve"> </w:t>
      </w:r>
      <w:r w:rsidR="007E3FCA"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1</w:t>
      </w:r>
      <w:r w:rsidR="007E3FCA" w:rsidRPr="009C5A84">
        <w:rPr>
          <w:rFonts w:ascii="Times New Roman" w:hAnsi="Times New Roman" w:cs="Times New Roman"/>
          <w:color w:val="000000" w:themeColor="text1"/>
          <w:sz w:val="20"/>
          <w:szCs w:val="20"/>
          <w:lang w:val="en-US"/>
        </w:rPr>
        <w:t>9</w:t>
      </w:r>
      <w:r w:rsidRPr="009C5A84">
        <w:rPr>
          <w:rFonts w:ascii="Times New Roman" w:hAnsi="Times New Roman" w:cs="Times New Roman"/>
          <w:color w:val="000000" w:themeColor="text1"/>
          <w:sz w:val="20"/>
          <w:szCs w:val="20"/>
          <w:lang w:val="en-US"/>
        </w:rPr>
        <w:t>1</w:t>
      </w:r>
      <w:r w:rsidR="007E3FCA"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w:t>
      </w:r>
    </w:p>
  </w:footnote>
  <w:footnote w:id="72">
    <w:p w14:paraId="01EC6EC9" w14:textId="65BB625A" w:rsidR="00617920" w:rsidRPr="009C5A84" w:rsidRDefault="00617920"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J</w:t>
      </w:r>
      <w:r w:rsidR="000D1914" w:rsidRPr="009C5A84">
        <w:rPr>
          <w:rFonts w:ascii="Times New Roman" w:hAnsi="Times New Roman" w:cs="Times New Roman"/>
          <w:color w:val="000000" w:themeColor="text1"/>
          <w:sz w:val="20"/>
          <w:szCs w:val="20"/>
          <w:lang w:val="en-US"/>
        </w:rPr>
        <w:t xml:space="preserve">ames </w:t>
      </w:r>
      <w:r w:rsidRPr="009C5A84">
        <w:rPr>
          <w:rFonts w:ascii="Times New Roman" w:hAnsi="Times New Roman" w:cs="Times New Roman"/>
          <w:color w:val="000000" w:themeColor="text1"/>
          <w:sz w:val="20"/>
          <w:szCs w:val="20"/>
          <w:lang w:val="en-US"/>
        </w:rPr>
        <w:t xml:space="preserve">K. </w:t>
      </w:r>
      <w:r w:rsidR="000D1914" w:rsidRPr="009C5A84">
        <w:rPr>
          <w:rFonts w:ascii="Times New Roman" w:hAnsi="Times New Roman" w:cs="Times New Roman"/>
          <w:color w:val="000000" w:themeColor="text1"/>
          <w:sz w:val="20"/>
          <w:szCs w:val="20"/>
          <w:lang w:val="en-US"/>
        </w:rPr>
        <w:t>Aitken</w:t>
      </w:r>
      <w:r w:rsidRPr="009C5A84">
        <w:rPr>
          <w:rFonts w:ascii="Times New Roman" w:hAnsi="Times New Roman" w:cs="Times New Roman"/>
          <w:color w:val="000000" w:themeColor="text1"/>
          <w:sz w:val="20"/>
          <w:szCs w:val="20"/>
          <w:lang w:val="en-US"/>
        </w:rPr>
        <w:t>, “The</w:t>
      </w:r>
      <w:r w:rsidR="000D1914"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Origins of Kai Ge</w:t>
      </w:r>
      <w:r w:rsidR="000D191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in</w:t>
      </w:r>
      <w:r w:rsidR="000D1914" w:rsidRPr="009C5A84">
        <w:rPr>
          <w:rFonts w:ascii="Times New Roman" w:hAnsi="Times New Roman" w:cs="Times New Roman"/>
          <w:color w:val="000000" w:themeColor="text1"/>
          <w:sz w:val="20"/>
          <w:szCs w:val="20"/>
          <w:lang w:val="en-US"/>
        </w:rPr>
        <w:t xml:space="preserve"> </w:t>
      </w:r>
      <w:r w:rsidR="000D1914" w:rsidRPr="009C5A84">
        <w:rPr>
          <w:rFonts w:ascii="Times New Roman" w:hAnsi="Times New Roman" w:cs="Times New Roman"/>
          <w:i/>
          <w:iCs/>
          <w:color w:val="000000" w:themeColor="text1"/>
          <w:sz w:val="20"/>
          <w:szCs w:val="20"/>
          <w:lang w:val="en-US"/>
        </w:rPr>
        <w:t xml:space="preserve">Biblical Greek in Context: Essays in </w:t>
      </w:r>
      <w:proofErr w:type="spellStart"/>
      <w:r w:rsidR="000D1914" w:rsidRPr="009C5A84">
        <w:rPr>
          <w:rFonts w:ascii="Times New Roman" w:hAnsi="Times New Roman" w:cs="Times New Roman"/>
          <w:i/>
          <w:iCs/>
          <w:color w:val="000000" w:themeColor="text1"/>
          <w:sz w:val="20"/>
          <w:szCs w:val="20"/>
          <w:lang w:val="en-US"/>
        </w:rPr>
        <w:t>Honour</w:t>
      </w:r>
      <w:proofErr w:type="spellEnd"/>
      <w:r w:rsidR="000D1914" w:rsidRPr="009C5A84">
        <w:rPr>
          <w:rFonts w:ascii="Times New Roman" w:hAnsi="Times New Roman" w:cs="Times New Roman"/>
          <w:i/>
          <w:iCs/>
          <w:color w:val="000000" w:themeColor="text1"/>
          <w:sz w:val="20"/>
          <w:szCs w:val="20"/>
          <w:lang w:val="en-US"/>
        </w:rPr>
        <w:t xml:space="preserve"> of John A.L. Lee </w:t>
      </w:r>
      <w:r w:rsidR="000D1914" w:rsidRPr="009C5A84">
        <w:rPr>
          <w:rFonts w:ascii="Times New Roman" w:hAnsi="Times New Roman" w:cs="Times New Roman"/>
          <w:color w:val="000000" w:themeColor="text1"/>
          <w:sz w:val="20"/>
          <w:szCs w:val="20"/>
          <w:lang w:val="en-US"/>
        </w:rPr>
        <w:t xml:space="preserve">(ed. James </w:t>
      </w:r>
      <w:r w:rsidRPr="009C5A84">
        <w:rPr>
          <w:rFonts w:ascii="Times New Roman" w:hAnsi="Times New Roman" w:cs="Times New Roman"/>
          <w:color w:val="000000" w:themeColor="text1"/>
          <w:sz w:val="20"/>
          <w:szCs w:val="20"/>
          <w:lang w:val="en-US"/>
        </w:rPr>
        <w:t xml:space="preserve">K. </w:t>
      </w:r>
      <w:r w:rsidR="000D1914" w:rsidRPr="009C5A84">
        <w:rPr>
          <w:rFonts w:ascii="Times New Roman" w:hAnsi="Times New Roman" w:cs="Times New Roman"/>
          <w:color w:val="000000" w:themeColor="text1"/>
          <w:sz w:val="20"/>
          <w:szCs w:val="20"/>
          <w:lang w:val="en-US"/>
        </w:rPr>
        <w:t>Aitken</w:t>
      </w:r>
      <w:r w:rsidRPr="009C5A84">
        <w:rPr>
          <w:rFonts w:ascii="Times New Roman" w:hAnsi="Times New Roman" w:cs="Times New Roman"/>
          <w:color w:val="000000" w:themeColor="text1"/>
          <w:sz w:val="20"/>
          <w:szCs w:val="20"/>
          <w:lang w:val="en-US"/>
        </w:rPr>
        <w:t xml:space="preserve"> &amp; T</w:t>
      </w:r>
      <w:r w:rsidR="000D1914" w:rsidRPr="009C5A84">
        <w:rPr>
          <w:rFonts w:ascii="Times New Roman" w:hAnsi="Times New Roman" w:cs="Times New Roman"/>
          <w:color w:val="000000" w:themeColor="text1"/>
          <w:sz w:val="20"/>
          <w:szCs w:val="20"/>
          <w:lang w:val="en-US"/>
        </w:rPr>
        <w:t>revor Evans</w:t>
      </w:r>
      <w:r w:rsidR="000D046D"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Leuven</w:t>
      </w:r>
      <w:r w:rsidR="000D046D" w:rsidRPr="009C5A84">
        <w:rPr>
          <w:rFonts w:ascii="Times New Roman" w:hAnsi="Times New Roman" w:cs="Times New Roman"/>
          <w:color w:val="000000" w:themeColor="text1"/>
          <w:sz w:val="20"/>
          <w:szCs w:val="20"/>
          <w:lang w:val="en-US"/>
        </w:rPr>
        <w:t>:</w:t>
      </w:r>
      <w:r w:rsidR="005463DF"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Peeters, 2015</w:t>
      </w:r>
      <w:r w:rsidR="000D046D"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21–40.</w:t>
      </w:r>
    </w:p>
  </w:footnote>
  <w:footnote w:id="73">
    <w:p w14:paraId="608C2D9B" w14:textId="0F20BFBE" w:rsidR="00617920" w:rsidRPr="009C5A84" w:rsidRDefault="00617920"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proofErr w:type="spellStart"/>
      <w:r w:rsidR="000D046D" w:rsidRPr="009C5A84">
        <w:rPr>
          <w:rFonts w:ascii="Times New Roman" w:hAnsi="Times New Roman" w:cs="Times New Roman"/>
          <w:color w:val="000000" w:themeColor="text1"/>
          <w:sz w:val="20"/>
          <w:szCs w:val="20"/>
          <w:lang w:val="en-US"/>
        </w:rPr>
        <w:t>Jokiranta</w:t>
      </w:r>
      <w:proofErr w:type="spellEnd"/>
      <w:r w:rsidR="000D046D" w:rsidRPr="009C5A84">
        <w:rPr>
          <w:rFonts w:ascii="Times New Roman" w:hAnsi="Times New Roman" w:cs="Times New Roman"/>
          <w:color w:val="000000" w:themeColor="text1"/>
          <w:sz w:val="20"/>
          <w:szCs w:val="20"/>
          <w:lang w:val="en-US"/>
        </w:rPr>
        <w:t xml:space="preserve"> et al</w:t>
      </w:r>
      <w:r w:rsidR="000A3572" w:rsidRPr="009C5A84">
        <w:rPr>
          <w:rFonts w:ascii="Times New Roman" w:hAnsi="Times New Roman" w:cs="Times New Roman"/>
          <w:color w:val="000000" w:themeColor="text1"/>
          <w:sz w:val="20"/>
          <w:szCs w:val="20"/>
          <w:lang w:val="en-US"/>
        </w:rPr>
        <w:t>, “Cognitive Science Meets Septuagint Studies</w:t>
      </w:r>
      <w:r w:rsidR="000D046D" w:rsidRPr="009C5A84">
        <w:rPr>
          <w:rFonts w:ascii="Times New Roman" w:hAnsi="Times New Roman" w:cs="Times New Roman"/>
          <w:color w:val="000000" w:themeColor="text1"/>
          <w:sz w:val="20"/>
          <w:szCs w:val="20"/>
          <w:lang w:val="en-US"/>
        </w:rPr>
        <w:t>,”</w:t>
      </w:r>
      <w:r w:rsidR="000A3572" w:rsidRPr="009C5A84">
        <w:rPr>
          <w:rFonts w:ascii="Times New Roman" w:hAnsi="Times New Roman" w:cs="Times New Roman"/>
          <w:color w:val="000000" w:themeColor="text1"/>
          <w:sz w:val="20"/>
          <w:szCs w:val="20"/>
          <w:lang w:val="en-US"/>
        </w:rPr>
        <w:t xml:space="preserve"> 335.</w:t>
      </w:r>
    </w:p>
  </w:footnote>
  <w:footnote w:id="74">
    <w:p w14:paraId="46F172B2" w14:textId="254B5B9F" w:rsidR="005463DF" w:rsidRPr="009C5A84" w:rsidRDefault="005463DF"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S</w:t>
      </w:r>
      <w:r w:rsidR="000D046D" w:rsidRPr="009C5A84">
        <w:rPr>
          <w:rFonts w:ascii="Times New Roman" w:hAnsi="Times New Roman" w:cs="Times New Roman"/>
          <w:color w:val="000000" w:themeColor="text1"/>
          <w:sz w:val="20"/>
          <w:szCs w:val="20"/>
          <w:lang w:val="en-US"/>
        </w:rPr>
        <w:t>tephan</w:t>
      </w:r>
      <w:r w:rsidRPr="009C5A84">
        <w:rPr>
          <w:rFonts w:ascii="Times New Roman" w:hAnsi="Times New Roman" w:cs="Times New Roman"/>
          <w:color w:val="000000" w:themeColor="text1"/>
          <w:sz w:val="20"/>
          <w:szCs w:val="20"/>
          <w:lang w:val="en-US"/>
        </w:rPr>
        <w:t xml:space="preserve"> </w:t>
      </w:r>
      <w:r w:rsidR="000D046D" w:rsidRPr="009C5A84">
        <w:rPr>
          <w:rFonts w:ascii="Times New Roman" w:hAnsi="Times New Roman" w:cs="Times New Roman"/>
          <w:color w:val="000000" w:themeColor="text1"/>
          <w:sz w:val="20"/>
          <w:szCs w:val="20"/>
          <w:lang w:val="en-US"/>
        </w:rPr>
        <w:t>Schorch</w:t>
      </w:r>
      <w:r w:rsidRPr="009C5A84">
        <w:rPr>
          <w:rFonts w:ascii="Times New Roman" w:hAnsi="Times New Roman" w:cs="Times New Roman"/>
          <w:color w:val="000000" w:themeColor="text1"/>
          <w:sz w:val="20"/>
          <w:szCs w:val="20"/>
          <w:lang w:val="en-US"/>
        </w:rPr>
        <w:t xml:space="preserve">, </w:t>
      </w:r>
      <w:proofErr w:type="spellStart"/>
      <w:r w:rsidRPr="009C5A84">
        <w:rPr>
          <w:rFonts w:ascii="Times New Roman" w:hAnsi="Times New Roman" w:cs="Times New Roman"/>
          <w:i/>
          <w:iCs/>
          <w:color w:val="000000" w:themeColor="text1"/>
          <w:sz w:val="20"/>
          <w:szCs w:val="20"/>
          <w:lang w:val="en-US"/>
        </w:rPr>
        <w:t>Euphemismen</w:t>
      </w:r>
      <w:proofErr w:type="spellEnd"/>
      <w:r w:rsidRPr="009C5A84">
        <w:rPr>
          <w:rFonts w:ascii="Times New Roman" w:hAnsi="Times New Roman" w:cs="Times New Roman"/>
          <w:i/>
          <w:iCs/>
          <w:color w:val="000000" w:themeColor="text1"/>
          <w:sz w:val="20"/>
          <w:szCs w:val="20"/>
          <w:lang w:val="en-US"/>
        </w:rPr>
        <w:t xml:space="preserve"> in der </w:t>
      </w:r>
      <w:proofErr w:type="spellStart"/>
      <w:r w:rsidRPr="009C5A84">
        <w:rPr>
          <w:rFonts w:ascii="Times New Roman" w:hAnsi="Times New Roman" w:cs="Times New Roman"/>
          <w:i/>
          <w:iCs/>
          <w:color w:val="000000" w:themeColor="text1"/>
          <w:sz w:val="20"/>
          <w:szCs w:val="20"/>
          <w:lang w:val="en-US"/>
        </w:rPr>
        <w:t>Hebräischen</w:t>
      </w:r>
      <w:proofErr w:type="spellEnd"/>
      <w:r w:rsidRPr="009C5A84">
        <w:rPr>
          <w:rFonts w:ascii="Times New Roman" w:hAnsi="Times New Roman" w:cs="Times New Roman"/>
          <w:i/>
          <w:iCs/>
          <w:color w:val="000000" w:themeColor="text1"/>
          <w:sz w:val="20"/>
          <w:szCs w:val="20"/>
          <w:lang w:val="en-US"/>
        </w:rPr>
        <w:t xml:space="preserve"> Bibel</w:t>
      </w:r>
      <w:r w:rsidRPr="009C5A84">
        <w:rPr>
          <w:rFonts w:ascii="Times New Roman" w:hAnsi="Times New Roman" w:cs="Times New Roman"/>
          <w:color w:val="000000" w:themeColor="text1"/>
          <w:sz w:val="20"/>
          <w:szCs w:val="20"/>
          <w:lang w:val="en-US"/>
        </w:rPr>
        <w:t xml:space="preserve"> (OBC, 12), Wiesbaden, </w:t>
      </w:r>
      <w:proofErr w:type="spellStart"/>
      <w:r w:rsidRPr="009C5A84">
        <w:rPr>
          <w:rFonts w:ascii="Times New Roman" w:hAnsi="Times New Roman" w:cs="Times New Roman"/>
          <w:color w:val="000000" w:themeColor="text1"/>
          <w:sz w:val="20"/>
          <w:szCs w:val="20"/>
          <w:lang w:val="en-US"/>
        </w:rPr>
        <w:t>Harrassowitz</w:t>
      </w:r>
      <w:proofErr w:type="spellEnd"/>
      <w:r w:rsidRPr="009C5A84">
        <w:rPr>
          <w:rFonts w:ascii="Times New Roman" w:hAnsi="Times New Roman" w:cs="Times New Roman"/>
          <w:color w:val="000000" w:themeColor="text1"/>
          <w:sz w:val="20"/>
          <w:szCs w:val="20"/>
          <w:lang w:val="en-US"/>
        </w:rPr>
        <w:t xml:space="preserve"> Verlag, 2000, 194-196; </w:t>
      </w:r>
      <w:r w:rsidR="000D046D" w:rsidRPr="009C5A84">
        <w:rPr>
          <w:rFonts w:ascii="Times New Roman" w:hAnsi="Times New Roman" w:cs="Times New Roman"/>
          <w:color w:val="000000" w:themeColor="text1"/>
          <w:sz w:val="20"/>
          <w:szCs w:val="20"/>
          <w:lang w:val="en-US"/>
        </w:rPr>
        <w:t>Ausloos</w:t>
      </w:r>
      <w:r w:rsidRPr="009C5A84">
        <w:rPr>
          <w:rFonts w:ascii="Times New Roman" w:hAnsi="Times New Roman" w:cs="Times New Roman"/>
          <w:color w:val="000000" w:themeColor="text1"/>
          <w:sz w:val="20"/>
          <w:szCs w:val="20"/>
          <w:lang w:val="en-US"/>
        </w:rPr>
        <w:t>, “You Saw No Form</w:t>
      </w:r>
      <w:r w:rsidR="000D046D"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174.</w:t>
      </w:r>
    </w:p>
  </w:footnote>
  <w:footnote w:id="75">
    <w:p w14:paraId="72F46AA0" w14:textId="4E4233C7" w:rsidR="00026CD6" w:rsidRPr="009C5A84" w:rsidRDefault="00026CD6" w:rsidP="00055A1C">
      <w:pPr>
        <w:pStyle w:val="Normaalweb"/>
        <w:spacing w:before="0" w:beforeAutospacing="0" w:after="0" w:afterAutospacing="0"/>
        <w:jc w:val="both"/>
        <w:rPr>
          <w:color w:val="000000" w:themeColor="text1"/>
          <w:sz w:val="20"/>
          <w:szCs w:val="20"/>
          <w:lang w:val="en-US"/>
        </w:rPr>
      </w:pPr>
      <w:r w:rsidRPr="009C5A84">
        <w:rPr>
          <w:rStyle w:val="Voetnootmarkering"/>
          <w:color w:val="000000" w:themeColor="text1"/>
          <w:sz w:val="20"/>
          <w:szCs w:val="20"/>
          <w:lang w:val="en-US"/>
        </w:rPr>
        <w:footnoteRef/>
      </w:r>
      <w:r w:rsidRPr="009C5A84">
        <w:rPr>
          <w:color w:val="000000" w:themeColor="text1"/>
          <w:sz w:val="20"/>
          <w:szCs w:val="20"/>
          <w:lang w:val="en-US"/>
        </w:rPr>
        <w:t xml:space="preserve"> </w:t>
      </w:r>
      <w:r w:rsidR="000D046D" w:rsidRPr="009C5A84">
        <w:rPr>
          <w:color w:val="000000" w:themeColor="text1"/>
          <w:sz w:val="20"/>
          <w:szCs w:val="20"/>
          <w:lang w:val="en-US"/>
        </w:rPr>
        <w:t>James K</w:t>
      </w:r>
      <w:r w:rsidRPr="009C5A84">
        <w:rPr>
          <w:color w:val="000000" w:themeColor="text1"/>
          <w:sz w:val="20"/>
          <w:szCs w:val="20"/>
          <w:lang w:val="en-US"/>
        </w:rPr>
        <w:t>.</w:t>
      </w:r>
      <w:r w:rsidR="000D046D" w:rsidRPr="009C5A84">
        <w:rPr>
          <w:color w:val="000000" w:themeColor="text1"/>
          <w:sz w:val="20"/>
          <w:szCs w:val="20"/>
          <w:lang w:val="en-US"/>
        </w:rPr>
        <w:t xml:space="preserve"> Aitken</w:t>
      </w:r>
      <w:r w:rsidRPr="009C5A84">
        <w:rPr>
          <w:color w:val="000000" w:themeColor="text1"/>
          <w:sz w:val="20"/>
          <w:szCs w:val="20"/>
          <w:lang w:val="en-US"/>
        </w:rPr>
        <w:t xml:space="preserve"> </w:t>
      </w:r>
      <w:r w:rsidR="000D046D" w:rsidRPr="009C5A84">
        <w:rPr>
          <w:color w:val="000000" w:themeColor="text1"/>
          <w:sz w:val="20"/>
          <w:szCs w:val="20"/>
          <w:lang w:val="en-US"/>
        </w:rPr>
        <w:t>&amp; Marieke Dhont</w:t>
      </w:r>
      <w:r w:rsidRPr="009C5A84">
        <w:rPr>
          <w:color w:val="000000" w:themeColor="text1"/>
          <w:sz w:val="20"/>
          <w:szCs w:val="20"/>
          <w:lang w:val="en-US"/>
        </w:rPr>
        <w:t xml:space="preserve">, “The Septuagint within the History of Greek: </w:t>
      </w:r>
      <w:r w:rsidR="002A1E3B" w:rsidRPr="009C5A84">
        <w:rPr>
          <w:color w:val="000000" w:themeColor="text1"/>
          <w:sz w:val="20"/>
          <w:szCs w:val="20"/>
          <w:lang w:val="en-US"/>
        </w:rPr>
        <w:t>An</w:t>
      </w:r>
      <w:r w:rsidRPr="009C5A84">
        <w:rPr>
          <w:color w:val="000000" w:themeColor="text1"/>
          <w:sz w:val="20"/>
          <w:szCs w:val="20"/>
          <w:lang w:val="en-US"/>
        </w:rPr>
        <w:t xml:space="preserve"> Introduction</w:t>
      </w:r>
      <w:r w:rsidR="000D046D" w:rsidRPr="009C5A84">
        <w:rPr>
          <w:color w:val="000000" w:themeColor="text1"/>
          <w:sz w:val="20"/>
          <w:szCs w:val="20"/>
          <w:lang w:val="en-US"/>
        </w:rPr>
        <w:t>,</w:t>
      </w:r>
      <w:r w:rsidRPr="009C5A84">
        <w:rPr>
          <w:color w:val="000000" w:themeColor="text1"/>
          <w:sz w:val="20"/>
          <w:szCs w:val="20"/>
          <w:lang w:val="en-US"/>
        </w:rPr>
        <w:t xml:space="preserve">” </w:t>
      </w:r>
      <w:r w:rsidRPr="009C5A84">
        <w:rPr>
          <w:i/>
          <w:iCs/>
          <w:color w:val="000000" w:themeColor="text1"/>
          <w:sz w:val="20"/>
          <w:szCs w:val="20"/>
          <w:lang w:val="en-US"/>
        </w:rPr>
        <w:t xml:space="preserve">JSJ </w:t>
      </w:r>
      <w:r w:rsidRPr="009C5A84">
        <w:rPr>
          <w:color w:val="000000" w:themeColor="text1"/>
          <w:sz w:val="20"/>
          <w:szCs w:val="20"/>
          <w:lang w:val="en-US"/>
        </w:rPr>
        <w:t>4-5 (2023)</w:t>
      </w:r>
      <w:r w:rsidR="000D046D" w:rsidRPr="009C5A84">
        <w:rPr>
          <w:color w:val="000000" w:themeColor="text1"/>
          <w:sz w:val="20"/>
          <w:szCs w:val="20"/>
          <w:lang w:val="en-US"/>
        </w:rPr>
        <w:t>:</w:t>
      </w:r>
      <w:r w:rsidRPr="009C5A84">
        <w:rPr>
          <w:color w:val="000000" w:themeColor="text1"/>
          <w:sz w:val="20"/>
          <w:szCs w:val="20"/>
          <w:lang w:val="en-US"/>
        </w:rPr>
        <w:t xml:space="preserve"> 432</w:t>
      </w:r>
      <w:r w:rsidR="000D046D" w:rsidRPr="009C5A84">
        <w:rPr>
          <w:color w:val="000000" w:themeColor="text1"/>
          <w:sz w:val="20"/>
          <w:szCs w:val="20"/>
          <w:lang w:val="en-US"/>
        </w:rPr>
        <w:t>–</w:t>
      </w:r>
      <w:r w:rsidRPr="009C5A84">
        <w:rPr>
          <w:color w:val="000000" w:themeColor="text1"/>
          <w:sz w:val="20"/>
          <w:szCs w:val="20"/>
          <w:lang w:val="en-US"/>
        </w:rPr>
        <w:t>49.</w:t>
      </w:r>
    </w:p>
  </w:footnote>
  <w:footnote w:id="76">
    <w:p w14:paraId="58341AA4" w14:textId="1CC0B499" w:rsidR="00480B17" w:rsidRPr="009C5A84" w:rsidRDefault="00480B1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D046D" w:rsidRPr="009C5A84">
        <w:rPr>
          <w:rFonts w:cs="Times New Roman"/>
          <w:color w:val="000000" w:themeColor="text1"/>
          <w:lang w:val="en-US"/>
        </w:rPr>
        <w:t xml:space="preserve">Ellen </w:t>
      </w:r>
      <w:r w:rsidRPr="009C5A84">
        <w:rPr>
          <w:rFonts w:cs="Times New Roman"/>
          <w:color w:val="000000" w:themeColor="text1"/>
          <w:lang w:val="en-US"/>
        </w:rPr>
        <w:t>De Doncker, “A Hearing God: ἐπα</w:t>
      </w:r>
      <w:proofErr w:type="spellStart"/>
      <w:r w:rsidRPr="009C5A84">
        <w:rPr>
          <w:rFonts w:cs="Times New Roman"/>
          <w:color w:val="000000" w:themeColor="text1"/>
          <w:lang w:val="en-US"/>
        </w:rPr>
        <w:t>κούω</w:t>
      </w:r>
      <w:proofErr w:type="spellEnd"/>
      <w:r w:rsidRPr="009C5A84">
        <w:rPr>
          <w:rFonts w:cs="Times New Roman"/>
          <w:color w:val="000000" w:themeColor="text1"/>
          <w:lang w:val="en-US"/>
        </w:rPr>
        <w:t xml:space="preserve"> Reinvented in the LXX</w:t>
      </w:r>
      <w:r w:rsidR="000D046D" w:rsidRPr="009C5A84">
        <w:rPr>
          <w:rFonts w:cs="Times New Roman"/>
          <w:color w:val="000000" w:themeColor="text1"/>
          <w:lang w:val="en-US"/>
        </w:rPr>
        <w:t>,</w:t>
      </w:r>
      <w:r w:rsidRPr="009C5A84">
        <w:rPr>
          <w:rFonts w:cs="Times New Roman"/>
          <w:color w:val="000000" w:themeColor="text1"/>
          <w:lang w:val="en-US"/>
        </w:rPr>
        <w:t xml:space="preserve">” Presented at </w:t>
      </w:r>
      <w:r w:rsidRPr="009C5A84">
        <w:rPr>
          <w:rFonts w:cs="Times New Roman"/>
          <w:i/>
          <w:iCs/>
          <w:color w:val="000000" w:themeColor="text1"/>
          <w:lang w:val="en-US"/>
        </w:rPr>
        <w:t>SBL Annual Meeting</w:t>
      </w:r>
      <w:r w:rsidRPr="009C5A84">
        <w:rPr>
          <w:rFonts w:cs="Times New Roman"/>
          <w:color w:val="000000" w:themeColor="text1"/>
          <w:lang w:val="en-US"/>
        </w:rPr>
        <w:t xml:space="preserve"> (San Diego, California, November 2024)</w:t>
      </w:r>
      <w:r w:rsidR="000D046D" w:rsidRPr="009C5A84">
        <w:rPr>
          <w:rFonts w:cs="Times New Roman"/>
          <w:color w:val="000000" w:themeColor="text1"/>
          <w:lang w:val="en-US"/>
        </w:rPr>
        <w:t>.</w:t>
      </w:r>
    </w:p>
  </w:footnote>
  <w:footnote w:id="77">
    <w:p w14:paraId="486010A0" w14:textId="30C66BC5" w:rsidR="00480B17" w:rsidRPr="009C5A84" w:rsidRDefault="00480B17" w:rsidP="00055A1C">
      <w:pPr>
        <w:pStyle w:val="Normaalweb"/>
        <w:spacing w:before="0" w:beforeAutospacing="0" w:after="0" w:afterAutospacing="0"/>
        <w:jc w:val="both"/>
        <w:rPr>
          <w:color w:val="000000" w:themeColor="text1"/>
          <w:sz w:val="20"/>
          <w:szCs w:val="20"/>
          <w:lang w:val="en-US"/>
        </w:rPr>
      </w:pPr>
      <w:r w:rsidRPr="009C5A84">
        <w:rPr>
          <w:rStyle w:val="Voetnootmarkering"/>
          <w:color w:val="000000" w:themeColor="text1"/>
          <w:sz w:val="20"/>
          <w:szCs w:val="20"/>
          <w:lang w:val="en-US"/>
        </w:rPr>
        <w:footnoteRef/>
      </w:r>
      <w:r w:rsidRPr="009C5A84">
        <w:rPr>
          <w:color w:val="000000" w:themeColor="text1"/>
          <w:sz w:val="20"/>
          <w:szCs w:val="20"/>
          <w:lang w:val="en-US"/>
        </w:rPr>
        <w:t xml:space="preserve"> </w:t>
      </w:r>
      <w:r w:rsidR="000D046D" w:rsidRPr="009C5A84">
        <w:rPr>
          <w:color w:val="000000" w:themeColor="text1"/>
          <w:sz w:val="20"/>
          <w:szCs w:val="20"/>
          <w:lang w:val="en-US"/>
        </w:rPr>
        <w:t>Van der Meer,</w:t>
      </w:r>
      <w:r w:rsidRPr="009C5A84">
        <w:rPr>
          <w:color w:val="000000" w:themeColor="text1"/>
          <w:sz w:val="20"/>
          <w:szCs w:val="20"/>
          <w:lang w:val="en-US"/>
        </w:rPr>
        <w:t xml:space="preserve"> “Visio Dei in the Septuagint</w:t>
      </w:r>
      <w:r w:rsidR="000D046D" w:rsidRPr="009C5A84">
        <w:rPr>
          <w:color w:val="000000" w:themeColor="text1"/>
          <w:sz w:val="20"/>
          <w:szCs w:val="20"/>
          <w:lang w:val="en-US"/>
        </w:rPr>
        <w:t>,</w:t>
      </w:r>
      <w:r w:rsidRPr="009C5A84">
        <w:rPr>
          <w:color w:val="000000" w:themeColor="text1"/>
          <w:sz w:val="20"/>
          <w:szCs w:val="20"/>
          <w:lang w:val="en-US"/>
        </w:rPr>
        <w:t>”</w:t>
      </w:r>
      <w:r w:rsidR="000D046D" w:rsidRPr="009C5A84">
        <w:rPr>
          <w:color w:val="000000" w:themeColor="text1"/>
          <w:sz w:val="20"/>
          <w:szCs w:val="20"/>
          <w:lang w:val="en-US"/>
        </w:rPr>
        <w:t xml:space="preserve"> </w:t>
      </w:r>
      <w:r w:rsidRPr="009C5A84">
        <w:rPr>
          <w:color w:val="000000" w:themeColor="text1"/>
          <w:sz w:val="20"/>
          <w:szCs w:val="20"/>
          <w:shd w:val="clear" w:color="auto" w:fill="FFFFFF"/>
          <w:lang w:val="en-US"/>
        </w:rPr>
        <w:t xml:space="preserve">194. </w:t>
      </w:r>
    </w:p>
  </w:footnote>
  <w:footnote w:id="78">
    <w:p w14:paraId="6392CA84" w14:textId="77777777" w:rsidR="009C5A84" w:rsidRPr="009C5A84" w:rsidRDefault="009C5A84" w:rsidP="009C5A84">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Fonts w:cs="Times New Roman"/>
          <w:color w:val="000000" w:themeColor="text1"/>
          <w:lang w:val="en-US"/>
        </w:rPr>
        <w:t>Jokiranta</w:t>
      </w:r>
      <w:proofErr w:type="spellEnd"/>
      <w:r w:rsidRPr="009C5A84">
        <w:rPr>
          <w:rFonts w:cs="Times New Roman"/>
          <w:color w:val="000000" w:themeColor="text1"/>
          <w:lang w:val="en-US"/>
        </w:rPr>
        <w:t xml:space="preserve"> et al, “Cognitive Science Meets Septuagint Studies.”</w:t>
      </w:r>
    </w:p>
  </w:footnote>
  <w:footnote w:id="79">
    <w:p w14:paraId="71644219" w14:textId="77777777" w:rsidR="009C5A84" w:rsidRPr="009C5A84" w:rsidRDefault="009C5A84" w:rsidP="009C5A84">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Idem, 364.</w:t>
      </w:r>
    </w:p>
  </w:footnote>
  <w:footnote w:id="80">
    <w:p w14:paraId="5C5EC953" w14:textId="1AD22E25"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0D046D" w:rsidRPr="009C5A84">
        <w:rPr>
          <w:rFonts w:cs="Times New Roman"/>
          <w:color w:val="000000" w:themeColor="text1"/>
          <w:lang w:val="en-US"/>
        </w:rPr>
        <w:t xml:space="preserve">Fritsch, </w:t>
      </w:r>
      <w:r w:rsidR="000D046D" w:rsidRPr="009C5A84">
        <w:rPr>
          <w:rFonts w:cs="Times New Roman"/>
          <w:i/>
          <w:iCs/>
          <w:color w:val="000000" w:themeColor="text1"/>
          <w:lang w:val="en-US"/>
        </w:rPr>
        <w:t>Anti-</w:t>
      </w:r>
      <w:r w:rsidR="000D046D" w:rsidRPr="00B854EB">
        <w:rPr>
          <w:rFonts w:cs="Times New Roman"/>
          <w:i/>
          <w:iCs/>
          <w:color w:val="000000" w:themeColor="text1"/>
          <w:lang w:val="en-US"/>
        </w:rPr>
        <w:t>anthropomorphisms</w:t>
      </w:r>
      <w:r w:rsidR="000D046D" w:rsidRPr="00B854EB">
        <w:rPr>
          <w:rFonts w:cs="Times New Roman"/>
          <w:color w:val="000000" w:themeColor="text1"/>
          <w:lang w:val="en-US"/>
        </w:rPr>
        <w:t>;</w:t>
      </w:r>
      <w:r w:rsidRPr="00B854EB">
        <w:rPr>
          <w:rFonts w:cs="Times New Roman"/>
          <w:color w:val="000000" w:themeColor="text1"/>
          <w:lang w:val="en-US"/>
        </w:rPr>
        <w:t xml:space="preserve"> </w:t>
      </w:r>
      <w:r w:rsidR="009C5A84" w:rsidRPr="00B854EB">
        <w:rPr>
          <w:rFonts w:cs="Times New Roman"/>
          <w:color w:val="000000" w:themeColor="text1"/>
          <w:lang w:val="en-US"/>
        </w:rPr>
        <w:t xml:space="preserve">Ellen De Doncker, </w:t>
      </w:r>
      <w:r w:rsidR="009C5A84" w:rsidRPr="00B854EB">
        <w:rPr>
          <w:rFonts w:cs="Times New Roman"/>
          <w:i/>
          <w:iCs/>
          <w:color w:val="000000" w:themeColor="text1"/>
          <w:shd w:val="clear" w:color="auto" w:fill="FFFFFF"/>
        </w:rPr>
        <w:t xml:space="preserve">A Human God? </w:t>
      </w:r>
      <w:r w:rsidR="009C5A84" w:rsidRPr="00B854EB">
        <w:rPr>
          <w:rFonts w:cs="Times New Roman"/>
          <w:i/>
          <w:iCs/>
          <w:color w:val="000000" w:themeColor="text1"/>
          <w:shd w:val="clear" w:color="auto" w:fill="FFFFFF"/>
        </w:rPr>
        <w:t>A Comparative Analysis of Anthropomorphisms in the Hebrew and Greek Pentateuch</w:t>
      </w:r>
      <w:r w:rsidRPr="00B854EB">
        <w:rPr>
          <w:rFonts w:cs="Times New Roman"/>
          <w:color w:val="000000" w:themeColor="text1"/>
          <w:lang w:val="en-US"/>
        </w:rPr>
        <w:t xml:space="preserve"> </w:t>
      </w:r>
      <w:r w:rsidR="009C5A84" w:rsidRPr="00B854EB">
        <w:rPr>
          <w:rFonts w:cs="Times New Roman"/>
          <w:color w:val="000000" w:themeColor="text1"/>
          <w:lang w:val="en-US"/>
        </w:rPr>
        <w:t>(PhD</w:t>
      </w:r>
      <w:r w:rsidR="009C5A84" w:rsidRPr="009C5A84">
        <w:rPr>
          <w:rFonts w:cs="Times New Roman"/>
          <w:color w:val="000000" w:themeColor="text1"/>
          <w:lang w:val="en-US"/>
        </w:rPr>
        <w:t xml:space="preserve"> diss.; Université </w:t>
      </w:r>
      <w:proofErr w:type="spellStart"/>
      <w:r w:rsidR="009C5A84" w:rsidRPr="009C5A84">
        <w:rPr>
          <w:rFonts w:cs="Times New Roman"/>
          <w:color w:val="000000" w:themeColor="text1"/>
          <w:lang w:val="en-US"/>
        </w:rPr>
        <w:t>Catholique</w:t>
      </w:r>
      <w:proofErr w:type="spellEnd"/>
      <w:r w:rsidR="009C5A84" w:rsidRPr="009C5A84">
        <w:rPr>
          <w:rFonts w:cs="Times New Roman"/>
          <w:color w:val="000000" w:themeColor="text1"/>
          <w:lang w:val="en-US"/>
        </w:rPr>
        <w:t xml:space="preserve"> de Louvain, 2025); </w:t>
      </w:r>
      <w:r w:rsidR="000D046D" w:rsidRPr="009C5A84">
        <w:rPr>
          <w:rFonts w:cs="Times New Roman"/>
          <w:color w:val="000000" w:themeColor="text1"/>
          <w:lang w:val="en-US"/>
        </w:rPr>
        <w:t xml:space="preserve">Ausloos, “You Saw no Form When YHWH Spoke to You at Horeb;” Idem, “Human Activities Attributed to God in Deuteronomy MT and LXX;” Wittstruck, “So-Called Anti-Anthropomorphisms;” </w:t>
      </w:r>
      <w:proofErr w:type="spellStart"/>
      <w:r w:rsidR="000D046D" w:rsidRPr="009C5A84">
        <w:rPr>
          <w:rFonts w:cs="Times New Roman"/>
          <w:color w:val="000000" w:themeColor="text1"/>
          <w:lang w:val="en-US"/>
        </w:rPr>
        <w:t>Rösel</w:t>
      </w:r>
      <w:proofErr w:type="spellEnd"/>
      <w:r w:rsidR="000D046D" w:rsidRPr="009C5A84">
        <w:rPr>
          <w:rFonts w:cs="Times New Roman"/>
          <w:color w:val="000000" w:themeColor="text1"/>
          <w:lang w:val="en-US"/>
        </w:rPr>
        <w:t xml:space="preserve">, “Den Herrn </w:t>
      </w:r>
      <w:proofErr w:type="spellStart"/>
      <w:r w:rsidR="000D046D" w:rsidRPr="009C5A84">
        <w:rPr>
          <w:rFonts w:cs="Times New Roman"/>
          <w:color w:val="000000" w:themeColor="text1"/>
          <w:lang w:val="en-US"/>
        </w:rPr>
        <w:t>aus</w:t>
      </w:r>
      <w:proofErr w:type="spellEnd"/>
      <w:r w:rsidR="000D046D" w:rsidRPr="009C5A84">
        <w:rPr>
          <w:rFonts w:cs="Times New Roman"/>
          <w:color w:val="000000" w:themeColor="text1"/>
          <w:lang w:val="en-US"/>
        </w:rPr>
        <w:t xml:space="preserve"> </w:t>
      </w:r>
      <w:proofErr w:type="spellStart"/>
      <w:r w:rsidR="000D046D" w:rsidRPr="009C5A84">
        <w:rPr>
          <w:rFonts w:cs="Times New Roman"/>
          <w:color w:val="000000" w:themeColor="text1"/>
          <w:lang w:val="en-US"/>
        </w:rPr>
        <w:t>ganzem</w:t>
      </w:r>
      <w:proofErr w:type="spellEnd"/>
      <w:r w:rsidR="000D046D" w:rsidRPr="009C5A84">
        <w:rPr>
          <w:rFonts w:cs="Times New Roman"/>
          <w:color w:val="000000" w:themeColor="text1"/>
          <w:lang w:val="en-US"/>
        </w:rPr>
        <w:t xml:space="preserve"> Denken </w:t>
      </w:r>
      <w:proofErr w:type="spellStart"/>
      <w:r w:rsidR="000D046D" w:rsidRPr="009C5A84">
        <w:rPr>
          <w:rFonts w:cs="Times New Roman"/>
          <w:color w:val="000000" w:themeColor="text1"/>
          <w:lang w:val="en-US"/>
        </w:rPr>
        <w:t>lieben</w:t>
      </w:r>
      <w:proofErr w:type="spellEnd"/>
      <w:r w:rsidR="000D046D" w:rsidRPr="009C5A84">
        <w:rPr>
          <w:rFonts w:cs="Times New Roman"/>
          <w:color w:val="000000" w:themeColor="text1"/>
          <w:lang w:val="en-US"/>
        </w:rPr>
        <w:t>.”</w:t>
      </w:r>
    </w:p>
  </w:footnote>
  <w:footnote w:id="81">
    <w:p w14:paraId="3B5E5D74" w14:textId="7F884033" w:rsidR="00910854" w:rsidRPr="00B854EB" w:rsidRDefault="00910854" w:rsidP="00055A1C">
      <w:pPr>
        <w:pStyle w:val="Voetnoottekst"/>
        <w:rPr>
          <w:rFonts w:cs="Times New Roman"/>
          <w:color w:val="000000" w:themeColor="text1"/>
          <w:lang w:val="en-US"/>
        </w:rPr>
      </w:pPr>
      <w:r w:rsidRPr="00B854EB">
        <w:rPr>
          <w:rStyle w:val="Voetnootmarkering"/>
          <w:rFonts w:cs="Times New Roman"/>
          <w:color w:val="000000" w:themeColor="text1"/>
          <w:lang w:val="en-US"/>
        </w:rPr>
        <w:footnoteRef/>
      </w:r>
      <w:r w:rsidRPr="00B854EB">
        <w:rPr>
          <w:rFonts w:cs="Times New Roman"/>
          <w:color w:val="000000" w:themeColor="text1"/>
          <w:lang w:val="en-US"/>
        </w:rPr>
        <w:t xml:space="preserve"> </w:t>
      </w:r>
      <w:r w:rsidR="00B854EB" w:rsidRPr="00B854EB">
        <w:rPr>
          <w:rFonts w:cs="Times New Roman"/>
          <w:color w:val="000000" w:themeColor="text1"/>
          <w:lang w:val="en-US"/>
        </w:rPr>
        <w:t>Harry Orlinsky, “</w:t>
      </w:r>
      <w:r w:rsidR="00B854EB" w:rsidRPr="00B854EB">
        <w:rPr>
          <w:rFonts w:cs="Times New Roman"/>
          <w:color w:val="000000"/>
          <w:shd w:val="clear" w:color="auto" w:fill="FFFFFF"/>
        </w:rPr>
        <w:t>The Hebrew Vorlage of the Septuagint of the Book of Joshua</w:t>
      </w:r>
      <w:r w:rsidR="00B854EB" w:rsidRPr="00B854EB">
        <w:rPr>
          <w:rFonts w:cs="Times New Roman"/>
          <w:color w:val="000000"/>
          <w:shd w:val="clear" w:color="auto" w:fill="FFFFFF"/>
        </w:rPr>
        <w:t>,”</w:t>
      </w:r>
      <w:r w:rsidR="00B854EB" w:rsidRPr="00B854EB">
        <w:rPr>
          <w:rFonts w:cs="Times New Roman"/>
          <w:color w:val="000000"/>
          <w:shd w:val="clear" w:color="auto" w:fill="FFFFFF"/>
        </w:rPr>
        <w:t xml:space="preserve"> </w:t>
      </w:r>
      <w:r w:rsidR="00B854EB" w:rsidRPr="00B854EB">
        <w:rPr>
          <w:rFonts w:cs="Times New Roman"/>
          <w:color w:val="000000"/>
          <w:shd w:val="clear" w:color="auto" w:fill="FFFFFF"/>
        </w:rPr>
        <w:t>i</w:t>
      </w:r>
      <w:r w:rsidR="00B854EB" w:rsidRPr="00B854EB">
        <w:rPr>
          <w:rFonts w:cs="Times New Roman"/>
          <w:color w:val="000000"/>
          <w:shd w:val="clear" w:color="auto" w:fill="FFFFFF"/>
        </w:rPr>
        <w:t>n</w:t>
      </w:r>
      <w:r w:rsidR="00B854EB" w:rsidRPr="00B854EB">
        <w:rPr>
          <w:rStyle w:val="apple-converted-space"/>
          <w:rFonts w:cs="Times New Roman"/>
          <w:color w:val="000000"/>
          <w:shd w:val="clear" w:color="auto" w:fill="FFFFFF"/>
        </w:rPr>
        <w:t> </w:t>
      </w:r>
      <w:r w:rsidR="00B854EB" w:rsidRPr="00B854EB">
        <w:rPr>
          <w:rStyle w:val="Nadruk"/>
          <w:rFonts w:cs="Times New Roman"/>
          <w:color w:val="000000"/>
        </w:rPr>
        <w:t>Congress Volume</w:t>
      </w:r>
      <w:r w:rsidR="00B854EB" w:rsidRPr="00B854EB">
        <w:rPr>
          <w:rStyle w:val="Nadruk"/>
          <w:rFonts w:cs="Times New Roman"/>
          <w:color w:val="000000"/>
        </w:rPr>
        <w:t xml:space="preserve"> </w:t>
      </w:r>
      <w:r w:rsidR="00B854EB" w:rsidRPr="00B854EB">
        <w:rPr>
          <w:rStyle w:val="Nadruk"/>
          <w:rFonts w:cs="Times New Roman"/>
          <w:color w:val="000000"/>
        </w:rPr>
        <w:t>Rome 1968</w:t>
      </w:r>
      <w:r w:rsidR="00B854EB" w:rsidRPr="00B854EB">
        <w:rPr>
          <w:rStyle w:val="Nadruk"/>
          <w:rFonts w:cs="Times New Roman"/>
          <w:color w:val="000000"/>
        </w:rPr>
        <w:t xml:space="preserve">, </w:t>
      </w:r>
      <w:proofErr w:type="gramStart"/>
      <w:r w:rsidR="00B854EB" w:rsidRPr="00B854EB">
        <w:rPr>
          <w:rStyle w:val="Nadruk"/>
          <w:rFonts w:cs="Times New Roman"/>
          <w:i w:val="0"/>
          <w:iCs w:val="0"/>
          <w:color w:val="000000"/>
        </w:rPr>
        <w:t>VT.S</w:t>
      </w:r>
      <w:proofErr w:type="gramEnd"/>
      <w:r w:rsidR="00B854EB" w:rsidRPr="00B854EB">
        <w:rPr>
          <w:rStyle w:val="Nadruk"/>
          <w:rFonts w:cs="Times New Roman"/>
          <w:i w:val="0"/>
          <w:iCs w:val="0"/>
          <w:color w:val="000000"/>
        </w:rPr>
        <w:t xml:space="preserve"> 17</w:t>
      </w:r>
      <w:r w:rsidR="00B854EB" w:rsidRPr="00B854EB">
        <w:rPr>
          <w:rFonts w:cs="Times New Roman"/>
          <w:color w:val="000000"/>
          <w:shd w:val="clear" w:color="auto" w:fill="FFFFFF"/>
        </w:rPr>
        <w:t xml:space="preserve"> (Leiden, The Netherlands: Brill, 1969)</w:t>
      </w:r>
      <w:r w:rsidR="00B854EB" w:rsidRPr="00B854EB">
        <w:rPr>
          <w:rFonts w:cs="Times New Roman"/>
          <w:color w:val="000000"/>
          <w:shd w:val="clear" w:color="auto" w:fill="FFFFFF"/>
        </w:rPr>
        <w:t xml:space="preserve">, </w:t>
      </w:r>
      <w:r w:rsidR="00B854EB" w:rsidRPr="00B854EB">
        <w:rPr>
          <w:rFonts w:cs="Times New Roman"/>
          <w:color w:val="000000"/>
          <w:shd w:val="clear" w:color="auto" w:fill="FFFFFF"/>
        </w:rPr>
        <w:t>187–95</w:t>
      </w:r>
      <w:r w:rsidR="00B854EB" w:rsidRPr="00B854EB">
        <w:rPr>
          <w:rStyle w:val="apple-converted-space"/>
          <w:rFonts w:cs="Times New Roman"/>
          <w:color w:val="000000"/>
          <w:shd w:val="clear" w:color="auto" w:fill="FFFFFF"/>
        </w:rPr>
        <w:t>.</w:t>
      </w:r>
    </w:p>
  </w:footnote>
  <w:footnote w:id="82">
    <w:p w14:paraId="2E33FEFD" w14:textId="766DA7B5"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Fonts w:cs="Times New Roman"/>
          <w:color w:val="000000" w:themeColor="text1"/>
          <w:lang w:val="en-US"/>
        </w:rPr>
        <w:t>Kershenbaum</w:t>
      </w:r>
      <w:proofErr w:type="spellEnd"/>
      <w:r w:rsidRPr="009C5A84">
        <w:rPr>
          <w:rFonts w:cs="Times New Roman"/>
          <w:color w:val="000000" w:themeColor="text1"/>
          <w:lang w:val="en-US"/>
        </w:rPr>
        <w:t xml:space="preserve">, </w:t>
      </w:r>
      <w:r w:rsidRPr="009C5A84">
        <w:rPr>
          <w:rFonts w:cs="Times New Roman"/>
          <w:i/>
          <w:iCs/>
          <w:color w:val="000000" w:themeColor="text1"/>
          <w:lang w:val="en-US"/>
        </w:rPr>
        <w:t xml:space="preserve">The </w:t>
      </w:r>
      <w:proofErr w:type="spellStart"/>
      <w:r w:rsidRPr="009C5A84">
        <w:rPr>
          <w:rFonts w:cs="Times New Roman"/>
          <w:i/>
          <w:iCs/>
          <w:color w:val="000000" w:themeColor="text1"/>
          <w:lang w:val="en-US"/>
        </w:rPr>
        <w:t>Treamtent</w:t>
      </w:r>
      <w:proofErr w:type="spellEnd"/>
      <w:r w:rsidRPr="009C5A84">
        <w:rPr>
          <w:rFonts w:cs="Times New Roman"/>
          <w:i/>
          <w:iCs/>
          <w:color w:val="000000" w:themeColor="text1"/>
          <w:lang w:val="en-US"/>
        </w:rPr>
        <w:t xml:space="preserve"> of Anthropomorphisms</w:t>
      </w:r>
      <w:r w:rsidR="004F5C52" w:rsidRPr="009C5A84">
        <w:rPr>
          <w:rFonts w:cs="Times New Roman"/>
          <w:color w:val="000000" w:themeColor="text1"/>
          <w:lang w:val="en-US"/>
        </w:rPr>
        <w:t>.</w:t>
      </w:r>
      <w:r w:rsidRPr="009C5A84">
        <w:rPr>
          <w:rFonts w:cs="Times New Roman"/>
          <w:color w:val="000000" w:themeColor="text1"/>
          <w:lang w:val="en-US"/>
        </w:rPr>
        <w:t xml:space="preserve"> </w:t>
      </w:r>
    </w:p>
  </w:footnote>
  <w:footnote w:id="83">
    <w:p w14:paraId="2C9DADB2" w14:textId="0627446C"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00B854EB">
        <w:rPr>
          <w:rFonts w:cs="Times New Roman"/>
          <w:color w:val="000000" w:themeColor="text1"/>
          <w:lang w:val="en-US"/>
        </w:rPr>
        <w:t xml:space="preserve"> </w:t>
      </w:r>
      <w:r w:rsidRPr="009C5A84">
        <w:rPr>
          <w:rFonts w:cs="Times New Roman"/>
          <w:color w:val="000000" w:themeColor="text1"/>
          <w:lang w:val="en-US"/>
        </w:rPr>
        <w:t>Soffer, “Treatment of Anthropomorphisms</w:t>
      </w:r>
      <w:r w:rsidR="00644273" w:rsidRPr="009C5A84">
        <w:rPr>
          <w:rFonts w:cs="Times New Roman"/>
          <w:color w:val="000000" w:themeColor="text1"/>
          <w:lang w:val="en-US"/>
        </w:rPr>
        <w:t xml:space="preserve"> in Psalms</w:t>
      </w:r>
      <w:r w:rsidR="002A1E3B">
        <w:rPr>
          <w:rFonts w:cs="Times New Roman"/>
          <w:color w:val="000000" w:themeColor="text1"/>
          <w:lang w:val="en-US"/>
        </w:rPr>
        <w:t>;</w:t>
      </w:r>
      <w:r w:rsidRPr="009C5A84">
        <w:rPr>
          <w:rFonts w:cs="Times New Roman"/>
          <w:color w:val="000000" w:themeColor="text1"/>
          <w:lang w:val="en-US"/>
        </w:rPr>
        <w:t>”</w:t>
      </w:r>
      <w:r w:rsidR="004F5C52" w:rsidRPr="009C5A84">
        <w:rPr>
          <w:rFonts w:cs="Times New Roman"/>
          <w:color w:val="000000" w:themeColor="text1"/>
          <w:lang w:val="en-US"/>
        </w:rPr>
        <w:t xml:space="preserve"> </w:t>
      </w:r>
      <w:r w:rsidRPr="009C5A84">
        <w:rPr>
          <w:rStyle w:val="Nadruk"/>
          <w:rFonts w:cs="Times New Roman"/>
          <w:i w:val="0"/>
          <w:iCs w:val="0"/>
          <w:color w:val="000000" w:themeColor="text1"/>
          <w:lang w:val="en-US"/>
        </w:rPr>
        <w:t>Erwin</w:t>
      </w:r>
      <w:r w:rsidRPr="009C5A84">
        <w:rPr>
          <w:rFonts w:cs="Times New Roman"/>
          <w:color w:val="000000" w:themeColor="text1"/>
          <w:shd w:val="clear" w:color="auto" w:fill="FFFFFF"/>
          <w:lang w:val="en-US"/>
        </w:rPr>
        <w:t xml:space="preserve">, </w:t>
      </w:r>
      <w:r w:rsidRPr="009C5A84">
        <w:rPr>
          <w:rStyle w:val="Nadruk"/>
          <w:rFonts w:cs="Times New Roman"/>
          <w:color w:val="000000" w:themeColor="text1"/>
          <w:lang w:val="en-US"/>
        </w:rPr>
        <w:t>Theological Aspects</w:t>
      </w:r>
      <w:r w:rsidR="004F5C52" w:rsidRPr="009C5A84">
        <w:rPr>
          <w:rStyle w:val="apple-converted-space"/>
          <w:rFonts w:cs="Times New Roman"/>
          <w:color w:val="000000" w:themeColor="text1"/>
          <w:shd w:val="clear" w:color="auto" w:fill="FFFFFF"/>
          <w:lang w:val="en-US"/>
        </w:rPr>
        <w:t>,</w:t>
      </w:r>
      <w:r w:rsidRPr="009C5A84">
        <w:rPr>
          <w:rFonts w:cs="Times New Roman"/>
          <w:color w:val="000000" w:themeColor="text1"/>
          <w:shd w:val="clear" w:color="auto" w:fill="FFFFFF"/>
          <w:lang w:val="en-US"/>
        </w:rPr>
        <w:t xml:space="preserve"> 23</w:t>
      </w:r>
      <w:r w:rsidR="004F5C52" w:rsidRPr="009C5A84">
        <w:rPr>
          <w:rFonts w:cs="Times New Roman"/>
          <w:color w:val="000000" w:themeColor="text1"/>
          <w:shd w:val="clear" w:color="auto" w:fill="FFFFFF"/>
          <w:lang w:val="en-US"/>
        </w:rPr>
        <w:t>–</w:t>
      </w:r>
      <w:r w:rsidRPr="009C5A84">
        <w:rPr>
          <w:rFonts w:cs="Times New Roman"/>
          <w:color w:val="000000" w:themeColor="text1"/>
          <w:shd w:val="clear" w:color="auto" w:fill="FFFFFF"/>
          <w:lang w:val="en-US"/>
        </w:rPr>
        <w:t>55.</w:t>
      </w:r>
    </w:p>
  </w:footnote>
  <w:footnote w:id="84">
    <w:p w14:paraId="381D5C48" w14:textId="7B7788B6"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Orlinsky, “Studies in the Septuagint of the Book of Job</w:t>
      </w:r>
      <w:r w:rsidR="004F5C52" w:rsidRPr="009C5A84">
        <w:rPr>
          <w:rFonts w:cs="Times New Roman"/>
          <w:color w:val="000000" w:themeColor="text1"/>
          <w:lang w:val="en-US"/>
        </w:rPr>
        <w:t xml:space="preserve">;” </w:t>
      </w:r>
      <w:r w:rsidRPr="009C5A84">
        <w:rPr>
          <w:rStyle w:val="Nadruk"/>
          <w:rFonts w:cs="Times New Roman"/>
          <w:i w:val="0"/>
          <w:iCs w:val="0"/>
          <w:color w:val="000000" w:themeColor="text1"/>
          <w:lang w:val="en-US"/>
        </w:rPr>
        <w:t xml:space="preserve">Gard, </w:t>
      </w:r>
      <w:r w:rsidRPr="009C5A84">
        <w:rPr>
          <w:rStyle w:val="Nadruk"/>
          <w:rFonts w:cs="Times New Roman"/>
          <w:color w:val="000000" w:themeColor="text1"/>
          <w:lang w:val="en-US"/>
        </w:rPr>
        <w:t>The Exegetical Method</w:t>
      </w:r>
      <w:r w:rsidR="004F5C52" w:rsidRPr="009C5A84">
        <w:rPr>
          <w:rStyle w:val="apple-converted-space"/>
          <w:rFonts w:cs="Times New Roman"/>
          <w:color w:val="000000" w:themeColor="text1"/>
          <w:shd w:val="clear" w:color="auto" w:fill="FFFFFF"/>
          <w:lang w:val="en-US"/>
        </w:rPr>
        <w:t>.</w:t>
      </w:r>
    </w:p>
  </w:footnote>
  <w:footnote w:id="85">
    <w:p w14:paraId="596A0F18" w14:textId="72E9AD2C"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Baer, </w:t>
      </w:r>
      <w:r w:rsidRPr="009C5A84">
        <w:rPr>
          <w:rFonts w:cs="Times New Roman"/>
          <w:i/>
          <w:iCs/>
          <w:color w:val="000000" w:themeColor="text1"/>
          <w:lang w:val="en-US"/>
        </w:rPr>
        <w:t>When We All Go Home</w:t>
      </w:r>
      <w:r w:rsidR="004F5C52" w:rsidRPr="009C5A84">
        <w:rPr>
          <w:rFonts w:cs="Times New Roman"/>
          <w:color w:val="000000" w:themeColor="text1"/>
          <w:lang w:val="en-US"/>
        </w:rPr>
        <w:t>;</w:t>
      </w:r>
      <w:r w:rsidRPr="009C5A84">
        <w:rPr>
          <w:rFonts w:cs="Times New Roman"/>
          <w:color w:val="000000" w:themeColor="text1"/>
          <w:lang w:val="en-US"/>
        </w:rPr>
        <w:t xml:space="preserve"> Hurwitz, “Septuagint of Isaiah 36–39;</w:t>
      </w:r>
      <w:r w:rsidR="00644273" w:rsidRPr="009C5A84">
        <w:rPr>
          <w:rFonts w:cs="Times New Roman"/>
          <w:color w:val="000000" w:themeColor="text1"/>
          <w:lang w:val="en-US"/>
        </w:rPr>
        <w:t>”</w:t>
      </w:r>
      <w:r w:rsidRPr="009C5A84">
        <w:rPr>
          <w:rFonts w:cs="Times New Roman"/>
          <w:color w:val="000000" w:themeColor="text1"/>
          <w:lang w:val="en-US"/>
        </w:rPr>
        <w:t xml:space="preserve"> </w:t>
      </w:r>
      <w:r w:rsidRPr="009C5A84">
        <w:rPr>
          <w:rStyle w:val="Nadruk"/>
          <w:rFonts w:cs="Times New Roman"/>
          <w:i w:val="0"/>
          <w:iCs w:val="0"/>
          <w:color w:val="000000" w:themeColor="text1"/>
          <w:lang w:val="en-US"/>
        </w:rPr>
        <w:t>Fritsch, “Concept of Go</w:t>
      </w:r>
      <w:r w:rsidR="00F65708" w:rsidRPr="009C5A84">
        <w:rPr>
          <w:rStyle w:val="Nadruk"/>
          <w:rFonts w:cs="Times New Roman"/>
          <w:i w:val="0"/>
          <w:iCs w:val="0"/>
          <w:color w:val="000000" w:themeColor="text1"/>
          <w:lang w:val="en-US"/>
        </w:rPr>
        <w:t>d</w:t>
      </w:r>
      <w:r w:rsidR="00644273" w:rsidRPr="009C5A84">
        <w:rPr>
          <w:rStyle w:val="Nadruk"/>
          <w:rFonts w:cs="Times New Roman"/>
          <w:i w:val="0"/>
          <w:iCs w:val="0"/>
          <w:color w:val="000000" w:themeColor="text1"/>
          <w:lang w:val="en-US"/>
        </w:rPr>
        <w:t>;</w:t>
      </w:r>
      <w:r w:rsidR="00644273" w:rsidRPr="009C5A84">
        <w:rPr>
          <w:rStyle w:val="apple-converted-space"/>
          <w:rFonts w:cs="Times New Roman"/>
          <w:color w:val="000000" w:themeColor="text1"/>
          <w:shd w:val="clear" w:color="auto" w:fill="FFFFFF"/>
          <w:lang w:val="en-US"/>
        </w:rPr>
        <w:t>”</w:t>
      </w:r>
      <w:r w:rsidRPr="009C5A84">
        <w:rPr>
          <w:rFonts w:cs="Times New Roman"/>
          <w:color w:val="000000" w:themeColor="text1"/>
          <w:shd w:val="clear" w:color="auto" w:fill="FFFFFF"/>
          <w:lang w:val="en-US"/>
        </w:rPr>
        <w:t xml:space="preserve"> </w:t>
      </w:r>
      <w:r w:rsidR="00644273" w:rsidRPr="009C5A84">
        <w:rPr>
          <w:rFonts w:cs="Times New Roman"/>
          <w:color w:val="000000" w:themeColor="text1"/>
          <w:shd w:val="clear" w:color="auto" w:fill="FFFFFF"/>
          <w:lang w:val="en-US"/>
        </w:rPr>
        <w:t xml:space="preserve">Orlinsky, </w:t>
      </w:r>
      <w:r w:rsidR="00644273" w:rsidRPr="009C5A84">
        <w:rPr>
          <w:rFonts w:cs="Times New Roman"/>
          <w:color w:val="000000" w:themeColor="text1"/>
          <w:lang w:val="en-US"/>
        </w:rPr>
        <w:t>“Treatment of Anthropomorphisms</w:t>
      </w:r>
      <w:r w:rsidR="00644273" w:rsidRPr="009C5A84">
        <w:rPr>
          <w:rFonts w:cs="Times New Roman"/>
          <w:color w:val="000000" w:themeColor="text1"/>
          <w:shd w:val="clear" w:color="auto" w:fill="FFFFFF"/>
          <w:lang w:val="en-US"/>
        </w:rPr>
        <w:t xml:space="preserve"> </w:t>
      </w:r>
      <w:r w:rsidRPr="009C5A84">
        <w:rPr>
          <w:rFonts w:cs="Times New Roman"/>
          <w:color w:val="000000" w:themeColor="text1"/>
          <w:shd w:val="clear" w:color="auto" w:fill="FFFFFF"/>
          <w:lang w:val="en-US"/>
        </w:rPr>
        <w:t>in Isaiah</w:t>
      </w:r>
      <w:r w:rsidR="00644273" w:rsidRPr="009C5A84">
        <w:rPr>
          <w:rFonts w:cs="Times New Roman"/>
          <w:color w:val="000000" w:themeColor="text1"/>
          <w:shd w:val="clear" w:color="auto" w:fill="FFFFFF"/>
          <w:lang w:val="en-US"/>
        </w:rPr>
        <w:t>”</w:t>
      </w:r>
      <w:r w:rsidRPr="009C5A84">
        <w:rPr>
          <w:rFonts w:cs="Times New Roman"/>
          <w:color w:val="000000" w:themeColor="text1"/>
          <w:shd w:val="clear" w:color="auto" w:fill="FFFFFF"/>
          <w:lang w:val="en-US"/>
        </w:rPr>
        <w:t>.</w:t>
      </w:r>
    </w:p>
  </w:footnote>
  <w:footnote w:id="86">
    <w:p w14:paraId="54D1FCDC" w14:textId="39679981"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00B374D5" w:rsidRPr="009C5A84">
        <w:rPr>
          <w:rFonts w:cs="Times New Roman"/>
          <w:color w:val="000000" w:themeColor="text1"/>
          <w:lang w:val="en-US"/>
        </w:rPr>
        <w:t xml:space="preserve"> Bernard M. Zlotowitz, </w:t>
      </w:r>
      <w:r w:rsidR="00B374D5" w:rsidRPr="009C5A84">
        <w:rPr>
          <w:rFonts w:cs="Times New Roman"/>
          <w:i/>
          <w:iCs/>
          <w:color w:val="000000" w:themeColor="text1"/>
          <w:lang w:val="en-US"/>
        </w:rPr>
        <w:t>The Septuagint Translation of the Hebrew Terms in Relation to God in the Book of Jeremiah</w:t>
      </w:r>
      <w:r w:rsidR="00B374D5" w:rsidRPr="009C5A84">
        <w:rPr>
          <w:rFonts w:cs="Times New Roman"/>
          <w:color w:val="000000" w:themeColor="text1"/>
          <w:lang w:val="en-US"/>
        </w:rPr>
        <w:t xml:space="preserve"> (New York: </w:t>
      </w:r>
      <w:proofErr w:type="spellStart"/>
      <w:r w:rsidR="00B374D5" w:rsidRPr="009C5A84">
        <w:rPr>
          <w:rFonts w:cs="Times New Roman"/>
          <w:color w:val="000000" w:themeColor="text1"/>
          <w:lang w:val="en-US"/>
        </w:rPr>
        <w:t>Ktav</w:t>
      </w:r>
      <w:proofErr w:type="spellEnd"/>
      <w:r w:rsidR="00B374D5" w:rsidRPr="009C5A84">
        <w:rPr>
          <w:rFonts w:cs="Times New Roman"/>
          <w:color w:val="000000" w:themeColor="text1"/>
          <w:lang w:val="en-US"/>
        </w:rPr>
        <w:t>, 1981).</w:t>
      </w:r>
    </w:p>
  </w:footnote>
  <w:footnote w:id="87">
    <w:p w14:paraId="16DE6867" w14:textId="00F1BD0C"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Aronson, </w:t>
      </w:r>
      <w:r w:rsidRPr="009C5A84">
        <w:rPr>
          <w:rFonts w:cs="Times New Roman"/>
          <w:i/>
          <w:iCs/>
          <w:color w:val="000000" w:themeColor="text1"/>
          <w:lang w:val="en-US"/>
        </w:rPr>
        <w:t xml:space="preserve">Treatment of Anthropomorphisms </w:t>
      </w:r>
      <w:r w:rsidR="00F65708" w:rsidRPr="009C5A84">
        <w:rPr>
          <w:rFonts w:cs="Times New Roman"/>
          <w:i/>
          <w:iCs/>
          <w:color w:val="000000" w:themeColor="text1"/>
          <w:lang w:val="en-US"/>
        </w:rPr>
        <w:t xml:space="preserve">in </w:t>
      </w:r>
      <w:r w:rsidRPr="009C5A84">
        <w:rPr>
          <w:rFonts w:cs="Times New Roman"/>
          <w:i/>
          <w:iCs/>
          <w:color w:val="000000" w:themeColor="text1"/>
          <w:lang w:val="en-US"/>
        </w:rPr>
        <w:t>Minor Prophets</w:t>
      </w:r>
      <w:r w:rsidRPr="009C5A84">
        <w:rPr>
          <w:rFonts w:cs="Times New Roman"/>
          <w:color w:val="000000" w:themeColor="text1"/>
          <w:lang w:val="en-US"/>
        </w:rPr>
        <w:t>.</w:t>
      </w:r>
    </w:p>
  </w:footnote>
  <w:footnote w:id="88">
    <w:p w14:paraId="6D580125" w14:textId="2852FFC8"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Cf Evangelia Dafni, </w:t>
      </w:r>
      <w:r w:rsidR="00F65708" w:rsidRPr="009C5A84">
        <w:rPr>
          <w:rFonts w:cs="Times New Roman"/>
          <w:color w:val="000000" w:themeColor="text1"/>
          <w:lang w:val="en-US"/>
        </w:rPr>
        <w:t>“σά</w:t>
      </w:r>
      <w:proofErr w:type="spellStart"/>
      <w:r w:rsidR="00F65708" w:rsidRPr="009C5A84">
        <w:rPr>
          <w:rFonts w:cs="Times New Roman"/>
          <w:color w:val="000000" w:themeColor="text1"/>
          <w:lang w:val="en-US"/>
        </w:rPr>
        <w:t>ρξ</w:t>
      </w:r>
      <w:proofErr w:type="spellEnd"/>
      <w:r w:rsidR="00F65708" w:rsidRPr="009C5A84">
        <w:rPr>
          <w:rFonts w:cs="Times New Roman"/>
          <w:color w:val="000000" w:themeColor="text1"/>
          <w:lang w:val="en-US"/>
        </w:rPr>
        <w:t xml:space="preserve"> </w:t>
      </w:r>
      <w:proofErr w:type="spellStart"/>
      <w:r w:rsidR="00F65708" w:rsidRPr="009C5A84">
        <w:rPr>
          <w:rFonts w:cs="Times New Roman"/>
          <w:color w:val="000000" w:themeColor="text1"/>
          <w:lang w:val="en-US"/>
        </w:rPr>
        <w:t>μου</w:t>
      </w:r>
      <w:proofErr w:type="spellEnd"/>
      <w:r w:rsidR="00F65708" w:rsidRPr="009C5A84">
        <w:rPr>
          <w:rFonts w:cs="Times New Roman"/>
          <w:color w:val="000000" w:themeColor="text1"/>
          <w:lang w:val="en-US"/>
        </w:rPr>
        <w:t xml:space="preserve"> ἐξ α</w:t>
      </w:r>
      <w:proofErr w:type="spellStart"/>
      <w:r w:rsidR="00F65708" w:rsidRPr="009C5A84">
        <w:rPr>
          <w:rFonts w:cs="Times New Roman"/>
          <w:color w:val="000000" w:themeColor="text1"/>
          <w:lang w:val="en-US"/>
        </w:rPr>
        <w:t>ὐτῶν</w:t>
      </w:r>
      <w:proofErr w:type="spellEnd"/>
      <w:r w:rsidR="00F65708" w:rsidRPr="009C5A84">
        <w:rPr>
          <w:rFonts w:cs="Times New Roman"/>
          <w:color w:val="000000" w:themeColor="text1"/>
          <w:lang w:val="en-US"/>
        </w:rPr>
        <w:t xml:space="preserve"> (</w:t>
      </w:r>
      <w:r w:rsidR="00F65708" w:rsidRPr="009C5A84">
        <w:rPr>
          <w:rFonts w:cs="Times New Roman"/>
          <w:smallCaps/>
          <w:color w:val="000000" w:themeColor="text1"/>
          <w:lang w:val="en-US"/>
        </w:rPr>
        <w:t>lxx</w:t>
      </w:r>
      <w:r w:rsidR="00F65708" w:rsidRPr="009C5A84">
        <w:rPr>
          <w:rFonts w:cs="Times New Roman"/>
          <w:color w:val="000000" w:themeColor="text1"/>
          <w:lang w:val="en-US"/>
        </w:rPr>
        <w:t xml:space="preserve">-Hosea </w:t>
      </w:r>
      <w:r w:rsidR="00F65708" w:rsidRPr="009C5A84">
        <w:rPr>
          <w:rFonts w:cs="Times New Roman"/>
          <w:smallCaps/>
          <w:color w:val="000000" w:themeColor="text1"/>
          <w:lang w:val="en-US"/>
        </w:rPr>
        <w:t>ix</w:t>
      </w:r>
      <w:r w:rsidR="00F65708" w:rsidRPr="009C5A84">
        <w:rPr>
          <w:rFonts w:cs="Times New Roman"/>
          <w:color w:val="000000" w:themeColor="text1"/>
          <w:lang w:val="en-US"/>
        </w:rPr>
        <w:t xml:space="preserve">:12) Zur </w:t>
      </w:r>
      <w:proofErr w:type="spellStart"/>
      <w:r w:rsidR="00F65708" w:rsidRPr="009C5A84">
        <w:rPr>
          <w:rFonts w:cs="Times New Roman"/>
          <w:color w:val="000000" w:themeColor="text1"/>
          <w:lang w:val="en-US"/>
        </w:rPr>
        <w:t>Theologie</w:t>
      </w:r>
      <w:proofErr w:type="spellEnd"/>
      <w:r w:rsidR="00F65708" w:rsidRPr="009C5A84">
        <w:rPr>
          <w:rFonts w:cs="Times New Roman"/>
          <w:color w:val="000000" w:themeColor="text1"/>
          <w:lang w:val="en-US"/>
        </w:rPr>
        <w:t xml:space="preserve"> Der </w:t>
      </w:r>
      <w:proofErr w:type="spellStart"/>
      <w:r w:rsidR="00F65708" w:rsidRPr="009C5A84">
        <w:rPr>
          <w:rFonts w:cs="Times New Roman"/>
          <w:color w:val="000000" w:themeColor="text1"/>
          <w:lang w:val="en-US"/>
        </w:rPr>
        <w:t>Sprache</w:t>
      </w:r>
      <w:proofErr w:type="spellEnd"/>
      <w:r w:rsidR="00F65708" w:rsidRPr="009C5A84">
        <w:rPr>
          <w:rFonts w:cs="Times New Roman"/>
          <w:color w:val="000000" w:themeColor="text1"/>
          <w:lang w:val="en-US"/>
        </w:rPr>
        <w:t xml:space="preserve"> Der </w:t>
      </w:r>
      <w:proofErr w:type="spellStart"/>
      <w:r w:rsidR="00F65708" w:rsidRPr="009C5A84">
        <w:rPr>
          <w:rFonts w:cs="Times New Roman"/>
          <w:color w:val="000000" w:themeColor="text1"/>
          <w:lang w:val="en-US"/>
        </w:rPr>
        <w:t>Septuaginta</w:t>
      </w:r>
      <w:proofErr w:type="spellEnd"/>
      <w:r w:rsidR="00F65708" w:rsidRPr="009C5A84">
        <w:rPr>
          <w:rFonts w:cs="Times New Roman"/>
          <w:color w:val="000000" w:themeColor="text1"/>
          <w:lang w:val="en-US"/>
        </w:rPr>
        <w:t xml:space="preserve">,” </w:t>
      </w:r>
      <w:r w:rsidR="00F65708" w:rsidRPr="009C5A84">
        <w:rPr>
          <w:rFonts w:cs="Times New Roman"/>
          <w:i/>
          <w:iCs/>
          <w:color w:val="000000" w:themeColor="text1"/>
          <w:lang w:val="en-US"/>
        </w:rPr>
        <w:t xml:space="preserve">VT </w:t>
      </w:r>
      <w:r w:rsidR="00F65708" w:rsidRPr="009C5A84">
        <w:rPr>
          <w:rFonts w:cs="Times New Roman"/>
          <w:color w:val="000000" w:themeColor="text1"/>
          <w:lang w:val="en-US"/>
        </w:rPr>
        <w:t>51/3 (2001): 336–353.</w:t>
      </w:r>
    </w:p>
  </w:footnote>
  <w:footnote w:id="89">
    <w:p w14:paraId="6430DE74" w14:textId="3D2FE684"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Edward Glenny, </w:t>
      </w:r>
      <w:r w:rsidR="00F65708" w:rsidRPr="009C5A84">
        <w:rPr>
          <w:rFonts w:cs="Times New Roman"/>
          <w:i/>
          <w:iCs/>
          <w:color w:val="000000" w:themeColor="text1"/>
          <w:lang w:val="en-US"/>
        </w:rPr>
        <w:t>F</w:t>
      </w:r>
      <w:r w:rsidRPr="009C5A84">
        <w:rPr>
          <w:rFonts w:cs="Times New Roman"/>
          <w:i/>
          <w:iCs/>
          <w:color w:val="000000" w:themeColor="text1"/>
          <w:lang w:val="en-US"/>
        </w:rPr>
        <w:t xml:space="preserve">inding Meaning in the </w:t>
      </w:r>
      <w:r w:rsidR="002A1E3B" w:rsidRPr="009C5A84">
        <w:rPr>
          <w:rFonts w:cs="Times New Roman"/>
          <w:i/>
          <w:iCs/>
          <w:color w:val="000000" w:themeColor="text1"/>
          <w:lang w:val="en-US"/>
        </w:rPr>
        <w:t>Text</w:t>
      </w:r>
      <w:r w:rsidRPr="009C5A84">
        <w:rPr>
          <w:rFonts w:cs="Times New Roman"/>
          <w:i/>
          <w:iCs/>
          <w:color w:val="000000" w:themeColor="text1"/>
          <w:lang w:val="en-US"/>
        </w:rPr>
        <w:t xml:space="preserve">: Translation Technique and Theology in the </w:t>
      </w:r>
      <w:r w:rsidR="002A1E3B" w:rsidRPr="009C5A84">
        <w:rPr>
          <w:rFonts w:cs="Times New Roman"/>
          <w:i/>
          <w:iCs/>
          <w:color w:val="000000" w:themeColor="text1"/>
          <w:lang w:val="en-US"/>
        </w:rPr>
        <w:t>Septuagint</w:t>
      </w:r>
      <w:r w:rsidRPr="009C5A84">
        <w:rPr>
          <w:rFonts w:cs="Times New Roman"/>
          <w:i/>
          <w:iCs/>
          <w:color w:val="000000" w:themeColor="text1"/>
          <w:lang w:val="en-US"/>
        </w:rPr>
        <w:t xml:space="preserve"> of Amos </w:t>
      </w:r>
      <w:r w:rsidRPr="009C5A84">
        <w:rPr>
          <w:rFonts w:cs="Times New Roman"/>
          <w:color w:val="000000" w:themeColor="text1"/>
          <w:lang w:val="en-US"/>
        </w:rPr>
        <w:t>(</w:t>
      </w:r>
      <w:proofErr w:type="gramStart"/>
      <w:r w:rsidRPr="009C5A84">
        <w:rPr>
          <w:rFonts w:cs="Times New Roman"/>
          <w:color w:val="000000" w:themeColor="text1"/>
          <w:lang w:val="en-US"/>
        </w:rPr>
        <w:t>VT</w:t>
      </w:r>
      <w:r w:rsidR="00F65708" w:rsidRPr="009C5A84">
        <w:rPr>
          <w:rFonts w:cs="Times New Roman"/>
          <w:color w:val="000000" w:themeColor="text1"/>
          <w:lang w:val="en-US"/>
        </w:rPr>
        <w:t>.S</w:t>
      </w:r>
      <w:proofErr w:type="gramEnd"/>
      <w:r w:rsidRPr="009C5A84">
        <w:rPr>
          <w:rFonts w:cs="Times New Roman"/>
          <w:color w:val="000000" w:themeColor="text1"/>
          <w:lang w:val="en-US"/>
        </w:rPr>
        <w:t xml:space="preserve"> 126</w:t>
      </w:r>
      <w:r w:rsidR="00F65708" w:rsidRPr="009C5A84">
        <w:rPr>
          <w:rFonts w:cs="Times New Roman"/>
          <w:color w:val="000000" w:themeColor="text1"/>
          <w:lang w:val="en-US"/>
        </w:rPr>
        <w:t xml:space="preserve">; </w:t>
      </w:r>
      <w:r w:rsidRPr="009C5A84">
        <w:rPr>
          <w:rFonts w:cs="Times New Roman"/>
          <w:color w:val="000000" w:themeColor="text1"/>
          <w:lang w:val="en-US"/>
        </w:rPr>
        <w:t xml:space="preserve">Leiden: Brill, 2009). </w:t>
      </w:r>
      <w:proofErr w:type="spellStart"/>
      <w:r w:rsidRPr="009C5A84">
        <w:rPr>
          <w:rFonts w:cs="Times New Roman"/>
          <w:color w:val="000000" w:themeColor="text1"/>
          <w:lang w:val="en-US"/>
        </w:rPr>
        <w:t>Arieti</w:t>
      </w:r>
      <w:proofErr w:type="spellEnd"/>
      <w:r w:rsidRPr="009C5A84">
        <w:rPr>
          <w:rFonts w:cs="Times New Roman"/>
          <w:color w:val="000000" w:themeColor="text1"/>
          <w:lang w:val="en-US"/>
        </w:rPr>
        <w:t xml:space="preserve">, </w:t>
      </w:r>
      <w:r w:rsidRPr="009C5A84">
        <w:rPr>
          <w:rFonts w:cs="Times New Roman"/>
          <w:i/>
          <w:iCs/>
          <w:color w:val="000000" w:themeColor="text1"/>
          <w:lang w:val="en-US"/>
        </w:rPr>
        <w:t>A Study in the Septuagint of Amos</w:t>
      </w:r>
      <w:r w:rsidRPr="009C5A84">
        <w:rPr>
          <w:rFonts w:cs="Times New Roman"/>
          <w:color w:val="000000" w:themeColor="text1"/>
          <w:lang w:val="en-US"/>
        </w:rPr>
        <w:t>.</w:t>
      </w:r>
    </w:p>
  </w:footnote>
  <w:footnote w:id="90">
    <w:p w14:paraId="41D2E547" w14:textId="7038F6E8" w:rsidR="00910854" w:rsidRPr="009C5A84" w:rsidRDefault="00910854"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James K. Palmer, </w:t>
      </w:r>
      <w:r w:rsidRPr="009C5A84">
        <w:rPr>
          <w:rFonts w:cs="Times New Roman"/>
          <w:i/>
          <w:iCs/>
          <w:color w:val="000000" w:themeColor="text1"/>
          <w:lang w:val="en-US"/>
        </w:rPr>
        <w:t>‘Not Made with Tracing Paper’: Studies in the Septuagint of Zechariah</w:t>
      </w:r>
      <w:r w:rsidR="00F65708" w:rsidRPr="009C5A84">
        <w:rPr>
          <w:rFonts w:cs="Times New Roman"/>
          <w:i/>
          <w:iCs/>
          <w:color w:val="000000" w:themeColor="text1"/>
          <w:lang w:val="en-US"/>
        </w:rPr>
        <w:t xml:space="preserve"> </w:t>
      </w:r>
      <w:r w:rsidR="00F65708" w:rsidRPr="009C5A84">
        <w:rPr>
          <w:rFonts w:cs="Times New Roman"/>
          <w:color w:val="000000" w:themeColor="text1"/>
          <w:lang w:val="en-US"/>
        </w:rPr>
        <w:t>(</w:t>
      </w:r>
      <w:r w:rsidRPr="009C5A84">
        <w:rPr>
          <w:rFonts w:cs="Times New Roman"/>
          <w:color w:val="000000" w:themeColor="text1"/>
          <w:lang w:val="en-US"/>
        </w:rPr>
        <w:t>PhD diss.</w:t>
      </w:r>
      <w:r w:rsidR="00F65708" w:rsidRPr="009C5A84">
        <w:rPr>
          <w:rFonts w:cs="Times New Roman"/>
          <w:color w:val="000000" w:themeColor="text1"/>
          <w:lang w:val="en-US"/>
        </w:rPr>
        <w:t>;</w:t>
      </w:r>
      <w:r w:rsidRPr="009C5A84">
        <w:rPr>
          <w:rFonts w:cs="Times New Roman"/>
          <w:color w:val="000000" w:themeColor="text1"/>
          <w:lang w:val="en-US"/>
        </w:rPr>
        <w:t xml:space="preserve"> University of Cambridge, 2004</w:t>
      </w:r>
      <w:r w:rsidR="00F65708" w:rsidRPr="009C5A84">
        <w:rPr>
          <w:rFonts w:cs="Times New Roman"/>
          <w:color w:val="000000" w:themeColor="text1"/>
          <w:lang w:val="en-US"/>
        </w:rPr>
        <w:t>)</w:t>
      </w:r>
      <w:r w:rsidRPr="009C5A84">
        <w:rPr>
          <w:rFonts w:cs="Times New Roman"/>
          <w:color w:val="000000" w:themeColor="text1"/>
          <w:lang w:val="en-US"/>
        </w:rPr>
        <w:t>.</w:t>
      </w:r>
    </w:p>
  </w:footnote>
  <w:footnote w:id="91">
    <w:p w14:paraId="2F53CF99" w14:textId="76414473" w:rsidR="000243BD" w:rsidRPr="009C5A84" w:rsidRDefault="000243BD"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7A2993" w:rsidRPr="009C5A84">
        <w:rPr>
          <w:rFonts w:ascii="Times New Roman" w:hAnsi="Times New Roman" w:cs="Times New Roman"/>
          <w:color w:val="000000" w:themeColor="text1"/>
          <w:sz w:val="20"/>
          <w:szCs w:val="20"/>
          <w:lang w:val="en-US"/>
        </w:rPr>
        <w:t xml:space="preserve">For instance, </w:t>
      </w:r>
      <w:r w:rsidRPr="009C5A84">
        <w:rPr>
          <w:rFonts w:ascii="Times New Roman" w:hAnsi="Times New Roman" w:cs="Times New Roman"/>
          <w:color w:val="000000" w:themeColor="text1"/>
          <w:sz w:val="20"/>
          <w:szCs w:val="20"/>
          <w:lang w:val="en-US"/>
        </w:rPr>
        <w:t>Barr has a strict understanding of anthropomorphism</w:t>
      </w:r>
      <w:r w:rsidR="00F65708"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J</w:t>
      </w:r>
      <w:r w:rsidR="00F65708" w:rsidRPr="009C5A84">
        <w:rPr>
          <w:rFonts w:ascii="Times New Roman" w:hAnsi="Times New Roman" w:cs="Times New Roman"/>
          <w:color w:val="000000" w:themeColor="text1"/>
          <w:sz w:val="20"/>
          <w:szCs w:val="20"/>
          <w:lang w:val="en-US"/>
        </w:rPr>
        <w:t>ames</w:t>
      </w:r>
      <w:r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color w:val="000000" w:themeColor="text1"/>
          <w:sz w:val="20"/>
          <w:szCs w:val="20"/>
          <w:lang w:val="en-US"/>
        </w:rPr>
        <w:t>Barr</w:t>
      </w:r>
      <w:r w:rsidRPr="009C5A84">
        <w:rPr>
          <w:rFonts w:ascii="Times New Roman" w:hAnsi="Times New Roman" w:cs="Times New Roman"/>
          <w:color w:val="000000" w:themeColor="text1"/>
          <w:sz w:val="20"/>
          <w:szCs w:val="20"/>
          <w:lang w:val="en-US"/>
        </w:rPr>
        <w:t>, “Theophany and Anthropomorphism in the Old Testament</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in</w:t>
      </w:r>
      <w:r w:rsidR="00F65708"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i/>
          <w:iCs/>
          <w:color w:val="000000" w:themeColor="text1"/>
          <w:sz w:val="20"/>
          <w:szCs w:val="20"/>
          <w:lang w:val="en-US"/>
        </w:rPr>
        <w:t xml:space="preserve">Congress Volume Oxford 1959  </w:t>
      </w:r>
      <w:r w:rsidR="00F65708" w:rsidRPr="009C5A84">
        <w:rPr>
          <w:rFonts w:ascii="Times New Roman" w:hAnsi="Times New Roman" w:cs="Times New Roman"/>
          <w:color w:val="000000" w:themeColor="text1"/>
          <w:sz w:val="20"/>
          <w:szCs w:val="20"/>
          <w:lang w:val="en-US"/>
        </w:rPr>
        <w:t>[ed. G.W.</w:t>
      </w:r>
      <w:r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color w:val="000000" w:themeColor="text1"/>
          <w:sz w:val="20"/>
          <w:szCs w:val="20"/>
          <w:lang w:val="en-US"/>
        </w:rPr>
        <w:t xml:space="preserve">Anderson et al; </w:t>
      </w:r>
      <w:r w:rsidRPr="009C5A84">
        <w:rPr>
          <w:rFonts w:ascii="Times New Roman" w:hAnsi="Times New Roman" w:cs="Times New Roman"/>
          <w:color w:val="000000" w:themeColor="text1"/>
          <w:sz w:val="20"/>
          <w:szCs w:val="20"/>
          <w:lang w:val="en-US"/>
        </w:rPr>
        <w:t>VT</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S 7</w:t>
      </w:r>
      <w:r w:rsidR="00F65708"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Brill</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Leiden, 1960</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31</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8</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while </w:t>
      </w:r>
      <w:proofErr w:type="spellStart"/>
      <w:r w:rsidRPr="009C5A84">
        <w:rPr>
          <w:rFonts w:ascii="Times New Roman" w:hAnsi="Times New Roman" w:cs="Times New Roman"/>
          <w:color w:val="000000" w:themeColor="text1"/>
          <w:sz w:val="20"/>
          <w:szCs w:val="20"/>
          <w:lang w:val="en-US"/>
        </w:rPr>
        <w:t>Hamori</w:t>
      </w:r>
      <w:proofErr w:type="spellEnd"/>
      <w:r w:rsidRPr="009C5A84">
        <w:rPr>
          <w:rFonts w:ascii="Times New Roman" w:hAnsi="Times New Roman" w:cs="Times New Roman"/>
          <w:color w:val="000000" w:themeColor="text1"/>
          <w:sz w:val="20"/>
          <w:szCs w:val="20"/>
          <w:lang w:val="en-US"/>
        </w:rPr>
        <w:t xml:space="preserve"> understand</w:t>
      </w:r>
      <w:r w:rsidR="007A2993" w:rsidRPr="009C5A84">
        <w:rPr>
          <w:rFonts w:ascii="Times New Roman" w:hAnsi="Times New Roman" w:cs="Times New Roman"/>
          <w:color w:val="000000" w:themeColor="text1"/>
          <w:sz w:val="20"/>
          <w:szCs w:val="20"/>
          <w:lang w:val="en-US"/>
        </w:rPr>
        <w:t>s</w:t>
      </w:r>
      <w:r w:rsidRPr="009C5A84">
        <w:rPr>
          <w:rFonts w:ascii="Times New Roman" w:hAnsi="Times New Roman" w:cs="Times New Roman"/>
          <w:color w:val="000000" w:themeColor="text1"/>
          <w:sz w:val="20"/>
          <w:szCs w:val="20"/>
          <w:lang w:val="en-US"/>
        </w:rPr>
        <w:t xml:space="preserve"> anthropomorphism as a broad spectrum</w:t>
      </w:r>
      <w:r w:rsidR="007A2993"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E</w:t>
      </w:r>
      <w:r w:rsidR="00F65708" w:rsidRPr="009C5A84">
        <w:rPr>
          <w:rFonts w:ascii="Times New Roman" w:hAnsi="Times New Roman" w:cs="Times New Roman"/>
          <w:color w:val="000000" w:themeColor="text1"/>
          <w:sz w:val="20"/>
          <w:szCs w:val="20"/>
          <w:lang w:val="en-US"/>
        </w:rPr>
        <w:t>sther</w:t>
      </w:r>
      <w:r w:rsidRPr="009C5A84">
        <w:rPr>
          <w:rFonts w:ascii="Times New Roman" w:hAnsi="Times New Roman" w:cs="Times New Roman"/>
          <w:color w:val="000000" w:themeColor="text1"/>
          <w:sz w:val="20"/>
          <w:szCs w:val="20"/>
          <w:lang w:val="en-US"/>
        </w:rPr>
        <w:t xml:space="preserve"> </w:t>
      </w:r>
      <w:proofErr w:type="spellStart"/>
      <w:r w:rsidR="00F65708" w:rsidRPr="009C5A84">
        <w:rPr>
          <w:rFonts w:ascii="Times New Roman" w:hAnsi="Times New Roman" w:cs="Times New Roman"/>
          <w:color w:val="000000" w:themeColor="text1"/>
          <w:sz w:val="20"/>
          <w:szCs w:val="20"/>
          <w:lang w:val="en-US"/>
        </w:rPr>
        <w:t>Hamori</w:t>
      </w:r>
      <w:r w:rsidRPr="009C5A84">
        <w:rPr>
          <w:rFonts w:ascii="Times New Roman" w:hAnsi="Times New Roman" w:cs="Times New Roman"/>
          <w:color w:val="000000" w:themeColor="text1"/>
          <w:sz w:val="20"/>
          <w:szCs w:val="20"/>
          <w:lang w:val="en-US"/>
        </w:rPr>
        <w:t>,</w:t>
      </w:r>
      <w:r w:rsidRPr="009C5A84">
        <w:rPr>
          <w:rFonts w:ascii="Times New Roman" w:hAnsi="Times New Roman" w:cs="Times New Roman"/>
          <w:i/>
          <w:iCs/>
          <w:color w:val="000000" w:themeColor="text1"/>
          <w:sz w:val="20"/>
          <w:szCs w:val="20"/>
          <w:lang w:val="en-US"/>
        </w:rPr>
        <w:t>“When</w:t>
      </w:r>
      <w:proofErr w:type="spellEnd"/>
      <w:r w:rsidRPr="009C5A84">
        <w:rPr>
          <w:rFonts w:ascii="Times New Roman" w:hAnsi="Times New Roman" w:cs="Times New Roman"/>
          <w:i/>
          <w:iCs/>
          <w:color w:val="000000" w:themeColor="text1"/>
          <w:sz w:val="20"/>
          <w:szCs w:val="20"/>
          <w:lang w:val="en-US"/>
        </w:rPr>
        <w:t xml:space="preserve"> Gods Were Men”: The Embodied God in Biblical and Near Eastern Literature </w:t>
      </w:r>
      <w:r w:rsidRPr="009C5A84">
        <w:rPr>
          <w:rFonts w:ascii="Times New Roman" w:hAnsi="Times New Roman" w:cs="Times New Roman"/>
          <w:color w:val="000000" w:themeColor="text1"/>
          <w:sz w:val="20"/>
          <w:szCs w:val="20"/>
          <w:lang w:val="en-US"/>
        </w:rPr>
        <w:t>(BZAW 384</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De Gruyter</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Berlin, 2008</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38.</w:t>
      </w:r>
    </w:p>
  </w:footnote>
  <w:footnote w:id="92">
    <w:p w14:paraId="3F2DE256" w14:textId="4A70C15C" w:rsidR="000243BD" w:rsidRPr="009C5A84" w:rsidRDefault="000243BD" w:rsidP="007A29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color w:val="000000" w:themeColor="text1"/>
          <w:sz w:val="20"/>
          <w:szCs w:val="20"/>
          <w:lang w:val="en-US"/>
        </w:rPr>
        <w:t>Fritsch</w:t>
      </w:r>
      <w:r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i/>
          <w:iCs/>
          <w:color w:val="000000" w:themeColor="text1"/>
          <w:sz w:val="20"/>
          <w:szCs w:val="20"/>
          <w:lang w:val="en-US"/>
        </w:rPr>
        <w:t>A</w:t>
      </w:r>
      <w:r w:rsidRPr="009C5A84">
        <w:rPr>
          <w:rFonts w:ascii="Times New Roman" w:hAnsi="Times New Roman" w:cs="Times New Roman"/>
          <w:i/>
          <w:iCs/>
          <w:color w:val="000000" w:themeColor="text1"/>
          <w:sz w:val="20"/>
          <w:szCs w:val="20"/>
          <w:lang w:val="en-US"/>
        </w:rPr>
        <w:t>nti-anthropomorphisms</w:t>
      </w:r>
      <w:r w:rsidR="00F65708" w:rsidRPr="009C5A84">
        <w:rPr>
          <w:rFonts w:ascii="Times New Roman" w:hAnsi="Times New Roman" w:cs="Times New Roman"/>
          <w:i/>
          <w:iCs/>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12</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3, about “in the eyes of God” (</w:t>
      </w:r>
      <w:r w:rsidRPr="009C5A84">
        <w:rPr>
          <w:rFonts w:ascii="Times New Roman" w:hAnsi="Times New Roman" w:cs="Times New Roman"/>
          <w:color w:val="000000" w:themeColor="text1"/>
          <w:sz w:val="20"/>
          <w:szCs w:val="20"/>
          <w:rtl/>
          <w:lang w:val="en-US"/>
        </w:rPr>
        <w:t>בעיני יהוה</w:t>
      </w:r>
      <w:r w:rsidR="007A2993" w:rsidRPr="009C5A84">
        <w:rPr>
          <w:rFonts w:ascii="Times New Roman" w:hAnsi="Times New Roman" w:cs="Times New Roman"/>
          <w:color w:val="000000" w:themeColor="text1"/>
          <w:sz w:val="20"/>
          <w:szCs w:val="20"/>
          <w:lang w:val="en-US"/>
        </w:rPr>
        <w:t xml:space="preserve"> </w:t>
      </w:r>
      <w:proofErr w:type="gramStart"/>
      <w:r w:rsidR="007A2993"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 xml:space="preserve"> never</w:t>
      </w:r>
      <w:proofErr w:type="gramEnd"/>
      <w:r w:rsidRPr="009C5A84">
        <w:rPr>
          <w:rFonts w:ascii="Times New Roman" w:hAnsi="Times New Roman" w:cs="Times New Roman"/>
          <w:color w:val="000000" w:themeColor="text1"/>
          <w:sz w:val="20"/>
          <w:szCs w:val="20"/>
          <w:lang w:val="en-US"/>
        </w:rPr>
        <w:t xml:space="preserve"> rendered</w:t>
      </w:r>
      <w:r w:rsidR="007A2993"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literally</w:t>
      </w:r>
      <w:r w:rsidR="007A2993" w:rsidRPr="009C5A84">
        <w:rPr>
          <w:rFonts w:ascii="Times New Roman" w:hAnsi="Times New Roman" w:cs="Times New Roman"/>
          <w:color w:val="000000" w:themeColor="text1"/>
          <w:sz w:val="20"/>
          <w:szCs w:val="20"/>
          <w:lang w:val="en-US"/>
        </w:rPr>
        <w:t>” (</w:t>
      </w:r>
      <w:proofErr w:type="spellStart"/>
      <w:r w:rsidRPr="009C5A84">
        <w:rPr>
          <w:rFonts w:ascii="Times New Roman" w:hAnsi="Times New Roman" w:cs="Times New Roman"/>
          <w:color w:val="000000" w:themeColor="text1"/>
          <w:sz w:val="20"/>
          <w:szCs w:val="20"/>
          <w:lang w:val="en-US"/>
        </w:rPr>
        <w:t>ἐν</w:t>
      </w:r>
      <w:proofErr w:type="spellEnd"/>
      <w:r w:rsidRPr="009C5A84">
        <w:rPr>
          <w:rFonts w:ascii="Times New Roman" w:hAnsi="Times New Roman" w:cs="Times New Roman"/>
          <w:color w:val="000000" w:themeColor="text1"/>
          <w:sz w:val="20"/>
          <w:szCs w:val="20"/>
          <w:lang w:val="en-US"/>
        </w:rPr>
        <w:t xml:space="preserve"> </w:t>
      </w:r>
      <w:proofErr w:type="spellStart"/>
      <w:r w:rsidRPr="009C5A84">
        <w:rPr>
          <w:rFonts w:ascii="Times New Roman" w:hAnsi="Times New Roman" w:cs="Times New Roman"/>
          <w:color w:val="000000" w:themeColor="text1"/>
          <w:sz w:val="20"/>
          <w:szCs w:val="20"/>
          <w:lang w:val="en-US"/>
        </w:rPr>
        <w:t>ὀφθ</w:t>
      </w:r>
      <w:proofErr w:type="spellEnd"/>
      <w:r w:rsidRPr="009C5A84">
        <w:rPr>
          <w:rFonts w:ascii="Times New Roman" w:hAnsi="Times New Roman" w:cs="Times New Roman"/>
          <w:color w:val="000000" w:themeColor="text1"/>
          <w:sz w:val="20"/>
          <w:szCs w:val="20"/>
          <w:lang w:val="en-US"/>
        </w:rPr>
        <w:t>α</w:t>
      </w:r>
      <w:proofErr w:type="spellStart"/>
      <w:r w:rsidRPr="009C5A84">
        <w:rPr>
          <w:rFonts w:ascii="Times New Roman" w:hAnsi="Times New Roman" w:cs="Times New Roman"/>
          <w:color w:val="000000" w:themeColor="text1"/>
          <w:sz w:val="20"/>
          <w:szCs w:val="20"/>
          <w:lang w:val="en-US"/>
        </w:rPr>
        <w:t>λμοῖς</w:t>
      </w:r>
      <w:proofErr w:type="spellEnd"/>
      <w:r w:rsidRPr="009C5A84">
        <w:rPr>
          <w:rFonts w:ascii="Times New Roman" w:hAnsi="Times New Roman" w:cs="Times New Roman"/>
          <w:color w:val="000000" w:themeColor="text1"/>
          <w:sz w:val="20"/>
          <w:szCs w:val="20"/>
          <w:lang w:val="en-US"/>
        </w:rPr>
        <w:t xml:space="preserve"> </w:t>
      </w:r>
      <w:proofErr w:type="spellStart"/>
      <w:r w:rsidRPr="009C5A84">
        <w:rPr>
          <w:rFonts w:ascii="Times New Roman" w:hAnsi="Times New Roman" w:cs="Times New Roman"/>
          <w:color w:val="000000" w:themeColor="text1"/>
          <w:sz w:val="20"/>
          <w:szCs w:val="20"/>
          <w:lang w:val="en-US"/>
        </w:rPr>
        <w:t>κυρίου</w:t>
      </w:r>
      <w:proofErr w:type="spellEnd"/>
      <w:r w:rsidR="007A2993"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w:t>
      </w:r>
      <w:r w:rsidR="007A2993" w:rsidRPr="009C5A84">
        <w:rPr>
          <w:rFonts w:ascii="Times New Roman" w:hAnsi="Times New Roman" w:cs="Times New Roman"/>
          <w:color w:val="000000" w:themeColor="text1"/>
          <w:sz w:val="20"/>
          <w:szCs w:val="20"/>
          <w:lang w:val="en-US"/>
        </w:rPr>
        <w:t xml:space="preserve">in </w:t>
      </w:r>
      <w:r w:rsidR="007A2993" w:rsidRPr="009C5A84">
        <w:rPr>
          <w:rFonts w:ascii="Times New Roman" w:hAnsi="Times New Roman" w:cs="Times New Roman"/>
          <w:smallCaps/>
          <w:color w:val="000000" w:themeColor="text1"/>
          <w:sz w:val="20"/>
          <w:szCs w:val="20"/>
          <w:lang w:val="en-US"/>
        </w:rPr>
        <w:t>lxx</w:t>
      </w:r>
      <w:r w:rsidR="007A2993"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Pentateuch.</w:t>
      </w:r>
    </w:p>
  </w:footnote>
  <w:footnote w:id="93">
    <w:p w14:paraId="59E9E829" w14:textId="22BBADC2" w:rsidR="000243BD" w:rsidRPr="009C5A84" w:rsidRDefault="000243B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E.g., Olofsson, </w:t>
      </w:r>
      <w:r w:rsidRPr="009C5A84">
        <w:rPr>
          <w:rFonts w:cs="Times New Roman"/>
          <w:i/>
          <w:iCs/>
          <w:color w:val="000000" w:themeColor="text1"/>
          <w:lang w:val="en-US"/>
        </w:rPr>
        <w:t xml:space="preserve">God Is My Rock, </w:t>
      </w:r>
      <w:r w:rsidRPr="009C5A84">
        <w:rPr>
          <w:rFonts w:cs="Times New Roman"/>
          <w:color w:val="000000" w:themeColor="text1"/>
          <w:lang w:val="en-US"/>
        </w:rPr>
        <w:t>7</w:t>
      </w:r>
    </w:p>
  </w:footnote>
  <w:footnote w:id="94">
    <w:p w14:paraId="3A206878" w14:textId="4921E08F" w:rsidR="004B04CD" w:rsidRPr="009C5A84" w:rsidRDefault="004B04C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00F65708" w:rsidRPr="009C5A84">
        <w:rPr>
          <w:rFonts w:cs="Times New Roman"/>
          <w:color w:val="000000" w:themeColor="text1"/>
          <w:lang w:val="en-US"/>
        </w:rPr>
        <w:t>Jokiranta</w:t>
      </w:r>
      <w:proofErr w:type="spellEnd"/>
      <w:r w:rsidR="00F65708" w:rsidRPr="009C5A84">
        <w:rPr>
          <w:rFonts w:cs="Times New Roman"/>
          <w:color w:val="000000" w:themeColor="text1"/>
          <w:lang w:val="en-US"/>
        </w:rPr>
        <w:t xml:space="preserve"> et al, “Cognitive Science Meets Septuagint Studies.”</w:t>
      </w:r>
    </w:p>
  </w:footnote>
  <w:footnote w:id="95">
    <w:p w14:paraId="1BC4153C" w14:textId="743D46C9" w:rsidR="004B04CD" w:rsidRPr="009C5A84" w:rsidRDefault="004B04CD"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 W. Fields, “The Translation of Biblical Live and Dead Metaphors and Similes and other Idioms”, </w:t>
      </w:r>
      <w:r w:rsidR="00F65708" w:rsidRPr="009C5A84">
        <w:rPr>
          <w:rFonts w:cs="Times New Roman"/>
          <w:i/>
          <w:iCs/>
          <w:color w:val="000000" w:themeColor="text1"/>
          <w:lang w:val="nl-NL"/>
        </w:rPr>
        <w:t xml:space="preserve">Grace </w:t>
      </w:r>
      <w:proofErr w:type="spellStart"/>
      <w:r w:rsidR="00F65708" w:rsidRPr="009C5A84">
        <w:rPr>
          <w:rFonts w:cs="Times New Roman"/>
          <w:i/>
          <w:iCs/>
          <w:color w:val="000000" w:themeColor="text1"/>
          <w:lang w:val="nl-NL"/>
        </w:rPr>
        <w:t>Theological</w:t>
      </w:r>
      <w:proofErr w:type="spellEnd"/>
      <w:r w:rsidR="00F65708" w:rsidRPr="009C5A84">
        <w:rPr>
          <w:rFonts w:cs="Times New Roman"/>
          <w:i/>
          <w:iCs/>
          <w:color w:val="000000" w:themeColor="text1"/>
          <w:lang w:val="nl-NL"/>
        </w:rPr>
        <w:t xml:space="preserve"> Journal </w:t>
      </w:r>
      <w:r w:rsidRPr="009C5A84">
        <w:rPr>
          <w:rFonts w:cs="Times New Roman"/>
          <w:color w:val="000000" w:themeColor="text1"/>
          <w:lang w:val="en-US"/>
        </w:rPr>
        <w:t>2/2</w:t>
      </w:r>
      <w:r w:rsidR="00F65708" w:rsidRPr="009C5A84">
        <w:rPr>
          <w:rFonts w:cs="Times New Roman"/>
          <w:color w:val="000000" w:themeColor="text1"/>
          <w:lang w:val="en-US"/>
        </w:rPr>
        <w:t xml:space="preserve"> (</w:t>
      </w:r>
      <w:r w:rsidRPr="009C5A84">
        <w:rPr>
          <w:rFonts w:cs="Times New Roman"/>
          <w:color w:val="000000" w:themeColor="text1"/>
          <w:lang w:val="en-US"/>
        </w:rPr>
        <w:t>1981</w:t>
      </w:r>
      <w:r w:rsidR="002A1E3B" w:rsidRPr="009C5A84">
        <w:rPr>
          <w:rFonts w:cs="Times New Roman"/>
          <w:color w:val="000000" w:themeColor="text1"/>
          <w:lang w:val="en-US"/>
        </w:rPr>
        <w:t>), 191</w:t>
      </w:r>
      <w:r w:rsidR="00F65708" w:rsidRPr="009C5A84">
        <w:rPr>
          <w:rFonts w:cs="Times New Roman"/>
          <w:color w:val="000000" w:themeColor="text1"/>
          <w:lang w:val="en-US"/>
        </w:rPr>
        <w:t>–</w:t>
      </w:r>
      <w:r w:rsidRPr="009C5A84">
        <w:rPr>
          <w:rFonts w:cs="Times New Roman"/>
          <w:color w:val="000000" w:themeColor="text1"/>
          <w:lang w:val="en-US"/>
        </w:rPr>
        <w:t>204 (194).</w:t>
      </w:r>
    </w:p>
  </w:footnote>
  <w:footnote w:id="96">
    <w:p w14:paraId="1C23826C" w14:textId="1F2EE6FD" w:rsidR="00026CD6" w:rsidRPr="009C5A84" w:rsidRDefault="00026CD6"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F65708" w:rsidRPr="009C5A84">
        <w:rPr>
          <w:rFonts w:ascii="Times New Roman" w:hAnsi="Times New Roman" w:cs="Times New Roman"/>
          <w:color w:val="000000" w:themeColor="text1"/>
          <w:sz w:val="20"/>
          <w:szCs w:val="20"/>
          <w:lang w:val="en-US"/>
        </w:rPr>
        <w:t xml:space="preserve">James K. </w:t>
      </w:r>
      <w:r w:rsidRPr="009C5A84">
        <w:rPr>
          <w:rFonts w:ascii="Times New Roman" w:hAnsi="Times New Roman" w:cs="Times New Roman"/>
          <w:color w:val="000000" w:themeColor="text1"/>
          <w:sz w:val="20"/>
          <w:szCs w:val="20"/>
          <w:lang w:val="en-US"/>
        </w:rPr>
        <w:t>Aitken “The Origins and Social Context of the Septuagint,</w:t>
      </w:r>
      <w:r w:rsidR="007E3FCA"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in </w:t>
      </w:r>
      <w:r w:rsidRPr="009C5A84">
        <w:rPr>
          <w:rFonts w:ascii="Times New Roman" w:hAnsi="Times New Roman" w:cs="Times New Roman"/>
          <w:i/>
          <w:iCs/>
          <w:color w:val="000000" w:themeColor="text1"/>
          <w:sz w:val="20"/>
          <w:szCs w:val="20"/>
          <w:lang w:val="en-US"/>
        </w:rPr>
        <w:t>T&amp;T Clark Handbook of Septuagint Research</w:t>
      </w:r>
      <w:r w:rsidR="00F65708" w:rsidRPr="009C5A84">
        <w:rPr>
          <w:rFonts w:ascii="Times New Roman" w:hAnsi="Times New Roman" w:cs="Times New Roman"/>
          <w:i/>
          <w:iCs/>
          <w:color w:val="000000" w:themeColor="text1"/>
          <w:sz w:val="20"/>
          <w:szCs w:val="20"/>
          <w:lang w:val="en-US"/>
        </w:rPr>
        <w:t xml:space="preserve"> </w:t>
      </w:r>
      <w:r w:rsidR="00F65708" w:rsidRPr="009C5A84">
        <w:rPr>
          <w:rFonts w:ascii="Times New Roman" w:hAnsi="Times New Roman" w:cs="Times New Roman"/>
          <w:color w:val="000000" w:themeColor="text1"/>
          <w:sz w:val="20"/>
          <w:szCs w:val="20"/>
          <w:lang w:val="en-US"/>
        </w:rPr>
        <w:t xml:space="preserve">(ed. William A. Ross &amp; W. E. Glenny; </w:t>
      </w:r>
      <w:r w:rsidRPr="009C5A84">
        <w:rPr>
          <w:rFonts w:ascii="Times New Roman" w:hAnsi="Times New Roman" w:cs="Times New Roman"/>
          <w:color w:val="000000" w:themeColor="text1"/>
          <w:sz w:val="20"/>
          <w:szCs w:val="20"/>
          <w:lang w:val="en-US"/>
        </w:rPr>
        <w:t>New York</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T&amp;T Clark, 2021</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9</w:t>
      </w:r>
      <w:r w:rsidR="00F6570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20.</w:t>
      </w:r>
    </w:p>
  </w:footnote>
  <w:footnote w:id="97">
    <w:p w14:paraId="776B2FF0" w14:textId="040273D5" w:rsidR="00F65708" w:rsidRPr="009C5A84" w:rsidRDefault="00F65708"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Pr="009C5A84">
        <w:rPr>
          <w:rFonts w:cs="Times New Roman"/>
          <w:color w:val="000000" w:themeColor="text1"/>
          <w:lang w:val="fr-FR"/>
        </w:rPr>
        <w:t xml:space="preserve">Ausloos, “Human </w:t>
      </w:r>
      <w:proofErr w:type="spellStart"/>
      <w:r w:rsidRPr="009C5A84">
        <w:rPr>
          <w:rFonts w:cs="Times New Roman"/>
          <w:color w:val="000000" w:themeColor="text1"/>
          <w:lang w:val="fr-FR"/>
        </w:rPr>
        <w:t>Activities</w:t>
      </w:r>
      <w:proofErr w:type="spellEnd"/>
      <w:r w:rsidRPr="009C5A84">
        <w:rPr>
          <w:rFonts w:cs="Times New Roman"/>
          <w:color w:val="000000" w:themeColor="text1"/>
          <w:lang w:val="fr-FR"/>
        </w:rPr>
        <w:t xml:space="preserve">,” </w:t>
      </w:r>
      <w:r w:rsidR="007E3FCA" w:rsidRPr="009C5A84">
        <w:rPr>
          <w:rFonts w:cs="Times New Roman"/>
          <w:color w:val="000000" w:themeColor="text1"/>
          <w:lang w:val="fr-FR"/>
        </w:rPr>
        <w:t>181.</w:t>
      </w:r>
    </w:p>
  </w:footnote>
  <w:footnote w:id="98">
    <w:p w14:paraId="12E3597E" w14:textId="234BFBC1" w:rsidR="00FB490F" w:rsidRPr="009C5A84" w:rsidRDefault="00FB490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Kató, “</w:t>
      </w:r>
      <w:proofErr w:type="spellStart"/>
      <w:r w:rsidRPr="009C5A84">
        <w:rPr>
          <w:rFonts w:cs="Times New Roman"/>
          <w:color w:val="000000" w:themeColor="text1"/>
          <w:lang w:val="en-US"/>
        </w:rPr>
        <w:t>Spuren</w:t>
      </w:r>
      <w:proofErr w:type="spellEnd"/>
      <w:r w:rsidRPr="009C5A84">
        <w:rPr>
          <w:rFonts w:cs="Times New Roman"/>
          <w:color w:val="000000" w:themeColor="text1"/>
          <w:lang w:val="en-US"/>
        </w:rPr>
        <w:t xml:space="preserve"> des Denkens</w:t>
      </w:r>
      <w:r w:rsidR="007E3FCA" w:rsidRPr="009C5A84">
        <w:rPr>
          <w:rFonts w:cs="Times New Roman"/>
          <w:color w:val="000000" w:themeColor="text1"/>
          <w:lang w:val="en-US"/>
        </w:rPr>
        <w:t>,”</w:t>
      </w:r>
      <w:r w:rsidRPr="009C5A84">
        <w:rPr>
          <w:rFonts w:cs="Times New Roman"/>
          <w:color w:val="000000" w:themeColor="text1"/>
          <w:lang w:val="en-US"/>
        </w:rPr>
        <w:t xml:space="preserve"> 3. </w:t>
      </w:r>
    </w:p>
  </w:footnote>
  <w:footnote w:id="99">
    <w:p w14:paraId="78A33B84" w14:textId="64323C13" w:rsidR="00FB490F" w:rsidRPr="009C5A84" w:rsidRDefault="00FB490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Dafni, </w:t>
      </w:r>
      <w:r w:rsidR="007E3FCA" w:rsidRPr="009C5A84">
        <w:rPr>
          <w:rFonts w:cs="Times New Roman"/>
          <w:color w:val="000000" w:themeColor="text1"/>
          <w:lang w:val="en-US"/>
        </w:rPr>
        <w:t>“</w:t>
      </w:r>
      <w:r w:rsidRPr="009C5A84">
        <w:rPr>
          <w:rFonts w:cs="Times New Roman"/>
          <w:color w:val="000000" w:themeColor="text1"/>
          <w:lang w:val="en-US"/>
        </w:rPr>
        <w:t xml:space="preserve">Zur </w:t>
      </w:r>
      <w:proofErr w:type="spellStart"/>
      <w:r w:rsidRPr="009C5A84">
        <w:rPr>
          <w:rFonts w:cs="Times New Roman"/>
          <w:color w:val="000000" w:themeColor="text1"/>
          <w:lang w:val="en-US"/>
        </w:rPr>
        <w:t>The</w:t>
      </w:r>
      <w:r w:rsidR="007E3FCA" w:rsidRPr="009C5A84">
        <w:rPr>
          <w:rFonts w:cs="Times New Roman"/>
          <w:color w:val="000000" w:themeColor="text1"/>
          <w:lang w:val="en-US"/>
        </w:rPr>
        <w:t>o</w:t>
      </w:r>
      <w:r w:rsidRPr="009C5A84">
        <w:rPr>
          <w:rFonts w:cs="Times New Roman"/>
          <w:color w:val="000000" w:themeColor="text1"/>
          <w:lang w:val="en-US"/>
        </w:rPr>
        <w:t>logie</w:t>
      </w:r>
      <w:proofErr w:type="spellEnd"/>
      <w:r w:rsidRPr="009C5A84">
        <w:rPr>
          <w:rFonts w:cs="Times New Roman"/>
          <w:color w:val="000000" w:themeColor="text1"/>
          <w:lang w:val="en-US"/>
        </w:rPr>
        <w:t xml:space="preserve"> der </w:t>
      </w:r>
      <w:proofErr w:type="spellStart"/>
      <w:r w:rsidR="007E3FCA" w:rsidRPr="009C5A84">
        <w:rPr>
          <w:rFonts w:cs="Times New Roman"/>
          <w:color w:val="000000" w:themeColor="text1"/>
          <w:lang w:val="en-US"/>
        </w:rPr>
        <w:t>Sprache</w:t>
      </w:r>
      <w:proofErr w:type="spellEnd"/>
      <w:r w:rsidR="007E3FCA" w:rsidRPr="009C5A84">
        <w:rPr>
          <w:rFonts w:cs="Times New Roman"/>
          <w:color w:val="000000" w:themeColor="text1"/>
          <w:lang w:val="en-US"/>
        </w:rPr>
        <w:t xml:space="preserve"> </w:t>
      </w:r>
      <w:r w:rsidRPr="009C5A84">
        <w:rPr>
          <w:rFonts w:cs="Times New Roman"/>
          <w:color w:val="000000" w:themeColor="text1"/>
          <w:lang w:val="en-US"/>
        </w:rPr>
        <w:t xml:space="preserve">der </w:t>
      </w:r>
      <w:proofErr w:type="spellStart"/>
      <w:r w:rsidRPr="009C5A84">
        <w:rPr>
          <w:rFonts w:cs="Times New Roman"/>
          <w:color w:val="000000" w:themeColor="text1"/>
          <w:lang w:val="en-US"/>
        </w:rPr>
        <w:t>Septuaginta</w:t>
      </w:r>
      <w:proofErr w:type="spellEnd"/>
      <w:r w:rsidR="007E3FCA" w:rsidRPr="009C5A84">
        <w:rPr>
          <w:rFonts w:cs="Times New Roman"/>
          <w:color w:val="000000" w:themeColor="text1"/>
          <w:lang w:val="en-US"/>
        </w:rPr>
        <w:t>.”</w:t>
      </w:r>
    </w:p>
  </w:footnote>
  <w:footnote w:id="100">
    <w:p w14:paraId="5E4EC210" w14:textId="0B58940D" w:rsidR="00FB490F" w:rsidRPr="009C5A84" w:rsidRDefault="00FB490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Wagner, </w:t>
      </w:r>
      <w:r w:rsidRPr="009C5A84">
        <w:rPr>
          <w:rFonts w:cs="Times New Roman"/>
          <w:i/>
          <w:iCs/>
          <w:color w:val="000000" w:themeColor="text1"/>
          <w:spacing w:val="-4"/>
          <w:lang w:val="en-US"/>
        </w:rPr>
        <w:t>God’s Body</w:t>
      </w:r>
      <w:r w:rsidR="007E3FCA" w:rsidRPr="009C5A84">
        <w:rPr>
          <w:rFonts w:cs="Times New Roman"/>
          <w:i/>
          <w:iCs/>
          <w:color w:val="000000" w:themeColor="text1"/>
          <w:spacing w:val="-4"/>
          <w:lang w:val="en-US"/>
        </w:rPr>
        <w:t xml:space="preserve">, </w:t>
      </w:r>
      <w:r w:rsidRPr="009C5A84">
        <w:rPr>
          <w:rFonts w:cs="Times New Roman"/>
          <w:color w:val="000000" w:themeColor="text1"/>
          <w:spacing w:val="-4"/>
          <w:lang w:val="en-US"/>
        </w:rPr>
        <w:t>19, 119.</w:t>
      </w:r>
    </w:p>
  </w:footnote>
  <w:footnote w:id="101">
    <w:p w14:paraId="79258A74" w14:textId="0C6DC779" w:rsidR="00FB490F" w:rsidRPr="009C5A84" w:rsidRDefault="00FB490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Aitken, </w:t>
      </w:r>
      <w:r w:rsidR="007E3FCA" w:rsidRPr="009C5A84">
        <w:rPr>
          <w:rFonts w:cs="Times New Roman"/>
          <w:color w:val="000000" w:themeColor="text1"/>
          <w:lang w:val="en-US"/>
        </w:rPr>
        <w:t>“</w:t>
      </w:r>
      <w:r w:rsidRPr="009C5A84">
        <w:rPr>
          <w:rFonts w:cs="Times New Roman"/>
          <w:color w:val="000000" w:themeColor="text1"/>
          <w:lang w:val="en-US"/>
        </w:rPr>
        <w:t>Origins and Social Context of the Septuagint.</w:t>
      </w:r>
      <w:r w:rsidR="007E3FCA" w:rsidRPr="009C5A84">
        <w:rPr>
          <w:rFonts w:cs="Times New Roman"/>
          <w:color w:val="000000" w:themeColor="text1"/>
          <w:lang w:val="en-US"/>
        </w:rPr>
        <w:t>”</w:t>
      </w:r>
    </w:p>
  </w:footnote>
  <w:footnote w:id="102">
    <w:p w14:paraId="42E68651" w14:textId="2CEC5B25" w:rsidR="00FB490F" w:rsidRPr="009C5A84" w:rsidRDefault="00FB490F"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Van der Meer, </w:t>
      </w:r>
      <w:r w:rsidR="007E3FCA" w:rsidRPr="009C5A84">
        <w:rPr>
          <w:rFonts w:cs="Times New Roman"/>
          <w:color w:val="000000" w:themeColor="text1"/>
          <w:lang w:val="en-US"/>
        </w:rPr>
        <w:t>“</w:t>
      </w:r>
      <w:r w:rsidRPr="002A1E3B">
        <w:rPr>
          <w:rFonts w:cs="Times New Roman"/>
          <w:i/>
          <w:iCs/>
          <w:color w:val="000000" w:themeColor="text1"/>
          <w:lang w:val="en-US"/>
        </w:rPr>
        <w:t>Visio Dei</w:t>
      </w:r>
      <w:r w:rsidR="007E3FCA" w:rsidRPr="009C5A84">
        <w:rPr>
          <w:rFonts w:cs="Times New Roman"/>
          <w:color w:val="000000" w:themeColor="text1"/>
          <w:lang w:val="en-US"/>
        </w:rPr>
        <w:t xml:space="preserve"> in the Septuagint.”</w:t>
      </w:r>
    </w:p>
  </w:footnote>
  <w:footnote w:id="103">
    <w:p w14:paraId="1F2582E6" w14:textId="65A02C60" w:rsidR="00B95669" w:rsidRPr="009C5A84" w:rsidRDefault="00B9566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This has been recently challenged</w:t>
      </w:r>
      <w:r w:rsidR="007E3FCA" w:rsidRPr="009C5A84">
        <w:rPr>
          <w:rFonts w:cs="Times New Roman"/>
          <w:color w:val="000000" w:themeColor="text1"/>
          <w:lang w:val="en-US"/>
        </w:rPr>
        <w:t>:</w:t>
      </w:r>
      <w:r w:rsidRPr="009C5A84">
        <w:rPr>
          <w:rFonts w:cs="Times New Roman"/>
          <w:color w:val="000000" w:themeColor="text1"/>
          <w:lang w:val="en-US"/>
        </w:rPr>
        <w:t xml:space="preserve"> Beatrice Bonanno, </w:t>
      </w:r>
      <w:r w:rsidRPr="009C5A84">
        <w:rPr>
          <w:rFonts w:cs="Times New Roman"/>
          <w:i/>
          <w:iCs/>
          <w:color w:val="000000" w:themeColor="text1"/>
          <w:lang w:val="en-US"/>
        </w:rPr>
        <w:t>The Septuagint of Ruth: Translation Technique, Textual History, and Theological Issues</w:t>
      </w:r>
      <w:r w:rsidR="007E3FCA" w:rsidRPr="009C5A84">
        <w:rPr>
          <w:rFonts w:cs="Times New Roman"/>
          <w:color w:val="000000" w:themeColor="text1"/>
          <w:lang w:val="en-US"/>
        </w:rPr>
        <w:t xml:space="preserve"> (</w:t>
      </w:r>
      <w:r w:rsidR="007E3FCA" w:rsidRPr="009C5A84">
        <w:rPr>
          <w:rFonts w:cs="Times New Roman"/>
          <w:color w:val="000000" w:themeColor="text1"/>
          <w:lang w:val="nl-NL"/>
        </w:rPr>
        <w:t xml:space="preserve">The Septuagint in </w:t>
      </w:r>
      <w:proofErr w:type="spellStart"/>
      <w:r w:rsidR="007E3FCA" w:rsidRPr="009C5A84">
        <w:rPr>
          <w:rFonts w:cs="Times New Roman"/>
          <w:color w:val="000000" w:themeColor="text1"/>
          <w:lang w:val="nl-NL"/>
        </w:rPr>
        <w:t>its</w:t>
      </w:r>
      <w:proofErr w:type="spellEnd"/>
      <w:r w:rsidR="007E3FCA" w:rsidRPr="009C5A84">
        <w:rPr>
          <w:rFonts w:cs="Times New Roman"/>
          <w:color w:val="000000" w:themeColor="text1"/>
          <w:lang w:val="nl-NL"/>
        </w:rPr>
        <w:t xml:space="preserve"> Ancient Context 4; </w:t>
      </w:r>
      <w:r w:rsidR="007E3FCA" w:rsidRPr="009C5A84">
        <w:rPr>
          <w:rFonts w:cs="Times New Roman"/>
          <w:color w:val="000000" w:themeColor="text1"/>
          <w:lang w:val="en-US"/>
        </w:rPr>
        <w:t xml:space="preserve">Turnhout: </w:t>
      </w:r>
      <w:proofErr w:type="spellStart"/>
      <w:r w:rsidR="007E3FCA" w:rsidRPr="009C5A84">
        <w:rPr>
          <w:rFonts w:cs="Times New Roman"/>
          <w:color w:val="000000" w:themeColor="text1"/>
          <w:lang w:val="en-US"/>
        </w:rPr>
        <w:t>Brepols</w:t>
      </w:r>
      <w:proofErr w:type="spellEnd"/>
      <w:r w:rsidR="007E3FCA" w:rsidRPr="009C5A84">
        <w:rPr>
          <w:rFonts w:cs="Times New Roman"/>
          <w:color w:val="000000" w:themeColor="text1"/>
          <w:lang w:val="en-US"/>
        </w:rPr>
        <w:t>, 2024).</w:t>
      </w:r>
    </w:p>
  </w:footnote>
  <w:footnote w:id="104">
    <w:p w14:paraId="40E7BBD0" w14:textId="4FA398A7" w:rsidR="00B95669" w:rsidRPr="009C5A84" w:rsidRDefault="00B9566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7E3FCA" w:rsidRPr="009C5A84">
        <w:rPr>
          <w:rFonts w:cs="Times New Roman"/>
          <w:color w:val="000000" w:themeColor="text1"/>
          <w:shd w:val="clear" w:color="auto" w:fill="FFFFFF"/>
          <w:lang w:val="en-US"/>
        </w:rPr>
        <w:t xml:space="preserve">Orlinsky, </w:t>
      </w:r>
      <w:r w:rsidR="007E3FCA" w:rsidRPr="009C5A84">
        <w:rPr>
          <w:rFonts w:cs="Times New Roman"/>
          <w:color w:val="000000" w:themeColor="text1"/>
          <w:lang w:val="en-US"/>
        </w:rPr>
        <w:t>“Treatment of Anthropomorphisms</w:t>
      </w:r>
      <w:r w:rsidR="007E3FCA" w:rsidRPr="009C5A84">
        <w:rPr>
          <w:rFonts w:cs="Times New Roman"/>
          <w:color w:val="000000" w:themeColor="text1"/>
          <w:shd w:val="clear" w:color="auto" w:fill="FFFFFF"/>
          <w:lang w:val="en-US"/>
        </w:rPr>
        <w:t xml:space="preserve"> in Isaiah”.</w:t>
      </w:r>
    </w:p>
  </w:footnote>
  <w:footnote w:id="105">
    <w:p w14:paraId="4B5CF521" w14:textId="6A8A1DBC" w:rsidR="00B95669" w:rsidRPr="009C5A84" w:rsidRDefault="00B95669"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Hurwitz, “Septuagint of Isaiah 36–39</w:t>
      </w:r>
      <w:r w:rsidR="007E3FCA" w:rsidRPr="009C5A84">
        <w:rPr>
          <w:rFonts w:cs="Times New Roman"/>
          <w:color w:val="000000" w:themeColor="text1"/>
          <w:lang w:val="en-US"/>
        </w:rPr>
        <w:t>.”</w:t>
      </w:r>
    </w:p>
  </w:footnote>
  <w:footnote w:id="106">
    <w:p w14:paraId="4DDF3E56" w14:textId="77777777" w:rsidR="00A41134" w:rsidRPr="009C5A84" w:rsidRDefault="00A41134" w:rsidP="00A41134">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Mozley views </w:t>
      </w:r>
      <w:r w:rsidRPr="009C5A84">
        <w:rPr>
          <w:rFonts w:cs="Times New Roman"/>
          <w:smallCaps/>
          <w:color w:val="000000" w:themeColor="text1"/>
          <w:lang w:val="en-US"/>
        </w:rPr>
        <w:t>lxx</w:t>
      </w:r>
      <w:r w:rsidRPr="009C5A84">
        <w:rPr>
          <w:rFonts w:cs="Times New Roman"/>
          <w:color w:val="000000" w:themeColor="text1"/>
          <w:lang w:val="en-US"/>
        </w:rPr>
        <w:t>-Pentateuch as a “</w:t>
      </w:r>
      <w:proofErr w:type="gramStart"/>
      <w:r w:rsidRPr="009C5A84">
        <w:rPr>
          <w:rFonts w:cs="Times New Roman"/>
          <w:color w:val="000000" w:themeColor="text1"/>
          <w:lang w:val="en-US"/>
        </w:rPr>
        <w:t>text-book</w:t>
      </w:r>
      <w:proofErr w:type="gramEnd"/>
      <w:r w:rsidRPr="009C5A84">
        <w:rPr>
          <w:rFonts w:cs="Times New Roman"/>
          <w:color w:val="000000" w:themeColor="text1"/>
          <w:lang w:val="en-US"/>
        </w:rPr>
        <w:t xml:space="preserve"> in learning Hebrew” and as a “dictionary</w:t>
      </w:r>
      <w:proofErr w:type="gramStart"/>
      <w:r w:rsidRPr="009C5A84">
        <w:rPr>
          <w:rFonts w:cs="Times New Roman"/>
          <w:color w:val="000000" w:themeColor="text1"/>
          <w:lang w:val="en-US"/>
        </w:rPr>
        <w:t>” :</w:t>
      </w:r>
      <w:proofErr w:type="gramEnd"/>
      <w:r w:rsidRPr="009C5A84">
        <w:rPr>
          <w:rFonts w:cs="Times New Roman"/>
          <w:color w:val="000000" w:themeColor="text1"/>
          <w:lang w:val="en-US"/>
        </w:rPr>
        <w:t xml:space="preserve"> F. W. Mozley</w:t>
      </w:r>
      <w:r w:rsidRPr="009C5A84">
        <w:rPr>
          <w:rFonts w:cs="Times New Roman"/>
          <w:i/>
          <w:iCs/>
          <w:color w:val="000000" w:themeColor="text1"/>
          <w:lang w:val="en-US"/>
        </w:rPr>
        <w:t xml:space="preserve">, The Psalter of the Church: The Septuagint Psalms Compared with the Hebrew, with Various Notes </w:t>
      </w:r>
      <w:r w:rsidRPr="009C5A84">
        <w:rPr>
          <w:rFonts w:cs="Times New Roman"/>
          <w:color w:val="000000" w:themeColor="text1"/>
          <w:lang w:val="en-US"/>
        </w:rPr>
        <w:t xml:space="preserve">(Cambridge: Cambridge University Press, 1905), xviii. Recent findings: Myrto </w:t>
      </w:r>
      <w:proofErr w:type="spellStart"/>
      <w:r w:rsidRPr="009C5A84">
        <w:rPr>
          <w:rFonts w:cs="Times New Roman"/>
          <w:color w:val="000000" w:themeColor="text1"/>
          <w:lang w:val="en-US"/>
        </w:rPr>
        <w:t>Theocharous</w:t>
      </w:r>
      <w:proofErr w:type="spellEnd"/>
      <w:r w:rsidRPr="009C5A84">
        <w:rPr>
          <w:rFonts w:cs="Times New Roman"/>
          <w:color w:val="000000" w:themeColor="text1"/>
          <w:lang w:val="en-US"/>
        </w:rPr>
        <w:t xml:space="preserve">, </w:t>
      </w:r>
      <w:r w:rsidRPr="009C5A84">
        <w:rPr>
          <w:rFonts w:cs="Times New Roman"/>
          <w:i/>
          <w:iCs/>
          <w:color w:val="000000" w:themeColor="text1"/>
          <w:lang w:val="en-US"/>
        </w:rPr>
        <w:t>Lexical Dependence and Intertextual Allusion in the Septuagint of the Twelve Prophets. Studies in Hosea, Amos and Micah</w:t>
      </w:r>
      <w:r w:rsidRPr="009C5A84">
        <w:rPr>
          <w:rFonts w:cs="Times New Roman"/>
          <w:color w:val="000000" w:themeColor="text1"/>
          <w:lang w:val="en-US"/>
        </w:rPr>
        <w:t xml:space="preserve"> (New York: T&amp;T Clark, 2012).</w:t>
      </w:r>
    </w:p>
  </w:footnote>
  <w:footnote w:id="107">
    <w:p w14:paraId="29B2A414" w14:textId="063A1B90" w:rsidR="002E51B1" w:rsidRPr="009C5A84" w:rsidRDefault="002E51B1"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Fonts w:cs="Times New Roman"/>
          <w:color w:val="000000" w:themeColor="text1"/>
          <w:lang w:val="en-US"/>
        </w:rPr>
        <w:t>Flashar</w:t>
      </w:r>
      <w:proofErr w:type="spellEnd"/>
      <w:r w:rsidRPr="009C5A84">
        <w:rPr>
          <w:rFonts w:cs="Times New Roman"/>
          <w:color w:val="000000" w:themeColor="text1"/>
          <w:lang w:val="en-US"/>
        </w:rPr>
        <w:t xml:space="preserve">, </w:t>
      </w:r>
      <w:r w:rsidR="007E3FCA" w:rsidRPr="009C5A84">
        <w:rPr>
          <w:rFonts w:cs="Times New Roman"/>
          <w:color w:val="000000" w:themeColor="text1"/>
          <w:shd w:val="clear" w:color="auto" w:fill="FFFFFF"/>
          <w:lang w:val="en-US"/>
        </w:rPr>
        <w:t>“</w:t>
      </w:r>
      <w:proofErr w:type="spellStart"/>
      <w:r w:rsidR="007E3FCA" w:rsidRPr="009C5A84">
        <w:rPr>
          <w:rStyle w:val="Nadruk"/>
          <w:rFonts w:cs="Times New Roman"/>
          <w:i w:val="0"/>
          <w:iCs w:val="0"/>
          <w:color w:val="000000" w:themeColor="text1"/>
          <w:lang w:val="en-US"/>
        </w:rPr>
        <w:t>Exegetische</w:t>
      </w:r>
      <w:proofErr w:type="spellEnd"/>
      <w:r w:rsidR="007E3FCA" w:rsidRPr="009C5A84">
        <w:rPr>
          <w:rStyle w:val="Nadruk"/>
          <w:rFonts w:cs="Times New Roman"/>
          <w:i w:val="0"/>
          <w:iCs w:val="0"/>
          <w:color w:val="000000" w:themeColor="text1"/>
          <w:lang w:val="en-US"/>
        </w:rPr>
        <w:t xml:space="preserve"> </w:t>
      </w:r>
      <w:proofErr w:type="spellStart"/>
      <w:r w:rsidR="007E3FCA" w:rsidRPr="009C5A84">
        <w:rPr>
          <w:rStyle w:val="Nadruk"/>
          <w:rFonts w:cs="Times New Roman"/>
          <w:i w:val="0"/>
          <w:iCs w:val="0"/>
          <w:color w:val="000000" w:themeColor="text1"/>
          <w:lang w:val="en-US"/>
        </w:rPr>
        <w:t>Studien</w:t>
      </w:r>
      <w:proofErr w:type="spellEnd"/>
      <w:r w:rsidR="007E3FCA" w:rsidRPr="009C5A84">
        <w:rPr>
          <w:rStyle w:val="apple-converted-space"/>
          <w:rFonts w:cs="Times New Roman"/>
          <w:color w:val="000000" w:themeColor="text1"/>
          <w:shd w:val="clear" w:color="auto" w:fill="FFFFFF"/>
          <w:lang w:val="en-US"/>
        </w:rPr>
        <w:t> </w:t>
      </w:r>
      <w:proofErr w:type="spellStart"/>
      <w:r w:rsidR="007E3FCA" w:rsidRPr="009C5A84">
        <w:rPr>
          <w:rFonts w:cs="Times New Roman"/>
          <w:color w:val="000000" w:themeColor="text1"/>
          <w:shd w:val="clear" w:color="auto" w:fill="FFFFFF"/>
          <w:lang w:val="en-US"/>
        </w:rPr>
        <w:t>zum</w:t>
      </w:r>
      <w:proofErr w:type="spellEnd"/>
      <w:r w:rsidR="007E3FCA" w:rsidRPr="009C5A84">
        <w:rPr>
          <w:rFonts w:cs="Times New Roman"/>
          <w:color w:val="000000" w:themeColor="text1"/>
          <w:shd w:val="clear" w:color="auto" w:fill="FFFFFF"/>
          <w:lang w:val="en-US"/>
        </w:rPr>
        <w:t xml:space="preserve"> </w:t>
      </w:r>
      <w:proofErr w:type="spellStart"/>
      <w:r w:rsidR="007E3FCA" w:rsidRPr="009C5A84">
        <w:rPr>
          <w:rFonts w:cs="Times New Roman"/>
          <w:color w:val="000000" w:themeColor="text1"/>
          <w:shd w:val="clear" w:color="auto" w:fill="FFFFFF"/>
          <w:lang w:val="en-US"/>
        </w:rPr>
        <w:t>Septuagintapsalter</w:t>
      </w:r>
      <w:proofErr w:type="spellEnd"/>
      <w:r w:rsidR="007E3FCA" w:rsidRPr="009C5A84">
        <w:rPr>
          <w:rFonts w:cs="Times New Roman"/>
          <w:color w:val="000000" w:themeColor="text1"/>
          <w:shd w:val="clear" w:color="auto" w:fill="FFFFFF"/>
          <w:lang w:val="en-US"/>
        </w:rPr>
        <w:t xml:space="preserve">,” </w:t>
      </w:r>
      <w:r w:rsidRPr="009C5A84">
        <w:rPr>
          <w:rFonts w:cs="Times New Roman"/>
          <w:color w:val="000000" w:themeColor="text1"/>
          <w:lang w:val="en-US"/>
        </w:rPr>
        <w:t>85.</w:t>
      </w:r>
    </w:p>
  </w:footnote>
  <w:footnote w:id="108">
    <w:p w14:paraId="514D4D25" w14:textId="77777777" w:rsidR="007E3FCA" w:rsidRPr="009C5A84" w:rsidRDefault="00CB1EDE"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C. T. R. </w:t>
      </w:r>
      <w:r w:rsidR="007E3FCA" w:rsidRPr="009C5A84">
        <w:rPr>
          <w:rFonts w:ascii="Times New Roman" w:hAnsi="Times New Roman" w:cs="Times New Roman"/>
          <w:color w:val="000000" w:themeColor="text1"/>
          <w:sz w:val="20"/>
          <w:szCs w:val="20"/>
          <w:lang w:val="en-US"/>
        </w:rPr>
        <w:t>Hayward</w:t>
      </w:r>
      <w:r w:rsidRPr="009C5A84">
        <w:rPr>
          <w:rFonts w:ascii="Times New Roman" w:hAnsi="Times New Roman" w:cs="Times New Roman"/>
          <w:color w:val="000000" w:themeColor="text1"/>
          <w:sz w:val="20"/>
          <w:szCs w:val="20"/>
          <w:lang w:val="en-US"/>
        </w:rPr>
        <w:t>, “Understanding of the Temple Service in the Septuagint Pentateuch</w:t>
      </w:r>
      <w:r w:rsidR="007E3FCA"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in</w:t>
      </w:r>
      <w:r w:rsidR="007E3FCA" w:rsidRPr="009C5A84">
        <w:rPr>
          <w:rFonts w:ascii="Times New Roman" w:hAnsi="Times New Roman" w:cs="Times New Roman"/>
          <w:color w:val="000000" w:themeColor="text1"/>
          <w:sz w:val="20"/>
          <w:szCs w:val="20"/>
          <w:lang w:val="en-US"/>
        </w:rPr>
        <w:t xml:space="preserve"> </w:t>
      </w:r>
      <w:r w:rsidR="007E3FCA" w:rsidRPr="009C5A84">
        <w:rPr>
          <w:rFonts w:ascii="Times New Roman" w:hAnsi="Times New Roman" w:cs="Times New Roman"/>
          <w:i/>
          <w:iCs/>
          <w:color w:val="000000" w:themeColor="text1"/>
          <w:sz w:val="20"/>
          <w:szCs w:val="20"/>
          <w:lang w:val="en-US"/>
        </w:rPr>
        <w:t>Temple and</w:t>
      </w:r>
    </w:p>
    <w:p w14:paraId="79F0E9AA" w14:textId="4CF84E78" w:rsidR="00CB1EDE" w:rsidRPr="009C5A84" w:rsidRDefault="007E3FCA"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nl-NL"/>
        </w:rPr>
      </w:pPr>
      <w:r w:rsidRPr="009C5A84">
        <w:rPr>
          <w:rFonts w:ascii="Times New Roman" w:hAnsi="Times New Roman" w:cs="Times New Roman"/>
          <w:i/>
          <w:iCs/>
          <w:color w:val="000000" w:themeColor="text1"/>
          <w:sz w:val="20"/>
          <w:szCs w:val="20"/>
          <w:lang w:val="en-US"/>
        </w:rPr>
        <w:t xml:space="preserve">Worship in Biblical </w:t>
      </w:r>
      <w:proofErr w:type="gramStart"/>
      <w:r w:rsidRPr="009C5A84">
        <w:rPr>
          <w:rFonts w:ascii="Times New Roman" w:hAnsi="Times New Roman" w:cs="Times New Roman"/>
          <w:i/>
          <w:iCs/>
          <w:color w:val="000000" w:themeColor="text1"/>
          <w:sz w:val="20"/>
          <w:szCs w:val="20"/>
          <w:lang w:val="en-US"/>
        </w:rPr>
        <w:t>Israel</w:t>
      </w:r>
      <w:r w:rsidR="00CB1EDE"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 xml:space="preserve"> (</w:t>
      </w:r>
      <w:proofErr w:type="gramEnd"/>
      <w:r w:rsidRPr="009C5A84">
        <w:rPr>
          <w:rFonts w:ascii="Times New Roman" w:hAnsi="Times New Roman" w:cs="Times New Roman"/>
          <w:color w:val="000000" w:themeColor="text1"/>
          <w:sz w:val="20"/>
          <w:szCs w:val="20"/>
          <w:lang w:val="en-US"/>
        </w:rPr>
        <w:t xml:space="preserve">ed. </w:t>
      </w:r>
      <w:r w:rsidR="00CB1EDE" w:rsidRPr="009C5A84">
        <w:rPr>
          <w:rFonts w:ascii="Times New Roman" w:hAnsi="Times New Roman" w:cs="Times New Roman"/>
          <w:color w:val="000000" w:themeColor="text1"/>
          <w:sz w:val="20"/>
          <w:szCs w:val="20"/>
          <w:lang w:val="en-US"/>
        </w:rPr>
        <w:t>J. D</w:t>
      </w:r>
      <w:r w:rsidRPr="009C5A84">
        <w:rPr>
          <w:rFonts w:ascii="Times New Roman" w:hAnsi="Times New Roman" w:cs="Times New Roman"/>
          <w:color w:val="000000" w:themeColor="text1"/>
          <w:sz w:val="20"/>
          <w:szCs w:val="20"/>
          <w:lang w:val="en-US"/>
        </w:rPr>
        <w:t>ay;</w:t>
      </w:r>
      <w:r w:rsidR="00CB1EDE"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 xml:space="preserve"> </w:t>
      </w:r>
      <w:r w:rsidR="00CB1EDE" w:rsidRPr="009C5A84">
        <w:rPr>
          <w:rFonts w:ascii="Times New Roman" w:hAnsi="Times New Roman" w:cs="Times New Roman"/>
          <w:color w:val="000000" w:themeColor="text1"/>
          <w:sz w:val="20"/>
          <w:szCs w:val="20"/>
          <w:lang w:val="en-US"/>
        </w:rPr>
        <w:t>London</w:t>
      </w:r>
      <w:r w:rsidRPr="009C5A84">
        <w:rPr>
          <w:rFonts w:ascii="Times New Roman" w:hAnsi="Times New Roman" w:cs="Times New Roman"/>
          <w:color w:val="000000" w:themeColor="text1"/>
          <w:sz w:val="20"/>
          <w:szCs w:val="20"/>
          <w:lang w:val="en-US"/>
        </w:rPr>
        <w:t xml:space="preserve">: </w:t>
      </w:r>
      <w:r w:rsidR="00CB1EDE" w:rsidRPr="009C5A84">
        <w:rPr>
          <w:rFonts w:ascii="Times New Roman" w:hAnsi="Times New Roman" w:cs="Times New Roman"/>
          <w:color w:val="000000" w:themeColor="text1"/>
          <w:sz w:val="20"/>
          <w:szCs w:val="20"/>
          <w:lang w:val="en-US"/>
        </w:rPr>
        <w:t>T &amp; T Clark, 2005</w:t>
      </w:r>
      <w:r w:rsidRPr="009C5A84">
        <w:rPr>
          <w:rFonts w:ascii="Times New Roman" w:hAnsi="Times New Roman" w:cs="Times New Roman"/>
          <w:color w:val="000000" w:themeColor="text1"/>
          <w:sz w:val="20"/>
          <w:szCs w:val="20"/>
          <w:lang w:val="en-US"/>
        </w:rPr>
        <w:t>)</w:t>
      </w:r>
      <w:r w:rsidR="00CB1EDE" w:rsidRPr="009C5A84">
        <w:rPr>
          <w:rFonts w:ascii="Times New Roman" w:hAnsi="Times New Roman" w:cs="Times New Roman"/>
          <w:color w:val="000000" w:themeColor="text1"/>
          <w:sz w:val="20"/>
          <w:szCs w:val="20"/>
          <w:lang w:val="en-US"/>
        </w:rPr>
        <w:t>, 385</w:t>
      </w:r>
      <w:r w:rsidRPr="009C5A84">
        <w:rPr>
          <w:rFonts w:ascii="Times New Roman" w:hAnsi="Times New Roman" w:cs="Times New Roman"/>
          <w:color w:val="000000" w:themeColor="text1"/>
          <w:sz w:val="20"/>
          <w:szCs w:val="20"/>
          <w:lang w:val="en-US"/>
        </w:rPr>
        <w:t>–</w:t>
      </w:r>
      <w:r w:rsidR="00CB1EDE" w:rsidRPr="009C5A84">
        <w:rPr>
          <w:rFonts w:ascii="Times New Roman" w:hAnsi="Times New Roman" w:cs="Times New Roman"/>
          <w:color w:val="000000" w:themeColor="text1"/>
          <w:sz w:val="20"/>
          <w:szCs w:val="20"/>
          <w:lang w:val="en-US"/>
        </w:rPr>
        <w:t>400;</w:t>
      </w:r>
      <w:r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nl-NL"/>
        </w:rPr>
        <w:t xml:space="preserve">Larry Perkins, “The </w:t>
      </w:r>
      <w:proofErr w:type="spellStart"/>
      <w:r w:rsidRPr="009C5A84">
        <w:rPr>
          <w:rFonts w:ascii="Times New Roman" w:hAnsi="Times New Roman" w:cs="Times New Roman"/>
          <w:color w:val="000000" w:themeColor="text1"/>
          <w:sz w:val="20"/>
          <w:szCs w:val="20"/>
          <w:lang w:val="nl-NL"/>
        </w:rPr>
        <w:t>Greek</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color w:val="000000" w:themeColor="text1"/>
          <w:sz w:val="20"/>
          <w:szCs w:val="20"/>
          <w:lang w:val="nl-NL"/>
        </w:rPr>
        <w:t>Translator</w:t>
      </w:r>
      <w:proofErr w:type="spellEnd"/>
      <w:r w:rsidRPr="009C5A84">
        <w:rPr>
          <w:rFonts w:ascii="Times New Roman" w:hAnsi="Times New Roman" w:cs="Times New Roman"/>
          <w:color w:val="000000" w:themeColor="text1"/>
          <w:sz w:val="20"/>
          <w:szCs w:val="20"/>
          <w:lang w:val="nl-NL"/>
        </w:rPr>
        <w:t xml:space="preserve"> of Exodus: </w:t>
      </w:r>
      <w:proofErr w:type="spellStart"/>
      <w:r w:rsidRPr="009C5A84">
        <w:rPr>
          <w:rFonts w:ascii="Times New Roman" w:hAnsi="Times New Roman" w:cs="Times New Roman"/>
          <w:i/>
          <w:iCs/>
          <w:color w:val="000000" w:themeColor="text1"/>
          <w:sz w:val="20"/>
          <w:szCs w:val="20"/>
          <w:lang w:val="nl-NL"/>
        </w:rPr>
        <w:t>Interpres</w:t>
      </w:r>
      <w:proofErr w:type="spellEnd"/>
      <w:r w:rsidRPr="009C5A84">
        <w:rPr>
          <w:rFonts w:ascii="Times New Roman" w:hAnsi="Times New Roman" w:cs="Times New Roman"/>
          <w:i/>
          <w:iCs/>
          <w:color w:val="000000" w:themeColor="text1"/>
          <w:sz w:val="20"/>
          <w:szCs w:val="20"/>
          <w:lang w:val="nl-NL"/>
        </w:rPr>
        <w:t xml:space="preserve"> </w:t>
      </w:r>
      <w:r w:rsidRPr="009C5A84">
        <w:rPr>
          <w:rFonts w:ascii="Times New Roman" w:hAnsi="Times New Roman" w:cs="Times New Roman"/>
          <w:color w:val="000000" w:themeColor="text1"/>
          <w:sz w:val="20"/>
          <w:szCs w:val="20"/>
          <w:lang w:val="nl-NL"/>
        </w:rPr>
        <w:t>(</w:t>
      </w:r>
      <w:proofErr w:type="spellStart"/>
      <w:r w:rsidRPr="009C5A84">
        <w:rPr>
          <w:rFonts w:ascii="Times New Roman" w:hAnsi="Times New Roman" w:cs="Times New Roman"/>
          <w:color w:val="000000" w:themeColor="text1"/>
          <w:sz w:val="20"/>
          <w:szCs w:val="20"/>
          <w:lang w:val="nl-NL"/>
        </w:rPr>
        <w:t>translator</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color w:val="000000" w:themeColor="text1"/>
          <w:sz w:val="20"/>
          <w:szCs w:val="20"/>
          <w:lang w:val="nl-NL"/>
        </w:rPr>
        <w:t>and</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i/>
          <w:iCs/>
          <w:color w:val="000000" w:themeColor="text1"/>
          <w:sz w:val="20"/>
          <w:szCs w:val="20"/>
          <w:lang w:val="nl-NL"/>
        </w:rPr>
        <w:t>Expositor</w:t>
      </w:r>
      <w:proofErr w:type="spellEnd"/>
      <w:r w:rsidRPr="009C5A84">
        <w:rPr>
          <w:rFonts w:ascii="Times New Roman" w:hAnsi="Times New Roman" w:cs="Times New Roman"/>
          <w:i/>
          <w:iCs/>
          <w:color w:val="000000" w:themeColor="text1"/>
          <w:sz w:val="20"/>
          <w:szCs w:val="20"/>
          <w:lang w:val="nl-NL"/>
        </w:rPr>
        <w:t xml:space="preserve"> </w:t>
      </w:r>
      <w:r w:rsidRPr="009C5A84">
        <w:rPr>
          <w:rFonts w:ascii="Times New Roman" w:hAnsi="Times New Roman" w:cs="Times New Roman"/>
          <w:color w:val="000000" w:themeColor="text1"/>
          <w:sz w:val="20"/>
          <w:szCs w:val="20"/>
          <w:lang w:val="nl-NL"/>
        </w:rPr>
        <w:t>(</w:t>
      </w:r>
      <w:proofErr w:type="spellStart"/>
      <w:r w:rsidRPr="009C5A84">
        <w:rPr>
          <w:rFonts w:ascii="Times New Roman" w:hAnsi="Times New Roman" w:cs="Times New Roman"/>
          <w:color w:val="000000" w:themeColor="text1"/>
          <w:sz w:val="20"/>
          <w:szCs w:val="20"/>
          <w:lang w:val="nl-NL"/>
        </w:rPr>
        <w:t>interpreter</w:t>
      </w:r>
      <w:proofErr w:type="spellEnd"/>
      <w:r w:rsidRPr="009C5A84">
        <w:rPr>
          <w:rFonts w:ascii="Times New Roman" w:hAnsi="Times New Roman" w:cs="Times New Roman"/>
          <w:color w:val="000000" w:themeColor="text1"/>
          <w:sz w:val="20"/>
          <w:szCs w:val="20"/>
          <w:lang w:val="nl-NL"/>
        </w:rPr>
        <w:t xml:space="preserve">), His Treatment of </w:t>
      </w:r>
      <w:proofErr w:type="spellStart"/>
      <w:r w:rsidRPr="009C5A84">
        <w:rPr>
          <w:rFonts w:ascii="Times New Roman" w:hAnsi="Times New Roman" w:cs="Times New Roman"/>
          <w:color w:val="000000" w:themeColor="text1"/>
          <w:sz w:val="20"/>
          <w:szCs w:val="20"/>
          <w:lang w:val="nl-NL"/>
        </w:rPr>
        <w:t>Theophanies</w:t>
      </w:r>
      <w:proofErr w:type="spellEnd"/>
      <w:r w:rsidRPr="009C5A84">
        <w:rPr>
          <w:rFonts w:ascii="Times New Roman" w:hAnsi="Times New Roman" w:cs="Times New Roman"/>
          <w:color w:val="000000" w:themeColor="text1"/>
          <w:sz w:val="20"/>
          <w:szCs w:val="20"/>
          <w:lang w:val="nl-NL"/>
        </w:rPr>
        <w:t xml:space="preserve">,” </w:t>
      </w:r>
      <w:r w:rsidRPr="009C5A84">
        <w:rPr>
          <w:rFonts w:ascii="Times New Roman" w:hAnsi="Times New Roman" w:cs="Times New Roman"/>
          <w:i/>
          <w:iCs/>
          <w:color w:val="000000" w:themeColor="text1"/>
          <w:sz w:val="20"/>
          <w:szCs w:val="20"/>
          <w:lang w:val="nl-NL"/>
        </w:rPr>
        <w:t>JSJ</w:t>
      </w:r>
      <w:r w:rsidRPr="009C5A84">
        <w:rPr>
          <w:rFonts w:ascii="Times New Roman" w:hAnsi="Times New Roman" w:cs="Times New Roman"/>
          <w:color w:val="000000" w:themeColor="text1"/>
          <w:sz w:val="20"/>
          <w:szCs w:val="20"/>
          <w:lang w:val="nl-NL"/>
        </w:rPr>
        <w:t xml:space="preserve"> 44/1 (2013): 16–56</w:t>
      </w:r>
      <w:r w:rsidR="00CB1EDE"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(44)</w:t>
      </w:r>
      <w:r w:rsidR="00CB1EDE" w:rsidRPr="009C5A84">
        <w:rPr>
          <w:rFonts w:ascii="Times New Roman" w:hAnsi="Times New Roman" w:cs="Times New Roman"/>
          <w:color w:val="000000" w:themeColor="text1"/>
          <w:sz w:val="20"/>
          <w:szCs w:val="20"/>
          <w:lang w:val="en-US"/>
        </w:rPr>
        <w:t>.</w:t>
      </w:r>
    </w:p>
  </w:footnote>
  <w:footnote w:id="109">
    <w:p w14:paraId="38A7BE14" w14:textId="685AA1BF" w:rsidR="00CB1EDE" w:rsidRPr="009C5A84" w:rsidRDefault="00CB1EDE"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7E3FCA" w:rsidRPr="009C5A84">
        <w:rPr>
          <w:rFonts w:ascii="Times New Roman" w:hAnsi="Times New Roman" w:cs="Times New Roman"/>
          <w:color w:val="000000" w:themeColor="text1"/>
          <w:sz w:val="20"/>
          <w:szCs w:val="20"/>
          <w:lang w:val="en-US"/>
        </w:rPr>
        <w:t>Ausloos</w:t>
      </w:r>
      <w:r w:rsidRPr="009C5A84">
        <w:rPr>
          <w:rFonts w:ascii="Times New Roman" w:hAnsi="Times New Roman" w:cs="Times New Roman"/>
          <w:color w:val="000000" w:themeColor="text1"/>
          <w:sz w:val="20"/>
          <w:szCs w:val="20"/>
          <w:lang w:val="en-US"/>
        </w:rPr>
        <w:t>, “Human Activities</w:t>
      </w:r>
      <w:r w:rsidR="007E3FCA"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190.</w:t>
      </w:r>
    </w:p>
  </w:footnote>
  <w:footnote w:id="110">
    <w:p w14:paraId="5007DB13" w14:textId="048BC26B" w:rsidR="00CB1EDE" w:rsidRPr="009C5A84" w:rsidRDefault="00CB1EDE"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9F5AC8" w:rsidRPr="009C5A84">
        <w:rPr>
          <w:rFonts w:ascii="Times New Roman" w:hAnsi="Times New Roman" w:cs="Times New Roman"/>
          <w:color w:val="000000" w:themeColor="text1"/>
          <w:sz w:val="20"/>
          <w:szCs w:val="20"/>
          <w:lang w:val="en-US"/>
        </w:rPr>
        <w:t xml:space="preserve">Marieke Dhont, “Septuagint Translation Technique and Jewish Hellenistic Exegesis”, in </w:t>
      </w:r>
      <w:r w:rsidR="009F5AC8" w:rsidRPr="009C5A84">
        <w:rPr>
          <w:rFonts w:ascii="Times New Roman" w:hAnsi="Times New Roman" w:cs="Times New Roman"/>
          <w:i/>
          <w:iCs/>
          <w:color w:val="000000" w:themeColor="text1"/>
          <w:sz w:val="20"/>
          <w:szCs w:val="20"/>
          <w:lang w:val="en-US"/>
        </w:rPr>
        <w:t xml:space="preserve">T&amp;T Clark Handbook of Septuagint Research </w:t>
      </w:r>
      <w:r w:rsidR="009F5AC8" w:rsidRPr="009C5A84">
        <w:rPr>
          <w:rFonts w:ascii="Times New Roman" w:hAnsi="Times New Roman" w:cs="Times New Roman"/>
          <w:color w:val="000000" w:themeColor="text1"/>
          <w:sz w:val="20"/>
          <w:szCs w:val="20"/>
          <w:lang w:val="en-US"/>
        </w:rPr>
        <w:t>(ed. William A. Ross &amp; W. E. Glenny; New York: T&amp;T Clark, 2021), 21–35 (</w:t>
      </w:r>
      <w:r w:rsidRPr="009C5A84">
        <w:rPr>
          <w:rFonts w:ascii="Times New Roman" w:hAnsi="Times New Roman" w:cs="Times New Roman"/>
          <w:color w:val="000000" w:themeColor="text1"/>
          <w:sz w:val="20"/>
          <w:szCs w:val="20"/>
          <w:lang w:val="en-US"/>
        </w:rPr>
        <w:t>30</w:t>
      </w:r>
      <w:r w:rsidR="009F5AC8"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w:t>
      </w:r>
    </w:p>
  </w:footnote>
  <w:footnote w:id="111">
    <w:p w14:paraId="0A8D3F35" w14:textId="08E7ADF1" w:rsidR="00CB1EDE" w:rsidRPr="009C5A84" w:rsidRDefault="00CB1EDE"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9F5AC8" w:rsidRPr="009C5A84">
        <w:rPr>
          <w:rFonts w:cs="Times New Roman"/>
          <w:color w:val="000000" w:themeColor="text1"/>
          <w:lang w:val="en-US"/>
        </w:rPr>
        <w:t xml:space="preserve">Ellen </w:t>
      </w:r>
      <w:r w:rsidR="00070E3C" w:rsidRPr="009C5A84">
        <w:rPr>
          <w:rFonts w:cs="Times New Roman"/>
          <w:color w:val="000000" w:themeColor="text1"/>
          <w:shd w:val="clear" w:color="auto" w:fill="FFFFFF"/>
          <w:lang w:val="en-US"/>
        </w:rPr>
        <w:t xml:space="preserve">De Doncker, </w:t>
      </w:r>
      <w:r w:rsidR="009F5AC8" w:rsidRPr="009C5A84">
        <w:rPr>
          <w:rFonts w:cs="Times New Roman"/>
          <w:color w:val="000000" w:themeColor="text1"/>
          <w:shd w:val="clear" w:color="auto" w:fill="FFFFFF"/>
          <w:lang w:val="en-US"/>
        </w:rPr>
        <w:t>“</w:t>
      </w:r>
      <w:r w:rsidR="00070E3C" w:rsidRPr="009C5A84">
        <w:rPr>
          <w:rFonts w:cs="Times New Roman"/>
          <w:color w:val="000000" w:themeColor="text1"/>
          <w:shd w:val="clear" w:color="auto" w:fill="FFFFFF"/>
          <w:lang w:val="en-US"/>
        </w:rPr>
        <w:t xml:space="preserve">Substituting Anthropomorphisms? God’s Mouth in Num 20:24 and the Possibility of a Different </w:t>
      </w:r>
      <w:r w:rsidR="00070E3C" w:rsidRPr="009C5A84">
        <w:rPr>
          <w:rFonts w:cs="Times New Roman"/>
          <w:i/>
          <w:iCs/>
          <w:color w:val="000000" w:themeColor="text1"/>
          <w:shd w:val="clear" w:color="auto" w:fill="FFFFFF"/>
          <w:lang w:val="en-US"/>
        </w:rPr>
        <w:t>Vorlage</w:t>
      </w:r>
      <w:r w:rsidR="009F5AC8" w:rsidRPr="009C5A84">
        <w:rPr>
          <w:rFonts w:cs="Times New Roman"/>
          <w:color w:val="000000" w:themeColor="text1"/>
          <w:shd w:val="clear" w:color="auto" w:fill="FFFFFF"/>
          <w:lang w:val="en-US"/>
        </w:rPr>
        <w:t>,”</w:t>
      </w:r>
      <w:r w:rsidR="00070E3C" w:rsidRPr="009C5A84">
        <w:rPr>
          <w:rFonts w:cs="Times New Roman"/>
          <w:color w:val="000000" w:themeColor="text1"/>
          <w:shd w:val="clear" w:color="auto" w:fill="FFFFFF"/>
          <w:lang w:val="en-US"/>
        </w:rPr>
        <w:t>.</w:t>
      </w:r>
      <w:r w:rsidR="00070E3C" w:rsidRPr="009C5A84">
        <w:rPr>
          <w:rStyle w:val="apple-converted-space"/>
          <w:rFonts w:cs="Times New Roman"/>
          <w:color w:val="000000" w:themeColor="text1"/>
          <w:shd w:val="clear" w:color="auto" w:fill="FFFFFF"/>
          <w:lang w:val="en-US"/>
        </w:rPr>
        <w:t> </w:t>
      </w:r>
      <w:r w:rsidR="009F5AC8" w:rsidRPr="009C5A84">
        <w:rPr>
          <w:rStyle w:val="Nadruk"/>
          <w:rFonts w:cs="Times New Roman"/>
          <w:color w:val="000000" w:themeColor="text1"/>
          <w:lang w:val="en-US"/>
        </w:rPr>
        <w:t>VT</w:t>
      </w:r>
      <w:r w:rsidR="00070E3C" w:rsidRPr="009C5A84">
        <w:rPr>
          <w:rStyle w:val="apple-converted-space"/>
          <w:rFonts w:cs="Times New Roman"/>
          <w:color w:val="000000" w:themeColor="text1"/>
          <w:shd w:val="clear" w:color="auto" w:fill="FFFFFF"/>
          <w:lang w:val="en-US"/>
        </w:rPr>
        <w:t> </w:t>
      </w:r>
      <w:r w:rsidR="00070E3C" w:rsidRPr="009C5A84">
        <w:rPr>
          <w:rStyle w:val="Nadruk"/>
          <w:rFonts w:cs="Times New Roman"/>
          <w:i w:val="0"/>
          <w:iCs w:val="0"/>
          <w:color w:val="000000" w:themeColor="text1"/>
          <w:lang w:val="en-US"/>
        </w:rPr>
        <w:t>75</w:t>
      </w:r>
      <w:r w:rsidR="009F5AC8" w:rsidRPr="009C5A84">
        <w:rPr>
          <w:rFonts w:cs="Times New Roman"/>
          <w:color w:val="000000" w:themeColor="text1"/>
          <w:shd w:val="clear" w:color="auto" w:fill="FFFFFF"/>
          <w:lang w:val="en-US"/>
        </w:rPr>
        <w:t>/</w:t>
      </w:r>
      <w:r w:rsidR="00070E3C" w:rsidRPr="009C5A84">
        <w:rPr>
          <w:rFonts w:cs="Times New Roman"/>
          <w:color w:val="000000" w:themeColor="text1"/>
          <w:shd w:val="clear" w:color="auto" w:fill="FFFFFF"/>
          <w:lang w:val="en-US"/>
        </w:rPr>
        <w:t>1</w:t>
      </w:r>
      <w:r w:rsidR="009F5AC8" w:rsidRPr="009C5A84">
        <w:rPr>
          <w:rFonts w:cs="Times New Roman"/>
          <w:color w:val="000000" w:themeColor="text1"/>
          <w:shd w:val="clear" w:color="auto" w:fill="FFFFFF"/>
          <w:lang w:val="en-US"/>
        </w:rPr>
        <w:t xml:space="preserve"> (2024):</w:t>
      </w:r>
      <w:r w:rsidR="00070E3C" w:rsidRPr="009C5A84">
        <w:rPr>
          <w:rFonts w:cs="Times New Roman"/>
          <w:color w:val="000000" w:themeColor="text1"/>
          <w:shd w:val="clear" w:color="auto" w:fill="FFFFFF"/>
          <w:lang w:val="en-US"/>
        </w:rPr>
        <w:t xml:space="preserve"> 46-65.</w:t>
      </w:r>
    </w:p>
  </w:footnote>
  <w:footnote w:id="112">
    <w:p w14:paraId="22ED4C0B" w14:textId="24790982" w:rsidR="002B4C57" w:rsidRPr="009C5A84" w:rsidRDefault="002B4C5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Pr="009C5A84">
        <w:rPr>
          <w:rFonts w:cs="Times New Roman"/>
          <w:color w:val="000000" w:themeColor="text1"/>
          <w:lang w:val="en-US"/>
        </w:rPr>
        <w:t>Markschies</w:t>
      </w:r>
      <w:proofErr w:type="spellEnd"/>
      <w:r w:rsidRPr="009C5A84">
        <w:rPr>
          <w:rFonts w:cs="Times New Roman"/>
          <w:color w:val="000000" w:themeColor="text1"/>
          <w:lang w:val="en-US"/>
        </w:rPr>
        <w:t xml:space="preserve">, </w:t>
      </w:r>
      <w:proofErr w:type="spellStart"/>
      <w:r w:rsidRPr="009C5A84">
        <w:rPr>
          <w:rFonts w:cs="Times New Roman"/>
          <w:i/>
          <w:iCs/>
          <w:color w:val="000000" w:themeColor="text1"/>
          <w:lang w:val="en-US"/>
        </w:rPr>
        <w:t>Gottes</w:t>
      </w:r>
      <w:proofErr w:type="spellEnd"/>
      <w:r w:rsidRPr="009C5A84">
        <w:rPr>
          <w:rFonts w:cs="Times New Roman"/>
          <w:i/>
          <w:iCs/>
          <w:color w:val="000000" w:themeColor="text1"/>
          <w:lang w:val="en-US"/>
        </w:rPr>
        <w:t xml:space="preserve"> Körper, </w:t>
      </w:r>
      <w:r w:rsidRPr="009C5A84">
        <w:rPr>
          <w:rFonts w:cs="Times New Roman"/>
          <w:color w:val="000000" w:themeColor="text1"/>
          <w:lang w:val="en-US"/>
        </w:rPr>
        <w:t xml:space="preserve">p. 44; Wagner, </w:t>
      </w:r>
      <w:r w:rsidRPr="009C5A84">
        <w:rPr>
          <w:rFonts w:cs="Times New Roman"/>
          <w:i/>
          <w:iCs/>
          <w:color w:val="000000" w:themeColor="text1"/>
          <w:spacing w:val="-4"/>
          <w:lang w:val="en-US"/>
        </w:rPr>
        <w:t>God’s Body</w:t>
      </w:r>
      <w:r w:rsidR="009F5AC8" w:rsidRPr="009C5A84">
        <w:rPr>
          <w:rFonts w:cs="Times New Roman"/>
          <w:i/>
          <w:iCs/>
          <w:color w:val="000000" w:themeColor="text1"/>
          <w:spacing w:val="-4"/>
          <w:lang w:val="en-US"/>
        </w:rPr>
        <w:t xml:space="preserve">, </w:t>
      </w:r>
      <w:r w:rsidRPr="009C5A84">
        <w:rPr>
          <w:rFonts w:cs="Times New Roman"/>
          <w:color w:val="000000" w:themeColor="text1"/>
          <w:spacing w:val="-4"/>
          <w:lang w:val="en-US"/>
        </w:rPr>
        <w:t>19, 119.</w:t>
      </w:r>
    </w:p>
  </w:footnote>
  <w:footnote w:id="113">
    <w:p w14:paraId="27B7471F" w14:textId="29C35F3B" w:rsidR="002B4C57" w:rsidRPr="009C5A84" w:rsidRDefault="002B4C5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Baer, </w:t>
      </w:r>
      <w:r w:rsidRPr="009C5A84">
        <w:rPr>
          <w:rFonts w:cs="Times New Roman"/>
          <w:i/>
          <w:iCs/>
          <w:color w:val="000000" w:themeColor="text1"/>
          <w:lang w:val="en-US"/>
        </w:rPr>
        <w:t>When We All Go Home</w:t>
      </w:r>
      <w:r w:rsidRPr="009C5A84">
        <w:rPr>
          <w:rFonts w:cs="Times New Roman"/>
          <w:color w:val="000000" w:themeColor="text1"/>
          <w:lang w:val="en-US"/>
        </w:rPr>
        <w:t>, 111.</w:t>
      </w:r>
    </w:p>
  </w:footnote>
  <w:footnote w:id="114">
    <w:p w14:paraId="4809A7D3" w14:textId="5CE541ED" w:rsidR="002B4C57" w:rsidRPr="009C5A84" w:rsidRDefault="002B4C5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Ausloos, </w:t>
      </w:r>
      <w:r w:rsidR="009F5AC8" w:rsidRPr="009C5A84">
        <w:rPr>
          <w:rFonts w:cs="Times New Roman"/>
          <w:color w:val="000000" w:themeColor="text1"/>
          <w:lang w:val="en-US"/>
        </w:rPr>
        <w:t>“</w:t>
      </w:r>
      <w:r w:rsidRPr="009C5A84">
        <w:rPr>
          <w:rFonts w:cs="Times New Roman"/>
          <w:color w:val="000000" w:themeColor="text1"/>
          <w:lang w:val="en-US"/>
        </w:rPr>
        <w:t>You Saw No Form.</w:t>
      </w:r>
      <w:r w:rsidR="009F5AC8" w:rsidRPr="009C5A84">
        <w:rPr>
          <w:rFonts w:cs="Times New Roman"/>
          <w:color w:val="000000" w:themeColor="text1"/>
          <w:lang w:val="en-US"/>
        </w:rPr>
        <w:t>”</w:t>
      </w:r>
      <w:r w:rsidRPr="009C5A84">
        <w:rPr>
          <w:rFonts w:cs="Times New Roman"/>
          <w:color w:val="000000" w:themeColor="text1"/>
          <w:lang w:val="en-US"/>
        </w:rPr>
        <w:t xml:space="preserve"> </w:t>
      </w:r>
    </w:p>
  </w:footnote>
  <w:footnote w:id="115">
    <w:p w14:paraId="7ACE904F" w14:textId="53A2D1CE" w:rsidR="002B4C57" w:rsidRPr="009C5A84" w:rsidRDefault="002B4C57"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w:t>
      </w:r>
      <w:r w:rsidR="00A306E3" w:rsidRPr="009C5A84">
        <w:rPr>
          <w:rFonts w:ascii="Times New Roman" w:hAnsi="Times New Roman" w:cs="Times New Roman"/>
          <w:color w:val="000000" w:themeColor="text1"/>
          <w:sz w:val="20"/>
          <w:szCs w:val="20"/>
          <w:lang w:val="en-US"/>
        </w:rPr>
        <w:t>D</w:t>
      </w:r>
      <w:r w:rsidR="009F5AC8" w:rsidRPr="009C5A84">
        <w:rPr>
          <w:rFonts w:ascii="Times New Roman" w:hAnsi="Times New Roman" w:cs="Times New Roman"/>
          <w:color w:val="000000" w:themeColor="text1"/>
          <w:sz w:val="20"/>
          <w:szCs w:val="20"/>
          <w:lang w:val="en-US"/>
        </w:rPr>
        <w:t>irk</w:t>
      </w:r>
      <w:r w:rsidR="00A306E3" w:rsidRPr="009C5A84">
        <w:rPr>
          <w:rFonts w:ascii="Times New Roman" w:hAnsi="Times New Roman" w:cs="Times New Roman"/>
          <w:color w:val="000000" w:themeColor="text1"/>
          <w:sz w:val="20"/>
          <w:szCs w:val="20"/>
          <w:lang w:val="en-US"/>
        </w:rPr>
        <w:t xml:space="preserve"> </w:t>
      </w:r>
      <w:r w:rsidR="009F5AC8" w:rsidRPr="009C5A84">
        <w:rPr>
          <w:rFonts w:ascii="Times New Roman" w:hAnsi="Times New Roman" w:cs="Times New Roman"/>
          <w:color w:val="000000" w:themeColor="text1"/>
          <w:sz w:val="20"/>
          <w:szCs w:val="20"/>
          <w:lang w:val="en-US"/>
        </w:rPr>
        <w:t>Büchner</w:t>
      </w:r>
      <w:r w:rsidR="00A306E3" w:rsidRPr="009C5A84">
        <w:rPr>
          <w:rFonts w:ascii="Times New Roman" w:hAnsi="Times New Roman" w:cs="Times New Roman"/>
          <w:color w:val="000000" w:themeColor="text1"/>
          <w:sz w:val="20"/>
          <w:szCs w:val="20"/>
          <w:lang w:val="en-US"/>
        </w:rPr>
        <w:t>, “</w:t>
      </w:r>
      <w:proofErr w:type="spellStart"/>
      <w:r w:rsidR="00A306E3" w:rsidRPr="009C5A84">
        <w:rPr>
          <w:rFonts w:ascii="Times New Roman" w:hAnsi="Times New Roman" w:cs="Times New Roman"/>
          <w:color w:val="000000" w:themeColor="text1"/>
          <w:sz w:val="20"/>
          <w:szCs w:val="20"/>
          <w:lang w:val="en-US"/>
        </w:rPr>
        <w:t>Leuitikon</w:t>
      </w:r>
      <w:proofErr w:type="spellEnd"/>
      <w:r w:rsidR="00A306E3" w:rsidRPr="009C5A84">
        <w:rPr>
          <w:rFonts w:ascii="Times New Roman" w:hAnsi="Times New Roman" w:cs="Times New Roman"/>
          <w:color w:val="000000" w:themeColor="text1"/>
          <w:sz w:val="20"/>
          <w:szCs w:val="20"/>
          <w:lang w:val="en-US"/>
        </w:rPr>
        <w:t xml:space="preserve"> 3.1-17: The Sacrifice of Deliverance</w:t>
      </w:r>
      <w:r w:rsidR="009F5AC8" w:rsidRPr="009C5A84">
        <w:rPr>
          <w:rFonts w:ascii="Times New Roman" w:hAnsi="Times New Roman" w:cs="Times New Roman"/>
          <w:color w:val="000000" w:themeColor="text1"/>
          <w:sz w:val="20"/>
          <w:szCs w:val="20"/>
          <w:lang w:val="en-US"/>
        </w:rPr>
        <w:t>,</w:t>
      </w:r>
      <w:r w:rsidR="00A306E3" w:rsidRPr="009C5A84">
        <w:rPr>
          <w:rFonts w:ascii="Times New Roman" w:hAnsi="Times New Roman" w:cs="Times New Roman"/>
          <w:color w:val="000000" w:themeColor="text1"/>
          <w:sz w:val="20"/>
          <w:szCs w:val="20"/>
          <w:lang w:val="en-US"/>
        </w:rPr>
        <w:t xml:space="preserve">” in </w:t>
      </w:r>
      <w:r w:rsidR="00A306E3" w:rsidRPr="009C5A84">
        <w:rPr>
          <w:rFonts w:ascii="Times New Roman" w:hAnsi="Times New Roman" w:cs="Times New Roman"/>
          <w:i/>
          <w:iCs/>
          <w:color w:val="000000" w:themeColor="text1"/>
          <w:sz w:val="20"/>
          <w:szCs w:val="20"/>
          <w:lang w:val="en-US"/>
        </w:rPr>
        <w:t>The SBL Commentary on the Septuagint: An</w:t>
      </w:r>
      <w:r w:rsidR="009F5AC8" w:rsidRPr="009C5A84">
        <w:rPr>
          <w:rFonts w:ascii="Times New Roman" w:hAnsi="Times New Roman" w:cs="Times New Roman"/>
          <w:i/>
          <w:iCs/>
          <w:color w:val="000000" w:themeColor="text1"/>
          <w:sz w:val="20"/>
          <w:szCs w:val="20"/>
          <w:lang w:val="en-US"/>
        </w:rPr>
        <w:t xml:space="preserve"> </w:t>
      </w:r>
      <w:r w:rsidR="00A306E3" w:rsidRPr="009C5A84">
        <w:rPr>
          <w:rFonts w:ascii="Times New Roman" w:hAnsi="Times New Roman" w:cs="Times New Roman"/>
          <w:i/>
          <w:iCs/>
          <w:color w:val="000000" w:themeColor="text1"/>
          <w:sz w:val="20"/>
          <w:szCs w:val="20"/>
          <w:lang w:val="en-US"/>
        </w:rPr>
        <w:t xml:space="preserve">Introduction </w:t>
      </w:r>
      <w:r w:rsidR="00A306E3" w:rsidRPr="009C5A84">
        <w:rPr>
          <w:rFonts w:ascii="Times New Roman" w:hAnsi="Times New Roman" w:cs="Times New Roman"/>
          <w:color w:val="000000" w:themeColor="text1"/>
          <w:sz w:val="20"/>
          <w:szCs w:val="20"/>
          <w:lang w:val="en-US"/>
        </w:rPr>
        <w:t>(</w:t>
      </w:r>
      <w:r w:rsidR="009F5AC8" w:rsidRPr="009C5A84">
        <w:rPr>
          <w:rFonts w:ascii="Times New Roman" w:hAnsi="Times New Roman" w:cs="Times New Roman"/>
          <w:color w:val="000000" w:themeColor="text1"/>
          <w:sz w:val="20"/>
          <w:szCs w:val="20"/>
          <w:lang w:val="en-US"/>
        </w:rPr>
        <w:t>ed. Dirk Büchner; SBLSCS</w:t>
      </w:r>
      <w:r w:rsidR="00A306E3" w:rsidRPr="009C5A84">
        <w:rPr>
          <w:rFonts w:ascii="Times New Roman" w:hAnsi="Times New Roman" w:cs="Times New Roman"/>
          <w:color w:val="000000" w:themeColor="text1"/>
          <w:sz w:val="20"/>
          <w:szCs w:val="20"/>
          <w:lang w:val="en-US"/>
        </w:rPr>
        <w:t xml:space="preserve"> 67</w:t>
      </w:r>
      <w:r w:rsidR="009F5AC8" w:rsidRPr="009C5A84">
        <w:rPr>
          <w:rFonts w:ascii="Times New Roman" w:hAnsi="Times New Roman" w:cs="Times New Roman"/>
          <w:color w:val="000000" w:themeColor="text1"/>
          <w:sz w:val="20"/>
          <w:szCs w:val="20"/>
          <w:lang w:val="en-US"/>
        </w:rPr>
        <w:t>;</w:t>
      </w:r>
      <w:r w:rsidR="00A306E3" w:rsidRPr="009C5A84">
        <w:rPr>
          <w:rFonts w:ascii="Times New Roman" w:hAnsi="Times New Roman" w:cs="Times New Roman"/>
          <w:color w:val="000000" w:themeColor="text1"/>
          <w:sz w:val="20"/>
          <w:szCs w:val="20"/>
          <w:lang w:val="en-US"/>
        </w:rPr>
        <w:t xml:space="preserve"> Atlanta</w:t>
      </w:r>
      <w:r w:rsidR="009F5AC8" w:rsidRPr="009C5A84">
        <w:rPr>
          <w:rFonts w:ascii="Times New Roman" w:hAnsi="Times New Roman" w:cs="Times New Roman"/>
          <w:color w:val="000000" w:themeColor="text1"/>
          <w:sz w:val="20"/>
          <w:szCs w:val="20"/>
          <w:lang w:val="en-US"/>
        </w:rPr>
        <w:t>;</w:t>
      </w:r>
      <w:r w:rsidR="00A306E3" w:rsidRPr="009C5A84">
        <w:rPr>
          <w:rFonts w:ascii="Times New Roman" w:hAnsi="Times New Roman" w:cs="Times New Roman"/>
          <w:color w:val="000000" w:themeColor="text1"/>
          <w:sz w:val="20"/>
          <w:szCs w:val="20"/>
          <w:lang w:val="en-US"/>
        </w:rPr>
        <w:t xml:space="preserve"> SBL, 2017</w:t>
      </w:r>
      <w:r w:rsidR="009F5AC8" w:rsidRPr="009C5A84">
        <w:rPr>
          <w:rFonts w:ascii="Times New Roman" w:hAnsi="Times New Roman" w:cs="Times New Roman"/>
          <w:color w:val="000000" w:themeColor="text1"/>
          <w:sz w:val="20"/>
          <w:szCs w:val="20"/>
          <w:lang w:val="en-US"/>
        </w:rPr>
        <w:t>)</w:t>
      </w:r>
      <w:r w:rsidR="00A306E3" w:rsidRPr="009C5A84">
        <w:rPr>
          <w:rFonts w:ascii="Times New Roman" w:hAnsi="Times New Roman" w:cs="Times New Roman"/>
          <w:color w:val="000000" w:themeColor="text1"/>
          <w:sz w:val="20"/>
          <w:szCs w:val="20"/>
          <w:lang w:val="en-US"/>
        </w:rPr>
        <w:t>, 95</w:t>
      </w:r>
      <w:r w:rsidR="009F5AC8" w:rsidRPr="009C5A84">
        <w:rPr>
          <w:rFonts w:ascii="Times New Roman" w:hAnsi="Times New Roman" w:cs="Times New Roman"/>
          <w:color w:val="000000" w:themeColor="text1"/>
          <w:sz w:val="20"/>
          <w:szCs w:val="20"/>
          <w:lang w:val="en-US"/>
        </w:rPr>
        <w:t>–</w:t>
      </w:r>
      <w:r w:rsidR="00A306E3" w:rsidRPr="009C5A84">
        <w:rPr>
          <w:rFonts w:ascii="Times New Roman" w:hAnsi="Times New Roman" w:cs="Times New Roman"/>
          <w:color w:val="000000" w:themeColor="text1"/>
          <w:sz w:val="20"/>
          <w:szCs w:val="20"/>
          <w:lang w:val="en-US"/>
        </w:rPr>
        <w:t>123 (117).</w:t>
      </w:r>
    </w:p>
  </w:footnote>
  <w:footnote w:id="116">
    <w:p w14:paraId="11C9C480" w14:textId="22625E42" w:rsidR="00A33F53" w:rsidRPr="009C5A84" w:rsidRDefault="00A33F53"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Pr="009C5A84">
        <w:rPr>
          <w:rFonts w:cs="Times New Roman"/>
          <w:color w:val="000000" w:themeColor="text1"/>
          <w:lang w:val="fr-FR"/>
        </w:rPr>
        <w:t xml:space="preserve">Eberhard Bons, </w:t>
      </w:r>
      <w:r w:rsidR="009F5AC8" w:rsidRPr="009C5A84">
        <w:rPr>
          <w:rFonts w:cs="Times New Roman"/>
          <w:color w:val="000000" w:themeColor="text1"/>
          <w:lang w:val="fr-FR"/>
        </w:rPr>
        <w:t>“</w:t>
      </w:r>
      <w:r w:rsidRPr="009C5A84">
        <w:rPr>
          <w:rFonts w:cs="Times New Roman"/>
          <w:color w:val="000000" w:themeColor="text1"/>
          <w:lang w:val="fr-FR"/>
        </w:rPr>
        <w:t xml:space="preserve">Il </w:t>
      </w:r>
      <w:proofErr w:type="spellStart"/>
      <w:r w:rsidRPr="009C5A84">
        <w:rPr>
          <w:rFonts w:cs="Times New Roman"/>
          <w:color w:val="000000" w:themeColor="text1"/>
          <w:lang w:val="fr-FR"/>
        </w:rPr>
        <w:t>Salmo</w:t>
      </w:r>
      <w:proofErr w:type="spellEnd"/>
      <w:r w:rsidRPr="009C5A84">
        <w:rPr>
          <w:rFonts w:cs="Times New Roman"/>
          <w:color w:val="000000" w:themeColor="text1"/>
          <w:lang w:val="fr-FR"/>
        </w:rPr>
        <w:t xml:space="preserve"> 37 </w:t>
      </w:r>
      <w:proofErr w:type="spellStart"/>
      <w:r w:rsidRPr="009C5A84">
        <w:rPr>
          <w:rFonts w:cs="Times New Roman"/>
          <w:color w:val="000000" w:themeColor="text1"/>
          <w:lang w:val="fr-FR"/>
        </w:rPr>
        <w:t>nella</w:t>
      </w:r>
      <w:proofErr w:type="spellEnd"/>
      <w:r w:rsidRPr="009C5A84">
        <w:rPr>
          <w:rFonts w:cs="Times New Roman"/>
          <w:color w:val="000000" w:themeColor="text1"/>
          <w:lang w:val="fr-FR"/>
        </w:rPr>
        <w:t xml:space="preserve"> </w:t>
      </w:r>
      <w:proofErr w:type="spellStart"/>
      <w:r w:rsidRPr="009C5A84">
        <w:rPr>
          <w:rFonts w:cs="Times New Roman"/>
          <w:color w:val="000000" w:themeColor="text1"/>
          <w:lang w:val="fr-FR"/>
        </w:rPr>
        <w:t>versione</w:t>
      </w:r>
      <w:proofErr w:type="spellEnd"/>
      <w:r w:rsidRPr="009C5A84">
        <w:rPr>
          <w:rFonts w:cs="Times New Roman"/>
          <w:color w:val="000000" w:themeColor="text1"/>
          <w:lang w:val="fr-FR"/>
        </w:rPr>
        <w:t xml:space="preserve"> dei </w:t>
      </w:r>
      <w:proofErr w:type="spellStart"/>
      <w:r w:rsidRPr="009C5A84">
        <w:rPr>
          <w:rFonts w:cs="Times New Roman"/>
          <w:color w:val="000000" w:themeColor="text1"/>
          <w:lang w:val="fr-FR"/>
        </w:rPr>
        <w:t>Settanta</w:t>
      </w:r>
      <w:proofErr w:type="spellEnd"/>
      <w:r w:rsidRPr="009C5A84">
        <w:rPr>
          <w:rFonts w:cs="Times New Roman"/>
          <w:color w:val="000000" w:themeColor="text1"/>
          <w:lang w:val="fr-FR"/>
        </w:rPr>
        <w:t xml:space="preserve"> (Sal 36</w:t>
      </w:r>
      <w:r w:rsidRPr="009C5A84">
        <w:rPr>
          <w:rFonts w:cs="Times New Roman"/>
          <w:color w:val="000000" w:themeColor="text1"/>
          <w:vertAlign w:val="superscript"/>
          <w:lang w:val="fr-FR"/>
        </w:rPr>
        <w:t>LXX</w:t>
      </w:r>
      <w:r w:rsidRPr="009C5A84">
        <w:rPr>
          <w:rFonts w:cs="Times New Roman"/>
          <w:color w:val="000000" w:themeColor="text1"/>
          <w:lang w:val="fr-FR"/>
        </w:rPr>
        <w:t>)</w:t>
      </w:r>
      <w:r w:rsidR="009F5AC8" w:rsidRPr="009C5A84">
        <w:rPr>
          <w:rFonts w:cs="Times New Roman"/>
          <w:color w:val="000000" w:themeColor="text1"/>
          <w:lang w:val="fr-FR"/>
        </w:rPr>
        <w:t>,”</w:t>
      </w:r>
      <w:r w:rsidRPr="009C5A84">
        <w:rPr>
          <w:rFonts w:cs="Times New Roman"/>
          <w:color w:val="000000" w:themeColor="text1"/>
          <w:lang w:val="fr-FR"/>
        </w:rPr>
        <w:t xml:space="preserve"> </w:t>
      </w:r>
      <w:proofErr w:type="spellStart"/>
      <w:r w:rsidRPr="009C5A84">
        <w:rPr>
          <w:rFonts w:cs="Times New Roman"/>
          <w:i/>
          <w:iCs/>
          <w:color w:val="000000" w:themeColor="text1"/>
          <w:lang w:val="fr-FR"/>
        </w:rPr>
        <w:t>Rivista</w:t>
      </w:r>
      <w:proofErr w:type="spellEnd"/>
      <w:r w:rsidRPr="009C5A84">
        <w:rPr>
          <w:rFonts w:cs="Times New Roman"/>
          <w:i/>
          <w:iCs/>
          <w:color w:val="000000" w:themeColor="text1"/>
          <w:lang w:val="fr-FR"/>
        </w:rPr>
        <w:t xml:space="preserve"> </w:t>
      </w:r>
      <w:proofErr w:type="spellStart"/>
      <w:r w:rsidRPr="009C5A84">
        <w:rPr>
          <w:rFonts w:cs="Times New Roman"/>
          <w:i/>
          <w:iCs/>
          <w:color w:val="000000" w:themeColor="text1"/>
          <w:lang w:val="fr-FR"/>
        </w:rPr>
        <w:t>Biblica</w:t>
      </w:r>
      <w:proofErr w:type="spellEnd"/>
      <w:r w:rsidRPr="009C5A84">
        <w:rPr>
          <w:rFonts w:cs="Times New Roman"/>
          <w:color w:val="000000" w:themeColor="text1"/>
          <w:lang w:val="fr-FR"/>
        </w:rPr>
        <w:t xml:space="preserve"> 58 (2010</w:t>
      </w:r>
      <w:proofErr w:type="gramStart"/>
      <w:r w:rsidRPr="009C5A84">
        <w:rPr>
          <w:rFonts w:cs="Times New Roman"/>
          <w:color w:val="000000" w:themeColor="text1"/>
          <w:lang w:val="fr-FR"/>
        </w:rPr>
        <w:t>):</w:t>
      </w:r>
      <w:proofErr w:type="gramEnd"/>
      <w:r w:rsidRPr="009C5A84">
        <w:rPr>
          <w:rFonts w:cs="Times New Roman"/>
          <w:color w:val="000000" w:themeColor="text1"/>
          <w:lang w:val="fr-FR"/>
        </w:rPr>
        <w:t xml:space="preserve"> 423–38 (433).</w:t>
      </w:r>
    </w:p>
  </w:footnote>
  <w:footnote w:id="117">
    <w:p w14:paraId="1457F925" w14:textId="7B1E1722" w:rsidR="00A306E3" w:rsidRPr="009C5A84" w:rsidRDefault="00A306E3"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00EC5701" w:rsidRPr="009C5A84">
        <w:rPr>
          <w:rStyle w:val="Nadruk"/>
          <w:rFonts w:cs="Times New Roman"/>
          <w:i w:val="0"/>
          <w:iCs w:val="0"/>
          <w:color w:val="000000" w:themeColor="text1"/>
          <w:lang w:val="en-US"/>
        </w:rPr>
        <w:t>Fritsch, “Concept of God,</w:t>
      </w:r>
      <w:r w:rsidR="00EC5701" w:rsidRPr="009C5A84">
        <w:rPr>
          <w:rStyle w:val="apple-converted-space"/>
          <w:rFonts w:cs="Times New Roman"/>
          <w:color w:val="000000" w:themeColor="text1"/>
          <w:shd w:val="clear" w:color="auto" w:fill="FFFFFF"/>
          <w:lang w:val="en-US"/>
        </w:rPr>
        <w:t>”</w:t>
      </w:r>
      <w:r w:rsidRPr="009C5A84">
        <w:rPr>
          <w:rFonts w:cs="Times New Roman"/>
          <w:color w:val="000000" w:themeColor="text1"/>
          <w:lang w:val="fr-FR"/>
        </w:rPr>
        <w:t>167.</w:t>
      </w:r>
    </w:p>
  </w:footnote>
  <w:footnote w:id="118">
    <w:p w14:paraId="66FBF40F" w14:textId="160F1D8C" w:rsidR="00A306E3" w:rsidRPr="009C5A84" w:rsidRDefault="00A306E3"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Baer, </w:t>
      </w:r>
      <w:r w:rsidRPr="009C5A84">
        <w:rPr>
          <w:rFonts w:cs="Times New Roman"/>
          <w:i/>
          <w:iCs/>
          <w:color w:val="000000" w:themeColor="text1"/>
          <w:lang w:val="en-US"/>
        </w:rPr>
        <w:t>When We All Go Home</w:t>
      </w:r>
      <w:r w:rsidRPr="009C5A84">
        <w:rPr>
          <w:rFonts w:cs="Times New Roman"/>
          <w:color w:val="000000" w:themeColor="text1"/>
          <w:lang w:val="en-US"/>
        </w:rPr>
        <w:t xml:space="preserve">, 98-159: </w:t>
      </w:r>
      <w:r w:rsidR="00EC5701" w:rsidRPr="009C5A84">
        <w:rPr>
          <w:rFonts w:cs="Times New Roman"/>
          <w:smallCaps/>
          <w:color w:val="000000" w:themeColor="text1"/>
          <w:lang w:val="en-US"/>
        </w:rPr>
        <w:t>lxx</w:t>
      </w:r>
      <w:r w:rsidRPr="009C5A84">
        <w:rPr>
          <w:rFonts w:cs="Times New Roman"/>
          <w:color w:val="000000" w:themeColor="text1"/>
          <w:lang w:val="en-US"/>
        </w:rPr>
        <w:t xml:space="preserve">-Isa 44:21, </w:t>
      </w:r>
      <w:r w:rsidR="00142A8D">
        <w:rPr>
          <w:rFonts w:cs="Times New Roman"/>
          <w:color w:val="000000" w:themeColor="text1"/>
          <w:lang w:val="en-US"/>
        </w:rPr>
        <w:t>God</w:t>
      </w:r>
      <w:r w:rsidRPr="009C5A84">
        <w:rPr>
          <w:rFonts w:cs="Times New Roman"/>
          <w:color w:val="000000" w:themeColor="text1"/>
          <w:lang w:val="en-US"/>
        </w:rPr>
        <w:t xml:space="preserve"> forget</w:t>
      </w:r>
      <w:r w:rsidR="00142A8D">
        <w:rPr>
          <w:rFonts w:cs="Times New Roman"/>
          <w:color w:val="000000" w:themeColor="text1"/>
          <w:lang w:val="en-US"/>
        </w:rPr>
        <w:t>ting</w:t>
      </w:r>
      <w:r w:rsidRPr="009C5A84">
        <w:rPr>
          <w:rFonts w:cs="Times New Roman"/>
          <w:color w:val="000000" w:themeColor="text1"/>
          <w:lang w:val="en-US"/>
        </w:rPr>
        <w:t xml:space="preserve"> is avoided, </w:t>
      </w:r>
      <w:r w:rsidR="00EC5701" w:rsidRPr="009C5A84">
        <w:rPr>
          <w:rFonts w:cs="Times New Roman"/>
          <w:smallCaps/>
          <w:color w:val="000000" w:themeColor="text1"/>
          <w:lang w:val="en-US"/>
        </w:rPr>
        <w:t>lxx</w:t>
      </w:r>
      <w:r w:rsidRPr="009C5A84">
        <w:rPr>
          <w:rFonts w:cs="Times New Roman"/>
          <w:color w:val="000000" w:themeColor="text1"/>
          <w:lang w:val="en-US"/>
        </w:rPr>
        <w:t xml:space="preserve">-Isa 59:2, </w:t>
      </w:r>
      <w:r w:rsidR="00142A8D">
        <w:rPr>
          <w:rFonts w:cs="Times New Roman"/>
          <w:color w:val="000000" w:themeColor="text1"/>
          <w:lang w:val="en-US"/>
        </w:rPr>
        <w:t>God’s deafness</w:t>
      </w:r>
      <w:r w:rsidRPr="009C5A84">
        <w:rPr>
          <w:rFonts w:cs="Times New Roman"/>
          <w:color w:val="000000" w:themeColor="text1"/>
          <w:lang w:val="en-US"/>
        </w:rPr>
        <w:t>.</w:t>
      </w:r>
      <w:r w:rsidR="00484AF5" w:rsidRPr="009C5A84">
        <w:rPr>
          <w:rFonts w:cs="Times New Roman"/>
          <w:color w:val="000000" w:themeColor="text1"/>
          <w:lang w:val="en-US"/>
        </w:rPr>
        <w:t xml:space="preserve"> Similarly, in </w:t>
      </w:r>
      <w:r w:rsidR="00EC5701" w:rsidRPr="009C5A84">
        <w:rPr>
          <w:rFonts w:cs="Times New Roman"/>
          <w:smallCaps/>
          <w:color w:val="000000" w:themeColor="text1"/>
          <w:lang w:val="en-US"/>
        </w:rPr>
        <w:t>lxx</w:t>
      </w:r>
      <w:r w:rsidR="00484AF5" w:rsidRPr="009C5A84">
        <w:rPr>
          <w:rFonts w:cs="Times New Roman"/>
          <w:color w:val="000000" w:themeColor="text1"/>
          <w:lang w:val="en-US"/>
        </w:rPr>
        <w:t xml:space="preserve">-Jer 35:13, </w:t>
      </w:r>
      <w:r w:rsidR="00142A8D">
        <w:rPr>
          <w:rFonts w:cs="Times New Roman"/>
          <w:color w:val="000000" w:themeColor="text1"/>
          <w:lang w:val="en-US"/>
        </w:rPr>
        <w:t xml:space="preserve">God’s </w:t>
      </w:r>
      <w:proofErr w:type="spellStart"/>
      <w:r w:rsidR="00142A8D">
        <w:rPr>
          <w:rFonts w:cs="Times New Roman"/>
          <w:color w:val="000000" w:themeColor="text1"/>
          <w:lang w:val="en-US"/>
        </w:rPr>
        <w:t>deafness</w:t>
      </w:r>
      <w:r w:rsidR="00484AF5" w:rsidRPr="009C5A84">
        <w:rPr>
          <w:rFonts w:cs="Times New Roman"/>
          <w:color w:val="000000" w:themeColor="text1"/>
          <w:lang w:val="en-US"/>
        </w:rPr>
        <w:t xml:space="preserve"> </w:t>
      </w:r>
      <w:proofErr w:type="spellEnd"/>
      <w:r w:rsidR="00484AF5" w:rsidRPr="009C5A84">
        <w:rPr>
          <w:rFonts w:cs="Times New Roman"/>
          <w:color w:val="000000" w:themeColor="text1"/>
          <w:lang w:val="en-US"/>
        </w:rPr>
        <w:t xml:space="preserve">is replaced by God not </w:t>
      </w:r>
      <w:r w:rsidR="00484AF5" w:rsidRPr="009C5A84">
        <w:rPr>
          <w:rFonts w:cs="Times New Roman"/>
          <w:i/>
          <w:iCs/>
          <w:color w:val="000000" w:themeColor="text1"/>
          <w:lang w:val="en-US"/>
        </w:rPr>
        <w:t xml:space="preserve">wanting </w:t>
      </w:r>
      <w:r w:rsidR="00484AF5" w:rsidRPr="009C5A84">
        <w:rPr>
          <w:rFonts w:cs="Times New Roman"/>
          <w:color w:val="000000" w:themeColor="text1"/>
          <w:lang w:val="en-US"/>
        </w:rPr>
        <w:t xml:space="preserve">to hear (Gard, </w:t>
      </w:r>
      <w:r w:rsidR="00484AF5" w:rsidRPr="009C5A84">
        <w:rPr>
          <w:rFonts w:cs="Times New Roman"/>
          <w:i/>
          <w:iCs/>
          <w:color w:val="000000" w:themeColor="text1"/>
          <w:lang w:val="en-US"/>
        </w:rPr>
        <w:t>Exegetical Method</w:t>
      </w:r>
      <w:r w:rsidR="00484AF5" w:rsidRPr="009C5A84">
        <w:rPr>
          <w:rFonts w:cs="Times New Roman"/>
          <w:color w:val="000000" w:themeColor="text1"/>
          <w:lang w:val="en-US"/>
        </w:rPr>
        <w:t>, p. 42).</w:t>
      </w:r>
      <w:r w:rsidRPr="009C5A84">
        <w:rPr>
          <w:rFonts w:cs="Times New Roman"/>
          <w:color w:val="000000" w:themeColor="text1"/>
          <w:lang w:val="en-US"/>
        </w:rPr>
        <w:t xml:space="preserve"> </w:t>
      </w:r>
      <w:r w:rsidR="00142A8D">
        <w:rPr>
          <w:rFonts w:cs="Times New Roman"/>
          <w:color w:val="000000" w:themeColor="text1"/>
          <w:lang w:val="en-US"/>
        </w:rPr>
        <w:t>In</w:t>
      </w:r>
      <w:r w:rsidR="004801F8" w:rsidRPr="009C5A84">
        <w:rPr>
          <w:rFonts w:cs="Times New Roman"/>
          <w:color w:val="000000" w:themeColor="text1"/>
          <w:lang w:val="en-US"/>
        </w:rPr>
        <w:t xml:space="preserve"> </w:t>
      </w:r>
      <w:r w:rsidR="00EC5701" w:rsidRPr="009C5A84">
        <w:rPr>
          <w:rFonts w:cs="Times New Roman"/>
          <w:smallCaps/>
          <w:color w:val="000000" w:themeColor="text1"/>
          <w:lang w:val="en-US"/>
        </w:rPr>
        <w:t>lxx</w:t>
      </w:r>
      <w:r w:rsidR="00EC5701" w:rsidRPr="009C5A84">
        <w:rPr>
          <w:rFonts w:cs="Times New Roman"/>
          <w:color w:val="000000" w:themeColor="text1"/>
          <w:lang w:val="en-US"/>
        </w:rPr>
        <w:t>-</w:t>
      </w:r>
      <w:r w:rsidR="004801F8" w:rsidRPr="009C5A84">
        <w:rPr>
          <w:rFonts w:cs="Times New Roman"/>
          <w:color w:val="000000" w:themeColor="text1"/>
          <w:lang w:val="en-US"/>
        </w:rPr>
        <w:t xml:space="preserve">Amos 9:3, </w:t>
      </w:r>
      <w:r w:rsidR="00142A8D">
        <w:rPr>
          <w:rFonts w:cs="Times New Roman"/>
          <w:color w:val="000000" w:themeColor="text1"/>
          <w:lang w:val="en-US"/>
        </w:rPr>
        <w:t xml:space="preserve">God’s blindness/omniscience is targeted </w:t>
      </w:r>
      <w:r w:rsidR="00EC5701" w:rsidRPr="009C5A84">
        <w:rPr>
          <w:rFonts w:cs="Times New Roman"/>
          <w:color w:val="000000" w:themeColor="text1"/>
          <w:lang w:val="en-US"/>
        </w:rPr>
        <w:t>(</w:t>
      </w:r>
      <w:r w:rsidR="004801F8" w:rsidRPr="009C5A84">
        <w:rPr>
          <w:rFonts w:cs="Times New Roman"/>
          <w:color w:val="000000" w:themeColor="text1"/>
          <w:lang w:val="en-US"/>
        </w:rPr>
        <w:t xml:space="preserve">Glenny, </w:t>
      </w:r>
      <w:r w:rsidR="004801F8" w:rsidRPr="009C5A84">
        <w:rPr>
          <w:rFonts w:cs="Times New Roman"/>
          <w:i/>
          <w:iCs/>
          <w:color w:val="000000" w:themeColor="text1"/>
          <w:lang w:val="en-US"/>
        </w:rPr>
        <w:t>Finding Meaning in the Text</w:t>
      </w:r>
      <w:r w:rsidR="004801F8" w:rsidRPr="009C5A84">
        <w:rPr>
          <w:rFonts w:cs="Times New Roman"/>
          <w:color w:val="000000" w:themeColor="text1"/>
          <w:lang w:val="en-US"/>
        </w:rPr>
        <w:t>, 198</w:t>
      </w:r>
      <w:r w:rsidR="00D32AFB" w:rsidRPr="009C5A84">
        <w:rPr>
          <w:rFonts w:cs="Times New Roman"/>
          <w:color w:val="000000" w:themeColor="text1"/>
          <w:lang w:val="en-US"/>
        </w:rPr>
        <w:t>.</w:t>
      </w:r>
      <w:r w:rsidR="00EC5701" w:rsidRPr="009C5A84">
        <w:rPr>
          <w:rFonts w:cs="Times New Roman"/>
          <w:color w:val="000000" w:themeColor="text1"/>
          <w:lang w:val="en-US"/>
        </w:rPr>
        <w:t>)</w:t>
      </w:r>
      <w:r w:rsidR="00D32AFB" w:rsidRPr="009C5A84">
        <w:rPr>
          <w:rFonts w:cs="Times New Roman"/>
          <w:color w:val="000000" w:themeColor="text1"/>
          <w:lang w:val="en-US"/>
        </w:rPr>
        <w:t xml:space="preserve"> </w:t>
      </w:r>
      <w:proofErr w:type="gramStart"/>
      <w:r w:rsidR="00142A8D">
        <w:rPr>
          <w:rFonts w:cs="Times New Roman"/>
          <w:color w:val="000000" w:themeColor="text1"/>
          <w:lang w:val="en-US"/>
        </w:rPr>
        <w:t>Similarly</w:t>
      </w:r>
      <w:proofErr w:type="gramEnd"/>
      <w:r w:rsidR="00D32AFB" w:rsidRPr="009C5A84">
        <w:rPr>
          <w:rFonts w:cs="Times New Roman"/>
          <w:color w:val="000000" w:themeColor="text1"/>
          <w:lang w:val="en-US"/>
        </w:rPr>
        <w:t xml:space="preserve"> </w:t>
      </w:r>
      <w:r w:rsidR="00EC5701" w:rsidRPr="009C5A84">
        <w:rPr>
          <w:rFonts w:cs="Times New Roman"/>
          <w:smallCaps/>
          <w:color w:val="000000" w:themeColor="text1"/>
          <w:lang w:val="en-US"/>
        </w:rPr>
        <w:t>lxx</w:t>
      </w:r>
      <w:r w:rsidR="00D32AFB" w:rsidRPr="009C5A84">
        <w:rPr>
          <w:rFonts w:cs="Times New Roman"/>
          <w:color w:val="000000" w:themeColor="text1"/>
          <w:lang w:val="en-US"/>
        </w:rPr>
        <w:t>-Hos 8:4</w:t>
      </w:r>
      <w:r w:rsidR="00142A8D">
        <w:rPr>
          <w:rFonts w:cs="Times New Roman"/>
          <w:color w:val="000000" w:themeColor="text1"/>
          <w:lang w:val="en-US"/>
        </w:rPr>
        <w:t xml:space="preserve">, where </w:t>
      </w:r>
      <w:r w:rsidR="00142A8D">
        <w:rPr>
          <w:rFonts w:cs="Times New Roman"/>
          <w:smallCaps/>
          <w:color w:val="000000" w:themeColor="text1"/>
          <w:lang w:val="en-US"/>
        </w:rPr>
        <w:t xml:space="preserve">mt </w:t>
      </w:r>
      <w:r w:rsidR="00D32AFB" w:rsidRPr="009C5A84">
        <w:rPr>
          <w:rFonts w:cs="Times New Roman"/>
          <w:color w:val="000000" w:themeColor="text1"/>
          <w:lang w:val="en-US"/>
        </w:rPr>
        <w:t xml:space="preserve">recalls how Israel has </w:t>
      </w:r>
      <w:r w:rsidR="00484AF5" w:rsidRPr="009C5A84">
        <w:rPr>
          <w:rFonts w:cs="Times New Roman"/>
          <w:color w:val="000000" w:themeColor="text1"/>
          <w:lang w:val="en-US"/>
        </w:rPr>
        <w:t>appointed princes</w:t>
      </w:r>
      <w:r w:rsidR="00D32AFB" w:rsidRPr="009C5A84">
        <w:rPr>
          <w:rFonts w:cs="Times New Roman"/>
          <w:color w:val="000000" w:themeColor="text1"/>
          <w:lang w:val="en-US"/>
        </w:rPr>
        <w:t xml:space="preserve"> “without God’s knowing”, whereas</w:t>
      </w:r>
      <w:r w:rsidR="00484AF5" w:rsidRPr="009C5A84">
        <w:rPr>
          <w:rFonts w:cs="Times New Roman"/>
          <w:color w:val="000000" w:themeColor="text1"/>
          <w:lang w:val="en-US"/>
        </w:rPr>
        <w:t xml:space="preserve"> in</w:t>
      </w:r>
      <w:r w:rsidR="00D32AFB" w:rsidRPr="009C5A84">
        <w:rPr>
          <w:rFonts w:cs="Times New Roman"/>
          <w:color w:val="000000" w:themeColor="text1"/>
          <w:lang w:val="en-US"/>
        </w:rPr>
        <w:t xml:space="preserve"> </w:t>
      </w:r>
      <w:r w:rsidR="00D32AFB" w:rsidRPr="009C5A84">
        <w:rPr>
          <w:rFonts w:cs="Times New Roman"/>
          <w:smallCaps/>
          <w:color w:val="000000" w:themeColor="text1"/>
          <w:lang w:val="en-US"/>
        </w:rPr>
        <w:t>lxx</w:t>
      </w:r>
      <w:r w:rsidR="00484AF5" w:rsidRPr="009C5A84">
        <w:rPr>
          <w:rFonts w:cs="Times New Roman"/>
          <w:color w:val="000000" w:themeColor="text1"/>
          <w:lang w:val="en-US"/>
        </w:rPr>
        <w:t>, they do so “without informing God of it</w:t>
      </w:r>
      <w:r w:rsidR="00142A8D">
        <w:rPr>
          <w:rFonts w:cs="Times New Roman"/>
          <w:color w:val="000000" w:themeColor="text1"/>
          <w:lang w:val="en-US"/>
        </w:rPr>
        <w:t>.</w:t>
      </w:r>
      <w:r w:rsidR="00484AF5" w:rsidRPr="009C5A84">
        <w:rPr>
          <w:rFonts w:cs="Times New Roman"/>
          <w:color w:val="000000" w:themeColor="text1"/>
          <w:lang w:val="en-US"/>
        </w:rPr>
        <w:t>”</w:t>
      </w:r>
      <w:r w:rsidR="00A33F53" w:rsidRPr="009C5A84">
        <w:rPr>
          <w:rFonts w:cs="Times New Roman"/>
          <w:color w:val="000000" w:themeColor="text1"/>
          <w:lang w:val="en-US"/>
        </w:rPr>
        <w:t xml:space="preserve"> (Bons</w:t>
      </w:r>
      <w:r w:rsidR="00EC5701" w:rsidRPr="009C5A84">
        <w:rPr>
          <w:rFonts w:cs="Times New Roman"/>
          <w:color w:val="000000" w:themeColor="text1"/>
          <w:lang w:val="en-US"/>
        </w:rPr>
        <w:t xml:space="preserve">, </w:t>
      </w:r>
      <w:r w:rsidR="00EC5701" w:rsidRPr="009C5A84">
        <w:rPr>
          <w:rFonts w:cs="Times New Roman"/>
          <w:i/>
          <w:iCs/>
          <w:color w:val="000000" w:themeColor="text1"/>
          <w:lang w:val="en-US"/>
        </w:rPr>
        <w:t xml:space="preserve">La </w:t>
      </w:r>
      <w:proofErr w:type="spellStart"/>
      <w:r w:rsidR="00EC5701" w:rsidRPr="009C5A84">
        <w:rPr>
          <w:rFonts w:cs="Times New Roman"/>
          <w:i/>
          <w:iCs/>
          <w:color w:val="000000" w:themeColor="text1"/>
          <w:lang w:val="en-US"/>
        </w:rPr>
        <w:t>Settanta</w:t>
      </w:r>
      <w:proofErr w:type="spellEnd"/>
      <w:r w:rsidR="00EC5701" w:rsidRPr="009C5A84">
        <w:rPr>
          <w:rFonts w:cs="Times New Roman"/>
          <w:color w:val="000000" w:themeColor="text1"/>
          <w:lang w:val="en-US"/>
        </w:rPr>
        <w:t>,</w:t>
      </w:r>
      <w:r w:rsidR="00A33F53" w:rsidRPr="009C5A84">
        <w:rPr>
          <w:rFonts w:cs="Times New Roman"/>
          <w:color w:val="000000" w:themeColor="text1"/>
          <w:lang w:val="en-US"/>
        </w:rPr>
        <w:t xml:space="preserve"> 29). In </w:t>
      </w:r>
      <w:r w:rsidR="00EC5701" w:rsidRPr="009C5A84">
        <w:rPr>
          <w:rFonts w:cs="Times New Roman"/>
          <w:smallCaps/>
          <w:color w:val="000000" w:themeColor="text1"/>
          <w:lang w:val="en-US"/>
        </w:rPr>
        <w:t>lxx</w:t>
      </w:r>
      <w:r w:rsidR="00A33F53" w:rsidRPr="009C5A84">
        <w:rPr>
          <w:rFonts w:cs="Times New Roman"/>
          <w:color w:val="000000" w:themeColor="text1"/>
          <w:lang w:val="en-US"/>
        </w:rPr>
        <w:t>-Hab 1:13 God’s being mute (“why do you remain mute” is changed into a lighter “why do you not mention”) appears</w:t>
      </w:r>
      <w:r w:rsidR="003943E8">
        <w:rPr>
          <w:rFonts w:cs="Times New Roman"/>
          <w:color w:val="000000" w:themeColor="text1"/>
          <w:lang w:val="en-US"/>
        </w:rPr>
        <w:t xml:space="preserve"> </w:t>
      </w:r>
      <w:r w:rsidR="00A33F53" w:rsidRPr="009C5A84">
        <w:rPr>
          <w:rFonts w:cs="Times New Roman"/>
          <w:color w:val="000000" w:themeColor="text1"/>
          <w:lang w:val="en-US"/>
        </w:rPr>
        <w:t>avoided.</w:t>
      </w:r>
    </w:p>
  </w:footnote>
  <w:footnote w:id="119">
    <w:p w14:paraId="2CBE8EAC" w14:textId="33C5CD11" w:rsidR="004D329D" w:rsidRPr="009C5A84" w:rsidRDefault="004D329D"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nl-NL"/>
        </w:rPr>
      </w:pPr>
      <w:r w:rsidRPr="009C5A84">
        <w:rPr>
          <w:rStyle w:val="Voetnootmarkering"/>
          <w:rFonts w:ascii="Times New Roman" w:hAnsi="Times New Roman" w:cs="Times New Roman"/>
          <w:color w:val="000000" w:themeColor="text1"/>
          <w:sz w:val="20"/>
          <w:szCs w:val="20"/>
        </w:rPr>
        <w:footnoteRef/>
      </w:r>
      <w:r w:rsidRPr="009C5A84">
        <w:rPr>
          <w:rFonts w:ascii="Times New Roman" w:hAnsi="Times New Roman" w:cs="Times New Roman"/>
          <w:color w:val="000000" w:themeColor="text1"/>
          <w:sz w:val="20"/>
          <w:szCs w:val="20"/>
        </w:rPr>
        <w:t xml:space="preserve"> </w:t>
      </w:r>
      <w:r w:rsidRPr="00142A8D">
        <w:rPr>
          <w:rFonts w:ascii="Times New Roman" w:hAnsi="Times New Roman" w:cs="Times New Roman"/>
          <w:color w:val="000000" w:themeColor="text1"/>
          <w:sz w:val="20"/>
          <w:szCs w:val="20"/>
          <w:lang w:val="nl-NL"/>
        </w:rPr>
        <w:t>C</w:t>
      </w:r>
      <w:r w:rsidR="00142A8D" w:rsidRPr="00142A8D">
        <w:rPr>
          <w:rFonts w:ascii="Times New Roman" w:hAnsi="Times New Roman" w:cs="Times New Roman"/>
          <w:color w:val="000000" w:themeColor="text1"/>
          <w:sz w:val="20"/>
          <w:szCs w:val="20"/>
          <w:lang w:val="nl-NL"/>
        </w:rPr>
        <w:t>hiara</w:t>
      </w:r>
      <w:r w:rsidRPr="00142A8D">
        <w:rPr>
          <w:rFonts w:ascii="Times New Roman" w:hAnsi="Times New Roman" w:cs="Times New Roman"/>
          <w:color w:val="000000" w:themeColor="text1"/>
          <w:sz w:val="20"/>
          <w:szCs w:val="20"/>
          <w:lang w:val="nl-NL"/>
        </w:rPr>
        <w:t xml:space="preserve"> </w:t>
      </w:r>
      <w:proofErr w:type="spellStart"/>
      <w:r w:rsidR="00EC5701" w:rsidRPr="00142A8D">
        <w:rPr>
          <w:rFonts w:ascii="Times New Roman" w:hAnsi="Times New Roman" w:cs="Times New Roman"/>
          <w:color w:val="000000" w:themeColor="text1"/>
          <w:sz w:val="20"/>
          <w:szCs w:val="20"/>
          <w:lang w:val="nl-NL"/>
        </w:rPr>
        <w:t>Zanchi</w:t>
      </w:r>
      <w:proofErr w:type="spellEnd"/>
      <w:r w:rsidRPr="00142A8D">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nl-NL"/>
        </w:rPr>
        <w:t xml:space="preserve"> “New </w:t>
      </w:r>
      <w:proofErr w:type="spellStart"/>
      <w:r w:rsidRPr="009C5A84">
        <w:rPr>
          <w:rFonts w:ascii="Times New Roman" w:hAnsi="Times New Roman" w:cs="Times New Roman"/>
          <w:color w:val="000000" w:themeColor="text1"/>
          <w:sz w:val="20"/>
          <w:szCs w:val="20"/>
          <w:lang w:val="nl-NL"/>
        </w:rPr>
        <w:t>Evidence</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color w:val="000000" w:themeColor="text1"/>
          <w:sz w:val="20"/>
          <w:szCs w:val="20"/>
          <w:lang w:val="nl-NL"/>
        </w:rPr>
        <w:t>for</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color w:val="000000" w:themeColor="text1"/>
          <w:sz w:val="20"/>
          <w:szCs w:val="20"/>
          <w:lang w:val="nl-NL"/>
        </w:rPr>
        <w:t>the</w:t>
      </w:r>
      <w:proofErr w:type="spellEnd"/>
      <w:r w:rsidRPr="009C5A84">
        <w:rPr>
          <w:rFonts w:ascii="Times New Roman" w:hAnsi="Times New Roman" w:cs="Times New Roman"/>
          <w:color w:val="000000" w:themeColor="text1"/>
          <w:sz w:val="20"/>
          <w:szCs w:val="20"/>
          <w:lang w:val="nl-NL"/>
        </w:rPr>
        <w:t xml:space="preserve"> Source–Goal </w:t>
      </w:r>
      <w:proofErr w:type="spellStart"/>
      <w:r w:rsidRPr="009C5A84">
        <w:rPr>
          <w:rFonts w:ascii="Times New Roman" w:hAnsi="Times New Roman" w:cs="Times New Roman"/>
          <w:color w:val="000000" w:themeColor="text1"/>
          <w:sz w:val="20"/>
          <w:szCs w:val="20"/>
          <w:lang w:val="nl-NL"/>
        </w:rPr>
        <w:t>Asymmetry</w:t>
      </w:r>
      <w:proofErr w:type="spellEnd"/>
      <w:r w:rsidRPr="009C5A84">
        <w:rPr>
          <w:rFonts w:ascii="Times New Roman" w:hAnsi="Times New Roman" w:cs="Times New Roman"/>
          <w:color w:val="000000" w:themeColor="text1"/>
          <w:sz w:val="20"/>
          <w:szCs w:val="20"/>
          <w:lang w:val="nl-NL"/>
        </w:rPr>
        <w:t xml:space="preserve">: Ancient </w:t>
      </w:r>
      <w:proofErr w:type="spellStart"/>
      <w:r w:rsidRPr="009C5A84">
        <w:rPr>
          <w:rFonts w:ascii="Times New Roman" w:hAnsi="Times New Roman" w:cs="Times New Roman"/>
          <w:color w:val="000000" w:themeColor="text1"/>
          <w:sz w:val="20"/>
          <w:szCs w:val="20"/>
          <w:lang w:val="nl-NL"/>
        </w:rPr>
        <w:t>Greek</w:t>
      </w:r>
      <w:proofErr w:type="spellEnd"/>
      <w:r w:rsidRPr="009C5A84">
        <w:rPr>
          <w:rFonts w:ascii="Times New Roman" w:hAnsi="Times New Roman" w:cs="Times New Roman"/>
          <w:color w:val="000000" w:themeColor="text1"/>
          <w:sz w:val="20"/>
          <w:szCs w:val="20"/>
          <w:lang w:val="nl-NL"/>
        </w:rPr>
        <w:t xml:space="preserve"> </w:t>
      </w:r>
      <w:proofErr w:type="spellStart"/>
      <w:r w:rsidRPr="009C5A84">
        <w:rPr>
          <w:rFonts w:ascii="Times New Roman" w:hAnsi="Times New Roman" w:cs="Times New Roman"/>
          <w:color w:val="000000" w:themeColor="text1"/>
          <w:sz w:val="20"/>
          <w:szCs w:val="20"/>
          <w:lang w:val="nl-NL"/>
        </w:rPr>
        <w:t>Preverbs</w:t>
      </w:r>
      <w:proofErr w:type="spellEnd"/>
      <w:r w:rsidRPr="009C5A84">
        <w:rPr>
          <w:rFonts w:ascii="Times New Roman" w:hAnsi="Times New Roman" w:cs="Times New Roman"/>
          <w:color w:val="000000" w:themeColor="text1"/>
          <w:sz w:val="20"/>
          <w:szCs w:val="20"/>
          <w:lang w:val="nl-NL"/>
        </w:rPr>
        <w:t>”, in</w:t>
      </w:r>
      <w:r w:rsidR="00EC5701" w:rsidRPr="009C5A84">
        <w:rPr>
          <w:rFonts w:ascii="Times New Roman" w:hAnsi="Times New Roman" w:cs="Times New Roman"/>
          <w:color w:val="000000" w:themeColor="text1"/>
          <w:sz w:val="20"/>
          <w:szCs w:val="20"/>
          <w:lang w:val="nl-NL"/>
        </w:rPr>
        <w:t xml:space="preserve"> </w:t>
      </w:r>
      <w:r w:rsidR="00EC5701" w:rsidRPr="009C5A84">
        <w:rPr>
          <w:rFonts w:ascii="Times New Roman" w:hAnsi="Times New Roman" w:cs="Times New Roman"/>
          <w:i/>
          <w:iCs/>
          <w:color w:val="000000" w:themeColor="text1"/>
          <w:sz w:val="20"/>
          <w:szCs w:val="20"/>
          <w:lang w:val="nl-NL"/>
        </w:rPr>
        <w:t xml:space="preserve">Space in </w:t>
      </w:r>
      <w:proofErr w:type="spellStart"/>
      <w:r w:rsidR="00EC5701" w:rsidRPr="009C5A84">
        <w:rPr>
          <w:rFonts w:ascii="Times New Roman" w:hAnsi="Times New Roman" w:cs="Times New Roman"/>
          <w:i/>
          <w:iCs/>
          <w:color w:val="000000" w:themeColor="text1"/>
          <w:sz w:val="20"/>
          <w:szCs w:val="20"/>
          <w:lang w:val="nl-NL"/>
        </w:rPr>
        <w:t>Diachrony</w:t>
      </w:r>
      <w:proofErr w:type="spellEnd"/>
      <w:r w:rsidR="00142A8D">
        <w:rPr>
          <w:rFonts w:ascii="Times New Roman" w:hAnsi="Times New Roman" w:cs="Times New Roman"/>
          <w:color w:val="000000" w:themeColor="text1"/>
          <w:sz w:val="20"/>
          <w:szCs w:val="20"/>
          <w:lang w:val="nl-NL"/>
        </w:rPr>
        <w:t xml:space="preserve">, </w:t>
      </w:r>
      <w:r w:rsidR="00EC5701" w:rsidRPr="009C5A84">
        <w:rPr>
          <w:rFonts w:ascii="Times New Roman" w:hAnsi="Times New Roman" w:cs="Times New Roman"/>
          <w:color w:val="000000" w:themeColor="text1"/>
          <w:sz w:val="20"/>
          <w:szCs w:val="20"/>
          <w:lang w:val="nl-NL"/>
        </w:rPr>
        <w:t>ed.</w:t>
      </w:r>
      <w:r w:rsidRPr="009C5A84">
        <w:rPr>
          <w:rFonts w:ascii="Times New Roman" w:hAnsi="Times New Roman" w:cs="Times New Roman"/>
          <w:color w:val="000000" w:themeColor="text1"/>
          <w:sz w:val="20"/>
          <w:szCs w:val="20"/>
          <w:lang w:val="nl-NL"/>
        </w:rPr>
        <w:t xml:space="preserve"> S. </w:t>
      </w:r>
      <w:proofErr w:type="spellStart"/>
      <w:r w:rsidR="00EC5701" w:rsidRPr="009C5A84">
        <w:rPr>
          <w:rFonts w:ascii="Times New Roman" w:hAnsi="Times New Roman" w:cs="Times New Roman"/>
          <w:color w:val="000000" w:themeColor="text1"/>
          <w:sz w:val="20"/>
          <w:szCs w:val="20"/>
          <w:lang w:val="nl-NL"/>
        </w:rPr>
        <w:t>Luraghi</w:t>
      </w:r>
      <w:proofErr w:type="spellEnd"/>
      <w:r w:rsidR="00EC5701" w:rsidRPr="009C5A84">
        <w:rPr>
          <w:rFonts w:ascii="Times New Roman" w:hAnsi="Times New Roman" w:cs="Times New Roman"/>
          <w:color w:val="000000" w:themeColor="text1"/>
          <w:sz w:val="20"/>
          <w:szCs w:val="20"/>
          <w:lang w:val="nl-NL"/>
        </w:rPr>
        <w:t xml:space="preserve"> et al </w:t>
      </w:r>
      <w:r w:rsidR="00142A8D">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nl-NL"/>
        </w:rPr>
        <w:t>Amsterdam</w:t>
      </w:r>
      <w:r w:rsidR="00EC5701" w:rsidRPr="009C5A84">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nl-NL"/>
        </w:rPr>
        <w:t xml:space="preserve"> John Benjamins, 2017</w:t>
      </w:r>
      <w:r w:rsidR="00EC5701" w:rsidRPr="009C5A84">
        <w:rPr>
          <w:rFonts w:ascii="Times New Roman" w:hAnsi="Times New Roman" w:cs="Times New Roman"/>
          <w:color w:val="000000" w:themeColor="text1"/>
          <w:sz w:val="20"/>
          <w:szCs w:val="20"/>
          <w:lang w:val="nl-NL"/>
        </w:rPr>
        <w:t>)</w:t>
      </w:r>
      <w:r w:rsidRPr="009C5A84">
        <w:rPr>
          <w:rFonts w:ascii="Times New Roman" w:hAnsi="Times New Roman" w:cs="Times New Roman"/>
          <w:color w:val="000000" w:themeColor="text1"/>
          <w:sz w:val="20"/>
          <w:szCs w:val="20"/>
          <w:lang w:val="nl-NL"/>
        </w:rPr>
        <w:t>, 147-78.</w:t>
      </w:r>
    </w:p>
  </w:footnote>
  <w:footnote w:id="120">
    <w:p w14:paraId="32BEAD45" w14:textId="5394FF33" w:rsidR="004D329D" w:rsidRPr="009C5A84" w:rsidRDefault="004D329D"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sz w:val="20"/>
          <w:szCs w:val="20"/>
          <w:lang w:val="nl-NL"/>
        </w:rPr>
      </w:pPr>
      <w:r w:rsidRPr="009C5A84">
        <w:rPr>
          <w:rStyle w:val="Voetnootmarkering"/>
          <w:rFonts w:ascii="Times New Roman" w:hAnsi="Times New Roman" w:cs="Times New Roman"/>
          <w:color w:val="000000" w:themeColor="text1"/>
          <w:sz w:val="20"/>
          <w:szCs w:val="20"/>
        </w:rPr>
        <w:footnoteRef/>
      </w:r>
      <w:r w:rsidRPr="009C5A84">
        <w:rPr>
          <w:rFonts w:ascii="Times New Roman" w:hAnsi="Times New Roman" w:cs="Times New Roman"/>
          <w:color w:val="000000" w:themeColor="text1"/>
          <w:sz w:val="20"/>
          <w:szCs w:val="20"/>
        </w:rPr>
        <w:t xml:space="preserve"> </w:t>
      </w:r>
      <w:r w:rsidR="00EC5701" w:rsidRPr="009C5A84">
        <w:rPr>
          <w:rFonts w:ascii="Times New Roman" w:hAnsi="Times New Roman" w:cs="Times New Roman"/>
          <w:color w:val="000000" w:themeColor="text1"/>
          <w:sz w:val="20"/>
          <w:szCs w:val="20"/>
        </w:rPr>
        <w:t xml:space="preserve">Silvia Luraghi, </w:t>
      </w:r>
      <w:r w:rsidR="00EC5701" w:rsidRPr="009C5A84">
        <w:rPr>
          <w:rFonts w:ascii="Times New Roman" w:hAnsi="Times New Roman" w:cs="Times New Roman"/>
          <w:i/>
          <w:iCs/>
          <w:color w:val="000000" w:themeColor="text1"/>
          <w:sz w:val="20"/>
          <w:szCs w:val="20"/>
          <w:lang w:val="nl-NL"/>
        </w:rPr>
        <w:t xml:space="preserve">On </w:t>
      </w:r>
      <w:proofErr w:type="spellStart"/>
      <w:r w:rsidR="00EC5701" w:rsidRPr="009C5A84">
        <w:rPr>
          <w:rFonts w:ascii="Times New Roman" w:hAnsi="Times New Roman" w:cs="Times New Roman"/>
          <w:i/>
          <w:iCs/>
          <w:color w:val="000000" w:themeColor="text1"/>
          <w:sz w:val="20"/>
          <w:szCs w:val="20"/>
          <w:lang w:val="nl-NL"/>
        </w:rPr>
        <w:t>the</w:t>
      </w:r>
      <w:proofErr w:type="spellEnd"/>
      <w:r w:rsidR="00EC5701" w:rsidRPr="009C5A84">
        <w:rPr>
          <w:rFonts w:ascii="Times New Roman" w:hAnsi="Times New Roman" w:cs="Times New Roman"/>
          <w:i/>
          <w:iCs/>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Meaning</w:t>
      </w:r>
      <w:proofErr w:type="spellEnd"/>
      <w:r w:rsidR="00EC5701" w:rsidRPr="009C5A84">
        <w:rPr>
          <w:rFonts w:ascii="Times New Roman" w:hAnsi="Times New Roman" w:cs="Times New Roman"/>
          <w:i/>
          <w:iCs/>
          <w:color w:val="000000" w:themeColor="text1"/>
          <w:sz w:val="20"/>
          <w:szCs w:val="20"/>
          <w:lang w:val="nl-NL"/>
        </w:rPr>
        <w:t xml:space="preserve"> of </w:t>
      </w:r>
      <w:proofErr w:type="spellStart"/>
      <w:r w:rsidR="00EC5701" w:rsidRPr="009C5A84">
        <w:rPr>
          <w:rFonts w:ascii="Times New Roman" w:hAnsi="Times New Roman" w:cs="Times New Roman"/>
          <w:i/>
          <w:iCs/>
          <w:color w:val="000000" w:themeColor="text1"/>
          <w:sz w:val="20"/>
          <w:szCs w:val="20"/>
          <w:lang w:val="nl-NL"/>
        </w:rPr>
        <w:t>Prepositions</w:t>
      </w:r>
      <w:proofErr w:type="spellEnd"/>
      <w:r w:rsidR="00EC5701" w:rsidRPr="009C5A84">
        <w:rPr>
          <w:rFonts w:ascii="Times New Roman" w:hAnsi="Times New Roman" w:cs="Times New Roman"/>
          <w:i/>
          <w:iCs/>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and</w:t>
      </w:r>
      <w:proofErr w:type="spellEnd"/>
      <w:r w:rsidR="00EC5701" w:rsidRPr="009C5A84">
        <w:rPr>
          <w:rFonts w:ascii="Times New Roman" w:hAnsi="Times New Roman" w:cs="Times New Roman"/>
          <w:i/>
          <w:iCs/>
          <w:color w:val="000000" w:themeColor="text1"/>
          <w:sz w:val="20"/>
          <w:szCs w:val="20"/>
          <w:lang w:val="nl-NL"/>
        </w:rPr>
        <w:t xml:space="preserve"> Cases: The </w:t>
      </w:r>
      <w:proofErr w:type="spellStart"/>
      <w:r w:rsidR="00EC5701" w:rsidRPr="009C5A84">
        <w:rPr>
          <w:rFonts w:ascii="Times New Roman" w:hAnsi="Times New Roman" w:cs="Times New Roman"/>
          <w:i/>
          <w:iCs/>
          <w:color w:val="000000" w:themeColor="text1"/>
          <w:sz w:val="20"/>
          <w:szCs w:val="20"/>
          <w:lang w:val="nl-NL"/>
        </w:rPr>
        <w:t>Expression</w:t>
      </w:r>
      <w:proofErr w:type="spellEnd"/>
      <w:r w:rsidR="00EC5701" w:rsidRPr="009C5A84">
        <w:rPr>
          <w:rFonts w:ascii="Times New Roman" w:hAnsi="Times New Roman" w:cs="Times New Roman"/>
          <w:i/>
          <w:iCs/>
          <w:color w:val="000000" w:themeColor="text1"/>
          <w:sz w:val="20"/>
          <w:szCs w:val="20"/>
          <w:lang w:val="nl-NL"/>
        </w:rPr>
        <w:t xml:space="preserve"> of </w:t>
      </w:r>
      <w:proofErr w:type="spellStart"/>
      <w:r w:rsidR="00EC5701" w:rsidRPr="009C5A84">
        <w:rPr>
          <w:rFonts w:ascii="Times New Roman" w:hAnsi="Times New Roman" w:cs="Times New Roman"/>
          <w:i/>
          <w:iCs/>
          <w:color w:val="000000" w:themeColor="text1"/>
          <w:sz w:val="20"/>
          <w:szCs w:val="20"/>
          <w:lang w:val="nl-NL"/>
        </w:rPr>
        <w:t>Semantic</w:t>
      </w:r>
      <w:proofErr w:type="spellEnd"/>
      <w:r w:rsidR="00EC5701" w:rsidRPr="009C5A84">
        <w:rPr>
          <w:rFonts w:ascii="Times New Roman" w:hAnsi="Times New Roman" w:cs="Times New Roman"/>
          <w:i/>
          <w:iCs/>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Roles</w:t>
      </w:r>
      <w:proofErr w:type="spellEnd"/>
      <w:r w:rsidR="00EC5701" w:rsidRPr="009C5A84">
        <w:rPr>
          <w:rFonts w:ascii="Times New Roman" w:hAnsi="Times New Roman" w:cs="Times New Roman"/>
          <w:i/>
          <w:iCs/>
          <w:color w:val="000000" w:themeColor="text1"/>
          <w:sz w:val="20"/>
          <w:szCs w:val="20"/>
          <w:lang w:val="nl-NL"/>
        </w:rPr>
        <w:t xml:space="preserve"> in Ancient </w:t>
      </w:r>
      <w:proofErr w:type="spellStart"/>
      <w:r w:rsidR="00EC5701" w:rsidRPr="009C5A84">
        <w:rPr>
          <w:rFonts w:ascii="Times New Roman" w:hAnsi="Times New Roman" w:cs="Times New Roman"/>
          <w:i/>
          <w:iCs/>
          <w:color w:val="000000" w:themeColor="text1"/>
          <w:sz w:val="20"/>
          <w:szCs w:val="20"/>
          <w:lang w:val="nl-NL"/>
        </w:rPr>
        <w:t>Greek</w:t>
      </w:r>
      <w:proofErr w:type="spellEnd"/>
      <w:r w:rsidR="00EC5701" w:rsidRPr="009C5A84">
        <w:rPr>
          <w:rFonts w:ascii="Times New Roman" w:hAnsi="Times New Roman" w:cs="Times New Roman"/>
          <w:color w:val="000000" w:themeColor="text1"/>
          <w:sz w:val="20"/>
          <w:szCs w:val="20"/>
          <w:lang w:val="nl-NL"/>
        </w:rPr>
        <w:t xml:space="preserve"> (Studies in Language Companion Series 67; Amsterdam, John Benjamins Publishing Company, 2003), </w:t>
      </w:r>
      <w:r w:rsidRPr="009C5A84">
        <w:rPr>
          <w:rFonts w:ascii="Times New Roman" w:hAnsi="Times New Roman" w:cs="Times New Roman"/>
          <w:color w:val="000000" w:themeColor="text1"/>
          <w:sz w:val="20"/>
          <w:szCs w:val="20"/>
          <w:lang w:val="nl-NL"/>
        </w:rPr>
        <w:t>289;</w:t>
      </w:r>
      <w:r w:rsidR="00EC5701" w:rsidRPr="009C5A84">
        <w:rPr>
          <w:rFonts w:ascii="Times New Roman" w:hAnsi="Times New Roman" w:cs="Times New Roman"/>
          <w:color w:val="000000" w:themeColor="text1"/>
          <w:sz w:val="20"/>
          <w:szCs w:val="20"/>
          <w:lang w:val="nl-NL"/>
        </w:rPr>
        <w:t xml:space="preserve"> </w:t>
      </w:r>
      <w:r w:rsidR="00EC5701" w:rsidRPr="00142A8D">
        <w:rPr>
          <w:rFonts w:ascii="Times New Roman" w:hAnsi="Times New Roman" w:cs="Times New Roman"/>
          <w:color w:val="000000" w:themeColor="text1"/>
          <w:sz w:val="20"/>
          <w:szCs w:val="20"/>
          <w:lang w:val="nl-NL"/>
        </w:rPr>
        <w:t>F</w:t>
      </w:r>
      <w:r w:rsidR="00142A8D" w:rsidRPr="00142A8D">
        <w:rPr>
          <w:rFonts w:ascii="Times New Roman" w:hAnsi="Times New Roman" w:cs="Times New Roman"/>
          <w:color w:val="000000" w:themeColor="text1"/>
          <w:sz w:val="20"/>
          <w:szCs w:val="20"/>
          <w:lang w:val="nl-NL"/>
        </w:rPr>
        <w:t>abian</w:t>
      </w:r>
      <w:r w:rsidR="00EC5701" w:rsidRPr="00142A8D">
        <w:rPr>
          <w:rFonts w:ascii="Times New Roman" w:hAnsi="Times New Roman" w:cs="Times New Roman"/>
          <w:color w:val="000000" w:themeColor="text1"/>
          <w:sz w:val="20"/>
          <w:szCs w:val="20"/>
          <w:lang w:val="nl-NL"/>
        </w:rPr>
        <w:t xml:space="preserve"> </w:t>
      </w:r>
      <w:r w:rsidR="00EC5701" w:rsidRPr="009C5A84">
        <w:rPr>
          <w:rFonts w:ascii="Times New Roman" w:hAnsi="Times New Roman" w:cs="Times New Roman"/>
          <w:color w:val="000000" w:themeColor="text1"/>
          <w:sz w:val="20"/>
          <w:szCs w:val="20"/>
          <w:lang w:val="nl-NL"/>
        </w:rPr>
        <w:t>Horn, “</w:t>
      </w:r>
      <w:proofErr w:type="spellStart"/>
      <w:r w:rsidR="00EC5701" w:rsidRPr="009C5A84">
        <w:rPr>
          <w:rFonts w:ascii="Times New Roman" w:hAnsi="Times New Roman" w:cs="Times New Roman"/>
          <w:color w:val="000000" w:themeColor="text1"/>
          <w:sz w:val="20"/>
          <w:szCs w:val="20"/>
          <w:lang w:val="nl-NL"/>
        </w:rPr>
        <w:t>Metaphor</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color w:val="000000" w:themeColor="text1"/>
          <w:sz w:val="20"/>
          <w:szCs w:val="20"/>
          <w:lang w:val="nl-NL"/>
        </w:rPr>
        <w:t>and</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color w:val="000000" w:themeColor="text1"/>
          <w:sz w:val="20"/>
          <w:szCs w:val="20"/>
          <w:lang w:val="nl-NL"/>
        </w:rPr>
        <w:t>Spatial</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color w:val="000000" w:themeColor="text1"/>
          <w:sz w:val="20"/>
          <w:szCs w:val="20"/>
          <w:lang w:val="nl-NL"/>
        </w:rPr>
        <w:t>Conceptualization</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color w:val="000000" w:themeColor="text1"/>
          <w:sz w:val="20"/>
          <w:szCs w:val="20"/>
          <w:lang w:val="nl-NL"/>
        </w:rPr>
        <w:t>Observations</w:t>
      </w:r>
      <w:proofErr w:type="spellEnd"/>
      <w:r w:rsidR="00EC5701" w:rsidRPr="009C5A84">
        <w:rPr>
          <w:rFonts w:ascii="Times New Roman" w:hAnsi="Times New Roman" w:cs="Times New Roman"/>
          <w:color w:val="000000" w:themeColor="text1"/>
          <w:sz w:val="20"/>
          <w:szCs w:val="20"/>
          <w:lang w:val="nl-NL"/>
        </w:rPr>
        <w:t xml:space="preserve"> on </w:t>
      </w:r>
      <w:proofErr w:type="spellStart"/>
      <w:r w:rsidR="00EC5701" w:rsidRPr="009C5A84">
        <w:rPr>
          <w:rFonts w:ascii="Times New Roman" w:hAnsi="Times New Roman" w:cs="Times New Roman"/>
          <w:color w:val="000000" w:themeColor="text1"/>
          <w:sz w:val="20"/>
          <w:szCs w:val="20"/>
          <w:lang w:val="nl-NL"/>
        </w:rPr>
        <w:t>Orientational</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color w:val="000000" w:themeColor="text1"/>
          <w:sz w:val="20"/>
          <w:szCs w:val="20"/>
          <w:lang w:val="nl-NL"/>
        </w:rPr>
        <w:t>Metaphors</w:t>
      </w:r>
      <w:proofErr w:type="spellEnd"/>
      <w:r w:rsidR="00EC5701" w:rsidRPr="009C5A84">
        <w:rPr>
          <w:rFonts w:ascii="Times New Roman" w:hAnsi="Times New Roman" w:cs="Times New Roman"/>
          <w:color w:val="000000" w:themeColor="text1"/>
          <w:sz w:val="20"/>
          <w:szCs w:val="20"/>
          <w:lang w:val="nl-NL"/>
        </w:rPr>
        <w:t xml:space="preserve"> in </w:t>
      </w:r>
      <w:proofErr w:type="spellStart"/>
      <w:r w:rsidR="00EC5701" w:rsidRPr="009C5A84">
        <w:rPr>
          <w:rFonts w:ascii="Times New Roman" w:hAnsi="Times New Roman" w:cs="Times New Roman"/>
          <w:color w:val="000000" w:themeColor="text1"/>
          <w:sz w:val="20"/>
          <w:szCs w:val="20"/>
          <w:lang w:val="nl-NL"/>
        </w:rPr>
        <w:t>Lycophron’s</w:t>
      </w:r>
      <w:proofErr w:type="spellEnd"/>
      <w:r w:rsidR="00EC5701" w:rsidRPr="009C5A84">
        <w:rPr>
          <w:rFonts w:ascii="Times New Roman" w:hAnsi="Times New Roman" w:cs="Times New Roman"/>
          <w:color w:val="000000" w:themeColor="text1"/>
          <w:sz w:val="20"/>
          <w:szCs w:val="20"/>
          <w:lang w:val="nl-NL"/>
        </w:rPr>
        <w:t xml:space="preserve"> </w:t>
      </w:r>
      <w:r w:rsidR="00EC5701" w:rsidRPr="009C5A84">
        <w:rPr>
          <w:rFonts w:ascii="Times New Roman" w:hAnsi="Times New Roman" w:cs="Times New Roman"/>
          <w:i/>
          <w:iCs/>
          <w:color w:val="000000" w:themeColor="text1"/>
          <w:sz w:val="20"/>
          <w:szCs w:val="20"/>
          <w:lang w:val="nl-NL"/>
        </w:rPr>
        <w:t>Alexandra</w:t>
      </w:r>
      <w:r w:rsidR="00EC5701" w:rsidRPr="009C5A84">
        <w:rPr>
          <w:rFonts w:ascii="Times New Roman" w:hAnsi="Times New Roman" w:cs="Times New Roman"/>
          <w:color w:val="000000" w:themeColor="text1"/>
          <w:sz w:val="20"/>
          <w:szCs w:val="20"/>
          <w:lang w:val="nl-NL"/>
        </w:rPr>
        <w:t xml:space="preserve">”, in </w:t>
      </w:r>
      <w:proofErr w:type="spellStart"/>
      <w:r w:rsidR="00EC5701" w:rsidRPr="009C5A84">
        <w:rPr>
          <w:rFonts w:ascii="Times New Roman" w:hAnsi="Times New Roman" w:cs="Times New Roman"/>
          <w:i/>
          <w:iCs/>
          <w:color w:val="000000" w:themeColor="text1"/>
          <w:sz w:val="20"/>
          <w:szCs w:val="20"/>
          <w:lang w:val="nl-NL"/>
        </w:rPr>
        <w:t>Spatial</w:t>
      </w:r>
      <w:proofErr w:type="spellEnd"/>
      <w:r w:rsidR="00EC5701" w:rsidRPr="009C5A84">
        <w:rPr>
          <w:rFonts w:ascii="Times New Roman" w:hAnsi="Times New Roman" w:cs="Times New Roman"/>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Metaphors</w:t>
      </w:r>
      <w:proofErr w:type="spellEnd"/>
      <w:r w:rsidR="00EC5701" w:rsidRPr="009C5A84">
        <w:rPr>
          <w:rFonts w:ascii="Times New Roman" w:hAnsi="Times New Roman" w:cs="Times New Roman"/>
          <w:i/>
          <w:iCs/>
          <w:color w:val="000000" w:themeColor="text1"/>
          <w:sz w:val="20"/>
          <w:szCs w:val="20"/>
          <w:lang w:val="nl-NL"/>
        </w:rPr>
        <w:t xml:space="preserve">: Ancient </w:t>
      </w:r>
      <w:proofErr w:type="spellStart"/>
      <w:r w:rsidR="00EC5701" w:rsidRPr="009C5A84">
        <w:rPr>
          <w:rFonts w:ascii="Times New Roman" w:hAnsi="Times New Roman" w:cs="Times New Roman"/>
          <w:i/>
          <w:iCs/>
          <w:color w:val="000000" w:themeColor="text1"/>
          <w:sz w:val="20"/>
          <w:szCs w:val="20"/>
          <w:lang w:val="nl-NL"/>
        </w:rPr>
        <w:t>Texts</w:t>
      </w:r>
      <w:proofErr w:type="spellEnd"/>
      <w:r w:rsidR="00EC5701" w:rsidRPr="009C5A84">
        <w:rPr>
          <w:rFonts w:ascii="Times New Roman" w:hAnsi="Times New Roman" w:cs="Times New Roman"/>
          <w:i/>
          <w:iCs/>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and</w:t>
      </w:r>
      <w:proofErr w:type="spellEnd"/>
      <w:r w:rsidR="00EC5701" w:rsidRPr="009C5A84">
        <w:rPr>
          <w:rFonts w:ascii="Times New Roman" w:hAnsi="Times New Roman" w:cs="Times New Roman"/>
          <w:i/>
          <w:iCs/>
          <w:color w:val="000000" w:themeColor="text1"/>
          <w:sz w:val="20"/>
          <w:szCs w:val="20"/>
          <w:lang w:val="nl-NL"/>
        </w:rPr>
        <w:t xml:space="preserve"> </w:t>
      </w:r>
      <w:proofErr w:type="spellStart"/>
      <w:r w:rsidR="00EC5701" w:rsidRPr="009C5A84">
        <w:rPr>
          <w:rFonts w:ascii="Times New Roman" w:hAnsi="Times New Roman" w:cs="Times New Roman"/>
          <w:i/>
          <w:iCs/>
          <w:color w:val="000000" w:themeColor="text1"/>
          <w:sz w:val="20"/>
          <w:szCs w:val="20"/>
          <w:lang w:val="nl-NL"/>
        </w:rPr>
        <w:t>Transformations</w:t>
      </w:r>
      <w:proofErr w:type="spellEnd"/>
      <w:r w:rsidR="00EC5701" w:rsidRPr="009C5A84">
        <w:rPr>
          <w:rFonts w:ascii="Times New Roman" w:hAnsi="Times New Roman" w:cs="Times New Roman"/>
          <w:i/>
          <w:iCs/>
          <w:color w:val="000000" w:themeColor="text1"/>
          <w:sz w:val="20"/>
          <w:szCs w:val="20"/>
          <w:lang w:val="nl-NL"/>
        </w:rPr>
        <w:t xml:space="preserve"> </w:t>
      </w:r>
      <w:r w:rsidR="00EC5701" w:rsidRPr="009C5A84">
        <w:rPr>
          <w:rFonts w:ascii="Times New Roman" w:hAnsi="Times New Roman" w:cs="Times New Roman"/>
          <w:color w:val="000000" w:themeColor="text1"/>
          <w:sz w:val="20"/>
          <w:szCs w:val="20"/>
          <w:lang w:val="nl-NL"/>
        </w:rPr>
        <w:t xml:space="preserve">(ed. F. Horn &amp; C. </w:t>
      </w:r>
      <w:proofErr w:type="spellStart"/>
      <w:r w:rsidR="00EC5701" w:rsidRPr="009C5A84">
        <w:rPr>
          <w:rFonts w:ascii="Times New Roman" w:hAnsi="Times New Roman" w:cs="Times New Roman"/>
          <w:color w:val="000000" w:themeColor="text1"/>
          <w:sz w:val="20"/>
          <w:szCs w:val="20"/>
          <w:lang w:val="nl-NL"/>
        </w:rPr>
        <w:t>Breyenbach</w:t>
      </w:r>
      <w:proofErr w:type="spellEnd"/>
      <w:r w:rsidR="00EC5701" w:rsidRPr="009C5A84">
        <w:rPr>
          <w:rFonts w:ascii="Times New Roman" w:hAnsi="Times New Roman" w:cs="Times New Roman"/>
          <w:color w:val="000000" w:themeColor="text1"/>
          <w:sz w:val="20"/>
          <w:szCs w:val="20"/>
          <w:lang w:val="nl-NL"/>
        </w:rPr>
        <w:t xml:space="preserve">; Studies of </w:t>
      </w:r>
      <w:proofErr w:type="spellStart"/>
      <w:r w:rsidR="00EC5701" w:rsidRPr="009C5A84">
        <w:rPr>
          <w:rFonts w:ascii="Times New Roman" w:hAnsi="Times New Roman" w:cs="Times New Roman"/>
          <w:color w:val="000000" w:themeColor="text1"/>
          <w:sz w:val="20"/>
          <w:szCs w:val="20"/>
          <w:lang w:val="nl-NL"/>
        </w:rPr>
        <w:t>the</w:t>
      </w:r>
      <w:proofErr w:type="spellEnd"/>
      <w:r w:rsidR="00EC5701" w:rsidRPr="009C5A84">
        <w:rPr>
          <w:rFonts w:ascii="Times New Roman" w:hAnsi="Times New Roman" w:cs="Times New Roman"/>
          <w:color w:val="000000" w:themeColor="text1"/>
          <w:sz w:val="20"/>
          <w:szCs w:val="20"/>
          <w:lang w:val="nl-NL"/>
        </w:rPr>
        <w:t xml:space="preserve"> Ancient World 39;</w:t>
      </w:r>
      <w:r w:rsidR="009C7574" w:rsidRPr="009C5A84">
        <w:rPr>
          <w:rFonts w:ascii="Times New Roman" w:hAnsi="Times New Roman" w:cs="Times New Roman"/>
          <w:color w:val="000000" w:themeColor="text1"/>
          <w:sz w:val="20"/>
          <w:szCs w:val="20"/>
          <w:lang w:val="nl-NL"/>
        </w:rPr>
        <w:t xml:space="preserve"> </w:t>
      </w:r>
      <w:r w:rsidR="00142A8D" w:rsidRPr="00142A8D">
        <w:rPr>
          <w:rFonts w:ascii="Times New Roman" w:hAnsi="Times New Roman" w:cs="Times New Roman"/>
          <w:color w:val="000000" w:themeColor="text1"/>
          <w:sz w:val="20"/>
          <w:szCs w:val="20"/>
          <w:lang w:val="nl-NL"/>
        </w:rPr>
        <w:t>Berlin: Topoi, 2016</w:t>
      </w:r>
      <w:r w:rsidR="00EC5701" w:rsidRPr="00142A8D">
        <w:rPr>
          <w:rFonts w:ascii="Times New Roman" w:hAnsi="Times New Roman" w:cs="Times New Roman"/>
          <w:color w:val="000000" w:themeColor="text1"/>
          <w:sz w:val="20"/>
          <w:szCs w:val="20"/>
          <w:lang w:val="nl-NL"/>
        </w:rPr>
        <w:t>),</w:t>
      </w:r>
      <w:r w:rsidR="00EC5701" w:rsidRPr="009C5A84">
        <w:rPr>
          <w:rFonts w:ascii="Times New Roman" w:hAnsi="Times New Roman" w:cs="Times New Roman"/>
          <w:color w:val="000000" w:themeColor="text1"/>
          <w:sz w:val="20"/>
          <w:szCs w:val="20"/>
          <w:lang w:val="nl-NL"/>
        </w:rPr>
        <w:t xml:space="preserve"> 85-102 (97)</w:t>
      </w:r>
      <w:r w:rsidRPr="009C5A84">
        <w:rPr>
          <w:rFonts w:ascii="Times New Roman" w:hAnsi="Times New Roman" w:cs="Times New Roman"/>
          <w:color w:val="000000" w:themeColor="text1"/>
          <w:sz w:val="20"/>
          <w:szCs w:val="20"/>
          <w:lang w:val="nl-NL"/>
        </w:rPr>
        <w:t>.</w:t>
      </w:r>
    </w:p>
  </w:footnote>
  <w:footnote w:id="121">
    <w:p w14:paraId="535F1B85" w14:textId="52BBB775" w:rsidR="004D329D" w:rsidRPr="009C5A84" w:rsidRDefault="004D329D"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Pr="009C5A84">
        <w:rPr>
          <w:rFonts w:cs="Times New Roman"/>
          <w:color w:val="000000" w:themeColor="text1"/>
          <w:lang w:val="fr-FR"/>
        </w:rPr>
        <w:t xml:space="preserve">Baer, </w:t>
      </w:r>
      <w:proofErr w:type="spellStart"/>
      <w:r w:rsidRPr="009C5A84">
        <w:rPr>
          <w:rFonts w:cs="Times New Roman"/>
          <w:i/>
          <w:iCs/>
          <w:color w:val="000000" w:themeColor="text1"/>
          <w:lang w:val="fr-FR"/>
        </w:rPr>
        <w:t>When</w:t>
      </w:r>
      <w:proofErr w:type="spellEnd"/>
      <w:r w:rsidRPr="009C5A84">
        <w:rPr>
          <w:rFonts w:cs="Times New Roman"/>
          <w:i/>
          <w:iCs/>
          <w:color w:val="000000" w:themeColor="text1"/>
          <w:lang w:val="fr-FR"/>
        </w:rPr>
        <w:t xml:space="preserve"> </w:t>
      </w:r>
      <w:proofErr w:type="spellStart"/>
      <w:r w:rsidRPr="009C5A84">
        <w:rPr>
          <w:rFonts w:cs="Times New Roman"/>
          <w:i/>
          <w:iCs/>
          <w:color w:val="000000" w:themeColor="text1"/>
          <w:lang w:val="fr-FR"/>
        </w:rPr>
        <w:t>We</w:t>
      </w:r>
      <w:proofErr w:type="spellEnd"/>
      <w:r w:rsidRPr="009C5A84">
        <w:rPr>
          <w:rFonts w:cs="Times New Roman"/>
          <w:i/>
          <w:iCs/>
          <w:color w:val="000000" w:themeColor="text1"/>
          <w:lang w:val="fr-FR"/>
        </w:rPr>
        <w:t xml:space="preserve"> All Go Home</w:t>
      </w:r>
      <w:r w:rsidRPr="009C5A84">
        <w:rPr>
          <w:rFonts w:cs="Times New Roman"/>
          <w:color w:val="000000" w:themeColor="text1"/>
          <w:lang w:val="fr-FR"/>
        </w:rPr>
        <w:t>, 159.</w:t>
      </w:r>
    </w:p>
  </w:footnote>
  <w:footnote w:id="122">
    <w:p w14:paraId="2134A6DB" w14:textId="11D076A0" w:rsidR="004D329D" w:rsidRPr="009C5A84" w:rsidRDefault="004D329D" w:rsidP="00055A1C">
      <w:pPr>
        <w:pStyle w:val="Voetnoottekst"/>
        <w:rPr>
          <w:rFonts w:cs="Times New Roman"/>
          <w:color w:val="000000" w:themeColor="text1"/>
          <w:lang w:val="fr-FR"/>
        </w:rPr>
      </w:pPr>
      <w:r w:rsidRPr="009C5A84">
        <w:rPr>
          <w:rStyle w:val="Voetnootmarkering"/>
          <w:rFonts w:cs="Times New Roman"/>
          <w:color w:val="000000" w:themeColor="text1"/>
        </w:rPr>
        <w:footnoteRef/>
      </w:r>
      <w:r w:rsidRPr="009C5A84">
        <w:rPr>
          <w:rFonts w:cs="Times New Roman"/>
          <w:color w:val="000000" w:themeColor="text1"/>
        </w:rPr>
        <w:t xml:space="preserve"> </w:t>
      </w:r>
      <w:r w:rsidR="009C7574" w:rsidRPr="009C5A84">
        <w:rPr>
          <w:rFonts w:cs="Times New Roman"/>
          <w:color w:val="000000" w:themeColor="text1"/>
        </w:rPr>
        <w:t xml:space="preserve">Nicholas </w:t>
      </w:r>
      <w:r w:rsidRPr="009C5A84">
        <w:rPr>
          <w:rFonts w:cs="Times New Roman"/>
          <w:color w:val="000000" w:themeColor="text1"/>
          <w:shd w:val="clear" w:color="auto" w:fill="FFFFFF"/>
        </w:rPr>
        <w:t xml:space="preserve">Moore, </w:t>
      </w:r>
      <w:r w:rsidR="009C7574" w:rsidRPr="009C5A84">
        <w:rPr>
          <w:rFonts w:cs="Times New Roman"/>
          <w:color w:val="000000" w:themeColor="text1"/>
          <w:shd w:val="clear" w:color="auto" w:fill="FFFFFF"/>
        </w:rPr>
        <w:t>“</w:t>
      </w:r>
      <w:r w:rsidRPr="009C5A84">
        <w:rPr>
          <w:rFonts w:cs="Times New Roman"/>
          <w:color w:val="000000" w:themeColor="text1"/>
          <w:shd w:val="clear" w:color="auto" w:fill="FFFFFF"/>
        </w:rPr>
        <w:t xml:space="preserve">Heaven and </w:t>
      </w:r>
      <w:r w:rsidR="009C7574" w:rsidRPr="009C5A84">
        <w:rPr>
          <w:rFonts w:cs="Times New Roman"/>
          <w:color w:val="000000" w:themeColor="text1"/>
          <w:shd w:val="clear" w:color="auto" w:fill="FFFFFF"/>
        </w:rPr>
        <w:t>T</w:t>
      </w:r>
      <w:r w:rsidRPr="009C5A84">
        <w:rPr>
          <w:rFonts w:cs="Times New Roman"/>
          <w:color w:val="000000" w:themeColor="text1"/>
          <w:shd w:val="clear" w:color="auto" w:fill="FFFFFF"/>
        </w:rPr>
        <w:t xml:space="preserve">emple in the Second Temple </w:t>
      </w:r>
      <w:r w:rsidR="009C7574" w:rsidRPr="009C5A84">
        <w:rPr>
          <w:rFonts w:cs="Times New Roman"/>
          <w:color w:val="000000" w:themeColor="text1"/>
          <w:shd w:val="clear" w:color="auto" w:fill="FFFFFF"/>
        </w:rPr>
        <w:t>P</w:t>
      </w:r>
      <w:r w:rsidRPr="009C5A84">
        <w:rPr>
          <w:rFonts w:cs="Times New Roman"/>
          <w:color w:val="000000" w:themeColor="text1"/>
          <w:shd w:val="clear" w:color="auto" w:fill="FFFFFF"/>
        </w:rPr>
        <w:t xml:space="preserve">eriod: A </w:t>
      </w:r>
      <w:r w:rsidR="009C7574" w:rsidRPr="009C5A84">
        <w:rPr>
          <w:rFonts w:cs="Times New Roman"/>
          <w:color w:val="000000" w:themeColor="text1"/>
          <w:shd w:val="clear" w:color="auto" w:fill="FFFFFF"/>
        </w:rPr>
        <w:t>T</w:t>
      </w:r>
      <w:r w:rsidRPr="009C5A84">
        <w:rPr>
          <w:rFonts w:cs="Times New Roman"/>
          <w:color w:val="000000" w:themeColor="text1"/>
          <w:shd w:val="clear" w:color="auto" w:fill="FFFFFF"/>
        </w:rPr>
        <w:t>axonomy</w:t>
      </w:r>
      <w:r w:rsidR="009C7574" w:rsidRPr="009C5A84">
        <w:rPr>
          <w:rFonts w:cs="Times New Roman"/>
          <w:color w:val="000000" w:themeColor="text1"/>
          <w:shd w:val="clear" w:color="auto" w:fill="FFFFFF"/>
        </w:rPr>
        <w:t>,”</w:t>
      </w:r>
      <w:r w:rsidRPr="009C5A84">
        <w:rPr>
          <w:rStyle w:val="apple-converted-space"/>
          <w:rFonts w:cs="Times New Roman"/>
          <w:color w:val="000000" w:themeColor="text1"/>
          <w:shd w:val="clear" w:color="auto" w:fill="FFFFFF"/>
        </w:rPr>
        <w:t> </w:t>
      </w:r>
      <w:r w:rsidR="003943E8">
        <w:rPr>
          <w:rFonts w:cs="Times New Roman"/>
          <w:i/>
          <w:iCs/>
          <w:color w:val="000000" w:themeColor="text1"/>
        </w:rPr>
        <w:t>JSP</w:t>
      </w:r>
      <w:r w:rsidRPr="009C5A84">
        <w:rPr>
          <w:rStyle w:val="apple-converted-space"/>
          <w:rFonts w:cs="Times New Roman"/>
          <w:color w:val="000000" w:themeColor="text1"/>
          <w:shd w:val="clear" w:color="auto" w:fill="FFFFFF"/>
        </w:rPr>
        <w:t> </w:t>
      </w:r>
      <w:r w:rsidRPr="009C5A84">
        <w:rPr>
          <w:rFonts w:cs="Times New Roman"/>
          <w:color w:val="000000" w:themeColor="text1"/>
        </w:rPr>
        <w:t>33</w:t>
      </w:r>
      <w:r w:rsidR="009C7574" w:rsidRPr="009C5A84">
        <w:rPr>
          <w:rFonts w:cs="Times New Roman"/>
          <w:color w:val="000000" w:themeColor="text1"/>
          <w:shd w:val="clear" w:color="auto" w:fill="FFFFFF"/>
        </w:rPr>
        <w:t>/</w:t>
      </w:r>
      <w:r w:rsidRPr="009C5A84">
        <w:rPr>
          <w:rFonts w:cs="Times New Roman"/>
          <w:color w:val="000000" w:themeColor="text1"/>
          <w:shd w:val="clear" w:color="auto" w:fill="FFFFFF"/>
        </w:rPr>
        <w:t>1</w:t>
      </w:r>
      <w:r w:rsidR="009C7574" w:rsidRPr="009C5A84">
        <w:rPr>
          <w:rFonts w:cs="Times New Roman"/>
          <w:color w:val="000000" w:themeColor="text1"/>
          <w:shd w:val="clear" w:color="auto" w:fill="FFFFFF"/>
        </w:rPr>
        <w:t xml:space="preserve"> (2023):</w:t>
      </w:r>
      <w:r w:rsidRPr="009C5A84">
        <w:rPr>
          <w:rFonts w:cs="Times New Roman"/>
          <w:color w:val="000000" w:themeColor="text1"/>
          <w:shd w:val="clear" w:color="auto" w:fill="FFFFFF"/>
        </w:rPr>
        <w:t xml:space="preserve"> 75-93.</w:t>
      </w:r>
    </w:p>
  </w:footnote>
  <w:footnote w:id="123">
    <w:p w14:paraId="4A538973" w14:textId="2387B117" w:rsidR="002B4C57" w:rsidRPr="009C5A84" w:rsidRDefault="002B4C5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r w:rsidR="009C7574" w:rsidRPr="009C5A84">
        <w:rPr>
          <w:rFonts w:cs="Times New Roman"/>
          <w:color w:val="000000" w:themeColor="text1"/>
          <w:lang w:val="en-US"/>
        </w:rPr>
        <w:t>Perkins</w:t>
      </w:r>
      <w:r w:rsidRPr="009C5A84">
        <w:rPr>
          <w:rFonts w:cs="Times New Roman"/>
          <w:color w:val="000000" w:themeColor="text1"/>
          <w:lang w:val="en-US"/>
        </w:rPr>
        <w:t>, “The Greek Translator of Exodus</w:t>
      </w:r>
      <w:r w:rsidR="009C7574" w:rsidRPr="009C5A84">
        <w:rPr>
          <w:rFonts w:cs="Times New Roman"/>
          <w:color w:val="000000" w:themeColor="text1"/>
          <w:lang w:val="en-US"/>
        </w:rPr>
        <w:t>,</w:t>
      </w:r>
      <w:r w:rsidRPr="009C5A84">
        <w:rPr>
          <w:rFonts w:cs="Times New Roman"/>
          <w:color w:val="000000" w:themeColor="text1"/>
          <w:lang w:val="en-US"/>
        </w:rPr>
        <w:t>” 46.</w:t>
      </w:r>
    </w:p>
  </w:footnote>
  <w:footnote w:id="124">
    <w:p w14:paraId="419F0C57" w14:textId="56D2D2BB" w:rsidR="002B4C57" w:rsidRPr="009C5A84" w:rsidRDefault="002B4C57" w:rsidP="00055A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color w:val="000000" w:themeColor="text1"/>
          <w:sz w:val="20"/>
          <w:szCs w:val="20"/>
          <w:lang w:val="en-US"/>
        </w:rPr>
      </w:pPr>
      <w:r w:rsidRPr="009C5A84">
        <w:rPr>
          <w:rStyle w:val="Voetnootmarkering"/>
          <w:rFonts w:ascii="Times New Roman" w:hAnsi="Times New Roman" w:cs="Times New Roman"/>
          <w:color w:val="000000" w:themeColor="text1"/>
          <w:sz w:val="20"/>
          <w:szCs w:val="20"/>
          <w:lang w:val="en-US"/>
        </w:rPr>
        <w:footnoteRef/>
      </w:r>
      <w:r w:rsidRPr="009C5A84">
        <w:rPr>
          <w:rFonts w:ascii="Times New Roman" w:hAnsi="Times New Roman" w:cs="Times New Roman"/>
          <w:color w:val="000000" w:themeColor="text1"/>
          <w:sz w:val="20"/>
          <w:szCs w:val="20"/>
          <w:lang w:val="en-US"/>
        </w:rPr>
        <w:t xml:space="preserve"> T</w:t>
      </w:r>
      <w:r w:rsidR="009C7574" w:rsidRPr="009C5A84">
        <w:rPr>
          <w:rFonts w:ascii="Times New Roman" w:hAnsi="Times New Roman" w:cs="Times New Roman"/>
          <w:color w:val="000000" w:themeColor="text1"/>
          <w:sz w:val="20"/>
          <w:szCs w:val="20"/>
          <w:lang w:val="en-US"/>
        </w:rPr>
        <w:t>heo</w:t>
      </w:r>
      <w:r w:rsidRPr="009C5A84">
        <w:rPr>
          <w:rFonts w:ascii="Times New Roman" w:hAnsi="Times New Roman" w:cs="Times New Roman"/>
          <w:color w:val="000000" w:themeColor="text1"/>
          <w:sz w:val="20"/>
          <w:szCs w:val="20"/>
          <w:lang w:val="en-US"/>
        </w:rPr>
        <w:t xml:space="preserve"> A. W. </w:t>
      </w:r>
      <w:r w:rsidR="009C7574" w:rsidRPr="009C5A84">
        <w:rPr>
          <w:rFonts w:ascii="Times New Roman" w:hAnsi="Times New Roman" w:cs="Times New Roman"/>
          <w:color w:val="000000" w:themeColor="text1"/>
          <w:sz w:val="20"/>
          <w:szCs w:val="20"/>
          <w:lang w:val="en-US"/>
        </w:rPr>
        <w:t>van der Louw</w:t>
      </w:r>
      <w:r w:rsidRPr="009C5A84">
        <w:rPr>
          <w:rFonts w:ascii="Times New Roman" w:hAnsi="Times New Roman" w:cs="Times New Roman"/>
          <w:color w:val="000000" w:themeColor="text1"/>
          <w:sz w:val="20"/>
          <w:szCs w:val="20"/>
          <w:lang w:val="en-US"/>
        </w:rPr>
        <w:t xml:space="preserve">, </w:t>
      </w:r>
      <w:r w:rsidRPr="009C5A84">
        <w:rPr>
          <w:rFonts w:ascii="Times New Roman" w:hAnsi="Times New Roman" w:cs="Times New Roman"/>
          <w:i/>
          <w:iCs/>
          <w:color w:val="000000" w:themeColor="text1"/>
          <w:sz w:val="20"/>
          <w:szCs w:val="20"/>
          <w:lang w:val="en-US"/>
        </w:rPr>
        <w:t>Transformations in the Septuagint: Towards an Interaction of Septuagint Studies and Translation</w:t>
      </w:r>
      <w:r w:rsidR="00345BF7">
        <w:rPr>
          <w:rFonts w:ascii="Times New Roman" w:hAnsi="Times New Roman" w:cs="Times New Roman"/>
          <w:i/>
          <w:iCs/>
          <w:color w:val="000000" w:themeColor="text1"/>
          <w:sz w:val="20"/>
          <w:szCs w:val="20"/>
          <w:lang w:val="en-US"/>
        </w:rPr>
        <w:t xml:space="preserve"> </w:t>
      </w:r>
      <w:r w:rsidRPr="009C5A84">
        <w:rPr>
          <w:rFonts w:ascii="Times New Roman" w:hAnsi="Times New Roman" w:cs="Times New Roman"/>
          <w:i/>
          <w:iCs/>
          <w:color w:val="000000" w:themeColor="text1"/>
          <w:sz w:val="20"/>
          <w:szCs w:val="20"/>
          <w:lang w:val="en-US"/>
        </w:rPr>
        <w:t>Studies</w:t>
      </w:r>
      <w:r w:rsidR="003943E8">
        <w:rPr>
          <w:rFonts w:ascii="Times New Roman" w:hAnsi="Times New Roman" w:cs="Times New Roman"/>
          <w:i/>
          <w:iCs/>
          <w:color w:val="000000" w:themeColor="text1"/>
          <w:sz w:val="20"/>
          <w:szCs w:val="20"/>
          <w:lang w:val="en-US"/>
        </w:rPr>
        <w:t xml:space="preserve">, </w:t>
      </w:r>
      <w:r w:rsidRPr="009C5A84">
        <w:rPr>
          <w:rFonts w:ascii="Times New Roman" w:hAnsi="Times New Roman" w:cs="Times New Roman"/>
          <w:color w:val="000000" w:themeColor="text1"/>
          <w:sz w:val="20"/>
          <w:szCs w:val="20"/>
          <w:lang w:val="en-US"/>
        </w:rPr>
        <w:t>CBE</w:t>
      </w:r>
      <w:r w:rsidR="009C7574" w:rsidRPr="009C5A84">
        <w:rPr>
          <w:rFonts w:ascii="Times New Roman" w:hAnsi="Times New Roman" w:cs="Times New Roman"/>
          <w:color w:val="000000" w:themeColor="text1"/>
          <w:sz w:val="20"/>
          <w:szCs w:val="20"/>
          <w:lang w:val="en-US"/>
        </w:rPr>
        <w:t xml:space="preserve">T </w:t>
      </w:r>
      <w:r w:rsidRPr="009C5A84">
        <w:rPr>
          <w:rFonts w:ascii="Times New Roman" w:hAnsi="Times New Roman" w:cs="Times New Roman"/>
          <w:color w:val="000000" w:themeColor="text1"/>
          <w:sz w:val="20"/>
          <w:szCs w:val="20"/>
          <w:lang w:val="en-US"/>
        </w:rPr>
        <w:t>47</w:t>
      </w:r>
      <w:r w:rsidR="009C7574" w:rsidRPr="009C5A84">
        <w:rPr>
          <w:rFonts w:ascii="Times New Roman" w:hAnsi="Times New Roman" w:cs="Times New Roman"/>
          <w:color w:val="000000" w:themeColor="text1"/>
          <w:sz w:val="20"/>
          <w:szCs w:val="20"/>
          <w:lang w:val="en-US"/>
        </w:rPr>
        <w:t xml:space="preserve"> </w:t>
      </w:r>
      <w:r w:rsidR="003943E8">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Leuven</w:t>
      </w:r>
      <w:r w:rsidR="009C757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 xml:space="preserve"> Peeters, 200</w:t>
      </w:r>
      <w:r w:rsidR="009C7574" w:rsidRPr="009C5A84">
        <w:rPr>
          <w:rFonts w:ascii="Times New Roman" w:hAnsi="Times New Roman" w:cs="Times New Roman"/>
          <w:color w:val="000000" w:themeColor="text1"/>
          <w:sz w:val="20"/>
          <w:szCs w:val="20"/>
          <w:lang w:val="en-US"/>
        </w:rPr>
        <w:t>)</w:t>
      </w:r>
      <w:r w:rsidRPr="009C5A84">
        <w:rPr>
          <w:rFonts w:ascii="Times New Roman" w:hAnsi="Times New Roman" w:cs="Times New Roman"/>
          <w:color w:val="000000" w:themeColor="text1"/>
          <w:sz w:val="20"/>
          <w:szCs w:val="20"/>
          <w:lang w:val="en-US"/>
        </w:rPr>
        <w:t>7, 218.</w:t>
      </w:r>
    </w:p>
  </w:footnote>
  <w:footnote w:id="125">
    <w:p w14:paraId="40D15463" w14:textId="11F0F1E0" w:rsidR="002B4C57" w:rsidRPr="009C5A84" w:rsidRDefault="002B4C57" w:rsidP="00055A1C">
      <w:pPr>
        <w:pStyle w:val="Voetnoottekst"/>
        <w:rPr>
          <w:rFonts w:cs="Times New Roman"/>
          <w:color w:val="000000" w:themeColor="text1"/>
          <w:lang w:val="en-US"/>
        </w:rPr>
      </w:pPr>
      <w:r w:rsidRPr="009C5A84">
        <w:rPr>
          <w:rStyle w:val="Voetnootmarkering"/>
          <w:rFonts w:cs="Times New Roman"/>
          <w:color w:val="000000" w:themeColor="text1"/>
          <w:lang w:val="en-US"/>
        </w:rPr>
        <w:footnoteRef/>
      </w:r>
      <w:r w:rsidRPr="009C5A84">
        <w:rPr>
          <w:rFonts w:cs="Times New Roman"/>
          <w:color w:val="000000" w:themeColor="text1"/>
          <w:lang w:val="en-US"/>
        </w:rPr>
        <w:t xml:space="preserve"> </w:t>
      </w:r>
      <w:proofErr w:type="spellStart"/>
      <w:r w:rsidR="009C7574" w:rsidRPr="009C5A84">
        <w:rPr>
          <w:rFonts w:cs="Times New Roman"/>
          <w:color w:val="000000" w:themeColor="text1"/>
          <w:lang w:val="en-US"/>
        </w:rPr>
        <w:t>Flashar</w:t>
      </w:r>
      <w:proofErr w:type="spellEnd"/>
      <w:r w:rsidR="009C7574" w:rsidRPr="009C5A84">
        <w:rPr>
          <w:rFonts w:cs="Times New Roman"/>
          <w:color w:val="000000" w:themeColor="text1"/>
          <w:lang w:val="en-US"/>
        </w:rPr>
        <w:t xml:space="preserve">, </w:t>
      </w:r>
      <w:r w:rsidR="009C7574" w:rsidRPr="009C5A84">
        <w:rPr>
          <w:rFonts w:cs="Times New Roman"/>
          <w:color w:val="000000" w:themeColor="text1"/>
          <w:shd w:val="clear" w:color="auto" w:fill="FFFFFF"/>
          <w:lang w:val="en-US"/>
        </w:rPr>
        <w:t>“</w:t>
      </w:r>
      <w:proofErr w:type="spellStart"/>
      <w:r w:rsidR="009C7574" w:rsidRPr="009C5A84">
        <w:rPr>
          <w:rStyle w:val="Nadruk"/>
          <w:rFonts w:cs="Times New Roman"/>
          <w:i w:val="0"/>
          <w:iCs w:val="0"/>
          <w:color w:val="000000" w:themeColor="text1"/>
          <w:lang w:val="en-US"/>
        </w:rPr>
        <w:t>Exegetische</w:t>
      </w:r>
      <w:proofErr w:type="spellEnd"/>
      <w:r w:rsidR="009C7574" w:rsidRPr="009C5A84">
        <w:rPr>
          <w:rStyle w:val="Nadruk"/>
          <w:rFonts w:cs="Times New Roman"/>
          <w:i w:val="0"/>
          <w:iCs w:val="0"/>
          <w:color w:val="000000" w:themeColor="text1"/>
          <w:lang w:val="en-US"/>
        </w:rPr>
        <w:t xml:space="preserve"> </w:t>
      </w:r>
      <w:proofErr w:type="spellStart"/>
      <w:r w:rsidR="009C7574" w:rsidRPr="009C5A84">
        <w:rPr>
          <w:rStyle w:val="Nadruk"/>
          <w:rFonts w:cs="Times New Roman"/>
          <w:i w:val="0"/>
          <w:iCs w:val="0"/>
          <w:color w:val="000000" w:themeColor="text1"/>
          <w:lang w:val="en-US"/>
        </w:rPr>
        <w:t>Studien</w:t>
      </w:r>
      <w:proofErr w:type="spellEnd"/>
      <w:r w:rsidR="009C7574" w:rsidRPr="009C5A84">
        <w:rPr>
          <w:rStyle w:val="apple-converted-space"/>
          <w:rFonts w:cs="Times New Roman"/>
          <w:color w:val="000000" w:themeColor="text1"/>
          <w:shd w:val="clear" w:color="auto" w:fill="FFFFFF"/>
          <w:lang w:val="en-US"/>
        </w:rPr>
        <w:t> </w:t>
      </w:r>
      <w:proofErr w:type="spellStart"/>
      <w:r w:rsidR="009C7574" w:rsidRPr="009C5A84">
        <w:rPr>
          <w:rFonts w:cs="Times New Roman"/>
          <w:color w:val="000000" w:themeColor="text1"/>
          <w:shd w:val="clear" w:color="auto" w:fill="FFFFFF"/>
          <w:lang w:val="en-US"/>
        </w:rPr>
        <w:t>zum</w:t>
      </w:r>
      <w:proofErr w:type="spellEnd"/>
      <w:r w:rsidR="009C7574" w:rsidRPr="009C5A84">
        <w:rPr>
          <w:rFonts w:cs="Times New Roman"/>
          <w:color w:val="000000" w:themeColor="text1"/>
          <w:shd w:val="clear" w:color="auto" w:fill="FFFFFF"/>
          <w:lang w:val="en-US"/>
        </w:rPr>
        <w:t xml:space="preserve"> </w:t>
      </w:r>
      <w:proofErr w:type="spellStart"/>
      <w:r w:rsidR="009C7574" w:rsidRPr="009C5A84">
        <w:rPr>
          <w:rFonts w:cs="Times New Roman"/>
          <w:color w:val="000000" w:themeColor="text1"/>
          <w:shd w:val="clear" w:color="auto" w:fill="FFFFFF"/>
          <w:lang w:val="en-US"/>
        </w:rPr>
        <w:t>Septuagintapsalter</w:t>
      </w:r>
      <w:proofErr w:type="spellEnd"/>
      <w:r w:rsidR="009C7574" w:rsidRPr="009C5A84">
        <w:rPr>
          <w:rFonts w:cs="Times New Roman"/>
          <w:color w:val="000000" w:themeColor="text1"/>
          <w:shd w:val="clear" w:color="auto" w:fill="FFFFFF"/>
          <w:lang w:val="en-US"/>
        </w:rPr>
        <w:t xml:space="preserve">,” </w:t>
      </w:r>
      <w:r w:rsidRPr="009C5A84">
        <w:rPr>
          <w:rFonts w:cs="Times New Roman"/>
          <w:color w:val="000000" w:themeColor="text1"/>
          <w:lang w:val="en-US"/>
        </w:rPr>
        <w:t>179</w:t>
      </w:r>
      <w:r w:rsidR="009C7574" w:rsidRPr="009C5A84">
        <w:rPr>
          <w:rFonts w:cs="Times New Roman"/>
          <w:color w:val="000000" w:themeColor="text1"/>
          <w:lang w:val="en-US"/>
        </w:rPr>
        <w:t>–</w:t>
      </w:r>
      <w:r w:rsidRPr="009C5A84">
        <w:rPr>
          <w:rFonts w:cs="Times New Roman"/>
          <w:color w:val="000000" w:themeColor="text1"/>
          <w:lang w:val="en-US"/>
        </w:rPr>
        <w:t>80.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B9F18" w14:textId="1897EF72" w:rsidR="00192253" w:rsidRPr="00DE247E" w:rsidRDefault="00192253" w:rsidP="00DE247E">
    <w:pPr>
      <w:pStyle w:val="Koptekst"/>
      <w:jc w:val="center"/>
      <w:rPr>
        <w:smallCaps/>
        <w:sz w:val="20"/>
        <w:szCs w:val="20"/>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B2C89D4"/>
    <w:lvl w:ilvl="0">
      <w:start w:val="1"/>
      <w:numFmt w:val="bullet"/>
      <w:pStyle w:val="Lijstopsomteken"/>
      <w:lvlText w:val=""/>
      <w:lvlJc w:val="left"/>
      <w:pPr>
        <w:tabs>
          <w:tab w:val="num" w:pos="360"/>
        </w:tabs>
        <w:ind w:left="360" w:hanging="360"/>
      </w:pPr>
      <w:rPr>
        <w:rFonts w:ascii="Symbol" w:hAnsi="Symbol" w:hint="default"/>
      </w:rPr>
    </w:lvl>
  </w:abstractNum>
  <w:abstractNum w:abstractNumId="1" w15:restartNumberingAfterBreak="0">
    <w:nsid w:val="07707354"/>
    <w:multiLevelType w:val="hybridMultilevel"/>
    <w:tmpl w:val="017AEE8E"/>
    <w:lvl w:ilvl="0" w:tplc="0813000F">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 w15:restartNumberingAfterBreak="0">
    <w:nsid w:val="14261DDB"/>
    <w:multiLevelType w:val="hybridMultilevel"/>
    <w:tmpl w:val="8C702D0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5A62486"/>
    <w:multiLevelType w:val="multilevel"/>
    <w:tmpl w:val="EB2CA81A"/>
    <w:lvl w:ilvl="0">
      <w:start w:val="1"/>
      <w:numFmt w:val="decimal"/>
      <w:lvlText w:val="%1."/>
      <w:lvlJc w:val="left"/>
      <w:pPr>
        <w:ind w:left="360" w:hanging="360"/>
      </w:pPr>
      <w:rPr>
        <w:rFonts w:hint="default"/>
      </w:rPr>
    </w:lvl>
    <w:lvl w:ilvl="1">
      <w:start w:val="1"/>
      <w:numFmt w:val="decimal"/>
      <w:isLgl/>
      <w:lvlText w:val="%1.%2"/>
      <w:lvlJc w:val="left"/>
      <w:pPr>
        <w:ind w:left="333" w:hanging="540"/>
      </w:pPr>
      <w:rPr>
        <w:rFonts w:hint="default"/>
      </w:rPr>
    </w:lvl>
    <w:lvl w:ilvl="2">
      <w:start w:val="2"/>
      <w:numFmt w:val="decimal"/>
      <w:isLgl/>
      <w:lvlText w:val="%1.%2.%3"/>
      <w:lvlJc w:val="left"/>
      <w:pPr>
        <w:ind w:left="153" w:hanging="720"/>
      </w:pPr>
      <w:rPr>
        <w:rFonts w:hint="default"/>
      </w:rPr>
    </w:lvl>
    <w:lvl w:ilvl="3">
      <w:start w:val="1"/>
      <w:numFmt w:val="decimal"/>
      <w:isLgl/>
      <w:lvlText w:val="%1.%2.%3.%4"/>
      <w:lvlJc w:val="left"/>
      <w:pPr>
        <w:ind w:left="513" w:hanging="720"/>
      </w:pPr>
      <w:rPr>
        <w:rFonts w:hint="default"/>
      </w:rPr>
    </w:lvl>
    <w:lvl w:ilvl="4">
      <w:start w:val="1"/>
      <w:numFmt w:val="decimal"/>
      <w:isLgl/>
      <w:lvlText w:val="%1.%2.%3.%4.%5"/>
      <w:lvlJc w:val="left"/>
      <w:pPr>
        <w:ind w:left="873" w:hanging="1080"/>
      </w:pPr>
      <w:rPr>
        <w:rFonts w:hint="default"/>
      </w:rPr>
    </w:lvl>
    <w:lvl w:ilvl="5">
      <w:start w:val="1"/>
      <w:numFmt w:val="decimal"/>
      <w:isLgl/>
      <w:lvlText w:val="%1.%2.%3.%4.%5.%6"/>
      <w:lvlJc w:val="left"/>
      <w:pPr>
        <w:ind w:left="873" w:hanging="1080"/>
      </w:pPr>
      <w:rPr>
        <w:rFonts w:hint="default"/>
      </w:rPr>
    </w:lvl>
    <w:lvl w:ilvl="6">
      <w:start w:val="1"/>
      <w:numFmt w:val="decimal"/>
      <w:isLgl/>
      <w:lvlText w:val="%1.%2.%3.%4.%5.%6.%7"/>
      <w:lvlJc w:val="left"/>
      <w:pPr>
        <w:ind w:left="1233" w:hanging="1440"/>
      </w:pPr>
      <w:rPr>
        <w:rFonts w:hint="default"/>
      </w:rPr>
    </w:lvl>
    <w:lvl w:ilvl="7">
      <w:start w:val="1"/>
      <w:numFmt w:val="decimal"/>
      <w:isLgl/>
      <w:lvlText w:val="%1.%2.%3.%4.%5.%6.%7.%8"/>
      <w:lvlJc w:val="left"/>
      <w:pPr>
        <w:ind w:left="1233" w:hanging="1440"/>
      </w:pPr>
      <w:rPr>
        <w:rFonts w:hint="default"/>
      </w:rPr>
    </w:lvl>
    <w:lvl w:ilvl="8">
      <w:start w:val="1"/>
      <w:numFmt w:val="decimal"/>
      <w:isLgl/>
      <w:lvlText w:val="%1.%2.%3.%4.%5.%6.%7.%8.%9"/>
      <w:lvlJc w:val="left"/>
      <w:pPr>
        <w:ind w:left="1593" w:hanging="1800"/>
      </w:pPr>
      <w:rPr>
        <w:rFonts w:hint="default"/>
      </w:rPr>
    </w:lvl>
  </w:abstractNum>
  <w:abstractNum w:abstractNumId="4" w15:restartNumberingAfterBreak="0">
    <w:nsid w:val="17140551"/>
    <w:multiLevelType w:val="hybridMultilevel"/>
    <w:tmpl w:val="054A20F6"/>
    <w:lvl w:ilvl="0" w:tplc="3970F2F4">
      <w:start w:val="1"/>
      <w:numFmt w:val="decimal"/>
      <w:lvlText w:val="%1)"/>
      <w:lvlJc w:val="left"/>
      <w:pPr>
        <w:ind w:left="720" w:hanging="360"/>
      </w:pPr>
      <w:rPr>
        <w:rFonts w:cstheme="minorBid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6937F28"/>
    <w:multiLevelType w:val="hybridMultilevel"/>
    <w:tmpl w:val="AA58637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17A366A"/>
    <w:multiLevelType w:val="multilevel"/>
    <w:tmpl w:val="DB40C23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7793855"/>
    <w:multiLevelType w:val="hybridMultilevel"/>
    <w:tmpl w:val="84B456C4"/>
    <w:lvl w:ilvl="0" w:tplc="04130003">
      <w:start w:val="1"/>
      <w:numFmt w:val="bullet"/>
      <w:lvlText w:val="o"/>
      <w:lvlJc w:val="left"/>
      <w:pPr>
        <w:ind w:left="928" w:hanging="360"/>
      </w:pPr>
      <w:rPr>
        <w:rFonts w:ascii="Courier New" w:hAnsi="Courier New" w:hint="default"/>
      </w:rPr>
    </w:lvl>
    <w:lvl w:ilvl="1" w:tplc="04130003" w:tentative="1">
      <w:start w:val="1"/>
      <w:numFmt w:val="bullet"/>
      <w:lvlText w:val="o"/>
      <w:lvlJc w:val="left"/>
      <w:pPr>
        <w:ind w:left="1648" w:hanging="360"/>
      </w:pPr>
      <w:rPr>
        <w:rFonts w:ascii="Courier New" w:hAnsi="Courier New" w:cs="Courier New" w:hint="default"/>
      </w:rPr>
    </w:lvl>
    <w:lvl w:ilvl="2" w:tplc="04130005" w:tentative="1">
      <w:start w:val="1"/>
      <w:numFmt w:val="bullet"/>
      <w:lvlText w:val=""/>
      <w:lvlJc w:val="left"/>
      <w:pPr>
        <w:ind w:left="2368" w:hanging="360"/>
      </w:pPr>
      <w:rPr>
        <w:rFonts w:ascii="Wingdings" w:hAnsi="Wingdings" w:hint="default"/>
      </w:rPr>
    </w:lvl>
    <w:lvl w:ilvl="3" w:tplc="04130001" w:tentative="1">
      <w:start w:val="1"/>
      <w:numFmt w:val="bullet"/>
      <w:lvlText w:val=""/>
      <w:lvlJc w:val="left"/>
      <w:pPr>
        <w:ind w:left="3088" w:hanging="360"/>
      </w:pPr>
      <w:rPr>
        <w:rFonts w:ascii="Symbol" w:hAnsi="Symbol" w:hint="default"/>
      </w:rPr>
    </w:lvl>
    <w:lvl w:ilvl="4" w:tplc="04130003" w:tentative="1">
      <w:start w:val="1"/>
      <w:numFmt w:val="bullet"/>
      <w:lvlText w:val="o"/>
      <w:lvlJc w:val="left"/>
      <w:pPr>
        <w:ind w:left="3808" w:hanging="360"/>
      </w:pPr>
      <w:rPr>
        <w:rFonts w:ascii="Courier New" w:hAnsi="Courier New" w:cs="Courier New" w:hint="default"/>
      </w:rPr>
    </w:lvl>
    <w:lvl w:ilvl="5" w:tplc="04130005" w:tentative="1">
      <w:start w:val="1"/>
      <w:numFmt w:val="bullet"/>
      <w:lvlText w:val=""/>
      <w:lvlJc w:val="left"/>
      <w:pPr>
        <w:ind w:left="4528" w:hanging="360"/>
      </w:pPr>
      <w:rPr>
        <w:rFonts w:ascii="Wingdings" w:hAnsi="Wingdings" w:hint="default"/>
      </w:rPr>
    </w:lvl>
    <w:lvl w:ilvl="6" w:tplc="04130001" w:tentative="1">
      <w:start w:val="1"/>
      <w:numFmt w:val="bullet"/>
      <w:lvlText w:val=""/>
      <w:lvlJc w:val="left"/>
      <w:pPr>
        <w:ind w:left="5248" w:hanging="360"/>
      </w:pPr>
      <w:rPr>
        <w:rFonts w:ascii="Symbol" w:hAnsi="Symbol" w:hint="default"/>
      </w:rPr>
    </w:lvl>
    <w:lvl w:ilvl="7" w:tplc="04130003" w:tentative="1">
      <w:start w:val="1"/>
      <w:numFmt w:val="bullet"/>
      <w:lvlText w:val="o"/>
      <w:lvlJc w:val="left"/>
      <w:pPr>
        <w:ind w:left="5968" w:hanging="360"/>
      </w:pPr>
      <w:rPr>
        <w:rFonts w:ascii="Courier New" w:hAnsi="Courier New" w:cs="Courier New" w:hint="default"/>
      </w:rPr>
    </w:lvl>
    <w:lvl w:ilvl="8" w:tplc="04130005" w:tentative="1">
      <w:start w:val="1"/>
      <w:numFmt w:val="bullet"/>
      <w:lvlText w:val=""/>
      <w:lvlJc w:val="left"/>
      <w:pPr>
        <w:ind w:left="6688" w:hanging="360"/>
      </w:pPr>
      <w:rPr>
        <w:rFonts w:ascii="Wingdings" w:hAnsi="Wingdings" w:hint="default"/>
      </w:rPr>
    </w:lvl>
  </w:abstractNum>
  <w:abstractNum w:abstractNumId="8" w15:restartNumberingAfterBreak="0">
    <w:nsid w:val="50E072F1"/>
    <w:multiLevelType w:val="hybridMultilevel"/>
    <w:tmpl w:val="850482DC"/>
    <w:lvl w:ilvl="0" w:tplc="8A7C57D2">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557F235C"/>
    <w:multiLevelType w:val="hybridMultilevel"/>
    <w:tmpl w:val="B0F2C90A"/>
    <w:lvl w:ilvl="0" w:tplc="08130011">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6096306F"/>
    <w:multiLevelType w:val="hybridMultilevel"/>
    <w:tmpl w:val="9328CA2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6A395274"/>
    <w:multiLevelType w:val="multilevel"/>
    <w:tmpl w:val="E688B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DC25843"/>
    <w:multiLevelType w:val="hybridMultilevel"/>
    <w:tmpl w:val="E7066C1C"/>
    <w:lvl w:ilvl="0" w:tplc="E85A7A64">
      <w:start w:val="2"/>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3" w15:restartNumberingAfterBreak="0">
    <w:nsid w:val="7DC826DC"/>
    <w:multiLevelType w:val="hybridMultilevel"/>
    <w:tmpl w:val="BAE68A80"/>
    <w:lvl w:ilvl="0" w:tplc="08130011">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101484725">
    <w:abstractNumId w:val="1"/>
  </w:num>
  <w:num w:numId="2" w16cid:durableId="810559547">
    <w:abstractNumId w:val="10"/>
  </w:num>
  <w:num w:numId="3" w16cid:durableId="631133936">
    <w:abstractNumId w:val="3"/>
  </w:num>
  <w:num w:numId="4" w16cid:durableId="919951522">
    <w:abstractNumId w:val="13"/>
  </w:num>
  <w:num w:numId="5" w16cid:durableId="1691640440">
    <w:abstractNumId w:val="0"/>
  </w:num>
  <w:num w:numId="6" w16cid:durableId="147482258">
    <w:abstractNumId w:val="4"/>
  </w:num>
  <w:num w:numId="7" w16cid:durableId="327640706">
    <w:abstractNumId w:val="2"/>
  </w:num>
  <w:num w:numId="8" w16cid:durableId="805003674">
    <w:abstractNumId w:val="9"/>
  </w:num>
  <w:num w:numId="9" w16cid:durableId="1840579663">
    <w:abstractNumId w:val="8"/>
  </w:num>
  <w:num w:numId="10" w16cid:durableId="345907088">
    <w:abstractNumId w:val="12"/>
  </w:num>
  <w:num w:numId="11" w16cid:durableId="622422008">
    <w:abstractNumId w:val="5"/>
  </w:num>
  <w:num w:numId="12" w16cid:durableId="1764184420">
    <w:abstractNumId w:val="7"/>
  </w:num>
  <w:num w:numId="13" w16cid:durableId="1267730168">
    <w:abstractNumId w:val="11"/>
  </w:num>
  <w:num w:numId="14" w16cid:durableId="4704411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926"/>
    <w:rsid w:val="000009E4"/>
    <w:rsid w:val="000243BD"/>
    <w:rsid w:val="000245ED"/>
    <w:rsid w:val="00026CD6"/>
    <w:rsid w:val="00034DBC"/>
    <w:rsid w:val="00040E31"/>
    <w:rsid w:val="0004714C"/>
    <w:rsid w:val="000534BA"/>
    <w:rsid w:val="00055A1C"/>
    <w:rsid w:val="00062D8D"/>
    <w:rsid w:val="000632AB"/>
    <w:rsid w:val="00070E3C"/>
    <w:rsid w:val="00080E21"/>
    <w:rsid w:val="00085A6C"/>
    <w:rsid w:val="00090039"/>
    <w:rsid w:val="0009334E"/>
    <w:rsid w:val="000A3572"/>
    <w:rsid w:val="000A499A"/>
    <w:rsid w:val="000B0B34"/>
    <w:rsid w:val="000B1A93"/>
    <w:rsid w:val="000D046D"/>
    <w:rsid w:val="000D1914"/>
    <w:rsid w:val="000D37E7"/>
    <w:rsid w:val="00124C9D"/>
    <w:rsid w:val="00130525"/>
    <w:rsid w:val="001344C6"/>
    <w:rsid w:val="0013781D"/>
    <w:rsid w:val="001412C0"/>
    <w:rsid w:val="00142A8D"/>
    <w:rsid w:val="0015399C"/>
    <w:rsid w:val="001728C3"/>
    <w:rsid w:val="001878C8"/>
    <w:rsid w:val="00192253"/>
    <w:rsid w:val="001A2B43"/>
    <w:rsid w:val="001A513C"/>
    <w:rsid w:val="001A588B"/>
    <w:rsid w:val="001B0FF6"/>
    <w:rsid w:val="001B3A40"/>
    <w:rsid w:val="001B4074"/>
    <w:rsid w:val="001C697D"/>
    <w:rsid w:val="001C73FB"/>
    <w:rsid w:val="001D3928"/>
    <w:rsid w:val="00215F8D"/>
    <w:rsid w:val="00221046"/>
    <w:rsid w:val="00225AAF"/>
    <w:rsid w:val="00272C7F"/>
    <w:rsid w:val="002735D5"/>
    <w:rsid w:val="00282926"/>
    <w:rsid w:val="00286E31"/>
    <w:rsid w:val="002902F2"/>
    <w:rsid w:val="00293179"/>
    <w:rsid w:val="002A1E3B"/>
    <w:rsid w:val="002A6A14"/>
    <w:rsid w:val="002A7BF9"/>
    <w:rsid w:val="002B090E"/>
    <w:rsid w:val="002B3AEC"/>
    <w:rsid w:val="002B4C57"/>
    <w:rsid w:val="002D3CAC"/>
    <w:rsid w:val="002E51B1"/>
    <w:rsid w:val="002F267B"/>
    <w:rsid w:val="002F3F11"/>
    <w:rsid w:val="002F63F9"/>
    <w:rsid w:val="00313303"/>
    <w:rsid w:val="00315298"/>
    <w:rsid w:val="00323431"/>
    <w:rsid w:val="00345BF7"/>
    <w:rsid w:val="00376C3C"/>
    <w:rsid w:val="003943E8"/>
    <w:rsid w:val="003A5996"/>
    <w:rsid w:val="003B51CB"/>
    <w:rsid w:val="004003D4"/>
    <w:rsid w:val="004403CF"/>
    <w:rsid w:val="00454E3F"/>
    <w:rsid w:val="00465EC0"/>
    <w:rsid w:val="00473B34"/>
    <w:rsid w:val="00477CC1"/>
    <w:rsid w:val="004801F8"/>
    <w:rsid w:val="00480B17"/>
    <w:rsid w:val="00484AF5"/>
    <w:rsid w:val="004B04CD"/>
    <w:rsid w:val="004D329D"/>
    <w:rsid w:val="004F20DD"/>
    <w:rsid w:val="004F5C52"/>
    <w:rsid w:val="004F6B54"/>
    <w:rsid w:val="005069EF"/>
    <w:rsid w:val="00512346"/>
    <w:rsid w:val="00536649"/>
    <w:rsid w:val="00540C0A"/>
    <w:rsid w:val="005463DF"/>
    <w:rsid w:val="00554F2D"/>
    <w:rsid w:val="00560A34"/>
    <w:rsid w:val="00565BE9"/>
    <w:rsid w:val="0057095D"/>
    <w:rsid w:val="005772F3"/>
    <w:rsid w:val="005809F0"/>
    <w:rsid w:val="00596575"/>
    <w:rsid w:val="0060020B"/>
    <w:rsid w:val="00617920"/>
    <w:rsid w:val="00631025"/>
    <w:rsid w:val="006343EC"/>
    <w:rsid w:val="00637BFF"/>
    <w:rsid w:val="0064257D"/>
    <w:rsid w:val="00644273"/>
    <w:rsid w:val="00645F38"/>
    <w:rsid w:val="0065367D"/>
    <w:rsid w:val="006672B9"/>
    <w:rsid w:val="006704D8"/>
    <w:rsid w:val="00680EC1"/>
    <w:rsid w:val="00685C76"/>
    <w:rsid w:val="00694F47"/>
    <w:rsid w:val="00696309"/>
    <w:rsid w:val="006A19AE"/>
    <w:rsid w:val="006B306F"/>
    <w:rsid w:val="006B4971"/>
    <w:rsid w:val="006B6965"/>
    <w:rsid w:val="006C61CF"/>
    <w:rsid w:val="006D682B"/>
    <w:rsid w:val="006D6FC9"/>
    <w:rsid w:val="006D7BC4"/>
    <w:rsid w:val="007038DD"/>
    <w:rsid w:val="00720DDC"/>
    <w:rsid w:val="007270B7"/>
    <w:rsid w:val="007457DC"/>
    <w:rsid w:val="00747362"/>
    <w:rsid w:val="00747FFB"/>
    <w:rsid w:val="00762CB0"/>
    <w:rsid w:val="00777777"/>
    <w:rsid w:val="00783936"/>
    <w:rsid w:val="007A2993"/>
    <w:rsid w:val="007A4C0F"/>
    <w:rsid w:val="007A6B02"/>
    <w:rsid w:val="007E3FCA"/>
    <w:rsid w:val="007F211B"/>
    <w:rsid w:val="007F6772"/>
    <w:rsid w:val="00814AD6"/>
    <w:rsid w:val="008251C8"/>
    <w:rsid w:val="008724DE"/>
    <w:rsid w:val="00882DDC"/>
    <w:rsid w:val="008923EB"/>
    <w:rsid w:val="0089728A"/>
    <w:rsid w:val="008A34D6"/>
    <w:rsid w:val="008B5C3D"/>
    <w:rsid w:val="008B7259"/>
    <w:rsid w:val="008C2F34"/>
    <w:rsid w:val="008D7984"/>
    <w:rsid w:val="008F2C53"/>
    <w:rsid w:val="008F45E4"/>
    <w:rsid w:val="00903DFF"/>
    <w:rsid w:val="00906490"/>
    <w:rsid w:val="00910854"/>
    <w:rsid w:val="009137BA"/>
    <w:rsid w:val="00913EFF"/>
    <w:rsid w:val="00914DCD"/>
    <w:rsid w:val="009249E1"/>
    <w:rsid w:val="009415D1"/>
    <w:rsid w:val="00951815"/>
    <w:rsid w:val="00951BD2"/>
    <w:rsid w:val="00961A31"/>
    <w:rsid w:val="009659FF"/>
    <w:rsid w:val="0097553B"/>
    <w:rsid w:val="00985530"/>
    <w:rsid w:val="00993E77"/>
    <w:rsid w:val="009A7DF1"/>
    <w:rsid w:val="009C5597"/>
    <w:rsid w:val="009C5A84"/>
    <w:rsid w:val="009C7574"/>
    <w:rsid w:val="009C796A"/>
    <w:rsid w:val="009D08D8"/>
    <w:rsid w:val="009D469A"/>
    <w:rsid w:val="009F3682"/>
    <w:rsid w:val="009F3B68"/>
    <w:rsid w:val="009F5AC8"/>
    <w:rsid w:val="00A01254"/>
    <w:rsid w:val="00A306E3"/>
    <w:rsid w:val="00A33F53"/>
    <w:rsid w:val="00A41134"/>
    <w:rsid w:val="00A466B6"/>
    <w:rsid w:val="00A479B8"/>
    <w:rsid w:val="00A50275"/>
    <w:rsid w:val="00A57D52"/>
    <w:rsid w:val="00A72227"/>
    <w:rsid w:val="00A7353A"/>
    <w:rsid w:val="00A920E7"/>
    <w:rsid w:val="00AC4256"/>
    <w:rsid w:val="00AD3719"/>
    <w:rsid w:val="00AE1E83"/>
    <w:rsid w:val="00AE5284"/>
    <w:rsid w:val="00AF241D"/>
    <w:rsid w:val="00B122D5"/>
    <w:rsid w:val="00B238AF"/>
    <w:rsid w:val="00B374D5"/>
    <w:rsid w:val="00B854EB"/>
    <w:rsid w:val="00B90B7F"/>
    <w:rsid w:val="00B95669"/>
    <w:rsid w:val="00B97ABC"/>
    <w:rsid w:val="00BA2B4E"/>
    <w:rsid w:val="00BC2135"/>
    <w:rsid w:val="00BE20FA"/>
    <w:rsid w:val="00C029DC"/>
    <w:rsid w:val="00C120FD"/>
    <w:rsid w:val="00C15324"/>
    <w:rsid w:val="00C16FBE"/>
    <w:rsid w:val="00C35DDD"/>
    <w:rsid w:val="00C4002B"/>
    <w:rsid w:val="00C54099"/>
    <w:rsid w:val="00C84418"/>
    <w:rsid w:val="00CA4817"/>
    <w:rsid w:val="00CA48C1"/>
    <w:rsid w:val="00CB10CE"/>
    <w:rsid w:val="00CB1EDE"/>
    <w:rsid w:val="00CC0D42"/>
    <w:rsid w:val="00CC434D"/>
    <w:rsid w:val="00CE09E2"/>
    <w:rsid w:val="00CF0C30"/>
    <w:rsid w:val="00CF0EBF"/>
    <w:rsid w:val="00CF3314"/>
    <w:rsid w:val="00D15C91"/>
    <w:rsid w:val="00D32A76"/>
    <w:rsid w:val="00D32AFB"/>
    <w:rsid w:val="00D416A0"/>
    <w:rsid w:val="00D42FD0"/>
    <w:rsid w:val="00D448B7"/>
    <w:rsid w:val="00D65C31"/>
    <w:rsid w:val="00D67A37"/>
    <w:rsid w:val="00D752DB"/>
    <w:rsid w:val="00D84B63"/>
    <w:rsid w:val="00DB391E"/>
    <w:rsid w:val="00DC0988"/>
    <w:rsid w:val="00DC3153"/>
    <w:rsid w:val="00DC43F2"/>
    <w:rsid w:val="00DF0EFE"/>
    <w:rsid w:val="00DF570E"/>
    <w:rsid w:val="00DF79B7"/>
    <w:rsid w:val="00E0711A"/>
    <w:rsid w:val="00E20EFA"/>
    <w:rsid w:val="00E24839"/>
    <w:rsid w:val="00E36C2B"/>
    <w:rsid w:val="00E42CE1"/>
    <w:rsid w:val="00E443B7"/>
    <w:rsid w:val="00E55D71"/>
    <w:rsid w:val="00E578FD"/>
    <w:rsid w:val="00E6184E"/>
    <w:rsid w:val="00E67F29"/>
    <w:rsid w:val="00E75C01"/>
    <w:rsid w:val="00EA1B44"/>
    <w:rsid w:val="00EB6B7B"/>
    <w:rsid w:val="00EC1F90"/>
    <w:rsid w:val="00EC5701"/>
    <w:rsid w:val="00F00036"/>
    <w:rsid w:val="00F00B8B"/>
    <w:rsid w:val="00F027EE"/>
    <w:rsid w:val="00F06DF5"/>
    <w:rsid w:val="00F204BF"/>
    <w:rsid w:val="00F27EB2"/>
    <w:rsid w:val="00F355B2"/>
    <w:rsid w:val="00F52887"/>
    <w:rsid w:val="00F5513A"/>
    <w:rsid w:val="00F570E8"/>
    <w:rsid w:val="00F60C04"/>
    <w:rsid w:val="00F65708"/>
    <w:rsid w:val="00F73D01"/>
    <w:rsid w:val="00F91294"/>
    <w:rsid w:val="00FB0C62"/>
    <w:rsid w:val="00FB3B3F"/>
    <w:rsid w:val="00FB490F"/>
    <w:rsid w:val="00FC1764"/>
    <w:rsid w:val="00FC1CF9"/>
    <w:rsid w:val="00FC5C3E"/>
    <w:rsid w:val="00FD17C9"/>
    <w:rsid w:val="00FD2D86"/>
    <w:rsid w:val="00FD33D9"/>
    <w:rsid w:val="00FE4A9C"/>
    <w:rsid w:val="00FF077C"/>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6A22015D"/>
  <w15:chartTrackingRefBased/>
  <w15:docId w15:val="{7D6F38DD-C732-0440-BD39-9D78CE403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BE"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D1914"/>
  </w:style>
  <w:style w:type="paragraph" w:styleId="Kop1">
    <w:name w:val="heading 1"/>
    <w:basedOn w:val="Standaard"/>
    <w:next w:val="Standaard"/>
    <w:link w:val="Kop1Char"/>
    <w:autoRedefine/>
    <w:uiPriority w:val="9"/>
    <w:qFormat/>
    <w:rsid w:val="009C796A"/>
    <w:pPr>
      <w:keepNext/>
      <w:keepLines/>
      <w:spacing w:before="240"/>
      <w:outlineLvl w:val="0"/>
    </w:pPr>
    <w:rPr>
      <w:rFonts w:ascii="Times" w:eastAsiaTheme="majorEastAsia" w:hAnsi="Times" w:cstheme="majorBidi"/>
      <w:smallCaps/>
      <w:color w:val="000000" w:themeColor="text1"/>
      <w:sz w:val="28"/>
      <w:szCs w:val="32"/>
    </w:rPr>
  </w:style>
  <w:style w:type="paragraph" w:styleId="Kop2">
    <w:name w:val="heading 2"/>
    <w:basedOn w:val="Standaard"/>
    <w:next w:val="Standaard"/>
    <w:link w:val="Kop2Char"/>
    <w:autoRedefine/>
    <w:uiPriority w:val="9"/>
    <w:unhideWhenUsed/>
    <w:qFormat/>
    <w:rsid w:val="009C796A"/>
    <w:pPr>
      <w:keepNext/>
      <w:keepLines/>
      <w:spacing w:before="40"/>
      <w:outlineLvl w:val="1"/>
    </w:pPr>
    <w:rPr>
      <w:rFonts w:asciiTheme="majorHAnsi" w:eastAsiaTheme="majorEastAsia" w:hAnsiTheme="majorHAnsi" w:cstheme="majorBidi"/>
      <w:b/>
      <w:color w:val="000000" w:themeColor="text1"/>
      <w:szCs w:val="26"/>
    </w:rPr>
  </w:style>
  <w:style w:type="paragraph" w:styleId="Kop3">
    <w:name w:val="heading 3"/>
    <w:basedOn w:val="Standaard"/>
    <w:next w:val="Standaard"/>
    <w:link w:val="Kop3Char"/>
    <w:uiPriority w:val="9"/>
    <w:unhideWhenUsed/>
    <w:qFormat/>
    <w:rsid w:val="00282926"/>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unhideWhenUsed/>
    <w:qFormat/>
    <w:rsid w:val="00282926"/>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unhideWhenUsed/>
    <w:qFormat/>
    <w:rsid w:val="00282926"/>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282926"/>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282926"/>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282926"/>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282926"/>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ascii="Times New Roman" w:hAnsi="Times New Roman"/>
      <w:i/>
      <w:iCs/>
      <w:color w:val="0E2841" w:themeColor="text2"/>
      <w:sz w:val="20"/>
      <w:szCs w:val="18"/>
      <w:lang w:bidi="ar-SA"/>
    </w:rPr>
  </w:style>
  <w:style w:type="character" w:customStyle="1" w:styleId="Kop1Char">
    <w:name w:val="Kop 1 Char"/>
    <w:basedOn w:val="Standaardalinea-lettertype"/>
    <w:link w:val="Kop1"/>
    <w:uiPriority w:val="9"/>
    <w:rsid w:val="009C796A"/>
    <w:rPr>
      <w:rFonts w:ascii="Times" w:eastAsiaTheme="majorEastAsia" w:hAnsi="Times" w:cstheme="majorBidi"/>
      <w:smallCaps/>
      <w:color w:val="000000" w:themeColor="text1"/>
      <w:sz w:val="28"/>
      <w:szCs w:val="32"/>
    </w:rPr>
  </w:style>
  <w:style w:type="character" w:customStyle="1" w:styleId="Kop2Char">
    <w:name w:val="Kop 2 Char"/>
    <w:basedOn w:val="Standaardalinea-lettertype"/>
    <w:link w:val="Kop2"/>
    <w:uiPriority w:val="9"/>
    <w:rsid w:val="009C796A"/>
    <w:rPr>
      <w:rFonts w:asciiTheme="majorHAnsi" w:eastAsiaTheme="majorEastAsia" w:hAnsiTheme="majorHAnsi" w:cstheme="majorBidi"/>
      <w:b/>
      <w:color w:val="000000" w:themeColor="text1"/>
      <w:szCs w:val="26"/>
    </w:rPr>
  </w:style>
  <w:style w:type="character" w:customStyle="1" w:styleId="Kop3Char">
    <w:name w:val="Kop 3 Char"/>
    <w:basedOn w:val="Standaardalinea-lettertype"/>
    <w:link w:val="Kop3"/>
    <w:uiPriority w:val="9"/>
    <w:rsid w:val="00282926"/>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rsid w:val="00282926"/>
    <w:rPr>
      <w:rFonts w:eastAsiaTheme="majorEastAsia" w:cstheme="majorBidi"/>
      <w:i/>
      <w:iCs/>
      <w:color w:val="0F4761" w:themeColor="accent1" w:themeShade="BF"/>
    </w:rPr>
  </w:style>
  <w:style w:type="character" w:customStyle="1" w:styleId="Kop5Char">
    <w:name w:val="Kop 5 Char"/>
    <w:basedOn w:val="Standaardalinea-lettertype"/>
    <w:link w:val="Kop5"/>
    <w:uiPriority w:val="9"/>
    <w:rsid w:val="00282926"/>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282926"/>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282926"/>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282926"/>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282926"/>
    <w:rPr>
      <w:rFonts w:eastAsiaTheme="majorEastAsia" w:cstheme="majorBidi"/>
      <w:color w:val="272727" w:themeColor="text1" w:themeTint="D8"/>
    </w:rPr>
  </w:style>
  <w:style w:type="paragraph" w:styleId="Titel">
    <w:name w:val="Title"/>
    <w:basedOn w:val="Standaard"/>
    <w:next w:val="Standaard"/>
    <w:link w:val="TitelChar"/>
    <w:uiPriority w:val="10"/>
    <w:qFormat/>
    <w:rsid w:val="00282926"/>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82926"/>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282926"/>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282926"/>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282926"/>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282926"/>
    <w:rPr>
      <w:i/>
      <w:iCs/>
      <w:color w:val="404040" w:themeColor="text1" w:themeTint="BF"/>
    </w:rPr>
  </w:style>
  <w:style w:type="paragraph" w:styleId="Lijstalinea">
    <w:name w:val="List Paragraph"/>
    <w:basedOn w:val="Standaard"/>
    <w:uiPriority w:val="34"/>
    <w:qFormat/>
    <w:rsid w:val="00282926"/>
    <w:pPr>
      <w:ind w:left="720"/>
      <w:contextualSpacing/>
    </w:pPr>
  </w:style>
  <w:style w:type="character" w:styleId="Intensievebenadrukking">
    <w:name w:val="Intense Emphasis"/>
    <w:basedOn w:val="Standaardalinea-lettertype"/>
    <w:uiPriority w:val="21"/>
    <w:qFormat/>
    <w:rsid w:val="00282926"/>
    <w:rPr>
      <w:i/>
      <w:iCs/>
      <w:color w:val="0F4761" w:themeColor="accent1" w:themeShade="BF"/>
    </w:rPr>
  </w:style>
  <w:style w:type="paragraph" w:styleId="Duidelijkcitaat">
    <w:name w:val="Intense Quote"/>
    <w:basedOn w:val="Standaard"/>
    <w:next w:val="Standaard"/>
    <w:link w:val="DuidelijkcitaatChar"/>
    <w:uiPriority w:val="30"/>
    <w:qFormat/>
    <w:rsid w:val="002829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282926"/>
    <w:rPr>
      <w:i/>
      <w:iCs/>
      <w:color w:val="0F4761" w:themeColor="accent1" w:themeShade="BF"/>
    </w:rPr>
  </w:style>
  <w:style w:type="character" w:styleId="Intensieveverwijzing">
    <w:name w:val="Intense Reference"/>
    <w:basedOn w:val="Standaardalinea-lettertype"/>
    <w:uiPriority w:val="32"/>
    <w:qFormat/>
    <w:rsid w:val="00282926"/>
    <w:rPr>
      <w:b/>
      <w:bCs/>
      <w:smallCaps/>
      <w:color w:val="0F4761" w:themeColor="accent1" w:themeShade="BF"/>
      <w:spacing w:val="5"/>
    </w:rPr>
  </w:style>
  <w:style w:type="paragraph" w:styleId="Normaalweb">
    <w:name w:val="Normal (Web)"/>
    <w:basedOn w:val="Standaard"/>
    <w:uiPriority w:val="99"/>
    <w:unhideWhenUsed/>
    <w:rsid w:val="00282926"/>
    <w:pPr>
      <w:spacing w:before="100" w:beforeAutospacing="1" w:after="100" w:afterAutospacing="1"/>
    </w:pPr>
    <w:rPr>
      <w:rFonts w:ascii="Times New Roman" w:eastAsia="Times New Roman" w:hAnsi="Times New Roman" w:cs="Times New Roman"/>
      <w:lang w:eastAsia="nl-NL"/>
    </w:rPr>
  </w:style>
  <w:style w:type="character" w:styleId="Zwaar">
    <w:name w:val="Strong"/>
    <w:basedOn w:val="Standaardalinea-lettertype"/>
    <w:uiPriority w:val="22"/>
    <w:qFormat/>
    <w:rsid w:val="00282926"/>
    <w:rPr>
      <w:b/>
      <w:bCs/>
    </w:rPr>
  </w:style>
  <w:style w:type="character" w:styleId="Nadruk">
    <w:name w:val="Emphasis"/>
    <w:basedOn w:val="Standaardalinea-lettertype"/>
    <w:uiPriority w:val="20"/>
    <w:qFormat/>
    <w:rsid w:val="00F06DF5"/>
    <w:rPr>
      <w:i/>
      <w:iCs/>
    </w:rPr>
  </w:style>
  <w:style w:type="paragraph" w:styleId="Voetnoottekst">
    <w:name w:val="footnote text"/>
    <w:basedOn w:val="Standaard"/>
    <w:link w:val="VoetnoottekstChar"/>
    <w:uiPriority w:val="99"/>
    <w:unhideWhenUsed/>
    <w:rsid w:val="00192253"/>
    <w:pPr>
      <w:jc w:val="both"/>
    </w:pPr>
    <w:rPr>
      <w:rFonts w:ascii="Times New Roman" w:hAnsi="Times New Roman"/>
      <w:sz w:val="20"/>
      <w:szCs w:val="20"/>
      <w:lang w:bidi="ar-SA"/>
    </w:rPr>
  </w:style>
  <w:style w:type="character" w:customStyle="1" w:styleId="VoetnoottekstChar">
    <w:name w:val="Voetnoottekst Char"/>
    <w:basedOn w:val="Standaardalinea-lettertype"/>
    <w:link w:val="Voetnoottekst"/>
    <w:uiPriority w:val="99"/>
    <w:rsid w:val="00192253"/>
    <w:rPr>
      <w:rFonts w:ascii="Times New Roman" w:hAnsi="Times New Roman"/>
      <w:sz w:val="20"/>
      <w:szCs w:val="20"/>
      <w:lang w:bidi="ar-SA"/>
    </w:rPr>
  </w:style>
  <w:style w:type="character" w:styleId="Voetnootmarkering">
    <w:name w:val="footnote reference"/>
    <w:basedOn w:val="Standaardalinea-lettertype"/>
    <w:uiPriority w:val="99"/>
    <w:semiHidden/>
    <w:unhideWhenUsed/>
    <w:rsid w:val="00192253"/>
    <w:rPr>
      <w:vertAlign w:val="superscript"/>
    </w:rPr>
  </w:style>
  <w:style w:type="paragraph" w:styleId="Lijstopsomteken">
    <w:name w:val="List Bullet"/>
    <w:basedOn w:val="Standaard"/>
    <w:uiPriority w:val="99"/>
    <w:unhideWhenUsed/>
    <w:rsid w:val="00192253"/>
    <w:pPr>
      <w:numPr>
        <w:numId w:val="5"/>
      </w:numPr>
      <w:tabs>
        <w:tab w:val="clear" w:pos="360"/>
      </w:tabs>
      <w:spacing w:after="160" w:line="360" w:lineRule="auto"/>
      <w:ind w:left="0" w:firstLine="0"/>
      <w:contextualSpacing/>
      <w:jc w:val="both"/>
    </w:pPr>
    <w:rPr>
      <w:rFonts w:ascii="Times New Roman" w:hAnsi="Times New Roman"/>
      <w:szCs w:val="22"/>
      <w:lang w:bidi="ar-SA"/>
    </w:rPr>
  </w:style>
  <w:style w:type="table" w:styleId="Tabelraster">
    <w:name w:val="Table Grid"/>
    <w:basedOn w:val="Standaardtabel"/>
    <w:uiPriority w:val="39"/>
    <w:rsid w:val="00192253"/>
    <w:rPr>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192253"/>
    <w:rPr>
      <w:sz w:val="16"/>
      <w:szCs w:val="16"/>
    </w:rPr>
  </w:style>
  <w:style w:type="paragraph" w:styleId="Tekstopmerking">
    <w:name w:val="annotation text"/>
    <w:basedOn w:val="Standaard"/>
    <w:link w:val="TekstopmerkingChar"/>
    <w:uiPriority w:val="99"/>
    <w:semiHidden/>
    <w:unhideWhenUsed/>
    <w:rsid w:val="00192253"/>
    <w:pPr>
      <w:spacing w:after="160"/>
      <w:jc w:val="both"/>
    </w:pPr>
    <w:rPr>
      <w:rFonts w:ascii="Times New Roman" w:hAnsi="Times New Roman"/>
      <w:sz w:val="20"/>
      <w:szCs w:val="20"/>
      <w:lang w:bidi="ar-SA"/>
    </w:rPr>
  </w:style>
  <w:style w:type="character" w:customStyle="1" w:styleId="TekstopmerkingChar">
    <w:name w:val="Tekst opmerking Char"/>
    <w:basedOn w:val="Standaardalinea-lettertype"/>
    <w:link w:val="Tekstopmerking"/>
    <w:uiPriority w:val="99"/>
    <w:semiHidden/>
    <w:rsid w:val="00192253"/>
    <w:rPr>
      <w:rFonts w:ascii="Times New Roman" w:hAnsi="Times New Roman"/>
      <w:sz w:val="20"/>
      <w:szCs w:val="20"/>
      <w:lang w:bidi="ar-SA"/>
    </w:rPr>
  </w:style>
  <w:style w:type="paragraph" w:styleId="Onderwerpvanopmerking">
    <w:name w:val="annotation subject"/>
    <w:basedOn w:val="Tekstopmerking"/>
    <w:next w:val="Tekstopmerking"/>
    <w:link w:val="OnderwerpvanopmerkingChar"/>
    <w:uiPriority w:val="99"/>
    <w:semiHidden/>
    <w:unhideWhenUsed/>
    <w:rsid w:val="00192253"/>
    <w:rPr>
      <w:b/>
      <w:bCs/>
    </w:rPr>
  </w:style>
  <w:style w:type="character" w:customStyle="1" w:styleId="OnderwerpvanopmerkingChar">
    <w:name w:val="Onderwerp van opmerking Char"/>
    <w:basedOn w:val="TekstopmerkingChar"/>
    <w:link w:val="Onderwerpvanopmerking"/>
    <w:uiPriority w:val="99"/>
    <w:semiHidden/>
    <w:rsid w:val="00192253"/>
    <w:rPr>
      <w:rFonts w:ascii="Times New Roman" w:hAnsi="Times New Roman"/>
      <w:b/>
      <w:bCs/>
      <w:sz w:val="20"/>
      <w:szCs w:val="20"/>
      <w:lang w:bidi="ar-SA"/>
    </w:rPr>
  </w:style>
  <w:style w:type="character" w:styleId="Hyperlink">
    <w:name w:val="Hyperlink"/>
    <w:basedOn w:val="Standaardalinea-lettertype"/>
    <w:uiPriority w:val="99"/>
    <w:unhideWhenUsed/>
    <w:rsid w:val="00192253"/>
    <w:rPr>
      <w:color w:val="467886" w:themeColor="hyperlink"/>
      <w:u w:val="single"/>
    </w:rPr>
  </w:style>
  <w:style w:type="character" w:styleId="Onopgelostemelding">
    <w:name w:val="Unresolved Mention"/>
    <w:basedOn w:val="Standaardalinea-lettertype"/>
    <w:uiPriority w:val="99"/>
    <w:semiHidden/>
    <w:unhideWhenUsed/>
    <w:rsid w:val="00192253"/>
    <w:rPr>
      <w:color w:val="605E5C"/>
      <w:shd w:val="clear" w:color="auto" w:fill="E1DFDD"/>
    </w:rPr>
  </w:style>
  <w:style w:type="paragraph" w:styleId="Kopvaninhoudsopgave">
    <w:name w:val="TOC Heading"/>
    <w:basedOn w:val="Kop1"/>
    <w:next w:val="Standaard"/>
    <w:uiPriority w:val="39"/>
    <w:unhideWhenUsed/>
    <w:qFormat/>
    <w:rsid w:val="00192253"/>
    <w:pPr>
      <w:spacing w:line="259" w:lineRule="auto"/>
      <w:outlineLvl w:val="9"/>
    </w:pPr>
    <w:rPr>
      <w:rFonts w:asciiTheme="majorHAnsi" w:hAnsiTheme="majorHAnsi"/>
      <w:smallCaps w:val="0"/>
      <w:color w:val="0F4761" w:themeColor="accent1" w:themeShade="BF"/>
      <w:sz w:val="32"/>
      <w:lang w:eastAsia="nl-BE" w:bidi="ar-SA"/>
    </w:rPr>
  </w:style>
  <w:style w:type="paragraph" w:styleId="Inhopg1">
    <w:name w:val="toc 1"/>
    <w:basedOn w:val="Standaard"/>
    <w:next w:val="Standaard"/>
    <w:autoRedefine/>
    <w:uiPriority w:val="39"/>
    <w:unhideWhenUsed/>
    <w:rsid w:val="00192253"/>
    <w:pPr>
      <w:tabs>
        <w:tab w:val="right" w:leader="dot" w:pos="9062"/>
      </w:tabs>
    </w:pPr>
    <w:rPr>
      <w:rFonts w:ascii="Times New Roman" w:hAnsi="Times New Roman" w:cs="Times New Roman"/>
      <w:b/>
      <w:bCs/>
      <w:smallCaps/>
      <w:noProof/>
      <w:sz w:val="20"/>
      <w:szCs w:val="20"/>
      <w:lang w:val="nl-NL" w:bidi="ar-SA"/>
    </w:rPr>
  </w:style>
  <w:style w:type="paragraph" w:styleId="Inhopg2">
    <w:name w:val="toc 2"/>
    <w:basedOn w:val="Standaard"/>
    <w:next w:val="Standaard"/>
    <w:autoRedefine/>
    <w:uiPriority w:val="39"/>
    <w:unhideWhenUsed/>
    <w:rsid w:val="00192253"/>
    <w:pPr>
      <w:spacing w:line="360" w:lineRule="auto"/>
      <w:ind w:left="240"/>
    </w:pPr>
    <w:rPr>
      <w:rFonts w:cstheme="minorHAnsi"/>
      <w:smallCaps/>
      <w:sz w:val="20"/>
      <w:lang w:bidi="ar-SA"/>
    </w:rPr>
  </w:style>
  <w:style w:type="paragraph" w:styleId="Inhopg3">
    <w:name w:val="toc 3"/>
    <w:basedOn w:val="Standaard"/>
    <w:next w:val="Standaard"/>
    <w:autoRedefine/>
    <w:uiPriority w:val="39"/>
    <w:unhideWhenUsed/>
    <w:rsid w:val="00192253"/>
    <w:pPr>
      <w:spacing w:line="360" w:lineRule="auto"/>
      <w:ind w:left="480"/>
    </w:pPr>
    <w:rPr>
      <w:rFonts w:cstheme="minorHAnsi"/>
      <w:i/>
      <w:iCs/>
      <w:sz w:val="20"/>
      <w:lang w:bidi="ar-SA"/>
    </w:rPr>
  </w:style>
  <w:style w:type="paragraph" w:styleId="Inhopg4">
    <w:name w:val="toc 4"/>
    <w:basedOn w:val="Standaard"/>
    <w:next w:val="Standaard"/>
    <w:autoRedefine/>
    <w:uiPriority w:val="39"/>
    <w:unhideWhenUsed/>
    <w:rsid w:val="00192253"/>
    <w:pPr>
      <w:spacing w:line="360" w:lineRule="auto"/>
      <w:ind w:left="720"/>
    </w:pPr>
    <w:rPr>
      <w:rFonts w:cstheme="minorHAnsi"/>
      <w:sz w:val="18"/>
      <w:szCs w:val="21"/>
      <w:lang w:bidi="ar-SA"/>
    </w:rPr>
  </w:style>
  <w:style w:type="paragraph" w:styleId="Inhopg5">
    <w:name w:val="toc 5"/>
    <w:basedOn w:val="Standaard"/>
    <w:next w:val="Standaard"/>
    <w:autoRedefine/>
    <w:uiPriority w:val="39"/>
    <w:unhideWhenUsed/>
    <w:rsid w:val="00192253"/>
    <w:pPr>
      <w:spacing w:line="360" w:lineRule="auto"/>
      <w:ind w:left="960"/>
    </w:pPr>
    <w:rPr>
      <w:rFonts w:cstheme="minorHAnsi"/>
      <w:sz w:val="18"/>
      <w:szCs w:val="21"/>
      <w:lang w:bidi="ar-SA"/>
    </w:rPr>
  </w:style>
  <w:style w:type="paragraph" w:customStyle="1" w:styleId="Kop30">
    <w:name w:val="Kop3"/>
    <w:basedOn w:val="Kop3"/>
    <w:next w:val="Standaard"/>
    <w:qFormat/>
    <w:rsid w:val="00192253"/>
    <w:pPr>
      <w:spacing w:before="40" w:after="0" w:line="360" w:lineRule="auto"/>
      <w:jc w:val="both"/>
    </w:pPr>
    <w:rPr>
      <w:rFonts w:ascii="Times New Roman" w:hAnsi="Times New Roman" w:cs="Times New Roman"/>
      <w:color w:val="auto"/>
      <w:sz w:val="24"/>
      <w:szCs w:val="24"/>
      <w:lang w:val="nl-NL" w:bidi="ar-SA"/>
    </w:rPr>
  </w:style>
  <w:style w:type="character" w:customStyle="1" w:styleId="Geen">
    <w:name w:val="Geen"/>
    <w:rsid w:val="00192253"/>
  </w:style>
  <w:style w:type="paragraph" w:styleId="Koptekst">
    <w:name w:val="header"/>
    <w:basedOn w:val="Standaard"/>
    <w:link w:val="KoptekstChar"/>
    <w:uiPriority w:val="99"/>
    <w:unhideWhenUsed/>
    <w:rsid w:val="00192253"/>
    <w:pPr>
      <w:tabs>
        <w:tab w:val="center" w:pos="4536"/>
        <w:tab w:val="right" w:pos="9072"/>
      </w:tabs>
      <w:jc w:val="both"/>
    </w:pPr>
    <w:rPr>
      <w:rFonts w:ascii="Times New Roman" w:hAnsi="Times New Roman"/>
      <w:szCs w:val="22"/>
      <w:lang w:bidi="ar-SA"/>
    </w:rPr>
  </w:style>
  <w:style w:type="character" w:customStyle="1" w:styleId="KoptekstChar">
    <w:name w:val="Koptekst Char"/>
    <w:basedOn w:val="Standaardalinea-lettertype"/>
    <w:link w:val="Koptekst"/>
    <w:uiPriority w:val="99"/>
    <w:rsid w:val="00192253"/>
    <w:rPr>
      <w:rFonts w:ascii="Times New Roman" w:hAnsi="Times New Roman"/>
      <w:szCs w:val="22"/>
      <w:lang w:bidi="ar-SA"/>
    </w:rPr>
  </w:style>
  <w:style w:type="paragraph" w:styleId="Voettekst">
    <w:name w:val="footer"/>
    <w:basedOn w:val="Standaard"/>
    <w:link w:val="VoettekstChar"/>
    <w:uiPriority w:val="99"/>
    <w:unhideWhenUsed/>
    <w:rsid w:val="00192253"/>
    <w:pPr>
      <w:tabs>
        <w:tab w:val="center" w:pos="4536"/>
        <w:tab w:val="right" w:pos="9072"/>
      </w:tabs>
      <w:jc w:val="both"/>
    </w:pPr>
    <w:rPr>
      <w:rFonts w:ascii="Times New Roman" w:hAnsi="Times New Roman"/>
      <w:szCs w:val="22"/>
      <w:lang w:bidi="ar-SA"/>
    </w:rPr>
  </w:style>
  <w:style w:type="character" w:customStyle="1" w:styleId="VoettekstChar">
    <w:name w:val="Voettekst Char"/>
    <w:basedOn w:val="Standaardalinea-lettertype"/>
    <w:link w:val="Voettekst"/>
    <w:uiPriority w:val="99"/>
    <w:rsid w:val="00192253"/>
    <w:rPr>
      <w:rFonts w:ascii="Times New Roman" w:hAnsi="Times New Roman"/>
      <w:szCs w:val="22"/>
      <w:lang w:bidi="ar-SA"/>
    </w:rPr>
  </w:style>
  <w:style w:type="character" w:styleId="Paginanummer">
    <w:name w:val="page number"/>
    <w:basedOn w:val="Standaardalinea-lettertype"/>
    <w:uiPriority w:val="99"/>
    <w:semiHidden/>
    <w:unhideWhenUsed/>
    <w:rsid w:val="00192253"/>
  </w:style>
  <w:style w:type="paragraph" w:styleId="Inhopg6">
    <w:name w:val="toc 6"/>
    <w:basedOn w:val="Standaard"/>
    <w:next w:val="Standaard"/>
    <w:autoRedefine/>
    <w:uiPriority w:val="39"/>
    <w:unhideWhenUsed/>
    <w:rsid w:val="00192253"/>
    <w:pPr>
      <w:spacing w:line="360" w:lineRule="auto"/>
      <w:ind w:left="1200"/>
    </w:pPr>
    <w:rPr>
      <w:rFonts w:cstheme="minorHAnsi"/>
      <w:sz w:val="18"/>
      <w:szCs w:val="21"/>
      <w:lang w:bidi="ar-SA"/>
    </w:rPr>
  </w:style>
  <w:style w:type="paragraph" w:styleId="Inhopg7">
    <w:name w:val="toc 7"/>
    <w:basedOn w:val="Standaard"/>
    <w:next w:val="Standaard"/>
    <w:autoRedefine/>
    <w:uiPriority w:val="39"/>
    <w:unhideWhenUsed/>
    <w:rsid w:val="00192253"/>
    <w:pPr>
      <w:spacing w:line="360" w:lineRule="auto"/>
      <w:ind w:left="1440"/>
    </w:pPr>
    <w:rPr>
      <w:rFonts w:cstheme="minorHAnsi"/>
      <w:sz w:val="18"/>
      <w:szCs w:val="21"/>
      <w:lang w:bidi="ar-SA"/>
    </w:rPr>
  </w:style>
  <w:style w:type="paragraph" w:styleId="Inhopg8">
    <w:name w:val="toc 8"/>
    <w:basedOn w:val="Standaard"/>
    <w:next w:val="Standaard"/>
    <w:autoRedefine/>
    <w:uiPriority w:val="39"/>
    <w:unhideWhenUsed/>
    <w:rsid w:val="00192253"/>
    <w:pPr>
      <w:spacing w:line="360" w:lineRule="auto"/>
      <w:ind w:left="1680"/>
    </w:pPr>
    <w:rPr>
      <w:rFonts w:cstheme="minorHAnsi"/>
      <w:sz w:val="18"/>
      <w:szCs w:val="21"/>
      <w:lang w:bidi="ar-SA"/>
    </w:rPr>
  </w:style>
  <w:style w:type="paragraph" w:styleId="Inhopg9">
    <w:name w:val="toc 9"/>
    <w:basedOn w:val="Standaard"/>
    <w:next w:val="Standaard"/>
    <w:autoRedefine/>
    <w:uiPriority w:val="39"/>
    <w:unhideWhenUsed/>
    <w:rsid w:val="00192253"/>
    <w:pPr>
      <w:spacing w:line="360" w:lineRule="auto"/>
      <w:ind w:left="1920"/>
    </w:pPr>
    <w:rPr>
      <w:rFonts w:cstheme="minorHAnsi"/>
      <w:sz w:val="18"/>
      <w:szCs w:val="21"/>
      <w:lang w:bidi="ar-SA"/>
    </w:rPr>
  </w:style>
  <w:style w:type="character" w:customStyle="1" w:styleId="apple-converted-space">
    <w:name w:val="apple-converted-space"/>
    <w:basedOn w:val="Standaardalinea-lettertype"/>
    <w:rsid w:val="00E443B7"/>
  </w:style>
  <w:style w:type="character" w:customStyle="1" w:styleId="t">
    <w:name w:val="t"/>
    <w:basedOn w:val="Standaardalinea-lettertype"/>
    <w:rsid w:val="00B97A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5646309">
      <w:bodyDiv w:val="1"/>
      <w:marLeft w:val="0"/>
      <w:marRight w:val="0"/>
      <w:marTop w:val="0"/>
      <w:marBottom w:val="0"/>
      <w:divBdr>
        <w:top w:val="none" w:sz="0" w:space="0" w:color="auto"/>
        <w:left w:val="none" w:sz="0" w:space="0" w:color="auto"/>
        <w:bottom w:val="none" w:sz="0" w:space="0" w:color="auto"/>
        <w:right w:val="none" w:sz="0" w:space="0" w:color="auto"/>
      </w:divBdr>
    </w:div>
    <w:div w:id="1386641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DBE80-28B5-9843-9B7E-00A26AF87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912</TotalTime>
  <Pages>16</Pages>
  <Words>6202</Words>
  <Characters>38521</Characters>
  <Application>Microsoft Office Word</Application>
  <DocSecurity>0</DocSecurity>
  <Lines>535</Lines>
  <Paragraphs>72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44651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123</cp:revision>
  <dcterms:created xsi:type="dcterms:W3CDTF">2025-08-03T20:05:00Z</dcterms:created>
  <dcterms:modified xsi:type="dcterms:W3CDTF">2025-09-01T19:45:00Z</dcterms:modified>
</cp:coreProperties>
</file>