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18842" w14:textId="77777777" w:rsidR="00FA4F5F" w:rsidRDefault="00FA4F5F">
      <w:pPr>
        <w:pStyle w:val="Titre1"/>
        <w:spacing w:line="360" w:lineRule="auto"/>
        <w:jc w:val="left"/>
        <w:rPr>
          <w:rStyle w:val="Aucun"/>
          <w:rFonts w:ascii="Times New Roman" w:hAnsi="Times New Roman"/>
          <w:color w:val="000000"/>
          <w:u w:color="000000"/>
        </w:rPr>
      </w:pPr>
    </w:p>
    <w:p w14:paraId="31F51808" w14:textId="77777777" w:rsidR="00FA4F5F" w:rsidRDefault="002D52F5">
      <w:pPr>
        <w:pStyle w:val="Titre1"/>
        <w:spacing w:line="360" w:lineRule="auto"/>
        <w:jc w:val="center"/>
        <w:rPr>
          <w:rStyle w:val="Aucun"/>
          <w:rFonts w:ascii="Times New Roman" w:eastAsia="Times New Roman" w:hAnsi="Times New Roman" w:cs="Times New Roman"/>
          <w:color w:val="000000"/>
          <w:u w:color="000000"/>
        </w:rPr>
      </w:pPr>
      <w:r>
        <w:rPr>
          <w:rStyle w:val="Aucun"/>
          <w:rFonts w:ascii="Times New Roman" w:hAnsi="Times New Roman"/>
          <w:color w:val="000000"/>
          <w:u w:color="000000"/>
        </w:rPr>
        <w:t xml:space="preserve">L’ennemi sous la langue – Perspectivisme amérindien et philosophie deleuzo-guattarienne du langage </w:t>
      </w:r>
    </w:p>
    <w:p w14:paraId="7453A3D4" w14:textId="77777777" w:rsidR="00087246" w:rsidRPr="00087246" w:rsidRDefault="00087246" w:rsidP="00087246">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fr-BE" w:eastAsia="fr-FR"/>
        </w:rPr>
      </w:pPr>
      <w:r w:rsidRPr="00087246">
        <w:rPr>
          <w:rFonts w:ascii="Helvetica" w:eastAsia="Times New Roman" w:hAnsi="Helvetica"/>
          <w:color w:val="000000"/>
          <w:sz w:val="18"/>
          <w:szCs w:val="18"/>
          <w:bdr w:val="none" w:sz="0" w:space="0" w:color="auto"/>
          <w:lang w:val="fr-BE" w:eastAsia="fr-FR"/>
        </w:rPr>
        <w:t>Gauthier Dierickx</w:t>
      </w:r>
    </w:p>
    <w:p w14:paraId="22A7AC65" w14:textId="77777777" w:rsidR="00FA4F5F" w:rsidRDefault="00FA4F5F">
      <w:pPr>
        <w:pStyle w:val="CorpsA"/>
        <w:spacing w:line="360" w:lineRule="auto"/>
        <w:rPr>
          <w:rStyle w:val="Aucun"/>
          <w:rFonts w:ascii="Times New Roman" w:eastAsia="Times New Roman" w:hAnsi="Times New Roman" w:cs="Times New Roman"/>
        </w:rPr>
      </w:pPr>
    </w:p>
    <w:p w14:paraId="158D6F18" w14:textId="77777777" w:rsidR="00FA4F5F" w:rsidRDefault="002D52F5">
      <w:pPr>
        <w:pStyle w:val="Titre2"/>
        <w:spacing w:line="360" w:lineRule="auto"/>
        <w:rPr>
          <w:rStyle w:val="AucunA"/>
        </w:rPr>
      </w:pPr>
      <w:r>
        <w:rPr>
          <w:rStyle w:val="AucunA"/>
        </w:rPr>
        <w:t xml:space="preserve">Résumé </w:t>
      </w:r>
    </w:p>
    <w:p w14:paraId="6DEB9B5F" w14:textId="77777777" w:rsidR="00FA4F5F" w:rsidRDefault="00FA4F5F">
      <w:pPr>
        <w:pStyle w:val="CorpsA"/>
        <w:spacing w:line="360" w:lineRule="auto"/>
        <w:rPr>
          <w:rStyle w:val="Aucun"/>
          <w:rFonts w:ascii="Times New Roman" w:eastAsia="Times New Roman" w:hAnsi="Times New Roman" w:cs="Times New Roman"/>
        </w:rPr>
      </w:pPr>
    </w:p>
    <w:p w14:paraId="02B47970" w14:textId="77777777" w:rsidR="00FA4F5F" w:rsidRDefault="002D52F5">
      <w:pPr>
        <w:pStyle w:val="CorpsA"/>
        <w:spacing w:line="360" w:lineRule="auto"/>
        <w:ind w:firstLine="708"/>
        <w:rPr>
          <w:rStyle w:val="Aucun"/>
          <w:rFonts w:ascii="Times New Roman" w:eastAsia="Times New Roman" w:hAnsi="Times New Roman" w:cs="Times New Roman"/>
        </w:rPr>
      </w:pPr>
      <w:r>
        <w:rPr>
          <w:rStyle w:val="Aucun"/>
          <w:rFonts w:ascii="Times New Roman" w:hAnsi="Times New Roman"/>
        </w:rPr>
        <w:t xml:space="preserve">Dans le prolongement du perspectivisme amérindien d’Eduardo Viveiros de Castro, cet article ambitionne de dégager une théorie amazonienne du langage à partir de certains chants guerriers des Araweté, population indigène du Brésil oriental. Pour ce faire, nous mobiliserons la philosophie du langage développée par Deleuze et Guattari. En effet, en raison des nombreuses analogies entre la structure énonciative de ces chants et cette philosophie, cette dernière semble constituer un terreau favorable pour traduire cette structure dans notre matrice conceptuelle occidentale. Une telle traduction nous permettra non seulement de nous libérer de l’idéal de communication – si cher à certaines théories linguistiques – mais également de souligner l’intérêt pour notre philosophie du langage et de la littérature d’aborder des matériaux non occidentaux. </w:t>
      </w:r>
    </w:p>
    <w:p w14:paraId="60A35CC8" w14:textId="77777777" w:rsidR="00FA4F5F" w:rsidRDefault="00FA4F5F">
      <w:pPr>
        <w:pStyle w:val="CorpsA"/>
        <w:spacing w:line="360" w:lineRule="auto"/>
        <w:ind w:firstLine="708"/>
        <w:rPr>
          <w:rStyle w:val="Aucun"/>
          <w:rFonts w:ascii="Times New Roman" w:eastAsia="Times New Roman" w:hAnsi="Times New Roman" w:cs="Times New Roman"/>
        </w:rPr>
      </w:pPr>
    </w:p>
    <w:p w14:paraId="762B4D1B" w14:textId="77777777" w:rsidR="00FA4F5F" w:rsidRDefault="002D52F5">
      <w:pPr>
        <w:pStyle w:val="CorpsA"/>
        <w:spacing w:line="360" w:lineRule="auto"/>
        <w:ind w:firstLine="708"/>
        <w:rPr>
          <w:rStyle w:val="Aucun"/>
          <w:rFonts w:ascii="Times New Roman" w:eastAsia="Times New Roman" w:hAnsi="Times New Roman" w:cs="Times New Roman"/>
        </w:rPr>
      </w:pPr>
      <w:r>
        <w:rPr>
          <w:rStyle w:val="Aucun"/>
          <w:rFonts w:ascii="Times New Roman" w:hAnsi="Times New Roman"/>
        </w:rPr>
        <w:t xml:space="preserve">Mots-clefs : Philosophie du langage, Perspectivisme amérindien, Gilles Deleuze et Félix Guattari. </w:t>
      </w:r>
    </w:p>
    <w:p w14:paraId="7639FD97" w14:textId="77777777" w:rsidR="00FA4F5F" w:rsidRDefault="00FA4F5F">
      <w:pPr>
        <w:pStyle w:val="CorpsA"/>
        <w:spacing w:line="360" w:lineRule="auto"/>
        <w:rPr>
          <w:rStyle w:val="Aucun"/>
          <w:rFonts w:ascii="Times New Roman" w:eastAsia="Times New Roman" w:hAnsi="Times New Roman" w:cs="Times New Roman"/>
        </w:rPr>
      </w:pPr>
    </w:p>
    <w:p w14:paraId="29C28291" w14:textId="77777777" w:rsidR="00FA4F5F" w:rsidRDefault="002D52F5">
      <w:pPr>
        <w:pStyle w:val="CorpsA"/>
        <w:spacing w:line="360" w:lineRule="auto"/>
        <w:rPr>
          <w:rStyle w:val="Aucun"/>
          <w:rFonts w:ascii="Times New Roman" w:eastAsia="Times New Roman" w:hAnsi="Times New Roman" w:cs="Times New Roman"/>
          <w:b/>
          <w:bCs/>
          <w:lang w:val="en-US"/>
        </w:rPr>
      </w:pPr>
      <w:r>
        <w:rPr>
          <w:rStyle w:val="Aucun"/>
          <w:rFonts w:ascii="Times New Roman" w:hAnsi="Times New Roman"/>
          <w:b/>
          <w:bCs/>
          <w:lang w:val="en-US"/>
        </w:rPr>
        <w:t>Abstract</w:t>
      </w:r>
    </w:p>
    <w:p w14:paraId="2617C021" w14:textId="77777777" w:rsidR="00FA4F5F" w:rsidRDefault="002D52F5">
      <w:pPr>
        <w:pStyle w:val="CorpsA"/>
        <w:spacing w:line="360" w:lineRule="auto"/>
        <w:rPr>
          <w:rStyle w:val="Aucun"/>
          <w:rFonts w:ascii="Times New Roman" w:eastAsia="Times New Roman" w:hAnsi="Times New Roman" w:cs="Times New Roman"/>
          <w:lang w:val="en-US"/>
        </w:rPr>
      </w:pPr>
      <w:r>
        <w:rPr>
          <w:rStyle w:val="Aucun"/>
          <w:rFonts w:ascii="Times New Roman" w:hAnsi="Times New Roman"/>
          <w:lang w:val="en-US"/>
        </w:rPr>
        <w:t xml:space="preserve"> </w:t>
      </w:r>
    </w:p>
    <w:p w14:paraId="78328874" w14:textId="77777777" w:rsidR="00FA4F5F" w:rsidRDefault="002D52F5">
      <w:pPr>
        <w:pStyle w:val="CorpsA"/>
        <w:spacing w:line="360" w:lineRule="auto"/>
        <w:ind w:firstLine="708"/>
        <w:rPr>
          <w:rStyle w:val="Aucun"/>
          <w:rFonts w:ascii="Times New Roman" w:eastAsia="Times New Roman" w:hAnsi="Times New Roman" w:cs="Times New Roman"/>
          <w:lang w:val="en-US"/>
        </w:rPr>
      </w:pPr>
      <w:r>
        <w:rPr>
          <w:rStyle w:val="Aucun"/>
          <w:rFonts w:ascii="Times New Roman" w:hAnsi="Times New Roman"/>
          <w:lang w:val="en-US"/>
        </w:rPr>
        <w:t>Following some of the insights of Viveiros de</w:t>
      </w:r>
      <w:r w:rsidRPr="004D139E">
        <w:rPr>
          <w:rStyle w:val="Aucun"/>
          <w:rFonts w:ascii="Times New Roman" w:hAnsi="Times New Roman"/>
          <w:lang w:val="en-US"/>
        </w:rPr>
        <w:t> </w:t>
      </w:r>
      <w:r>
        <w:rPr>
          <w:rStyle w:val="Aucun"/>
          <w:rFonts w:ascii="Times New Roman" w:hAnsi="Times New Roman"/>
          <w:lang w:val="en-US"/>
        </w:rPr>
        <w:t xml:space="preserve">Castro’s Amerindian perspectivism, this article aims to extract an Amazonian language theory from warrior chants of the Awareté – an indigenous people from Eastern Brazil. To that end, we shall draw on the philosophy of language developed by Deleuze and Guattari. Indeed, due to the numerous analogies between the enunciative structure of those chants and that philosophy, the latter seems an opportune breeding ground for translating the former into our western conceptual toolbox. This translation will help us to free ourselves from the communicative ideal of language – so cherished by some </w:t>
      </w:r>
      <w:r>
        <w:rPr>
          <w:rStyle w:val="Aucun"/>
          <w:rFonts w:ascii="Times New Roman" w:hAnsi="Times New Roman"/>
          <w:lang w:val="en-US"/>
        </w:rPr>
        <w:lastRenderedPageBreak/>
        <w:t xml:space="preserve">linguistic theories – as well as highlight the relevance of non-western material to our philosophy of language and literature. </w:t>
      </w:r>
    </w:p>
    <w:p w14:paraId="45A9BB82" w14:textId="77777777" w:rsidR="00FA4F5F" w:rsidRDefault="00FA4F5F">
      <w:pPr>
        <w:pStyle w:val="CorpsA"/>
        <w:spacing w:line="360" w:lineRule="auto"/>
        <w:ind w:firstLine="708"/>
        <w:rPr>
          <w:rStyle w:val="Aucun"/>
          <w:rFonts w:ascii="Times New Roman" w:eastAsia="Times New Roman" w:hAnsi="Times New Roman" w:cs="Times New Roman"/>
          <w:lang w:val="en-US"/>
        </w:rPr>
      </w:pPr>
    </w:p>
    <w:p w14:paraId="1B8B3D53" w14:textId="77777777" w:rsidR="00FA4F5F" w:rsidRDefault="002D52F5">
      <w:pPr>
        <w:pStyle w:val="CorpsA"/>
        <w:spacing w:line="360" w:lineRule="auto"/>
        <w:ind w:firstLine="708"/>
        <w:rPr>
          <w:rStyle w:val="Aucun"/>
          <w:rFonts w:ascii="Times New Roman" w:eastAsia="Times New Roman" w:hAnsi="Times New Roman" w:cs="Times New Roman"/>
          <w:lang w:val="en-US"/>
        </w:rPr>
      </w:pPr>
      <w:r>
        <w:rPr>
          <w:rStyle w:val="Aucun"/>
          <w:rFonts w:ascii="Times New Roman" w:hAnsi="Times New Roman"/>
          <w:lang w:val="en-US"/>
        </w:rPr>
        <w:t xml:space="preserve">Keywords: Philosophy of language, Amerindian Perspectivism, Gilles Deleuze and Felix Guattari. </w:t>
      </w:r>
    </w:p>
    <w:p w14:paraId="47BC5D7D" w14:textId="77777777" w:rsidR="00FA4F5F" w:rsidRDefault="002D52F5">
      <w:pPr>
        <w:pStyle w:val="Titre2"/>
        <w:spacing w:line="360" w:lineRule="auto"/>
      </w:pPr>
      <w:r>
        <w:rPr>
          <w:rStyle w:val="AucunA"/>
        </w:rPr>
        <w:t xml:space="preserve">Introduction </w:t>
      </w:r>
    </w:p>
    <w:p w14:paraId="205B5110" w14:textId="77777777" w:rsidR="00FA4F5F" w:rsidRDefault="00FA4F5F">
      <w:pPr>
        <w:pStyle w:val="CorpsA"/>
        <w:spacing w:line="360" w:lineRule="auto"/>
        <w:rPr>
          <w:rStyle w:val="Aucun"/>
          <w:rFonts w:ascii="Times New Roman" w:eastAsia="Times New Roman" w:hAnsi="Times New Roman" w:cs="Times New Roman"/>
        </w:rPr>
      </w:pPr>
    </w:p>
    <w:p w14:paraId="6A41A5AE" w14:textId="77777777" w:rsidR="00FA4F5F" w:rsidRDefault="002D52F5">
      <w:pPr>
        <w:pStyle w:val="CorpsA"/>
        <w:spacing w:line="360" w:lineRule="auto"/>
        <w:ind w:firstLine="708"/>
        <w:rPr>
          <w:rStyle w:val="Aucun"/>
          <w:rFonts w:ascii="Times New Roman" w:eastAsia="Times New Roman" w:hAnsi="Times New Roman" w:cs="Times New Roman"/>
        </w:rPr>
      </w:pPr>
      <w:r>
        <w:rPr>
          <w:rStyle w:val="Aucun"/>
          <w:rFonts w:ascii="Times New Roman" w:hAnsi="Times New Roman"/>
        </w:rPr>
        <w:t xml:space="preserve">Dans le prolongement du perspectivisme amérindien d’Eduardo Viveiros de Castro, cet article ambitionne d’analyser la structure d’énonciation des chants guerriers des Araweté, petite société de langue tupi-guarani du Brésil Oriental, afin de proposer </w:t>
      </w:r>
      <w:r>
        <w:rPr>
          <w:rStyle w:val="Aucun"/>
          <w:rFonts w:ascii="Times New Roman" w:hAnsi="Times New Roman"/>
          <w:i/>
          <w:iCs/>
        </w:rPr>
        <w:t>une</w:t>
      </w:r>
      <w:r>
        <w:rPr>
          <w:rStyle w:val="Aucun"/>
          <w:rFonts w:ascii="Times New Roman" w:hAnsi="Times New Roman"/>
        </w:rPr>
        <w:t xml:space="preserve"> théorie amazonienne du langage. Celle-ci nous permettra non seulement de nous libérer de l’idéal de communication si cher à la linguistique structurale – principalement léguée par De Sassure et Chomsky – en portant l’attention sur sa dimension résolument agonistique, mais également de souligner l’intérêt pour nos philosophies du langage et de la littérature d’aborder des matériaux non occidentaux. </w:t>
      </w:r>
    </w:p>
    <w:p w14:paraId="737E005D" w14:textId="77777777" w:rsidR="00FA4F5F" w:rsidRDefault="00FA4F5F">
      <w:pPr>
        <w:pStyle w:val="CorpsA"/>
        <w:spacing w:line="360" w:lineRule="auto"/>
        <w:rPr>
          <w:rStyle w:val="Aucun"/>
          <w:rFonts w:ascii="Times New Roman" w:eastAsia="Times New Roman" w:hAnsi="Times New Roman" w:cs="Times New Roman"/>
        </w:rPr>
      </w:pPr>
    </w:p>
    <w:p w14:paraId="43E0EF2A" w14:textId="29135B7C" w:rsidR="00FA4F5F" w:rsidRDefault="002D52F5">
      <w:pPr>
        <w:pStyle w:val="CorpsA"/>
        <w:spacing w:line="360" w:lineRule="auto"/>
        <w:ind w:firstLine="708"/>
        <w:rPr>
          <w:rStyle w:val="Aucun"/>
          <w:rFonts w:ascii="Times New Roman" w:eastAsia="Times New Roman" w:hAnsi="Times New Roman" w:cs="Times New Roman"/>
        </w:rPr>
      </w:pPr>
      <w:r>
        <w:rPr>
          <w:rStyle w:val="Aucun"/>
          <w:rFonts w:ascii="Times New Roman" w:hAnsi="Times New Roman"/>
        </w:rPr>
        <w:t>Nous commencerons par revenir sur certaines notions fondamentales du perspectivisme amérindien tel que théorisé par Viveiros de Castro, en le resituant également dans le cadre plus large des réflexions du tournant ontologique en anthropologie. Ce rapide rappel sera essentiel pour aborder sereinement dans un second temps quelques éléments de la cosmologie araweté, et plus particulièrement le rapport spécifique qui s’établit entre le meurtrier et sa victime tuée au cours d’un affrontement entre groupes ennemis. C’est en effet dans ce contexte spécifique que prennent place les chants guerriers araweté dont nous proposons ici l’analyse. Ceux-ci sont rapportés par la victime, mais récités par son meurtrier, littéralement à travers lui, tous deux entrant dans un devenir-autre. Toutefois, pour bien saisir la spécificité de ce régime d’énonciation et le problème qu’il constitue pour la linguistique structurale, il nous faudra réaliser un détour par la conception deleuzo-guattarienne du langage, fortement influencée par les recherches menées en sociolinguistique. Nous verrons que celle-ci constitue une alliée de choix, une matrice conceptuelle privilégiée pour traduire dans notre propre tradition philosophique certaines composantes araweté, et ce, en raison de leurs nombreuses « analogies – au moins aussi construites que constatées</w:t>
      </w:r>
      <w:r>
        <w:rPr>
          <w:rStyle w:val="Aucun"/>
          <w:rFonts w:ascii="Times New Roman" w:eastAsia="Times New Roman" w:hAnsi="Times New Roman" w:cs="Times New Roman"/>
          <w:vertAlign w:val="superscript"/>
        </w:rPr>
        <w:footnoteReference w:id="2"/>
      </w:r>
      <w:r w:rsidR="00932CBA">
        <w:rPr>
          <w:rStyle w:val="Aucun"/>
          <w:rFonts w:ascii="Times New Roman" w:hAnsi="Times New Roman"/>
        </w:rPr>
        <w:t> »</w:t>
      </w:r>
      <w:r>
        <w:rPr>
          <w:rStyle w:val="Aucun"/>
          <w:rFonts w:ascii="Times New Roman" w:hAnsi="Times New Roman"/>
        </w:rPr>
        <w:t xml:space="preserve">. </w:t>
      </w:r>
    </w:p>
    <w:p w14:paraId="2743F002" w14:textId="77777777" w:rsidR="00FA4F5F" w:rsidRDefault="002D52F5">
      <w:pPr>
        <w:pStyle w:val="Titre2"/>
        <w:numPr>
          <w:ilvl w:val="0"/>
          <w:numId w:val="2"/>
        </w:numPr>
        <w:spacing w:line="360" w:lineRule="auto"/>
      </w:pPr>
      <w:r>
        <w:rPr>
          <w:rStyle w:val="AucunA"/>
        </w:rPr>
        <w:lastRenderedPageBreak/>
        <w:t xml:space="preserve">Perspectivisme amérindien </w:t>
      </w:r>
    </w:p>
    <w:p w14:paraId="745B36B8" w14:textId="77777777" w:rsidR="00FA4F5F" w:rsidRDefault="00FA4F5F">
      <w:pPr>
        <w:pStyle w:val="CorpsA"/>
        <w:spacing w:line="360" w:lineRule="auto"/>
        <w:rPr>
          <w:rStyle w:val="Aucun"/>
          <w:rFonts w:ascii="Times New Roman" w:eastAsia="Times New Roman" w:hAnsi="Times New Roman" w:cs="Times New Roman"/>
        </w:rPr>
      </w:pPr>
    </w:p>
    <w:p w14:paraId="6A4F214F" w14:textId="708D6A87" w:rsidR="00FA4F5F" w:rsidRDefault="002D52F5">
      <w:pPr>
        <w:pStyle w:val="CorpsA"/>
        <w:spacing w:line="360" w:lineRule="auto"/>
        <w:ind w:firstLine="567"/>
        <w:rPr>
          <w:rStyle w:val="Aucun"/>
          <w:rFonts w:ascii="Times New Roman" w:eastAsia="Times New Roman" w:hAnsi="Times New Roman" w:cs="Times New Roman"/>
        </w:rPr>
      </w:pPr>
      <w:r>
        <w:rPr>
          <w:rStyle w:val="Aucun"/>
          <w:rFonts w:ascii="Times New Roman" w:hAnsi="Times New Roman"/>
        </w:rPr>
        <w:t>Les recherches de Viveiros de Castro sur le perspectivisme amérindien s’inscrivent dans ce qu’il est désormais convenu d’appeler le « tournant ontologique en anthropologie</w:t>
      </w:r>
      <w:r>
        <w:rPr>
          <w:rStyle w:val="Aucun"/>
          <w:rFonts w:ascii="Times New Roman" w:eastAsia="Times New Roman" w:hAnsi="Times New Roman" w:cs="Times New Roman"/>
          <w:vertAlign w:val="superscript"/>
        </w:rPr>
        <w:footnoteReference w:id="3"/>
      </w:r>
      <w:r w:rsidR="00932CBA">
        <w:rPr>
          <w:rStyle w:val="Aucun"/>
          <w:rFonts w:ascii="Times New Roman" w:hAnsi="Times New Roman"/>
        </w:rPr>
        <w:t> »</w:t>
      </w:r>
      <w:r>
        <w:rPr>
          <w:rStyle w:val="Aucun"/>
          <w:rFonts w:ascii="Times New Roman" w:hAnsi="Times New Roman"/>
        </w:rPr>
        <w:t>. Depuis une vingtaine d’années, ce courant – auquel participent également des auteurs et autrices tel·les que Roy Wagner ou Marilyn Strathern – vise à radicaliser le potentiel réflexif de cette discipline, en invitant les anthropologues à remettre en question leur grille d’analyse conceptuelle – y compris les notions à première vue aussi indubitables que celles de « nature » ou de « culture » – afin de surmonter son inadéquation initiale par rapport à leur terrain ethnographique. Ce travail de reconceptualisation donne ainsi un tour proprement philosophique à l’anthropologie, du moins si l’</w:t>
      </w:r>
      <w:r>
        <w:rPr>
          <w:rStyle w:val="Aucun"/>
          <w:rFonts w:ascii="Times New Roman" w:hAnsi="Times New Roman"/>
          <w:lang w:val="it-IT"/>
        </w:rPr>
        <w:t>on s</w:t>
      </w:r>
      <w:r>
        <w:rPr>
          <w:rStyle w:val="Aucun"/>
          <w:rFonts w:ascii="Times New Roman" w:hAnsi="Times New Roman"/>
        </w:rPr>
        <w:t>’accorde avec Deleuze et Guattari pour définir la philosophie comme « l’art de former, d’inventer, de fabriquer des concepts</w:t>
      </w:r>
      <w:r>
        <w:rPr>
          <w:rStyle w:val="Aucun"/>
          <w:rFonts w:ascii="Times New Roman" w:eastAsia="Times New Roman" w:hAnsi="Times New Roman" w:cs="Times New Roman"/>
          <w:vertAlign w:val="superscript"/>
        </w:rPr>
        <w:footnoteReference w:id="4"/>
      </w:r>
      <w:r w:rsidR="00932CBA">
        <w:rPr>
          <w:rStyle w:val="Aucun"/>
          <w:rFonts w:ascii="Times New Roman" w:hAnsi="Times New Roman"/>
        </w:rPr>
        <w:t> »</w:t>
      </w:r>
      <w:r>
        <w:rPr>
          <w:rStyle w:val="Aucun"/>
          <w:rFonts w:ascii="Times New Roman" w:hAnsi="Times New Roman"/>
        </w:rPr>
        <w:t>. En outre, il permet de rendre justice aux populations étudiées, de les prendre au sérieux, sans opposer « nos vérités » face à « leurs croyances</w:t>
      </w:r>
      <w:r>
        <w:rPr>
          <w:rStyle w:val="Aucun"/>
          <w:rFonts w:ascii="Times New Roman" w:eastAsia="Times New Roman" w:hAnsi="Times New Roman" w:cs="Times New Roman"/>
          <w:vertAlign w:val="superscript"/>
        </w:rPr>
        <w:footnoteReference w:id="5"/>
      </w:r>
      <w:r w:rsidR="00932CBA">
        <w:rPr>
          <w:rStyle w:val="Aucun"/>
          <w:rFonts w:ascii="Times New Roman" w:hAnsi="Times New Roman"/>
        </w:rPr>
        <w:t> »</w:t>
      </w:r>
      <w:r>
        <w:rPr>
          <w:rStyle w:val="Aucun"/>
          <w:rFonts w:ascii="Times New Roman" w:hAnsi="Times New Roman"/>
        </w:rPr>
        <w:t xml:space="preserve">. Il implique de faire de ces populations non pas de simples objets d’études, mais bien de véritables sujets théoriques, à même de bouleverser le champ conceptuel en anthropologie. </w:t>
      </w:r>
      <w:r w:rsidR="00B501E4" w:rsidRPr="006D4935">
        <w:t xml:space="preserve">De la sorte, leurs pratiques et leurs discours deviennent des sources théoriques particulièrement fécondes, </w:t>
      </w:r>
      <w:r w:rsidR="00B501E4">
        <w:t xml:space="preserve">capables de rivaliser à égalité avec </w:t>
      </w:r>
      <w:r w:rsidR="00B501E4" w:rsidRPr="006D4935">
        <w:t>les textes philosophiques et anthropologiques occidentaux</w:t>
      </w:r>
      <w:r w:rsidR="00EB1A4A">
        <w:rPr>
          <w:rStyle w:val="Appelnotedebasdep"/>
          <w:rFonts w:ascii="Times New Roman" w:hAnsi="Times New Roman"/>
        </w:rPr>
        <w:footnoteReference w:id="6"/>
      </w:r>
      <w:r>
        <w:rPr>
          <w:rStyle w:val="Aucun"/>
          <w:rFonts w:ascii="Times New Roman" w:hAnsi="Times New Roman"/>
        </w:rPr>
        <w:t xml:space="preserve">. </w:t>
      </w:r>
    </w:p>
    <w:p w14:paraId="78BDC643" w14:textId="77777777" w:rsidR="00FA4F5F" w:rsidRDefault="00FA4F5F">
      <w:pPr>
        <w:pStyle w:val="CorpsA"/>
        <w:spacing w:line="360" w:lineRule="auto"/>
        <w:rPr>
          <w:rStyle w:val="Aucun"/>
          <w:rFonts w:ascii="Times New Roman" w:eastAsia="Times New Roman" w:hAnsi="Times New Roman" w:cs="Times New Roman"/>
        </w:rPr>
      </w:pPr>
    </w:p>
    <w:p w14:paraId="236BEE21" w14:textId="66816220" w:rsidR="00FA4F5F" w:rsidRPr="009119EC" w:rsidRDefault="002D52F5" w:rsidP="00BE28BE">
      <w:pPr>
        <w:pStyle w:val="CorpsA"/>
        <w:spacing w:line="360" w:lineRule="auto"/>
        <w:ind w:firstLine="567"/>
        <w:rPr>
          <w:rStyle w:val="Aucun"/>
          <w:rFonts w:ascii="Times New Roman" w:hAnsi="Times New Roman"/>
        </w:rPr>
      </w:pPr>
      <w:r>
        <w:rPr>
          <w:rStyle w:val="Aucun"/>
          <w:rFonts w:ascii="Times New Roman" w:hAnsi="Times New Roman"/>
        </w:rPr>
        <w:t>En ce qui concerne plus particulièrement le travail de Viveiros de Castro, celui-ci montre combien la distinction dominante en Occident entre « Nature » et « Culture » manque de pertinence par rapport aux données ethnographiques amérindiennes. L’anthropologue brésilien estime que si en Occident, on considère généralement qu’il existe une variété de représentations culturelles d’un seul et même monde (multiculturalisme), le perspectivisme amérindien pose au contraire la Culture comme fond générique d’une multiplicité de natures ou de mondes (multinaturalisme)</w:t>
      </w:r>
      <w:r>
        <w:rPr>
          <w:rStyle w:val="Aucun"/>
          <w:rFonts w:ascii="Times New Roman" w:eastAsia="Times New Roman" w:hAnsi="Times New Roman" w:cs="Times New Roman"/>
          <w:vertAlign w:val="superscript"/>
        </w:rPr>
        <w:footnoteReference w:id="7"/>
      </w:r>
      <w:r>
        <w:rPr>
          <w:rStyle w:val="Aucun"/>
          <w:rFonts w:ascii="Times New Roman" w:hAnsi="Times New Roman"/>
        </w:rPr>
        <w:t xml:space="preserve">. En effet, pour de nombreuses populations amazoniennes « tous les êtres </w:t>
      </w:r>
      <w:r>
        <w:rPr>
          <w:rStyle w:val="Aucun"/>
          <w:rFonts w:ascii="Times New Roman" w:hAnsi="Times New Roman"/>
        </w:rPr>
        <w:lastRenderedPageBreak/>
        <w:t xml:space="preserve">voient ou </w:t>
      </w:r>
      <w:r w:rsidR="00932CBA">
        <w:rPr>
          <w:rStyle w:val="Aucun"/>
          <w:rFonts w:ascii="Times New Roman" w:hAnsi="Times New Roman" w:cs="Times New Roman"/>
        </w:rPr>
        <w:t>“</w:t>
      </w:r>
      <w:r>
        <w:rPr>
          <w:rStyle w:val="Aucun"/>
          <w:rFonts w:ascii="Times New Roman" w:hAnsi="Times New Roman"/>
        </w:rPr>
        <w:t>représentent</w:t>
      </w:r>
      <w:r w:rsidR="00932CBA">
        <w:rPr>
          <w:rStyle w:val="Aucun"/>
          <w:rFonts w:ascii="Times New Roman" w:hAnsi="Times New Roman" w:cs="Times New Roman"/>
        </w:rPr>
        <w:t>”</w:t>
      </w:r>
      <w:r>
        <w:rPr>
          <w:rStyle w:val="Aucun"/>
          <w:rFonts w:ascii="Times New Roman" w:hAnsi="Times New Roman"/>
        </w:rPr>
        <w:t xml:space="preserve"> le monde de la </w:t>
      </w:r>
      <w:r>
        <w:rPr>
          <w:rStyle w:val="Aucun"/>
          <w:rFonts w:ascii="Times New Roman" w:hAnsi="Times New Roman"/>
          <w:i/>
          <w:iCs/>
        </w:rPr>
        <w:t xml:space="preserve">même </w:t>
      </w:r>
      <w:r>
        <w:rPr>
          <w:rStyle w:val="Aucun"/>
          <w:rFonts w:ascii="Times New Roman" w:hAnsi="Times New Roman"/>
        </w:rPr>
        <w:t xml:space="preserve">manière ; ce qui change, c’est </w:t>
      </w:r>
      <w:r>
        <w:rPr>
          <w:rStyle w:val="Aucun"/>
          <w:rFonts w:ascii="Times New Roman" w:hAnsi="Times New Roman"/>
          <w:i/>
          <w:iCs/>
        </w:rPr>
        <w:t xml:space="preserve">le monde </w:t>
      </w:r>
      <w:r>
        <w:rPr>
          <w:rStyle w:val="Aucun"/>
          <w:rFonts w:ascii="Times New Roman" w:hAnsi="Times New Roman"/>
        </w:rPr>
        <w:t>qu’ils voient</w:t>
      </w:r>
      <w:r>
        <w:rPr>
          <w:rStyle w:val="Aucun"/>
          <w:rFonts w:ascii="Times New Roman" w:eastAsia="Times New Roman" w:hAnsi="Times New Roman" w:cs="Times New Roman"/>
          <w:vertAlign w:val="superscript"/>
        </w:rPr>
        <w:footnoteReference w:id="8"/>
      </w:r>
      <w:r w:rsidR="00932CBA">
        <w:rPr>
          <w:rStyle w:val="Aucun"/>
          <w:rFonts w:ascii="Times New Roman" w:hAnsi="Times New Roman"/>
        </w:rPr>
        <w:t> »</w:t>
      </w:r>
      <w:r>
        <w:rPr>
          <w:rStyle w:val="Aucun"/>
          <w:rFonts w:ascii="Times New Roman" w:hAnsi="Times New Roman"/>
        </w:rPr>
        <w:t xml:space="preserve">. </w:t>
      </w:r>
      <w:r w:rsidR="00337CC7">
        <w:t xml:space="preserve">C’est que chaque être (animal, esprit ou humain), en fonction de ses déterminations corporelles propres, </w:t>
      </w:r>
      <w:r w:rsidR="00337CC7" w:rsidRPr="006D4935">
        <w:t>engendre un monde spécifique, c’est-à-dire un point de vue</w:t>
      </w:r>
      <w:r w:rsidR="00337CC7" w:rsidRPr="006D4935">
        <w:rPr>
          <w:vertAlign w:val="superscript"/>
        </w:rPr>
        <w:footnoteReference w:id="9"/>
      </w:r>
      <w:r w:rsidR="00337CC7" w:rsidRPr="006D4935">
        <w:t>.</w:t>
      </w:r>
      <w:r w:rsidR="00337CC7">
        <w:t xml:space="preserve"> </w:t>
      </w:r>
      <w:r w:rsidR="00EB1A4A" w:rsidRPr="006D4935">
        <w:t>Ainsi, si le jaguar et l’humain boivent tous deux de la «</w:t>
      </w:r>
      <w:r w:rsidR="00EB1A4A" w:rsidRPr="006D4935">
        <w:rPr>
          <w:rFonts w:ascii="Times New Roman" w:hAnsi="Times New Roman" w:cs="Times New Roman"/>
        </w:rPr>
        <w:t> </w:t>
      </w:r>
      <w:r w:rsidR="00EB1A4A" w:rsidRPr="006D4935">
        <w:t>bière</w:t>
      </w:r>
      <w:r w:rsidR="00EB1A4A" w:rsidRPr="006D4935">
        <w:rPr>
          <w:rFonts w:ascii="Times New Roman" w:hAnsi="Times New Roman" w:cs="Times New Roman"/>
        </w:rPr>
        <w:t> </w:t>
      </w:r>
      <w:r w:rsidR="00EB1A4A" w:rsidRPr="006D4935">
        <w:t xml:space="preserve">» – </w:t>
      </w:r>
      <w:r w:rsidR="00EB1A4A">
        <w:t>élément</w:t>
      </w:r>
      <w:r w:rsidR="00EB1A4A" w:rsidRPr="006D4935">
        <w:t xml:space="preserve"> </w:t>
      </w:r>
      <w:r w:rsidR="00EB1A4A">
        <w:t xml:space="preserve">culturel par excellence </w:t>
      </w:r>
      <w:r w:rsidR="00EB1A4A" w:rsidRPr="006D4935">
        <w:t>– ils ne boivent pas la «</w:t>
      </w:r>
      <w:r w:rsidR="00EB1A4A" w:rsidRPr="006D4935">
        <w:rPr>
          <w:rFonts w:ascii="Times New Roman" w:hAnsi="Times New Roman" w:cs="Times New Roman"/>
        </w:rPr>
        <w:t> </w:t>
      </w:r>
      <w:r w:rsidR="00EB1A4A" w:rsidRPr="006D4935">
        <w:t>même chose</w:t>
      </w:r>
      <w:r w:rsidR="00EB1A4A" w:rsidRPr="006D4935">
        <w:rPr>
          <w:rFonts w:ascii="Times New Roman" w:hAnsi="Times New Roman" w:cs="Times New Roman"/>
        </w:rPr>
        <w:t> </w:t>
      </w:r>
      <w:r w:rsidR="00EB1A4A" w:rsidRPr="006D4935">
        <w:t>»</w:t>
      </w:r>
      <w:r w:rsidR="00EB1A4A">
        <w:t xml:space="preserve"> </w:t>
      </w:r>
      <w:r>
        <w:rPr>
          <w:rStyle w:val="Aucun"/>
          <w:rFonts w:ascii="Times New Roman" w:hAnsi="Times New Roman"/>
        </w:rPr>
        <w:t>: « ce qui pour nous est du sang, est de la bière pour le jaguar</w:t>
      </w:r>
      <w:r>
        <w:rPr>
          <w:rStyle w:val="Aucun"/>
          <w:rFonts w:ascii="Times New Roman" w:eastAsia="Times New Roman" w:hAnsi="Times New Roman" w:cs="Times New Roman"/>
          <w:vertAlign w:val="superscript"/>
        </w:rPr>
        <w:footnoteReference w:id="10"/>
      </w:r>
      <w:r w:rsidR="00932CBA">
        <w:rPr>
          <w:rStyle w:val="Aucun"/>
          <w:rFonts w:ascii="Times New Roman" w:hAnsi="Times New Roman"/>
        </w:rPr>
        <w:t> »</w:t>
      </w:r>
      <w:r>
        <w:rPr>
          <w:rStyle w:val="Aucun"/>
          <w:rFonts w:ascii="Times New Roman" w:hAnsi="Times New Roman"/>
        </w:rPr>
        <w:t>. Ces points de vue – ou perspectives – ne doivent dès lors pas être entendus ici comme des interprétations d’un même monde, mais bien comme des actualisations d’une même Culture. Celle-ci ne constitue nullement le résultat d’un processus progressif de séparation de l’espèce humaine d’un fond naturel homogène comme</w:t>
      </w:r>
      <w:r w:rsidR="00156AE0">
        <w:rPr>
          <w:rStyle w:val="Aucun"/>
          <w:rFonts w:ascii="Times New Roman" w:hAnsi="Times New Roman"/>
        </w:rPr>
        <w:t xml:space="preserve"> l’avance la</w:t>
      </w:r>
      <w:r>
        <w:rPr>
          <w:rStyle w:val="Aucun"/>
          <w:rFonts w:ascii="Times New Roman" w:hAnsi="Times New Roman"/>
        </w:rPr>
        <w:t xml:space="preserve"> </w:t>
      </w:r>
      <w:r w:rsidR="00156AE0" w:rsidRPr="00156AE0">
        <w:rPr>
          <w:rFonts w:ascii="Times New Roman" w:hAnsi="Times New Roman"/>
          <w:lang w:val="fr-BE"/>
        </w:rPr>
        <w:t>« vulgate évolutionniste »</w:t>
      </w:r>
      <w:r w:rsidR="00156AE0" w:rsidRPr="00156AE0">
        <w:rPr>
          <w:rFonts w:ascii="Times New Roman" w:hAnsi="Times New Roman"/>
          <w:vertAlign w:val="superscript"/>
          <w:lang w:val="en-US"/>
        </w:rPr>
        <w:footnoteReference w:id="11"/>
      </w:r>
      <w:r>
        <w:rPr>
          <w:rStyle w:val="Aucun"/>
          <w:rFonts w:ascii="Times New Roman" w:hAnsi="Times New Roman"/>
        </w:rPr>
        <w:t xml:space="preserve">. Bien au contraire, pour le perspectivisme amérindien, à l’origine, tout était humain. Dans cet état précosmique, </w:t>
      </w:r>
      <w:r w:rsidR="00BE28BE">
        <w:rPr>
          <w:rStyle w:val="Aucun"/>
          <w:rFonts w:ascii="Times New Roman" w:hAnsi="Times New Roman"/>
        </w:rPr>
        <w:t>les corps sont « totipotents »</w:t>
      </w:r>
      <w:r w:rsidR="00BE28BE">
        <w:rPr>
          <w:rStyle w:val="Appelnotedebasdep"/>
        </w:rPr>
        <w:footnoteReference w:id="12"/>
      </w:r>
      <w:r w:rsidR="00BE28BE">
        <w:t xml:space="preserve">, </w:t>
      </w:r>
      <w:r w:rsidR="00BE28BE">
        <w:rPr>
          <w:rStyle w:val="Aucun"/>
          <w:rFonts w:ascii="Times New Roman" w:hAnsi="Times New Roman"/>
        </w:rPr>
        <w:t xml:space="preserve">à la fois humains et non humains : </w:t>
      </w:r>
      <w:r>
        <w:rPr>
          <w:rStyle w:val="Aucun"/>
          <w:rFonts w:ascii="Times New Roman" w:hAnsi="Times New Roman"/>
        </w:rPr>
        <w:t>« chaque sorte d’être apparaît aux autres êtres comme elle apparaît à elle-même – comme humaine – alors qu’elle agit déjà en manifestant une nature distinctive et définitive d’animal, de plante ou d’esprit</w:t>
      </w:r>
      <w:r>
        <w:rPr>
          <w:rStyle w:val="Aucun"/>
          <w:rFonts w:ascii="Times New Roman" w:eastAsia="Times New Roman" w:hAnsi="Times New Roman" w:cs="Times New Roman"/>
          <w:vertAlign w:val="superscript"/>
        </w:rPr>
        <w:footnoteReference w:id="13"/>
      </w:r>
      <w:r w:rsidR="00932CBA">
        <w:rPr>
          <w:rStyle w:val="Aucun"/>
          <w:rFonts w:ascii="Times New Roman" w:hAnsi="Times New Roman"/>
        </w:rPr>
        <w:t> »</w:t>
      </w:r>
      <w:r w:rsidR="00BE28BE">
        <w:rPr>
          <w:rStyle w:val="Aucun"/>
          <w:rFonts w:ascii="Times New Roman" w:hAnsi="Times New Roman"/>
        </w:rPr>
        <w:t>.</w:t>
      </w:r>
      <w:r w:rsidR="009119EC">
        <w:rPr>
          <w:rStyle w:val="Aucun"/>
          <w:rFonts w:ascii="Times New Roman" w:hAnsi="Times New Roman"/>
        </w:rPr>
        <w:t xml:space="preserve"> </w:t>
      </w:r>
      <w:r w:rsidR="00BE28BE">
        <w:rPr>
          <w:rStyle w:val="Aucun"/>
          <w:rFonts w:ascii="Times New Roman" w:hAnsi="Times New Roman"/>
        </w:rPr>
        <w:t xml:space="preserve">Autrement dit, </w:t>
      </w:r>
      <w:r w:rsidR="006310AC">
        <w:rPr>
          <w:rStyle w:val="Aucun"/>
          <w:rFonts w:ascii="Times New Roman" w:hAnsi="Times New Roman"/>
        </w:rPr>
        <w:t xml:space="preserve">pour Viveiros de Castro, </w:t>
      </w:r>
      <w:r w:rsidR="00416687">
        <w:rPr>
          <w:rStyle w:val="Aucun"/>
          <w:rFonts w:ascii="Times New Roman" w:hAnsi="Times New Roman"/>
        </w:rPr>
        <w:t xml:space="preserve">ces corps </w:t>
      </w:r>
      <w:r w:rsidR="00BE28BE">
        <w:rPr>
          <w:rStyle w:val="Aucun"/>
          <w:rFonts w:ascii="Times New Roman" w:hAnsi="Times New Roman"/>
        </w:rPr>
        <w:t xml:space="preserve">ne </w:t>
      </w:r>
      <w:r>
        <w:rPr>
          <w:rStyle w:val="Aucun"/>
          <w:rFonts w:ascii="Times New Roman" w:hAnsi="Times New Roman"/>
        </w:rPr>
        <w:t>p</w:t>
      </w:r>
      <w:r w:rsidR="00BE28BE">
        <w:rPr>
          <w:rStyle w:val="Aucun"/>
          <w:rFonts w:ascii="Times New Roman" w:hAnsi="Times New Roman"/>
        </w:rPr>
        <w:t>euvent</w:t>
      </w:r>
      <w:r>
        <w:rPr>
          <w:rStyle w:val="Aucun"/>
          <w:rFonts w:ascii="Times New Roman" w:hAnsi="Times New Roman"/>
        </w:rPr>
        <w:t xml:space="preserve"> être attribués </w:t>
      </w:r>
      <w:r w:rsidR="008143B2">
        <w:rPr>
          <w:rStyle w:val="Aucun"/>
          <w:rFonts w:ascii="Times New Roman" w:hAnsi="Times New Roman"/>
        </w:rPr>
        <w:t xml:space="preserve">à une </w:t>
      </w:r>
      <w:r>
        <w:rPr>
          <w:rStyle w:val="Aucun"/>
          <w:rFonts w:ascii="Times New Roman" w:hAnsi="Times New Roman"/>
        </w:rPr>
        <w:t xml:space="preserve">individualité strictement définie, </w:t>
      </w:r>
      <w:r w:rsidR="00BE28BE">
        <w:rPr>
          <w:rStyle w:val="Aucun"/>
          <w:rFonts w:ascii="Times New Roman" w:hAnsi="Times New Roman"/>
        </w:rPr>
        <w:t xml:space="preserve">et n’existent ainsi </w:t>
      </w:r>
      <w:r>
        <w:rPr>
          <w:rStyle w:val="Aucun"/>
          <w:rFonts w:ascii="Times New Roman" w:hAnsi="Times New Roman"/>
        </w:rPr>
        <w:t xml:space="preserve">qu’en tant qu’intensités. Par ailleurs, </w:t>
      </w:r>
      <w:r w:rsidR="00416687">
        <w:rPr>
          <w:rStyle w:val="Aucun"/>
          <w:rFonts w:ascii="Times New Roman" w:hAnsi="Times New Roman"/>
        </w:rPr>
        <w:t xml:space="preserve">ils </w:t>
      </w:r>
      <w:r>
        <w:rPr>
          <w:rStyle w:val="Aucun"/>
          <w:rFonts w:ascii="Times New Roman" w:hAnsi="Times New Roman"/>
        </w:rPr>
        <w:t xml:space="preserve">sont très souvent représentés comme des affins, au sens où l’affin est étymologiquement </w:t>
      </w:r>
      <w:r w:rsidR="00932CBA">
        <w:rPr>
          <w:rStyle w:val="Aucun"/>
          <w:rFonts w:ascii="Times New Roman" w:hAnsi="Times New Roman"/>
        </w:rPr>
        <w:t>« </w:t>
      </w:r>
      <w:r>
        <w:rPr>
          <w:rStyle w:val="Aucun"/>
          <w:rFonts w:ascii="Times New Roman" w:hAnsi="Times New Roman"/>
        </w:rPr>
        <w:t xml:space="preserve">[ce qui] est situé </w:t>
      </w:r>
      <w:r>
        <w:rPr>
          <w:rStyle w:val="Aucun"/>
          <w:rFonts w:ascii="Times New Roman" w:hAnsi="Times New Roman"/>
          <w:i/>
          <w:iCs/>
        </w:rPr>
        <w:t xml:space="preserve">ad-finis, </w:t>
      </w:r>
      <w:r>
        <w:rPr>
          <w:rStyle w:val="Aucun"/>
          <w:rFonts w:ascii="Times New Roman" w:hAnsi="Times New Roman"/>
        </w:rPr>
        <w:t xml:space="preserve">celui dont le domaine fait frontière avec le mien. Les affins sont ceux qui communiquent par les bords, qui ont en </w:t>
      </w:r>
      <w:r w:rsidR="00C5539F" w:rsidRPr="00A10D9F">
        <w:rPr>
          <w:rFonts w:ascii="Times New Roman" w:hAnsi="Times New Roman" w:cs="Times New Roman"/>
        </w:rPr>
        <w:t>“</w:t>
      </w:r>
      <w:r>
        <w:rPr>
          <w:rStyle w:val="Aucun"/>
          <w:rFonts w:ascii="Times New Roman" w:hAnsi="Times New Roman"/>
        </w:rPr>
        <w:t>commun" uniquement ce qui les sépare </w:t>
      </w:r>
      <w:r>
        <w:rPr>
          <w:rStyle w:val="Aucun"/>
          <w:rFonts w:ascii="Times New Roman" w:eastAsia="Times New Roman" w:hAnsi="Times New Roman" w:cs="Times New Roman"/>
          <w:vertAlign w:val="superscript"/>
        </w:rPr>
        <w:footnoteReference w:id="14"/>
      </w:r>
      <w:r w:rsidR="00932CBA">
        <w:rPr>
          <w:rStyle w:val="Aucun"/>
          <w:rFonts w:ascii="Times New Roman" w:hAnsi="Times New Roman"/>
        </w:rPr>
        <w:t> »</w:t>
      </w:r>
      <w:r>
        <w:rPr>
          <w:rStyle w:val="Aucun"/>
          <w:rFonts w:ascii="Times New Roman" w:hAnsi="Times New Roman"/>
        </w:rPr>
        <w:t xml:space="preserve">. Une même langue et pourtant des référents différents, la sœur de l’un étant l’épouse de l’autre, tout comme la bière du jaguar est le sang de l’humain. Ces termes constituent ainsi des </w:t>
      </w:r>
      <w:r w:rsidR="00932CBA">
        <w:rPr>
          <w:rStyle w:val="Aucun"/>
          <w:rFonts w:ascii="Times New Roman" w:hAnsi="Times New Roman"/>
        </w:rPr>
        <w:t>« </w:t>
      </w:r>
      <w:r>
        <w:rPr>
          <w:rStyle w:val="Aucun"/>
          <w:rFonts w:ascii="Times New Roman" w:hAnsi="Times New Roman"/>
        </w:rPr>
        <w:t>homonymes » qui « connectent/séparent » leur langue respective</w:t>
      </w:r>
      <w:r>
        <w:rPr>
          <w:rStyle w:val="Aucun"/>
          <w:rFonts w:ascii="Times New Roman" w:eastAsia="Times New Roman" w:hAnsi="Times New Roman" w:cs="Times New Roman"/>
          <w:vertAlign w:val="superscript"/>
        </w:rPr>
        <w:footnoteReference w:id="15"/>
      </w:r>
      <w:r>
        <w:rPr>
          <w:rStyle w:val="Aucun"/>
          <w:rFonts w:ascii="Times New Roman" w:hAnsi="Times New Roman"/>
        </w:rPr>
        <w:t xml:space="preserve">. Leur relation est marquée par une équivocité fondamentale, une mécompréhension au cœur même de leur apparente unité. </w:t>
      </w:r>
    </w:p>
    <w:p w14:paraId="7E9B3024" w14:textId="77777777" w:rsidR="00FA4F5F" w:rsidRDefault="00FA4F5F">
      <w:pPr>
        <w:pStyle w:val="CorpsA"/>
        <w:spacing w:line="360" w:lineRule="auto"/>
        <w:ind w:firstLine="708"/>
        <w:rPr>
          <w:rStyle w:val="Aucun"/>
          <w:rFonts w:ascii="Times New Roman" w:eastAsia="Times New Roman" w:hAnsi="Times New Roman" w:cs="Times New Roman"/>
        </w:rPr>
      </w:pPr>
    </w:p>
    <w:p w14:paraId="2292D236" w14:textId="2F565784" w:rsidR="00FA4F5F" w:rsidRDefault="002D52F5">
      <w:pPr>
        <w:pStyle w:val="CorpsA"/>
        <w:widowControl w:val="0"/>
        <w:spacing w:after="240" w:line="360" w:lineRule="auto"/>
        <w:ind w:firstLine="567"/>
        <w:rPr>
          <w:rStyle w:val="Aucun"/>
          <w:rFonts w:ascii="Times New Roman" w:eastAsia="Times New Roman" w:hAnsi="Times New Roman" w:cs="Times New Roman"/>
        </w:rPr>
      </w:pPr>
      <w:r>
        <w:rPr>
          <w:rStyle w:val="Aucun"/>
          <w:rFonts w:ascii="Times New Roman" w:hAnsi="Times New Roman"/>
        </w:rPr>
        <w:t>Ces entités précosmiques forment des « unité[s] sans ressemblan</w:t>
      </w:r>
      <w:r w:rsidR="0031138A">
        <w:rPr>
          <w:rStyle w:val="Aucun"/>
          <w:rFonts w:ascii="Times New Roman" w:hAnsi="Times New Roman"/>
        </w:rPr>
        <w:t>ce »</w:t>
      </w:r>
      <w:r w:rsidR="0031138A">
        <w:rPr>
          <w:rStyle w:val="Aucun"/>
          <w:rFonts w:ascii="Times New Roman" w:eastAsia="Times New Roman" w:hAnsi="Times New Roman" w:cs="Times New Roman"/>
          <w:vertAlign w:val="superscript"/>
        </w:rPr>
        <w:footnoteReference w:id="16"/>
      </w:r>
      <w:r>
        <w:rPr>
          <w:rStyle w:val="Aucun"/>
          <w:rFonts w:ascii="Times New Roman" w:hAnsi="Times New Roman"/>
        </w:rPr>
        <w:t xml:space="preserve"> où les </w:t>
      </w:r>
      <w:r>
        <w:rPr>
          <w:rStyle w:val="Aucun"/>
          <w:rFonts w:ascii="Times New Roman" w:hAnsi="Times New Roman"/>
        </w:rPr>
        <w:lastRenderedPageBreak/>
        <w:t xml:space="preserve">caractéristiques humaines et non humaines sont </w:t>
      </w:r>
      <w:r w:rsidR="0031138A">
        <w:rPr>
          <w:rStyle w:val="Aucun"/>
          <w:rFonts w:ascii="Times New Roman" w:hAnsi="Times New Roman"/>
        </w:rPr>
        <w:t>« </w:t>
      </w:r>
      <w:r>
        <w:rPr>
          <w:rStyle w:val="Aucun"/>
          <w:rFonts w:ascii="Times New Roman" w:hAnsi="Times New Roman"/>
        </w:rPr>
        <w:t>indiscernable</w:t>
      </w:r>
      <w:r w:rsidR="004911B6">
        <w:rPr>
          <w:rStyle w:val="Aucun"/>
          <w:rFonts w:ascii="Times New Roman" w:hAnsi="Times New Roman"/>
        </w:rPr>
        <w:t>s</w:t>
      </w:r>
      <w:r w:rsidR="0031138A">
        <w:rPr>
          <w:rStyle w:val="Aucun"/>
          <w:rFonts w:ascii="Times New Roman" w:hAnsi="Times New Roman"/>
        </w:rPr>
        <w:t> »</w:t>
      </w:r>
      <w:r w:rsidR="004911B6">
        <w:rPr>
          <w:rStyle w:val="Aucun"/>
          <w:rFonts w:ascii="Times New Roman" w:hAnsi="Times New Roman"/>
        </w:rPr>
        <w:t xml:space="preserve"> bien que </w:t>
      </w:r>
      <w:r w:rsidR="0031138A">
        <w:rPr>
          <w:rStyle w:val="Aucun"/>
          <w:rFonts w:ascii="Times New Roman" w:hAnsi="Times New Roman"/>
        </w:rPr>
        <w:t>« </w:t>
      </w:r>
      <w:r>
        <w:rPr>
          <w:rStyle w:val="Aucun"/>
          <w:rFonts w:ascii="Times New Roman" w:hAnsi="Times New Roman"/>
        </w:rPr>
        <w:t>distinctes</w:t>
      </w:r>
      <w:r w:rsidR="004911B6">
        <w:rPr>
          <w:rStyle w:val="Aucun"/>
          <w:rFonts w:ascii="Times New Roman" w:hAnsi="Times New Roman"/>
        </w:rPr>
        <w:t> »</w:t>
      </w:r>
      <w:r w:rsidR="0031138A">
        <w:rPr>
          <w:rStyle w:val="Appelnotedebasdep"/>
          <w:rFonts w:ascii="Times New Roman" w:hAnsi="Times New Roman"/>
        </w:rPr>
        <w:footnoteReference w:id="17"/>
      </w:r>
      <w:r w:rsidR="0031138A">
        <w:rPr>
          <w:rStyle w:val="Aucun"/>
          <w:rFonts w:ascii="Times New Roman" w:eastAsia="Times New Roman" w:hAnsi="Times New Roman" w:cs="Times New Roman"/>
        </w:rPr>
        <w:t xml:space="preserve">. </w:t>
      </w:r>
      <w:r>
        <w:rPr>
          <w:rStyle w:val="Aucun"/>
          <w:rFonts w:ascii="Times New Roman" w:hAnsi="Times New Roman"/>
        </w:rPr>
        <w:t>Si bien que la différence entre humain et non humain passe « à l’intérieur de chaque existant</w:t>
      </w:r>
      <w:r>
        <w:rPr>
          <w:rStyle w:val="Aucun"/>
          <w:rFonts w:ascii="Times New Roman" w:eastAsia="Times New Roman" w:hAnsi="Times New Roman" w:cs="Times New Roman"/>
          <w:vertAlign w:val="superscript"/>
        </w:rPr>
        <w:footnoteReference w:id="18"/>
      </w:r>
      <w:r w:rsidR="00932CBA">
        <w:rPr>
          <w:rStyle w:val="Aucun"/>
          <w:rFonts w:ascii="Times New Roman" w:hAnsi="Times New Roman"/>
        </w:rPr>
        <w:t> »</w:t>
      </w:r>
      <w:r>
        <w:rPr>
          <w:rStyle w:val="Aucun"/>
          <w:rFonts w:ascii="Times New Roman" w:hAnsi="Times New Roman"/>
        </w:rPr>
        <w:t>, contrairement à la répartition actuelle du cosmos, marquée par la « spéciation », c’est-à-dire la différenciation extensive des corps et des espèces, la discernabilité et la non-confusion des perspectives cosmiques</w:t>
      </w:r>
      <w:r>
        <w:rPr>
          <w:rStyle w:val="Aucun"/>
          <w:rFonts w:ascii="Times New Roman" w:eastAsia="Times New Roman" w:hAnsi="Times New Roman" w:cs="Times New Roman"/>
          <w:vertAlign w:val="superscript"/>
        </w:rPr>
        <w:footnoteReference w:id="19"/>
      </w:r>
      <w:r>
        <w:rPr>
          <w:rStyle w:val="Aucun"/>
          <w:rFonts w:ascii="Times New Roman" w:hAnsi="Times New Roman"/>
        </w:rPr>
        <w:t xml:space="preserve">. Cette spéciation dépotentialise une équivocité première, sépare les perspectives, en actualisant certaines possibilités et en revoyant les autres à un fond virtuel. Bière et sang sont comme deux actualisations en sens contraire d’une même entité équivoque bière/sang. Le sang constitue le fond virtuel de la bière et le sang, celui de la bière : </w:t>
      </w:r>
      <w:r w:rsidR="00932CBA">
        <w:rPr>
          <w:rStyle w:val="Aucun"/>
          <w:rFonts w:ascii="Times New Roman" w:hAnsi="Times New Roman"/>
        </w:rPr>
        <w:t>« </w:t>
      </w:r>
      <w:r>
        <w:rPr>
          <w:rStyle w:val="Aucun"/>
          <w:rFonts w:ascii="Times New Roman" w:hAnsi="Times New Roman"/>
        </w:rPr>
        <w:t>toute bière a un arrière-goût de sang, et réciproquement</w:t>
      </w:r>
      <w:r>
        <w:rPr>
          <w:rStyle w:val="Aucun"/>
          <w:rFonts w:ascii="Times New Roman" w:eastAsia="Times New Roman" w:hAnsi="Times New Roman" w:cs="Times New Roman"/>
          <w:vertAlign w:val="superscript"/>
        </w:rPr>
        <w:footnoteReference w:id="20"/>
      </w:r>
      <w:r w:rsidR="00932CBA">
        <w:rPr>
          <w:rStyle w:val="Aucun"/>
          <w:rFonts w:ascii="Times New Roman" w:hAnsi="Times New Roman"/>
        </w:rPr>
        <w:t> »</w:t>
      </w:r>
      <w:r>
        <w:rPr>
          <w:rStyle w:val="Aucun"/>
          <w:rFonts w:ascii="Times New Roman" w:hAnsi="Times New Roman"/>
        </w:rPr>
        <w:t>. De sorte que pour le perspectivisme amérindien, l’</w:t>
      </w:r>
      <w:r w:rsidR="00932CBA">
        <w:rPr>
          <w:rStyle w:val="Aucun"/>
          <w:rFonts w:ascii="Times New Roman" w:hAnsi="Times New Roman"/>
        </w:rPr>
        <w:t>« </w:t>
      </w:r>
      <w:r>
        <w:rPr>
          <w:rStyle w:val="Aucun"/>
          <w:rFonts w:ascii="Times New Roman" w:hAnsi="Times New Roman"/>
        </w:rPr>
        <w:t>identité est la différence tendant vers zéro</w:t>
      </w:r>
      <w:r>
        <w:rPr>
          <w:rStyle w:val="Aucun"/>
          <w:rFonts w:ascii="Times New Roman" w:eastAsia="Times New Roman" w:hAnsi="Times New Roman" w:cs="Times New Roman"/>
          <w:vertAlign w:val="superscript"/>
        </w:rPr>
        <w:footnoteReference w:id="21"/>
      </w:r>
      <w:r w:rsidR="00932CBA">
        <w:rPr>
          <w:rStyle w:val="Aucun"/>
          <w:rFonts w:ascii="Times New Roman" w:hAnsi="Times New Roman"/>
        </w:rPr>
        <w:t> »</w:t>
      </w:r>
      <w:r>
        <w:rPr>
          <w:rStyle w:val="Aucun"/>
          <w:rFonts w:ascii="Times New Roman" w:hAnsi="Times New Roman"/>
        </w:rPr>
        <w:t xml:space="preserve">. Toute identité – collective ou d’espèce – n’est jamais que la stabilisation relative d’une différence fondamentale, toujours menacée par la résurgence de celle-ci. </w:t>
      </w:r>
    </w:p>
    <w:p w14:paraId="75972247" w14:textId="308AAA9B" w:rsidR="00FA4F5F" w:rsidRDefault="002D52F5">
      <w:pPr>
        <w:pStyle w:val="CorpsA"/>
        <w:spacing w:line="360" w:lineRule="auto"/>
        <w:ind w:firstLine="567"/>
        <w:rPr>
          <w:rStyle w:val="Aucun"/>
          <w:rFonts w:ascii="Times New Roman" w:eastAsia="Times New Roman" w:hAnsi="Times New Roman" w:cs="Times New Roman"/>
        </w:rPr>
      </w:pPr>
      <w:r>
        <w:rPr>
          <w:rStyle w:val="Aucun"/>
          <w:rFonts w:ascii="Times New Roman" w:hAnsi="Times New Roman"/>
        </w:rPr>
        <w:t>Et si cette distinction entre les perspectives humaines et non humaines doit en principe être soigneusement respectée – notamment à travers d’innombrables précautions alimentaires –</w:t>
      </w:r>
      <w:r w:rsidRPr="004D139E">
        <w:rPr>
          <w:rStyle w:val="Aucun"/>
          <w:rFonts w:ascii="Times New Roman" w:hAnsi="Times New Roman"/>
          <w:lang w:val="fr-BE"/>
        </w:rPr>
        <w:t>, l</w:t>
      </w:r>
      <w:r>
        <w:rPr>
          <w:rStyle w:val="Aucun"/>
          <w:rFonts w:ascii="Times New Roman" w:hAnsi="Times New Roman"/>
        </w:rPr>
        <w:t>e chamanisme vise précisément à les rendre indiscernables afin de retrouver ces corps totipotents, ces intensités propres à l’état précosmique</w:t>
      </w:r>
      <w:r>
        <w:rPr>
          <w:rStyle w:val="Aucun"/>
          <w:rFonts w:ascii="Times New Roman" w:eastAsia="Times New Roman" w:hAnsi="Times New Roman" w:cs="Times New Roman"/>
          <w:vertAlign w:val="superscript"/>
        </w:rPr>
        <w:footnoteReference w:id="22"/>
      </w:r>
      <w:r>
        <w:rPr>
          <w:rStyle w:val="Aucun"/>
          <w:rFonts w:ascii="Times New Roman" w:hAnsi="Times New Roman"/>
        </w:rPr>
        <w:t>.</w:t>
      </w:r>
      <w:r w:rsidRPr="004D139E">
        <w:rPr>
          <w:rStyle w:val="Aucun"/>
          <w:rFonts w:ascii="Times New Roman" w:hAnsi="Times New Roman"/>
          <w:lang w:val="fr-BE"/>
        </w:rPr>
        <w:t xml:space="preserve"> </w:t>
      </w:r>
      <w:r>
        <w:rPr>
          <w:rStyle w:val="Aucun"/>
          <w:rFonts w:ascii="Times New Roman" w:hAnsi="Times New Roman"/>
        </w:rPr>
        <w:t xml:space="preserve">Plus précisément, il est un </w:t>
      </w:r>
      <w:r w:rsidR="00932CBA">
        <w:rPr>
          <w:rStyle w:val="Aucun"/>
          <w:rFonts w:ascii="Times New Roman" w:hAnsi="Times New Roman"/>
        </w:rPr>
        <w:t>« </w:t>
      </w:r>
      <w:r>
        <w:rPr>
          <w:rStyle w:val="Aucun"/>
          <w:rFonts w:ascii="Times New Roman" w:hAnsi="Times New Roman"/>
        </w:rPr>
        <w:t>art politique</w:t>
      </w:r>
      <w:r>
        <w:rPr>
          <w:rStyle w:val="Aucun"/>
          <w:rFonts w:ascii="Times New Roman" w:eastAsia="Times New Roman" w:hAnsi="Times New Roman" w:cs="Times New Roman"/>
          <w:vertAlign w:val="superscript"/>
        </w:rPr>
        <w:footnoteReference w:id="23"/>
      </w:r>
      <w:r w:rsidR="00932CBA">
        <w:rPr>
          <w:rStyle w:val="Aucun"/>
          <w:rFonts w:ascii="Times New Roman" w:hAnsi="Times New Roman"/>
        </w:rPr>
        <w:t> »</w:t>
      </w:r>
      <w:r>
        <w:rPr>
          <w:rStyle w:val="Aucun"/>
          <w:rFonts w:ascii="Times New Roman" w:hAnsi="Times New Roman"/>
        </w:rPr>
        <w:t xml:space="preserve"> où les chamans font office de diplomates entre différentes espèces, étant reconnus comme des semblables tant par leur espèce d’origine que par une autre. Doté</w:t>
      </w:r>
      <w:r w:rsidR="008B62CF">
        <w:rPr>
          <w:rStyle w:val="Aucun"/>
          <w:rFonts w:ascii="Times New Roman" w:hAnsi="Times New Roman"/>
        </w:rPr>
        <w:t>s</w:t>
      </w:r>
      <w:r>
        <w:rPr>
          <w:rStyle w:val="Aucun"/>
          <w:rFonts w:ascii="Times New Roman" w:hAnsi="Times New Roman"/>
        </w:rPr>
        <w:t xml:space="preserve"> d’une sorte de </w:t>
      </w:r>
      <w:r w:rsidR="00932CBA">
        <w:rPr>
          <w:rStyle w:val="Aucun"/>
          <w:rFonts w:ascii="Times New Roman" w:hAnsi="Times New Roman"/>
        </w:rPr>
        <w:t>« </w:t>
      </w:r>
      <w:r>
        <w:rPr>
          <w:rStyle w:val="Aucun"/>
          <w:rFonts w:ascii="Times New Roman" w:hAnsi="Times New Roman"/>
        </w:rPr>
        <w:t>double citoyenneté</w:t>
      </w:r>
      <w:r>
        <w:rPr>
          <w:rStyle w:val="Aucun"/>
          <w:rFonts w:ascii="Times New Roman" w:eastAsia="Times New Roman" w:hAnsi="Times New Roman" w:cs="Times New Roman"/>
          <w:vertAlign w:val="superscript"/>
        </w:rPr>
        <w:footnoteReference w:id="24"/>
      </w:r>
      <w:r w:rsidR="00932CBA">
        <w:rPr>
          <w:rStyle w:val="Aucun"/>
          <w:rFonts w:ascii="Times New Roman" w:hAnsi="Times New Roman"/>
        </w:rPr>
        <w:t> »</w:t>
      </w:r>
      <w:r>
        <w:rPr>
          <w:rStyle w:val="Aucun"/>
          <w:rFonts w:ascii="Times New Roman" w:hAnsi="Times New Roman"/>
        </w:rPr>
        <w:t xml:space="preserve">, ils sont capables de percevoir les autres entités comme elles sont perçues par leurs propres congénères, c’est-à-dire, en tant qu’humains. Cette diplomatie interspécifique implique ainsi un idéal de connaissance en vertu duquel </w:t>
      </w:r>
      <w:r w:rsidR="00932CBA">
        <w:rPr>
          <w:rStyle w:val="Aucun"/>
          <w:rFonts w:ascii="Times New Roman" w:hAnsi="Times New Roman"/>
        </w:rPr>
        <w:t>« </w:t>
      </w:r>
      <w:r>
        <w:rPr>
          <w:rStyle w:val="Aucun"/>
          <w:rFonts w:ascii="Times New Roman" w:hAnsi="Times New Roman"/>
        </w:rPr>
        <w:t xml:space="preserve">connaître, c’est </w:t>
      </w:r>
      <w:r w:rsidR="00C5539F" w:rsidRPr="00A10D9F">
        <w:rPr>
          <w:rFonts w:ascii="Times New Roman" w:hAnsi="Times New Roman" w:cs="Times New Roman"/>
        </w:rPr>
        <w:t>“</w:t>
      </w:r>
      <w:r>
        <w:rPr>
          <w:rStyle w:val="Aucun"/>
          <w:rFonts w:ascii="Times New Roman" w:hAnsi="Times New Roman"/>
        </w:rPr>
        <w:t>personnifier", c’est prendre le point de vue de l’autre</w:t>
      </w:r>
      <w:r>
        <w:rPr>
          <w:rStyle w:val="Aucun"/>
          <w:rFonts w:ascii="Times New Roman" w:eastAsia="Times New Roman" w:hAnsi="Times New Roman" w:cs="Times New Roman"/>
          <w:vertAlign w:val="superscript"/>
        </w:rPr>
        <w:footnoteReference w:id="25"/>
      </w:r>
      <w:r w:rsidR="00932CBA">
        <w:rPr>
          <w:rStyle w:val="Aucun"/>
          <w:rFonts w:ascii="Times New Roman" w:hAnsi="Times New Roman"/>
        </w:rPr>
        <w:t> »</w:t>
      </w:r>
      <w:r w:rsidR="00E339CF">
        <w:rPr>
          <w:rStyle w:val="Aucun"/>
          <w:rFonts w:ascii="Times New Roman" w:hAnsi="Times New Roman"/>
        </w:rPr>
        <w:t xml:space="preserve"> </w:t>
      </w:r>
      <w:r>
        <w:rPr>
          <w:rStyle w:val="Aucun"/>
          <w:rFonts w:ascii="Times New Roman" w:hAnsi="Times New Roman"/>
        </w:rPr>
        <w:t>en voyant sa face humaine.</w:t>
      </w:r>
    </w:p>
    <w:p w14:paraId="420AF4A1" w14:textId="77777777" w:rsidR="00FA4F5F" w:rsidRDefault="00FA4F5F">
      <w:pPr>
        <w:pStyle w:val="CorpsA"/>
        <w:spacing w:line="360" w:lineRule="auto"/>
        <w:ind w:firstLine="567"/>
        <w:rPr>
          <w:rStyle w:val="Aucun"/>
          <w:rFonts w:ascii="Times New Roman" w:eastAsia="Times New Roman" w:hAnsi="Times New Roman" w:cs="Times New Roman"/>
        </w:rPr>
      </w:pPr>
    </w:p>
    <w:p w14:paraId="3957A1A0" w14:textId="6B35399F" w:rsidR="00FA4F5F" w:rsidRDefault="002D52F5">
      <w:pPr>
        <w:pStyle w:val="CorpsA"/>
        <w:spacing w:line="360" w:lineRule="auto"/>
        <w:ind w:firstLine="708"/>
        <w:rPr>
          <w:rStyle w:val="Aucun"/>
          <w:rFonts w:ascii="Times New Roman" w:eastAsia="Times New Roman" w:hAnsi="Times New Roman" w:cs="Times New Roman"/>
        </w:rPr>
      </w:pPr>
      <w:r>
        <w:rPr>
          <w:rStyle w:val="Aucun"/>
          <w:rFonts w:ascii="Times New Roman" w:hAnsi="Times New Roman"/>
        </w:rPr>
        <w:lastRenderedPageBreak/>
        <w:t>Selon Viveiros de Castro, pour les populations amérindiennes, prendre le point de vue de l’autre, c’est avant tout voir autrement</w:t>
      </w:r>
      <w:r>
        <w:rPr>
          <w:rStyle w:val="Aucun"/>
          <w:rFonts w:ascii="Times New Roman" w:eastAsia="Times New Roman" w:hAnsi="Times New Roman" w:cs="Times New Roman"/>
          <w:vertAlign w:val="superscript"/>
        </w:rPr>
        <w:footnoteReference w:id="26"/>
      </w:r>
      <w:r>
        <w:rPr>
          <w:rStyle w:val="Aucun"/>
          <w:rFonts w:ascii="Times New Roman" w:hAnsi="Times New Roman"/>
        </w:rPr>
        <w:t xml:space="preserve">. Cela permet d’introduire la différence au cœur même des choses, redoublant les notions et les concepts habituels d’acceptions non familières. Et si le chaman humain se doit nécessairement de mobiliser les catégories qui sont les siennes (la « Culture »), cela ne l’empêche pas de les ouvrir à travers l’altérité à de nouvelles potentialités. Ainsi, si nous reprenons l’exemple précité, pour ces populations, voir à travers le point de vue du jaguar, cela permet de reconnaitre que la notion de « bière » peut être autre chose que ce qu’elle est de leur point de vue humain, en devenant par exemple du sang. Le chamanisme rend donc cette notion de « bière » particulièrement équivoque, en y introduisant une nouvelle signification non humaine, </w:t>
      </w:r>
      <w:r w:rsidR="00932CBA">
        <w:rPr>
          <w:rStyle w:val="Aucun"/>
          <w:rFonts w:ascii="Times New Roman" w:hAnsi="Times New Roman"/>
        </w:rPr>
        <w:t>« </w:t>
      </w:r>
      <w:r>
        <w:rPr>
          <w:rStyle w:val="Aucun"/>
          <w:rFonts w:ascii="Times New Roman" w:hAnsi="Times New Roman"/>
        </w:rPr>
        <w:t> jaguaresque</w:t>
      </w:r>
      <w:r w:rsidR="00932CBA">
        <w:rPr>
          <w:rStyle w:val="Aucun"/>
          <w:rFonts w:ascii="Times New Roman" w:hAnsi="Times New Roman"/>
        </w:rPr>
        <w:t> »</w:t>
      </w:r>
      <w:r>
        <w:rPr>
          <w:rStyle w:val="Aucun"/>
          <w:rFonts w:ascii="Times New Roman" w:hAnsi="Times New Roman"/>
        </w:rPr>
        <w:t xml:space="preserve">. Bière et sang ne sont nullement des </w:t>
      </w:r>
      <w:r w:rsidR="0065654F">
        <w:rPr>
          <w:rStyle w:val="Aucun"/>
          <w:rFonts w:ascii="Times New Roman" w:hAnsi="Times New Roman"/>
        </w:rPr>
        <w:t>« </w:t>
      </w:r>
      <w:r>
        <w:rPr>
          <w:rStyle w:val="Aucun"/>
          <w:rFonts w:ascii="Times New Roman" w:hAnsi="Times New Roman"/>
        </w:rPr>
        <w:t>synonymes</w:t>
      </w:r>
      <w:r w:rsidR="0065654F">
        <w:rPr>
          <w:rStyle w:val="Aucun"/>
          <w:rFonts w:ascii="Times New Roman" w:hAnsi="Times New Roman"/>
        </w:rPr>
        <w:t> »</w:t>
      </w:r>
      <w:r w:rsidR="0065654F">
        <w:rPr>
          <w:rStyle w:val="Appelnotedebasdep"/>
          <w:rFonts w:ascii="Times New Roman" w:hAnsi="Times New Roman"/>
        </w:rPr>
        <w:footnoteReference w:id="27"/>
      </w:r>
      <w:r>
        <w:rPr>
          <w:rStyle w:val="Aucun"/>
          <w:rFonts w:ascii="Times New Roman" w:hAnsi="Times New Roman"/>
        </w:rPr>
        <w:t xml:space="preserve"> de deux cultures distinctes, mais deux</w:t>
      </w:r>
      <w:r>
        <w:rPr>
          <w:rStyle w:val="Aucun"/>
          <w:rFonts w:ascii="Times New Roman" w:hAnsi="Times New Roman"/>
          <w:i/>
          <w:iCs/>
        </w:rPr>
        <w:t xml:space="preserve"> </w:t>
      </w:r>
      <w:r>
        <w:rPr>
          <w:rStyle w:val="Aucun"/>
          <w:rFonts w:ascii="Times New Roman" w:hAnsi="Times New Roman"/>
        </w:rPr>
        <w:t>homonymes mettant un ensemble de catégories et de termes en variation, ouvrant l’humanité à son dehors et l’entrainant dans un devenir-autre. En voyant à travers le point de vue du jaguar, le chaman ne prétend pas être « réellement » un jaguar, mais</w:t>
      </w:r>
      <w:r w:rsidRPr="004D139E">
        <w:rPr>
          <w:rStyle w:val="Aucun"/>
          <w:rFonts w:ascii="Times New Roman" w:hAnsi="Times New Roman"/>
          <w:lang w:val="fr-BE"/>
        </w:rPr>
        <w:t xml:space="preserve"> </w:t>
      </w:r>
      <w:r w:rsidR="004D139E">
        <w:rPr>
          <w:rStyle w:val="Aucun"/>
          <w:rFonts w:ascii="Times New Roman" w:hAnsi="Times New Roman"/>
          <w:lang w:val="fr-BE"/>
        </w:rPr>
        <w:t xml:space="preserve">fait </w:t>
      </w:r>
      <w:r>
        <w:rPr>
          <w:rStyle w:val="Aucun"/>
          <w:rFonts w:ascii="Times New Roman" w:hAnsi="Times New Roman"/>
        </w:rPr>
        <w:t xml:space="preserve">de celui-ci une source de transformation, de remise en question de la société humaine à laquelle il appartient. Par ailleurs, si le chaman </w:t>
      </w:r>
      <w:r w:rsidR="004D139E">
        <w:rPr>
          <w:rStyle w:val="Aucun"/>
          <w:rFonts w:ascii="Times New Roman" w:hAnsi="Times New Roman"/>
        </w:rPr>
        <w:t>« </w:t>
      </w:r>
      <w:r w:rsidRPr="004D139E">
        <w:rPr>
          <w:rStyle w:val="Aucun"/>
          <w:rFonts w:ascii="Times New Roman" w:hAnsi="Times New Roman"/>
          <w:lang w:val="fr-BE"/>
        </w:rPr>
        <w:t>devient</w:t>
      </w:r>
      <w:r w:rsidR="004D139E">
        <w:rPr>
          <w:rStyle w:val="Aucun"/>
          <w:rFonts w:ascii="Times New Roman" w:hAnsi="Times New Roman"/>
          <w:lang w:val="fr-BE"/>
        </w:rPr>
        <w:t> » - au sens deleuzo-guattarien – un j</w:t>
      </w:r>
      <w:r>
        <w:rPr>
          <w:rStyle w:val="Aucun"/>
          <w:rFonts w:ascii="Times New Roman" w:hAnsi="Times New Roman"/>
        </w:rPr>
        <w:t>aguar</w:t>
      </w:r>
      <w:r w:rsidR="004D139E">
        <w:rPr>
          <w:rStyle w:val="Aucun"/>
          <w:rFonts w:ascii="Times New Roman" w:hAnsi="Times New Roman"/>
        </w:rPr>
        <w:t xml:space="preserve">, </w:t>
      </w:r>
      <w:r>
        <w:rPr>
          <w:rStyle w:val="Aucun"/>
          <w:rFonts w:ascii="Times New Roman" w:hAnsi="Times New Roman"/>
        </w:rPr>
        <w:t xml:space="preserve">le jaguar devient lui aussi tout autre chose. Il n’est plus que cette transformation même, cette ouverture à de nouvelles significations pour cette Culture générique. </w:t>
      </w:r>
    </w:p>
    <w:p w14:paraId="71E0487F" w14:textId="77777777" w:rsidR="00FA4F5F" w:rsidRDefault="00FA4F5F">
      <w:pPr>
        <w:pStyle w:val="CorpsA"/>
        <w:spacing w:line="360" w:lineRule="auto"/>
        <w:ind w:firstLine="708"/>
        <w:rPr>
          <w:rStyle w:val="Aucun"/>
          <w:rFonts w:ascii="Times New Roman" w:eastAsia="Times New Roman" w:hAnsi="Times New Roman" w:cs="Times New Roman"/>
        </w:rPr>
      </w:pPr>
    </w:p>
    <w:p w14:paraId="444A1404" w14:textId="0AC28854" w:rsidR="00FA4F5F" w:rsidRDefault="002D52F5">
      <w:pPr>
        <w:pStyle w:val="CorpsA"/>
        <w:spacing w:line="360" w:lineRule="auto"/>
        <w:ind w:firstLine="708"/>
        <w:rPr>
          <w:rStyle w:val="Aucun"/>
          <w:rFonts w:ascii="Times New Roman" w:eastAsia="Times New Roman" w:hAnsi="Times New Roman" w:cs="Times New Roman"/>
        </w:rPr>
      </w:pPr>
      <w:r>
        <w:rPr>
          <w:rStyle w:val="Aucun"/>
          <w:rFonts w:ascii="Times New Roman" w:hAnsi="Times New Roman"/>
        </w:rPr>
        <w:t>Cette puissance subversive de l’altérité se retrouve également dans les analyses de Viveiros de Castro sur le cannibalisme tupinamba du XVI</w:t>
      </w:r>
      <w:r>
        <w:rPr>
          <w:rStyle w:val="Aucun"/>
          <w:rFonts w:ascii="Times New Roman" w:hAnsi="Times New Roman"/>
          <w:vertAlign w:val="superscript"/>
        </w:rPr>
        <w:t>e</w:t>
      </w:r>
      <w:r>
        <w:rPr>
          <w:rStyle w:val="Aucun"/>
          <w:rFonts w:ascii="Times New Roman" w:hAnsi="Times New Roman"/>
        </w:rPr>
        <w:t> siècle. Dit brièvement, lors du rituel cannibale, l’officiant, tenu à l’écart du groupe, rentrait dans un processus de réclusion funéraire et d’</w:t>
      </w:r>
      <w:r w:rsidR="00932CBA">
        <w:rPr>
          <w:rStyle w:val="Aucun"/>
          <w:rFonts w:ascii="Times New Roman" w:hAnsi="Times New Roman"/>
        </w:rPr>
        <w:t>« </w:t>
      </w:r>
      <w:r>
        <w:rPr>
          <w:rStyle w:val="Aucun"/>
          <w:rFonts w:ascii="Times New Roman" w:hAnsi="Times New Roman"/>
        </w:rPr>
        <w:t>identification » à sa victime, constituant avec elle une « figure bifrons » où tous deux « se reflét[aient] et se réverbér[aient] à l’infini</w:t>
      </w:r>
      <w:r>
        <w:rPr>
          <w:rStyle w:val="Aucun"/>
          <w:rFonts w:ascii="Times New Roman" w:eastAsia="Times New Roman" w:hAnsi="Times New Roman" w:cs="Times New Roman"/>
          <w:vertAlign w:val="superscript"/>
        </w:rPr>
        <w:footnoteReference w:id="28"/>
      </w:r>
      <w:r w:rsidR="00932CBA">
        <w:rPr>
          <w:rStyle w:val="Aucun"/>
          <w:rFonts w:ascii="Times New Roman" w:hAnsi="Times New Roman"/>
        </w:rPr>
        <w:t> »</w:t>
      </w:r>
      <w:r>
        <w:rPr>
          <w:rStyle w:val="Aucun"/>
          <w:rFonts w:ascii="Times New Roman" w:hAnsi="Times New Roman"/>
        </w:rPr>
        <w:t xml:space="preserve">. Ils formaient ainsi une « unité sans différence » où l’un n’existait plus qu’à travers l’autre, à la façon des entités affines peuplant les mythes amérindiens. Raison pour laquelle d’ailleurs l’ennemi était également considéré comme un affin potentiel, une altérité tante crainte que désirée pour ses effets déstabilisateurs. Pour les Tupinamba, la dévoration exprime donc cet </w:t>
      </w:r>
      <w:r w:rsidR="00932CBA">
        <w:rPr>
          <w:rStyle w:val="Aucun"/>
          <w:rFonts w:ascii="Times New Roman" w:hAnsi="Times New Roman"/>
        </w:rPr>
        <w:t>« </w:t>
      </w:r>
      <w:r>
        <w:rPr>
          <w:rStyle w:val="Aucun"/>
          <w:rFonts w:ascii="Times New Roman" w:hAnsi="Times New Roman"/>
        </w:rPr>
        <w:t>obscur désir d’être l’autre, mais – c’est ici que réside tout son mystère – selon nos propres termes </w:t>
      </w:r>
      <w:r>
        <w:rPr>
          <w:rStyle w:val="Aucun"/>
          <w:rFonts w:ascii="Times New Roman" w:eastAsia="Times New Roman" w:hAnsi="Times New Roman" w:cs="Times New Roman"/>
          <w:vertAlign w:val="superscript"/>
        </w:rPr>
        <w:footnoteReference w:id="29"/>
      </w:r>
      <w:r w:rsidR="00932CBA">
        <w:rPr>
          <w:rStyle w:val="Aucun"/>
          <w:rFonts w:ascii="Times New Roman" w:hAnsi="Times New Roman"/>
        </w:rPr>
        <w:t> »</w:t>
      </w:r>
      <w:r>
        <w:rPr>
          <w:rStyle w:val="Aucun"/>
          <w:rFonts w:ascii="Times New Roman" w:hAnsi="Times New Roman"/>
        </w:rPr>
        <w:t xml:space="preserve">, c’est-à-dire de devenir autre. </w:t>
      </w:r>
    </w:p>
    <w:p w14:paraId="68EEBC3C" w14:textId="77777777" w:rsidR="00FA4F5F" w:rsidRDefault="00FA4F5F">
      <w:pPr>
        <w:pStyle w:val="CorpsA"/>
        <w:spacing w:line="360" w:lineRule="auto"/>
        <w:rPr>
          <w:rStyle w:val="Aucun"/>
          <w:rFonts w:ascii="Times New Roman" w:eastAsia="Times New Roman" w:hAnsi="Times New Roman" w:cs="Times New Roman"/>
        </w:rPr>
      </w:pPr>
    </w:p>
    <w:p w14:paraId="29B84162" w14:textId="77777777" w:rsidR="00FA4F5F" w:rsidRDefault="002D52F5">
      <w:pPr>
        <w:pStyle w:val="Titre2"/>
        <w:numPr>
          <w:ilvl w:val="0"/>
          <w:numId w:val="2"/>
        </w:numPr>
        <w:spacing w:line="360" w:lineRule="auto"/>
      </w:pPr>
      <w:r>
        <w:rPr>
          <w:rStyle w:val="AucunA"/>
        </w:rPr>
        <w:t xml:space="preserve">L’ennemi araweté </w:t>
      </w:r>
    </w:p>
    <w:p w14:paraId="1CB1228C" w14:textId="77777777" w:rsidR="00FA4F5F" w:rsidRDefault="00FA4F5F">
      <w:pPr>
        <w:pStyle w:val="CorpsA"/>
        <w:tabs>
          <w:tab w:val="left" w:pos="2580"/>
        </w:tabs>
        <w:spacing w:line="360" w:lineRule="auto"/>
        <w:rPr>
          <w:rStyle w:val="Aucun"/>
          <w:rFonts w:ascii="Times New Roman" w:eastAsia="Times New Roman" w:hAnsi="Times New Roman" w:cs="Times New Roman"/>
        </w:rPr>
      </w:pPr>
    </w:p>
    <w:p w14:paraId="52871572" w14:textId="1328A747" w:rsidR="00FA4F5F" w:rsidRDefault="002D52F5">
      <w:pPr>
        <w:pStyle w:val="CorpsA"/>
        <w:spacing w:line="360" w:lineRule="auto"/>
        <w:ind w:firstLine="567"/>
        <w:rPr>
          <w:rStyle w:val="Aucun"/>
          <w:rFonts w:ascii="Times New Roman" w:eastAsia="Times New Roman" w:hAnsi="Times New Roman" w:cs="Times New Roman"/>
        </w:rPr>
      </w:pPr>
      <w:r>
        <w:rPr>
          <w:rStyle w:val="Aucun"/>
          <w:rFonts w:ascii="Times New Roman" w:hAnsi="Times New Roman"/>
        </w:rPr>
        <w:t>Chez les Araweté, le rapport à l’autre s’effectue plus à force de coups de dents qu’à l’aide de coups de fil : non pas un fil tendu entre A et B, une situation de communication où destinateur·rice et destinataire s’échangent des informations</w:t>
      </w:r>
      <w:r>
        <w:rPr>
          <w:rStyle w:val="Aucun"/>
          <w:rFonts w:ascii="Times New Roman" w:eastAsia="Times New Roman" w:hAnsi="Times New Roman" w:cs="Times New Roman"/>
          <w:vertAlign w:val="superscript"/>
        </w:rPr>
        <w:footnoteReference w:id="30"/>
      </w:r>
      <w:r>
        <w:rPr>
          <w:rStyle w:val="Aucun"/>
          <w:rFonts w:ascii="Times New Roman" w:hAnsi="Times New Roman"/>
        </w:rPr>
        <w:t xml:space="preserve">, mais un véritable </w:t>
      </w:r>
      <w:r w:rsidR="00932CBA">
        <w:rPr>
          <w:rStyle w:val="Aucun"/>
          <w:rFonts w:ascii="Times New Roman" w:hAnsi="Times New Roman"/>
        </w:rPr>
        <w:t>« </w:t>
      </w:r>
      <w:r>
        <w:rPr>
          <w:rStyle w:val="Aucun"/>
          <w:rFonts w:ascii="Times New Roman" w:hAnsi="Times New Roman"/>
        </w:rPr>
        <w:t>rituel cannibale</w:t>
      </w:r>
      <w:r w:rsidR="00932CBA">
        <w:rPr>
          <w:rStyle w:val="Aucun"/>
          <w:rFonts w:ascii="Times New Roman" w:hAnsi="Times New Roman"/>
        </w:rPr>
        <w:t> »</w:t>
      </w:r>
      <w:r>
        <w:rPr>
          <w:rStyle w:val="Aucun"/>
          <w:rFonts w:ascii="Times New Roman" w:hAnsi="Times New Roman"/>
        </w:rPr>
        <w:t xml:space="preserve">, une dévoration de l’ennemi par les guerriers araweté, laissant l’autre parler à travers eux. </w:t>
      </w:r>
    </w:p>
    <w:p w14:paraId="234EA649" w14:textId="77777777" w:rsidR="00FA4F5F" w:rsidRDefault="00FA4F5F">
      <w:pPr>
        <w:pStyle w:val="CorpsA"/>
        <w:spacing w:line="360" w:lineRule="auto"/>
        <w:ind w:firstLine="567"/>
        <w:rPr>
          <w:rStyle w:val="Aucun"/>
          <w:rFonts w:ascii="Times New Roman" w:eastAsia="Times New Roman" w:hAnsi="Times New Roman" w:cs="Times New Roman"/>
        </w:rPr>
      </w:pPr>
    </w:p>
    <w:p w14:paraId="1B4DF944" w14:textId="13FEFCB8" w:rsidR="00FA4F5F" w:rsidRDefault="002D52F5">
      <w:pPr>
        <w:pStyle w:val="CorpsA"/>
        <w:spacing w:line="360" w:lineRule="auto"/>
        <w:ind w:firstLine="567"/>
        <w:rPr>
          <w:rStyle w:val="Aucun"/>
          <w:rFonts w:ascii="Times New Roman" w:eastAsia="Times New Roman" w:hAnsi="Times New Roman" w:cs="Times New Roman"/>
        </w:rPr>
      </w:pPr>
      <w:r>
        <w:rPr>
          <w:rStyle w:val="Aucun"/>
          <w:rFonts w:ascii="Times New Roman" w:hAnsi="Times New Roman"/>
        </w:rPr>
        <w:t>En effet, Viveiros de Castro explique que</w:t>
      </w:r>
      <w:r w:rsidR="00932CBA">
        <w:rPr>
          <w:rStyle w:val="Aucun"/>
          <w:rFonts w:ascii="Times New Roman" w:hAnsi="Times New Roman"/>
        </w:rPr>
        <w:t xml:space="preserve"> </w:t>
      </w:r>
      <w:r>
        <w:rPr>
          <w:rStyle w:val="Aucun"/>
          <w:rFonts w:ascii="Times New Roman" w:hAnsi="Times New Roman"/>
        </w:rPr>
        <w:t xml:space="preserve">dans leurs chants de guerre : </w:t>
      </w:r>
    </w:p>
    <w:p w14:paraId="196068C4" w14:textId="77777777" w:rsidR="00FA4F5F" w:rsidRDefault="00FA4F5F">
      <w:pPr>
        <w:pStyle w:val="CorpsA"/>
        <w:spacing w:line="360" w:lineRule="auto"/>
        <w:ind w:firstLine="567"/>
        <w:rPr>
          <w:rStyle w:val="Aucun"/>
          <w:rFonts w:ascii="Times New Roman" w:eastAsia="Times New Roman" w:hAnsi="Times New Roman" w:cs="Times New Roman"/>
        </w:rPr>
      </w:pPr>
    </w:p>
    <w:p w14:paraId="229FF07C" w14:textId="72614828" w:rsidR="00FA4F5F" w:rsidRPr="00FF5DFA" w:rsidRDefault="002D52F5">
      <w:pPr>
        <w:pStyle w:val="CorpsA"/>
        <w:spacing w:line="360" w:lineRule="auto"/>
        <w:ind w:left="708"/>
        <w:rPr>
          <w:rStyle w:val="Aucun"/>
          <w:rFonts w:ascii="Times New Roman" w:eastAsia="Times New Roman" w:hAnsi="Times New Roman" w:cs="Times New Roman"/>
          <w:sz w:val="22"/>
          <w:szCs w:val="22"/>
        </w:rPr>
      </w:pPr>
      <w:r w:rsidRPr="00FF5DFA">
        <w:rPr>
          <w:rStyle w:val="Aucun"/>
          <w:rFonts w:ascii="Times New Roman" w:hAnsi="Times New Roman"/>
          <w:sz w:val="22"/>
          <w:szCs w:val="22"/>
        </w:rPr>
        <w:t xml:space="preserve">Le guerrier, à travers un jeu déictique et anaphorique complexe, parle de soi-même du point de vue de l’ennemi mort : la victime, qui est le sujet (dans les deux sens) du chant, parle des Araweté qu’il a tués, et parle de son meurtrier – qui est celui qui </w:t>
      </w:r>
      <w:r w:rsidR="00E339CF">
        <w:rPr>
          <w:rStyle w:val="Aucun"/>
          <w:rFonts w:ascii="Times New Roman" w:hAnsi="Times New Roman"/>
          <w:sz w:val="22"/>
          <w:szCs w:val="22"/>
        </w:rPr>
        <w:t>« </w:t>
      </w:r>
      <w:r w:rsidRPr="00FF5DFA">
        <w:rPr>
          <w:rStyle w:val="Aucun"/>
          <w:rFonts w:ascii="Times New Roman" w:hAnsi="Times New Roman"/>
          <w:sz w:val="22"/>
          <w:szCs w:val="22"/>
        </w:rPr>
        <w:t>parle</w:t>
      </w:r>
      <w:r w:rsidR="00E339CF">
        <w:rPr>
          <w:rStyle w:val="Aucun"/>
          <w:rFonts w:ascii="Times New Roman" w:hAnsi="Times New Roman"/>
          <w:sz w:val="22"/>
          <w:szCs w:val="22"/>
        </w:rPr>
        <w:t> »</w:t>
      </w:r>
      <w:r w:rsidRPr="00FF5DFA">
        <w:rPr>
          <w:rStyle w:val="Aucun"/>
          <w:rFonts w:ascii="Times New Roman" w:hAnsi="Times New Roman"/>
          <w:sz w:val="22"/>
          <w:szCs w:val="22"/>
        </w:rPr>
        <w:t xml:space="preserve">, c’est-à-dire, celui qui chante les paroles de l’ennemi mort – comme d’un ennemi cannibale (bien que chez les Araweté on ne mange que des mots). À travers </w:t>
      </w:r>
      <w:r w:rsidRPr="00FF5DFA">
        <w:rPr>
          <w:rStyle w:val="Aucun"/>
          <w:rFonts w:ascii="Times New Roman" w:hAnsi="Times New Roman"/>
          <w:i/>
          <w:iCs/>
          <w:sz w:val="22"/>
          <w:szCs w:val="22"/>
        </w:rPr>
        <w:t>son</w:t>
      </w:r>
      <w:r w:rsidRPr="00FF5DFA">
        <w:rPr>
          <w:rStyle w:val="Aucun"/>
          <w:rFonts w:ascii="Times New Roman" w:hAnsi="Times New Roman"/>
          <w:sz w:val="22"/>
          <w:szCs w:val="22"/>
        </w:rPr>
        <w:t xml:space="preserve"> ennemi, le meurtrier araweté se voit ou se pose </w:t>
      </w:r>
      <w:r w:rsidRPr="00FF5DFA">
        <w:rPr>
          <w:rStyle w:val="Aucun"/>
          <w:rFonts w:ascii="Times New Roman" w:hAnsi="Times New Roman"/>
          <w:i/>
          <w:iCs/>
          <w:sz w:val="22"/>
          <w:szCs w:val="22"/>
        </w:rPr>
        <w:t xml:space="preserve">comme </w:t>
      </w:r>
      <w:r w:rsidRPr="00FF5DFA">
        <w:rPr>
          <w:rStyle w:val="Aucun"/>
          <w:rFonts w:ascii="Times New Roman" w:hAnsi="Times New Roman"/>
          <w:sz w:val="22"/>
          <w:szCs w:val="22"/>
        </w:rPr>
        <w:t xml:space="preserve">ennemi </w:t>
      </w:r>
      <w:r w:rsidR="00E339CF">
        <w:rPr>
          <w:rStyle w:val="Aucun"/>
          <w:rFonts w:ascii="Times New Roman" w:hAnsi="Times New Roman"/>
          <w:sz w:val="22"/>
          <w:szCs w:val="22"/>
        </w:rPr>
        <w:t>« </w:t>
      </w:r>
      <w:r w:rsidRPr="00FF5DFA">
        <w:rPr>
          <w:rStyle w:val="Aucun"/>
          <w:rFonts w:ascii="Times New Roman" w:hAnsi="Times New Roman"/>
          <w:sz w:val="22"/>
          <w:szCs w:val="22"/>
        </w:rPr>
        <w:t>en tant qu’ennemi</w:t>
      </w:r>
      <w:r w:rsidR="00E339CF">
        <w:rPr>
          <w:rStyle w:val="Aucun"/>
          <w:rFonts w:ascii="Times New Roman" w:hAnsi="Times New Roman"/>
          <w:sz w:val="22"/>
          <w:szCs w:val="22"/>
        </w:rPr>
        <w:t> »</w:t>
      </w:r>
      <w:r w:rsidRPr="00FF5DFA">
        <w:rPr>
          <w:rStyle w:val="Aucun"/>
          <w:rFonts w:ascii="Times New Roman" w:eastAsia="Times New Roman" w:hAnsi="Times New Roman" w:cs="Times New Roman"/>
          <w:sz w:val="22"/>
          <w:szCs w:val="22"/>
          <w:vertAlign w:val="superscript"/>
        </w:rPr>
        <w:footnoteReference w:id="31"/>
      </w:r>
      <w:r w:rsidR="00FF5DFA" w:rsidRPr="00FF5DFA">
        <w:rPr>
          <w:rStyle w:val="Aucun"/>
          <w:rFonts w:ascii="Times New Roman" w:hAnsi="Times New Roman"/>
          <w:sz w:val="22"/>
          <w:szCs w:val="22"/>
        </w:rPr>
        <w:t>.</w:t>
      </w:r>
    </w:p>
    <w:p w14:paraId="6CD9913F" w14:textId="77777777" w:rsidR="00FA4F5F" w:rsidRDefault="00FA4F5F">
      <w:pPr>
        <w:pStyle w:val="CorpsA"/>
        <w:spacing w:line="360" w:lineRule="auto"/>
        <w:rPr>
          <w:rStyle w:val="Aucun"/>
          <w:rFonts w:ascii="Times New Roman" w:eastAsia="Times New Roman" w:hAnsi="Times New Roman" w:cs="Times New Roman"/>
        </w:rPr>
      </w:pPr>
    </w:p>
    <w:p w14:paraId="71A613AC" w14:textId="2243876F" w:rsidR="00FA4F5F" w:rsidRDefault="002D52F5">
      <w:pPr>
        <w:pStyle w:val="CorpsA"/>
        <w:spacing w:line="360" w:lineRule="auto"/>
        <w:ind w:firstLine="567"/>
        <w:rPr>
          <w:rStyle w:val="Aucun"/>
          <w:rFonts w:ascii="Times New Roman" w:eastAsia="Times New Roman" w:hAnsi="Times New Roman" w:cs="Times New Roman"/>
        </w:rPr>
      </w:pPr>
      <w:r>
        <w:rPr>
          <w:rStyle w:val="Aucun"/>
          <w:rFonts w:ascii="Times New Roman" w:hAnsi="Times New Roman"/>
        </w:rPr>
        <w:t>Ces chants prennent place dans un contexte particulier. Après avoir tué un ennemi au cours d’un affrontement, le meurtrier « meurt » en devenant littéralement sa victime, en même temps que celle-ci n’est plus que la transformation même du tueur, son affection morbide</w:t>
      </w:r>
      <w:r>
        <w:rPr>
          <w:rStyle w:val="Aucun"/>
          <w:rFonts w:ascii="Times New Roman" w:eastAsia="Times New Roman" w:hAnsi="Times New Roman" w:cs="Times New Roman"/>
          <w:vertAlign w:val="superscript"/>
        </w:rPr>
        <w:footnoteReference w:id="32"/>
      </w:r>
      <w:r>
        <w:rPr>
          <w:rStyle w:val="Aucun"/>
          <w:rFonts w:ascii="Times New Roman" w:hAnsi="Times New Roman"/>
        </w:rPr>
        <w:t xml:space="preserve">. La mort de la victime entraine dès lors la mort du tueur, tous deux renaissant autrement, dans une entité bifrons où aucun ne se reconnait plus, semblablement à ce qui se passe lors du rituel cannibale tupinamba analysé précédemment. </w:t>
      </w:r>
    </w:p>
    <w:p w14:paraId="0B4D9C02" w14:textId="77777777" w:rsidR="00FA4F5F" w:rsidRDefault="00FA4F5F">
      <w:pPr>
        <w:pStyle w:val="CorpsA"/>
        <w:spacing w:line="360" w:lineRule="auto"/>
        <w:ind w:firstLine="567"/>
        <w:rPr>
          <w:rStyle w:val="Aucun"/>
          <w:rFonts w:ascii="Times New Roman" w:eastAsia="Times New Roman" w:hAnsi="Times New Roman" w:cs="Times New Roman"/>
        </w:rPr>
      </w:pPr>
    </w:p>
    <w:p w14:paraId="3B66A935" w14:textId="1AA981C6" w:rsidR="00FA4F5F" w:rsidRDefault="002D52F5">
      <w:pPr>
        <w:pStyle w:val="CorpsA"/>
        <w:spacing w:line="360" w:lineRule="auto"/>
        <w:ind w:firstLine="567"/>
        <w:rPr>
          <w:rStyle w:val="Aucun"/>
          <w:rFonts w:ascii="Times New Roman" w:eastAsia="Times New Roman" w:hAnsi="Times New Roman" w:cs="Times New Roman"/>
        </w:rPr>
      </w:pPr>
      <w:r>
        <w:rPr>
          <w:rStyle w:val="Aucun"/>
          <w:rFonts w:ascii="Times New Roman" w:hAnsi="Times New Roman"/>
        </w:rPr>
        <w:t>Chez les Araweté, cette entité bifrons connaît différentes évolutions au cours de la phase de réclusion mortuaire, marquée par de nombreux interdits, notamment sexuels</w:t>
      </w:r>
      <w:r w:rsidR="0079712F">
        <w:rPr>
          <w:rStyle w:val="Appelnotedebasdep"/>
          <w:rFonts w:ascii="Times New Roman" w:hAnsi="Times New Roman"/>
        </w:rPr>
        <w:footnoteReference w:id="33"/>
      </w:r>
      <w:r>
        <w:rPr>
          <w:rStyle w:val="Aucun"/>
          <w:rFonts w:ascii="Times New Roman" w:hAnsi="Times New Roman"/>
        </w:rPr>
        <w:t>. Toutefois le statut ontologique accordé au meurtrier/victime (</w:t>
      </w:r>
      <w:r>
        <w:rPr>
          <w:rStyle w:val="Aucun"/>
          <w:rFonts w:ascii="Times New Roman" w:hAnsi="Times New Roman"/>
          <w:i/>
          <w:iCs/>
        </w:rPr>
        <w:t>Iraparadï</w:t>
      </w:r>
      <w:r>
        <w:rPr>
          <w:rStyle w:val="Aucun"/>
          <w:rFonts w:ascii="Times New Roman" w:hAnsi="Times New Roman"/>
        </w:rPr>
        <w:t>) ne se manifeste pleinement que dans sa rencontre avec les</w:t>
      </w:r>
      <w:r>
        <w:rPr>
          <w:rStyle w:val="Aucun"/>
          <w:rFonts w:ascii="Times New Roman" w:hAnsi="Times New Roman"/>
          <w:i/>
          <w:iCs/>
        </w:rPr>
        <w:t xml:space="preserve"> Maï</w:t>
      </w:r>
      <w:r>
        <w:rPr>
          <w:rStyle w:val="Aucun"/>
          <w:rFonts w:ascii="Times New Roman" w:hAnsi="Times New Roman"/>
        </w:rPr>
        <w:t xml:space="preserve"> (divinités) dans l’au-delà. </w:t>
      </w:r>
    </w:p>
    <w:p w14:paraId="6C761DBC" w14:textId="04B70308" w:rsidR="00FA4F5F" w:rsidRDefault="002D52F5">
      <w:pPr>
        <w:pStyle w:val="CorpsA"/>
        <w:spacing w:before="100" w:after="100" w:line="360" w:lineRule="auto"/>
        <w:ind w:firstLine="567"/>
        <w:rPr>
          <w:rStyle w:val="Aucun"/>
          <w:rFonts w:ascii="Times New Roman" w:eastAsia="Times New Roman" w:hAnsi="Times New Roman" w:cs="Times New Roman"/>
        </w:rPr>
      </w:pPr>
      <w:r>
        <w:rPr>
          <w:rStyle w:val="Aucun"/>
          <w:rFonts w:ascii="Times New Roman" w:hAnsi="Times New Roman"/>
        </w:rPr>
        <w:lastRenderedPageBreak/>
        <w:t xml:space="preserve">Alors que le sort commun de tout mort araweté est d’être dévoré par les </w:t>
      </w:r>
      <w:r>
        <w:rPr>
          <w:rStyle w:val="Aucun"/>
          <w:rFonts w:ascii="Times New Roman" w:hAnsi="Times New Roman"/>
          <w:i/>
          <w:iCs/>
        </w:rPr>
        <w:t xml:space="preserve">Maï </w:t>
      </w:r>
      <w:r>
        <w:rPr>
          <w:rStyle w:val="Aucun"/>
          <w:rFonts w:ascii="Times New Roman" w:hAnsi="Times New Roman"/>
        </w:rPr>
        <w:t xml:space="preserve">afin de devenir comme eux, les </w:t>
      </w:r>
      <w:r>
        <w:rPr>
          <w:rStyle w:val="Aucun"/>
          <w:rFonts w:ascii="Times New Roman" w:hAnsi="Times New Roman"/>
          <w:i/>
          <w:iCs/>
        </w:rPr>
        <w:t xml:space="preserve">Iraparadï </w:t>
      </w:r>
      <w:r>
        <w:rPr>
          <w:rStyle w:val="Aucun"/>
          <w:rFonts w:ascii="Times New Roman" w:hAnsi="Times New Roman"/>
        </w:rPr>
        <w:t>échappent à ce cannibalisme divin, recevant des divinités « les égards et l’attention dus aux semblables </w:t>
      </w:r>
      <w:r>
        <w:rPr>
          <w:rStyle w:val="Aucun"/>
          <w:rFonts w:ascii="Times New Roman" w:eastAsia="Times New Roman" w:hAnsi="Times New Roman" w:cs="Times New Roman"/>
          <w:vertAlign w:val="superscript"/>
        </w:rPr>
        <w:footnoteReference w:id="34"/>
      </w:r>
      <w:r w:rsidR="00FF5DFA">
        <w:rPr>
          <w:rStyle w:val="Aucun"/>
          <w:rFonts w:ascii="Times New Roman" w:hAnsi="Times New Roman"/>
        </w:rPr>
        <w:t> »</w:t>
      </w:r>
      <w:r>
        <w:rPr>
          <w:rStyle w:val="Aucun"/>
          <w:rFonts w:ascii="Times New Roman" w:hAnsi="Times New Roman"/>
        </w:rPr>
        <w:t xml:space="preserve">. Et la raison en est simple : constituant déjà cette coalescence entre l’Araweté et l’ennemi – caractéristique des </w:t>
      </w:r>
      <w:r>
        <w:rPr>
          <w:rStyle w:val="Aucun"/>
          <w:rFonts w:ascii="Times New Roman" w:hAnsi="Times New Roman"/>
          <w:i/>
          <w:iCs/>
        </w:rPr>
        <w:t>Maï</w:t>
      </w:r>
      <w:r>
        <w:rPr>
          <w:rStyle w:val="Aucun"/>
          <w:rFonts w:ascii="Times New Roman" w:hAnsi="Times New Roman"/>
        </w:rPr>
        <w:t xml:space="preserve"> – l’</w:t>
      </w:r>
      <w:r>
        <w:rPr>
          <w:rStyle w:val="Aucun"/>
          <w:rFonts w:ascii="Times New Roman" w:hAnsi="Times New Roman"/>
          <w:i/>
          <w:iCs/>
        </w:rPr>
        <w:t>Iraparadï</w:t>
      </w:r>
      <w:r>
        <w:rPr>
          <w:rStyle w:val="Aucun"/>
          <w:rFonts w:ascii="Times New Roman" w:hAnsi="Times New Roman"/>
        </w:rPr>
        <w:t xml:space="preserve"> est une divinité anticipée, reconnue comme telle par les autres habitants célestes</w:t>
      </w:r>
      <w:r>
        <w:rPr>
          <w:rStyle w:val="Aucun"/>
          <w:rFonts w:ascii="Times New Roman" w:eastAsia="Times New Roman" w:hAnsi="Times New Roman" w:cs="Times New Roman"/>
          <w:vertAlign w:val="superscript"/>
        </w:rPr>
        <w:footnoteReference w:id="35"/>
      </w:r>
      <w:r>
        <w:rPr>
          <w:rStyle w:val="Aucun"/>
          <w:rFonts w:ascii="Times New Roman" w:hAnsi="Times New Roman"/>
        </w:rPr>
        <w:t>. En effet, chez les Araweté, les divinités en rapport direct avec les humains (</w:t>
      </w:r>
      <w:r>
        <w:rPr>
          <w:rStyle w:val="Aucun"/>
          <w:rFonts w:ascii="Times New Roman" w:hAnsi="Times New Roman"/>
          <w:i/>
          <w:iCs/>
        </w:rPr>
        <w:t>Maï-hete</w:t>
      </w:r>
      <w:r>
        <w:rPr>
          <w:rStyle w:val="Aucun"/>
          <w:rFonts w:ascii="Times New Roman" w:hAnsi="Times New Roman"/>
        </w:rPr>
        <w:t>) « se montrent sous une apparence qui mêle des signes propres aux Araweté et propres aux ennemis</w:t>
      </w:r>
      <w:r>
        <w:rPr>
          <w:rStyle w:val="Aucun"/>
          <w:rFonts w:ascii="Times New Roman" w:eastAsia="Times New Roman" w:hAnsi="Times New Roman" w:cs="Times New Roman"/>
          <w:vertAlign w:val="superscript"/>
        </w:rPr>
        <w:footnoteReference w:id="36"/>
      </w:r>
      <w:r w:rsidR="00FF5DFA">
        <w:rPr>
          <w:rStyle w:val="Aucun"/>
          <w:rFonts w:ascii="Times New Roman" w:hAnsi="Times New Roman"/>
        </w:rPr>
        <w:t> »</w:t>
      </w:r>
      <w:r>
        <w:rPr>
          <w:rStyle w:val="Aucun"/>
          <w:rFonts w:ascii="Times New Roman" w:hAnsi="Times New Roman"/>
        </w:rPr>
        <w:t xml:space="preserve">. Toutefois, contrairement à ce qu’une lecture sacrificielle le laisserait trop vite supposer, il n’est nullement question ici de substitution identitaire. Les divinités sont </w:t>
      </w:r>
      <w:r>
        <w:rPr>
          <w:rStyle w:val="Aucun"/>
          <w:rFonts w:ascii="Times New Roman" w:hAnsi="Times New Roman"/>
          <w:i/>
          <w:iCs/>
        </w:rPr>
        <w:t xml:space="preserve">à la fois </w:t>
      </w:r>
      <w:r>
        <w:rPr>
          <w:rStyle w:val="Aucun"/>
          <w:rFonts w:ascii="Times New Roman" w:hAnsi="Times New Roman"/>
        </w:rPr>
        <w:t xml:space="preserve">les Araweté et les ennemis, les deux en même temps. Tels des affins, ils sont unis, non pas malgré, mais en vertu de leurs différences. D’où le fait que les </w:t>
      </w:r>
      <w:r>
        <w:rPr>
          <w:rStyle w:val="Aucun"/>
          <w:rFonts w:ascii="Times New Roman" w:hAnsi="Times New Roman"/>
          <w:i/>
          <w:iCs/>
        </w:rPr>
        <w:t>Maï</w:t>
      </w:r>
      <w:r>
        <w:rPr>
          <w:rStyle w:val="Aucun"/>
          <w:rFonts w:ascii="Times New Roman" w:hAnsi="Times New Roman"/>
        </w:rPr>
        <w:t xml:space="preserve"> sont souvent qualifiés de « </w:t>
      </w:r>
      <w:r>
        <w:rPr>
          <w:rStyle w:val="Aucun"/>
          <w:rFonts w:ascii="Times New Roman" w:hAnsi="Times New Roman"/>
          <w:i/>
          <w:iCs/>
        </w:rPr>
        <w:t>ure tiwã oho</w:t>
      </w:r>
      <w:r>
        <w:rPr>
          <w:rStyle w:val="Aucun"/>
          <w:rFonts w:ascii="Times New Roman" w:hAnsi="Times New Roman"/>
        </w:rPr>
        <w:t> : nos redoutables affins potentiels </w:t>
      </w:r>
      <w:r>
        <w:rPr>
          <w:rStyle w:val="Aucun"/>
          <w:rFonts w:ascii="Times New Roman" w:eastAsia="Times New Roman" w:hAnsi="Times New Roman" w:cs="Times New Roman"/>
          <w:vertAlign w:val="superscript"/>
        </w:rPr>
        <w:footnoteReference w:id="37"/>
      </w:r>
      <w:r w:rsidR="00FF5DFA">
        <w:rPr>
          <w:rStyle w:val="Aucun"/>
          <w:rFonts w:ascii="Times New Roman" w:hAnsi="Times New Roman"/>
        </w:rPr>
        <w:t> »</w:t>
      </w:r>
      <w:r>
        <w:rPr>
          <w:rStyle w:val="Aucun"/>
          <w:rFonts w:ascii="Times New Roman" w:hAnsi="Times New Roman"/>
        </w:rPr>
        <w:t xml:space="preserve">. Ils sont marqués </w:t>
      </w:r>
      <w:r w:rsidR="00FF5DFA">
        <w:rPr>
          <w:rStyle w:val="Aucun"/>
          <w:rFonts w:ascii="Times New Roman" w:hAnsi="Times New Roman"/>
        </w:rPr>
        <w:t>« </w:t>
      </w:r>
      <w:r>
        <w:rPr>
          <w:rStyle w:val="Aucun"/>
          <w:rFonts w:ascii="Times New Roman" w:hAnsi="Times New Roman"/>
        </w:rPr>
        <w:t>d’une ambivalence fondamentale. Ils sont à la fois l’idéal du Moi araweté et l’archétype de l’autre. Les Araweté se regardent avec les yeux des dieux, mais en même temps ils ne peuvent regarder ceux-ci que de leur propre point de vue trop humain, c’est-à-dire terrestre et mortel </w:t>
      </w:r>
      <w:r>
        <w:rPr>
          <w:rStyle w:val="Aucun"/>
          <w:rFonts w:ascii="Times New Roman" w:eastAsia="Times New Roman" w:hAnsi="Times New Roman" w:cs="Times New Roman"/>
          <w:vertAlign w:val="superscript"/>
        </w:rPr>
        <w:footnoteReference w:id="38"/>
      </w:r>
      <w:r w:rsidR="00FF5DFA">
        <w:rPr>
          <w:rStyle w:val="Aucun"/>
          <w:rFonts w:ascii="Times New Roman" w:hAnsi="Times New Roman"/>
        </w:rPr>
        <w:t> »</w:t>
      </w:r>
      <w:r>
        <w:rPr>
          <w:rStyle w:val="Aucun"/>
          <w:rFonts w:ascii="Times New Roman" w:hAnsi="Times New Roman"/>
        </w:rPr>
        <w:t xml:space="preserve">. </w:t>
      </w:r>
    </w:p>
    <w:p w14:paraId="0A5F9A14" w14:textId="77777777" w:rsidR="00FA4F5F" w:rsidRDefault="002D52F5">
      <w:pPr>
        <w:pStyle w:val="CorpsA"/>
        <w:spacing w:before="100" w:after="100" w:line="360" w:lineRule="auto"/>
        <w:ind w:firstLine="567"/>
        <w:rPr>
          <w:rStyle w:val="Aucun"/>
          <w:rFonts w:ascii="Times New Roman" w:eastAsia="Times New Roman" w:hAnsi="Times New Roman" w:cs="Times New Roman"/>
        </w:rPr>
      </w:pPr>
      <w:r>
        <w:rPr>
          <w:rStyle w:val="Aucun"/>
          <w:rFonts w:ascii="Times New Roman" w:hAnsi="Times New Roman"/>
        </w:rPr>
        <w:t>Nous sommes confrontés ici à un problème similaire à celui du savoir chamanique. Voir comme un jaguar ne revient nullement à être « réellement » un jaguar, mais à laisser son point de vue affecter le nôtre, à faire entrer ce dernier en variation. On pourrait reformuler les choses ainsi : Voir du sang comme de la bière de manioc, c’est voir du point de vue du jaguar à partir de notre point de vue – nécessairement – humain, les faire entrer en coalescence, se placer au lieu de leur indiscernabilité.</w:t>
      </w:r>
      <w:r>
        <w:rPr>
          <w:rStyle w:val="Aucun"/>
          <w:rFonts w:ascii="Times New Roman" w:hAnsi="Times New Roman"/>
          <w:vertAlign w:val="superscript"/>
        </w:rPr>
        <w:t xml:space="preserve"> </w:t>
      </w:r>
      <w:r>
        <w:rPr>
          <w:rStyle w:val="Aucun"/>
          <w:rFonts w:ascii="Times New Roman" w:hAnsi="Times New Roman"/>
        </w:rPr>
        <w:t xml:space="preserve">D’où le fait que les jaguars et les </w:t>
      </w:r>
      <w:r>
        <w:rPr>
          <w:rStyle w:val="Aucun"/>
          <w:rFonts w:ascii="Times New Roman" w:hAnsi="Times New Roman"/>
          <w:i/>
          <w:iCs/>
        </w:rPr>
        <w:t xml:space="preserve">Maï-hete </w:t>
      </w:r>
      <w:r>
        <w:rPr>
          <w:rStyle w:val="Aucun"/>
          <w:rFonts w:ascii="Times New Roman" w:hAnsi="Times New Roman"/>
        </w:rPr>
        <w:t xml:space="preserve">soient humains, mais d’une humanité toute différente de celle des Araweté. </w:t>
      </w:r>
    </w:p>
    <w:p w14:paraId="10A6B095" w14:textId="4158B9CE" w:rsidR="00FA4F5F" w:rsidRDefault="002D52F5">
      <w:pPr>
        <w:pStyle w:val="CorpsA"/>
        <w:spacing w:before="100" w:after="100" w:line="360" w:lineRule="auto"/>
        <w:ind w:firstLine="567"/>
        <w:rPr>
          <w:rStyle w:val="Aucun"/>
          <w:rFonts w:ascii="Times New Roman" w:eastAsia="Times New Roman" w:hAnsi="Times New Roman" w:cs="Times New Roman"/>
        </w:rPr>
      </w:pPr>
      <w:r>
        <w:rPr>
          <w:rStyle w:val="Aucun"/>
          <w:rFonts w:ascii="Times New Roman" w:hAnsi="Times New Roman"/>
        </w:rPr>
        <w:t xml:space="preserve">Et les vivants ne s’y trompent pas : </w:t>
      </w:r>
      <w:r w:rsidR="00FF5DFA">
        <w:rPr>
          <w:rStyle w:val="Aucun"/>
          <w:rFonts w:ascii="Times New Roman" w:hAnsi="Times New Roman"/>
        </w:rPr>
        <w:t>« </w:t>
      </w:r>
      <w:r>
        <w:rPr>
          <w:rStyle w:val="Aucun"/>
          <w:rFonts w:ascii="Times New Roman" w:hAnsi="Times New Roman"/>
        </w:rPr>
        <w:t>Quand il s’empare du tueur, l’esprit de l’ennemi le transforme en ennemi à nous [sic] » disent les Araweté</w:t>
      </w:r>
      <w:r>
        <w:rPr>
          <w:rStyle w:val="Aucun"/>
          <w:rFonts w:ascii="Times New Roman" w:eastAsia="Times New Roman" w:hAnsi="Times New Roman" w:cs="Times New Roman"/>
          <w:vertAlign w:val="superscript"/>
        </w:rPr>
        <w:footnoteReference w:id="39"/>
      </w:r>
      <w:r>
        <w:rPr>
          <w:rStyle w:val="Aucun"/>
          <w:rFonts w:ascii="Times New Roman" w:hAnsi="Times New Roman"/>
        </w:rPr>
        <w:t>.</w:t>
      </w:r>
      <w:r w:rsidR="00CC7096">
        <w:rPr>
          <w:rStyle w:val="Aucun"/>
          <w:rFonts w:ascii="Times New Roman" w:hAnsi="Times New Roman"/>
        </w:rPr>
        <w:t xml:space="preserve"> </w:t>
      </w:r>
      <w:r>
        <w:rPr>
          <w:rStyle w:val="Aucun"/>
          <w:rFonts w:ascii="Times New Roman" w:hAnsi="Times New Roman"/>
        </w:rPr>
        <w:t xml:space="preserve">De sorte que les </w:t>
      </w:r>
      <w:r>
        <w:rPr>
          <w:rStyle w:val="Aucun"/>
          <w:rFonts w:ascii="Times New Roman" w:hAnsi="Times New Roman"/>
          <w:i/>
          <w:iCs/>
        </w:rPr>
        <w:t xml:space="preserve">Iraparadï, </w:t>
      </w:r>
      <w:r>
        <w:rPr>
          <w:rStyle w:val="Aucun"/>
          <w:rFonts w:ascii="Times New Roman" w:hAnsi="Times New Roman"/>
        </w:rPr>
        <w:t>tout autant craints qu’admirés, sont dépouillés de leurs armes, pouvant être pris soudainement d’un désir de vengeance éveillé par la victime. Ils sont finalement les « Araweté se regardant activement comme des ennemis </w:t>
      </w:r>
      <w:r>
        <w:rPr>
          <w:rStyle w:val="Aucun"/>
          <w:rFonts w:ascii="Times New Roman" w:eastAsia="Times New Roman" w:hAnsi="Times New Roman" w:cs="Times New Roman"/>
          <w:vertAlign w:val="superscript"/>
        </w:rPr>
        <w:footnoteReference w:id="40"/>
      </w:r>
      <w:r w:rsidR="00FF5DFA">
        <w:rPr>
          <w:rStyle w:val="Aucun"/>
          <w:rFonts w:ascii="Times New Roman" w:hAnsi="Times New Roman"/>
        </w:rPr>
        <w:t> »</w:t>
      </w:r>
      <w:r>
        <w:rPr>
          <w:rStyle w:val="Aucun"/>
          <w:rFonts w:ascii="Times New Roman" w:hAnsi="Times New Roman"/>
        </w:rPr>
        <w:t>, engendrant une troisième position, l’ennemi absolu, c’est-à-dire, soi-</w:t>
      </w:r>
      <w:r>
        <w:rPr>
          <w:rStyle w:val="Aucun"/>
          <w:rFonts w:ascii="Times New Roman" w:hAnsi="Times New Roman"/>
        </w:rPr>
        <w:lastRenderedPageBreak/>
        <w:t xml:space="preserve">même en tant qu’ennemi. Le meurtrier et sa victime – tout comme les </w:t>
      </w:r>
      <w:r>
        <w:rPr>
          <w:rStyle w:val="Aucun"/>
          <w:rFonts w:ascii="Times New Roman" w:hAnsi="Times New Roman"/>
          <w:i/>
          <w:iCs/>
        </w:rPr>
        <w:t>Maï</w:t>
      </w:r>
      <w:r>
        <w:rPr>
          <w:rStyle w:val="Aucun"/>
          <w:rFonts w:ascii="Times New Roman" w:hAnsi="Times New Roman"/>
        </w:rPr>
        <w:t xml:space="preserve"> – ne sont plus d’un bord ni d’un autre, mais constituent la frontière même de leur distinction. </w:t>
      </w:r>
      <w:r>
        <w:rPr>
          <w:rStyle w:val="Aucun"/>
          <w:rFonts w:ascii="Times New Roman" w:hAnsi="Times New Roman"/>
          <w:i/>
          <w:iCs/>
        </w:rPr>
        <w:t xml:space="preserve">Ad-finis. </w:t>
      </w:r>
    </w:p>
    <w:p w14:paraId="65D10A43" w14:textId="31132DB1" w:rsidR="00FA4F5F" w:rsidRDefault="002D52F5">
      <w:pPr>
        <w:pStyle w:val="CorpsA"/>
        <w:spacing w:line="360" w:lineRule="auto"/>
        <w:ind w:firstLine="567"/>
        <w:rPr>
          <w:rStyle w:val="Aucun"/>
          <w:rFonts w:ascii="Times New Roman" w:eastAsia="Times New Roman" w:hAnsi="Times New Roman" w:cs="Times New Roman"/>
        </w:rPr>
      </w:pPr>
      <w:r>
        <w:rPr>
          <w:rStyle w:val="Aucun"/>
          <w:rFonts w:ascii="Times New Roman" w:hAnsi="Times New Roman"/>
        </w:rPr>
        <w:t xml:space="preserve">À un certain moment durant la réclusion funéraire, « l’esprit de la victime décide d’aller au bout de la terre </w:t>
      </w:r>
      <w:r w:rsidR="00C5539F" w:rsidRPr="00A10D9F">
        <w:rPr>
          <w:rFonts w:ascii="Times New Roman" w:hAnsi="Times New Roman" w:cs="Times New Roman"/>
        </w:rPr>
        <w:t>“</w:t>
      </w:r>
      <w:r>
        <w:rPr>
          <w:rStyle w:val="Aucun"/>
          <w:rFonts w:ascii="Times New Roman" w:hAnsi="Times New Roman"/>
        </w:rPr>
        <w:t>chercher des chants</w:t>
      </w:r>
      <w:r w:rsidR="00C5539F" w:rsidRPr="00A10D9F">
        <w:rPr>
          <w:rFonts w:ascii="Times New Roman" w:hAnsi="Times New Roman" w:cs="Times New Roman"/>
        </w:rPr>
        <w:t>”</w:t>
      </w:r>
      <w:r>
        <w:rPr>
          <w:rStyle w:val="Aucun"/>
          <w:rFonts w:ascii="Times New Roman" w:eastAsia="Times New Roman" w:hAnsi="Times New Roman" w:cs="Times New Roman"/>
          <w:vertAlign w:val="superscript"/>
        </w:rPr>
        <w:footnoteReference w:id="41"/>
      </w:r>
      <w:r>
        <w:rPr>
          <w:rStyle w:val="Aucun"/>
          <w:rFonts w:ascii="Times New Roman" w:hAnsi="Times New Roman"/>
        </w:rPr>
        <w:t> </w:t>
      </w:r>
      <w:r w:rsidR="00FF5DFA">
        <w:rPr>
          <w:rStyle w:val="Aucun"/>
          <w:rFonts w:ascii="Times New Roman" w:hAnsi="Times New Roman"/>
        </w:rPr>
        <w:t> »</w:t>
      </w:r>
      <w:r>
        <w:rPr>
          <w:rStyle w:val="Aucun"/>
          <w:rFonts w:ascii="Times New Roman" w:hAnsi="Times New Roman"/>
        </w:rPr>
        <w:t xml:space="preserve">, chants qu’il transmet au tueur durant son sommeil. Ceux-ci seront ensuite entonnés lors d’une cérémonie collective qui mettra un terme à la réclusion. Or, la structure d’énonciation de ces chants est, elle aussi, profondément marquée par de tels entremêlements identitaires. </w:t>
      </w:r>
    </w:p>
    <w:p w14:paraId="1F8386C8" w14:textId="77777777" w:rsidR="00FA4F5F" w:rsidRDefault="00FA4F5F">
      <w:pPr>
        <w:pStyle w:val="CorpsA"/>
        <w:spacing w:line="360" w:lineRule="auto"/>
        <w:rPr>
          <w:rStyle w:val="Aucun"/>
          <w:rFonts w:ascii="Times New Roman" w:eastAsia="Times New Roman" w:hAnsi="Times New Roman" w:cs="Times New Roman"/>
        </w:rPr>
      </w:pPr>
    </w:p>
    <w:p w14:paraId="13D6635A" w14:textId="77777777" w:rsidR="00FA4F5F" w:rsidRDefault="002D52F5" w:rsidP="00813E52">
      <w:pPr>
        <w:pStyle w:val="CorpsA"/>
        <w:spacing w:line="360" w:lineRule="auto"/>
        <w:ind w:firstLine="567"/>
        <w:rPr>
          <w:rStyle w:val="Aucun"/>
          <w:rFonts w:ascii="Times New Roman" w:eastAsia="Times New Roman" w:hAnsi="Times New Roman" w:cs="Times New Roman"/>
        </w:rPr>
      </w:pPr>
      <w:r>
        <w:rPr>
          <w:rStyle w:val="Aucun"/>
          <w:rFonts w:ascii="Times New Roman" w:hAnsi="Times New Roman"/>
        </w:rPr>
        <w:t xml:space="preserve">Prenons par exemple cette chanson attribuée à Yakati-ro. Celle-ci lui fut enseignée en 1975 par une victime de la tribu Parakanã : </w:t>
      </w:r>
    </w:p>
    <w:p w14:paraId="22AE2C1E" w14:textId="77777777" w:rsidR="00FA4F5F" w:rsidRDefault="00FA4F5F">
      <w:pPr>
        <w:pStyle w:val="CorpsA"/>
        <w:spacing w:line="360" w:lineRule="auto"/>
        <w:rPr>
          <w:rStyle w:val="Aucun"/>
          <w:rFonts w:ascii="Times New Roman" w:eastAsia="Times New Roman" w:hAnsi="Times New Roman" w:cs="Times New Roman"/>
        </w:rPr>
      </w:pPr>
    </w:p>
    <w:p w14:paraId="0EDF4C20" w14:textId="14EBECA9" w:rsidR="00FA4F5F" w:rsidRPr="00FF5DFA" w:rsidRDefault="00FF5DFA">
      <w:pPr>
        <w:pStyle w:val="Paragraphedeliste"/>
        <w:numPr>
          <w:ilvl w:val="0"/>
          <w:numId w:val="4"/>
        </w:numPr>
        <w:spacing w:line="360" w:lineRule="auto"/>
        <w:rPr>
          <w:rFonts w:ascii="Times New Roman" w:hAnsi="Times New Roman"/>
          <w:sz w:val="22"/>
          <w:szCs w:val="22"/>
        </w:rPr>
      </w:pPr>
      <w:r>
        <w:rPr>
          <w:rStyle w:val="AucunA"/>
          <w:rFonts w:ascii="Times New Roman" w:hAnsi="Times New Roman"/>
          <w:sz w:val="22"/>
          <w:szCs w:val="22"/>
        </w:rPr>
        <w:t xml:space="preserve"> « </w:t>
      </w:r>
      <w:r w:rsidR="002D52F5" w:rsidRPr="00FF5DFA">
        <w:rPr>
          <w:rStyle w:val="AucunA"/>
          <w:rFonts w:ascii="Times New Roman" w:hAnsi="Times New Roman"/>
          <w:sz w:val="22"/>
          <w:szCs w:val="22"/>
        </w:rPr>
        <w:t>Je me meurs</w:t>
      </w:r>
      <w:r>
        <w:rPr>
          <w:rStyle w:val="AucunA"/>
          <w:rFonts w:ascii="Times New Roman" w:hAnsi="Times New Roman"/>
          <w:sz w:val="22"/>
          <w:szCs w:val="22"/>
        </w:rPr>
        <w:t> »</w:t>
      </w:r>
    </w:p>
    <w:p w14:paraId="27781735" w14:textId="77777777" w:rsidR="00FA4F5F" w:rsidRPr="00FF5DFA" w:rsidRDefault="002D52F5">
      <w:pPr>
        <w:pStyle w:val="Paragraphedeliste"/>
        <w:numPr>
          <w:ilvl w:val="0"/>
          <w:numId w:val="4"/>
        </w:numPr>
        <w:spacing w:line="360" w:lineRule="auto"/>
        <w:rPr>
          <w:rFonts w:ascii="Times New Roman" w:hAnsi="Times New Roman"/>
          <w:sz w:val="22"/>
          <w:szCs w:val="22"/>
        </w:rPr>
      </w:pPr>
      <w:r w:rsidRPr="00FF5DFA">
        <w:rPr>
          <w:rStyle w:val="AucunA"/>
          <w:rFonts w:ascii="Times New Roman" w:hAnsi="Times New Roman"/>
          <w:sz w:val="22"/>
          <w:szCs w:val="22"/>
        </w:rPr>
        <w:t xml:space="preserve"> ainsi disait feu Moiwito ;</w:t>
      </w:r>
    </w:p>
    <w:p w14:paraId="451F0CD8" w14:textId="39E2D7C7" w:rsidR="00FA4F5F" w:rsidRPr="00FF5DFA" w:rsidRDefault="00FF5DFA">
      <w:pPr>
        <w:pStyle w:val="Paragraphedeliste"/>
        <w:numPr>
          <w:ilvl w:val="0"/>
          <w:numId w:val="4"/>
        </w:numPr>
        <w:spacing w:line="360" w:lineRule="auto"/>
        <w:rPr>
          <w:rFonts w:ascii="Times New Roman" w:hAnsi="Times New Roman"/>
          <w:sz w:val="22"/>
          <w:szCs w:val="22"/>
        </w:rPr>
      </w:pPr>
      <w:r>
        <w:rPr>
          <w:rStyle w:val="AucunA"/>
          <w:rFonts w:ascii="Times New Roman" w:hAnsi="Times New Roman"/>
          <w:sz w:val="22"/>
          <w:szCs w:val="22"/>
        </w:rPr>
        <w:t xml:space="preserve"> </w:t>
      </w:r>
      <w:r w:rsidR="002D52F5" w:rsidRPr="00FF5DFA">
        <w:rPr>
          <w:rStyle w:val="AucunA"/>
          <w:rFonts w:ascii="Times New Roman" w:hAnsi="Times New Roman"/>
          <w:sz w:val="22"/>
          <w:szCs w:val="22"/>
        </w:rPr>
        <w:t xml:space="preserve">Ainsi parlait ma proie, </w:t>
      </w:r>
    </w:p>
    <w:p w14:paraId="533C83F9" w14:textId="4E7CB29A" w:rsidR="00FA4F5F" w:rsidRPr="00FF5DFA" w:rsidRDefault="00FF5DFA">
      <w:pPr>
        <w:pStyle w:val="Paragraphedeliste"/>
        <w:numPr>
          <w:ilvl w:val="0"/>
          <w:numId w:val="4"/>
        </w:numPr>
        <w:spacing w:line="360" w:lineRule="auto"/>
        <w:rPr>
          <w:rFonts w:ascii="Times New Roman" w:hAnsi="Times New Roman"/>
          <w:sz w:val="22"/>
          <w:szCs w:val="22"/>
        </w:rPr>
      </w:pPr>
      <w:r>
        <w:rPr>
          <w:rStyle w:val="AucunA"/>
          <w:rFonts w:ascii="Times New Roman" w:hAnsi="Times New Roman"/>
          <w:sz w:val="22"/>
          <w:szCs w:val="22"/>
        </w:rPr>
        <w:t xml:space="preserve"> </w:t>
      </w:r>
      <w:r w:rsidR="002D52F5" w:rsidRPr="00FF5DFA">
        <w:rPr>
          <w:rStyle w:val="AucunA"/>
          <w:rFonts w:ascii="Times New Roman" w:hAnsi="Times New Roman"/>
          <w:sz w:val="22"/>
          <w:szCs w:val="22"/>
        </w:rPr>
        <w:t xml:space="preserve">ainsi parlait feu Koiarawï ; </w:t>
      </w:r>
    </w:p>
    <w:p w14:paraId="539FC890" w14:textId="77777777" w:rsidR="00FA4F5F" w:rsidRPr="00FF5DFA" w:rsidRDefault="00FA4F5F">
      <w:pPr>
        <w:pStyle w:val="CorpsA"/>
        <w:spacing w:line="360" w:lineRule="auto"/>
        <w:ind w:left="567"/>
        <w:rPr>
          <w:rStyle w:val="Aucun"/>
          <w:rFonts w:ascii="Times New Roman" w:eastAsia="Times New Roman" w:hAnsi="Times New Roman" w:cs="Times New Roman"/>
          <w:sz w:val="22"/>
          <w:szCs w:val="22"/>
        </w:rPr>
      </w:pPr>
    </w:p>
    <w:p w14:paraId="33DE25BD" w14:textId="20DC9876" w:rsidR="00FA4F5F" w:rsidRPr="00FF5DFA" w:rsidRDefault="00FF5DFA">
      <w:pPr>
        <w:pStyle w:val="Paragraphedeliste"/>
        <w:numPr>
          <w:ilvl w:val="0"/>
          <w:numId w:val="5"/>
        </w:numPr>
        <w:spacing w:line="360" w:lineRule="auto"/>
        <w:rPr>
          <w:rFonts w:ascii="Times New Roman" w:hAnsi="Times New Roman"/>
          <w:sz w:val="22"/>
          <w:szCs w:val="22"/>
        </w:rPr>
      </w:pPr>
      <w:r>
        <w:rPr>
          <w:rStyle w:val="AucunA"/>
          <w:rFonts w:ascii="Times New Roman" w:hAnsi="Times New Roman"/>
          <w:sz w:val="22"/>
          <w:szCs w:val="22"/>
        </w:rPr>
        <w:t xml:space="preserve"> </w:t>
      </w:r>
      <w:r w:rsidR="002D52F5" w:rsidRPr="00FF5DFA">
        <w:rPr>
          <w:rStyle w:val="AucunA"/>
          <w:rFonts w:ascii="Times New Roman" w:hAnsi="Times New Roman"/>
          <w:sz w:val="22"/>
          <w:szCs w:val="22"/>
        </w:rPr>
        <w:t xml:space="preserve">Dans sa large cour, </w:t>
      </w:r>
    </w:p>
    <w:p w14:paraId="6C5A8CF0" w14:textId="04BC79DF" w:rsidR="00FA4F5F" w:rsidRPr="00FF5DFA" w:rsidRDefault="00FF5DFA">
      <w:pPr>
        <w:pStyle w:val="Paragraphedeliste"/>
        <w:numPr>
          <w:ilvl w:val="0"/>
          <w:numId w:val="4"/>
        </w:numPr>
        <w:spacing w:line="360" w:lineRule="auto"/>
        <w:rPr>
          <w:rFonts w:ascii="Times New Roman" w:hAnsi="Times New Roman"/>
          <w:sz w:val="22"/>
          <w:szCs w:val="22"/>
        </w:rPr>
      </w:pPr>
      <w:r>
        <w:rPr>
          <w:rStyle w:val="AucunA"/>
          <w:rFonts w:ascii="Times New Roman" w:hAnsi="Times New Roman"/>
          <w:sz w:val="22"/>
          <w:szCs w:val="22"/>
        </w:rPr>
        <w:t xml:space="preserve"> « </w:t>
      </w:r>
      <w:r w:rsidR="002D52F5" w:rsidRPr="00FF5DFA">
        <w:rPr>
          <w:rStyle w:val="AucunA"/>
          <w:rFonts w:ascii="Times New Roman" w:hAnsi="Times New Roman"/>
          <w:sz w:val="22"/>
          <w:szCs w:val="22"/>
        </w:rPr>
        <w:t>Eeh !</w:t>
      </w:r>
      <w:r>
        <w:rPr>
          <w:rStyle w:val="AucunA"/>
          <w:rFonts w:ascii="Times New Roman" w:hAnsi="Times New Roman"/>
          <w:sz w:val="22"/>
          <w:szCs w:val="22"/>
        </w:rPr>
        <w:t> »</w:t>
      </w:r>
      <w:r w:rsidR="002D52F5" w:rsidRPr="00FF5DFA">
        <w:rPr>
          <w:rStyle w:val="AucunA"/>
          <w:rFonts w:ascii="Times New Roman" w:hAnsi="Times New Roman"/>
          <w:sz w:val="22"/>
          <w:szCs w:val="22"/>
        </w:rPr>
        <w:t xml:space="preserve"> a dit le </w:t>
      </w:r>
      <w:r w:rsidR="002D52F5" w:rsidRPr="00FF5DFA">
        <w:rPr>
          <w:rStyle w:val="Aucun"/>
          <w:rFonts w:ascii="Times New Roman" w:hAnsi="Times New Roman"/>
          <w:i/>
          <w:iCs/>
          <w:sz w:val="22"/>
          <w:szCs w:val="22"/>
        </w:rPr>
        <w:t>Towaho,</w:t>
      </w:r>
    </w:p>
    <w:p w14:paraId="68DDC5C0" w14:textId="3BFC8A76" w:rsidR="00FA4F5F" w:rsidRPr="00FF5DFA" w:rsidRDefault="00FF5DFA">
      <w:pPr>
        <w:pStyle w:val="Paragraphedeliste"/>
        <w:numPr>
          <w:ilvl w:val="0"/>
          <w:numId w:val="4"/>
        </w:numPr>
        <w:spacing w:line="360" w:lineRule="auto"/>
        <w:rPr>
          <w:rFonts w:ascii="Times New Roman" w:hAnsi="Times New Roman"/>
          <w:sz w:val="22"/>
          <w:szCs w:val="22"/>
        </w:rPr>
      </w:pPr>
      <w:r>
        <w:rPr>
          <w:rStyle w:val="AucunA"/>
          <w:rFonts w:ascii="Times New Roman" w:hAnsi="Times New Roman"/>
          <w:sz w:val="22"/>
          <w:szCs w:val="22"/>
        </w:rPr>
        <w:t xml:space="preserve"> « </w:t>
      </w:r>
      <w:r w:rsidR="002D52F5" w:rsidRPr="00FF5DFA">
        <w:rPr>
          <w:rStyle w:val="AucunA"/>
          <w:rFonts w:ascii="Times New Roman" w:hAnsi="Times New Roman"/>
          <w:sz w:val="22"/>
          <w:szCs w:val="22"/>
        </w:rPr>
        <w:t xml:space="preserve">Voilà mon prisonnier, </w:t>
      </w:r>
    </w:p>
    <w:p w14:paraId="1EF84C9D" w14:textId="05C7B6BE" w:rsidR="00FA4F5F" w:rsidRPr="00FF5DFA" w:rsidRDefault="00FF5DFA">
      <w:pPr>
        <w:pStyle w:val="Paragraphedeliste"/>
        <w:numPr>
          <w:ilvl w:val="0"/>
          <w:numId w:val="4"/>
        </w:numPr>
        <w:spacing w:line="360" w:lineRule="auto"/>
        <w:rPr>
          <w:rFonts w:ascii="Times New Roman" w:hAnsi="Times New Roman"/>
          <w:sz w:val="22"/>
          <w:szCs w:val="22"/>
        </w:rPr>
      </w:pPr>
      <w:r>
        <w:rPr>
          <w:rStyle w:val="AucunA"/>
          <w:rFonts w:ascii="Times New Roman" w:hAnsi="Times New Roman"/>
          <w:sz w:val="22"/>
          <w:szCs w:val="22"/>
        </w:rPr>
        <w:t xml:space="preserve"> </w:t>
      </w:r>
      <w:r w:rsidR="002D52F5" w:rsidRPr="00FF5DFA">
        <w:rPr>
          <w:rStyle w:val="AucunA"/>
          <w:rFonts w:ascii="Times New Roman" w:hAnsi="Times New Roman"/>
          <w:sz w:val="22"/>
          <w:szCs w:val="22"/>
        </w:rPr>
        <w:t>dans la cour du grand oiseau</w:t>
      </w:r>
      <w:r w:rsidR="002D52F5" w:rsidRPr="00FF5DFA">
        <w:rPr>
          <w:rStyle w:val="Appelnotedebasdep"/>
          <w:rFonts w:ascii="Times New Roman" w:eastAsia="Times New Roman" w:hAnsi="Times New Roman" w:cs="Times New Roman"/>
          <w:sz w:val="22"/>
          <w:szCs w:val="22"/>
        </w:rPr>
        <w:footnoteReference w:id="42"/>
      </w:r>
      <w:r>
        <w:rPr>
          <w:rStyle w:val="AucunA"/>
          <w:rFonts w:ascii="Times New Roman" w:hAnsi="Times New Roman"/>
          <w:sz w:val="22"/>
          <w:szCs w:val="22"/>
        </w:rPr>
        <w:t> »</w:t>
      </w:r>
      <w:r>
        <w:rPr>
          <w:rStyle w:val="Aucun"/>
          <w:rFonts w:ascii="Times New Roman" w:hAnsi="Times New Roman"/>
        </w:rPr>
        <w:t>.</w:t>
      </w:r>
    </w:p>
    <w:p w14:paraId="369FF229" w14:textId="77777777" w:rsidR="00FA4F5F" w:rsidRDefault="00FA4F5F">
      <w:pPr>
        <w:pStyle w:val="CorpsA"/>
        <w:spacing w:line="360" w:lineRule="auto"/>
        <w:ind w:firstLine="567"/>
        <w:rPr>
          <w:rStyle w:val="Aucun"/>
          <w:rFonts w:ascii="Times New Roman" w:eastAsia="Times New Roman" w:hAnsi="Times New Roman" w:cs="Times New Roman"/>
        </w:rPr>
      </w:pPr>
    </w:p>
    <w:p w14:paraId="3119E18B" w14:textId="5E79B007" w:rsidR="00FA4F5F" w:rsidRDefault="002D52F5">
      <w:pPr>
        <w:pStyle w:val="CorpsA"/>
        <w:spacing w:line="360" w:lineRule="auto"/>
        <w:ind w:firstLine="567"/>
        <w:rPr>
          <w:rStyle w:val="Aucun"/>
          <w:rFonts w:ascii="Times New Roman" w:eastAsia="Times New Roman" w:hAnsi="Times New Roman" w:cs="Times New Roman"/>
        </w:rPr>
      </w:pPr>
      <w:r>
        <w:rPr>
          <w:rStyle w:val="Aucun"/>
          <w:rFonts w:ascii="Times New Roman" w:hAnsi="Times New Roman"/>
        </w:rPr>
        <w:t>On constate tout de suite la multiplicité de sujets d’énonciation. Le mourant dont le discours est rapporté en 1, Moiwito, est « un Araweté tombé sous les flèches parakanã peu avant l’expédition de représailles où l’ennemi qui parle dans ce chant a été tué par Yakati-ro </w:t>
      </w:r>
      <w:r>
        <w:rPr>
          <w:rStyle w:val="Aucun"/>
          <w:rFonts w:ascii="Times New Roman" w:eastAsia="Times New Roman" w:hAnsi="Times New Roman" w:cs="Times New Roman"/>
          <w:vertAlign w:val="superscript"/>
        </w:rPr>
        <w:footnoteReference w:id="43"/>
      </w:r>
      <w:r w:rsidR="00FF5DFA">
        <w:rPr>
          <w:rStyle w:val="Aucun"/>
          <w:rFonts w:ascii="Times New Roman" w:hAnsi="Times New Roman"/>
        </w:rPr>
        <w:t> »</w:t>
      </w:r>
      <w:r>
        <w:rPr>
          <w:rStyle w:val="Aucun"/>
          <w:rFonts w:ascii="Times New Roman" w:hAnsi="Times New Roman"/>
        </w:rPr>
        <w:t xml:space="preserve">. La victime reprend donc le discours de sa propre victime araweté (« ainsi parlait ma proie »), devenant elle-même (la victime parakanã) tueuse. Inversement, le tueur araweté, Yakati-ro, devient, à travers le chant de l’ennemi, l’araweté tué par la tribu parakanã. </w:t>
      </w:r>
    </w:p>
    <w:p w14:paraId="48EE5262" w14:textId="77777777" w:rsidR="00FA4F5F" w:rsidRDefault="00FA4F5F">
      <w:pPr>
        <w:pStyle w:val="CorpsA"/>
        <w:spacing w:line="360" w:lineRule="auto"/>
        <w:ind w:firstLine="567"/>
        <w:rPr>
          <w:rStyle w:val="Aucun"/>
          <w:rFonts w:ascii="Times New Roman" w:eastAsia="Times New Roman" w:hAnsi="Times New Roman" w:cs="Times New Roman"/>
        </w:rPr>
      </w:pPr>
    </w:p>
    <w:p w14:paraId="79DB5EFA" w14:textId="327AD4DD" w:rsidR="00FA4F5F" w:rsidRDefault="002D52F5">
      <w:pPr>
        <w:pStyle w:val="CorpsA"/>
        <w:spacing w:line="360" w:lineRule="auto"/>
        <w:ind w:firstLine="567"/>
        <w:rPr>
          <w:rStyle w:val="Aucun"/>
          <w:rFonts w:ascii="Times New Roman" w:eastAsia="Times New Roman" w:hAnsi="Times New Roman" w:cs="Times New Roman"/>
        </w:rPr>
      </w:pPr>
      <w:r>
        <w:rPr>
          <w:rStyle w:val="Aucun"/>
          <w:rFonts w:ascii="Times New Roman" w:hAnsi="Times New Roman"/>
        </w:rPr>
        <w:t>Cette coalescence des perspectives atteint son paroxysme au point 6. Comme le souligne Viveiros de Castro « </w:t>
      </w:r>
      <w:r>
        <w:rPr>
          <w:rStyle w:val="Aucun"/>
          <w:rFonts w:ascii="Times New Roman" w:hAnsi="Times New Roman"/>
          <w:i/>
          <w:iCs/>
        </w:rPr>
        <w:t xml:space="preserve">Towaho </w:t>
      </w:r>
      <w:r>
        <w:rPr>
          <w:rStyle w:val="Aucun"/>
          <w:rFonts w:ascii="Times New Roman" w:hAnsi="Times New Roman"/>
        </w:rPr>
        <w:t xml:space="preserve">est le nom d’une ancienne tribu ennemie des Araweté qui sert de synecdoque à </w:t>
      </w:r>
      <w:r w:rsidR="00C5539F" w:rsidRPr="00A10D9F">
        <w:rPr>
          <w:rFonts w:ascii="Times New Roman" w:hAnsi="Times New Roman" w:cs="Times New Roman"/>
        </w:rPr>
        <w:t>“</w:t>
      </w:r>
      <w:r>
        <w:rPr>
          <w:rStyle w:val="Aucun"/>
          <w:rFonts w:ascii="Times New Roman" w:hAnsi="Times New Roman"/>
        </w:rPr>
        <w:t>ennemi</w:t>
      </w:r>
      <w:r w:rsidR="00C5539F" w:rsidRPr="00A10D9F">
        <w:rPr>
          <w:rFonts w:ascii="Times New Roman" w:hAnsi="Times New Roman" w:cs="Times New Roman"/>
        </w:rPr>
        <w:t>”</w:t>
      </w:r>
      <w:r>
        <w:rPr>
          <w:rStyle w:val="Aucun"/>
          <w:rFonts w:ascii="Times New Roman" w:hAnsi="Times New Roman"/>
        </w:rPr>
        <w:t xml:space="preserve"> dans de nombreux récits traditionnels </w:t>
      </w:r>
      <w:r>
        <w:rPr>
          <w:rStyle w:val="Aucun"/>
          <w:rFonts w:ascii="Times New Roman" w:eastAsia="Times New Roman" w:hAnsi="Times New Roman" w:cs="Times New Roman"/>
          <w:vertAlign w:val="superscript"/>
        </w:rPr>
        <w:footnoteReference w:id="44"/>
      </w:r>
      <w:r w:rsidR="00FF5DFA">
        <w:rPr>
          <w:rStyle w:val="Aucun"/>
          <w:rFonts w:ascii="Times New Roman" w:hAnsi="Times New Roman"/>
        </w:rPr>
        <w:t> »</w:t>
      </w:r>
      <w:r>
        <w:rPr>
          <w:rStyle w:val="Aucun"/>
          <w:rFonts w:ascii="Times New Roman" w:hAnsi="Times New Roman"/>
        </w:rPr>
        <w:t xml:space="preserve">. Mais dans ce chant, le </w:t>
      </w:r>
      <w:r>
        <w:rPr>
          <w:rStyle w:val="Aucun"/>
          <w:rFonts w:ascii="Times New Roman" w:hAnsi="Times New Roman"/>
          <w:i/>
          <w:iCs/>
        </w:rPr>
        <w:lastRenderedPageBreak/>
        <w:t>towaho</w:t>
      </w:r>
      <w:r>
        <w:rPr>
          <w:rStyle w:val="Aucun"/>
          <w:rFonts w:ascii="Times New Roman" w:hAnsi="Times New Roman"/>
        </w:rPr>
        <w:t xml:space="preserve"> n’est autre que le tueur lui-même, Yakati-ro. Celui-ci est, du point de vue de la victime parakanã, un ennemi, un </w:t>
      </w:r>
      <w:r>
        <w:rPr>
          <w:rStyle w:val="Aucun"/>
          <w:rFonts w:ascii="Times New Roman" w:hAnsi="Times New Roman"/>
          <w:i/>
          <w:iCs/>
        </w:rPr>
        <w:t xml:space="preserve">towaho. </w:t>
      </w:r>
      <w:r>
        <w:rPr>
          <w:rStyle w:val="Aucun"/>
          <w:rFonts w:ascii="Times New Roman" w:hAnsi="Times New Roman"/>
        </w:rPr>
        <w:t xml:space="preserve">De sorte que le meurtrier araweté se voit lui-même comme un ennemi, mais à travers l’autre. Il ne s’agit pas de prendre la place de l’autre, de se substituer à lui, mais bien d’envelopper ses rapports dans nos propres rapports, afin de les faire entrer en variation. D’où l’utilisation du terme araweté </w:t>
      </w:r>
      <w:r>
        <w:rPr>
          <w:rStyle w:val="Aucun"/>
          <w:rFonts w:ascii="Times New Roman" w:hAnsi="Times New Roman"/>
          <w:i/>
          <w:iCs/>
        </w:rPr>
        <w:t xml:space="preserve">towaho </w:t>
      </w:r>
      <w:r>
        <w:rPr>
          <w:rStyle w:val="Aucun"/>
          <w:rFonts w:ascii="Times New Roman" w:hAnsi="Times New Roman"/>
        </w:rPr>
        <w:t xml:space="preserve">par la victime parakanã. </w:t>
      </w:r>
    </w:p>
    <w:p w14:paraId="6FD793CE" w14:textId="77777777" w:rsidR="00FA4F5F" w:rsidRDefault="00FA4F5F">
      <w:pPr>
        <w:pStyle w:val="CorpsA"/>
        <w:spacing w:line="360" w:lineRule="auto"/>
        <w:ind w:firstLine="567"/>
        <w:rPr>
          <w:rStyle w:val="Aucun"/>
          <w:rFonts w:ascii="Times New Roman" w:eastAsia="Times New Roman" w:hAnsi="Times New Roman" w:cs="Times New Roman"/>
        </w:rPr>
      </w:pPr>
    </w:p>
    <w:p w14:paraId="3C4E30C2" w14:textId="77777777" w:rsidR="00FA4F5F" w:rsidRDefault="002D52F5">
      <w:pPr>
        <w:pStyle w:val="NormalWeb"/>
        <w:spacing w:line="360" w:lineRule="auto"/>
        <w:ind w:firstLine="360"/>
        <w:rPr>
          <w:rStyle w:val="AucunA"/>
        </w:rPr>
      </w:pPr>
      <w:r>
        <w:rPr>
          <w:rStyle w:val="AucunA"/>
        </w:rPr>
        <w:t>On retrouve cette indiscernabilité entre la victime et son meurtrier dans un autre chant, mettant cette fois-ci en scène un ennemi de la tribu Asurini se réjouissant de ne pas avoir été tué par la flèche décochée par Kañin-widin-no, le guerrier araweté. À un moment donné, celui-ci entonne :</w:t>
      </w:r>
    </w:p>
    <w:p w14:paraId="1EB1641C" w14:textId="77777777" w:rsidR="00FA4F5F" w:rsidRDefault="00FA4F5F">
      <w:pPr>
        <w:pStyle w:val="NormalWeb"/>
        <w:spacing w:line="360" w:lineRule="auto"/>
        <w:rPr>
          <w:rStyle w:val="AucunA"/>
        </w:rPr>
      </w:pPr>
    </w:p>
    <w:p w14:paraId="165A53A7" w14:textId="1A1EF9B3" w:rsidR="00FA4F5F" w:rsidRPr="00FF5DFA" w:rsidRDefault="002D52F5">
      <w:pPr>
        <w:pStyle w:val="NormalWeb"/>
        <w:numPr>
          <w:ilvl w:val="0"/>
          <w:numId w:val="7"/>
        </w:numPr>
        <w:spacing w:line="360" w:lineRule="auto"/>
        <w:rPr>
          <w:sz w:val="22"/>
          <w:szCs w:val="22"/>
        </w:rPr>
      </w:pPr>
      <w:r w:rsidRPr="00FF5DFA">
        <w:rPr>
          <w:rStyle w:val="AucunA"/>
          <w:sz w:val="22"/>
          <w:szCs w:val="22"/>
        </w:rPr>
        <w:t xml:space="preserve">La petite lame de bambou se détourne, </w:t>
      </w:r>
    </w:p>
    <w:p w14:paraId="2247DA1A" w14:textId="77777777" w:rsidR="00FA4F5F" w:rsidRPr="00FF5DFA" w:rsidRDefault="002D52F5">
      <w:pPr>
        <w:pStyle w:val="NormalWeb"/>
        <w:numPr>
          <w:ilvl w:val="0"/>
          <w:numId w:val="7"/>
        </w:numPr>
        <w:spacing w:line="360" w:lineRule="auto"/>
        <w:rPr>
          <w:sz w:val="22"/>
          <w:szCs w:val="22"/>
        </w:rPr>
      </w:pPr>
      <w:r w:rsidRPr="00FF5DFA">
        <w:rPr>
          <w:rStyle w:val="AucunA"/>
          <w:sz w:val="22"/>
          <w:szCs w:val="22"/>
        </w:rPr>
        <w:t xml:space="preserve">elle se détourne de nous ; </w:t>
      </w:r>
    </w:p>
    <w:p w14:paraId="3986E645" w14:textId="4C912591" w:rsidR="00FA4F5F" w:rsidRPr="00FF5DFA" w:rsidRDefault="002D52F5">
      <w:pPr>
        <w:pStyle w:val="NormalWeb"/>
        <w:numPr>
          <w:ilvl w:val="0"/>
          <w:numId w:val="7"/>
        </w:numPr>
        <w:spacing w:line="360" w:lineRule="auto"/>
        <w:rPr>
          <w:sz w:val="22"/>
          <w:szCs w:val="22"/>
        </w:rPr>
      </w:pPr>
      <w:r w:rsidRPr="00FF5DFA">
        <w:rPr>
          <w:rStyle w:val="AucunA"/>
          <w:sz w:val="22"/>
          <w:szCs w:val="22"/>
        </w:rPr>
        <w:t>elle s</w:t>
      </w:r>
      <w:r w:rsidRPr="00FF5DFA">
        <w:rPr>
          <w:rStyle w:val="AucunA"/>
          <w:sz w:val="22"/>
          <w:szCs w:val="22"/>
          <w:lang w:val="fr-BE"/>
        </w:rPr>
        <w:t>’</w:t>
      </w:r>
      <w:r w:rsidRPr="00FF5DFA">
        <w:rPr>
          <w:rStyle w:val="AucunA"/>
          <w:sz w:val="22"/>
          <w:szCs w:val="22"/>
        </w:rPr>
        <w:t xml:space="preserve">éloigne de notre chemin </w:t>
      </w:r>
    </w:p>
    <w:p w14:paraId="073CC235" w14:textId="3A1C1E9D" w:rsidR="00FA4F5F" w:rsidRPr="00FF5DFA" w:rsidRDefault="002D52F5">
      <w:pPr>
        <w:pStyle w:val="NormalWeb"/>
        <w:numPr>
          <w:ilvl w:val="0"/>
          <w:numId w:val="7"/>
        </w:numPr>
        <w:spacing w:line="360" w:lineRule="auto"/>
        <w:rPr>
          <w:sz w:val="22"/>
          <w:szCs w:val="22"/>
        </w:rPr>
      </w:pPr>
      <w:r w:rsidRPr="00FF5DFA">
        <w:rPr>
          <w:rStyle w:val="Aucun"/>
          <w:sz w:val="22"/>
          <w:szCs w:val="22"/>
        </w:rPr>
        <w:t>ainsi causait ma femme</w:t>
      </w:r>
      <w:r w:rsidRPr="00FF5DFA">
        <w:rPr>
          <w:rStyle w:val="Aucun"/>
          <w:sz w:val="22"/>
          <w:szCs w:val="22"/>
          <w:vertAlign w:val="superscript"/>
        </w:rPr>
        <w:footnoteReference w:id="45"/>
      </w:r>
      <w:r w:rsidR="00E339CF">
        <w:rPr>
          <w:rStyle w:val="Aucun"/>
          <w:sz w:val="22"/>
          <w:szCs w:val="22"/>
        </w:rPr>
        <w:t>.</w:t>
      </w:r>
      <w:r w:rsidRPr="00FF5DFA">
        <w:rPr>
          <w:rStyle w:val="Aucun"/>
          <w:sz w:val="22"/>
          <w:szCs w:val="22"/>
        </w:rPr>
        <w:t xml:space="preserve"> </w:t>
      </w:r>
    </w:p>
    <w:p w14:paraId="40F31643" w14:textId="77777777" w:rsidR="00FA4F5F" w:rsidRDefault="00FA4F5F">
      <w:pPr>
        <w:pStyle w:val="CorpsA"/>
        <w:spacing w:line="360" w:lineRule="auto"/>
        <w:rPr>
          <w:rStyle w:val="Aucun"/>
          <w:rFonts w:ascii="Times New Roman" w:eastAsia="Times New Roman" w:hAnsi="Times New Roman" w:cs="Times New Roman"/>
        </w:rPr>
      </w:pPr>
    </w:p>
    <w:p w14:paraId="48A9EC38" w14:textId="77777777" w:rsidR="00FA4F5F" w:rsidRDefault="002D52F5">
      <w:pPr>
        <w:pStyle w:val="CorpsA"/>
        <w:spacing w:line="360" w:lineRule="auto"/>
        <w:ind w:firstLine="360"/>
        <w:rPr>
          <w:rStyle w:val="Aucun"/>
          <w:rFonts w:ascii="Times New Roman" w:eastAsia="Times New Roman" w:hAnsi="Times New Roman" w:cs="Times New Roman"/>
        </w:rPr>
      </w:pPr>
      <w:r>
        <w:rPr>
          <w:rStyle w:val="Aucun"/>
          <w:rFonts w:ascii="Times New Roman" w:hAnsi="Times New Roman"/>
        </w:rPr>
        <w:t>Ce qui nous intéresse tout particulièrement dans ce chant, c’est que pour les Araweté interrogés par Viveiros de Castro, l’expression « ma femme » au point 4 ne fait pas référence à l’épouse de l’ennemi blessé qui célèbre sa survie – le chanteur intradiégétique – mais bien à celle de Kañin-widin-no, le chanteur araweté, faisant de celle-ci l’épouse potentielle de l’ennemi</w:t>
      </w:r>
      <w:r>
        <w:rPr>
          <w:rStyle w:val="Aucun"/>
          <w:rFonts w:ascii="Times New Roman" w:eastAsia="Times New Roman" w:hAnsi="Times New Roman" w:cs="Times New Roman"/>
          <w:vertAlign w:val="superscript"/>
        </w:rPr>
        <w:footnoteReference w:id="46"/>
      </w:r>
      <w:r>
        <w:rPr>
          <w:rStyle w:val="Aucun"/>
          <w:rFonts w:ascii="Times New Roman" w:hAnsi="Times New Roman"/>
        </w:rPr>
        <w:t xml:space="preserve"> et rendant la différenciation entre la victime et son ennemi particulièrement problématique. </w:t>
      </w:r>
    </w:p>
    <w:p w14:paraId="39D7FF0E" w14:textId="77777777" w:rsidR="00FA4F5F" w:rsidRDefault="00FA4F5F">
      <w:pPr>
        <w:pStyle w:val="CorpsA"/>
        <w:spacing w:line="360" w:lineRule="auto"/>
        <w:ind w:firstLine="567"/>
        <w:rPr>
          <w:rStyle w:val="Aucun"/>
          <w:rFonts w:ascii="Times New Roman" w:eastAsia="Times New Roman" w:hAnsi="Times New Roman" w:cs="Times New Roman"/>
        </w:rPr>
      </w:pPr>
    </w:p>
    <w:p w14:paraId="2E608657" w14:textId="77777777" w:rsidR="00FA4F5F" w:rsidRDefault="002D52F5">
      <w:pPr>
        <w:pStyle w:val="CorpsA"/>
        <w:spacing w:line="360" w:lineRule="auto"/>
        <w:ind w:firstLine="360"/>
        <w:rPr>
          <w:rStyle w:val="Aucun"/>
          <w:rFonts w:ascii="Times New Roman" w:eastAsia="Times New Roman" w:hAnsi="Times New Roman" w:cs="Times New Roman"/>
        </w:rPr>
      </w:pPr>
      <w:r>
        <w:rPr>
          <w:rStyle w:val="Aucun"/>
          <w:rFonts w:ascii="Times New Roman" w:hAnsi="Times New Roman"/>
        </w:rPr>
        <w:t xml:space="preserve">Mais c’est peut-être dans ce troisième chant, inspiré par une victime Parakanã, que l’entremêlement des voix et des identités est le plus évident : </w:t>
      </w:r>
    </w:p>
    <w:p w14:paraId="480E91AB" w14:textId="77777777" w:rsidR="00FA4F5F" w:rsidRDefault="00FA4F5F">
      <w:pPr>
        <w:pStyle w:val="CorpsA"/>
        <w:spacing w:line="360" w:lineRule="auto"/>
        <w:rPr>
          <w:rStyle w:val="Aucun"/>
          <w:rFonts w:ascii="Times New Roman" w:eastAsia="Times New Roman" w:hAnsi="Times New Roman" w:cs="Times New Roman"/>
        </w:rPr>
      </w:pPr>
    </w:p>
    <w:p w14:paraId="71F733B2" w14:textId="237CBE6D" w:rsidR="00FA4F5F" w:rsidRPr="00FF5DFA" w:rsidRDefault="002D52F5">
      <w:pPr>
        <w:pStyle w:val="Paragraphedeliste"/>
        <w:numPr>
          <w:ilvl w:val="0"/>
          <w:numId w:val="9"/>
        </w:numPr>
        <w:spacing w:line="360" w:lineRule="auto"/>
        <w:rPr>
          <w:rFonts w:ascii="Times New Roman" w:hAnsi="Times New Roman"/>
          <w:sz w:val="22"/>
          <w:szCs w:val="22"/>
        </w:rPr>
      </w:pPr>
      <w:r w:rsidRPr="00FF5DFA">
        <w:rPr>
          <w:rStyle w:val="AucunA"/>
          <w:rFonts w:ascii="Times New Roman" w:hAnsi="Times New Roman"/>
          <w:sz w:val="22"/>
          <w:szCs w:val="22"/>
        </w:rPr>
        <w:t>Ces scarabées-</w:t>
      </w:r>
      <w:r w:rsidRPr="00FF5DFA">
        <w:rPr>
          <w:rStyle w:val="Aucun"/>
          <w:rFonts w:ascii="Times New Roman" w:hAnsi="Times New Roman"/>
          <w:i/>
          <w:iCs/>
          <w:sz w:val="22"/>
          <w:szCs w:val="22"/>
        </w:rPr>
        <w:t>aramanã</w:t>
      </w:r>
      <w:r w:rsidRPr="00FF5DFA">
        <w:rPr>
          <w:rStyle w:val="AucunA"/>
          <w:rFonts w:ascii="Times New Roman" w:hAnsi="Times New Roman"/>
          <w:sz w:val="22"/>
          <w:szCs w:val="22"/>
        </w:rPr>
        <w:t xml:space="preserve">, </w:t>
      </w:r>
    </w:p>
    <w:p w14:paraId="3387270E" w14:textId="77777777" w:rsidR="00FA4F5F" w:rsidRPr="00FF5DFA" w:rsidRDefault="002D52F5">
      <w:pPr>
        <w:pStyle w:val="Paragraphedeliste"/>
        <w:numPr>
          <w:ilvl w:val="0"/>
          <w:numId w:val="9"/>
        </w:numPr>
        <w:spacing w:line="360" w:lineRule="auto"/>
        <w:rPr>
          <w:rFonts w:ascii="Times New Roman" w:hAnsi="Times New Roman"/>
          <w:sz w:val="22"/>
          <w:szCs w:val="22"/>
        </w:rPr>
      </w:pPr>
      <w:r w:rsidRPr="00FF5DFA">
        <w:rPr>
          <w:rStyle w:val="AucunA"/>
          <w:rFonts w:ascii="Times New Roman" w:hAnsi="Times New Roman"/>
          <w:sz w:val="22"/>
          <w:szCs w:val="22"/>
        </w:rPr>
        <w:t xml:space="preserve">Ces </w:t>
      </w:r>
      <w:r w:rsidRPr="00FF5DFA">
        <w:rPr>
          <w:rStyle w:val="Aucun"/>
          <w:rFonts w:ascii="Times New Roman" w:hAnsi="Times New Roman"/>
          <w:i/>
          <w:iCs/>
          <w:sz w:val="22"/>
          <w:szCs w:val="22"/>
        </w:rPr>
        <w:t>aramanã</w:t>
      </w:r>
      <w:r w:rsidRPr="00FF5DFA">
        <w:rPr>
          <w:rStyle w:val="AucunA"/>
          <w:rFonts w:ascii="Times New Roman" w:hAnsi="Times New Roman"/>
          <w:sz w:val="22"/>
          <w:szCs w:val="22"/>
        </w:rPr>
        <w:t xml:space="preserve"> suspendus, </w:t>
      </w:r>
    </w:p>
    <w:p w14:paraId="62F2136F" w14:textId="77777777" w:rsidR="00FA4F5F" w:rsidRPr="00FF5DFA" w:rsidRDefault="002D52F5">
      <w:pPr>
        <w:pStyle w:val="Paragraphedeliste"/>
        <w:numPr>
          <w:ilvl w:val="0"/>
          <w:numId w:val="9"/>
        </w:numPr>
        <w:spacing w:line="360" w:lineRule="auto"/>
        <w:rPr>
          <w:rFonts w:ascii="Times New Roman" w:hAnsi="Times New Roman"/>
          <w:sz w:val="22"/>
          <w:szCs w:val="22"/>
        </w:rPr>
      </w:pPr>
      <w:r w:rsidRPr="00FF5DFA">
        <w:rPr>
          <w:rStyle w:val="AucunA"/>
          <w:rFonts w:ascii="Times New Roman" w:hAnsi="Times New Roman"/>
          <w:sz w:val="22"/>
          <w:szCs w:val="22"/>
        </w:rPr>
        <w:t xml:space="preserve">Ces bourdons, </w:t>
      </w:r>
    </w:p>
    <w:p w14:paraId="7BE070DF" w14:textId="62B5EA3B" w:rsidR="00FA4F5F" w:rsidRPr="00FF5DFA" w:rsidRDefault="002D52F5">
      <w:pPr>
        <w:pStyle w:val="Paragraphedeliste"/>
        <w:numPr>
          <w:ilvl w:val="0"/>
          <w:numId w:val="9"/>
        </w:numPr>
        <w:spacing w:line="360" w:lineRule="auto"/>
        <w:rPr>
          <w:rFonts w:ascii="Times New Roman" w:hAnsi="Times New Roman"/>
          <w:sz w:val="22"/>
          <w:szCs w:val="22"/>
        </w:rPr>
      </w:pPr>
      <w:r w:rsidRPr="00FF5DFA">
        <w:rPr>
          <w:rStyle w:val="AucunA"/>
          <w:rFonts w:ascii="Times New Roman" w:hAnsi="Times New Roman"/>
          <w:sz w:val="22"/>
          <w:szCs w:val="22"/>
        </w:rPr>
        <w:t>Se pendant à nos longs cheveux</w:t>
      </w:r>
      <w:r w:rsidRPr="00FF5DFA">
        <w:rPr>
          <w:rStyle w:val="Appelnotedebasdep"/>
          <w:rFonts w:ascii="Times New Roman" w:eastAsia="Times New Roman" w:hAnsi="Times New Roman" w:cs="Times New Roman"/>
          <w:sz w:val="22"/>
          <w:szCs w:val="22"/>
        </w:rPr>
        <w:footnoteReference w:id="47"/>
      </w:r>
      <w:r w:rsidR="00FF5DFA">
        <w:rPr>
          <w:rFonts w:ascii="Times New Roman" w:hAnsi="Times New Roman"/>
          <w:sz w:val="22"/>
          <w:szCs w:val="22"/>
        </w:rPr>
        <w:t>.</w:t>
      </w:r>
    </w:p>
    <w:p w14:paraId="6C571C43" w14:textId="77777777" w:rsidR="00FA4F5F" w:rsidRDefault="00FA4F5F">
      <w:pPr>
        <w:pStyle w:val="CorpsA"/>
        <w:spacing w:line="360" w:lineRule="auto"/>
        <w:rPr>
          <w:rStyle w:val="Aucun"/>
          <w:rFonts w:ascii="Times New Roman" w:eastAsia="Times New Roman" w:hAnsi="Times New Roman" w:cs="Times New Roman"/>
        </w:rPr>
      </w:pPr>
    </w:p>
    <w:p w14:paraId="64E41CEA" w14:textId="77777777" w:rsidR="00FA4F5F" w:rsidRDefault="002D52F5">
      <w:pPr>
        <w:pStyle w:val="CorpsA"/>
        <w:spacing w:line="360" w:lineRule="auto"/>
        <w:rPr>
          <w:rStyle w:val="Aucun"/>
          <w:rFonts w:ascii="Times New Roman" w:eastAsia="Times New Roman" w:hAnsi="Times New Roman" w:cs="Times New Roman"/>
        </w:rPr>
      </w:pPr>
      <w:r>
        <w:rPr>
          <w:rStyle w:val="Aucun"/>
          <w:rFonts w:ascii="Times New Roman" w:hAnsi="Times New Roman"/>
        </w:rPr>
        <w:t xml:space="preserve">Selon Viveiros de Castro : </w:t>
      </w:r>
    </w:p>
    <w:p w14:paraId="1E36307A" w14:textId="77777777" w:rsidR="00FA4F5F" w:rsidRDefault="00FA4F5F">
      <w:pPr>
        <w:pStyle w:val="CorpsA"/>
        <w:spacing w:line="360" w:lineRule="auto"/>
        <w:rPr>
          <w:rStyle w:val="Aucun"/>
          <w:rFonts w:ascii="Times New Roman" w:eastAsia="Times New Roman" w:hAnsi="Times New Roman" w:cs="Times New Roman"/>
        </w:rPr>
      </w:pPr>
    </w:p>
    <w:p w14:paraId="1FEE6847" w14:textId="1BE61ADE" w:rsidR="00FA4F5F" w:rsidRPr="00FF5DFA" w:rsidRDefault="002D52F5">
      <w:pPr>
        <w:pStyle w:val="CorpsA"/>
        <w:spacing w:line="360" w:lineRule="auto"/>
        <w:ind w:left="567"/>
        <w:rPr>
          <w:rStyle w:val="Aucun"/>
          <w:rFonts w:ascii="Times New Roman" w:eastAsia="Times New Roman" w:hAnsi="Times New Roman" w:cs="Times New Roman"/>
          <w:sz w:val="22"/>
          <w:szCs w:val="22"/>
        </w:rPr>
      </w:pPr>
      <w:r w:rsidRPr="00FF5DFA">
        <w:rPr>
          <w:rStyle w:val="Aucun"/>
          <w:rFonts w:ascii="Times New Roman" w:hAnsi="Times New Roman"/>
          <w:sz w:val="22"/>
          <w:szCs w:val="22"/>
        </w:rPr>
        <w:t xml:space="preserve">L’esprit de l’ennemi fait ici allusion à sa condition de cadavre : les scarabées et les bourdons qui se posent sur </w:t>
      </w:r>
      <w:r w:rsidR="00E339CF">
        <w:rPr>
          <w:rStyle w:val="Aucun"/>
          <w:rFonts w:ascii="Times New Roman" w:hAnsi="Times New Roman"/>
          <w:sz w:val="22"/>
          <w:szCs w:val="22"/>
        </w:rPr>
        <w:t>« </w:t>
      </w:r>
      <w:r w:rsidRPr="00FF5DFA">
        <w:rPr>
          <w:rStyle w:val="Aucun"/>
          <w:rFonts w:ascii="Times New Roman" w:hAnsi="Times New Roman"/>
          <w:sz w:val="22"/>
          <w:szCs w:val="22"/>
        </w:rPr>
        <w:t>nos longs cheveux</w:t>
      </w:r>
      <w:r w:rsidR="00E339CF">
        <w:rPr>
          <w:rStyle w:val="Aucun"/>
          <w:rFonts w:ascii="Times New Roman" w:hAnsi="Times New Roman"/>
          <w:sz w:val="22"/>
          <w:szCs w:val="22"/>
        </w:rPr>
        <w:t> »</w:t>
      </w:r>
      <w:r w:rsidRPr="00FF5DFA">
        <w:rPr>
          <w:rStyle w:val="Aucun"/>
          <w:rFonts w:ascii="Times New Roman" w:hAnsi="Times New Roman"/>
          <w:sz w:val="22"/>
          <w:szCs w:val="22"/>
        </w:rPr>
        <w:t xml:space="preserve"> et, ainsi s’y trouvent suspendus, suggèrent son état de putréfaction. Le pronom </w:t>
      </w:r>
      <w:r w:rsidR="00E339CF">
        <w:rPr>
          <w:rStyle w:val="Aucun"/>
          <w:rFonts w:ascii="Times New Roman" w:hAnsi="Times New Roman"/>
          <w:sz w:val="22"/>
          <w:szCs w:val="22"/>
        </w:rPr>
        <w:t>« </w:t>
      </w:r>
      <w:r w:rsidRPr="00FF5DFA">
        <w:rPr>
          <w:rStyle w:val="Aucun"/>
          <w:rFonts w:ascii="Times New Roman" w:hAnsi="Times New Roman"/>
          <w:sz w:val="22"/>
          <w:szCs w:val="22"/>
        </w:rPr>
        <w:t>nos</w:t>
      </w:r>
      <w:r w:rsidR="00E339CF">
        <w:rPr>
          <w:rStyle w:val="Aucun"/>
          <w:rFonts w:ascii="Times New Roman" w:hAnsi="Times New Roman"/>
          <w:sz w:val="22"/>
          <w:szCs w:val="22"/>
        </w:rPr>
        <w:t> »</w:t>
      </w:r>
      <w:r w:rsidRPr="00FF5DFA">
        <w:rPr>
          <w:rStyle w:val="Aucun"/>
          <w:rFonts w:ascii="Times New Roman" w:hAnsi="Times New Roman"/>
          <w:sz w:val="22"/>
          <w:szCs w:val="22"/>
        </w:rPr>
        <w:t xml:space="preserve"> (inclusif) indique qu’il s’agit du mort </w:t>
      </w:r>
      <w:r w:rsidRPr="00FF5DFA">
        <w:rPr>
          <w:rStyle w:val="Aucun"/>
          <w:rFonts w:ascii="Times New Roman" w:hAnsi="Times New Roman"/>
          <w:i/>
          <w:iCs/>
          <w:sz w:val="22"/>
          <w:szCs w:val="22"/>
        </w:rPr>
        <w:t xml:space="preserve">et </w:t>
      </w:r>
      <w:r w:rsidRPr="00FF5DFA">
        <w:rPr>
          <w:rStyle w:val="Aucun"/>
          <w:rFonts w:ascii="Times New Roman" w:hAnsi="Times New Roman"/>
          <w:sz w:val="22"/>
          <w:szCs w:val="22"/>
        </w:rPr>
        <w:t>de son tueur ; les deux sont unifiés par la mort et la voix, entrelacés, oserais-je dire, comme les longs cheveux de la chanson</w:t>
      </w:r>
      <w:r w:rsidRPr="00FF5DFA">
        <w:rPr>
          <w:rStyle w:val="Aucun"/>
          <w:rFonts w:ascii="Times New Roman" w:eastAsia="Times New Roman" w:hAnsi="Times New Roman" w:cs="Times New Roman"/>
          <w:sz w:val="22"/>
          <w:szCs w:val="22"/>
          <w:vertAlign w:val="superscript"/>
        </w:rPr>
        <w:footnoteReference w:id="48"/>
      </w:r>
      <w:r w:rsidR="00FF5DFA" w:rsidRPr="00FF5DFA">
        <w:rPr>
          <w:rStyle w:val="Aucun"/>
          <w:rFonts w:ascii="Times New Roman" w:hAnsi="Times New Roman"/>
          <w:sz w:val="22"/>
          <w:szCs w:val="22"/>
        </w:rPr>
        <w:t>.</w:t>
      </w:r>
    </w:p>
    <w:p w14:paraId="182328DD" w14:textId="77777777" w:rsidR="00FA4F5F" w:rsidRDefault="00FA4F5F">
      <w:pPr>
        <w:pStyle w:val="CorpsA"/>
        <w:spacing w:line="360" w:lineRule="auto"/>
        <w:rPr>
          <w:rStyle w:val="Aucun"/>
          <w:rFonts w:ascii="Times New Roman" w:eastAsia="Times New Roman" w:hAnsi="Times New Roman" w:cs="Times New Roman"/>
        </w:rPr>
      </w:pPr>
    </w:p>
    <w:p w14:paraId="17E35B30" w14:textId="5658ADBD" w:rsidR="00FA4F5F" w:rsidRDefault="002D52F5">
      <w:pPr>
        <w:pStyle w:val="CorpsA"/>
        <w:spacing w:line="360" w:lineRule="auto"/>
        <w:rPr>
          <w:rStyle w:val="Aucun"/>
          <w:rFonts w:ascii="Times New Roman" w:eastAsia="Times New Roman" w:hAnsi="Times New Roman" w:cs="Times New Roman"/>
        </w:rPr>
      </w:pPr>
      <w:r>
        <w:rPr>
          <w:rStyle w:val="Aucun"/>
          <w:rFonts w:ascii="Times New Roman" w:hAnsi="Times New Roman"/>
        </w:rPr>
        <w:t>En conclusion, le chant guerrier reproduit à sa façon le processus de devenir qui s’empare de la victime et de son meurtrier. En rendant la question « qui parle ? » indécidable, ce régime s’inscrit dans la continuité d’un rapport à l’autre marqué en profondeur par l’équivocité. Or, cette problématique résonne étrangement avec certains éléments décisifs de l’approche deleuzo-guattarienne des phénomènes linguistiques. Si bien que celle-ci nous semble être particulièrement indiquée pour construire une théorie amazonienne du langage, pour traduire ces éléments ethnolinguistiques dans notre propre langue conceptuelle. Car comme l’affirme Viveiros de Castro : « Un anthropologue occidental ne peut penser une autre pensé</w:t>
      </w:r>
      <w:r>
        <w:rPr>
          <w:rStyle w:val="Aucun"/>
          <w:rFonts w:ascii="Times New Roman" w:hAnsi="Times New Roman"/>
          <w:lang w:val="es-ES_tradnl"/>
        </w:rPr>
        <w:t>e qu</w:t>
      </w:r>
      <w:r>
        <w:rPr>
          <w:rStyle w:val="Aucun"/>
          <w:rFonts w:ascii="Times New Roman" w:hAnsi="Times New Roman"/>
        </w:rPr>
        <w:t>’à travers la sienne, qu’à partir de sa propre tradition intellectuelle. Ce sont les seuls instruments dont nous disposons. Mais il est essentiel de pouvoir les déformer, les adapter à de nouvelles tâ</w:t>
      </w:r>
      <w:r>
        <w:rPr>
          <w:rStyle w:val="Aucun"/>
          <w:rFonts w:ascii="Times New Roman" w:hAnsi="Times New Roman"/>
          <w:lang w:val="de-DE"/>
        </w:rPr>
        <w:t>ches</w:t>
      </w:r>
      <w:r>
        <w:rPr>
          <w:rStyle w:val="Aucun"/>
          <w:rFonts w:ascii="Times New Roman" w:eastAsia="Times New Roman" w:hAnsi="Times New Roman" w:cs="Times New Roman"/>
          <w:vertAlign w:val="superscript"/>
        </w:rPr>
        <w:footnoteReference w:id="49"/>
      </w:r>
      <w:r w:rsidR="00FF5DFA">
        <w:rPr>
          <w:rStyle w:val="Aucun"/>
          <w:rFonts w:ascii="Times New Roman" w:hAnsi="Times New Roman"/>
        </w:rPr>
        <w:t> »</w:t>
      </w:r>
      <w:r>
        <w:rPr>
          <w:rStyle w:val="Aucun"/>
          <w:rFonts w:ascii="Times New Roman" w:hAnsi="Times New Roman"/>
        </w:rPr>
        <w:t>. Et d’ajouter : « une bonne traduction est une traduction qui permet aux concepts étrangers de déformer et de subvertir la boite à outils conceptuelle de la traductrice ou du traducteur, afin que l’</w:t>
      </w:r>
      <w:r>
        <w:rPr>
          <w:rStyle w:val="Aucun"/>
          <w:rFonts w:ascii="Times New Roman" w:hAnsi="Times New Roman"/>
          <w:i/>
          <w:iCs/>
        </w:rPr>
        <w:t>intentio</w:t>
      </w:r>
      <w:r>
        <w:rPr>
          <w:rStyle w:val="Aucun"/>
          <w:rFonts w:ascii="Times New Roman" w:hAnsi="Times New Roman"/>
        </w:rPr>
        <w:t xml:space="preserve"> de la langue originale puisse être exprimée à travers la nouvelle</w:t>
      </w:r>
      <w:r>
        <w:rPr>
          <w:rStyle w:val="Aucun"/>
          <w:rFonts w:ascii="Times New Roman" w:eastAsia="Times New Roman" w:hAnsi="Times New Roman" w:cs="Times New Roman"/>
          <w:vertAlign w:val="superscript"/>
        </w:rPr>
        <w:footnoteReference w:id="50"/>
      </w:r>
      <w:r w:rsidR="00FF5DFA">
        <w:rPr>
          <w:rStyle w:val="Aucun"/>
          <w:rFonts w:ascii="Times New Roman" w:hAnsi="Times New Roman"/>
        </w:rPr>
        <w:t> »</w:t>
      </w:r>
      <w:r>
        <w:rPr>
          <w:rStyle w:val="Aucun"/>
          <w:rFonts w:ascii="Times New Roman" w:hAnsi="Times New Roman"/>
        </w:rPr>
        <w:t>. Cette conception s’inscrit au demeurant dans la continuité du chamanisme et du cannibalisme décrits ci-avant, puisqu’elle vise, elle aussi, à faire de la rencontre avec l’altérité l’occasion d’une transformation de sa propre matrice conceptuelle, en l’ouvrant à de nouvelles significations. Or, l’enjeu épistémologique et politique d’un tel exercice de traduction nous semble tout à fait essentiel, en ce qu’il se pourrait bien qu’il participe à « une décolonisation permanente de la pensée</w:t>
      </w:r>
      <w:r>
        <w:rPr>
          <w:rStyle w:val="Aucun"/>
          <w:rFonts w:ascii="Times New Roman" w:eastAsia="Times New Roman" w:hAnsi="Times New Roman" w:cs="Times New Roman"/>
          <w:vertAlign w:val="superscript"/>
        </w:rPr>
        <w:footnoteReference w:id="51"/>
      </w:r>
      <w:r w:rsidR="00FF5DFA">
        <w:rPr>
          <w:rStyle w:val="Aucun"/>
          <w:rFonts w:ascii="Times New Roman" w:hAnsi="Times New Roman"/>
        </w:rPr>
        <w:t> »</w:t>
      </w:r>
      <w:r>
        <w:rPr>
          <w:rStyle w:val="Aucun"/>
          <w:rFonts w:ascii="Times New Roman" w:hAnsi="Times New Roman"/>
        </w:rPr>
        <w:t xml:space="preserve"> en proposant un mode de création de concepts qui ne passe pas uniquement par le ressassement </w:t>
      </w:r>
      <w:r>
        <w:rPr>
          <w:rStyle w:val="Aucun"/>
          <w:rFonts w:ascii="Times New Roman" w:hAnsi="Times New Roman"/>
          <w:i/>
          <w:iCs/>
        </w:rPr>
        <w:t>ad nauseam</w:t>
      </w:r>
      <w:r>
        <w:rPr>
          <w:rStyle w:val="Aucun"/>
          <w:rFonts w:ascii="Times New Roman" w:hAnsi="Times New Roman"/>
        </w:rPr>
        <w:t xml:space="preserve"> de la tradition philosophie occidentale, mais l’ouvre au contraire à des pensées autres. </w:t>
      </w:r>
    </w:p>
    <w:p w14:paraId="082DFD0F" w14:textId="77777777" w:rsidR="00FA4F5F" w:rsidRDefault="00FA4F5F">
      <w:pPr>
        <w:pStyle w:val="CorpsA"/>
        <w:spacing w:line="360" w:lineRule="auto"/>
        <w:rPr>
          <w:rStyle w:val="Aucun"/>
          <w:rFonts w:ascii="Times New Roman" w:eastAsia="Times New Roman" w:hAnsi="Times New Roman" w:cs="Times New Roman"/>
        </w:rPr>
      </w:pPr>
    </w:p>
    <w:p w14:paraId="6751D9E6" w14:textId="77777777" w:rsidR="00FA4F5F" w:rsidRDefault="002D52F5">
      <w:pPr>
        <w:pStyle w:val="CorpsA"/>
        <w:spacing w:line="360" w:lineRule="auto"/>
        <w:ind w:firstLine="708"/>
        <w:rPr>
          <w:rStyle w:val="Aucun"/>
          <w:rFonts w:ascii="Times New Roman" w:eastAsia="Times New Roman" w:hAnsi="Times New Roman" w:cs="Times New Roman"/>
        </w:rPr>
      </w:pPr>
      <w:r>
        <w:rPr>
          <w:rStyle w:val="Aucun"/>
          <w:rFonts w:ascii="Times New Roman" w:hAnsi="Times New Roman"/>
        </w:rPr>
        <w:lastRenderedPageBreak/>
        <w:t>Évidemment, les Araweté ne sont pas intrinsèquement deleuzo-guattariens. Pas plus que Deleuze et Guattari ne sont des Amérindiens qui s’ignorent. Il est donc bien sûr toujours possible de traduire d’autres éléments araweté à l’aide d’autres philosophies occidentales, tout dépendant toujours des problè</w:t>
      </w:r>
      <w:r>
        <w:rPr>
          <w:rStyle w:val="Aucun"/>
          <w:rFonts w:ascii="Times New Roman" w:hAnsi="Times New Roman"/>
          <w:lang w:val="es-ES_tradnl"/>
        </w:rPr>
        <w:t>mes que l</w:t>
      </w:r>
      <w:r>
        <w:rPr>
          <w:rStyle w:val="Aucun"/>
          <w:rFonts w:ascii="Times New Roman" w:hAnsi="Times New Roman"/>
        </w:rPr>
        <w:t>’on veut mettre en exergue, des transversalité</w:t>
      </w:r>
      <w:r>
        <w:rPr>
          <w:rStyle w:val="Aucun"/>
          <w:rFonts w:ascii="Times New Roman" w:hAnsi="Times New Roman"/>
          <w:lang w:val="es-ES_tradnl"/>
        </w:rPr>
        <w:t>s que l</w:t>
      </w:r>
      <w:r>
        <w:rPr>
          <w:rStyle w:val="Aucun"/>
          <w:rFonts w:ascii="Times New Roman" w:hAnsi="Times New Roman"/>
        </w:rPr>
        <w:t>’on expé</w:t>
      </w:r>
      <w:r>
        <w:rPr>
          <w:rStyle w:val="Aucun"/>
          <w:rFonts w:ascii="Times New Roman" w:hAnsi="Times New Roman"/>
          <w:lang w:val="it-IT"/>
        </w:rPr>
        <w:t>rimente</w:t>
      </w:r>
      <w:r>
        <w:rPr>
          <w:rStyle w:val="Aucun"/>
          <w:rFonts w:ascii="Times New Roman" w:eastAsia="Times New Roman" w:hAnsi="Times New Roman" w:cs="Times New Roman"/>
          <w:vertAlign w:val="superscript"/>
        </w:rPr>
        <w:footnoteReference w:id="52"/>
      </w:r>
      <w:r>
        <w:rPr>
          <w:rStyle w:val="Aucun"/>
          <w:rFonts w:ascii="Times New Roman" w:hAnsi="Times New Roman"/>
        </w:rPr>
        <w:t>. En ce qui nous concerne, si à la suite de Viveiros de Castro, nous avons choisi la philosophie deleuzo-guattarienne comme intercesseur privilégié, c’est que celle-ci nous semble à même de pouvoir de traduire les multiples processus de transformation qui affectent la langue même des chants araweté – bien plus que quelque philosophie ou théorie qui s’inscrirait dans le sillage de la conception saussurienne de la langue par exemple.</w:t>
      </w:r>
    </w:p>
    <w:p w14:paraId="4A214843" w14:textId="77777777" w:rsidR="00FA4F5F" w:rsidRDefault="002D52F5">
      <w:pPr>
        <w:pStyle w:val="Titre2"/>
        <w:numPr>
          <w:ilvl w:val="0"/>
          <w:numId w:val="10"/>
        </w:numPr>
        <w:spacing w:line="360" w:lineRule="auto"/>
        <w:rPr>
          <w:sz w:val="24"/>
          <w:szCs w:val="24"/>
        </w:rPr>
      </w:pPr>
      <w:r>
        <w:rPr>
          <w:rStyle w:val="AucunA"/>
          <w:sz w:val="24"/>
          <w:szCs w:val="24"/>
        </w:rPr>
        <w:t xml:space="preserve"> </w:t>
      </w:r>
      <w:r>
        <w:rPr>
          <w:rStyle w:val="Aucun"/>
          <w:i/>
          <w:iCs/>
        </w:rPr>
        <w:t>Agôn</w:t>
      </w:r>
      <w:r>
        <w:rPr>
          <w:rStyle w:val="Aucun"/>
        </w:rPr>
        <w:t xml:space="preserve"> linguistique</w:t>
      </w:r>
    </w:p>
    <w:p w14:paraId="79DE07E8" w14:textId="77777777" w:rsidR="00FA4F5F" w:rsidRDefault="00FA4F5F">
      <w:pPr>
        <w:pStyle w:val="CorpsA"/>
        <w:spacing w:line="360" w:lineRule="auto"/>
        <w:ind w:firstLine="567"/>
        <w:rPr>
          <w:rStyle w:val="Aucun"/>
          <w:rFonts w:ascii="Times New Roman" w:eastAsia="Times New Roman" w:hAnsi="Times New Roman" w:cs="Times New Roman"/>
        </w:rPr>
      </w:pPr>
    </w:p>
    <w:p w14:paraId="55E239C1" w14:textId="1391B1C8" w:rsidR="00FA4F5F" w:rsidRDefault="002D52F5">
      <w:pPr>
        <w:pStyle w:val="CorpsA"/>
        <w:spacing w:line="360" w:lineRule="auto"/>
        <w:ind w:firstLine="567"/>
        <w:rPr>
          <w:rStyle w:val="Aucun"/>
          <w:rFonts w:ascii="Times New Roman" w:eastAsia="Times New Roman" w:hAnsi="Times New Roman" w:cs="Times New Roman"/>
        </w:rPr>
      </w:pPr>
      <w:r>
        <w:rPr>
          <w:rStyle w:val="Aucun"/>
          <w:rFonts w:ascii="Times New Roman" w:eastAsia="Times New Roman" w:hAnsi="Times New Roman" w:cs="Times New Roman"/>
        </w:rPr>
        <w:t>S</w:t>
      </w:r>
      <w:r>
        <w:rPr>
          <w:rStyle w:val="Aucun"/>
          <w:rFonts w:ascii="Times New Roman" w:hAnsi="Times New Roman"/>
        </w:rPr>
        <w:t>’il y a une caractéristique de la linguistique structurale pour laquelle Deleuze et Guattari n’ont pas de mots assez durs, c’est bien son irénisme congénital. C’est que pour celle-ci, le langage est avant tout informatif</w:t>
      </w:r>
      <w:r>
        <w:rPr>
          <w:rStyle w:val="Aucun"/>
          <w:rFonts w:ascii="Times New Roman" w:eastAsia="Times New Roman" w:hAnsi="Times New Roman" w:cs="Times New Roman"/>
          <w:vertAlign w:val="superscript"/>
        </w:rPr>
        <w:footnoteReference w:id="53"/>
      </w:r>
      <w:r>
        <w:rPr>
          <w:rStyle w:val="Aucun"/>
          <w:rFonts w:ascii="Times New Roman" w:hAnsi="Times New Roman"/>
        </w:rPr>
        <w:t>. Il n’a d’intérêt scientifique qu’à partir d’une situation de communication où des messages sont échangés entre destinateur·rices et destinataires toujours identifié·es ou identifiables</w:t>
      </w:r>
      <w:r>
        <w:rPr>
          <w:rStyle w:val="Aucun"/>
          <w:rFonts w:ascii="Times New Roman" w:eastAsia="Times New Roman" w:hAnsi="Times New Roman" w:cs="Times New Roman"/>
          <w:vertAlign w:val="superscript"/>
        </w:rPr>
        <w:footnoteReference w:id="54"/>
      </w:r>
      <w:r>
        <w:rPr>
          <w:rStyle w:val="Aucun"/>
          <w:rFonts w:ascii="Times New Roman" w:hAnsi="Times New Roman"/>
        </w:rPr>
        <w:t>. Or, pour Deleuze et Guattari, ce que le langage communique avant tout, ce ne sont pas des informations, mais des ordres</w:t>
      </w:r>
      <w:r>
        <w:rPr>
          <w:rStyle w:val="Aucun"/>
          <w:rFonts w:ascii="Times New Roman" w:eastAsia="Times New Roman" w:hAnsi="Times New Roman" w:cs="Times New Roman"/>
          <w:vertAlign w:val="superscript"/>
        </w:rPr>
        <w:footnoteReference w:id="55"/>
      </w:r>
      <w:r>
        <w:rPr>
          <w:rStyle w:val="Aucun"/>
          <w:rFonts w:ascii="Times New Roman" w:hAnsi="Times New Roman"/>
        </w:rPr>
        <w:t>. Il impose des manières de parler, des assignations, l’utilisation de telle ou telle langue en fonction de tel ou tel contexte, comme dans le cas de ces jeunes Mohaves « qui parlent très aisément de leur sexualité dans leur langue vernaculaire, mais en sont incapables dans la langue véhiculaire qu’est pour eux l’anglais</w:t>
      </w:r>
      <w:r>
        <w:rPr>
          <w:rStyle w:val="Aucun"/>
          <w:rFonts w:ascii="Times New Roman" w:eastAsia="Times New Roman" w:hAnsi="Times New Roman" w:cs="Times New Roman"/>
          <w:vertAlign w:val="superscript"/>
        </w:rPr>
        <w:footnoteReference w:id="56"/>
      </w:r>
      <w:r w:rsidR="0020414A">
        <w:rPr>
          <w:rStyle w:val="Aucun"/>
          <w:rFonts w:ascii="Times New Roman" w:hAnsi="Times New Roman"/>
        </w:rPr>
        <w:t> »</w:t>
      </w:r>
      <w:r>
        <w:rPr>
          <w:rStyle w:val="Aucun"/>
          <w:rFonts w:ascii="Times New Roman" w:hAnsi="Times New Roman"/>
        </w:rPr>
        <w:t xml:space="preserve">. </w:t>
      </w:r>
    </w:p>
    <w:p w14:paraId="62CE7F4C" w14:textId="77777777" w:rsidR="00FA4F5F" w:rsidRDefault="00FA4F5F">
      <w:pPr>
        <w:pStyle w:val="CorpsA"/>
        <w:spacing w:line="360" w:lineRule="auto"/>
        <w:ind w:firstLine="567"/>
        <w:rPr>
          <w:rStyle w:val="Aucun"/>
          <w:rFonts w:ascii="Times New Roman" w:eastAsia="Times New Roman" w:hAnsi="Times New Roman" w:cs="Times New Roman"/>
        </w:rPr>
      </w:pPr>
    </w:p>
    <w:p w14:paraId="26F66CD0" w14:textId="485BCBC9" w:rsidR="00FA4F5F" w:rsidRDefault="002D52F5">
      <w:pPr>
        <w:pStyle w:val="CorpsA"/>
        <w:spacing w:line="360" w:lineRule="auto"/>
        <w:ind w:firstLine="567"/>
        <w:rPr>
          <w:rStyle w:val="Aucun"/>
          <w:rFonts w:ascii="Times New Roman" w:eastAsia="Times New Roman" w:hAnsi="Times New Roman" w:cs="Times New Roman"/>
        </w:rPr>
      </w:pPr>
      <w:r>
        <w:rPr>
          <w:rStyle w:val="Aucun"/>
          <w:rFonts w:ascii="Times New Roman" w:eastAsia="Times New Roman" w:hAnsi="Times New Roman" w:cs="Times New Roman"/>
        </w:rPr>
        <w:t>Loin de l</w:t>
      </w:r>
      <w:r>
        <w:rPr>
          <w:rStyle w:val="Aucun"/>
          <w:rFonts w:ascii="Times New Roman" w:hAnsi="Times New Roman"/>
        </w:rPr>
        <w:t>’irénisme de la linguistique structurale et de son idéal communicationnel, Deleuze et Guattari affirment donc, dans la continuité des travaux</w:t>
      </w:r>
      <w:r w:rsidRPr="004D139E">
        <w:rPr>
          <w:rStyle w:val="Aucun"/>
          <w:rFonts w:ascii="Times New Roman" w:hAnsi="Times New Roman"/>
          <w:lang w:val="fr-BE"/>
        </w:rPr>
        <w:t xml:space="preserve"> de</w:t>
      </w:r>
      <w:r>
        <w:rPr>
          <w:rStyle w:val="Aucun"/>
          <w:rFonts w:ascii="Times New Roman" w:hAnsi="Times New Roman"/>
        </w:rPr>
        <w:t xml:space="preserve"> </w:t>
      </w:r>
      <w:r w:rsidRPr="004D139E">
        <w:rPr>
          <w:rStyle w:val="Aucun"/>
          <w:rFonts w:ascii="Times New Roman" w:hAnsi="Times New Roman"/>
          <w:lang w:val="fr-BE"/>
        </w:rPr>
        <w:t xml:space="preserve">William </w:t>
      </w:r>
      <w:r>
        <w:rPr>
          <w:rStyle w:val="Aucun"/>
          <w:rFonts w:ascii="Times New Roman" w:hAnsi="Times New Roman"/>
        </w:rPr>
        <w:t xml:space="preserve">Labov </w:t>
      </w:r>
      <w:r w:rsidRPr="004D139E">
        <w:rPr>
          <w:rStyle w:val="Aucun"/>
          <w:rFonts w:ascii="Times New Roman" w:hAnsi="Times New Roman"/>
          <w:lang w:val="fr-BE"/>
        </w:rPr>
        <w:t xml:space="preserve">et de Oswald </w:t>
      </w:r>
      <w:r>
        <w:rPr>
          <w:rStyle w:val="Aucun"/>
          <w:rFonts w:ascii="Times New Roman" w:hAnsi="Times New Roman"/>
        </w:rPr>
        <w:t>Ducrot, que les langues sont donc inséparables de rapports de force, de multiples agencements institutionnels, politiques et économiques dans lesquels elles s’insèrent</w:t>
      </w:r>
      <w:r>
        <w:rPr>
          <w:rStyle w:val="Aucun"/>
          <w:rFonts w:ascii="Times New Roman" w:eastAsia="Times New Roman" w:hAnsi="Times New Roman" w:cs="Times New Roman"/>
          <w:vertAlign w:val="superscript"/>
        </w:rPr>
        <w:footnoteReference w:id="57"/>
      </w:r>
      <w:r>
        <w:rPr>
          <w:rStyle w:val="Aucun"/>
          <w:rFonts w:ascii="Times New Roman" w:hAnsi="Times New Roman"/>
        </w:rPr>
        <w:t xml:space="preserve">. Elles ne sont pas des systèmes stables, mais des lignes de variations, relancées en permanence par les transformations de ces mêmes agencements. </w:t>
      </w:r>
    </w:p>
    <w:p w14:paraId="56B9381C" w14:textId="77777777" w:rsidR="00FA4F5F" w:rsidRDefault="00FA4F5F">
      <w:pPr>
        <w:pStyle w:val="CorpsA"/>
        <w:spacing w:line="360" w:lineRule="auto"/>
        <w:ind w:firstLine="567"/>
        <w:rPr>
          <w:rStyle w:val="Aucun"/>
          <w:rFonts w:ascii="Times New Roman" w:eastAsia="Times New Roman" w:hAnsi="Times New Roman" w:cs="Times New Roman"/>
        </w:rPr>
      </w:pPr>
    </w:p>
    <w:p w14:paraId="1AAA6E21" w14:textId="4BD21786" w:rsidR="00FA4F5F" w:rsidRDefault="002D52F5">
      <w:pPr>
        <w:pStyle w:val="CorpsA"/>
        <w:spacing w:line="360" w:lineRule="auto"/>
        <w:ind w:firstLine="567"/>
        <w:rPr>
          <w:rStyle w:val="Aucun"/>
          <w:rFonts w:ascii="Times New Roman" w:eastAsia="Times New Roman" w:hAnsi="Times New Roman" w:cs="Times New Roman"/>
        </w:rPr>
      </w:pPr>
      <w:r>
        <w:rPr>
          <w:rStyle w:val="Aucun"/>
          <w:rFonts w:ascii="Times New Roman" w:eastAsia="Times New Roman" w:hAnsi="Times New Roman" w:cs="Times New Roman"/>
        </w:rPr>
        <w:lastRenderedPageBreak/>
        <w:t>Soit le Qu</w:t>
      </w:r>
      <w:r>
        <w:rPr>
          <w:rStyle w:val="Aucun"/>
          <w:rFonts w:ascii="Times New Roman" w:hAnsi="Times New Roman"/>
        </w:rPr>
        <w:t>ébec, à la fin des années 1960. Les cours de mathématiques et d’économie y étaient presque exclusivement enseignés à l’aide d’ouvrages états-uniens et non pas français, en raison de l’inscription de la province canadienne dans un contexte résolument « nord-américain »</w:t>
      </w:r>
      <w:r>
        <w:rPr>
          <w:rStyle w:val="Aucun"/>
          <w:rFonts w:ascii="Times New Roman" w:eastAsia="Times New Roman" w:hAnsi="Times New Roman" w:cs="Times New Roman"/>
          <w:vertAlign w:val="superscript"/>
        </w:rPr>
        <w:footnoteReference w:id="58"/>
      </w:r>
      <w:r>
        <w:rPr>
          <w:rStyle w:val="Aucun"/>
          <w:rFonts w:ascii="Times New Roman" w:hAnsi="Times New Roman"/>
        </w:rPr>
        <w:t>. Ce qui eut pour conséquence que les élèves québécois·es éprouvèrent de multiples difficultés à parler de ces matières en français, ne disposant pas « d’un vocabulaire aussi fourni que celui des élèves français du même âge</w:t>
      </w:r>
      <w:r>
        <w:rPr>
          <w:rStyle w:val="Aucun"/>
          <w:rFonts w:ascii="Times New Roman" w:eastAsia="Times New Roman" w:hAnsi="Times New Roman" w:cs="Times New Roman"/>
          <w:vertAlign w:val="superscript"/>
        </w:rPr>
        <w:footnoteReference w:id="59"/>
      </w:r>
      <w:r w:rsidR="0020414A">
        <w:rPr>
          <w:rStyle w:val="Aucun"/>
          <w:rFonts w:ascii="Times New Roman" w:hAnsi="Times New Roman"/>
        </w:rPr>
        <w:t> »</w:t>
      </w:r>
      <w:r>
        <w:rPr>
          <w:rStyle w:val="Aucun"/>
          <w:rFonts w:ascii="Times New Roman" w:hAnsi="Times New Roman"/>
        </w:rPr>
        <w:t>. L’hégémonie économique et scientifique des États-Unis sur le continent nord-américain intervient au cœur même du langage, déterritorialise la langue française, la travaille de l’intérieur. Un livre de cours ne transmet pas fondamentalement une information, mais communique un ordre, portant sur ce qu’on peut dire ou pas en français. Et cet ordre n’est tant imposé par le ou la professeur·e que par l’« agencement collectif d’énonciation </w:t>
      </w:r>
      <w:r>
        <w:rPr>
          <w:rStyle w:val="Aucun"/>
          <w:rFonts w:ascii="Times New Roman" w:eastAsia="Times New Roman" w:hAnsi="Times New Roman" w:cs="Times New Roman"/>
          <w:vertAlign w:val="superscript"/>
        </w:rPr>
        <w:footnoteReference w:id="60"/>
      </w:r>
      <w:r w:rsidR="0020414A">
        <w:rPr>
          <w:rStyle w:val="Aucun"/>
          <w:rFonts w:ascii="Times New Roman" w:hAnsi="Times New Roman"/>
        </w:rPr>
        <w:t> »</w:t>
      </w:r>
      <w:r>
        <w:rPr>
          <w:rStyle w:val="Aucun"/>
          <w:rFonts w:ascii="Times New Roman" w:hAnsi="Times New Roman"/>
        </w:rPr>
        <w:t xml:space="preserve"> auquel tou·tes – élèves et professeur·es – appartiennent. </w:t>
      </w:r>
    </w:p>
    <w:p w14:paraId="174FA74E" w14:textId="77777777" w:rsidR="00FA4F5F" w:rsidRDefault="00FA4F5F">
      <w:pPr>
        <w:pStyle w:val="CorpsA"/>
        <w:spacing w:line="360" w:lineRule="auto"/>
        <w:ind w:firstLine="567"/>
        <w:rPr>
          <w:rStyle w:val="Aucun"/>
          <w:rFonts w:ascii="Times New Roman" w:eastAsia="Times New Roman" w:hAnsi="Times New Roman" w:cs="Times New Roman"/>
        </w:rPr>
      </w:pPr>
    </w:p>
    <w:p w14:paraId="65D22178" w14:textId="23F5D507" w:rsidR="00FA4F5F" w:rsidRDefault="002D52F5">
      <w:pPr>
        <w:pStyle w:val="CorpsA"/>
        <w:spacing w:line="360" w:lineRule="auto"/>
        <w:ind w:firstLine="567"/>
        <w:rPr>
          <w:rStyle w:val="Aucun"/>
          <w:rFonts w:ascii="Times New Roman" w:eastAsia="Times New Roman" w:hAnsi="Times New Roman" w:cs="Times New Roman"/>
        </w:rPr>
      </w:pPr>
      <w:r>
        <w:rPr>
          <w:rStyle w:val="Aucun"/>
          <w:rFonts w:ascii="Times New Roman" w:eastAsia="Times New Roman" w:hAnsi="Times New Roman" w:cs="Times New Roman"/>
        </w:rPr>
        <w:t>La langue n</w:t>
      </w:r>
      <w:r>
        <w:rPr>
          <w:rStyle w:val="Aucun"/>
          <w:rFonts w:ascii="Times New Roman" w:hAnsi="Times New Roman"/>
        </w:rPr>
        <w:t>’est donc pas un système stable, homogène permettant la bonne communication entre des locuteur·trices natif·ves, indépendant des agencements politiques, économiques et scientifiques dans lesquels ils ou elles s’inscrivent</w:t>
      </w:r>
      <w:r>
        <w:rPr>
          <w:rStyle w:val="Aucun"/>
          <w:rFonts w:ascii="Times New Roman" w:eastAsia="Times New Roman" w:hAnsi="Times New Roman" w:cs="Times New Roman"/>
          <w:vertAlign w:val="superscript"/>
        </w:rPr>
        <w:footnoteReference w:id="61"/>
      </w:r>
      <w:r>
        <w:rPr>
          <w:rStyle w:val="Aucun"/>
          <w:rFonts w:ascii="Times New Roman" w:hAnsi="Times New Roman"/>
        </w:rPr>
        <w:t xml:space="preserve">. Au contraire, il est pris dans ces différents agencements, propage ces rapports de force, de sorte que : </w:t>
      </w:r>
    </w:p>
    <w:p w14:paraId="495AD308" w14:textId="77777777" w:rsidR="00FA4F5F" w:rsidRDefault="00FA4F5F">
      <w:pPr>
        <w:pStyle w:val="CorpsA"/>
        <w:spacing w:line="360" w:lineRule="auto"/>
        <w:ind w:firstLine="567"/>
        <w:rPr>
          <w:rStyle w:val="Aucun"/>
          <w:rFonts w:ascii="Times New Roman" w:eastAsia="Times New Roman" w:hAnsi="Times New Roman" w:cs="Times New Roman"/>
        </w:rPr>
      </w:pPr>
    </w:p>
    <w:p w14:paraId="3C5EBCF6" w14:textId="7834BE8A" w:rsidR="00FA4F5F" w:rsidRPr="0020414A" w:rsidRDefault="002D52F5">
      <w:pPr>
        <w:pStyle w:val="CorpsA"/>
        <w:spacing w:line="360" w:lineRule="auto"/>
        <w:ind w:left="567"/>
        <w:rPr>
          <w:rStyle w:val="Aucun"/>
          <w:rFonts w:ascii="Times New Roman" w:eastAsia="Times New Roman" w:hAnsi="Times New Roman" w:cs="Times New Roman"/>
          <w:sz w:val="22"/>
          <w:szCs w:val="22"/>
        </w:rPr>
      </w:pPr>
      <w:r w:rsidRPr="0020414A">
        <w:rPr>
          <w:rStyle w:val="Aucun"/>
          <w:rFonts w:ascii="Times New Roman" w:hAnsi="Times New Roman"/>
          <w:sz w:val="22"/>
          <w:szCs w:val="22"/>
        </w:rPr>
        <w:t>loin de constituer des lois de la nature, les</w:t>
      </w:r>
      <w:r w:rsidR="00C5539F">
        <w:rPr>
          <w:rStyle w:val="Aucun"/>
          <w:rFonts w:ascii="Times New Roman" w:hAnsi="Times New Roman"/>
          <w:sz w:val="22"/>
          <w:szCs w:val="22"/>
        </w:rPr>
        <w:t xml:space="preserve"> </w:t>
      </w:r>
      <w:r w:rsidR="00C5539F" w:rsidRPr="00A10D9F">
        <w:rPr>
          <w:rFonts w:ascii="Times New Roman" w:hAnsi="Times New Roman" w:cs="Times New Roman"/>
        </w:rPr>
        <w:t>“</w:t>
      </w:r>
      <w:r w:rsidRPr="0020414A">
        <w:rPr>
          <w:rStyle w:val="Aucun"/>
          <w:rFonts w:ascii="Times New Roman" w:hAnsi="Times New Roman"/>
          <w:sz w:val="22"/>
          <w:szCs w:val="22"/>
        </w:rPr>
        <w:t>règles</w:t>
      </w:r>
      <w:r w:rsidR="00C5539F" w:rsidRPr="00A10D9F">
        <w:rPr>
          <w:rFonts w:ascii="Times New Roman" w:hAnsi="Times New Roman" w:cs="Times New Roman"/>
        </w:rPr>
        <w:t>”</w:t>
      </w:r>
      <w:r w:rsidRPr="0020414A">
        <w:rPr>
          <w:rStyle w:val="Aucun"/>
          <w:rFonts w:ascii="Times New Roman" w:hAnsi="Times New Roman"/>
          <w:sz w:val="22"/>
          <w:szCs w:val="22"/>
        </w:rPr>
        <w:t xml:space="preserve"> linguistiques sont simplement des maximes partielles et temporaires, c’est-à-dire des tentatives d’imposer une sorte d’ordre à une langue qui n’accorde pas d’importance à de telles exigences et dont le bégaiement les subvertit en permanence</w:t>
      </w:r>
      <w:r w:rsidRPr="0020414A">
        <w:rPr>
          <w:rStyle w:val="Aucun"/>
          <w:rFonts w:ascii="Times New Roman" w:eastAsia="Times New Roman" w:hAnsi="Times New Roman" w:cs="Times New Roman"/>
          <w:sz w:val="22"/>
          <w:szCs w:val="22"/>
          <w:vertAlign w:val="superscript"/>
        </w:rPr>
        <w:footnoteReference w:id="62"/>
      </w:r>
      <w:r w:rsidR="0020414A" w:rsidRPr="0020414A">
        <w:rPr>
          <w:rStyle w:val="Aucun"/>
          <w:rFonts w:ascii="Times New Roman" w:hAnsi="Times New Roman"/>
          <w:sz w:val="22"/>
          <w:szCs w:val="22"/>
        </w:rPr>
        <w:t>.</w:t>
      </w:r>
    </w:p>
    <w:p w14:paraId="19840827" w14:textId="77777777" w:rsidR="00FA4F5F" w:rsidRDefault="00FA4F5F">
      <w:pPr>
        <w:pStyle w:val="CorpsA"/>
        <w:spacing w:line="360" w:lineRule="auto"/>
        <w:ind w:firstLine="567"/>
        <w:rPr>
          <w:rStyle w:val="Aucun"/>
          <w:rFonts w:ascii="Times New Roman" w:eastAsia="Times New Roman" w:hAnsi="Times New Roman" w:cs="Times New Roman"/>
        </w:rPr>
      </w:pPr>
    </w:p>
    <w:p w14:paraId="79399163" w14:textId="565BED7B" w:rsidR="00FA4F5F" w:rsidRDefault="002D52F5">
      <w:pPr>
        <w:pStyle w:val="CorpsA"/>
        <w:spacing w:line="360" w:lineRule="auto"/>
        <w:ind w:firstLine="567"/>
        <w:rPr>
          <w:rStyle w:val="Aucun"/>
          <w:rFonts w:ascii="Times New Roman" w:eastAsia="Times New Roman" w:hAnsi="Times New Roman" w:cs="Times New Roman"/>
        </w:rPr>
      </w:pPr>
      <w:r>
        <w:rPr>
          <w:rStyle w:val="Aucun"/>
          <w:rFonts w:ascii="Times New Roman" w:eastAsia="Times New Roman" w:hAnsi="Times New Roman" w:cs="Times New Roman"/>
        </w:rPr>
        <w:t>La langue est travaill</w:t>
      </w:r>
      <w:r>
        <w:rPr>
          <w:rStyle w:val="Aucun"/>
          <w:rFonts w:ascii="Times New Roman" w:hAnsi="Times New Roman"/>
        </w:rPr>
        <w:t>ée par des ennemis de l’intérieur, des mots d’ordre qu’elle communique et qui, pourtant, ne parlent et n’existent qu’à travers elle</w:t>
      </w:r>
      <w:r>
        <w:rPr>
          <w:rStyle w:val="Aucun"/>
          <w:rFonts w:ascii="Times New Roman" w:eastAsia="Times New Roman" w:hAnsi="Times New Roman" w:cs="Times New Roman"/>
          <w:vertAlign w:val="superscript"/>
        </w:rPr>
        <w:footnoteReference w:id="63"/>
      </w:r>
      <w:r>
        <w:rPr>
          <w:rStyle w:val="Aucun"/>
          <w:rFonts w:ascii="Times New Roman" w:hAnsi="Times New Roman"/>
        </w:rPr>
        <w:t xml:space="preserve">. La forme de base du langage, c’est donc le discours indirect libre, forme du discours d’autrui où l’identification </w:t>
      </w:r>
      <w:r>
        <w:rPr>
          <w:rStyle w:val="Aucun"/>
          <w:rFonts w:ascii="Times New Roman" w:hAnsi="Times New Roman"/>
        </w:rPr>
        <w:lastRenderedPageBreak/>
        <w:t>relative des différentes voix présentes dépend d’un agencement collectif d’énonciation préalable</w:t>
      </w:r>
      <w:r>
        <w:rPr>
          <w:rStyle w:val="Aucun"/>
          <w:rFonts w:ascii="Times New Roman" w:eastAsia="Times New Roman" w:hAnsi="Times New Roman" w:cs="Times New Roman"/>
          <w:vertAlign w:val="superscript"/>
        </w:rPr>
        <w:footnoteReference w:id="64"/>
      </w:r>
      <w:r>
        <w:rPr>
          <w:rStyle w:val="Aucun"/>
          <w:rFonts w:ascii="Times New Roman" w:hAnsi="Times New Roman"/>
        </w:rPr>
        <w:t xml:space="preserve">. </w:t>
      </w:r>
    </w:p>
    <w:p w14:paraId="308B7F46" w14:textId="77777777" w:rsidR="00FA4F5F" w:rsidRDefault="00FA4F5F">
      <w:pPr>
        <w:pStyle w:val="CorpsA"/>
        <w:spacing w:line="360" w:lineRule="auto"/>
        <w:ind w:firstLine="567"/>
        <w:rPr>
          <w:rStyle w:val="Aucun"/>
          <w:rFonts w:ascii="Times New Roman" w:eastAsia="Times New Roman" w:hAnsi="Times New Roman" w:cs="Times New Roman"/>
        </w:rPr>
      </w:pPr>
    </w:p>
    <w:p w14:paraId="729E6117" w14:textId="54ECF8D3" w:rsidR="00FA4F5F" w:rsidRDefault="002D52F5">
      <w:pPr>
        <w:pStyle w:val="CorpsA"/>
        <w:spacing w:line="360" w:lineRule="auto"/>
        <w:ind w:firstLine="567"/>
        <w:rPr>
          <w:rStyle w:val="Aucun"/>
          <w:rFonts w:ascii="Times New Roman" w:eastAsia="Times New Roman" w:hAnsi="Times New Roman" w:cs="Times New Roman"/>
        </w:rPr>
      </w:pPr>
      <w:r>
        <w:rPr>
          <w:rStyle w:val="Aucun"/>
          <w:rFonts w:ascii="Times New Roman" w:eastAsia="Times New Roman" w:hAnsi="Times New Roman" w:cs="Times New Roman"/>
        </w:rPr>
        <w:t>Le r</w:t>
      </w:r>
      <w:r>
        <w:rPr>
          <w:rStyle w:val="Aucun"/>
          <w:rFonts w:ascii="Times New Roman" w:hAnsi="Times New Roman"/>
        </w:rPr>
        <w:t>éalisateur italien Pasolini montrera combien une langue se laisse d’autant plus travailler de l’intérieur par un discours indirect libre qu’elle est en prise avec des dialectes qui ne cessent de la déterritorialiser</w:t>
      </w:r>
      <w:r>
        <w:rPr>
          <w:rStyle w:val="Aucun"/>
          <w:rFonts w:ascii="Times New Roman" w:eastAsia="Times New Roman" w:hAnsi="Times New Roman" w:cs="Times New Roman"/>
          <w:vertAlign w:val="superscript"/>
        </w:rPr>
        <w:footnoteReference w:id="65"/>
      </w:r>
      <w:r>
        <w:rPr>
          <w:rStyle w:val="Aucun"/>
          <w:rFonts w:ascii="Times New Roman" w:hAnsi="Times New Roman"/>
        </w:rPr>
        <w:t>. Dans les deux cas, il s’agit de faire entrer le système linguistique en déséquilibre, d’assumer son hétérogénéité, de le faire filer le long d’une ligne de fuite plutôt que de le stabiliser dans une structure</w:t>
      </w:r>
      <w:r>
        <w:rPr>
          <w:rStyle w:val="Aucun"/>
          <w:rFonts w:ascii="Times New Roman" w:eastAsia="Times New Roman" w:hAnsi="Times New Roman" w:cs="Times New Roman"/>
          <w:vertAlign w:val="superscript"/>
        </w:rPr>
        <w:footnoteReference w:id="66"/>
      </w:r>
      <w:r>
        <w:rPr>
          <w:rStyle w:val="Aucun"/>
          <w:rFonts w:ascii="Times New Roman" w:hAnsi="Times New Roman"/>
        </w:rPr>
        <w:t>. C’est que tout dialecte est déjà l’autre sous la langue, cet ennemi de l’intérieur qui en ruine les prétentions d’uniformité et de stabilité.</w:t>
      </w:r>
    </w:p>
    <w:p w14:paraId="40FFA631" w14:textId="77777777" w:rsidR="00FA4F5F" w:rsidRDefault="00FA4F5F">
      <w:pPr>
        <w:pStyle w:val="CorpsA"/>
        <w:spacing w:line="360" w:lineRule="auto"/>
        <w:ind w:firstLine="567"/>
        <w:rPr>
          <w:rStyle w:val="Aucun"/>
          <w:rFonts w:ascii="Times New Roman" w:eastAsia="Times New Roman" w:hAnsi="Times New Roman" w:cs="Times New Roman"/>
        </w:rPr>
      </w:pPr>
    </w:p>
    <w:p w14:paraId="2A9782F0" w14:textId="39CAC19E" w:rsidR="00FA4F5F" w:rsidRDefault="002D52F5">
      <w:pPr>
        <w:pStyle w:val="CorpsA"/>
        <w:spacing w:line="360" w:lineRule="auto"/>
        <w:ind w:firstLine="567"/>
        <w:rPr>
          <w:rStyle w:val="Aucun"/>
          <w:rFonts w:ascii="Times New Roman" w:eastAsia="Times New Roman" w:hAnsi="Times New Roman" w:cs="Times New Roman"/>
        </w:rPr>
      </w:pPr>
      <w:r>
        <w:rPr>
          <w:rStyle w:val="Aucun"/>
          <w:rFonts w:ascii="Times New Roman" w:eastAsia="Times New Roman" w:hAnsi="Times New Roman" w:cs="Times New Roman"/>
        </w:rPr>
        <w:t>La langue de la linguistique structurale n</w:t>
      </w:r>
      <w:r>
        <w:rPr>
          <w:rStyle w:val="Aucun"/>
          <w:rFonts w:ascii="Times New Roman" w:hAnsi="Times New Roman"/>
        </w:rPr>
        <w:t xml:space="preserve">’est qu’une abstraction réductrice en permanence débordée par des </w:t>
      </w:r>
      <w:r w:rsidR="00661544">
        <w:rPr>
          <w:rStyle w:val="Aucun"/>
          <w:rFonts w:ascii="Times New Roman" w:hAnsi="Times New Roman"/>
        </w:rPr>
        <w:t xml:space="preserve">usages subversifs. </w:t>
      </w:r>
      <w:r>
        <w:rPr>
          <w:rStyle w:val="Aucun"/>
          <w:rFonts w:ascii="Times New Roman" w:hAnsi="Times New Roman"/>
        </w:rPr>
        <w:t>Elle tente désespérément de se maintenir à flot, d’empêcher ces altérités de l’envoyer par le fond en la déterritorialisant. Mais toute langue, quelle qu’elle soit, est toujours déjà travaillée en soubassement par un « plurilinguisme immanent </w:t>
      </w:r>
      <w:r>
        <w:rPr>
          <w:rStyle w:val="Aucun"/>
          <w:rFonts w:ascii="Times New Roman" w:eastAsia="Times New Roman" w:hAnsi="Times New Roman" w:cs="Times New Roman"/>
          <w:vertAlign w:val="superscript"/>
        </w:rPr>
        <w:footnoteReference w:id="67"/>
      </w:r>
      <w:r w:rsidR="0020414A">
        <w:rPr>
          <w:rStyle w:val="Aucun"/>
          <w:rFonts w:ascii="Times New Roman" w:hAnsi="Times New Roman"/>
        </w:rPr>
        <w:t> »</w:t>
      </w:r>
      <w:r>
        <w:rPr>
          <w:rStyle w:val="Aucun"/>
          <w:rFonts w:ascii="Times New Roman" w:hAnsi="Times New Roman"/>
        </w:rPr>
        <w:t xml:space="preserve"> qui ne cesse de l’ouvrir de l’intérieur, de l’empêcher de se fermer définitivement sur un ensemble de traits distinctifs en équilibre</w:t>
      </w:r>
      <w:r>
        <w:rPr>
          <w:rStyle w:val="Aucun"/>
          <w:rFonts w:ascii="Times New Roman" w:eastAsia="Times New Roman" w:hAnsi="Times New Roman" w:cs="Times New Roman"/>
          <w:vertAlign w:val="superscript"/>
        </w:rPr>
        <w:footnoteReference w:id="68"/>
      </w:r>
      <w:r>
        <w:rPr>
          <w:rStyle w:val="Aucun"/>
          <w:rFonts w:ascii="Times New Roman" w:hAnsi="Times New Roman"/>
        </w:rPr>
        <w:t>. Ce « plurilinguisme immanent », c’est l’ennemi sous la langue, son dehors qui la déplace, sans jamais la remplacer. Nous l’avons déjà vu avec l’influence de l’anglais sur le vocabulaire mathématique et scientifique des élèves québécois·es. Mais en réalité, cette influence va bien au-delà de ce champ lexical relativement restreint. C’est le français québécois dans son ensemble qui est hanté par les anglicismes, contaminé par ceux-ci, comme avec ces tournures de phrases qui le font littéralement bégayer, telles que « tomber en amour » issue de « to fall in love » ou « être familier avec » influencée par « to be familiar with</w:t>
      </w:r>
      <w:r>
        <w:rPr>
          <w:rStyle w:val="Aucun"/>
          <w:rFonts w:ascii="Times New Roman" w:eastAsia="Times New Roman" w:hAnsi="Times New Roman" w:cs="Times New Roman"/>
          <w:vertAlign w:val="superscript"/>
        </w:rPr>
        <w:footnoteReference w:id="69"/>
      </w:r>
      <w:r w:rsidR="0020414A">
        <w:rPr>
          <w:rStyle w:val="Aucun"/>
          <w:rFonts w:ascii="Times New Roman" w:hAnsi="Times New Roman"/>
        </w:rPr>
        <w:t> »</w:t>
      </w:r>
      <w:r>
        <w:rPr>
          <w:rStyle w:val="Aucun"/>
          <w:rFonts w:ascii="Times New Roman" w:hAnsi="Times New Roman"/>
        </w:rPr>
        <w:t xml:space="preserve">. </w:t>
      </w:r>
    </w:p>
    <w:p w14:paraId="11870290" w14:textId="77777777" w:rsidR="00FA4F5F" w:rsidRDefault="00FA4F5F">
      <w:pPr>
        <w:pStyle w:val="CorpsA"/>
        <w:spacing w:line="360" w:lineRule="auto"/>
        <w:ind w:firstLine="567"/>
        <w:rPr>
          <w:rStyle w:val="Aucun"/>
          <w:rFonts w:ascii="Times New Roman" w:eastAsia="Times New Roman" w:hAnsi="Times New Roman" w:cs="Times New Roman"/>
        </w:rPr>
      </w:pPr>
    </w:p>
    <w:p w14:paraId="037A0BD5" w14:textId="3272AA88" w:rsidR="00FA4F5F" w:rsidRDefault="002D52F5">
      <w:pPr>
        <w:pStyle w:val="CorpsA"/>
        <w:spacing w:line="360" w:lineRule="auto"/>
        <w:ind w:firstLine="567"/>
        <w:rPr>
          <w:rStyle w:val="Aucun"/>
          <w:rFonts w:ascii="Times New Roman" w:eastAsia="Times New Roman" w:hAnsi="Times New Roman" w:cs="Times New Roman"/>
        </w:rPr>
      </w:pPr>
      <w:r>
        <w:rPr>
          <w:rStyle w:val="Aucun"/>
          <w:rFonts w:ascii="Times New Roman" w:eastAsia="Times New Roman" w:hAnsi="Times New Roman" w:cs="Times New Roman"/>
        </w:rPr>
        <w:t>Ainsi, l</w:t>
      </w:r>
      <w:r>
        <w:rPr>
          <w:rStyle w:val="Aucun"/>
          <w:rFonts w:ascii="Times New Roman" w:hAnsi="Times New Roman"/>
        </w:rPr>
        <w:t>à où la linguistique structurale confine les variations au domaine de la parole en les excluant de la structure langagière, Deleuze et Guattari proposent de prendre le contre-pied exact de cette tentative désespérée d’assainissement en contaminant cette même structure, en en faisant un véritable continuum de variations</w:t>
      </w:r>
      <w:r>
        <w:rPr>
          <w:rStyle w:val="Aucun"/>
          <w:rFonts w:ascii="Times New Roman" w:eastAsia="Times New Roman" w:hAnsi="Times New Roman" w:cs="Times New Roman"/>
          <w:vertAlign w:val="superscript"/>
        </w:rPr>
        <w:footnoteReference w:id="70"/>
      </w:r>
      <w:r>
        <w:rPr>
          <w:rStyle w:val="Aucun"/>
          <w:rFonts w:ascii="Times New Roman" w:hAnsi="Times New Roman"/>
        </w:rPr>
        <w:t xml:space="preserve">. Il ne s’agit nullement de choisir la parole </w:t>
      </w:r>
      <w:r>
        <w:rPr>
          <w:rStyle w:val="Aucun"/>
          <w:rFonts w:ascii="Times New Roman" w:hAnsi="Times New Roman"/>
        </w:rPr>
        <w:lastRenderedPageBreak/>
        <w:t>plutôt que la langue, en restant pris au piège de la dichotomie saussurienne. La parole n’est pas un meilleur concept que la langue. C’est à cette dichotomie même qu’il faut s’attaquer pour ne pas étouffer dans l’air aseptisé de cette théorie du langage</w:t>
      </w:r>
      <w:r>
        <w:rPr>
          <w:rStyle w:val="Aucun"/>
          <w:rFonts w:ascii="Times New Roman" w:eastAsia="Times New Roman" w:hAnsi="Times New Roman" w:cs="Times New Roman"/>
          <w:vertAlign w:val="superscript"/>
        </w:rPr>
        <w:footnoteReference w:id="71"/>
      </w:r>
      <w:r>
        <w:rPr>
          <w:rStyle w:val="Aucun"/>
          <w:rFonts w:ascii="Times New Roman" w:hAnsi="Times New Roman"/>
        </w:rPr>
        <w:t xml:space="preserve">. Que l’on nous comprenne bien : cette position ne peut nullement être réduite à l’affirmation pure et simple de l’impossibilité d’un système langagier, d’une langue en tant qu’unité. Simplement, cette unité ne peut être posée comme « donnée ». Au contraire, comme le précise Sibertin-Blanc : </w:t>
      </w:r>
    </w:p>
    <w:p w14:paraId="7C24A2B9" w14:textId="77777777" w:rsidR="00FA4F5F" w:rsidRDefault="00FA4F5F">
      <w:pPr>
        <w:pStyle w:val="CorpsA"/>
        <w:spacing w:line="360" w:lineRule="auto"/>
        <w:ind w:left="567" w:firstLine="567"/>
        <w:rPr>
          <w:rStyle w:val="Aucun"/>
          <w:rFonts w:ascii="Times New Roman" w:eastAsia="Times New Roman" w:hAnsi="Times New Roman" w:cs="Times New Roman"/>
        </w:rPr>
      </w:pPr>
    </w:p>
    <w:p w14:paraId="248383D4" w14:textId="02896946" w:rsidR="00FA4F5F" w:rsidRPr="0020414A" w:rsidRDefault="002D52F5">
      <w:pPr>
        <w:pStyle w:val="CorpsA"/>
        <w:spacing w:line="360" w:lineRule="auto"/>
        <w:ind w:left="708"/>
        <w:rPr>
          <w:rStyle w:val="Aucun"/>
          <w:rFonts w:ascii="Times New Roman" w:eastAsia="Times New Roman" w:hAnsi="Times New Roman" w:cs="Times New Roman"/>
          <w:sz w:val="22"/>
          <w:szCs w:val="22"/>
        </w:rPr>
      </w:pPr>
      <w:r w:rsidRPr="0020414A">
        <w:rPr>
          <w:rStyle w:val="Aucun"/>
          <w:rFonts w:ascii="Times New Roman" w:hAnsi="Times New Roman"/>
          <w:sz w:val="22"/>
          <w:szCs w:val="22"/>
        </w:rPr>
        <w:t xml:space="preserve">Elle est toujours le résultat partiel, problématique et antagonique, d’opérations d’unification qui font entrer les pratiques linguistiques dans des agencements institutionnels et politiques capables de </w:t>
      </w:r>
      <w:r w:rsidRPr="0020414A">
        <w:rPr>
          <w:rStyle w:val="Aucun"/>
          <w:rFonts w:ascii="Times New Roman" w:hAnsi="Times New Roman"/>
          <w:i/>
          <w:iCs/>
          <w:sz w:val="22"/>
          <w:szCs w:val="22"/>
        </w:rPr>
        <w:t xml:space="preserve">forcer </w:t>
      </w:r>
      <w:r w:rsidRPr="0020414A">
        <w:rPr>
          <w:rStyle w:val="Aucun"/>
          <w:rFonts w:ascii="Times New Roman" w:hAnsi="Times New Roman"/>
          <w:sz w:val="22"/>
          <w:szCs w:val="22"/>
        </w:rPr>
        <w:t>cette unité, agencements à leur tour indissociables de mécanismes conflictuels de reproduction des rapports sociaux qui ne sont jamais seulement linguistiques pour leur compte</w:t>
      </w:r>
      <w:r w:rsidRPr="0020414A">
        <w:rPr>
          <w:rStyle w:val="Aucun"/>
          <w:rFonts w:ascii="Times New Roman" w:eastAsia="Times New Roman" w:hAnsi="Times New Roman" w:cs="Times New Roman"/>
          <w:sz w:val="22"/>
          <w:szCs w:val="22"/>
          <w:vertAlign w:val="superscript"/>
        </w:rPr>
        <w:footnoteReference w:id="72"/>
      </w:r>
      <w:r w:rsidR="0020414A" w:rsidRPr="0020414A">
        <w:rPr>
          <w:rStyle w:val="Aucun"/>
          <w:rFonts w:ascii="Times New Roman" w:hAnsi="Times New Roman"/>
          <w:sz w:val="22"/>
          <w:szCs w:val="22"/>
        </w:rPr>
        <w:t>.</w:t>
      </w:r>
    </w:p>
    <w:p w14:paraId="64650FCA" w14:textId="77777777" w:rsidR="00FA4F5F" w:rsidRDefault="00FA4F5F">
      <w:pPr>
        <w:pStyle w:val="CorpsA"/>
        <w:spacing w:line="360" w:lineRule="auto"/>
        <w:ind w:left="708" w:firstLine="567"/>
        <w:rPr>
          <w:rStyle w:val="Aucun"/>
          <w:rFonts w:ascii="Times New Roman" w:eastAsia="Times New Roman" w:hAnsi="Times New Roman" w:cs="Times New Roman"/>
        </w:rPr>
      </w:pPr>
    </w:p>
    <w:p w14:paraId="141BA5EE" w14:textId="6C985E85" w:rsidR="00FA4F5F" w:rsidRDefault="002D52F5">
      <w:pPr>
        <w:pStyle w:val="CorpsA"/>
        <w:spacing w:line="360" w:lineRule="auto"/>
        <w:ind w:firstLine="567"/>
        <w:rPr>
          <w:rStyle w:val="Aucun"/>
          <w:rFonts w:ascii="Times New Roman" w:eastAsia="Times New Roman" w:hAnsi="Times New Roman" w:cs="Times New Roman"/>
        </w:rPr>
      </w:pPr>
      <w:r>
        <w:rPr>
          <w:rStyle w:val="Aucun"/>
          <w:rFonts w:ascii="Times New Roman" w:eastAsia="Times New Roman" w:hAnsi="Times New Roman" w:cs="Times New Roman"/>
        </w:rPr>
        <w:t>Et c</w:t>
      </w:r>
      <w:r>
        <w:rPr>
          <w:rStyle w:val="Aucun"/>
          <w:rFonts w:ascii="Times New Roman" w:hAnsi="Times New Roman"/>
        </w:rPr>
        <w:t xml:space="preserve">’est précisément parce que cette unité n’est jamais qu’un effet, le résultat partiel d’un croisement entre différents agencements linguistiques, politiques, économiques, etc. que la langue est toujours inquiète, infectée par l’altérité dans sa structure même. Elle n’est qu’un rapport de forces toujours instable entre différents mots d’ordre qui la déterritorialisent en permanence. </w:t>
      </w:r>
    </w:p>
    <w:p w14:paraId="03B9645F" w14:textId="77777777" w:rsidR="00FA4F5F" w:rsidRDefault="00FA4F5F">
      <w:pPr>
        <w:pStyle w:val="CorpsA"/>
        <w:spacing w:line="360" w:lineRule="auto"/>
        <w:ind w:firstLine="567"/>
        <w:rPr>
          <w:rStyle w:val="Aucun"/>
          <w:rFonts w:ascii="Times New Roman" w:eastAsia="Times New Roman" w:hAnsi="Times New Roman" w:cs="Times New Roman"/>
        </w:rPr>
      </w:pPr>
    </w:p>
    <w:p w14:paraId="7A4C39DE" w14:textId="5E0A8E5F" w:rsidR="00FA4F5F" w:rsidRDefault="002D52F5">
      <w:pPr>
        <w:pStyle w:val="CorpsA"/>
        <w:spacing w:line="360" w:lineRule="auto"/>
        <w:rPr>
          <w:rStyle w:val="Aucun"/>
          <w:rFonts w:ascii="Times New Roman" w:eastAsia="Times New Roman" w:hAnsi="Times New Roman" w:cs="Times New Roman"/>
        </w:rPr>
      </w:pPr>
      <w:r>
        <w:rPr>
          <w:rStyle w:val="Aucun"/>
          <w:rFonts w:ascii="Times New Roman" w:eastAsia="Times New Roman" w:hAnsi="Times New Roman" w:cs="Times New Roman"/>
        </w:rPr>
        <w:t>Certes,</w:t>
      </w:r>
      <w:r w:rsidR="005A4DAC">
        <w:rPr>
          <w:rStyle w:val="Aucun"/>
          <w:rFonts w:ascii="Times New Roman" w:eastAsia="Times New Roman" w:hAnsi="Times New Roman" w:cs="Times New Roman"/>
        </w:rPr>
        <w:t xml:space="preserve"> comme l’explique bien Deleuze,</w:t>
      </w:r>
      <w:r>
        <w:rPr>
          <w:rStyle w:val="Aucun"/>
          <w:rFonts w:ascii="Times New Roman" w:eastAsia="Times New Roman" w:hAnsi="Times New Roman" w:cs="Times New Roman"/>
        </w:rPr>
        <w:t xml:space="preserve"> le langage ne peut d</w:t>
      </w:r>
      <w:r>
        <w:rPr>
          <w:rStyle w:val="Aucun"/>
          <w:rFonts w:ascii="Times New Roman" w:hAnsi="Times New Roman"/>
        </w:rPr>
        <w:t>ésigner ou ordonner que parce qu’il est traversé par des</w:t>
      </w:r>
      <w:r w:rsidR="004A3E01">
        <w:rPr>
          <w:rStyle w:val="Aucun"/>
          <w:rFonts w:ascii="Times New Roman" w:hAnsi="Times New Roman"/>
        </w:rPr>
        <w:t> </w:t>
      </w:r>
      <w:r>
        <w:rPr>
          <w:rStyle w:val="Aucun"/>
          <w:rFonts w:ascii="Times New Roman" w:hAnsi="Times New Roman"/>
        </w:rPr>
        <w:t xml:space="preserve">disjonctions exclusives (« on ne dit pas à la fois </w:t>
      </w:r>
      <w:r w:rsidR="00C5539F" w:rsidRPr="00A10D9F">
        <w:rPr>
          <w:rFonts w:ascii="Times New Roman" w:hAnsi="Times New Roman" w:cs="Times New Roman"/>
        </w:rPr>
        <w:t>“</w:t>
      </w:r>
      <w:r>
        <w:rPr>
          <w:rStyle w:val="Aucun"/>
          <w:rFonts w:ascii="Times New Roman" w:hAnsi="Times New Roman"/>
        </w:rPr>
        <w:t>passion</w:t>
      </w:r>
      <w:r w:rsidR="00C5539F" w:rsidRPr="00A10D9F">
        <w:rPr>
          <w:rFonts w:ascii="Times New Roman" w:hAnsi="Times New Roman" w:cs="Times New Roman"/>
        </w:rPr>
        <w:t>”</w:t>
      </w:r>
      <w:r>
        <w:rPr>
          <w:rStyle w:val="Aucun"/>
          <w:rFonts w:ascii="Times New Roman" w:hAnsi="Times New Roman"/>
        </w:rPr>
        <w:t xml:space="preserve">, </w:t>
      </w:r>
      <w:r w:rsidR="00C5539F" w:rsidRPr="00A10D9F">
        <w:rPr>
          <w:rFonts w:ascii="Times New Roman" w:hAnsi="Times New Roman" w:cs="Times New Roman"/>
        </w:rPr>
        <w:t>“</w:t>
      </w:r>
      <w:r>
        <w:rPr>
          <w:rStyle w:val="Aucun"/>
          <w:rFonts w:ascii="Times New Roman" w:hAnsi="Times New Roman"/>
        </w:rPr>
        <w:t>nation</w:t>
      </w:r>
      <w:r w:rsidR="00C5539F" w:rsidRPr="00A10D9F">
        <w:rPr>
          <w:rFonts w:ascii="Times New Roman" w:hAnsi="Times New Roman" w:cs="Times New Roman"/>
        </w:rPr>
        <w:t>”</w:t>
      </w:r>
      <w:r>
        <w:rPr>
          <w:rStyle w:val="Aucun"/>
          <w:rFonts w:ascii="Times New Roman" w:hAnsi="Times New Roman"/>
        </w:rPr>
        <w:t xml:space="preserve">, </w:t>
      </w:r>
      <w:r w:rsidR="00C5539F" w:rsidRPr="00A10D9F">
        <w:rPr>
          <w:rFonts w:ascii="Times New Roman" w:hAnsi="Times New Roman" w:cs="Times New Roman"/>
        </w:rPr>
        <w:t>“</w:t>
      </w:r>
      <w:r>
        <w:rPr>
          <w:rStyle w:val="Aucun"/>
          <w:rFonts w:ascii="Times New Roman" w:hAnsi="Times New Roman"/>
        </w:rPr>
        <w:t>ration</w:t>
      </w:r>
      <w:r w:rsidR="00C5539F" w:rsidRPr="00A10D9F">
        <w:rPr>
          <w:rFonts w:ascii="Times New Roman" w:hAnsi="Times New Roman" w:cs="Times New Roman"/>
        </w:rPr>
        <w:t>”</w:t>
      </w:r>
      <w:r>
        <w:rPr>
          <w:rStyle w:val="Aucun"/>
          <w:rFonts w:ascii="Times New Roman" w:hAnsi="Times New Roman"/>
        </w:rPr>
        <w:t> ») et des connexions progressives (« on ne combine pas un mot avec ses éléments, dans une sorte de surplace ou d’avant-arrière </w:t>
      </w:r>
      <w:r w:rsidR="0020414A">
        <w:rPr>
          <w:rStyle w:val="Aucun"/>
          <w:rFonts w:ascii="Times New Roman" w:hAnsi="Times New Roman"/>
        </w:rPr>
        <w:t>»</w:t>
      </w:r>
      <w:r>
        <w:rPr>
          <w:rStyle w:val="Aucun"/>
          <w:rFonts w:ascii="Times New Roman" w:hAnsi="Times New Roman"/>
        </w:rPr>
        <w:t>)</w:t>
      </w:r>
      <w:r w:rsidR="00744D9C">
        <w:rPr>
          <w:rStyle w:val="Aucun"/>
          <w:rFonts w:ascii="Times New Roman" w:eastAsia="Times New Roman" w:hAnsi="Times New Roman" w:cs="Times New Roman"/>
          <w:vertAlign w:val="superscript"/>
        </w:rPr>
        <w:footnoteReference w:id="73"/>
      </w:r>
      <w:r>
        <w:rPr>
          <w:rStyle w:val="Aucun"/>
          <w:rFonts w:ascii="Times New Roman" w:hAnsi="Times New Roman"/>
        </w:rPr>
        <w:t xml:space="preserve">. Mais ces fonctions majeures ou sémantiques nécessitent un travail de dépotentialisation d’une équivocité primordiale, travail toujours fragile, car menacé en permanence par la résurgence de l’ennemi sous la langue. Et seule une théorie du langage qui ne pose pas d’emblée l’unité d’une langue et son équilibre est en mesure de faire droit à cet </w:t>
      </w:r>
      <w:r>
        <w:rPr>
          <w:rStyle w:val="Aucun"/>
          <w:rFonts w:ascii="Times New Roman" w:hAnsi="Times New Roman"/>
          <w:i/>
          <w:iCs/>
        </w:rPr>
        <w:t>agôn</w:t>
      </w:r>
      <w:r>
        <w:rPr>
          <w:rStyle w:val="Aucun"/>
          <w:rFonts w:ascii="Times New Roman" w:hAnsi="Times New Roman"/>
        </w:rPr>
        <w:t xml:space="preserve"> qui la travaille de l’intérieur, à sa dimension profondément cannibale. Là réside la critique fondamentale de Deleuze et Guattari à l’égard de la linguistique ; et du structuralisme en général. Elle ne porte pas tant sur l’idée de système que sur l’imposition même de sa stabilité, sa prétendue immunisation face aux variations</w:t>
      </w:r>
      <w:r>
        <w:rPr>
          <w:rStyle w:val="Aucun"/>
          <w:rFonts w:ascii="Times New Roman" w:eastAsia="Times New Roman" w:hAnsi="Times New Roman" w:cs="Times New Roman"/>
          <w:vertAlign w:val="superscript"/>
        </w:rPr>
        <w:footnoteReference w:id="74"/>
      </w:r>
      <w:r>
        <w:rPr>
          <w:rStyle w:val="Aucun"/>
          <w:rFonts w:ascii="Times New Roman" w:hAnsi="Times New Roman"/>
        </w:rPr>
        <w:t xml:space="preserve">. Car, loin d’être insubmersible, le système est chez Deleuze et Guattari toujours inquiet, en déséquilibre permanent, </w:t>
      </w:r>
      <w:r>
        <w:rPr>
          <w:rStyle w:val="Aucun"/>
          <w:rFonts w:ascii="Times New Roman" w:hAnsi="Times New Roman"/>
        </w:rPr>
        <w:lastRenderedPageBreak/>
        <w:t xml:space="preserve">rhizomatique. C’est d’ailleurs cette critique essentielle que Viveiros de Castro reprendra dans son opposition à un certain structuralisme lévi-straussien – principalement celui de la </w:t>
      </w:r>
      <w:r>
        <w:rPr>
          <w:rStyle w:val="Aucun"/>
          <w:rFonts w:ascii="Times New Roman" w:hAnsi="Times New Roman"/>
          <w:i/>
          <w:iCs/>
        </w:rPr>
        <w:t>Pensée sauvage</w:t>
      </w:r>
      <w:r>
        <w:rPr>
          <w:rStyle w:val="Aucun"/>
          <w:rFonts w:ascii="Times New Roman" w:eastAsia="Times New Roman" w:hAnsi="Times New Roman" w:cs="Times New Roman"/>
          <w:vertAlign w:val="superscript"/>
        </w:rPr>
        <w:footnoteReference w:id="75"/>
      </w:r>
      <w:r>
        <w:rPr>
          <w:rStyle w:val="Aucun"/>
          <w:rFonts w:ascii="Times New Roman" w:hAnsi="Times New Roman"/>
        </w:rPr>
        <w:t xml:space="preserve"> – qui envisage essentiellement la structure comme « un principe transcendantal d’unification, une loi formelle d’invariance », composé d’« oppositions symétriques, équipollentes, duelles discrètes et réversibles</w:t>
      </w:r>
      <w:r>
        <w:rPr>
          <w:rStyle w:val="Aucun"/>
          <w:rFonts w:ascii="Times New Roman" w:eastAsia="Times New Roman" w:hAnsi="Times New Roman" w:cs="Times New Roman"/>
          <w:vertAlign w:val="superscript"/>
        </w:rPr>
        <w:footnoteReference w:id="76"/>
      </w:r>
      <w:r w:rsidR="0020414A">
        <w:rPr>
          <w:rStyle w:val="Aucun"/>
          <w:rFonts w:ascii="Times New Roman" w:hAnsi="Times New Roman"/>
        </w:rPr>
        <w:t> »</w:t>
      </w:r>
      <w:r>
        <w:rPr>
          <w:rStyle w:val="Aucun"/>
          <w:rFonts w:ascii="Times New Roman" w:hAnsi="Times New Roman"/>
        </w:rPr>
        <w:t xml:space="preserve"> c’est-à-dire, des « différences qui se ressemblent</w:t>
      </w:r>
      <w:r>
        <w:rPr>
          <w:rStyle w:val="Aucun"/>
          <w:rFonts w:ascii="Times New Roman" w:eastAsia="Times New Roman" w:hAnsi="Times New Roman" w:cs="Times New Roman"/>
          <w:vertAlign w:val="superscript"/>
        </w:rPr>
        <w:footnoteReference w:id="77"/>
      </w:r>
      <w:r w:rsidR="0020414A">
        <w:rPr>
          <w:rStyle w:val="Aucun"/>
          <w:rFonts w:ascii="Times New Roman" w:hAnsi="Times New Roman"/>
        </w:rPr>
        <w:t> »</w:t>
      </w:r>
      <w:r>
        <w:rPr>
          <w:rStyle w:val="Aucun"/>
          <w:rFonts w:ascii="Times New Roman" w:hAnsi="Times New Roman"/>
        </w:rPr>
        <w:t xml:space="preserve">. </w:t>
      </w:r>
    </w:p>
    <w:p w14:paraId="5955040A" w14:textId="77777777" w:rsidR="00FA4F5F" w:rsidRDefault="002D52F5">
      <w:pPr>
        <w:pStyle w:val="Titre2"/>
        <w:numPr>
          <w:ilvl w:val="0"/>
          <w:numId w:val="11"/>
        </w:numPr>
        <w:spacing w:line="360" w:lineRule="auto"/>
      </w:pPr>
      <w:r>
        <w:rPr>
          <w:rStyle w:val="AucunA"/>
        </w:rPr>
        <w:t xml:space="preserve">Devenir-ennemi du langage </w:t>
      </w:r>
    </w:p>
    <w:p w14:paraId="2D88E05B" w14:textId="77777777" w:rsidR="00FA4F5F" w:rsidRDefault="00FA4F5F">
      <w:pPr>
        <w:pStyle w:val="CorpsA"/>
        <w:rPr>
          <w:rStyle w:val="AucunA"/>
        </w:rPr>
      </w:pPr>
    </w:p>
    <w:p w14:paraId="7713CC09" w14:textId="5D9ABD00" w:rsidR="00FA4F5F" w:rsidRDefault="002D52F5">
      <w:pPr>
        <w:pStyle w:val="CorpsA"/>
        <w:spacing w:line="360" w:lineRule="auto"/>
        <w:ind w:firstLine="567"/>
        <w:rPr>
          <w:rStyle w:val="Aucun"/>
          <w:rFonts w:ascii="Times New Roman" w:eastAsia="Times New Roman" w:hAnsi="Times New Roman" w:cs="Times New Roman"/>
        </w:rPr>
      </w:pPr>
      <w:r>
        <w:rPr>
          <w:rStyle w:val="Aucun"/>
          <w:rFonts w:ascii="Times New Roman" w:eastAsia="Times New Roman" w:hAnsi="Times New Roman" w:cs="Times New Roman"/>
        </w:rPr>
        <w:t>Comme nous l</w:t>
      </w:r>
      <w:r>
        <w:rPr>
          <w:rStyle w:val="Aucun"/>
          <w:rFonts w:ascii="Times New Roman" w:hAnsi="Times New Roman"/>
        </w:rPr>
        <w:t xml:space="preserve">’avons vu précédemment, les chants guerriers araweté constituent de véritables jeux de miroir dans lesquels la question de l’identité du sujet d’énonciation est hautement problématique. Dans ces chants, l’ennemi colle littéralement à la peau du meurtrier, de sorte qu’il n’est plus possible de discerner nettement qui est en train de parler. Loin de présupposer une univocité première nécessaire à l’instauration d’une situation de communication idéale, ils ne cessent de propager des variations, de tendre le langage vers sa limite, là où les Araweté et leurs ennemis deviennent indiscernables, tout en demeurant distincts. En faisant coalescer les différents sujets d’énonciation, ces chants sapent les disjonctions exclusives qui permettaient au langage d’assurer ses fonctions majeures ou sémantiques. Ils ne désignent plus de figures spécifiques ni n’expriment d’ordres distincts. Ils ne constituent plus qu’un ensemble d’intensités. </w:t>
      </w:r>
    </w:p>
    <w:p w14:paraId="4D877253" w14:textId="77777777" w:rsidR="00FA4F5F" w:rsidRDefault="00FA4F5F">
      <w:pPr>
        <w:pStyle w:val="CorpsA"/>
        <w:spacing w:line="360" w:lineRule="auto"/>
        <w:ind w:firstLine="567"/>
        <w:rPr>
          <w:rStyle w:val="Aucun"/>
          <w:rFonts w:ascii="Times New Roman" w:eastAsia="Times New Roman" w:hAnsi="Times New Roman" w:cs="Times New Roman"/>
        </w:rPr>
      </w:pPr>
    </w:p>
    <w:p w14:paraId="6039BA22" w14:textId="056FC092" w:rsidR="00FA4F5F" w:rsidRDefault="002D52F5">
      <w:pPr>
        <w:pStyle w:val="CorpsA"/>
        <w:spacing w:line="360" w:lineRule="auto"/>
        <w:ind w:firstLine="567"/>
        <w:rPr>
          <w:rStyle w:val="Aucun"/>
          <w:rFonts w:ascii="Times New Roman" w:eastAsia="Times New Roman" w:hAnsi="Times New Roman" w:cs="Times New Roman"/>
        </w:rPr>
      </w:pPr>
      <w:r>
        <w:rPr>
          <w:rStyle w:val="Aucun"/>
          <w:rFonts w:ascii="Times New Roman" w:eastAsia="Times New Roman" w:hAnsi="Times New Roman" w:cs="Times New Roman"/>
        </w:rPr>
        <w:t>Deleuze et Guattari empruntent ce concept linguistique d</w:t>
      </w:r>
      <w:r>
        <w:rPr>
          <w:rStyle w:val="Aucun"/>
          <w:rFonts w:ascii="Times New Roman" w:hAnsi="Times New Roman"/>
        </w:rPr>
        <w:t>’« intensité » à Haïm-Vidal Séphiha, qu’il définit comme « tout outil linguistique qui permet de tendre vers la limite d’une notion ou de la dépasser </w:t>
      </w:r>
      <w:r>
        <w:rPr>
          <w:rStyle w:val="Aucun"/>
          <w:rFonts w:ascii="Times New Roman" w:eastAsia="Times New Roman" w:hAnsi="Times New Roman" w:cs="Times New Roman"/>
          <w:vertAlign w:val="superscript"/>
        </w:rPr>
        <w:footnoteReference w:id="78"/>
      </w:r>
      <w:r w:rsidR="0020414A">
        <w:rPr>
          <w:rStyle w:val="Aucun"/>
          <w:rFonts w:ascii="Times New Roman" w:hAnsi="Times New Roman"/>
        </w:rPr>
        <w:t> »</w:t>
      </w:r>
      <w:r>
        <w:rPr>
          <w:rStyle w:val="Aucun"/>
          <w:rFonts w:ascii="Times New Roman" w:hAnsi="Times New Roman"/>
        </w:rPr>
        <w:t>. Malgré leurs diversités grammaticales, les intensifs ont en commun cette « force percutante qui résulte de leur dépassement virtuel ou réel </w:t>
      </w:r>
      <w:r>
        <w:rPr>
          <w:rStyle w:val="Aucun"/>
          <w:rFonts w:ascii="Times New Roman" w:eastAsia="Times New Roman" w:hAnsi="Times New Roman" w:cs="Times New Roman"/>
          <w:vertAlign w:val="superscript"/>
        </w:rPr>
        <w:footnoteReference w:id="79"/>
      </w:r>
      <w:r w:rsidR="0020414A">
        <w:rPr>
          <w:rStyle w:val="Aucun"/>
          <w:rFonts w:ascii="Times New Roman" w:hAnsi="Times New Roman"/>
        </w:rPr>
        <w:t> »</w:t>
      </w:r>
      <w:r>
        <w:rPr>
          <w:rStyle w:val="Aucun"/>
          <w:rFonts w:ascii="Times New Roman" w:hAnsi="Times New Roman"/>
        </w:rPr>
        <w:t xml:space="preserve">. Le mot devient indiscernable de la limite qu’il exprime. C’est comme s’il y avait coalescence entre </w:t>
      </w:r>
      <w:r>
        <w:rPr>
          <w:rStyle w:val="Aucun"/>
          <w:rFonts w:ascii="Times New Roman" w:hAnsi="Times New Roman"/>
        </w:rPr>
        <w:lastRenderedPageBreak/>
        <w:t xml:space="preserve">contenu et expression, que ceux-ci se condensaient, se cristallisaient pour former une </w:t>
      </w:r>
      <w:r w:rsidR="00F23C24">
        <w:rPr>
          <w:rStyle w:val="Aucun"/>
          <w:rFonts w:ascii="Times New Roman" w:hAnsi="Times New Roman"/>
        </w:rPr>
        <w:t>« </w:t>
      </w:r>
      <w:r>
        <w:rPr>
          <w:rStyle w:val="Aucun"/>
          <w:rFonts w:ascii="Times New Roman" w:hAnsi="Times New Roman"/>
        </w:rPr>
        <w:t>image biface</w:t>
      </w:r>
      <w:r w:rsidR="00F23C24">
        <w:rPr>
          <w:rStyle w:val="Aucun"/>
          <w:rFonts w:ascii="Times New Roman" w:hAnsi="Times New Roman"/>
        </w:rPr>
        <w:t> »</w:t>
      </w:r>
      <w:r w:rsidR="00F23C24">
        <w:rPr>
          <w:rStyle w:val="Appelnotedebasdep"/>
          <w:rFonts w:ascii="Times New Roman" w:hAnsi="Times New Roman"/>
        </w:rPr>
        <w:footnoteReference w:id="80"/>
      </w:r>
      <w:r>
        <w:rPr>
          <w:rStyle w:val="Aucun"/>
          <w:rFonts w:ascii="Times New Roman" w:hAnsi="Times New Roman"/>
        </w:rPr>
        <w:t xml:space="preserve"> où l’un n’existe plus qu’à travers l’autre. </w:t>
      </w:r>
    </w:p>
    <w:p w14:paraId="21A69E58" w14:textId="77777777" w:rsidR="00FA4F5F" w:rsidRDefault="00FA4F5F">
      <w:pPr>
        <w:pStyle w:val="CorpsA"/>
        <w:spacing w:line="360" w:lineRule="auto"/>
        <w:ind w:firstLine="567"/>
        <w:rPr>
          <w:rStyle w:val="Aucun"/>
          <w:rFonts w:ascii="Times New Roman" w:eastAsia="Times New Roman" w:hAnsi="Times New Roman" w:cs="Times New Roman"/>
        </w:rPr>
      </w:pPr>
    </w:p>
    <w:p w14:paraId="10155057" w14:textId="5529E6F5" w:rsidR="00FA4F5F" w:rsidRDefault="002D52F5">
      <w:pPr>
        <w:pStyle w:val="CorpsA"/>
        <w:spacing w:line="360" w:lineRule="auto"/>
        <w:rPr>
          <w:rStyle w:val="Aucun"/>
          <w:rFonts w:ascii="Times New Roman" w:eastAsia="Times New Roman" w:hAnsi="Times New Roman" w:cs="Times New Roman"/>
        </w:rPr>
      </w:pPr>
      <w:r>
        <w:rPr>
          <w:rStyle w:val="Aucun"/>
          <w:rFonts w:ascii="Times New Roman" w:eastAsia="Times New Roman" w:hAnsi="Times New Roman" w:cs="Times New Roman"/>
        </w:rPr>
        <w:t>L</w:t>
      </w:r>
      <w:r>
        <w:rPr>
          <w:rStyle w:val="Aucun"/>
          <w:rFonts w:ascii="Times New Roman" w:hAnsi="Times New Roman"/>
        </w:rPr>
        <w:t xml:space="preserve">’intensif est tout à la fois une perte sémantique et un gain affectif. En se délaissant de son sens, il n’existe plus que sous le mot qui l’exprime. Et réciproquement, ce mot n’exprime plus que cet intensif qui insiste. Il n’est plus que ce passage à la limite qui se propage sous le mot et le mot ne signifie plus rien, mais exerce une force, exprime un affect. Pour Deleuze et Guattari, c’est à ce prix qu’une langue atteint sa dimension résolument artistique. </w:t>
      </w:r>
    </w:p>
    <w:p w14:paraId="1CB7E031" w14:textId="77777777" w:rsidR="00FA4F5F" w:rsidRDefault="00FA4F5F">
      <w:pPr>
        <w:pStyle w:val="CorpsA"/>
        <w:spacing w:line="360" w:lineRule="auto"/>
        <w:rPr>
          <w:rStyle w:val="Aucun"/>
          <w:rFonts w:ascii="Times New Roman" w:eastAsia="Times New Roman" w:hAnsi="Times New Roman" w:cs="Times New Roman"/>
        </w:rPr>
      </w:pPr>
    </w:p>
    <w:p w14:paraId="55206F52" w14:textId="1B1C520B" w:rsidR="00FA4F5F" w:rsidRDefault="002D52F5">
      <w:pPr>
        <w:pStyle w:val="CorpsA"/>
        <w:spacing w:line="360" w:lineRule="auto"/>
        <w:ind w:firstLine="567"/>
        <w:rPr>
          <w:rStyle w:val="Aucun"/>
          <w:rFonts w:ascii="Times New Roman" w:eastAsia="Times New Roman" w:hAnsi="Times New Roman" w:cs="Times New Roman"/>
        </w:rPr>
      </w:pPr>
      <w:r>
        <w:rPr>
          <w:rStyle w:val="Aucun"/>
          <w:rFonts w:ascii="Times New Roman" w:hAnsi="Times New Roman"/>
        </w:rPr>
        <w:t>Les fonctions sémantiques du langage exigent que l’on parle chacun à notre tour, que le sujet d’énonciation se distingue clairement du sujet d’énoncé. C’est le minimum d’information nécessaire au bon fonctionnement des mots d’ordre</w:t>
      </w:r>
      <w:r w:rsidR="00F33AD4">
        <w:rPr>
          <w:rStyle w:val="Appelnotedebasdep"/>
          <w:rFonts w:ascii="Times New Roman" w:hAnsi="Times New Roman"/>
        </w:rPr>
        <w:footnoteReference w:id="81"/>
      </w:r>
      <w:r>
        <w:rPr>
          <w:rStyle w:val="Aucun"/>
          <w:rFonts w:ascii="Times New Roman" w:hAnsi="Times New Roman"/>
        </w:rPr>
        <w:t xml:space="preserve">. Ceux-ci impliquent nécessairement la distribution d’identités relativement constantes, la dépotentialisation d’une équivocité première. De sorte que c’est déjà travers la question « qui parle ? » que le langage nous piège dans ses dichotomies. </w:t>
      </w:r>
    </w:p>
    <w:p w14:paraId="585B8D7B" w14:textId="77777777" w:rsidR="00FA4F5F" w:rsidRDefault="00FA4F5F">
      <w:pPr>
        <w:pStyle w:val="CorpsA"/>
        <w:spacing w:line="360" w:lineRule="auto"/>
        <w:ind w:firstLine="567"/>
        <w:rPr>
          <w:rStyle w:val="Aucun"/>
          <w:rFonts w:ascii="Times New Roman" w:eastAsia="Times New Roman" w:hAnsi="Times New Roman" w:cs="Times New Roman"/>
        </w:rPr>
      </w:pPr>
    </w:p>
    <w:p w14:paraId="4B4F88B7" w14:textId="77777777" w:rsidR="00FA4F5F" w:rsidRDefault="002D52F5">
      <w:pPr>
        <w:pStyle w:val="CorpsA"/>
        <w:spacing w:line="360" w:lineRule="auto"/>
        <w:ind w:firstLine="567"/>
        <w:rPr>
          <w:rStyle w:val="Aucun"/>
          <w:rFonts w:ascii="Times New Roman" w:eastAsia="Times New Roman" w:hAnsi="Times New Roman" w:cs="Times New Roman"/>
        </w:rPr>
      </w:pPr>
      <w:r>
        <w:rPr>
          <w:rStyle w:val="Aucun"/>
          <w:rFonts w:ascii="Times New Roman" w:hAnsi="Times New Roman"/>
        </w:rPr>
        <w:t>Mais les chants guerriers araweté viennent précisément saper ces disjonctions exclusives. Ils constituent une sorte d’agrammaticalité, de limite d’un certain nombre d’expressions grammaticalement correctes où les identités sont préservées</w:t>
      </w:r>
      <w:r>
        <w:rPr>
          <w:rStyle w:val="Aucun"/>
          <w:rFonts w:ascii="Times New Roman" w:eastAsia="Times New Roman" w:hAnsi="Times New Roman" w:cs="Times New Roman"/>
          <w:vertAlign w:val="superscript"/>
        </w:rPr>
        <w:footnoteReference w:id="82"/>
      </w:r>
      <w:r>
        <w:rPr>
          <w:rStyle w:val="Aucun"/>
          <w:rFonts w:ascii="Times New Roman" w:hAnsi="Times New Roman"/>
        </w:rPr>
        <w:t>. Prenons par exemple le point 6 du premier chant analysé précédemment. Nous l’avons déjà souligné, le terme « </w:t>
      </w:r>
      <w:r>
        <w:rPr>
          <w:rStyle w:val="Aucun"/>
          <w:rFonts w:ascii="Times New Roman" w:hAnsi="Times New Roman"/>
          <w:i/>
          <w:iCs/>
        </w:rPr>
        <w:t>towaho</w:t>
      </w:r>
      <w:r>
        <w:rPr>
          <w:rStyle w:val="Aucun"/>
          <w:rFonts w:ascii="Times New Roman" w:hAnsi="Times New Roman"/>
        </w:rPr>
        <w:t xml:space="preserve"> » est un terme utilisé par les Araweté pour désigner leurs ennemis. Le problème est qu’ici le </w:t>
      </w:r>
      <w:r>
        <w:rPr>
          <w:rStyle w:val="Aucun"/>
          <w:rFonts w:ascii="Times New Roman" w:hAnsi="Times New Roman"/>
          <w:i/>
          <w:iCs/>
        </w:rPr>
        <w:t>towaho</w:t>
      </w:r>
      <w:r>
        <w:rPr>
          <w:rStyle w:val="Aucun"/>
          <w:rFonts w:ascii="Times New Roman" w:hAnsi="Times New Roman"/>
        </w:rPr>
        <w:t xml:space="preserve"> en est question est justement le meurtrier araweté. De sorte que, « grammaticalement », cette utilisation est erronée. On est ou Araweté ou ennemi, mais pas les deux en même temps. Soit c’est un Araweté qui parle d’un ennemi, soit un ennemi qui parle d’un Araweté, mais alors sans mobiliser le terme araweté de </w:t>
      </w:r>
      <w:r>
        <w:rPr>
          <w:rStyle w:val="Aucun"/>
          <w:rFonts w:ascii="Times New Roman" w:hAnsi="Times New Roman"/>
          <w:i/>
          <w:iCs/>
        </w:rPr>
        <w:t>towaho</w:t>
      </w:r>
      <w:r>
        <w:rPr>
          <w:rStyle w:val="Aucun"/>
          <w:rFonts w:ascii="Times New Roman" w:hAnsi="Times New Roman"/>
        </w:rPr>
        <w:t xml:space="preserve">. Or, ici, c’est un Araweté qui parle de soi en tant qu’ennemi. Coalescence de points de vue, ou limite de variables grammaticales ordinaires. </w:t>
      </w:r>
    </w:p>
    <w:p w14:paraId="453CB6F0" w14:textId="77777777" w:rsidR="00FA4F5F" w:rsidRDefault="00FA4F5F">
      <w:pPr>
        <w:pStyle w:val="CorpsA"/>
        <w:spacing w:line="360" w:lineRule="auto"/>
        <w:ind w:firstLine="567"/>
        <w:rPr>
          <w:rStyle w:val="Aucun"/>
          <w:rFonts w:ascii="Times New Roman" w:eastAsia="Times New Roman" w:hAnsi="Times New Roman" w:cs="Times New Roman"/>
        </w:rPr>
      </w:pPr>
    </w:p>
    <w:p w14:paraId="4542E297" w14:textId="363B4073" w:rsidR="00FA4F5F" w:rsidRDefault="002D52F5">
      <w:pPr>
        <w:pStyle w:val="CorpsA"/>
        <w:spacing w:line="360" w:lineRule="auto"/>
        <w:ind w:firstLine="567"/>
        <w:rPr>
          <w:rStyle w:val="Aucun"/>
          <w:rFonts w:ascii="Times New Roman" w:eastAsia="Times New Roman" w:hAnsi="Times New Roman" w:cs="Times New Roman"/>
        </w:rPr>
      </w:pPr>
      <w:r>
        <w:rPr>
          <w:rStyle w:val="Aucun"/>
          <w:rFonts w:ascii="Times New Roman" w:eastAsia="Times New Roman" w:hAnsi="Times New Roman" w:cs="Times New Roman"/>
        </w:rPr>
        <w:t>L</w:t>
      </w:r>
      <w:r>
        <w:rPr>
          <w:rStyle w:val="Aucun"/>
          <w:rFonts w:ascii="Times New Roman" w:hAnsi="Times New Roman"/>
        </w:rPr>
        <w:t xml:space="preserve">’ennemi hante désormais le chant guerrier, n’existe plus en dehors de son expression. Inversement, ces chants ne renvoient plus à des figures distinctes de contenu, mais sont eux-mêmes intensifs, coulés dans ce même devenir. « Il n’y a même plus lieu de distinguer une forme d’expression et une forme de contenu, mais deux plans même inséparables en </w:t>
      </w:r>
      <w:r>
        <w:rPr>
          <w:rStyle w:val="Aucun"/>
          <w:rFonts w:ascii="Times New Roman" w:hAnsi="Times New Roman"/>
        </w:rPr>
        <w:lastRenderedPageBreak/>
        <w:t>présupposition réciproque </w:t>
      </w:r>
      <w:r>
        <w:rPr>
          <w:rStyle w:val="Aucun"/>
          <w:rFonts w:ascii="Times New Roman" w:eastAsia="Times New Roman" w:hAnsi="Times New Roman" w:cs="Times New Roman"/>
          <w:vertAlign w:val="superscript"/>
        </w:rPr>
        <w:footnoteReference w:id="83"/>
      </w:r>
      <w:r w:rsidR="0020414A">
        <w:rPr>
          <w:rStyle w:val="Aucun"/>
          <w:rFonts w:ascii="Times New Roman" w:hAnsi="Times New Roman"/>
        </w:rPr>
        <w:t> »</w:t>
      </w:r>
      <w:r>
        <w:rPr>
          <w:rStyle w:val="Aucun"/>
          <w:rFonts w:ascii="Times New Roman" w:hAnsi="Times New Roman"/>
        </w:rPr>
        <w:t xml:space="preserve">. L’ennemi, une fois dévoré, est comme défiguré, pure intensité, indiscernable de la fluidité du chant, passant d’un sujet d’énoncé à un autre dans un même continuum. </w:t>
      </w:r>
    </w:p>
    <w:p w14:paraId="31FB86AF" w14:textId="77777777" w:rsidR="00FA4F5F" w:rsidRDefault="00FA4F5F">
      <w:pPr>
        <w:pStyle w:val="CorpsA"/>
        <w:spacing w:line="360" w:lineRule="auto"/>
        <w:ind w:firstLine="567"/>
        <w:rPr>
          <w:rStyle w:val="Aucun"/>
          <w:rFonts w:ascii="Times New Roman" w:eastAsia="Times New Roman" w:hAnsi="Times New Roman" w:cs="Times New Roman"/>
        </w:rPr>
      </w:pPr>
    </w:p>
    <w:p w14:paraId="196ABA86" w14:textId="29045A3C" w:rsidR="00FA4F5F" w:rsidRDefault="002D52F5">
      <w:pPr>
        <w:pStyle w:val="CorpsA"/>
        <w:spacing w:line="360" w:lineRule="auto"/>
        <w:ind w:firstLine="567"/>
        <w:rPr>
          <w:rStyle w:val="Aucun"/>
          <w:rFonts w:ascii="Times New Roman" w:eastAsia="Times New Roman" w:hAnsi="Times New Roman" w:cs="Times New Roman"/>
          <w:i/>
          <w:iCs/>
        </w:rPr>
      </w:pPr>
      <w:r>
        <w:rPr>
          <w:rStyle w:val="Aucun"/>
          <w:rFonts w:ascii="Times New Roman" w:eastAsia="Times New Roman" w:hAnsi="Times New Roman" w:cs="Times New Roman"/>
        </w:rPr>
        <w:t>Alors que l</w:t>
      </w:r>
      <w:r>
        <w:rPr>
          <w:rStyle w:val="Aucun"/>
          <w:rFonts w:ascii="Times New Roman" w:hAnsi="Times New Roman"/>
        </w:rPr>
        <w:t>’ennemi devient intensif, le chant du guerrier devient l’Ennemi. Non plus l’ennemi relatif effectivement tué, mais l’Ennemi absolu, le devenir-ennemi</w:t>
      </w:r>
      <w:r w:rsidR="00710A45">
        <w:rPr>
          <w:rStyle w:val="Aucun"/>
          <w:rFonts w:ascii="Times New Roman" w:hAnsi="Times New Roman"/>
        </w:rPr>
        <w:t xml:space="preserve"> </w:t>
      </w:r>
      <w:r>
        <w:rPr>
          <w:rStyle w:val="Aucun"/>
          <w:rFonts w:ascii="Times New Roman" w:hAnsi="Times New Roman"/>
        </w:rPr>
        <w:t xml:space="preserve">en tant que tel. Continuum de l’ennemi, synthèse virtuelle de toutes les alternatives, qui jamais ne peuvent s’actualiser en même temps, en une seule et même figure, en un seul et même énoncé grammaticalement correct. </w:t>
      </w:r>
    </w:p>
    <w:p w14:paraId="2E825D14" w14:textId="77777777" w:rsidR="00FA4F5F" w:rsidRDefault="00FA4F5F">
      <w:pPr>
        <w:pStyle w:val="CorpsA"/>
        <w:spacing w:line="360" w:lineRule="auto"/>
        <w:ind w:firstLine="567"/>
        <w:rPr>
          <w:rStyle w:val="Aucun"/>
          <w:rFonts w:ascii="Times New Roman" w:eastAsia="Times New Roman" w:hAnsi="Times New Roman" w:cs="Times New Roman"/>
        </w:rPr>
      </w:pPr>
    </w:p>
    <w:p w14:paraId="5A399D28" w14:textId="77777777" w:rsidR="00FA4F5F" w:rsidRDefault="002D52F5">
      <w:pPr>
        <w:pStyle w:val="CorpsA"/>
        <w:spacing w:line="360" w:lineRule="auto"/>
        <w:ind w:firstLine="567"/>
        <w:rPr>
          <w:rStyle w:val="Aucun"/>
          <w:rFonts w:ascii="Times New Roman" w:eastAsia="Times New Roman" w:hAnsi="Times New Roman" w:cs="Times New Roman"/>
        </w:rPr>
      </w:pPr>
      <w:r>
        <w:rPr>
          <w:rStyle w:val="Aucun"/>
          <w:rFonts w:ascii="Times New Roman" w:hAnsi="Times New Roman"/>
        </w:rPr>
        <w:t xml:space="preserve">En s’alliant à son ennemi, le meurtrier acquiert un statut ontologique similaire à celui des divinités. Il se pose lui-même comme ennemi, c’est-à-dire comme une coalescence de points de vue, leur synthèse disjonctive. À travers les chants guerriers, les Araweté forgent ainsi langue divine, traversée d’intensités et d’affects. Et si les </w:t>
      </w:r>
      <w:r>
        <w:rPr>
          <w:rStyle w:val="Aucun"/>
          <w:rFonts w:ascii="Times New Roman" w:hAnsi="Times New Roman"/>
          <w:i/>
          <w:iCs/>
        </w:rPr>
        <w:t xml:space="preserve">Maï </w:t>
      </w:r>
      <w:r>
        <w:rPr>
          <w:rStyle w:val="Aucun"/>
          <w:rFonts w:ascii="Times New Roman" w:hAnsi="Times New Roman"/>
        </w:rPr>
        <w:t xml:space="preserve">voient les </w:t>
      </w:r>
      <w:r>
        <w:rPr>
          <w:rStyle w:val="Aucun"/>
          <w:rFonts w:ascii="Times New Roman" w:hAnsi="Times New Roman"/>
          <w:i/>
          <w:iCs/>
        </w:rPr>
        <w:t xml:space="preserve">Iraparadï </w:t>
      </w:r>
      <w:r>
        <w:rPr>
          <w:rStyle w:val="Aucun"/>
          <w:rFonts w:ascii="Times New Roman" w:hAnsi="Times New Roman"/>
        </w:rPr>
        <w:t xml:space="preserve">comme des semblables, c’est avant tout parce qu’ils parlent la même langue. </w:t>
      </w:r>
    </w:p>
    <w:p w14:paraId="1D05DD43" w14:textId="7C266E0C" w:rsidR="00FA4F5F" w:rsidRDefault="002D52F5" w:rsidP="00E05CF3">
      <w:pPr>
        <w:pStyle w:val="Titre2"/>
        <w:spacing w:line="360" w:lineRule="auto"/>
        <w:rPr>
          <w:rStyle w:val="AucunA"/>
        </w:rPr>
      </w:pPr>
      <w:r>
        <w:rPr>
          <w:rStyle w:val="AucunA"/>
        </w:rPr>
        <w:t xml:space="preserve">Conclusions </w:t>
      </w:r>
    </w:p>
    <w:p w14:paraId="6958BA51" w14:textId="77777777" w:rsidR="00E05CF3" w:rsidRPr="00E05CF3" w:rsidRDefault="00E05CF3" w:rsidP="00E05CF3">
      <w:pPr>
        <w:pStyle w:val="CorpsA"/>
      </w:pPr>
    </w:p>
    <w:p w14:paraId="05060612" w14:textId="564B79B0" w:rsidR="00FA4F5F" w:rsidRPr="006D1E58" w:rsidRDefault="0020419C" w:rsidP="006D1E58">
      <w:pPr>
        <w:pStyle w:val="CorpsA"/>
        <w:spacing w:line="360" w:lineRule="auto"/>
        <w:ind w:firstLine="567"/>
        <w:rPr>
          <w:rStyle w:val="Aucun"/>
          <w:rFonts w:eastAsia="Times New Roman"/>
          <w:lang w:val="fr-BE"/>
        </w:rPr>
      </w:pPr>
      <w:r w:rsidRPr="0020419C">
        <w:rPr>
          <w:rFonts w:eastAsia="Times New Roman"/>
          <w:lang w:val="fr-BE"/>
        </w:rPr>
        <w:t>À partir de l’analyse de certains</w:t>
      </w:r>
      <w:r w:rsidRPr="006D1E58">
        <w:rPr>
          <w:rFonts w:eastAsia="Times New Roman"/>
          <w:lang w:val="fr-BE"/>
        </w:rPr>
        <w:t xml:space="preserve"> chants guerriers araweté</w:t>
      </w:r>
      <w:r w:rsidR="006D1E58" w:rsidRPr="006D1E58">
        <w:rPr>
          <w:rFonts w:eastAsia="Times New Roman"/>
          <w:lang w:val="fr-BE"/>
        </w:rPr>
        <w:t>, nous avons mont</w:t>
      </w:r>
      <w:r w:rsidR="006427C2">
        <w:rPr>
          <w:rFonts w:eastAsia="Times New Roman"/>
          <w:lang w:val="fr-BE"/>
        </w:rPr>
        <w:t>ré</w:t>
      </w:r>
      <w:r w:rsidR="006D1E58" w:rsidRPr="006D1E58">
        <w:rPr>
          <w:rFonts w:eastAsia="Times New Roman"/>
          <w:lang w:val="fr-BE"/>
        </w:rPr>
        <w:t xml:space="preserve"> que le perspectivisme amérindien pouvait nous aider à repenser – à travers la philosophie deleuzo-guattarienne – les multiples déterritorialisations qui parcouraient le langage</w:t>
      </w:r>
      <w:r w:rsidR="002D52F5">
        <w:rPr>
          <w:rStyle w:val="Aucun"/>
          <w:rFonts w:ascii="Times New Roman" w:hAnsi="Times New Roman"/>
        </w:rPr>
        <w:t>. Contrairement à ce qu’affirme la linguistique structurale, la langue, loin de constituer un système en équilibre, une univocité première permettant l’instauration d’une situation de communication idéale, est en permanence menacée par la résurgence de l’ennemi. Toute unité linguistique ne constitue dès lors qu’une dépotentialisation partielle de cette équivocité primordiale, un résultat toujours instable extrait d’un continuum de variation. Et les chants araweté visent précisément à défaire ce processus de stabilisation, à regagner cette équivocité première, là où le meurtrier ne se distingue plus de sa victime, celui-là se voyant lui-même comme ennemi.</w:t>
      </w:r>
    </w:p>
    <w:p w14:paraId="532392E4" w14:textId="77777777" w:rsidR="00FA4F5F" w:rsidRDefault="00FA4F5F">
      <w:pPr>
        <w:pStyle w:val="CorpsA"/>
        <w:spacing w:line="360" w:lineRule="auto"/>
        <w:ind w:firstLine="567"/>
        <w:rPr>
          <w:rStyle w:val="Aucun"/>
          <w:rFonts w:ascii="Times New Roman" w:eastAsia="Times New Roman" w:hAnsi="Times New Roman" w:cs="Times New Roman"/>
        </w:rPr>
      </w:pPr>
    </w:p>
    <w:p w14:paraId="16C71111" w14:textId="77777777" w:rsidR="00FA4F5F" w:rsidRDefault="002D52F5">
      <w:pPr>
        <w:pStyle w:val="CorpsA"/>
        <w:spacing w:line="360" w:lineRule="auto"/>
        <w:ind w:firstLine="567"/>
        <w:rPr>
          <w:rStyle w:val="Aucun"/>
          <w:rFonts w:ascii="Times New Roman" w:eastAsia="Times New Roman" w:hAnsi="Times New Roman" w:cs="Times New Roman"/>
        </w:rPr>
      </w:pPr>
      <w:r>
        <w:rPr>
          <w:rStyle w:val="Aucun"/>
          <w:rFonts w:ascii="Times New Roman" w:hAnsi="Times New Roman"/>
        </w:rPr>
        <w:t>Il y a comme deux rapports à l’ennemi sous la langue. Le relatif et l’absolu. L’ennemi discernable de soi-même, bien qu’émergeant d’un même agencement. L’ennemi reterritorialisé dans une forme relativement constante</w:t>
      </w:r>
      <w:r>
        <w:rPr>
          <w:rStyle w:val="Aucun"/>
          <w:rFonts w:ascii="Times New Roman" w:eastAsia="Times New Roman" w:hAnsi="Times New Roman" w:cs="Times New Roman"/>
          <w:vertAlign w:val="superscript"/>
        </w:rPr>
        <w:footnoteReference w:id="84"/>
      </w:r>
      <w:r>
        <w:rPr>
          <w:rStyle w:val="Aucun"/>
          <w:rFonts w:ascii="Times New Roman" w:hAnsi="Times New Roman"/>
        </w:rPr>
        <w:t xml:space="preserve">, toujours sujet aux transformations de l’agencement, </w:t>
      </w:r>
      <w:r>
        <w:rPr>
          <w:rStyle w:val="Aucun"/>
          <w:rFonts w:ascii="Times New Roman" w:hAnsi="Times New Roman"/>
        </w:rPr>
        <w:lastRenderedPageBreak/>
        <w:t xml:space="preserve">aux ondulations du continuum. Cette figure de l’ennemi relatif implique que l’on se raccroche d’une manière ou d’une autre aux distinctions langagières, notamment afin que l’on puisse discerner qui parle (l’Araweté ou son ennemi). Car comme nous l’avons vu, les fonctions majeures du langage exigent que ce soit nécessairement l’un ou l’autre, bien que l’on puisse sauter de l’un à l’autre (reterritorialisation). Mais jamais l’un et l’autre, en même temps, au risque sinon d’effondrer le langage de l’intérieur, de l’invaginer. Et c’est précisément de cet effondrement que sourd l’Ennemi absolu, le devenir-ennemi. Il est cette unité sans ressemblance, soi-même en tant qu’ennemi. Il multiplie les disjonctions inclusives, pousse le langage à sa limite, là où ne subsistent que des intensités. Langue divine, celle des </w:t>
      </w:r>
      <w:r>
        <w:rPr>
          <w:rStyle w:val="Aucun"/>
          <w:rFonts w:ascii="Times New Roman" w:hAnsi="Times New Roman"/>
          <w:i/>
          <w:iCs/>
        </w:rPr>
        <w:t xml:space="preserve">Maï </w:t>
      </w:r>
      <w:r>
        <w:rPr>
          <w:rStyle w:val="Aucun"/>
          <w:rFonts w:ascii="Times New Roman" w:hAnsi="Times New Roman"/>
        </w:rPr>
        <w:t xml:space="preserve">et des </w:t>
      </w:r>
      <w:r>
        <w:rPr>
          <w:rStyle w:val="Aucun"/>
          <w:rFonts w:ascii="Times New Roman" w:hAnsi="Times New Roman"/>
          <w:i/>
          <w:iCs/>
        </w:rPr>
        <w:t>Iraparadï</w:t>
      </w:r>
      <w:r>
        <w:rPr>
          <w:rStyle w:val="Aucun"/>
          <w:rFonts w:ascii="Times New Roman" w:hAnsi="Times New Roman"/>
        </w:rPr>
        <w:t xml:space="preserve">. </w:t>
      </w:r>
    </w:p>
    <w:p w14:paraId="6DE683A7" w14:textId="77777777" w:rsidR="00FA4F5F" w:rsidRDefault="00FA4F5F">
      <w:pPr>
        <w:pStyle w:val="CorpsA"/>
        <w:spacing w:line="360" w:lineRule="auto"/>
        <w:rPr>
          <w:rStyle w:val="Aucun"/>
          <w:rFonts w:ascii="Times New Roman" w:eastAsia="Times New Roman" w:hAnsi="Times New Roman" w:cs="Times New Roman"/>
        </w:rPr>
      </w:pPr>
    </w:p>
    <w:p w14:paraId="3F558CA3" w14:textId="30468DC1" w:rsidR="00FA4F5F" w:rsidRDefault="002D52F5">
      <w:pPr>
        <w:pStyle w:val="CorpsA"/>
        <w:spacing w:line="360" w:lineRule="auto"/>
        <w:ind w:firstLine="567"/>
        <w:rPr>
          <w:rStyle w:val="Aucun"/>
          <w:rFonts w:ascii="Times New Roman" w:eastAsia="Times New Roman" w:hAnsi="Times New Roman" w:cs="Times New Roman"/>
        </w:rPr>
      </w:pPr>
      <w:r>
        <w:rPr>
          <w:rStyle w:val="Aucun"/>
          <w:rFonts w:ascii="Times New Roman" w:eastAsia="Times New Roman" w:hAnsi="Times New Roman" w:cs="Times New Roman"/>
        </w:rPr>
        <w:t>Les ensembles pratico-discursifs am</w:t>
      </w:r>
      <w:r>
        <w:rPr>
          <w:rStyle w:val="Aucun"/>
          <w:rFonts w:ascii="Times New Roman" w:hAnsi="Times New Roman"/>
        </w:rPr>
        <w:t xml:space="preserve">érindiens, traduits à travers une philosophie occidentale mineure telle que celle de Deleuze et Guattari, nous permettent de revoir à nouveaux frais nos concepts de « langue » et « langage », d’en transformer la signification, en y dégageant une dimension résolument agonistique. Si bien qu’au fond, ces ensembles constituent eux aussi des ennemis sous la langue, des victimes rapportant des chants venus d’ailleurs. Ils insistent au cœur de notre matrice conceptuelle afin de l’ouvrir à de nouvelles potentialités théoriques. </w:t>
      </w:r>
    </w:p>
    <w:p w14:paraId="50012381" w14:textId="77777777" w:rsidR="00FA4F5F" w:rsidRDefault="00FA4F5F">
      <w:pPr>
        <w:pStyle w:val="CorpsA"/>
        <w:spacing w:line="360" w:lineRule="auto"/>
        <w:ind w:firstLine="567"/>
        <w:rPr>
          <w:rStyle w:val="Aucun"/>
          <w:rFonts w:ascii="Times New Roman" w:eastAsia="Times New Roman" w:hAnsi="Times New Roman" w:cs="Times New Roman"/>
        </w:rPr>
      </w:pPr>
    </w:p>
    <w:p w14:paraId="56BBE0FB" w14:textId="1DB8E567" w:rsidR="00FA4F5F" w:rsidRDefault="002D52F5">
      <w:pPr>
        <w:pStyle w:val="CorpsA"/>
        <w:spacing w:line="360" w:lineRule="auto"/>
        <w:ind w:firstLine="567"/>
      </w:pPr>
      <w:r>
        <w:rPr>
          <w:rStyle w:val="Aucun"/>
          <w:rFonts w:ascii="Times New Roman" w:hAnsi="Times New Roman"/>
        </w:rPr>
        <w:t>Certes, il est évident que les Araweté ne pensent pas comme « ça », au sens où cette théorie du langage existerait indépendamment de notre discours anthropo-philosophique</w:t>
      </w:r>
      <w:r>
        <w:rPr>
          <w:rStyle w:val="Aucun"/>
          <w:rFonts w:ascii="Times New Roman" w:eastAsia="Times New Roman" w:hAnsi="Times New Roman" w:cs="Times New Roman"/>
          <w:vertAlign w:val="superscript"/>
        </w:rPr>
        <w:footnoteReference w:id="85"/>
      </w:r>
      <w:r>
        <w:rPr>
          <w:rStyle w:val="Aucun"/>
          <w:rFonts w:ascii="Times New Roman" w:hAnsi="Times New Roman"/>
        </w:rPr>
        <w:t>.Toute philosophie ou thé</w:t>
      </w:r>
      <w:r>
        <w:rPr>
          <w:rStyle w:val="Aucun"/>
          <w:rFonts w:ascii="Times New Roman" w:hAnsi="Times New Roman"/>
          <w:lang w:val="de-DE"/>
        </w:rPr>
        <w:t>orie am</w:t>
      </w:r>
      <w:r>
        <w:rPr>
          <w:rStyle w:val="Aucun"/>
          <w:rFonts w:ascii="Times New Roman" w:hAnsi="Times New Roman"/>
        </w:rPr>
        <w:t>érindienne n’existe qu’à travers sa traduction, n’est au fond qu’une traduction parmi d’autres. Mais si celle-ci ne nous permet pas de penser comme les populations amérindiennes, au moins nous permet-elle, à travers elles, de penser autrement. Or, tel est précisément l’un des enjeux essentiels des chants guerriers araweté. Et du perspectivisme amé</w:t>
      </w:r>
      <w:r>
        <w:rPr>
          <w:rStyle w:val="Aucun"/>
          <w:rFonts w:ascii="Times New Roman" w:hAnsi="Times New Roman"/>
          <w:lang w:val="nl-NL"/>
        </w:rPr>
        <w:t>rindien en g</w:t>
      </w:r>
      <w:r>
        <w:rPr>
          <w:rStyle w:val="Aucun"/>
          <w:rFonts w:ascii="Times New Roman" w:hAnsi="Times New Roman"/>
        </w:rPr>
        <w:t>éné</w:t>
      </w:r>
      <w:r>
        <w:rPr>
          <w:rStyle w:val="Aucun"/>
          <w:rFonts w:ascii="Times New Roman" w:hAnsi="Times New Roman"/>
          <w:lang w:val="pt-PT"/>
        </w:rPr>
        <w:t xml:space="preserve">ral. </w:t>
      </w:r>
    </w:p>
    <w:sectPr w:rsidR="00FA4F5F">
      <w:headerReference w:type="default" r:id="rId8"/>
      <w:footerReference w:type="default" r:id="rId9"/>
      <w:pgSz w:w="11900" w:h="16840"/>
      <w:pgMar w:top="1417"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B498E" w14:textId="77777777" w:rsidR="00B37B58" w:rsidRDefault="00B37B58">
      <w:r>
        <w:separator/>
      </w:r>
    </w:p>
  </w:endnote>
  <w:endnote w:type="continuationSeparator" w:id="0">
    <w:p w14:paraId="68A9E415" w14:textId="77777777" w:rsidR="00B37B58" w:rsidRDefault="00B37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rlito">
    <w:altName w:val="Cambria"/>
    <w:panose1 w:val="020B0604020202020204"/>
    <w:charset w:val="00"/>
    <w:family w:val="roman"/>
    <w:pitch w:val="default"/>
  </w:font>
  <w:font w:name="Helvetica Neue">
    <w:panose1 w:val="02000503000000020004"/>
    <w:charset w:val="00"/>
    <w:family w:val="auto"/>
    <w:pitch w:val="variable"/>
    <w:sig w:usb0="E50002FF" w:usb1="500079DB" w:usb2="00000010" w:usb3="00000000" w:csb0="00000001" w:csb1="00000000"/>
  </w:font>
  <w:font w:name="Times Roman">
    <w:altName w:val="Times New Roman"/>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FC58" w14:textId="77777777" w:rsidR="00FA4F5F" w:rsidRDefault="002D52F5">
    <w:pPr>
      <w:pStyle w:val="Pieddepage"/>
      <w:tabs>
        <w:tab w:val="clear" w:pos="9072"/>
        <w:tab w:val="right" w:pos="9046"/>
      </w:tabs>
      <w:jc w:val="right"/>
      <w:rPr>
        <w:rStyle w:val="AucunA"/>
      </w:rPr>
    </w:pPr>
    <w:r>
      <w:rPr>
        <w:rStyle w:val="Aucun"/>
      </w:rPr>
      <w:fldChar w:fldCharType="begin"/>
    </w:r>
    <w:r>
      <w:rPr>
        <w:rStyle w:val="Aucun"/>
      </w:rPr>
      <w:instrText xml:space="preserve"> PAGE </w:instrText>
    </w:r>
    <w:r>
      <w:rPr>
        <w:rStyle w:val="Aucun"/>
      </w:rPr>
      <w:fldChar w:fldCharType="separate"/>
    </w:r>
    <w:r w:rsidR="004D139E">
      <w:rPr>
        <w:rStyle w:val="Aucun"/>
        <w:noProof/>
      </w:rPr>
      <w:t>1</w:t>
    </w:r>
    <w:r>
      <w:rPr>
        <w:rStyle w:val="Aucun"/>
      </w:rPr>
      <w:fldChar w:fldCharType="end"/>
    </w:r>
  </w:p>
  <w:p w14:paraId="4BAC71D8" w14:textId="77777777" w:rsidR="00FA4F5F" w:rsidRDefault="00FA4F5F">
    <w:pPr>
      <w:pStyle w:val="Pieddepage"/>
      <w:tabs>
        <w:tab w:val="clear" w:pos="9072"/>
        <w:tab w:val="right" w:pos="9046"/>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E03FE" w14:textId="77777777" w:rsidR="00B37B58" w:rsidRDefault="00B37B58">
      <w:r>
        <w:separator/>
      </w:r>
    </w:p>
  </w:footnote>
  <w:footnote w:type="continuationSeparator" w:id="0">
    <w:p w14:paraId="652CA959" w14:textId="77777777" w:rsidR="00B37B58" w:rsidRDefault="00B37B58">
      <w:r>
        <w:continuationSeparator/>
      </w:r>
    </w:p>
  </w:footnote>
  <w:footnote w:type="continuationNotice" w:id="1">
    <w:p w14:paraId="588C33A3" w14:textId="77777777" w:rsidR="00B37B58" w:rsidRDefault="00B37B58"/>
  </w:footnote>
  <w:footnote w:id="2">
    <w:p w14:paraId="241C7F51" w14:textId="77777777"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mallCaps/>
          <w:sz w:val="20"/>
          <w:szCs w:val="20"/>
        </w:rPr>
        <w:t>Viveiros de Castro</w:t>
      </w:r>
      <w:r w:rsidRPr="00156AE0">
        <w:rPr>
          <w:rStyle w:val="Aucun"/>
          <w:rFonts w:ascii="Times New Roman" w:hAnsi="Times New Roman" w:cs="Times New Roman"/>
          <w:sz w:val="20"/>
          <w:szCs w:val="20"/>
        </w:rPr>
        <w:t xml:space="preserve"> (E.), </w:t>
      </w:r>
      <w:r w:rsidRPr="00156AE0">
        <w:rPr>
          <w:rStyle w:val="Aucun"/>
          <w:rFonts w:ascii="Times New Roman" w:hAnsi="Times New Roman" w:cs="Times New Roman"/>
          <w:i/>
          <w:iCs/>
          <w:sz w:val="20"/>
          <w:szCs w:val="20"/>
        </w:rPr>
        <w:t>Métaphysiques cannibales</w:t>
      </w:r>
      <w:r w:rsidRPr="00156AE0">
        <w:rPr>
          <w:rStyle w:val="Aucun"/>
          <w:rFonts w:ascii="Times New Roman" w:hAnsi="Times New Roman" w:cs="Times New Roman"/>
          <w:sz w:val="20"/>
          <w:szCs w:val="20"/>
        </w:rPr>
        <w:t xml:space="preserve">, Paris, PUF, 2009, p. 19. </w:t>
      </w:r>
    </w:p>
  </w:footnote>
  <w:footnote w:id="3">
    <w:p w14:paraId="744D1493" w14:textId="625D2353" w:rsidR="00FA4F5F" w:rsidRPr="00156AE0" w:rsidRDefault="002D52F5">
      <w:pPr>
        <w:pStyle w:val="Notedebasdepage"/>
        <w:rPr>
          <w:rFonts w:ascii="Times New Roman" w:hAnsi="Times New Roman" w:cs="Times New Roman"/>
          <w:sz w:val="20"/>
          <w:szCs w:val="20"/>
          <w:lang w:val="en-US"/>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La formule fut initialement proposée dans : </w:t>
      </w:r>
      <w:r w:rsidRPr="00156AE0">
        <w:rPr>
          <w:rStyle w:val="Aucun"/>
          <w:rFonts w:ascii="Times New Roman" w:hAnsi="Times New Roman" w:cs="Times New Roman"/>
          <w:smallCaps/>
          <w:sz w:val="20"/>
          <w:szCs w:val="20"/>
        </w:rPr>
        <w:t>Henare</w:t>
      </w:r>
      <w:r w:rsidRPr="00156AE0">
        <w:rPr>
          <w:rStyle w:val="Aucun"/>
          <w:rFonts w:ascii="Times New Roman" w:hAnsi="Times New Roman" w:cs="Times New Roman"/>
          <w:sz w:val="20"/>
          <w:szCs w:val="20"/>
        </w:rPr>
        <w:t xml:space="preserve"> (A. J. M.), </w:t>
      </w:r>
      <w:r w:rsidRPr="00156AE0">
        <w:rPr>
          <w:rStyle w:val="Aucun"/>
          <w:rFonts w:ascii="Times New Roman" w:hAnsi="Times New Roman" w:cs="Times New Roman"/>
          <w:smallCaps/>
          <w:sz w:val="20"/>
          <w:szCs w:val="20"/>
        </w:rPr>
        <w:t>Holbraad</w:t>
      </w:r>
      <w:r w:rsidRPr="00156AE0">
        <w:rPr>
          <w:rStyle w:val="Aucun"/>
          <w:rFonts w:ascii="Times New Roman" w:hAnsi="Times New Roman" w:cs="Times New Roman"/>
          <w:sz w:val="20"/>
          <w:szCs w:val="20"/>
        </w:rPr>
        <w:t xml:space="preserve"> (M.)</w:t>
      </w:r>
      <w:r w:rsidR="00223AAC"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mallCaps/>
          <w:sz w:val="20"/>
          <w:szCs w:val="20"/>
        </w:rPr>
        <w:t>Wastell</w:t>
      </w:r>
      <w:r w:rsidRPr="00156AE0">
        <w:rPr>
          <w:rStyle w:val="Aucun"/>
          <w:rFonts w:ascii="Times New Roman" w:hAnsi="Times New Roman" w:cs="Times New Roman"/>
          <w:sz w:val="20"/>
          <w:szCs w:val="20"/>
        </w:rPr>
        <w:t xml:space="preserve"> (S.) </w:t>
      </w:r>
      <w:r w:rsidRPr="00156AE0">
        <w:rPr>
          <w:rStyle w:val="Aucun"/>
          <w:rFonts w:ascii="Times New Roman" w:hAnsi="Times New Roman" w:cs="Times New Roman"/>
          <w:sz w:val="20"/>
          <w:szCs w:val="20"/>
          <w:lang w:val="en-US"/>
        </w:rPr>
        <w:t>(</w:t>
      </w:r>
      <w:r w:rsidR="007F1F47" w:rsidRPr="00156AE0">
        <w:rPr>
          <w:rStyle w:val="Aucun"/>
          <w:rFonts w:ascii="Times New Roman" w:hAnsi="Times New Roman" w:cs="Times New Roman"/>
          <w:sz w:val="20"/>
          <w:szCs w:val="20"/>
          <w:lang w:val="en-US"/>
        </w:rPr>
        <w:t>e</w:t>
      </w:r>
      <w:r w:rsidRPr="00156AE0">
        <w:rPr>
          <w:rStyle w:val="Aucun"/>
          <w:rFonts w:ascii="Times New Roman" w:hAnsi="Times New Roman" w:cs="Times New Roman"/>
          <w:sz w:val="20"/>
          <w:szCs w:val="20"/>
          <w:lang w:val="en-US"/>
        </w:rPr>
        <w:t>d</w:t>
      </w:r>
      <w:r w:rsidR="007F1F47" w:rsidRPr="00156AE0">
        <w:rPr>
          <w:rStyle w:val="Aucun"/>
          <w:rFonts w:ascii="Times New Roman" w:hAnsi="Times New Roman" w:cs="Times New Roman"/>
          <w:sz w:val="20"/>
          <w:szCs w:val="20"/>
          <w:lang w:val="en-US"/>
        </w:rPr>
        <w:t>s</w:t>
      </w:r>
      <w:r w:rsidRPr="00156AE0">
        <w:rPr>
          <w:rStyle w:val="Aucun"/>
          <w:rFonts w:ascii="Times New Roman" w:hAnsi="Times New Roman" w:cs="Times New Roman"/>
          <w:sz w:val="20"/>
          <w:szCs w:val="20"/>
          <w:lang w:val="en-US"/>
        </w:rPr>
        <w:t xml:space="preserve">.), </w:t>
      </w:r>
      <w:r w:rsidRPr="00156AE0">
        <w:rPr>
          <w:rStyle w:val="Aucun"/>
          <w:rFonts w:ascii="Times New Roman" w:hAnsi="Times New Roman" w:cs="Times New Roman"/>
          <w:i/>
          <w:iCs/>
          <w:sz w:val="20"/>
          <w:szCs w:val="20"/>
          <w:lang w:val="en-US"/>
        </w:rPr>
        <w:t xml:space="preserve">Thinking </w:t>
      </w:r>
      <w:r w:rsidR="008A1375" w:rsidRPr="00156AE0">
        <w:rPr>
          <w:rStyle w:val="Aucun"/>
          <w:rFonts w:ascii="Times New Roman" w:hAnsi="Times New Roman" w:cs="Times New Roman"/>
          <w:i/>
          <w:iCs/>
          <w:sz w:val="20"/>
          <w:szCs w:val="20"/>
          <w:lang w:val="en-US"/>
        </w:rPr>
        <w:t>T</w:t>
      </w:r>
      <w:r w:rsidRPr="00156AE0">
        <w:rPr>
          <w:rStyle w:val="Aucun"/>
          <w:rFonts w:ascii="Times New Roman" w:hAnsi="Times New Roman" w:cs="Times New Roman"/>
          <w:i/>
          <w:iCs/>
          <w:sz w:val="20"/>
          <w:szCs w:val="20"/>
          <w:lang w:val="en-US"/>
        </w:rPr>
        <w:t xml:space="preserve">hrough </w:t>
      </w:r>
      <w:r w:rsidR="008A1375" w:rsidRPr="00156AE0">
        <w:rPr>
          <w:rStyle w:val="Aucun"/>
          <w:rFonts w:ascii="Times New Roman" w:hAnsi="Times New Roman" w:cs="Times New Roman"/>
          <w:i/>
          <w:iCs/>
          <w:sz w:val="20"/>
          <w:szCs w:val="20"/>
          <w:lang w:val="en-US"/>
        </w:rPr>
        <w:t>T</w:t>
      </w:r>
      <w:r w:rsidRPr="00156AE0">
        <w:rPr>
          <w:rStyle w:val="Aucun"/>
          <w:rFonts w:ascii="Times New Roman" w:hAnsi="Times New Roman" w:cs="Times New Roman"/>
          <w:i/>
          <w:iCs/>
          <w:sz w:val="20"/>
          <w:szCs w:val="20"/>
          <w:lang w:val="en-US"/>
        </w:rPr>
        <w:t xml:space="preserve">hings: </w:t>
      </w:r>
      <w:r w:rsidR="008A1375" w:rsidRPr="00156AE0">
        <w:rPr>
          <w:rStyle w:val="Aucun"/>
          <w:rFonts w:ascii="Times New Roman" w:hAnsi="Times New Roman" w:cs="Times New Roman"/>
          <w:i/>
          <w:iCs/>
          <w:sz w:val="20"/>
          <w:szCs w:val="20"/>
          <w:lang w:val="en-US"/>
        </w:rPr>
        <w:t>T</w:t>
      </w:r>
      <w:r w:rsidRPr="00156AE0">
        <w:rPr>
          <w:rStyle w:val="Aucun"/>
          <w:rFonts w:ascii="Times New Roman" w:hAnsi="Times New Roman" w:cs="Times New Roman"/>
          <w:i/>
          <w:iCs/>
          <w:sz w:val="20"/>
          <w:szCs w:val="20"/>
          <w:lang w:val="en-US"/>
        </w:rPr>
        <w:t xml:space="preserve">heorising </w:t>
      </w:r>
      <w:r w:rsidR="008A1375" w:rsidRPr="00156AE0">
        <w:rPr>
          <w:rStyle w:val="Aucun"/>
          <w:rFonts w:ascii="Times New Roman" w:hAnsi="Times New Roman" w:cs="Times New Roman"/>
          <w:i/>
          <w:iCs/>
          <w:sz w:val="20"/>
          <w:szCs w:val="20"/>
          <w:lang w:val="en-US"/>
        </w:rPr>
        <w:t>A</w:t>
      </w:r>
      <w:r w:rsidRPr="00156AE0">
        <w:rPr>
          <w:rStyle w:val="Aucun"/>
          <w:rFonts w:ascii="Times New Roman" w:hAnsi="Times New Roman" w:cs="Times New Roman"/>
          <w:i/>
          <w:iCs/>
          <w:sz w:val="20"/>
          <w:szCs w:val="20"/>
          <w:lang w:val="en-US"/>
        </w:rPr>
        <w:t>rtefacts</w:t>
      </w:r>
      <w:r w:rsidR="008A1375" w:rsidRPr="00156AE0">
        <w:rPr>
          <w:rStyle w:val="Aucun"/>
          <w:rFonts w:ascii="Times New Roman" w:hAnsi="Times New Roman" w:cs="Times New Roman"/>
          <w:i/>
          <w:iCs/>
          <w:sz w:val="20"/>
          <w:szCs w:val="20"/>
          <w:lang w:val="en-US"/>
        </w:rPr>
        <w:t xml:space="preserve"> E</w:t>
      </w:r>
      <w:r w:rsidRPr="00156AE0">
        <w:rPr>
          <w:rStyle w:val="Aucun"/>
          <w:rFonts w:ascii="Times New Roman" w:hAnsi="Times New Roman" w:cs="Times New Roman"/>
          <w:i/>
          <w:iCs/>
          <w:sz w:val="20"/>
          <w:szCs w:val="20"/>
          <w:lang w:val="en-US"/>
        </w:rPr>
        <w:t>thnographically</w:t>
      </w:r>
      <w:r w:rsidRPr="00156AE0">
        <w:rPr>
          <w:rStyle w:val="Aucun"/>
          <w:rFonts w:ascii="Times New Roman" w:hAnsi="Times New Roman" w:cs="Times New Roman"/>
          <w:sz w:val="20"/>
          <w:szCs w:val="20"/>
          <w:lang w:val="en-US"/>
        </w:rPr>
        <w:t xml:space="preserve">, London New York, Routledge/Taylor &amp; Francis Group, 2007. </w:t>
      </w:r>
    </w:p>
  </w:footnote>
  <w:footnote w:id="4">
    <w:p w14:paraId="4C1B368D" w14:textId="74434BAB"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mallCaps/>
          <w:sz w:val="20"/>
          <w:szCs w:val="20"/>
        </w:rPr>
        <w:t>Deleuze</w:t>
      </w:r>
      <w:r w:rsidRPr="00156AE0">
        <w:rPr>
          <w:rStyle w:val="Aucun"/>
          <w:rFonts w:ascii="Times New Roman" w:hAnsi="Times New Roman" w:cs="Times New Roman"/>
          <w:sz w:val="20"/>
          <w:szCs w:val="20"/>
        </w:rPr>
        <w:t xml:space="preserve"> (G.)</w:t>
      </w:r>
      <w:r w:rsidR="00223AAC"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mallCaps/>
          <w:sz w:val="20"/>
          <w:szCs w:val="20"/>
        </w:rPr>
        <w:t>Guattari</w:t>
      </w:r>
      <w:r w:rsidRPr="00156AE0">
        <w:rPr>
          <w:rStyle w:val="Aucun"/>
          <w:rFonts w:ascii="Times New Roman" w:hAnsi="Times New Roman" w:cs="Times New Roman"/>
          <w:sz w:val="20"/>
          <w:szCs w:val="20"/>
        </w:rPr>
        <w:t xml:space="preserve"> (F.), </w:t>
      </w:r>
      <w:r w:rsidRPr="00156AE0">
        <w:rPr>
          <w:rStyle w:val="Aucun"/>
          <w:rFonts w:ascii="Times New Roman" w:hAnsi="Times New Roman" w:cs="Times New Roman"/>
          <w:i/>
          <w:iCs/>
          <w:sz w:val="20"/>
          <w:szCs w:val="20"/>
        </w:rPr>
        <w:t>Qu’est-ce que la philosophie</w:t>
      </w:r>
      <w:r w:rsidR="00C32458">
        <w:rPr>
          <w:rStyle w:val="Aucun"/>
          <w:rFonts w:ascii="Times New Roman" w:hAnsi="Times New Roman" w:cs="Times New Roman"/>
          <w:i/>
          <w:iCs/>
          <w:sz w:val="20"/>
          <w:szCs w:val="20"/>
        </w:rPr>
        <w:t xml:space="preserve"> </w:t>
      </w:r>
      <w:r w:rsidRPr="00156AE0">
        <w:rPr>
          <w:rStyle w:val="Aucun"/>
          <w:rFonts w:ascii="Times New Roman" w:hAnsi="Times New Roman" w:cs="Times New Roman"/>
          <w:i/>
          <w:iCs/>
          <w:sz w:val="20"/>
          <w:szCs w:val="20"/>
        </w:rPr>
        <w:t>?</w:t>
      </w:r>
      <w:r w:rsidRPr="00156AE0">
        <w:rPr>
          <w:rStyle w:val="Aucun"/>
          <w:rFonts w:ascii="Times New Roman" w:hAnsi="Times New Roman" w:cs="Times New Roman"/>
          <w:sz w:val="20"/>
          <w:szCs w:val="20"/>
        </w:rPr>
        <w:t xml:space="preserve">, Paris, Minuit, 1991, p. 8. </w:t>
      </w:r>
    </w:p>
  </w:footnote>
  <w:footnote w:id="5">
    <w:p w14:paraId="4B088F78" w14:textId="2E1EEB4A" w:rsidR="00FA4F5F" w:rsidRPr="00156AE0" w:rsidRDefault="002D52F5">
      <w:pPr>
        <w:pStyle w:val="Notedebasdepage"/>
        <w:rPr>
          <w:rFonts w:ascii="Times New Roman" w:hAnsi="Times New Roman" w:cs="Times New Roman"/>
          <w:sz w:val="20"/>
          <w:szCs w:val="20"/>
          <w:lang w:val="en-US"/>
        </w:rPr>
      </w:pPr>
      <w:r w:rsidRPr="00156AE0">
        <w:rPr>
          <w:rStyle w:val="Aucun"/>
          <w:rFonts w:ascii="Times New Roman" w:eastAsia="Times New Roman" w:hAnsi="Times New Roman" w:cs="Times New Roman"/>
          <w:sz w:val="20"/>
          <w:szCs w:val="20"/>
          <w:vertAlign w:val="superscript"/>
          <w:lang w:val="en-US"/>
        </w:rPr>
        <w:footnoteRef/>
      </w:r>
      <w:r w:rsidRPr="00156AE0">
        <w:rPr>
          <w:rStyle w:val="Aucun"/>
          <w:rFonts w:ascii="Times New Roman" w:hAnsi="Times New Roman" w:cs="Times New Roman"/>
          <w:sz w:val="20"/>
          <w:szCs w:val="20"/>
          <w:lang w:val="en-US"/>
        </w:rPr>
        <w:t xml:space="preserve"> </w:t>
      </w:r>
      <w:r w:rsidRPr="00156AE0">
        <w:rPr>
          <w:rStyle w:val="Aucun"/>
          <w:rFonts w:ascii="Times New Roman" w:hAnsi="Times New Roman" w:cs="Times New Roman"/>
          <w:smallCaps/>
          <w:sz w:val="20"/>
          <w:szCs w:val="20"/>
          <w:lang w:val="en-US"/>
        </w:rPr>
        <w:t>Holbraad</w:t>
      </w:r>
      <w:r w:rsidRPr="00156AE0">
        <w:rPr>
          <w:rStyle w:val="Aucun"/>
          <w:rFonts w:ascii="Times New Roman" w:hAnsi="Times New Roman" w:cs="Times New Roman"/>
          <w:sz w:val="20"/>
          <w:szCs w:val="20"/>
          <w:lang w:val="en-US"/>
        </w:rPr>
        <w:t xml:space="preserve"> (M.)</w:t>
      </w:r>
      <w:r w:rsidR="00223AAC" w:rsidRPr="00156AE0">
        <w:rPr>
          <w:rStyle w:val="Aucun"/>
          <w:rFonts w:ascii="Times New Roman" w:hAnsi="Times New Roman" w:cs="Times New Roman"/>
          <w:sz w:val="20"/>
          <w:szCs w:val="20"/>
          <w:lang w:val="en-US"/>
        </w:rPr>
        <w:t xml:space="preserve">, </w:t>
      </w:r>
      <w:r w:rsidRPr="00156AE0">
        <w:rPr>
          <w:rStyle w:val="Aucun"/>
          <w:rFonts w:ascii="Times New Roman" w:hAnsi="Times New Roman" w:cs="Times New Roman"/>
          <w:smallCaps/>
          <w:sz w:val="20"/>
          <w:szCs w:val="20"/>
          <w:lang w:val="en-US"/>
        </w:rPr>
        <w:t>Pedersen</w:t>
      </w:r>
      <w:r w:rsidRPr="00156AE0">
        <w:rPr>
          <w:rStyle w:val="Aucun"/>
          <w:rFonts w:ascii="Times New Roman" w:hAnsi="Times New Roman" w:cs="Times New Roman"/>
          <w:sz w:val="20"/>
          <w:szCs w:val="20"/>
          <w:lang w:val="en-US"/>
        </w:rPr>
        <w:t xml:space="preserve"> (M. A.), </w:t>
      </w:r>
      <w:r w:rsidRPr="00156AE0">
        <w:rPr>
          <w:rStyle w:val="Aucun"/>
          <w:rFonts w:ascii="Times New Roman" w:hAnsi="Times New Roman" w:cs="Times New Roman"/>
          <w:i/>
          <w:iCs/>
          <w:sz w:val="20"/>
          <w:szCs w:val="20"/>
          <w:lang w:val="en-US"/>
        </w:rPr>
        <w:t>The Ontological Turn: An Anthropological Exposition</w:t>
      </w:r>
      <w:r w:rsidRPr="00156AE0">
        <w:rPr>
          <w:rStyle w:val="Aucun"/>
          <w:rFonts w:ascii="Times New Roman" w:hAnsi="Times New Roman" w:cs="Times New Roman"/>
          <w:sz w:val="20"/>
          <w:szCs w:val="20"/>
          <w:lang w:val="en-US"/>
        </w:rPr>
        <w:t>, Cambridge, Cambridge University Press, 2017, p. 188-191.</w:t>
      </w:r>
    </w:p>
  </w:footnote>
  <w:footnote w:id="6">
    <w:p w14:paraId="56E2976A" w14:textId="59273741" w:rsidR="00EB1A4A" w:rsidRPr="004911B6" w:rsidRDefault="00EB1A4A">
      <w:pPr>
        <w:pStyle w:val="Notedebasdepage"/>
        <w:rPr>
          <w:rFonts w:ascii="Times New Roman" w:hAnsi="Times New Roman" w:cs="Times New Roman"/>
          <w:sz w:val="20"/>
          <w:szCs w:val="20"/>
          <w:lang w:val="en-US"/>
        </w:rPr>
      </w:pPr>
      <w:r w:rsidRPr="00156AE0">
        <w:rPr>
          <w:rStyle w:val="Appelnotedebasdep"/>
          <w:rFonts w:ascii="Times New Roman" w:hAnsi="Times New Roman" w:cs="Times New Roman"/>
          <w:sz w:val="20"/>
          <w:szCs w:val="20"/>
        </w:rPr>
        <w:footnoteRef/>
      </w:r>
      <w:r w:rsidRPr="004911B6">
        <w:rPr>
          <w:rFonts w:ascii="Times New Roman" w:hAnsi="Times New Roman" w:cs="Times New Roman"/>
          <w:sz w:val="20"/>
          <w:szCs w:val="20"/>
          <w:lang w:val="en-US"/>
        </w:rPr>
        <w:t xml:space="preserve"> </w:t>
      </w:r>
      <w:r w:rsidR="00B501E4" w:rsidRPr="004911B6">
        <w:rPr>
          <w:rFonts w:ascii="Times New Roman" w:hAnsi="Times New Roman" w:cs="Times New Roman"/>
          <w:sz w:val="20"/>
          <w:szCs w:val="20"/>
          <w:lang w:val="en-US"/>
        </w:rPr>
        <w:t xml:space="preserve">Voy. notamment </w:t>
      </w:r>
      <w:r w:rsidRPr="004911B6">
        <w:rPr>
          <w:rFonts w:ascii="Times New Roman" w:hAnsi="Times New Roman" w:cs="Times New Roman"/>
          <w:smallCaps/>
          <w:sz w:val="20"/>
          <w:szCs w:val="20"/>
          <w:lang w:val="en-US"/>
        </w:rPr>
        <w:t>Viveiros de Castro</w:t>
      </w:r>
      <w:r w:rsidRPr="004911B6">
        <w:rPr>
          <w:rFonts w:ascii="Times New Roman" w:hAnsi="Times New Roman" w:cs="Times New Roman"/>
          <w:sz w:val="20"/>
          <w:szCs w:val="20"/>
          <w:lang w:val="en-US"/>
        </w:rPr>
        <w:t xml:space="preserve"> (E.), </w:t>
      </w:r>
      <w:r w:rsidRPr="004911B6">
        <w:rPr>
          <w:rFonts w:ascii="Times New Roman" w:hAnsi="Times New Roman" w:cs="Times New Roman"/>
          <w:i/>
          <w:iCs/>
          <w:sz w:val="20"/>
          <w:szCs w:val="20"/>
          <w:lang w:val="en-US"/>
        </w:rPr>
        <w:t>The Relative Native. Essays on Indigenous Conceptual Worlds</w:t>
      </w:r>
      <w:r w:rsidRPr="004911B6">
        <w:rPr>
          <w:rFonts w:ascii="Times New Roman" w:hAnsi="Times New Roman" w:cs="Times New Roman"/>
          <w:sz w:val="20"/>
          <w:szCs w:val="20"/>
          <w:lang w:val="en-US"/>
        </w:rPr>
        <w:t>, Chicago, Hau Books, 2015, p. 5.</w:t>
      </w:r>
    </w:p>
  </w:footnote>
  <w:footnote w:id="7">
    <w:p w14:paraId="2274DD0A" w14:textId="0DA1EDA9"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Sur le caractère potentiellement trop simplificateur d’un</w:t>
      </w:r>
      <w:r w:rsidR="007F1F47" w:rsidRPr="00156AE0">
        <w:rPr>
          <w:rStyle w:val="Aucun"/>
          <w:rFonts w:ascii="Times New Roman" w:hAnsi="Times New Roman" w:cs="Times New Roman"/>
          <w:sz w:val="20"/>
          <w:szCs w:val="20"/>
        </w:rPr>
        <w:t>e</w:t>
      </w:r>
      <w:r w:rsidRPr="00156AE0">
        <w:rPr>
          <w:rStyle w:val="Aucun"/>
          <w:rFonts w:ascii="Times New Roman" w:hAnsi="Times New Roman" w:cs="Times New Roman"/>
          <w:sz w:val="20"/>
          <w:szCs w:val="20"/>
        </w:rPr>
        <w:t xml:space="preserve"> telle opposition frontale entre l’Occident et les Amérindien·nes, voy. </w:t>
      </w:r>
      <w:r w:rsidRPr="00156AE0">
        <w:rPr>
          <w:rStyle w:val="Aucun"/>
          <w:rFonts w:ascii="Times New Roman" w:hAnsi="Times New Roman" w:cs="Times New Roman"/>
          <w:smallCaps/>
          <w:sz w:val="20"/>
          <w:szCs w:val="20"/>
        </w:rPr>
        <w:t>Candea</w:t>
      </w:r>
      <w:r w:rsidRPr="00156AE0">
        <w:rPr>
          <w:rStyle w:val="Aucun"/>
          <w:rFonts w:ascii="Times New Roman" w:hAnsi="Times New Roman" w:cs="Times New Roman"/>
          <w:sz w:val="20"/>
          <w:szCs w:val="20"/>
        </w:rPr>
        <w:t xml:space="preserve"> (M.), « De deux modalités de comparaison en anthropologie sociale », </w:t>
      </w:r>
      <w:r w:rsidRPr="00156AE0">
        <w:rPr>
          <w:rStyle w:val="Aucun"/>
          <w:rFonts w:ascii="Times New Roman" w:hAnsi="Times New Roman" w:cs="Times New Roman"/>
          <w:i/>
          <w:iCs/>
          <w:sz w:val="20"/>
          <w:szCs w:val="20"/>
        </w:rPr>
        <w:t>L’Homme</w:t>
      </w:r>
      <w:r w:rsidRPr="00156AE0">
        <w:rPr>
          <w:rStyle w:val="Aucun"/>
          <w:rFonts w:ascii="Times New Roman" w:hAnsi="Times New Roman" w:cs="Times New Roman"/>
          <w:sz w:val="20"/>
          <w:szCs w:val="20"/>
        </w:rPr>
        <w:t>, vol. 218, n</w:t>
      </w:r>
      <w:r w:rsidRPr="00156AE0">
        <w:rPr>
          <w:rStyle w:val="Aucun"/>
          <w:rFonts w:ascii="Times New Roman" w:hAnsi="Times New Roman" w:cs="Times New Roman"/>
          <w:sz w:val="20"/>
          <w:szCs w:val="20"/>
          <w:vertAlign w:val="superscript"/>
        </w:rPr>
        <w:t>o</w:t>
      </w:r>
      <w:r w:rsidRPr="00156AE0">
        <w:rPr>
          <w:rStyle w:val="Aucun"/>
          <w:rFonts w:ascii="Times New Roman" w:hAnsi="Times New Roman" w:cs="Times New Roman"/>
          <w:sz w:val="20"/>
          <w:szCs w:val="20"/>
        </w:rPr>
        <w:t xml:space="preserve">2, </w:t>
      </w:r>
      <w:r w:rsidR="007F1F47" w:rsidRPr="00156AE0">
        <w:rPr>
          <w:rStyle w:val="Aucun"/>
          <w:rFonts w:ascii="Times New Roman" w:hAnsi="Times New Roman" w:cs="Times New Roman"/>
          <w:sz w:val="20"/>
          <w:szCs w:val="20"/>
        </w:rPr>
        <w:t>(</w:t>
      </w:r>
      <w:r w:rsidRPr="00156AE0">
        <w:rPr>
          <w:rStyle w:val="Aucun"/>
          <w:rFonts w:ascii="Times New Roman" w:hAnsi="Times New Roman" w:cs="Times New Roman"/>
          <w:sz w:val="20"/>
          <w:szCs w:val="20"/>
        </w:rPr>
        <w:t>2016</w:t>
      </w:r>
      <w:r w:rsidR="007F1F47" w:rsidRPr="00156AE0">
        <w:rPr>
          <w:rStyle w:val="Aucun"/>
          <w:rFonts w:ascii="Times New Roman" w:hAnsi="Times New Roman" w:cs="Times New Roman"/>
          <w:sz w:val="20"/>
          <w:szCs w:val="20"/>
        </w:rPr>
        <w:t>)</w:t>
      </w:r>
      <w:r w:rsidRPr="00156AE0">
        <w:rPr>
          <w:rStyle w:val="Aucun"/>
          <w:rFonts w:ascii="Times New Roman" w:hAnsi="Times New Roman" w:cs="Times New Roman"/>
          <w:sz w:val="20"/>
          <w:szCs w:val="20"/>
        </w:rPr>
        <w:t>, p. 183-218.</w:t>
      </w:r>
    </w:p>
  </w:footnote>
  <w:footnote w:id="8">
    <w:p w14:paraId="7850986E" w14:textId="49F67373"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mallCaps/>
          <w:sz w:val="20"/>
          <w:szCs w:val="20"/>
        </w:rPr>
        <w:t>Viveiros de Castro</w:t>
      </w:r>
      <w:r w:rsidRPr="00156AE0">
        <w:rPr>
          <w:rStyle w:val="Aucun"/>
          <w:rFonts w:ascii="Times New Roman" w:hAnsi="Times New Roman" w:cs="Times New Roman"/>
          <w:sz w:val="20"/>
          <w:szCs w:val="20"/>
        </w:rPr>
        <w:t xml:space="preserve"> (E.), « Une figure humaine peut cacher une affection-jaguar », </w:t>
      </w:r>
      <w:r w:rsidRPr="00156AE0">
        <w:rPr>
          <w:rStyle w:val="Aucun"/>
          <w:rFonts w:ascii="Times New Roman" w:hAnsi="Times New Roman" w:cs="Times New Roman"/>
          <w:i/>
          <w:iCs/>
          <w:sz w:val="20"/>
          <w:szCs w:val="20"/>
        </w:rPr>
        <w:t>Multitudes</w:t>
      </w:r>
      <w:r w:rsidRPr="00156AE0">
        <w:rPr>
          <w:rStyle w:val="Aucun"/>
          <w:rFonts w:ascii="Times New Roman" w:hAnsi="Times New Roman" w:cs="Times New Roman"/>
          <w:sz w:val="20"/>
          <w:szCs w:val="20"/>
        </w:rPr>
        <w:t xml:space="preserve">, 24/1, </w:t>
      </w:r>
      <w:r w:rsidR="007F1F47" w:rsidRPr="00156AE0">
        <w:rPr>
          <w:rStyle w:val="Aucun"/>
          <w:rFonts w:ascii="Times New Roman" w:hAnsi="Times New Roman" w:cs="Times New Roman"/>
          <w:sz w:val="20"/>
          <w:szCs w:val="20"/>
        </w:rPr>
        <w:t>(</w:t>
      </w:r>
      <w:r w:rsidRPr="00156AE0">
        <w:rPr>
          <w:rStyle w:val="Aucun"/>
          <w:rFonts w:ascii="Times New Roman" w:hAnsi="Times New Roman" w:cs="Times New Roman"/>
          <w:sz w:val="20"/>
          <w:szCs w:val="20"/>
        </w:rPr>
        <w:t>2006</w:t>
      </w:r>
      <w:r w:rsidR="007F1F47" w:rsidRPr="00156AE0">
        <w:rPr>
          <w:rStyle w:val="Aucun"/>
          <w:rFonts w:ascii="Times New Roman" w:hAnsi="Times New Roman" w:cs="Times New Roman"/>
          <w:sz w:val="20"/>
          <w:szCs w:val="20"/>
        </w:rPr>
        <w:t>)</w:t>
      </w:r>
      <w:r w:rsidRPr="00156AE0">
        <w:rPr>
          <w:rStyle w:val="Aucun"/>
          <w:rFonts w:ascii="Times New Roman" w:hAnsi="Times New Roman" w:cs="Times New Roman"/>
          <w:sz w:val="20"/>
          <w:szCs w:val="20"/>
        </w:rPr>
        <w:t xml:space="preserve">, p. 41-52, p. 47. </w:t>
      </w:r>
    </w:p>
  </w:footnote>
  <w:footnote w:id="9">
    <w:p w14:paraId="0E15DAAE" w14:textId="77777777" w:rsidR="00337CC7" w:rsidRPr="00156AE0" w:rsidRDefault="00337CC7" w:rsidP="00337CC7">
      <w:pPr>
        <w:pStyle w:val="Notedebasdepage"/>
        <w:spacing w:line="260" w:lineRule="exact"/>
        <w:rPr>
          <w:rFonts w:ascii="Times New Roman" w:hAnsi="Times New Roman" w:cs="Times New Roman"/>
          <w:sz w:val="20"/>
          <w:szCs w:val="20"/>
        </w:rPr>
      </w:pPr>
      <w:r w:rsidRPr="00156AE0">
        <w:rPr>
          <w:rFonts w:ascii="Times New Roman" w:eastAsia="Times New Roman" w:hAnsi="Times New Roman" w:cs="Times New Roman"/>
          <w:sz w:val="20"/>
          <w:szCs w:val="20"/>
          <w:vertAlign w:val="superscript"/>
        </w:rPr>
        <w:footnoteRef/>
      </w:r>
      <w:r w:rsidRPr="00156AE0">
        <w:rPr>
          <w:rFonts w:ascii="Times New Roman" w:hAnsi="Times New Roman" w:cs="Times New Roman"/>
          <w:sz w:val="20"/>
          <w:szCs w:val="20"/>
        </w:rPr>
        <w:t xml:space="preserve"> « Le point de vue est dans le corps, dit Leibniz » (</w:t>
      </w:r>
      <w:r w:rsidRPr="00156AE0">
        <w:rPr>
          <w:rFonts w:ascii="Times New Roman" w:hAnsi="Times New Roman" w:cs="Times New Roman"/>
          <w:smallCaps/>
          <w:sz w:val="20"/>
          <w:szCs w:val="20"/>
        </w:rPr>
        <w:t>Deleuze</w:t>
      </w:r>
      <w:r w:rsidRPr="00156AE0">
        <w:rPr>
          <w:rFonts w:ascii="Times New Roman" w:hAnsi="Times New Roman" w:cs="Times New Roman"/>
          <w:sz w:val="20"/>
          <w:szCs w:val="20"/>
        </w:rPr>
        <w:t xml:space="preserve"> (G.), </w:t>
      </w:r>
      <w:r w:rsidRPr="00156AE0">
        <w:rPr>
          <w:rFonts w:ascii="Times New Roman" w:hAnsi="Times New Roman" w:cs="Times New Roman"/>
          <w:i/>
          <w:iCs/>
          <w:sz w:val="20"/>
          <w:szCs w:val="20"/>
        </w:rPr>
        <w:t>Le pli : Leibniz et le baroque</w:t>
      </w:r>
      <w:r w:rsidRPr="00156AE0">
        <w:rPr>
          <w:rFonts w:ascii="Times New Roman" w:hAnsi="Times New Roman" w:cs="Times New Roman"/>
          <w:sz w:val="20"/>
          <w:szCs w:val="20"/>
        </w:rPr>
        <w:t xml:space="preserve">, Paris, Minuit, 1988, p. 16). </w:t>
      </w:r>
    </w:p>
  </w:footnote>
  <w:footnote w:id="10">
    <w:p w14:paraId="31830588" w14:textId="77777777"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mallCaps/>
          <w:sz w:val="20"/>
          <w:szCs w:val="20"/>
        </w:rPr>
        <w:t>Viveiros de Castro</w:t>
      </w:r>
      <w:r w:rsidRPr="00156AE0">
        <w:rPr>
          <w:rStyle w:val="Aucun"/>
          <w:rFonts w:ascii="Times New Roman" w:hAnsi="Times New Roman" w:cs="Times New Roman"/>
          <w:sz w:val="20"/>
          <w:szCs w:val="20"/>
        </w:rPr>
        <w:t xml:space="preserve"> (E.), </w:t>
      </w:r>
      <w:r w:rsidRPr="00156AE0">
        <w:rPr>
          <w:rStyle w:val="Aucun"/>
          <w:rFonts w:ascii="Times New Roman" w:hAnsi="Times New Roman" w:cs="Times New Roman"/>
          <w:i/>
          <w:iCs/>
          <w:sz w:val="20"/>
          <w:szCs w:val="20"/>
        </w:rPr>
        <w:t>Métaphysiques cannibales</w:t>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i/>
          <w:iCs/>
          <w:sz w:val="20"/>
          <w:szCs w:val="20"/>
        </w:rPr>
        <w:t>op. cit.</w:t>
      </w:r>
      <w:r w:rsidRPr="00156AE0">
        <w:rPr>
          <w:rStyle w:val="Aucun"/>
          <w:rFonts w:ascii="Times New Roman" w:hAnsi="Times New Roman" w:cs="Times New Roman"/>
          <w:sz w:val="20"/>
          <w:szCs w:val="20"/>
        </w:rPr>
        <w:t xml:space="preserve">, p. 38. </w:t>
      </w:r>
      <w:r w:rsidRPr="00156AE0">
        <w:rPr>
          <w:rStyle w:val="Aucun"/>
          <w:rFonts w:ascii="Times New Roman" w:hAnsi="Times New Roman" w:cs="Times New Roman"/>
          <w:i/>
          <w:iCs/>
          <w:sz w:val="20"/>
          <w:szCs w:val="20"/>
        </w:rPr>
        <w:t xml:space="preserve"> </w:t>
      </w:r>
    </w:p>
  </w:footnote>
  <w:footnote w:id="11">
    <w:p w14:paraId="424B099A" w14:textId="77777777" w:rsidR="00156AE0" w:rsidRPr="00156AE0" w:rsidRDefault="00156AE0" w:rsidP="00156AE0">
      <w:pPr>
        <w:pStyle w:val="Notedebasdepage"/>
        <w:rPr>
          <w:rFonts w:ascii="Times New Roman" w:hAnsi="Times New Roman" w:cs="Times New Roman"/>
          <w:sz w:val="20"/>
          <w:szCs w:val="20"/>
          <w:lang w:val="fr-BE"/>
        </w:rPr>
      </w:pPr>
      <w:r w:rsidRPr="00156AE0">
        <w:rPr>
          <w:rStyle w:val="Appelnotedebasdep"/>
          <w:rFonts w:ascii="Times New Roman" w:hAnsi="Times New Roman" w:cs="Times New Roman"/>
          <w:sz w:val="20"/>
          <w:szCs w:val="20"/>
        </w:rPr>
        <w:footnoteRef/>
      </w:r>
      <w:r w:rsidRPr="00156AE0">
        <w:rPr>
          <w:rFonts w:ascii="Times New Roman" w:hAnsi="Times New Roman" w:cs="Times New Roman"/>
          <w:sz w:val="20"/>
          <w:szCs w:val="20"/>
        </w:rPr>
        <w:t xml:space="preserve"> </w:t>
      </w:r>
      <w:r w:rsidRPr="00156AE0">
        <w:rPr>
          <w:rFonts w:ascii="Times New Roman" w:hAnsi="Times New Roman" w:cs="Times New Roman"/>
          <w:i/>
          <w:iCs/>
          <w:sz w:val="20"/>
          <w:szCs w:val="20"/>
        </w:rPr>
        <w:t xml:space="preserve">Ibid., </w:t>
      </w:r>
      <w:r w:rsidRPr="00156AE0">
        <w:rPr>
          <w:rFonts w:ascii="Times New Roman" w:hAnsi="Times New Roman" w:cs="Times New Roman"/>
          <w:sz w:val="20"/>
          <w:szCs w:val="20"/>
        </w:rPr>
        <w:t xml:space="preserve">p. 35. </w:t>
      </w:r>
    </w:p>
  </w:footnote>
  <w:footnote w:id="12">
    <w:p w14:paraId="06254483" w14:textId="2E3601E6" w:rsidR="00BE28BE" w:rsidRPr="00156AE0" w:rsidRDefault="00BE28BE" w:rsidP="00BE28BE">
      <w:pPr>
        <w:pStyle w:val="Notedebasdepage"/>
        <w:spacing w:line="260" w:lineRule="exact"/>
        <w:rPr>
          <w:rFonts w:ascii="Times New Roman" w:hAnsi="Times New Roman" w:cs="Times New Roman"/>
          <w:sz w:val="20"/>
          <w:szCs w:val="20"/>
        </w:rPr>
      </w:pPr>
      <w:r w:rsidRPr="00156AE0">
        <w:rPr>
          <w:rStyle w:val="Appelnotedebasdep"/>
          <w:rFonts w:ascii="Times New Roman" w:hAnsi="Times New Roman" w:cs="Times New Roman"/>
          <w:sz w:val="20"/>
          <w:szCs w:val="20"/>
        </w:rPr>
        <w:footnoteRef/>
      </w:r>
      <w:r w:rsidRPr="00156AE0">
        <w:rPr>
          <w:rFonts w:ascii="Times New Roman" w:hAnsi="Times New Roman" w:cs="Times New Roman"/>
          <w:sz w:val="20"/>
          <w:szCs w:val="20"/>
        </w:rPr>
        <w:t xml:space="preserve"> </w:t>
      </w:r>
      <w:r w:rsidRPr="00156AE0">
        <w:rPr>
          <w:rFonts w:ascii="Times New Roman" w:hAnsi="Times New Roman" w:cs="Times New Roman"/>
          <w:smallCaps/>
          <w:sz w:val="20"/>
          <w:szCs w:val="20"/>
        </w:rPr>
        <w:t>Taylor</w:t>
      </w:r>
      <w:r w:rsidRPr="00156AE0">
        <w:rPr>
          <w:rFonts w:ascii="Times New Roman" w:hAnsi="Times New Roman" w:cs="Times New Roman"/>
          <w:sz w:val="20"/>
          <w:szCs w:val="20"/>
        </w:rPr>
        <w:t xml:space="preserve"> (A. C.), </w:t>
      </w:r>
      <w:r w:rsidRPr="00156AE0">
        <w:rPr>
          <w:rFonts w:ascii="Times New Roman" w:hAnsi="Times New Roman" w:cs="Times New Roman"/>
          <w:smallCaps/>
          <w:sz w:val="20"/>
          <w:szCs w:val="20"/>
        </w:rPr>
        <w:t>Viveiros de Castro</w:t>
      </w:r>
      <w:r w:rsidRPr="00156AE0">
        <w:rPr>
          <w:rFonts w:ascii="Times New Roman" w:hAnsi="Times New Roman" w:cs="Times New Roman"/>
          <w:sz w:val="20"/>
          <w:szCs w:val="20"/>
        </w:rPr>
        <w:t xml:space="preserve"> (E.), « Un corps fait de regards », in </w:t>
      </w:r>
      <w:r w:rsidRPr="00156AE0">
        <w:rPr>
          <w:rFonts w:ascii="Times New Roman" w:hAnsi="Times New Roman" w:cs="Times New Roman"/>
          <w:i/>
          <w:iCs/>
          <w:sz w:val="20"/>
          <w:szCs w:val="20"/>
        </w:rPr>
        <w:t xml:space="preserve">Qu’est-ce qu’un corps ? (Afrique de l’Ouest/Europe occidentale/Nouvelle-Guinée/Amazonie), </w:t>
      </w:r>
      <w:r w:rsidRPr="00156AE0">
        <w:rPr>
          <w:rFonts w:ascii="Times New Roman" w:hAnsi="Times New Roman" w:cs="Times New Roman"/>
          <w:sz w:val="20"/>
          <w:szCs w:val="20"/>
        </w:rPr>
        <w:t xml:space="preserve">sous la direction de </w:t>
      </w:r>
      <w:r w:rsidRPr="00156AE0">
        <w:rPr>
          <w:rFonts w:ascii="Times New Roman" w:hAnsi="Times New Roman" w:cs="Times New Roman"/>
          <w:smallCaps/>
          <w:sz w:val="20"/>
          <w:szCs w:val="20"/>
        </w:rPr>
        <w:t>Breton</w:t>
      </w:r>
      <w:r w:rsidRPr="00156AE0">
        <w:rPr>
          <w:rFonts w:ascii="Times New Roman" w:hAnsi="Times New Roman" w:cs="Times New Roman"/>
          <w:sz w:val="20"/>
          <w:szCs w:val="20"/>
        </w:rPr>
        <w:t xml:space="preserve"> (S.) et </w:t>
      </w:r>
      <w:r w:rsidRPr="00156AE0">
        <w:rPr>
          <w:rFonts w:ascii="Times New Roman" w:hAnsi="Times New Roman" w:cs="Times New Roman"/>
          <w:i/>
          <w:iCs/>
          <w:sz w:val="20"/>
          <w:szCs w:val="20"/>
        </w:rPr>
        <w:t>al.</w:t>
      </w:r>
      <w:r w:rsidRPr="00156AE0">
        <w:rPr>
          <w:rFonts w:ascii="Times New Roman" w:hAnsi="Times New Roman" w:cs="Times New Roman"/>
          <w:sz w:val="20"/>
          <w:szCs w:val="20"/>
        </w:rPr>
        <w:t>, Paris, Musée du Quai-Branly, Flammarion, p. 148-199</w:t>
      </w:r>
      <w:r w:rsidRPr="00156AE0">
        <w:rPr>
          <w:rFonts w:ascii="Times New Roman" w:hAnsi="Times New Roman" w:cs="Times New Roman"/>
          <w:i/>
          <w:iCs/>
          <w:sz w:val="20"/>
          <w:szCs w:val="20"/>
        </w:rPr>
        <w:t xml:space="preserve">, </w:t>
      </w:r>
      <w:r w:rsidRPr="00156AE0">
        <w:rPr>
          <w:rFonts w:ascii="Times New Roman" w:hAnsi="Times New Roman" w:cs="Times New Roman"/>
          <w:sz w:val="20"/>
          <w:szCs w:val="20"/>
        </w:rPr>
        <w:t>p. 157.</w:t>
      </w:r>
    </w:p>
  </w:footnote>
  <w:footnote w:id="13">
    <w:p w14:paraId="0A77F4CC" w14:textId="77777777" w:rsidR="00FA4F5F" w:rsidRPr="00156AE0" w:rsidRDefault="002D52F5">
      <w:pPr>
        <w:pStyle w:val="Notedebasdepage"/>
        <w:rPr>
          <w:rFonts w:ascii="Times New Roman" w:hAnsi="Times New Roman" w:cs="Times New Roman"/>
          <w:sz w:val="20"/>
          <w:szCs w:val="20"/>
          <w:lang w:val="fr-BE"/>
        </w:rPr>
      </w:pPr>
      <w:r w:rsidRPr="00156AE0">
        <w:rPr>
          <w:rStyle w:val="Aucun"/>
          <w:rFonts w:ascii="Times New Roman" w:eastAsia="Times New Roman" w:hAnsi="Times New Roman" w:cs="Times New Roman"/>
          <w:sz w:val="20"/>
          <w:szCs w:val="20"/>
          <w:vertAlign w:val="superscript"/>
          <w:lang w:val="en-US"/>
        </w:rPr>
        <w:footnoteRef/>
      </w:r>
      <w:r w:rsidRPr="00156AE0">
        <w:rPr>
          <w:rStyle w:val="Aucun"/>
          <w:rFonts w:ascii="Times New Roman" w:hAnsi="Times New Roman" w:cs="Times New Roman"/>
          <w:i/>
          <w:iCs/>
          <w:sz w:val="20"/>
          <w:szCs w:val="20"/>
          <w:lang w:val="fr-BE"/>
        </w:rPr>
        <w:t xml:space="preserve"> Ibid.</w:t>
      </w:r>
      <w:r w:rsidRPr="00156AE0">
        <w:rPr>
          <w:rStyle w:val="Aucun"/>
          <w:rFonts w:ascii="Times New Roman" w:hAnsi="Times New Roman" w:cs="Times New Roman"/>
          <w:sz w:val="20"/>
          <w:szCs w:val="20"/>
          <w:lang w:val="fr-BE"/>
        </w:rPr>
        <w:t>, p. 34</w:t>
      </w:r>
      <w:r w:rsidRPr="00156AE0">
        <w:rPr>
          <w:rStyle w:val="Aucun"/>
          <w:rFonts w:ascii="Times New Roman" w:hAnsi="Times New Roman" w:cs="Times New Roman"/>
          <w:i/>
          <w:iCs/>
          <w:sz w:val="20"/>
          <w:szCs w:val="20"/>
          <w:lang w:val="fr-BE"/>
        </w:rPr>
        <w:t>.</w:t>
      </w:r>
    </w:p>
  </w:footnote>
  <w:footnote w:id="14">
    <w:p w14:paraId="36F6E70A" w14:textId="00A343C1" w:rsidR="00FA4F5F" w:rsidRPr="00156AE0" w:rsidRDefault="002D52F5">
      <w:pPr>
        <w:pStyle w:val="Notedebasdepage"/>
        <w:rPr>
          <w:rFonts w:ascii="Times New Roman" w:hAnsi="Times New Roman" w:cs="Times New Roman"/>
          <w:sz w:val="20"/>
          <w:szCs w:val="20"/>
          <w:lang w:val="fr-BE"/>
        </w:rPr>
      </w:pPr>
      <w:r w:rsidRPr="00156AE0">
        <w:rPr>
          <w:rStyle w:val="Aucun"/>
          <w:rFonts w:ascii="Times New Roman" w:eastAsia="Times New Roman" w:hAnsi="Times New Roman" w:cs="Times New Roman"/>
          <w:sz w:val="20"/>
          <w:szCs w:val="20"/>
          <w:vertAlign w:val="superscript"/>
          <w:lang w:val="en-US"/>
        </w:rPr>
        <w:footnoteRef/>
      </w:r>
      <w:r w:rsidR="00EB1A4A" w:rsidRPr="00156AE0">
        <w:rPr>
          <w:rStyle w:val="Aucun"/>
          <w:rFonts w:ascii="Times New Roman" w:hAnsi="Times New Roman" w:cs="Times New Roman"/>
          <w:i/>
          <w:iCs/>
          <w:sz w:val="20"/>
          <w:szCs w:val="20"/>
          <w:lang w:val="fr-BE"/>
        </w:rPr>
        <w:t xml:space="preserve"> </w:t>
      </w:r>
      <w:r w:rsidR="00EB1A4A" w:rsidRPr="00156AE0">
        <w:rPr>
          <w:rFonts w:ascii="Times New Roman" w:hAnsi="Times New Roman" w:cs="Times New Roman"/>
          <w:smallCaps/>
          <w:sz w:val="20"/>
          <w:szCs w:val="20"/>
        </w:rPr>
        <w:t>Viveiros de Castro</w:t>
      </w:r>
      <w:r w:rsidR="00EB1A4A" w:rsidRPr="00156AE0">
        <w:rPr>
          <w:rFonts w:ascii="Times New Roman" w:hAnsi="Times New Roman" w:cs="Times New Roman"/>
          <w:sz w:val="20"/>
          <w:szCs w:val="20"/>
        </w:rPr>
        <w:t xml:space="preserve"> (E.), </w:t>
      </w:r>
      <w:r w:rsidR="00EB1A4A" w:rsidRPr="00156AE0">
        <w:rPr>
          <w:rFonts w:ascii="Times New Roman" w:hAnsi="Times New Roman" w:cs="Times New Roman"/>
          <w:i/>
          <w:iCs/>
          <w:sz w:val="20"/>
          <w:szCs w:val="20"/>
        </w:rPr>
        <w:t>Métaphysiques cannibales</w:t>
      </w:r>
      <w:r w:rsidR="00EB1A4A" w:rsidRPr="00156AE0">
        <w:rPr>
          <w:rFonts w:ascii="Times New Roman" w:hAnsi="Times New Roman" w:cs="Times New Roman"/>
          <w:sz w:val="20"/>
          <w:szCs w:val="20"/>
        </w:rPr>
        <w:t xml:space="preserve">, </w:t>
      </w:r>
      <w:r w:rsidR="00EB1A4A" w:rsidRPr="00156AE0">
        <w:rPr>
          <w:rFonts w:ascii="Times New Roman" w:hAnsi="Times New Roman" w:cs="Times New Roman"/>
          <w:i/>
          <w:iCs/>
          <w:sz w:val="20"/>
          <w:szCs w:val="20"/>
        </w:rPr>
        <w:t>op. cit</w:t>
      </w:r>
      <w:r w:rsidR="00EB1A4A" w:rsidRPr="00156AE0">
        <w:rPr>
          <w:rFonts w:ascii="Times New Roman" w:hAnsi="Times New Roman" w:cs="Times New Roman"/>
          <w:i/>
          <w:iCs/>
          <w:sz w:val="20"/>
          <w:szCs w:val="20"/>
          <w:lang w:val="fr-BE"/>
        </w:rPr>
        <w:t>.</w:t>
      </w:r>
      <w:r w:rsidR="00EB1A4A" w:rsidRPr="00156AE0">
        <w:rPr>
          <w:rFonts w:ascii="Times New Roman" w:hAnsi="Times New Roman" w:cs="Times New Roman"/>
          <w:sz w:val="20"/>
          <w:szCs w:val="20"/>
          <w:lang w:val="fr-BE"/>
        </w:rPr>
        <w:t>, p. 40</w:t>
      </w:r>
      <w:r w:rsidRPr="00156AE0">
        <w:rPr>
          <w:rStyle w:val="Aucun"/>
          <w:rFonts w:ascii="Times New Roman" w:hAnsi="Times New Roman" w:cs="Times New Roman"/>
          <w:i/>
          <w:iCs/>
          <w:sz w:val="20"/>
          <w:szCs w:val="20"/>
          <w:lang w:val="fr-BE"/>
        </w:rPr>
        <w:t>.</w:t>
      </w:r>
    </w:p>
  </w:footnote>
  <w:footnote w:id="15">
    <w:p w14:paraId="390A3590" w14:textId="28358BB4" w:rsidR="00FA4F5F" w:rsidRPr="00156AE0" w:rsidRDefault="002D52F5">
      <w:pPr>
        <w:pStyle w:val="Notedebasdepage"/>
        <w:rPr>
          <w:rFonts w:ascii="Times New Roman" w:hAnsi="Times New Roman" w:cs="Times New Roman"/>
          <w:sz w:val="20"/>
          <w:szCs w:val="20"/>
          <w:lang w:val="fr-BE"/>
        </w:rPr>
      </w:pPr>
      <w:r w:rsidRPr="00156AE0">
        <w:rPr>
          <w:rStyle w:val="Aucun"/>
          <w:rFonts w:ascii="Times New Roman" w:eastAsia="Times New Roman" w:hAnsi="Times New Roman" w:cs="Times New Roman"/>
          <w:sz w:val="20"/>
          <w:szCs w:val="20"/>
          <w:vertAlign w:val="superscript"/>
          <w:lang w:val="en-US"/>
        </w:rPr>
        <w:footnoteRef/>
      </w:r>
      <w:r w:rsidR="001465CE" w:rsidRPr="00156AE0">
        <w:rPr>
          <w:rStyle w:val="Aucun"/>
          <w:rFonts w:ascii="Times New Roman" w:hAnsi="Times New Roman" w:cs="Times New Roman"/>
          <w:i/>
          <w:iCs/>
          <w:sz w:val="20"/>
          <w:szCs w:val="20"/>
          <w:lang w:val="fr-BE"/>
        </w:rPr>
        <w:t xml:space="preserve"> </w:t>
      </w:r>
      <w:r w:rsidRPr="00156AE0">
        <w:rPr>
          <w:rStyle w:val="Aucun"/>
          <w:rFonts w:ascii="Times New Roman" w:hAnsi="Times New Roman" w:cs="Times New Roman"/>
          <w:i/>
          <w:iCs/>
          <w:sz w:val="20"/>
          <w:szCs w:val="20"/>
          <w:lang w:val="fr-BE"/>
        </w:rPr>
        <w:t>Ibid.</w:t>
      </w:r>
      <w:r w:rsidRPr="00156AE0">
        <w:rPr>
          <w:rStyle w:val="Aucun"/>
          <w:rFonts w:ascii="Times New Roman" w:hAnsi="Times New Roman" w:cs="Times New Roman"/>
          <w:sz w:val="20"/>
          <w:szCs w:val="20"/>
          <w:lang w:val="fr-BE"/>
        </w:rPr>
        <w:t>, p. 41.</w:t>
      </w:r>
    </w:p>
  </w:footnote>
  <w:footnote w:id="16">
    <w:p w14:paraId="0E944C1D" w14:textId="68C27396" w:rsidR="0031138A" w:rsidRPr="0031138A" w:rsidRDefault="0031138A" w:rsidP="0031138A">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mallCaps/>
          <w:sz w:val="20"/>
          <w:szCs w:val="20"/>
        </w:rPr>
        <w:t>Zourabichvili</w:t>
      </w:r>
      <w:r w:rsidRPr="00156AE0">
        <w:rPr>
          <w:rStyle w:val="Aucun"/>
          <w:rFonts w:ascii="Times New Roman" w:hAnsi="Times New Roman" w:cs="Times New Roman"/>
          <w:sz w:val="20"/>
          <w:szCs w:val="20"/>
        </w:rPr>
        <w:t xml:space="preserve"> (F.), « Qu’est-ce qu’un devenir pour Gilles Deleuze ? », Conférence prononcée à Horlieu (Lyon) le 27 mars 1997, en ligne, </w:t>
      </w:r>
      <w:r w:rsidRPr="00156AE0">
        <w:rPr>
          <w:rStyle w:val="Aucun"/>
          <w:rFonts w:ascii="Times New Roman" w:hAnsi="Times New Roman" w:cs="Times New Roman"/>
          <w:sz w:val="20"/>
          <w:szCs w:val="20"/>
          <w:u w:val="single"/>
        </w:rPr>
        <w:t xml:space="preserve">horlieu-editions.com/brochures/ zourabichvili-qu-est-ce-qu-un-devenir-pour-gilles-deleuze.pdf, </w:t>
      </w:r>
      <w:r w:rsidRPr="00156AE0">
        <w:rPr>
          <w:rStyle w:val="Aucun"/>
          <w:rFonts w:ascii="Times New Roman" w:hAnsi="Times New Roman" w:cs="Times New Roman"/>
          <w:sz w:val="20"/>
          <w:szCs w:val="20"/>
        </w:rPr>
        <w:t>p. 13, consulté le 22 janvier 2021.</w:t>
      </w:r>
      <w:r>
        <w:rPr>
          <w:rStyle w:val="Aucun"/>
          <w:rFonts w:ascii="Times New Roman" w:hAnsi="Times New Roman" w:cs="Times New Roman"/>
          <w:sz w:val="20"/>
          <w:szCs w:val="20"/>
        </w:rPr>
        <w:t xml:space="preserve"> </w:t>
      </w:r>
    </w:p>
  </w:footnote>
  <w:footnote w:id="17">
    <w:p w14:paraId="1F65C3A1" w14:textId="2A592392" w:rsidR="0031138A" w:rsidRPr="00A84D99" w:rsidRDefault="0031138A">
      <w:pPr>
        <w:pStyle w:val="Notedebasdepage"/>
        <w:rPr>
          <w:rFonts w:ascii="Times New Roman" w:hAnsi="Times New Roman" w:cs="Times New Roman"/>
          <w:sz w:val="20"/>
          <w:szCs w:val="20"/>
        </w:rPr>
      </w:pPr>
      <w:r>
        <w:rPr>
          <w:rStyle w:val="Appelnotedebasdep"/>
        </w:rPr>
        <w:footnoteRef/>
      </w:r>
      <w:r>
        <w:t xml:space="preserve"> </w:t>
      </w:r>
      <w:r w:rsidRPr="00A84D99">
        <w:rPr>
          <w:rFonts w:ascii="Times New Roman" w:hAnsi="Times New Roman" w:cs="Times New Roman"/>
          <w:sz w:val="20"/>
          <w:szCs w:val="20"/>
        </w:rPr>
        <w:t xml:space="preserve">Nous reprenons ici, à la suite de Zourabichvili, les termes proposés par Deleuze dans </w:t>
      </w:r>
      <w:r w:rsidRPr="00A84D99">
        <w:rPr>
          <w:rStyle w:val="Aucun"/>
          <w:rFonts w:ascii="Times New Roman" w:hAnsi="Times New Roman" w:cs="Times New Roman"/>
          <w:i/>
          <w:iCs/>
          <w:sz w:val="20"/>
          <w:szCs w:val="20"/>
        </w:rPr>
        <w:t xml:space="preserve">Cinéma </w:t>
      </w:r>
      <w:r w:rsidR="00A84D99" w:rsidRPr="00A84D99">
        <w:rPr>
          <w:rStyle w:val="Aucun"/>
          <w:rFonts w:ascii="Times New Roman" w:hAnsi="Times New Roman" w:cs="Times New Roman"/>
          <w:i/>
          <w:iCs/>
          <w:sz w:val="20"/>
          <w:szCs w:val="20"/>
        </w:rPr>
        <w:t>2</w:t>
      </w:r>
      <w:r w:rsidRPr="00A84D99">
        <w:rPr>
          <w:rStyle w:val="Aucun"/>
          <w:rFonts w:ascii="Times New Roman" w:hAnsi="Times New Roman" w:cs="Times New Roman"/>
          <w:i/>
          <w:iCs/>
          <w:sz w:val="20"/>
          <w:szCs w:val="20"/>
        </w:rPr>
        <w:t xml:space="preserve">. </w:t>
      </w:r>
      <w:r w:rsidR="00A84D99" w:rsidRPr="00A84D99">
        <w:rPr>
          <w:rFonts w:ascii="Times New Roman" w:hAnsi="Times New Roman" w:cs="Times New Roman"/>
          <w:i/>
          <w:iCs/>
          <w:sz w:val="20"/>
          <w:szCs w:val="20"/>
        </w:rPr>
        <w:t xml:space="preserve">L’image-temps, </w:t>
      </w:r>
      <w:r w:rsidR="00A84D99" w:rsidRPr="00A84D99">
        <w:rPr>
          <w:rFonts w:ascii="Times New Roman" w:hAnsi="Times New Roman" w:cs="Times New Roman"/>
          <w:sz w:val="20"/>
          <w:szCs w:val="20"/>
        </w:rPr>
        <w:t xml:space="preserve">Paris, </w:t>
      </w:r>
      <w:r w:rsidR="00A84D99">
        <w:rPr>
          <w:rFonts w:ascii="Times New Roman" w:hAnsi="Times New Roman" w:cs="Times New Roman"/>
          <w:sz w:val="20"/>
          <w:szCs w:val="20"/>
        </w:rPr>
        <w:t>Minuit, 1985</w:t>
      </w:r>
      <w:r w:rsidR="009A6610">
        <w:rPr>
          <w:rFonts w:ascii="Times New Roman" w:hAnsi="Times New Roman" w:cs="Times New Roman"/>
          <w:sz w:val="20"/>
          <w:szCs w:val="20"/>
        </w:rPr>
        <w:t>.</w:t>
      </w:r>
      <w:r w:rsidR="00A84D99">
        <w:rPr>
          <w:rFonts w:ascii="Times New Roman" w:hAnsi="Times New Roman" w:cs="Times New Roman"/>
          <w:sz w:val="20"/>
          <w:szCs w:val="20"/>
        </w:rPr>
        <w:t xml:space="preserve"> </w:t>
      </w:r>
    </w:p>
  </w:footnote>
  <w:footnote w:id="18">
    <w:p w14:paraId="6DFC54A2" w14:textId="414C2BE7"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007F1F47"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mallCaps/>
          <w:sz w:val="20"/>
          <w:szCs w:val="20"/>
        </w:rPr>
        <w:t>Viveiros de Castro</w:t>
      </w:r>
      <w:r w:rsidRPr="00156AE0">
        <w:rPr>
          <w:rStyle w:val="Aucun"/>
          <w:rFonts w:ascii="Times New Roman" w:hAnsi="Times New Roman" w:cs="Times New Roman"/>
          <w:sz w:val="20"/>
          <w:szCs w:val="20"/>
        </w:rPr>
        <w:t xml:space="preserve"> (E.), </w:t>
      </w:r>
      <w:r w:rsidRPr="00156AE0">
        <w:rPr>
          <w:rStyle w:val="Aucun"/>
          <w:rFonts w:ascii="Times New Roman" w:hAnsi="Times New Roman" w:cs="Times New Roman"/>
          <w:i/>
          <w:iCs/>
          <w:sz w:val="20"/>
          <w:szCs w:val="20"/>
        </w:rPr>
        <w:t>Métaphysiques cannibales</w:t>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i/>
          <w:iCs/>
          <w:sz w:val="20"/>
          <w:szCs w:val="20"/>
        </w:rPr>
        <w:t>op. cit.</w:t>
      </w:r>
      <w:r w:rsidRPr="00156AE0">
        <w:rPr>
          <w:rStyle w:val="Aucun"/>
          <w:rFonts w:ascii="Times New Roman" w:hAnsi="Times New Roman" w:cs="Times New Roman"/>
          <w:sz w:val="20"/>
          <w:szCs w:val="20"/>
        </w:rPr>
        <w:t xml:space="preserve">, p. 36. </w:t>
      </w:r>
    </w:p>
  </w:footnote>
  <w:footnote w:id="19">
    <w:p w14:paraId="0447C19E" w14:textId="6085A902"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mallCaps/>
          <w:sz w:val="20"/>
          <w:szCs w:val="20"/>
        </w:rPr>
        <w:t>Taylor</w:t>
      </w:r>
      <w:r w:rsidRPr="00156AE0">
        <w:rPr>
          <w:rStyle w:val="Aucun"/>
          <w:rFonts w:ascii="Times New Roman" w:hAnsi="Times New Roman" w:cs="Times New Roman"/>
          <w:sz w:val="20"/>
          <w:szCs w:val="20"/>
        </w:rPr>
        <w:t xml:space="preserve"> (A. C.)</w:t>
      </w:r>
      <w:r w:rsidR="00223AAC"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mallCaps/>
          <w:sz w:val="20"/>
          <w:szCs w:val="20"/>
        </w:rPr>
        <w:t>Viveiros de Castro</w:t>
      </w:r>
      <w:r w:rsidRPr="00156AE0">
        <w:rPr>
          <w:rStyle w:val="Aucun"/>
          <w:rFonts w:ascii="Times New Roman" w:hAnsi="Times New Roman" w:cs="Times New Roman"/>
          <w:sz w:val="20"/>
          <w:szCs w:val="20"/>
        </w:rPr>
        <w:t xml:space="preserve"> (E.), « Un corps fait de regards », in </w:t>
      </w:r>
      <w:r w:rsidRPr="00156AE0">
        <w:rPr>
          <w:rStyle w:val="Aucun"/>
          <w:rFonts w:ascii="Times New Roman" w:hAnsi="Times New Roman" w:cs="Times New Roman"/>
          <w:i/>
          <w:iCs/>
          <w:sz w:val="20"/>
          <w:szCs w:val="20"/>
        </w:rPr>
        <w:t xml:space="preserve">Qu’est-ce qu’un corps ? (Afrique de l’Ouest/Europe occidentale/Nouvelle-Guinée/Amazonie), </w:t>
      </w:r>
      <w:r w:rsidRPr="00156AE0">
        <w:rPr>
          <w:rStyle w:val="Aucun"/>
          <w:rFonts w:ascii="Times New Roman" w:hAnsi="Times New Roman" w:cs="Times New Roman"/>
          <w:sz w:val="20"/>
          <w:szCs w:val="20"/>
        </w:rPr>
        <w:t xml:space="preserve">sous la direction de </w:t>
      </w:r>
      <w:r w:rsidRPr="00156AE0">
        <w:rPr>
          <w:rStyle w:val="Aucun"/>
          <w:rFonts w:ascii="Times New Roman" w:hAnsi="Times New Roman" w:cs="Times New Roman"/>
          <w:smallCaps/>
          <w:sz w:val="20"/>
          <w:szCs w:val="20"/>
        </w:rPr>
        <w:t>Breton</w:t>
      </w:r>
      <w:r w:rsidRPr="00156AE0">
        <w:rPr>
          <w:rStyle w:val="Aucun"/>
          <w:rFonts w:ascii="Times New Roman" w:hAnsi="Times New Roman" w:cs="Times New Roman"/>
          <w:sz w:val="20"/>
          <w:szCs w:val="20"/>
        </w:rPr>
        <w:t xml:space="preserve"> (S.) et </w:t>
      </w:r>
      <w:r w:rsidRPr="00156AE0">
        <w:rPr>
          <w:rStyle w:val="Aucun"/>
          <w:rFonts w:ascii="Times New Roman" w:hAnsi="Times New Roman" w:cs="Times New Roman"/>
          <w:i/>
          <w:iCs/>
          <w:sz w:val="20"/>
          <w:szCs w:val="20"/>
        </w:rPr>
        <w:t>al.</w:t>
      </w:r>
      <w:r w:rsidRPr="00156AE0">
        <w:rPr>
          <w:rStyle w:val="Aucun"/>
          <w:rFonts w:ascii="Times New Roman" w:hAnsi="Times New Roman" w:cs="Times New Roman"/>
          <w:sz w:val="20"/>
          <w:szCs w:val="20"/>
        </w:rPr>
        <w:t>, Paris, Musée du Quai-Branly, Flammarion, p. 148-199</w:t>
      </w:r>
      <w:r w:rsidRPr="00156AE0">
        <w:rPr>
          <w:rStyle w:val="Aucun"/>
          <w:rFonts w:ascii="Times New Roman" w:hAnsi="Times New Roman" w:cs="Times New Roman"/>
          <w:i/>
          <w:iCs/>
          <w:sz w:val="20"/>
          <w:szCs w:val="20"/>
        </w:rPr>
        <w:t xml:space="preserve">, </w:t>
      </w:r>
      <w:r w:rsidRPr="00156AE0">
        <w:rPr>
          <w:rStyle w:val="Aucun"/>
          <w:rFonts w:ascii="Times New Roman" w:hAnsi="Times New Roman" w:cs="Times New Roman"/>
          <w:sz w:val="20"/>
          <w:szCs w:val="20"/>
        </w:rPr>
        <w:t>p. 157.</w:t>
      </w:r>
    </w:p>
  </w:footnote>
  <w:footnote w:id="20">
    <w:p w14:paraId="4FDB7A21" w14:textId="3D4037BB"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w:t>
      </w:r>
      <w:r w:rsidR="007F1F47" w:rsidRPr="00156AE0">
        <w:rPr>
          <w:rStyle w:val="Aucun"/>
          <w:rFonts w:ascii="Times New Roman" w:hAnsi="Times New Roman" w:cs="Times New Roman"/>
          <w:smallCaps/>
          <w:sz w:val="20"/>
          <w:szCs w:val="20"/>
        </w:rPr>
        <w:t>Viveiros de Castro</w:t>
      </w:r>
      <w:r w:rsidR="007F1F47" w:rsidRPr="00156AE0">
        <w:rPr>
          <w:rStyle w:val="Aucun"/>
          <w:rFonts w:ascii="Times New Roman" w:hAnsi="Times New Roman" w:cs="Times New Roman"/>
          <w:sz w:val="20"/>
          <w:szCs w:val="20"/>
        </w:rPr>
        <w:t xml:space="preserve"> (E.)</w:t>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i/>
          <w:iCs/>
          <w:sz w:val="20"/>
          <w:szCs w:val="20"/>
        </w:rPr>
        <w:t>Métaphysiques cannibales</w:t>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i/>
          <w:iCs/>
          <w:sz w:val="20"/>
          <w:szCs w:val="20"/>
        </w:rPr>
        <w:t>op. cit.</w:t>
      </w:r>
      <w:r w:rsidRPr="00156AE0">
        <w:rPr>
          <w:rStyle w:val="Aucun"/>
          <w:rFonts w:ascii="Times New Roman" w:hAnsi="Times New Roman" w:cs="Times New Roman"/>
          <w:sz w:val="20"/>
          <w:szCs w:val="20"/>
        </w:rPr>
        <w:t>, p. 40.</w:t>
      </w:r>
    </w:p>
  </w:footnote>
  <w:footnote w:id="21">
    <w:p w14:paraId="31E91284" w14:textId="754051ED"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i/>
          <w:iCs/>
          <w:sz w:val="20"/>
          <w:szCs w:val="20"/>
        </w:rPr>
        <w:t>Ibid.</w:t>
      </w:r>
      <w:r w:rsidRPr="00156AE0">
        <w:rPr>
          <w:rStyle w:val="Aucun"/>
          <w:rFonts w:ascii="Times New Roman" w:hAnsi="Times New Roman" w:cs="Times New Roman"/>
          <w:sz w:val="20"/>
          <w:szCs w:val="20"/>
        </w:rPr>
        <w:t>, p. 24</w:t>
      </w:r>
      <w:r w:rsidR="00223AAC" w:rsidRPr="00156AE0">
        <w:rPr>
          <w:rStyle w:val="Aucun"/>
          <w:rFonts w:ascii="Times New Roman" w:hAnsi="Times New Roman" w:cs="Times New Roman"/>
          <w:sz w:val="20"/>
          <w:szCs w:val="20"/>
        </w:rPr>
        <w:t>.</w:t>
      </w:r>
    </w:p>
  </w:footnote>
  <w:footnote w:id="22">
    <w:p w14:paraId="55781337" w14:textId="77777777"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Comme le souligne E. Viveiros de Castro : « Si un homme se met à voir les vers qui infectent un cadavre comme du poisson grillé, comme le font les vautours, il doit en conclure que quelque chose lui arrive : son âme a été volée par les vautours, il est en train de se transformer en l’un d’entre eux, cessant d’être humain pour ses parents (et réciproquement) ; bref, il est gravement malade, voire mort » (</w:t>
      </w:r>
      <w:r w:rsidRPr="00156AE0">
        <w:rPr>
          <w:rStyle w:val="Aucun"/>
          <w:rFonts w:ascii="Times New Roman" w:hAnsi="Times New Roman" w:cs="Times New Roman"/>
          <w:i/>
          <w:iCs/>
          <w:sz w:val="20"/>
          <w:szCs w:val="20"/>
        </w:rPr>
        <w:t>Ibid.</w:t>
      </w:r>
      <w:r w:rsidRPr="00156AE0">
        <w:rPr>
          <w:rStyle w:val="Aucun"/>
          <w:rFonts w:ascii="Times New Roman" w:hAnsi="Times New Roman" w:cs="Times New Roman"/>
          <w:sz w:val="20"/>
          <w:szCs w:val="20"/>
        </w:rPr>
        <w:t xml:space="preserve">, p. 37). </w:t>
      </w:r>
    </w:p>
  </w:footnote>
  <w:footnote w:id="23">
    <w:p w14:paraId="7A8606D5" w14:textId="77777777" w:rsidR="00FA4F5F" w:rsidRPr="00156AE0" w:rsidRDefault="002D52F5">
      <w:pPr>
        <w:pStyle w:val="Notedebasdepage"/>
        <w:rPr>
          <w:rFonts w:ascii="Times New Roman" w:hAnsi="Times New Roman" w:cs="Times New Roman"/>
          <w:sz w:val="20"/>
          <w:szCs w:val="20"/>
          <w:lang w:val="en-US"/>
        </w:rPr>
      </w:pPr>
      <w:r w:rsidRPr="00156AE0">
        <w:rPr>
          <w:rStyle w:val="Aucun"/>
          <w:rFonts w:ascii="Times New Roman" w:eastAsia="Times New Roman" w:hAnsi="Times New Roman" w:cs="Times New Roman"/>
          <w:sz w:val="20"/>
          <w:szCs w:val="20"/>
          <w:vertAlign w:val="superscript"/>
          <w:lang w:val="en-US"/>
        </w:rPr>
        <w:footnoteRef/>
      </w:r>
      <w:r w:rsidRPr="00156AE0">
        <w:rPr>
          <w:rStyle w:val="Aucun"/>
          <w:rFonts w:ascii="Times New Roman" w:hAnsi="Times New Roman" w:cs="Times New Roman"/>
          <w:sz w:val="20"/>
          <w:szCs w:val="20"/>
          <w:lang w:val="en-US"/>
        </w:rPr>
        <w:t xml:space="preserve"> </w:t>
      </w:r>
      <w:r w:rsidRPr="00156AE0">
        <w:rPr>
          <w:rStyle w:val="Aucun"/>
          <w:rFonts w:ascii="Times New Roman" w:hAnsi="Times New Roman" w:cs="Times New Roman"/>
          <w:i/>
          <w:iCs/>
          <w:sz w:val="20"/>
          <w:szCs w:val="20"/>
          <w:lang w:val="en-US"/>
        </w:rPr>
        <w:t>Ibid.</w:t>
      </w:r>
      <w:r w:rsidRPr="00156AE0">
        <w:rPr>
          <w:rStyle w:val="Aucun"/>
          <w:rFonts w:ascii="Times New Roman" w:hAnsi="Times New Roman" w:cs="Times New Roman"/>
          <w:sz w:val="20"/>
          <w:szCs w:val="20"/>
          <w:lang w:val="en-US"/>
        </w:rPr>
        <w:t>, p. 26.</w:t>
      </w:r>
    </w:p>
  </w:footnote>
  <w:footnote w:id="24">
    <w:p w14:paraId="02C12221" w14:textId="77777777" w:rsidR="00FA4F5F" w:rsidRPr="00156AE0" w:rsidRDefault="002D52F5">
      <w:pPr>
        <w:pStyle w:val="Notedebasdepage"/>
        <w:rPr>
          <w:rFonts w:ascii="Times New Roman" w:hAnsi="Times New Roman" w:cs="Times New Roman"/>
          <w:sz w:val="20"/>
          <w:szCs w:val="20"/>
          <w:lang w:val="en-US"/>
        </w:rPr>
      </w:pPr>
      <w:r w:rsidRPr="00156AE0">
        <w:rPr>
          <w:rStyle w:val="Aucun"/>
          <w:rFonts w:ascii="Times New Roman" w:eastAsia="Times New Roman" w:hAnsi="Times New Roman" w:cs="Times New Roman"/>
          <w:sz w:val="20"/>
          <w:szCs w:val="20"/>
          <w:vertAlign w:val="superscript"/>
          <w:lang w:val="en-US"/>
        </w:rPr>
        <w:footnoteRef/>
      </w:r>
      <w:r w:rsidRPr="00156AE0">
        <w:rPr>
          <w:rStyle w:val="Aucun"/>
          <w:rFonts w:ascii="Times New Roman" w:hAnsi="Times New Roman" w:cs="Times New Roman"/>
          <w:sz w:val="20"/>
          <w:szCs w:val="20"/>
          <w:lang w:val="en-US"/>
        </w:rPr>
        <w:t xml:space="preserve"> </w:t>
      </w:r>
      <w:r w:rsidRPr="00156AE0">
        <w:rPr>
          <w:rStyle w:val="Aucun"/>
          <w:rFonts w:ascii="Times New Roman" w:hAnsi="Times New Roman" w:cs="Times New Roman"/>
          <w:i/>
          <w:iCs/>
          <w:sz w:val="20"/>
          <w:szCs w:val="20"/>
          <w:lang w:val="en-US"/>
        </w:rPr>
        <w:t>Ibid.</w:t>
      </w:r>
      <w:r w:rsidRPr="00156AE0">
        <w:rPr>
          <w:rStyle w:val="Aucun"/>
          <w:rFonts w:ascii="Times New Roman" w:hAnsi="Times New Roman" w:cs="Times New Roman"/>
          <w:sz w:val="20"/>
          <w:szCs w:val="20"/>
          <w:lang w:val="en-US"/>
        </w:rPr>
        <w:t>, p. 37.</w:t>
      </w:r>
    </w:p>
  </w:footnote>
  <w:footnote w:id="25">
    <w:p w14:paraId="4646EC22" w14:textId="02B1ACD6" w:rsidR="00FA4F5F" w:rsidRPr="00156AE0" w:rsidRDefault="002D52F5">
      <w:pPr>
        <w:pStyle w:val="Notedebasdepage"/>
        <w:rPr>
          <w:rFonts w:ascii="Times New Roman" w:hAnsi="Times New Roman" w:cs="Times New Roman"/>
          <w:sz w:val="20"/>
          <w:szCs w:val="20"/>
          <w:lang w:val="en-US"/>
        </w:rPr>
      </w:pPr>
      <w:r w:rsidRPr="00156AE0">
        <w:rPr>
          <w:rStyle w:val="Aucun"/>
          <w:rFonts w:ascii="Times New Roman" w:eastAsia="Times New Roman" w:hAnsi="Times New Roman" w:cs="Times New Roman"/>
          <w:sz w:val="20"/>
          <w:szCs w:val="20"/>
          <w:vertAlign w:val="superscript"/>
          <w:lang w:val="en-US"/>
        </w:rPr>
        <w:footnoteRef/>
      </w:r>
      <w:r w:rsidRPr="00156AE0">
        <w:rPr>
          <w:rStyle w:val="Aucun"/>
          <w:rFonts w:ascii="Times New Roman" w:hAnsi="Times New Roman" w:cs="Times New Roman"/>
          <w:sz w:val="20"/>
          <w:szCs w:val="20"/>
          <w:lang w:val="en-US"/>
        </w:rPr>
        <w:t xml:space="preserve"> </w:t>
      </w:r>
      <w:r w:rsidRPr="00156AE0">
        <w:rPr>
          <w:rStyle w:val="Aucun"/>
          <w:rFonts w:ascii="Times New Roman" w:hAnsi="Times New Roman" w:cs="Times New Roman"/>
          <w:i/>
          <w:iCs/>
          <w:sz w:val="20"/>
          <w:szCs w:val="20"/>
          <w:lang w:val="en-US"/>
        </w:rPr>
        <w:t>Ibid.</w:t>
      </w:r>
      <w:r w:rsidRPr="00156AE0">
        <w:rPr>
          <w:rStyle w:val="Aucun"/>
          <w:rFonts w:ascii="Times New Roman" w:hAnsi="Times New Roman" w:cs="Times New Roman"/>
          <w:sz w:val="20"/>
          <w:szCs w:val="20"/>
          <w:lang w:val="en-US"/>
        </w:rPr>
        <w:t>, p. 26</w:t>
      </w:r>
      <w:r w:rsidR="00223AAC" w:rsidRPr="00156AE0">
        <w:rPr>
          <w:rStyle w:val="Aucun"/>
          <w:rFonts w:ascii="Times New Roman" w:hAnsi="Times New Roman" w:cs="Times New Roman"/>
          <w:sz w:val="20"/>
          <w:szCs w:val="20"/>
          <w:lang w:val="en-US"/>
        </w:rPr>
        <w:t>.</w:t>
      </w:r>
    </w:p>
  </w:footnote>
  <w:footnote w:id="26">
    <w:p w14:paraId="29DDAB46" w14:textId="3F93D62E"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i/>
          <w:iCs/>
          <w:sz w:val="20"/>
          <w:szCs w:val="20"/>
        </w:rPr>
        <w:t>Ibid.</w:t>
      </w:r>
      <w:r w:rsidRPr="00156AE0">
        <w:rPr>
          <w:rStyle w:val="Aucun"/>
          <w:rFonts w:ascii="Times New Roman" w:hAnsi="Times New Roman" w:cs="Times New Roman"/>
          <w:sz w:val="20"/>
          <w:szCs w:val="20"/>
        </w:rPr>
        <w:t>, p. 38</w:t>
      </w:r>
      <w:r w:rsidR="00223AAC" w:rsidRPr="00156AE0">
        <w:rPr>
          <w:rStyle w:val="Aucun"/>
          <w:rFonts w:ascii="Times New Roman" w:hAnsi="Times New Roman" w:cs="Times New Roman"/>
          <w:sz w:val="20"/>
          <w:szCs w:val="20"/>
        </w:rPr>
        <w:t>.</w:t>
      </w:r>
    </w:p>
  </w:footnote>
  <w:footnote w:id="27">
    <w:p w14:paraId="73F0843E" w14:textId="1D302908" w:rsidR="0065654F" w:rsidRPr="0065654F" w:rsidRDefault="0065654F">
      <w:pPr>
        <w:pStyle w:val="Notedebasdepage"/>
        <w:rPr>
          <w:rFonts w:ascii="Times New Roman" w:hAnsi="Times New Roman" w:cs="Times New Roman"/>
          <w:sz w:val="20"/>
          <w:szCs w:val="20"/>
        </w:rPr>
      </w:pPr>
      <w:r w:rsidRPr="0065654F">
        <w:rPr>
          <w:rStyle w:val="Appelnotedebasdep"/>
          <w:rFonts w:ascii="Times New Roman" w:hAnsi="Times New Roman" w:cs="Times New Roman"/>
          <w:sz w:val="20"/>
          <w:szCs w:val="20"/>
        </w:rPr>
        <w:footnoteRef/>
      </w:r>
      <w:r w:rsidRPr="0065654F">
        <w:rPr>
          <w:rFonts w:ascii="Times New Roman" w:hAnsi="Times New Roman" w:cs="Times New Roman"/>
          <w:sz w:val="20"/>
          <w:szCs w:val="20"/>
        </w:rPr>
        <w:t xml:space="preserve"> </w:t>
      </w:r>
      <w:r w:rsidRPr="0065654F">
        <w:rPr>
          <w:rFonts w:ascii="Times New Roman" w:hAnsi="Times New Roman" w:cs="Times New Roman"/>
          <w:i/>
          <w:iCs/>
          <w:sz w:val="20"/>
          <w:szCs w:val="20"/>
        </w:rPr>
        <w:t>Ibid.</w:t>
      </w:r>
      <w:r>
        <w:rPr>
          <w:rFonts w:ascii="Times New Roman" w:hAnsi="Times New Roman" w:cs="Times New Roman"/>
          <w:sz w:val="20"/>
          <w:szCs w:val="20"/>
        </w:rPr>
        <w:t xml:space="preserve">, p. 41. </w:t>
      </w:r>
    </w:p>
  </w:footnote>
  <w:footnote w:id="28">
    <w:p w14:paraId="38005B85" w14:textId="2C0DEAF3"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mallCaps/>
          <w:sz w:val="20"/>
          <w:szCs w:val="20"/>
        </w:rPr>
        <w:t>Viveiros de Castro</w:t>
      </w:r>
      <w:r w:rsidRPr="00156AE0">
        <w:rPr>
          <w:rStyle w:val="Aucun"/>
          <w:rFonts w:ascii="Times New Roman" w:hAnsi="Times New Roman" w:cs="Times New Roman"/>
          <w:sz w:val="20"/>
          <w:szCs w:val="20"/>
        </w:rPr>
        <w:t xml:space="preserve"> (E.), « Le meurtrier et son double chez les Araweté : Un exemple de fusion rituelle », </w:t>
      </w:r>
      <w:r w:rsidRPr="00156AE0">
        <w:rPr>
          <w:rStyle w:val="Aucun"/>
          <w:rFonts w:ascii="Times New Roman" w:hAnsi="Times New Roman" w:cs="Times New Roman"/>
          <w:i/>
          <w:iCs/>
          <w:sz w:val="20"/>
          <w:szCs w:val="20"/>
        </w:rPr>
        <w:t>Systèmes de pensée en Afrique noire</w:t>
      </w:r>
      <w:r w:rsidRPr="00156AE0">
        <w:rPr>
          <w:rStyle w:val="Aucun"/>
          <w:rFonts w:ascii="Times New Roman" w:hAnsi="Times New Roman" w:cs="Times New Roman"/>
          <w:sz w:val="20"/>
          <w:szCs w:val="20"/>
        </w:rPr>
        <w:t>, n</w:t>
      </w:r>
      <w:r w:rsidR="001D44CA" w:rsidRPr="00156AE0">
        <w:rPr>
          <w:rStyle w:val="Aucun"/>
          <w:rFonts w:ascii="Times New Roman" w:hAnsi="Times New Roman" w:cs="Times New Roman"/>
          <w:sz w:val="20"/>
          <w:szCs w:val="20"/>
        </w:rPr>
        <w:t>°</w:t>
      </w:r>
      <w:r w:rsidRPr="00156AE0">
        <w:rPr>
          <w:rStyle w:val="Aucun"/>
          <w:rFonts w:ascii="Times New Roman" w:hAnsi="Times New Roman" w:cs="Times New Roman"/>
          <w:sz w:val="20"/>
          <w:szCs w:val="20"/>
        </w:rPr>
        <w:t xml:space="preserve">14, </w:t>
      </w:r>
      <w:r w:rsidR="00223AAC" w:rsidRPr="00156AE0">
        <w:rPr>
          <w:rStyle w:val="Aucun"/>
          <w:rFonts w:ascii="Times New Roman" w:hAnsi="Times New Roman" w:cs="Times New Roman"/>
          <w:sz w:val="20"/>
          <w:szCs w:val="20"/>
        </w:rPr>
        <w:t>(</w:t>
      </w:r>
      <w:r w:rsidRPr="00156AE0">
        <w:rPr>
          <w:rStyle w:val="Aucun"/>
          <w:rFonts w:ascii="Times New Roman" w:hAnsi="Times New Roman" w:cs="Times New Roman"/>
          <w:sz w:val="20"/>
          <w:szCs w:val="20"/>
        </w:rPr>
        <w:t>1996</w:t>
      </w:r>
      <w:r w:rsidR="00223AAC" w:rsidRPr="00156AE0">
        <w:rPr>
          <w:rStyle w:val="Aucun"/>
          <w:rFonts w:ascii="Times New Roman" w:hAnsi="Times New Roman" w:cs="Times New Roman"/>
          <w:sz w:val="20"/>
          <w:szCs w:val="20"/>
        </w:rPr>
        <w:t>)</w:t>
      </w:r>
      <w:r w:rsidRPr="00156AE0">
        <w:rPr>
          <w:rStyle w:val="Aucun"/>
          <w:rFonts w:ascii="Times New Roman" w:hAnsi="Times New Roman" w:cs="Times New Roman"/>
          <w:sz w:val="20"/>
          <w:szCs w:val="20"/>
        </w:rPr>
        <w:t>, p. 98.</w:t>
      </w:r>
    </w:p>
  </w:footnote>
  <w:footnote w:id="29">
    <w:p w14:paraId="00C3D4E9" w14:textId="67182418"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mallCaps/>
          <w:sz w:val="20"/>
          <w:szCs w:val="20"/>
        </w:rPr>
        <w:t>Viveiros de Castro</w:t>
      </w:r>
      <w:r w:rsidRPr="00156AE0">
        <w:rPr>
          <w:rStyle w:val="Aucun"/>
          <w:rFonts w:ascii="Times New Roman" w:hAnsi="Times New Roman" w:cs="Times New Roman"/>
          <w:sz w:val="20"/>
          <w:szCs w:val="20"/>
        </w:rPr>
        <w:t xml:space="preserve"> (E.), </w:t>
      </w:r>
      <w:r w:rsidRPr="00156AE0">
        <w:rPr>
          <w:rStyle w:val="Aucun"/>
          <w:rFonts w:ascii="Times New Roman" w:hAnsi="Times New Roman" w:cs="Times New Roman"/>
          <w:i/>
          <w:iCs/>
          <w:sz w:val="20"/>
          <w:szCs w:val="20"/>
        </w:rPr>
        <w:t>A inconstância da alma selvagem</w:t>
      </w:r>
      <w:r w:rsidRPr="00156AE0">
        <w:rPr>
          <w:rStyle w:val="Aucun"/>
          <w:rFonts w:ascii="Times New Roman" w:hAnsi="Times New Roman" w:cs="Times New Roman"/>
          <w:sz w:val="20"/>
          <w:szCs w:val="20"/>
        </w:rPr>
        <w:t>, São Paulo, Ubu Editora, 2017, p. 195</w:t>
      </w:r>
      <w:r w:rsidR="0079712F" w:rsidRPr="00156AE0">
        <w:rPr>
          <w:rStyle w:val="Aucun"/>
          <w:rFonts w:ascii="Times New Roman" w:hAnsi="Times New Roman" w:cs="Times New Roman"/>
          <w:sz w:val="20"/>
          <w:szCs w:val="20"/>
        </w:rPr>
        <w:t xml:space="preserve"> (notre traduction)</w:t>
      </w:r>
      <w:r w:rsidRPr="00156AE0">
        <w:rPr>
          <w:rStyle w:val="Aucun"/>
          <w:rFonts w:ascii="Times New Roman" w:hAnsi="Times New Roman" w:cs="Times New Roman"/>
          <w:sz w:val="20"/>
          <w:szCs w:val="20"/>
        </w:rPr>
        <w:t xml:space="preserve">. </w:t>
      </w:r>
    </w:p>
  </w:footnote>
  <w:footnote w:id="30">
    <w:p w14:paraId="73CBAF14" w14:textId="5A4E3CA6"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00223AAC"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z w:val="20"/>
          <w:szCs w:val="20"/>
        </w:rPr>
        <w:t xml:space="preserve">Voy. le fameux schéma de </w:t>
      </w:r>
      <w:r w:rsidRPr="00156AE0">
        <w:rPr>
          <w:rStyle w:val="Aucun"/>
          <w:rFonts w:ascii="Times New Roman" w:hAnsi="Times New Roman" w:cs="Times New Roman"/>
          <w:smallCaps/>
          <w:sz w:val="20"/>
          <w:szCs w:val="20"/>
        </w:rPr>
        <w:t>de Saussure</w:t>
      </w:r>
      <w:r w:rsidRPr="00156AE0">
        <w:rPr>
          <w:rStyle w:val="Aucun"/>
          <w:rFonts w:ascii="Times New Roman" w:hAnsi="Times New Roman" w:cs="Times New Roman"/>
          <w:sz w:val="20"/>
          <w:szCs w:val="20"/>
        </w:rPr>
        <w:t xml:space="preserve"> (F.), </w:t>
      </w:r>
      <w:r w:rsidRPr="00156AE0">
        <w:rPr>
          <w:rStyle w:val="Aucun"/>
          <w:rFonts w:ascii="Times New Roman" w:hAnsi="Times New Roman" w:cs="Times New Roman"/>
          <w:i/>
          <w:iCs/>
          <w:sz w:val="20"/>
          <w:szCs w:val="20"/>
        </w:rPr>
        <w:t>Cours de linguistique générale</w:t>
      </w:r>
      <w:r w:rsidRPr="00156AE0">
        <w:rPr>
          <w:rStyle w:val="Aucun"/>
          <w:rFonts w:ascii="Times New Roman" w:hAnsi="Times New Roman" w:cs="Times New Roman"/>
          <w:sz w:val="20"/>
          <w:szCs w:val="20"/>
        </w:rPr>
        <w:t>, édition critique préparée par Tullio de Mauro, Paris, Éditions Payot et Rivages, 1967</w:t>
      </w:r>
      <w:r w:rsidR="00223AAC" w:rsidRPr="00156AE0">
        <w:rPr>
          <w:rStyle w:val="Aucun"/>
          <w:rFonts w:ascii="Times New Roman" w:hAnsi="Times New Roman" w:cs="Times New Roman"/>
          <w:sz w:val="20"/>
          <w:szCs w:val="20"/>
        </w:rPr>
        <w:t xml:space="preserve"> [1916]</w:t>
      </w:r>
      <w:r w:rsidRPr="00156AE0">
        <w:rPr>
          <w:rStyle w:val="Aucun"/>
          <w:rFonts w:ascii="Times New Roman" w:hAnsi="Times New Roman" w:cs="Times New Roman"/>
          <w:sz w:val="20"/>
          <w:szCs w:val="20"/>
        </w:rPr>
        <w:t xml:space="preserve">, p. 27. </w:t>
      </w:r>
    </w:p>
  </w:footnote>
  <w:footnote w:id="31">
    <w:p w14:paraId="68089A8F" w14:textId="77777777"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mallCaps/>
          <w:sz w:val="20"/>
          <w:szCs w:val="20"/>
        </w:rPr>
        <w:t>Viveiros de Castro</w:t>
      </w:r>
      <w:r w:rsidRPr="00156AE0">
        <w:rPr>
          <w:rStyle w:val="Aucun"/>
          <w:rFonts w:ascii="Times New Roman" w:hAnsi="Times New Roman" w:cs="Times New Roman"/>
          <w:sz w:val="20"/>
          <w:szCs w:val="20"/>
        </w:rPr>
        <w:t xml:space="preserve"> (E.), </w:t>
      </w:r>
      <w:r w:rsidRPr="00156AE0">
        <w:rPr>
          <w:rStyle w:val="Aucun"/>
          <w:rFonts w:ascii="Times New Roman" w:hAnsi="Times New Roman" w:cs="Times New Roman"/>
          <w:i/>
          <w:iCs/>
          <w:sz w:val="20"/>
          <w:szCs w:val="20"/>
        </w:rPr>
        <w:t>Métaphysiques cannibales</w:t>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i/>
          <w:iCs/>
          <w:sz w:val="20"/>
          <w:szCs w:val="20"/>
        </w:rPr>
        <w:t>op. cit.</w:t>
      </w:r>
      <w:r w:rsidRPr="00156AE0">
        <w:rPr>
          <w:rStyle w:val="Aucun"/>
          <w:rFonts w:ascii="Times New Roman" w:hAnsi="Times New Roman" w:cs="Times New Roman"/>
          <w:sz w:val="20"/>
          <w:szCs w:val="20"/>
        </w:rPr>
        <w:t xml:space="preserve">, p. 113. </w:t>
      </w:r>
    </w:p>
  </w:footnote>
  <w:footnote w:id="32">
    <w:p w14:paraId="2D1E54EA" w14:textId="77777777"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mallCaps/>
          <w:sz w:val="20"/>
          <w:szCs w:val="20"/>
        </w:rPr>
        <w:t>Viveiros de Castro</w:t>
      </w:r>
      <w:r w:rsidRPr="00156AE0">
        <w:rPr>
          <w:rStyle w:val="Aucun"/>
          <w:rFonts w:ascii="Times New Roman" w:hAnsi="Times New Roman" w:cs="Times New Roman"/>
          <w:sz w:val="20"/>
          <w:szCs w:val="20"/>
        </w:rPr>
        <w:t xml:space="preserve"> (E.), « Le meurtrier et son double chez les Araweté », </w:t>
      </w:r>
      <w:r w:rsidRPr="00156AE0">
        <w:rPr>
          <w:rStyle w:val="Aucun"/>
          <w:rFonts w:ascii="Times New Roman" w:hAnsi="Times New Roman" w:cs="Times New Roman"/>
          <w:i/>
          <w:iCs/>
          <w:sz w:val="20"/>
          <w:szCs w:val="20"/>
        </w:rPr>
        <w:t>op. cit.</w:t>
      </w:r>
      <w:r w:rsidRPr="00156AE0">
        <w:rPr>
          <w:rStyle w:val="Aucun"/>
          <w:rFonts w:ascii="Times New Roman" w:hAnsi="Times New Roman" w:cs="Times New Roman"/>
          <w:sz w:val="20"/>
          <w:szCs w:val="20"/>
        </w:rPr>
        <w:t xml:space="preserve">, p. 93. </w:t>
      </w:r>
    </w:p>
  </w:footnote>
  <w:footnote w:id="33">
    <w:p w14:paraId="73E44AA4" w14:textId="624DBFAD" w:rsidR="0079712F" w:rsidRPr="00156AE0" w:rsidRDefault="0079712F">
      <w:pPr>
        <w:pStyle w:val="Notedebasdepage"/>
        <w:rPr>
          <w:rFonts w:ascii="Times New Roman" w:hAnsi="Times New Roman" w:cs="Times New Roman"/>
          <w:i/>
          <w:iCs/>
          <w:sz w:val="20"/>
          <w:szCs w:val="20"/>
          <w:lang w:val="en-US"/>
        </w:rPr>
      </w:pPr>
      <w:r w:rsidRPr="00156AE0">
        <w:rPr>
          <w:rStyle w:val="Appelnotedebasdep"/>
          <w:rFonts w:ascii="Times New Roman" w:hAnsi="Times New Roman" w:cs="Times New Roman"/>
          <w:sz w:val="20"/>
          <w:szCs w:val="20"/>
        </w:rPr>
        <w:footnoteRef/>
      </w:r>
      <w:r w:rsidRPr="00156AE0">
        <w:rPr>
          <w:rFonts w:ascii="Times New Roman" w:hAnsi="Times New Roman" w:cs="Times New Roman"/>
          <w:sz w:val="20"/>
          <w:szCs w:val="20"/>
          <w:lang w:val="en-US"/>
        </w:rPr>
        <w:t xml:space="preserve"> </w:t>
      </w:r>
      <w:r w:rsidRPr="00156AE0">
        <w:rPr>
          <w:rFonts w:ascii="Times New Roman" w:hAnsi="Times New Roman" w:cs="Times New Roman"/>
          <w:i/>
          <w:iCs/>
          <w:sz w:val="20"/>
          <w:szCs w:val="20"/>
          <w:lang w:val="en-US"/>
        </w:rPr>
        <w:t>Ibid.</w:t>
      </w:r>
    </w:p>
  </w:footnote>
  <w:footnote w:id="34">
    <w:p w14:paraId="7FAC5D3C" w14:textId="77777777" w:rsidR="00FA4F5F" w:rsidRPr="00156AE0" w:rsidRDefault="002D52F5">
      <w:pPr>
        <w:pStyle w:val="Notedebasdepage"/>
        <w:rPr>
          <w:rFonts w:ascii="Times New Roman" w:hAnsi="Times New Roman" w:cs="Times New Roman"/>
          <w:sz w:val="20"/>
          <w:szCs w:val="20"/>
          <w:lang w:val="en-US"/>
        </w:rPr>
      </w:pPr>
      <w:r w:rsidRPr="00156AE0">
        <w:rPr>
          <w:rStyle w:val="Aucun"/>
          <w:rFonts w:ascii="Times New Roman" w:eastAsia="Times New Roman" w:hAnsi="Times New Roman" w:cs="Times New Roman"/>
          <w:sz w:val="20"/>
          <w:szCs w:val="20"/>
          <w:vertAlign w:val="superscript"/>
          <w:lang w:val="en-US"/>
        </w:rPr>
        <w:footnoteRef/>
      </w:r>
      <w:r w:rsidRPr="00156AE0">
        <w:rPr>
          <w:rStyle w:val="Aucun"/>
          <w:rFonts w:ascii="Times New Roman" w:hAnsi="Times New Roman" w:cs="Times New Roman"/>
          <w:sz w:val="20"/>
          <w:szCs w:val="20"/>
          <w:lang w:val="en-US"/>
        </w:rPr>
        <w:t xml:space="preserve"> </w:t>
      </w:r>
      <w:r w:rsidRPr="00156AE0">
        <w:rPr>
          <w:rStyle w:val="Aucun"/>
          <w:rFonts w:ascii="Times New Roman" w:hAnsi="Times New Roman" w:cs="Times New Roman"/>
          <w:i/>
          <w:iCs/>
          <w:sz w:val="20"/>
          <w:szCs w:val="20"/>
          <w:lang w:val="en-US"/>
        </w:rPr>
        <w:t>Ibid.</w:t>
      </w:r>
      <w:r w:rsidRPr="00156AE0">
        <w:rPr>
          <w:rStyle w:val="Aucun"/>
          <w:rFonts w:ascii="Times New Roman" w:hAnsi="Times New Roman" w:cs="Times New Roman"/>
          <w:sz w:val="20"/>
          <w:szCs w:val="20"/>
          <w:lang w:val="en-US"/>
        </w:rPr>
        <w:t xml:space="preserve">, p. 81.  </w:t>
      </w:r>
    </w:p>
  </w:footnote>
  <w:footnote w:id="35">
    <w:p w14:paraId="1281CAE6" w14:textId="77777777" w:rsidR="00FA4F5F" w:rsidRPr="00156AE0" w:rsidRDefault="002D52F5">
      <w:pPr>
        <w:pStyle w:val="Notedebasdepage"/>
        <w:rPr>
          <w:rFonts w:ascii="Times New Roman" w:hAnsi="Times New Roman" w:cs="Times New Roman"/>
          <w:sz w:val="20"/>
          <w:szCs w:val="20"/>
          <w:lang w:val="en-US"/>
        </w:rPr>
      </w:pPr>
      <w:r w:rsidRPr="00156AE0">
        <w:rPr>
          <w:rStyle w:val="Aucun"/>
          <w:rFonts w:ascii="Times New Roman" w:eastAsia="Times New Roman" w:hAnsi="Times New Roman" w:cs="Times New Roman"/>
          <w:sz w:val="20"/>
          <w:szCs w:val="20"/>
          <w:vertAlign w:val="superscript"/>
          <w:lang w:val="en-US"/>
        </w:rPr>
        <w:footnoteRef/>
      </w:r>
      <w:r w:rsidRPr="00156AE0">
        <w:rPr>
          <w:rStyle w:val="Aucun"/>
          <w:rFonts w:ascii="Times New Roman" w:hAnsi="Times New Roman" w:cs="Times New Roman"/>
          <w:sz w:val="20"/>
          <w:szCs w:val="20"/>
          <w:lang w:val="en-US"/>
        </w:rPr>
        <w:t xml:space="preserve"> </w:t>
      </w:r>
      <w:r w:rsidRPr="00156AE0">
        <w:rPr>
          <w:rStyle w:val="Aucun"/>
          <w:rFonts w:ascii="Times New Roman" w:hAnsi="Times New Roman" w:cs="Times New Roman"/>
          <w:i/>
          <w:iCs/>
          <w:sz w:val="20"/>
          <w:szCs w:val="20"/>
          <w:lang w:val="en-US"/>
        </w:rPr>
        <w:t>Ibid.</w:t>
      </w:r>
      <w:r w:rsidRPr="00156AE0">
        <w:rPr>
          <w:rStyle w:val="Aucun"/>
          <w:rFonts w:ascii="Times New Roman" w:hAnsi="Times New Roman" w:cs="Times New Roman"/>
          <w:sz w:val="20"/>
          <w:szCs w:val="20"/>
          <w:lang w:val="en-US"/>
        </w:rPr>
        <w:t xml:space="preserve">, p. 88. </w:t>
      </w:r>
    </w:p>
  </w:footnote>
  <w:footnote w:id="36">
    <w:p w14:paraId="18519606" w14:textId="77777777" w:rsidR="00FA4F5F" w:rsidRPr="00156AE0" w:rsidRDefault="002D52F5">
      <w:pPr>
        <w:pStyle w:val="Notedebasdepage"/>
        <w:rPr>
          <w:rFonts w:ascii="Times New Roman" w:hAnsi="Times New Roman" w:cs="Times New Roman"/>
          <w:sz w:val="20"/>
          <w:szCs w:val="20"/>
          <w:lang w:val="en-US"/>
        </w:rPr>
      </w:pPr>
      <w:r w:rsidRPr="00156AE0">
        <w:rPr>
          <w:rStyle w:val="Aucun"/>
          <w:rFonts w:ascii="Times New Roman" w:eastAsia="Times New Roman" w:hAnsi="Times New Roman" w:cs="Times New Roman"/>
          <w:sz w:val="20"/>
          <w:szCs w:val="20"/>
          <w:vertAlign w:val="superscript"/>
          <w:lang w:val="en-US"/>
        </w:rPr>
        <w:footnoteRef/>
      </w:r>
      <w:r w:rsidRPr="00156AE0">
        <w:rPr>
          <w:rStyle w:val="Aucun"/>
          <w:rFonts w:ascii="Times New Roman" w:hAnsi="Times New Roman" w:cs="Times New Roman"/>
          <w:sz w:val="20"/>
          <w:szCs w:val="20"/>
          <w:lang w:val="en-US"/>
        </w:rPr>
        <w:t xml:space="preserve"> </w:t>
      </w:r>
      <w:r w:rsidRPr="00156AE0">
        <w:rPr>
          <w:rStyle w:val="Aucun"/>
          <w:rFonts w:ascii="Times New Roman" w:hAnsi="Times New Roman" w:cs="Times New Roman"/>
          <w:i/>
          <w:iCs/>
          <w:sz w:val="20"/>
          <w:szCs w:val="20"/>
          <w:lang w:val="en-US"/>
        </w:rPr>
        <w:t>Ibid.</w:t>
      </w:r>
      <w:r w:rsidRPr="00156AE0">
        <w:rPr>
          <w:rStyle w:val="Aucun"/>
          <w:rFonts w:ascii="Times New Roman" w:hAnsi="Times New Roman" w:cs="Times New Roman"/>
          <w:sz w:val="20"/>
          <w:szCs w:val="20"/>
          <w:lang w:val="en-US"/>
        </w:rPr>
        <w:t xml:space="preserve">, p. 79. </w:t>
      </w:r>
    </w:p>
  </w:footnote>
  <w:footnote w:id="37">
    <w:p w14:paraId="0CF52E10" w14:textId="77777777" w:rsidR="00FA4F5F" w:rsidRPr="00156AE0" w:rsidRDefault="002D52F5">
      <w:pPr>
        <w:pStyle w:val="Notedebasdepage"/>
        <w:rPr>
          <w:rFonts w:ascii="Times New Roman" w:hAnsi="Times New Roman" w:cs="Times New Roman"/>
          <w:sz w:val="20"/>
          <w:szCs w:val="20"/>
          <w:lang w:val="en-US"/>
        </w:rPr>
      </w:pPr>
      <w:r w:rsidRPr="00156AE0">
        <w:rPr>
          <w:rStyle w:val="Aucun"/>
          <w:rFonts w:ascii="Times New Roman" w:eastAsia="Times New Roman" w:hAnsi="Times New Roman" w:cs="Times New Roman"/>
          <w:sz w:val="20"/>
          <w:szCs w:val="20"/>
          <w:vertAlign w:val="superscript"/>
          <w:lang w:val="en-US"/>
        </w:rPr>
        <w:footnoteRef/>
      </w:r>
      <w:r w:rsidRPr="00156AE0">
        <w:rPr>
          <w:rStyle w:val="Aucun"/>
          <w:rFonts w:ascii="Times New Roman" w:hAnsi="Times New Roman" w:cs="Times New Roman"/>
          <w:sz w:val="20"/>
          <w:szCs w:val="20"/>
          <w:lang w:val="en-US"/>
        </w:rPr>
        <w:t xml:space="preserve"> </w:t>
      </w:r>
      <w:r w:rsidRPr="00156AE0">
        <w:rPr>
          <w:rStyle w:val="Aucun"/>
          <w:rFonts w:ascii="Times New Roman" w:hAnsi="Times New Roman" w:cs="Times New Roman"/>
          <w:i/>
          <w:iCs/>
          <w:sz w:val="20"/>
          <w:szCs w:val="20"/>
          <w:lang w:val="en-US"/>
        </w:rPr>
        <w:t>Ibid.</w:t>
      </w:r>
      <w:r w:rsidRPr="00156AE0">
        <w:rPr>
          <w:rStyle w:val="Aucun"/>
          <w:rFonts w:ascii="Times New Roman" w:hAnsi="Times New Roman" w:cs="Times New Roman"/>
          <w:sz w:val="20"/>
          <w:szCs w:val="20"/>
          <w:lang w:val="en-US"/>
        </w:rPr>
        <w:t xml:space="preserve">, p. 81. </w:t>
      </w:r>
    </w:p>
  </w:footnote>
  <w:footnote w:id="38">
    <w:p w14:paraId="34F4D309" w14:textId="77777777" w:rsidR="00FA4F5F" w:rsidRPr="00156AE0" w:rsidRDefault="002D52F5">
      <w:pPr>
        <w:pStyle w:val="Notedebasdepage"/>
        <w:rPr>
          <w:rFonts w:ascii="Times New Roman" w:hAnsi="Times New Roman" w:cs="Times New Roman"/>
          <w:sz w:val="20"/>
          <w:szCs w:val="20"/>
          <w:lang w:val="en-US"/>
        </w:rPr>
      </w:pPr>
      <w:r w:rsidRPr="00156AE0">
        <w:rPr>
          <w:rStyle w:val="Aucun"/>
          <w:rFonts w:ascii="Times New Roman" w:eastAsia="Times New Roman" w:hAnsi="Times New Roman" w:cs="Times New Roman"/>
          <w:sz w:val="20"/>
          <w:szCs w:val="20"/>
          <w:vertAlign w:val="superscript"/>
          <w:lang w:val="en-US"/>
        </w:rPr>
        <w:footnoteRef/>
      </w:r>
      <w:r w:rsidRPr="00156AE0">
        <w:rPr>
          <w:rStyle w:val="Aucun"/>
          <w:rFonts w:ascii="Times New Roman" w:hAnsi="Times New Roman" w:cs="Times New Roman"/>
          <w:sz w:val="20"/>
          <w:szCs w:val="20"/>
          <w:lang w:val="en-US"/>
        </w:rPr>
        <w:t xml:space="preserve"> </w:t>
      </w:r>
      <w:r w:rsidRPr="00156AE0">
        <w:rPr>
          <w:rStyle w:val="Aucun"/>
          <w:rFonts w:ascii="Times New Roman" w:hAnsi="Times New Roman" w:cs="Times New Roman"/>
          <w:i/>
          <w:iCs/>
          <w:sz w:val="20"/>
          <w:szCs w:val="20"/>
          <w:lang w:val="en-US"/>
        </w:rPr>
        <w:t>Id.</w:t>
      </w:r>
    </w:p>
  </w:footnote>
  <w:footnote w:id="39">
    <w:p w14:paraId="2F50D517" w14:textId="7F91B9CD" w:rsidR="00FA4F5F" w:rsidRPr="00156AE0" w:rsidRDefault="002D52F5">
      <w:pPr>
        <w:pStyle w:val="Notedebasdepage"/>
        <w:rPr>
          <w:rFonts w:ascii="Times New Roman" w:hAnsi="Times New Roman" w:cs="Times New Roman"/>
          <w:sz w:val="20"/>
          <w:szCs w:val="20"/>
          <w:lang w:val="en-US"/>
        </w:rPr>
      </w:pPr>
      <w:r w:rsidRPr="00156AE0">
        <w:rPr>
          <w:rStyle w:val="Aucun"/>
          <w:rFonts w:ascii="Times New Roman" w:eastAsia="Times New Roman" w:hAnsi="Times New Roman" w:cs="Times New Roman"/>
          <w:sz w:val="20"/>
          <w:szCs w:val="20"/>
          <w:vertAlign w:val="superscript"/>
          <w:lang w:val="en-US"/>
        </w:rPr>
        <w:footnoteRef/>
      </w:r>
      <w:r w:rsidR="008C5964" w:rsidRPr="00156AE0">
        <w:rPr>
          <w:rStyle w:val="Aucun"/>
          <w:rFonts w:ascii="Times New Roman" w:hAnsi="Times New Roman" w:cs="Times New Roman"/>
          <w:i/>
          <w:iCs/>
          <w:sz w:val="20"/>
          <w:szCs w:val="20"/>
          <w:lang w:val="en-US"/>
        </w:rPr>
        <w:t xml:space="preserve"> </w:t>
      </w:r>
      <w:r w:rsidRPr="00156AE0">
        <w:rPr>
          <w:rStyle w:val="Aucun"/>
          <w:rFonts w:ascii="Times New Roman" w:hAnsi="Times New Roman" w:cs="Times New Roman"/>
          <w:i/>
          <w:iCs/>
          <w:sz w:val="20"/>
          <w:szCs w:val="20"/>
          <w:lang w:val="en-US"/>
        </w:rPr>
        <w:t>Ibid.</w:t>
      </w:r>
      <w:r w:rsidRPr="00156AE0">
        <w:rPr>
          <w:rStyle w:val="Aucun"/>
          <w:rFonts w:ascii="Times New Roman" w:hAnsi="Times New Roman" w:cs="Times New Roman"/>
          <w:sz w:val="20"/>
          <w:szCs w:val="20"/>
          <w:lang w:val="en-US"/>
        </w:rPr>
        <w:t>, p. 87.</w:t>
      </w:r>
    </w:p>
  </w:footnote>
  <w:footnote w:id="40">
    <w:p w14:paraId="4B0B9E82" w14:textId="77777777" w:rsidR="00FA4F5F" w:rsidRPr="00156AE0" w:rsidRDefault="002D52F5">
      <w:pPr>
        <w:pStyle w:val="Notedebasdepage"/>
        <w:rPr>
          <w:rFonts w:ascii="Times New Roman" w:hAnsi="Times New Roman" w:cs="Times New Roman"/>
          <w:sz w:val="20"/>
          <w:szCs w:val="20"/>
          <w:lang w:val="en-US"/>
        </w:rPr>
      </w:pPr>
      <w:r w:rsidRPr="00156AE0">
        <w:rPr>
          <w:rStyle w:val="Aucun"/>
          <w:rFonts w:ascii="Times New Roman" w:eastAsia="Times New Roman" w:hAnsi="Times New Roman" w:cs="Times New Roman"/>
          <w:sz w:val="20"/>
          <w:szCs w:val="20"/>
          <w:vertAlign w:val="superscript"/>
          <w:lang w:val="en-US"/>
        </w:rPr>
        <w:footnoteRef/>
      </w:r>
      <w:r w:rsidRPr="00156AE0">
        <w:rPr>
          <w:rStyle w:val="Aucun"/>
          <w:rFonts w:ascii="Times New Roman" w:hAnsi="Times New Roman" w:cs="Times New Roman"/>
          <w:sz w:val="20"/>
          <w:szCs w:val="20"/>
          <w:lang w:val="en-US"/>
        </w:rPr>
        <w:t xml:space="preserve"> </w:t>
      </w:r>
      <w:r w:rsidRPr="00156AE0">
        <w:rPr>
          <w:rStyle w:val="Aucun"/>
          <w:rFonts w:ascii="Times New Roman" w:hAnsi="Times New Roman" w:cs="Times New Roman"/>
          <w:i/>
          <w:iCs/>
          <w:sz w:val="20"/>
          <w:szCs w:val="20"/>
          <w:lang w:val="en-US"/>
        </w:rPr>
        <w:t>Id.</w:t>
      </w:r>
    </w:p>
  </w:footnote>
  <w:footnote w:id="41">
    <w:p w14:paraId="17CCC230" w14:textId="067987DF" w:rsidR="00FA4F5F" w:rsidRPr="00156AE0" w:rsidRDefault="002D52F5">
      <w:pPr>
        <w:pStyle w:val="Notedebasdepage"/>
        <w:rPr>
          <w:rFonts w:ascii="Times New Roman" w:hAnsi="Times New Roman" w:cs="Times New Roman"/>
          <w:sz w:val="20"/>
          <w:szCs w:val="20"/>
          <w:lang w:val="en-US"/>
        </w:rPr>
      </w:pPr>
      <w:r w:rsidRPr="00156AE0">
        <w:rPr>
          <w:rStyle w:val="Aucun"/>
          <w:rFonts w:ascii="Times New Roman" w:eastAsia="Times New Roman" w:hAnsi="Times New Roman" w:cs="Times New Roman"/>
          <w:sz w:val="20"/>
          <w:szCs w:val="20"/>
          <w:vertAlign w:val="superscript"/>
          <w:lang w:val="en-US"/>
        </w:rPr>
        <w:footnoteRef/>
      </w:r>
      <w:r w:rsidR="00223AAC" w:rsidRPr="00156AE0">
        <w:rPr>
          <w:rStyle w:val="Aucun"/>
          <w:rFonts w:ascii="Times New Roman" w:hAnsi="Times New Roman" w:cs="Times New Roman"/>
          <w:i/>
          <w:iCs/>
          <w:sz w:val="20"/>
          <w:szCs w:val="20"/>
          <w:lang w:val="en-US"/>
        </w:rPr>
        <w:t xml:space="preserve"> </w:t>
      </w:r>
      <w:r w:rsidRPr="00156AE0">
        <w:rPr>
          <w:rStyle w:val="Aucun"/>
          <w:rFonts w:ascii="Times New Roman" w:hAnsi="Times New Roman" w:cs="Times New Roman"/>
          <w:i/>
          <w:iCs/>
          <w:sz w:val="20"/>
          <w:szCs w:val="20"/>
          <w:lang w:val="en-US"/>
        </w:rPr>
        <w:t>Ibid.</w:t>
      </w:r>
      <w:r w:rsidRPr="00156AE0">
        <w:rPr>
          <w:rStyle w:val="Aucun"/>
          <w:rFonts w:ascii="Times New Roman" w:hAnsi="Times New Roman" w:cs="Times New Roman"/>
          <w:sz w:val="20"/>
          <w:szCs w:val="20"/>
          <w:lang w:val="en-US"/>
        </w:rPr>
        <w:t xml:space="preserve">, p. 82. </w:t>
      </w:r>
    </w:p>
  </w:footnote>
  <w:footnote w:id="42">
    <w:p w14:paraId="25426090" w14:textId="77777777" w:rsidR="00FA4F5F" w:rsidRPr="00156AE0" w:rsidRDefault="002D52F5">
      <w:pPr>
        <w:pStyle w:val="Notedebasdepage"/>
        <w:rPr>
          <w:rFonts w:ascii="Times New Roman" w:hAnsi="Times New Roman" w:cs="Times New Roman"/>
          <w:sz w:val="20"/>
          <w:szCs w:val="20"/>
          <w:lang w:val="en-US"/>
        </w:rPr>
      </w:pPr>
      <w:r w:rsidRPr="00156AE0">
        <w:rPr>
          <w:rStyle w:val="Aucun"/>
          <w:rFonts w:ascii="Times New Roman" w:eastAsia="Times New Roman" w:hAnsi="Times New Roman" w:cs="Times New Roman"/>
          <w:sz w:val="20"/>
          <w:szCs w:val="20"/>
          <w:vertAlign w:val="superscript"/>
          <w:lang w:val="en-US"/>
        </w:rPr>
        <w:footnoteRef/>
      </w:r>
      <w:r w:rsidRPr="00156AE0">
        <w:rPr>
          <w:rStyle w:val="Aucun"/>
          <w:rFonts w:ascii="Times New Roman" w:hAnsi="Times New Roman" w:cs="Times New Roman"/>
          <w:sz w:val="20"/>
          <w:szCs w:val="20"/>
          <w:lang w:val="en-US"/>
        </w:rPr>
        <w:t xml:space="preserve"> </w:t>
      </w:r>
      <w:r w:rsidRPr="00156AE0">
        <w:rPr>
          <w:rStyle w:val="Aucun"/>
          <w:rFonts w:ascii="Times New Roman" w:hAnsi="Times New Roman" w:cs="Times New Roman"/>
          <w:i/>
          <w:iCs/>
          <w:sz w:val="20"/>
          <w:szCs w:val="20"/>
          <w:lang w:val="en-US"/>
        </w:rPr>
        <w:t>Ibid.</w:t>
      </w:r>
      <w:r w:rsidRPr="00156AE0">
        <w:rPr>
          <w:rStyle w:val="Aucun"/>
          <w:rFonts w:ascii="Times New Roman" w:hAnsi="Times New Roman" w:cs="Times New Roman"/>
          <w:sz w:val="20"/>
          <w:szCs w:val="20"/>
          <w:lang w:val="en-US"/>
        </w:rPr>
        <w:t xml:space="preserve">, p. 85. </w:t>
      </w:r>
      <w:r w:rsidRPr="00156AE0">
        <w:rPr>
          <w:rStyle w:val="Aucun"/>
          <w:rFonts w:ascii="Times New Roman" w:hAnsi="Times New Roman" w:cs="Times New Roman"/>
          <w:i/>
          <w:iCs/>
          <w:sz w:val="20"/>
          <w:szCs w:val="20"/>
          <w:lang w:val="en-US"/>
        </w:rPr>
        <w:t xml:space="preserve"> </w:t>
      </w:r>
    </w:p>
  </w:footnote>
  <w:footnote w:id="43">
    <w:p w14:paraId="7E7F45D5" w14:textId="77777777" w:rsidR="00FA4F5F" w:rsidRPr="00156AE0" w:rsidRDefault="002D52F5">
      <w:pPr>
        <w:pStyle w:val="Notedebasdepage"/>
        <w:rPr>
          <w:rFonts w:ascii="Times New Roman" w:hAnsi="Times New Roman" w:cs="Times New Roman"/>
          <w:sz w:val="20"/>
          <w:szCs w:val="20"/>
          <w:lang w:val="en-US"/>
        </w:rPr>
      </w:pPr>
      <w:r w:rsidRPr="00156AE0">
        <w:rPr>
          <w:rStyle w:val="Aucun"/>
          <w:rFonts w:ascii="Times New Roman" w:eastAsia="Times New Roman" w:hAnsi="Times New Roman" w:cs="Times New Roman"/>
          <w:sz w:val="20"/>
          <w:szCs w:val="20"/>
          <w:vertAlign w:val="superscript"/>
          <w:lang w:val="en-US"/>
        </w:rPr>
        <w:footnoteRef/>
      </w:r>
      <w:r w:rsidRPr="00156AE0">
        <w:rPr>
          <w:rStyle w:val="Aucun"/>
          <w:rFonts w:ascii="Times New Roman" w:hAnsi="Times New Roman" w:cs="Times New Roman"/>
          <w:sz w:val="20"/>
          <w:szCs w:val="20"/>
          <w:lang w:val="en-US"/>
        </w:rPr>
        <w:t xml:space="preserve"> </w:t>
      </w:r>
      <w:r w:rsidRPr="00156AE0">
        <w:rPr>
          <w:rStyle w:val="Aucun"/>
          <w:rFonts w:ascii="Times New Roman" w:hAnsi="Times New Roman" w:cs="Times New Roman"/>
          <w:i/>
          <w:iCs/>
          <w:sz w:val="20"/>
          <w:szCs w:val="20"/>
          <w:lang w:val="en-US"/>
        </w:rPr>
        <w:t>Id.</w:t>
      </w:r>
    </w:p>
  </w:footnote>
  <w:footnote w:id="44">
    <w:p w14:paraId="73A6EE31" w14:textId="77777777" w:rsidR="00FA4F5F" w:rsidRPr="00156AE0" w:rsidRDefault="002D52F5">
      <w:pPr>
        <w:pStyle w:val="Notedebasdepage"/>
        <w:rPr>
          <w:rFonts w:ascii="Times New Roman" w:hAnsi="Times New Roman" w:cs="Times New Roman"/>
          <w:sz w:val="20"/>
          <w:szCs w:val="20"/>
          <w:lang w:val="en-US"/>
        </w:rPr>
      </w:pPr>
      <w:r w:rsidRPr="00156AE0">
        <w:rPr>
          <w:rStyle w:val="Aucun"/>
          <w:rFonts w:ascii="Times New Roman" w:eastAsia="Times New Roman" w:hAnsi="Times New Roman" w:cs="Times New Roman"/>
          <w:sz w:val="20"/>
          <w:szCs w:val="20"/>
          <w:vertAlign w:val="superscript"/>
          <w:lang w:val="en-US"/>
        </w:rPr>
        <w:footnoteRef/>
      </w:r>
      <w:r w:rsidRPr="00156AE0">
        <w:rPr>
          <w:rStyle w:val="Aucun"/>
          <w:rFonts w:ascii="Times New Roman" w:hAnsi="Times New Roman" w:cs="Times New Roman"/>
          <w:sz w:val="20"/>
          <w:szCs w:val="20"/>
          <w:lang w:val="en-US"/>
        </w:rPr>
        <w:t xml:space="preserve"> </w:t>
      </w:r>
      <w:r w:rsidRPr="00156AE0">
        <w:rPr>
          <w:rStyle w:val="Aucun"/>
          <w:rFonts w:ascii="Times New Roman" w:hAnsi="Times New Roman" w:cs="Times New Roman"/>
          <w:i/>
          <w:iCs/>
          <w:sz w:val="20"/>
          <w:szCs w:val="20"/>
          <w:lang w:val="en-US"/>
        </w:rPr>
        <w:t>Ibid.</w:t>
      </w:r>
      <w:r w:rsidRPr="00156AE0">
        <w:rPr>
          <w:rStyle w:val="Aucun"/>
          <w:rFonts w:ascii="Times New Roman" w:hAnsi="Times New Roman" w:cs="Times New Roman"/>
          <w:sz w:val="20"/>
          <w:szCs w:val="20"/>
          <w:lang w:val="en-US"/>
        </w:rPr>
        <w:t>,</w:t>
      </w:r>
      <w:r w:rsidRPr="00156AE0">
        <w:rPr>
          <w:rStyle w:val="Aucun"/>
          <w:rFonts w:ascii="Times New Roman" w:hAnsi="Times New Roman" w:cs="Times New Roman"/>
          <w:i/>
          <w:iCs/>
          <w:sz w:val="20"/>
          <w:szCs w:val="20"/>
          <w:lang w:val="en-US"/>
        </w:rPr>
        <w:t xml:space="preserve"> </w:t>
      </w:r>
      <w:r w:rsidRPr="00156AE0">
        <w:rPr>
          <w:rStyle w:val="Aucun"/>
          <w:rFonts w:ascii="Times New Roman" w:hAnsi="Times New Roman" w:cs="Times New Roman"/>
          <w:sz w:val="20"/>
          <w:szCs w:val="20"/>
          <w:lang w:val="en-US"/>
        </w:rPr>
        <w:t xml:space="preserve">p. 86. </w:t>
      </w:r>
    </w:p>
  </w:footnote>
  <w:footnote w:id="45">
    <w:p w14:paraId="660CCAB4" w14:textId="77777777" w:rsidR="00FA4F5F" w:rsidRPr="0065654F" w:rsidRDefault="002D52F5">
      <w:pPr>
        <w:pStyle w:val="Notedebasdepage"/>
        <w:rPr>
          <w:rFonts w:ascii="Times New Roman" w:hAnsi="Times New Roman" w:cs="Times New Roman"/>
          <w:sz w:val="20"/>
          <w:szCs w:val="20"/>
          <w:lang w:val="fr-BE"/>
        </w:rPr>
      </w:pPr>
      <w:r w:rsidRPr="00156AE0">
        <w:rPr>
          <w:rStyle w:val="Appelnotedebasdep"/>
          <w:rFonts w:ascii="Times New Roman" w:hAnsi="Times New Roman" w:cs="Times New Roman"/>
          <w:sz w:val="20"/>
          <w:szCs w:val="20"/>
          <w:lang w:val="en-US"/>
        </w:rPr>
        <w:footnoteRef/>
      </w:r>
      <w:r w:rsidRPr="0065654F">
        <w:rPr>
          <w:rStyle w:val="Aucun"/>
          <w:rFonts w:ascii="Times New Roman" w:hAnsi="Times New Roman" w:cs="Times New Roman"/>
          <w:sz w:val="20"/>
          <w:szCs w:val="20"/>
          <w:lang w:val="fr-BE"/>
        </w:rPr>
        <w:t xml:space="preserve"> </w:t>
      </w:r>
      <w:r w:rsidRPr="0065654F">
        <w:rPr>
          <w:rStyle w:val="Aucun"/>
          <w:rFonts w:ascii="Times New Roman" w:hAnsi="Times New Roman" w:cs="Times New Roman"/>
          <w:i/>
          <w:iCs/>
          <w:sz w:val="20"/>
          <w:szCs w:val="20"/>
          <w:lang w:val="fr-BE"/>
        </w:rPr>
        <w:t>Id.</w:t>
      </w:r>
    </w:p>
  </w:footnote>
  <w:footnote w:id="46">
    <w:p w14:paraId="13C953CE" w14:textId="77777777" w:rsidR="00FA4F5F" w:rsidRPr="0065654F" w:rsidRDefault="002D52F5">
      <w:pPr>
        <w:pStyle w:val="Notedebasdepage"/>
        <w:rPr>
          <w:rFonts w:ascii="Times New Roman" w:hAnsi="Times New Roman" w:cs="Times New Roman"/>
          <w:sz w:val="20"/>
          <w:szCs w:val="20"/>
          <w:lang w:val="fr-BE"/>
        </w:rPr>
      </w:pPr>
      <w:r w:rsidRPr="00156AE0">
        <w:rPr>
          <w:rStyle w:val="Aucun"/>
          <w:rFonts w:ascii="Times New Roman" w:eastAsia="Times New Roman" w:hAnsi="Times New Roman" w:cs="Times New Roman"/>
          <w:sz w:val="20"/>
          <w:szCs w:val="20"/>
          <w:vertAlign w:val="superscript"/>
          <w:lang w:val="en-US"/>
        </w:rPr>
        <w:footnoteRef/>
      </w:r>
      <w:r w:rsidRPr="0065654F">
        <w:rPr>
          <w:rStyle w:val="Aucun"/>
          <w:rFonts w:ascii="Times New Roman" w:hAnsi="Times New Roman" w:cs="Times New Roman"/>
          <w:sz w:val="20"/>
          <w:szCs w:val="20"/>
          <w:lang w:val="fr-BE"/>
        </w:rPr>
        <w:t xml:space="preserve"> </w:t>
      </w:r>
      <w:r w:rsidRPr="0065654F">
        <w:rPr>
          <w:rStyle w:val="Aucun"/>
          <w:rFonts w:ascii="Times New Roman" w:hAnsi="Times New Roman" w:cs="Times New Roman"/>
          <w:i/>
          <w:iCs/>
          <w:sz w:val="20"/>
          <w:szCs w:val="20"/>
          <w:lang w:val="fr-BE"/>
        </w:rPr>
        <w:t>Ibid.</w:t>
      </w:r>
      <w:r w:rsidRPr="0065654F">
        <w:rPr>
          <w:rStyle w:val="Aucun"/>
          <w:rFonts w:ascii="Times New Roman" w:hAnsi="Times New Roman" w:cs="Times New Roman"/>
          <w:sz w:val="20"/>
          <w:szCs w:val="20"/>
          <w:lang w:val="fr-BE"/>
        </w:rPr>
        <w:t xml:space="preserve">, p. 87. </w:t>
      </w:r>
    </w:p>
  </w:footnote>
  <w:footnote w:id="47">
    <w:p w14:paraId="2DA0B558" w14:textId="77777777"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mallCaps/>
          <w:sz w:val="20"/>
          <w:szCs w:val="20"/>
        </w:rPr>
        <w:t>Viveiros de Castro</w:t>
      </w:r>
      <w:r w:rsidRPr="00156AE0">
        <w:rPr>
          <w:rStyle w:val="Aucun"/>
          <w:rFonts w:ascii="Times New Roman" w:hAnsi="Times New Roman" w:cs="Times New Roman"/>
          <w:sz w:val="20"/>
          <w:szCs w:val="20"/>
        </w:rPr>
        <w:t xml:space="preserve"> (E.), </w:t>
      </w:r>
      <w:r w:rsidRPr="00156AE0">
        <w:rPr>
          <w:rStyle w:val="Aucun"/>
          <w:rFonts w:ascii="Times New Roman" w:hAnsi="Times New Roman" w:cs="Times New Roman"/>
          <w:i/>
          <w:iCs/>
          <w:sz w:val="20"/>
          <w:szCs w:val="20"/>
        </w:rPr>
        <w:t>Araweté: os deuses canibais</w:t>
      </w:r>
      <w:r w:rsidRPr="00156AE0">
        <w:rPr>
          <w:rStyle w:val="Aucun"/>
          <w:rFonts w:ascii="Times New Roman" w:hAnsi="Times New Roman" w:cs="Times New Roman"/>
          <w:sz w:val="20"/>
          <w:szCs w:val="20"/>
        </w:rPr>
        <w:t xml:space="preserve">, Rio de Janeiro, Zahar, 1986, p. 589 (notre traduction). </w:t>
      </w:r>
    </w:p>
  </w:footnote>
  <w:footnote w:id="48">
    <w:p w14:paraId="0959AA98" w14:textId="32D74EFD"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w:t>
      </w:r>
      <w:r w:rsidR="00FA7F05" w:rsidRPr="00156AE0">
        <w:rPr>
          <w:rStyle w:val="Aucun"/>
          <w:rFonts w:ascii="Times New Roman" w:hAnsi="Times New Roman" w:cs="Times New Roman"/>
          <w:i/>
          <w:iCs/>
          <w:sz w:val="20"/>
          <w:szCs w:val="20"/>
        </w:rPr>
        <w:t xml:space="preserve">Id. </w:t>
      </w:r>
      <w:r w:rsidR="0079712F" w:rsidRPr="00156AE0">
        <w:rPr>
          <w:rStyle w:val="Aucun"/>
          <w:rFonts w:ascii="Times New Roman" w:hAnsi="Times New Roman" w:cs="Times New Roman"/>
          <w:sz w:val="20"/>
          <w:szCs w:val="20"/>
        </w:rPr>
        <w:t>(notre traduction).</w:t>
      </w:r>
    </w:p>
  </w:footnote>
  <w:footnote w:id="49">
    <w:p w14:paraId="4FF2307B" w14:textId="77777777"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mallCaps/>
          <w:sz w:val="20"/>
          <w:szCs w:val="20"/>
        </w:rPr>
        <w:t>Viveiros de Castro</w:t>
      </w:r>
      <w:r w:rsidRPr="00156AE0">
        <w:rPr>
          <w:rStyle w:val="Aucun"/>
          <w:rFonts w:ascii="Times New Roman" w:hAnsi="Times New Roman" w:cs="Times New Roman"/>
          <w:sz w:val="20"/>
          <w:szCs w:val="20"/>
        </w:rPr>
        <w:t xml:space="preserve"> (E.), </w:t>
      </w:r>
      <w:r w:rsidRPr="00156AE0">
        <w:rPr>
          <w:rStyle w:val="Aucun"/>
          <w:rFonts w:ascii="Times New Roman" w:hAnsi="Times New Roman" w:cs="Times New Roman"/>
          <w:i/>
          <w:iCs/>
          <w:sz w:val="20"/>
          <w:szCs w:val="20"/>
        </w:rPr>
        <w:t>Encontros (entrevistas)</w:t>
      </w:r>
      <w:r w:rsidRPr="00156AE0">
        <w:rPr>
          <w:rStyle w:val="Aucun"/>
          <w:rFonts w:ascii="Times New Roman" w:hAnsi="Times New Roman" w:cs="Times New Roman"/>
          <w:sz w:val="20"/>
          <w:szCs w:val="20"/>
        </w:rPr>
        <w:t xml:space="preserve">, Rio de Janeiro Azougue, 2007, p. 112 (notre traduction). </w:t>
      </w:r>
    </w:p>
  </w:footnote>
  <w:footnote w:id="50">
    <w:p w14:paraId="193ABF6B" w14:textId="2B30C2F3" w:rsidR="00FA4F5F" w:rsidRPr="00156AE0" w:rsidRDefault="002D52F5">
      <w:pPr>
        <w:pStyle w:val="Notedebasdepage"/>
        <w:rPr>
          <w:rFonts w:ascii="Times New Roman" w:hAnsi="Times New Roman" w:cs="Times New Roman"/>
          <w:sz w:val="20"/>
          <w:szCs w:val="20"/>
          <w:lang w:val="en-US"/>
        </w:rPr>
      </w:pPr>
      <w:r w:rsidRPr="00156AE0">
        <w:rPr>
          <w:rStyle w:val="Aucun"/>
          <w:rFonts w:ascii="Times New Roman" w:eastAsia="Times New Roman" w:hAnsi="Times New Roman" w:cs="Times New Roman"/>
          <w:sz w:val="20"/>
          <w:szCs w:val="20"/>
          <w:vertAlign w:val="superscript"/>
          <w:lang w:val="en-US"/>
        </w:rPr>
        <w:footnoteRef/>
      </w:r>
      <w:r w:rsidRPr="00156AE0">
        <w:rPr>
          <w:rStyle w:val="Aucun"/>
          <w:rFonts w:ascii="Times New Roman" w:hAnsi="Times New Roman" w:cs="Times New Roman"/>
          <w:sz w:val="20"/>
          <w:szCs w:val="20"/>
          <w:lang w:val="en-US"/>
        </w:rPr>
        <w:t xml:space="preserve"> </w:t>
      </w:r>
      <w:r w:rsidRPr="00156AE0">
        <w:rPr>
          <w:rStyle w:val="Aucun"/>
          <w:rFonts w:ascii="Times New Roman" w:hAnsi="Times New Roman" w:cs="Times New Roman"/>
          <w:smallCaps/>
          <w:sz w:val="20"/>
          <w:szCs w:val="20"/>
          <w:lang w:val="en-US"/>
        </w:rPr>
        <w:t>Viveiros de Castro</w:t>
      </w:r>
      <w:r w:rsidRPr="00156AE0">
        <w:rPr>
          <w:rStyle w:val="Aucun"/>
          <w:rFonts w:ascii="Times New Roman" w:hAnsi="Times New Roman" w:cs="Times New Roman"/>
          <w:sz w:val="20"/>
          <w:szCs w:val="20"/>
          <w:lang w:val="en-US"/>
        </w:rPr>
        <w:t xml:space="preserve"> (E.), « Perspectival Anthropology and the Method of Controlled Equivocation », </w:t>
      </w:r>
      <w:r w:rsidRPr="00156AE0">
        <w:rPr>
          <w:rStyle w:val="Aucun"/>
          <w:rFonts w:ascii="Times New Roman" w:hAnsi="Times New Roman" w:cs="Times New Roman"/>
          <w:i/>
          <w:iCs/>
          <w:sz w:val="20"/>
          <w:szCs w:val="20"/>
          <w:lang w:val="en-US"/>
        </w:rPr>
        <w:t>Tipití</w:t>
      </w:r>
      <w:r w:rsidRPr="00156AE0">
        <w:rPr>
          <w:rStyle w:val="Aucun"/>
          <w:rFonts w:ascii="Times New Roman" w:hAnsi="Times New Roman" w:cs="Times New Roman"/>
          <w:sz w:val="20"/>
          <w:szCs w:val="20"/>
          <w:lang w:val="en-US"/>
        </w:rPr>
        <w:t xml:space="preserve">, </w:t>
      </w:r>
      <w:r w:rsidR="00B414FF" w:rsidRPr="00156AE0">
        <w:rPr>
          <w:rStyle w:val="Aucun"/>
          <w:rFonts w:ascii="Times New Roman" w:hAnsi="Times New Roman" w:cs="Times New Roman"/>
          <w:sz w:val="20"/>
          <w:szCs w:val="20"/>
          <w:lang w:val="en-US"/>
        </w:rPr>
        <w:t>n°2, (</w:t>
      </w:r>
      <w:r w:rsidRPr="00156AE0">
        <w:rPr>
          <w:rStyle w:val="Aucun"/>
          <w:rFonts w:ascii="Times New Roman" w:hAnsi="Times New Roman" w:cs="Times New Roman"/>
          <w:sz w:val="20"/>
          <w:szCs w:val="20"/>
          <w:lang w:val="en-US"/>
        </w:rPr>
        <w:t>2004</w:t>
      </w:r>
      <w:r w:rsidR="00B414FF" w:rsidRPr="00156AE0">
        <w:rPr>
          <w:rStyle w:val="Aucun"/>
          <w:rFonts w:ascii="Times New Roman" w:hAnsi="Times New Roman" w:cs="Times New Roman"/>
          <w:sz w:val="20"/>
          <w:szCs w:val="20"/>
          <w:lang w:val="en-US"/>
        </w:rPr>
        <w:t>)</w:t>
      </w:r>
      <w:r w:rsidRPr="00156AE0">
        <w:rPr>
          <w:rStyle w:val="Aucun"/>
          <w:rFonts w:ascii="Times New Roman" w:hAnsi="Times New Roman" w:cs="Times New Roman"/>
          <w:sz w:val="20"/>
          <w:szCs w:val="20"/>
          <w:lang w:val="en-US"/>
        </w:rPr>
        <w:t>, p. 3-22, p. 5.</w:t>
      </w:r>
    </w:p>
  </w:footnote>
  <w:footnote w:id="51">
    <w:p w14:paraId="7DCE3273" w14:textId="77777777"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mallCaps/>
          <w:sz w:val="20"/>
          <w:szCs w:val="20"/>
        </w:rPr>
        <w:t>Viveiros de Castro</w:t>
      </w:r>
      <w:r w:rsidRPr="00156AE0">
        <w:rPr>
          <w:rStyle w:val="Aucun"/>
          <w:rFonts w:ascii="Times New Roman" w:hAnsi="Times New Roman" w:cs="Times New Roman"/>
          <w:sz w:val="20"/>
          <w:szCs w:val="20"/>
        </w:rPr>
        <w:t xml:space="preserve"> (E.), </w:t>
      </w:r>
      <w:r w:rsidRPr="00156AE0">
        <w:rPr>
          <w:rStyle w:val="Aucun"/>
          <w:rFonts w:ascii="Times New Roman" w:hAnsi="Times New Roman" w:cs="Times New Roman"/>
          <w:i/>
          <w:iCs/>
          <w:sz w:val="20"/>
          <w:szCs w:val="20"/>
        </w:rPr>
        <w:t>Métaphysiques cannibales</w:t>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i/>
          <w:iCs/>
          <w:sz w:val="20"/>
          <w:szCs w:val="20"/>
        </w:rPr>
        <w:t>op. cit.</w:t>
      </w:r>
      <w:r w:rsidRPr="00156AE0">
        <w:rPr>
          <w:rStyle w:val="Aucun"/>
          <w:rFonts w:ascii="Times New Roman" w:hAnsi="Times New Roman" w:cs="Times New Roman"/>
          <w:sz w:val="20"/>
          <w:szCs w:val="20"/>
        </w:rPr>
        <w:t xml:space="preserve">, p. 12. </w:t>
      </w:r>
    </w:p>
  </w:footnote>
  <w:footnote w:id="52">
    <w:p w14:paraId="6A726A06" w14:textId="77777777"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i/>
          <w:iCs/>
          <w:sz w:val="20"/>
          <w:szCs w:val="20"/>
        </w:rPr>
        <w:t>Ibid.</w:t>
      </w:r>
      <w:r w:rsidRPr="00156AE0">
        <w:rPr>
          <w:rStyle w:val="Aucun"/>
          <w:rFonts w:ascii="Times New Roman" w:hAnsi="Times New Roman" w:cs="Times New Roman"/>
          <w:sz w:val="20"/>
          <w:szCs w:val="20"/>
        </w:rPr>
        <w:t xml:space="preserve">, p. 60-61. </w:t>
      </w:r>
    </w:p>
  </w:footnote>
  <w:footnote w:id="53">
    <w:p w14:paraId="425A58F2" w14:textId="143E6F81"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mallCaps/>
          <w:sz w:val="20"/>
          <w:szCs w:val="20"/>
        </w:rPr>
        <w:t>Parnet</w:t>
      </w:r>
      <w:r w:rsidRPr="00156AE0">
        <w:rPr>
          <w:rStyle w:val="Aucun"/>
          <w:rFonts w:ascii="Times New Roman" w:hAnsi="Times New Roman" w:cs="Times New Roman"/>
          <w:sz w:val="20"/>
          <w:szCs w:val="20"/>
        </w:rPr>
        <w:t xml:space="preserve"> (C.)</w:t>
      </w:r>
      <w:r w:rsidR="00B414FF"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mallCaps/>
          <w:sz w:val="20"/>
          <w:szCs w:val="20"/>
        </w:rPr>
        <w:t>Deleuze</w:t>
      </w:r>
      <w:r w:rsidRPr="00156AE0">
        <w:rPr>
          <w:rStyle w:val="Aucun"/>
          <w:rFonts w:ascii="Times New Roman" w:hAnsi="Times New Roman" w:cs="Times New Roman"/>
          <w:sz w:val="20"/>
          <w:szCs w:val="20"/>
        </w:rPr>
        <w:t xml:space="preserve"> (G.), </w:t>
      </w:r>
      <w:r w:rsidRPr="00156AE0">
        <w:rPr>
          <w:rStyle w:val="Aucun"/>
          <w:rFonts w:ascii="Times New Roman" w:hAnsi="Times New Roman" w:cs="Times New Roman"/>
          <w:i/>
          <w:iCs/>
          <w:sz w:val="20"/>
          <w:szCs w:val="20"/>
        </w:rPr>
        <w:t>Dialogues</w:t>
      </w:r>
      <w:r w:rsidRPr="00156AE0">
        <w:rPr>
          <w:rStyle w:val="Aucun"/>
          <w:rFonts w:ascii="Times New Roman" w:hAnsi="Times New Roman" w:cs="Times New Roman"/>
          <w:sz w:val="20"/>
          <w:szCs w:val="20"/>
        </w:rPr>
        <w:t>, Paris, Flammarion, 2008</w:t>
      </w:r>
      <w:r w:rsidR="00B414FF" w:rsidRPr="00156AE0">
        <w:rPr>
          <w:rStyle w:val="Aucun"/>
          <w:rFonts w:ascii="Times New Roman" w:hAnsi="Times New Roman" w:cs="Times New Roman"/>
          <w:sz w:val="20"/>
          <w:szCs w:val="20"/>
        </w:rPr>
        <w:t xml:space="preserve"> [1977]</w:t>
      </w:r>
      <w:r w:rsidRPr="00156AE0">
        <w:rPr>
          <w:rStyle w:val="Aucun"/>
          <w:rFonts w:ascii="Times New Roman" w:hAnsi="Times New Roman" w:cs="Times New Roman"/>
          <w:sz w:val="20"/>
          <w:szCs w:val="20"/>
        </w:rPr>
        <w:t xml:space="preserve">, p. 30.  </w:t>
      </w:r>
    </w:p>
  </w:footnote>
  <w:footnote w:id="54">
    <w:p w14:paraId="1F1323EB" w14:textId="77777777"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mallCaps/>
          <w:sz w:val="20"/>
          <w:szCs w:val="20"/>
        </w:rPr>
        <w:t>Lecercle</w:t>
      </w:r>
      <w:r w:rsidRPr="00156AE0">
        <w:rPr>
          <w:rStyle w:val="Aucun"/>
          <w:rFonts w:ascii="Times New Roman" w:hAnsi="Times New Roman" w:cs="Times New Roman"/>
          <w:sz w:val="20"/>
          <w:szCs w:val="20"/>
        </w:rPr>
        <w:t xml:space="preserve"> (J. J.), </w:t>
      </w:r>
      <w:r w:rsidRPr="00156AE0">
        <w:rPr>
          <w:rStyle w:val="Aucun"/>
          <w:rFonts w:ascii="Times New Roman" w:hAnsi="Times New Roman" w:cs="Times New Roman"/>
          <w:i/>
          <w:iCs/>
          <w:sz w:val="20"/>
          <w:szCs w:val="20"/>
        </w:rPr>
        <w:t>Deleuze and Language</w:t>
      </w:r>
      <w:r w:rsidRPr="00156AE0">
        <w:rPr>
          <w:rStyle w:val="Aucun"/>
          <w:rFonts w:ascii="Times New Roman" w:hAnsi="Times New Roman" w:cs="Times New Roman"/>
          <w:sz w:val="20"/>
          <w:szCs w:val="20"/>
        </w:rPr>
        <w:t>,</w:t>
      </w:r>
      <w:r w:rsidRPr="00156AE0">
        <w:rPr>
          <w:rStyle w:val="Aucun"/>
          <w:rFonts w:ascii="Times New Roman" w:hAnsi="Times New Roman" w:cs="Times New Roman"/>
          <w:i/>
          <w:iCs/>
          <w:sz w:val="20"/>
          <w:szCs w:val="20"/>
        </w:rPr>
        <w:t xml:space="preserve"> </w:t>
      </w:r>
      <w:r w:rsidRPr="00156AE0">
        <w:rPr>
          <w:rStyle w:val="Aucun"/>
          <w:rFonts w:ascii="Times New Roman" w:hAnsi="Times New Roman" w:cs="Times New Roman"/>
          <w:sz w:val="20"/>
          <w:szCs w:val="20"/>
        </w:rPr>
        <w:t xml:space="preserve">Houndmills, Palgrave Macmillan, 2002, p. 86. </w:t>
      </w:r>
    </w:p>
  </w:footnote>
  <w:footnote w:id="55">
    <w:p w14:paraId="3C55A658" w14:textId="0355D29C"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mallCaps/>
          <w:sz w:val="20"/>
          <w:szCs w:val="20"/>
        </w:rPr>
        <w:t>Deleuze</w:t>
      </w:r>
      <w:r w:rsidRPr="00156AE0">
        <w:rPr>
          <w:rStyle w:val="Aucun"/>
          <w:rFonts w:ascii="Times New Roman" w:hAnsi="Times New Roman" w:cs="Times New Roman"/>
          <w:sz w:val="20"/>
          <w:szCs w:val="20"/>
        </w:rPr>
        <w:t xml:space="preserve"> (G.)</w:t>
      </w:r>
      <w:r w:rsidR="00B414FF"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mallCaps/>
          <w:sz w:val="20"/>
          <w:szCs w:val="20"/>
        </w:rPr>
        <w:t>Guattari</w:t>
      </w:r>
      <w:r w:rsidRPr="00156AE0">
        <w:rPr>
          <w:rStyle w:val="Aucun"/>
          <w:rFonts w:ascii="Times New Roman" w:hAnsi="Times New Roman" w:cs="Times New Roman"/>
          <w:sz w:val="20"/>
          <w:szCs w:val="20"/>
        </w:rPr>
        <w:t xml:space="preserve"> (F.), </w:t>
      </w:r>
      <w:r w:rsidRPr="00156AE0">
        <w:rPr>
          <w:rStyle w:val="Aucun"/>
          <w:rFonts w:ascii="Times New Roman" w:hAnsi="Times New Roman" w:cs="Times New Roman"/>
          <w:i/>
          <w:iCs/>
          <w:sz w:val="20"/>
          <w:szCs w:val="20"/>
        </w:rPr>
        <w:t>Mille plateaux</w:t>
      </w:r>
      <w:r w:rsidRPr="00156AE0">
        <w:rPr>
          <w:rStyle w:val="Aucun"/>
          <w:rFonts w:ascii="Times New Roman" w:hAnsi="Times New Roman" w:cs="Times New Roman"/>
          <w:sz w:val="20"/>
          <w:szCs w:val="20"/>
        </w:rPr>
        <w:t xml:space="preserve">, Paris, Minuit, 1980, p. 95. </w:t>
      </w:r>
    </w:p>
  </w:footnote>
  <w:footnote w:id="56">
    <w:p w14:paraId="3CDB4BBF" w14:textId="3DAF1539"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mallCaps/>
          <w:sz w:val="20"/>
          <w:szCs w:val="20"/>
        </w:rPr>
        <w:t>Deleuze</w:t>
      </w:r>
      <w:r w:rsidRPr="00156AE0">
        <w:rPr>
          <w:rStyle w:val="Aucun"/>
          <w:rFonts w:ascii="Times New Roman" w:hAnsi="Times New Roman" w:cs="Times New Roman"/>
          <w:sz w:val="20"/>
          <w:szCs w:val="20"/>
        </w:rPr>
        <w:t xml:space="preserve"> (G.)</w:t>
      </w:r>
      <w:r w:rsidR="00B414FF"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mallCaps/>
          <w:sz w:val="20"/>
          <w:szCs w:val="20"/>
        </w:rPr>
        <w:t>Guattari</w:t>
      </w:r>
      <w:r w:rsidRPr="00156AE0">
        <w:rPr>
          <w:rStyle w:val="Aucun"/>
          <w:rFonts w:ascii="Times New Roman" w:hAnsi="Times New Roman" w:cs="Times New Roman"/>
          <w:sz w:val="20"/>
          <w:szCs w:val="20"/>
        </w:rPr>
        <w:t xml:space="preserve"> (F.), </w:t>
      </w:r>
      <w:r w:rsidRPr="00156AE0">
        <w:rPr>
          <w:rStyle w:val="Aucun"/>
          <w:rFonts w:ascii="Times New Roman" w:hAnsi="Times New Roman" w:cs="Times New Roman"/>
          <w:i/>
          <w:iCs/>
          <w:sz w:val="20"/>
          <w:szCs w:val="20"/>
        </w:rPr>
        <w:t>Kafka</w:t>
      </w:r>
      <w:r w:rsidR="00B414FF" w:rsidRPr="00156AE0">
        <w:rPr>
          <w:rStyle w:val="Aucun"/>
          <w:rFonts w:ascii="Times New Roman" w:hAnsi="Times New Roman" w:cs="Times New Roman"/>
          <w:i/>
          <w:iCs/>
          <w:sz w:val="20"/>
          <w:szCs w:val="20"/>
        </w:rPr>
        <w:t xml:space="preserve"> </w:t>
      </w:r>
      <w:r w:rsidRPr="00156AE0">
        <w:rPr>
          <w:rStyle w:val="Aucun"/>
          <w:rFonts w:ascii="Times New Roman" w:hAnsi="Times New Roman" w:cs="Times New Roman"/>
          <w:i/>
          <w:iCs/>
          <w:sz w:val="20"/>
          <w:szCs w:val="20"/>
        </w:rPr>
        <w:t>: pour une littérature mineure</w:t>
      </w:r>
      <w:r w:rsidRPr="00156AE0">
        <w:rPr>
          <w:rStyle w:val="Aucun"/>
          <w:rFonts w:ascii="Times New Roman" w:hAnsi="Times New Roman" w:cs="Times New Roman"/>
          <w:sz w:val="20"/>
          <w:szCs w:val="20"/>
        </w:rPr>
        <w:t xml:space="preserve">, Paris, Minuit, 1975, p. 44.  </w:t>
      </w:r>
    </w:p>
  </w:footnote>
  <w:footnote w:id="57">
    <w:p w14:paraId="43F5A6B1" w14:textId="00CE05C6"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mallCaps/>
          <w:sz w:val="20"/>
          <w:szCs w:val="20"/>
        </w:rPr>
        <w:t>Sibertin-Blanc</w:t>
      </w:r>
      <w:r w:rsidRPr="00156AE0">
        <w:rPr>
          <w:rStyle w:val="Aucun"/>
          <w:rFonts w:ascii="Times New Roman" w:hAnsi="Times New Roman" w:cs="Times New Roman"/>
          <w:sz w:val="20"/>
          <w:szCs w:val="20"/>
        </w:rPr>
        <w:t xml:space="preserve"> (G.), « Politique du style et minoration chez Deleuze », in </w:t>
      </w:r>
      <w:r w:rsidRPr="00156AE0">
        <w:rPr>
          <w:rStyle w:val="Aucun"/>
          <w:rFonts w:ascii="Times New Roman" w:hAnsi="Times New Roman" w:cs="Times New Roman"/>
          <w:i/>
          <w:iCs/>
          <w:sz w:val="20"/>
          <w:szCs w:val="20"/>
        </w:rPr>
        <w:t xml:space="preserve">Les styles de Deleuze, </w:t>
      </w:r>
      <w:r w:rsidRPr="00156AE0">
        <w:rPr>
          <w:rStyle w:val="Aucun"/>
          <w:rFonts w:ascii="Times New Roman" w:hAnsi="Times New Roman" w:cs="Times New Roman"/>
          <w:sz w:val="20"/>
          <w:szCs w:val="20"/>
        </w:rPr>
        <w:t xml:space="preserve">sous la direction de </w:t>
      </w:r>
      <w:r w:rsidRPr="00156AE0">
        <w:rPr>
          <w:rStyle w:val="Aucun"/>
          <w:rFonts w:ascii="Times New Roman" w:hAnsi="Times New Roman" w:cs="Times New Roman"/>
          <w:smallCaps/>
          <w:sz w:val="20"/>
          <w:szCs w:val="20"/>
        </w:rPr>
        <w:t>Jey</w:t>
      </w:r>
      <w:r w:rsidRPr="00156AE0">
        <w:rPr>
          <w:rStyle w:val="Aucun"/>
          <w:rFonts w:ascii="Times New Roman" w:hAnsi="Times New Roman" w:cs="Times New Roman"/>
          <w:sz w:val="20"/>
          <w:szCs w:val="20"/>
        </w:rPr>
        <w:t xml:space="preserve"> (A.),</w:t>
      </w:r>
      <w:r w:rsidRPr="00156AE0">
        <w:rPr>
          <w:rStyle w:val="Aucun"/>
          <w:rFonts w:ascii="Times New Roman" w:hAnsi="Times New Roman" w:cs="Times New Roman"/>
          <w:i/>
          <w:iCs/>
          <w:sz w:val="20"/>
          <w:szCs w:val="20"/>
        </w:rPr>
        <w:t xml:space="preserve"> </w:t>
      </w:r>
      <w:r w:rsidRPr="00156AE0">
        <w:rPr>
          <w:rStyle w:val="Aucun"/>
          <w:rFonts w:ascii="Times New Roman" w:hAnsi="Times New Roman" w:cs="Times New Roman"/>
          <w:sz w:val="20"/>
          <w:szCs w:val="20"/>
        </w:rPr>
        <w:t xml:space="preserve">Bruxelles, Les Impressions Nouvelles, 2011, p. 183-206, p. 191.  </w:t>
      </w:r>
    </w:p>
  </w:footnote>
  <w:footnote w:id="58">
    <w:p w14:paraId="4208B901" w14:textId="3C8F8683"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mallCaps/>
          <w:sz w:val="20"/>
          <w:szCs w:val="20"/>
        </w:rPr>
        <w:t>Darbelnet</w:t>
      </w:r>
      <w:r w:rsidRPr="00156AE0">
        <w:rPr>
          <w:rStyle w:val="Aucun"/>
          <w:rFonts w:ascii="Times New Roman" w:hAnsi="Times New Roman" w:cs="Times New Roman"/>
          <w:sz w:val="20"/>
          <w:szCs w:val="20"/>
        </w:rPr>
        <w:t xml:space="preserve"> (J.), « Bilinguisme », </w:t>
      </w:r>
      <w:r w:rsidRPr="00156AE0">
        <w:rPr>
          <w:rStyle w:val="Aucun"/>
          <w:rFonts w:ascii="Times New Roman" w:hAnsi="Times New Roman" w:cs="Times New Roman"/>
          <w:i/>
          <w:iCs/>
          <w:sz w:val="20"/>
          <w:szCs w:val="20"/>
        </w:rPr>
        <w:t xml:space="preserve">in Français en France et hors de France. </w:t>
      </w:r>
      <w:r w:rsidRPr="00156AE0">
        <w:rPr>
          <w:rStyle w:val="Aucun"/>
          <w:rFonts w:ascii="Times New Roman" w:hAnsi="Times New Roman" w:cs="Times New Roman"/>
          <w:sz w:val="20"/>
          <w:szCs w:val="20"/>
        </w:rPr>
        <w:t>II</w:t>
      </w:r>
      <w:r w:rsidRPr="00156AE0">
        <w:rPr>
          <w:rStyle w:val="Aucun"/>
          <w:rFonts w:ascii="Times New Roman" w:hAnsi="Times New Roman" w:cs="Times New Roman"/>
          <w:i/>
          <w:iCs/>
          <w:sz w:val="20"/>
          <w:szCs w:val="20"/>
        </w:rPr>
        <w:t>. Les Français régionaux. Le Français en contact</w:t>
      </w:r>
      <w:r w:rsidRPr="00156AE0">
        <w:rPr>
          <w:rStyle w:val="Aucun"/>
          <w:rFonts w:ascii="Times New Roman" w:hAnsi="Times New Roman" w:cs="Times New Roman"/>
          <w:sz w:val="20"/>
          <w:szCs w:val="20"/>
        </w:rPr>
        <w:t xml:space="preserve">, Annales de la faculté des lettres et sciences humaines de Nice, n°12, </w:t>
      </w:r>
      <w:r w:rsidR="00B414FF" w:rsidRPr="00156AE0">
        <w:rPr>
          <w:rStyle w:val="Aucun"/>
          <w:rFonts w:ascii="Times New Roman" w:hAnsi="Times New Roman" w:cs="Times New Roman"/>
          <w:sz w:val="20"/>
          <w:szCs w:val="20"/>
        </w:rPr>
        <w:t>(</w:t>
      </w:r>
      <w:r w:rsidRPr="00156AE0">
        <w:rPr>
          <w:rStyle w:val="Aucun"/>
          <w:rFonts w:ascii="Times New Roman" w:hAnsi="Times New Roman" w:cs="Times New Roman"/>
          <w:sz w:val="20"/>
          <w:szCs w:val="20"/>
        </w:rPr>
        <w:t>octobre 1970</w:t>
      </w:r>
      <w:r w:rsidR="00B414FF" w:rsidRPr="00156AE0">
        <w:rPr>
          <w:rStyle w:val="Aucun"/>
          <w:rFonts w:ascii="Times New Roman" w:hAnsi="Times New Roman" w:cs="Times New Roman"/>
          <w:sz w:val="20"/>
          <w:szCs w:val="20"/>
        </w:rPr>
        <w:t>)</w:t>
      </w:r>
      <w:r w:rsidRPr="00156AE0">
        <w:rPr>
          <w:rStyle w:val="Aucun"/>
          <w:rFonts w:ascii="Times New Roman" w:hAnsi="Times New Roman" w:cs="Times New Roman"/>
          <w:sz w:val="20"/>
          <w:szCs w:val="20"/>
        </w:rPr>
        <w:t xml:space="preserve">, p. 107-128, p. 111. </w:t>
      </w:r>
    </w:p>
  </w:footnote>
  <w:footnote w:id="59">
    <w:p w14:paraId="63AE39FF" w14:textId="77777777" w:rsidR="00FA4F5F" w:rsidRPr="00156AE0" w:rsidRDefault="002D52F5">
      <w:pPr>
        <w:pStyle w:val="Notedebasdepage"/>
        <w:rPr>
          <w:rFonts w:ascii="Times New Roman" w:hAnsi="Times New Roman" w:cs="Times New Roman"/>
          <w:sz w:val="20"/>
          <w:szCs w:val="20"/>
          <w:lang w:val="nl-BE"/>
        </w:rPr>
      </w:pPr>
      <w:r w:rsidRPr="00156AE0">
        <w:rPr>
          <w:rStyle w:val="Aucun"/>
          <w:rFonts w:ascii="Times New Roman" w:eastAsia="Times New Roman" w:hAnsi="Times New Roman" w:cs="Times New Roman"/>
          <w:sz w:val="20"/>
          <w:szCs w:val="20"/>
          <w:vertAlign w:val="superscript"/>
          <w:lang w:val="nl-NL"/>
        </w:rPr>
        <w:footnoteRef/>
      </w:r>
      <w:r w:rsidRPr="00156AE0">
        <w:rPr>
          <w:rStyle w:val="Aucun"/>
          <w:rFonts w:ascii="Times New Roman" w:hAnsi="Times New Roman" w:cs="Times New Roman"/>
          <w:sz w:val="20"/>
          <w:szCs w:val="20"/>
          <w:lang w:val="nl-NL"/>
        </w:rPr>
        <w:t xml:space="preserve"> </w:t>
      </w:r>
      <w:r w:rsidRPr="00156AE0">
        <w:rPr>
          <w:rStyle w:val="Aucun"/>
          <w:rFonts w:ascii="Times New Roman" w:hAnsi="Times New Roman" w:cs="Times New Roman"/>
          <w:i/>
          <w:iCs/>
          <w:sz w:val="20"/>
          <w:szCs w:val="20"/>
          <w:lang w:val="nl-NL"/>
        </w:rPr>
        <w:t>Ibid.</w:t>
      </w:r>
      <w:r w:rsidRPr="00156AE0">
        <w:rPr>
          <w:rStyle w:val="Aucun"/>
          <w:rFonts w:ascii="Times New Roman" w:hAnsi="Times New Roman" w:cs="Times New Roman"/>
          <w:sz w:val="20"/>
          <w:szCs w:val="20"/>
          <w:lang w:val="nl-NL"/>
        </w:rPr>
        <w:t xml:space="preserve">, p. 112. </w:t>
      </w:r>
    </w:p>
  </w:footnote>
  <w:footnote w:id="60">
    <w:p w14:paraId="2DF3D549" w14:textId="01AD0CEB" w:rsidR="00FA4F5F" w:rsidRPr="00156AE0" w:rsidRDefault="002D52F5">
      <w:pPr>
        <w:pStyle w:val="Notedebasdepage"/>
        <w:rPr>
          <w:rFonts w:ascii="Times New Roman" w:hAnsi="Times New Roman" w:cs="Times New Roman"/>
          <w:sz w:val="20"/>
          <w:szCs w:val="20"/>
          <w:lang w:val="nl-BE"/>
        </w:rPr>
      </w:pPr>
      <w:r w:rsidRPr="00156AE0">
        <w:rPr>
          <w:rStyle w:val="Aucun"/>
          <w:rFonts w:ascii="Times New Roman" w:eastAsia="Times New Roman" w:hAnsi="Times New Roman" w:cs="Times New Roman"/>
          <w:sz w:val="20"/>
          <w:szCs w:val="20"/>
          <w:vertAlign w:val="superscript"/>
          <w:lang w:val="nl-NL"/>
        </w:rPr>
        <w:footnoteRef/>
      </w:r>
      <w:r w:rsidR="00B414FF" w:rsidRPr="00156AE0">
        <w:rPr>
          <w:rStyle w:val="Aucun"/>
          <w:rFonts w:ascii="Times New Roman" w:hAnsi="Times New Roman" w:cs="Times New Roman"/>
          <w:sz w:val="20"/>
          <w:szCs w:val="20"/>
          <w:lang w:val="nl-NL"/>
        </w:rPr>
        <w:t xml:space="preserve"> </w:t>
      </w:r>
      <w:r w:rsidRPr="00156AE0">
        <w:rPr>
          <w:rStyle w:val="Aucun"/>
          <w:rFonts w:ascii="Times New Roman" w:hAnsi="Times New Roman" w:cs="Times New Roman"/>
          <w:smallCaps/>
          <w:sz w:val="20"/>
          <w:szCs w:val="20"/>
          <w:lang w:val="nl-NL"/>
        </w:rPr>
        <w:t>Deleuze</w:t>
      </w:r>
      <w:r w:rsidRPr="00156AE0">
        <w:rPr>
          <w:rStyle w:val="Aucun"/>
          <w:rFonts w:ascii="Times New Roman" w:hAnsi="Times New Roman" w:cs="Times New Roman"/>
          <w:sz w:val="20"/>
          <w:szCs w:val="20"/>
          <w:lang w:val="nl-NL"/>
        </w:rPr>
        <w:t xml:space="preserve"> (G.)</w:t>
      </w:r>
      <w:r w:rsidR="00B414FF" w:rsidRPr="00156AE0">
        <w:rPr>
          <w:rStyle w:val="Aucun"/>
          <w:rFonts w:ascii="Times New Roman" w:hAnsi="Times New Roman" w:cs="Times New Roman"/>
          <w:sz w:val="20"/>
          <w:szCs w:val="20"/>
          <w:lang w:val="nl-NL"/>
        </w:rPr>
        <w:t xml:space="preserve">, </w:t>
      </w:r>
      <w:r w:rsidRPr="00156AE0">
        <w:rPr>
          <w:rStyle w:val="Aucun"/>
          <w:rFonts w:ascii="Times New Roman" w:hAnsi="Times New Roman" w:cs="Times New Roman"/>
          <w:smallCaps/>
          <w:sz w:val="20"/>
          <w:szCs w:val="20"/>
          <w:lang w:val="nl-NL"/>
        </w:rPr>
        <w:t>Guattari</w:t>
      </w:r>
      <w:r w:rsidRPr="00156AE0">
        <w:rPr>
          <w:rStyle w:val="Aucun"/>
          <w:rFonts w:ascii="Times New Roman" w:hAnsi="Times New Roman" w:cs="Times New Roman"/>
          <w:sz w:val="20"/>
          <w:szCs w:val="20"/>
          <w:lang w:val="nl-NL"/>
        </w:rPr>
        <w:t xml:space="preserve"> (F.), </w:t>
      </w:r>
      <w:r w:rsidRPr="00156AE0">
        <w:rPr>
          <w:rStyle w:val="Aucun"/>
          <w:rFonts w:ascii="Times New Roman" w:hAnsi="Times New Roman" w:cs="Times New Roman"/>
          <w:i/>
          <w:iCs/>
          <w:sz w:val="20"/>
          <w:szCs w:val="20"/>
          <w:lang w:val="nl-NL"/>
        </w:rPr>
        <w:t>Kafka</w:t>
      </w:r>
      <w:r w:rsidRPr="00156AE0">
        <w:rPr>
          <w:rStyle w:val="Aucun"/>
          <w:rFonts w:ascii="Times New Roman" w:hAnsi="Times New Roman" w:cs="Times New Roman"/>
          <w:sz w:val="20"/>
          <w:szCs w:val="20"/>
          <w:lang w:val="nl-NL"/>
        </w:rPr>
        <w:t xml:space="preserve">, </w:t>
      </w:r>
      <w:r w:rsidRPr="00156AE0">
        <w:rPr>
          <w:rStyle w:val="Aucun"/>
          <w:rFonts w:ascii="Times New Roman" w:hAnsi="Times New Roman" w:cs="Times New Roman"/>
          <w:i/>
          <w:iCs/>
          <w:sz w:val="20"/>
          <w:szCs w:val="20"/>
          <w:lang w:val="nl-NL"/>
        </w:rPr>
        <w:t>op. cit.</w:t>
      </w:r>
      <w:r w:rsidRPr="00156AE0">
        <w:rPr>
          <w:rStyle w:val="Aucun"/>
          <w:rFonts w:ascii="Times New Roman" w:hAnsi="Times New Roman" w:cs="Times New Roman"/>
          <w:sz w:val="20"/>
          <w:szCs w:val="20"/>
          <w:lang w:val="nl-NL"/>
        </w:rPr>
        <w:t xml:space="preserve">, p. 33. </w:t>
      </w:r>
    </w:p>
  </w:footnote>
  <w:footnote w:id="61">
    <w:p w14:paraId="7E4A2FB3" w14:textId="77777777"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mallCaps/>
          <w:sz w:val="20"/>
          <w:szCs w:val="20"/>
        </w:rPr>
        <w:t>Lecercle</w:t>
      </w:r>
      <w:r w:rsidRPr="00156AE0">
        <w:rPr>
          <w:rStyle w:val="Aucun"/>
          <w:rFonts w:ascii="Times New Roman" w:hAnsi="Times New Roman" w:cs="Times New Roman"/>
          <w:sz w:val="20"/>
          <w:szCs w:val="20"/>
        </w:rPr>
        <w:t xml:space="preserve"> (J. J.),</w:t>
      </w:r>
      <w:r w:rsidRPr="00156AE0">
        <w:rPr>
          <w:rStyle w:val="Aucun"/>
          <w:rFonts w:ascii="Times New Roman" w:hAnsi="Times New Roman" w:cs="Times New Roman"/>
          <w:i/>
          <w:iCs/>
          <w:sz w:val="20"/>
          <w:szCs w:val="20"/>
        </w:rPr>
        <w:t xml:space="preserve"> op. cit.,</w:t>
      </w:r>
      <w:r w:rsidRPr="00156AE0">
        <w:rPr>
          <w:rStyle w:val="Aucun"/>
          <w:rFonts w:ascii="Times New Roman" w:hAnsi="Times New Roman" w:cs="Times New Roman"/>
          <w:sz w:val="20"/>
          <w:szCs w:val="20"/>
        </w:rPr>
        <w:t xml:space="preserve"> p. 88. </w:t>
      </w:r>
    </w:p>
  </w:footnote>
  <w:footnote w:id="62">
    <w:p w14:paraId="7F14F297" w14:textId="77777777"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i/>
          <w:iCs/>
          <w:sz w:val="20"/>
          <w:szCs w:val="20"/>
        </w:rPr>
        <w:t>Ibid.</w:t>
      </w:r>
      <w:r w:rsidRPr="00156AE0">
        <w:rPr>
          <w:rStyle w:val="Aucun"/>
          <w:rFonts w:ascii="Times New Roman" w:hAnsi="Times New Roman" w:cs="Times New Roman"/>
          <w:sz w:val="20"/>
          <w:szCs w:val="20"/>
        </w:rPr>
        <w:t xml:space="preserve">, p. 89 (notre traduction). </w:t>
      </w:r>
    </w:p>
  </w:footnote>
  <w:footnote w:id="63">
    <w:p w14:paraId="61AB81C4" w14:textId="30E64846"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Deleuze et Guattari définissent le mot d’ordre comme : « le rapport que tout mot ou tout énoncé avec des présupposés implicites, c’est-à-dire avec des actes de parole qui s’accomplissent dans l’énoncé et ne peuvent s’accomplir qu’en lui » (</w:t>
      </w:r>
      <w:r w:rsidR="00B414FF" w:rsidRPr="00156AE0">
        <w:rPr>
          <w:rStyle w:val="Aucun"/>
          <w:rFonts w:ascii="Times New Roman" w:hAnsi="Times New Roman" w:cs="Times New Roman"/>
          <w:smallCaps/>
          <w:sz w:val="20"/>
          <w:szCs w:val="20"/>
          <w:lang w:val="fr-BE"/>
        </w:rPr>
        <w:t>Deleuze</w:t>
      </w:r>
      <w:r w:rsidR="00B414FF" w:rsidRPr="00156AE0">
        <w:rPr>
          <w:rStyle w:val="Aucun"/>
          <w:rFonts w:ascii="Times New Roman" w:hAnsi="Times New Roman" w:cs="Times New Roman"/>
          <w:sz w:val="20"/>
          <w:szCs w:val="20"/>
          <w:lang w:val="fr-BE"/>
        </w:rPr>
        <w:t xml:space="preserve"> (G.), </w:t>
      </w:r>
      <w:r w:rsidR="00B414FF" w:rsidRPr="00156AE0">
        <w:rPr>
          <w:rStyle w:val="Aucun"/>
          <w:rFonts w:ascii="Times New Roman" w:hAnsi="Times New Roman" w:cs="Times New Roman"/>
          <w:smallCaps/>
          <w:sz w:val="20"/>
          <w:szCs w:val="20"/>
          <w:lang w:val="fr-BE"/>
        </w:rPr>
        <w:t>Guattari</w:t>
      </w:r>
      <w:r w:rsidR="00B414FF" w:rsidRPr="00156AE0">
        <w:rPr>
          <w:rStyle w:val="Aucun"/>
          <w:rFonts w:ascii="Times New Roman" w:hAnsi="Times New Roman" w:cs="Times New Roman"/>
          <w:sz w:val="20"/>
          <w:szCs w:val="20"/>
          <w:lang w:val="fr-BE"/>
        </w:rPr>
        <w:t xml:space="preserve"> (F.)</w:t>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i/>
          <w:iCs/>
          <w:sz w:val="20"/>
          <w:szCs w:val="20"/>
        </w:rPr>
        <w:t>Mille plateaux</w:t>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i/>
          <w:iCs/>
          <w:sz w:val="20"/>
          <w:szCs w:val="20"/>
        </w:rPr>
        <w:t>op. cit.</w:t>
      </w:r>
      <w:r w:rsidRPr="00156AE0">
        <w:rPr>
          <w:rStyle w:val="Aucun"/>
          <w:rFonts w:ascii="Times New Roman" w:hAnsi="Times New Roman" w:cs="Times New Roman"/>
          <w:sz w:val="20"/>
          <w:szCs w:val="20"/>
        </w:rPr>
        <w:t xml:space="preserve">, p. 100). </w:t>
      </w:r>
    </w:p>
  </w:footnote>
  <w:footnote w:id="64">
    <w:p w14:paraId="0B9E203C" w14:textId="77777777" w:rsidR="00FA4F5F" w:rsidRPr="006E1775" w:rsidRDefault="002D52F5">
      <w:pPr>
        <w:pStyle w:val="Notedebasdepage"/>
        <w:rPr>
          <w:rFonts w:ascii="Times New Roman" w:hAnsi="Times New Roman" w:cs="Times New Roman"/>
          <w:sz w:val="20"/>
          <w:szCs w:val="20"/>
          <w:lang w:val="nl-BE"/>
        </w:rPr>
      </w:pPr>
      <w:r w:rsidRPr="00156AE0">
        <w:rPr>
          <w:rStyle w:val="Aucun"/>
          <w:rFonts w:ascii="Times New Roman" w:eastAsia="Times New Roman" w:hAnsi="Times New Roman" w:cs="Times New Roman"/>
          <w:sz w:val="20"/>
          <w:szCs w:val="20"/>
          <w:vertAlign w:val="superscript"/>
        </w:rPr>
        <w:footnoteRef/>
      </w:r>
      <w:r w:rsidRPr="006E1775">
        <w:rPr>
          <w:rStyle w:val="Aucun"/>
          <w:rFonts w:ascii="Times New Roman" w:hAnsi="Times New Roman" w:cs="Times New Roman"/>
          <w:sz w:val="20"/>
          <w:szCs w:val="20"/>
          <w:lang w:val="nl-BE"/>
        </w:rPr>
        <w:t xml:space="preserve"> </w:t>
      </w:r>
      <w:r w:rsidRPr="006E1775">
        <w:rPr>
          <w:rStyle w:val="Aucun"/>
          <w:rFonts w:ascii="Times New Roman" w:hAnsi="Times New Roman" w:cs="Times New Roman"/>
          <w:i/>
          <w:iCs/>
          <w:sz w:val="20"/>
          <w:szCs w:val="20"/>
          <w:lang w:val="nl-BE"/>
        </w:rPr>
        <w:t>Ibid.</w:t>
      </w:r>
      <w:r w:rsidRPr="006E1775">
        <w:rPr>
          <w:rStyle w:val="Aucun"/>
          <w:rFonts w:ascii="Times New Roman" w:hAnsi="Times New Roman" w:cs="Times New Roman"/>
          <w:sz w:val="20"/>
          <w:szCs w:val="20"/>
          <w:lang w:val="nl-BE"/>
        </w:rPr>
        <w:t xml:space="preserve">, p. 101. </w:t>
      </w:r>
    </w:p>
  </w:footnote>
  <w:footnote w:id="65">
    <w:p w14:paraId="4C476414" w14:textId="07D1D959"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6E1775">
        <w:rPr>
          <w:rStyle w:val="Aucun"/>
          <w:rFonts w:ascii="Times New Roman" w:hAnsi="Times New Roman" w:cs="Times New Roman"/>
          <w:sz w:val="20"/>
          <w:szCs w:val="20"/>
          <w:lang w:val="nl-BE"/>
        </w:rPr>
        <w:t xml:space="preserve"> </w:t>
      </w:r>
      <w:r w:rsidRPr="006E1775">
        <w:rPr>
          <w:rStyle w:val="Aucun"/>
          <w:rFonts w:ascii="Times New Roman" w:hAnsi="Times New Roman" w:cs="Times New Roman"/>
          <w:smallCaps/>
          <w:sz w:val="20"/>
          <w:szCs w:val="20"/>
          <w:lang w:val="nl-BE"/>
        </w:rPr>
        <w:t>Deleuze</w:t>
      </w:r>
      <w:r w:rsidRPr="006E1775">
        <w:rPr>
          <w:rStyle w:val="Aucun"/>
          <w:rFonts w:ascii="Times New Roman" w:hAnsi="Times New Roman" w:cs="Times New Roman"/>
          <w:sz w:val="20"/>
          <w:szCs w:val="20"/>
          <w:lang w:val="nl-BE"/>
        </w:rPr>
        <w:t xml:space="preserve"> (G.), </w:t>
      </w:r>
      <w:r w:rsidR="006E1775" w:rsidRPr="006E1775">
        <w:rPr>
          <w:rStyle w:val="Aucun"/>
          <w:rFonts w:ascii="Times New Roman" w:hAnsi="Times New Roman" w:cs="Times New Roman"/>
          <w:i/>
          <w:iCs/>
          <w:sz w:val="20"/>
          <w:szCs w:val="20"/>
          <w:lang w:val="nl-BE"/>
        </w:rPr>
        <w:t xml:space="preserve">Cinéma 1. </w:t>
      </w:r>
      <w:r w:rsidRPr="00156AE0">
        <w:rPr>
          <w:rStyle w:val="Aucun"/>
          <w:rFonts w:ascii="Times New Roman" w:hAnsi="Times New Roman" w:cs="Times New Roman"/>
          <w:i/>
          <w:iCs/>
          <w:sz w:val="20"/>
          <w:szCs w:val="20"/>
        </w:rPr>
        <w:t>L’image-mouvement,</w:t>
      </w:r>
      <w:r w:rsidRPr="00156AE0">
        <w:rPr>
          <w:rStyle w:val="Aucun"/>
          <w:rFonts w:ascii="Times New Roman" w:hAnsi="Times New Roman" w:cs="Times New Roman"/>
          <w:sz w:val="20"/>
          <w:szCs w:val="20"/>
        </w:rPr>
        <w:t xml:space="preserve"> Paris, Minuit, 1983, p. 107. </w:t>
      </w:r>
    </w:p>
  </w:footnote>
  <w:footnote w:id="66">
    <w:p w14:paraId="69D73BA3" w14:textId="77777777"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mallCaps/>
          <w:sz w:val="20"/>
          <w:szCs w:val="20"/>
        </w:rPr>
        <w:t>Lecercle</w:t>
      </w:r>
      <w:r w:rsidRPr="00156AE0">
        <w:rPr>
          <w:rStyle w:val="Aucun"/>
          <w:rFonts w:ascii="Times New Roman" w:hAnsi="Times New Roman" w:cs="Times New Roman"/>
          <w:sz w:val="20"/>
          <w:szCs w:val="20"/>
        </w:rPr>
        <w:t xml:space="preserve"> (J. J.),</w:t>
      </w:r>
      <w:r w:rsidRPr="00156AE0">
        <w:rPr>
          <w:rStyle w:val="Aucun"/>
          <w:rFonts w:ascii="Times New Roman" w:hAnsi="Times New Roman" w:cs="Times New Roman"/>
          <w:i/>
          <w:iCs/>
          <w:sz w:val="20"/>
          <w:szCs w:val="20"/>
        </w:rPr>
        <w:t xml:space="preserve"> op.cit.</w:t>
      </w:r>
      <w:r w:rsidRPr="00156AE0">
        <w:rPr>
          <w:rStyle w:val="Aucun"/>
          <w:rFonts w:ascii="Times New Roman" w:hAnsi="Times New Roman" w:cs="Times New Roman"/>
          <w:sz w:val="20"/>
          <w:szCs w:val="20"/>
        </w:rPr>
        <w:t xml:space="preserve">, p. 67. </w:t>
      </w:r>
    </w:p>
  </w:footnote>
  <w:footnote w:id="67">
    <w:p w14:paraId="0117DD65" w14:textId="77777777"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mallCaps/>
          <w:sz w:val="20"/>
          <w:szCs w:val="20"/>
        </w:rPr>
        <w:t>Sibertin-Blanc</w:t>
      </w:r>
      <w:r w:rsidRPr="00156AE0">
        <w:rPr>
          <w:rStyle w:val="Aucun"/>
          <w:rFonts w:ascii="Times New Roman" w:hAnsi="Times New Roman" w:cs="Times New Roman"/>
          <w:sz w:val="20"/>
          <w:szCs w:val="20"/>
        </w:rPr>
        <w:t xml:space="preserve"> (G.), </w:t>
      </w:r>
      <w:r w:rsidRPr="00156AE0">
        <w:rPr>
          <w:rStyle w:val="Aucun"/>
          <w:rFonts w:ascii="Times New Roman" w:hAnsi="Times New Roman" w:cs="Times New Roman"/>
          <w:i/>
          <w:iCs/>
          <w:sz w:val="20"/>
          <w:szCs w:val="20"/>
        </w:rPr>
        <w:t>op. cit.</w:t>
      </w:r>
      <w:r w:rsidRPr="00156AE0">
        <w:rPr>
          <w:rStyle w:val="Aucun"/>
          <w:rFonts w:ascii="Times New Roman" w:hAnsi="Times New Roman" w:cs="Times New Roman"/>
          <w:sz w:val="20"/>
          <w:szCs w:val="20"/>
        </w:rPr>
        <w:t xml:space="preserve">, p. 190.  </w:t>
      </w:r>
    </w:p>
  </w:footnote>
  <w:footnote w:id="68">
    <w:p w14:paraId="0B9524DD" w14:textId="0A2013CD"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i/>
          <w:iCs/>
          <w:sz w:val="20"/>
          <w:szCs w:val="20"/>
        </w:rPr>
        <w:t>I</w:t>
      </w:r>
      <w:r w:rsidR="00B414FF" w:rsidRPr="00156AE0">
        <w:rPr>
          <w:rStyle w:val="Aucun"/>
          <w:rFonts w:ascii="Times New Roman" w:hAnsi="Times New Roman" w:cs="Times New Roman"/>
          <w:i/>
          <w:iCs/>
          <w:sz w:val="20"/>
          <w:szCs w:val="20"/>
        </w:rPr>
        <w:t>bid</w:t>
      </w:r>
      <w:r w:rsidRPr="00156AE0">
        <w:rPr>
          <w:rStyle w:val="Aucun"/>
          <w:rFonts w:ascii="Times New Roman" w:hAnsi="Times New Roman" w:cs="Times New Roman"/>
          <w:i/>
          <w:iCs/>
          <w:sz w:val="20"/>
          <w:szCs w:val="20"/>
        </w:rPr>
        <w:t>.</w:t>
      </w:r>
      <w:r w:rsidRPr="00156AE0">
        <w:rPr>
          <w:rStyle w:val="Aucun"/>
          <w:rFonts w:ascii="Times New Roman" w:hAnsi="Times New Roman" w:cs="Times New Roman"/>
          <w:sz w:val="20"/>
          <w:szCs w:val="20"/>
        </w:rPr>
        <w:t xml:space="preserve"> </w:t>
      </w:r>
    </w:p>
  </w:footnote>
  <w:footnote w:id="69">
    <w:p w14:paraId="73B3FC76" w14:textId="77777777"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Banque de dépannage linguistique, s. v. « être familier avec », en ligne, http://www.bdl.oqlf.gouv.qc.ca/bdl/gabarit_bdl.asp?Th=2&amp;t1=&amp;id=4443, consulté le 11 mars 2020. </w:t>
      </w:r>
    </w:p>
  </w:footnote>
  <w:footnote w:id="70">
    <w:p w14:paraId="5AE93FD3" w14:textId="77777777" w:rsidR="00FA4F5F" w:rsidRPr="00156AE0" w:rsidRDefault="002D52F5">
      <w:pPr>
        <w:pStyle w:val="Notedebasdepage"/>
        <w:rPr>
          <w:rFonts w:ascii="Times New Roman" w:hAnsi="Times New Roman" w:cs="Times New Roman"/>
          <w:sz w:val="20"/>
          <w:szCs w:val="20"/>
          <w:lang w:val="nl-BE"/>
        </w:rPr>
      </w:pPr>
      <w:r w:rsidRPr="00156AE0">
        <w:rPr>
          <w:rStyle w:val="Aucun"/>
          <w:rFonts w:ascii="Times New Roman" w:eastAsia="Times New Roman" w:hAnsi="Times New Roman" w:cs="Times New Roman"/>
          <w:sz w:val="20"/>
          <w:szCs w:val="20"/>
          <w:vertAlign w:val="superscript"/>
          <w:lang w:val="nl-NL"/>
        </w:rPr>
        <w:footnoteRef/>
      </w:r>
      <w:r w:rsidRPr="00156AE0">
        <w:rPr>
          <w:rStyle w:val="Aucun"/>
          <w:rFonts w:ascii="Times New Roman" w:hAnsi="Times New Roman" w:cs="Times New Roman"/>
          <w:sz w:val="20"/>
          <w:szCs w:val="20"/>
          <w:lang w:val="nl-NL"/>
        </w:rPr>
        <w:t xml:space="preserve"> </w:t>
      </w:r>
      <w:r w:rsidRPr="00156AE0">
        <w:rPr>
          <w:rStyle w:val="Aucun"/>
          <w:rFonts w:ascii="Times New Roman" w:hAnsi="Times New Roman" w:cs="Times New Roman"/>
          <w:smallCaps/>
          <w:sz w:val="20"/>
          <w:szCs w:val="20"/>
          <w:lang w:val="nl-NL"/>
        </w:rPr>
        <w:t>Deleuze</w:t>
      </w:r>
      <w:r w:rsidRPr="00156AE0">
        <w:rPr>
          <w:rStyle w:val="Aucun"/>
          <w:rFonts w:ascii="Times New Roman" w:hAnsi="Times New Roman" w:cs="Times New Roman"/>
          <w:sz w:val="20"/>
          <w:szCs w:val="20"/>
          <w:lang w:val="nl-NL"/>
        </w:rPr>
        <w:t xml:space="preserve"> (G.), </w:t>
      </w:r>
      <w:r w:rsidRPr="00156AE0">
        <w:rPr>
          <w:rStyle w:val="Aucun"/>
          <w:rFonts w:ascii="Times New Roman" w:hAnsi="Times New Roman" w:cs="Times New Roman"/>
          <w:smallCaps/>
          <w:sz w:val="20"/>
          <w:szCs w:val="20"/>
          <w:lang w:val="nl-NL"/>
        </w:rPr>
        <w:t>Guattari</w:t>
      </w:r>
      <w:r w:rsidRPr="00156AE0">
        <w:rPr>
          <w:rStyle w:val="Aucun"/>
          <w:rFonts w:ascii="Times New Roman" w:hAnsi="Times New Roman" w:cs="Times New Roman"/>
          <w:sz w:val="20"/>
          <w:szCs w:val="20"/>
          <w:lang w:val="nl-NL"/>
        </w:rPr>
        <w:t xml:space="preserve"> (F.), </w:t>
      </w:r>
      <w:r w:rsidRPr="00156AE0">
        <w:rPr>
          <w:rStyle w:val="Aucun"/>
          <w:rFonts w:ascii="Times New Roman" w:hAnsi="Times New Roman" w:cs="Times New Roman"/>
          <w:i/>
          <w:iCs/>
          <w:sz w:val="20"/>
          <w:szCs w:val="20"/>
          <w:lang w:val="nl-NL"/>
        </w:rPr>
        <w:t>Kafka, op. cit</w:t>
      </w:r>
      <w:r w:rsidRPr="00156AE0">
        <w:rPr>
          <w:rStyle w:val="Aucun"/>
          <w:rFonts w:ascii="Times New Roman" w:hAnsi="Times New Roman" w:cs="Times New Roman"/>
          <w:sz w:val="20"/>
          <w:szCs w:val="20"/>
          <w:lang w:val="nl-NL"/>
        </w:rPr>
        <w:t xml:space="preserve">., p. 35. </w:t>
      </w:r>
    </w:p>
  </w:footnote>
  <w:footnote w:id="71">
    <w:p w14:paraId="41427B1D" w14:textId="77777777"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i/>
          <w:iCs/>
          <w:sz w:val="20"/>
          <w:szCs w:val="20"/>
        </w:rPr>
        <w:t xml:space="preserve"> </w:t>
      </w:r>
      <w:r w:rsidRPr="00156AE0">
        <w:rPr>
          <w:rStyle w:val="Aucun"/>
          <w:rFonts w:ascii="Times New Roman" w:hAnsi="Times New Roman" w:cs="Times New Roman"/>
          <w:smallCaps/>
          <w:sz w:val="20"/>
          <w:szCs w:val="20"/>
        </w:rPr>
        <w:t>Deleuze</w:t>
      </w:r>
      <w:r w:rsidRPr="00156AE0">
        <w:rPr>
          <w:rStyle w:val="Aucun"/>
          <w:rFonts w:ascii="Times New Roman" w:hAnsi="Times New Roman" w:cs="Times New Roman"/>
          <w:sz w:val="20"/>
          <w:szCs w:val="20"/>
        </w:rPr>
        <w:t xml:space="preserve"> (G.), </w:t>
      </w:r>
      <w:r w:rsidRPr="00156AE0">
        <w:rPr>
          <w:rStyle w:val="Aucun"/>
          <w:rFonts w:ascii="Times New Roman" w:hAnsi="Times New Roman" w:cs="Times New Roman"/>
          <w:smallCaps/>
          <w:sz w:val="20"/>
          <w:szCs w:val="20"/>
        </w:rPr>
        <w:t>Guattari</w:t>
      </w:r>
      <w:r w:rsidRPr="00156AE0">
        <w:rPr>
          <w:rStyle w:val="Aucun"/>
          <w:rFonts w:ascii="Times New Roman" w:hAnsi="Times New Roman" w:cs="Times New Roman"/>
          <w:sz w:val="20"/>
          <w:szCs w:val="20"/>
        </w:rPr>
        <w:t xml:space="preserve"> (F.), </w:t>
      </w:r>
      <w:r w:rsidRPr="00156AE0">
        <w:rPr>
          <w:rStyle w:val="Aucun"/>
          <w:rFonts w:ascii="Times New Roman" w:hAnsi="Times New Roman" w:cs="Times New Roman"/>
          <w:i/>
          <w:iCs/>
          <w:sz w:val="20"/>
          <w:szCs w:val="20"/>
        </w:rPr>
        <w:t>Mille plateaux, op. cit.</w:t>
      </w:r>
      <w:r w:rsidRPr="00156AE0">
        <w:rPr>
          <w:rStyle w:val="Aucun"/>
          <w:rFonts w:ascii="Times New Roman" w:hAnsi="Times New Roman" w:cs="Times New Roman"/>
          <w:sz w:val="20"/>
          <w:szCs w:val="20"/>
        </w:rPr>
        <w:t xml:space="preserve">, p. 118. </w:t>
      </w:r>
    </w:p>
  </w:footnote>
  <w:footnote w:id="72">
    <w:p w14:paraId="2E79CBDF" w14:textId="77777777"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mallCaps/>
          <w:sz w:val="20"/>
          <w:szCs w:val="20"/>
        </w:rPr>
        <w:t xml:space="preserve">Sibertin-Blanc </w:t>
      </w:r>
      <w:r w:rsidRPr="00156AE0">
        <w:rPr>
          <w:rStyle w:val="Aucun"/>
          <w:rFonts w:ascii="Times New Roman" w:hAnsi="Times New Roman" w:cs="Times New Roman"/>
          <w:sz w:val="20"/>
          <w:szCs w:val="20"/>
        </w:rPr>
        <w:t xml:space="preserve">(G.), </w:t>
      </w:r>
      <w:r w:rsidRPr="00156AE0">
        <w:rPr>
          <w:rStyle w:val="Aucun"/>
          <w:rFonts w:ascii="Times New Roman" w:hAnsi="Times New Roman" w:cs="Times New Roman"/>
          <w:i/>
          <w:iCs/>
          <w:sz w:val="20"/>
          <w:szCs w:val="20"/>
        </w:rPr>
        <w:t>op. cit.</w:t>
      </w:r>
      <w:r w:rsidRPr="00156AE0">
        <w:rPr>
          <w:rStyle w:val="Aucun"/>
          <w:rFonts w:ascii="Times New Roman" w:hAnsi="Times New Roman" w:cs="Times New Roman"/>
          <w:sz w:val="20"/>
          <w:szCs w:val="20"/>
        </w:rPr>
        <w:t xml:space="preserve">, p. 190. </w:t>
      </w:r>
    </w:p>
  </w:footnote>
  <w:footnote w:id="73">
    <w:p w14:paraId="3AA1776C" w14:textId="77777777" w:rsidR="00744D9C" w:rsidRPr="00156AE0" w:rsidRDefault="00744D9C" w:rsidP="00744D9C">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mallCaps/>
          <w:sz w:val="20"/>
          <w:szCs w:val="20"/>
        </w:rPr>
        <w:t>Deleuze</w:t>
      </w:r>
      <w:r w:rsidRPr="00156AE0">
        <w:rPr>
          <w:rStyle w:val="Aucun"/>
          <w:rFonts w:ascii="Times New Roman" w:hAnsi="Times New Roman" w:cs="Times New Roman"/>
          <w:sz w:val="20"/>
          <w:szCs w:val="20"/>
        </w:rPr>
        <w:t xml:space="preserve"> (G.), « Bégaya-t-il… », </w:t>
      </w:r>
      <w:r w:rsidRPr="00156AE0">
        <w:rPr>
          <w:rStyle w:val="Aucun"/>
          <w:rFonts w:ascii="Times New Roman" w:hAnsi="Times New Roman" w:cs="Times New Roman"/>
          <w:i/>
          <w:iCs/>
          <w:sz w:val="20"/>
          <w:szCs w:val="20"/>
        </w:rPr>
        <w:t>in</w:t>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i/>
          <w:iCs/>
          <w:sz w:val="20"/>
          <w:szCs w:val="20"/>
        </w:rPr>
        <w:t>Critique et clinique</w:t>
      </w:r>
      <w:r w:rsidRPr="00156AE0">
        <w:rPr>
          <w:rStyle w:val="Aucun"/>
          <w:rFonts w:ascii="Times New Roman" w:hAnsi="Times New Roman" w:cs="Times New Roman"/>
          <w:sz w:val="20"/>
          <w:szCs w:val="20"/>
        </w:rPr>
        <w:t>, Paris, Minuit, 1993, p. 135-143, p. 138.</w:t>
      </w:r>
    </w:p>
  </w:footnote>
  <w:footnote w:id="74">
    <w:p w14:paraId="3499AAA1" w14:textId="77777777"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i/>
          <w:iCs/>
          <w:sz w:val="20"/>
          <w:szCs w:val="20"/>
        </w:rPr>
        <w:t xml:space="preserve"> </w:t>
      </w:r>
      <w:r w:rsidRPr="00156AE0">
        <w:rPr>
          <w:rStyle w:val="Aucun"/>
          <w:rFonts w:ascii="Times New Roman" w:hAnsi="Times New Roman" w:cs="Times New Roman"/>
          <w:smallCaps/>
          <w:sz w:val="20"/>
          <w:szCs w:val="20"/>
        </w:rPr>
        <w:t>Lecercle</w:t>
      </w:r>
      <w:r w:rsidRPr="00156AE0">
        <w:rPr>
          <w:rStyle w:val="Aucun"/>
          <w:rFonts w:ascii="Times New Roman" w:hAnsi="Times New Roman" w:cs="Times New Roman"/>
          <w:sz w:val="20"/>
          <w:szCs w:val="20"/>
        </w:rPr>
        <w:t xml:space="preserve"> (J. J.),</w:t>
      </w:r>
      <w:r w:rsidRPr="00156AE0">
        <w:rPr>
          <w:rStyle w:val="Aucun"/>
          <w:rFonts w:ascii="Times New Roman" w:hAnsi="Times New Roman" w:cs="Times New Roman"/>
          <w:i/>
          <w:iCs/>
          <w:sz w:val="20"/>
          <w:szCs w:val="20"/>
        </w:rPr>
        <w:t xml:space="preserve"> op. cit.</w:t>
      </w:r>
      <w:r w:rsidRPr="00156AE0">
        <w:rPr>
          <w:rStyle w:val="Aucun"/>
          <w:rFonts w:ascii="Times New Roman" w:hAnsi="Times New Roman" w:cs="Times New Roman"/>
          <w:sz w:val="20"/>
          <w:szCs w:val="20"/>
        </w:rPr>
        <w:t xml:space="preserve">, p. 67. </w:t>
      </w:r>
    </w:p>
  </w:footnote>
  <w:footnote w:id="75">
    <w:p w14:paraId="0633B849" w14:textId="77777777"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A"/>
          <w:rFonts w:ascii="Times New Roman" w:eastAsia="Arial Unicode MS" w:hAnsi="Times New Roman" w:cs="Times New Roman"/>
          <w:sz w:val="20"/>
          <w:szCs w:val="20"/>
        </w:rPr>
        <w:t xml:space="preserve"> </w:t>
      </w:r>
      <w:r w:rsidRPr="00156AE0">
        <w:rPr>
          <w:rStyle w:val="Aucun"/>
          <w:rFonts w:ascii="Times New Roman" w:hAnsi="Times New Roman" w:cs="Times New Roman"/>
          <w:sz w:val="20"/>
          <w:szCs w:val="20"/>
        </w:rPr>
        <w:t xml:space="preserve">Pour Viveiros de Castro, la conception de la structure en tant que processus de transformation traverse également l’œuvre de Lévi-Strauss, bien que sur un mode mineur. Voy. en ce sens : </w:t>
      </w:r>
      <w:r w:rsidRPr="00156AE0">
        <w:rPr>
          <w:rStyle w:val="Aucun"/>
          <w:rFonts w:ascii="Times New Roman" w:hAnsi="Times New Roman" w:cs="Times New Roman"/>
          <w:smallCaps/>
          <w:sz w:val="20"/>
          <w:szCs w:val="20"/>
        </w:rPr>
        <w:t>Viveiros de Castro</w:t>
      </w:r>
      <w:r w:rsidRPr="00156AE0">
        <w:rPr>
          <w:rStyle w:val="Aucun"/>
          <w:rFonts w:ascii="Times New Roman" w:hAnsi="Times New Roman" w:cs="Times New Roman"/>
          <w:sz w:val="20"/>
          <w:szCs w:val="20"/>
        </w:rPr>
        <w:t xml:space="preserve"> (E.), </w:t>
      </w:r>
      <w:r w:rsidRPr="00156AE0">
        <w:rPr>
          <w:rStyle w:val="Aucun"/>
          <w:rFonts w:ascii="Times New Roman" w:hAnsi="Times New Roman" w:cs="Times New Roman"/>
          <w:i/>
          <w:iCs/>
          <w:sz w:val="20"/>
          <w:szCs w:val="20"/>
        </w:rPr>
        <w:t>Métaphysiques cannibales</w:t>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i/>
          <w:iCs/>
          <w:sz w:val="20"/>
          <w:szCs w:val="20"/>
        </w:rPr>
        <w:t>op. cit.</w:t>
      </w:r>
      <w:r w:rsidRPr="00156AE0">
        <w:rPr>
          <w:rStyle w:val="Aucun"/>
          <w:rFonts w:ascii="Times New Roman" w:hAnsi="Times New Roman" w:cs="Times New Roman"/>
          <w:sz w:val="20"/>
          <w:szCs w:val="20"/>
        </w:rPr>
        <w:t xml:space="preserve"> </w:t>
      </w:r>
    </w:p>
  </w:footnote>
  <w:footnote w:id="76">
    <w:p w14:paraId="09317B2D" w14:textId="0D8EF6DF"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A"/>
          <w:rFonts w:ascii="Times New Roman" w:eastAsia="Arial Unicode MS" w:hAnsi="Times New Roman" w:cs="Times New Roman"/>
          <w:sz w:val="20"/>
          <w:szCs w:val="20"/>
        </w:rPr>
        <w:t xml:space="preserve"> </w:t>
      </w:r>
      <w:r w:rsidRPr="00156AE0">
        <w:rPr>
          <w:rStyle w:val="Aucun"/>
          <w:rFonts w:ascii="Times New Roman" w:hAnsi="Times New Roman" w:cs="Times New Roman"/>
          <w:i/>
          <w:iCs/>
          <w:sz w:val="20"/>
          <w:szCs w:val="20"/>
        </w:rPr>
        <w:t>Ibid.</w:t>
      </w:r>
      <w:r w:rsidRPr="00156AE0">
        <w:rPr>
          <w:rStyle w:val="Aucun"/>
          <w:rFonts w:ascii="Times New Roman" w:hAnsi="Times New Roman" w:cs="Times New Roman"/>
          <w:sz w:val="20"/>
          <w:szCs w:val="20"/>
        </w:rPr>
        <w:t>, p. 184</w:t>
      </w:r>
      <w:r w:rsidRPr="00156AE0">
        <w:rPr>
          <w:rStyle w:val="AucunA"/>
          <w:rFonts w:ascii="Times New Roman" w:eastAsia="Arial Unicode MS" w:hAnsi="Times New Roman" w:cs="Times New Roman"/>
          <w:sz w:val="20"/>
          <w:szCs w:val="20"/>
        </w:rPr>
        <w:t xml:space="preserve">. </w:t>
      </w:r>
    </w:p>
  </w:footnote>
  <w:footnote w:id="77">
    <w:p w14:paraId="4A4F18BB" w14:textId="1300C1C3"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mallCaps/>
          <w:sz w:val="20"/>
          <w:szCs w:val="20"/>
        </w:rPr>
        <w:t>Deleuze</w:t>
      </w:r>
      <w:r w:rsidRPr="00156AE0">
        <w:rPr>
          <w:rStyle w:val="Aucun"/>
          <w:rFonts w:ascii="Times New Roman" w:hAnsi="Times New Roman" w:cs="Times New Roman"/>
          <w:sz w:val="20"/>
          <w:szCs w:val="20"/>
        </w:rPr>
        <w:t xml:space="preserve"> (G.)</w:t>
      </w:r>
      <w:r w:rsidR="00B414FF"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mallCaps/>
          <w:sz w:val="20"/>
          <w:szCs w:val="20"/>
        </w:rPr>
        <w:t>Guattari</w:t>
      </w:r>
      <w:r w:rsidRPr="00156AE0">
        <w:rPr>
          <w:rStyle w:val="Aucun"/>
          <w:rFonts w:ascii="Times New Roman" w:hAnsi="Times New Roman" w:cs="Times New Roman"/>
          <w:sz w:val="20"/>
          <w:szCs w:val="20"/>
        </w:rPr>
        <w:t xml:space="preserve"> (F.), </w:t>
      </w:r>
      <w:r w:rsidRPr="00156AE0">
        <w:rPr>
          <w:rStyle w:val="Aucun"/>
          <w:rFonts w:ascii="Times New Roman" w:hAnsi="Times New Roman" w:cs="Times New Roman"/>
          <w:i/>
          <w:iCs/>
          <w:sz w:val="20"/>
          <w:szCs w:val="20"/>
        </w:rPr>
        <w:t>Mille plateaux</w:t>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i/>
          <w:iCs/>
          <w:sz w:val="20"/>
          <w:szCs w:val="20"/>
        </w:rPr>
        <w:t>op. cit.</w:t>
      </w:r>
      <w:r w:rsidRPr="00156AE0">
        <w:rPr>
          <w:rStyle w:val="Aucun"/>
          <w:rFonts w:ascii="Times New Roman" w:hAnsi="Times New Roman" w:cs="Times New Roman"/>
          <w:sz w:val="20"/>
          <w:szCs w:val="20"/>
        </w:rPr>
        <w:t>, p. 286</w:t>
      </w:r>
      <w:r w:rsidRPr="00156AE0">
        <w:rPr>
          <w:rStyle w:val="AucunA"/>
          <w:rFonts w:ascii="Times New Roman" w:eastAsia="Arial Unicode MS" w:hAnsi="Times New Roman" w:cs="Times New Roman"/>
          <w:sz w:val="20"/>
          <w:szCs w:val="20"/>
        </w:rPr>
        <w:t>.</w:t>
      </w:r>
    </w:p>
  </w:footnote>
  <w:footnote w:id="78">
    <w:p w14:paraId="57749E4A" w14:textId="1B253F6A"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mallCaps/>
          <w:sz w:val="20"/>
          <w:szCs w:val="20"/>
        </w:rPr>
        <w:t>Sephiha</w:t>
      </w:r>
      <w:r w:rsidRPr="00156AE0">
        <w:rPr>
          <w:rStyle w:val="Aucun"/>
          <w:rFonts w:ascii="Times New Roman" w:hAnsi="Times New Roman" w:cs="Times New Roman"/>
          <w:sz w:val="20"/>
          <w:szCs w:val="20"/>
        </w:rPr>
        <w:t xml:space="preserve"> (H. V.), « Introduction à l’étude de l’intensif », </w:t>
      </w:r>
      <w:r w:rsidRPr="00156AE0">
        <w:rPr>
          <w:rStyle w:val="Aucun"/>
          <w:rFonts w:ascii="Times New Roman" w:hAnsi="Times New Roman" w:cs="Times New Roman"/>
          <w:i/>
          <w:iCs/>
          <w:sz w:val="20"/>
          <w:szCs w:val="20"/>
        </w:rPr>
        <w:t>Langages</w:t>
      </w:r>
      <w:r w:rsidRPr="00156AE0">
        <w:rPr>
          <w:rStyle w:val="Aucun"/>
          <w:rFonts w:ascii="Times New Roman" w:hAnsi="Times New Roman" w:cs="Times New Roman"/>
          <w:sz w:val="20"/>
          <w:szCs w:val="20"/>
        </w:rPr>
        <w:t xml:space="preserve">, n°18, </w:t>
      </w:r>
      <w:r w:rsidR="00B414FF" w:rsidRPr="00156AE0">
        <w:rPr>
          <w:rStyle w:val="Aucun"/>
          <w:rFonts w:ascii="Times New Roman" w:hAnsi="Times New Roman" w:cs="Times New Roman"/>
          <w:sz w:val="20"/>
          <w:szCs w:val="20"/>
        </w:rPr>
        <w:t>(</w:t>
      </w:r>
      <w:r w:rsidRPr="00156AE0">
        <w:rPr>
          <w:rStyle w:val="Aucun"/>
          <w:rFonts w:ascii="Times New Roman" w:hAnsi="Times New Roman" w:cs="Times New Roman"/>
          <w:sz w:val="20"/>
          <w:szCs w:val="20"/>
        </w:rPr>
        <w:t>1970</w:t>
      </w:r>
      <w:r w:rsidR="00B414FF" w:rsidRPr="00156AE0">
        <w:rPr>
          <w:rStyle w:val="Aucun"/>
          <w:rFonts w:ascii="Times New Roman" w:hAnsi="Times New Roman" w:cs="Times New Roman"/>
          <w:sz w:val="20"/>
          <w:szCs w:val="20"/>
        </w:rPr>
        <w:t>)</w:t>
      </w:r>
      <w:r w:rsidRPr="00156AE0">
        <w:rPr>
          <w:rStyle w:val="Aucun"/>
          <w:rFonts w:ascii="Times New Roman" w:hAnsi="Times New Roman" w:cs="Times New Roman"/>
          <w:sz w:val="20"/>
          <w:szCs w:val="20"/>
        </w:rPr>
        <w:t xml:space="preserve">, p. 104-120, p. 113. Ainsi, le mot </w:t>
      </w:r>
      <w:r w:rsidRPr="00156AE0">
        <w:rPr>
          <w:rStyle w:val="Aucun"/>
          <w:rFonts w:ascii="Times New Roman" w:hAnsi="Times New Roman" w:cs="Times New Roman"/>
          <w:i/>
          <w:iCs/>
          <w:sz w:val="20"/>
          <w:szCs w:val="20"/>
        </w:rPr>
        <w:t xml:space="preserve">sehr </w:t>
      </w:r>
      <w:r w:rsidRPr="00156AE0">
        <w:rPr>
          <w:rStyle w:val="Aucun"/>
          <w:rFonts w:ascii="Times New Roman" w:hAnsi="Times New Roman" w:cs="Times New Roman"/>
          <w:sz w:val="20"/>
          <w:szCs w:val="20"/>
        </w:rPr>
        <w:t>provient du moyen-allemand</w:t>
      </w:r>
      <w:r w:rsidRPr="00156AE0">
        <w:rPr>
          <w:rStyle w:val="Aucun"/>
          <w:rFonts w:ascii="Times New Roman" w:hAnsi="Times New Roman" w:cs="Times New Roman"/>
          <w:i/>
          <w:iCs/>
          <w:sz w:val="20"/>
          <w:szCs w:val="20"/>
        </w:rPr>
        <w:t xml:space="preserve"> sêr </w:t>
      </w:r>
      <w:r w:rsidRPr="00156AE0">
        <w:rPr>
          <w:rStyle w:val="Aucun"/>
          <w:rFonts w:ascii="Times New Roman" w:hAnsi="Times New Roman" w:cs="Times New Roman"/>
          <w:sz w:val="20"/>
          <w:szCs w:val="20"/>
        </w:rPr>
        <w:t>qui signifiait « douloureux ». Mais ce terme a subi un processus d’intensification au cours des XI</w:t>
      </w:r>
      <w:r w:rsidRPr="00156AE0">
        <w:rPr>
          <w:rStyle w:val="Aucun"/>
          <w:rFonts w:ascii="Times New Roman" w:hAnsi="Times New Roman" w:cs="Times New Roman"/>
          <w:sz w:val="20"/>
          <w:szCs w:val="20"/>
          <w:vertAlign w:val="superscript"/>
        </w:rPr>
        <w:t>e</w:t>
      </w:r>
      <w:r w:rsidRPr="00156AE0">
        <w:rPr>
          <w:rStyle w:val="Aucun"/>
          <w:rFonts w:ascii="Times New Roman" w:hAnsi="Times New Roman" w:cs="Times New Roman"/>
          <w:sz w:val="20"/>
          <w:szCs w:val="20"/>
        </w:rPr>
        <w:t xml:space="preserve"> et XII</w:t>
      </w:r>
      <w:r w:rsidRPr="00156AE0">
        <w:rPr>
          <w:rStyle w:val="Aucun"/>
          <w:rFonts w:ascii="Times New Roman" w:hAnsi="Times New Roman" w:cs="Times New Roman"/>
          <w:sz w:val="20"/>
          <w:szCs w:val="20"/>
          <w:vertAlign w:val="superscript"/>
        </w:rPr>
        <w:t>e</w:t>
      </w:r>
      <w:r w:rsidRPr="00156AE0">
        <w:rPr>
          <w:rStyle w:val="Aucun"/>
          <w:rFonts w:ascii="Times New Roman" w:hAnsi="Times New Roman" w:cs="Times New Roman"/>
          <w:sz w:val="20"/>
          <w:szCs w:val="20"/>
        </w:rPr>
        <w:t xml:space="preserve"> siècles en se délaissant peu à peu de son acception douloureuse pour ne conserver finalement que sa « valeur limite, c’est-à-dire, intensive » (</w:t>
      </w:r>
      <w:r w:rsidRPr="00156AE0">
        <w:rPr>
          <w:rStyle w:val="Aucun"/>
          <w:rFonts w:ascii="Times New Roman" w:hAnsi="Times New Roman" w:cs="Times New Roman"/>
          <w:i/>
          <w:iCs/>
          <w:sz w:val="20"/>
          <w:szCs w:val="20"/>
        </w:rPr>
        <w:t xml:space="preserve">Ibid., </w:t>
      </w:r>
      <w:r w:rsidRPr="00156AE0">
        <w:rPr>
          <w:rStyle w:val="Aucun"/>
          <w:rFonts w:ascii="Times New Roman" w:hAnsi="Times New Roman" w:cs="Times New Roman"/>
          <w:sz w:val="20"/>
          <w:szCs w:val="20"/>
        </w:rPr>
        <w:t xml:space="preserve">p. 117). Et preuve de cette désémantisation, le mot </w:t>
      </w:r>
      <w:r w:rsidRPr="00156AE0">
        <w:rPr>
          <w:rStyle w:val="Aucun"/>
          <w:rFonts w:ascii="Times New Roman" w:hAnsi="Times New Roman" w:cs="Times New Roman"/>
          <w:i/>
          <w:iCs/>
          <w:sz w:val="20"/>
          <w:szCs w:val="20"/>
        </w:rPr>
        <w:t xml:space="preserve">sehr </w:t>
      </w:r>
      <w:r w:rsidRPr="00156AE0">
        <w:rPr>
          <w:rStyle w:val="Aucun"/>
          <w:rFonts w:ascii="Times New Roman" w:hAnsi="Times New Roman" w:cs="Times New Roman"/>
          <w:sz w:val="20"/>
          <w:szCs w:val="20"/>
        </w:rPr>
        <w:t xml:space="preserve">peut désormais faire vibrer en intensité des significations opposées à son acception originale négative, puisque l’on peut être tout autant </w:t>
      </w:r>
      <w:r w:rsidRPr="00156AE0">
        <w:rPr>
          <w:rStyle w:val="Aucun"/>
          <w:rFonts w:ascii="Times New Roman" w:hAnsi="Times New Roman" w:cs="Times New Roman"/>
          <w:i/>
          <w:iCs/>
          <w:sz w:val="20"/>
          <w:szCs w:val="20"/>
        </w:rPr>
        <w:t>sehr krank</w:t>
      </w:r>
      <w:r w:rsidRPr="00156AE0">
        <w:rPr>
          <w:rStyle w:val="Aucun"/>
          <w:rFonts w:ascii="Times New Roman" w:hAnsi="Times New Roman" w:cs="Times New Roman"/>
          <w:sz w:val="20"/>
          <w:szCs w:val="20"/>
        </w:rPr>
        <w:t xml:space="preserve"> que </w:t>
      </w:r>
      <w:r w:rsidRPr="00156AE0">
        <w:rPr>
          <w:rStyle w:val="Aucun"/>
          <w:rFonts w:ascii="Times New Roman" w:hAnsi="Times New Roman" w:cs="Times New Roman"/>
          <w:i/>
          <w:iCs/>
          <w:sz w:val="20"/>
          <w:szCs w:val="20"/>
        </w:rPr>
        <w:t>sehr frödlich</w:t>
      </w:r>
      <w:r w:rsidRPr="00156AE0">
        <w:rPr>
          <w:rStyle w:val="Aucun"/>
          <w:rFonts w:ascii="Times New Roman" w:hAnsi="Times New Roman" w:cs="Times New Roman"/>
          <w:sz w:val="20"/>
          <w:szCs w:val="20"/>
        </w:rPr>
        <w:t xml:space="preserve">. </w:t>
      </w:r>
    </w:p>
  </w:footnote>
  <w:footnote w:id="79">
    <w:p w14:paraId="2FE96D5A" w14:textId="77777777" w:rsidR="00FA4F5F" w:rsidRPr="00F23C24" w:rsidRDefault="002D52F5">
      <w:pPr>
        <w:pStyle w:val="Notedebasdepage"/>
        <w:rPr>
          <w:rFonts w:ascii="Times New Roman" w:hAnsi="Times New Roman" w:cs="Times New Roman"/>
          <w:sz w:val="20"/>
          <w:szCs w:val="20"/>
          <w:lang w:val="nl-BE"/>
        </w:rPr>
      </w:pPr>
      <w:r w:rsidRPr="00156AE0">
        <w:rPr>
          <w:rStyle w:val="Aucun"/>
          <w:rFonts w:ascii="Times New Roman" w:eastAsia="Times New Roman" w:hAnsi="Times New Roman" w:cs="Times New Roman"/>
          <w:sz w:val="20"/>
          <w:szCs w:val="20"/>
          <w:vertAlign w:val="superscript"/>
        </w:rPr>
        <w:footnoteRef/>
      </w:r>
      <w:r w:rsidRPr="00F23C24">
        <w:rPr>
          <w:rStyle w:val="Aucun"/>
          <w:rFonts w:ascii="Times New Roman" w:hAnsi="Times New Roman" w:cs="Times New Roman"/>
          <w:sz w:val="20"/>
          <w:szCs w:val="20"/>
          <w:lang w:val="nl-BE"/>
        </w:rPr>
        <w:t xml:space="preserve"> </w:t>
      </w:r>
      <w:r w:rsidRPr="00F23C24">
        <w:rPr>
          <w:rStyle w:val="Aucun"/>
          <w:rFonts w:ascii="Times New Roman" w:hAnsi="Times New Roman" w:cs="Times New Roman"/>
          <w:i/>
          <w:iCs/>
          <w:sz w:val="20"/>
          <w:szCs w:val="20"/>
          <w:lang w:val="nl-BE"/>
        </w:rPr>
        <w:t>Ibid.</w:t>
      </w:r>
      <w:r w:rsidRPr="00F23C24">
        <w:rPr>
          <w:rStyle w:val="Aucun"/>
          <w:rFonts w:ascii="Times New Roman" w:hAnsi="Times New Roman" w:cs="Times New Roman"/>
          <w:sz w:val="20"/>
          <w:szCs w:val="20"/>
          <w:lang w:val="nl-BE"/>
        </w:rPr>
        <w:t>,</w:t>
      </w:r>
      <w:r w:rsidRPr="00F23C24">
        <w:rPr>
          <w:rStyle w:val="Aucun"/>
          <w:rFonts w:ascii="Times New Roman" w:hAnsi="Times New Roman" w:cs="Times New Roman"/>
          <w:i/>
          <w:iCs/>
          <w:sz w:val="20"/>
          <w:szCs w:val="20"/>
          <w:lang w:val="nl-BE"/>
        </w:rPr>
        <w:t xml:space="preserve"> </w:t>
      </w:r>
      <w:r w:rsidRPr="00F23C24">
        <w:rPr>
          <w:rStyle w:val="Aucun"/>
          <w:rFonts w:ascii="Times New Roman" w:hAnsi="Times New Roman" w:cs="Times New Roman"/>
          <w:sz w:val="20"/>
          <w:szCs w:val="20"/>
          <w:lang w:val="nl-BE"/>
        </w:rPr>
        <w:t xml:space="preserve">p. 115. </w:t>
      </w:r>
    </w:p>
  </w:footnote>
  <w:footnote w:id="80">
    <w:p w14:paraId="2B3B46E1" w14:textId="4D2E2EC4" w:rsidR="00F23C24" w:rsidRPr="006E1775" w:rsidRDefault="00F23C24">
      <w:pPr>
        <w:pStyle w:val="Notedebasdepage"/>
        <w:rPr>
          <w:rFonts w:ascii="Times New Roman" w:hAnsi="Times New Roman" w:cs="Times New Roman"/>
          <w:sz w:val="20"/>
          <w:szCs w:val="20"/>
          <w:lang w:val="fr-BE"/>
        </w:rPr>
      </w:pPr>
      <w:r w:rsidRPr="00F23C24">
        <w:rPr>
          <w:rStyle w:val="Appelnotedebasdep"/>
          <w:rFonts w:ascii="Times New Roman" w:hAnsi="Times New Roman" w:cs="Times New Roman"/>
          <w:sz w:val="20"/>
          <w:szCs w:val="20"/>
        </w:rPr>
        <w:footnoteRef/>
      </w:r>
      <w:r w:rsidRPr="00F23C24">
        <w:rPr>
          <w:rFonts w:ascii="Times New Roman" w:hAnsi="Times New Roman" w:cs="Times New Roman"/>
          <w:sz w:val="20"/>
          <w:szCs w:val="20"/>
          <w:lang w:val="nl-BE"/>
        </w:rPr>
        <w:t xml:space="preserve"> </w:t>
      </w:r>
      <w:r w:rsidRPr="00F23C24">
        <w:rPr>
          <w:rStyle w:val="Aucun"/>
          <w:rFonts w:ascii="Times New Roman" w:hAnsi="Times New Roman" w:cs="Times New Roman"/>
          <w:smallCaps/>
          <w:sz w:val="20"/>
          <w:szCs w:val="20"/>
          <w:lang w:val="nl-BE"/>
        </w:rPr>
        <w:t>Deleuze</w:t>
      </w:r>
      <w:r w:rsidRPr="00F23C24">
        <w:rPr>
          <w:rStyle w:val="Aucun"/>
          <w:rFonts w:ascii="Times New Roman" w:hAnsi="Times New Roman" w:cs="Times New Roman"/>
          <w:sz w:val="20"/>
          <w:szCs w:val="20"/>
          <w:lang w:val="nl-BE"/>
        </w:rPr>
        <w:t xml:space="preserve"> (G.), </w:t>
      </w:r>
      <w:r w:rsidR="00A72C70" w:rsidRPr="006E1775">
        <w:rPr>
          <w:rStyle w:val="Aucun"/>
          <w:rFonts w:ascii="Times New Roman" w:hAnsi="Times New Roman" w:cs="Times New Roman"/>
          <w:i/>
          <w:iCs/>
          <w:sz w:val="20"/>
          <w:szCs w:val="20"/>
          <w:lang w:val="nl-BE"/>
        </w:rPr>
        <w:t xml:space="preserve">Cinéma 2. </w:t>
      </w:r>
      <w:r w:rsidR="00A72C70" w:rsidRPr="00A84D99">
        <w:rPr>
          <w:rFonts w:ascii="Times New Roman" w:hAnsi="Times New Roman" w:cs="Times New Roman"/>
          <w:i/>
          <w:iCs/>
          <w:sz w:val="20"/>
          <w:szCs w:val="20"/>
        </w:rPr>
        <w:t>L’image-temps</w:t>
      </w:r>
      <w:r w:rsidRPr="006E1775">
        <w:rPr>
          <w:rStyle w:val="Aucun"/>
          <w:rFonts w:ascii="Times New Roman" w:hAnsi="Times New Roman" w:cs="Times New Roman"/>
          <w:sz w:val="20"/>
          <w:szCs w:val="20"/>
          <w:lang w:val="fr-BE"/>
        </w:rPr>
        <w:t xml:space="preserve">, </w:t>
      </w:r>
      <w:r w:rsidRPr="006E1775">
        <w:rPr>
          <w:rStyle w:val="Aucun"/>
          <w:rFonts w:ascii="Times New Roman" w:hAnsi="Times New Roman" w:cs="Times New Roman"/>
          <w:i/>
          <w:iCs/>
          <w:sz w:val="20"/>
          <w:szCs w:val="20"/>
          <w:lang w:val="fr-BE"/>
        </w:rPr>
        <w:t>op. cit.</w:t>
      </w:r>
      <w:r w:rsidRPr="006E1775">
        <w:rPr>
          <w:rStyle w:val="Aucun"/>
          <w:rFonts w:ascii="Times New Roman" w:hAnsi="Times New Roman" w:cs="Times New Roman"/>
          <w:sz w:val="20"/>
          <w:szCs w:val="20"/>
          <w:lang w:val="fr-BE"/>
        </w:rPr>
        <w:t xml:space="preserve">, p. 93. </w:t>
      </w:r>
    </w:p>
  </w:footnote>
  <w:footnote w:id="81">
    <w:p w14:paraId="288442F2" w14:textId="5E81FB5B" w:rsidR="00F33AD4" w:rsidRPr="00F33AD4" w:rsidRDefault="00F33AD4">
      <w:pPr>
        <w:pStyle w:val="Notedebasdepage"/>
        <w:rPr>
          <w:rFonts w:ascii="Times New Roman" w:hAnsi="Times New Roman" w:cs="Times New Roman"/>
          <w:sz w:val="20"/>
          <w:szCs w:val="20"/>
          <w:lang w:val="fr-BE"/>
        </w:rPr>
      </w:pPr>
      <w:r w:rsidRPr="00F33AD4">
        <w:rPr>
          <w:rStyle w:val="Appelnotedebasdep"/>
          <w:rFonts w:ascii="Times New Roman" w:hAnsi="Times New Roman" w:cs="Times New Roman"/>
          <w:sz w:val="20"/>
          <w:szCs w:val="20"/>
        </w:rPr>
        <w:footnoteRef/>
      </w:r>
      <w:r w:rsidRPr="00F33AD4">
        <w:rPr>
          <w:rFonts w:ascii="Times New Roman" w:hAnsi="Times New Roman" w:cs="Times New Roman"/>
          <w:sz w:val="20"/>
          <w:szCs w:val="20"/>
        </w:rPr>
        <w:t xml:space="preserve"> </w:t>
      </w:r>
      <w:r w:rsidRPr="00156AE0">
        <w:rPr>
          <w:rStyle w:val="Aucun"/>
          <w:rFonts w:ascii="Times New Roman" w:hAnsi="Times New Roman" w:cs="Times New Roman"/>
          <w:smallCaps/>
          <w:sz w:val="20"/>
          <w:szCs w:val="20"/>
        </w:rPr>
        <w:t>Deleuze</w:t>
      </w:r>
      <w:r w:rsidRPr="00156AE0">
        <w:rPr>
          <w:rStyle w:val="Aucun"/>
          <w:rFonts w:ascii="Times New Roman" w:hAnsi="Times New Roman" w:cs="Times New Roman"/>
          <w:sz w:val="20"/>
          <w:szCs w:val="20"/>
        </w:rPr>
        <w:t xml:space="preserve"> (G.), </w:t>
      </w:r>
      <w:r w:rsidRPr="00156AE0">
        <w:rPr>
          <w:rStyle w:val="Aucun"/>
          <w:rFonts w:ascii="Times New Roman" w:hAnsi="Times New Roman" w:cs="Times New Roman"/>
          <w:smallCaps/>
          <w:sz w:val="20"/>
          <w:szCs w:val="20"/>
        </w:rPr>
        <w:t>Guattari</w:t>
      </w:r>
      <w:r w:rsidRPr="00156AE0">
        <w:rPr>
          <w:rStyle w:val="Aucun"/>
          <w:rFonts w:ascii="Times New Roman" w:hAnsi="Times New Roman" w:cs="Times New Roman"/>
          <w:sz w:val="20"/>
          <w:szCs w:val="20"/>
        </w:rPr>
        <w:t xml:space="preserve"> (F.), </w:t>
      </w:r>
      <w:r w:rsidRPr="00156AE0">
        <w:rPr>
          <w:rStyle w:val="Aucun"/>
          <w:rFonts w:ascii="Times New Roman" w:hAnsi="Times New Roman" w:cs="Times New Roman"/>
          <w:i/>
          <w:iCs/>
          <w:sz w:val="20"/>
          <w:szCs w:val="20"/>
        </w:rPr>
        <w:t>Mille plateaux</w:t>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i/>
          <w:iCs/>
          <w:sz w:val="20"/>
          <w:szCs w:val="20"/>
        </w:rPr>
        <w:t>op. cit.</w:t>
      </w:r>
      <w:r w:rsidRPr="00156AE0">
        <w:rPr>
          <w:rStyle w:val="Aucun"/>
          <w:rFonts w:ascii="Times New Roman" w:hAnsi="Times New Roman" w:cs="Times New Roman"/>
          <w:sz w:val="20"/>
          <w:szCs w:val="20"/>
        </w:rPr>
        <w:t xml:space="preserve">, p. </w:t>
      </w:r>
      <w:r>
        <w:rPr>
          <w:rStyle w:val="Aucun"/>
          <w:rFonts w:ascii="Times New Roman" w:hAnsi="Times New Roman" w:cs="Times New Roman"/>
          <w:sz w:val="20"/>
          <w:szCs w:val="20"/>
        </w:rPr>
        <w:t>138.</w:t>
      </w:r>
    </w:p>
  </w:footnote>
  <w:footnote w:id="82">
    <w:p w14:paraId="2914E1D3" w14:textId="07549EFD"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mallCaps/>
          <w:sz w:val="20"/>
          <w:szCs w:val="20"/>
        </w:rPr>
        <w:t>Deleuze</w:t>
      </w:r>
      <w:r w:rsidRPr="00156AE0">
        <w:rPr>
          <w:rStyle w:val="Aucun"/>
          <w:rFonts w:ascii="Times New Roman" w:hAnsi="Times New Roman" w:cs="Times New Roman"/>
          <w:sz w:val="20"/>
          <w:szCs w:val="20"/>
        </w:rPr>
        <w:t xml:space="preserve"> (G.), « Bartleby, ou la formule », </w:t>
      </w:r>
      <w:r w:rsidR="00B414FF" w:rsidRPr="00156AE0">
        <w:rPr>
          <w:rStyle w:val="Aucun"/>
          <w:rFonts w:ascii="Times New Roman" w:hAnsi="Times New Roman" w:cs="Times New Roman"/>
          <w:sz w:val="20"/>
          <w:szCs w:val="20"/>
        </w:rPr>
        <w:t>in</w:t>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i/>
          <w:iCs/>
          <w:sz w:val="20"/>
          <w:szCs w:val="20"/>
        </w:rPr>
        <w:t>Critique et Clinique</w:t>
      </w:r>
      <w:r w:rsidRPr="00156AE0">
        <w:rPr>
          <w:rStyle w:val="Aucun"/>
          <w:rFonts w:ascii="Times New Roman" w:hAnsi="Times New Roman" w:cs="Times New Roman"/>
          <w:sz w:val="20"/>
          <w:szCs w:val="20"/>
        </w:rPr>
        <w:t>, Paris, Minuit, 1993,</w:t>
      </w:r>
      <w:r w:rsidR="00FA7F05" w:rsidRPr="00156AE0">
        <w:rPr>
          <w:rStyle w:val="Aucun"/>
          <w:rFonts w:ascii="Times New Roman" w:hAnsi="Times New Roman" w:cs="Times New Roman"/>
          <w:sz w:val="20"/>
          <w:szCs w:val="20"/>
        </w:rPr>
        <w:t xml:space="preserve"> p. 89-114, </w:t>
      </w:r>
      <w:r w:rsidRPr="00156AE0">
        <w:rPr>
          <w:rStyle w:val="Aucun"/>
          <w:rFonts w:ascii="Times New Roman" w:hAnsi="Times New Roman" w:cs="Times New Roman"/>
          <w:sz w:val="20"/>
          <w:szCs w:val="20"/>
        </w:rPr>
        <w:t>p. 90.</w:t>
      </w:r>
    </w:p>
  </w:footnote>
  <w:footnote w:id="83">
    <w:p w14:paraId="2128241C" w14:textId="5B264611"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mallCaps/>
          <w:sz w:val="20"/>
          <w:szCs w:val="20"/>
        </w:rPr>
        <w:t>Deleuze</w:t>
      </w:r>
      <w:r w:rsidRPr="00156AE0">
        <w:rPr>
          <w:rStyle w:val="Aucun"/>
          <w:rFonts w:ascii="Times New Roman" w:hAnsi="Times New Roman" w:cs="Times New Roman"/>
          <w:sz w:val="20"/>
          <w:szCs w:val="20"/>
        </w:rPr>
        <w:t xml:space="preserve"> (G.)</w:t>
      </w:r>
      <w:r w:rsidR="00B414FF"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mallCaps/>
          <w:sz w:val="20"/>
          <w:szCs w:val="20"/>
        </w:rPr>
        <w:t>Guattari</w:t>
      </w:r>
      <w:r w:rsidRPr="00156AE0">
        <w:rPr>
          <w:rStyle w:val="Aucun"/>
          <w:rFonts w:ascii="Times New Roman" w:hAnsi="Times New Roman" w:cs="Times New Roman"/>
          <w:sz w:val="20"/>
          <w:szCs w:val="20"/>
        </w:rPr>
        <w:t xml:space="preserve"> (F.), </w:t>
      </w:r>
      <w:r w:rsidRPr="00156AE0">
        <w:rPr>
          <w:rStyle w:val="Aucun"/>
          <w:rFonts w:ascii="Times New Roman" w:hAnsi="Times New Roman" w:cs="Times New Roman"/>
          <w:i/>
          <w:iCs/>
          <w:sz w:val="20"/>
          <w:szCs w:val="20"/>
        </w:rPr>
        <w:t>Mille plateaux</w:t>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i/>
          <w:iCs/>
          <w:sz w:val="20"/>
          <w:szCs w:val="20"/>
        </w:rPr>
        <w:t>op. cit.</w:t>
      </w:r>
      <w:r w:rsidRPr="00156AE0">
        <w:rPr>
          <w:rStyle w:val="Aucun"/>
          <w:rFonts w:ascii="Times New Roman" w:hAnsi="Times New Roman" w:cs="Times New Roman"/>
          <w:sz w:val="20"/>
          <w:szCs w:val="20"/>
        </w:rPr>
        <w:t xml:space="preserve">, p. 138. </w:t>
      </w:r>
    </w:p>
  </w:footnote>
  <w:footnote w:id="84">
    <w:p w14:paraId="7D169C2B" w14:textId="77777777"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mallCaps/>
          <w:sz w:val="20"/>
          <w:szCs w:val="20"/>
        </w:rPr>
        <w:t>Sibertin-Blanc</w:t>
      </w:r>
      <w:r w:rsidRPr="00156AE0">
        <w:rPr>
          <w:rStyle w:val="Aucun"/>
          <w:rFonts w:ascii="Times New Roman" w:hAnsi="Times New Roman" w:cs="Times New Roman"/>
          <w:sz w:val="20"/>
          <w:szCs w:val="20"/>
        </w:rPr>
        <w:t xml:space="preserve"> (G.), </w:t>
      </w:r>
      <w:r w:rsidRPr="00156AE0">
        <w:rPr>
          <w:rStyle w:val="Aucun"/>
          <w:rFonts w:ascii="Times New Roman" w:hAnsi="Times New Roman" w:cs="Times New Roman"/>
          <w:i/>
          <w:iCs/>
          <w:sz w:val="20"/>
          <w:szCs w:val="20"/>
        </w:rPr>
        <w:t>op. cit.</w:t>
      </w:r>
      <w:r w:rsidRPr="00156AE0">
        <w:rPr>
          <w:rStyle w:val="Aucun"/>
          <w:rFonts w:ascii="Times New Roman" w:hAnsi="Times New Roman" w:cs="Times New Roman"/>
          <w:sz w:val="20"/>
          <w:szCs w:val="20"/>
        </w:rPr>
        <w:t>,</w:t>
      </w:r>
      <w:r w:rsidRPr="00156AE0">
        <w:rPr>
          <w:rStyle w:val="Aucun"/>
          <w:rFonts w:ascii="Times New Roman" w:hAnsi="Times New Roman" w:cs="Times New Roman"/>
          <w:i/>
          <w:iCs/>
          <w:sz w:val="20"/>
          <w:szCs w:val="20"/>
        </w:rPr>
        <w:t xml:space="preserve"> </w:t>
      </w:r>
      <w:r w:rsidRPr="00156AE0">
        <w:rPr>
          <w:rStyle w:val="Aucun"/>
          <w:rFonts w:ascii="Times New Roman" w:hAnsi="Times New Roman" w:cs="Times New Roman"/>
          <w:sz w:val="20"/>
          <w:szCs w:val="20"/>
        </w:rPr>
        <w:t xml:space="preserve">p. 204. </w:t>
      </w:r>
    </w:p>
  </w:footnote>
  <w:footnote w:id="85">
    <w:p w14:paraId="67720804" w14:textId="66C4F504" w:rsidR="00FA4F5F" w:rsidRPr="00156AE0" w:rsidRDefault="002D52F5">
      <w:pPr>
        <w:pStyle w:val="Notedebasdepage"/>
        <w:rPr>
          <w:rFonts w:ascii="Times New Roman" w:hAnsi="Times New Roman" w:cs="Times New Roman"/>
          <w:sz w:val="20"/>
          <w:szCs w:val="20"/>
        </w:rPr>
      </w:pPr>
      <w:r w:rsidRPr="00156AE0">
        <w:rPr>
          <w:rStyle w:val="Aucun"/>
          <w:rFonts w:ascii="Times New Roman" w:eastAsia="Times New Roman" w:hAnsi="Times New Roman" w:cs="Times New Roman"/>
          <w:sz w:val="20"/>
          <w:szCs w:val="20"/>
          <w:vertAlign w:val="superscript"/>
        </w:rPr>
        <w:footnoteRef/>
      </w:r>
      <w:r w:rsidR="00B414FF" w:rsidRPr="00156AE0">
        <w:rPr>
          <w:rStyle w:val="Aucun"/>
          <w:rFonts w:ascii="Times New Roman" w:hAnsi="Times New Roman" w:cs="Times New Roman"/>
          <w:smallCaps/>
          <w:sz w:val="20"/>
          <w:szCs w:val="20"/>
        </w:rPr>
        <w:t xml:space="preserve"> </w:t>
      </w:r>
      <w:r w:rsidRPr="00156AE0">
        <w:rPr>
          <w:rStyle w:val="Aucun"/>
          <w:rFonts w:ascii="Times New Roman" w:hAnsi="Times New Roman" w:cs="Times New Roman"/>
          <w:smallCaps/>
          <w:sz w:val="20"/>
          <w:szCs w:val="20"/>
        </w:rPr>
        <w:t>Viveiros de Castro</w:t>
      </w:r>
      <w:r w:rsidRPr="00156AE0">
        <w:rPr>
          <w:rStyle w:val="Aucun"/>
          <w:rFonts w:ascii="Times New Roman" w:hAnsi="Times New Roman" w:cs="Times New Roman"/>
          <w:sz w:val="20"/>
          <w:szCs w:val="20"/>
        </w:rPr>
        <w:t xml:space="preserve"> (E.), </w:t>
      </w:r>
      <w:r w:rsidRPr="00156AE0">
        <w:rPr>
          <w:rStyle w:val="Aucun"/>
          <w:rFonts w:ascii="Times New Roman" w:hAnsi="Times New Roman" w:cs="Times New Roman"/>
          <w:i/>
          <w:iCs/>
          <w:sz w:val="20"/>
          <w:szCs w:val="20"/>
        </w:rPr>
        <w:t>Métaphysiques cannibales, op. cit.</w:t>
      </w:r>
      <w:r w:rsidRPr="00156AE0">
        <w:rPr>
          <w:rStyle w:val="Aucun"/>
          <w:rFonts w:ascii="Times New Roman" w:hAnsi="Times New Roman" w:cs="Times New Roman"/>
          <w:sz w:val="20"/>
          <w:szCs w:val="20"/>
        </w:rPr>
        <w:t>, p. 47. Comme l</w:t>
      </w:r>
      <w:r w:rsidR="00B414FF" w:rsidRPr="00156AE0">
        <w:rPr>
          <w:rStyle w:val="Aucun"/>
          <w:rFonts w:ascii="Times New Roman" w:hAnsi="Times New Roman" w:cs="Times New Roman"/>
          <w:sz w:val="20"/>
          <w:szCs w:val="20"/>
        </w:rPr>
        <w:t>’</w:t>
      </w:r>
      <w:r w:rsidRPr="00156AE0">
        <w:rPr>
          <w:rStyle w:val="Aucun"/>
          <w:rFonts w:ascii="Times New Roman" w:hAnsi="Times New Roman" w:cs="Times New Roman"/>
          <w:sz w:val="20"/>
          <w:szCs w:val="20"/>
        </w:rPr>
        <w:t>explique magnifiquement l</w:t>
      </w:r>
      <w:r w:rsidR="00B414FF" w:rsidRPr="00156AE0">
        <w:rPr>
          <w:rStyle w:val="Aucun"/>
          <w:rFonts w:ascii="Times New Roman" w:hAnsi="Times New Roman" w:cs="Times New Roman"/>
          <w:sz w:val="20"/>
          <w:szCs w:val="20"/>
        </w:rPr>
        <w:t>’</w:t>
      </w:r>
      <w:r w:rsidRPr="00156AE0">
        <w:rPr>
          <w:rStyle w:val="Aucun"/>
          <w:rFonts w:ascii="Times New Roman" w:hAnsi="Times New Roman" w:cs="Times New Roman"/>
          <w:sz w:val="20"/>
          <w:szCs w:val="20"/>
        </w:rPr>
        <w:t>anthropologue brésilien dans un autre texte, il s</w:t>
      </w:r>
      <w:r w:rsidR="00B414FF" w:rsidRPr="00156AE0">
        <w:rPr>
          <w:rStyle w:val="Aucun"/>
          <w:rFonts w:ascii="Times New Roman" w:hAnsi="Times New Roman" w:cs="Times New Roman"/>
          <w:sz w:val="20"/>
          <w:szCs w:val="20"/>
        </w:rPr>
        <w:t>’</w:t>
      </w:r>
      <w:r w:rsidRPr="00156AE0">
        <w:rPr>
          <w:rStyle w:val="Aucun"/>
          <w:rFonts w:ascii="Times New Roman" w:hAnsi="Times New Roman" w:cs="Times New Roman"/>
          <w:sz w:val="20"/>
          <w:szCs w:val="20"/>
        </w:rPr>
        <w:t xml:space="preserve">agit avant tout de « cherch[er] un soutien et un espoir chez ces peuples qui, formant depuis toujours une alternative à nous, peuvent nous stimuler à créer des alternatives </w:t>
      </w:r>
      <w:r w:rsidRPr="00156AE0">
        <w:rPr>
          <w:rStyle w:val="Aucun"/>
          <w:rFonts w:ascii="Times New Roman" w:hAnsi="Times New Roman" w:cs="Times New Roman"/>
          <w:i/>
          <w:iCs/>
          <w:sz w:val="20"/>
          <w:szCs w:val="20"/>
        </w:rPr>
        <w:t>pour nous.</w:t>
      </w:r>
      <w:r w:rsidRPr="00156AE0">
        <w:rPr>
          <w:rStyle w:val="Aucun"/>
          <w:rFonts w:ascii="Times New Roman" w:hAnsi="Times New Roman" w:cs="Times New Roman"/>
          <w:sz w:val="20"/>
          <w:szCs w:val="20"/>
        </w:rPr>
        <w:t xml:space="preserve"> Des alternatives autres que les leurs, bien sûr</w:t>
      </w:r>
      <w:r w:rsidR="004C538F" w:rsidRPr="00156AE0">
        <w:rPr>
          <w:rStyle w:val="Aucun"/>
          <w:rFonts w:ascii="Times New Roman" w:hAnsi="Times New Roman" w:cs="Times New Roman"/>
          <w:sz w:val="20"/>
          <w:szCs w:val="20"/>
        </w:rPr>
        <w:t xml:space="preserve"> </w:t>
      </w:r>
      <w:r w:rsidRPr="00156AE0">
        <w:rPr>
          <w:rStyle w:val="Aucun"/>
          <w:rFonts w:ascii="Times New Roman" w:hAnsi="Times New Roman" w:cs="Times New Roman"/>
          <w:sz w:val="20"/>
          <w:szCs w:val="20"/>
        </w:rPr>
        <w:t>; mais autres, surtout, que notre impression déprimante de manquer d</w:t>
      </w:r>
      <w:r w:rsidR="004C538F" w:rsidRPr="00156AE0">
        <w:rPr>
          <w:rStyle w:val="Aucun"/>
          <w:rFonts w:ascii="Times New Roman" w:hAnsi="Times New Roman" w:cs="Times New Roman"/>
          <w:sz w:val="20"/>
          <w:szCs w:val="20"/>
        </w:rPr>
        <w:t>’</w:t>
      </w:r>
      <w:r w:rsidRPr="00156AE0">
        <w:rPr>
          <w:rStyle w:val="Aucun"/>
          <w:rFonts w:ascii="Times New Roman" w:hAnsi="Times New Roman" w:cs="Times New Roman"/>
          <w:sz w:val="20"/>
          <w:szCs w:val="20"/>
        </w:rPr>
        <w:t xml:space="preserve">alternatives. </w:t>
      </w:r>
      <w:r w:rsidR="00C5539F" w:rsidRPr="00156AE0">
        <w:rPr>
          <w:rFonts w:ascii="Times New Roman" w:hAnsi="Times New Roman" w:cs="Times New Roman"/>
          <w:sz w:val="20"/>
          <w:szCs w:val="20"/>
        </w:rPr>
        <w:t>“</w:t>
      </w:r>
      <w:r w:rsidRPr="00156AE0">
        <w:rPr>
          <w:rStyle w:val="Aucun"/>
          <w:rFonts w:ascii="Times New Roman" w:hAnsi="Times New Roman" w:cs="Times New Roman"/>
          <w:sz w:val="20"/>
          <w:szCs w:val="20"/>
        </w:rPr>
        <w:t>Du possible sinon j'étouffe</w:t>
      </w:r>
      <w:r w:rsidR="00C5539F" w:rsidRPr="00156AE0">
        <w:rPr>
          <w:rFonts w:ascii="Times New Roman" w:hAnsi="Times New Roman" w:cs="Times New Roman"/>
          <w:sz w:val="20"/>
          <w:szCs w:val="20"/>
        </w:rPr>
        <w:t>”</w:t>
      </w:r>
      <w:r w:rsidRPr="00156AE0">
        <w:rPr>
          <w:rStyle w:val="Aucun"/>
          <w:rFonts w:ascii="Times New Roman" w:hAnsi="Times New Roman" w:cs="Times New Roman"/>
          <w:sz w:val="20"/>
          <w:szCs w:val="20"/>
        </w:rPr>
        <w:t>. » (</w:t>
      </w:r>
      <w:r w:rsidRPr="00156AE0">
        <w:rPr>
          <w:rStyle w:val="Aucun"/>
          <w:rFonts w:ascii="Times New Roman" w:hAnsi="Times New Roman" w:cs="Times New Roman"/>
          <w:smallCaps/>
          <w:sz w:val="20"/>
          <w:szCs w:val="20"/>
        </w:rPr>
        <w:t>Viveiros de Castro</w:t>
      </w:r>
      <w:r w:rsidRPr="00156AE0">
        <w:rPr>
          <w:rStyle w:val="Aucun"/>
          <w:rFonts w:ascii="Times New Roman" w:hAnsi="Times New Roman" w:cs="Times New Roman"/>
          <w:sz w:val="20"/>
          <w:szCs w:val="20"/>
        </w:rPr>
        <w:t xml:space="preserve"> (E.), </w:t>
      </w:r>
      <w:r w:rsidRPr="00156AE0">
        <w:rPr>
          <w:rStyle w:val="Aucun"/>
          <w:rFonts w:ascii="Times New Roman" w:hAnsi="Times New Roman" w:cs="Times New Roman"/>
          <w:i/>
          <w:iCs/>
          <w:sz w:val="20"/>
          <w:szCs w:val="20"/>
        </w:rPr>
        <w:t>Politique des multiplicités. Pierre Clastres face à l’</w:t>
      </w:r>
      <w:r w:rsidR="00803317" w:rsidRPr="00156AE0">
        <w:rPr>
          <w:rStyle w:val="Aucun"/>
          <w:rFonts w:ascii="Times New Roman" w:hAnsi="Times New Roman" w:cs="Times New Roman"/>
          <w:i/>
          <w:iCs/>
          <w:sz w:val="20"/>
          <w:szCs w:val="20"/>
        </w:rPr>
        <w:t>État</w:t>
      </w:r>
      <w:r w:rsidRPr="00156AE0">
        <w:rPr>
          <w:rStyle w:val="Aucun"/>
          <w:rFonts w:ascii="Times New Roman" w:hAnsi="Times New Roman" w:cs="Times New Roman"/>
          <w:sz w:val="20"/>
          <w:szCs w:val="20"/>
        </w:rPr>
        <w:t>, Bellevaux, Dehors, 2019, p. 38)</w:t>
      </w:r>
      <w:r w:rsidR="00B414FF" w:rsidRPr="00156AE0">
        <w:rPr>
          <w:rStyle w:val="Aucun"/>
          <w:rFonts w:ascii="Times New Roman" w:hAnsi="Times New Roman" w:cs="Times New Roman"/>
          <w:sz w:val="20"/>
          <w:szCs w:val="20"/>
        </w:rPr>
        <w:t>.</w:t>
      </w:r>
      <w:r w:rsidRPr="00156AE0">
        <w:rPr>
          <w:rStyle w:val="Aucun"/>
          <w:rFonts w:ascii="Times New Roman" w:hAnsi="Times New Roman" w:cs="Times New Roman"/>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3B89D" w14:textId="77777777" w:rsidR="00FA4F5F" w:rsidRDefault="00FA4F5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26935"/>
    <w:multiLevelType w:val="hybridMultilevel"/>
    <w:tmpl w:val="A282ED38"/>
    <w:styleLink w:val="Style3import"/>
    <w:lvl w:ilvl="0" w:tplc="095EC79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316FB7A">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44C6998">
      <w:start w:val="1"/>
      <w:numFmt w:val="decimal"/>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440025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9B05BCA">
      <w:start w:val="1"/>
      <w:numFmt w:val="decimal"/>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CAA11DC">
      <w:start w:val="1"/>
      <w:numFmt w:val="decimal"/>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7500F7F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8D607A8">
      <w:start w:val="1"/>
      <w:numFmt w:val="decimal"/>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C8C202C">
      <w:start w:val="1"/>
      <w:numFmt w:val="decimal"/>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F93350F"/>
    <w:multiLevelType w:val="hybridMultilevel"/>
    <w:tmpl w:val="41E0A484"/>
    <w:numStyleLink w:val="Style1import"/>
  </w:abstractNum>
  <w:abstractNum w:abstractNumId="2" w15:restartNumberingAfterBreak="0">
    <w:nsid w:val="1A7237F0"/>
    <w:multiLevelType w:val="hybridMultilevel"/>
    <w:tmpl w:val="AF443472"/>
    <w:numStyleLink w:val="Style2import"/>
  </w:abstractNum>
  <w:abstractNum w:abstractNumId="3" w15:restartNumberingAfterBreak="0">
    <w:nsid w:val="2BDA08BE"/>
    <w:multiLevelType w:val="hybridMultilevel"/>
    <w:tmpl w:val="41E0A484"/>
    <w:styleLink w:val="Style1import"/>
    <w:lvl w:ilvl="0" w:tplc="0B38CB94">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8E2A631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D644A6C6">
      <w:start w:val="1"/>
      <w:numFmt w:val="lowerRoman"/>
      <w:lvlText w:val="%3."/>
      <w:lvlJc w:val="left"/>
      <w:pPr>
        <w:ind w:left="2160" w:hanging="310"/>
      </w:pPr>
      <w:rPr>
        <w:rFonts w:hAnsi="Arial Unicode MS"/>
        <w:b/>
        <w:bCs/>
        <w:caps w:val="0"/>
        <w:smallCaps w:val="0"/>
        <w:strike w:val="0"/>
        <w:dstrike w:val="0"/>
        <w:outline w:val="0"/>
        <w:emboss w:val="0"/>
        <w:imprint w:val="0"/>
        <w:spacing w:val="0"/>
        <w:w w:val="100"/>
        <w:kern w:val="0"/>
        <w:position w:val="0"/>
        <w:highlight w:val="none"/>
        <w:vertAlign w:val="baseline"/>
      </w:rPr>
    </w:lvl>
    <w:lvl w:ilvl="3" w:tplc="97225A38">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D6CCE7C">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280CBAB4">
      <w:start w:val="1"/>
      <w:numFmt w:val="lowerRoman"/>
      <w:lvlText w:val="%6."/>
      <w:lvlJc w:val="left"/>
      <w:pPr>
        <w:ind w:left="4320" w:hanging="310"/>
      </w:pPr>
      <w:rPr>
        <w:rFonts w:hAnsi="Arial Unicode MS"/>
        <w:b/>
        <w:bCs/>
        <w:caps w:val="0"/>
        <w:smallCaps w:val="0"/>
        <w:strike w:val="0"/>
        <w:dstrike w:val="0"/>
        <w:outline w:val="0"/>
        <w:emboss w:val="0"/>
        <w:imprint w:val="0"/>
        <w:spacing w:val="0"/>
        <w:w w:val="100"/>
        <w:kern w:val="0"/>
        <w:position w:val="0"/>
        <w:highlight w:val="none"/>
        <w:vertAlign w:val="baseline"/>
      </w:rPr>
    </w:lvl>
    <w:lvl w:ilvl="6" w:tplc="FC481D92">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EB40B54E">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0C2A18C8">
      <w:start w:val="1"/>
      <w:numFmt w:val="lowerRoman"/>
      <w:lvlText w:val="%9."/>
      <w:lvlJc w:val="left"/>
      <w:pPr>
        <w:ind w:left="6480" w:hanging="31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4BEF5190"/>
    <w:multiLevelType w:val="hybridMultilevel"/>
    <w:tmpl w:val="35C6567E"/>
    <w:numStyleLink w:val="Style4import"/>
  </w:abstractNum>
  <w:abstractNum w:abstractNumId="5" w15:restartNumberingAfterBreak="0">
    <w:nsid w:val="6AF62CA0"/>
    <w:multiLevelType w:val="hybridMultilevel"/>
    <w:tmpl w:val="A282ED38"/>
    <w:numStyleLink w:val="Style3import"/>
  </w:abstractNum>
  <w:abstractNum w:abstractNumId="6" w15:restartNumberingAfterBreak="0">
    <w:nsid w:val="6F0268DC"/>
    <w:multiLevelType w:val="hybridMultilevel"/>
    <w:tmpl w:val="35C6567E"/>
    <w:styleLink w:val="Style4import"/>
    <w:lvl w:ilvl="0" w:tplc="8D184A2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64C3B3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EC63B56">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AC5E3F3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36C211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DE6B51C">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996E75B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7387FB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9C294CA">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72BE41AA"/>
    <w:multiLevelType w:val="hybridMultilevel"/>
    <w:tmpl w:val="AF443472"/>
    <w:styleLink w:val="Style2import"/>
    <w:lvl w:ilvl="0" w:tplc="6798ADC8">
      <w:start w:val="1"/>
      <w:numFmt w:val="decimal"/>
      <w:suff w:val="nothing"/>
      <w:lvlText w:val="%1."/>
      <w:lvlJc w:val="left"/>
      <w:pPr>
        <w:ind w:left="141" w:firstLine="426"/>
      </w:pPr>
      <w:rPr>
        <w:rFonts w:hAnsi="Arial Unicode MS"/>
        <w:caps w:val="0"/>
        <w:smallCaps w:val="0"/>
        <w:strike w:val="0"/>
        <w:dstrike w:val="0"/>
        <w:outline w:val="0"/>
        <w:emboss w:val="0"/>
        <w:imprint w:val="0"/>
        <w:spacing w:val="0"/>
        <w:w w:val="100"/>
        <w:kern w:val="0"/>
        <w:position w:val="0"/>
        <w:highlight w:val="none"/>
        <w:vertAlign w:val="baseline"/>
      </w:rPr>
    </w:lvl>
    <w:lvl w:ilvl="1" w:tplc="496AE572">
      <w:start w:val="1"/>
      <w:numFmt w:val="lowerLetter"/>
      <w:suff w:val="nothing"/>
      <w:lvlText w:val="%2."/>
      <w:lvlJc w:val="left"/>
      <w:pPr>
        <w:ind w:left="720" w:firstLine="426"/>
      </w:pPr>
      <w:rPr>
        <w:rFonts w:hAnsi="Arial Unicode MS"/>
        <w:caps w:val="0"/>
        <w:smallCaps w:val="0"/>
        <w:strike w:val="0"/>
        <w:dstrike w:val="0"/>
        <w:outline w:val="0"/>
        <w:emboss w:val="0"/>
        <w:imprint w:val="0"/>
        <w:spacing w:val="0"/>
        <w:w w:val="100"/>
        <w:kern w:val="0"/>
        <w:position w:val="0"/>
        <w:highlight w:val="none"/>
        <w:vertAlign w:val="baseline"/>
      </w:rPr>
    </w:lvl>
    <w:lvl w:ilvl="2" w:tplc="EE3655BA">
      <w:start w:val="1"/>
      <w:numFmt w:val="lowerRoman"/>
      <w:lvlText w:val="%3."/>
      <w:lvlJc w:val="left"/>
      <w:pPr>
        <w:tabs>
          <w:tab w:val="num" w:pos="1986"/>
        </w:tabs>
        <w:ind w:left="1440" w:firstLine="348"/>
      </w:pPr>
      <w:rPr>
        <w:rFonts w:hAnsi="Arial Unicode MS"/>
        <w:caps w:val="0"/>
        <w:smallCaps w:val="0"/>
        <w:strike w:val="0"/>
        <w:dstrike w:val="0"/>
        <w:outline w:val="0"/>
        <w:emboss w:val="0"/>
        <w:imprint w:val="0"/>
        <w:spacing w:val="0"/>
        <w:w w:val="100"/>
        <w:kern w:val="0"/>
        <w:position w:val="0"/>
        <w:highlight w:val="none"/>
        <w:vertAlign w:val="baseline"/>
      </w:rPr>
    </w:lvl>
    <w:lvl w:ilvl="3" w:tplc="16CC00D2">
      <w:start w:val="1"/>
      <w:numFmt w:val="decimal"/>
      <w:lvlText w:val="%4."/>
      <w:lvlJc w:val="left"/>
      <w:pPr>
        <w:tabs>
          <w:tab w:val="num" w:pos="2706"/>
        </w:tabs>
        <w:ind w:left="2160" w:firstLine="300"/>
      </w:pPr>
      <w:rPr>
        <w:rFonts w:hAnsi="Arial Unicode MS"/>
        <w:caps w:val="0"/>
        <w:smallCaps w:val="0"/>
        <w:strike w:val="0"/>
        <w:dstrike w:val="0"/>
        <w:outline w:val="0"/>
        <w:emboss w:val="0"/>
        <w:imprint w:val="0"/>
        <w:spacing w:val="0"/>
        <w:w w:val="100"/>
        <w:kern w:val="0"/>
        <w:position w:val="0"/>
        <w:highlight w:val="none"/>
        <w:vertAlign w:val="baseline"/>
      </w:rPr>
    </w:lvl>
    <w:lvl w:ilvl="4" w:tplc="D4DEEE64">
      <w:start w:val="1"/>
      <w:numFmt w:val="lowerLetter"/>
      <w:lvlText w:val="%5."/>
      <w:lvlJc w:val="left"/>
      <w:pPr>
        <w:tabs>
          <w:tab w:val="num" w:pos="3426"/>
        </w:tabs>
        <w:ind w:left="2880" w:firstLine="312"/>
      </w:pPr>
      <w:rPr>
        <w:rFonts w:hAnsi="Arial Unicode MS"/>
        <w:caps w:val="0"/>
        <w:smallCaps w:val="0"/>
        <w:strike w:val="0"/>
        <w:dstrike w:val="0"/>
        <w:outline w:val="0"/>
        <w:emboss w:val="0"/>
        <w:imprint w:val="0"/>
        <w:spacing w:val="0"/>
        <w:w w:val="100"/>
        <w:kern w:val="0"/>
        <w:position w:val="0"/>
        <w:highlight w:val="none"/>
        <w:vertAlign w:val="baseline"/>
      </w:rPr>
    </w:lvl>
    <w:lvl w:ilvl="5" w:tplc="34645D32">
      <w:start w:val="1"/>
      <w:numFmt w:val="lowerRoman"/>
      <w:suff w:val="nothing"/>
      <w:lvlText w:val="%6."/>
      <w:lvlJc w:val="left"/>
      <w:pPr>
        <w:ind w:left="3600" w:firstLine="384"/>
      </w:pPr>
      <w:rPr>
        <w:rFonts w:hAnsi="Arial Unicode MS"/>
        <w:caps w:val="0"/>
        <w:smallCaps w:val="0"/>
        <w:strike w:val="0"/>
        <w:dstrike w:val="0"/>
        <w:outline w:val="0"/>
        <w:emboss w:val="0"/>
        <w:imprint w:val="0"/>
        <w:spacing w:val="0"/>
        <w:w w:val="100"/>
        <w:kern w:val="0"/>
        <w:position w:val="0"/>
        <w:highlight w:val="none"/>
        <w:vertAlign w:val="baseline"/>
      </w:rPr>
    </w:lvl>
    <w:lvl w:ilvl="6" w:tplc="BBCAE858">
      <w:start w:val="1"/>
      <w:numFmt w:val="decimal"/>
      <w:lvlText w:val="%7."/>
      <w:lvlJc w:val="left"/>
      <w:pPr>
        <w:tabs>
          <w:tab w:val="num" w:pos="4866"/>
        </w:tabs>
        <w:ind w:left="4320" w:firstLine="336"/>
      </w:pPr>
      <w:rPr>
        <w:rFonts w:hAnsi="Arial Unicode MS"/>
        <w:caps w:val="0"/>
        <w:smallCaps w:val="0"/>
        <w:strike w:val="0"/>
        <w:dstrike w:val="0"/>
        <w:outline w:val="0"/>
        <w:emboss w:val="0"/>
        <w:imprint w:val="0"/>
        <w:spacing w:val="0"/>
        <w:w w:val="100"/>
        <w:kern w:val="0"/>
        <w:position w:val="0"/>
        <w:highlight w:val="none"/>
        <w:vertAlign w:val="baseline"/>
      </w:rPr>
    </w:lvl>
    <w:lvl w:ilvl="7" w:tplc="358CC106">
      <w:start w:val="1"/>
      <w:numFmt w:val="lowerLetter"/>
      <w:lvlText w:val="%8."/>
      <w:lvlJc w:val="left"/>
      <w:pPr>
        <w:tabs>
          <w:tab w:val="num" w:pos="5586"/>
        </w:tabs>
        <w:ind w:left="5040" w:firstLine="348"/>
      </w:pPr>
      <w:rPr>
        <w:rFonts w:hAnsi="Arial Unicode MS"/>
        <w:caps w:val="0"/>
        <w:smallCaps w:val="0"/>
        <w:strike w:val="0"/>
        <w:dstrike w:val="0"/>
        <w:outline w:val="0"/>
        <w:emboss w:val="0"/>
        <w:imprint w:val="0"/>
        <w:spacing w:val="0"/>
        <w:w w:val="100"/>
        <w:kern w:val="0"/>
        <w:position w:val="0"/>
        <w:highlight w:val="none"/>
        <w:vertAlign w:val="baseline"/>
      </w:rPr>
    </w:lvl>
    <w:lvl w:ilvl="8" w:tplc="97369634">
      <w:start w:val="1"/>
      <w:numFmt w:val="lowerRoman"/>
      <w:suff w:val="nothing"/>
      <w:lvlText w:val="%9."/>
      <w:lvlJc w:val="left"/>
      <w:pPr>
        <w:ind w:left="5760" w:firstLine="42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54953809">
    <w:abstractNumId w:val="3"/>
  </w:num>
  <w:num w:numId="2" w16cid:durableId="2047943483">
    <w:abstractNumId w:val="1"/>
  </w:num>
  <w:num w:numId="3" w16cid:durableId="582419186">
    <w:abstractNumId w:val="7"/>
  </w:num>
  <w:num w:numId="4" w16cid:durableId="1031415614">
    <w:abstractNumId w:val="2"/>
  </w:num>
  <w:num w:numId="5" w16cid:durableId="1314523253">
    <w:abstractNumId w:val="2"/>
    <w:lvlOverride w:ilvl="0">
      <w:lvl w:ilvl="0" w:tplc="37BEFB7C">
        <w:start w:val="1"/>
        <w:numFmt w:val="decimal"/>
        <w:suff w:val="nothing"/>
        <w:lvlText w:val="%1."/>
        <w:lvlJc w:val="left"/>
        <w:pPr>
          <w:ind w:left="141" w:firstLine="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A841426">
        <w:start w:val="1"/>
        <w:numFmt w:val="lowerLetter"/>
        <w:suff w:val="nothing"/>
        <w:lvlText w:val="%2."/>
        <w:lvlJc w:val="left"/>
        <w:pPr>
          <w:ind w:left="861" w:firstLine="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250150A">
        <w:start w:val="1"/>
        <w:numFmt w:val="lowerRoman"/>
        <w:lvlText w:val="%3."/>
        <w:lvlJc w:val="left"/>
        <w:pPr>
          <w:tabs>
            <w:tab w:val="num" w:pos="2127"/>
          </w:tabs>
          <w:ind w:left="1581" w:firstLine="3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34E8E22">
        <w:start w:val="1"/>
        <w:numFmt w:val="decimal"/>
        <w:lvlText w:val="%4."/>
        <w:lvlJc w:val="left"/>
        <w:pPr>
          <w:tabs>
            <w:tab w:val="num" w:pos="2847"/>
          </w:tabs>
          <w:ind w:left="2301" w:firstLine="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8CA3228">
        <w:start w:val="1"/>
        <w:numFmt w:val="lowerLetter"/>
        <w:lvlText w:val="%5."/>
        <w:lvlJc w:val="left"/>
        <w:pPr>
          <w:tabs>
            <w:tab w:val="num" w:pos="3567"/>
          </w:tabs>
          <w:ind w:left="3021" w:firstLine="3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DD84F3E">
        <w:start w:val="1"/>
        <w:numFmt w:val="lowerRoman"/>
        <w:suff w:val="nothing"/>
        <w:lvlText w:val="%6."/>
        <w:lvlJc w:val="left"/>
        <w:pPr>
          <w:ind w:left="3741" w:firstLine="3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74CB346">
        <w:start w:val="1"/>
        <w:numFmt w:val="decimal"/>
        <w:lvlText w:val="%7."/>
        <w:lvlJc w:val="left"/>
        <w:pPr>
          <w:tabs>
            <w:tab w:val="num" w:pos="5007"/>
          </w:tabs>
          <w:ind w:left="4461" w:firstLine="3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3E8C380">
        <w:start w:val="1"/>
        <w:numFmt w:val="lowerLetter"/>
        <w:lvlText w:val="%8."/>
        <w:lvlJc w:val="left"/>
        <w:pPr>
          <w:tabs>
            <w:tab w:val="num" w:pos="5727"/>
          </w:tabs>
          <w:ind w:left="5181" w:firstLine="3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9DABC00">
        <w:start w:val="1"/>
        <w:numFmt w:val="lowerRoman"/>
        <w:suff w:val="nothing"/>
        <w:lvlText w:val="%9."/>
        <w:lvlJc w:val="left"/>
        <w:pPr>
          <w:ind w:left="5901" w:firstLine="42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16cid:durableId="964198385">
    <w:abstractNumId w:val="0"/>
  </w:num>
  <w:num w:numId="7" w16cid:durableId="1822191461">
    <w:abstractNumId w:val="5"/>
  </w:num>
  <w:num w:numId="8" w16cid:durableId="1958179677">
    <w:abstractNumId w:val="6"/>
  </w:num>
  <w:num w:numId="9" w16cid:durableId="1584950020">
    <w:abstractNumId w:val="4"/>
  </w:num>
  <w:num w:numId="10" w16cid:durableId="982349495">
    <w:abstractNumId w:val="1"/>
    <w:lvlOverride w:ilvl="0">
      <w:startOverride w:val="3"/>
      <w:lvl w:ilvl="0" w:tplc="1D6C2000">
        <w:start w:val="3"/>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B801850">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E263630">
        <w:start w:val="1"/>
        <w:numFmt w:val="lowerRoman"/>
        <w:lvlText w:val="%3."/>
        <w:lvlJc w:val="left"/>
        <w:pPr>
          <w:ind w:left="2160" w:hanging="3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1F9AB9A2">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206298C2">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B9600818">
        <w:start w:val="1"/>
        <w:numFmt w:val="lowerRoman"/>
        <w:lvlText w:val="%6."/>
        <w:lvlJc w:val="left"/>
        <w:pPr>
          <w:ind w:left="4320" w:hanging="3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2800AB0">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8645F4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966FBDC">
        <w:start w:val="1"/>
        <w:numFmt w:val="lowerRoman"/>
        <w:lvlText w:val="%9."/>
        <w:lvlJc w:val="left"/>
        <w:pPr>
          <w:ind w:left="6480" w:hanging="30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1" w16cid:durableId="1248539947">
    <w:abstractNumId w:val="1"/>
    <w:lvlOverride w:ilvl="0">
      <w:lvl w:ilvl="0" w:tplc="1D6C200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EB801850">
        <w:start w:val="1"/>
        <w:numFmt w:val="lowerLetter"/>
        <w:lvlText w:val="%2."/>
        <w:lvlJc w:val="left"/>
        <w:pPr>
          <w:ind w:left="720" w:hanging="6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0E263630">
        <w:start w:val="1"/>
        <w:numFmt w:val="lowerRoman"/>
        <w:lvlText w:val="%3."/>
        <w:lvlJc w:val="left"/>
        <w:pPr>
          <w:ind w:left="1440" w:hanging="63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1F9AB9A2">
        <w:start w:val="1"/>
        <w:numFmt w:val="decimal"/>
        <w:lvlText w:val="%4."/>
        <w:lvlJc w:val="left"/>
        <w:pPr>
          <w:ind w:left="2160" w:hanging="67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206298C2">
        <w:start w:val="1"/>
        <w:numFmt w:val="lowerLetter"/>
        <w:lvlText w:val="%5."/>
        <w:lvlJc w:val="left"/>
        <w:pPr>
          <w:ind w:left="2880" w:hanging="6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B9600818">
        <w:start w:val="1"/>
        <w:numFmt w:val="lowerRoman"/>
        <w:lvlText w:val="%6."/>
        <w:lvlJc w:val="left"/>
        <w:pPr>
          <w:ind w:left="3600" w:hanging="59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E2800AB0">
        <w:start w:val="1"/>
        <w:numFmt w:val="decimal"/>
        <w:lvlText w:val="%7."/>
        <w:lvlJc w:val="left"/>
        <w:pPr>
          <w:ind w:left="4320" w:hanging="6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58645F42">
        <w:start w:val="1"/>
        <w:numFmt w:val="lowerLetter"/>
        <w:lvlText w:val="%8."/>
        <w:lvlJc w:val="left"/>
        <w:pPr>
          <w:ind w:left="5040" w:hanging="62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C966FBDC">
        <w:start w:val="1"/>
        <w:numFmt w:val="lowerRoman"/>
        <w:lvlText w:val="%9."/>
        <w:lvlJc w:val="left"/>
        <w:pPr>
          <w:ind w:left="5760" w:hanging="562"/>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7"/>
  <w:displayBackgroundShape/>
  <w:defaultTabStop w:val="708"/>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F5F"/>
    <w:rsid w:val="00000406"/>
    <w:rsid w:val="00004441"/>
    <w:rsid w:val="000149A0"/>
    <w:rsid w:val="00087246"/>
    <w:rsid w:val="000C6414"/>
    <w:rsid w:val="000D6A09"/>
    <w:rsid w:val="001229F3"/>
    <w:rsid w:val="00133E22"/>
    <w:rsid w:val="001465CE"/>
    <w:rsid w:val="00156AE0"/>
    <w:rsid w:val="00161F63"/>
    <w:rsid w:val="001861CC"/>
    <w:rsid w:val="001B4F91"/>
    <w:rsid w:val="001D44CA"/>
    <w:rsid w:val="0020414A"/>
    <w:rsid w:val="0020419C"/>
    <w:rsid w:val="002161F8"/>
    <w:rsid w:val="00223AAC"/>
    <w:rsid w:val="002642F2"/>
    <w:rsid w:val="00282E2D"/>
    <w:rsid w:val="00296F59"/>
    <w:rsid w:val="002C4CA6"/>
    <w:rsid w:val="002D52F5"/>
    <w:rsid w:val="0031138A"/>
    <w:rsid w:val="00334D31"/>
    <w:rsid w:val="00337CC7"/>
    <w:rsid w:val="00355C27"/>
    <w:rsid w:val="003A78D3"/>
    <w:rsid w:val="003B276B"/>
    <w:rsid w:val="003D0D5E"/>
    <w:rsid w:val="003E1320"/>
    <w:rsid w:val="00416687"/>
    <w:rsid w:val="004170EC"/>
    <w:rsid w:val="004260D2"/>
    <w:rsid w:val="004319CC"/>
    <w:rsid w:val="00470616"/>
    <w:rsid w:val="004911B6"/>
    <w:rsid w:val="004A1E88"/>
    <w:rsid w:val="004A398D"/>
    <w:rsid w:val="004A3E01"/>
    <w:rsid w:val="004C538F"/>
    <w:rsid w:val="004D139E"/>
    <w:rsid w:val="0059288F"/>
    <w:rsid w:val="005A4DAC"/>
    <w:rsid w:val="005B1ACE"/>
    <w:rsid w:val="006077AC"/>
    <w:rsid w:val="006310AC"/>
    <w:rsid w:val="006427C2"/>
    <w:rsid w:val="0065654F"/>
    <w:rsid w:val="00661544"/>
    <w:rsid w:val="006777EC"/>
    <w:rsid w:val="006B2267"/>
    <w:rsid w:val="006D1E58"/>
    <w:rsid w:val="006E1775"/>
    <w:rsid w:val="006F178B"/>
    <w:rsid w:val="007004F7"/>
    <w:rsid w:val="00710A45"/>
    <w:rsid w:val="00724222"/>
    <w:rsid w:val="00744D9C"/>
    <w:rsid w:val="00756667"/>
    <w:rsid w:val="0079712F"/>
    <w:rsid w:val="007F1F47"/>
    <w:rsid w:val="007F6BEC"/>
    <w:rsid w:val="00803317"/>
    <w:rsid w:val="00813E52"/>
    <w:rsid w:val="008143B2"/>
    <w:rsid w:val="008154B5"/>
    <w:rsid w:val="008925C7"/>
    <w:rsid w:val="008963B2"/>
    <w:rsid w:val="008A1375"/>
    <w:rsid w:val="008B62CF"/>
    <w:rsid w:val="008C5964"/>
    <w:rsid w:val="009119EC"/>
    <w:rsid w:val="00924A78"/>
    <w:rsid w:val="00932CBA"/>
    <w:rsid w:val="00965D94"/>
    <w:rsid w:val="009A6610"/>
    <w:rsid w:val="009C2162"/>
    <w:rsid w:val="009E6E24"/>
    <w:rsid w:val="00A01EF5"/>
    <w:rsid w:val="00A20589"/>
    <w:rsid w:val="00A65055"/>
    <w:rsid w:val="00A65153"/>
    <w:rsid w:val="00A72C70"/>
    <w:rsid w:val="00A84D99"/>
    <w:rsid w:val="00B170FF"/>
    <w:rsid w:val="00B37B58"/>
    <w:rsid w:val="00B414FF"/>
    <w:rsid w:val="00B501E4"/>
    <w:rsid w:val="00B56562"/>
    <w:rsid w:val="00BD3AC9"/>
    <w:rsid w:val="00BE28BE"/>
    <w:rsid w:val="00C32458"/>
    <w:rsid w:val="00C4057E"/>
    <w:rsid w:val="00C5539F"/>
    <w:rsid w:val="00CC1A36"/>
    <w:rsid w:val="00CC7096"/>
    <w:rsid w:val="00D208E6"/>
    <w:rsid w:val="00D3128F"/>
    <w:rsid w:val="00D640A0"/>
    <w:rsid w:val="00D90907"/>
    <w:rsid w:val="00DC557F"/>
    <w:rsid w:val="00E04EA1"/>
    <w:rsid w:val="00E05CF3"/>
    <w:rsid w:val="00E339CF"/>
    <w:rsid w:val="00E36AE0"/>
    <w:rsid w:val="00E767C1"/>
    <w:rsid w:val="00E835F7"/>
    <w:rsid w:val="00EB1A4A"/>
    <w:rsid w:val="00EE1581"/>
    <w:rsid w:val="00F23C24"/>
    <w:rsid w:val="00F33AD4"/>
    <w:rsid w:val="00F94DDE"/>
    <w:rsid w:val="00FA4F5F"/>
    <w:rsid w:val="00FA7F05"/>
    <w:rsid w:val="00FD046E"/>
    <w:rsid w:val="00FD6F2F"/>
    <w:rsid w:val="00FE1B9B"/>
    <w:rsid w:val="00FF5DF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E7DB7"/>
  <w15:docId w15:val="{C956E146-E37A-F743-8370-1A5EE32E0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BE"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Titre1">
    <w:name w:val="heading 1"/>
    <w:next w:val="CorpsA"/>
    <w:uiPriority w:val="9"/>
    <w:qFormat/>
    <w:pPr>
      <w:keepNext/>
      <w:keepLines/>
      <w:spacing w:before="480"/>
      <w:jc w:val="both"/>
      <w:outlineLvl w:val="0"/>
    </w:pPr>
    <w:rPr>
      <w:rFonts w:ascii="Carlito" w:hAnsi="Carlito" w:cs="Arial Unicode MS"/>
      <w:b/>
      <w:bCs/>
      <w:color w:val="2D4F8E"/>
      <w:sz w:val="32"/>
      <w:szCs w:val="32"/>
      <w:u w:color="2D4F8E"/>
      <w:lang w:val="fr-FR"/>
    </w:rPr>
  </w:style>
  <w:style w:type="paragraph" w:styleId="Titre2">
    <w:name w:val="heading 2"/>
    <w:next w:val="CorpsA"/>
    <w:uiPriority w:val="9"/>
    <w:unhideWhenUsed/>
    <w:qFormat/>
    <w:pPr>
      <w:keepNext/>
      <w:keepLines/>
      <w:spacing w:before="200"/>
      <w:jc w:val="both"/>
      <w:outlineLvl w:val="1"/>
    </w:pPr>
    <w:rPr>
      <w:rFonts w:cs="Arial Unicode MS"/>
      <w:b/>
      <w:bCs/>
      <w:color w:val="000000"/>
      <w:sz w:val="26"/>
      <w:szCs w:val="26"/>
      <w:u w:color="000000"/>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Pieddepage">
    <w:name w:val="footer"/>
    <w:pPr>
      <w:tabs>
        <w:tab w:val="center" w:pos="4536"/>
        <w:tab w:val="right" w:pos="9072"/>
      </w:tabs>
      <w:jc w:val="both"/>
    </w:pPr>
    <w:rPr>
      <w:rFonts w:ascii="Times Roman" w:hAnsi="Times Roman" w:cs="Arial Unicode MS"/>
      <w:color w:val="000000"/>
      <w:sz w:val="24"/>
      <w:szCs w:val="24"/>
      <w:u w:color="000000"/>
      <w:lang w:val="fr-FR"/>
    </w:rPr>
  </w:style>
  <w:style w:type="character" w:customStyle="1" w:styleId="Aucun">
    <w:name w:val="Aucun"/>
  </w:style>
  <w:style w:type="character" w:customStyle="1" w:styleId="AucunA">
    <w:name w:val="Aucun A"/>
    <w:basedOn w:val="Aucun"/>
  </w:style>
  <w:style w:type="paragraph" w:customStyle="1" w:styleId="CorpsA">
    <w:name w:val="Corps A"/>
    <w:pPr>
      <w:jc w:val="both"/>
    </w:pPr>
    <w:rPr>
      <w:rFonts w:ascii="Times Roman" w:hAnsi="Times Roman" w:cs="Arial Unicode MS"/>
      <w:color w:val="000000"/>
      <w:sz w:val="24"/>
      <w:szCs w:val="24"/>
      <w:u w:color="000000"/>
      <w:lang w:val="fr-FR"/>
      <w14:textOutline w14:w="12700" w14:cap="flat" w14:cmpd="sng" w14:algn="ctr">
        <w14:noFill/>
        <w14:prstDash w14:val="solid"/>
        <w14:miter w14:lim="400000"/>
      </w14:textOutline>
    </w:rPr>
  </w:style>
  <w:style w:type="paragraph" w:styleId="Notedebasdepage">
    <w:name w:val="footnote text"/>
    <w:aliases w:val="Footnotes,Footnote"/>
    <w:link w:val="NotedebasdepageCar"/>
    <w:uiPriority w:val="99"/>
    <w:pPr>
      <w:jc w:val="both"/>
    </w:pPr>
    <w:rPr>
      <w:rFonts w:ascii="Times Roman" w:eastAsia="Times Roman" w:hAnsi="Times Roman" w:cs="Times Roman"/>
      <w:color w:val="000000"/>
      <w:sz w:val="24"/>
      <w:szCs w:val="24"/>
      <w:u w:color="000000"/>
      <w:lang w:val="fr-FR"/>
    </w:rPr>
  </w:style>
  <w:style w:type="numbering" w:customStyle="1" w:styleId="Style1import">
    <w:name w:val="Style 1 importé"/>
    <w:pPr>
      <w:numPr>
        <w:numId w:val="1"/>
      </w:numPr>
    </w:pPr>
  </w:style>
  <w:style w:type="paragraph" w:styleId="Paragraphedeliste">
    <w:name w:val="List Paragraph"/>
    <w:pPr>
      <w:ind w:left="720"/>
      <w:jc w:val="both"/>
    </w:pPr>
    <w:rPr>
      <w:rFonts w:ascii="Times Roman" w:hAnsi="Times Roman" w:cs="Arial Unicode MS"/>
      <w:color w:val="000000"/>
      <w:sz w:val="24"/>
      <w:szCs w:val="24"/>
      <w:u w:color="000000"/>
      <w:lang w:val="fr-FR"/>
    </w:rPr>
  </w:style>
  <w:style w:type="numbering" w:customStyle="1" w:styleId="Style2import">
    <w:name w:val="Style 2 importé"/>
    <w:pPr>
      <w:numPr>
        <w:numId w:val="3"/>
      </w:numPr>
    </w:pPr>
  </w:style>
  <w:style w:type="character" w:styleId="Appelnotedebasdep">
    <w:name w:val="footnote reference"/>
    <w:basedOn w:val="Aucun"/>
    <w:rPr>
      <w:vertAlign w:val="superscript"/>
    </w:rPr>
  </w:style>
  <w:style w:type="paragraph" w:styleId="NormalWeb">
    <w:name w:val="Normal (Web)"/>
    <w:pPr>
      <w:jc w:val="both"/>
    </w:pPr>
    <w:rPr>
      <w:rFonts w:cs="Arial Unicode MS"/>
      <w:color w:val="000000"/>
      <w:sz w:val="24"/>
      <w:szCs w:val="24"/>
      <w:u w:color="000000"/>
      <w:lang w:val="fr-FR"/>
    </w:rPr>
  </w:style>
  <w:style w:type="numbering" w:customStyle="1" w:styleId="Style3import">
    <w:name w:val="Style 3 importé"/>
    <w:pPr>
      <w:numPr>
        <w:numId w:val="6"/>
      </w:numPr>
    </w:pPr>
  </w:style>
  <w:style w:type="numbering" w:customStyle="1" w:styleId="Style4import">
    <w:name w:val="Style 4 importé"/>
    <w:pPr>
      <w:numPr>
        <w:numId w:val="8"/>
      </w:numPr>
    </w:pPr>
  </w:style>
  <w:style w:type="character" w:customStyle="1" w:styleId="NotedebasdepageCar">
    <w:name w:val="Note de bas de page Car"/>
    <w:aliases w:val="Footnotes Car,Footnote Car"/>
    <w:basedOn w:val="Policepardfaut"/>
    <w:link w:val="Notedebasdepage"/>
    <w:uiPriority w:val="99"/>
    <w:rsid w:val="00EB1A4A"/>
    <w:rPr>
      <w:rFonts w:ascii="Times Roman" w:eastAsia="Times Roman" w:hAnsi="Times Roman" w:cs="Times Roman"/>
      <w:color w:val="000000"/>
      <w:sz w:val="24"/>
      <w:szCs w:val="24"/>
      <w:u w:color="00000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970104">
      <w:bodyDiv w:val="1"/>
      <w:marLeft w:val="0"/>
      <w:marRight w:val="0"/>
      <w:marTop w:val="0"/>
      <w:marBottom w:val="0"/>
      <w:divBdr>
        <w:top w:val="none" w:sz="0" w:space="0" w:color="auto"/>
        <w:left w:val="none" w:sz="0" w:space="0" w:color="auto"/>
        <w:bottom w:val="none" w:sz="0" w:space="0" w:color="auto"/>
        <w:right w:val="none" w:sz="0" w:space="0" w:color="auto"/>
      </w:divBdr>
    </w:div>
    <w:div w:id="20618575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hème Office">
      <a:majorFont>
        <a:latin typeface="Helvetica Neue"/>
        <a:ea typeface="Helvetica Neue"/>
        <a:cs typeface="Helvetica Neue"/>
      </a:majorFont>
      <a:minorFont>
        <a:latin typeface="Helvetica Neue"/>
        <a:ea typeface="Helvetica Neue"/>
        <a:cs typeface="Helvetica Neue"/>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343BA-4096-E64F-A5DA-4A2EAF5DD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6149</Words>
  <Characters>33821</Characters>
  <Application>Microsoft Office Word</Application>
  <DocSecurity>0</DocSecurity>
  <Lines>281</Lines>
  <Paragraphs>79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Gauthier Dierickx</cp:lastModifiedBy>
  <cp:revision>5</cp:revision>
  <cp:lastPrinted>2023-02-14T08:55:00Z</cp:lastPrinted>
  <dcterms:created xsi:type="dcterms:W3CDTF">2023-03-29T11:03:00Z</dcterms:created>
  <dcterms:modified xsi:type="dcterms:W3CDTF">2023-03-30T07:48:00Z</dcterms:modified>
</cp:coreProperties>
</file>