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A2" w:rsidRPr="00171CA2" w:rsidRDefault="00171CA2" w:rsidP="00171CA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b/>
          <w:bCs/>
          <w:color w:val="555555"/>
          <w:kern w:val="36"/>
          <w:sz w:val="29"/>
          <w:szCs w:val="29"/>
          <w:lang w:eastAsia="fr-BE"/>
        </w:rPr>
      </w:pPr>
      <w:r w:rsidRPr="00171CA2">
        <w:rPr>
          <w:rFonts w:ascii="Arial" w:eastAsia="Times New Roman" w:hAnsi="Arial" w:cs="Arial"/>
          <w:b/>
          <w:bCs/>
          <w:color w:val="555555"/>
          <w:kern w:val="36"/>
          <w:sz w:val="29"/>
          <w:szCs w:val="29"/>
          <w:lang w:eastAsia="fr-BE"/>
        </w:rPr>
        <w:t>Predictors of LDL-cholesterol target value attainment differ in acute and chronic coronary heart disease patients: Results from DYSIS II Europe</w:t>
      </w:r>
    </w:p>
    <w:p w:rsidR="00171CA2" w:rsidRPr="00171CA2" w:rsidRDefault="00171CA2" w:rsidP="00171CA2">
      <w:p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fr-BE"/>
        </w:rPr>
      </w:pPr>
      <w:r w:rsidRPr="00171CA2">
        <w:rPr>
          <w:rFonts w:ascii="Arial" w:eastAsia="Times New Roman" w:hAnsi="Arial" w:cs="Arial"/>
          <w:color w:val="006ACC"/>
          <w:sz w:val="20"/>
          <w:szCs w:val="20"/>
          <w:lang w:eastAsia="fr-BE"/>
        </w:rPr>
        <w:t>Show all authors</w:t>
      </w:r>
    </w:p>
    <w:p w:rsidR="00171CA2" w:rsidRPr="00171CA2" w:rsidRDefault="00171CA2" w:rsidP="00171CA2">
      <w:p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fr-BE"/>
        </w:rPr>
      </w:pPr>
      <w:hyperlink r:id="rId5" w:history="1">
        <w:r w:rsidRPr="00171CA2">
          <w:rPr>
            <w:rFonts w:ascii="Arial" w:eastAsia="Times New Roman" w:hAnsi="Arial" w:cs="Arial"/>
            <w:color w:val="006ACC"/>
            <w:sz w:val="21"/>
            <w:szCs w:val="21"/>
            <w:lang w:eastAsia="fr-BE"/>
          </w:rPr>
          <w:t>Jean Ferrieres</w:t>
        </w:r>
      </w:hyperlink>
      <w:r w:rsidRPr="00171CA2">
        <w:rPr>
          <w:rFonts w:ascii="Arial" w:eastAsia="Times New Roman" w:hAnsi="Arial" w:cs="Arial"/>
          <w:color w:val="000000"/>
          <w:sz w:val="18"/>
          <w:szCs w:val="18"/>
          <w:lang w:eastAsia="fr-BE"/>
        </w:rPr>
        <w:t>, </w:t>
      </w:r>
      <w:hyperlink r:id="rId6" w:history="1">
        <w:r w:rsidRPr="00171CA2">
          <w:rPr>
            <w:rFonts w:ascii="Arial" w:eastAsia="Times New Roman" w:hAnsi="Arial" w:cs="Arial"/>
            <w:color w:val="006ACC"/>
            <w:sz w:val="21"/>
            <w:szCs w:val="21"/>
            <w:lang w:eastAsia="fr-BE"/>
          </w:rPr>
          <w:t>Gaetano Maria De Ferrari</w:t>
        </w:r>
      </w:hyperlink>
      <w:r w:rsidRPr="00171CA2">
        <w:rPr>
          <w:rFonts w:ascii="Arial" w:eastAsia="Times New Roman" w:hAnsi="Arial" w:cs="Arial"/>
          <w:color w:val="000000"/>
          <w:sz w:val="18"/>
          <w:szCs w:val="18"/>
          <w:lang w:eastAsia="fr-BE"/>
        </w:rPr>
        <w:t>, </w:t>
      </w:r>
      <w:hyperlink r:id="rId7" w:history="1">
        <w:r w:rsidRPr="00171CA2">
          <w:rPr>
            <w:rFonts w:ascii="Arial" w:eastAsia="Times New Roman" w:hAnsi="Arial" w:cs="Arial"/>
            <w:color w:val="006ACC"/>
            <w:sz w:val="21"/>
            <w:szCs w:val="21"/>
            <w:lang w:eastAsia="fr-BE"/>
          </w:rPr>
          <w:t>Michel P. Hermans</w:t>
        </w:r>
      </w:hyperlink>
      <w:r w:rsidRPr="00171CA2">
        <w:rPr>
          <w:rFonts w:ascii="Arial" w:eastAsia="Times New Roman" w:hAnsi="Arial" w:cs="Arial"/>
          <w:color w:val="000000"/>
          <w:sz w:val="18"/>
          <w:szCs w:val="18"/>
          <w:lang w:eastAsia="fr-BE"/>
        </w:rPr>
        <w:t>, </w:t>
      </w:r>
      <w:r w:rsidRPr="00171CA2">
        <w:rPr>
          <w:rFonts w:ascii="Arial" w:eastAsia="Times New Roman" w:hAnsi="Arial" w:cs="Arial"/>
          <w:color w:val="555555"/>
          <w:sz w:val="21"/>
          <w:szCs w:val="21"/>
          <w:lang w:eastAsia="fr-BE"/>
        </w:rPr>
        <w:t>...</w:t>
      </w:r>
    </w:p>
    <w:p w:rsidR="00171CA2" w:rsidRPr="00171CA2" w:rsidRDefault="00171CA2" w:rsidP="00171CA2">
      <w:p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fr-BE"/>
        </w:rPr>
      </w:pPr>
      <w:r w:rsidRPr="00171CA2">
        <w:rPr>
          <w:rFonts w:ascii="Arial" w:eastAsia="Times New Roman" w:hAnsi="Arial" w:cs="Arial"/>
          <w:color w:val="555555"/>
          <w:sz w:val="21"/>
          <w:szCs w:val="21"/>
          <w:lang w:eastAsia="fr-BE"/>
        </w:rPr>
        <w:t>First Published October 18, 2018 Research Article </w:t>
      </w:r>
      <w:r>
        <w:rPr>
          <w:rFonts w:ascii="Arial" w:eastAsia="Times New Roman" w:hAnsi="Arial" w:cs="Arial"/>
          <w:noProof/>
          <w:color w:val="006ACC"/>
          <w:sz w:val="21"/>
          <w:szCs w:val="21"/>
          <w:lang w:eastAsia="fr-BE"/>
        </w:rPr>
        <mc:AlternateContent>
          <mc:Choice Requires="wps">
            <w:drawing>
              <wp:inline distT="0" distB="0" distL="0" distR="0">
                <wp:extent cx="952500" cy="952500"/>
                <wp:effectExtent l="0" t="0" r="0" b="0"/>
                <wp:docPr id="2" name="Rectangle 2" descr="https://journals.sagepub.com/templates/jsp/images/CROSSMARK_Color_horizontal.svg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https://journals.sagepub.com/templates/jsp/images/CROSSMARK_Color_horizontal.svg" href="https://crossmark.crossref.org/dialog?doi=10.1177%2F2047487318806359&amp;domain=journals.sagepub.com&amp;uri_scheme=https%3A&amp;cm_version=v2.0" style="width:7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71CA2" w:rsidRPr="00171CA2" w:rsidRDefault="00171CA2" w:rsidP="00171CA2">
      <w:p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fr-BE"/>
        </w:rPr>
      </w:pPr>
      <w:hyperlink r:id="rId9" w:history="1">
        <w:r w:rsidRPr="00171CA2">
          <w:rPr>
            <w:rFonts w:ascii="Arial" w:eastAsia="Times New Roman" w:hAnsi="Arial" w:cs="Arial"/>
            <w:color w:val="006ACC"/>
            <w:sz w:val="21"/>
            <w:szCs w:val="21"/>
            <w:lang w:eastAsia="fr-BE"/>
          </w:rPr>
          <w:t>https://doi.org/10.1177/2047487318806359</w:t>
        </w:r>
      </w:hyperlink>
    </w:p>
    <w:tbl>
      <w:tblPr>
        <w:tblW w:w="0" w:type="auto"/>
        <w:tblCellSpacing w:w="15" w:type="dxa"/>
        <w:tblCellMar>
          <w:top w:w="150" w:type="dxa"/>
          <w:left w:w="15" w:type="dxa"/>
          <w:bottom w:w="30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</w:tblGrid>
      <w:tr w:rsidR="00171CA2" w:rsidRPr="00171CA2" w:rsidTr="00171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CA2" w:rsidRPr="00171CA2" w:rsidRDefault="00171CA2" w:rsidP="00171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hyperlink r:id="rId10" w:history="1">
              <w:r w:rsidRPr="00171CA2">
                <w:rPr>
                  <w:rFonts w:ascii="Times New Roman" w:eastAsia="Times New Roman" w:hAnsi="Times New Roman" w:cs="Times New Roman"/>
                  <w:color w:val="006ACC"/>
                  <w:sz w:val="21"/>
                  <w:szCs w:val="21"/>
                  <w:lang w:eastAsia="fr-BE"/>
                </w:rPr>
                <w:t>Article information </w:t>
              </w:r>
            </w:hyperlink>
          </w:p>
        </w:tc>
      </w:tr>
      <w:tr w:rsidR="00171CA2" w:rsidRPr="00171CA2" w:rsidTr="00171C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CA2" w:rsidRPr="00171CA2" w:rsidRDefault="00171CA2" w:rsidP="00171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:rsidR="00171CA2" w:rsidRPr="00171CA2" w:rsidRDefault="00171CA2" w:rsidP="00171CA2">
      <w:p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fr-BE"/>
        </w:rPr>
      </w:pPr>
      <w:r w:rsidRPr="00171CA2">
        <w:rPr>
          <w:rFonts w:ascii="Arial" w:eastAsia="Times New Roman" w:hAnsi="Arial" w:cs="Arial"/>
          <w:color w:val="000000"/>
          <w:sz w:val="18"/>
          <w:szCs w:val="18"/>
          <w:lang w:eastAsia="fr-BE"/>
        </w:rPr>
        <w:t> </w: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fr-BE"/>
        </w:rPr>
        <w:drawing>
          <wp:inline distT="0" distB="0" distL="0" distR="0">
            <wp:extent cx="361950" cy="361950"/>
            <wp:effectExtent l="0" t="0" r="0" b="0"/>
            <wp:docPr id="1" name="Image 1" descr="No 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Acces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CA2" w:rsidRPr="00171CA2" w:rsidRDefault="00171CA2" w:rsidP="00171CA2">
      <w:pPr>
        <w:shd w:val="clear" w:color="auto" w:fill="FFFFFF"/>
        <w:outlineLvl w:val="1"/>
        <w:rPr>
          <w:rFonts w:ascii="Arial" w:eastAsia="Times New Roman" w:hAnsi="Arial" w:cs="Arial"/>
          <w:color w:val="555555"/>
          <w:sz w:val="33"/>
          <w:szCs w:val="33"/>
          <w:lang w:eastAsia="fr-BE"/>
        </w:rPr>
      </w:pPr>
      <w:bookmarkStart w:id="0" w:name="abstract"/>
      <w:bookmarkEnd w:id="0"/>
      <w:r w:rsidRPr="00171CA2">
        <w:rPr>
          <w:rFonts w:ascii="Arial" w:eastAsia="Times New Roman" w:hAnsi="Arial" w:cs="Arial"/>
          <w:color w:val="555555"/>
          <w:sz w:val="33"/>
          <w:szCs w:val="33"/>
          <w:lang w:eastAsia="fr-BE"/>
        </w:rPr>
        <w:t>Abstract</w:t>
      </w:r>
    </w:p>
    <w:p w:rsidR="00171CA2" w:rsidRPr="00171CA2" w:rsidRDefault="00171CA2" w:rsidP="00171CA2">
      <w:pPr>
        <w:shd w:val="clear" w:color="auto" w:fill="FFFFFF"/>
        <w:spacing w:before="100" w:beforeAutospacing="1" w:line="390" w:lineRule="atLeast"/>
        <w:outlineLvl w:val="1"/>
        <w:rPr>
          <w:rFonts w:ascii="Arial" w:eastAsia="Times New Roman" w:hAnsi="Arial" w:cs="Arial"/>
          <w:color w:val="555555"/>
          <w:sz w:val="33"/>
          <w:szCs w:val="33"/>
          <w:lang w:eastAsia="fr-BE"/>
        </w:rPr>
      </w:pPr>
      <w:bookmarkStart w:id="1" w:name="_i1"/>
      <w:bookmarkEnd w:id="1"/>
      <w:r w:rsidRPr="00171CA2">
        <w:rPr>
          <w:rFonts w:ascii="Arial" w:eastAsia="Times New Roman" w:hAnsi="Arial" w:cs="Arial"/>
          <w:color w:val="555555"/>
          <w:sz w:val="33"/>
          <w:szCs w:val="33"/>
          <w:lang w:eastAsia="fr-BE"/>
        </w:rPr>
        <w:t>Background</w:t>
      </w:r>
    </w:p>
    <w:p w:rsidR="00171CA2" w:rsidRPr="00171CA2" w:rsidRDefault="00171CA2" w:rsidP="00171CA2">
      <w:p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33333"/>
          <w:sz w:val="24"/>
          <w:szCs w:val="24"/>
          <w:lang w:eastAsia="fr-BE"/>
        </w:rPr>
      </w:pPr>
      <w:r w:rsidRPr="00171CA2">
        <w:rPr>
          <w:rFonts w:ascii="Arial" w:eastAsia="Times New Roman" w:hAnsi="Arial" w:cs="Arial"/>
          <w:color w:val="333333"/>
          <w:sz w:val="24"/>
          <w:szCs w:val="24"/>
          <w:lang w:eastAsia="fr-BE"/>
        </w:rPr>
        <w:t>Patients with coronary heart disease (CHD) and survivors of acute coronary syndrome (ACS) are at very high risk for adverse cardiovascular events. Lowering low-density lipoprotein cholesterol (LDL-C) can reduce the risk, with effective lipid-lowering therapy (LLT) readily available; however, dyslipidemia remains prevalent throughout Europe.</w:t>
      </w:r>
    </w:p>
    <w:p w:rsidR="00171CA2" w:rsidRPr="00171CA2" w:rsidRDefault="00171CA2" w:rsidP="00171CA2">
      <w:pPr>
        <w:shd w:val="clear" w:color="auto" w:fill="FFFFFF"/>
        <w:spacing w:before="100" w:beforeAutospacing="1" w:line="390" w:lineRule="atLeast"/>
        <w:outlineLvl w:val="1"/>
        <w:rPr>
          <w:rFonts w:ascii="Arial" w:eastAsia="Times New Roman" w:hAnsi="Arial" w:cs="Arial"/>
          <w:color w:val="555555"/>
          <w:sz w:val="33"/>
          <w:szCs w:val="33"/>
          <w:lang w:eastAsia="fr-BE"/>
        </w:rPr>
      </w:pPr>
      <w:bookmarkStart w:id="2" w:name="_i2"/>
      <w:bookmarkEnd w:id="2"/>
      <w:r w:rsidRPr="00171CA2">
        <w:rPr>
          <w:rFonts w:ascii="Arial" w:eastAsia="Times New Roman" w:hAnsi="Arial" w:cs="Arial"/>
          <w:color w:val="555555"/>
          <w:sz w:val="33"/>
          <w:szCs w:val="33"/>
          <w:lang w:eastAsia="fr-BE"/>
        </w:rPr>
        <w:t>Design</w:t>
      </w:r>
    </w:p>
    <w:p w:rsidR="00171CA2" w:rsidRPr="00171CA2" w:rsidRDefault="00171CA2" w:rsidP="00171CA2">
      <w:p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33333"/>
          <w:sz w:val="24"/>
          <w:szCs w:val="24"/>
          <w:lang w:eastAsia="fr-BE"/>
        </w:rPr>
      </w:pPr>
      <w:r w:rsidRPr="00171CA2">
        <w:rPr>
          <w:rFonts w:ascii="Arial" w:eastAsia="Times New Roman" w:hAnsi="Arial" w:cs="Arial"/>
          <w:color w:val="333333"/>
          <w:sz w:val="24"/>
          <w:szCs w:val="24"/>
          <w:lang w:eastAsia="fr-BE"/>
        </w:rPr>
        <w:t>The observational Dyslipidemia International Study II (DYSIS II) aimed to identify unmet treatment needs in adult ACS and CHD patients. Data for the seven participating European countries are presented herein.</w:t>
      </w:r>
    </w:p>
    <w:p w:rsidR="00171CA2" w:rsidRPr="00171CA2" w:rsidRDefault="00171CA2" w:rsidP="00171CA2">
      <w:pPr>
        <w:shd w:val="clear" w:color="auto" w:fill="FFFFFF"/>
        <w:spacing w:before="100" w:beforeAutospacing="1" w:line="390" w:lineRule="atLeast"/>
        <w:outlineLvl w:val="1"/>
        <w:rPr>
          <w:rFonts w:ascii="Arial" w:eastAsia="Times New Roman" w:hAnsi="Arial" w:cs="Arial"/>
          <w:color w:val="555555"/>
          <w:sz w:val="33"/>
          <w:szCs w:val="33"/>
          <w:lang w:eastAsia="fr-BE"/>
        </w:rPr>
      </w:pPr>
      <w:bookmarkStart w:id="3" w:name="_i3"/>
      <w:bookmarkEnd w:id="3"/>
      <w:r w:rsidRPr="00171CA2">
        <w:rPr>
          <w:rFonts w:ascii="Arial" w:eastAsia="Times New Roman" w:hAnsi="Arial" w:cs="Arial"/>
          <w:color w:val="555555"/>
          <w:sz w:val="33"/>
          <w:szCs w:val="33"/>
          <w:lang w:eastAsia="fr-BE"/>
        </w:rPr>
        <w:t>Methods</w:t>
      </w:r>
    </w:p>
    <w:p w:rsidR="00171CA2" w:rsidRPr="00171CA2" w:rsidRDefault="00171CA2" w:rsidP="00171CA2">
      <w:p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33333"/>
          <w:sz w:val="24"/>
          <w:szCs w:val="24"/>
          <w:lang w:eastAsia="fr-BE"/>
        </w:rPr>
      </w:pPr>
      <w:r w:rsidRPr="00171CA2">
        <w:rPr>
          <w:rFonts w:ascii="Arial" w:eastAsia="Times New Roman" w:hAnsi="Arial" w:cs="Arial"/>
          <w:color w:val="333333"/>
          <w:sz w:val="24"/>
          <w:szCs w:val="24"/>
          <w:lang w:eastAsia="fr-BE"/>
        </w:rPr>
        <w:t>The study was carried out from December 2012 to November 2014. Use of LLT and attainment of European-guideline-recommended LDL-C targets were assessed. For ACS patients, changes in lipid levels and LLT were evaluated 4 months post-hospitalization.</w:t>
      </w:r>
    </w:p>
    <w:p w:rsidR="00171CA2" w:rsidRPr="00171CA2" w:rsidRDefault="00171CA2" w:rsidP="00171CA2">
      <w:pPr>
        <w:shd w:val="clear" w:color="auto" w:fill="FFFFFF"/>
        <w:spacing w:before="100" w:beforeAutospacing="1" w:line="390" w:lineRule="atLeast"/>
        <w:outlineLvl w:val="1"/>
        <w:rPr>
          <w:rFonts w:ascii="Arial" w:eastAsia="Times New Roman" w:hAnsi="Arial" w:cs="Arial"/>
          <w:color w:val="555555"/>
          <w:sz w:val="33"/>
          <w:szCs w:val="33"/>
          <w:lang w:eastAsia="fr-BE"/>
        </w:rPr>
      </w:pPr>
      <w:bookmarkStart w:id="4" w:name="_i4"/>
      <w:bookmarkEnd w:id="4"/>
      <w:r w:rsidRPr="00171CA2">
        <w:rPr>
          <w:rFonts w:ascii="Arial" w:eastAsia="Times New Roman" w:hAnsi="Arial" w:cs="Arial"/>
          <w:color w:val="555555"/>
          <w:sz w:val="33"/>
          <w:szCs w:val="33"/>
          <w:lang w:eastAsia="fr-BE"/>
        </w:rPr>
        <w:t>Results</w:t>
      </w:r>
    </w:p>
    <w:p w:rsidR="00171CA2" w:rsidRPr="00171CA2" w:rsidRDefault="00171CA2" w:rsidP="00171CA2">
      <w:p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33333"/>
          <w:sz w:val="24"/>
          <w:szCs w:val="24"/>
          <w:lang w:eastAsia="fr-BE"/>
        </w:rPr>
      </w:pPr>
      <w:r w:rsidRPr="00171CA2">
        <w:rPr>
          <w:rFonts w:ascii="Arial" w:eastAsia="Times New Roman" w:hAnsi="Arial" w:cs="Arial"/>
          <w:color w:val="333333"/>
          <w:sz w:val="24"/>
          <w:szCs w:val="24"/>
          <w:lang w:eastAsia="fr-BE"/>
        </w:rPr>
        <w:lastRenderedPageBreak/>
        <w:t>Of the 4344 patients enrolled, 2946 were attending a physician visit for the assessment of stable CHD, while 1398 had been hospitalized for an ACS event. In both patient sets, mean LDL-C levels were high (89.5 and 112.5 mg/dl, respectively) and &lt;70 mg/dl target attainment extremely poor. The mean daily statin dosage (normalized to atorvastatin potency) was 27 ± 20 mg for CHD and 22 ± 17 mg for ACS patients. Treatment was intensified slightly for ACS subjects after hospitalization, with the dosage reaching 35 ± 24 mg/day. LDL-C target attainment was higher by the end of the 4-month follow up (30.9% and 41.5% for patients on LLT and without LLT at baseline, respectively; </w:t>
      </w:r>
      <w:r w:rsidRPr="00171CA2">
        <w:rPr>
          <w:rFonts w:ascii="Arial" w:eastAsia="Times New Roman" w:hAnsi="Arial" w:cs="Arial"/>
          <w:i/>
          <w:iCs/>
          <w:color w:val="333333"/>
          <w:sz w:val="24"/>
          <w:szCs w:val="24"/>
          <w:lang w:eastAsia="fr-BE"/>
        </w:rPr>
        <w:t>p</w:t>
      </w:r>
      <w:r w:rsidRPr="00171CA2">
        <w:rPr>
          <w:rFonts w:ascii="Arial" w:eastAsia="Times New Roman" w:hAnsi="Arial" w:cs="Arial"/>
          <w:color w:val="333333"/>
          <w:sz w:val="24"/>
          <w:szCs w:val="24"/>
          <w:lang w:eastAsia="fr-BE"/>
        </w:rPr>
        <w:t> &lt; 0.05).</w:t>
      </w:r>
    </w:p>
    <w:p w:rsidR="00171CA2" w:rsidRPr="00171CA2" w:rsidRDefault="00171CA2" w:rsidP="00171CA2">
      <w:pPr>
        <w:shd w:val="clear" w:color="auto" w:fill="FFFFFF"/>
        <w:spacing w:before="100" w:beforeAutospacing="1" w:line="390" w:lineRule="atLeast"/>
        <w:outlineLvl w:val="1"/>
        <w:rPr>
          <w:rFonts w:ascii="Arial" w:eastAsia="Times New Roman" w:hAnsi="Arial" w:cs="Arial"/>
          <w:color w:val="555555"/>
          <w:sz w:val="33"/>
          <w:szCs w:val="33"/>
          <w:lang w:eastAsia="fr-BE"/>
        </w:rPr>
      </w:pPr>
      <w:bookmarkStart w:id="5" w:name="_i5"/>
      <w:bookmarkEnd w:id="5"/>
      <w:r w:rsidRPr="00171CA2">
        <w:rPr>
          <w:rFonts w:ascii="Arial" w:eastAsia="Times New Roman" w:hAnsi="Arial" w:cs="Arial"/>
          <w:color w:val="555555"/>
          <w:sz w:val="33"/>
          <w:szCs w:val="33"/>
          <w:lang w:eastAsia="fr-BE"/>
        </w:rPr>
        <w:t>Conclusion</w:t>
      </w:r>
    </w:p>
    <w:p w:rsidR="00171CA2" w:rsidRPr="00171CA2" w:rsidRDefault="00171CA2" w:rsidP="00171CA2">
      <w:p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color w:val="333333"/>
          <w:sz w:val="24"/>
          <w:szCs w:val="24"/>
          <w:lang w:eastAsia="fr-BE"/>
        </w:rPr>
      </w:pPr>
      <w:r w:rsidRPr="00171CA2">
        <w:rPr>
          <w:rFonts w:ascii="Arial" w:eastAsia="Times New Roman" w:hAnsi="Arial" w:cs="Arial"/>
          <w:color w:val="333333"/>
          <w:sz w:val="24"/>
          <w:szCs w:val="24"/>
          <w:lang w:eastAsia="fr-BE"/>
        </w:rPr>
        <w:t>Elevated blood cholesterol levels are highly prevalent across Europe, with low numbers of coronary patients reaching their recommended LDL-C target. While use of LLT is widespread, there is significant scope for intensifying treatment.</w:t>
      </w:r>
    </w:p>
    <w:p w:rsidR="00171CA2" w:rsidRPr="00171CA2" w:rsidRDefault="00171CA2" w:rsidP="00171CA2">
      <w:pPr>
        <w:shd w:val="clear" w:color="auto" w:fill="FFFFFF"/>
        <w:rPr>
          <w:rFonts w:ascii="Arial" w:eastAsia="Times New Roman" w:hAnsi="Arial" w:cs="Arial"/>
          <w:color w:val="555555"/>
          <w:sz w:val="27"/>
          <w:szCs w:val="27"/>
          <w:lang w:eastAsia="fr-BE"/>
        </w:rPr>
      </w:pPr>
      <w:r w:rsidRPr="00171CA2">
        <w:rPr>
          <w:rFonts w:ascii="Arial" w:eastAsia="Times New Roman" w:hAnsi="Arial" w:cs="Arial"/>
          <w:b/>
          <w:bCs/>
          <w:color w:val="555555"/>
          <w:sz w:val="27"/>
          <w:szCs w:val="27"/>
          <w:lang w:eastAsia="fr-BE"/>
        </w:rPr>
        <w:t>Keywords </w:t>
      </w:r>
      <w:hyperlink r:id="rId12" w:history="1">
        <w:r w:rsidRPr="00171CA2">
          <w:rPr>
            <w:rFonts w:ascii="Arial" w:eastAsia="Times New Roman" w:hAnsi="Arial" w:cs="Arial"/>
            <w:color w:val="006ACC"/>
            <w:sz w:val="24"/>
            <w:szCs w:val="24"/>
            <w:lang w:eastAsia="fr-BE"/>
          </w:rPr>
          <w:t>Cholesterol</w:t>
        </w:r>
      </w:hyperlink>
      <w:r w:rsidRPr="00171CA2">
        <w:rPr>
          <w:rFonts w:ascii="Arial" w:eastAsia="Times New Roman" w:hAnsi="Arial" w:cs="Arial"/>
          <w:color w:val="555555"/>
          <w:sz w:val="27"/>
          <w:szCs w:val="27"/>
          <w:lang w:eastAsia="fr-BE"/>
        </w:rPr>
        <w:t>, </w:t>
      </w:r>
      <w:hyperlink r:id="rId13" w:history="1">
        <w:r w:rsidRPr="00171CA2">
          <w:rPr>
            <w:rFonts w:ascii="Arial" w:eastAsia="Times New Roman" w:hAnsi="Arial" w:cs="Arial"/>
            <w:color w:val="006ACC"/>
            <w:sz w:val="24"/>
            <w:szCs w:val="24"/>
            <w:lang w:eastAsia="fr-BE"/>
          </w:rPr>
          <w:t>dyslipidemia</w:t>
        </w:r>
      </w:hyperlink>
      <w:r w:rsidRPr="00171CA2">
        <w:rPr>
          <w:rFonts w:ascii="Arial" w:eastAsia="Times New Roman" w:hAnsi="Arial" w:cs="Arial"/>
          <w:color w:val="555555"/>
          <w:sz w:val="27"/>
          <w:szCs w:val="27"/>
          <w:lang w:eastAsia="fr-BE"/>
        </w:rPr>
        <w:t>, </w:t>
      </w:r>
      <w:hyperlink r:id="rId14" w:history="1">
        <w:r w:rsidRPr="00171CA2">
          <w:rPr>
            <w:rFonts w:ascii="Arial" w:eastAsia="Times New Roman" w:hAnsi="Arial" w:cs="Arial"/>
            <w:color w:val="006ACC"/>
            <w:sz w:val="24"/>
            <w:szCs w:val="24"/>
            <w:lang w:eastAsia="fr-BE"/>
          </w:rPr>
          <w:t>coronary heart disease</w:t>
        </w:r>
      </w:hyperlink>
      <w:r w:rsidRPr="00171CA2">
        <w:rPr>
          <w:rFonts w:ascii="Arial" w:eastAsia="Times New Roman" w:hAnsi="Arial" w:cs="Arial"/>
          <w:color w:val="555555"/>
          <w:sz w:val="27"/>
          <w:szCs w:val="27"/>
          <w:lang w:eastAsia="fr-BE"/>
        </w:rPr>
        <w:t>, </w:t>
      </w:r>
      <w:hyperlink r:id="rId15" w:history="1">
        <w:r w:rsidRPr="00171CA2">
          <w:rPr>
            <w:rFonts w:ascii="Arial" w:eastAsia="Times New Roman" w:hAnsi="Arial" w:cs="Arial"/>
            <w:color w:val="006ACC"/>
            <w:sz w:val="24"/>
            <w:szCs w:val="24"/>
            <w:lang w:eastAsia="fr-BE"/>
          </w:rPr>
          <w:t>acute coronary syndrome</w:t>
        </w:r>
      </w:hyperlink>
      <w:r w:rsidRPr="00171CA2">
        <w:rPr>
          <w:rFonts w:ascii="Arial" w:eastAsia="Times New Roman" w:hAnsi="Arial" w:cs="Arial"/>
          <w:color w:val="555555"/>
          <w:sz w:val="27"/>
          <w:szCs w:val="27"/>
          <w:lang w:eastAsia="fr-BE"/>
        </w:rPr>
        <w:t>, </w:t>
      </w:r>
      <w:hyperlink r:id="rId16" w:history="1">
        <w:r w:rsidRPr="00171CA2">
          <w:rPr>
            <w:rFonts w:ascii="Arial" w:eastAsia="Times New Roman" w:hAnsi="Arial" w:cs="Arial"/>
            <w:color w:val="006ACC"/>
            <w:sz w:val="24"/>
            <w:szCs w:val="24"/>
            <w:lang w:eastAsia="fr-BE"/>
          </w:rPr>
          <w:t>statins</w:t>
        </w:r>
      </w:hyperlink>
    </w:p>
    <w:p w:rsidR="00ED4840" w:rsidRDefault="00ED4840">
      <w:bookmarkStart w:id="6" w:name="_GoBack"/>
      <w:bookmarkEnd w:id="6"/>
    </w:p>
    <w:sectPr w:rsidR="00ED4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A2"/>
    <w:rsid w:val="00171CA2"/>
    <w:rsid w:val="00ED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71C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2">
    <w:name w:val="heading 2"/>
    <w:basedOn w:val="Normal"/>
    <w:link w:val="Titre2Car"/>
    <w:uiPriority w:val="9"/>
    <w:qFormat/>
    <w:rsid w:val="00171C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1CA2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2Car">
    <w:name w:val="Titre 2 Car"/>
    <w:basedOn w:val="Policepardfaut"/>
    <w:link w:val="Titre2"/>
    <w:uiPriority w:val="9"/>
    <w:rsid w:val="00171CA2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expandable-author">
    <w:name w:val="expandable-author"/>
    <w:basedOn w:val="Policepardfaut"/>
    <w:rsid w:val="00171CA2"/>
  </w:style>
  <w:style w:type="character" w:customStyle="1" w:styleId="contribdegrees">
    <w:name w:val="contribdegrees"/>
    <w:basedOn w:val="Policepardfaut"/>
    <w:rsid w:val="00171CA2"/>
  </w:style>
  <w:style w:type="character" w:styleId="Lienhypertexte">
    <w:name w:val="Hyperlink"/>
    <w:basedOn w:val="Policepardfaut"/>
    <w:uiPriority w:val="99"/>
    <w:semiHidden/>
    <w:unhideWhenUsed/>
    <w:rsid w:val="00171CA2"/>
    <w:rPr>
      <w:color w:val="0000FF"/>
      <w:u w:val="single"/>
    </w:rPr>
  </w:style>
  <w:style w:type="character" w:customStyle="1" w:styleId="more-than">
    <w:name w:val="more-than"/>
    <w:basedOn w:val="Policepardfaut"/>
    <w:rsid w:val="00171CA2"/>
  </w:style>
  <w:style w:type="character" w:customStyle="1" w:styleId="publicationcontentepubdate">
    <w:name w:val="publicationcontentepubdate"/>
    <w:basedOn w:val="Policepardfaut"/>
    <w:rsid w:val="00171CA2"/>
  </w:style>
  <w:style w:type="character" w:customStyle="1" w:styleId="articletype">
    <w:name w:val="articletype"/>
    <w:basedOn w:val="Policepardfaut"/>
    <w:rsid w:val="00171CA2"/>
  </w:style>
  <w:style w:type="character" w:customStyle="1" w:styleId="crossmark">
    <w:name w:val="crossmark"/>
    <w:basedOn w:val="Policepardfaut"/>
    <w:rsid w:val="00171CA2"/>
  </w:style>
  <w:style w:type="character" w:customStyle="1" w:styleId="section">
    <w:name w:val="section"/>
    <w:basedOn w:val="Policepardfaut"/>
    <w:rsid w:val="00171CA2"/>
  </w:style>
  <w:style w:type="paragraph" w:styleId="NormalWeb">
    <w:name w:val="Normal (Web)"/>
    <w:basedOn w:val="Normal"/>
    <w:uiPriority w:val="99"/>
    <w:semiHidden/>
    <w:unhideWhenUsed/>
    <w:rsid w:val="00171C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1C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1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71C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2">
    <w:name w:val="heading 2"/>
    <w:basedOn w:val="Normal"/>
    <w:link w:val="Titre2Car"/>
    <w:uiPriority w:val="9"/>
    <w:qFormat/>
    <w:rsid w:val="00171C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1CA2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2Car">
    <w:name w:val="Titre 2 Car"/>
    <w:basedOn w:val="Policepardfaut"/>
    <w:link w:val="Titre2"/>
    <w:uiPriority w:val="9"/>
    <w:rsid w:val="00171CA2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expandable-author">
    <w:name w:val="expandable-author"/>
    <w:basedOn w:val="Policepardfaut"/>
    <w:rsid w:val="00171CA2"/>
  </w:style>
  <w:style w:type="character" w:customStyle="1" w:styleId="contribdegrees">
    <w:name w:val="contribdegrees"/>
    <w:basedOn w:val="Policepardfaut"/>
    <w:rsid w:val="00171CA2"/>
  </w:style>
  <w:style w:type="character" w:styleId="Lienhypertexte">
    <w:name w:val="Hyperlink"/>
    <w:basedOn w:val="Policepardfaut"/>
    <w:uiPriority w:val="99"/>
    <w:semiHidden/>
    <w:unhideWhenUsed/>
    <w:rsid w:val="00171CA2"/>
    <w:rPr>
      <w:color w:val="0000FF"/>
      <w:u w:val="single"/>
    </w:rPr>
  </w:style>
  <w:style w:type="character" w:customStyle="1" w:styleId="more-than">
    <w:name w:val="more-than"/>
    <w:basedOn w:val="Policepardfaut"/>
    <w:rsid w:val="00171CA2"/>
  </w:style>
  <w:style w:type="character" w:customStyle="1" w:styleId="publicationcontentepubdate">
    <w:name w:val="publicationcontentepubdate"/>
    <w:basedOn w:val="Policepardfaut"/>
    <w:rsid w:val="00171CA2"/>
  </w:style>
  <w:style w:type="character" w:customStyle="1" w:styleId="articletype">
    <w:name w:val="articletype"/>
    <w:basedOn w:val="Policepardfaut"/>
    <w:rsid w:val="00171CA2"/>
  </w:style>
  <w:style w:type="character" w:customStyle="1" w:styleId="crossmark">
    <w:name w:val="crossmark"/>
    <w:basedOn w:val="Policepardfaut"/>
    <w:rsid w:val="00171CA2"/>
  </w:style>
  <w:style w:type="character" w:customStyle="1" w:styleId="section">
    <w:name w:val="section"/>
    <w:basedOn w:val="Policepardfaut"/>
    <w:rsid w:val="00171CA2"/>
  </w:style>
  <w:style w:type="paragraph" w:styleId="NormalWeb">
    <w:name w:val="Normal (Web)"/>
    <w:basedOn w:val="Normal"/>
    <w:uiPriority w:val="99"/>
    <w:semiHidden/>
    <w:unhideWhenUsed/>
    <w:rsid w:val="00171C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1C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1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2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985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957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1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7267749">
                  <w:marLeft w:val="0"/>
                  <w:marRight w:val="0"/>
                  <w:marTop w:val="3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98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18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5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4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22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8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29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36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818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74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561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94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622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336003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92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85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485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2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9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34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6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64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72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6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4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85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1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65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24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49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63618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6770">
                              <w:marLeft w:val="30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ssmark.crossref.org/dialog?doi=10.1177%2F2047487318806359&amp;domain=journals.sagepub.com&amp;uri_scheme=https%3A&amp;cm_version=v2.0" TargetMode="External"/><Relationship Id="rId13" Type="http://schemas.openxmlformats.org/officeDocument/2006/relationships/hyperlink" Target="https://journals.sagepub.com/keyword/Dyslipidem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urnals.sagepub.com/doi/abs/10.1177/2047487318806359?journalCode=cprc" TargetMode="External"/><Relationship Id="rId12" Type="http://schemas.openxmlformats.org/officeDocument/2006/relationships/hyperlink" Target="https://journals.sagepub.com/keyword/Cholestero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journals.sagepub.com/keyword/Statins" TargetMode="External"/><Relationship Id="rId1" Type="http://schemas.openxmlformats.org/officeDocument/2006/relationships/styles" Target="styles.xml"/><Relationship Id="rId6" Type="http://schemas.openxmlformats.org/officeDocument/2006/relationships/hyperlink" Target="https://journals.sagepub.com/doi/abs/10.1177/2047487318806359?journalCode=cprc" TargetMode="External"/><Relationship Id="rId11" Type="http://schemas.openxmlformats.org/officeDocument/2006/relationships/image" Target="media/image1.gif"/><Relationship Id="rId5" Type="http://schemas.openxmlformats.org/officeDocument/2006/relationships/hyperlink" Target="https://journals.sagepub.com/doi/abs/10.1177/2047487318806359?journalCode=cprc" TargetMode="External"/><Relationship Id="rId15" Type="http://schemas.openxmlformats.org/officeDocument/2006/relationships/hyperlink" Target="https://journals.sagepub.com/keyword/Acute+Coronary+Syndrome" TargetMode="External"/><Relationship Id="rId10" Type="http://schemas.openxmlformats.org/officeDocument/2006/relationships/hyperlink" Target="https://journals.sagepub.com/doi/abs/10.1177/2047487318806359?journalCode=cpr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%2F2047487318806359" TargetMode="External"/><Relationship Id="rId14" Type="http://schemas.openxmlformats.org/officeDocument/2006/relationships/hyperlink" Target="https://journals.sagepub.com/keyword/Coronary+Heart+Diseas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2542</Characters>
  <Application>Microsoft Office Word</Application>
  <DocSecurity>0</DocSecurity>
  <Lines>21</Lines>
  <Paragraphs>5</Paragraphs>
  <ScaleCrop>false</ScaleCrop>
  <Company>Cliniques Universitaires Saint-Luc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LECOCQ Roxane</dc:creator>
  <cp:lastModifiedBy>LECOCQ Roxane</cp:lastModifiedBy>
  <cp:revision>1</cp:revision>
  <dcterms:created xsi:type="dcterms:W3CDTF">2019-05-07T09:19:00Z</dcterms:created>
  <dcterms:modified xsi:type="dcterms:W3CDTF">2019-05-07T09:19:00Z</dcterms:modified>
</cp:coreProperties>
</file>