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10C" w:rsidRPr="0049610C" w:rsidRDefault="0049610C" w:rsidP="002C225C">
      <w:pPr>
        <w:rPr>
          <w:lang w:val="de-DE"/>
        </w:rPr>
      </w:pPr>
      <w:r w:rsidRPr="0049610C">
        <w:t xml:space="preserve">Session </w:t>
      </w:r>
      <w:proofErr w:type="gramStart"/>
      <w:r w:rsidRPr="0049610C">
        <w:t>III :</w:t>
      </w:r>
      <w:proofErr w:type="gramEnd"/>
      <w:r w:rsidRPr="0049610C">
        <w:t xml:space="preserve"> Perspectives on the Mutual Integration of Sacramental Realities</w:t>
      </w:r>
    </w:p>
    <w:p w:rsidR="001E5DFF" w:rsidRPr="00E46095" w:rsidRDefault="001E5DFF" w:rsidP="002C225C">
      <w:pPr>
        <w:pStyle w:val="Titre"/>
      </w:pPr>
      <w:r w:rsidRPr="00E46095">
        <w:t xml:space="preserve">Baptism, </w:t>
      </w:r>
      <w:r w:rsidRPr="00F1026F">
        <w:rPr>
          <w:i/>
        </w:rPr>
        <w:t>Assembly</w:t>
      </w:r>
      <w:r w:rsidRPr="00E46095">
        <w:t xml:space="preserve"> and Ministry</w:t>
      </w:r>
    </w:p>
    <w:p w:rsidR="0049610C" w:rsidRPr="001E5DFF" w:rsidRDefault="00E46095" w:rsidP="002C225C">
      <w:pPr>
        <w:jc w:val="center"/>
      </w:pPr>
      <w:r>
        <w:t xml:space="preserve">Prof. </w:t>
      </w:r>
      <w:r w:rsidR="0049610C">
        <w:t>A</w:t>
      </w:r>
      <w:r w:rsidR="0049610C" w:rsidRPr="001E5DFF">
        <w:t>rnaud Join-Lambert</w:t>
      </w:r>
      <w:r w:rsidR="002C225C">
        <w:t xml:space="preserve"> (UCLouvain, Belgium)</w:t>
      </w:r>
    </w:p>
    <w:p w:rsidR="008D3990" w:rsidRDefault="008D3990" w:rsidP="002C225C"/>
    <w:p w:rsidR="001E5DFF" w:rsidRPr="008B3353" w:rsidRDefault="001E5DFF" w:rsidP="002C225C">
      <w:r w:rsidRPr="008B3353">
        <w:t>Ecumenism</w:t>
      </w:r>
      <w:r w:rsidR="003A22FE" w:rsidRPr="008B3353">
        <w:t xml:space="preserve"> was a part of </w:t>
      </w:r>
      <w:r w:rsidRPr="008B3353">
        <w:t xml:space="preserve">my </w:t>
      </w:r>
      <w:r w:rsidR="003A22FE" w:rsidRPr="008B3353">
        <w:t xml:space="preserve">very first </w:t>
      </w:r>
      <w:r w:rsidRPr="008B3353">
        <w:t xml:space="preserve">theological studies, since I took my Master’s degree in Paris with this specialization. </w:t>
      </w:r>
      <w:r w:rsidR="002C2712" w:rsidRPr="008B3353">
        <w:t>Later on, my primary contacts were with the Reformed world. In the field of liturgical and sacrame</w:t>
      </w:r>
      <w:bookmarkStart w:id="0" w:name="_GoBack"/>
      <w:bookmarkEnd w:id="0"/>
      <w:r w:rsidR="002C2712" w:rsidRPr="008B3353">
        <w:t xml:space="preserve">ntal theology, I have discovered and appreciated the Anglican theologians through their writings, and especially in the </w:t>
      </w:r>
      <w:proofErr w:type="spellStart"/>
      <w:r w:rsidR="002C2712" w:rsidRPr="008B3353">
        <w:rPr>
          <w:i/>
        </w:rPr>
        <w:t>Societas</w:t>
      </w:r>
      <w:proofErr w:type="spellEnd"/>
      <w:r w:rsidR="002C2712" w:rsidRPr="008B3353">
        <w:rPr>
          <w:i/>
        </w:rPr>
        <w:t xml:space="preserve"> </w:t>
      </w:r>
      <w:proofErr w:type="spellStart"/>
      <w:r w:rsidR="002C2712" w:rsidRPr="008B3353">
        <w:rPr>
          <w:i/>
        </w:rPr>
        <w:t>liturgica</w:t>
      </w:r>
      <w:proofErr w:type="spellEnd"/>
      <w:r w:rsidR="002C2712" w:rsidRPr="008B3353">
        <w:rPr>
          <w:i/>
        </w:rPr>
        <w:t xml:space="preserve">. </w:t>
      </w:r>
      <w:r w:rsidR="002C2712" w:rsidRPr="008B3353">
        <w:t xml:space="preserve">This academic society studies the </w:t>
      </w:r>
      <w:r w:rsidR="00D57774" w:rsidRPr="008B3353">
        <w:t xml:space="preserve">liturgy, </w:t>
      </w:r>
      <w:r w:rsidR="0049610C" w:rsidRPr="008B3353">
        <w:t>“the summit toward which the activity of the Church is directed; at the same time it is the font</w:t>
      </w:r>
      <w:r w:rsidR="003B7342" w:rsidRPr="008B3353">
        <w:t xml:space="preserve"> from which all her power flows”</w:t>
      </w:r>
      <w:r w:rsidR="0049610C" w:rsidRPr="008B3353">
        <w:t xml:space="preserve"> (</w:t>
      </w:r>
      <w:proofErr w:type="spellStart"/>
      <w:r w:rsidR="0049610C" w:rsidRPr="008B3353">
        <w:rPr>
          <w:i/>
        </w:rPr>
        <w:t>Sacrosanctum</w:t>
      </w:r>
      <w:proofErr w:type="spellEnd"/>
      <w:r w:rsidR="0049610C" w:rsidRPr="008B3353">
        <w:rPr>
          <w:i/>
        </w:rPr>
        <w:t xml:space="preserve"> </w:t>
      </w:r>
      <w:proofErr w:type="spellStart"/>
      <w:r w:rsidR="0049610C" w:rsidRPr="008B3353">
        <w:rPr>
          <w:i/>
        </w:rPr>
        <w:t>Concilium</w:t>
      </w:r>
      <w:proofErr w:type="spellEnd"/>
      <w:r w:rsidR="0049610C" w:rsidRPr="008B3353">
        <w:t xml:space="preserve"> 10). This society</w:t>
      </w:r>
      <w:r w:rsidR="002C2712" w:rsidRPr="008B3353">
        <w:t xml:space="preserve"> makes no distinctions between the confessions. In any case, it was very difficult, in my experience, to distinguish the Catholics from the Anglicans.</w:t>
      </w:r>
    </w:p>
    <w:p w:rsidR="002C2712" w:rsidRPr="00F40928" w:rsidRDefault="0049610C" w:rsidP="002C225C">
      <w:r w:rsidRPr="00F40928">
        <w:t>To respond to the request of Fr. Thomas Pott to contribute to the session « Perspectives on the Mutual Integration of Sacramental Realities »</w:t>
      </w:r>
      <w:proofErr w:type="gramStart"/>
      <w:r w:rsidRPr="00F40928">
        <w:t>;</w:t>
      </w:r>
      <w:proofErr w:type="gramEnd"/>
      <w:r w:rsidRPr="00F40928">
        <w:t xml:space="preserve"> m</w:t>
      </w:r>
      <w:r w:rsidR="002C2712" w:rsidRPr="00F40928">
        <w:t xml:space="preserve">y reflections began with a question: How is it possible to </w:t>
      </w:r>
      <w:r w:rsidRPr="00F40928">
        <w:t>boost</w:t>
      </w:r>
      <w:r w:rsidR="002C2712" w:rsidRPr="00F40928">
        <w:t xml:space="preserve"> the discussions between Catholics and Anglicans in a context that has changed profoundly?</w:t>
      </w:r>
    </w:p>
    <w:p w:rsidR="002C2712" w:rsidRDefault="002C2712" w:rsidP="002C225C">
      <w:r>
        <w:tab/>
        <w:t>I have worked a great deal in the field of practical theology</w:t>
      </w:r>
      <w:r w:rsidR="00032E75">
        <w:t xml:space="preserve"> – since </w:t>
      </w:r>
      <w:r>
        <w:t>I am in charge of two areas in my Faculty</w:t>
      </w:r>
      <w:r w:rsidR="00032E75">
        <w:t xml:space="preserve"> – on </w:t>
      </w:r>
      <w:r>
        <w:t xml:space="preserve">mission, </w:t>
      </w:r>
      <w:r w:rsidR="003A22FE">
        <w:t xml:space="preserve">on </w:t>
      </w:r>
      <w:r>
        <w:t xml:space="preserve">the proclamation of the Gospel in the new context of </w:t>
      </w:r>
      <w:r w:rsidR="00A636E4">
        <w:t xml:space="preserve">liquid </w:t>
      </w:r>
      <w:r>
        <w:t>modern</w:t>
      </w:r>
      <w:r w:rsidR="00A636E4">
        <w:t>ity</w:t>
      </w:r>
      <w:r>
        <w:t xml:space="preserve">. It seems to me that I could benefit our conversations </w:t>
      </w:r>
      <w:r w:rsidR="003A22FE">
        <w:t>through the “cross-fertilization” of</w:t>
      </w:r>
      <w:r>
        <w:t xml:space="preserve"> my two fields of research</w:t>
      </w:r>
      <w:r w:rsidR="00A636E4">
        <w:t>: liturgical studies and practical theology</w:t>
      </w:r>
      <w:r>
        <w:t>. I hope</w:t>
      </w:r>
      <w:r w:rsidR="003A22FE">
        <w:t>,</w:t>
      </w:r>
      <w:r>
        <w:t xml:space="preserve"> in any case</w:t>
      </w:r>
      <w:r w:rsidR="003A22FE">
        <w:t>,</w:t>
      </w:r>
      <w:r>
        <w:t xml:space="preserve"> for reactions from you that will take us all forward.</w:t>
      </w:r>
    </w:p>
    <w:p w:rsidR="002C2712" w:rsidRPr="008D5CCD" w:rsidRDefault="002C2712" w:rsidP="002C225C">
      <w:r w:rsidRPr="008D5CCD">
        <w:tab/>
        <w:t xml:space="preserve">I would like to formulate my question differently: What are the paths that the official dialogues </w:t>
      </w:r>
      <w:proofErr w:type="gramStart"/>
      <w:r w:rsidRPr="008D5CCD">
        <w:t xml:space="preserve">have not </w:t>
      </w:r>
      <w:r w:rsidR="00D57774" w:rsidRPr="008D5CCD">
        <w:t xml:space="preserve">been </w:t>
      </w:r>
      <w:r w:rsidRPr="008D5CCD">
        <w:t>truly explored</w:t>
      </w:r>
      <w:proofErr w:type="gramEnd"/>
      <w:r w:rsidRPr="008D5CCD">
        <w:t>, above all because of the methodology th</w:t>
      </w:r>
      <w:r w:rsidR="00C55452" w:rsidRPr="008D5CCD">
        <w:t>at th</w:t>
      </w:r>
      <w:r w:rsidRPr="008D5CCD">
        <w:t>ey have employed?</w:t>
      </w:r>
      <w:r w:rsidR="00EE421B" w:rsidRPr="008D5CCD">
        <w:t xml:space="preserve"> I quote Jeremy Morris at the end of the fifth Meeting of the Group in </w:t>
      </w:r>
      <w:r w:rsidR="00FB6494" w:rsidRPr="008D5CCD">
        <w:t>Cambridge:</w:t>
      </w:r>
      <w:r w:rsidR="00EE421B" w:rsidRPr="008D5CCD">
        <w:t xml:space="preserve"> « we need to come at things slantwise, (…) pointing out perspectives or angles that more official discussions have neglected.”</w:t>
      </w:r>
      <w:r w:rsidR="00EE421B" w:rsidRPr="008D5CCD">
        <w:rPr>
          <w:rStyle w:val="Appelnotedebasdep"/>
          <w:sz w:val="22"/>
        </w:rPr>
        <w:footnoteReference w:id="1"/>
      </w:r>
    </w:p>
    <w:p w:rsidR="00F649E7" w:rsidRDefault="00F649E7" w:rsidP="002C225C">
      <w:pPr>
        <w:pStyle w:val="Titre1"/>
      </w:pPr>
      <w:bookmarkStart w:id="1" w:name="_Toc3994612"/>
      <w:r>
        <w:t>Contents</w:t>
      </w:r>
      <w:bookmarkEnd w:id="1"/>
    </w:p>
    <w:p w:rsidR="00F649E7" w:rsidRDefault="00F649E7" w:rsidP="002C225C">
      <w:r>
        <w:t>Let me state clearly the</w:t>
      </w:r>
      <w:r w:rsidR="00747493">
        <w:t xml:space="preserve"> point I shall make in this </w:t>
      </w:r>
      <w:r w:rsidR="00A636E4">
        <w:t>paper</w:t>
      </w:r>
      <w:r w:rsidR="00747493">
        <w:t xml:space="preserve">. The title evokes three terms, and it seems to me that a great deal of work </w:t>
      </w:r>
      <w:proofErr w:type="gramStart"/>
      <w:r w:rsidR="00747493">
        <w:t>has already been done</w:t>
      </w:r>
      <w:proofErr w:type="gramEnd"/>
      <w:r w:rsidR="00747493">
        <w:t xml:space="preserve"> on two of them</w:t>
      </w:r>
      <w:r w:rsidR="0039575B">
        <w:t xml:space="preserve"> (in the </w:t>
      </w:r>
      <w:r w:rsidR="0039575B" w:rsidRPr="0039575B">
        <w:rPr>
          <w:i/>
        </w:rPr>
        <w:t>Malines Conversations</w:t>
      </w:r>
      <w:r w:rsidR="0039575B" w:rsidRPr="0039575B">
        <w:t xml:space="preserve">, </w:t>
      </w:r>
      <w:r w:rsidR="0039575B">
        <w:t xml:space="preserve">in the </w:t>
      </w:r>
      <w:r w:rsidR="0039575B" w:rsidRPr="0039575B">
        <w:t xml:space="preserve">BEM </w:t>
      </w:r>
      <w:r w:rsidR="0039575B">
        <w:t xml:space="preserve">of </w:t>
      </w:r>
      <w:r w:rsidR="0039575B" w:rsidRPr="0039575B">
        <w:rPr>
          <w:i/>
        </w:rPr>
        <w:t xml:space="preserve">Faith and Order </w:t>
      </w:r>
      <w:r w:rsidR="0039575B">
        <w:t xml:space="preserve">and in the works and documents of the </w:t>
      </w:r>
      <w:r w:rsidR="0039575B" w:rsidRPr="0039575B">
        <w:t>ARCIC</w:t>
      </w:r>
      <w:r w:rsidR="0039575B">
        <w:t>)</w:t>
      </w:r>
      <w:r w:rsidR="00747493">
        <w:t>.</w:t>
      </w:r>
    </w:p>
    <w:p w:rsidR="00747493" w:rsidRDefault="00747493" w:rsidP="002C225C">
      <w:r>
        <w:tab/>
        <w:t xml:space="preserve">I could offer the following </w:t>
      </w:r>
      <w:r w:rsidR="00A636E4">
        <w:t xml:space="preserve">summary, almost a </w:t>
      </w:r>
      <w:r>
        <w:t>caricature:</w:t>
      </w:r>
    </w:p>
    <w:p w:rsidR="00747493" w:rsidRDefault="00747493" w:rsidP="002C225C">
      <w:r>
        <w:tab/>
      </w:r>
      <w:r>
        <w:rPr>
          <w:i/>
        </w:rPr>
        <w:t>Baptism</w:t>
      </w:r>
      <w:r>
        <w:t xml:space="preserve">: there is no problem. The reciprocal recognitions are effective and have a solid foundation in a theology that is well known. But things are not quite so simple, because both </w:t>
      </w:r>
      <w:r>
        <w:lastRenderedPageBreak/>
        <w:t>Anglicans and Catholics know immense numbers of baptized persons who do not confess, or who no longer confess, the Christian faith. This, however, is no longer a difficulty between the churches. It is a difficulty that we share, both in theological and in pastoral terms, within each church.</w:t>
      </w:r>
    </w:p>
    <w:p w:rsidR="00747493" w:rsidRDefault="00747493" w:rsidP="002C225C">
      <w:pPr>
        <w:rPr>
          <w:i/>
        </w:rPr>
      </w:pPr>
      <w:r>
        <w:tab/>
      </w:r>
      <w:r w:rsidR="00D65369">
        <w:rPr>
          <w:i/>
        </w:rPr>
        <w:t>Ministry</w:t>
      </w:r>
      <w:r w:rsidR="00D65369">
        <w:t xml:space="preserve">: </w:t>
      </w:r>
      <w:r w:rsidR="00D65369">
        <w:rPr>
          <w:i/>
        </w:rPr>
        <w:t xml:space="preserve">a priori, </w:t>
      </w:r>
      <w:r w:rsidR="00D65369">
        <w:t xml:space="preserve">this is the most difficult problem, the one on which the dialogues stumble. The question </w:t>
      </w:r>
      <w:proofErr w:type="gramStart"/>
      <w:r w:rsidR="00D65369">
        <w:t>has been worked on</w:t>
      </w:r>
      <w:proofErr w:type="gramEnd"/>
      <w:r w:rsidR="00D65369">
        <w:t xml:space="preserve"> since the historic </w:t>
      </w:r>
      <w:r w:rsidR="00D65369">
        <w:rPr>
          <w:i/>
        </w:rPr>
        <w:t xml:space="preserve">Malines Conversations, </w:t>
      </w:r>
      <w:r w:rsidR="00D65369">
        <w:t>and even earlier, during the nineteenth century</w:t>
      </w:r>
      <w:r w:rsidR="0039575B">
        <w:rPr>
          <w:rStyle w:val="Appelnotedebasdep"/>
          <w:lang w:val="fr-BE"/>
        </w:rPr>
        <w:footnoteReference w:id="2"/>
      </w:r>
      <w:r w:rsidR="00D65369">
        <w:t>. It seems to</w:t>
      </w:r>
      <w:r w:rsidR="00C55452">
        <w:t xml:space="preserve"> me</w:t>
      </w:r>
      <w:r w:rsidR="00D65369">
        <w:t xml:space="preserve">, however, that it is an obstacle that could be removed, if we gave this question </w:t>
      </w:r>
      <w:r w:rsidR="00032E75">
        <w:t xml:space="preserve">the second (not: secondary) position after the question of the </w:t>
      </w:r>
      <w:r w:rsidR="00032E75">
        <w:rPr>
          <w:i/>
        </w:rPr>
        <w:t>Assembly.</w:t>
      </w:r>
    </w:p>
    <w:p w:rsidR="00032E75" w:rsidRDefault="00032E75" w:rsidP="002C225C">
      <w:r>
        <w:rPr>
          <w:i/>
        </w:rPr>
        <w:tab/>
        <w:t>Assembly</w:t>
      </w:r>
      <w:r>
        <w:t xml:space="preserve">: is not this the last of the three </w:t>
      </w:r>
      <w:r w:rsidR="00A636E4">
        <w:t>terms</w:t>
      </w:r>
      <w:r>
        <w:t xml:space="preserve"> that one thinks of – although it is perhaps the front door, and we ought to make use of it? Is it not the assembly that is always the first in chronologica</w:t>
      </w:r>
      <w:r w:rsidR="00C55452">
        <w:t>l terms? It is prior to baptism</w:t>
      </w:r>
      <w:r>
        <w:t xml:space="preserve"> and</w:t>
      </w:r>
      <w:r w:rsidR="00C55452">
        <w:t>,</w:t>
      </w:r>
      <w:r>
        <w:t xml:space="preserve"> of course, prior to ministries. There is always an assembly that precedes the particular sacramental realities. From the theological point of view, one can take account of this by affirming that the assembly is, </w:t>
      </w:r>
      <w:r w:rsidR="00C55452">
        <w:t>in fact</w:t>
      </w:r>
      <w:r>
        <w:t>, a sacramental reality.</w:t>
      </w:r>
    </w:p>
    <w:p w:rsidR="00032E75" w:rsidRPr="006F2E85" w:rsidRDefault="00032E75" w:rsidP="002C225C">
      <w:r w:rsidRPr="006F2E85">
        <w:tab/>
        <w:t>With this in mind, I propose to take the following path. (1) I s</w:t>
      </w:r>
      <w:r w:rsidR="00C55452" w:rsidRPr="006F2E85">
        <w:t>hall begin by speaking about</w:t>
      </w:r>
      <w:r w:rsidRPr="006F2E85">
        <w:t xml:space="preserve"> faith, and in particular about the experience of faith.</w:t>
      </w:r>
      <w:r w:rsidR="00C755B4" w:rsidRPr="006F2E85">
        <w:t xml:space="preserve"> These are reflections that I have presented in various places</w:t>
      </w:r>
      <w:r w:rsidR="00C55452" w:rsidRPr="006F2E85">
        <w:t xml:space="preserve"> over the past few years, and that I </w:t>
      </w:r>
      <w:r w:rsidR="00C755B4" w:rsidRPr="006F2E85">
        <w:t xml:space="preserve">publish in various contexts. In November 2018, I presented this way of entering into theological reflection to the 120 Catholic bishops of France at their biannual meeting in Lourdes. (2) After identifying six constitutive elements of the experience of faith, I should like to attempt to </w:t>
      </w:r>
      <w:r w:rsidR="00C55452" w:rsidRPr="006F2E85">
        <w:t>interrogate</w:t>
      </w:r>
      <w:r w:rsidR="00C755B4" w:rsidRPr="006F2E85">
        <w:t xml:space="preserve"> them in an ecumenical Anglican–Catholic perspective. I hope that your reactions will enrich what are, </w:t>
      </w:r>
      <w:proofErr w:type="gramStart"/>
      <w:r w:rsidR="00C755B4" w:rsidRPr="006F2E85">
        <w:t>as yet</w:t>
      </w:r>
      <w:proofErr w:type="gramEnd"/>
      <w:r w:rsidR="00C755B4" w:rsidRPr="006F2E85">
        <w:t xml:space="preserve">, only hypotheses. (3) I shall then come back to the question of the assembly, in particular by </w:t>
      </w:r>
      <w:r w:rsidR="00C55452" w:rsidRPr="006F2E85">
        <w:t>employi</w:t>
      </w:r>
      <w:r w:rsidR="00C755B4" w:rsidRPr="006F2E85">
        <w:t xml:space="preserve">ng and </w:t>
      </w:r>
      <w:r w:rsidR="00C55452" w:rsidRPr="006F2E85">
        <w:t>moving forward</w:t>
      </w:r>
      <w:r w:rsidR="00C755B4" w:rsidRPr="006F2E85">
        <w:t xml:space="preserve"> the reflections of </w:t>
      </w:r>
      <w:proofErr w:type="spellStart"/>
      <w:r w:rsidR="00C755B4" w:rsidRPr="006F2E85">
        <w:t>Semmelroth</w:t>
      </w:r>
      <w:proofErr w:type="spellEnd"/>
      <w:r w:rsidR="00C755B4" w:rsidRPr="006F2E85">
        <w:t xml:space="preserve">, </w:t>
      </w:r>
      <w:proofErr w:type="spellStart"/>
      <w:r w:rsidR="00C755B4" w:rsidRPr="006F2E85">
        <w:t>Rahner</w:t>
      </w:r>
      <w:proofErr w:type="spellEnd"/>
      <w:r w:rsidR="00C755B4" w:rsidRPr="006F2E85">
        <w:t>, and the Second Vatican Council.</w:t>
      </w:r>
    </w:p>
    <w:p w:rsidR="00C755B4" w:rsidRPr="006F2E85" w:rsidRDefault="003F5B0E" w:rsidP="002C225C">
      <w:pPr>
        <w:pStyle w:val="Titre1"/>
      </w:pPr>
      <w:bookmarkStart w:id="2" w:name="_Toc3994613"/>
      <w:r>
        <w:t xml:space="preserve">1. </w:t>
      </w:r>
      <w:r w:rsidR="00C755B4" w:rsidRPr="006F2E85">
        <w:t>Faith and the experience of faith</w:t>
      </w:r>
      <w:bookmarkEnd w:id="2"/>
    </w:p>
    <w:p w:rsidR="00C755B4" w:rsidRPr="006F2E85" w:rsidRDefault="006F2E85" w:rsidP="002C225C">
      <w:pPr>
        <w:pStyle w:val="Titre2"/>
      </w:pPr>
      <w:bookmarkStart w:id="3" w:name="_Toc3994614"/>
      <w:r>
        <w:t xml:space="preserve">1.1. </w:t>
      </w:r>
      <w:r w:rsidR="00C755B4" w:rsidRPr="006F2E85">
        <w:t xml:space="preserve">Elementary faith and </w:t>
      </w:r>
      <w:r>
        <w:t>“</w:t>
      </w:r>
      <w:proofErr w:type="spellStart"/>
      <w:r w:rsidR="00C755B4" w:rsidRPr="006F2E85">
        <w:t>Christi</w:t>
      </w:r>
      <w:r>
        <w:t>c</w:t>
      </w:r>
      <w:proofErr w:type="spellEnd"/>
      <w:r w:rsidR="00C755B4" w:rsidRPr="006F2E85">
        <w:t xml:space="preserve"> faith</w:t>
      </w:r>
      <w:r>
        <w:t>”</w:t>
      </w:r>
      <w:bookmarkEnd w:id="3"/>
    </w:p>
    <w:p w:rsidR="00C755B4" w:rsidRDefault="00C755B4" w:rsidP="002C225C">
      <w:r>
        <w:t xml:space="preserve">Allow me to </w:t>
      </w:r>
      <w:r w:rsidR="00F51820">
        <w:t>rais</w:t>
      </w:r>
      <w:r>
        <w:t xml:space="preserve">e the question of faith. It is impossible to reflect on the church and </w:t>
      </w:r>
      <w:r w:rsidR="00C55452">
        <w:t xml:space="preserve">on </w:t>
      </w:r>
      <w:r>
        <w:t xml:space="preserve">its sacramental rituality without asking oneself about the lack of belief and </w:t>
      </w:r>
      <w:r w:rsidR="00C55452">
        <w:t xml:space="preserve">about </w:t>
      </w:r>
      <w:r>
        <w:t>the other beliefs in our society.</w:t>
      </w:r>
    </w:p>
    <w:p w:rsidR="00C755B4" w:rsidRPr="00F8369F" w:rsidRDefault="00F8369F" w:rsidP="002C225C">
      <w:pPr>
        <w:pStyle w:val="Titre3"/>
      </w:pPr>
      <w:bookmarkStart w:id="4" w:name="_Toc3994615"/>
      <w:r>
        <w:t xml:space="preserve">1.1.1. </w:t>
      </w:r>
      <w:r w:rsidR="008F0E11" w:rsidRPr="00F8369F">
        <w:t>An asymmetry that is constitutive of Christianity</w:t>
      </w:r>
      <w:bookmarkEnd w:id="4"/>
    </w:p>
    <w:p w:rsidR="008F0E11" w:rsidRDefault="008F0E11" w:rsidP="002C225C">
      <w:r>
        <w:t>I restrict myself here to a text that appears to me to be central to our subject.</w:t>
      </w:r>
      <w:r w:rsidR="00EE421B">
        <w:t xml:space="preserve"> </w:t>
      </w:r>
      <w:r w:rsidR="00EE421B">
        <w:rPr>
          <w:rStyle w:val="tlid-translation"/>
          <w:lang w:val="en"/>
        </w:rPr>
        <w:t xml:space="preserve">It is in the first encyclical of Pope John Paul II in 1979, </w:t>
      </w:r>
      <w:proofErr w:type="spellStart"/>
      <w:r w:rsidR="00EE421B" w:rsidRPr="00EE421B">
        <w:rPr>
          <w:rStyle w:val="tlid-translation"/>
          <w:i/>
          <w:lang w:val="en"/>
        </w:rPr>
        <w:t>Redemptor</w:t>
      </w:r>
      <w:proofErr w:type="spellEnd"/>
      <w:r w:rsidR="00EE421B" w:rsidRPr="00EE421B">
        <w:rPr>
          <w:rStyle w:val="tlid-translation"/>
          <w:i/>
          <w:lang w:val="en"/>
        </w:rPr>
        <w:t xml:space="preserve"> </w:t>
      </w:r>
      <w:proofErr w:type="spellStart"/>
      <w:r w:rsidR="00EE421B" w:rsidRPr="00EE421B">
        <w:rPr>
          <w:rStyle w:val="tlid-translation"/>
          <w:i/>
          <w:lang w:val="en"/>
        </w:rPr>
        <w:t>hominis</w:t>
      </w:r>
      <w:proofErr w:type="spellEnd"/>
      <w:r w:rsidR="00EE421B">
        <w:rPr>
          <w:rStyle w:val="tlid-translation"/>
          <w:lang w:val="en"/>
        </w:rPr>
        <w:t xml:space="preserve">, at No. 14. </w:t>
      </w:r>
      <w:r>
        <w:t xml:space="preserve">This passage about the </w:t>
      </w:r>
      <w:r>
        <w:lastRenderedPageBreak/>
        <w:t xml:space="preserve">action of the church in relation to every human being may perhaps be somewhat long, but it deserves to </w:t>
      </w:r>
      <w:proofErr w:type="gramStart"/>
      <w:r>
        <w:t>be read</w:t>
      </w:r>
      <w:proofErr w:type="gramEnd"/>
      <w:r>
        <w:t>:</w:t>
      </w:r>
    </w:p>
    <w:p w:rsidR="00EE421B" w:rsidRPr="00DE2950" w:rsidRDefault="00EE421B" w:rsidP="002C225C">
      <w:pPr>
        <w:pStyle w:val="Citation"/>
      </w:pPr>
      <w:r w:rsidRPr="00DE2950">
        <w:t>14. For the Church all ways lead to man</w:t>
      </w:r>
    </w:p>
    <w:p w:rsidR="00EE421B" w:rsidRPr="008B3353" w:rsidRDefault="00EE421B" w:rsidP="002C225C">
      <w:pPr>
        <w:pStyle w:val="Citation"/>
        <w:rPr>
          <w:sz w:val="20"/>
        </w:rPr>
      </w:pPr>
      <w:r w:rsidRPr="0082389C">
        <w:rPr>
          <w:b/>
        </w:rPr>
        <w:t>The Church cannot abandon man</w:t>
      </w:r>
      <w:r w:rsidRPr="00DE2950">
        <w:t xml:space="preserve">, for his "destiny", that is to say his election, calling, birth and death, salvation or perdition, </w:t>
      </w:r>
      <w:proofErr w:type="gramStart"/>
      <w:r w:rsidRPr="00DE2950">
        <w:t>is so closely and unbreakably linked</w:t>
      </w:r>
      <w:proofErr w:type="gramEnd"/>
      <w:r w:rsidRPr="00DE2950">
        <w:t xml:space="preserve"> with Christ. </w:t>
      </w:r>
      <w:proofErr w:type="gramStart"/>
      <w:r w:rsidRPr="00DE2950">
        <w:t>We are speaking precisely of each man on this planet</w:t>
      </w:r>
      <w:r w:rsidRPr="0082389C">
        <w:rPr>
          <w:sz w:val="20"/>
        </w:rPr>
        <w:t>,</w:t>
      </w:r>
      <w:r w:rsidR="00404024" w:rsidRPr="0082389C">
        <w:rPr>
          <w:sz w:val="20"/>
        </w:rPr>
        <w:t xml:space="preserve"> </w:t>
      </w:r>
      <w:r w:rsidR="00404024">
        <w:t xml:space="preserve">(…) </w:t>
      </w:r>
      <w:r w:rsidR="00404024" w:rsidRPr="0082389C">
        <w:rPr>
          <w:b/>
        </w:rPr>
        <w:t>This man is the way for the Church</w:t>
      </w:r>
      <w:r w:rsidR="00404024">
        <w:t>-a way that, in a sense, is the basis of all the other ways that the Church must walk-because man-every man without any exception whatever-has been redeemed by Christ, and because with man-</w:t>
      </w:r>
      <w:r w:rsidR="00404024" w:rsidRPr="0082389C">
        <w:rPr>
          <w:b/>
        </w:rPr>
        <w:t>with each man without any exception whatever-Christ is in a way united, even when man is unaware of it</w:t>
      </w:r>
      <w:r w:rsidR="00404024">
        <w:t xml:space="preserve">: </w:t>
      </w:r>
      <w:r w:rsidR="00404024" w:rsidRPr="008B3353">
        <w:rPr>
          <w:sz w:val="20"/>
        </w:rPr>
        <w:t>"Christ, who died and was raised up for all, provides man"-each man and every man- "with the light and the strength to measure up to his supreme calling".</w:t>
      </w:r>
      <w:proofErr w:type="gramEnd"/>
      <w:r w:rsidR="00404024" w:rsidRPr="008B3353">
        <w:rPr>
          <w:sz w:val="18"/>
        </w:rPr>
        <w:t xml:space="preserve"> </w:t>
      </w:r>
      <w:r w:rsidR="00404024">
        <w:t xml:space="preserve">Since this man is the way for the Church, the way for her daily life and experience, for her mission and toil, the Church of today must be aware in an </w:t>
      </w:r>
      <w:proofErr w:type="gramStart"/>
      <w:r w:rsidR="00404024">
        <w:t>always new</w:t>
      </w:r>
      <w:proofErr w:type="gramEnd"/>
      <w:r w:rsidR="00404024">
        <w:t xml:space="preserve"> manner of man's "situation". </w:t>
      </w:r>
      <w:r w:rsidR="00404024" w:rsidRPr="0082389C">
        <w:rPr>
          <w:b/>
        </w:rPr>
        <w:t>That means that she must be aware</w:t>
      </w:r>
      <w:r w:rsidR="00404024">
        <w:t xml:space="preserve"> of his possibilities, which keep returning to their proper bearings and thus revealing themselves. </w:t>
      </w:r>
      <w:r w:rsidR="00404024" w:rsidRPr="008B3353">
        <w:rPr>
          <w:b/>
          <w:sz w:val="20"/>
        </w:rPr>
        <w:t>She must likewise be aware</w:t>
      </w:r>
      <w:r w:rsidR="00404024" w:rsidRPr="008B3353">
        <w:rPr>
          <w:sz w:val="20"/>
        </w:rPr>
        <w:t xml:space="preserve"> of the threats to man and of all that seems to oppose the </w:t>
      </w:r>
      <w:proofErr w:type="spellStart"/>
      <w:r w:rsidR="00404024" w:rsidRPr="008B3353">
        <w:rPr>
          <w:sz w:val="20"/>
        </w:rPr>
        <w:t>endeavour</w:t>
      </w:r>
      <w:proofErr w:type="spellEnd"/>
      <w:r w:rsidR="00404024" w:rsidRPr="008B3353">
        <w:rPr>
          <w:sz w:val="20"/>
        </w:rPr>
        <w:t xml:space="preserve"> "to make human life ever more human" and make every element of this life correspond to man's true dignity-in a word, she must be aware of all that is opposed to that process.</w:t>
      </w:r>
    </w:p>
    <w:p w:rsidR="008F0E11" w:rsidRDefault="008F0E11" w:rsidP="002C225C">
      <w:r>
        <w:tab/>
      </w:r>
      <w:r w:rsidR="00A377B9">
        <w:t xml:space="preserve">This </w:t>
      </w:r>
      <w:proofErr w:type="spellStart"/>
      <w:r w:rsidR="00F8369F">
        <w:t>traditionnal</w:t>
      </w:r>
      <w:proofErr w:type="spellEnd"/>
      <w:r w:rsidR="00F8369F">
        <w:t xml:space="preserve"> theology</w:t>
      </w:r>
      <w:r w:rsidR="00A377B9">
        <w:t xml:space="preserve"> insists here on an asymmetry between the </w:t>
      </w:r>
      <w:r w:rsidR="00A377B9">
        <w:rPr>
          <w:b/>
        </w:rPr>
        <w:t xml:space="preserve">unawareness </w:t>
      </w:r>
      <w:r w:rsidR="00A377B9">
        <w:t xml:space="preserve">of the link to Christ on the part of most of our contemporaries and the </w:t>
      </w:r>
      <w:r w:rsidR="00A377B9">
        <w:rPr>
          <w:b/>
        </w:rPr>
        <w:t xml:space="preserve">awareness </w:t>
      </w:r>
      <w:r w:rsidR="00A377B9">
        <w:t xml:space="preserve">that the church has of this link. A kind of asymmetry between Christian and non-Christians exists, and this is ultimately both the foundation and the difficulty of mission, because the one who is unaware can feel that this asymmetry </w:t>
      </w:r>
      <w:r w:rsidR="00C55452">
        <w:t>entail</w:t>
      </w:r>
      <w:r w:rsidR="00A377B9">
        <w:t>s a posture of superiority that is utterly intolerable. But this is not the question here. What we must do is to see how this affects our churches and their sacramental realities, which constitute a sign.</w:t>
      </w:r>
    </w:p>
    <w:p w:rsidR="00A377B9" w:rsidRDefault="00A377B9" w:rsidP="002C225C">
      <w:r>
        <w:tab/>
        <w:t xml:space="preserve">And before this, </w:t>
      </w:r>
      <w:r w:rsidR="001726A2">
        <w:t>I believe that the theological conviction developed by Pope John Paul II could be shared by all the Christian confessions, just like the analysis of this asymmetry. To put it in different terms: Catholics and Anglicans are deeply united in this awareness of that of which our contemporaries are unaware. This radically modifies the context of our searches for unity.</w:t>
      </w:r>
    </w:p>
    <w:p w:rsidR="001726A2" w:rsidRDefault="00F8369F" w:rsidP="002C225C">
      <w:pPr>
        <w:pStyle w:val="Titre3"/>
      </w:pPr>
      <w:bookmarkStart w:id="5" w:name="_Toc3994616"/>
      <w:r>
        <w:t xml:space="preserve">1.1.2. </w:t>
      </w:r>
      <w:r w:rsidR="001726A2">
        <w:t>The contribution of Christoph Theobald</w:t>
      </w:r>
      <w:bookmarkEnd w:id="5"/>
    </w:p>
    <w:p w:rsidR="0054054C" w:rsidRDefault="002F3862" w:rsidP="002C225C">
      <w:r>
        <w:t>In the world of French-speaking Catholic theology, there can be no doubt that the most active, profound, and forward-looking systematic theologian is the German Jesuit Christoph Theobald</w:t>
      </w:r>
      <w:r w:rsidR="0039575B">
        <w:rPr>
          <w:rStyle w:val="Appelnotedebasdep"/>
        </w:rPr>
        <w:footnoteReference w:id="3"/>
      </w:r>
      <w:r>
        <w:t xml:space="preserve">, who lives in Paris. I believe that of all the many recent investigations of faith in the postmodern world, his 2017 book </w:t>
      </w:r>
      <w:proofErr w:type="spellStart"/>
      <w:r>
        <w:rPr>
          <w:i/>
        </w:rPr>
        <w:t>Urgences</w:t>
      </w:r>
      <w:proofErr w:type="spellEnd"/>
      <w:r>
        <w:rPr>
          <w:i/>
        </w:rPr>
        <w:t xml:space="preserve"> </w:t>
      </w:r>
      <w:proofErr w:type="spellStart"/>
      <w:r>
        <w:rPr>
          <w:i/>
        </w:rPr>
        <w:t>pastorales</w:t>
      </w:r>
      <w:proofErr w:type="spellEnd"/>
      <w:r>
        <w:rPr>
          <w:i/>
        </w:rPr>
        <w:t xml:space="preserve"> </w:t>
      </w:r>
      <w:r>
        <w:t xml:space="preserve">deserves to </w:t>
      </w:r>
      <w:proofErr w:type="gramStart"/>
      <w:r>
        <w:t>be read</w:t>
      </w:r>
      <w:proofErr w:type="gramEnd"/>
      <w:r w:rsidR="0039575B">
        <w:rPr>
          <w:rStyle w:val="Appelnotedebasdep"/>
        </w:rPr>
        <w:footnoteReference w:id="4"/>
      </w:r>
      <w:r>
        <w:t>. He offers a wide-</w:t>
      </w:r>
      <w:r>
        <w:lastRenderedPageBreak/>
        <w:t>reaching reflection on Christian mission in the secularized West. In chapter 4, on faith, he draws a distinction between elementa</w:t>
      </w:r>
      <w:r w:rsidR="008B3353">
        <w:t xml:space="preserve">ry universal faith and </w:t>
      </w:r>
      <w:proofErr w:type="spellStart"/>
      <w:r w:rsidR="008B3353">
        <w:t>Christic</w:t>
      </w:r>
      <w:proofErr w:type="spellEnd"/>
      <w:r>
        <w:t xml:space="preserve"> or baptismal faith. </w:t>
      </w:r>
    </w:p>
    <w:p w:rsidR="0054054C" w:rsidRPr="0054054C" w:rsidRDefault="002F3862" w:rsidP="002C225C">
      <w:r w:rsidRPr="0054054C">
        <w:t xml:space="preserve">This idea of an elementary (or fundamental) faith is not an invention by Theobald: this is a </w:t>
      </w:r>
      <w:proofErr w:type="gramStart"/>
      <w:r w:rsidRPr="0054054C">
        <w:t>fairly traditional</w:t>
      </w:r>
      <w:proofErr w:type="gramEnd"/>
      <w:r w:rsidRPr="0054054C">
        <w:t xml:space="preserve"> approach </w:t>
      </w:r>
      <w:r w:rsidR="00D310D0" w:rsidRPr="0054054C">
        <w:t xml:space="preserve">that is widely shared today. In the </w:t>
      </w:r>
      <w:proofErr w:type="gramStart"/>
      <w:r w:rsidR="00D310D0" w:rsidRPr="0054054C">
        <w:t>Middle</w:t>
      </w:r>
      <w:proofErr w:type="gramEnd"/>
      <w:r w:rsidR="00D310D0" w:rsidRPr="0054054C">
        <w:t xml:space="preserve"> Ages, at any rate, not everyone agreed with this. </w:t>
      </w:r>
    </w:p>
    <w:p w:rsidR="001726A2" w:rsidRDefault="00D310D0" w:rsidP="002C225C">
      <w:r>
        <w:t xml:space="preserve">There is a faith present in every human being; and </w:t>
      </w:r>
      <w:r w:rsidR="00C55452">
        <w:t xml:space="preserve">for us Christians, from a theological point of view, </w:t>
      </w:r>
      <w:r>
        <w:t xml:space="preserve">this faith in life, that is to say, </w:t>
      </w:r>
      <w:r w:rsidR="00C55452">
        <w:t xml:space="preserve">faith </w:t>
      </w:r>
      <w:r>
        <w:t>in the power of life, is</w:t>
      </w:r>
      <w:r w:rsidR="00C55452">
        <w:t xml:space="preserve"> a</w:t>
      </w:r>
      <w:r>
        <w:t xml:space="preserve">lready a gift of the grace of Christ. </w:t>
      </w:r>
      <w:proofErr w:type="gramStart"/>
      <w:r>
        <w:t>This accords</w:t>
      </w:r>
      <w:proofErr w:type="gramEnd"/>
      <w:r>
        <w:t xml:space="preserve"> with the quotation from John Paul II. The elementary universal faith finds expression above all in a rituality that has splintered today into many different forms. From a theological perspective, one will </w:t>
      </w:r>
      <w:proofErr w:type="spellStart"/>
      <w:r>
        <w:t>posit</w:t>
      </w:r>
      <w:proofErr w:type="spellEnd"/>
      <w:r>
        <w:t xml:space="preserve"> a link between the neo-pagan or profane forms, popular devotions, and this voice that is present in every human being. </w:t>
      </w:r>
      <w:r w:rsidR="001A5AB9">
        <w:t xml:space="preserve">On the other hand, we also find </w:t>
      </w:r>
      <w:r w:rsidR="00C55452">
        <w:t>in</w:t>
      </w:r>
      <w:r w:rsidR="001A5AB9">
        <w:t xml:space="preserve"> some persons</w:t>
      </w:r>
      <w:r w:rsidR="00C55452">
        <w:t xml:space="preserve"> a faith</w:t>
      </w:r>
      <w:r w:rsidR="001A5AB9">
        <w:t xml:space="preserve">, a </w:t>
      </w:r>
      <w:r w:rsidR="00F8369F">
        <w:t>“</w:t>
      </w:r>
      <w:proofErr w:type="spellStart"/>
      <w:r w:rsidR="001A5AB9">
        <w:t>Christi</w:t>
      </w:r>
      <w:r w:rsidR="00F8369F">
        <w:t>c</w:t>
      </w:r>
      <w:proofErr w:type="spellEnd"/>
      <w:r w:rsidR="001A5AB9">
        <w:t xml:space="preserve"> faith</w:t>
      </w:r>
      <w:r w:rsidR="00F8369F">
        <w:t>”</w:t>
      </w:r>
      <w:r w:rsidR="001A5AB9">
        <w:t xml:space="preserve">, </w:t>
      </w:r>
      <w:r w:rsidR="00C55452">
        <w:t xml:space="preserve">which is </w:t>
      </w:r>
      <w:r w:rsidR="001A5AB9">
        <w:t>a gift of</w:t>
      </w:r>
      <w:r w:rsidR="00C55452">
        <w:t xml:space="preserve"> baptismal grace, a gift</w:t>
      </w:r>
      <w:r w:rsidR="001A5AB9">
        <w:t xml:space="preserve"> characterized by the </w:t>
      </w:r>
      <w:r w:rsidR="00335108">
        <w:t>experience of intimacy with God: “the persons, who know God ‘from within’”</w:t>
      </w:r>
      <w:r w:rsidR="00335108">
        <w:rPr>
          <w:rStyle w:val="Appelnotedebasdep"/>
        </w:rPr>
        <w:footnoteReference w:id="5"/>
      </w:r>
      <w:r w:rsidR="00335108">
        <w:t>.</w:t>
      </w:r>
      <w:r w:rsidR="001A5AB9">
        <w:t xml:space="preserve"> I quote Theobald in a passage that is, so to speak, the keystone of the entire building:</w:t>
      </w:r>
    </w:p>
    <w:p w:rsidR="001A5AB9" w:rsidRPr="00F8369F" w:rsidRDefault="00F8369F" w:rsidP="002C225C">
      <w:pPr>
        <w:pStyle w:val="Citation"/>
      </w:pPr>
      <w:r>
        <w:t xml:space="preserve">“This specifically </w:t>
      </w:r>
      <w:proofErr w:type="spellStart"/>
      <w:r>
        <w:t>Christic</w:t>
      </w:r>
      <w:proofErr w:type="spellEnd"/>
      <w:r w:rsidR="001A5AB9" w:rsidRPr="00F8369F">
        <w:t xml:space="preserve"> faith gives access to intimacy with God. Scripture and tradition </w:t>
      </w:r>
      <w:r w:rsidR="00BB4A32" w:rsidRPr="00F8369F">
        <w:t>affi</w:t>
      </w:r>
      <w:r w:rsidR="00C55452" w:rsidRPr="00F8369F">
        <w:t xml:space="preserve">rm this and present this faith </w:t>
      </w:r>
      <w:r w:rsidR="00BB4A32" w:rsidRPr="00F8369F">
        <w:t xml:space="preserve">as a spiritual, indeed a ‘mystical’ experience, which is the </w:t>
      </w:r>
      <w:r w:rsidR="00BB4A32" w:rsidRPr="0082389C">
        <w:t>basis</w:t>
      </w:r>
      <w:r w:rsidR="00BB4A32" w:rsidRPr="00F8369F">
        <w:t xml:space="preserve"> of the missionary interest – unconditional and gratuitous – in the other person and in his or her elementary faith.”</w:t>
      </w:r>
    </w:p>
    <w:p w:rsidR="008B3353" w:rsidRDefault="00BB4A32" w:rsidP="002C225C">
      <w:r>
        <w:tab/>
        <w:t>This justifies paying attention to all rites, both to those that we call our s</w:t>
      </w:r>
      <w:r w:rsidR="00C55452">
        <w:t xml:space="preserve">acramental realities and to </w:t>
      </w:r>
      <w:r>
        <w:t>other ritual expressions.</w:t>
      </w:r>
      <w:r w:rsidR="00971688">
        <w:t xml:space="preserve"> We perceive already here how close Anglicans and Catholics are to each other. They are, in one sense, on the same</w:t>
      </w:r>
      <w:r w:rsidR="00F8369F">
        <w:t xml:space="preserve"> side, the side of the </w:t>
      </w:r>
      <w:proofErr w:type="spellStart"/>
      <w:r w:rsidR="00F8369F">
        <w:t>Christic</w:t>
      </w:r>
      <w:proofErr w:type="spellEnd"/>
      <w:r w:rsidR="00971688">
        <w:t>–baptismal faith</w:t>
      </w:r>
      <w:r w:rsidR="00C55452">
        <w:t>,</w:t>
      </w:r>
      <w:r w:rsidR="00971688">
        <w:t xml:space="preserve"> in a kind of benevolent face-to-face with the rest of our contemporaries in our secularized </w:t>
      </w:r>
      <w:proofErr w:type="gramStart"/>
      <w:r w:rsidR="00971688">
        <w:t>West</w:t>
      </w:r>
      <w:proofErr w:type="gramEnd"/>
      <w:r w:rsidR="00971688">
        <w:t xml:space="preserve">. </w:t>
      </w:r>
    </w:p>
    <w:p w:rsidR="00B4118D" w:rsidRPr="008B3353" w:rsidRDefault="00B4118D" w:rsidP="002C225C">
      <w:r w:rsidRPr="008B3353">
        <w:t xml:space="preserve">I mention this benevolence here as a recent attitude in the history of the church and in missiology. Reflection on an elementary or fundamental faith </w:t>
      </w:r>
      <w:r w:rsidR="00C43A68" w:rsidRPr="008B3353">
        <w:t xml:space="preserve">gives a new impetus to mission. Theobald calls this “the disinterested interest in other people,” and I believe that this is </w:t>
      </w:r>
      <w:r w:rsidR="00CD6384" w:rsidRPr="008B3353">
        <w:t>relevant to</w:t>
      </w:r>
      <w:r w:rsidR="00C43A68" w:rsidRPr="008B3353">
        <w:t xml:space="preserve"> our present topic. Theobald justifies this theologically by affirming that this is the interest of God himself, of the God who is with us in revelation and in the incarnation. This is, above all, a great gift bestowed gratuitously, with expecting anything in return. I believe that the same expression can also be used for all our Catholic or Anglican sacramental realities, and perhaps </w:t>
      </w:r>
      <w:r w:rsidR="00CD6384" w:rsidRPr="008B3353">
        <w:t>to some extent</w:t>
      </w:r>
      <w:r w:rsidR="00C43A68" w:rsidRPr="008B3353">
        <w:t xml:space="preserve"> for all the rituality that unfolds outside our churches.</w:t>
      </w:r>
    </w:p>
    <w:p w:rsidR="00300119" w:rsidRDefault="00F8369F" w:rsidP="002C225C">
      <w:pPr>
        <w:pStyle w:val="Titre2"/>
      </w:pPr>
      <w:bookmarkStart w:id="6" w:name="_Toc3994617"/>
      <w:r>
        <w:t xml:space="preserve">1.2. </w:t>
      </w:r>
      <w:r w:rsidR="00D71092">
        <w:t>E</w:t>
      </w:r>
      <w:r w:rsidR="00300119">
        <w:t>xperience of faith and experiential knowledge</w:t>
      </w:r>
      <w:bookmarkEnd w:id="6"/>
    </w:p>
    <w:p w:rsidR="00300119" w:rsidRDefault="000B1A3D" w:rsidP="002C225C">
      <w:r>
        <w:t xml:space="preserve">The most </w:t>
      </w:r>
      <w:r w:rsidR="00596E8F">
        <w:t xml:space="preserve">advanced part of my reflection </w:t>
      </w:r>
      <w:r>
        <w:t>concerns this experience of faith</w:t>
      </w:r>
      <w:r w:rsidR="00CE2EBC">
        <w:t>. Th</w:t>
      </w:r>
      <w:r w:rsidR="00CD6384">
        <w:t>e starting point is</w:t>
      </w:r>
      <w:r w:rsidR="00CE2EBC">
        <w:t xml:space="preserve"> the intimacy of which Theobald speaks. It is good that people should be able to move from this unawareness to awareness: awareness of God’s project of love for each one, awareness of </w:t>
      </w:r>
      <w:r w:rsidR="00CE2EBC">
        <w:lastRenderedPageBreak/>
        <w:t>the project of salvation. This, quite simply, is the foundation of the Christian mission that the first disciples received from Jesus (see the endings of the Gospels of Matthew and Mark).</w:t>
      </w:r>
    </w:p>
    <w:p w:rsidR="00D71092" w:rsidRDefault="00F8369F" w:rsidP="002C225C">
      <w:pPr>
        <w:pStyle w:val="Titre3"/>
      </w:pPr>
      <w:bookmarkStart w:id="7" w:name="_Toc3994618"/>
      <w:r>
        <w:t xml:space="preserve">1.2.1. </w:t>
      </w:r>
      <w:r w:rsidR="00D71092">
        <w:t>Experience of faith</w:t>
      </w:r>
      <w:bookmarkEnd w:id="7"/>
    </w:p>
    <w:p w:rsidR="00D71092" w:rsidRPr="008B3353" w:rsidRDefault="00D71092" w:rsidP="002C225C">
      <w:r w:rsidRPr="008B3353">
        <w:t xml:space="preserve">It seems to me very useful and beneficial for our age to have recourse to the idea of experience. All of us here know that it is almost impossible to define experience. Experience is a </w:t>
      </w:r>
      <w:r w:rsidR="00262F14" w:rsidRPr="008B3353">
        <w:t xml:space="preserve">very complex concept with a philosophical origin, marked by a history that makes it one of the most </w:t>
      </w:r>
      <w:proofErr w:type="spellStart"/>
      <w:r w:rsidR="00262F14" w:rsidRPr="008B3353">
        <w:t>polysemic</w:t>
      </w:r>
      <w:proofErr w:type="spellEnd"/>
      <w:r w:rsidR="00262F14" w:rsidRPr="008B3353">
        <w:t xml:space="preserve"> intellectual concepts. I believe that </w:t>
      </w:r>
      <w:r w:rsidR="00F8369F" w:rsidRPr="008B3353">
        <w:t xml:space="preserve">one of </w:t>
      </w:r>
      <w:r w:rsidR="00262F14" w:rsidRPr="008B3353">
        <w:t xml:space="preserve">the best definition is still that given by Jean-Pierre </w:t>
      </w:r>
      <w:proofErr w:type="spellStart"/>
      <w:r w:rsidR="00262F14" w:rsidRPr="008B3353">
        <w:t>Jossua</w:t>
      </w:r>
      <w:proofErr w:type="spellEnd"/>
      <w:r w:rsidR="00262F14" w:rsidRPr="008B3353">
        <w:t xml:space="preserve"> and Bernard </w:t>
      </w:r>
      <w:proofErr w:type="spellStart"/>
      <w:r w:rsidR="00262F14" w:rsidRPr="008B3353">
        <w:t>Quelquejeu</w:t>
      </w:r>
      <w:proofErr w:type="spellEnd"/>
      <w:r w:rsidR="00262F14" w:rsidRPr="008B3353">
        <w:t>, two Dominican theologians</w:t>
      </w:r>
      <w:r w:rsidR="00F8369F" w:rsidRPr="008B3353">
        <w:t xml:space="preserve"> – therefore </w:t>
      </w:r>
      <w:proofErr w:type="spellStart"/>
      <w:r w:rsidR="00F8369F" w:rsidRPr="008B3353">
        <w:t>catholics</w:t>
      </w:r>
      <w:proofErr w:type="spellEnd"/>
      <w:r w:rsidR="00F8369F" w:rsidRPr="008B3353">
        <w:t xml:space="preserve"> –</w:t>
      </w:r>
      <w:r w:rsidR="00262F14" w:rsidRPr="008B3353">
        <w:t xml:space="preserve"> in 1996:</w:t>
      </w:r>
    </w:p>
    <w:p w:rsidR="00262F14" w:rsidRPr="00CE43D5" w:rsidRDefault="00262F14" w:rsidP="002C225C">
      <w:pPr>
        <w:pStyle w:val="Citation"/>
      </w:pPr>
      <w:r w:rsidRPr="00CE43D5">
        <w:t>In the broadest sense, experience signifies the totality of what happens to the human being,</w:t>
      </w:r>
      <w:r w:rsidR="00827DE9" w:rsidRPr="00CE43D5">
        <w:t xml:space="preserve"> in his or her life, the life of his or her consciousness, the fact of feeling something, of receiving an impression, on the condition that it is not a matter of a transitory phenomenon that </w:t>
      </w:r>
      <w:proofErr w:type="gramStart"/>
      <w:r w:rsidR="00827DE9" w:rsidRPr="00CE43D5">
        <w:t>is immediately effaced</w:t>
      </w:r>
      <w:proofErr w:type="gramEnd"/>
      <w:r w:rsidR="00827DE9" w:rsidRPr="00CE43D5">
        <w:t xml:space="preserve"> without leaving any traces. </w:t>
      </w:r>
      <w:proofErr w:type="gramStart"/>
      <w:r w:rsidR="00827DE9" w:rsidRPr="00CE43D5">
        <w:t>It must be a phenomenon that lasts in some form or other, a b</w:t>
      </w:r>
      <w:r w:rsidR="00CE3EFE">
        <w:t>roadening of the consciousness.</w:t>
      </w:r>
      <w:proofErr w:type="gramEnd"/>
    </w:p>
    <w:p w:rsidR="00827DE9" w:rsidRDefault="00827DE9" w:rsidP="002C225C">
      <w:r>
        <w:t>There is a before and an after, a growth of the person. The text continues:</w:t>
      </w:r>
    </w:p>
    <w:p w:rsidR="00827DE9" w:rsidRDefault="00827DE9" w:rsidP="002C225C">
      <w:pPr>
        <w:pStyle w:val="Citation"/>
        <w:rPr>
          <w:sz w:val="28"/>
        </w:rPr>
      </w:pPr>
      <w:proofErr w:type="gramStart"/>
      <w:r w:rsidRPr="00CE43D5">
        <w:t>At a very early date, a distinction</w:t>
      </w:r>
      <w:r w:rsidR="00CD6384">
        <w:t xml:space="preserve"> was drawn</w:t>
      </w:r>
      <w:r w:rsidRPr="00CE43D5">
        <w:t xml:space="preserve"> – not a separation, since their synergy has been noticed – </w:t>
      </w:r>
      <w:r w:rsidR="006F4FA5" w:rsidRPr="00CE43D5">
        <w:t xml:space="preserve">between </w:t>
      </w:r>
      <w:r w:rsidRPr="00CE43D5">
        <w:t>external experiences</w:t>
      </w:r>
      <w:r w:rsidR="00CD6384">
        <w:t xml:space="preserve"> (</w:t>
      </w:r>
      <w:r w:rsidR="006F4FA5" w:rsidRPr="00CE43D5">
        <w:t>among which the perceptions of the senses must be included, with their noetic content and their sensory experience</w:t>
      </w:r>
      <w:r w:rsidR="00CD6384">
        <w:t>)</w:t>
      </w:r>
      <w:r w:rsidR="006F4FA5" w:rsidRPr="00CE43D5">
        <w:t xml:space="preserve"> and internal experiences</w:t>
      </w:r>
      <w:r w:rsidR="00CD6384">
        <w:t xml:space="preserve"> (</w:t>
      </w:r>
      <w:r w:rsidR="006F4FA5" w:rsidRPr="00CE43D5">
        <w:t>going from the most elementary impressions of the soul to these differentiated forms that are called moral, aesthetic, and religious</w:t>
      </w:r>
      <w:r w:rsidR="00CD6384">
        <w:t>)</w:t>
      </w:r>
      <w:r w:rsidR="00CE3EFE">
        <w:rPr>
          <w:rStyle w:val="Appelnotedebasdep"/>
        </w:rPr>
        <w:footnoteReference w:id="6"/>
      </w:r>
      <w:r w:rsidR="00CE3EFE">
        <w:t>.</w:t>
      </w:r>
      <w:proofErr w:type="gramEnd"/>
    </w:p>
    <w:p w:rsidR="006F4FA5" w:rsidRDefault="00F3450C" w:rsidP="002C225C">
      <w:r>
        <w:t xml:space="preserve">My </w:t>
      </w:r>
      <w:r w:rsidR="00CD6384">
        <w:t>stance</w:t>
      </w:r>
      <w:r>
        <w:t xml:space="preserve"> here is in the experience of fait</w:t>
      </w:r>
      <w:r w:rsidR="00335108">
        <w:t xml:space="preserve">h, in the sense of the </w:t>
      </w:r>
      <w:proofErr w:type="spellStart"/>
      <w:r w:rsidR="00335108">
        <w:t>Christic</w:t>
      </w:r>
      <w:proofErr w:type="spellEnd"/>
      <w:r>
        <w:t xml:space="preserve"> faith that I have set out above. This leads to the vital question: how can one articulate and reflect on th</w:t>
      </w:r>
      <w:r w:rsidR="00CD6384">
        <w:t>ese</w:t>
      </w:r>
      <w:r>
        <w:t xml:space="preserve"> </w:t>
      </w:r>
      <w:r w:rsidR="00CD6384">
        <w:t>“</w:t>
      </w:r>
      <w:r>
        <w:t>internal</w:t>
      </w:r>
      <w:r w:rsidR="00CD6384">
        <w:t>”</w:t>
      </w:r>
      <w:r>
        <w:t xml:space="preserve"> and </w:t>
      </w:r>
      <w:r w:rsidR="00CD6384">
        <w:t>“</w:t>
      </w:r>
      <w:r>
        <w:t>external</w:t>
      </w:r>
      <w:r w:rsidR="00CD6384">
        <w:t>” dimensions</w:t>
      </w:r>
      <w:r>
        <w:t>? More than twelve years ago, I drew up a</w:t>
      </w:r>
      <w:r w:rsidR="00FB2F2C">
        <w:t>n outline</w:t>
      </w:r>
      <w:r>
        <w:t xml:space="preserve"> for the medical students to whom I g</w:t>
      </w:r>
      <w:r w:rsidR="00FB2F2C">
        <w:t>ive courses</w:t>
      </w:r>
      <w:r>
        <w:t xml:space="preserve"> on </w:t>
      </w:r>
      <w:r>
        <w:rPr>
          <w:i/>
        </w:rPr>
        <w:t xml:space="preserve">Christianity and questions of meaning </w:t>
      </w:r>
      <w:r>
        <w:t xml:space="preserve">for the Master’s degree in Brussels. In one of the chapters, I attempt to specify </w:t>
      </w:r>
      <w:r w:rsidR="00FB2F2C">
        <w:t>what Christian experience is, and</w:t>
      </w:r>
      <w:r w:rsidR="00CD6384">
        <w:t xml:space="preserve"> what </w:t>
      </w:r>
      <w:proofErr w:type="gramStart"/>
      <w:r w:rsidR="00CD6384">
        <w:t>are</w:t>
      </w:r>
      <w:r w:rsidR="00FB2F2C">
        <w:t xml:space="preserve"> the bases of a spiritual dimension</w:t>
      </w:r>
      <w:proofErr w:type="gramEnd"/>
      <w:r w:rsidR="00FB2F2C">
        <w:t>. I believe that this outline can function very well to articulate both faith and the sacramental realities.</w:t>
      </w:r>
    </w:p>
    <w:p w:rsidR="008B3353" w:rsidRDefault="00490114" w:rsidP="002C225C">
      <w:r>
        <w:tab/>
        <w:t xml:space="preserve">With regard to references, this outline has its starting point in the theological and philosophical studies of Jean </w:t>
      </w:r>
      <w:proofErr w:type="spellStart"/>
      <w:r>
        <w:t>Mouroux</w:t>
      </w:r>
      <w:proofErr w:type="spellEnd"/>
      <w:r>
        <w:t xml:space="preserve">, Hans </w:t>
      </w:r>
      <w:proofErr w:type="spellStart"/>
      <w:r>
        <w:t>Urs</w:t>
      </w:r>
      <w:proofErr w:type="spellEnd"/>
      <w:r>
        <w:t xml:space="preserve"> von Balthasar, and Hans Georg </w:t>
      </w:r>
      <w:proofErr w:type="spellStart"/>
      <w:r>
        <w:t>Gadamer</w:t>
      </w:r>
      <w:proofErr w:type="spellEnd"/>
      <w:r>
        <w:t xml:space="preserve">. </w:t>
      </w:r>
    </w:p>
    <w:p w:rsidR="00490114" w:rsidRPr="008B3353" w:rsidRDefault="00490114" w:rsidP="002C225C">
      <w:r w:rsidRPr="008B3353">
        <w:t xml:space="preserve">It is the merit of Jean </w:t>
      </w:r>
      <w:proofErr w:type="spellStart"/>
      <w:r w:rsidRPr="008B3353">
        <w:t>Mouroux</w:t>
      </w:r>
      <w:proofErr w:type="spellEnd"/>
      <w:r w:rsidRPr="008B3353">
        <w:t xml:space="preserve"> (1901–1973), a priest of the diocese of Dijon and professor at the Major Seminary, to have suggested categories for thinking about the status of experience in theology</w:t>
      </w:r>
      <w:r w:rsidR="00CE3EFE" w:rsidRPr="008B3353">
        <w:rPr>
          <w:rStyle w:val="Appelnotedebasdep"/>
          <w:sz w:val="22"/>
        </w:rPr>
        <w:footnoteReference w:id="7"/>
      </w:r>
      <w:r w:rsidRPr="008B3353">
        <w:t xml:space="preserve">. He convincingly showed that a Christian religious and/or spiritual experience </w:t>
      </w:r>
      <w:r w:rsidRPr="008B3353">
        <w:lastRenderedPageBreak/>
        <w:t xml:space="preserve">could generate a true knowledge, </w:t>
      </w:r>
      <w:r w:rsidR="00CD6384" w:rsidRPr="008B3353">
        <w:t>provided that</w:t>
      </w:r>
      <w:r w:rsidRPr="008B3353">
        <w:t xml:space="preserve"> certain conditions were met. In that case, he sp</w:t>
      </w:r>
      <w:r w:rsidR="00CE3EFE" w:rsidRPr="008B3353">
        <w:t>eaks of “experiential knowledge</w:t>
      </w:r>
      <w:r w:rsidRPr="008B3353">
        <w:t>”</w:t>
      </w:r>
      <w:r w:rsidR="00CE3EFE" w:rsidRPr="008B3353">
        <w:rPr>
          <w:rStyle w:val="Appelnotedebasdep"/>
          <w:sz w:val="22"/>
        </w:rPr>
        <w:footnoteReference w:id="8"/>
      </w:r>
      <w:r w:rsidR="00CE3EFE" w:rsidRPr="008B3353">
        <w:t>.</w:t>
      </w:r>
      <w:r w:rsidRPr="008B3353">
        <w:t xml:space="preserve"> For Balthasar, the central issue is </w:t>
      </w:r>
      <w:r w:rsidR="00CD6384" w:rsidRPr="008B3353">
        <w:t xml:space="preserve">“the subjective evidence of </w:t>
      </w:r>
      <w:r w:rsidRPr="008B3353">
        <w:t xml:space="preserve">faith,” which he elaborates at the very beginning of the first volume of </w:t>
      </w:r>
      <w:proofErr w:type="spellStart"/>
      <w:r w:rsidRPr="008B3353">
        <w:rPr>
          <w:i/>
        </w:rPr>
        <w:t>Herrlichkeit</w:t>
      </w:r>
      <w:proofErr w:type="spellEnd"/>
      <w:r w:rsidRPr="008B3353">
        <w:rPr>
          <w:i/>
        </w:rPr>
        <w:t xml:space="preserve"> </w:t>
      </w:r>
      <w:r w:rsidR="00F8369F" w:rsidRPr="008B3353">
        <w:t>(1961)</w:t>
      </w:r>
      <w:r w:rsidR="00F8369F" w:rsidRPr="008B3353">
        <w:rPr>
          <w:i/>
        </w:rPr>
        <w:t xml:space="preserve"> </w:t>
      </w:r>
      <w:r w:rsidR="00F8369F" w:rsidRPr="008B3353">
        <w:t>[</w:t>
      </w:r>
      <w:r w:rsidRPr="008B3353">
        <w:t xml:space="preserve">English: </w:t>
      </w:r>
      <w:r w:rsidRPr="008B3353">
        <w:rPr>
          <w:i/>
        </w:rPr>
        <w:t>The Glory of the Lord</w:t>
      </w:r>
      <w:r w:rsidR="00F8369F" w:rsidRPr="008B3353">
        <w:rPr>
          <w:i/>
        </w:rPr>
        <w:t xml:space="preserve">, </w:t>
      </w:r>
      <w:r w:rsidR="00EE421B" w:rsidRPr="008B3353">
        <w:t>1982]</w:t>
      </w:r>
      <w:r w:rsidRPr="008B3353">
        <w:t>, the “entrance hall” to his great theological trilogy.</w:t>
      </w:r>
    </w:p>
    <w:p w:rsidR="00490114" w:rsidRDefault="00490114" w:rsidP="002C225C">
      <w:r>
        <w:tab/>
      </w:r>
      <w:r w:rsidR="00540D81">
        <w:t xml:space="preserve">I specify what is meant here by the idea of “experience” with the help of the German nouns </w:t>
      </w:r>
      <w:proofErr w:type="spellStart"/>
      <w:r w:rsidR="00540D81">
        <w:rPr>
          <w:i/>
        </w:rPr>
        <w:t>Erfahrung</w:t>
      </w:r>
      <w:proofErr w:type="spellEnd"/>
      <w:r w:rsidR="00540D81">
        <w:rPr>
          <w:i/>
        </w:rPr>
        <w:t xml:space="preserve">, </w:t>
      </w:r>
      <w:proofErr w:type="spellStart"/>
      <w:r w:rsidR="00540D81">
        <w:rPr>
          <w:i/>
        </w:rPr>
        <w:t>Erlebnis</w:t>
      </w:r>
      <w:proofErr w:type="spellEnd"/>
      <w:r w:rsidR="00540D81">
        <w:rPr>
          <w:i/>
        </w:rPr>
        <w:t xml:space="preserve">, </w:t>
      </w:r>
      <w:r w:rsidR="00540D81">
        <w:t xml:space="preserve">and </w:t>
      </w:r>
      <w:r w:rsidR="00540D81">
        <w:rPr>
          <w:i/>
        </w:rPr>
        <w:t xml:space="preserve">Experiment. </w:t>
      </w:r>
      <w:r w:rsidR="00540D81">
        <w:t>There is a general recognition of a scientific pole, experimentation (</w:t>
      </w:r>
      <w:r w:rsidR="00540D81">
        <w:rPr>
          <w:i/>
        </w:rPr>
        <w:t>Experiment</w:t>
      </w:r>
      <w:r w:rsidR="00540D81">
        <w:t>)</w:t>
      </w:r>
      <w:r w:rsidR="00CD6384">
        <w:t>,</w:t>
      </w:r>
      <w:r w:rsidR="00540D81">
        <w:t xml:space="preserve"> and a hermeneutical or interpretative pole. This second pole must be divided into two categories:</w:t>
      </w:r>
    </w:p>
    <w:p w:rsidR="00540D81" w:rsidRDefault="00540D81" w:rsidP="002C225C">
      <w:pPr>
        <w:pStyle w:val="Paragraphedeliste"/>
        <w:numPr>
          <w:ilvl w:val="0"/>
          <w:numId w:val="2"/>
        </w:numPr>
      </w:pPr>
      <w:r>
        <w:t>The dimension of events (</w:t>
      </w:r>
      <w:proofErr w:type="spellStart"/>
      <w:r>
        <w:rPr>
          <w:i/>
        </w:rPr>
        <w:t>Erlebnis</w:t>
      </w:r>
      <w:proofErr w:type="spellEnd"/>
      <w:r>
        <w:t>): that which happens to me and is in reality untranslatable. That which I express in a verbal or non-verbal manner will never s</w:t>
      </w:r>
      <w:r w:rsidR="00D853FF">
        <w:t>tate</w:t>
      </w:r>
      <w:r>
        <w:t xml:space="preserve"> the totality or the</w:t>
      </w:r>
      <w:r w:rsidR="00D853FF">
        <w:t xml:space="preserve"> exactness of what I have lived.</w:t>
      </w:r>
    </w:p>
    <w:p w:rsidR="00D853FF" w:rsidRDefault="00D853FF" w:rsidP="002C225C">
      <w:pPr>
        <w:pStyle w:val="Paragraphedeliste"/>
        <w:numPr>
          <w:ilvl w:val="0"/>
          <w:numId w:val="2"/>
        </w:numPr>
      </w:pPr>
      <w:r w:rsidRPr="00D853FF">
        <w:t>The dimension of interpretation (</w:t>
      </w:r>
      <w:proofErr w:type="spellStart"/>
      <w:r w:rsidRPr="00D853FF">
        <w:rPr>
          <w:i/>
        </w:rPr>
        <w:t>Erfahrung</w:t>
      </w:r>
      <w:proofErr w:type="spellEnd"/>
      <w:r w:rsidRPr="00D853FF">
        <w:t xml:space="preserve">): despite a difference </w:t>
      </w:r>
      <w:r>
        <w:t>or an approximation between that which has been lived by no one other than myself, on the one hand, and what I say, on the other hand, I must interpret it</w:t>
      </w:r>
      <w:r w:rsidR="006A2188">
        <w:t xml:space="preserve"> in order to make the event totally my own. The simple communication, that is to say, the choice of words, of gestures, or of symbols, is already an interpretation.</w:t>
      </w:r>
    </w:p>
    <w:p w:rsidR="006A2188" w:rsidRDefault="006A2188" w:rsidP="002C225C">
      <w:r>
        <w:t>In the case of the experience of faith, only the second pole concerns us here, not the experimental scientific pole.</w:t>
      </w:r>
    </w:p>
    <w:p w:rsidR="006A2188" w:rsidRDefault="00244BFC" w:rsidP="002C225C">
      <w:r w:rsidRPr="00244BFC">
        <w:rPr>
          <w:noProof/>
        </w:rPr>
        <w:drawing>
          <wp:inline distT="0" distB="0" distL="0" distR="0" wp14:anchorId="0898CDE5" wp14:editId="793BAE3F">
            <wp:extent cx="2707574" cy="2030681"/>
            <wp:effectExtent l="19050" t="19050" r="17145" b="2730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727976" cy="2045982"/>
                    </a:xfrm>
                    <a:prstGeom prst="rect">
                      <a:avLst/>
                    </a:prstGeom>
                    <a:ln>
                      <a:solidFill>
                        <a:schemeClr val="tx1"/>
                      </a:solidFill>
                    </a:ln>
                  </pic:spPr>
                </pic:pic>
              </a:graphicData>
            </a:graphic>
          </wp:inline>
        </w:drawing>
      </w:r>
    </w:p>
    <w:p w:rsidR="006A2188" w:rsidRDefault="00EE421B" w:rsidP="002C225C">
      <w:pPr>
        <w:pStyle w:val="Titre3"/>
      </w:pPr>
      <w:bookmarkStart w:id="8" w:name="_Toc3994619"/>
      <w:r>
        <w:t xml:space="preserve">1.2.2. </w:t>
      </w:r>
      <w:r w:rsidR="006A2188">
        <w:t>An “experiential knowledge”</w:t>
      </w:r>
      <w:bookmarkEnd w:id="8"/>
    </w:p>
    <w:p w:rsidR="006A2188" w:rsidRDefault="00977A08" w:rsidP="002C225C">
      <w:r>
        <w:t xml:space="preserve">Scientific knowledge </w:t>
      </w:r>
      <w:proofErr w:type="gramStart"/>
      <w:r>
        <w:t>is linked</w:t>
      </w:r>
      <w:proofErr w:type="gramEnd"/>
      <w:r>
        <w:t xml:space="preserve"> to experimental procedures, mode</w:t>
      </w:r>
      <w:r w:rsidR="00071C1A">
        <w:t>l</w:t>
      </w:r>
      <w:r>
        <w:t>lings, and mathematical calculations. Basically, a scientific experiment makes true knowledge possible when it is repeatable, with the same conditions leading to the same effects. This, for example, is the case with chemical precipitates.</w:t>
      </w:r>
    </w:p>
    <w:p w:rsidR="006A2188" w:rsidRDefault="00977A08" w:rsidP="002C225C">
      <w:r>
        <w:lastRenderedPageBreak/>
        <w:tab/>
        <w:t xml:space="preserve">A religious experience too can lead to knowledge. This will doubtless not be a scientific knowledge: it will be what one calls an experiential knowledge. This specific knowledge, which is generated by a personal experience, can be just as certain that the knowledge that is generated by a scientific experience. It is of a completely different type, but </w:t>
      </w:r>
      <w:r w:rsidR="00CE43D5">
        <w:t>it has one point in common. The knowledge that is acquired must also accept the demands of rationality that it shares with the experimental pole</w:t>
      </w:r>
      <w:r w:rsidR="00071C1A">
        <w:t>. However</w:t>
      </w:r>
      <w:r w:rsidR="00CE43D5">
        <w:t xml:space="preserve">, these demands are supplied by philosophy (concepts and </w:t>
      </w:r>
      <w:proofErr w:type="spellStart"/>
      <w:r w:rsidR="00CE43D5">
        <w:t>reasonings</w:t>
      </w:r>
      <w:proofErr w:type="spellEnd"/>
      <w:r w:rsidR="00CE43D5">
        <w:t>).</w:t>
      </w:r>
    </w:p>
    <w:p w:rsidR="00CE43D5" w:rsidRDefault="00CE43D5" w:rsidP="002C225C">
      <w:r>
        <w:tab/>
        <w:t xml:space="preserve">This is how Jean </w:t>
      </w:r>
      <w:proofErr w:type="spellStart"/>
      <w:r>
        <w:t>Mouroux</w:t>
      </w:r>
      <w:proofErr w:type="spellEnd"/>
      <w:r>
        <w:t xml:space="preserve"> defines the personal dimension of experience:</w:t>
      </w:r>
    </w:p>
    <w:p w:rsidR="003F4E59" w:rsidRDefault="003F4E59" w:rsidP="002C225C">
      <w:pPr>
        <w:pStyle w:val="Citation"/>
        <w:rPr>
          <w:sz w:val="28"/>
        </w:rPr>
      </w:pPr>
      <w:proofErr w:type="gramStart"/>
      <w:r>
        <w:t xml:space="preserve">“The experiential, that is to say, an experience taken in its personal totality with all its structural elements and all its principles of movement; an experience constructed and grasped in the lucidity of a consciousness that is in possession of itself and in the generosity of a love that bestows the gift of itself; in short, an experience </w:t>
      </w:r>
      <w:r w:rsidR="00130FCE">
        <w:t>that is fully personal in the strict sense of the term.”</w:t>
      </w:r>
      <w:r w:rsidR="00EE421B">
        <w:rPr>
          <w:rStyle w:val="Appelnotedebasdep"/>
        </w:rPr>
        <w:footnoteReference w:id="9"/>
      </w:r>
      <w:proofErr w:type="gramEnd"/>
      <w:r w:rsidR="00130FCE">
        <w:t xml:space="preserve">  </w:t>
      </w:r>
    </w:p>
    <w:p w:rsidR="00130FCE" w:rsidRPr="00756C7C" w:rsidRDefault="00130FCE" w:rsidP="002C225C">
      <w:r w:rsidRPr="00756C7C">
        <w:tab/>
      </w:r>
      <w:r w:rsidR="009946DD" w:rsidRPr="00756C7C">
        <w:t>At this point, we must be careful!</w:t>
      </w:r>
      <w:r w:rsidR="002B29AF" w:rsidRPr="00756C7C">
        <w:t xml:space="preserve"> Not ever</w:t>
      </w:r>
      <w:r w:rsidR="00071C1A" w:rsidRPr="00756C7C">
        <w:t>y</w:t>
      </w:r>
      <w:r w:rsidR="002B29AF" w:rsidRPr="00756C7C">
        <w:t xml:space="preserve"> personal experience necessarily generates an experiential knowledge. An experience must, of course, be personal, but it must also be given a name and interpreted in a collective framework – in this instance, an ecclesial framework. The interpretative pole is thus nourished by words, rites, and symbols that precede the experience, and that the person </w:t>
      </w:r>
      <w:r w:rsidR="00BC7522" w:rsidRPr="00756C7C">
        <w:t xml:space="preserve">takes </w:t>
      </w:r>
      <w:r w:rsidR="002B29AF" w:rsidRPr="00756C7C">
        <w:t>hold</w:t>
      </w:r>
      <w:r w:rsidR="00BC7522" w:rsidRPr="00756C7C">
        <w:t xml:space="preserve"> of</w:t>
      </w:r>
      <w:r w:rsidR="002B29AF" w:rsidRPr="00756C7C">
        <w:t>, in order to say something about the experience. These words, rites, and symbols come from the Christian community, both in its totality (the church) and in the concrete form of the assembly. It is here that a religious tradition plays its role to the full. It permits one to objectify what has happened, to bring a dimension of exteriority to what would risk remaining totally interior to the person, or even va</w:t>
      </w:r>
      <w:r w:rsidR="00EA52A2" w:rsidRPr="00756C7C">
        <w:t xml:space="preserve">nishing </w:t>
      </w:r>
      <w:r w:rsidR="00BC7522" w:rsidRPr="00756C7C">
        <w:t>with the passage of</w:t>
      </w:r>
      <w:r w:rsidR="00EA52A2" w:rsidRPr="00756C7C">
        <w:t xml:space="preserve"> time.</w:t>
      </w:r>
    </w:p>
    <w:p w:rsidR="00EA52A2" w:rsidRDefault="00EA52A2" w:rsidP="002C225C">
      <w:r>
        <w:tab/>
      </w:r>
      <w:r w:rsidR="0027722F">
        <w:t>What might be the characteristics of a specifically Christian experience? It is easy to grasp the difficulty of such a question, but it is essential in practical theology</w:t>
      </w:r>
      <w:r w:rsidR="00BC7522">
        <w:t xml:space="preserve"> to ask it</w:t>
      </w:r>
      <w:r w:rsidR="0027722F">
        <w:t xml:space="preserve"> – for otherwise, one remains on the level of a vague religious phenomenology.</w:t>
      </w:r>
    </w:p>
    <w:p w:rsidR="0027722F" w:rsidRDefault="0027722F" w:rsidP="002C225C">
      <w:r>
        <w:tab/>
      </w:r>
      <w:r w:rsidR="00C26B73">
        <w:rPr>
          <w:b/>
        </w:rPr>
        <w:t xml:space="preserve">The personal or existential dimension </w:t>
      </w:r>
      <w:r w:rsidR="00C26B73">
        <w:t>(</w:t>
      </w:r>
      <w:proofErr w:type="spellStart"/>
      <w:r w:rsidR="00C26B73">
        <w:rPr>
          <w:i/>
        </w:rPr>
        <w:t>Erlebnis</w:t>
      </w:r>
      <w:proofErr w:type="spellEnd"/>
      <w:r w:rsidR="00C26B73">
        <w:t>) is ultimately the most difficult, because this is the unattainable part of the individual: the intimacy in which the spiritual tradition “localizes” the encounter with God. It is, in a sense, a deep emotional dimension that is touched here. If it is to be within the Christian revelation, what is lived here is necessarily marked by the paschal mystery. There is in the event a passage from death to life, a lasting transformation, a “before” and an “after” the lived experience. This need not be the great conversion like Saint Paul on the Damascus road. Wh</w:t>
      </w:r>
      <w:r w:rsidR="00CE3EFE">
        <w:t>at is involved is an unveiling</w:t>
      </w:r>
      <w:r w:rsidR="00CE3EFE">
        <w:rPr>
          <w:rStyle w:val="Appelnotedebasdep"/>
        </w:rPr>
        <w:footnoteReference w:id="10"/>
      </w:r>
      <w:r w:rsidR="00C26B73">
        <w:t xml:space="preserve"> of God’s project for humanity as a whole and for each human being.</w:t>
      </w:r>
    </w:p>
    <w:p w:rsidR="00C26B73" w:rsidRDefault="00C26B73" w:rsidP="002C225C">
      <w:r>
        <w:lastRenderedPageBreak/>
        <w:tab/>
      </w:r>
      <w:r w:rsidR="00411A5E">
        <w:t xml:space="preserve">In order for this intimate experience to become </w:t>
      </w:r>
      <w:r w:rsidR="00411A5E">
        <w:rPr>
          <w:b/>
        </w:rPr>
        <w:t xml:space="preserve">an experiential knowledge, </w:t>
      </w:r>
      <w:r w:rsidR="00411A5E">
        <w:t xml:space="preserve">the believer must </w:t>
      </w:r>
      <w:r w:rsidR="002366D7">
        <w:t>put it into words that necessarily come to him or her from elsewhere, from a community of faith and of the interpretation of this faith (</w:t>
      </w:r>
      <w:proofErr w:type="spellStart"/>
      <w:r w:rsidR="002366D7">
        <w:rPr>
          <w:i/>
        </w:rPr>
        <w:t>Erfahrung</w:t>
      </w:r>
      <w:proofErr w:type="spellEnd"/>
      <w:r w:rsidR="002366D7">
        <w:t xml:space="preserve">). As </w:t>
      </w:r>
      <w:proofErr w:type="spellStart"/>
      <w:r w:rsidR="002366D7">
        <w:t>Mouroux</w:t>
      </w:r>
      <w:proofErr w:type="spellEnd"/>
      <w:r w:rsidR="002366D7">
        <w:t xml:space="preserve"> writes, “The ecclesial relationship is a necessary and constitutive dimension of this experience.”</w:t>
      </w:r>
      <w:r w:rsidR="000E6BAD">
        <w:rPr>
          <w:rStyle w:val="Appelnotedebasdep"/>
          <w:lang w:val="fr-CH"/>
        </w:rPr>
        <w:footnoteReference w:id="11"/>
      </w:r>
      <w:r w:rsidR="002366D7">
        <w:t xml:space="preserve"> </w:t>
      </w:r>
      <w:proofErr w:type="gramStart"/>
      <w:r w:rsidR="002366D7">
        <w:t xml:space="preserve">Simplifying, one can identify three great sources of words to </w:t>
      </w:r>
      <w:r w:rsidR="000E6BAD">
        <w:t>understand</w:t>
      </w:r>
      <w:r w:rsidR="002366D7">
        <w:t xml:space="preserve"> one’s own experience and put a name to it: the Bible (in which we find everything that the human being lives in the field of questions</w:t>
      </w:r>
      <w:r w:rsidR="008B3C15">
        <w:t xml:space="preserve"> about meaning</w:t>
      </w:r>
      <w:r w:rsidR="002366D7">
        <w:t xml:space="preserve">), the liturgy (the source that includes an entire non-verbal symbolic patrimony), and the witnesses to faith (I recognize something of my own experience in the words of other people, witnesses both from the </w:t>
      </w:r>
      <w:r w:rsidR="00F13654">
        <w:t>past</w:t>
      </w:r>
      <w:r w:rsidR="002366D7">
        <w:t xml:space="preserve"> and in the present).</w:t>
      </w:r>
      <w:proofErr w:type="gramEnd"/>
    </w:p>
    <w:p w:rsidR="000E6BAD" w:rsidRDefault="002366D7" w:rsidP="002C225C">
      <w:r>
        <w:tab/>
      </w:r>
      <w:r w:rsidR="00877A34">
        <w:t>As we see, a collective religious dimension is indispensable, if we are to arrive at the</w:t>
      </w:r>
      <w:r w:rsidR="00B269C4">
        <w:t xml:space="preserve"> </w:t>
      </w:r>
      <w:r w:rsidR="000E6BAD">
        <w:t>foundation</w:t>
      </w:r>
      <w:r w:rsidR="00B269C4">
        <w:t xml:space="preserve"> on which the individual can construct a part of his or her being in t</w:t>
      </w:r>
      <w:r w:rsidR="008B3C15">
        <w:t>he world. Without this concern to aim</w:t>
      </w:r>
      <w:r w:rsidR="00B269C4">
        <w:t xml:space="preserve"> at experiential knowledge, one would leave the men and women of today abandoned to their feelings and to a form of chance (the last book, article, or reportage that touches them and seems to reply to the question they have at the moment). The subjectivity that is exacerbated in this way risks deviating into subjectivism and an existential wandering that would merely make more and more fragile both human beings themselves and their relations to each other. </w:t>
      </w:r>
    </w:p>
    <w:p w:rsidR="00D668FC" w:rsidRDefault="003E5BE1" w:rsidP="002C225C">
      <w:r>
        <w:tab/>
      </w:r>
      <w:r w:rsidR="00365C11">
        <w:t>We must still specify the structural relationship between the personal experience (</w:t>
      </w:r>
      <w:proofErr w:type="spellStart"/>
      <w:r w:rsidR="00365C11">
        <w:rPr>
          <w:i/>
        </w:rPr>
        <w:t>Erlebnis</w:t>
      </w:r>
      <w:proofErr w:type="spellEnd"/>
      <w:r w:rsidR="00365C11">
        <w:t>) and the interpreted experience (</w:t>
      </w:r>
      <w:proofErr w:type="spellStart"/>
      <w:r w:rsidR="00365C11">
        <w:rPr>
          <w:i/>
        </w:rPr>
        <w:t>Erfahrung</w:t>
      </w:r>
      <w:proofErr w:type="spellEnd"/>
      <w:r w:rsidR="00365C11">
        <w:t xml:space="preserve">). </w:t>
      </w:r>
    </w:p>
    <w:p w:rsidR="00F13654" w:rsidRPr="00D668FC" w:rsidRDefault="00F13654" w:rsidP="002C225C">
      <w:r w:rsidRPr="00D668FC">
        <w:t>This is not a unilateral movement from the one to the other. It would be a caricature of reality, if we</w:t>
      </w:r>
      <w:r w:rsidR="008B3C15" w:rsidRPr="00D668FC">
        <w:t xml:space="preserve"> were to</w:t>
      </w:r>
      <w:r w:rsidRPr="00D668FC">
        <w:t xml:space="preserve"> envisage that intimate experience precedes its “rereading” in a community of faith, as if one was totally virginal in relation to every religious culture.</w:t>
      </w:r>
    </w:p>
    <w:p w:rsidR="00B269C4" w:rsidRDefault="00F13654" w:rsidP="002C225C">
      <w:r>
        <w:tab/>
        <w:t>Even today, the ecclesial interpretation (</w:t>
      </w:r>
      <w:proofErr w:type="spellStart"/>
      <w:r>
        <w:rPr>
          <w:i/>
        </w:rPr>
        <w:t>Erfahrung</w:t>
      </w:r>
      <w:proofErr w:type="spellEnd"/>
      <w:r>
        <w:t>) precedes the intimate experience (</w:t>
      </w:r>
      <w:proofErr w:type="spellStart"/>
      <w:r>
        <w:rPr>
          <w:i/>
        </w:rPr>
        <w:t>Erlebnis</w:t>
      </w:r>
      <w:proofErr w:type="spellEnd"/>
      <w:r>
        <w:t xml:space="preserve">), whether by means of the words of Christians, spiritual, poetic or literary texts, or by means of numerous works of art. There also exists a kind of pre-comprehension that prevents one from radically situating the </w:t>
      </w:r>
      <w:proofErr w:type="spellStart"/>
      <w:r>
        <w:rPr>
          <w:i/>
        </w:rPr>
        <w:t>Erlebnis</w:t>
      </w:r>
      <w:proofErr w:type="spellEnd"/>
      <w:r>
        <w:rPr>
          <w:i/>
        </w:rPr>
        <w:t xml:space="preserve"> </w:t>
      </w:r>
      <w:r>
        <w:t xml:space="preserve">before the </w:t>
      </w:r>
      <w:proofErr w:type="spellStart"/>
      <w:r>
        <w:rPr>
          <w:i/>
        </w:rPr>
        <w:t>Erfahrung</w:t>
      </w:r>
      <w:proofErr w:type="spellEnd"/>
      <w:r>
        <w:rPr>
          <w:i/>
        </w:rPr>
        <w:t xml:space="preserve">. </w:t>
      </w:r>
      <w:r>
        <w:t>This can even go as far as a life that is Christian in sociological and ethical terms, but that has not had the earth-shattering experience (</w:t>
      </w:r>
      <w:proofErr w:type="spellStart"/>
      <w:r>
        <w:rPr>
          <w:i/>
        </w:rPr>
        <w:t>Erlebnis</w:t>
      </w:r>
      <w:proofErr w:type="spellEnd"/>
      <w:r>
        <w:t>) of God.</w:t>
      </w:r>
    </w:p>
    <w:p w:rsidR="004E250E" w:rsidRPr="00756C7C" w:rsidRDefault="004E250E" w:rsidP="002C225C">
      <w:r w:rsidRPr="00756C7C">
        <w:tab/>
        <w:t>The two poles of experiential knowledge are thus closely linked. One alone, without the other, allows only an approach to the Christian faith</w:t>
      </w:r>
      <w:r w:rsidR="008B3C15" w:rsidRPr="00756C7C">
        <w:t>, an approach</w:t>
      </w:r>
      <w:r w:rsidRPr="00756C7C">
        <w:t xml:space="preserve"> that is partial and has only shallow roots. The miss</w:t>
      </w:r>
      <w:r w:rsidR="008B3C15" w:rsidRPr="00756C7C">
        <w:t xml:space="preserve">ion conferred by Christ on all </w:t>
      </w:r>
      <w:r w:rsidRPr="00756C7C">
        <w:t>h</w:t>
      </w:r>
      <w:r w:rsidR="008B3C15" w:rsidRPr="00756C7C">
        <w:t>is</w:t>
      </w:r>
      <w:r w:rsidRPr="00756C7C">
        <w:t xml:space="preserve"> disciples is thus to contribute as much as possible to promoting the knowledge of these two poles in the life of every human being. The great pastoral question is how to offer places where faith can be experienced</w:t>
      </w:r>
      <w:r w:rsidR="008B3C15" w:rsidRPr="00756C7C">
        <w:t>,</w:t>
      </w:r>
      <w:r w:rsidRPr="00756C7C">
        <w:t xml:space="preserve"> and places for </w:t>
      </w:r>
      <w:r w:rsidR="008B3C15" w:rsidRPr="00756C7C">
        <w:t>going deeper and for</w:t>
      </w:r>
      <w:r w:rsidRPr="00756C7C">
        <w:t xml:space="preserve"> rereading.</w:t>
      </w:r>
    </w:p>
    <w:p w:rsidR="004E250E" w:rsidRDefault="004E250E" w:rsidP="002C225C">
      <w:pPr>
        <w:rPr>
          <w:i/>
        </w:rPr>
      </w:pPr>
      <w:r w:rsidRPr="00756C7C">
        <w:tab/>
        <w:t xml:space="preserve">Allow me to insist already </w:t>
      </w:r>
      <w:r w:rsidR="008B3C15" w:rsidRPr="00756C7C">
        <w:t>at this point</w:t>
      </w:r>
      <w:r w:rsidRPr="00756C7C">
        <w:t xml:space="preserve"> on the novelty of the situation and on the challenges we encounter. The spiritual life has in fact developed for a long time in a situation of rereading a</w:t>
      </w:r>
      <w:r w:rsidR="007A1CD3" w:rsidRPr="00756C7C">
        <w:t>n experience of faith that one had</w:t>
      </w:r>
      <w:r w:rsidRPr="00756C7C">
        <w:t xml:space="preserve"> more or less already had in the family, in a </w:t>
      </w:r>
      <w:r w:rsidRPr="00756C7C">
        <w:lastRenderedPageBreak/>
        <w:t xml:space="preserve">youth movement or a spirituality movement, a new community … For most, this is no longer the case. </w:t>
      </w:r>
      <w:r w:rsidR="007A1CD3" w:rsidRPr="00756C7C">
        <w:t>And</w:t>
      </w:r>
      <w:r w:rsidRPr="00756C7C">
        <w:t xml:space="preserve"> let us add that the heterogeneity of the experiences or non-experiences of faith is a serious handicap to the </w:t>
      </w:r>
      <w:r w:rsidR="007A1CD3" w:rsidRPr="00756C7C">
        <w:t>efficacy of a symbolic language</w:t>
      </w:r>
      <w:r w:rsidRPr="00756C7C">
        <w:t xml:space="preserve"> and of ritual practices. This is one of the most </w:t>
      </w:r>
      <w:r w:rsidR="007A1CD3" w:rsidRPr="00756C7C">
        <w:t xml:space="preserve">serious </w:t>
      </w:r>
      <w:r w:rsidRPr="00756C7C">
        <w:t xml:space="preserve">reasons for the loss of interest in the </w:t>
      </w:r>
      <w:r w:rsidRPr="00756C7C">
        <w:rPr>
          <w:i/>
        </w:rPr>
        <w:t xml:space="preserve">assemblies, </w:t>
      </w:r>
      <w:r w:rsidRPr="00756C7C">
        <w:t xml:space="preserve">which are, however, very important places of </w:t>
      </w:r>
      <w:proofErr w:type="spellStart"/>
      <w:r w:rsidRPr="00756C7C">
        <w:rPr>
          <w:i/>
        </w:rPr>
        <w:t>Erlebnis</w:t>
      </w:r>
      <w:proofErr w:type="spellEnd"/>
      <w:r w:rsidRPr="00756C7C">
        <w:rPr>
          <w:i/>
        </w:rPr>
        <w:t xml:space="preserve"> </w:t>
      </w:r>
      <w:r w:rsidRPr="00756C7C">
        <w:t xml:space="preserve">and </w:t>
      </w:r>
      <w:proofErr w:type="spellStart"/>
      <w:r w:rsidRPr="00756C7C">
        <w:rPr>
          <w:i/>
        </w:rPr>
        <w:t>Erfahrung</w:t>
      </w:r>
      <w:proofErr w:type="spellEnd"/>
      <w:r w:rsidRPr="00756C7C">
        <w:rPr>
          <w:i/>
        </w:rPr>
        <w:t>.</w:t>
      </w:r>
    </w:p>
    <w:p w:rsidR="004E250E" w:rsidRDefault="000E6BAD" w:rsidP="002C225C">
      <w:pPr>
        <w:pStyle w:val="Titre1"/>
      </w:pPr>
      <w:bookmarkStart w:id="9" w:name="_Toc3994620"/>
      <w:r>
        <w:t xml:space="preserve">2. </w:t>
      </w:r>
      <w:r w:rsidR="004E250E">
        <w:t>Marking out an ecumenical path</w:t>
      </w:r>
      <w:bookmarkEnd w:id="9"/>
    </w:p>
    <w:p w:rsidR="00CE6C71" w:rsidRDefault="004E250E" w:rsidP="002C225C">
      <w:r>
        <w:t xml:space="preserve">I would now like to implement these reflections in the field of ecumenism. </w:t>
      </w:r>
      <w:r w:rsidR="00CE6C71">
        <w:t>In order to do so, I have added to my diagram the six elements I have identified as components of the experience of faith, both in its lived and in its interpreted dimensions.</w:t>
      </w:r>
    </w:p>
    <w:p w:rsidR="00CE6C71" w:rsidRDefault="00CE6C71" w:rsidP="002C225C">
      <w:r>
        <w:tab/>
      </w:r>
    </w:p>
    <w:p w:rsidR="00244BFC" w:rsidRDefault="00244BFC" w:rsidP="002C225C"/>
    <w:p w:rsidR="004E250E" w:rsidRPr="004E250E" w:rsidRDefault="00244BFC" w:rsidP="002C225C">
      <w:r>
        <w:rPr>
          <w:noProof/>
        </w:rPr>
        <w:drawing>
          <wp:inline distT="0" distB="0" distL="0" distR="0" wp14:anchorId="0360D146">
            <wp:extent cx="3283461" cy="2462709"/>
            <wp:effectExtent l="19050" t="19050" r="12700" b="1397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19807" cy="2489969"/>
                    </a:xfrm>
                    <a:prstGeom prst="rect">
                      <a:avLst/>
                    </a:prstGeom>
                    <a:noFill/>
                    <a:ln>
                      <a:solidFill>
                        <a:schemeClr val="tx1"/>
                      </a:solidFill>
                    </a:ln>
                  </pic:spPr>
                </pic:pic>
              </a:graphicData>
            </a:graphic>
          </wp:inline>
        </w:drawing>
      </w:r>
    </w:p>
    <w:p w:rsidR="00CE6C71" w:rsidRDefault="000E6BAD" w:rsidP="002C225C">
      <w:pPr>
        <w:pStyle w:val="Titre2"/>
      </w:pPr>
      <w:bookmarkStart w:id="10" w:name="_Toc3994621"/>
      <w:r>
        <w:t xml:space="preserve">2.1. </w:t>
      </w:r>
      <w:r w:rsidR="00CE6C71">
        <w:t>The pole of lived faith</w:t>
      </w:r>
      <w:bookmarkEnd w:id="10"/>
    </w:p>
    <w:p w:rsidR="00CE6C71" w:rsidRDefault="000E6BAD" w:rsidP="002C225C">
      <w:pPr>
        <w:pStyle w:val="Titre3"/>
      </w:pPr>
      <w:bookmarkStart w:id="11" w:name="_Toc3994622"/>
      <w:r>
        <w:t xml:space="preserve">2.1.1. </w:t>
      </w:r>
      <w:r w:rsidR="00CE6C71">
        <w:t>There is very little to explain, since it is inaccessible</w:t>
      </w:r>
      <w:bookmarkEnd w:id="11"/>
    </w:p>
    <w:p w:rsidR="003F6B6E" w:rsidRPr="00756C7C" w:rsidRDefault="0046627A" w:rsidP="002C225C">
      <w:r w:rsidRPr="00756C7C">
        <w:t xml:space="preserve">Although no two of us have had </w:t>
      </w:r>
      <w:r w:rsidR="007A1CD3" w:rsidRPr="00756C7C">
        <w:t>exactly the same</w:t>
      </w:r>
      <w:r w:rsidRPr="00756C7C">
        <w:t xml:space="preserve"> experience, we have all discovered in the treasure store of the Christian religion the interpretation, the words, and the rites to utter this intimate and incommunicable experience. The theological criterion of rationality means that it is not a question only of uniting the intimate experience and the collective narrative, but of making </w:t>
      </w:r>
      <w:r w:rsidR="007A1CD3" w:rsidRPr="00756C7C">
        <w:t>the latter</w:t>
      </w:r>
      <w:r w:rsidRPr="00756C7C">
        <w:t xml:space="preserve"> coherent in accordance with the demands of the reason.</w:t>
      </w:r>
    </w:p>
    <w:p w:rsidR="0046627A" w:rsidRDefault="0046627A" w:rsidP="002C225C">
      <w:r>
        <w:tab/>
      </w:r>
      <w:r w:rsidR="005C2089">
        <w:t>Let us begin with this experience of lived faith. There is very little to say, especially because one would need to enter into a more interdisciplinary study at this point. Let me explain what I mean.</w:t>
      </w:r>
    </w:p>
    <w:p w:rsidR="005C2089" w:rsidRDefault="005C2089" w:rsidP="002C225C">
      <w:r>
        <w:tab/>
        <w:t xml:space="preserve">There is nothing to say </w:t>
      </w:r>
      <w:r w:rsidRPr="005C2089">
        <w:rPr>
          <w:b/>
        </w:rPr>
        <w:t>with regard t</w:t>
      </w:r>
      <w:r>
        <w:rPr>
          <w:b/>
        </w:rPr>
        <w:t xml:space="preserve">o the dimension of the senses. </w:t>
      </w:r>
      <w:r>
        <w:t>This, therefore, is the simplest case. The exact sciences have been able to establish the uniqueness of the sense perception of the individual. The vocabulary to give names to these matters is therefore a social convention.</w:t>
      </w:r>
    </w:p>
    <w:p w:rsidR="005C2089" w:rsidRDefault="005C2089" w:rsidP="002C225C">
      <w:r>
        <w:lastRenderedPageBreak/>
        <w:tab/>
      </w:r>
      <w:r w:rsidR="00A373D0">
        <w:t xml:space="preserve">With regard to the </w:t>
      </w:r>
      <w:r w:rsidR="00A373D0">
        <w:rPr>
          <w:b/>
        </w:rPr>
        <w:t xml:space="preserve">affective or emotional dimension, </w:t>
      </w:r>
      <w:r w:rsidR="00A373D0">
        <w:t>we should have recourse here primarily to psychology. I rule out recourse to the theories of Carl Gustav Jung, and hence to the religious archetypes. It is therefore primarily in education and</w:t>
      </w:r>
      <w:r w:rsidR="007A1CD3">
        <w:t xml:space="preserve"> in</w:t>
      </w:r>
      <w:r w:rsidR="00A373D0">
        <w:t xml:space="preserve"> culture that we develop this modality of the apprehension of </w:t>
      </w:r>
      <w:r w:rsidR="00A210B4">
        <w:t xml:space="preserve">what is </w:t>
      </w:r>
      <w:r w:rsidR="00A373D0">
        <w:t>real.</w:t>
      </w:r>
    </w:p>
    <w:p w:rsidR="00A373D0" w:rsidRDefault="00A373D0" w:rsidP="002C225C">
      <w:r>
        <w:tab/>
        <w:t xml:space="preserve">It is not easy to discern the </w:t>
      </w:r>
      <w:r>
        <w:rPr>
          <w:b/>
        </w:rPr>
        <w:t xml:space="preserve">cognitive dimension </w:t>
      </w:r>
      <w:r>
        <w:t xml:space="preserve">in this pole of </w:t>
      </w:r>
      <w:r w:rsidR="00225A94">
        <w:t xml:space="preserve">the </w:t>
      </w:r>
      <w:proofErr w:type="spellStart"/>
      <w:r>
        <w:rPr>
          <w:i/>
        </w:rPr>
        <w:t>Erlebnis</w:t>
      </w:r>
      <w:proofErr w:type="spellEnd"/>
      <w:r>
        <w:rPr>
          <w:i/>
        </w:rPr>
        <w:t xml:space="preserve">. </w:t>
      </w:r>
      <w:r>
        <w:t xml:space="preserve">It is a matter of mobilizing immediately – and thus in </w:t>
      </w:r>
      <w:r w:rsidR="00A210B4">
        <w:t xml:space="preserve">a way that is not elaborated – our abilities to grasp what is real, such as the proportions, the connections, and the structures of the elements. </w:t>
      </w:r>
      <w:r w:rsidR="007A1CD3">
        <w:t>T</w:t>
      </w:r>
      <w:r w:rsidR="00A210B4">
        <w:t>he most interest</w:t>
      </w:r>
      <w:r w:rsidR="007A1CD3">
        <w:t>ing</w:t>
      </w:r>
      <w:r w:rsidR="00A210B4">
        <w:t xml:space="preserve"> thing is the associations that we make spontaneously: a tree or the sea, a painting or a piece of music, etc. will speak to one person differently than to another. This, of course, passes via our senses, but our cognitive capacities are also mobilized. Education and culture, and hence the context, play an essential role here too.</w:t>
      </w:r>
    </w:p>
    <w:p w:rsidR="00A210B4" w:rsidRDefault="00A210B4" w:rsidP="002C225C"/>
    <w:p w:rsidR="00A210B4" w:rsidRDefault="000E6BAD" w:rsidP="002C225C">
      <w:pPr>
        <w:pStyle w:val="Titre3"/>
      </w:pPr>
      <w:bookmarkStart w:id="12" w:name="_Toc3994623"/>
      <w:r>
        <w:t xml:space="preserve">2.1.2. </w:t>
      </w:r>
      <w:r w:rsidR="00A210B4">
        <w:t>What does this mean for ecumenism?</w:t>
      </w:r>
      <w:bookmarkEnd w:id="12"/>
    </w:p>
    <w:p w:rsidR="00A210B4" w:rsidRDefault="00A210B4" w:rsidP="002C225C">
      <w:pPr>
        <w:rPr>
          <w:i/>
        </w:rPr>
      </w:pPr>
      <w:r>
        <w:t>If we connect these all too rapid reflections with what I have said above about e</w:t>
      </w:r>
      <w:r w:rsidR="00596E8F">
        <w:t xml:space="preserve">lementary faith and the </w:t>
      </w:r>
      <w:proofErr w:type="spellStart"/>
      <w:r w:rsidR="00596E8F">
        <w:t>Christic</w:t>
      </w:r>
      <w:proofErr w:type="spellEnd"/>
      <w:r>
        <w:t xml:space="preserve"> faith, there are very important consequences for ecumenism. The </w:t>
      </w:r>
      <w:r w:rsidR="00225A94">
        <w:t xml:space="preserve">twofold fact that the intimate experience is inaccessible to other people, and that the same is true of the context that creates the angle of this experience, tends to relativize the confessional differences in this pole of the </w:t>
      </w:r>
      <w:proofErr w:type="spellStart"/>
      <w:r w:rsidR="00225A94">
        <w:rPr>
          <w:i/>
        </w:rPr>
        <w:t>Erlebnis</w:t>
      </w:r>
      <w:proofErr w:type="spellEnd"/>
      <w:r w:rsidR="00225A94">
        <w:rPr>
          <w:i/>
        </w:rPr>
        <w:t>.</w:t>
      </w:r>
    </w:p>
    <w:p w:rsidR="00225A94" w:rsidRDefault="00225A94" w:rsidP="002C225C">
      <w:r>
        <w:rPr>
          <w:i/>
        </w:rPr>
        <w:tab/>
      </w:r>
      <w:r w:rsidR="00806EEA">
        <w:t xml:space="preserve">To put this in other terms: I do not have access to another person’s experience of faith, that is to say, to his or her relationship to the living Christ. I have no reason to postulate that this relationship is an illusion or erroneous. From a theological point of view, I can only postulate that this faith is bestowed by God himself. No Christian today would dare to think or say that what animates other people who claim to have been touched by God or by Jesus Christ is the work of a demon. </w:t>
      </w:r>
      <w:r w:rsidR="007A1CD3">
        <w:t>And i</w:t>
      </w:r>
      <w:r w:rsidR="00806EEA">
        <w:t>n any case, Catholic theology does not permit one to say this.</w:t>
      </w:r>
    </w:p>
    <w:p w:rsidR="00806EEA" w:rsidRDefault="00806EEA" w:rsidP="002C225C"/>
    <w:p w:rsidR="00806EEA" w:rsidRDefault="000E6BAD" w:rsidP="002C225C">
      <w:pPr>
        <w:pStyle w:val="Titre2"/>
      </w:pPr>
      <w:bookmarkStart w:id="13" w:name="_Toc3994624"/>
      <w:r>
        <w:t xml:space="preserve">2.2. </w:t>
      </w:r>
      <w:r w:rsidR="00806EEA">
        <w:t>The pole of the interpreted faith</w:t>
      </w:r>
      <w:bookmarkEnd w:id="13"/>
    </w:p>
    <w:p w:rsidR="00806EEA" w:rsidRPr="00756C7C" w:rsidRDefault="00036F2B" w:rsidP="002C225C">
      <w:r w:rsidRPr="00756C7C">
        <w:t>Reflection becomes more delicate when one takes up the interpretation of this experience. The pole of interpretation is structured principally around three resources: the Bible and the narratives of the experiences of faith that it contains</w:t>
      </w:r>
      <w:r w:rsidR="007A1CD3" w:rsidRPr="00756C7C">
        <w:t>;</w:t>
      </w:r>
      <w:r w:rsidRPr="00756C7C">
        <w:t xml:space="preserve"> the word of the witnesses, whether living or dead, accounts that may be raw, or else organized by a systematic reflection that can go as far as to create a magisterial and theological tradition; the rites and the liturgy.</w:t>
      </w:r>
    </w:p>
    <w:p w:rsidR="00036F2B" w:rsidRPr="00756C7C" w:rsidRDefault="00036F2B" w:rsidP="002C225C">
      <w:r w:rsidRPr="00756C7C">
        <w:tab/>
      </w:r>
      <w:r w:rsidR="000159C7" w:rsidRPr="00756C7C">
        <w:t>This allows us to enrich (and, of course, to make more complex) the binary distinction suggested by Theobald. Let me sum up what I am going to say by quoting from a lecture by Paul Ricœur in 1967, which was published only las</w:t>
      </w:r>
      <w:r w:rsidR="009E197E" w:rsidRPr="00756C7C">
        <w:t>t year. Here, he asks about the very meaning of an ecclesial community: “I do not believe that the subject of faith can be an individual. The subject of faith is not ‘I,’ but ‘we’.” This is rather paradoxical, but we grasp what he means: I cannot be a believer all on my own. I need this collective interpretation. The same is true of the liturgy, by the way. There is not an “I,” but only “we.”</w:t>
      </w:r>
    </w:p>
    <w:p w:rsidR="009E197E" w:rsidRDefault="009E197E" w:rsidP="002C225C">
      <w:r>
        <w:lastRenderedPageBreak/>
        <w:tab/>
        <w:t xml:space="preserve">Let us look at the three resources that </w:t>
      </w:r>
      <w:proofErr w:type="gramStart"/>
      <w:r>
        <w:t>have been identified</w:t>
      </w:r>
      <w:proofErr w:type="gramEnd"/>
      <w:r>
        <w:t>.</w:t>
      </w:r>
    </w:p>
    <w:p w:rsidR="009E197E" w:rsidRPr="003F5B0E" w:rsidRDefault="000E6BAD" w:rsidP="002C225C">
      <w:pPr>
        <w:pStyle w:val="Titre3"/>
      </w:pPr>
      <w:bookmarkStart w:id="14" w:name="_Toc3994625"/>
      <w:r w:rsidRPr="003F5B0E">
        <w:t xml:space="preserve">2.2.1. </w:t>
      </w:r>
      <w:r w:rsidR="009E197E" w:rsidRPr="003F5B0E">
        <w:t>The Bible</w:t>
      </w:r>
      <w:bookmarkEnd w:id="14"/>
    </w:p>
    <w:p w:rsidR="009E197E" w:rsidRDefault="00BB3FE8" w:rsidP="002C225C">
      <w:r w:rsidRPr="00BB3FE8">
        <w:t xml:space="preserve">I am happy that the fifth and sixth Meetings of the Group </w:t>
      </w:r>
      <w:r w:rsidR="00843C91">
        <w:t>in</w:t>
      </w:r>
      <w:r w:rsidRPr="00BB3FE8">
        <w:t xml:space="preserve"> Cambridge</w:t>
      </w:r>
      <w:r w:rsidR="00335108">
        <w:t xml:space="preserve"> and Long Branch NJ</w:t>
      </w:r>
      <w:r w:rsidRPr="00BB3FE8">
        <w:t xml:space="preserve"> </w:t>
      </w:r>
      <w:r>
        <w:t>studied the question of the reading of the Scriptures</w:t>
      </w:r>
      <w:r>
        <w:rPr>
          <w:rStyle w:val="Appelnotedebasdep"/>
        </w:rPr>
        <w:footnoteReference w:id="12"/>
      </w:r>
      <w:r w:rsidRPr="00BB3FE8">
        <w:t xml:space="preserve">. </w:t>
      </w:r>
      <w:r w:rsidR="00133098">
        <w:t xml:space="preserve">This is not my specialty, but I have worked for a long time on the question of the relationship between the Bible and the liturgy. It is important even </w:t>
      </w:r>
      <w:r>
        <w:t xml:space="preserve">today that systematic theologians </w:t>
      </w:r>
      <w:r w:rsidR="00133098">
        <w:t xml:space="preserve">explore the field of biblical theology. And this is the primary field of research and publication of my colleague in dogmatic theology at the Faculty, Benoit </w:t>
      </w:r>
      <w:proofErr w:type="spellStart"/>
      <w:r w:rsidR="00133098">
        <w:t>Bourgine</w:t>
      </w:r>
      <w:proofErr w:type="spellEnd"/>
      <w:r w:rsidR="00133098">
        <w:t xml:space="preserve">, at the present. </w:t>
      </w:r>
      <w:r w:rsidR="000E6BAD">
        <w:rPr>
          <w:rStyle w:val="tlid-translation"/>
          <w:lang w:val="en"/>
        </w:rPr>
        <w:t xml:space="preserve">This Catholic theologian was briefly a monk in </w:t>
      </w:r>
      <w:proofErr w:type="spellStart"/>
      <w:r w:rsidR="000E6BAD">
        <w:rPr>
          <w:rStyle w:val="tlid-translation"/>
          <w:lang w:val="en"/>
        </w:rPr>
        <w:t>Chevetogne</w:t>
      </w:r>
      <w:proofErr w:type="spellEnd"/>
      <w:r w:rsidR="000E6BAD">
        <w:rPr>
          <w:rStyle w:val="tlid-translation"/>
          <w:lang w:val="en"/>
        </w:rPr>
        <w:t xml:space="preserve"> and is a specialist of Karl Barth. </w:t>
      </w:r>
      <w:r w:rsidR="00133098">
        <w:t>Biblical theology seems to me to be ecumenical of its very nature.</w:t>
      </w:r>
    </w:p>
    <w:p w:rsidR="00133098" w:rsidRPr="00756C7C" w:rsidRDefault="00133098" w:rsidP="002C225C">
      <w:r w:rsidRPr="00756C7C">
        <w:tab/>
        <w:t xml:space="preserve">Naturally, there remain questions about the types of reading of the Bible, but these questions are not confessional </w:t>
      </w:r>
      <w:r w:rsidRPr="00756C7C">
        <w:rPr>
          <w:i/>
        </w:rPr>
        <w:t xml:space="preserve">per se. </w:t>
      </w:r>
      <w:r w:rsidRPr="00756C7C">
        <w:t xml:space="preserve">I believe that they are transversal. The various ways of reading the Bible – as they </w:t>
      </w:r>
      <w:proofErr w:type="gramStart"/>
      <w:r w:rsidRPr="00756C7C">
        <w:t>are presented</w:t>
      </w:r>
      <w:proofErr w:type="gramEnd"/>
      <w:r w:rsidRPr="00756C7C">
        <w:t>, for example, in the 1993 document of the Pontifical B</w:t>
      </w:r>
      <w:r w:rsidR="007A1CD3" w:rsidRPr="00756C7C">
        <w:t>iblical Commission</w:t>
      </w:r>
      <w:r w:rsidR="00BB3FE8" w:rsidRPr="00756C7C">
        <w:rPr>
          <w:rStyle w:val="Appelnotedebasdep"/>
          <w:sz w:val="22"/>
        </w:rPr>
        <w:footnoteReference w:id="13"/>
      </w:r>
      <w:r w:rsidR="00BB3FE8" w:rsidRPr="00756C7C">
        <w:t xml:space="preserve"> </w:t>
      </w:r>
      <w:r w:rsidR="007A1CD3" w:rsidRPr="00756C7C">
        <w:t xml:space="preserve">– are </w:t>
      </w:r>
      <w:r w:rsidRPr="00756C7C">
        <w:t>a shared challenge that we must take up together.</w:t>
      </w:r>
    </w:p>
    <w:p w:rsidR="00133098" w:rsidRDefault="00133098" w:rsidP="002C225C">
      <w:r>
        <w:tab/>
      </w:r>
      <w:r w:rsidR="00193883">
        <w:t>Reading the Bible together is, more than ever, an entrance door to every action that attempts to put a name to the action of God in our lives, our local communities, and our churches.</w:t>
      </w:r>
    </w:p>
    <w:p w:rsidR="009A2D01" w:rsidRDefault="00BB3FE8" w:rsidP="002C225C">
      <w:pPr>
        <w:pStyle w:val="Titre3"/>
      </w:pPr>
      <w:bookmarkStart w:id="15" w:name="_Toc3994626"/>
      <w:r>
        <w:t xml:space="preserve">2.2.2. </w:t>
      </w:r>
      <w:r w:rsidR="009A2D01">
        <w:t>The witnesses of yesterday and of today</w:t>
      </w:r>
      <w:bookmarkEnd w:id="15"/>
    </w:p>
    <w:p w:rsidR="009A2D01" w:rsidRDefault="008C703A" w:rsidP="002C225C">
      <w:r>
        <w:t xml:space="preserve">At the beginning of this month, I spoke at a congress in Bologna on </w:t>
      </w:r>
      <w:r>
        <w:rPr>
          <w:i/>
        </w:rPr>
        <w:t xml:space="preserve">The future of ecumenism. </w:t>
      </w:r>
      <w:r w:rsidR="00BB3FE8">
        <w:t xml:space="preserve">Nicholas </w:t>
      </w:r>
      <w:proofErr w:type="spellStart"/>
      <w:r w:rsidR="00843C91">
        <w:t>Sagovsky</w:t>
      </w:r>
      <w:proofErr w:type="spellEnd"/>
      <w:r w:rsidR="00843C91">
        <w:t xml:space="preserve"> </w:t>
      </w:r>
      <w:r w:rsidR="00BB3FE8">
        <w:t xml:space="preserve">was in this Congress too. </w:t>
      </w:r>
      <w:r>
        <w:t xml:space="preserve">The organizers had asked me to talk about the future </w:t>
      </w:r>
      <w:r w:rsidR="007A1CD3">
        <w:t xml:space="preserve">prospects </w:t>
      </w:r>
      <w:r>
        <w:t>of what is going on today in the form of ancient and new links between separated Christians. This, of course, is not our concern here, but I should like to take up one important element.</w:t>
      </w:r>
    </w:p>
    <w:p w:rsidR="008C703A" w:rsidRPr="00756C7C" w:rsidRDefault="008C703A" w:rsidP="002C225C">
      <w:r w:rsidRPr="00756C7C">
        <w:tab/>
        <w:t>The point of my lecture was to describe the reconfigurations of the privileged links among Christians according to a</w:t>
      </w:r>
      <w:r w:rsidR="000C65D5" w:rsidRPr="00756C7C">
        <w:t xml:space="preserve"> logic of</w:t>
      </w:r>
      <w:r w:rsidRPr="00756C7C">
        <w:t xml:space="preserve"> “affinity</w:t>
      </w:r>
      <w:r w:rsidR="000C65D5" w:rsidRPr="00756C7C">
        <w:t>.</w:t>
      </w:r>
      <w:r w:rsidRPr="00756C7C">
        <w:t xml:space="preserve">” The sheer scale makes this completely new. It goes without saying that the </w:t>
      </w:r>
      <w:r w:rsidRPr="00756C7C">
        <w:rPr>
          <w:i/>
        </w:rPr>
        <w:t xml:space="preserve">Malines Conversations </w:t>
      </w:r>
      <w:r w:rsidRPr="00756C7C">
        <w:t xml:space="preserve">(to take one example) were </w:t>
      </w:r>
      <w:r w:rsidR="000C65D5" w:rsidRPr="00756C7C">
        <w:t>a matter of</w:t>
      </w:r>
      <w:r w:rsidRPr="00756C7C">
        <w:t xml:space="preserve"> affinity, and that the </w:t>
      </w:r>
      <w:proofErr w:type="spellStart"/>
      <w:r w:rsidRPr="00756C7C">
        <w:rPr>
          <w:i/>
        </w:rPr>
        <w:t>Groupe</w:t>
      </w:r>
      <w:proofErr w:type="spellEnd"/>
      <w:r w:rsidRPr="00756C7C">
        <w:rPr>
          <w:i/>
        </w:rPr>
        <w:t xml:space="preserve"> of </w:t>
      </w:r>
      <w:proofErr w:type="spellStart"/>
      <w:r w:rsidRPr="00756C7C">
        <w:rPr>
          <w:i/>
        </w:rPr>
        <w:t>Dombes</w:t>
      </w:r>
      <w:proofErr w:type="spellEnd"/>
      <w:r w:rsidRPr="00756C7C">
        <w:rPr>
          <w:i/>
        </w:rPr>
        <w:t xml:space="preserve"> </w:t>
      </w:r>
      <w:r w:rsidRPr="00756C7C">
        <w:t>was and remains a matter of affinity, but the quasi-totality of Christians were indifferent, or even hostile, to the Christians of another confession.</w:t>
      </w:r>
      <w:r w:rsidR="00756C7C" w:rsidRPr="00756C7C">
        <w:t xml:space="preserve"> This goes even further.</w:t>
      </w:r>
    </w:p>
    <w:p w:rsidR="00C63B21" w:rsidRPr="00756C7C" w:rsidRDefault="00C63B21" w:rsidP="002C225C">
      <w:pPr>
        <w:rPr>
          <w:sz w:val="20"/>
        </w:rPr>
      </w:pPr>
      <w:r w:rsidRPr="00756C7C">
        <w:tab/>
        <w:t xml:space="preserve">I propose (in my lecture) a </w:t>
      </w:r>
      <w:r w:rsidR="00BB3FE8" w:rsidRPr="00756C7C">
        <w:t>“</w:t>
      </w:r>
      <w:r w:rsidRPr="00756C7C">
        <w:t>liquid ecumenism</w:t>
      </w:r>
      <w:r w:rsidR="00BB3FE8" w:rsidRPr="00756C7C">
        <w:t>” or “peer ecumenism”</w:t>
      </w:r>
      <w:r w:rsidRPr="00756C7C">
        <w:t>, whe</w:t>
      </w:r>
      <w:r w:rsidR="007A1CD3" w:rsidRPr="00756C7C">
        <w:t>re</w:t>
      </w:r>
      <w:r w:rsidRPr="00756C7C">
        <w:t xml:space="preserve"> Christians of different confessions have more affinities among themselves than with the members of their own church. This is fundamentally different from many approaches, including that of the official dialogues. The bilateral or multilateral dialogues are not a matter of affinity. They are moved by an exigency that is internal to the Christian faith, the demand for unity</w:t>
      </w:r>
      <w:r w:rsidR="007A1CD3" w:rsidRPr="00756C7C">
        <w:t>,</w:t>
      </w:r>
      <w:r w:rsidRPr="00756C7C">
        <w:t xml:space="preserve"> as this has been identified by the theologians and by the magisteri</w:t>
      </w:r>
      <w:r w:rsidR="007A1CD3" w:rsidRPr="00756C7C">
        <w:t>um</w:t>
      </w:r>
      <w:r w:rsidRPr="00756C7C">
        <w:t xml:space="preserve"> for less than a century. </w:t>
      </w:r>
      <w:proofErr w:type="gramStart"/>
      <w:r w:rsidR="007A1CD3" w:rsidRPr="00756C7C">
        <w:t>But</w:t>
      </w:r>
      <w:proofErr w:type="gramEnd"/>
      <w:r w:rsidRPr="00756C7C">
        <w:t xml:space="preserve"> when </w:t>
      </w:r>
      <w:r w:rsidRPr="00756C7C">
        <w:lastRenderedPageBreak/>
        <w:t>these dialogues are not connected to affinities, it is highly probable that they will break down – as we well know.</w:t>
      </w:r>
      <w:r w:rsidR="00756C7C" w:rsidRPr="00756C7C">
        <w:t xml:space="preserve"> Let me return to my principal proposal.</w:t>
      </w:r>
    </w:p>
    <w:p w:rsidR="00C63B21" w:rsidRDefault="00C63B21" w:rsidP="002C225C">
      <w:r>
        <w:tab/>
      </w:r>
      <w:r w:rsidR="00983F1F">
        <w:t>We can observe the intensive recourse to testimonies in certain Christian groups</w:t>
      </w:r>
      <w:r w:rsidR="00BB3FE8">
        <w:t xml:space="preserve"> (</w:t>
      </w:r>
      <w:r w:rsidR="00BB3FE8" w:rsidRPr="00BB3FE8">
        <w:t>see the fir</w:t>
      </w:r>
      <w:r w:rsidR="00BB3FE8">
        <w:t xml:space="preserve">st Forum Chrétien Francophone in </w:t>
      </w:r>
      <w:r w:rsidR="00BB3FE8" w:rsidRPr="00BB3FE8">
        <w:t xml:space="preserve">Lyon </w:t>
      </w:r>
      <w:r w:rsidR="00BB3FE8">
        <w:t>in October</w:t>
      </w:r>
      <w:r w:rsidR="00BB3FE8" w:rsidRPr="00BB3FE8">
        <w:t xml:space="preserve"> 2018)</w:t>
      </w:r>
      <w:r w:rsidR="00983F1F">
        <w:t>. These are not the narratives of the saints of the past. The word of the living witnesses has authority, in the sense that it is regarded as credible by those who have responsibility and by the organizers. It is then proposed to everyone as an authentic interpretation of an experience of faith</w:t>
      </w:r>
      <w:r w:rsidR="00207D5B">
        <w:t>, which</w:t>
      </w:r>
      <w:r w:rsidR="00983F1F">
        <w:t xml:space="preserve"> is capable of offering words to put a name to one’s own experience.</w:t>
      </w:r>
    </w:p>
    <w:p w:rsidR="00983F1F" w:rsidRDefault="00983F1F" w:rsidP="002C225C">
      <w:r>
        <w:tab/>
      </w:r>
      <w:r w:rsidR="001B04EF">
        <w:t>We see quickly that this can be problematic</w:t>
      </w:r>
      <w:r w:rsidR="00207D5B">
        <w:t>. F</w:t>
      </w:r>
      <w:r w:rsidR="001B04EF">
        <w:t xml:space="preserve">irst of all, </w:t>
      </w:r>
      <w:r w:rsidR="00207D5B">
        <w:t xml:space="preserve">however, </w:t>
      </w:r>
      <w:r w:rsidR="001B04EF">
        <w:t xml:space="preserve">it is a fact, and it functions. Secondly, the interpretative potential of this instrument is considerable. Theology has developed the idea of the </w:t>
      </w:r>
      <w:proofErr w:type="spellStart"/>
      <w:r w:rsidR="00BB3FE8" w:rsidRPr="00BB3FE8">
        <w:rPr>
          <w:i/>
        </w:rPr>
        <w:t>sensus</w:t>
      </w:r>
      <w:proofErr w:type="spellEnd"/>
      <w:r w:rsidR="00BB3FE8" w:rsidRPr="00BB3FE8">
        <w:rPr>
          <w:i/>
        </w:rPr>
        <w:t xml:space="preserve"> </w:t>
      </w:r>
      <w:proofErr w:type="spellStart"/>
      <w:r w:rsidR="00BB3FE8" w:rsidRPr="00BB3FE8">
        <w:rPr>
          <w:i/>
        </w:rPr>
        <w:t>fidei</w:t>
      </w:r>
      <w:proofErr w:type="spellEnd"/>
      <w:r w:rsidR="00BB3FE8" w:rsidRPr="00BB3FE8">
        <w:rPr>
          <w:i/>
        </w:rPr>
        <w:t xml:space="preserve"> </w:t>
      </w:r>
      <w:proofErr w:type="spellStart"/>
      <w:r w:rsidR="00BB3FE8" w:rsidRPr="00BB3FE8">
        <w:rPr>
          <w:i/>
        </w:rPr>
        <w:t>fidelium</w:t>
      </w:r>
      <w:proofErr w:type="spellEnd"/>
      <w:r w:rsidR="00BB3FE8" w:rsidRPr="00BB3FE8">
        <w:rPr>
          <w:i/>
        </w:rPr>
        <w:t xml:space="preserve"> </w:t>
      </w:r>
      <w:r w:rsidR="001B04EF">
        <w:t>in this context</w:t>
      </w:r>
      <w:r w:rsidR="00BB3FE8">
        <w:rPr>
          <w:rStyle w:val="Appelnotedebasdep"/>
        </w:rPr>
        <w:footnoteReference w:id="14"/>
      </w:r>
      <w:r w:rsidR="001B04EF">
        <w:t>. Theological research is urgently summed here to produce a public discourse that takes account of the interpretations that are offered by means of testimonies to contemporary experiences of faith. It would probably also be necessary to revisit the testimonies of the past, as well as the interpretations made of these testimonies in the pa</w:t>
      </w:r>
      <w:r w:rsidR="00207D5B">
        <w:t>s</w:t>
      </w:r>
      <w:r w:rsidR="001B04EF">
        <w:t>t by the theologians and the churches. This is urgent, in order to avoid the development of a communal subjectivism that is detached from all rationality.</w:t>
      </w:r>
    </w:p>
    <w:p w:rsidR="00884725" w:rsidRDefault="00BB3FE8" w:rsidP="002C225C">
      <w:pPr>
        <w:pStyle w:val="Titre3"/>
      </w:pPr>
      <w:bookmarkStart w:id="16" w:name="_Toc3994627"/>
      <w:r>
        <w:t xml:space="preserve">2.2.3. </w:t>
      </w:r>
      <w:r w:rsidR="00884725">
        <w:t>The rites and the liturgy</w:t>
      </w:r>
      <w:bookmarkEnd w:id="16"/>
    </w:p>
    <w:p w:rsidR="00884725" w:rsidRDefault="00705767" w:rsidP="002C225C">
      <w:r>
        <w:t xml:space="preserve">I come now to my own privileged field of the rites and the liturgy – here, we give this field the </w:t>
      </w:r>
      <w:r w:rsidR="00875C1C">
        <w:t>well-chosen</w:t>
      </w:r>
      <w:r>
        <w:t xml:space="preserve"> name of “sacramental realities.” I shall be brief here, and draw the consequences of everything that I have said above. The rites are the non-verbal expression of a relationship to God</w:t>
      </w:r>
      <w:r w:rsidR="00207D5B">
        <w:t>,</w:t>
      </w:r>
      <w:r>
        <w:t xml:space="preserve"> in keeping with various goals. Our different Christian traditions have retained several rites and attached varying importance to them. What is common to all this ritual language is its ecclesial character: the “we”</w:t>
      </w:r>
      <w:proofErr w:type="gramStart"/>
      <w:r>
        <w:t>.</w:t>
      </w:r>
      <w:proofErr w:type="gramEnd"/>
    </w:p>
    <w:p w:rsidR="00705767" w:rsidRDefault="00705767" w:rsidP="002C225C">
      <w:r>
        <w:tab/>
        <w:t>The intimate experience of faith – whether it is initial and thus extraordinary, or regular and thus ordinary – finds its visible expression in the liturgy (</w:t>
      </w:r>
      <w:r w:rsidR="00843C91">
        <w:t>whatever this liturgy may be). L</w:t>
      </w:r>
      <w:r>
        <w:t xml:space="preserve">et us recall the etymology of </w:t>
      </w:r>
      <w:proofErr w:type="spellStart"/>
      <w:r>
        <w:rPr>
          <w:i/>
        </w:rPr>
        <w:t>leiturgia</w:t>
      </w:r>
      <w:proofErr w:type="spellEnd"/>
      <w:r>
        <w:t>: “public a</w:t>
      </w:r>
      <w:r w:rsidR="00207D5B">
        <w:t>ction.” This non-verbal act of putting</w:t>
      </w:r>
      <w:r>
        <w:t xml:space="preserve"> the personal experience of faith into a non-verbal narrative is indispensable for the believer. In this sense, one understands at once that the absolute objectivity of the </w:t>
      </w:r>
      <w:proofErr w:type="spellStart"/>
      <w:r>
        <w:t>narrativization</w:t>
      </w:r>
      <w:proofErr w:type="spellEnd"/>
      <w:r>
        <w:t xml:space="preserve"> does not exist. And history confirms this multiplicity of rites in Christianity, from its origins and down to the present day, even within Catholicism. </w:t>
      </w:r>
    </w:p>
    <w:p w:rsidR="00D95D7D" w:rsidRDefault="00D95D7D" w:rsidP="002C225C">
      <w:r>
        <w:tab/>
        <w:t xml:space="preserve">In the liturgies, God’s project of love and salvation for every man and every woman, and for humankind as a whole, is unveiled. This unveiling has had a name from apostolic times </w:t>
      </w:r>
      <w:r>
        <w:lastRenderedPageBreak/>
        <w:t xml:space="preserve">onwards: the name </w:t>
      </w:r>
      <w:proofErr w:type="spellStart"/>
      <w:r>
        <w:rPr>
          <w:i/>
        </w:rPr>
        <w:t>mustêrion</w:t>
      </w:r>
      <w:proofErr w:type="spellEnd"/>
      <w:r>
        <w:rPr>
          <w:i/>
        </w:rPr>
        <w:t xml:space="preserve">, </w:t>
      </w:r>
      <w:r>
        <w:t xml:space="preserve">which Tertullian transposes into </w:t>
      </w:r>
      <w:proofErr w:type="spellStart"/>
      <w:r>
        <w:rPr>
          <w:i/>
        </w:rPr>
        <w:t>sacramentum</w:t>
      </w:r>
      <w:proofErr w:type="spellEnd"/>
      <w:r>
        <w:rPr>
          <w:i/>
        </w:rPr>
        <w:t xml:space="preserve"> </w:t>
      </w:r>
      <w:r>
        <w:t>in the Latin world. I am one of those theologians who reflect more on sacramentality than on the sacraments</w:t>
      </w:r>
      <w:r w:rsidR="00875C1C">
        <w:rPr>
          <w:rStyle w:val="Appelnotedebasdep"/>
        </w:rPr>
        <w:footnoteReference w:id="15"/>
      </w:r>
      <w:r>
        <w:t xml:space="preserve">, on what the fourth Meeting of our Group calls the </w:t>
      </w:r>
      <w:r>
        <w:rPr>
          <w:i/>
        </w:rPr>
        <w:t xml:space="preserve">sacramental realities. </w:t>
      </w:r>
      <w:r w:rsidR="00294CBF">
        <w:t>This more fundamental approach seems to me essential, if ecumenism is to get beyond the almost unsurmountable obstacle of the sevenfold sacramental structure of Peter Lombard and Thomas Aquinas.</w:t>
      </w:r>
    </w:p>
    <w:p w:rsidR="00294CBF" w:rsidRDefault="00875C1C" w:rsidP="002C225C">
      <w:pPr>
        <w:pStyle w:val="Titre3"/>
      </w:pPr>
      <w:bookmarkStart w:id="17" w:name="_Toc3994628"/>
      <w:r>
        <w:t xml:space="preserve">2.2.4. </w:t>
      </w:r>
      <w:r w:rsidR="00294CBF">
        <w:t>Consequences for ecumenism</w:t>
      </w:r>
      <w:bookmarkEnd w:id="17"/>
    </w:p>
    <w:p w:rsidR="00294CBF" w:rsidRDefault="00294CBF" w:rsidP="002C225C">
      <w:r>
        <w:t xml:space="preserve">I note, therefore, that where the Bible </w:t>
      </w:r>
      <w:proofErr w:type="gramStart"/>
      <w:r>
        <w:t>is read</w:t>
      </w:r>
      <w:proofErr w:type="gramEnd"/>
      <w:r>
        <w:t xml:space="preserve">, the witnesses are heard and authenticated by the community, and the sacramental realities are celebrated, it is possible for the ecumenical dialogues to have unity as their outcome. In my own field, this explains why I limit my perspective here to those churches that have in their structure a sacramentality that operates concretely, with the episcopate as an essential element. In our Latin world, this leaves us with Catholicism, Anglicanism, and Lutheranism. In the case of these churches, what must we then do? I believe that the path we must prioritize is that of the </w:t>
      </w:r>
      <w:r>
        <w:rPr>
          <w:i/>
        </w:rPr>
        <w:t xml:space="preserve">assembly, </w:t>
      </w:r>
      <w:r>
        <w:t>to which I shall devote my third and final section.</w:t>
      </w:r>
    </w:p>
    <w:p w:rsidR="00294CBF" w:rsidRDefault="00294CBF" w:rsidP="002C225C"/>
    <w:p w:rsidR="00294CBF" w:rsidRDefault="00875C1C" w:rsidP="002C225C">
      <w:pPr>
        <w:pStyle w:val="Titre1"/>
      </w:pPr>
      <w:bookmarkStart w:id="18" w:name="_Toc3994629"/>
      <w:r>
        <w:t xml:space="preserve">3. </w:t>
      </w:r>
      <w:r w:rsidR="00294CBF">
        <w:t>The primacy of the assembly</w:t>
      </w:r>
      <w:bookmarkEnd w:id="18"/>
    </w:p>
    <w:p w:rsidR="00294CBF" w:rsidRDefault="00294CBF" w:rsidP="002C225C">
      <w:r>
        <w:t xml:space="preserve">I understand the term “assembly” here to mean the assembled community, the </w:t>
      </w:r>
      <w:proofErr w:type="spellStart"/>
      <w:r>
        <w:rPr>
          <w:i/>
        </w:rPr>
        <w:t>ekklêsia</w:t>
      </w:r>
      <w:proofErr w:type="spellEnd"/>
      <w:r>
        <w:rPr>
          <w:i/>
        </w:rPr>
        <w:t xml:space="preserve"> </w:t>
      </w:r>
      <w:r>
        <w:t xml:space="preserve">in the original sense of the term. </w:t>
      </w:r>
      <w:r w:rsidR="00DB1A4B">
        <w:t xml:space="preserve">It is this that is anterior to the personal experience of faith by individuals, and that may also be anterior to the place where this experience takes place. </w:t>
      </w:r>
      <w:r w:rsidR="008602B0">
        <w:t xml:space="preserve">In any case, it is the </w:t>
      </w:r>
      <w:r w:rsidR="008602B0">
        <w:rPr>
          <w:i/>
        </w:rPr>
        <w:t xml:space="preserve">assembly </w:t>
      </w:r>
      <w:r w:rsidR="008602B0">
        <w:t>th</w:t>
      </w:r>
      <w:r w:rsidR="005F20DF">
        <w:t>at</w:t>
      </w:r>
      <w:r w:rsidR="008602B0">
        <w:t xml:space="preserve"> supplies the keys, the words, and the rites that permit one to integrate one’s own experience into the shared narrative of humanity in relation to God. And it is the </w:t>
      </w:r>
      <w:r w:rsidR="008602B0">
        <w:rPr>
          <w:i/>
        </w:rPr>
        <w:t xml:space="preserve">assembly </w:t>
      </w:r>
      <w:r w:rsidR="008602B0">
        <w:t>that permits one to pursue one’s path of faith in daily life, in varying and changing contexts.</w:t>
      </w:r>
    </w:p>
    <w:p w:rsidR="008602B0" w:rsidRPr="00A854EA" w:rsidRDefault="008602B0" w:rsidP="002C225C">
      <w:r>
        <w:tab/>
        <w:t xml:space="preserve">When I prepared this lecture, I reflected on how to give this conviction a theological foundation. As I said in the introduction, </w:t>
      </w:r>
      <w:r w:rsidR="003721C4">
        <w:t>two German Jesuit theologians at the close of the 1950s opened up a path</w:t>
      </w:r>
      <w:r w:rsidR="00A854EA">
        <w:rPr>
          <w:rStyle w:val="Appelnotedebasdep"/>
        </w:rPr>
        <w:footnoteReference w:id="16"/>
      </w:r>
      <w:r w:rsidR="00A854EA" w:rsidRPr="00A854EA">
        <w:t>.</w:t>
      </w:r>
    </w:p>
    <w:p w:rsidR="008602B0" w:rsidRDefault="00875C1C" w:rsidP="002C225C">
      <w:pPr>
        <w:pStyle w:val="Titre2"/>
      </w:pPr>
      <w:bookmarkStart w:id="19" w:name="_Toc3994630"/>
      <w:r>
        <w:t xml:space="preserve">3.1. </w:t>
      </w:r>
      <w:r w:rsidR="008602B0">
        <w:t>The church as sacrament</w:t>
      </w:r>
      <w:r w:rsidR="00A854EA">
        <w:rPr>
          <w:rStyle w:val="Appelnotedebasdep"/>
        </w:rPr>
        <w:footnoteReference w:id="17"/>
      </w:r>
      <w:bookmarkEnd w:id="19"/>
    </w:p>
    <w:p w:rsidR="008602B0" w:rsidRDefault="00875C1C" w:rsidP="002C225C">
      <w:pPr>
        <w:pStyle w:val="Titre3"/>
      </w:pPr>
      <w:bookmarkStart w:id="20" w:name="_Toc3994631"/>
      <w:r>
        <w:t xml:space="preserve">3.1.1. </w:t>
      </w:r>
      <w:r w:rsidR="008602B0">
        <w:t xml:space="preserve">Otto </w:t>
      </w:r>
      <w:proofErr w:type="spellStart"/>
      <w:r w:rsidR="008602B0">
        <w:t>Semmelro</w:t>
      </w:r>
      <w:r w:rsidR="00D24C8E">
        <w:t>t</w:t>
      </w:r>
      <w:r w:rsidR="008602B0">
        <w:t>h</w:t>
      </w:r>
      <w:proofErr w:type="spellEnd"/>
      <w:r w:rsidR="008602B0">
        <w:t xml:space="preserve"> (1912–1979): The church is the </w:t>
      </w:r>
      <w:proofErr w:type="spellStart"/>
      <w:r w:rsidR="008602B0" w:rsidRPr="008B2903">
        <w:t>Ursakrament</w:t>
      </w:r>
      <w:proofErr w:type="spellEnd"/>
      <w:r w:rsidR="008602B0" w:rsidRPr="008B2903">
        <w:t>,</w:t>
      </w:r>
      <w:r w:rsidR="008602B0">
        <w:t xml:space="preserve"> just as Christ is the </w:t>
      </w:r>
      <w:proofErr w:type="spellStart"/>
      <w:r w:rsidR="008602B0">
        <w:t>Ursakrament</w:t>
      </w:r>
      <w:bookmarkEnd w:id="20"/>
      <w:proofErr w:type="spellEnd"/>
    </w:p>
    <w:p w:rsidR="008602B0" w:rsidRDefault="008602B0" w:rsidP="002C225C">
      <w:proofErr w:type="spellStart"/>
      <w:r w:rsidRPr="008602B0">
        <w:lastRenderedPageBreak/>
        <w:t>Semmelroth</w:t>
      </w:r>
      <w:proofErr w:type="spellEnd"/>
      <w:r w:rsidRPr="008602B0">
        <w:t xml:space="preserve"> published </w:t>
      </w:r>
      <w:r w:rsidRPr="008602B0">
        <w:rPr>
          <w:i/>
        </w:rPr>
        <w:t xml:space="preserve">Die </w:t>
      </w:r>
      <w:proofErr w:type="spellStart"/>
      <w:r w:rsidRPr="008602B0">
        <w:rPr>
          <w:i/>
        </w:rPr>
        <w:t>Kirche</w:t>
      </w:r>
      <w:proofErr w:type="spellEnd"/>
      <w:r w:rsidRPr="008602B0">
        <w:rPr>
          <w:i/>
        </w:rPr>
        <w:t xml:space="preserve"> </w:t>
      </w:r>
      <w:proofErr w:type="spellStart"/>
      <w:proofErr w:type="gramStart"/>
      <w:r w:rsidRPr="008602B0">
        <w:rPr>
          <w:i/>
        </w:rPr>
        <w:t>als</w:t>
      </w:r>
      <w:proofErr w:type="spellEnd"/>
      <w:proofErr w:type="gramEnd"/>
      <w:r w:rsidRPr="008602B0">
        <w:rPr>
          <w:i/>
        </w:rPr>
        <w:t xml:space="preserve"> </w:t>
      </w:r>
      <w:proofErr w:type="spellStart"/>
      <w:r w:rsidRPr="008602B0">
        <w:rPr>
          <w:i/>
        </w:rPr>
        <w:t>Ursakrament</w:t>
      </w:r>
      <w:proofErr w:type="spellEnd"/>
      <w:r w:rsidRPr="008602B0">
        <w:rPr>
          <w:i/>
        </w:rPr>
        <w:t xml:space="preserve"> </w:t>
      </w:r>
      <w:r w:rsidRPr="008602B0">
        <w:t>in 195</w:t>
      </w:r>
      <w:r>
        <w:t>3</w:t>
      </w:r>
      <w:r w:rsidR="00C20DA2" w:rsidRPr="004B3344">
        <w:rPr>
          <w:vertAlign w:val="superscript"/>
          <w:lang w:val="fr-CA" w:eastAsia="fr-BE"/>
        </w:rPr>
        <w:footnoteReference w:id="18"/>
      </w:r>
      <w:r w:rsidR="00C20DA2">
        <w:t>.</w:t>
      </w:r>
      <w:r>
        <w:rPr>
          <w:i/>
        </w:rPr>
        <w:t xml:space="preserve"> </w:t>
      </w:r>
      <w:proofErr w:type="spellStart"/>
      <w:r>
        <w:t>Semmelroth</w:t>
      </w:r>
      <w:proofErr w:type="spellEnd"/>
      <w:r>
        <w:t xml:space="preserve"> took part in the Second Vatican Council as an expert of the German bishops.</w:t>
      </w:r>
    </w:p>
    <w:p w:rsidR="008602B0" w:rsidRDefault="008602B0" w:rsidP="002C225C">
      <w:r>
        <w:tab/>
        <w:t xml:space="preserve">This book takes up and deepens several themes in the 1943 encyclical </w:t>
      </w:r>
      <w:proofErr w:type="spellStart"/>
      <w:r>
        <w:rPr>
          <w:i/>
        </w:rPr>
        <w:t>Mystici</w:t>
      </w:r>
      <w:proofErr w:type="spellEnd"/>
      <w:r>
        <w:rPr>
          <w:i/>
        </w:rPr>
        <w:t xml:space="preserve"> </w:t>
      </w:r>
      <w:proofErr w:type="spellStart"/>
      <w:r>
        <w:rPr>
          <w:i/>
        </w:rPr>
        <w:t>corporis</w:t>
      </w:r>
      <w:proofErr w:type="spellEnd"/>
      <w:r>
        <w:rPr>
          <w:i/>
        </w:rPr>
        <w:t xml:space="preserve">, </w:t>
      </w:r>
      <w:r>
        <w:t>in which Pius XII had reaffirmed the identity of “the mystical Body of Christ and the Roman Catholic church,” against the idea that somethin</w:t>
      </w:r>
      <w:r w:rsidR="005F20DF">
        <w:t>g of this mystical b</w:t>
      </w:r>
      <w:r>
        <w:t>ody also existed outside and beyond the visible church</w:t>
      </w:r>
      <w:r w:rsidR="00A854EA" w:rsidRPr="004B3344">
        <w:rPr>
          <w:vertAlign w:val="superscript"/>
          <w:lang w:val="fr-CA" w:eastAsia="fr-BE"/>
        </w:rPr>
        <w:footnoteReference w:id="19"/>
      </w:r>
      <w:r>
        <w:t xml:space="preserve">. </w:t>
      </w:r>
      <w:r w:rsidRPr="009919C8">
        <w:rPr>
          <w:lang w:val="fr-BE"/>
        </w:rPr>
        <w:t xml:space="preserve">In </w:t>
      </w:r>
      <w:proofErr w:type="spellStart"/>
      <w:r w:rsidRPr="009919C8">
        <w:rPr>
          <w:lang w:val="fr-BE"/>
        </w:rPr>
        <w:t>order</w:t>
      </w:r>
      <w:proofErr w:type="spellEnd"/>
      <w:r w:rsidRPr="009919C8">
        <w:rPr>
          <w:lang w:val="fr-BE"/>
        </w:rPr>
        <w:t xml:space="preserve"> to </w:t>
      </w:r>
      <w:proofErr w:type="spellStart"/>
      <w:r w:rsidRPr="009919C8">
        <w:rPr>
          <w:lang w:val="fr-BE"/>
        </w:rPr>
        <w:t>expand</w:t>
      </w:r>
      <w:proofErr w:type="spellEnd"/>
      <w:r w:rsidRPr="009919C8">
        <w:rPr>
          <w:lang w:val="fr-BE"/>
        </w:rPr>
        <w:t xml:space="preserve"> </w:t>
      </w:r>
      <w:proofErr w:type="spellStart"/>
      <w:r w:rsidRPr="009919C8">
        <w:rPr>
          <w:lang w:val="fr-BE"/>
        </w:rPr>
        <w:t>this</w:t>
      </w:r>
      <w:proofErr w:type="spellEnd"/>
      <w:r w:rsidRPr="009919C8">
        <w:rPr>
          <w:lang w:val="fr-BE"/>
        </w:rPr>
        <w:t xml:space="preserve"> position, </w:t>
      </w:r>
      <w:proofErr w:type="spellStart"/>
      <w:r w:rsidRPr="009919C8">
        <w:rPr>
          <w:lang w:val="fr-BE"/>
        </w:rPr>
        <w:t>Semmelroth</w:t>
      </w:r>
      <w:proofErr w:type="spellEnd"/>
      <w:r w:rsidRPr="009919C8">
        <w:rPr>
          <w:lang w:val="fr-BE"/>
        </w:rPr>
        <w:t xml:space="preserve"> </w:t>
      </w:r>
      <w:proofErr w:type="spellStart"/>
      <w:r w:rsidRPr="009919C8">
        <w:rPr>
          <w:lang w:val="fr-BE"/>
        </w:rPr>
        <w:t>insists</w:t>
      </w:r>
      <w:proofErr w:type="spellEnd"/>
      <w:r w:rsidRPr="009919C8">
        <w:rPr>
          <w:lang w:val="fr-BE"/>
        </w:rPr>
        <w:t xml:space="preserve"> on the </w:t>
      </w:r>
      <w:proofErr w:type="spellStart"/>
      <w:r w:rsidRPr="009919C8">
        <w:rPr>
          <w:lang w:val="fr-BE"/>
        </w:rPr>
        <w:t>rich</w:t>
      </w:r>
      <w:proofErr w:type="spellEnd"/>
      <w:r w:rsidRPr="009919C8">
        <w:rPr>
          <w:lang w:val="fr-BE"/>
        </w:rPr>
        <w:t xml:space="preserve"> structure of the </w:t>
      </w:r>
      <w:proofErr w:type="spellStart"/>
      <w:r w:rsidRPr="009919C8">
        <w:rPr>
          <w:lang w:val="fr-BE"/>
        </w:rPr>
        <w:t>relationship</w:t>
      </w:r>
      <w:proofErr w:type="spellEnd"/>
      <w:r w:rsidRPr="009919C8">
        <w:rPr>
          <w:lang w:val="fr-BE"/>
        </w:rPr>
        <w:t xml:space="preserve"> </w:t>
      </w:r>
      <w:proofErr w:type="spellStart"/>
      <w:r w:rsidRPr="009919C8">
        <w:rPr>
          <w:lang w:val="fr-BE"/>
        </w:rPr>
        <w:t>between</w:t>
      </w:r>
      <w:proofErr w:type="spellEnd"/>
      <w:r w:rsidRPr="009919C8">
        <w:rPr>
          <w:lang w:val="fr-BE"/>
        </w:rPr>
        <w:t xml:space="preserve"> Christ and the </w:t>
      </w:r>
      <w:proofErr w:type="spellStart"/>
      <w:r w:rsidRPr="009919C8">
        <w:rPr>
          <w:lang w:val="fr-BE"/>
        </w:rPr>
        <w:t>church</w:t>
      </w:r>
      <w:proofErr w:type="spellEnd"/>
      <w:r w:rsidR="009919C8" w:rsidRPr="009919C8">
        <w:rPr>
          <w:lang w:val="fr-BE"/>
        </w:rPr>
        <w:t xml:space="preserve">. </w:t>
      </w:r>
    </w:p>
    <w:p w:rsidR="00A854EA" w:rsidRPr="00A854EA" w:rsidRDefault="00A854EA" w:rsidP="002C225C">
      <w:pPr>
        <w:pStyle w:val="Citation"/>
        <w:rPr>
          <w:lang w:val="fr-BE"/>
        </w:rPr>
      </w:pPr>
      <w:r w:rsidRPr="00A854EA">
        <w:rPr>
          <w:lang w:val="fr-BE"/>
        </w:rPr>
        <w:t>« Sans doute, l’Église est-elle appelée Corps du Christ parce que fondée par lui, mais la foi de l’Église nous enseigne qu’il y a, en plus de cela, une unité permanente de vie entre l’Église et le Christ, unité qui fait de l’Église une sorte de prolongement du mystère de l’Incarnation »</w:t>
      </w:r>
      <w:r w:rsidRPr="004B3344">
        <w:rPr>
          <w:vertAlign w:val="superscript"/>
        </w:rPr>
        <w:footnoteReference w:id="20"/>
      </w:r>
      <w:r w:rsidRPr="00A854EA">
        <w:rPr>
          <w:lang w:val="fr-BE"/>
        </w:rPr>
        <w:t>.</w:t>
      </w:r>
    </w:p>
    <w:p w:rsidR="00FA7356" w:rsidRDefault="00FA7356" w:rsidP="002C225C">
      <w:r w:rsidRPr="009919C8">
        <w:rPr>
          <w:lang w:val="fr-BE"/>
        </w:rPr>
        <w:tab/>
      </w:r>
      <w:r>
        <w:t xml:space="preserve">He argues that this unity has its source in God, because Christ is the </w:t>
      </w:r>
      <w:proofErr w:type="spellStart"/>
      <w:r>
        <w:rPr>
          <w:i/>
        </w:rPr>
        <w:t>Ursakrament</w:t>
      </w:r>
      <w:proofErr w:type="spellEnd"/>
      <w:r>
        <w:rPr>
          <w:i/>
        </w:rPr>
        <w:t xml:space="preserve"> </w:t>
      </w:r>
      <w:r>
        <w:t xml:space="preserve">(“primordial sacrament”). His humanity is the epiphany, the manifestation, of the Son of God. </w:t>
      </w:r>
      <w:proofErr w:type="gramStart"/>
      <w:r>
        <w:t>But</w:t>
      </w:r>
      <w:proofErr w:type="gramEnd"/>
      <w:r>
        <w:t xml:space="preserve"> this idea is also applied to the church, in keeping with the theology of </w:t>
      </w:r>
      <w:r w:rsidR="005F20DF">
        <w:t xml:space="preserve">the </w:t>
      </w:r>
      <w:r>
        <w:t>Tübingen</w:t>
      </w:r>
      <w:r w:rsidR="005F20DF">
        <w:t xml:space="preserve"> school</w:t>
      </w:r>
      <w:r>
        <w:t>.</w:t>
      </w:r>
    </w:p>
    <w:p w:rsidR="00FA7356" w:rsidRDefault="00FA7356" w:rsidP="002C225C">
      <w:r>
        <w:tab/>
        <w:t xml:space="preserve">The category of “sign” is likewise employed when he evokes the Church </w:t>
      </w:r>
      <w:r w:rsidR="00F51820">
        <w:rPr>
          <w:i/>
        </w:rPr>
        <w:t>qua</w:t>
      </w:r>
      <w:r>
        <w:t xml:space="preserve"> society as a “sacramental sign,” or when the church is called the sacramental image o</w:t>
      </w:r>
      <w:r w:rsidR="005F20DF">
        <w:t>f</w:t>
      </w:r>
      <w:r>
        <w:t xml:space="preserve"> the work of redemption, or even of the Trinity. Accordingly, both the physical body of Christ and his mystical </w:t>
      </w:r>
      <w:r w:rsidR="005F20DF">
        <w:t>b</w:t>
      </w:r>
      <w:r>
        <w:t>ody, the church, are visible realities that contain and manifest divine realities.</w:t>
      </w:r>
    </w:p>
    <w:p w:rsidR="00FA7356" w:rsidRDefault="00FA7356" w:rsidP="002C225C">
      <w:r>
        <w:tab/>
        <w:t xml:space="preserve">Just as Christ is the (only) path to the Father, the church as sign or sacrament is the crossing point that allows us to encounter the Lord who is present in the church and whom it “represents.” The sacramentality makes it possible to go beyond the artificial breach between the earthly and human and the supernatural and sacred. And the </w:t>
      </w:r>
      <w:proofErr w:type="gramStart"/>
      <w:r>
        <w:t>sacramentality also</w:t>
      </w:r>
      <w:proofErr w:type="gramEnd"/>
      <w:r>
        <w:t xml:space="preserve"> makes it possible to express the “difference” between the earthly body of Christ and the church, which is indeed the “prolongation” of this earthly body, but under a different form.</w:t>
      </w:r>
    </w:p>
    <w:p w:rsidR="00F426AE" w:rsidRPr="00163028" w:rsidRDefault="00F426AE" w:rsidP="002C225C">
      <w:r w:rsidRPr="00163028">
        <w:tab/>
        <w:t>This means that the vocabulary of sacramentality, like that of representation, allows us to perceive the relationship between the visible face of the church in the life of the world and the mystery that it represents and that it bears in its own most intimate dimension.</w:t>
      </w:r>
    </w:p>
    <w:p w:rsidR="005834C8" w:rsidRPr="005834C8" w:rsidRDefault="005834C8" w:rsidP="002C225C">
      <w:pPr>
        <w:pStyle w:val="Citation"/>
        <w:rPr>
          <w:lang w:val="fr-BE"/>
        </w:rPr>
      </w:pPr>
      <w:r w:rsidRPr="005834C8">
        <w:rPr>
          <w:lang w:val="fr-BE"/>
        </w:rPr>
        <w:t>«</w:t>
      </w:r>
      <w:r w:rsidRPr="005834C8">
        <w:rPr>
          <w:i/>
          <w:lang w:val="fr-BE"/>
        </w:rPr>
        <w:t> </w:t>
      </w:r>
      <w:r w:rsidRPr="005834C8">
        <w:rPr>
          <w:lang w:val="fr-BE"/>
        </w:rPr>
        <w:t xml:space="preserve">Le signe sacramentel de l’Église-sacrement doit donc, lui aussi, être une réalité qui a son sens et sa validité dans l’ordre naturel humain. Cette réalité doit être élevée dans l’ordre du salut et appliquée comme sacrement, de telle sorte que son sens naturel ne disparaisse, ni ne soit écarté par quelque chose de surnaturel. Cette réalité humaine qui est devenue, dans l’Église, un symbole sacramentel de la grâce divine, c’est la société humaine, c’est l’homme lui-même en tant qu’il a réalisé la dimension de sa relation à la communauté, c’est-à-dire en tant qu’il existe vraiment en communauté et </w:t>
      </w:r>
      <w:r w:rsidRPr="005834C8">
        <w:rPr>
          <w:lang w:val="fr-BE"/>
        </w:rPr>
        <w:lastRenderedPageBreak/>
        <w:t>qu’il a donné à cette communauté conscience d’elle-même. Si, dans le Christ, l’existence humaine individuelle est devenue un signe sacramentel, il en va de même de l’Église, quant à l’existence communautaire. Et comme l’individu humain, dans le Christ, n’a souffert aucune diminution pour devenir sacrement de</w:t>
      </w:r>
      <w:r w:rsidRPr="005834C8">
        <w:rPr>
          <w:i/>
          <w:lang w:val="fr-BE"/>
        </w:rPr>
        <w:t xml:space="preserve"> </w:t>
      </w:r>
      <w:r w:rsidRPr="005834C8">
        <w:rPr>
          <w:lang w:val="fr-BE"/>
        </w:rPr>
        <w:t>Dieu, de même, dans l’Église, la communauté et la société humaine deviennent “sacrement” tout en conservant leur intégrité »</w:t>
      </w:r>
      <w:r w:rsidRPr="004B3344">
        <w:rPr>
          <w:vertAlign w:val="superscript"/>
        </w:rPr>
        <w:footnoteReference w:id="21"/>
      </w:r>
      <w:r w:rsidRPr="005834C8">
        <w:rPr>
          <w:lang w:val="fr-BE"/>
        </w:rPr>
        <w:t>.</w:t>
      </w:r>
    </w:p>
    <w:p w:rsidR="00F426AE" w:rsidRDefault="00F426AE" w:rsidP="002C225C">
      <w:r w:rsidRPr="005834C8">
        <w:rPr>
          <w:lang w:val="fr-BE"/>
        </w:rPr>
        <w:tab/>
      </w:r>
      <w:r w:rsidR="00141F50">
        <w:t>To sum up: the autonomy of the human community that is the church, like a sign in relation to what it signifies, is a tangible reality. But it also expresses in a mysterious and sacramental manner the life of Christ.</w:t>
      </w:r>
    </w:p>
    <w:p w:rsidR="00141F50" w:rsidRPr="00163028" w:rsidRDefault="00141F50" w:rsidP="002C225C">
      <w:r w:rsidRPr="00163028">
        <w:tab/>
      </w:r>
      <w:r w:rsidR="00E8379B" w:rsidRPr="00163028">
        <w:t xml:space="preserve">In this same passage, we also see emerging in </w:t>
      </w:r>
      <w:proofErr w:type="spellStart"/>
      <w:r w:rsidR="00E8379B" w:rsidRPr="00163028">
        <w:t>Semmelroth</w:t>
      </w:r>
      <w:proofErr w:type="spellEnd"/>
      <w:r w:rsidR="00E8379B" w:rsidRPr="00163028">
        <w:t xml:space="preserve"> the continuity in terms of sign between the church, as the place where the community exists, and the person who is the bearer of sacramentality in his or her individual existence. Every sacrament unites each person “directly” to Christ, who is the sacrament of God, and it operates in a communal manner in the church, which is the sacramental sign of Christ.</w:t>
      </w:r>
    </w:p>
    <w:p w:rsidR="0091502C" w:rsidRPr="00163028" w:rsidRDefault="00E8379B" w:rsidP="002C225C">
      <w:r w:rsidRPr="00163028">
        <w:tab/>
      </w:r>
      <w:r w:rsidR="005834C8" w:rsidRPr="00163028">
        <w:t xml:space="preserve">To sum up: </w:t>
      </w:r>
      <w:proofErr w:type="spellStart"/>
      <w:r w:rsidR="00C23098" w:rsidRPr="00163028">
        <w:t>Semmelroth</w:t>
      </w:r>
      <w:proofErr w:type="spellEnd"/>
      <w:r w:rsidR="00C23098" w:rsidRPr="00163028">
        <w:t xml:space="preserve"> speaks of the church as the </w:t>
      </w:r>
      <w:proofErr w:type="spellStart"/>
      <w:r w:rsidR="00C23098" w:rsidRPr="00163028">
        <w:rPr>
          <w:i/>
        </w:rPr>
        <w:t>Ursakrament</w:t>
      </w:r>
      <w:proofErr w:type="spellEnd"/>
      <w:r w:rsidR="00C23098" w:rsidRPr="00163028">
        <w:rPr>
          <w:i/>
        </w:rPr>
        <w:t xml:space="preserve"> </w:t>
      </w:r>
      <w:r w:rsidR="00C23098" w:rsidRPr="00163028">
        <w:t xml:space="preserve">or </w:t>
      </w:r>
      <w:r w:rsidR="00163028" w:rsidRPr="00163028">
        <w:t xml:space="preserve">primordial </w:t>
      </w:r>
      <w:r w:rsidR="00C23098" w:rsidRPr="00163028">
        <w:t>sacrament. In this sense, the church is the sign that contains all the other signs. Unlike the seven sacraments, it is not an action, but an institution. The church as sacrament has also its own proper character, between Christ, who is the sacrament–person, and the sacraments–actions</w:t>
      </w:r>
      <w:r w:rsidR="005834C8" w:rsidRPr="00163028">
        <w:rPr>
          <w:vertAlign w:val="superscript"/>
          <w:lang w:val="fr-CA" w:eastAsia="fr-BE"/>
        </w:rPr>
        <w:footnoteReference w:id="22"/>
      </w:r>
      <w:r w:rsidR="00C23098" w:rsidRPr="00163028">
        <w:t>.</w:t>
      </w:r>
    </w:p>
    <w:p w:rsidR="00C23098" w:rsidRPr="00163028" w:rsidRDefault="0091502C" w:rsidP="002C225C">
      <w:r w:rsidRPr="00163028">
        <w:tab/>
        <w:t>The member of the church is thus “the one who contributes with his intention and his action to realize the ecclesial society as a sacramental sign.”</w:t>
      </w:r>
      <w:r w:rsidR="005834C8" w:rsidRPr="00163028">
        <w:rPr>
          <w:vertAlign w:val="superscript"/>
          <w:lang w:eastAsia="fr-BE"/>
        </w:rPr>
        <w:t xml:space="preserve"> </w:t>
      </w:r>
      <w:r w:rsidR="005834C8" w:rsidRPr="00163028">
        <w:rPr>
          <w:vertAlign w:val="superscript"/>
          <w:lang w:val="fr-CA" w:eastAsia="fr-BE"/>
        </w:rPr>
        <w:footnoteReference w:id="23"/>
      </w:r>
      <w:r w:rsidRPr="00163028">
        <w:t xml:space="preserve"> The incorporation into the church takes place objectively through the grace of baptism, and </w:t>
      </w:r>
      <w:proofErr w:type="gramStart"/>
      <w:r w:rsidRPr="00163028">
        <w:t>is realized</w:t>
      </w:r>
      <w:proofErr w:type="gramEnd"/>
      <w:r w:rsidRPr="00163028">
        <w:t xml:space="preserve"> </w:t>
      </w:r>
      <w:r w:rsidRPr="00163028">
        <w:rPr>
          <w:i/>
        </w:rPr>
        <w:t xml:space="preserve">ex </w:t>
      </w:r>
      <w:proofErr w:type="spellStart"/>
      <w:r w:rsidRPr="00163028">
        <w:rPr>
          <w:i/>
        </w:rPr>
        <w:t>opere</w:t>
      </w:r>
      <w:proofErr w:type="spellEnd"/>
      <w:r w:rsidRPr="00163028">
        <w:rPr>
          <w:i/>
        </w:rPr>
        <w:t xml:space="preserve"> </w:t>
      </w:r>
      <w:proofErr w:type="spellStart"/>
      <w:r w:rsidRPr="00163028">
        <w:rPr>
          <w:i/>
        </w:rPr>
        <w:t>operato</w:t>
      </w:r>
      <w:proofErr w:type="spellEnd"/>
      <w:r w:rsidRPr="00163028">
        <w:rPr>
          <w:i/>
        </w:rPr>
        <w:t xml:space="preserve">, </w:t>
      </w:r>
      <w:r w:rsidRPr="00163028">
        <w:t>but the specifically human activity presupposes the expression of a liberty that is realized especially in a project that goes beyond the individual – in this case, the ecclesial project.</w:t>
      </w:r>
    </w:p>
    <w:p w:rsidR="00582CA0" w:rsidRDefault="00582CA0" w:rsidP="002C225C">
      <w:r>
        <w:tab/>
        <w:t xml:space="preserve">In 1953, it was not yet possible for </w:t>
      </w:r>
      <w:proofErr w:type="spellStart"/>
      <w:r>
        <w:t>Semmelroth</w:t>
      </w:r>
      <w:proofErr w:type="spellEnd"/>
      <w:r>
        <w:t xml:space="preserve"> to write against the encyclical </w:t>
      </w:r>
      <w:proofErr w:type="spellStart"/>
      <w:r>
        <w:rPr>
          <w:i/>
        </w:rPr>
        <w:t>Mystici</w:t>
      </w:r>
      <w:proofErr w:type="spellEnd"/>
      <w:r>
        <w:rPr>
          <w:i/>
        </w:rPr>
        <w:t xml:space="preserve"> </w:t>
      </w:r>
      <w:proofErr w:type="spellStart"/>
      <w:r>
        <w:rPr>
          <w:i/>
        </w:rPr>
        <w:t>corporis</w:t>
      </w:r>
      <w:proofErr w:type="spellEnd"/>
      <w:r>
        <w:rPr>
          <w:i/>
        </w:rPr>
        <w:t xml:space="preserve">, </w:t>
      </w:r>
      <w:r>
        <w:t xml:space="preserve">but he opens up paths of interpretation that would be taken up again by others at a later date. This is the case with the salvific exclusivity of the Catholic </w:t>
      </w:r>
      <w:proofErr w:type="gramStart"/>
      <w:r>
        <w:t>church</w:t>
      </w:r>
      <w:proofErr w:type="gramEnd"/>
      <w:r>
        <w:t xml:space="preserve">. In one passage in his book, </w:t>
      </w:r>
      <w:r w:rsidR="008B2903">
        <w:t xml:space="preserve">he insists forcefully on the role of the church, but he </w:t>
      </w:r>
      <w:proofErr w:type="gramStart"/>
      <w:r w:rsidR="008B2903">
        <w:t>brings his reflections to a sudden end</w:t>
      </w:r>
      <w:proofErr w:type="gramEnd"/>
      <w:r w:rsidR="008B2903">
        <w:t xml:space="preserve"> with the idea that the infinity of God postulates a possible gift of salvation that he bestows outside the contours of that </w:t>
      </w:r>
      <w:r w:rsidR="005F20DF">
        <w:t xml:space="preserve">which lies under the control </w:t>
      </w:r>
      <w:r w:rsidR="008B2903">
        <w:t>of human beings</w:t>
      </w:r>
      <w:r w:rsidR="005834C8" w:rsidRPr="004B3344">
        <w:rPr>
          <w:vertAlign w:val="superscript"/>
        </w:rPr>
        <w:footnoteReference w:id="24"/>
      </w:r>
      <w:r w:rsidR="008B2903">
        <w:t>.</w:t>
      </w:r>
    </w:p>
    <w:p w:rsidR="008B2903" w:rsidRDefault="008B2903" w:rsidP="002C225C">
      <w:r>
        <w:lastRenderedPageBreak/>
        <w:tab/>
        <w:t>The invisible dimension of faith can thus be more real than belonging to the</w:t>
      </w:r>
      <w:r w:rsidR="00335108">
        <w:t xml:space="preserve"> </w:t>
      </w:r>
      <w:proofErr w:type="gramStart"/>
      <w:r w:rsidR="00335108">
        <w:t>catholic</w:t>
      </w:r>
      <w:r>
        <w:t xml:space="preserve"> church</w:t>
      </w:r>
      <w:proofErr w:type="gramEnd"/>
      <w:r>
        <w:t xml:space="preserve"> in its visibility. Although salvation does not imply that each human being must be in the church in the strict sense, it nevertheless passes </w:t>
      </w:r>
      <w:r w:rsidR="00421740">
        <w:t xml:space="preserve">through the church, </w:t>
      </w:r>
      <w:r>
        <w:t>even if only “implicitly”</w:t>
      </w:r>
      <w:r w:rsidR="005834C8" w:rsidRPr="004B3344">
        <w:rPr>
          <w:vertAlign w:val="superscript"/>
        </w:rPr>
        <w:footnoteReference w:id="25"/>
      </w:r>
      <w:r>
        <w:t>.</w:t>
      </w:r>
    </w:p>
    <w:p w:rsidR="008B2903" w:rsidRDefault="005834C8" w:rsidP="002C225C">
      <w:pPr>
        <w:pStyle w:val="Titre3"/>
      </w:pPr>
      <w:bookmarkStart w:id="21" w:name="_Toc3994632"/>
      <w:r>
        <w:t xml:space="preserve">3.1.2. </w:t>
      </w:r>
      <w:r w:rsidR="008B2903">
        <w:t xml:space="preserve">Karl </w:t>
      </w:r>
      <w:proofErr w:type="spellStart"/>
      <w:r w:rsidR="008B2903">
        <w:t>Rahner</w:t>
      </w:r>
      <w:proofErr w:type="spellEnd"/>
      <w:r w:rsidR="008B2903">
        <w:t xml:space="preserve"> (1904–1984) and the church as </w:t>
      </w:r>
      <w:proofErr w:type="spellStart"/>
      <w:r w:rsidR="00D24C8E">
        <w:t>Grundkirche</w:t>
      </w:r>
      <w:bookmarkEnd w:id="21"/>
      <w:proofErr w:type="spellEnd"/>
    </w:p>
    <w:p w:rsidR="00D24C8E" w:rsidRDefault="00F51820" w:rsidP="002C225C">
      <w:proofErr w:type="spellStart"/>
      <w:r>
        <w:t>Semmelroth’s</w:t>
      </w:r>
      <w:proofErr w:type="spellEnd"/>
      <w:r>
        <w:t xml:space="preserve"> contemporary </w:t>
      </w:r>
      <w:proofErr w:type="spellStart"/>
      <w:r>
        <w:t>Rahner</w:t>
      </w:r>
      <w:proofErr w:type="spellEnd"/>
      <w:r>
        <w:t xml:space="preserve"> </w:t>
      </w:r>
      <w:proofErr w:type="gramStart"/>
      <w:r>
        <w:t>is better known</w:t>
      </w:r>
      <w:proofErr w:type="gramEnd"/>
      <w:r>
        <w:t xml:space="preserve">, thanks to the vastness and the originality of his </w:t>
      </w:r>
      <w:proofErr w:type="spellStart"/>
      <w:r>
        <w:t>œuvre</w:t>
      </w:r>
      <w:proofErr w:type="spellEnd"/>
      <w:r>
        <w:t>. A clear parallelism between the two authors can be detected with regard to the question raised here.</w:t>
      </w:r>
    </w:p>
    <w:p w:rsidR="00F51820" w:rsidRDefault="00F51820" w:rsidP="002C225C">
      <w:r>
        <w:tab/>
        <w:t xml:space="preserve">Rahner holds that, since the incarnation, God has already radically and definitively filled the world with his mercy. The incarnation already predetermines in a formal sense the whole of redemption, even if redemption has still to be realized in Jesus’ passion and death. Through the incarnation, therefore, the whole of humanity is already admitted </w:t>
      </w:r>
      <w:r w:rsidR="00F9286B">
        <w:t xml:space="preserve">in a </w:t>
      </w:r>
      <w:proofErr w:type="spellStart"/>
      <w:r>
        <w:t>radical</w:t>
      </w:r>
      <w:r w:rsidR="00F9286B">
        <w:t>sense</w:t>
      </w:r>
      <w:proofErr w:type="spellEnd"/>
      <w:r>
        <w:t xml:space="preserve"> to salvation, in this Member of the race who is also its Head and who is definitely attached and personally united to God.</w:t>
      </w:r>
    </w:p>
    <w:p w:rsidR="00F51820" w:rsidRDefault="00F51820" w:rsidP="002C225C">
      <w:pPr>
        <w:rPr>
          <w:lang w:eastAsia="fr-BE"/>
        </w:rPr>
      </w:pPr>
      <w:r>
        <w:tab/>
      </w:r>
      <w:r w:rsidR="008908EB">
        <w:t>The church will pass away, but its sacramentality has an eschatological validity.</w:t>
      </w:r>
      <w:r w:rsidR="003969A8">
        <w:t xml:space="preserve"> It is institutionally precarious, but it sacramentally represents Christ and prefigures the kingdom. Rahner expresses this “duality” well in </w:t>
      </w:r>
      <w:r w:rsidR="003969A8">
        <w:rPr>
          <w:i/>
        </w:rPr>
        <w:t xml:space="preserve">The Church and the Sacraments </w:t>
      </w:r>
      <w:r w:rsidR="003969A8">
        <w:t>(1963)</w:t>
      </w:r>
      <w:r w:rsidR="005834C8">
        <w:t xml:space="preserve"> </w:t>
      </w:r>
      <w:r w:rsidR="005834C8" w:rsidRPr="005834C8">
        <w:rPr>
          <w:lang w:eastAsia="fr-BE"/>
        </w:rPr>
        <w:t>[</w:t>
      </w:r>
      <w:proofErr w:type="spellStart"/>
      <w:r w:rsidR="005834C8" w:rsidRPr="005834C8">
        <w:rPr>
          <w:lang w:eastAsia="fr-BE"/>
        </w:rPr>
        <w:t>german</w:t>
      </w:r>
      <w:proofErr w:type="spellEnd"/>
      <w:r w:rsidR="005834C8" w:rsidRPr="005834C8">
        <w:rPr>
          <w:lang w:eastAsia="fr-BE"/>
        </w:rPr>
        <w:t xml:space="preserve"> </w:t>
      </w:r>
      <w:proofErr w:type="spellStart"/>
      <w:r w:rsidR="005834C8" w:rsidRPr="005834C8">
        <w:rPr>
          <w:i/>
          <w:lang w:eastAsia="fr-BE"/>
        </w:rPr>
        <w:t>Kirche</w:t>
      </w:r>
      <w:proofErr w:type="spellEnd"/>
      <w:r w:rsidR="005834C8" w:rsidRPr="005834C8">
        <w:rPr>
          <w:i/>
          <w:lang w:eastAsia="fr-BE"/>
        </w:rPr>
        <w:t xml:space="preserve"> und </w:t>
      </w:r>
      <w:proofErr w:type="spellStart"/>
      <w:r w:rsidR="005834C8" w:rsidRPr="005834C8">
        <w:rPr>
          <w:i/>
          <w:lang w:eastAsia="fr-BE"/>
        </w:rPr>
        <w:t>Sakramente</w:t>
      </w:r>
      <w:proofErr w:type="spellEnd"/>
      <w:r w:rsidR="005834C8" w:rsidRPr="005834C8">
        <w:rPr>
          <w:i/>
          <w:lang w:eastAsia="fr-BE"/>
        </w:rPr>
        <w:t xml:space="preserve"> </w:t>
      </w:r>
      <w:r w:rsidR="005834C8" w:rsidRPr="005834C8">
        <w:rPr>
          <w:lang w:eastAsia="fr-BE"/>
        </w:rPr>
        <w:t>(1960)]</w:t>
      </w:r>
      <w:r w:rsidR="005834C8">
        <w:rPr>
          <w:lang w:eastAsia="fr-BE"/>
        </w:rPr>
        <w:t xml:space="preserve">: </w:t>
      </w:r>
    </w:p>
    <w:p w:rsidR="005834C8" w:rsidRDefault="00C77B6C" w:rsidP="002C225C">
      <w:pPr>
        <w:pStyle w:val="Citation"/>
      </w:pPr>
      <w:r>
        <w:t xml:space="preserve">By the very fact of being in that way the enduring presence of Christ in the world, the Church is truly the fundamental sacrament, the </w:t>
      </w:r>
      <w:proofErr w:type="gramStart"/>
      <w:r>
        <w:t>well-spring</w:t>
      </w:r>
      <w:proofErr w:type="gramEnd"/>
      <w:r>
        <w:t xml:space="preserve"> of the sacraments in the strict sense From Christ the Church has an intrinsically sacramental structure. Historically visible in space and time, with its double aspect as people of God and as juridical and social organization of this people, the Church is the body and bride of Christ who abides in the Church as the presence in the world of God’s historical and eschatological promise of himself, during this last of its epochs. He does not abandon the Church, and cannot do so, since he himself wills to remain forever in the flesh of the one human family.</w:t>
      </w:r>
      <w:r w:rsidR="00421740" w:rsidRPr="004B3344">
        <w:rPr>
          <w:vertAlign w:val="superscript"/>
        </w:rPr>
        <w:footnoteReference w:id="26"/>
      </w:r>
    </w:p>
    <w:p w:rsidR="003969A8" w:rsidRPr="00163028" w:rsidRDefault="003969A8" w:rsidP="002C225C">
      <w:r w:rsidRPr="00163028">
        <w:tab/>
        <w:t xml:space="preserve">According to </w:t>
      </w:r>
      <w:r w:rsidR="00421740" w:rsidRPr="00163028">
        <w:t xml:space="preserve">Jesuit theologian Bernard </w:t>
      </w:r>
      <w:proofErr w:type="spellStart"/>
      <w:r w:rsidRPr="00163028">
        <w:t>Sesboüé</w:t>
      </w:r>
      <w:proofErr w:type="spellEnd"/>
      <w:r w:rsidRPr="00163028">
        <w:t xml:space="preserve">, </w:t>
      </w:r>
      <w:proofErr w:type="spellStart"/>
      <w:r w:rsidRPr="00163028">
        <w:t>Rahner</w:t>
      </w:r>
      <w:proofErr w:type="spellEnd"/>
      <w:r w:rsidRPr="00163028">
        <w:t xml:space="preserve"> (like </w:t>
      </w:r>
      <w:proofErr w:type="spellStart"/>
      <w:r w:rsidRPr="00163028">
        <w:t>Semmelroth</w:t>
      </w:r>
      <w:proofErr w:type="spellEnd"/>
      <w:r w:rsidRPr="00163028">
        <w:t xml:space="preserve">) speaks of the </w:t>
      </w:r>
      <w:proofErr w:type="spellStart"/>
      <w:r w:rsidRPr="00163028">
        <w:rPr>
          <w:i/>
        </w:rPr>
        <w:t>Ursakrament</w:t>
      </w:r>
      <w:proofErr w:type="spellEnd"/>
      <w:r w:rsidRPr="00163028">
        <w:rPr>
          <w:i/>
        </w:rPr>
        <w:t xml:space="preserve"> </w:t>
      </w:r>
      <w:r w:rsidRPr="00163028">
        <w:t xml:space="preserve">until the </w:t>
      </w:r>
      <w:r w:rsidR="00F9286B" w:rsidRPr="00163028">
        <w:t xml:space="preserve">time of the </w:t>
      </w:r>
      <w:r w:rsidRPr="00163028">
        <w:t>Council. Later, he reserves this word for Christ and speaks of the church as</w:t>
      </w:r>
      <w:r w:rsidR="00F9286B" w:rsidRPr="00163028">
        <w:t xml:space="preserve"> the</w:t>
      </w:r>
      <w:r w:rsidRPr="00163028">
        <w:t xml:space="preserve"> </w:t>
      </w:r>
      <w:proofErr w:type="spellStart"/>
      <w:r w:rsidRPr="00163028">
        <w:rPr>
          <w:i/>
        </w:rPr>
        <w:t>Grundsakrament</w:t>
      </w:r>
      <w:proofErr w:type="spellEnd"/>
      <w:r w:rsidRPr="00163028">
        <w:rPr>
          <w:i/>
        </w:rPr>
        <w:t xml:space="preserve">, </w:t>
      </w:r>
      <w:r w:rsidRPr="00163028">
        <w:t>that is to say, the “fundamental sacrament” (and founded in Christ) or “primordial sacrament” (in relation to the sacraments in general)</w:t>
      </w:r>
      <w:r w:rsidR="00421740" w:rsidRPr="00163028">
        <w:rPr>
          <w:vertAlign w:val="superscript"/>
          <w:lang w:val="fr-CA" w:eastAsia="fr-BE"/>
        </w:rPr>
        <w:footnoteReference w:id="27"/>
      </w:r>
      <w:r w:rsidR="00421740" w:rsidRPr="00163028">
        <w:rPr>
          <w:lang w:eastAsia="fr-BE"/>
        </w:rPr>
        <w:t>.</w:t>
      </w:r>
    </w:p>
    <w:p w:rsidR="003969A8" w:rsidRPr="003969A8" w:rsidRDefault="003969A8" w:rsidP="002C225C">
      <w:r>
        <w:tab/>
        <w:t xml:space="preserve">The omnipresence of Christ in the church passes into the world via the mysterious presence of the church. It spreads in the world, while remaining mysteriously different. This </w:t>
      </w:r>
      <w:r>
        <w:lastRenderedPageBreak/>
        <w:t>difference is also the fundamental requirement that constitutes the church’s mission, namely</w:t>
      </w:r>
      <w:r w:rsidR="00113D5B">
        <w:t>,</w:t>
      </w:r>
      <w:r>
        <w:t xml:space="preserve"> to signify the Christ it bears in itself. It is thus through the mediation of the church that Christ manifests his Father’s care for the world.</w:t>
      </w:r>
    </w:p>
    <w:p w:rsidR="0091502C" w:rsidRPr="00163028" w:rsidRDefault="0091502C" w:rsidP="002C225C">
      <w:r w:rsidRPr="00163028">
        <w:tab/>
      </w:r>
      <w:r w:rsidR="00BF56E4" w:rsidRPr="00163028">
        <w:t>This sign is also a word, for if the church is the sign of God in Christ thanks to its sacramental structure, the sign must also pass via the word, in order to express what it is. Rahner looks in depth at this axis of word and sacrament. He writes that the church is the word of salvation that is addressed to the world, and it is precisely in this that it is the primordial sacrament. Word and sacrament together will be the dynamic image of the work of redemption. Rahner also elaborates this link between the word and the other signs in the sacraments which flow, in a certain sense, from the primordial sacrament.</w:t>
      </w:r>
    </w:p>
    <w:p w:rsidR="00BF56E4" w:rsidRDefault="00421740" w:rsidP="002C225C">
      <w:pPr>
        <w:pStyle w:val="Titre3"/>
      </w:pPr>
      <w:bookmarkStart w:id="22" w:name="_Toc3994633"/>
      <w:r>
        <w:t xml:space="preserve">3.1.3. </w:t>
      </w:r>
      <w:r w:rsidR="00BF56E4">
        <w:t>The Second Vatican Council</w:t>
      </w:r>
      <w:bookmarkEnd w:id="22"/>
    </w:p>
    <w:p w:rsidR="00163028" w:rsidRDefault="00C325BA" w:rsidP="002C225C">
      <w:r>
        <w:rPr>
          <w:i/>
        </w:rPr>
        <w:t xml:space="preserve">Lumen gentium, </w:t>
      </w:r>
      <w:r>
        <w:t>the Dogmatic Constitution on the Church (1964), displays very clear theological options</w:t>
      </w:r>
      <w:r w:rsidR="00113D5B">
        <w:t xml:space="preserve"> that</w:t>
      </w:r>
      <w:r>
        <w:t xml:space="preserve"> are innovative and of great importance for theology. </w:t>
      </w:r>
      <w:r w:rsidR="00113D5B">
        <w:t>Although t</w:t>
      </w:r>
      <w:r>
        <w:t xml:space="preserve">his is well known, we </w:t>
      </w:r>
      <w:r w:rsidR="00335108">
        <w:t>(</w:t>
      </w:r>
      <w:proofErr w:type="spellStart"/>
      <w:r w:rsidR="00335108">
        <w:t>catholics</w:t>
      </w:r>
      <w:proofErr w:type="spellEnd"/>
      <w:r w:rsidR="00335108">
        <w:t xml:space="preserve">) </w:t>
      </w:r>
      <w:r>
        <w:t xml:space="preserve">need to </w:t>
      </w:r>
      <w:proofErr w:type="gramStart"/>
      <w:r>
        <w:t>be reminded</w:t>
      </w:r>
      <w:proofErr w:type="gramEnd"/>
      <w:r>
        <w:t xml:space="preserve"> of it regularly. </w:t>
      </w:r>
    </w:p>
    <w:p w:rsidR="00BF56E4" w:rsidRPr="00163028" w:rsidRDefault="00C325BA" w:rsidP="002C225C">
      <w:r w:rsidRPr="00163028">
        <w:t xml:space="preserve">In contradistinction to what had happened in the past, the Council fathers began with a tractate on the nature of the church, which </w:t>
      </w:r>
      <w:proofErr w:type="gramStart"/>
      <w:r w:rsidRPr="00163028">
        <w:t>is presented</w:t>
      </w:r>
      <w:proofErr w:type="gramEnd"/>
      <w:r w:rsidRPr="00163028">
        <w:t xml:space="preserve"> as a “sacrament,”</w:t>
      </w:r>
      <w:r w:rsidR="00A8388D" w:rsidRPr="00163028">
        <w:t xml:space="preserve"> that is</w:t>
      </w:r>
      <w:r w:rsidRPr="00163028">
        <w:t xml:space="preserve"> to say, a visible reality that is the sign of an invisible reality. </w:t>
      </w:r>
      <w:r w:rsidR="00112A5C" w:rsidRPr="00163028">
        <w:t xml:space="preserve">Above all, they begin with the totality, before speaking about certain persons in particular – chapter 2 discusses the church as a whole, with the idea of the “people of God” (also the “temple of the Spirit” and the “sacrament of the kingdom,” in addition to the traditional “body of Christ”), and it is only then that the ecclesiastical hierarchy and the laity are discussed (in chapters 3 and 4, respectively). In the past, one began with the pope. Then one spoke of the bishops, then of the priests, and lastly of the laity. Here, all </w:t>
      </w:r>
      <w:proofErr w:type="gramStart"/>
      <w:r w:rsidR="00112A5C" w:rsidRPr="00163028">
        <w:t>are presented</w:t>
      </w:r>
      <w:proofErr w:type="gramEnd"/>
      <w:r w:rsidR="00112A5C" w:rsidRPr="00163028">
        <w:t xml:space="preserve"> in relation to a reality that surpasses them, namely, the church as the people of God.</w:t>
      </w:r>
      <w:r w:rsidR="00B36239" w:rsidRPr="00B36239">
        <w:t xml:space="preserve"> Here is not the place to develop this well-known point.</w:t>
      </w:r>
    </w:p>
    <w:p w:rsidR="00421740" w:rsidRPr="00421740" w:rsidRDefault="00421740" w:rsidP="002C225C">
      <w:r w:rsidRPr="00421740">
        <w:t xml:space="preserve">I limit myself to quote the famous No. 1 </w:t>
      </w:r>
      <w:r>
        <w:t xml:space="preserve">of </w:t>
      </w:r>
      <w:r w:rsidRPr="00421740">
        <w:rPr>
          <w:i/>
        </w:rPr>
        <w:t xml:space="preserve">Lumen </w:t>
      </w:r>
      <w:proofErr w:type="spellStart"/>
      <w:r w:rsidRPr="00421740">
        <w:rPr>
          <w:i/>
        </w:rPr>
        <w:t>gentium</w:t>
      </w:r>
      <w:proofErr w:type="spellEnd"/>
      <w:r w:rsidRPr="00421740">
        <w:t xml:space="preserve">, which contains all the </w:t>
      </w:r>
      <w:proofErr w:type="gramStart"/>
      <w:r w:rsidRPr="00421740">
        <w:t>Conciliar</w:t>
      </w:r>
      <w:proofErr w:type="gramEnd"/>
      <w:r w:rsidRPr="00421740">
        <w:t xml:space="preserve"> text Ecclesiological </w:t>
      </w:r>
      <w:r w:rsidR="006C26EB" w:rsidRPr="00421740">
        <w:t>program:</w:t>
      </w:r>
    </w:p>
    <w:p w:rsidR="00421740" w:rsidRPr="00FA2B74" w:rsidRDefault="00421740" w:rsidP="002C225C">
      <w:pPr>
        <w:pStyle w:val="Citation"/>
      </w:pPr>
      <w:r w:rsidRPr="00FA2B74">
        <w:t>« Christ is the Light of nations. Because this is so, this Sacred Synod gathered together in the Holy Spirit eagerly desires, by proclaiming</w:t>
      </w:r>
      <w:r>
        <w:t xml:space="preserve"> the Gospel to every creature </w:t>
      </w:r>
      <w:r w:rsidRPr="00FA2B74">
        <w:t>(</w:t>
      </w:r>
      <w:proofErr w:type="spellStart"/>
      <w:r w:rsidRPr="00FA2B74">
        <w:t>cf</w:t>
      </w:r>
      <w:proofErr w:type="spellEnd"/>
      <w:r w:rsidRPr="00FA2B74">
        <w:t xml:space="preserve"> Mt 1</w:t>
      </w:r>
      <w:r>
        <w:t>6,15</w:t>
      </w:r>
      <w:r w:rsidRPr="00FA2B74">
        <w:t>)</w:t>
      </w:r>
      <w:r>
        <w:t>,</w:t>
      </w:r>
      <w:r w:rsidRPr="00FA2B74">
        <w:t xml:space="preserve"> to bring the light of Christ to all men, a light brightly visible on the countenance </w:t>
      </w:r>
      <w:r w:rsidRPr="00E22E0A">
        <w:t xml:space="preserve">of the Church. Since </w:t>
      </w:r>
      <w:r w:rsidRPr="00E22E0A">
        <w:rPr>
          <w:b/>
        </w:rPr>
        <w:t>the Church is</w:t>
      </w:r>
      <w:r w:rsidRPr="00E22E0A">
        <w:t xml:space="preserve"> </w:t>
      </w:r>
      <w:r w:rsidRPr="00E22E0A">
        <w:rPr>
          <w:b/>
        </w:rPr>
        <w:t>in Christ</w:t>
      </w:r>
      <w:r w:rsidRPr="00E22E0A">
        <w:t xml:space="preserve"> </w:t>
      </w:r>
      <w:r w:rsidRPr="00E22E0A">
        <w:rPr>
          <w:b/>
        </w:rPr>
        <w:t>like a sacrament</w:t>
      </w:r>
      <w:r w:rsidRPr="00E22E0A">
        <w:t xml:space="preserve"> [</w:t>
      </w:r>
      <w:proofErr w:type="spellStart"/>
      <w:r w:rsidRPr="00E22E0A">
        <w:rPr>
          <w:i/>
        </w:rPr>
        <w:t>veluti</w:t>
      </w:r>
      <w:proofErr w:type="spellEnd"/>
      <w:r w:rsidRPr="00E22E0A">
        <w:rPr>
          <w:i/>
        </w:rPr>
        <w:t xml:space="preserve"> </w:t>
      </w:r>
      <w:proofErr w:type="spellStart"/>
      <w:r w:rsidRPr="00E22E0A">
        <w:rPr>
          <w:i/>
        </w:rPr>
        <w:t>sacramentum</w:t>
      </w:r>
      <w:proofErr w:type="spellEnd"/>
      <w:r w:rsidRPr="00E22E0A">
        <w:t>]</w:t>
      </w:r>
      <w:r>
        <w:rPr>
          <w:i/>
        </w:rPr>
        <w:t xml:space="preserve"> </w:t>
      </w:r>
      <w:r w:rsidRPr="00FA2B74">
        <w:t>or as a sign and instrument both of a very closely knit union with God and of the unity of the whole human race, it desires now to unfold more fully to the faithful of the Church and to the whole world its own inner nature and universal mission.”</w:t>
      </w:r>
    </w:p>
    <w:p w:rsidR="00112A5C" w:rsidRPr="00B36239" w:rsidRDefault="00112A5C" w:rsidP="002C225C">
      <w:r w:rsidRPr="00B36239">
        <w:t xml:space="preserve">This is a reception by the Catholic magisterium of the work of theologians. The word </w:t>
      </w:r>
      <w:proofErr w:type="spellStart"/>
      <w:r w:rsidRPr="00B36239">
        <w:rPr>
          <w:i/>
        </w:rPr>
        <w:t>veluti</w:t>
      </w:r>
      <w:proofErr w:type="spellEnd"/>
      <w:r w:rsidRPr="00B36239">
        <w:rPr>
          <w:i/>
        </w:rPr>
        <w:t xml:space="preserve"> </w:t>
      </w:r>
      <w:r w:rsidRPr="00B36239">
        <w:t>is the outcome of a compromise between the partisans of this theological option and those who refused to give the name of “sacrament” to other realities than the seven sacraments in the strict sense.</w:t>
      </w:r>
    </w:p>
    <w:p w:rsidR="00421740" w:rsidRPr="00421740" w:rsidRDefault="00421740" w:rsidP="002C225C">
      <w:pPr>
        <w:rPr>
          <w:lang w:eastAsia="fr-BE"/>
        </w:rPr>
      </w:pPr>
      <w:r w:rsidRPr="00421740">
        <w:rPr>
          <w:lang w:eastAsia="fr-BE"/>
        </w:rPr>
        <w:lastRenderedPageBreak/>
        <w:t xml:space="preserve">I added a quote from John Paul II in his exhortation </w:t>
      </w:r>
      <w:proofErr w:type="spellStart"/>
      <w:r w:rsidRPr="00421740">
        <w:rPr>
          <w:i/>
          <w:lang w:eastAsia="fr-BE"/>
        </w:rPr>
        <w:t>Pastores</w:t>
      </w:r>
      <w:proofErr w:type="spellEnd"/>
      <w:r w:rsidRPr="00421740">
        <w:rPr>
          <w:i/>
          <w:lang w:eastAsia="fr-BE"/>
        </w:rPr>
        <w:t xml:space="preserve"> </w:t>
      </w:r>
      <w:proofErr w:type="spellStart"/>
      <w:r w:rsidRPr="00421740">
        <w:rPr>
          <w:i/>
          <w:lang w:eastAsia="fr-BE"/>
        </w:rPr>
        <w:t>dabo</w:t>
      </w:r>
      <w:proofErr w:type="spellEnd"/>
      <w:r w:rsidRPr="00421740">
        <w:rPr>
          <w:i/>
          <w:lang w:eastAsia="fr-BE"/>
        </w:rPr>
        <w:t xml:space="preserve"> </w:t>
      </w:r>
      <w:proofErr w:type="spellStart"/>
      <w:r w:rsidRPr="00421740">
        <w:rPr>
          <w:i/>
          <w:lang w:eastAsia="fr-BE"/>
        </w:rPr>
        <w:t>vobis</w:t>
      </w:r>
      <w:proofErr w:type="spellEnd"/>
      <w:r w:rsidRPr="00421740">
        <w:rPr>
          <w:lang w:eastAsia="fr-BE"/>
        </w:rPr>
        <w:t xml:space="preserve"> (1992), to locate the specific contribution of my discipline in this perspective:</w:t>
      </w:r>
    </w:p>
    <w:p w:rsidR="00421740" w:rsidRPr="00F67FFC" w:rsidRDefault="00421740" w:rsidP="002C225C">
      <w:pPr>
        <w:pStyle w:val="Citation"/>
        <w:rPr>
          <w:lang w:eastAsia="fr-BE"/>
        </w:rPr>
      </w:pPr>
      <w:r w:rsidRPr="00F67FFC">
        <w:t xml:space="preserve">N° 57: It </w:t>
      </w:r>
      <w:r>
        <w:t xml:space="preserve">[the pastoral formation] </w:t>
      </w:r>
      <w:r w:rsidRPr="00F67FFC">
        <w:t xml:space="preserve">needs to </w:t>
      </w:r>
      <w:proofErr w:type="gramStart"/>
      <w:r w:rsidRPr="00F67FFC">
        <w:t>be studied</w:t>
      </w:r>
      <w:proofErr w:type="gramEnd"/>
      <w:r w:rsidRPr="00F67FFC">
        <w:t xml:space="preserve"> therefore as the true and genuine theological discipline that it is: pastoral or practical theology. It is a scientific reflection on the Church as she</w:t>
      </w:r>
      <w:r w:rsidR="000E2CF7">
        <w:t xml:space="preserve"> [</w:t>
      </w:r>
      <w:r w:rsidR="000E2CF7">
        <w:rPr>
          <w:i/>
        </w:rPr>
        <w:t>sic</w:t>
      </w:r>
      <w:r w:rsidR="000E2CF7">
        <w:t>]</w:t>
      </w:r>
      <w:r w:rsidRPr="00F67FFC">
        <w:t xml:space="preserve"> is built up daily, by the power of the Spirit, in history; on the Church as the "universal sacrament of salvation,"</w:t>
      </w:r>
      <w:r>
        <w:t xml:space="preserve"> </w:t>
      </w:r>
      <w:r w:rsidRPr="00F67FFC">
        <w:t xml:space="preserve">(LG </w:t>
      </w:r>
      <w:r>
        <w:t>48</w:t>
      </w:r>
      <w:r w:rsidRPr="00F67FFC">
        <w:t>) as a living sign and instrument of the salvation wrought by Christ through the word, the sacraments and the service of charity</w:t>
      </w:r>
      <w:r w:rsidR="00335108">
        <w:rPr>
          <w:rStyle w:val="Appelnotedebasdep"/>
        </w:rPr>
        <w:footnoteReference w:id="28"/>
      </w:r>
      <w:r w:rsidRPr="00F67FFC">
        <w:t>.</w:t>
      </w:r>
    </w:p>
    <w:p w:rsidR="00112A5C" w:rsidRDefault="00421740" w:rsidP="002C225C">
      <w:pPr>
        <w:pStyle w:val="Titre2"/>
      </w:pPr>
      <w:bookmarkStart w:id="23" w:name="_Toc3994634"/>
      <w:r>
        <w:t xml:space="preserve">3.2. </w:t>
      </w:r>
      <w:r w:rsidR="00112A5C">
        <w:t>The assembly as a sacramental reality</w:t>
      </w:r>
      <w:bookmarkEnd w:id="23"/>
    </w:p>
    <w:p w:rsidR="00112A5C" w:rsidRDefault="006132ED" w:rsidP="002C225C">
      <w:r>
        <w:t>What we must do today is to pass from this theoretical model to a reflection on the assembly as a sacramental reality.</w:t>
      </w:r>
    </w:p>
    <w:p w:rsidR="006132ED" w:rsidRDefault="006132ED" w:rsidP="002C225C">
      <w:pPr>
        <w:rPr>
          <w:i/>
        </w:rPr>
      </w:pPr>
      <w:r>
        <w:tab/>
      </w:r>
      <w:r w:rsidR="008C40C6">
        <w:t xml:space="preserve">We can draw several conclusions from the fact that Christ and the church are not totally identified </w:t>
      </w:r>
      <w:r w:rsidR="00113D5B">
        <w:t xml:space="preserve">with each other </w:t>
      </w:r>
      <w:r w:rsidR="008C40C6">
        <w:t xml:space="preserve">– and this is true in theological research too, thanks to the two notions of </w:t>
      </w:r>
      <w:proofErr w:type="spellStart"/>
      <w:r w:rsidR="008C40C6">
        <w:rPr>
          <w:i/>
        </w:rPr>
        <w:t>Ursakrament</w:t>
      </w:r>
      <w:proofErr w:type="spellEnd"/>
      <w:r w:rsidR="008C40C6">
        <w:rPr>
          <w:i/>
        </w:rPr>
        <w:t xml:space="preserve"> </w:t>
      </w:r>
      <w:r w:rsidR="008C40C6">
        <w:t xml:space="preserve">and </w:t>
      </w:r>
      <w:proofErr w:type="spellStart"/>
      <w:r w:rsidR="008C40C6">
        <w:rPr>
          <w:i/>
        </w:rPr>
        <w:t>Grundsakrament</w:t>
      </w:r>
      <w:proofErr w:type="spellEnd"/>
      <w:r w:rsidR="008C40C6">
        <w:rPr>
          <w:i/>
        </w:rPr>
        <w:t>.</w:t>
      </w:r>
    </w:p>
    <w:p w:rsidR="008C40C6" w:rsidRDefault="00421740" w:rsidP="002C225C">
      <w:pPr>
        <w:pStyle w:val="Titre3"/>
      </w:pPr>
      <w:bookmarkStart w:id="24" w:name="_Toc3994635"/>
      <w:r>
        <w:t xml:space="preserve">3.2.1. </w:t>
      </w:r>
      <w:r w:rsidR="008C40C6">
        <w:t>Consequences for ecumenism</w:t>
      </w:r>
      <w:bookmarkEnd w:id="24"/>
    </w:p>
    <w:p w:rsidR="008C40C6" w:rsidRDefault="00BF18D6" w:rsidP="002C225C">
      <w:r>
        <w:t xml:space="preserve">On the macro-level, each church that has a sacramental structure </w:t>
      </w:r>
      <w:proofErr w:type="gramStart"/>
      <w:r>
        <w:t>could be considered</w:t>
      </w:r>
      <w:proofErr w:type="gramEnd"/>
      <w:r>
        <w:t xml:space="preserve"> as a </w:t>
      </w:r>
      <w:proofErr w:type="spellStart"/>
      <w:r>
        <w:rPr>
          <w:i/>
        </w:rPr>
        <w:t>Grundsakrament</w:t>
      </w:r>
      <w:proofErr w:type="spellEnd"/>
      <w:r>
        <w:rPr>
          <w:i/>
        </w:rPr>
        <w:t xml:space="preserve">. </w:t>
      </w:r>
      <w:r>
        <w:t xml:space="preserve">I believe that this is how the Anglican </w:t>
      </w:r>
      <w:r w:rsidR="00421740">
        <w:t>C</w:t>
      </w:r>
      <w:r>
        <w:t xml:space="preserve">hurch ought to </w:t>
      </w:r>
      <w:proofErr w:type="gramStart"/>
      <w:r w:rsidR="003E0287">
        <w:t>be seen</w:t>
      </w:r>
      <w:proofErr w:type="gramEnd"/>
      <w:r w:rsidR="003E0287">
        <w:t xml:space="preserve">. This is precisely because Christ </w:t>
      </w:r>
      <w:r w:rsidR="003E0287">
        <w:rPr>
          <w:i/>
        </w:rPr>
        <w:t>qua</w:t>
      </w:r>
      <w:r w:rsidR="003E0287">
        <w:t xml:space="preserve"> sacrament does not overlap completely with the C</w:t>
      </w:r>
      <w:r w:rsidR="00421740">
        <w:t>atholic C</w:t>
      </w:r>
      <w:r w:rsidR="003E0287">
        <w:t xml:space="preserve">hurch </w:t>
      </w:r>
      <w:r w:rsidR="003E0287">
        <w:rPr>
          <w:i/>
        </w:rPr>
        <w:t>qua</w:t>
      </w:r>
      <w:r w:rsidR="003E0287">
        <w:t xml:space="preserve"> sacrament: there is a space between these two “poles,” a space where “several” churches </w:t>
      </w:r>
      <w:r w:rsidR="003E0287">
        <w:rPr>
          <w:i/>
        </w:rPr>
        <w:t>qua</w:t>
      </w:r>
      <w:r w:rsidR="003E0287">
        <w:t xml:space="preserve"> sacrament can take their places.</w:t>
      </w:r>
    </w:p>
    <w:p w:rsidR="003E0287" w:rsidRDefault="003E0287" w:rsidP="002C225C">
      <w:r>
        <w:tab/>
      </w:r>
      <w:r w:rsidR="006D1FA3">
        <w:t xml:space="preserve">One resource today could be the regular references by Pope Francis to the image of the polyhedron. We could also have recourse to the Aristotelian principle that “the whole is greater than the sum of the parts,” a principle dear to Pope Francis, who </w:t>
      </w:r>
      <w:r w:rsidR="006970C8">
        <w:t xml:space="preserve">expounds it in various ways. One could even take up a maxim of Guardini here, a theologian and philosopher to whom the Pope often refers when he speaks about </w:t>
      </w:r>
      <w:proofErr w:type="spellStart"/>
      <w:r w:rsidR="006970C8">
        <w:t>synodality</w:t>
      </w:r>
      <w:proofErr w:type="spellEnd"/>
      <w:r w:rsidR="006970C8">
        <w:t>: “</w:t>
      </w:r>
      <w:r w:rsidR="006970C8">
        <w:rPr>
          <w:i/>
        </w:rPr>
        <w:t xml:space="preserve">Die </w:t>
      </w:r>
      <w:proofErr w:type="spellStart"/>
      <w:r w:rsidR="006970C8">
        <w:rPr>
          <w:i/>
        </w:rPr>
        <w:t>Wahrheit</w:t>
      </w:r>
      <w:proofErr w:type="spellEnd"/>
      <w:r w:rsidR="006970C8">
        <w:rPr>
          <w:i/>
        </w:rPr>
        <w:t xml:space="preserve"> </w:t>
      </w:r>
      <w:proofErr w:type="spellStart"/>
      <w:r w:rsidR="006970C8">
        <w:rPr>
          <w:i/>
        </w:rPr>
        <w:t>ist</w:t>
      </w:r>
      <w:proofErr w:type="spellEnd"/>
      <w:r w:rsidR="006970C8">
        <w:rPr>
          <w:i/>
        </w:rPr>
        <w:t xml:space="preserve"> </w:t>
      </w:r>
      <w:proofErr w:type="spellStart"/>
      <w:r w:rsidR="006970C8">
        <w:rPr>
          <w:i/>
        </w:rPr>
        <w:t>polyphon</w:t>
      </w:r>
      <w:proofErr w:type="spellEnd"/>
      <w:r w:rsidR="006970C8">
        <w:t xml:space="preserve">” (“The truth is polyphonic”). It would be this “supplement” that takes its place in the space between Christ and the church. </w:t>
      </w:r>
      <w:proofErr w:type="gramStart"/>
      <w:r w:rsidR="006970C8">
        <w:t>And</w:t>
      </w:r>
      <w:proofErr w:type="gramEnd"/>
      <w:r w:rsidR="006970C8">
        <w:t xml:space="preserve"> it seems obvious to me that a reunited church</w:t>
      </w:r>
      <w:r w:rsidR="006C26EB">
        <w:t xml:space="preserve"> </w:t>
      </w:r>
      <w:r w:rsidR="006C26EB">
        <w:softHyphen/>
        <w:t>– “united and not absorbed” –</w:t>
      </w:r>
      <w:r w:rsidR="006970C8">
        <w:t xml:space="preserve"> would function as a sign in our world in a different manner than the present-day multitude of churches and Christian communities.</w:t>
      </w:r>
    </w:p>
    <w:p w:rsidR="006970C8" w:rsidRDefault="00421740" w:rsidP="002C225C">
      <w:pPr>
        <w:pStyle w:val="Titre3"/>
      </w:pPr>
      <w:bookmarkStart w:id="25" w:name="_Toc3994636"/>
      <w:r>
        <w:t xml:space="preserve">3.2.2. </w:t>
      </w:r>
      <w:r w:rsidR="006970C8">
        <w:t>From the universal church to the assembly</w:t>
      </w:r>
      <w:bookmarkEnd w:id="25"/>
    </w:p>
    <w:p w:rsidR="006970C8" w:rsidRDefault="006970C8" w:rsidP="002C225C">
      <w:pPr>
        <w:rPr>
          <w:i/>
        </w:rPr>
      </w:pPr>
      <w:r>
        <w:t xml:space="preserve">On the middle level, Catholics and Anglicans have an understanding of the local (or particular) church (among Catholics, this is the diocese) as a </w:t>
      </w:r>
      <w:proofErr w:type="spellStart"/>
      <w:r>
        <w:rPr>
          <w:i/>
        </w:rPr>
        <w:t>portio</w:t>
      </w:r>
      <w:proofErr w:type="spellEnd"/>
      <w:r>
        <w:rPr>
          <w:i/>
        </w:rPr>
        <w:t xml:space="preserve"> </w:t>
      </w:r>
      <w:r>
        <w:t>of the universal church, which lacks nothing of the catholicity of the church</w:t>
      </w:r>
      <w:r w:rsidR="00335108">
        <w:rPr>
          <w:rStyle w:val="Appelnotedebasdep"/>
        </w:rPr>
        <w:footnoteReference w:id="29"/>
      </w:r>
      <w:r>
        <w:t xml:space="preserve">. The only requirement is to guarantee the communion among these churches </w:t>
      </w:r>
      <w:r>
        <w:rPr>
          <w:i/>
        </w:rPr>
        <w:t xml:space="preserve">qua </w:t>
      </w:r>
      <w:proofErr w:type="spellStart"/>
      <w:r>
        <w:rPr>
          <w:i/>
        </w:rPr>
        <w:t>portiones</w:t>
      </w:r>
      <w:proofErr w:type="spellEnd"/>
      <w:r>
        <w:rPr>
          <w:i/>
        </w:rPr>
        <w:t xml:space="preserve">. </w:t>
      </w:r>
      <w:r>
        <w:t xml:space="preserve">On this point, the means of this communion diverge (the exercise of a primacy), without thereby calling into question this status of church </w:t>
      </w:r>
      <w:r>
        <w:rPr>
          <w:i/>
        </w:rPr>
        <w:lastRenderedPageBreak/>
        <w:t xml:space="preserve">qua </w:t>
      </w:r>
      <w:proofErr w:type="spellStart"/>
      <w:r>
        <w:rPr>
          <w:i/>
        </w:rPr>
        <w:t>portio</w:t>
      </w:r>
      <w:proofErr w:type="spellEnd"/>
      <w:r>
        <w:rPr>
          <w:i/>
        </w:rPr>
        <w:t xml:space="preserve">. </w:t>
      </w:r>
      <w:r>
        <w:t>A complete local church (</w:t>
      </w:r>
      <w:proofErr w:type="spellStart"/>
      <w:r>
        <w:rPr>
          <w:i/>
        </w:rPr>
        <w:t>portio</w:t>
      </w:r>
      <w:proofErr w:type="spellEnd"/>
      <w:r>
        <w:t xml:space="preserve">) could itself also be appreciated as a </w:t>
      </w:r>
      <w:proofErr w:type="spellStart"/>
      <w:r>
        <w:rPr>
          <w:i/>
        </w:rPr>
        <w:t>Grundsakrament</w:t>
      </w:r>
      <w:proofErr w:type="spellEnd"/>
      <w:r>
        <w:rPr>
          <w:i/>
        </w:rPr>
        <w:t>.</w:t>
      </w:r>
      <w:r w:rsidR="007F2853">
        <w:rPr>
          <w:i/>
        </w:rPr>
        <w:t xml:space="preserve"> </w:t>
      </w:r>
    </w:p>
    <w:p w:rsidR="007F2853" w:rsidRDefault="007F2853" w:rsidP="002C225C">
      <w:r>
        <w:rPr>
          <w:i/>
        </w:rPr>
        <w:tab/>
      </w:r>
      <w:r>
        <w:t>What then of the assembly, the micro-level? In the light of what I have said, we certainly see a limitation here. No single assembly can be the church, because it is incomplete. It does not possess all the means of salvation. On the other hand, however, each single assembly is the very concrete incarnation of the two levels I have just mentioned. It is certainly the soil in which the faith is anchored and develops. Accordingly, it certainly possesses the quality of a foundation (</w:t>
      </w:r>
      <w:proofErr w:type="spellStart"/>
      <w:r>
        <w:rPr>
          <w:i/>
        </w:rPr>
        <w:t>Grund</w:t>
      </w:r>
      <w:proofErr w:type="spellEnd"/>
      <w:r>
        <w:t xml:space="preserve">). In this sense, the </w:t>
      </w:r>
      <w:r>
        <w:rPr>
          <w:i/>
        </w:rPr>
        <w:t>assembly</w:t>
      </w:r>
      <w:r>
        <w:t xml:space="preserve"> would be the </w:t>
      </w:r>
      <w:proofErr w:type="spellStart"/>
      <w:r>
        <w:rPr>
          <w:i/>
        </w:rPr>
        <w:t>Grundsakrament</w:t>
      </w:r>
      <w:proofErr w:type="spellEnd"/>
      <w:r>
        <w:rPr>
          <w:i/>
        </w:rPr>
        <w:t xml:space="preserve"> </w:t>
      </w:r>
      <w:r>
        <w:t>of the experientia</w:t>
      </w:r>
      <w:r w:rsidR="003A1B2B">
        <w:t>l knowledge of the faith, uniting</w:t>
      </w:r>
      <w:r>
        <w:t xml:space="preserve"> the intimate lived dimension (</w:t>
      </w:r>
      <w:proofErr w:type="spellStart"/>
      <w:r>
        <w:rPr>
          <w:i/>
        </w:rPr>
        <w:t>Erlebnis</w:t>
      </w:r>
      <w:proofErr w:type="spellEnd"/>
      <w:r>
        <w:t>) to the dimension of its interpretation (</w:t>
      </w:r>
      <w:proofErr w:type="spellStart"/>
      <w:r>
        <w:rPr>
          <w:i/>
        </w:rPr>
        <w:t>Erfahrung</w:t>
      </w:r>
      <w:proofErr w:type="spellEnd"/>
      <w:r>
        <w:t>).</w:t>
      </w:r>
    </w:p>
    <w:p w:rsidR="007F2853" w:rsidRPr="006C26EB" w:rsidRDefault="007F2853" w:rsidP="002C225C">
      <w:r>
        <w:tab/>
      </w:r>
      <w:r w:rsidR="00765924">
        <w:t xml:space="preserve">If we take this down to the smallest scale, that is to say, a group of two or three persons, a sacramentality still exists, if these persons </w:t>
      </w:r>
      <w:proofErr w:type="gramStart"/>
      <w:r w:rsidR="00765924">
        <w:t>gather together</w:t>
      </w:r>
      <w:proofErr w:type="gramEnd"/>
      <w:r w:rsidR="00765924">
        <w:t xml:space="preserve"> in the name of Christ. They experience something that surpasses them, and they are a sign.</w:t>
      </w:r>
      <w:r w:rsidR="006C26EB">
        <w:t xml:space="preserve"> </w:t>
      </w:r>
      <w:r w:rsidR="006C26EB" w:rsidRPr="006C26EB">
        <w:t xml:space="preserve">No. 7 of the </w:t>
      </w:r>
      <w:proofErr w:type="gramStart"/>
      <w:r w:rsidR="006C26EB" w:rsidRPr="006C26EB">
        <w:t>Conciliar</w:t>
      </w:r>
      <w:proofErr w:type="gramEnd"/>
      <w:r w:rsidR="006C26EB" w:rsidRPr="006C26EB">
        <w:t xml:space="preserve"> constitution on the liturgy, </w:t>
      </w:r>
      <w:proofErr w:type="spellStart"/>
      <w:r w:rsidR="006C26EB" w:rsidRPr="006C26EB">
        <w:t>Sacrosanctum</w:t>
      </w:r>
      <w:proofErr w:type="spellEnd"/>
      <w:r w:rsidR="006C26EB" w:rsidRPr="006C26EB">
        <w:t xml:space="preserve"> </w:t>
      </w:r>
      <w:proofErr w:type="spellStart"/>
      <w:r w:rsidR="006C26EB" w:rsidRPr="006C26EB">
        <w:t>concilium</w:t>
      </w:r>
      <w:proofErr w:type="spellEnd"/>
      <w:r w:rsidR="006C26EB" w:rsidRPr="006C26EB">
        <w:t xml:space="preserve">, says </w:t>
      </w:r>
      <w:r w:rsidR="006C26EB">
        <w:rPr>
          <w:rStyle w:val="tlid-translation"/>
          <w:lang w:val="en"/>
        </w:rPr>
        <w:t>as clearly as possible</w:t>
      </w:r>
      <w:r w:rsidR="006C26EB" w:rsidRPr="006C26EB">
        <w:t>:</w:t>
      </w:r>
    </w:p>
    <w:p w:rsidR="006C26EB" w:rsidRPr="00CB1F98" w:rsidRDefault="006C26EB" w:rsidP="002C225C">
      <w:pPr>
        <w:pStyle w:val="Citation"/>
      </w:pPr>
      <w:r w:rsidRPr="00CB1F98">
        <w:t xml:space="preserve">To accomplish so great a </w:t>
      </w:r>
      <w:r w:rsidRPr="0060234E">
        <w:t xml:space="preserve">work, </w:t>
      </w:r>
      <w:r w:rsidRPr="0060234E">
        <w:rPr>
          <w:b/>
        </w:rPr>
        <w:t>Christ is always present in His Church, especially in her liturgical celebrations.</w:t>
      </w:r>
      <w:r w:rsidRPr="0060234E">
        <w:t xml:space="preserve"> He is present in the sacrifice of the Mass, not only in the person of His minister, the same now offering, through the ministry of priests, who formerly of</w:t>
      </w:r>
      <w:r w:rsidR="00335108">
        <w:t>fered himself on the cross</w:t>
      </w:r>
      <w:r w:rsidRPr="0060234E">
        <w:t xml:space="preserve">, but especially under the Eucharistic species. By His </w:t>
      </w:r>
      <w:proofErr w:type="gramStart"/>
      <w:r w:rsidRPr="0060234E">
        <w:t>power</w:t>
      </w:r>
      <w:proofErr w:type="gramEnd"/>
      <w:r w:rsidRPr="0060234E">
        <w:t xml:space="preserve"> He is present in the sacraments, so that when a man baptizes it is really </w:t>
      </w:r>
      <w:r w:rsidR="00335108">
        <w:t>Christ Himself who baptizes</w:t>
      </w:r>
      <w:r w:rsidRPr="0060234E">
        <w:t xml:space="preserve">. He is present in His word, since it is He Himself who speaks when the holy scriptures </w:t>
      </w:r>
      <w:proofErr w:type="gramStart"/>
      <w:r w:rsidRPr="0060234E">
        <w:t>are read</w:t>
      </w:r>
      <w:proofErr w:type="gramEnd"/>
      <w:r w:rsidRPr="0060234E">
        <w:t xml:space="preserve"> in the Church. </w:t>
      </w:r>
      <w:r w:rsidRPr="0060234E">
        <w:rPr>
          <w:b/>
        </w:rPr>
        <w:t>He is present, lastly, when the Church prays and sings, for He promised: "Where two or three are gathered together in my name, there am I in the midst of them" (Matt. 18:20).</w:t>
      </w:r>
      <w:r w:rsidRPr="0060234E">
        <w:t xml:space="preserve"> </w:t>
      </w:r>
      <w:r w:rsidRPr="0060234E">
        <w:rPr>
          <w:b/>
        </w:rPr>
        <w:t xml:space="preserve">Christ indeed always associates the Church with Himself in this great work wherein God is perfectly glorified and men </w:t>
      </w:r>
      <w:proofErr w:type="gramStart"/>
      <w:r w:rsidRPr="0060234E">
        <w:rPr>
          <w:b/>
        </w:rPr>
        <w:t>are sanctified</w:t>
      </w:r>
      <w:proofErr w:type="gramEnd"/>
      <w:r w:rsidRPr="0060234E">
        <w:rPr>
          <w:b/>
        </w:rPr>
        <w:t>.</w:t>
      </w:r>
      <w:r w:rsidRPr="0060234E">
        <w:t xml:space="preserve"> The Church is His</w:t>
      </w:r>
      <w:r w:rsidRPr="00CB1F98">
        <w:t xml:space="preserve"> beloved Bride who calls to her Lord, and through Him offers worship to the Eternal Father.</w:t>
      </w:r>
    </w:p>
    <w:p w:rsidR="006C26EB" w:rsidRPr="0060234E" w:rsidRDefault="006C26EB" w:rsidP="002C225C">
      <w:pPr>
        <w:pStyle w:val="Citation"/>
        <w:rPr>
          <w:b/>
          <w:sz w:val="22"/>
        </w:rPr>
      </w:pPr>
      <w:r w:rsidRPr="00DE2950">
        <w:t xml:space="preserve">Rightly, then, the liturgy is considered as an exercise of the priestly office of Jesus Christ. In the </w:t>
      </w:r>
      <w:proofErr w:type="gramStart"/>
      <w:r w:rsidRPr="00DE2950">
        <w:t>liturgy</w:t>
      </w:r>
      <w:proofErr w:type="gramEnd"/>
      <w:r w:rsidRPr="00DE2950">
        <w:t xml:space="preserve"> the sanctification of the man is signified by signs perceptible to the senses, and is effected in a way which corresponds with each of these signs; </w:t>
      </w:r>
      <w:r w:rsidRPr="0060234E">
        <w:rPr>
          <w:b/>
        </w:rPr>
        <w:t>in the liturgy the whole public worship is performed by the Mystical Body of Jesus Christ, that is, by the Head and His members.</w:t>
      </w:r>
    </w:p>
    <w:p w:rsidR="006C26EB" w:rsidRDefault="006C26EB" w:rsidP="002C225C">
      <w:pPr>
        <w:pStyle w:val="Citation"/>
      </w:pPr>
      <w:r w:rsidRPr="00DE2950">
        <w:t xml:space="preserve">From this it follows that every liturgical celebration, because it is </w:t>
      </w:r>
      <w:r w:rsidRPr="0060234E">
        <w:rPr>
          <w:b/>
        </w:rPr>
        <w:t>an action of Christ the priest and of His Body which is the Church</w:t>
      </w:r>
      <w:r w:rsidRPr="00DE2950">
        <w:t>, is a sacred action surpassing all others; no other action of the Church can equal its efficacy by the same title and to the same degree.“</w:t>
      </w:r>
    </w:p>
    <w:p w:rsidR="00765924" w:rsidRDefault="00765924" w:rsidP="002C225C">
      <w:r w:rsidRPr="006C26EB">
        <w:tab/>
      </w:r>
      <w:r>
        <w:t xml:space="preserve">It seems to be impossible today, for reasons with a solid theological foundation, to deny this dimension of sacramentality to the liturgies that </w:t>
      </w:r>
      <w:proofErr w:type="gramStart"/>
      <w:r>
        <w:t>are celebrated</w:t>
      </w:r>
      <w:proofErr w:type="gramEnd"/>
      <w:r>
        <w:t xml:space="preserve"> by communities of the churches that understand themselves to possess a sacramental structure, and that understand themselves as a sacrament (</w:t>
      </w:r>
      <w:proofErr w:type="spellStart"/>
      <w:r>
        <w:rPr>
          <w:i/>
        </w:rPr>
        <w:t>veluti</w:t>
      </w:r>
      <w:proofErr w:type="spellEnd"/>
      <w:r>
        <w:rPr>
          <w:i/>
        </w:rPr>
        <w:t xml:space="preserve"> </w:t>
      </w:r>
      <w:proofErr w:type="spellStart"/>
      <w:r>
        <w:rPr>
          <w:i/>
        </w:rPr>
        <w:t>sacramentum</w:t>
      </w:r>
      <w:proofErr w:type="spellEnd"/>
      <w:r>
        <w:t>).</w:t>
      </w:r>
    </w:p>
    <w:p w:rsidR="006C26EB" w:rsidRDefault="006C26EB" w:rsidP="002C225C">
      <w:pPr>
        <w:pStyle w:val="Titre1"/>
      </w:pPr>
      <w:bookmarkStart w:id="26" w:name="_Toc3994637"/>
      <w:r>
        <w:lastRenderedPageBreak/>
        <w:t>Conclusion</w:t>
      </w:r>
      <w:bookmarkEnd w:id="26"/>
    </w:p>
    <w:p w:rsidR="00765924" w:rsidRDefault="00765924" w:rsidP="002C225C">
      <w:r>
        <w:tab/>
      </w:r>
      <w:r w:rsidR="00594DD5">
        <w:t>Pentecost is the historical and eschatological “embodying” (one might indeed say, the “incarnation</w:t>
      </w:r>
      <w:r w:rsidR="00335108">
        <w:t>”</w:t>
      </w:r>
      <w:r w:rsidR="00594DD5">
        <w:t xml:space="preserve">) of the revivifying power of Christ, through the Spirit, in humankind and in the world. The “for us” of the resurrection of the one who was crucified is the church, which is born of this event in its historical visibility. It constitutes the sacrament–foundation of salvation because it is the foundation of the means of salvation (the </w:t>
      </w:r>
      <w:proofErr w:type="spellStart"/>
      <w:r w:rsidR="00594DD5">
        <w:rPr>
          <w:i/>
        </w:rPr>
        <w:t>Grundsakrament</w:t>
      </w:r>
      <w:proofErr w:type="spellEnd"/>
      <w:r w:rsidR="00594DD5">
        <w:t>), which is related to, but must also be distinguished from,</w:t>
      </w:r>
      <w:r w:rsidR="001B7962">
        <w:t xml:space="preserve"> the </w:t>
      </w:r>
      <w:r w:rsidR="00011C10">
        <w:t xml:space="preserve">primordial sacrament or </w:t>
      </w:r>
      <w:r w:rsidR="001B7962">
        <w:t>sacrament–source</w:t>
      </w:r>
      <w:r w:rsidR="00011C10">
        <w:t xml:space="preserve"> (</w:t>
      </w:r>
      <w:proofErr w:type="spellStart"/>
      <w:r w:rsidR="00011C10">
        <w:rPr>
          <w:i/>
        </w:rPr>
        <w:t>Ursakrament</w:t>
      </w:r>
      <w:proofErr w:type="spellEnd"/>
      <w:r w:rsidR="00011C10">
        <w:t>)</w:t>
      </w:r>
      <w:r w:rsidR="001B7962">
        <w:t>, which is Christ. One must, of course, take care not to think of the church theologically under this aspect alone, and not</w:t>
      </w:r>
      <w:r w:rsidR="007663C7">
        <w:t xml:space="preserve"> </w:t>
      </w:r>
      <w:r w:rsidR="003A1B2B">
        <w:t xml:space="preserve">to </w:t>
      </w:r>
      <w:r w:rsidR="007663C7">
        <w:t>dis</w:t>
      </w:r>
      <w:r w:rsidR="001B7962">
        <w:t xml:space="preserve">tend unduly the concept of sacrament. </w:t>
      </w:r>
      <w:r w:rsidR="007663C7">
        <w:t>Such an extension, however, accords with the patristic perspective. It has made it possible to correct the excessively ahistorical character of the classical doctrine of the sacraments, which was too much centered on the salvation of the individuals as such.</w:t>
      </w:r>
    </w:p>
    <w:p w:rsidR="007663C7" w:rsidRPr="00E22E0A" w:rsidRDefault="007663C7" w:rsidP="002C225C">
      <w:r w:rsidRPr="00E22E0A">
        <w:tab/>
      </w:r>
      <w:r w:rsidR="00946D2E" w:rsidRPr="00E22E0A">
        <w:t xml:space="preserve">To enter the ecumenical discussion with the concrete assemblies that </w:t>
      </w:r>
      <w:proofErr w:type="gramStart"/>
      <w:r w:rsidR="00946D2E" w:rsidRPr="00E22E0A">
        <w:t>are made up</w:t>
      </w:r>
      <w:proofErr w:type="gramEnd"/>
      <w:r w:rsidR="00946D2E" w:rsidRPr="00E22E0A">
        <w:t xml:space="preserve"> of Christians who have experienced the living Christ is a path rich in perspectives. From a theological point of view, this seems to me to be possible, on condition that one regards these assemblies as sacramental realities, as realities that are indispensable for the birth of faith, the growth of faith, and the transmission of faith.</w:t>
      </w:r>
    </w:p>
    <w:p w:rsidR="00DC5B50" w:rsidRDefault="00946D2E" w:rsidP="002C225C">
      <w:r w:rsidRPr="00ED367B">
        <w:tab/>
        <w:t xml:space="preserve">If this is to succeed, the church as a whole </w:t>
      </w:r>
      <w:proofErr w:type="gramStart"/>
      <w:r w:rsidRPr="00ED367B">
        <w:t>must be understood</w:t>
      </w:r>
      <w:proofErr w:type="gramEnd"/>
      <w:r w:rsidRPr="00ED367B">
        <w:t xml:space="preserve"> as a sacrament, the fundamental sacrament at the base of the sacramentality of the assemblies.</w:t>
      </w:r>
      <w:r w:rsidR="006C26EB" w:rsidRPr="00ED367B">
        <w:t xml:space="preserve"> I take an example that you had identified in Cambridge in 2017, about « an historical and pastoral injustice involved with </w:t>
      </w:r>
      <w:proofErr w:type="spellStart"/>
      <w:r w:rsidR="006C26EB" w:rsidRPr="00ED367B">
        <w:rPr>
          <w:i/>
        </w:rPr>
        <w:t>Apostolicae</w:t>
      </w:r>
      <w:proofErr w:type="spellEnd"/>
      <w:r w:rsidR="006C26EB" w:rsidRPr="00ED367B">
        <w:rPr>
          <w:i/>
        </w:rPr>
        <w:t xml:space="preserve"> Curiae</w:t>
      </w:r>
      <w:r w:rsidR="006C0E5F">
        <w:t> »</w:t>
      </w:r>
      <w:r w:rsidR="006C26EB" w:rsidRPr="00ED367B">
        <w:t>: « we should look at ordination in relation with formation and the reality of living communities »</w:t>
      </w:r>
      <w:r w:rsidR="006C0E5F">
        <w:rPr>
          <w:rStyle w:val="Appelnotedebasdep"/>
        </w:rPr>
        <w:footnoteReference w:id="30"/>
      </w:r>
      <w:r w:rsidR="006C26EB" w:rsidRPr="00ED367B">
        <w:t xml:space="preserve">. </w:t>
      </w:r>
      <w:proofErr w:type="gramStart"/>
      <w:r w:rsidR="00312993" w:rsidRPr="00ED367B">
        <w:t>This is a resolutely inductive approach, which we must develop if we are to make progress and unblock that which the purely deductive approaches cannot resolve.</w:t>
      </w:r>
      <w:proofErr w:type="gramEnd"/>
    </w:p>
    <w:p w:rsidR="00E45E98" w:rsidRDefault="00E45E98" w:rsidP="002C225C"/>
    <w:sectPr w:rsidR="00E45E98" w:rsidSect="00756C7C">
      <w:headerReference w:type="default" r:id="rId10"/>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610C" w:rsidRDefault="0049610C" w:rsidP="002C225C">
      <w:r>
        <w:separator/>
      </w:r>
    </w:p>
  </w:endnote>
  <w:endnote w:type="continuationSeparator" w:id="0">
    <w:p w:rsidR="0049610C" w:rsidRDefault="0049610C" w:rsidP="002C22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7688215"/>
      <w:docPartObj>
        <w:docPartGallery w:val="Page Numbers (Bottom of Page)"/>
        <w:docPartUnique/>
      </w:docPartObj>
    </w:sdtPr>
    <w:sdtEndPr/>
    <w:sdtContent>
      <w:p w:rsidR="00E70D93" w:rsidRDefault="00E70D93" w:rsidP="002C225C">
        <w:pPr>
          <w:pStyle w:val="Pieddepage"/>
        </w:pPr>
        <w:r>
          <w:fldChar w:fldCharType="begin"/>
        </w:r>
        <w:r>
          <w:instrText>PAGE   \* MERGEFORMAT</w:instrText>
        </w:r>
        <w:r>
          <w:fldChar w:fldCharType="separate"/>
        </w:r>
        <w:r w:rsidR="00466CFB" w:rsidRPr="00466CFB">
          <w:rPr>
            <w:noProof/>
            <w:lang w:val="fr-FR"/>
          </w:rPr>
          <w:t>3</w:t>
        </w:r>
        <w:r>
          <w:fldChar w:fldCharType="end"/>
        </w:r>
      </w:p>
    </w:sdtContent>
  </w:sdt>
  <w:p w:rsidR="005834C8" w:rsidRDefault="005834C8" w:rsidP="002C225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610C" w:rsidRDefault="0049610C" w:rsidP="002C225C">
      <w:r>
        <w:separator/>
      </w:r>
    </w:p>
  </w:footnote>
  <w:footnote w:type="continuationSeparator" w:id="0">
    <w:p w:rsidR="0049610C" w:rsidRDefault="0049610C" w:rsidP="002C225C">
      <w:r>
        <w:continuationSeparator/>
      </w:r>
    </w:p>
  </w:footnote>
  <w:footnote w:id="1">
    <w:p w:rsidR="00EE421B" w:rsidRPr="0048593D" w:rsidRDefault="00EE421B" w:rsidP="003F16E2">
      <w:pPr>
        <w:pStyle w:val="Notedebasdepage"/>
        <w:spacing w:line="240" w:lineRule="auto"/>
        <w:rPr>
          <w:lang w:val="fr-BE"/>
        </w:rPr>
      </w:pPr>
      <w:r>
        <w:rPr>
          <w:rStyle w:val="Appelnotedebasdep"/>
        </w:rPr>
        <w:footnoteRef/>
      </w:r>
      <w:r w:rsidRPr="00C20DA2">
        <w:t xml:space="preserve"> J</w:t>
      </w:r>
      <w:r w:rsidR="0082389C" w:rsidRPr="00C20DA2">
        <w:t>.</w:t>
      </w:r>
      <w:r w:rsidRPr="00C20DA2">
        <w:t xml:space="preserve"> </w:t>
      </w:r>
      <w:r w:rsidRPr="00C20DA2">
        <w:rPr>
          <w:smallCaps/>
        </w:rPr>
        <w:t>Morris</w:t>
      </w:r>
      <w:r w:rsidRPr="00C20DA2">
        <w:t xml:space="preserve">, « Final Comments and Reflections », in Malines Conversations Group, </w:t>
      </w:r>
      <w:r w:rsidRPr="00C20DA2">
        <w:rPr>
          <w:i/>
        </w:rPr>
        <w:t xml:space="preserve">Papers &amp; Discussions. </w:t>
      </w:r>
      <w:r w:rsidRPr="0048593D">
        <w:rPr>
          <w:i/>
          <w:lang w:val="fr-BE"/>
        </w:rPr>
        <w:t xml:space="preserve">Cambridge, UK, March 19-23, 2017, </w:t>
      </w:r>
      <w:proofErr w:type="spellStart"/>
      <w:r w:rsidRPr="0048593D">
        <w:rPr>
          <w:lang w:val="fr-BE"/>
        </w:rPr>
        <w:t>Chevetogne</w:t>
      </w:r>
      <w:proofErr w:type="spellEnd"/>
      <w:r w:rsidRPr="0048593D">
        <w:rPr>
          <w:lang w:val="fr-BE"/>
        </w:rPr>
        <w:t>, 2018, p. 206.</w:t>
      </w:r>
    </w:p>
  </w:footnote>
  <w:footnote w:id="2">
    <w:p w:rsidR="0039575B" w:rsidRPr="0048593D" w:rsidRDefault="0039575B" w:rsidP="003F16E2">
      <w:pPr>
        <w:pStyle w:val="Notedebasdepage"/>
        <w:spacing w:line="240" w:lineRule="auto"/>
      </w:pPr>
      <w:r>
        <w:rPr>
          <w:rStyle w:val="Appelnotedebasdep"/>
        </w:rPr>
        <w:footnoteRef/>
      </w:r>
      <w:r>
        <w:t xml:space="preserve"> </w:t>
      </w:r>
      <w:proofErr w:type="spellStart"/>
      <w:r w:rsidRPr="006C0E5F">
        <w:rPr>
          <w:smallCaps/>
          <w:lang w:val="fr-BE"/>
        </w:rPr>
        <w:t>Parré</w:t>
      </w:r>
      <w:proofErr w:type="spellEnd"/>
      <w:r w:rsidRPr="00926160">
        <w:t xml:space="preserve"> Pierre, </w:t>
      </w:r>
      <w:r w:rsidRPr="00926160">
        <w:rPr>
          <w:smallCaps/>
        </w:rPr>
        <w:t>Francis</w:t>
      </w:r>
      <w:r w:rsidRPr="00926160">
        <w:t xml:space="preserve"> Paul</w:t>
      </w:r>
      <w:r>
        <w:t xml:space="preserve">, </w:t>
      </w:r>
      <w:proofErr w:type="spellStart"/>
      <w:r w:rsidRPr="00926160">
        <w:rPr>
          <w:smallCaps/>
        </w:rPr>
        <w:t>Belgian</w:t>
      </w:r>
      <w:proofErr w:type="spellEnd"/>
      <w:r w:rsidRPr="00926160">
        <w:rPr>
          <w:smallCaps/>
        </w:rPr>
        <w:t xml:space="preserve"> Anglican-Roman </w:t>
      </w:r>
      <w:proofErr w:type="spellStart"/>
      <w:r w:rsidRPr="00926160">
        <w:rPr>
          <w:smallCaps/>
        </w:rPr>
        <w:t>Catholic</w:t>
      </w:r>
      <w:proofErr w:type="spellEnd"/>
      <w:r w:rsidRPr="00926160">
        <w:rPr>
          <w:smallCaps/>
        </w:rPr>
        <w:t xml:space="preserve"> Group</w:t>
      </w:r>
      <w:r>
        <w:t>,</w:t>
      </w:r>
      <w:r w:rsidRPr="00926160">
        <w:t xml:space="preserve"> </w:t>
      </w:r>
      <w:r w:rsidRPr="006C0E5F">
        <w:t>Rapprochements anglicans-catholiques romains aux XIX</w:t>
      </w:r>
      <w:r w:rsidRPr="006C0E5F">
        <w:rPr>
          <w:vertAlign w:val="superscript"/>
        </w:rPr>
        <w:t>e</w:t>
      </w:r>
      <w:r w:rsidRPr="006C0E5F">
        <w:t xml:space="preserve"> et XX</w:t>
      </w:r>
      <w:r w:rsidRPr="006C0E5F">
        <w:rPr>
          <w:vertAlign w:val="superscript"/>
        </w:rPr>
        <w:t>e</w:t>
      </w:r>
      <w:r w:rsidRPr="006C0E5F">
        <w:t xml:space="preserve"> siècles</w:t>
      </w:r>
      <w:r w:rsidR="006C0E5F">
        <w:t>.</w:t>
      </w:r>
      <w:r w:rsidRPr="006C0E5F">
        <w:t xml:space="preserve"> </w:t>
      </w:r>
      <w:r w:rsidR="006C0E5F">
        <w:t>A</w:t>
      </w:r>
      <w:r w:rsidRPr="006C0E5F">
        <w:t xml:space="preserve">ide-mémoire rédigé par quelques membres du </w:t>
      </w:r>
      <w:proofErr w:type="spellStart"/>
      <w:r w:rsidRPr="006C0E5F">
        <w:t>Belgian</w:t>
      </w:r>
      <w:proofErr w:type="spellEnd"/>
      <w:r w:rsidRPr="006C0E5F">
        <w:t xml:space="preserve"> Anglican-Roman </w:t>
      </w:r>
      <w:proofErr w:type="spellStart"/>
      <w:r w:rsidRPr="006C0E5F">
        <w:t>Catholic</w:t>
      </w:r>
      <w:proofErr w:type="spellEnd"/>
      <w:r w:rsidRPr="006C0E5F">
        <w:t xml:space="preserve"> </w:t>
      </w:r>
      <w:proofErr w:type="spellStart"/>
      <w:r w:rsidRPr="006C0E5F">
        <w:t>Committee</w:t>
      </w:r>
      <w:proofErr w:type="spellEnd"/>
      <w:r w:rsidRPr="0082389C">
        <w:t xml:space="preserve"> (Comité Mixte Anglican-Catholique pour la Belgique)</w:t>
      </w:r>
      <w:r>
        <w:t xml:space="preserve">, </w:t>
      </w:r>
      <w:r w:rsidR="0082389C">
        <w:t>Malines, Service de presse de l’</w:t>
      </w:r>
      <w:r w:rsidRPr="00926160">
        <w:t>Archevêché, 1996</w:t>
      </w:r>
      <w:r w:rsidR="0082389C">
        <w:t>.</w:t>
      </w:r>
    </w:p>
  </w:footnote>
  <w:footnote w:id="3">
    <w:p w:rsidR="0039575B" w:rsidRPr="003C22E9" w:rsidRDefault="0039575B" w:rsidP="003F16E2">
      <w:pPr>
        <w:pStyle w:val="Notedebasdepage"/>
        <w:spacing w:line="240" w:lineRule="auto"/>
        <w:rPr>
          <w:lang w:val="fr-BE"/>
        </w:rPr>
      </w:pPr>
      <w:r>
        <w:rPr>
          <w:rStyle w:val="Appelnotedebasdep"/>
        </w:rPr>
        <w:footnoteRef/>
      </w:r>
      <w:r w:rsidR="0082389C">
        <w:t xml:space="preserve"> </w:t>
      </w:r>
      <w:proofErr w:type="spellStart"/>
      <w:r w:rsidR="0082389C">
        <w:t>See</w:t>
      </w:r>
      <w:proofErr w:type="spellEnd"/>
      <w:r>
        <w:t>:</w:t>
      </w:r>
      <w:r w:rsidRPr="00236499">
        <w:t xml:space="preserve"> Le christianisme comme style</w:t>
      </w:r>
      <w:r>
        <w:t xml:space="preserve">, 2007 ; </w:t>
      </w:r>
      <w:r w:rsidRPr="00236499">
        <w:t>Le concile Vatican II, quel avenir ?</w:t>
      </w:r>
      <w:r>
        <w:t xml:space="preserve"> 2015 ; Selon l'esprit de sainteté</w:t>
      </w:r>
      <w:r w:rsidRPr="00236499">
        <w:t>: genèse d'une théologie systématique</w:t>
      </w:r>
      <w:r>
        <w:t>,</w:t>
      </w:r>
      <w:r w:rsidRPr="005914EC">
        <w:t xml:space="preserve"> </w:t>
      </w:r>
      <w:r>
        <w:t xml:space="preserve">2015. </w:t>
      </w:r>
    </w:p>
  </w:footnote>
  <w:footnote w:id="4">
    <w:p w:rsidR="0039575B" w:rsidRPr="005914EC" w:rsidRDefault="0039575B" w:rsidP="003F16E2">
      <w:pPr>
        <w:pStyle w:val="Notedebasdepage"/>
        <w:spacing w:line="240" w:lineRule="auto"/>
        <w:rPr>
          <w:lang w:val="fr-BE"/>
        </w:rPr>
      </w:pPr>
      <w:r>
        <w:rPr>
          <w:rStyle w:val="Appelnotedebasdep"/>
        </w:rPr>
        <w:footnoteRef/>
      </w:r>
      <w:r>
        <w:t xml:space="preserve"> </w:t>
      </w:r>
      <w:r w:rsidRPr="005914EC">
        <w:t>C</w:t>
      </w:r>
      <w:r>
        <w:t>.</w:t>
      </w:r>
      <w:r w:rsidRPr="005914EC">
        <w:t xml:space="preserve"> </w:t>
      </w:r>
      <w:r w:rsidRPr="0082389C">
        <w:rPr>
          <w:smallCaps/>
        </w:rPr>
        <w:t>Theobald</w:t>
      </w:r>
      <w:r w:rsidRPr="005914EC">
        <w:t xml:space="preserve">, Urgences pastorales. Comprendre, partager, réformer, Montrouge, Bayard, 2017, 539 p. </w:t>
      </w:r>
    </w:p>
  </w:footnote>
  <w:footnote w:id="5">
    <w:p w:rsidR="00335108" w:rsidRPr="00335108" w:rsidRDefault="00335108" w:rsidP="003F16E2">
      <w:pPr>
        <w:pStyle w:val="Notedebasdepage"/>
        <w:spacing w:line="240" w:lineRule="auto"/>
      </w:pPr>
      <w:r>
        <w:rPr>
          <w:rStyle w:val="Appelnotedebasdep"/>
        </w:rPr>
        <w:footnoteRef/>
      </w:r>
      <w:r w:rsidRPr="00335108">
        <w:t xml:space="preserve"> ARCIC III, </w:t>
      </w:r>
      <w:r w:rsidRPr="00335108">
        <w:rPr>
          <w:i/>
        </w:rPr>
        <w:t xml:space="preserve">Walking Together on the </w:t>
      </w:r>
      <w:proofErr w:type="spellStart"/>
      <w:r w:rsidRPr="00335108">
        <w:rPr>
          <w:i/>
        </w:rPr>
        <w:t>Way</w:t>
      </w:r>
      <w:proofErr w:type="spellEnd"/>
      <w:r>
        <w:t>, 2017, nr. 54.</w:t>
      </w:r>
    </w:p>
  </w:footnote>
  <w:footnote w:id="6">
    <w:p w:rsidR="00CE3EFE" w:rsidRPr="00CE3EFE" w:rsidRDefault="00CE3EFE" w:rsidP="003F16E2">
      <w:pPr>
        <w:pStyle w:val="Notedebasdepage"/>
        <w:spacing w:line="240" w:lineRule="auto"/>
        <w:rPr>
          <w:lang w:val="fr-BE"/>
        </w:rPr>
      </w:pPr>
      <w:r>
        <w:rPr>
          <w:rStyle w:val="Appelnotedebasdep"/>
        </w:rPr>
        <w:footnoteRef/>
      </w:r>
      <w:r>
        <w:t xml:space="preserve"> Bernard </w:t>
      </w:r>
      <w:proofErr w:type="spellStart"/>
      <w:r w:rsidRPr="0082389C">
        <w:rPr>
          <w:smallCaps/>
        </w:rPr>
        <w:t>Q</w:t>
      </w:r>
      <w:r w:rsidR="0082389C" w:rsidRPr="0082389C">
        <w:rPr>
          <w:smallCaps/>
        </w:rPr>
        <w:t>uelquejeu</w:t>
      </w:r>
      <w:proofErr w:type="spellEnd"/>
      <w:r>
        <w:t xml:space="preserve">, Jean-Pierre </w:t>
      </w:r>
      <w:proofErr w:type="spellStart"/>
      <w:r w:rsidRPr="0082389C">
        <w:rPr>
          <w:smallCaps/>
        </w:rPr>
        <w:t>J</w:t>
      </w:r>
      <w:r w:rsidR="0082389C" w:rsidRPr="0082389C">
        <w:rPr>
          <w:smallCaps/>
        </w:rPr>
        <w:t>ossua</w:t>
      </w:r>
      <w:proofErr w:type="spellEnd"/>
      <w:r>
        <w:t xml:space="preserve">, « Expérience chrétienne », in Peter </w:t>
      </w:r>
      <w:proofErr w:type="spellStart"/>
      <w:r w:rsidRPr="0082389C">
        <w:rPr>
          <w:smallCaps/>
        </w:rPr>
        <w:t>E</w:t>
      </w:r>
      <w:r w:rsidR="0082389C">
        <w:rPr>
          <w:smallCaps/>
        </w:rPr>
        <w:t>icher</w:t>
      </w:r>
      <w:proofErr w:type="spellEnd"/>
      <w:r>
        <w:t xml:space="preserve">, </w:t>
      </w:r>
      <w:r w:rsidRPr="00CE3EFE">
        <w:rPr>
          <w:i/>
        </w:rPr>
        <w:t>Nouveau dictionnaire de théologie</w:t>
      </w:r>
      <w:r>
        <w:t xml:space="preserve">, </w:t>
      </w:r>
      <w:proofErr w:type="spellStart"/>
      <w:r>
        <w:t>adap</w:t>
      </w:r>
      <w:proofErr w:type="spellEnd"/>
      <w:r>
        <w:t xml:space="preserve">. Bernard </w:t>
      </w:r>
      <w:proofErr w:type="spellStart"/>
      <w:r w:rsidR="0082389C">
        <w:rPr>
          <w:smallCaps/>
        </w:rPr>
        <w:t>Lauret</w:t>
      </w:r>
      <w:proofErr w:type="spellEnd"/>
      <w:r>
        <w:t>, Paris, Cerf, 1996, p. 340.</w:t>
      </w:r>
    </w:p>
  </w:footnote>
  <w:footnote w:id="7">
    <w:p w:rsidR="00CE3EFE" w:rsidRPr="00C20DA2" w:rsidRDefault="00CE3EFE" w:rsidP="003F16E2">
      <w:pPr>
        <w:pStyle w:val="Notedebasdepage"/>
        <w:spacing w:line="240" w:lineRule="auto"/>
      </w:pPr>
      <w:r>
        <w:rPr>
          <w:rStyle w:val="Appelnotedebasdep"/>
        </w:rPr>
        <w:footnoteRef/>
      </w:r>
      <w:r w:rsidRPr="00466CFB">
        <w:rPr>
          <w:lang w:val="en-US"/>
        </w:rPr>
        <w:t xml:space="preserve"> According to David S. </w:t>
      </w:r>
      <w:proofErr w:type="spellStart"/>
      <w:r w:rsidRPr="00466CFB">
        <w:rPr>
          <w:smallCaps/>
          <w:lang w:val="en-US"/>
        </w:rPr>
        <w:t>Koonce</w:t>
      </w:r>
      <w:proofErr w:type="spellEnd"/>
      <w:r w:rsidRPr="00466CFB">
        <w:rPr>
          <w:lang w:val="en-US"/>
        </w:rPr>
        <w:t xml:space="preserve">, </w:t>
      </w:r>
      <w:proofErr w:type="gramStart"/>
      <w:r w:rsidRPr="00466CFB">
        <w:rPr>
          <w:i/>
          <w:lang w:val="en-US"/>
        </w:rPr>
        <w:t>The</w:t>
      </w:r>
      <w:proofErr w:type="gramEnd"/>
      <w:r w:rsidRPr="00466CFB">
        <w:rPr>
          <w:i/>
          <w:lang w:val="en-US"/>
        </w:rPr>
        <w:t xml:space="preserve"> Turn to Experience in Contemporary Theology. </w:t>
      </w:r>
      <w:r w:rsidRPr="00C20DA2">
        <w:rPr>
          <w:i/>
        </w:rPr>
        <w:t xml:space="preserve">Lecture 6. ‘The Christian </w:t>
      </w:r>
      <w:proofErr w:type="spellStart"/>
      <w:r w:rsidRPr="00C20DA2">
        <w:rPr>
          <w:i/>
        </w:rPr>
        <w:t>Experience</w:t>
      </w:r>
      <w:proofErr w:type="spellEnd"/>
      <w:r w:rsidRPr="00C20DA2">
        <w:rPr>
          <w:i/>
        </w:rPr>
        <w:t xml:space="preserve">’ of Jean </w:t>
      </w:r>
      <w:proofErr w:type="spellStart"/>
      <w:r w:rsidRPr="00C20DA2">
        <w:rPr>
          <w:i/>
        </w:rPr>
        <w:t>Mouroux</w:t>
      </w:r>
      <w:proofErr w:type="spellEnd"/>
      <w:r w:rsidRPr="00C20DA2">
        <w:rPr>
          <w:i/>
        </w:rPr>
        <w:t xml:space="preserve"> </w:t>
      </w:r>
      <w:r w:rsidRPr="00C20DA2">
        <w:t xml:space="preserve">(2014) [Lecture online]: “Authors who attribute this </w:t>
      </w:r>
      <w:proofErr w:type="spellStart"/>
      <w:r w:rsidRPr="00C20DA2">
        <w:t>groundbreaking</w:t>
      </w:r>
      <w:proofErr w:type="spellEnd"/>
      <w:r w:rsidRPr="00C20DA2">
        <w:t xml:space="preserve"> importance to </w:t>
      </w:r>
      <w:proofErr w:type="spellStart"/>
      <w:r w:rsidRPr="00C20DA2">
        <w:t>Mouroux’s</w:t>
      </w:r>
      <w:proofErr w:type="spellEnd"/>
      <w:r w:rsidRPr="00C20DA2">
        <w:t xml:space="preserve"> </w:t>
      </w:r>
      <w:proofErr w:type="spellStart"/>
      <w:r w:rsidRPr="00C20DA2">
        <w:t>work</w:t>
      </w:r>
      <w:proofErr w:type="spellEnd"/>
      <w:r w:rsidRPr="00C20DA2">
        <w:t xml:space="preserve"> </w:t>
      </w:r>
      <w:proofErr w:type="spellStart"/>
      <w:r w:rsidRPr="00C20DA2">
        <w:t>include</w:t>
      </w:r>
      <w:proofErr w:type="spellEnd"/>
      <w:r w:rsidRPr="00C20DA2">
        <w:t xml:space="preserve">”:  cf. W. </w:t>
      </w:r>
      <w:proofErr w:type="spellStart"/>
      <w:r w:rsidRPr="00C20DA2">
        <w:rPr>
          <w:smallCaps/>
        </w:rPr>
        <w:t>B</w:t>
      </w:r>
      <w:r w:rsidR="0082389C" w:rsidRPr="00C20DA2">
        <w:rPr>
          <w:smallCaps/>
        </w:rPr>
        <w:t>einert</w:t>
      </w:r>
      <w:proofErr w:type="spellEnd"/>
      <w:r w:rsidRPr="00C20DA2">
        <w:t xml:space="preserve">, “Die </w:t>
      </w:r>
      <w:proofErr w:type="spellStart"/>
      <w:r w:rsidRPr="00C20DA2">
        <w:t>Erfahrbarkeit</w:t>
      </w:r>
      <w:proofErr w:type="spellEnd"/>
      <w:r w:rsidRPr="00C20DA2">
        <w:t xml:space="preserve"> der </w:t>
      </w:r>
      <w:proofErr w:type="spellStart"/>
      <w:r w:rsidRPr="00C20DA2">
        <w:t>Glaubenswirklichkeit</w:t>
      </w:r>
      <w:proofErr w:type="spellEnd"/>
      <w:r w:rsidRPr="00C20DA2">
        <w:t xml:space="preserve">”, in H. </w:t>
      </w:r>
      <w:proofErr w:type="spellStart"/>
      <w:r w:rsidRPr="00C20DA2">
        <w:rPr>
          <w:smallCaps/>
        </w:rPr>
        <w:t>R</w:t>
      </w:r>
      <w:r w:rsidR="0082389C" w:rsidRPr="00C20DA2">
        <w:rPr>
          <w:smallCaps/>
        </w:rPr>
        <w:t>ossman</w:t>
      </w:r>
      <w:proofErr w:type="spellEnd"/>
      <w:r w:rsidRPr="00C20DA2">
        <w:t xml:space="preserve"> - J. </w:t>
      </w:r>
      <w:r w:rsidRPr="00C20DA2">
        <w:rPr>
          <w:smallCaps/>
        </w:rPr>
        <w:t>R</w:t>
      </w:r>
      <w:r w:rsidR="0082389C" w:rsidRPr="00C20DA2">
        <w:rPr>
          <w:smallCaps/>
        </w:rPr>
        <w:t>atzinger</w:t>
      </w:r>
      <w:r w:rsidRPr="00C20DA2">
        <w:t xml:space="preserve"> (</w:t>
      </w:r>
      <w:proofErr w:type="spellStart"/>
      <w:r w:rsidRPr="00C20DA2">
        <w:t>eds</w:t>
      </w:r>
      <w:proofErr w:type="spellEnd"/>
      <w:r w:rsidRPr="00C20DA2">
        <w:t xml:space="preserve">.), </w:t>
      </w:r>
      <w:proofErr w:type="spellStart"/>
      <w:r w:rsidRPr="00C20DA2">
        <w:rPr>
          <w:i/>
        </w:rPr>
        <w:t>Mysterium</w:t>
      </w:r>
      <w:proofErr w:type="spellEnd"/>
      <w:r w:rsidRPr="00C20DA2">
        <w:rPr>
          <w:i/>
        </w:rPr>
        <w:t xml:space="preserve"> der </w:t>
      </w:r>
      <w:proofErr w:type="spellStart"/>
      <w:r w:rsidRPr="00C20DA2">
        <w:rPr>
          <w:i/>
        </w:rPr>
        <w:t>Gnade</w:t>
      </w:r>
      <w:proofErr w:type="spellEnd"/>
      <w:r w:rsidRPr="00C20DA2">
        <w:rPr>
          <w:i/>
        </w:rPr>
        <w:t xml:space="preserve">: </w:t>
      </w:r>
      <w:proofErr w:type="spellStart"/>
      <w:r w:rsidRPr="00C20DA2">
        <w:rPr>
          <w:i/>
        </w:rPr>
        <w:t>Festschrift</w:t>
      </w:r>
      <w:proofErr w:type="spellEnd"/>
      <w:r w:rsidRPr="00C20DA2">
        <w:rPr>
          <w:i/>
        </w:rPr>
        <w:t xml:space="preserve"> </w:t>
      </w:r>
      <w:proofErr w:type="spellStart"/>
      <w:r w:rsidRPr="00C20DA2">
        <w:rPr>
          <w:i/>
        </w:rPr>
        <w:t>für</w:t>
      </w:r>
      <w:proofErr w:type="spellEnd"/>
      <w:r w:rsidRPr="00C20DA2">
        <w:rPr>
          <w:i/>
        </w:rPr>
        <w:t xml:space="preserve"> Johann Auer </w:t>
      </w:r>
      <w:proofErr w:type="spellStart"/>
      <w:r w:rsidRPr="00C20DA2">
        <w:rPr>
          <w:i/>
        </w:rPr>
        <w:t>zum</w:t>
      </w:r>
      <w:proofErr w:type="spellEnd"/>
      <w:r w:rsidRPr="00C20DA2">
        <w:rPr>
          <w:i/>
        </w:rPr>
        <w:t xml:space="preserve"> 65. </w:t>
      </w:r>
      <w:proofErr w:type="spellStart"/>
      <w:r w:rsidRPr="00C20DA2">
        <w:rPr>
          <w:i/>
        </w:rPr>
        <w:t>Geburtstag</w:t>
      </w:r>
      <w:proofErr w:type="spellEnd"/>
      <w:r w:rsidRPr="00C20DA2">
        <w:t xml:space="preserve">, </w:t>
      </w:r>
      <w:proofErr w:type="spellStart"/>
      <w:r w:rsidRPr="00C20DA2">
        <w:t>Pustet</w:t>
      </w:r>
      <w:proofErr w:type="spellEnd"/>
      <w:r w:rsidRPr="00C20DA2">
        <w:t xml:space="preserve">, </w:t>
      </w:r>
      <w:proofErr w:type="spellStart"/>
      <w:r w:rsidRPr="00C20DA2">
        <w:t>Regensburg</w:t>
      </w:r>
      <w:proofErr w:type="spellEnd"/>
      <w:r w:rsidRPr="00C20DA2">
        <w:t xml:space="preserve"> 1975, </w:t>
      </w:r>
      <w:r w:rsidR="0082389C" w:rsidRPr="00C20DA2">
        <w:t xml:space="preserve">p. </w:t>
      </w:r>
      <w:r w:rsidRPr="00C20DA2">
        <w:t xml:space="preserve">134-145. J. </w:t>
      </w:r>
      <w:r w:rsidRPr="00C20DA2">
        <w:rPr>
          <w:smallCaps/>
        </w:rPr>
        <w:t>R</w:t>
      </w:r>
      <w:r w:rsidR="0082389C" w:rsidRPr="00C20DA2">
        <w:rPr>
          <w:smallCaps/>
        </w:rPr>
        <w:t>atzinger</w:t>
      </w:r>
      <w:r w:rsidR="0082389C" w:rsidRPr="00C20DA2">
        <w:t>, “Faith and Experience”, in Id</w:t>
      </w:r>
      <w:r w:rsidRPr="00C20DA2">
        <w:t xml:space="preserve">., </w:t>
      </w:r>
      <w:r w:rsidRPr="00C20DA2">
        <w:rPr>
          <w:i/>
        </w:rPr>
        <w:t>Principles of Catholic Theology</w:t>
      </w:r>
      <w:r w:rsidR="0082389C" w:rsidRPr="00C20DA2">
        <w:t>, p. 346-350;</w:t>
      </w:r>
      <w:r w:rsidRPr="00C20DA2">
        <w:t xml:space="preserve"> A. N</w:t>
      </w:r>
      <w:r w:rsidR="0082389C" w:rsidRPr="00C20DA2">
        <w:t>ichols</w:t>
      </w:r>
      <w:r w:rsidRPr="00C20DA2">
        <w:t xml:space="preserve">, </w:t>
      </w:r>
      <w:r w:rsidRPr="00C20DA2">
        <w:rPr>
          <w:i/>
        </w:rPr>
        <w:t>The Shape of Catholic Theology: An Introduction to its Sources, Principles, and History</w:t>
      </w:r>
      <w:r w:rsidRPr="00C20DA2">
        <w:t xml:space="preserve">, The Liturgical Press, Collegeville, Minnesota 1991, </w:t>
      </w:r>
      <w:r w:rsidR="0082389C" w:rsidRPr="00C20DA2">
        <w:t xml:space="preserve">p. </w:t>
      </w:r>
      <w:r w:rsidRPr="00C20DA2">
        <w:t>242-245.</w:t>
      </w:r>
    </w:p>
  </w:footnote>
  <w:footnote w:id="8">
    <w:p w:rsidR="00CE3EFE" w:rsidRPr="003F5B0E" w:rsidRDefault="00CE3EFE" w:rsidP="003F16E2">
      <w:pPr>
        <w:pStyle w:val="Notedebasdepage"/>
        <w:spacing w:line="240" w:lineRule="auto"/>
        <w:rPr>
          <w:lang w:val="fr-BE"/>
        </w:rPr>
      </w:pPr>
      <w:r w:rsidRPr="00DD4E31">
        <w:rPr>
          <w:rStyle w:val="Appelnotedebasdep"/>
        </w:rPr>
        <w:footnoteRef/>
      </w:r>
      <w:r w:rsidRPr="00DD4E31">
        <w:t xml:space="preserve"> J</w:t>
      </w:r>
      <w:r w:rsidR="0082389C">
        <w:t>.</w:t>
      </w:r>
      <w:r w:rsidRPr="00DD4E31">
        <w:t xml:space="preserve"> </w:t>
      </w:r>
      <w:proofErr w:type="spellStart"/>
      <w:r w:rsidRPr="0082389C">
        <w:rPr>
          <w:smallCaps/>
        </w:rPr>
        <w:t>Mouroux</w:t>
      </w:r>
      <w:proofErr w:type="spellEnd"/>
      <w:r w:rsidRPr="00DD4E31">
        <w:fldChar w:fldCharType="begin"/>
      </w:r>
      <w:r w:rsidRPr="00DD4E31">
        <w:instrText xml:space="preserve"> XE "Mouroux" </w:instrText>
      </w:r>
      <w:r w:rsidRPr="00DD4E31">
        <w:fldChar w:fldCharType="end"/>
      </w:r>
      <w:r w:rsidRPr="00DD4E31">
        <w:t xml:space="preserve">, </w:t>
      </w:r>
      <w:r w:rsidRPr="00DD4E31">
        <w:rPr>
          <w:i/>
        </w:rPr>
        <w:t xml:space="preserve">L’expérience chrétienne. Introduction à une théologie </w:t>
      </w:r>
      <w:r w:rsidRPr="00DD4E31">
        <w:t>(Théologie 26), Paris, Beauchesne</w:t>
      </w:r>
      <w:r>
        <w:t xml:space="preserve">, 1952 ; </w:t>
      </w:r>
      <w:proofErr w:type="spellStart"/>
      <w:r>
        <w:t>engl</w:t>
      </w:r>
      <w:proofErr w:type="spellEnd"/>
      <w:r>
        <w:t xml:space="preserve">. </w:t>
      </w:r>
      <w:proofErr w:type="gramStart"/>
      <w:r w:rsidRPr="003F5B0E">
        <w:rPr>
          <w:lang w:val="fr-BE"/>
        </w:rPr>
        <w:t>translation</w:t>
      </w:r>
      <w:proofErr w:type="gramEnd"/>
      <w:r w:rsidRPr="003F5B0E">
        <w:rPr>
          <w:lang w:val="fr-BE"/>
        </w:rPr>
        <w:t xml:space="preserve"> : </w:t>
      </w:r>
      <w:r w:rsidRPr="003F5B0E">
        <w:rPr>
          <w:i/>
          <w:lang w:val="fr-BE"/>
        </w:rPr>
        <w:t xml:space="preserve">The Christian </w:t>
      </w:r>
      <w:proofErr w:type="spellStart"/>
      <w:r w:rsidRPr="003F5B0E">
        <w:rPr>
          <w:i/>
          <w:lang w:val="fr-BE"/>
        </w:rPr>
        <w:t>Experience</w:t>
      </w:r>
      <w:proofErr w:type="spellEnd"/>
      <w:r w:rsidRPr="003F5B0E">
        <w:rPr>
          <w:lang w:val="fr-BE"/>
        </w:rPr>
        <w:t xml:space="preserve">, </w:t>
      </w:r>
      <w:proofErr w:type="spellStart"/>
      <w:r w:rsidRPr="003F5B0E">
        <w:rPr>
          <w:lang w:val="fr-BE"/>
        </w:rPr>
        <w:t>Sheed</w:t>
      </w:r>
      <w:proofErr w:type="spellEnd"/>
      <w:r w:rsidRPr="003F5B0E">
        <w:rPr>
          <w:lang w:val="fr-BE"/>
        </w:rPr>
        <w:t xml:space="preserve"> and Ward, 1954.</w:t>
      </w:r>
    </w:p>
  </w:footnote>
  <w:footnote w:id="9">
    <w:p w:rsidR="00EE421B" w:rsidRPr="00C20DA2" w:rsidRDefault="00EE421B" w:rsidP="003F16E2">
      <w:pPr>
        <w:pStyle w:val="Notedebasdepage"/>
        <w:spacing w:line="240" w:lineRule="auto"/>
      </w:pPr>
      <w:r w:rsidRPr="00DD4E31">
        <w:rPr>
          <w:rStyle w:val="Appelnotedebasdep"/>
        </w:rPr>
        <w:footnoteRef/>
      </w:r>
      <w:r w:rsidRPr="00C20DA2">
        <w:t xml:space="preserve"> </w:t>
      </w:r>
      <w:proofErr w:type="spellStart"/>
      <w:r w:rsidRPr="00C20DA2">
        <w:rPr>
          <w:smallCaps/>
        </w:rPr>
        <w:t>Mouroux</w:t>
      </w:r>
      <w:proofErr w:type="spellEnd"/>
      <w:r w:rsidRPr="00DD4E31">
        <w:fldChar w:fldCharType="begin"/>
      </w:r>
      <w:r w:rsidRPr="00C20DA2">
        <w:instrText xml:space="preserve"> XE "Mouroux" </w:instrText>
      </w:r>
      <w:r w:rsidRPr="00DD4E31">
        <w:fldChar w:fldCharType="end"/>
      </w:r>
      <w:r w:rsidRPr="00C20DA2">
        <w:t xml:space="preserve">, </w:t>
      </w:r>
      <w:r w:rsidRPr="00C20DA2">
        <w:rPr>
          <w:i/>
        </w:rPr>
        <w:t>L’expérience chrétienne</w:t>
      </w:r>
      <w:r w:rsidRPr="00C20DA2">
        <w:t xml:space="preserve">. Here translation from the French (p. 24), and not from the book in </w:t>
      </w:r>
      <w:proofErr w:type="spellStart"/>
      <w:r w:rsidRPr="00C20DA2">
        <w:t>english</w:t>
      </w:r>
      <w:proofErr w:type="spellEnd"/>
    </w:p>
  </w:footnote>
  <w:footnote w:id="10">
    <w:p w:rsidR="00CE3EFE" w:rsidRPr="00C20DA2" w:rsidRDefault="00CE3EFE" w:rsidP="003F16E2">
      <w:pPr>
        <w:pStyle w:val="Notedebasdepage"/>
        <w:spacing w:line="240" w:lineRule="auto"/>
      </w:pPr>
      <w:r>
        <w:rPr>
          <w:rStyle w:val="Appelnotedebasdep"/>
        </w:rPr>
        <w:footnoteRef/>
      </w:r>
      <w:r w:rsidRPr="00C20DA2">
        <w:t xml:space="preserve"> The ancient meaning of the </w:t>
      </w:r>
      <w:proofErr w:type="spellStart"/>
      <w:r w:rsidRPr="00C20DA2">
        <w:t>word</w:t>
      </w:r>
      <w:proofErr w:type="spellEnd"/>
      <w:r w:rsidRPr="00C20DA2">
        <w:t xml:space="preserve"> “</w:t>
      </w:r>
      <w:proofErr w:type="spellStart"/>
      <w:r w:rsidRPr="00C20DA2">
        <w:t>mystery</w:t>
      </w:r>
      <w:proofErr w:type="spellEnd"/>
      <w:r w:rsidRPr="00C20DA2">
        <w:t xml:space="preserve">,” </w:t>
      </w:r>
      <w:proofErr w:type="spellStart"/>
      <w:r w:rsidRPr="00C20DA2">
        <w:rPr>
          <w:i/>
        </w:rPr>
        <w:t>mustêrion</w:t>
      </w:r>
      <w:proofErr w:type="spellEnd"/>
      <w:r w:rsidRPr="00C20DA2">
        <w:rPr>
          <w:i/>
        </w:rPr>
        <w:t xml:space="preserve"> </w:t>
      </w:r>
      <w:r w:rsidRPr="00C20DA2">
        <w:t xml:space="preserve">in Greek, </w:t>
      </w:r>
      <w:proofErr w:type="spellStart"/>
      <w:r w:rsidRPr="00C20DA2">
        <w:t>which</w:t>
      </w:r>
      <w:proofErr w:type="spellEnd"/>
      <w:r w:rsidRPr="00C20DA2">
        <w:t xml:space="preserve"> lies behind the Latin </w:t>
      </w:r>
      <w:proofErr w:type="spellStart"/>
      <w:r w:rsidRPr="00C20DA2">
        <w:t>term</w:t>
      </w:r>
      <w:proofErr w:type="spellEnd"/>
      <w:r w:rsidRPr="00C20DA2">
        <w:t xml:space="preserve"> </w:t>
      </w:r>
      <w:proofErr w:type="spellStart"/>
      <w:r w:rsidRPr="00C20DA2">
        <w:rPr>
          <w:i/>
        </w:rPr>
        <w:t>sacramentum</w:t>
      </w:r>
      <w:proofErr w:type="spellEnd"/>
      <w:r w:rsidRPr="00C20DA2">
        <w:rPr>
          <w:i/>
        </w:rPr>
        <w:t>.</w:t>
      </w:r>
    </w:p>
  </w:footnote>
  <w:footnote w:id="11">
    <w:p w:rsidR="000E6BAD" w:rsidRPr="00466CFB" w:rsidRDefault="000E6BAD" w:rsidP="003F16E2">
      <w:pPr>
        <w:pStyle w:val="Notedebasdepage"/>
        <w:spacing w:line="240" w:lineRule="auto"/>
        <w:rPr>
          <w:lang w:val="en-US"/>
        </w:rPr>
      </w:pPr>
      <w:r w:rsidRPr="00DD4E31">
        <w:rPr>
          <w:rStyle w:val="Appelnotedebasdep"/>
        </w:rPr>
        <w:footnoteRef/>
      </w:r>
      <w:r w:rsidRPr="00466CFB">
        <w:rPr>
          <w:lang w:val="en-US"/>
        </w:rPr>
        <w:t xml:space="preserve"> </w:t>
      </w:r>
      <w:proofErr w:type="spellStart"/>
      <w:r w:rsidRPr="00466CFB">
        <w:rPr>
          <w:smallCaps/>
          <w:lang w:val="en-US"/>
        </w:rPr>
        <w:t>Mouroux</w:t>
      </w:r>
      <w:proofErr w:type="spellEnd"/>
      <w:r w:rsidRPr="00466CFB">
        <w:rPr>
          <w:lang w:val="en-US"/>
        </w:rPr>
        <w:t xml:space="preserve">, </w:t>
      </w:r>
      <w:proofErr w:type="spellStart"/>
      <w:r w:rsidRPr="00466CFB">
        <w:rPr>
          <w:i/>
          <w:lang w:val="en-US"/>
        </w:rPr>
        <w:t>L’expérience</w:t>
      </w:r>
      <w:proofErr w:type="spellEnd"/>
      <w:r w:rsidRPr="00466CFB">
        <w:rPr>
          <w:i/>
          <w:lang w:val="en-US"/>
        </w:rPr>
        <w:t xml:space="preserve"> </w:t>
      </w:r>
      <w:proofErr w:type="spellStart"/>
      <w:r w:rsidRPr="00466CFB">
        <w:rPr>
          <w:i/>
          <w:lang w:val="en-US"/>
        </w:rPr>
        <w:t>chrétienne</w:t>
      </w:r>
      <w:proofErr w:type="spellEnd"/>
      <w:r w:rsidRPr="00466CFB">
        <w:rPr>
          <w:lang w:val="en-US"/>
        </w:rPr>
        <w:t xml:space="preserve">. Here translation from the French (p. 191), and not from the book in </w:t>
      </w:r>
      <w:proofErr w:type="spellStart"/>
      <w:proofErr w:type="gramStart"/>
      <w:r w:rsidRPr="00466CFB">
        <w:rPr>
          <w:lang w:val="en-US"/>
        </w:rPr>
        <w:t>english</w:t>
      </w:r>
      <w:proofErr w:type="spellEnd"/>
      <w:proofErr w:type="gramEnd"/>
      <w:r w:rsidRPr="00466CFB">
        <w:rPr>
          <w:lang w:val="en-US"/>
        </w:rPr>
        <w:t>.</w:t>
      </w:r>
    </w:p>
  </w:footnote>
  <w:footnote w:id="12">
    <w:p w:rsidR="00BB3FE8" w:rsidRPr="001A4EFE" w:rsidRDefault="00BB3FE8" w:rsidP="003F16E2">
      <w:pPr>
        <w:pStyle w:val="Notedebasdepage"/>
        <w:spacing w:line="240" w:lineRule="auto"/>
      </w:pPr>
      <w:r>
        <w:rPr>
          <w:rStyle w:val="Appelnotedebasdep"/>
        </w:rPr>
        <w:footnoteRef/>
      </w:r>
      <w:r>
        <w:t xml:space="preserve"> Session II : Scriptural </w:t>
      </w:r>
      <w:proofErr w:type="spellStart"/>
      <w:r>
        <w:t>Methodology</w:t>
      </w:r>
      <w:proofErr w:type="spellEnd"/>
      <w:r>
        <w:t xml:space="preserve">. </w:t>
      </w:r>
    </w:p>
  </w:footnote>
  <w:footnote w:id="13">
    <w:p w:rsidR="00BB3FE8" w:rsidRPr="003721C4" w:rsidRDefault="00BB3FE8" w:rsidP="003F16E2">
      <w:pPr>
        <w:pStyle w:val="Notedebasdepage"/>
        <w:spacing w:line="240" w:lineRule="auto"/>
        <w:rPr>
          <w:lang w:val="fr-BE"/>
        </w:rPr>
      </w:pPr>
      <w:r>
        <w:rPr>
          <w:rStyle w:val="Appelnotedebasdep"/>
        </w:rPr>
        <w:footnoteRef/>
      </w:r>
      <w:r w:rsidRPr="003721C4">
        <w:rPr>
          <w:lang w:val="fr-BE"/>
        </w:rPr>
        <w:t xml:space="preserve"> </w:t>
      </w:r>
      <w:r w:rsidRPr="003721C4">
        <w:rPr>
          <w:smallCaps/>
        </w:rPr>
        <w:t>Commission biblique pontificale</w:t>
      </w:r>
      <w:r w:rsidRPr="003721C4">
        <w:rPr>
          <w:lang w:val="fr-BE"/>
        </w:rPr>
        <w:t xml:space="preserve">, </w:t>
      </w:r>
      <w:r>
        <w:rPr>
          <w:i/>
        </w:rPr>
        <w:t>L’interprétation de la Bible dans l’Église</w:t>
      </w:r>
      <w:r>
        <w:t>,</w:t>
      </w:r>
      <w:r w:rsidRPr="003721C4">
        <w:rPr>
          <w:lang w:val="fr-BE"/>
        </w:rPr>
        <w:t xml:space="preserve"> Paris, Cerf, 1994.</w:t>
      </w:r>
    </w:p>
  </w:footnote>
  <w:footnote w:id="14">
    <w:p w:rsidR="00BB3FE8" w:rsidRPr="00C20DA2" w:rsidRDefault="00BB3FE8" w:rsidP="003F16E2">
      <w:pPr>
        <w:pStyle w:val="Notedebasdepage"/>
        <w:spacing w:line="240" w:lineRule="auto"/>
      </w:pPr>
      <w:r w:rsidRPr="00DD4E31">
        <w:rPr>
          <w:rStyle w:val="Appelnotedebasdep"/>
        </w:rPr>
        <w:footnoteRef/>
      </w:r>
      <w:r w:rsidRPr="00466CFB">
        <w:rPr>
          <w:lang w:val="en-US"/>
        </w:rPr>
        <w:t xml:space="preserve"> </w:t>
      </w:r>
      <w:r w:rsidRPr="00466CFB">
        <w:rPr>
          <w:smallCaps/>
          <w:lang w:val="en-US"/>
        </w:rPr>
        <w:t>World Council of Churches. Faith and Order</w:t>
      </w:r>
      <w:r w:rsidRPr="00466CFB">
        <w:rPr>
          <w:lang w:val="en-US"/>
        </w:rPr>
        <w:t xml:space="preserve">, The Nature and Purpose of the Church: A Stage on the Way to a Common Statement, Faith and Order Paper no. 181, Geneva, WCC/Faith and Order, 1998,  n° 98-100  Now superseded by The Nature and Mission of the Church, Faith and Order Paper no. 198, issued in 2005. </w:t>
      </w:r>
      <w:r w:rsidRPr="00466CFB">
        <w:rPr>
          <w:smallCaps/>
          <w:lang w:val="en-US"/>
        </w:rPr>
        <w:t>International Theological Commission</w:t>
      </w:r>
      <w:r w:rsidRPr="00466CFB">
        <w:rPr>
          <w:lang w:val="en-US"/>
        </w:rPr>
        <w:t xml:space="preserve">, </w:t>
      </w:r>
      <w:proofErr w:type="spellStart"/>
      <w:r w:rsidRPr="00466CFB">
        <w:rPr>
          <w:lang w:val="en-US"/>
        </w:rPr>
        <w:t>Sensus</w:t>
      </w:r>
      <w:proofErr w:type="spellEnd"/>
      <w:r w:rsidRPr="00466CFB">
        <w:rPr>
          <w:lang w:val="en-US"/>
        </w:rPr>
        <w:t xml:space="preserve"> </w:t>
      </w:r>
      <w:proofErr w:type="spellStart"/>
      <w:r w:rsidRPr="00466CFB">
        <w:rPr>
          <w:lang w:val="en-US"/>
        </w:rPr>
        <w:t>fidei</w:t>
      </w:r>
      <w:proofErr w:type="spellEnd"/>
      <w:r w:rsidRPr="00466CFB">
        <w:rPr>
          <w:lang w:val="en-US"/>
        </w:rPr>
        <w:t xml:space="preserve"> in the Life of Church, 2014, on the website of the Vatican. I quote here the definition of Faith and Order no </w:t>
      </w:r>
      <w:proofErr w:type="gramStart"/>
      <w:r w:rsidRPr="00466CFB">
        <w:rPr>
          <w:lang w:val="en-US"/>
        </w:rPr>
        <w:t>181 :</w:t>
      </w:r>
      <w:proofErr w:type="gramEnd"/>
      <w:r w:rsidRPr="00466CFB">
        <w:rPr>
          <w:lang w:val="en-US"/>
        </w:rPr>
        <w:t xml:space="preserve"> « 99. </w:t>
      </w:r>
      <w:r w:rsidRPr="00C20DA2">
        <w:t xml:space="preserve">The </w:t>
      </w:r>
      <w:proofErr w:type="spellStart"/>
      <w:r w:rsidRPr="00C20DA2">
        <w:t>sensus</w:t>
      </w:r>
      <w:proofErr w:type="spellEnd"/>
      <w:r w:rsidRPr="00C20DA2">
        <w:t xml:space="preserve"> – a kind of spiritual perception, sense, discernment (flair) – is the fruit of the indwelling of the Holy Spirit by </w:t>
      </w:r>
      <w:proofErr w:type="spellStart"/>
      <w:r w:rsidRPr="00C20DA2">
        <w:t>which</w:t>
      </w:r>
      <w:proofErr w:type="spellEnd"/>
      <w:r w:rsidRPr="00C20DA2">
        <w:t xml:space="preserve"> </w:t>
      </w:r>
      <w:proofErr w:type="spellStart"/>
      <w:r w:rsidRPr="00C20DA2">
        <w:t>baptised</w:t>
      </w:r>
      <w:proofErr w:type="spellEnd"/>
      <w:r w:rsidRPr="00C20DA2">
        <w:t xml:space="preserve"> </w:t>
      </w:r>
      <w:proofErr w:type="spellStart"/>
      <w:r w:rsidRPr="00C20DA2">
        <w:t>believers</w:t>
      </w:r>
      <w:proofErr w:type="spellEnd"/>
      <w:r w:rsidRPr="00C20DA2">
        <w:t xml:space="preserve"> are </w:t>
      </w:r>
      <w:proofErr w:type="spellStart"/>
      <w:r w:rsidRPr="00C20DA2">
        <w:t>enabled</w:t>
      </w:r>
      <w:proofErr w:type="spellEnd"/>
      <w:r w:rsidRPr="00C20DA2">
        <w:t xml:space="preserve"> to recognize what is, or is not, an authentic echo of the voice of Christ in the teaching of the community; what is, or is not, in harmony with the truth of the Gospel. The </w:t>
      </w:r>
      <w:proofErr w:type="spellStart"/>
      <w:r w:rsidRPr="00C20DA2">
        <w:t>sensus</w:t>
      </w:r>
      <w:proofErr w:type="spellEnd"/>
      <w:r w:rsidRPr="00C20DA2">
        <w:t xml:space="preserve"> </w:t>
      </w:r>
      <w:proofErr w:type="spellStart"/>
      <w:r w:rsidRPr="00C20DA2">
        <w:t>fidelium</w:t>
      </w:r>
      <w:proofErr w:type="spellEnd"/>
      <w:r w:rsidRPr="00C20DA2">
        <w:t xml:space="preserve"> – the expression of </w:t>
      </w:r>
      <w:proofErr w:type="spellStart"/>
      <w:r w:rsidRPr="00C20DA2">
        <w:t>this</w:t>
      </w:r>
      <w:proofErr w:type="spellEnd"/>
      <w:r w:rsidRPr="00C20DA2">
        <w:t xml:space="preserve"> </w:t>
      </w:r>
      <w:proofErr w:type="spellStart"/>
      <w:r w:rsidRPr="00C20DA2">
        <w:t>sensus</w:t>
      </w:r>
      <w:proofErr w:type="spellEnd"/>
      <w:r w:rsidRPr="00C20DA2">
        <w:t xml:space="preserve"> </w:t>
      </w:r>
      <w:proofErr w:type="spellStart"/>
      <w:r w:rsidRPr="00C20DA2">
        <w:t>fidei</w:t>
      </w:r>
      <w:proofErr w:type="spellEnd"/>
      <w:r w:rsidRPr="00C20DA2">
        <w:t xml:space="preserve"> by all the members – is an essential element in the discernment, reception and articulation of Christian faith. »</w:t>
      </w:r>
    </w:p>
  </w:footnote>
  <w:footnote w:id="15">
    <w:p w:rsidR="00875C1C" w:rsidRPr="00C20DA2" w:rsidRDefault="00875C1C" w:rsidP="003F16E2">
      <w:pPr>
        <w:pStyle w:val="Notedebasdepage"/>
        <w:spacing w:line="240" w:lineRule="auto"/>
      </w:pPr>
      <w:r>
        <w:rPr>
          <w:rStyle w:val="Appelnotedebasdep"/>
        </w:rPr>
        <w:footnoteRef/>
      </w:r>
      <w:r w:rsidRPr="00C20DA2">
        <w:t xml:space="preserve"> </w:t>
      </w:r>
      <w:proofErr w:type="spellStart"/>
      <w:r w:rsidRPr="00C20DA2">
        <w:t>See</w:t>
      </w:r>
      <w:proofErr w:type="spellEnd"/>
      <w:r w:rsidRPr="00C20DA2">
        <w:t xml:space="preserve"> Louis-Marie </w:t>
      </w:r>
      <w:r w:rsidRPr="00C20DA2">
        <w:rPr>
          <w:smallCaps/>
        </w:rPr>
        <w:t>Chauvet</w:t>
      </w:r>
      <w:r w:rsidRPr="00C20DA2">
        <w:t xml:space="preserve">, </w:t>
      </w:r>
      <w:r w:rsidRPr="00C20DA2">
        <w:rPr>
          <w:i/>
        </w:rPr>
        <w:t xml:space="preserve">Symbol and </w:t>
      </w:r>
      <w:proofErr w:type="spellStart"/>
      <w:r w:rsidRPr="00C20DA2">
        <w:rPr>
          <w:i/>
        </w:rPr>
        <w:t>sacrament</w:t>
      </w:r>
      <w:proofErr w:type="spellEnd"/>
      <w:r w:rsidRPr="00C20DA2">
        <w:rPr>
          <w:i/>
        </w:rPr>
        <w:t xml:space="preserve"> : a sacramental reinterpretation of Christian </w:t>
      </w:r>
      <w:proofErr w:type="gramStart"/>
      <w:r w:rsidRPr="00C20DA2">
        <w:rPr>
          <w:i/>
        </w:rPr>
        <w:t>existence</w:t>
      </w:r>
      <w:r w:rsidRPr="00C20DA2">
        <w:t xml:space="preserve">,   </w:t>
      </w:r>
      <w:proofErr w:type="gramEnd"/>
      <w:r w:rsidRPr="00C20DA2">
        <w:t xml:space="preserve">       Collegeville, Minn., Liturgical </w:t>
      </w:r>
      <w:proofErr w:type="spellStart"/>
      <w:r w:rsidRPr="00C20DA2">
        <w:t>Press</w:t>
      </w:r>
      <w:proofErr w:type="spellEnd"/>
      <w:r w:rsidRPr="00C20DA2">
        <w:t>, 1995 [french, 1987].</w:t>
      </w:r>
    </w:p>
  </w:footnote>
  <w:footnote w:id="16">
    <w:p w:rsidR="00A854EA" w:rsidRPr="00A854EA" w:rsidRDefault="00A854EA" w:rsidP="003F16E2">
      <w:pPr>
        <w:pStyle w:val="Notedebasdepage"/>
        <w:spacing w:line="240" w:lineRule="auto"/>
        <w:rPr>
          <w:lang w:val="en-US"/>
        </w:rPr>
      </w:pPr>
      <w:r>
        <w:rPr>
          <w:rStyle w:val="Appelnotedebasdep"/>
        </w:rPr>
        <w:footnoteRef/>
      </w:r>
      <w:r w:rsidRPr="00A854EA">
        <w:rPr>
          <w:lang w:val="en-US"/>
        </w:rPr>
        <w:t xml:space="preserve"> </w:t>
      </w:r>
      <w:r>
        <w:rPr>
          <w:rStyle w:val="tlid-translation"/>
          <w:lang w:val="en"/>
        </w:rPr>
        <w:t xml:space="preserve">We could add the Belgian Dominican Edward Schillebeeckx (1914-2009), who also builds his ecclesiology on the notion of the sacrament, concretely on the diptych Christ-sacrament of God and Church-sacrament of the celestial Christ. </w:t>
      </w:r>
    </w:p>
  </w:footnote>
  <w:footnote w:id="17">
    <w:p w:rsidR="00A854EA" w:rsidRPr="00946A74" w:rsidRDefault="00A854EA" w:rsidP="003F16E2">
      <w:pPr>
        <w:pStyle w:val="Notedebasdepage"/>
        <w:spacing w:line="240" w:lineRule="auto"/>
      </w:pPr>
      <w:r>
        <w:rPr>
          <w:rStyle w:val="Appelnotedebasdep"/>
        </w:rPr>
        <w:footnoteRef/>
      </w:r>
      <w:r w:rsidRPr="00946A74">
        <w:t xml:space="preserve"> In french, I </w:t>
      </w:r>
      <w:proofErr w:type="spellStart"/>
      <w:r w:rsidRPr="00946A74">
        <w:t>quote</w:t>
      </w:r>
      <w:proofErr w:type="spellEnd"/>
      <w:r w:rsidRPr="00946A74">
        <w:t xml:space="preserve"> </w:t>
      </w:r>
      <w:proofErr w:type="spellStart"/>
      <w:r w:rsidRPr="00946A74">
        <w:t>two</w:t>
      </w:r>
      <w:proofErr w:type="spellEnd"/>
      <w:r w:rsidRPr="00946A74">
        <w:t xml:space="preserve"> PhD Dissertations: </w:t>
      </w:r>
      <w:r w:rsidRPr="003B2FA8">
        <w:t>Jea</w:t>
      </w:r>
      <w:r>
        <w:t>n</w:t>
      </w:r>
      <w:r w:rsidRPr="003B2FA8">
        <w:t>-M</w:t>
      </w:r>
      <w:r>
        <w:t>arie</w:t>
      </w:r>
      <w:r w:rsidRPr="003B2FA8">
        <w:t xml:space="preserve"> </w:t>
      </w:r>
      <w:r w:rsidRPr="003B2FA8">
        <w:rPr>
          <w:smallCaps/>
        </w:rPr>
        <w:t>Pasquier</w:t>
      </w:r>
      <w:r w:rsidRPr="003B2FA8">
        <w:t>, L’Église comme sacrement</w:t>
      </w:r>
      <w:r>
        <w:t>. L</w:t>
      </w:r>
      <w:r w:rsidRPr="003B2FA8">
        <w:t>e développement de l'</w:t>
      </w:r>
      <w:proofErr w:type="spellStart"/>
      <w:r w:rsidRPr="003B2FA8">
        <w:t>idée</w:t>
      </w:r>
      <w:proofErr w:type="spellEnd"/>
      <w:r w:rsidRPr="003B2FA8">
        <w:t xml:space="preserve"> sacramentelle de l'</w:t>
      </w:r>
      <w:proofErr w:type="spellStart"/>
      <w:r w:rsidRPr="003B2FA8">
        <w:t>Église</w:t>
      </w:r>
      <w:proofErr w:type="spellEnd"/>
      <w:r w:rsidRPr="003B2FA8">
        <w:t xml:space="preserve"> de </w:t>
      </w:r>
      <w:proofErr w:type="spellStart"/>
      <w:r w:rsidRPr="003B2FA8">
        <w:t>Moehler</w:t>
      </w:r>
      <w:proofErr w:type="spellEnd"/>
      <w:r w:rsidRPr="003B2FA8">
        <w:t xml:space="preserve"> à Vatican II, </w:t>
      </w:r>
      <w:r>
        <w:t xml:space="preserve">Fribourg, </w:t>
      </w:r>
      <w:proofErr w:type="spellStart"/>
      <w:r>
        <w:t>Academic</w:t>
      </w:r>
      <w:proofErr w:type="spellEnd"/>
      <w:r>
        <w:t xml:space="preserve"> </w:t>
      </w:r>
      <w:proofErr w:type="spellStart"/>
      <w:r>
        <w:t>Press</w:t>
      </w:r>
      <w:proofErr w:type="spellEnd"/>
      <w:r>
        <w:t xml:space="preserve">, 2008 ; Serge </w:t>
      </w:r>
      <w:proofErr w:type="spellStart"/>
      <w:r w:rsidRPr="00946A74">
        <w:rPr>
          <w:smallCaps/>
        </w:rPr>
        <w:t>Maucq</w:t>
      </w:r>
      <w:proofErr w:type="spellEnd"/>
      <w:r>
        <w:t xml:space="preserve">, </w:t>
      </w:r>
      <w:r w:rsidRPr="00946A74">
        <w:t>L’Église catholique en occident francophone, “minorité” dans la société et signe du Royaume de Dieu pour toute l’humanité</w:t>
      </w:r>
      <w:r>
        <w:t xml:space="preserve">, Université catholique de Louvain, Louvain-la-Neuve, </w:t>
      </w:r>
      <w:r w:rsidRPr="00946A74">
        <w:t>2013</w:t>
      </w:r>
      <w:r>
        <w:t>.</w:t>
      </w:r>
      <w:r w:rsidRPr="00946A74">
        <w:t xml:space="preserve"> </w:t>
      </w:r>
      <w:r>
        <w:t xml:space="preserve"> </w:t>
      </w:r>
    </w:p>
  </w:footnote>
  <w:footnote w:id="18">
    <w:p w:rsidR="00C20DA2" w:rsidRPr="00C20DA2" w:rsidRDefault="00C20DA2" w:rsidP="003F16E2">
      <w:pPr>
        <w:pStyle w:val="Notedebasdepage"/>
        <w:spacing w:line="240" w:lineRule="auto"/>
      </w:pPr>
      <w:r w:rsidRPr="005D7698">
        <w:rPr>
          <w:rStyle w:val="Appelnotedebasdep"/>
        </w:rPr>
        <w:footnoteRef/>
      </w:r>
      <w:r w:rsidRPr="002B4351">
        <w:rPr>
          <w:lang w:val="de-DE"/>
        </w:rPr>
        <w:t xml:space="preserve"> O. </w:t>
      </w:r>
      <w:r w:rsidRPr="002B4351">
        <w:rPr>
          <w:smallCaps/>
          <w:lang w:val="de-DE"/>
        </w:rPr>
        <w:t>Semmelroth</w:t>
      </w:r>
      <w:r w:rsidRPr="002B4351">
        <w:rPr>
          <w:lang w:val="de-DE"/>
        </w:rPr>
        <w:t xml:space="preserve">, </w:t>
      </w:r>
      <w:r w:rsidRPr="002B4351">
        <w:rPr>
          <w:i/>
          <w:lang w:val="de-DE"/>
        </w:rPr>
        <w:t>Die</w:t>
      </w:r>
      <w:r w:rsidRPr="002B4351">
        <w:rPr>
          <w:lang w:val="de-DE"/>
        </w:rPr>
        <w:t xml:space="preserve"> </w:t>
      </w:r>
      <w:r w:rsidRPr="002B4351">
        <w:rPr>
          <w:i/>
          <w:lang w:val="de-DE"/>
        </w:rPr>
        <w:t xml:space="preserve">Kirche als Ursakrament, </w:t>
      </w:r>
      <w:r w:rsidRPr="002B4351">
        <w:rPr>
          <w:lang w:val="de-DE"/>
        </w:rPr>
        <w:t>Frankfurt, Knecht,</w:t>
      </w:r>
      <w:r w:rsidRPr="002B4351">
        <w:rPr>
          <w:i/>
          <w:lang w:val="de-DE"/>
        </w:rPr>
        <w:t xml:space="preserve"> </w:t>
      </w:r>
      <w:r>
        <w:rPr>
          <w:lang w:val="de-DE"/>
        </w:rPr>
        <w:t>1953</w:t>
      </w:r>
      <w:r w:rsidRPr="00C20DA2">
        <w:t>.</w:t>
      </w:r>
      <w:r>
        <w:t xml:space="preserve"> There is no translation in English, but in French:</w:t>
      </w:r>
      <w:r w:rsidRPr="00C20DA2">
        <w:t xml:space="preserve"> </w:t>
      </w:r>
      <w:r>
        <w:rPr>
          <w:i/>
        </w:rPr>
        <w:t>L’Église</w:t>
      </w:r>
      <w:r w:rsidRPr="00C20DA2">
        <w:rPr>
          <w:i/>
        </w:rPr>
        <w:t xml:space="preserve"> </w:t>
      </w:r>
      <w:r>
        <w:rPr>
          <w:i/>
        </w:rPr>
        <w:t>s</w:t>
      </w:r>
      <w:r w:rsidRPr="00C20DA2">
        <w:rPr>
          <w:i/>
        </w:rPr>
        <w:t>acrement de la rédemption</w:t>
      </w:r>
      <w:r w:rsidRPr="00C20DA2">
        <w:t xml:space="preserve">, Paris, Ed. Saint-Paul, 1962, p. 33. </w:t>
      </w:r>
      <w:r>
        <w:t xml:space="preserve">In English, there is only the little book </w:t>
      </w:r>
      <w:r>
        <w:rPr>
          <w:i/>
        </w:rPr>
        <w:t xml:space="preserve">Church and sacrament </w:t>
      </w:r>
      <w:r>
        <w:t xml:space="preserve">(1965), </w:t>
      </w:r>
      <w:proofErr w:type="spellStart"/>
      <w:r>
        <w:t>translated</w:t>
      </w:r>
      <w:proofErr w:type="spellEnd"/>
      <w:r>
        <w:t xml:space="preserve"> </w:t>
      </w:r>
      <w:proofErr w:type="spellStart"/>
      <w:r>
        <w:t>from</w:t>
      </w:r>
      <w:proofErr w:type="spellEnd"/>
      <w:r>
        <w:t xml:space="preserve"> </w:t>
      </w:r>
      <w:proofErr w:type="spellStart"/>
      <w:r>
        <w:rPr>
          <w:i/>
        </w:rPr>
        <w:t>Vom</w:t>
      </w:r>
      <w:proofErr w:type="spellEnd"/>
      <w:r>
        <w:rPr>
          <w:i/>
        </w:rPr>
        <w:t xml:space="preserve"> Sinn der </w:t>
      </w:r>
      <w:proofErr w:type="spellStart"/>
      <w:r>
        <w:rPr>
          <w:i/>
        </w:rPr>
        <w:t>Sakramente</w:t>
      </w:r>
      <w:proofErr w:type="spellEnd"/>
      <w:r>
        <w:rPr>
          <w:i/>
        </w:rPr>
        <w:t xml:space="preserve"> </w:t>
      </w:r>
      <w:r>
        <w:t>(1960).</w:t>
      </w:r>
    </w:p>
  </w:footnote>
  <w:footnote w:id="19">
    <w:p w:rsidR="00A854EA" w:rsidRPr="00C20DA2" w:rsidRDefault="00A854EA" w:rsidP="003F16E2">
      <w:pPr>
        <w:pStyle w:val="Notedebasdepage"/>
        <w:spacing w:line="240" w:lineRule="auto"/>
      </w:pPr>
      <w:r w:rsidRPr="005D7698">
        <w:rPr>
          <w:rStyle w:val="Appelnotedebasdep"/>
        </w:rPr>
        <w:footnoteRef/>
      </w:r>
      <w:r w:rsidRPr="002B4351">
        <w:rPr>
          <w:lang w:val="de-DE"/>
        </w:rPr>
        <w:t xml:space="preserve"> O. </w:t>
      </w:r>
      <w:r w:rsidRPr="002B4351">
        <w:rPr>
          <w:smallCaps/>
          <w:lang w:val="de-DE"/>
        </w:rPr>
        <w:t>Semmelroth</w:t>
      </w:r>
      <w:r w:rsidRPr="002B4351">
        <w:rPr>
          <w:lang w:val="de-DE"/>
        </w:rPr>
        <w:t xml:space="preserve">, </w:t>
      </w:r>
      <w:r w:rsidRPr="00C20DA2">
        <w:t xml:space="preserve">L’Église </w:t>
      </w:r>
      <w:r w:rsidR="00C20DA2">
        <w:t>s</w:t>
      </w:r>
      <w:r w:rsidRPr="00C20DA2">
        <w:t>acrement de la rédemption, p. 33.</w:t>
      </w:r>
    </w:p>
  </w:footnote>
  <w:footnote w:id="20">
    <w:p w:rsidR="00A854EA" w:rsidRPr="009919C8" w:rsidRDefault="00A854EA" w:rsidP="003F16E2">
      <w:pPr>
        <w:pStyle w:val="Notedebasdepage"/>
        <w:spacing w:line="240" w:lineRule="auto"/>
      </w:pPr>
      <w:r w:rsidRPr="005D7698">
        <w:rPr>
          <w:rStyle w:val="Appelnotedebasdep"/>
        </w:rPr>
        <w:footnoteRef/>
      </w:r>
      <w:r w:rsidRPr="009919C8">
        <w:t xml:space="preserve"> O. </w:t>
      </w:r>
      <w:proofErr w:type="spellStart"/>
      <w:r w:rsidRPr="009919C8">
        <w:rPr>
          <w:smallCaps/>
        </w:rPr>
        <w:t>Semmelroth</w:t>
      </w:r>
      <w:proofErr w:type="spellEnd"/>
      <w:r w:rsidR="009919C8" w:rsidRPr="009919C8">
        <w:t>,</w:t>
      </w:r>
      <w:r w:rsidRPr="009919C8">
        <w:t xml:space="preserve"> </w:t>
      </w:r>
      <w:r w:rsidR="009919C8" w:rsidRPr="00C20DA2">
        <w:t xml:space="preserve">L’Église </w:t>
      </w:r>
      <w:r w:rsidR="009919C8">
        <w:t>s</w:t>
      </w:r>
      <w:r w:rsidR="009919C8" w:rsidRPr="00C20DA2">
        <w:t xml:space="preserve">acrement de la rédemption, </w:t>
      </w:r>
      <w:r w:rsidR="009919C8" w:rsidRPr="009919C8">
        <w:t>p. 39</w:t>
      </w:r>
      <w:r w:rsidRPr="009919C8">
        <w:t>.</w:t>
      </w:r>
    </w:p>
  </w:footnote>
  <w:footnote w:id="21">
    <w:p w:rsidR="005834C8" w:rsidRPr="009919C8" w:rsidRDefault="005834C8" w:rsidP="003F16E2">
      <w:pPr>
        <w:pStyle w:val="Notedebasdepage"/>
        <w:spacing w:line="240" w:lineRule="auto"/>
      </w:pPr>
      <w:r w:rsidRPr="005D7698">
        <w:rPr>
          <w:rStyle w:val="Appelnotedebasdep"/>
        </w:rPr>
        <w:footnoteRef/>
      </w:r>
      <w:r w:rsidRPr="009919C8">
        <w:t xml:space="preserve"> O. </w:t>
      </w:r>
      <w:proofErr w:type="spellStart"/>
      <w:r w:rsidRPr="009919C8">
        <w:rPr>
          <w:smallCaps/>
        </w:rPr>
        <w:t>Semmelroth</w:t>
      </w:r>
      <w:proofErr w:type="spellEnd"/>
      <w:r w:rsidRPr="009919C8">
        <w:t xml:space="preserve">, </w:t>
      </w:r>
      <w:r w:rsidR="009919C8" w:rsidRPr="009919C8">
        <w:t xml:space="preserve">L’Église sacrement de la </w:t>
      </w:r>
      <w:proofErr w:type="spellStart"/>
      <w:r w:rsidR="009919C8" w:rsidRPr="009919C8">
        <w:t>redemption</w:t>
      </w:r>
      <w:proofErr w:type="spellEnd"/>
      <w:r w:rsidR="009919C8" w:rsidRPr="009919C8">
        <w:t xml:space="preserve">, </w:t>
      </w:r>
      <w:r w:rsidRPr="009919C8">
        <w:t>p. 113.</w:t>
      </w:r>
    </w:p>
  </w:footnote>
  <w:footnote w:id="22">
    <w:p w:rsidR="005834C8" w:rsidRPr="00C20DA2" w:rsidRDefault="005834C8" w:rsidP="003F16E2">
      <w:pPr>
        <w:pStyle w:val="Notedebasdepage"/>
        <w:spacing w:line="240" w:lineRule="auto"/>
      </w:pPr>
      <w:r w:rsidRPr="005D7698">
        <w:rPr>
          <w:rStyle w:val="Appelnotedebasdep"/>
        </w:rPr>
        <w:footnoteRef/>
      </w:r>
      <w:r w:rsidRPr="00C20DA2">
        <w:t xml:space="preserve"> J.-M. </w:t>
      </w:r>
      <w:r w:rsidRPr="00C20DA2">
        <w:rPr>
          <w:smallCaps/>
        </w:rPr>
        <w:t>Pasquier</w:t>
      </w:r>
      <w:r w:rsidRPr="00C20DA2">
        <w:t>, p. 126.</w:t>
      </w:r>
    </w:p>
  </w:footnote>
  <w:footnote w:id="23">
    <w:p w:rsidR="005834C8" w:rsidRPr="009919C8" w:rsidRDefault="005834C8" w:rsidP="003F16E2">
      <w:pPr>
        <w:pStyle w:val="Notedebasdepage"/>
        <w:spacing w:line="240" w:lineRule="auto"/>
      </w:pPr>
      <w:r w:rsidRPr="005D7698">
        <w:rPr>
          <w:rStyle w:val="Appelnotedebasdep"/>
        </w:rPr>
        <w:footnoteRef/>
      </w:r>
      <w:r w:rsidRPr="009919C8">
        <w:t xml:space="preserve"> O. </w:t>
      </w:r>
      <w:proofErr w:type="spellStart"/>
      <w:r w:rsidRPr="009919C8">
        <w:rPr>
          <w:smallCaps/>
        </w:rPr>
        <w:t>Semmelroth</w:t>
      </w:r>
      <w:proofErr w:type="spellEnd"/>
      <w:r w:rsidRPr="009919C8">
        <w:t xml:space="preserve">, </w:t>
      </w:r>
      <w:proofErr w:type="spellStart"/>
      <w:r w:rsidR="009919C8" w:rsidRPr="009919C8">
        <w:t>translated</w:t>
      </w:r>
      <w:proofErr w:type="spellEnd"/>
      <w:r w:rsidR="009919C8" w:rsidRPr="009919C8">
        <w:t xml:space="preserve"> </w:t>
      </w:r>
      <w:proofErr w:type="spellStart"/>
      <w:r w:rsidR="009919C8" w:rsidRPr="009919C8">
        <w:t>from</w:t>
      </w:r>
      <w:proofErr w:type="spellEnd"/>
      <w:r w:rsidR="009919C8" w:rsidRPr="009919C8">
        <w:t xml:space="preserve"> the french </w:t>
      </w:r>
      <w:r w:rsidR="009919C8" w:rsidRPr="009919C8">
        <w:rPr>
          <w:i/>
        </w:rPr>
        <w:t>L’Église sacrement de la rédemption</w:t>
      </w:r>
      <w:r w:rsidR="009919C8" w:rsidRPr="009919C8">
        <w:t xml:space="preserve">, </w:t>
      </w:r>
      <w:r w:rsidRPr="009919C8">
        <w:t>p. 134.</w:t>
      </w:r>
    </w:p>
  </w:footnote>
  <w:footnote w:id="24">
    <w:p w:rsidR="005834C8" w:rsidRPr="000F3A31" w:rsidRDefault="005834C8" w:rsidP="003F16E2">
      <w:pPr>
        <w:pStyle w:val="Notedebasdepage"/>
        <w:spacing w:line="240" w:lineRule="auto"/>
        <w:rPr>
          <w:lang w:val="fr-BE"/>
        </w:rPr>
      </w:pPr>
      <w:r w:rsidRPr="005D7698">
        <w:rPr>
          <w:rStyle w:val="Appelnotedebasdep"/>
        </w:rPr>
        <w:footnoteRef/>
      </w:r>
      <w:r w:rsidRPr="000F3A31">
        <w:rPr>
          <w:lang w:val="fr-BE"/>
        </w:rPr>
        <w:t xml:space="preserve"> </w:t>
      </w:r>
      <w:r w:rsidRPr="004B3344">
        <w:t>«</w:t>
      </w:r>
      <w:r w:rsidRPr="004B3344">
        <w:rPr>
          <w:i/>
        </w:rPr>
        <w:t> </w:t>
      </w:r>
      <w:r w:rsidRPr="004B3344">
        <w:t>Partout où elle se trouve, l’Église visible est comblée de la grâce de Dieu ; et là où les hommes se laissent saisir par l’Église exprimant cette volonté de salut, ils entrent en contact avec la grâce et le salut de Dieu. Inversement aussi, la volonté salvifique de Dieu s’est tellement liée à son expression ecclésiale qu’il n’y a “pas de salut hors de l’Église”. Cependant, cet engagement est un engagement libre du Dieu infini. Il n’est donc pas si absolu que Dieu ne puisse accorder son salut invisible à un homme en marge du salut visible exprimé par l’Église, s’il le veut ainsi pour des raisons dont il est le seul juge et qu’il ne nous a peut-être révélées qu’en partie. Il est tout à fait possible qu’un homme qui suit en tout la voix de sa conscience ait reçu la grâce de Dieu sans qu’elle lui ait été manifestée dans l’Église, et peut-être même sans qu’elle se soit fait sentir à lui »</w:t>
      </w:r>
      <w:r>
        <w:t xml:space="preserve"> </w:t>
      </w:r>
      <w:r w:rsidRPr="000F3A31">
        <w:rPr>
          <w:lang w:val="fr-BE"/>
        </w:rPr>
        <w:t xml:space="preserve">O. </w:t>
      </w:r>
      <w:proofErr w:type="spellStart"/>
      <w:r w:rsidRPr="000F3A31">
        <w:rPr>
          <w:smallCaps/>
          <w:lang w:val="fr-BE"/>
        </w:rPr>
        <w:t>Semmelroth</w:t>
      </w:r>
      <w:proofErr w:type="spellEnd"/>
      <w:r w:rsidRPr="000F3A31">
        <w:rPr>
          <w:lang w:val="fr-BE"/>
        </w:rPr>
        <w:t xml:space="preserve">, </w:t>
      </w:r>
      <w:r w:rsidR="009919C8" w:rsidRPr="009919C8">
        <w:rPr>
          <w:i/>
          <w:lang w:val="fr-BE"/>
        </w:rPr>
        <w:t>L’Église sacrement de la rédemption</w:t>
      </w:r>
      <w:r w:rsidR="009919C8">
        <w:rPr>
          <w:lang w:val="fr-BE" w:eastAsia="fr-BE"/>
        </w:rPr>
        <w:t xml:space="preserve">, </w:t>
      </w:r>
      <w:r>
        <w:rPr>
          <w:lang w:val="fr-BE" w:eastAsia="fr-BE"/>
        </w:rPr>
        <w:t>p. 95</w:t>
      </w:r>
      <w:r w:rsidRPr="000F3A31">
        <w:rPr>
          <w:lang w:val="fr-BE"/>
        </w:rPr>
        <w:t>.</w:t>
      </w:r>
    </w:p>
  </w:footnote>
  <w:footnote w:id="25">
    <w:p w:rsidR="005834C8" w:rsidRPr="000F3A31" w:rsidRDefault="005834C8" w:rsidP="003F16E2">
      <w:pPr>
        <w:pStyle w:val="Notedebasdepage"/>
        <w:spacing w:line="240" w:lineRule="auto"/>
        <w:rPr>
          <w:lang w:val="fr-BE"/>
        </w:rPr>
      </w:pPr>
      <w:r w:rsidRPr="005D7698">
        <w:rPr>
          <w:rStyle w:val="Appelnotedebasdep"/>
        </w:rPr>
        <w:footnoteRef/>
      </w:r>
      <w:r w:rsidRPr="000F3A31">
        <w:rPr>
          <w:lang w:val="fr-BE"/>
        </w:rPr>
        <w:t xml:space="preserve"> </w:t>
      </w:r>
      <w:r w:rsidRPr="004B3344">
        <w:t>« Il faut dire que l’appartenance de fait à l’Église visible</w:t>
      </w:r>
      <w:r>
        <w:t xml:space="preserve"> [catholique]</w:t>
      </w:r>
      <w:r w:rsidRPr="004B3344">
        <w:t xml:space="preserve"> est nécessaire. Cependant cette nécessité est caractérisée par une certaine relativité. Dans certaines circonstances, le contenu surnaturel exprimé visiblement par cette appartenance peut trouver sa réalité alors même que l’appartenance n’est qu’implicitement exprimée dans le désir</w:t>
      </w:r>
      <w:r>
        <w:t xml:space="preserve"> d’accomplir la volonté de Dieu. »</w:t>
      </w:r>
      <w:r w:rsidRPr="000F3A31">
        <w:rPr>
          <w:lang w:val="fr-BE"/>
        </w:rPr>
        <w:t xml:space="preserve"> O. </w:t>
      </w:r>
      <w:proofErr w:type="spellStart"/>
      <w:r w:rsidRPr="000F3A31">
        <w:rPr>
          <w:smallCaps/>
          <w:lang w:val="fr-BE"/>
        </w:rPr>
        <w:t>Semmelroth</w:t>
      </w:r>
      <w:proofErr w:type="spellEnd"/>
      <w:r w:rsidRPr="000F3A31">
        <w:rPr>
          <w:lang w:val="fr-BE"/>
        </w:rPr>
        <w:t xml:space="preserve">, </w:t>
      </w:r>
      <w:r w:rsidR="009919C8" w:rsidRPr="009919C8">
        <w:rPr>
          <w:i/>
          <w:lang w:val="fr-BE"/>
        </w:rPr>
        <w:t xml:space="preserve">L’Église sacrement de la </w:t>
      </w:r>
      <w:proofErr w:type="spellStart"/>
      <w:r w:rsidR="009919C8" w:rsidRPr="009919C8">
        <w:rPr>
          <w:i/>
          <w:lang w:val="fr-BE"/>
        </w:rPr>
        <w:t>redemption</w:t>
      </w:r>
      <w:proofErr w:type="spellEnd"/>
      <w:r w:rsidR="009919C8" w:rsidRPr="009919C8">
        <w:rPr>
          <w:lang w:val="fr-BE"/>
        </w:rPr>
        <w:t>,</w:t>
      </w:r>
      <w:r w:rsidR="009919C8">
        <w:rPr>
          <w:lang w:val="fr-BE" w:eastAsia="fr-BE"/>
        </w:rPr>
        <w:t xml:space="preserve"> </w:t>
      </w:r>
      <w:r>
        <w:rPr>
          <w:lang w:val="fr-BE" w:eastAsia="fr-BE"/>
        </w:rPr>
        <w:t>p. 97.</w:t>
      </w:r>
    </w:p>
  </w:footnote>
  <w:footnote w:id="26">
    <w:p w:rsidR="00421740" w:rsidRPr="00466CFB" w:rsidRDefault="00421740" w:rsidP="003F16E2">
      <w:pPr>
        <w:pStyle w:val="Notedebasdepage"/>
        <w:spacing w:line="240" w:lineRule="auto"/>
        <w:rPr>
          <w:lang w:val="en-US"/>
        </w:rPr>
      </w:pPr>
      <w:r w:rsidRPr="005D7698">
        <w:rPr>
          <w:rStyle w:val="Appelnotedebasdep"/>
        </w:rPr>
        <w:footnoteRef/>
      </w:r>
      <w:r w:rsidRPr="00466CFB">
        <w:rPr>
          <w:lang w:val="en-US"/>
        </w:rPr>
        <w:t xml:space="preserve"> K. </w:t>
      </w:r>
      <w:proofErr w:type="spellStart"/>
      <w:r w:rsidRPr="00466CFB">
        <w:rPr>
          <w:smallCaps/>
          <w:lang w:val="en-US"/>
        </w:rPr>
        <w:t>Rahner</w:t>
      </w:r>
      <w:proofErr w:type="spellEnd"/>
      <w:r w:rsidRPr="00466CFB">
        <w:rPr>
          <w:lang w:val="en-US"/>
        </w:rPr>
        <w:t xml:space="preserve">, </w:t>
      </w:r>
      <w:proofErr w:type="gramStart"/>
      <w:r w:rsidRPr="00466CFB">
        <w:rPr>
          <w:i/>
          <w:lang w:val="en-US"/>
        </w:rPr>
        <w:t>The</w:t>
      </w:r>
      <w:proofErr w:type="gramEnd"/>
      <w:r w:rsidRPr="00466CFB">
        <w:rPr>
          <w:i/>
          <w:lang w:val="en-US"/>
        </w:rPr>
        <w:t xml:space="preserve"> Church and the Sacraments</w:t>
      </w:r>
      <w:r w:rsidR="009919C8" w:rsidRPr="00466CFB">
        <w:rPr>
          <w:i/>
          <w:lang w:val="en-US"/>
        </w:rPr>
        <w:t xml:space="preserve"> </w:t>
      </w:r>
      <w:r w:rsidR="009919C8" w:rsidRPr="00466CFB">
        <w:rPr>
          <w:lang w:val="en-US"/>
        </w:rPr>
        <w:t>(</w:t>
      </w:r>
      <w:proofErr w:type="spellStart"/>
      <w:r w:rsidR="009919C8" w:rsidRPr="00466CFB">
        <w:rPr>
          <w:lang w:val="en-US"/>
        </w:rPr>
        <w:t>Quaestiones</w:t>
      </w:r>
      <w:proofErr w:type="spellEnd"/>
      <w:r w:rsidR="009919C8" w:rsidRPr="00466CFB">
        <w:rPr>
          <w:lang w:val="en-US"/>
        </w:rPr>
        <w:t xml:space="preserve"> </w:t>
      </w:r>
      <w:proofErr w:type="spellStart"/>
      <w:r w:rsidR="009919C8" w:rsidRPr="00466CFB">
        <w:rPr>
          <w:lang w:val="en-US"/>
        </w:rPr>
        <w:t>Disputatae</w:t>
      </w:r>
      <w:proofErr w:type="spellEnd"/>
      <w:r w:rsidR="009919C8" w:rsidRPr="00466CFB">
        <w:rPr>
          <w:lang w:val="en-US"/>
        </w:rPr>
        <w:t xml:space="preserve"> 9)</w:t>
      </w:r>
      <w:r w:rsidRPr="00466CFB">
        <w:rPr>
          <w:lang w:val="en-US"/>
        </w:rPr>
        <w:t xml:space="preserve">, </w:t>
      </w:r>
      <w:r w:rsidR="009919C8" w:rsidRPr="00466CFB">
        <w:rPr>
          <w:lang w:val="en-US"/>
        </w:rPr>
        <w:t xml:space="preserve">Freiburg, Herder; Edinburgh / London, Nelson, 1963, </w:t>
      </w:r>
      <w:r w:rsidRPr="00466CFB">
        <w:rPr>
          <w:lang w:val="en-US"/>
        </w:rPr>
        <w:t>p. 18.</w:t>
      </w:r>
    </w:p>
  </w:footnote>
  <w:footnote w:id="27">
    <w:p w:rsidR="00421740" w:rsidRPr="0082389C" w:rsidRDefault="00421740" w:rsidP="003F16E2">
      <w:pPr>
        <w:pStyle w:val="Notedebasdepage"/>
        <w:spacing w:line="240" w:lineRule="auto"/>
      </w:pPr>
      <w:r w:rsidRPr="005D7698">
        <w:rPr>
          <w:rStyle w:val="Appelnotedebasdep"/>
        </w:rPr>
        <w:footnoteRef/>
      </w:r>
      <w:r w:rsidRPr="0082389C">
        <w:t xml:space="preserve"> B. </w:t>
      </w:r>
      <w:proofErr w:type="spellStart"/>
      <w:r w:rsidRPr="0082389C">
        <w:rPr>
          <w:smallCaps/>
        </w:rPr>
        <w:t>Sesboüé</w:t>
      </w:r>
      <w:proofErr w:type="spellEnd"/>
      <w:r w:rsidRPr="0082389C">
        <w:t xml:space="preserve">, </w:t>
      </w:r>
      <w:r w:rsidRPr="0082389C">
        <w:rPr>
          <w:i/>
        </w:rPr>
        <w:t>Karl Rahner</w:t>
      </w:r>
      <w:r w:rsidRPr="0082389C">
        <w:t>, Paris, Cerf, 2001, p. 95.</w:t>
      </w:r>
    </w:p>
  </w:footnote>
  <w:footnote w:id="28">
    <w:p w:rsidR="00335108" w:rsidRPr="00466CFB" w:rsidRDefault="00335108" w:rsidP="003F16E2">
      <w:pPr>
        <w:pStyle w:val="Notedebasdepage"/>
        <w:spacing w:line="240" w:lineRule="auto"/>
        <w:rPr>
          <w:lang w:val="en-US"/>
        </w:rPr>
      </w:pPr>
      <w:r>
        <w:rPr>
          <w:rStyle w:val="Appelnotedebasdep"/>
        </w:rPr>
        <w:footnoteRef/>
      </w:r>
      <w:r w:rsidRPr="00466CFB">
        <w:rPr>
          <w:lang w:val="en-US"/>
        </w:rPr>
        <w:t xml:space="preserve"> </w:t>
      </w:r>
      <w:r w:rsidRPr="00466CFB">
        <w:rPr>
          <w:lang w:val="en-US"/>
        </w:rPr>
        <w:t xml:space="preserve">Like an echo to our three </w:t>
      </w:r>
      <w:proofErr w:type="spellStart"/>
      <w:r w:rsidRPr="00466CFB">
        <w:rPr>
          <w:lang w:val="en-US"/>
        </w:rPr>
        <w:t>ressources</w:t>
      </w:r>
      <w:proofErr w:type="spellEnd"/>
      <w:r w:rsidRPr="00466CFB">
        <w:rPr>
          <w:lang w:val="en-US"/>
        </w:rPr>
        <w:t> : Bible, worship and witnesses.</w:t>
      </w:r>
    </w:p>
  </w:footnote>
  <w:footnote w:id="29">
    <w:p w:rsidR="00335108" w:rsidRPr="00335108" w:rsidRDefault="00335108" w:rsidP="003F16E2">
      <w:pPr>
        <w:pStyle w:val="Notedebasdepage"/>
        <w:spacing w:line="240" w:lineRule="auto"/>
      </w:pPr>
      <w:r>
        <w:rPr>
          <w:rStyle w:val="Appelnotedebasdep"/>
        </w:rPr>
        <w:footnoteRef/>
      </w:r>
      <w:r w:rsidRPr="00335108">
        <w:t xml:space="preserve"> </w:t>
      </w:r>
      <w:proofErr w:type="spellStart"/>
      <w:r w:rsidRPr="00335108">
        <w:t>See</w:t>
      </w:r>
      <w:proofErr w:type="spellEnd"/>
      <w:r w:rsidRPr="00335108">
        <w:t xml:space="preserve"> ARCIC III, </w:t>
      </w:r>
      <w:proofErr w:type="spellStart"/>
      <w:r w:rsidRPr="00335108">
        <w:rPr>
          <w:i/>
        </w:rPr>
        <w:t>Walking</w:t>
      </w:r>
      <w:proofErr w:type="spellEnd"/>
      <w:r w:rsidRPr="00335108">
        <w:rPr>
          <w:i/>
        </w:rPr>
        <w:t xml:space="preserve"> </w:t>
      </w:r>
      <w:proofErr w:type="spellStart"/>
      <w:r w:rsidRPr="00335108">
        <w:rPr>
          <w:i/>
        </w:rPr>
        <w:t>together</w:t>
      </w:r>
      <w:proofErr w:type="spellEnd"/>
      <w:r w:rsidRPr="00335108">
        <w:rPr>
          <w:i/>
        </w:rPr>
        <w:t xml:space="preserve"> on the </w:t>
      </w:r>
      <w:proofErr w:type="spellStart"/>
      <w:r w:rsidRPr="00335108">
        <w:rPr>
          <w:i/>
        </w:rPr>
        <w:t>Way</w:t>
      </w:r>
      <w:proofErr w:type="spellEnd"/>
      <w:r>
        <w:t>, 2017 nr. 53 and 61.</w:t>
      </w:r>
    </w:p>
  </w:footnote>
  <w:footnote w:id="30">
    <w:p w:rsidR="006C0E5F" w:rsidRPr="00AF0D5F" w:rsidRDefault="006C0E5F" w:rsidP="003F16E2">
      <w:pPr>
        <w:pStyle w:val="Notedebasdepage"/>
        <w:spacing w:line="240" w:lineRule="auto"/>
      </w:pPr>
      <w:r>
        <w:rPr>
          <w:rStyle w:val="Appelnotedebasdep"/>
        </w:rPr>
        <w:footnoteRef/>
      </w:r>
      <w:r w:rsidRPr="00AF0D5F">
        <w:t xml:space="preserve"> </w:t>
      </w:r>
      <w:r>
        <w:t xml:space="preserve">“Summary of the Discussion “Where Do We Go From Here””, </w:t>
      </w:r>
      <w:r w:rsidRPr="00E95A8F">
        <w:t xml:space="preserve">in Malines Conversations Group, </w:t>
      </w:r>
      <w:r>
        <w:rPr>
          <w:i/>
        </w:rPr>
        <w:t xml:space="preserve">Papers &amp; Discussions. Cambridge, UK, March 19-23, 2017, </w:t>
      </w:r>
      <w:proofErr w:type="spellStart"/>
      <w:r>
        <w:t>Chevetogne</w:t>
      </w:r>
      <w:proofErr w:type="spellEnd"/>
      <w:r>
        <w:t>, 2018, p. 210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610C" w:rsidRPr="002C225C" w:rsidRDefault="0049610C" w:rsidP="002C225C">
    <w:pPr>
      <w:pStyle w:val="En-tte"/>
      <w:rPr>
        <w:sz w:val="20"/>
      </w:rPr>
    </w:pPr>
    <w:r w:rsidRPr="002C225C">
      <w:rPr>
        <w:sz w:val="20"/>
      </w:rPr>
      <w:t xml:space="preserve">Arnaud Join-Lambert, </w:t>
    </w:r>
    <w:r w:rsidR="00466CFB" w:rsidRPr="00796DB5">
      <w:rPr>
        <w:sz w:val="22"/>
      </w:rPr>
      <w:t>Baptism, Assembly, Ministry,</w:t>
    </w:r>
    <w:r w:rsidR="00466CFB">
      <w:rPr>
        <w:sz w:val="22"/>
      </w:rPr>
      <w:t xml:space="preserve"> in: </w:t>
    </w:r>
    <w:r w:rsidR="00466CFB" w:rsidRPr="00D475E9">
      <w:rPr>
        <w:smallCaps/>
        <w:sz w:val="22"/>
      </w:rPr>
      <w:t>Malines Conversations Group VII,</w:t>
    </w:r>
    <w:r w:rsidR="00466CFB">
      <w:rPr>
        <w:i/>
        <w:sz w:val="22"/>
      </w:rPr>
      <w:t xml:space="preserve"> Papers &amp; Discussions</w:t>
    </w:r>
    <w:r w:rsidR="00466CFB">
      <w:rPr>
        <w:sz w:val="22"/>
      </w:rPr>
      <w:t xml:space="preserve">, </w:t>
    </w:r>
    <w:r w:rsidR="00466CFB">
      <w:rPr>
        <w:i/>
        <w:sz w:val="22"/>
      </w:rPr>
      <w:t>York, UK, March 24.-28, 2019</w:t>
    </w:r>
    <w:r w:rsidR="00466CFB">
      <w:rPr>
        <w:sz w:val="22"/>
      </w:rPr>
      <w:t xml:space="preserve">, </w:t>
    </w:r>
    <w:proofErr w:type="spellStart"/>
    <w:r w:rsidR="00466CFB">
      <w:rPr>
        <w:sz w:val="22"/>
      </w:rPr>
      <w:t>Chevetogne</w:t>
    </w:r>
    <w:proofErr w:type="spellEnd"/>
    <w:r w:rsidR="00466CFB">
      <w:rPr>
        <w:sz w:val="22"/>
      </w:rPr>
      <w:t>, 2020, 55-84.</w:t>
    </w:r>
  </w:p>
  <w:p w:rsidR="0049610C" w:rsidRDefault="0049610C" w:rsidP="002C225C">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AD79F2"/>
    <w:multiLevelType w:val="hybridMultilevel"/>
    <w:tmpl w:val="7764B7FE"/>
    <w:lvl w:ilvl="0" w:tplc="3C3A0F3A">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73067E1C"/>
    <w:multiLevelType w:val="hybridMultilevel"/>
    <w:tmpl w:val="116E2AD4"/>
    <w:lvl w:ilvl="0" w:tplc="8918DD8E">
      <w:numFmt w:val="bullet"/>
      <w:lvlText w:val="•"/>
      <w:lvlJc w:val="left"/>
      <w:pPr>
        <w:ind w:left="1068" w:hanging="360"/>
      </w:pPr>
      <w:rPr>
        <w:rFonts w:ascii="Times New Roman" w:eastAsiaTheme="minorHAnsi" w:hAnsi="Times New Roman" w:cs="Times New Roman"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FA9"/>
    <w:rsid w:val="00011C10"/>
    <w:rsid w:val="000159C7"/>
    <w:rsid w:val="00032E75"/>
    <w:rsid w:val="00036F2B"/>
    <w:rsid w:val="00071C1A"/>
    <w:rsid w:val="000B1A3D"/>
    <w:rsid w:val="000C65D5"/>
    <w:rsid w:val="000D5102"/>
    <w:rsid w:val="000E2CF7"/>
    <w:rsid w:val="000E6BAD"/>
    <w:rsid w:val="00112A5C"/>
    <w:rsid w:val="00113D5B"/>
    <w:rsid w:val="00121DFE"/>
    <w:rsid w:val="00130FCE"/>
    <w:rsid w:val="00133098"/>
    <w:rsid w:val="001332D6"/>
    <w:rsid w:val="00141F50"/>
    <w:rsid w:val="001573B2"/>
    <w:rsid w:val="00163028"/>
    <w:rsid w:val="001726A2"/>
    <w:rsid w:val="00193883"/>
    <w:rsid w:val="001A5AB9"/>
    <w:rsid w:val="001B04EF"/>
    <w:rsid w:val="001B7962"/>
    <w:rsid w:val="001E0C45"/>
    <w:rsid w:val="001E5DFF"/>
    <w:rsid w:val="00207D5B"/>
    <w:rsid w:val="00225A94"/>
    <w:rsid w:val="002366D7"/>
    <w:rsid w:val="00244BFC"/>
    <w:rsid w:val="00262F14"/>
    <w:rsid w:val="0027722F"/>
    <w:rsid w:val="00284CC9"/>
    <w:rsid w:val="00294CBF"/>
    <w:rsid w:val="002B29AF"/>
    <w:rsid w:val="002C225C"/>
    <w:rsid w:val="002C2712"/>
    <w:rsid w:val="002F3862"/>
    <w:rsid w:val="00300119"/>
    <w:rsid w:val="00312993"/>
    <w:rsid w:val="00335108"/>
    <w:rsid w:val="0035142F"/>
    <w:rsid w:val="00365C11"/>
    <w:rsid w:val="003721C4"/>
    <w:rsid w:val="0039575B"/>
    <w:rsid w:val="003969A8"/>
    <w:rsid w:val="003A1B2B"/>
    <w:rsid w:val="003A22FE"/>
    <w:rsid w:val="003B7342"/>
    <w:rsid w:val="003E0287"/>
    <w:rsid w:val="003E5BE1"/>
    <w:rsid w:val="003F16E2"/>
    <w:rsid w:val="003F4E59"/>
    <w:rsid w:val="003F5B0E"/>
    <w:rsid w:val="003F6B6E"/>
    <w:rsid w:val="00404024"/>
    <w:rsid w:val="00411A5E"/>
    <w:rsid w:val="00421740"/>
    <w:rsid w:val="0046627A"/>
    <w:rsid w:val="00466CFB"/>
    <w:rsid w:val="00490114"/>
    <w:rsid w:val="0049610C"/>
    <w:rsid w:val="004E250E"/>
    <w:rsid w:val="004E25DC"/>
    <w:rsid w:val="0053198B"/>
    <w:rsid w:val="0054054C"/>
    <w:rsid w:val="00540D81"/>
    <w:rsid w:val="00582CA0"/>
    <w:rsid w:val="005834C8"/>
    <w:rsid w:val="00594DD5"/>
    <w:rsid w:val="00596E8F"/>
    <w:rsid w:val="005B6505"/>
    <w:rsid w:val="005C2089"/>
    <w:rsid w:val="005F20DF"/>
    <w:rsid w:val="0060234E"/>
    <w:rsid w:val="006132ED"/>
    <w:rsid w:val="006970C8"/>
    <w:rsid w:val="006A2188"/>
    <w:rsid w:val="006C0E5F"/>
    <w:rsid w:val="006C26EB"/>
    <w:rsid w:val="006D1FA3"/>
    <w:rsid w:val="006F2E85"/>
    <w:rsid w:val="006F4FA5"/>
    <w:rsid w:val="00705767"/>
    <w:rsid w:val="00733E18"/>
    <w:rsid w:val="00747493"/>
    <w:rsid w:val="00756C7C"/>
    <w:rsid w:val="00765924"/>
    <w:rsid w:val="007663C7"/>
    <w:rsid w:val="007A1CD3"/>
    <w:rsid w:val="007C18AD"/>
    <w:rsid w:val="007F2853"/>
    <w:rsid w:val="00800E0D"/>
    <w:rsid w:val="00806EEA"/>
    <w:rsid w:val="0082389C"/>
    <w:rsid w:val="00827DE9"/>
    <w:rsid w:val="00843C91"/>
    <w:rsid w:val="008602B0"/>
    <w:rsid w:val="00875C1C"/>
    <w:rsid w:val="00877A34"/>
    <w:rsid w:val="00884725"/>
    <w:rsid w:val="008908EB"/>
    <w:rsid w:val="008B2903"/>
    <w:rsid w:val="008B3353"/>
    <w:rsid w:val="008B3C15"/>
    <w:rsid w:val="008C40C6"/>
    <w:rsid w:val="008C4890"/>
    <w:rsid w:val="008C703A"/>
    <w:rsid w:val="008D3990"/>
    <w:rsid w:val="008D5CCD"/>
    <w:rsid w:val="008F0E11"/>
    <w:rsid w:val="0091502C"/>
    <w:rsid w:val="00932AB5"/>
    <w:rsid w:val="00946D2E"/>
    <w:rsid w:val="00971688"/>
    <w:rsid w:val="00977A08"/>
    <w:rsid w:val="00983F1F"/>
    <w:rsid w:val="009919C8"/>
    <w:rsid w:val="009946DD"/>
    <w:rsid w:val="009A2D01"/>
    <w:rsid w:val="009E197E"/>
    <w:rsid w:val="00A210B4"/>
    <w:rsid w:val="00A373D0"/>
    <w:rsid w:val="00A377B9"/>
    <w:rsid w:val="00A636E4"/>
    <w:rsid w:val="00A8388D"/>
    <w:rsid w:val="00A854EA"/>
    <w:rsid w:val="00B269C4"/>
    <w:rsid w:val="00B36239"/>
    <w:rsid w:val="00B4118D"/>
    <w:rsid w:val="00BB3FE8"/>
    <w:rsid w:val="00BB4A32"/>
    <w:rsid w:val="00BC7522"/>
    <w:rsid w:val="00BF18D6"/>
    <w:rsid w:val="00BF56E4"/>
    <w:rsid w:val="00C20DA2"/>
    <w:rsid w:val="00C23098"/>
    <w:rsid w:val="00C26B73"/>
    <w:rsid w:val="00C325BA"/>
    <w:rsid w:val="00C43A68"/>
    <w:rsid w:val="00C55452"/>
    <w:rsid w:val="00C63B21"/>
    <w:rsid w:val="00C755B4"/>
    <w:rsid w:val="00C77B6C"/>
    <w:rsid w:val="00CD0321"/>
    <w:rsid w:val="00CD6384"/>
    <w:rsid w:val="00CE2EBC"/>
    <w:rsid w:val="00CE3EFE"/>
    <w:rsid w:val="00CE43D5"/>
    <w:rsid w:val="00CE6C71"/>
    <w:rsid w:val="00D24C8E"/>
    <w:rsid w:val="00D310D0"/>
    <w:rsid w:val="00D57774"/>
    <w:rsid w:val="00D65369"/>
    <w:rsid w:val="00D668FC"/>
    <w:rsid w:val="00D71092"/>
    <w:rsid w:val="00D853FF"/>
    <w:rsid w:val="00D95D7D"/>
    <w:rsid w:val="00DB1A4B"/>
    <w:rsid w:val="00DC5B50"/>
    <w:rsid w:val="00E22E0A"/>
    <w:rsid w:val="00E45E98"/>
    <w:rsid w:val="00E46095"/>
    <w:rsid w:val="00E46FA9"/>
    <w:rsid w:val="00E70D93"/>
    <w:rsid w:val="00E8379B"/>
    <w:rsid w:val="00EA52A2"/>
    <w:rsid w:val="00ED367B"/>
    <w:rsid w:val="00EE421B"/>
    <w:rsid w:val="00F03D85"/>
    <w:rsid w:val="00F1026F"/>
    <w:rsid w:val="00F13654"/>
    <w:rsid w:val="00F3450C"/>
    <w:rsid w:val="00F40928"/>
    <w:rsid w:val="00F426AE"/>
    <w:rsid w:val="00F51820"/>
    <w:rsid w:val="00F649E7"/>
    <w:rsid w:val="00F8369F"/>
    <w:rsid w:val="00F9286B"/>
    <w:rsid w:val="00FA7356"/>
    <w:rsid w:val="00FB2F2C"/>
    <w:rsid w:val="00FB6494"/>
    <w:rsid w:val="00FF439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073474-8B1A-4A94-A477-9A78D9F0E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225C"/>
    <w:pPr>
      <w:ind w:firstLine="284"/>
      <w:jc w:val="both"/>
    </w:pPr>
    <w:rPr>
      <w:rFonts w:ascii="Times New Roman" w:hAnsi="Times New Roman" w:cs="Times New Roman"/>
      <w:sz w:val="24"/>
      <w:szCs w:val="28"/>
      <w:lang w:val="en-US"/>
    </w:rPr>
  </w:style>
  <w:style w:type="paragraph" w:styleId="Titre1">
    <w:name w:val="heading 1"/>
    <w:basedOn w:val="Paragraphedeliste"/>
    <w:next w:val="Normal"/>
    <w:link w:val="Titre1Car"/>
    <w:uiPriority w:val="9"/>
    <w:qFormat/>
    <w:rsid w:val="00EE421B"/>
    <w:pPr>
      <w:outlineLvl w:val="0"/>
    </w:pPr>
    <w:rPr>
      <w:b/>
      <w:i/>
      <w:sz w:val="28"/>
    </w:rPr>
  </w:style>
  <w:style w:type="paragraph" w:styleId="Titre2">
    <w:name w:val="heading 2"/>
    <w:basedOn w:val="Normal"/>
    <w:next w:val="Normal"/>
    <w:link w:val="Titre2Car"/>
    <w:uiPriority w:val="9"/>
    <w:unhideWhenUsed/>
    <w:qFormat/>
    <w:rsid w:val="0082389C"/>
    <w:pPr>
      <w:ind w:firstLine="708"/>
      <w:outlineLvl w:val="1"/>
    </w:pPr>
    <w:rPr>
      <w:b/>
    </w:rPr>
  </w:style>
  <w:style w:type="paragraph" w:styleId="Titre3">
    <w:name w:val="heading 3"/>
    <w:basedOn w:val="Normal"/>
    <w:next w:val="Normal"/>
    <w:link w:val="Titre3Car"/>
    <w:uiPriority w:val="9"/>
    <w:unhideWhenUsed/>
    <w:qFormat/>
    <w:rsid w:val="0082389C"/>
    <w:pPr>
      <w:ind w:firstLine="708"/>
      <w:outlineLvl w:val="2"/>
    </w:pPr>
    <w:rPr>
      <w:i/>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755B4"/>
    <w:pPr>
      <w:ind w:left="720"/>
      <w:contextualSpacing/>
    </w:pPr>
  </w:style>
  <w:style w:type="paragraph" w:styleId="En-tte">
    <w:name w:val="header"/>
    <w:basedOn w:val="Normal"/>
    <w:link w:val="En-tteCar"/>
    <w:unhideWhenUsed/>
    <w:rsid w:val="0049610C"/>
    <w:pPr>
      <w:tabs>
        <w:tab w:val="center" w:pos="4703"/>
        <w:tab w:val="right" w:pos="9406"/>
      </w:tabs>
      <w:spacing w:after="0" w:line="240" w:lineRule="auto"/>
    </w:pPr>
  </w:style>
  <w:style w:type="character" w:customStyle="1" w:styleId="En-tteCar">
    <w:name w:val="En-tête Car"/>
    <w:basedOn w:val="Policepardfaut"/>
    <w:link w:val="En-tte"/>
    <w:uiPriority w:val="99"/>
    <w:rsid w:val="0049610C"/>
  </w:style>
  <w:style w:type="paragraph" w:styleId="Pieddepage">
    <w:name w:val="footer"/>
    <w:basedOn w:val="Normal"/>
    <w:link w:val="PieddepageCar"/>
    <w:uiPriority w:val="99"/>
    <w:unhideWhenUsed/>
    <w:rsid w:val="0049610C"/>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49610C"/>
  </w:style>
  <w:style w:type="character" w:customStyle="1" w:styleId="Titre1Car">
    <w:name w:val="Titre 1 Car"/>
    <w:basedOn w:val="Policepardfaut"/>
    <w:link w:val="Titre1"/>
    <w:uiPriority w:val="9"/>
    <w:rsid w:val="00EE421B"/>
    <w:rPr>
      <w:rFonts w:ascii="Times New Roman" w:hAnsi="Times New Roman" w:cs="Times New Roman"/>
      <w:b/>
      <w:i/>
      <w:sz w:val="28"/>
      <w:szCs w:val="28"/>
      <w:lang w:val="en-US"/>
    </w:rPr>
  </w:style>
  <w:style w:type="character" w:customStyle="1" w:styleId="Titre2Car">
    <w:name w:val="Titre 2 Car"/>
    <w:basedOn w:val="Policepardfaut"/>
    <w:link w:val="Titre2"/>
    <w:uiPriority w:val="9"/>
    <w:rsid w:val="0082389C"/>
    <w:rPr>
      <w:rFonts w:ascii="Times New Roman" w:hAnsi="Times New Roman" w:cs="Times New Roman"/>
      <w:b/>
      <w:sz w:val="24"/>
      <w:szCs w:val="28"/>
      <w:lang w:val="en-US"/>
    </w:rPr>
  </w:style>
  <w:style w:type="character" w:customStyle="1" w:styleId="Titre3Car">
    <w:name w:val="Titre 3 Car"/>
    <w:basedOn w:val="Policepardfaut"/>
    <w:link w:val="Titre3"/>
    <w:uiPriority w:val="9"/>
    <w:rsid w:val="0082389C"/>
    <w:rPr>
      <w:rFonts w:ascii="Times New Roman" w:hAnsi="Times New Roman" w:cs="Times New Roman"/>
      <w:i/>
      <w:sz w:val="24"/>
      <w:szCs w:val="28"/>
      <w:lang w:val="en-US"/>
    </w:rPr>
  </w:style>
  <w:style w:type="paragraph" w:styleId="Citation">
    <w:name w:val="Quote"/>
    <w:basedOn w:val="Normal"/>
    <w:next w:val="Normal"/>
    <w:link w:val="CitationCar"/>
    <w:qFormat/>
    <w:rsid w:val="0082389C"/>
    <w:pPr>
      <w:spacing w:before="200" w:after="160"/>
      <w:ind w:left="864"/>
    </w:pPr>
    <w:rPr>
      <w:iCs/>
      <w:color w:val="404040" w:themeColor="text1" w:themeTint="BF"/>
    </w:rPr>
  </w:style>
  <w:style w:type="character" w:customStyle="1" w:styleId="CitationCar">
    <w:name w:val="Citation Car"/>
    <w:basedOn w:val="Policepardfaut"/>
    <w:link w:val="Citation"/>
    <w:rsid w:val="0082389C"/>
    <w:rPr>
      <w:rFonts w:ascii="Times New Roman" w:hAnsi="Times New Roman" w:cs="Times New Roman"/>
      <w:iCs/>
      <w:color w:val="404040" w:themeColor="text1" w:themeTint="BF"/>
      <w:sz w:val="24"/>
      <w:szCs w:val="28"/>
      <w:lang w:val="en-US"/>
    </w:rPr>
  </w:style>
  <w:style w:type="character" w:customStyle="1" w:styleId="tlid-translation">
    <w:name w:val="tlid-translation"/>
    <w:basedOn w:val="Policepardfaut"/>
    <w:rsid w:val="00EE421B"/>
  </w:style>
  <w:style w:type="character" w:styleId="Appelnotedebasdep">
    <w:name w:val="footnote reference"/>
    <w:aliases w:val="voetnoottekst"/>
    <w:uiPriority w:val="99"/>
    <w:rsid w:val="00EE421B"/>
    <w:rPr>
      <w:vertAlign w:val="superscript"/>
    </w:rPr>
  </w:style>
  <w:style w:type="paragraph" w:styleId="Notedebasdepage">
    <w:name w:val="footnote text"/>
    <w:aliases w:val="VR_Fußnotentext, Char,Char"/>
    <w:basedOn w:val="Normal"/>
    <w:link w:val="NotedebasdepageCar"/>
    <w:uiPriority w:val="99"/>
    <w:qFormat/>
    <w:rsid w:val="00EE421B"/>
    <w:pPr>
      <w:spacing w:after="60" w:line="300" w:lineRule="exact"/>
    </w:pPr>
    <w:rPr>
      <w:rFonts w:eastAsia="Times New Roman"/>
      <w:sz w:val="20"/>
      <w:szCs w:val="20"/>
      <w:lang w:val="fr-FR" w:eastAsia="fr-FR"/>
    </w:rPr>
  </w:style>
  <w:style w:type="character" w:customStyle="1" w:styleId="NotedebasdepageCar">
    <w:name w:val="Note de bas de page Car"/>
    <w:aliases w:val="VR_Fußnotentext Car, Char Car,Char Car"/>
    <w:basedOn w:val="Policepardfaut"/>
    <w:link w:val="Notedebasdepage"/>
    <w:uiPriority w:val="99"/>
    <w:rsid w:val="00EE421B"/>
    <w:rPr>
      <w:rFonts w:ascii="Times New Roman" w:eastAsia="Times New Roman" w:hAnsi="Times New Roman" w:cs="Times New Roman"/>
      <w:sz w:val="20"/>
      <w:szCs w:val="20"/>
      <w:lang w:val="fr-FR" w:eastAsia="fr-FR"/>
    </w:rPr>
  </w:style>
  <w:style w:type="paragraph" w:styleId="Titre">
    <w:name w:val="Title"/>
    <w:basedOn w:val="Normal"/>
    <w:next w:val="Normal"/>
    <w:link w:val="TitreCar"/>
    <w:uiPriority w:val="10"/>
    <w:qFormat/>
    <w:rsid w:val="00E46095"/>
    <w:pPr>
      <w:jc w:val="center"/>
    </w:pPr>
    <w:rPr>
      <w:b/>
      <w:sz w:val="32"/>
    </w:rPr>
  </w:style>
  <w:style w:type="character" w:customStyle="1" w:styleId="TitreCar">
    <w:name w:val="Titre Car"/>
    <w:basedOn w:val="Policepardfaut"/>
    <w:link w:val="Titre"/>
    <w:uiPriority w:val="10"/>
    <w:rsid w:val="00E46095"/>
    <w:rPr>
      <w:rFonts w:ascii="Times New Roman" w:hAnsi="Times New Roman" w:cs="Times New Roman"/>
      <w:b/>
      <w:sz w:val="32"/>
      <w:szCs w:val="28"/>
      <w:lang w:val="en-US"/>
    </w:rPr>
  </w:style>
  <w:style w:type="paragraph" w:styleId="TM1">
    <w:name w:val="toc 1"/>
    <w:basedOn w:val="Normal"/>
    <w:next w:val="Normal"/>
    <w:autoRedefine/>
    <w:uiPriority w:val="39"/>
    <w:unhideWhenUsed/>
    <w:rsid w:val="003F5B0E"/>
    <w:pPr>
      <w:spacing w:before="360" w:after="0"/>
      <w:jc w:val="left"/>
    </w:pPr>
    <w:rPr>
      <w:rFonts w:asciiTheme="majorHAnsi" w:hAnsiTheme="majorHAnsi"/>
      <w:b/>
      <w:bCs/>
      <w:caps/>
      <w:szCs w:val="24"/>
    </w:rPr>
  </w:style>
  <w:style w:type="paragraph" w:styleId="TM2">
    <w:name w:val="toc 2"/>
    <w:basedOn w:val="Normal"/>
    <w:next w:val="Normal"/>
    <w:autoRedefine/>
    <w:uiPriority w:val="39"/>
    <w:unhideWhenUsed/>
    <w:rsid w:val="003F5B0E"/>
    <w:pPr>
      <w:spacing w:before="240" w:after="0"/>
      <w:jc w:val="left"/>
    </w:pPr>
    <w:rPr>
      <w:rFonts w:asciiTheme="minorHAnsi" w:hAnsiTheme="minorHAnsi" w:cstheme="minorHAnsi"/>
      <w:b/>
      <w:bCs/>
      <w:sz w:val="20"/>
      <w:szCs w:val="20"/>
    </w:rPr>
  </w:style>
  <w:style w:type="paragraph" w:styleId="TM3">
    <w:name w:val="toc 3"/>
    <w:basedOn w:val="Normal"/>
    <w:next w:val="Normal"/>
    <w:autoRedefine/>
    <w:uiPriority w:val="39"/>
    <w:unhideWhenUsed/>
    <w:rsid w:val="003F5B0E"/>
    <w:pPr>
      <w:spacing w:after="0"/>
      <w:ind w:left="240"/>
      <w:jc w:val="left"/>
    </w:pPr>
    <w:rPr>
      <w:rFonts w:asciiTheme="minorHAnsi" w:hAnsiTheme="minorHAnsi" w:cstheme="minorHAnsi"/>
      <w:sz w:val="20"/>
      <w:szCs w:val="20"/>
    </w:rPr>
  </w:style>
  <w:style w:type="paragraph" w:styleId="TM4">
    <w:name w:val="toc 4"/>
    <w:basedOn w:val="Normal"/>
    <w:next w:val="Normal"/>
    <w:autoRedefine/>
    <w:uiPriority w:val="39"/>
    <w:unhideWhenUsed/>
    <w:rsid w:val="003F5B0E"/>
    <w:pPr>
      <w:spacing w:after="0"/>
      <w:ind w:left="480"/>
      <w:jc w:val="left"/>
    </w:pPr>
    <w:rPr>
      <w:rFonts w:asciiTheme="minorHAnsi" w:hAnsiTheme="minorHAnsi" w:cstheme="minorHAnsi"/>
      <w:sz w:val="20"/>
      <w:szCs w:val="20"/>
    </w:rPr>
  </w:style>
  <w:style w:type="paragraph" w:styleId="TM5">
    <w:name w:val="toc 5"/>
    <w:basedOn w:val="Normal"/>
    <w:next w:val="Normal"/>
    <w:autoRedefine/>
    <w:uiPriority w:val="39"/>
    <w:unhideWhenUsed/>
    <w:rsid w:val="003F5B0E"/>
    <w:pPr>
      <w:spacing w:after="0"/>
      <w:ind w:left="720"/>
      <w:jc w:val="left"/>
    </w:pPr>
    <w:rPr>
      <w:rFonts w:asciiTheme="minorHAnsi" w:hAnsiTheme="minorHAnsi" w:cstheme="minorHAnsi"/>
      <w:sz w:val="20"/>
      <w:szCs w:val="20"/>
    </w:rPr>
  </w:style>
  <w:style w:type="paragraph" w:styleId="TM6">
    <w:name w:val="toc 6"/>
    <w:basedOn w:val="Normal"/>
    <w:next w:val="Normal"/>
    <w:autoRedefine/>
    <w:uiPriority w:val="39"/>
    <w:unhideWhenUsed/>
    <w:rsid w:val="003F5B0E"/>
    <w:pPr>
      <w:spacing w:after="0"/>
      <w:ind w:left="960"/>
      <w:jc w:val="left"/>
    </w:pPr>
    <w:rPr>
      <w:rFonts w:asciiTheme="minorHAnsi" w:hAnsiTheme="minorHAnsi" w:cstheme="minorHAnsi"/>
      <w:sz w:val="20"/>
      <w:szCs w:val="20"/>
    </w:rPr>
  </w:style>
  <w:style w:type="paragraph" w:styleId="TM7">
    <w:name w:val="toc 7"/>
    <w:basedOn w:val="Normal"/>
    <w:next w:val="Normal"/>
    <w:autoRedefine/>
    <w:uiPriority w:val="39"/>
    <w:unhideWhenUsed/>
    <w:rsid w:val="003F5B0E"/>
    <w:pPr>
      <w:spacing w:after="0"/>
      <w:ind w:left="1200"/>
      <w:jc w:val="left"/>
    </w:pPr>
    <w:rPr>
      <w:rFonts w:asciiTheme="minorHAnsi" w:hAnsiTheme="minorHAnsi" w:cstheme="minorHAnsi"/>
      <w:sz w:val="20"/>
      <w:szCs w:val="20"/>
    </w:rPr>
  </w:style>
  <w:style w:type="paragraph" w:styleId="TM8">
    <w:name w:val="toc 8"/>
    <w:basedOn w:val="Normal"/>
    <w:next w:val="Normal"/>
    <w:autoRedefine/>
    <w:uiPriority w:val="39"/>
    <w:unhideWhenUsed/>
    <w:rsid w:val="003F5B0E"/>
    <w:pPr>
      <w:spacing w:after="0"/>
      <w:ind w:left="1440"/>
      <w:jc w:val="left"/>
    </w:pPr>
    <w:rPr>
      <w:rFonts w:asciiTheme="minorHAnsi" w:hAnsiTheme="minorHAnsi" w:cstheme="minorHAnsi"/>
      <w:sz w:val="20"/>
      <w:szCs w:val="20"/>
    </w:rPr>
  </w:style>
  <w:style w:type="paragraph" w:styleId="TM9">
    <w:name w:val="toc 9"/>
    <w:basedOn w:val="Normal"/>
    <w:next w:val="Normal"/>
    <w:autoRedefine/>
    <w:uiPriority w:val="39"/>
    <w:unhideWhenUsed/>
    <w:rsid w:val="003F5B0E"/>
    <w:pPr>
      <w:spacing w:after="0"/>
      <w:ind w:left="1680"/>
      <w:jc w:val="left"/>
    </w:pPr>
    <w:rPr>
      <w:rFonts w:asciiTheme="minorHAnsi" w:hAnsiTheme="minorHAnsi" w:cstheme="minorHAnsi"/>
      <w:sz w:val="20"/>
      <w:szCs w:val="20"/>
    </w:rPr>
  </w:style>
  <w:style w:type="character" w:styleId="Lienhypertexte">
    <w:name w:val="Hyperlink"/>
    <w:basedOn w:val="Policepardfaut"/>
    <w:uiPriority w:val="99"/>
    <w:unhideWhenUsed/>
    <w:rsid w:val="003F5B0E"/>
    <w:rPr>
      <w:color w:val="0000FF" w:themeColor="hyperlink"/>
      <w:u w:val="single"/>
    </w:rPr>
  </w:style>
  <w:style w:type="paragraph" w:styleId="Textedebulles">
    <w:name w:val="Balloon Text"/>
    <w:basedOn w:val="Normal"/>
    <w:link w:val="TextedebullesCar"/>
    <w:uiPriority w:val="99"/>
    <w:semiHidden/>
    <w:unhideWhenUsed/>
    <w:rsid w:val="0053198B"/>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3198B"/>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2671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2CABC-D174-4E5D-A85A-FFC8BB64B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2365</TotalTime>
  <Pages>20</Pages>
  <Words>7902</Words>
  <Characters>45048</Characters>
  <Application>Microsoft Office Word</Application>
  <DocSecurity>0</DocSecurity>
  <Lines>375</Lines>
  <Paragraphs>105</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dc:creator>
  <cp:keywords/>
  <dc:description/>
  <cp:lastModifiedBy>Arnaud Join-Lambert</cp:lastModifiedBy>
  <cp:revision>11</cp:revision>
  <cp:lastPrinted>2019-03-21T16:01:00Z</cp:lastPrinted>
  <dcterms:created xsi:type="dcterms:W3CDTF">2019-04-01T14:35:00Z</dcterms:created>
  <dcterms:modified xsi:type="dcterms:W3CDTF">2020-06-08T11:34:00Z</dcterms:modified>
</cp:coreProperties>
</file>