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811" w:rsidRPr="007016D0" w:rsidRDefault="00416811" w:rsidP="00FB3BA8">
      <w:pPr>
        <w:ind w:left="284" w:hanging="284"/>
        <w:jc w:val="both"/>
        <w:rPr>
          <w:lang w:val="en-US"/>
        </w:rPr>
      </w:pPr>
      <w:r w:rsidRPr="00416811">
        <w:rPr>
          <w:lang w:val="en-US"/>
        </w:rPr>
        <w:t xml:space="preserve">Gideon R. </w:t>
      </w:r>
      <w:proofErr w:type="spellStart"/>
      <w:r w:rsidRPr="00416811">
        <w:rPr>
          <w:lang w:val="en-US"/>
        </w:rPr>
        <w:t>K</w:t>
      </w:r>
      <w:r w:rsidRPr="00416811">
        <w:rPr>
          <w:smallCaps/>
          <w:lang w:val="en-US"/>
        </w:rPr>
        <w:t>otzé</w:t>
      </w:r>
      <w:proofErr w:type="spellEnd"/>
      <w:r w:rsidR="007016D0">
        <w:rPr>
          <w:lang w:val="en-US"/>
        </w:rPr>
        <w:t xml:space="preserve"> </w:t>
      </w:r>
      <w:r w:rsidR="007016D0" w:rsidRPr="007016D0">
        <w:rPr>
          <w:lang w:val="en-US"/>
        </w:rPr>
        <w:t>—</w:t>
      </w:r>
      <w:r w:rsidR="007016D0">
        <w:rPr>
          <w:lang w:val="en-US"/>
        </w:rPr>
        <w:t xml:space="preserve"> </w:t>
      </w:r>
      <w:r w:rsidRPr="00416811">
        <w:rPr>
          <w:lang w:val="en-US"/>
        </w:rPr>
        <w:t>Wolfgang K</w:t>
      </w:r>
      <w:r w:rsidRPr="002B52D9">
        <w:rPr>
          <w:smallCaps/>
          <w:lang w:val="en-US"/>
        </w:rPr>
        <w:t>raus</w:t>
      </w:r>
      <w:r w:rsidR="007016D0">
        <w:rPr>
          <w:lang w:val="en-US"/>
        </w:rPr>
        <w:t xml:space="preserve"> </w:t>
      </w:r>
      <w:r w:rsidR="007016D0" w:rsidRPr="007016D0">
        <w:rPr>
          <w:lang w:val="en-US"/>
        </w:rPr>
        <w:t>—</w:t>
      </w:r>
      <w:r w:rsidR="007016D0">
        <w:rPr>
          <w:lang w:val="en-US"/>
        </w:rPr>
        <w:t xml:space="preserve"> </w:t>
      </w:r>
      <w:proofErr w:type="spellStart"/>
      <w:r w:rsidRPr="00416811">
        <w:rPr>
          <w:lang w:val="en-US"/>
        </w:rPr>
        <w:t>Michaël</w:t>
      </w:r>
      <w:proofErr w:type="spellEnd"/>
      <w:r w:rsidRPr="00416811">
        <w:rPr>
          <w:lang w:val="en-US"/>
        </w:rPr>
        <w:t xml:space="preserve"> N. </w:t>
      </w:r>
      <w:r w:rsidRPr="002B52D9">
        <w:rPr>
          <w:smallCaps/>
          <w:lang w:val="en-US"/>
        </w:rPr>
        <w:t>van der Meer</w:t>
      </w:r>
      <w:r w:rsidR="007016D0">
        <w:rPr>
          <w:smallCaps/>
          <w:lang w:val="en-US"/>
        </w:rPr>
        <w:t xml:space="preserve"> (</w:t>
      </w:r>
      <w:r w:rsidR="007016D0">
        <w:rPr>
          <w:lang w:val="en-US"/>
        </w:rPr>
        <w:t>eds.)</w:t>
      </w:r>
      <w:r w:rsidRPr="00416811">
        <w:rPr>
          <w:lang w:val="en-US"/>
        </w:rPr>
        <w:t xml:space="preserve">. </w:t>
      </w:r>
      <w:r w:rsidR="002B52D9" w:rsidRPr="002B52D9">
        <w:rPr>
          <w:i/>
        </w:rPr>
        <w:t>XVI Congress of the International Organization for Septuagint and Cognate Studies: Stellenbosch, 2016</w:t>
      </w:r>
      <w:r>
        <w:t xml:space="preserve"> (Septuagint and Cognate Studies, </w:t>
      </w:r>
      <w:r w:rsidR="002B52D9">
        <w:t>71</w:t>
      </w:r>
      <w:r>
        <w:t>). Atlanta, GA, SBL Press</w:t>
      </w:r>
      <w:r w:rsidR="002B52D9">
        <w:t>, 2019</w:t>
      </w:r>
      <w:r>
        <w:t>.</w:t>
      </w:r>
      <w:r w:rsidR="007016D0">
        <w:t xml:space="preserve"> (15x23</w:t>
      </w:r>
      <w:r>
        <w:t>)</w:t>
      </w:r>
      <w:r w:rsidR="002B52D9">
        <w:t xml:space="preserve"> xii-</w:t>
      </w:r>
      <w:r>
        <w:t xml:space="preserve"> </w:t>
      </w:r>
      <w:r w:rsidR="002B52D9">
        <w:t>264</w:t>
      </w:r>
      <w:r>
        <w:t xml:space="preserve">p. ISBN </w:t>
      </w:r>
      <w:r w:rsidR="002B52D9" w:rsidRPr="002B52D9">
        <w:t>978-1</w:t>
      </w:r>
      <w:r w:rsidR="00703778">
        <w:t>-</w:t>
      </w:r>
      <w:r w:rsidR="002B52D9" w:rsidRPr="002B52D9">
        <w:t>62837</w:t>
      </w:r>
      <w:r w:rsidR="00703778">
        <w:t>-</w:t>
      </w:r>
      <w:r w:rsidR="002B52D9" w:rsidRPr="002B52D9">
        <w:t>240</w:t>
      </w:r>
      <w:r w:rsidR="00703778">
        <w:t>-</w:t>
      </w:r>
      <w:r w:rsidR="002B52D9" w:rsidRPr="002B52D9">
        <w:t>3</w:t>
      </w:r>
      <w:r w:rsidRPr="00CD58B4">
        <w:t>.</w:t>
      </w:r>
      <w:r>
        <w:t xml:space="preserve"> </w:t>
      </w:r>
      <w:r w:rsidRPr="00CD58B4">
        <w:t>$</w:t>
      </w:r>
      <w:r w:rsidR="002B52D9" w:rsidRPr="002B52D9">
        <w:t>43.95</w:t>
      </w:r>
      <w:r w:rsidRPr="00CD58B4">
        <w:t>.</w:t>
      </w:r>
    </w:p>
    <w:p w:rsidR="00416811" w:rsidRDefault="00416811" w:rsidP="009045A6">
      <w:pPr>
        <w:jc w:val="both"/>
      </w:pPr>
    </w:p>
    <w:p w:rsidR="00FD00C2" w:rsidRPr="00703778" w:rsidRDefault="00703778" w:rsidP="00C01F45">
      <w:pPr>
        <w:ind w:firstLine="284"/>
        <w:jc w:val="both"/>
      </w:pPr>
      <w:r>
        <w:t>T</w:t>
      </w:r>
      <w:r w:rsidR="00C01F45">
        <w:t xml:space="preserve">he present volume presents several </w:t>
      </w:r>
      <w:r>
        <w:t xml:space="preserve">contributions presented at the sessions of the </w:t>
      </w:r>
      <w:r>
        <w:rPr>
          <w:i/>
          <w:iCs/>
        </w:rPr>
        <w:t xml:space="preserve">International Organization of Septuagint Studies </w:t>
      </w:r>
      <w:r>
        <w:t>(IOSCS) as part of the</w:t>
      </w:r>
      <w:r w:rsidR="003D20B7">
        <w:t xml:space="preserve"> </w:t>
      </w:r>
      <w:bookmarkStart w:id="0" w:name="_GoBack"/>
      <w:bookmarkEnd w:id="0"/>
      <w:r w:rsidR="003D20B7">
        <w:t>22nd</w:t>
      </w:r>
      <w:r>
        <w:t xml:space="preserve"> congress of </w:t>
      </w:r>
      <w:r>
        <w:rPr>
          <w:i/>
          <w:iCs/>
        </w:rPr>
        <w:t xml:space="preserve">International Organization of the Study of the Old Testament </w:t>
      </w:r>
      <w:r>
        <w:t>(IOSOT)</w:t>
      </w:r>
      <w:r>
        <w:rPr>
          <w:i/>
          <w:iCs/>
        </w:rPr>
        <w:t xml:space="preserve"> </w:t>
      </w:r>
      <w:r>
        <w:t xml:space="preserve">held in Stellenbosch </w:t>
      </w:r>
      <w:r w:rsidR="00A704A1">
        <w:t>from 4 to 5 September</w:t>
      </w:r>
      <w:r>
        <w:t xml:space="preserve"> 2016.</w:t>
      </w:r>
      <w:r w:rsidR="00676420">
        <w:t xml:space="preserve"> </w:t>
      </w:r>
      <w:r w:rsidR="00FF6742">
        <w:t xml:space="preserve">The volume consists of 14 contributions written in English. </w:t>
      </w:r>
      <w:r w:rsidR="00676420">
        <w:t xml:space="preserve">In the preface, the editors state that this volume wants to reflect the diversity of topics and methodologies within the field of Septuagint (LXX) and cognate studies that are being researched in </w:t>
      </w:r>
      <w:r w:rsidR="00C01F45">
        <w:t>South African scholarship</w:t>
      </w:r>
      <w:r w:rsidR="00676420">
        <w:t>. When looking at the table of contents</w:t>
      </w:r>
      <w:r w:rsidR="00C01F45">
        <w:t xml:space="preserve">, </w:t>
      </w:r>
      <w:r w:rsidR="00676420">
        <w:t>this diversity</w:t>
      </w:r>
      <w:r w:rsidR="00C01F45">
        <w:t xml:space="preserve"> can immediately be observed</w:t>
      </w:r>
      <w:r w:rsidR="00676420">
        <w:t xml:space="preserve">. The contributions not only deal with the LXX-corpus but also with New Testament writings, apocryphal and </w:t>
      </w:r>
      <w:proofErr w:type="spellStart"/>
      <w:r w:rsidR="00676420">
        <w:t>parabiblical</w:t>
      </w:r>
      <w:proofErr w:type="spellEnd"/>
      <w:r w:rsidR="00676420">
        <w:t xml:space="preserve"> literature.</w:t>
      </w:r>
    </w:p>
    <w:p w:rsidR="009045A6" w:rsidRDefault="009045A6" w:rsidP="00C01F45">
      <w:pPr>
        <w:ind w:firstLine="284"/>
        <w:jc w:val="both"/>
      </w:pPr>
      <w:r>
        <w:t>In a first article, Nicholas</w:t>
      </w:r>
      <w:r w:rsidR="00A704A1">
        <w:t xml:space="preserve"> P. L.</w:t>
      </w:r>
      <w:r>
        <w:t xml:space="preserve"> Alan argues against the majority of scholars who claim that Josephus’ account of John the Baptist is either</w:t>
      </w:r>
      <w:r w:rsidR="00C01F45">
        <w:t xml:space="preserve"> completely genuine or partially contaminated by</w:t>
      </w:r>
      <w:r>
        <w:t xml:space="preserve"> interpolations. According to him, the whole passage is a later Christian interpolation inserted by Origen. In his work </w:t>
      </w:r>
      <w:r w:rsidRPr="009045A6">
        <w:rPr>
          <w:i/>
          <w:iCs/>
        </w:rPr>
        <w:t xml:space="preserve">Contra </w:t>
      </w:r>
      <w:proofErr w:type="spellStart"/>
      <w:r w:rsidRPr="009045A6">
        <w:rPr>
          <w:i/>
          <w:iCs/>
        </w:rPr>
        <w:t>Celsus</w:t>
      </w:r>
      <w:proofErr w:type="spellEnd"/>
      <w:r>
        <w:t xml:space="preserve">, Origen had to refute the rational arguments of </w:t>
      </w:r>
      <w:proofErr w:type="spellStart"/>
      <w:r>
        <w:t>Celsus</w:t>
      </w:r>
      <w:proofErr w:type="spellEnd"/>
      <w:r>
        <w:t xml:space="preserve"> against Christian belief. While Origen often makes unsubstantiated arguments in order to defend Christianity against </w:t>
      </w:r>
      <w:proofErr w:type="spellStart"/>
      <w:r>
        <w:t>Celsus</w:t>
      </w:r>
      <w:proofErr w:type="spellEnd"/>
      <w:r>
        <w:t xml:space="preserve">’ attacks, he also tries to substantiate his claims by forging other more reliable sources such as Josephus’ works. By doing so, he provides sufficient justification for his alleged true beliefs. Allan even states that Origen might also have forged the James the Just Passage in Josephus’ works in order to </w:t>
      </w:r>
      <w:r w:rsidR="00C01F45">
        <w:t>lend his arguments</w:t>
      </w:r>
      <w:r>
        <w:t xml:space="preserve"> greater credibility. It must be noted tha</w:t>
      </w:r>
      <w:r w:rsidR="00C01F45">
        <w:t>t the article is well-written. Moreover, e</w:t>
      </w:r>
      <w:r>
        <w:t>ven a non-specialist might follow the author’s arguments and, consequently, be convinced by them.</w:t>
      </w:r>
    </w:p>
    <w:p w:rsidR="009045A6" w:rsidRPr="00A704A1" w:rsidRDefault="003237CD" w:rsidP="006C5C80">
      <w:pPr>
        <w:ind w:firstLine="284"/>
        <w:jc w:val="both"/>
        <w:rPr>
          <w:rFonts w:asciiTheme="majorBidi" w:hAnsiTheme="majorBidi" w:cstheme="majorBidi"/>
          <w:sz w:val="20"/>
          <w:szCs w:val="20"/>
          <w:lang w:val="en-US" w:bidi="he-IL"/>
        </w:rPr>
      </w:pPr>
      <w:r w:rsidRPr="00460EF4">
        <w:t xml:space="preserve">A second article deals with the reception of the ending of the </w:t>
      </w:r>
      <w:proofErr w:type="spellStart"/>
      <w:r w:rsidRPr="00460EF4">
        <w:rPr>
          <w:i/>
          <w:iCs/>
        </w:rPr>
        <w:t>Canticum</w:t>
      </w:r>
      <w:proofErr w:type="spellEnd"/>
      <w:r w:rsidRPr="00460EF4">
        <w:rPr>
          <w:i/>
          <w:iCs/>
        </w:rPr>
        <w:t xml:space="preserve"> </w:t>
      </w:r>
      <w:proofErr w:type="spellStart"/>
      <w:r w:rsidRPr="00460EF4">
        <w:rPr>
          <w:i/>
          <w:iCs/>
        </w:rPr>
        <w:t>Mosis</w:t>
      </w:r>
      <w:proofErr w:type="spellEnd"/>
      <w:r w:rsidRPr="00460EF4">
        <w:rPr>
          <w:i/>
          <w:iCs/>
        </w:rPr>
        <w:t xml:space="preserve"> </w:t>
      </w:r>
      <w:r w:rsidRPr="00460EF4">
        <w:t xml:space="preserve">in Hebrews 1:6. </w:t>
      </w:r>
      <w:r w:rsidR="008C1647" w:rsidRPr="00460EF4">
        <w:t xml:space="preserve">In this article, Elena </w:t>
      </w:r>
      <w:proofErr w:type="spellStart"/>
      <w:r w:rsidR="008C1647" w:rsidRPr="00460EF4">
        <w:t>Belenkaja</w:t>
      </w:r>
      <w:proofErr w:type="spellEnd"/>
      <w:r w:rsidR="008C1647" w:rsidRPr="00460EF4">
        <w:t xml:space="preserve"> tries to examine how the </w:t>
      </w:r>
      <w:proofErr w:type="spellStart"/>
      <w:r w:rsidR="008C1647" w:rsidRPr="00460EF4">
        <w:rPr>
          <w:i/>
          <w:iCs/>
        </w:rPr>
        <w:t>Vorlage</w:t>
      </w:r>
      <w:proofErr w:type="spellEnd"/>
      <w:r w:rsidR="008C1647" w:rsidRPr="00460EF4">
        <w:rPr>
          <w:i/>
          <w:iCs/>
        </w:rPr>
        <w:t xml:space="preserve"> </w:t>
      </w:r>
      <w:r w:rsidR="008C1647" w:rsidRPr="00460EF4">
        <w:t>of Hebrews 1:6 must have looked like.</w:t>
      </w:r>
      <w:r w:rsidR="009045A6">
        <w:t xml:space="preserve"> </w:t>
      </w:r>
      <w:r w:rsidR="00A704A1" w:rsidRPr="00A704A1">
        <w:t xml:space="preserve">According to her, the author of Hebrews quoted from </w:t>
      </w:r>
      <w:r w:rsidR="009045A6" w:rsidRPr="00A704A1">
        <w:t>LXX-</w:t>
      </w:r>
      <w:proofErr w:type="spellStart"/>
      <w:r w:rsidR="009045A6" w:rsidRPr="00A704A1">
        <w:t>Deutronomy</w:t>
      </w:r>
      <w:proofErr w:type="spellEnd"/>
      <w:r w:rsidR="009045A6" w:rsidRPr="00A704A1">
        <w:t xml:space="preserve"> and Odes </w:t>
      </w:r>
      <w:r w:rsidR="00A704A1" w:rsidRPr="00A704A1">
        <w:t xml:space="preserve">since both attest </w:t>
      </w:r>
      <w:proofErr w:type="spellStart"/>
      <w:r w:rsidR="00A704A1">
        <w:rPr>
          <w:rFonts w:ascii="SBL Greek" w:hAnsi="SBL Greek" w:cs="SBL Greek"/>
          <w:lang w:val="el-GR" w:bidi="he-IL"/>
        </w:rPr>
        <w:t>ἄγγελοι</w:t>
      </w:r>
      <w:proofErr w:type="spellEnd"/>
      <w:r w:rsidR="00A704A1" w:rsidRPr="00A704A1">
        <w:rPr>
          <w:rFonts w:ascii="SBL Greek" w:hAnsi="SBL Greek" w:cs="SBL Greek"/>
          <w:lang w:val="en-US" w:bidi="he-IL"/>
        </w:rPr>
        <w:t xml:space="preserve"> </w:t>
      </w:r>
      <w:proofErr w:type="spellStart"/>
      <w:r w:rsidR="00A704A1" w:rsidRPr="00A704A1">
        <w:rPr>
          <w:rFonts w:ascii="SBL Greek" w:hAnsi="SBL Greek" w:cs="SBL Greek"/>
          <w:lang w:val="el-GR" w:bidi="he-IL"/>
        </w:rPr>
        <w:t>θεοῦ</w:t>
      </w:r>
      <w:proofErr w:type="spellEnd"/>
      <w:r w:rsidR="00A704A1">
        <w:rPr>
          <w:rFonts w:ascii="SBL Greek" w:hAnsi="SBL Greek" w:cs="SBL Greek"/>
          <w:lang w:val="en-US" w:bidi="he-IL"/>
        </w:rPr>
        <w:t xml:space="preserve"> </w:t>
      </w:r>
      <w:r w:rsidR="00A704A1">
        <w:rPr>
          <w:rFonts w:asciiTheme="majorBidi" w:hAnsiTheme="majorBidi" w:cstheme="majorBidi"/>
          <w:lang w:val="en-US" w:bidi="he-IL"/>
        </w:rPr>
        <w:t>(</w:t>
      </w:r>
      <w:proofErr w:type="spellStart"/>
      <w:r w:rsidR="00A704A1">
        <w:rPr>
          <w:rFonts w:asciiTheme="majorBidi" w:hAnsiTheme="majorBidi" w:cstheme="majorBidi"/>
          <w:lang w:val="en-US" w:bidi="he-IL"/>
        </w:rPr>
        <w:t>Deut</w:t>
      </w:r>
      <w:proofErr w:type="spellEnd"/>
      <w:r w:rsidR="00A704A1">
        <w:rPr>
          <w:rFonts w:asciiTheme="majorBidi" w:hAnsiTheme="majorBidi" w:cstheme="majorBidi"/>
          <w:lang w:val="en-US" w:bidi="he-IL"/>
        </w:rPr>
        <w:t xml:space="preserve"> 32,43; Ode 2,43). </w:t>
      </w:r>
      <w:r w:rsidRPr="00A704A1">
        <w:t>It</w:t>
      </w:r>
      <w:r w:rsidRPr="00460EF4">
        <w:t xml:space="preserve"> is striking that the author does not mention the Samaritan Pentateuch (</w:t>
      </w:r>
      <w:proofErr w:type="spellStart"/>
      <w:r w:rsidRPr="00460EF4">
        <w:t>SamP</w:t>
      </w:r>
      <w:proofErr w:type="spellEnd"/>
      <w:r w:rsidRPr="00460EF4">
        <w:t>) as a textual witness at first. She only mentions it later on when discussing</w:t>
      </w:r>
      <w:r w:rsidR="00FC09BC" w:rsidRPr="00460EF4">
        <w:t xml:space="preserve"> the work of </w:t>
      </w:r>
      <w:r w:rsidR="00C01F45">
        <w:t xml:space="preserve">other scholars such as </w:t>
      </w:r>
      <w:r w:rsidR="00FC09BC" w:rsidRPr="00460EF4">
        <w:t xml:space="preserve">Patrick W. </w:t>
      </w:r>
      <w:proofErr w:type="spellStart"/>
      <w:r w:rsidR="00FC09BC" w:rsidRPr="00460EF4">
        <w:t>Shekan</w:t>
      </w:r>
      <w:proofErr w:type="spellEnd"/>
      <w:r w:rsidR="00C01F45">
        <w:t xml:space="preserve"> and </w:t>
      </w:r>
      <w:proofErr w:type="spellStart"/>
      <w:r w:rsidR="00C01F45">
        <w:t>Juha</w:t>
      </w:r>
      <w:proofErr w:type="spellEnd"/>
      <w:r w:rsidR="00C01F45">
        <w:t xml:space="preserve"> </w:t>
      </w:r>
      <w:proofErr w:type="spellStart"/>
      <w:r w:rsidR="00C01F45">
        <w:t>Pakkala</w:t>
      </w:r>
      <w:proofErr w:type="spellEnd"/>
      <w:r w:rsidR="00FC09BC" w:rsidRPr="00460EF4">
        <w:t xml:space="preserve">. Although it is clear what the author wants to convey, the summary at the end of the article is not very satisfying </w:t>
      </w:r>
      <w:r w:rsidR="006C5C80">
        <w:t>since</w:t>
      </w:r>
      <w:r w:rsidR="00FC09BC" w:rsidRPr="00460EF4">
        <w:t xml:space="preserve"> it does not provide the reader with a decent overview of the achieved results. </w:t>
      </w:r>
    </w:p>
    <w:p w:rsidR="009045A6" w:rsidRDefault="00A7471D" w:rsidP="006C5C80">
      <w:pPr>
        <w:ind w:firstLine="284"/>
        <w:jc w:val="both"/>
      </w:pPr>
      <w:r w:rsidRPr="00460EF4">
        <w:t>A third article</w:t>
      </w:r>
      <w:r w:rsidR="00A704A1">
        <w:t xml:space="preserve">, by Eugene </w:t>
      </w:r>
      <w:proofErr w:type="spellStart"/>
      <w:r w:rsidR="00A704A1">
        <w:t>Coetzer</w:t>
      </w:r>
      <w:proofErr w:type="spellEnd"/>
      <w:r w:rsidR="00A704A1">
        <w:t>,</w:t>
      </w:r>
      <w:r w:rsidRPr="00460EF4">
        <w:t xml:space="preserve"> focusses on three key figures in 2 Maccabees, </w:t>
      </w:r>
      <w:r w:rsidRPr="00460EF4">
        <w:rPr>
          <w:i/>
          <w:iCs/>
        </w:rPr>
        <w:t xml:space="preserve">i.e. </w:t>
      </w:r>
      <w:proofErr w:type="spellStart"/>
      <w:r w:rsidRPr="00460EF4">
        <w:t>Onias</w:t>
      </w:r>
      <w:proofErr w:type="spellEnd"/>
      <w:r w:rsidRPr="00460EF4">
        <w:t xml:space="preserve">, </w:t>
      </w:r>
      <w:proofErr w:type="spellStart"/>
      <w:r w:rsidRPr="00460EF4">
        <w:t>Eleazar</w:t>
      </w:r>
      <w:proofErr w:type="spellEnd"/>
      <w:r w:rsidRPr="00460EF4">
        <w:t xml:space="preserve"> and </w:t>
      </w:r>
      <w:proofErr w:type="spellStart"/>
      <w:r w:rsidRPr="00460EF4">
        <w:t>Razis</w:t>
      </w:r>
      <w:proofErr w:type="spellEnd"/>
      <w:r w:rsidRPr="00460EF4">
        <w:t>. Although some studies have already examined these characters in detail, the major contribution of this paper is t</w:t>
      </w:r>
      <w:r w:rsidR="006C5C80">
        <w:t>o highlight</w:t>
      </w:r>
      <w:r w:rsidRPr="00460EF4">
        <w:t xml:space="preserve"> the relatedness of these characters and its rhetorical significance in the storyline of 2 Maccabees.</w:t>
      </w:r>
      <w:r w:rsidR="0006448E" w:rsidRPr="00460EF4">
        <w:t xml:space="preserve"> According to the author, the three figures represent Judaism’s strength, nobility, righteousness and resolution. Moreover, all three provide an answer to different degrees of hostility and abuse towards the Jewish people in Antiquity. </w:t>
      </w:r>
    </w:p>
    <w:p w:rsidR="009045A6" w:rsidRDefault="00460EF4" w:rsidP="009045A6">
      <w:pPr>
        <w:ind w:firstLine="284"/>
        <w:jc w:val="both"/>
      </w:pPr>
      <w:r w:rsidRPr="00460EF4">
        <w:t>The next article deals with the texts of Demetr</w:t>
      </w:r>
      <w:r w:rsidR="00B66CB5">
        <w:t xml:space="preserve">ius. According to Gunnar </w:t>
      </w:r>
      <w:r w:rsidR="00A704A1">
        <w:t xml:space="preserve">M. </w:t>
      </w:r>
      <w:proofErr w:type="spellStart"/>
      <w:r w:rsidR="00B66CB5">
        <w:t>Eidsv</w:t>
      </w:r>
      <w:r w:rsidR="00B66CB5" w:rsidRPr="00B66CB5">
        <w:t>å</w:t>
      </w:r>
      <w:r w:rsidRPr="00460EF4">
        <w:t>g</w:t>
      </w:r>
      <w:proofErr w:type="spellEnd"/>
      <w:r w:rsidRPr="00460EF4">
        <w:t>, Demetrius works can be perceived as apologetic texts written for a Jewish audience</w:t>
      </w:r>
      <w:r>
        <w:t xml:space="preserve"> in </w:t>
      </w:r>
      <w:r>
        <w:lastRenderedPageBreak/>
        <w:t>Alexandria</w:t>
      </w:r>
      <w:r w:rsidRPr="00460EF4">
        <w:t xml:space="preserve">. Demetrius employs two literary genres that are also used by Greek writers: genealogies and question and answer. By applying these two styles, he discusses </w:t>
      </w:r>
      <w:r>
        <w:t xml:space="preserve">and elaborates </w:t>
      </w:r>
      <w:r w:rsidRPr="00460EF4">
        <w:t xml:space="preserve">several topics, </w:t>
      </w:r>
      <w:r w:rsidRPr="00460EF4">
        <w:rPr>
          <w:i/>
          <w:iCs/>
        </w:rPr>
        <w:t xml:space="preserve">e.g. </w:t>
      </w:r>
      <w:r w:rsidRPr="00460EF4">
        <w:t xml:space="preserve">marriage and dietary laws, </w:t>
      </w:r>
      <w:r>
        <w:t xml:space="preserve">in order to </w:t>
      </w:r>
      <w:r w:rsidRPr="00460EF4">
        <w:t>a</w:t>
      </w:r>
      <w:r>
        <w:t xml:space="preserve"> emphasise the distinct identity of Jews living in Alexandria.</w:t>
      </w:r>
      <w:r w:rsidRPr="00460EF4">
        <w:t xml:space="preserve"> </w:t>
      </w:r>
      <w:r w:rsidR="006C5C80">
        <w:t xml:space="preserve">Therefore, Demetrius </w:t>
      </w:r>
      <w:r>
        <w:t xml:space="preserve">addresses questions that were of interest for a Jewish audience and provided them with respective answers that were based upon the Greek version of the Torah. </w:t>
      </w:r>
    </w:p>
    <w:p w:rsidR="009045A6" w:rsidRDefault="006C5C80" w:rsidP="006C5C80">
      <w:pPr>
        <w:ind w:firstLine="284"/>
        <w:jc w:val="both"/>
      </w:pPr>
      <w:r>
        <w:t xml:space="preserve">The following contribution is one </w:t>
      </w:r>
      <w:r w:rsidR="00D86005">
        <w:t xml:space="preserve">by Robert </w:t>
      </w:r>
      <w:r w:rsidR="00A704A1">
        <w:t xml:space="preserve">J. V. </w:t>
      </w:r>
      <w:proofErr w:type="spellStart"/>
      <w:r w:rsidR="00D86005">
        <w:t>Hiebert</w:t>
      </w:r>
      <w:proofErr w:type="spellEnd"/>
      <w:r w:rsidR="00D86005">
        <w:t xml:space="preserve"> on the Greek rendering of </w:t>
      </w:r>
      <w:r w:rsidR="00A704A1" w:rsidRPr="00A704A1">
        <w:rPr>
          <w:rFonts w:ascii="SBL Hebrew" w:hAnsi="SBL Hebrew" w:cs="SBL Hebrew"/>
          <w:rtl/>
          <w:lang w:bidi="he-IL"/>
        </w:rPr>
        <w:t>תֹּהוּ</w:t>
      </w:r>
      <w:r w:rsidR="00D86005">
        <w:t xml:space="preserve"> by </w:t>
      </w:r>
      <w:proofErr w:type="spellStart"/>
      <w:r w:rsidR="00A704A1" w:rsidRPr="00A704A1">
        <w:rPr>
          <w:rFonts w:ascii="SBL Greek" w:hAnsi="SBL Greek"/>
        </w:rPr>
        <w:t>ἀόρ</w:t>
      </w:r>
      <w:proofErr w:type="spellEnd"/>
      <w:r w:rsidR="00A704A1" w:rsidRPr="00A704A1">
        <w:rPr>
          <w:rFonts w:ascii="SBL Greek" w:hAnsi="SBL Greek"/>
        </w:rPr>
        <w:t>ατος</w:t>
      </w:r>
      <w:r w:rsidR="00A704A1">
        <w:t xml:space="preserve"> </w:t>
      </w:r>
      <w:r>
        <w:t>in Genesis 1:2. This article is a</w:t>
      </w:r>
      <w:r w:rsidR="00D86005">
        <w:t xml:space="preserve"> reaction to an article of </w:t>
      </w:r>
      <w:r w:rsidR="00B90F91">
        <w:t xml:space="preserve">Pieter W. </w:t>
      </w:r>
      <w:r w:rsidR="00D86005">
        <w:t xml:space="preserve">van der Horst in the </w:t>
      </w:r>
      <w:r w:rsidR="00D86005">
        <w:rPr>
          <w:i/>
          <w:iCs/>
        </w:rPr>
        <w:t xml:space="preserve">Journal for Septuagint and Cognate Studies </w:t>
      </w:r>
      <w:r w:rsidR="00D86005">
        <w:t xml:space="preserve">who posits that </w:t>
      </w:r>
      <w:proofErr w:type="spellStart"/>
      <w:r w:rsidR="00A704A1" w:rsidRPr="00A704A1">
        <w:rPr>
          <w:rFonts w:ascii="SBL Greek" w:hAnsi="SBL Greek"/>
        </w:rPr>
        <w:t>ἀόρ</w:t>
      </w:r>
      <w:proofErr w:type="spellEnd"/>
      <w:r w:rsidR="00A704A1" w:rsidRPr="00A704A1">
        <w:rPr>
          <w:rFonts w:ascii="SBL Greek" w:hAnsi="SBL Greek"/>
        </w:rPr>
        <w:t>ατος</w:t>
      </w:r>
      <w:r w:rsidR="00A704A1">
        <w:t xml:space="preserve"> </w:t>
      </w:r>
      <w:r w:rsidR="00D86005">
        <w:t>must not be translated by ‘invisible’ but by ‘unsi</w:t>
      </w:r>
      <w:r>
        <w:t xml:space="preserve">ghtly’ or ‘hideous’. According to </w:t>
      </w:r>
      <w:proofErr w:type="spellStart"/>
      <w:r>
        <w:t>Hiebert</w:t>
      </w:r>
      <w:proofErr w:type="spellEnd"/>
      <w:r>
        <w:t xml:space="preserve">, the correct translation of </w:t>
      </w:r>
      <w:proofErr w:type="spellStart"/>
      <w:r w:rsidRPr="00A704A1">
        <w:rPr>
          <w:rFonts w:ascii="SBL Greek" w:hAnsi="SBL Greek"/>
        </w:rPr>
        <w:t>ἀόρ</w:t>
      </w:r>
      <w:proofErr w:type="spellEnd"/>
      <w:r w:rsidRPr="00A704A1">
        <w:rPr>
          <w:rFonts w:ascii="SBL Greek" w:hAnsi="SBL Greek"/>
        </w:rPr>
        <w:t>ατος</w:t>
      </w:r>
      <w:r>
        <w:t xml:space="preserve"> is ‘invisible’. Additionally, t</w:t>
      </w:r>
      <w:r w:rsidR="00D86005">
        <w:t xml:space="preserve">he Greek adjective </w:t>
      </w:r>
      <w:proofErr w:type="spellStart"/>
      <w:r w:rsidR="00A704A1" w:rsidRPr="00A704A1">
        <w:rPr>
          <w:rFonts w:ascii="SBL Greek" w:hAnsi="SBL Greek"/>
        </w:rPr>
        <w:t>ἀόρ</w:t>
      </w:r>
      <w:proofErr w:type="spellEnd"/>
      <w:r w:rsidR="00A704A1" w:rsidRPr="00A704A1">
        <w:rPr>
          <w:rFonts w:ascii="SBL Greek" w:hAnsi="SBL Greek"/>
        </w:rPr>
        <w:t>ατος</w:t>
      </w:r>
      <w:r w:rsidR="00A704A1">
        <w:t xml:space="preserve"> </w:t>
      </w:r>
      <w:r w:rsidR="00D86005">
        <w:t xml:space="preserve">is also found in Plato’s </w:t>
      </w:r>
      <w:proofErr w:type="spellStart"/>
      <w:r w:rsidR="00D86005">
        <w:rPr>
          <w:i/>
          <w:iCs/>
        </w:rPr>
        <w:t>Timaeus</w:t>
      </w:r>
      <w:proofErr w:type="spellEnd"/>
      <w:r>
        <w:t>. However, n</w:t>
      </w:r>
      <w:r w:rsidR="00D86005">
        <w:t>o direct literal dependency between the LXX-translators and Plato’s work can be claimed. Rather, the works of Plato belonged to the cultural world of the</w:t>
      </w:r>
      <w:r>
        <w:t xml:space="preserve"> translators and therefore, the LXX-translators</w:t>
      </w:r>
      <w:r w:rsidR="00D86005">
        <w:t xml:space="preserve"> could draw upon this knowledge to render their Hebrew </w:t>
      </w:r>
      <w:proofErr w:type="spellStart"/>
      <w:r w:rsidR="00B90F91">
        <w:rPr>
          <w:i/>
          <w:iCs/>
        </w:rPr>
        <w:t>Vorlage</w:t>
      </w:r>
      <w:proofErr w:type="spellEnd"/>
      <w:r w:rsidR="00D86005">
        <w:rPr>
          <w:i/>
          <w:iCs/>
        </w:rPr>
        <w:t xml:space="preserve"> </w:t>
      </w:r>
      <w:r w:rsidR="00D86005">
        <w:t xml:space="preserve">into Greek. </w:t>
      </w:r>
      <w:r w:rsidR="00E65C17">
        <w:t xml:space="preserve">Although it is a very short article, it debunks the argument of van der Horst in a convincing manner by taking into account the understanding of </w:t>
      </w:r>
      <w:proofErr w:type="spellStart"/>
      <w:r w:rsidR="00A704A1" w:rsidRPr="00A704A1">
        <w:rPr>
          <w:rFonts w:ascii="SBL Greek" w:hAnsi="SBL Greek"/>
        </w:rPr>
        <w:t>ἀόρ</w:t>
      </w:r>
      <w:proofErr w:type="spellEnd"/>
      <w:r w:rsidR="00A704A1" w:rsidRPr="00A704A1">
        <w:rPr>
          <w:rFonts w:ascii="SBL Greek" w:hAnsi="SBL Greek"/>
        </w:rPr>
        <w:t>ατος</w:t>
      </w:r>
      <w:r w:rsidR="00A704A1">
        <w:t xml:space="preserve"> </w:t>
      </w:r>
      <w:r w:rsidR="00E65C17">
        <w:t xml:space="preserve">by ancient authors such as Philo, </w:t>
      </w:r>
      <w:proofErr w:type="spellStart"/>
      <w:r w:rsidR="00E65C17">
        <w:t>Iraneaus</w:t>
      </w:r>
      <w:proofErr w:type="spellEnd"/>
      <w:r w:rsidR="00E65C17">
        <w:t xml:space="preserve">, </w:t>
      </w:r>
      <w:proofErr w:type="spellStart"/>
      <w:r w:rsidR="00E65C17">
        <w:t>Theophilus</w:t>
      </w:r>
      <w:proofErr w:type="spellEnd"/>
      <w:r w:rsidR="00E65C17">
        <w:t xml:space="preserve"> and Clemens of Alexandria.</w:t>
      </w:r>
    </w:p>
    <w:p w:rsidR="009045A6" w:rsidRDefault="00A704A1" w:rsidP="009045A6">
      <w:pPr>
        <w:ind w:firstLine="284"/>
        <w:jc w:val="both"/>
      </w:pPr>
      <w:r>
        <w:t xml:space="preserve">Pierre J. </w:t>
      </w:r>
      <w:proofErr w:type="spellStart"/>
      <w:r w:rsidR="00C84AD9">
        <w:t>Jordaan</w:t>
      </w:r>
      <w:r w:rsidR="006C5C80">
        <w:t>’s</w:t>
      </w:r>
      <w:proofErr w:type="spellEnd"/>
      <w:r w:rsidR="006C5C80">
        <w:t xml:space="preserve"> article deals with the </w:t>
      </w:r>
      <w:r w:rsidR="00C84AD9">
        <w:t>widows and orphans in 2 Macc</w:t>
      </w:r>
      <w:r w:rsidR="008A1D87">
        <w:t>abees</w:t>
      </w:r>
      <w:r w:rsidR="00C84AD9">
        <w:t xml:space="preserve"> 3. This passage can be seen as a rhetorical strategy of the LXX-translator to indicate that God will avenge widows and orphans for the injustice that is caused to them. According to </w:t>
      </w:r>
      <w:proofErr w:type="spellStart"/>
      <w:r w:rsidR="00C84AD9">
        <w:t>Jordaan</w:t>
      </w:r>
      <w:proofErr w:type="spellEnd"/>
      <w:r w:rsidR="00C84AD9">
        <w:t xml:space="preserve">, LXX Ps 67:6 serves as an </w:t>
      </w:r>
      <w:proofErr w:type="spellStart"/>
      <w:r w:rsidR="00C84AD9">
        <w:t>intertext</w:t>
      </w:r>
      <w:proofErr w:type="spellEnd"/>
      <w:r w:rsidR="00C84AD9">
        <w:t xml:space="preserve"> in the construction of this passage.</w:t>
      </w:r>
      <w:r w:rsidR="00E65C17">
        <w:t xml:space="preserve"> </w:t>
      </w:r>
    </w:p>
    <w:p w:rsidR="009045A6" w:rsidRDefault="006C5C80" w:rsidP="006C5C80">
      <w:pPr>
        <w:ind w:firstLine="284"/>
        <w:jc w:val="both"/>
      </w:pPr>
      <w:r>
        <w:t xml:space="preserve">Next, </w:t>
      </w:r>
      <w:r w:rsidR="000A0B5A">
        <w:t xml:space="preserve">Gideon </w:t>
      </w:r>
      <w:r w:rsidR="00A704A1">
        <w:t xml:space="preserve">R. </w:t>
      </w:r>
      <w:proofErr w:type="spellStart"/>
      <w:r w:rsidR="000A0B5A">
        <w:t>Kotzé</w:t>
      </w:r>
      <w:proofErr w:type="spellEnd"/>
      <w:r>
        <w:t xml:space="preserve"> examines</w:t>
      </w:r>
      <w:r w:rsidR="000A0B5A">
        <w:t xml:space="preserve"> the difficult passage in Lam 1:20 concerning the death of young children/adults. In the past, scholars have proposed some emendations as well as interpretations based upon philological investigations of the passage. Gideon, however, proposes to read the passage in the light of the cultural environment wherein the text has been translated. According to him, the personification of Death as someone who is responsible for the death of young children and adults is also attested in Ancient Near Eastern texts, </w:t>
      </w:r>
      <w:r w:rsidR="000A0B5A">
        <w:rPr>
          <w:i/>
          <w:iCs/>
        </w:rPr>
        <w:t xml:space="preserve">e.g. </w:t>
      </w:r>
      <w:r w:rsidR="000A0B5A">
        <w:t xml:space="preserve">Gilgamesh epos, Instruction of Ani, Ugaritic ritual text and </w:t>
      </w:r>
      <w:proofErr w:type="spellStart"/>
      <w:r w:rsidR="000A0B5A">
        <w:t>Deir</w:t>
      </w:r>
      <w:proofErr w:type="spellEnd"/>
      <w:r w:rsidR="000A0B5A">
        <w:t xml:space="preserve"> ‘</w:t>
      </w:r>
      <w:proofErr w:type="spellStart"/>
      <w:r w:rsidR="000A0B5A">
        <w:t>Alla</w:t>
      </w:r>
      <w:proofErr w:type="spellEnd"/>
      <w:r w:rsidR="000A0B5A">
        <w:t xml:space="preserve"> plaster inscription. </w:t>
      </w:r>
    </w:p>
    <w:p w:rsidR="009045A6" w:rsidRDefault="006C5C80" w:rsidP="008A1D87">
      <w:pPr>
        <w:ind w:firstLine="284"/>
        <w:jc w:val="both"/>
      </w:pPr>
      <w:r>
        <w:t>In the eighth contribution, W</w:t>
      </w:r>
      <w:r w:rsidR="008A1D87">
        <w:t>olfgang Kraus investigates</w:t>
      </w:r>
      <w:r w:rsidR="006445F4">
        <w:t xml:space="preserve"> the usage of LXX P</w:t>
      </w:r>
      <w:r w:rsidR="008A1D87">
        <w:t xml:space="preserve">salms 39:7-9 in Hebrews 10:5-10. For doing so, </w:t>
      </w:r>
      <w:r w:rsidR="006445F4">
        <w:t xml:space="preserve">he examines the Hebrew Masoretic version of the Psalm (Ps 40), </w:t>
      </w:r>
      <w:r w:rsidR="008A1D87">
        <w:t xml:space="preserve">the </w:t>
      </w:r>
      <w:r w:rsidR="006445F4">
        <w:t>LXX-version and the citation of the la</w:t>
      </w:r>
      <w:r w:rsidR="008A1D87">
        <w:t>tter by the author of Hebrews. He concludes that t</w:t>
      </w:r>
      <w:r w:rsidR="006445F4">
        <w:t>he author of Hebrews uses the LXX Psalm to finish a st</w:t>
      </w:r>
      <w:r w:rsidR="008A1D87">
        <w:t>ream of thought that began in the Masoretic Text (MT)</w:t>
      </w:r>
      <w:r w:rsidR="006445F4">
        <w:t xml:space="preserve"> and speci</w:t>
      </w:r>
      <w:r w:rsidR="008A1D87">
        <w:t>fied in the LXX. By doing so, Hebrews</w:t>
      </w:r>
      <w:r w:rsidR="006445F4">
        <w:t xml:space="preserve"> interprets it </w:t>
      </w:r>
      <w:proofErr w:type="spellStart"/>
      <w:r w:rsidR="006445F4">
        <w:t>christologically</w:t>
      </w:r>
      <w:proofErr w:type="spellEnd"/>
      <w:r w:rsidR="006445F4">
        <w:t xml:space="preserve">. </w:t>
      </w:r>
    </w:p>
    <w:p w:rsidR="009045A6" w:rsidRDefault="00F8687F" w:rsidP="008A1D87">
      <w:pPr>
        <w:ind w:firstLine="284"/>
        <w:jc w:val="both"/>
      </w:pPr>
      <w:r>
        <w:t xml:space="preserve">In an article on the textual development of 2 Kings (4 Reigns) Jonathan M. </w:t>
      </w:r>
      <w:proofErr w:type="spellStart"/>
      <w:r>
        <w:t>Robker</w:t>
      </w:r>
      <w:proofErr w:type="spellEnd"/>
      <w:r>
        <w:t xml:space="preserve"> argues that the Old Greek (OG) text of 4 Reigns is not exclusively attested by one or more textual traditions. Moreover, the OG text can be found in bits and pieces in multiple textual witnesses such as the </w:t>
      </w:r>
      <w:proofErr w:type="spellStart"/>
      <w:r>
        <w:t>Antiochene</w:t>
      </w:r>
      <w:proofErr w:type="spellEnd"/>
      <w:r>
        <w:t xml:space="preserve"> text (Ant.) and the </w:t>
      </w:r>
      <w:proofErr w:type="spellStart"/>
      <w:r>
        <w:t>kaige</w:t>
      </w:r>
      <w:proofErr w:type="spellEnd"/>
      <w:r>
        <w:t xml:space="preserve"> sections of </w:t>
      </w:r>
      <w:proofErr w:type="spellStart"/>
      <w:r>
        <w:t>Vaticanus</w:t>
      </w:r>
      <w:proofErr w:type="spellEnd"/>
      <w:r>
        <w:t xml:space="preserve"> (B). These textual witnesses are</w:t>
      </w:r>
      <w:r w:rsidR="008A1D87">
        <w:t xml:space="preserve">, consequently, compared to MT </w:t>
      </w:r>
      <w:r>
        <w:t xml:space="preserve">which, according to </w:t>
      </w:r>
      <w:proofErr w:type="spellStart"/>
      <w:r>
        <w:t>Robker</w:t>
      </w:r>
      <w:proofErr w:type="spellEnd"/>
      <w:r>
        <w:t xml:space="preserve">, has also been edited after the translation of Kings into Greek. In order to examine King’s textual history, he also looks at other textual witnesses such as the </w:t>
      </w:r>
      <w:proofErr w:type="spellStart"/>
      <w:r>
        <w:rPr>
          <w:i/>
          <w:iCs/>
        </w:rPr>
        <w:t>Vetus</w:t>
      </w:r>
      <w:proofErr w:type="spellEnd"/>
      <w:r>
        <w:rPr>
          <w:i/>
          <w:iCs/>
        </w:rPr>
        <w:t xml:space="preserve"> Latina</w:t>
      </w:r>
      <w:r w:rsidR="00B8617A">
        <w:t>, Origen and Co</w:t>
      </w:r>
      <w:r>
        <w:t xml:space="preserve">dex </w:t>
      </w:r>
      <w:proofErr w:type="spellStart"/>
      <w:r>
        <w:lastRenderedPageBreak/>
        <w:t>Alexandrinus</w:t>
      </w:r>
      <w:proofErr w:type="spellEnd"/>
      <w:r>
        <w:t xml:space="preserve">. Interesting to note, </w:t>
      </w:r>
      <w:proofErr w:type="spellStart"/>
      <w:r>
        <w:rPr>
          <w:i/>
          <w:iCs/>
        </w:rPr>
        <w:t>Vetus</w:t>
      </w:r>
      <w:proofErr w:type="spellEnd"/>
      <w:r>
        <w:rPr>
          <w:i/>
          <w:iCs/>
        </w:rPr>
        <w:t xml:space="preserve"> Latina </w:t>
      </w:r>
      <w:r>
        <w:t>often attest the reading that is also present in Ant. which means that the latter must be older than Lucian.</w:t>
      </w:r>
    </w:p>
    <w:p w:rsidR="009045A6" w:rsidRDefault="00A914BA" w:rsidP="005858C9">
      <w:pPr>
        <w:ind w:firstLine="284"/>
        <w:jc w:val="both"/>
      </w:pPr>
      <w:r>
        <w:t xml:space="preserve">Seppo </w:t>
      </w:r>
      <w:proofErr w:type="spellStart"/>
      <w:r>
        <w:t>Sip</w:t>
      </w:r>
      <w:r w:rsidR="006735D6">
        <w:t>i</w:t>
      </w:r>
      <w:r>
        <w:t>lä</w:t>
      </w:r>
      <w:proofErr w:type="spellEnd"/>
      <w:r>
        <w:t xml:space="preserve"> examines the Greek rendering of the Hebrew adverb </w:t>
      </w:r>
      <w:r w:rsidR="00A704A1" w:rsidRPr="00A704A1">
        <w:rPr>
          <w:rFonts w:ascii="SBL Hebrew" w:hAnsi="SBL Hebrew" w:cs="SBL Hebrew"/>
          <w:rtl/>
          <w:lang w:bidi="he-IL"/>
        </w:rPr>
        <w:t>אוּלַי</w:t>
      </w:r>
      <w:r w:rsidR="00A704A1" w:rsidRPr="00A704A1">
        <w:t xml:space="preserve"> </w:t>
      </w:r>
      <w:r>
        <w:t>(</w:t>
      </w:r>
      <w:r w:rsidR="008A1D87">
        <w:t>‘</w:t>
      </w:r>
      <w:r>
        <w:t>perhaps</w:t>
      </w:r>
      <w:r w:rsidR="008A1D87">
        <w:t xml:space="preserve">’; </w:t>
      </w:r>
      <w:r>
        <w:t xml:space="preserve">expressing uncertainty) in the LXX. </w:t>
      </w:r>
      <w:r w:rsidR="006735D6">
        <w:t xml:space="preserve">This methodology is typical for the Finnish school where </w:t>
      </w:r>
      <w:proofErr w:type="spellStart"/>
      <w:r w:rsidR="006735D6">
        <w:t>Sipilä</w:t>
      </w:r>
      <w:proofErr w:type="spellEnd"/>
      <w:r w:rsidR="006735D6">
        <w:t xml:space="preserve"> belongs to. This school employs a more qualitative method to study the translation technique of the different LXX-books. Moreover, they look at how c</w:t>
      </w:r>
      <w:r w:rsidR="006735D6" w:rsidRPr="009817CB">
        <w:t xml:space="preserve">ertain Hebrew grammatical features have been rendered </w:t>
      </w:r>
      <w:r w:rsidR="006735D6">
        <w:t xml:space="preserve">into Greek. This article is a fine example of this methodology. According to </w:t>
      </w:r>
      <w:proofErr w:type="spellStart"/>
      <w:r w:rsidR="006735D6">
        <w:t>Sipilä</w:t>
      </w:r>
      <w:proofErr w:type="spellEnd"/>
      <w:r w:rsidR="006735D6">
        <w:t xml:space="preserve">, the adverb </w:t>
      </w:r>
      <w:r w:rsidR="005858C9" w:rsidRPr="00A704A1">
        <w:rPr>
          <w:rFonts w:ascii="SBL Hebrew" w:hAnsi="SBL Hebrew" w:cs="SBL Hebrew"/>
          <w:rtl/>
          <w:lang w:bidi="he-IL"/>
        </w:rPr>
        <w:t>אוּלַי</w:t>
      </w:r>
      <w:r w:rsidR="005858C9" w:rsidRPr="00A704A1">
        <w:t xml:space="preserve"> </w:t>
      </w:r>
      <w:r w:rsidR="006735D6">
        <w:t xml:space="preserve">is only rendered four times with the Greek </w:t>
      </w:r>
      <w:proofErr w:type="spellStart"/>
      <w:r w:rsidR="005858C9" w:rsidRPr="005858C9">
        <w:rPr>
          <w:rFonts w:ascii="SBL Greek" w:hAnsi="SBL Greek"/>
        </w:rPr>
        <w:t>ἴσως</w:t>
      </w:r>
      <w:proofErr w:type="spellEnd"/>
      <w:r w:rsidR="006735D6" w:rsidRPr="005858C9">
        <w:t>,</w:t>
      </w:r>
      <w:r w:rsidR="006735D6">
        <w:t xml:space="preserve"> a rendering that one should expect more often in the LXX. Moreover, throughout the LXX, </w:t>
      </w:r>
      <w:r w:rsidR="005858C9" w:rsidRPr="00A704A1">
        <w:rPr>
          <w:rFonts w:ascii="SBL Hebrew" w:hAnsi="SBL Hebrew" w:cs="SBL Hebrew"/>
          <w:rtl/>
          <w:lang w:bidi="he-IL"/>
        </w:rPr>
        <w:t>אוּלַי</w:t>
      </w:r>
      <w:r w:rsidR="005858C9" w:rsidRPr="00A704A1">
        <w:t xml:space="preserve"> </w:t>
      </w:r>
      <w:r w:rsidR="006735D6">
        <w:t xml:space="preserve">is rarely translated with </w:t>
      </w:r>
      <w:r w:rsidR="005858C9">
        <w:t>more</w:t>
      </w:r>
      <w:r w:rsidR="006735D6">
        <w:t xml:space="preserve"> literal translations such as </w:t>
      </w:r>
      <w:proofErr w:type="spellStart"/>
      <w:r w:rsidR="005858C9" w:rsidRPr="005858C9">
        <w:rPr>
          <w:rFonts w:ascii="SBL Greek" w:hAnsi="SBL Greek"/>
        </w:rPr>
        <w:t>μή</w:t>
      </w:r>
      <w:proofErr w:type="spellEnd"/>
      <w:r w:rsidR="005858C9" w:rsidRPr="005858C9">
        <w:rPr>
          <w:rFonts w:ascii="SBL Greek" w:hAnsi="SBL Greek"/>
        </w:rPr>
        <w:t>ποτε</w:t>
      </w:r>
      <w:r w:rsidR="005858C9" w:rsidRPr="005858C9">
        <w:t xml:space="preserve"> </w:t>
      </w:r>
      <w:r w:rsidR="006735D6">
        <w:t xml:space="preserve">and </w:t>
      </w:r>
      <w:proofErr w:type="spellStart"/>
      <w:r w:rsidR="005858C9" w:rsidRPr="005858C9">
        <w:rPr>
          <w:rFonts w:ascii="SBL Greek" w:hAnsi="SBL Greek"/>
        </w:rPr>
        <w:t>ἴσως</w:t>
      </w:r>
      <w:proofErr w:type="spellEnd"/>
      <w:r w:rsidR="005858C9">
        <w:t xml:space="preserve">. </w:t>
      </w:r>
      <w:r w:rsidR="006735D6">
        <w:t xml:space="preserve">In the majority of the cases, the Greek translation of </w:t>
      </w:r>
      <w:r w:rsidR="005858C9" w:rsidRPr="00A704A1">
        <w:rPr>
          <w:rFonts w:ascii="SBL Hebrew" w:hAnsi="SBL Hebrew" w:cs="SBL Hebrew"/>
          <w:rtl/>
          <w:lang w:bidi="he-IL"/>
        </w:rPr>
        <w:t>אוּלַי</w:t>
      </w:r>
      <w:r w:rsidR="005858C9" w:rsidRPr="00A704A1">
        <w:t xml:space="preserve"> </w:t>
      </w:r>
      <w:r w:rsidR="006735D6">
        <w:t xml:space="preserve">exhibits a rather free </w:t>
      </w:r>
      <w:r w:rsidR="006A0D01">
        <w:t>translation technique</w:t>
      </w:r>
      <w:r w:rsidR="006735D6">
        <w:rPr>
          <w:i/>
          <w:iCs/>
        </w:rPr>
        <w:t xml:space="preserve"> </w:t>
      </w:r>
      <w:r w:rsidR="006735D6">
        <w:t>by the employment of  conditional constructions</w:t>
      </w:r>
      <w:r w:rsidR="006A0D01">
        <w:t xml:space="preserve">, </w:t>
      </w:r>
      <w:proofErr w:type="spellStart"/>
      <w:r w:rsidR="006735D6">
        <w:t>optative</w:t>
      </w:r>
      <w:r w:rsidR="006A0D01">
        <w:t>s</w:t>
      </w:r>
      <w:proofErr w:type="spellEnd"/>
      <w:r w:rsidR="006735D6">
        <w:t xml:space="preserve"> or </w:t>
      </w:r>
      <w:proofErr w:type="spellStart"/>
      <w:r w:rsidR="005858C9" w:rsidRPr="005858C9">
        <w:rPr>
          <w:rFonts w:ascii="SBL Greek" w:hAnsi="SBL Greek" w:cstheme="majorBidi"/>
        </w:rPr>
        <w:t>μή</w:t>
      </w:r>
      <w:proofErr w:type="spellEnd"/>
      <w:r w:rsidR="005858C9">
        <w:rPr>
          <w:rFonts w:asciiTheme="majorBidi" w:hAnsiTheme="majorBidi" w:cstheme="majorBidi"/>
        </w:rPr>
        <w:t xml:space="preserve">. </w:t>
      </w:r>
      <w:r w:rsidR="006A0D01" w:rsidRPr="005858C9">
        <w:rPr>
          <w:rFonts w:asciiTheme="majorBidi" w:hAnsiTheme="majorBidi" w:cstheme="majorBidi"/>
        </w:rPr>
        <w:t>This</w:t>
      </w:r>
      <w:r w:rsidR="006A0D01">
        <w:t xml:space="preserve"> is also the case in LXX-translations, </w:t>
      </w:r>
      <w:r w:rsidR="006A0D01">
        <w:rPr>
          <w:i/>
          <w:iCs/>
        </w:rPr>
        <w:t xml:space="preserve">e.g. </w:t>
      </w:r>
      <w:r w:rsidR="006A0D01">
        <w:t>Ezekiel and Jeremiah, who are often regarded as literal translations.</w:t>
      </w:r>
    </w:p>
    <w:p w:rsidR="009045A6" w:rsidRDefault="002B3A0A" w:rsidP="00B3549C">
      <w:pPr>
        <w:ind w:firstLine="284"/>
        <w:jc w:val="both"/>
        <w:rPr>
          <w:lang w:val="en-US"/>
        </w:rPr>
      </w:pPr>
      <w:r>
        <w:t xml:space="preserve">In the next article, Satoshi Toda claims that the Greek book of Judith is not translated from a Hebrew </w:t>
      </w:r>
      <w:proofErr w:type="spellStart"/>
      <w:r>
        <w:rPr>
          <w:i/>
          <w:iCs/>
        </w:rPr>
        <w:t>Vorlage</w:t>
      </w:r>
      <w:proofErr w:type="spellEnd"/>
      <w:r>
        <w:rPr>
          <w:i/>
          <w:iCs/>
        </w:rPr>
        <w:t xml:space="preserve"> </w:t>
      </w:r>
      <w:r>
        <w:t xml:space="preserve">but was originally written into Greek. He comes to this conclusion by analysing chapter 11 of the book of Judith. According to him, </w:t>
      </w:r>
      <w:r w:rsidR="003963CA">
        <w:t xml:space="preserve">the </w:t>
      </w:r>
      <w:r>
        <w:t>statement ‘wisdom of words’ (</w:t>
      </w:r>
      <w:proofErr w:type="spellStart"/>
      <w:r>
        <w:rPr>
          <w:rFonts w:ascii="SBL Greek" w:hAnsi="SBL Greek" w:cs="SBL Greek"/>
          <w:lang w:val="el-GR" w:bidi="he-IL"/>
        </w:rPr>
        <w:t>συνέσει</w:t>
      </w:r>
      <w:proofErr w:type="spellEnd"/>
      <w:r w:rsidRPr="002B3A0A">
        <w:rPr>
          <w:rFonts w:ascii="SBL Greek" w:hAnsi="SBL Greek" w:cs="SBL Greek"/>
          <w:lang w:val="en-US" w:bidi="he-IL"/>
        </w:rPr>
        <w:t xml:space="preserve"> </w:t>
      </w:r>
      <w:proofErr w:type="spellStart"/>
      <w:r>
        <w:rPr>
          <w:rFonts w:ascii="SBL Greek" w:hAnsi="SBL Greek" w:cs="SBL Greek"/>
          <w:lang w:val="el-GR" w:bidi="he-IL"/>
        </w:rPr>
        <w:t>λόγων</w:t>
      </w:r>
      <w:proofErr w:type="spellEnd"/>
      <w:r>
        <w:rPr>
          <w:rFonts w:ascii="Arial" w:hAnsi="Arial" w:cs="Arial"/>
          <w:sz w:val="20"/>
          <w:szCs w:val="20"/>
          <w:lang w:val="en-US" w:bidi="he-IL"/>
        </w:rPr>
        <w:t xml:space="preserve"> </w:t>
      </w:r>
      <w:proofErr w:type="spellStart"/>
      <w:r>
        <w:t>Jdt</w:t>
      </w:r>
      <w:proofErr w:type="spellEnd"/>
      <w:r>
        <w:t xml:space="preserve"> 11,21)</w:t>
      </w:r>
      <w:r w:rsidR="003963CA">
        <w:t xml:space="preserve"> can only be understood against a H</w:t>
      </w:r>
      <w:r w:rsidR="008A1D87">
        <w:t>ellenistic background whereby ‘</w:t>
      </w:r>
      <w:r w:rsidR="003963CA">
        <w:t>wisdom of words</w:t>
      </w:r>
      <w:r w:rsidR="008A1D87">
        <w:t>’</w:t>
      </w:r>
      <w:r w:rsidR="003963CA">
        <w:t xml:space="preserve"> denote a rich usage of variegating words in discourse. Such variegated words, which are scarcely used in the LXX-corpus, have a high occurrence in </w:t>
      </w:r>
      <w:proofErr w:type="spellStart"/>
      <w:r w:rsidR="003963CA">
        <w:t>Jdt</w:t>
      </w:r>
      <w:proofErr w:type="spellEnd"/>
      <w:r w:rsidR="003963CA">
        <w:t xml:space="preserve"> 11. These words, in connection with </w:t>
      </w:r>
      <w:proofErr w:type="spellStart"/>
      <w:r w:rsidR="003963CA">
        <w:rPr>
          <w:rFonts w:ascii="SBL Greek" w:hAnsi="SBL Greek" w:cs="SBL Greek"/>
          <w:lang w:val="el-GR" w:bidi="he-IL"/>
        </w:rPr>
        <w:t>συνέσει</w:t>
      </w:r>
      <w:proofErr w:type="spellEnd"/>
      <w:r w:rsidR="003963CA" w:rsidRPr="002B3A0A">
        <w:rPr>
          <w:rFonts w:ascii="SBL Greek" w:hAnsi="SBL Greek" w:cs="SBL Greek"/>
          <w:lang w:val="en-US" w:bidi="he-IL"/>
        </w:rPr>
        <w:t xml:space="preserve"> </w:t>
      </w:r>
      <w:proofErr w:type="spellStart"/>
      <w:r w:rsidR="003963CA">
        <w:rPr>
          <w:rFonts w:ascii="SBL Greek" w:hAnsi="SBL Greek" w:cs="SBL Greek"/>
          <w:lang w:val="el-GR" w:bidi="he-IL"/>
        </w:rPr>
        <w:t>λόγων</w:t>
      </w:r>
      <w:proofErr w:type="spellEnd"/>
      <w:r w:rsidR="003963CA">
        <w:rPr>
          <w:rFonts w:asciiTheme="majorBidi" w:hAnsiTheme="majorBidi" w:cstheme="majorBidi"/>
          <w:lang w:val="en-US" w:bidi="he-IL"/>
        </w:rPr>
        <w:t xml:space="preserve">, point at a Greek original instead of an underlying Hebrew </w:t>
      </w:r>
      <w:proofErr w:type="spellStart"/>
      <w:r w:rsidR="003963CA">
        <w:rPr>
          <w:rFonts w:asciiTheme="majorBidi" w:hAnsiTheme="majorBidi" w:cstheme="majorBidi"/>
          <w:i/>
          <w:iCs/>
          <w:lang w:val="en-US" w:bidi="he-IL"/>
        </w:rPr>
        <w:t>Vorlage</w:t>
      </w:r>
      <w:proofErr w:type="spellEnd"/>
      <w:r w:rsidR="00B3549C">
        <w:rPr>
          <w:rFonts w:asciiTheme="majorBidi" w:hAnsiTheme="majorBidi" w:cstheme="majorBidi"/>
          <w:lang w:val="en-US" w:bidi="he-IL"/>
        </w:rPr>
        <w:t xml:space="preserve">. Although his argument </w:t>
      </w:r>
      <w:r w:rsidR="003963CA">
        <w:rPr>
          <w:rFonts w:asciiTheme="majorBidi" w:hAnsiTheme="majorBidi" w:cstheme="majorBidi"/>
          <w:lang w:val="en-US" w:bidi="he-IL"/>
        </w:rPr>
        <w:t xml:space="preserve">that </w:t>
      </w:r>
      <w:r w:rsidR="00B700D5">
        <w:rPr>
          <w:rFonts w:asciiTheme="majorBidi" w:hAnsiTheme="majorBidi" w:cstheme="majorBidi"/>
          <w:lang w:val="en-US" w:bidi="he-IL"/>
        </w:rPr>
        <w:t xml:space="preserve">showing </w:t>
      </w:r>
      <w:r w:rsidR="00B3549C">
        <w:rPr>
          <w:rFonts w:asciiTheme="majorBidi" w:hAnsiTheme="majorBidi" w:cstheme="majorBidi"/>
          <w:lang w:val="en-US" w:bidi="he-IL"/>
        </w:rPr>
        <w:t>of wisdom by the employment of rare</w:t>
      </w:r>
      <w:r w:rsidR="00B700D5">
        <w:rPr>
          <w:rFonts w:asciiTheme="majorBidi" w:hAnsiTheme="majorBidi" w:cstheme="majorBidi"/>
          <w:lang w:val="en-US" w:bidi="he-IL"/>
        </w:rPr>
        <w:t xml:space="preserve"> words could only be u</w:t>
      </w:r>
      <w:r w:rsidR="00B3549C">
        <w:rPr>
          <w:rFonts w:asciiTheme="majorBidi" w:hAnsiTheme="majorBidi" w:cstheme="majorBidi"/>
          <w:lang w:val="en-US" w:bidi="he-IL"/>
        </w:rPr>
        <w:t>nderstood in a Greek context;</w:t>
      </w:r>
      <w:r w:rsidR="00B700D5">
        <w:rPr>
          <w:rFonts w:asciiTheme="majorBidi" w:hAnsiTheme="majorBidi" w:cstheme="majorBidi"/>
          <w:lang w:val="en-US" w:bidi="he-IL"/>
        </w:rPr>
        <w:t xml:space="preserve"> therefore</w:t>
      </w:r>
      <w:r w:rsidR="00B3549C">
        <w:rPr>
          <w:rFonts w:asciiTheme="majorBidi" w:hAnsiTheme="majorBidi" w:cstheme="majorBidi"/>
          <w:lang w:val="en-US" w:bidi="he-IL"/>
        </w:rPr>
        <w:t>,</w:t>
      </w:r>
      <w:r w:rsidR="00B700D5">
        <w:rPr>
          <w:rFonts w:asciiTheme="majorBidi" w:hAnsiTheme="majorBidi" w:cstheme="majorBidi"/>
          <w:lang w:val="en-US" w:bidi="he-IL"/>
        </w:rPr>
        <w:t xml:space="preserve"> the book must have been written originally in Greek</w:t>
      </w:r>
      <w:r w:rsidR="00B3549C">
        <w:rPr>
          <w:rFonts w:asciiTheme="majorBidi" w:hAnsiTheme="majorBidi" w:cstheme="majorBidi"/>
          <w:lang w:val="en-US" w:bidi="he-IL"/>
        </w:rPr>
        <w:t>, might not be improbable</w:t>
      </w:r>
      <w:r w:rsidR="00B700D5">
        <w:rPr>
          <w:rFonts w:asciiTheme="majorBidi" w:hAnsiTheme="majorBidi" w:cstheme="majorBidi"/>
          <w:lang w:val="en-US" w:bidi="he-IL"/>
        </w:rPr>
        <w:t xml:space="preserve">. It might also be possible that the LXX-translator </w:t>
      </w:r>
      <w:r w:rsidR="008A1D87">
        <w:rPr>
          <w:rFonts w:asciiTheme="majorBidi" w:hAnsiTheme="majorBidi" w:cstheme="majorBidi"/>
          <w:lang w:val="en-US" w:bidi="he-IL"/>
        </w:rPr>
        <w:t xml:space="preserve">was well-versed in Greek language and </w:t>
      </w:r>
      <w:r w:rsidR="00B700D5">
        <w:rPr>
          <w:rFonts w:asciiTheme="majorBidi" w:hAnsiTheme="majorBidi" w:cstheme="majorBidi"/>
          <w:lang w:val="en-US" w:bidi="he-IL"/>
        </w:rPr>
        <w:t xml:space="preserve">handled his </w:t>
      </w:r>
      <w:proofErr w:type="spellStart"/>
      <w:r w:rsidR="00B700D5">
        <w:rPr>
          <w:rFonts w:asciiTheme="majorBidi" w:hAnsiTheme="majorBidi" w:cstheme="majorBidi"/>
          <w:i/>
          <w:iCs/>
          <w:lang w:val="en-US" w:bidi="he-IL"/>
        </w:rPr>
        <w:t>Vorlage</w:t>
      </w:r>
      <w:proofErr w:type="spellEnd"/>
      <w:r w:rsidR="00B700D5">
        <w:rPr>
          <w:rFonts w:asciiTheme="majorBidi" w:hAnsiTheme="majorBidi" w:cstheme="majorBidi"/>
          <w:i/>
          <w:iCs/>
          <w:lang w:val="en-US" w:bidi="he-IL"/>
        </w:rPr>
        <w:t xml:space="preserve"> </w:t>
      </w:r>
      <w:r w:rsidR="00B700D5">
        <w:rPr>
          <w:rFonts w:asciiTheme="majorBidi" w:hAnsiTheme="majorBidi" w:cstheme="majorBidi"/>
          <w:lang w:val="en-US" w:bidi="he-IL"/>
        </w:rPr>
        <w:t xml:space="preserve">in a </w:t>
      </w:r>
      <w:proofErr w:type="spellStart"/>
      <w:r w:rsidR="00B700D5">
        <w:rPr>
          <w:rFonts w:asciiTheme="majorBidi" w:hAnsiTheme="majorBidi" w:cstheme="majorBidi"/>
          <w:lang w:val="en-US" w:bidi="he-IL"/>
        </w:rPr>
        <w:t>fre</w:t>
      </w:r>
      <w:r w:rsidR="008A1D87">
        <w:rPr>
          <w:rFonts w:asciiTheme="majorBidi" w:hAnsiTheme="majorBidi" w:cstheme="majorBidi"/>
          <w:lang w:val="en-US" w:bidi="he-IL"/>
        </w:rPr>
        <w:t>e way</w:t>
      </w:r>
      <w:proofErr w:type="spellEnd"/>
      <w:r w:rsidR="008A1D87">
        <w:rPr>
          <w:rFonts w:asciiTheme="majorBidi" w:hAnsiTheme="majorBidi" w:cstheme="majorBidi"/>
          <w:lang w:val="en-US" w:bidi="he-IL"/>
        </w:rPr>
        <w:t>. B</w:t>
      </w:r>
      <w:r w:rsidR="00B700D5">
        <w:rPr>
          <w:rFonts w:asciiTheme="majorBidi" w:hAnsiTheme="majorBidi" w:cstheme="majorBidi"/>
          <w:lang w:val="en-US" w:bidi="he-IL"/>
        </w:rPr>
        <w:t>y doing so</w:t>
      </w:r>
      <w:r w:rsidR="008A1D87">
        <w:rPr>
          <w:rFonts w:asciiTheme="majorBidi" w:hAnsiTheme="majorBidi" w:cstheme="majorBidi"/>
          <w:lang w:val="en-US" w:bidi="he-IL"/>
        </w:rPr>
        <w:t>,</w:t>
      </w:r>
      <w:r w:rsidR="00B700D5">
        <w:rPr>
          <w:rFonts w:asciiTheme="majorBidi" w:hAnsiTheme="majorBidi" w:cstheme="majorBidi"/>
          <w:lang w:val="en-US" w:bidi="he-IL"/>
        </w:rPr>
        <w:t xml:space="preserve"> </w:t>
      </w:r>
      <w:r w:rsidR="008A1D87">
        <w:rPr>
          <w:rFonts w:asciiTheme="majorBidi" w:hAnsiTheme="majorBidi" w:cstheme="majorBidi"/>
          <w:lang w:val="en-US" w:bidi="he-IL"/>
        </w:rPr>
        <w:t xml:space="preserve">he </w:t>
      </w:r>
      <w:r w:rsidR="00B700D5">
        <w:rPr>
          <w:rFonts w:asciiTheme="majorBidi" w:hAnsiTheme="majorBidi" w:cstheme="majorBidi"/>
          <w:lang w:val="en-US" w:bidi="he-IL"/>
        </w:rPr>
        <w:t>made his Greek translation more appropriate for a Hellenistic context.</w:t>
      </w:r>
    </w:p>
    <w:p w:rsidR="009045A6" w:rsidRDefault="00946B24" w:rsidP="009045A6">
      <w:pPr>
        <w:ind w:firstLine="284"/>
        <w:jc w:val="both"/>
        <w:rPr>
          <w:lang w:val="en-US"/>
        </w:rPr>
      </w:pPr>
      <w:r>
        <w:rPr>
          <w:rFonts w:asciiTheme="majorBidi" w:hAnsiTheme="majorBidi" w:cstheme="majorBidi"/>
          <w:lang w:val="en-US" w:bidi="he-IL"/>
        </w:rPr>
        <w:t xml:space="preserve">One of the largest contributions in the volume is the one of </w:t>
      </w:r>
      <w:proofErr w:type="spellStart"/>
      <w:r>
        <w:rPr>
          <w:rFonts w:asciiTheme="majorBidi" w:hAnsiTheme="majorBidi" w:cstheme="majorBidi"/>
          <w:lang w:val="en-US" w:bidi="he-IL"/>
        </w:rPr>
        <w:t>Michaël</w:t>
      </w:r>
      <w:proofErr w:type="spellEnd"/>
      <w:r>
        <w:rPr>
          <w:rFonts w:asciiTheme="majorBidi" w:hAnsiTheme="majorBidi" w:cstheme="majorBidi"/>
          <w:lang w:val="en-US" w:bidi="he-IL"/>
        </w:rPr>
        <w:t xml:space="preserve"> </w:t>
      </w:r>
      <w:r w:rsidR="00513207">
        <w:rPr>
          <w:rFonts w:asciiTheme="majorBidi" w:hAnsiTheme="majorBidi" w:cstheme="majorBidi"/>
          <w:lang w:val="en-US" w:bidi="he-IL"/>
        </w:rPr>
        <w:t xml:space="preserve">N. </w:t>
      </w:r>
      <w:r>
        <w:rPr>
          <w:rFonts w:asciiTheme="majorBidi" w:hAnsiTheme="majorBidi" w:cstheme="majorBidi"/>
          <w:lang w:val="en-US" w:bidi="he-IL"/>
        </w:rPr>
        <w:t xml:space="preserve">van der Meer. In his article, he examines the </w:t>
      </w:r>
      <w:proofErr w:type="spellStart"/>
      <w:r>
        <w:rPr>
          <w:rFonts w:asciiTheme="majorBidi" w:hAnsiTheme="majorBidi" w:cstheme="majorBidi"/>
          <w:i/>
          <w:iCs/>
          <w:lang w:val="en-US" w:bidi="he-IL"/>
        </w:rPr>
        <w:t>visio</w:t>
      </w:r>
      <w:proofErr w:type="spellEnd"/>
      <w:r>
        <w:rPr>
          <w:rFonts w:asciiTheme="majorBidi" w:hAnsiTheme="majorBidi" w:cstheme="majorBidi"/>
          <w:i/>
          <w:iCs/>
          <w:lang w:val="en-US" w:bidi="he-IL"/>
        </w:rPr>
        <w:t xml:space="preserve"> Dei </w:t>
      </w:r>
      <w:r>
        <w:rPr>
          <w:rFonts w:asciiTheme="majorBidi" w:hAnsiTheme="majorBidi" w:cstheme="majorBidi"/>
          <w:lang w:val="en-US" w:bidi="he-IL"/>
        </w:rPr>
        <w:t xml:space="preserve">in the LXX-books. In the LXX-corpus the passages that describe people seeing God are not rendered systematically in the same way. Some passages reflect a faithful translation of the Hebrew, whereas others present a Greek </w:t>
      </w:r>
      <w:r w:rsidR="009A1015">
        <w:rPr>
          <w:rFonts w:asciiTheme="majorBidi" w:hAnsiTheme="majorBidi" w:cstheme="majorBidi"/>
          <w:lang w:val="en-US" w:bidi="he-IL"/>
        </w:rPr>
        <w:t>text th</w:t>
      </w:r>
      <w:r w:rsidR="00B3549C">
        <w:rPr>
          <w:rFonts w:asciiTheme="majorBidi" w:hAnsiTheme="majorBidi" w:cstheme="majorBidi"/>
          <w:lang w:val="en-US" w:bidi="he-IL"/>
        </w:rPr>
        <w:t>at tries to weaken the idea of people being</w:t>
      </w:r>
      <w:r w:rsidR="009A1015">
        <w:rPr>
          <w:rFonts w:asciiTheme="majorBidi" w:hAnsiTheme="majorBidi" w:cstheme="majorBidi"/>
          <w:lang w:val="en-US" w:bidi="he-IL"/>
        </w:rPr>
        <w:t xml:space="preserve"> able to see God. </w:t>
      </w:r>
      <w:r>
        <w:rPr>
          <w:rFonts w:asciiTheme="majorBidi" w:hAnsiTheme="majorBidi" w:cstheme="majorBidi"/>
          <w:lang w:val="en-US" w:bidi="he-IL"/>
        </w:rPr>
        <w:t>On the basis of the analysis of Hellenistic and Egyptian</w:t>
      </w:r>
      <w:r w:rsidR="00E27CCF">
        <w:rPr>
          <w:rFonts w:asciiTheme="majorBidi" w:hAnsiTheme="majorBidi" w:cstheme="majorBidi"/>
          <w:lang w:val="en-US" w:bidi="he-IL"/>
        </w:rPr>
        <w:t xml:space="preserve"> papyri, ste</w:t>
      </w:r>
      <w:r>
        <w:rPr>
          <w:rFonts w:asciiTheme="majorBidi" w:hAnsiTheme="majorBidi" w:cstheme="majorBidi"/>
          <w:lang w:val="en-US" w:bidi="he-IL"/>
        </w:rPr>
        <w:t xml:space="preserve">les and reliefs, he argues that people could encounter God(s) by means of dreams, visions, natural phenomena, processions and living monarchs. However, these encounters were often mediated by a group of selected people (in this case the high priests). </w:t>
      </w:r>
      <w:r w:rsidR="009A1015">
        <w:rPr>
          <w:rFonts w:asciiTheme="majorBidi" w:hAnsiTheme="majorBidi" w:cstheme="majorBidi"/>
          <w:lang w:val="en-US" w:bidi="he-IL"/>
        </w:rPr>
        <w:t xml:space="preserve">Therefore, not everybody was able to have a glimpse of a Deity. Against this background, the </w:t>
      </w:r>
      <w:r w:rsidR="007F6428">
        <w:rPr>
          <w:rFonts w:asciiTheme="majorBidi" w:hAnsiTheme="majorBidi" w:cstheme="majorBidi"/>
          <w:lang w:val="en-US" w:bidi="he-IL"/>
        </w:rPr>
        <w:t>alterations</w:t>
      </w:r>
      <w:r w:rsidR="009A1015">
        <w:rPr>
          <w:rFonts w:asciiTheme="majorBidi" w:hAnsiTheme="majorBidi" w:cstheme="majorBidi"/>
          <w:lang w:val="en-US" w:bidi="he-IL"/>
        </w:rPr>
        <w:t xml:space="preserve"> </w:t>
      </w:r>
      <w:r w:rsidR="007F6428">
        <w:rPr>
          <w:rFonts w:asciiTheme="majorBidi" w:hAnsiTheme="majorBidi" w:cstheme="majorBidi"/>
          <w:lang w:val="en-US" w:bidi="he-IL"/>
        </w:rPr>
        <w:t xml:space="preserve">of the Hebrew text </w:t>
      </w:r>
      <w:r w:rsidR="009A1015">
        <w:rPr>
          <w:rFonts w:asciiTheme="majorBidi" w:hAnsiTheme="majorBidi" w:cstheme="majorBidi"/>
          <w:lang w:val="en-US" w:bidi="he-IL"/>
        </w:rPr>
        <w:t>in the LXX-translations can be explained.</w:t>
      </w:r>
    </w:p>
    <w:p w:rsidR="009045A6" w:rsidRDefault="00774414" w:rsidP="009045A6">
      <w:pPr>
        <w:ind w:firstLine="284"/>
        <w:jc w:val="both"/>
        <w:rPr>
          <w:lang w:val="en-US"/>
        </w:rPr>
      </w:pPr>
      <w:r>
        <w:rPr>
          <w:rFonts w:asciiTheme="majorBidi" w:hAnsiTheme="majorBidi" w:cstheme="majorBidi"/>
          <w:lang w:val="en-US" w:bidi="he-IL"/>
        </w:rPr>
        <w:t xml:space="preserve">The second to last article deals with the composition of the </w:t>
      </w:r>
      <w:proofErr w:type="spellStart"/>
      <w:r>
        <w:rPr>
          <w:rFonts w:asciiTheme="majorBidi" w:hAnsiTheme="majorBidi" w:cstheme="majorBidi"/>
          <w:i/>
          <w:iCs/>
          <w:lang w:val="en-US" w:bidi="he-IL"/>
        </w:rPr>
        <w:t>Paresinus</w:t>
      </w:r>
      <w:proofErr w:type="spellEnd"/>
      <w:r>
        <w:rPr>
          <w:rFonts w:asciiTheme="majorBidi" w:hAnsiTheme="majorBidi" w:cstheme="majorBidi"/>
          <w:i/>
          <w:iCs/>
          <w:lang w:val="en-US" w:bidi="he-IL"/>
        </w:rPr>
        <w:t xml:space="preserve"> </w:t>
      </w:r>
      <w:proofErr w:type="spellStart"/>
      <w:r>
        <w:rPr>
          <w:rFonts w:asciiTheme="majorBidi" w:hAnsiTheme="majorBidi" w:cstheme="majorBidi"/>
          <w:i/>
          <w:iCs/>
          <w:lang w:val="en-US" w:bidi="he-IL"/>
        </w:rPr>
        <w:t>graecus</w:t>
      </w:r>
      <w:proofErr w:type="spellEnd"/>
      <w:r>
        <w:rPr>
          <w:rFonts w:asciiTheme="majorBidi" w:hAnsiTheme="majorBidi" w:cstheme="majorBidi"/>
          <w:i/>
          <w:iCs/>
          <w:lang w:val="en-US" w:bidi="he-IL"/>
        </w:rPr>
        <w:t xml:space="preserve"> </w:t>
      </w:r>
      <w:r>
        <w:rPr>
          <w:rFonts w:asciiTheme="majorBidi" w:hAnsiTheme="majorBidi" w:cstheme="majorBidi"/>
          <w:lang w:val="en-US" w:bidi="he-IL"/>
        </w:rPr>
        <w:t xml:space="preserve">139 (Paris Psalter). In this contribution, Leontien </w:t>
      </w:r>
      <w:proofErr w:type="spellStart"/>
      <w:r>
        <w:rPr>
          <w:rFonts w:asciiTheme="majorBidi" w:hAnsiTheme="majorBidi" w:cstheme="majorBidi"/>
          <w:lang w:val="en-US" w:bidi="he-IL"/>
        </w:rPr>
        <w:t>Vanderschelden</w:t>
      </w:r>
      <w:proofErr w:type="spellEnd"/>
      <w:r>
        <w:rPr>
          <w:rFonts w:asciiTheme="majorBidi" w:hAnsiTheme="majorBidi" w:cstheme="majorBidi"/>
          <w:lang w:val="en-US" w:bidi="he-IL"/>
        </w:rPr>
        <w:t xml:space="preserve"> argues that the doublets found in the catena of this manuscript have been overlooked by the composer of the catena since they were not that easy to identify. The employment of different sources, that handled the </w:t>
      </w:r>
      <w:r>
        <w:rPr>
          <w:rFonts w:asciiTheme="majorBidi" w:hAnsiTheme="majorBidi" w:cstheme="majorBidi"/>
          <w:lang w:val="en-US" w:bidi="he-IL"/>
        </w:rPr>
        <w:lastRenderedPageBreak/>
        <w:t>fragments differently (</w:t>
      </w:r>
      <w:r>
        <w:rPr>
          <w:rFonts w:asciiTheme="majorBidi" w:hAnsiTheme="majorBidi" w:cstheme="majorBidi"/>
          <w:i/>
          <w:iCs/>
          <w:lang w:val="en-US" w:bidi="he-IL"/>
        </w:rPr>
        <w:t xml:space="preserve">i.e. </w:t>
      </w:r>
      <w:r>
        <w:rPr>
          <w:rFonts w:asciiTheme="majorBidi" w:hAnsiTheme="majorBidi" w:cstheme="majorBidi"/>
          <w:lang w:val="en-US" w:bidi="he-IL"/>
        </w:rPr>
        <w:t>parap</w:t>
      </w:r>
      <w:r w:rsidR="00B3549C">
        <w:rPr>
          <w:rFonts w:asciiTheme="majorBidi" w:hAnsiTheme="majorBidi" w:cstheme="majorBidi"/>
          <w:lang w:val="en-US" w:bidi="he-IL"/>
        </w:rPr>
        <w:t>hrasing, copying or shortening),</w:t>
      </w:r>
      <w:r>
        <w:rPr>
          <w:rFonts w:asciiTheme="majorBidi" w:hAnsiTheme="majorBidi" w:cstheme="majorBidi"/>
          <w:lang w:val="en-US" w:bidi="he-IL"/>
        </w:rPr>
        <w:t xml:space="preserve"> to form the catena have led to the existence of doublets.</w:t>
      </w:r>
    </w:p>
    <w:p w:rsidR="009045A6" w:rsidRDefault="009045A6" w:rsidP="005858C9">
      <w:pPr>
        <w:ind w:firstLine="284"/>
        <w:jc w:val="both"/>
        <w:rPr>
          <w:rFonts w:asciiTheme="majorBidi" w:hAnsiTheme="majorBidi" w:cstheme="majorBidi"/>
          <w:lang w:val="en-US" w:bidi="he-IL"/>
        </w:rPr>
      </w:pPr>
      <w:r w:rsidRPr="00C01F45">
        <w:rPr>
          <w:lang w:val="en-US"/>
        </w:rPr>
        <w:t xml:space="preserve">Finally, </w:t>
      </w:r>
      <w:proofErr w:type="spellStart"/>
      <w:r w:rsidRPr="00C01F45">
        <w:rPr>
          <w:rFonts w:asciiTheme="majorBidi" w:hAnsiTheme="majorBidi" w:cstheme="majorBidi"/>
          <w:lang w:val="en-US" w:bidi="he-IL"/>
        </w:rPr>
        <w:t>Ainssi</w:t>
      </w:r>
      <w:proofErr w:type="spellEnd"/>
      <w:r w:rsidRPr="00C01F45">
        <w:rPr>
          <w:rFonts w:asciiTheme="majorBidi" w:hAnsiTheme="majorBidi" w:cstheme="majorBidi"/>
          <w:lang w:val="en-US" w:bidi="he-IL"/>
        </w:rPr>
        <w:t xml:space="preserve"> </w:t>
      </w:r>
      <w:proofErr w:type="spellStart"/>
      <w:r w:rsidRPr="00C01F45">
        <w:rPr>
          <w:rFonts w:asciiTheme="majorBidi" w:hAnsiTheme="majorBidi" w:cstheme="majorBidi"/>
          <w:lang w:val="en-US" w:bidi="he-IL"/>
        </w:rPr>
        <w:t>Voitila</w:t>
      </w:r>
      <w:proofErr w:type="spellEnd"/>
      <w:r w:rsidRPr="00C01F45">
        <w:rPr>
          <w:rFonts w:asciiTheme="majorBidi" w:hAnsiTheme="majorBidi" w:cstheme="majorBidi"/>
          <w:lang w:val="en-US" w:bidi="he-IL"/>
        </w:rPr>
        <w:t xml:space="preserve"> examines the translation of</w:t>
      </w:r>
      <w:r w:rsidR="005858C9" w:rsidRPr="00C01F45">
        <w:rPr>
          <w:rFonts w:asciiTheme="majorBidi" w:hAnsiTheme="majorBidi" w:cstheme="majorBidi"/>
          <w:lang w:val="en-US" w:bidi="he-IL"/>
        </w:rPr>
        <w:t xml:space="preserve"> the Hebrew </w:t>
      </w:r>
      <w:proofErr w:type="spellStart"/>
      <w:r w:rsidR="005858C9" w:rsidRPr="00C01F45">
        <w:rPr>
          <w:rFonts w:asciiTheme="majorBidi" w:hAnsiTheme="majorBidi" w:cstheme="majorBidi"/>
          <w:i/>
          <w:iCs/>
          <w:lang w:val="en-US" w:bidi="he-IL"/>
        </w:rPr>
        <w:t>yiqqtol</w:t>
      </w:r>
      <w:proofErr w:type="spellEnd"/>
      <w:r w:rsidR="005858C9" w:rsidRPr="00C01F45">
        <w:rPr>
          <w:rFonts w:asciiTheme="majorBidi" w:hAnsiTheme="majorBidi" w:cstheme="majorBidi"/>
          <w:i/>
          <w:iCs/>
          <w:lang w:val="en-US" w:bidi="he-IL"/>
        </w:rPr>
        <w:t xml:space="preserve"> </w:t>
      </w:r>
      <w:r w:rsidR="005858C9" w:rsidRPr="00C01F45">
        <w:rPr>
          <w:rFonts w:asciiTheme="majorBidi" w:hAnsiTheme="majorBidi" w:cstheme="majorBidi"/>
          <w:lang w:val="en-US" w:bidi="he-IL"/>
        </w:rPr>
        <w:t xml:space="preserve">(and </w:t>
      </w:r>
      <w:proofErr w:type="spellStart"/>
      <w:r w:rsidR="005858C9" w:rsidRPr="00C01F45">
        <w:rPr>
          <w:rFonts w:asciiTheme="majorBidi" w:hAnsiTheme="majorBidi" w:cstheme="majorBidi"/>
          <w:i/>
          <w:iCs/>
          <w:lang w:val="en-US" w:bidi="he-IL"/>
        </w:rPr>
        <w:t>weqatal</w:t>
      </w:r>
      <w:proofErr w:type="spellEnd"/>
      <w:r w:rsidR="005858C9" w:rsidRPr="00C01F45">
        <w:rPr>
          <w:rFonts w:asciiTheme="majorBidi" w:hAnsiTheme="majorBidi" w:cstheme="majorBidi"/>
          <w:lang w:val="en-US" w:bidi="he-IL"/>
        </w:rPr>
        <w:t>)</w:t>
      </w:r>
      <w:r w:rsidRPr="00C01F45">
        <w:rPr>
          <w:rFonts w:asciiTheme="majorBidi" w:hAnsiTheme="majorBidi" w:cstheme="majorBidi"/>
          <w:lang w:val="en-US" w:bidi="he-IL"/>
        </w:rPr>
        <w:t xml:space="preserve"> </w:t>
      </w:r>
      <w:r w:rsidR="005858C9" w:rsidRPr="00C01F45">
        <w:rPr>
          <w:rFonts w:asciiTheme="majorBidi" w:hAnsiTheme="majorBidi" w:cstheme="majorBidi"/>
          <w:lang w:val="en-US" w:bidi="he-IL"/>
        </w:rPr>
        <w:t xml:space="preserve">by </w:t>
      </w:r>
      <w:r w:rsidRPr="00C01F45">
        <w:rPr>
          <w:rFonts w:asciiTheme="majorBidi" w:hAnsiTheme="majorBidi" w:cstheme="majorBidi"/>
          <w:lang w:val="en-US" w:bidi="he-IL"/>
        </w:rPr>
        <w:t>the Greek indicative future with imperative meanings</w:t>
      </w:r>
      <w:r w:rsidR="00972B81" w:rsidRPr="00C01F45">
        <w:rPr>
          <w:rFonts w:asciiTheme="majorBidi" w:hAnsiTheme="majorBidi" w:cstheme="majorBidi"/>
          <w:lang w:val="en-US" w:bidi="he-IL"/>
        </w:rPr>
        <w:t xml:space="preserve"> in the LXX</w:t>
      </w:r>
      <w:r w:rsidRPr="00C01F45">
        <w:rPr>
          <w:rFonts w:asciiTheme="majorBidi" w:hAnsiTheme="majorBidi" w:cstheme="majorBidi"/>
          <w:lang w:val="en-US" w:bidi="he-IL"/>
        </w:rPr>
        <w:t>.</w:t>
      </w:r>
      <w:r w:rsidR="00C01F45">
        <w:rPr>
          <w:rFonts w:asciiTheme="majorBidi" w:hAnsiTheme="majorBidi" w:cstheme="majorBidi"/>
          <w:lang w:val="en-US" w:bidi="he-IL"/>
        </w:rPr>
        <w:t xml:space="preserve"> She concludes that whenever a future directive is used in the LXX it expresses (a) an obligation from an external agent on the addressee to perform a predicated action when the agent is in the third person (agent-oriented modality) </w:t>
      </w:r>
      <w:r w:rsidR="00B3549C">
        <w:rPr>
          <w:rFonts w:asciiTheme="majorBidi" w:hAnsiTheme="majorBidi" w:cstheme="majorBidi"/>
          <w:lang w:val="en-US" w:bidi="he-IL"/>
        </w:rPr>
        <w:t>or (b) a</w:t>
      </w:r>
      <w:r w:rsidR="00C01F45">
        <w:rPr>
          <w:rFonts w:asciiTheme="majorBidi" w:hAnsiTheme="majorBidi" w:cstheme="majorBidi"/>
          <w:lang w:val="en-US" w:bidi="he-IL"/>
        </w:rPr>
        <w:t>n obligation from the speaker on the addressee when the agent is in the second person (speaker-oriented modality).</w:t>
      </w:r>
    </w:p>
    <w:p w:rsidR="00E865CF" w:rsidRDefault="007C7DDD" w:rsidP="00DC0928">
      <w:pPr>
        <w:ind w:firstLine="284"/>
        <w:jc w:val="both"/>
        <w:rPr>
          <w:rFonts w:asciiTheme="majorBidi" w:hAnsiTheme="majorBidi" w:cstheme="majorBidi"/>
          <w:lang w:val="en-US" w:bidi="he-IL"/>
        </w:rPr>
      </w:pPr>
      <w:r>
        <w:rPr>
          <w:rFonts w:asciiTheme="majorBidi" w:hAnsiTheme="majorBidi" w:cstheme="majorBidi"/>
          <w:lang w:val="en-US" w:bidi="he-IL"/>
        </w:rPr>
        <w:t xml:space="preserve"> </w:t>
      </w:r>
      <w:r w:rsidR="00B3549C">
        <w:rPr>
          <w:rFonts w:asciiTheme="majorBidi" w:hAnsiTheme="majorBidi" w:cstheme="majorBidi"/>
          <w:lang w:val="en-US" w:bidi="he-IL"/>
        </w:rPr>
        <w:t>T</w:t>
      </w:r>
      <w:r w:rsidR="00B90F91">
        <w:rPr>
          <w:rFonts w:asciiTheme="majorBidi" w:hAnsiTheme="majorBidi" w:cstheme="majorBidi"/>
          <w:lang w:val="en-US" w:bidi="he-IL"/>
        </w:rPr>
        <w:t>he</w:t>
      </w:r>
      <w:r>
        <w:rPr>
          <w:rFonts w:asciiTheme="majorBidi" w:hAnsiTheme="majorBidi" w:cstheme="majorBidi"/>
          <w:lang w:val="en-US" w:bidi="he-IL"/>
        </w:rPr>
        <w:t xml:space="preserve"> volume</w:t>
      </w:r>
      <w:r w:rsidR="00B3549C">
        <w:rPr>
          <w:rFonts w:asciiTheme="majorBidi" w:hAnsiTheme="majorBidi" w:cstheme="majorBidi"/>
          <w:lang w:val="en-US" w:bidi="he-IL"/>
        </w:rPr>
        <w:t xml:space="preserve"> meets its goal mentioned in the outset of the book since it indeed</w:t>
      </w:r>
      <w:r>
        <w:rPr>
          <w:rFonts w:asciiTheme="majorBidi" w:hAnsiTheme="majorBidi" w:cstheme="majorBidi"/>
          <w:lang w:val="en-US" w:bidi="he-IL"/>
        </w:rPr>
        <w:t xml:space="preserve"> contains a variety of contributions that deal with a diversity of t</w:t>
      </w:r>
      <w:r w:rsidR="00676420">
        <w:rPr>
          <w:rFonts w:asciiTheme="majorBidi" w:hAnsiTheme="majorBidi" w:cstheme="majorBidi"/>
          <w:lang w:val="en-US" w:bidi="he-IL"/>
        </w:rPr>
        <w:t xml:space="preserve">opics and methodologies. Therefore, this volume </w:t>
      </w:r>
      <w:r w:rsidR="00B3549C">
        <w:rPr>
          <w:rFonts w:asciiTheme="majorBidi" w:hAnsiTheme="majorBidi" w:cstheme="majorBidi"/>
          <w:lang w:val="en-US" w:bidi="he-IL"/>
        </w:rPr>
        <w:t>might broaden</w:t>
      </w:r>
      <w:r w:rsidR="00676420">
        <w:rPr>
          <w:rFonts w:asciiTheme="majorBidi" w:hAnsiTheme="majorBidi" w:cstheme="majorBidi"/>
          <w:lang w:val="en-US" w:bidi="he-IL"/>
        </w:rPr>
        <w:t xml:space="preserve"> the</w:t>
      </w:r>
      <w:r>
        <w:rPr>
          <w:rFonts w:asciiTheme="majorBidi" w:hAnsiTheme="majorBidi" w:cstheme="majorBidi"/>
          <w:lang w:val="en-US" w:bidi="he-IL"/>
        </w:rPr>
        <w:t xml:space="preserve"> horizon</w:t>
      </w:r>
      <w:r w:rsidR="00676420">
        <w:rPr>
          <w:rFonts w:asciiTheme="majorBidi" w:hAnsiTheme="majorBidi" w:cstheme="majorBidi"/>
          <w:lang w:val="en-US" w:bidi="he-IL"/>
        </w:rPr>
        <w:t xml:space="preserve"> of those exclusively working on the LXX-books</w:t>
      </w:r>
      <w:r>
        <w:rPr>
          <w:rFonts w:asciiTheme="majorBidi" w:hAnsiTheme="majorBidi" w:cstheme="majorBidi"/>
          <w:lang w:val="en-US" w:bidi="he-IL"/>
        </w:rPr>
        <w:t xml:space="preserve">. </w:t>
      </w:r>
      <w:r w:rsidR="00B90F91">
        <w:rPr>
          <w:rFonts w:asciiTheme="majorBidi" w:hAnsiTheme="majorBidi" w:cstheme="majorBidi"/>
          <w:lang w:val="en-US" w:bidi="he-IL"/>
        </w:rPr>
        <w:t xml:space="preserve">All </w:t>
      </w:r>
      <w:r w:rsidR="00423D00">
        <w:rPr>
          <w:rFonts w:asciiTheme="majorBidi" w:hAnsiTheme="majorBidi" w:cstheme="majorBidi"/>
          <w:lang w:val="en-US" w:bidi="he-IL"/>
        </w:rPr>
        <w:t xml:space="preserve">articles in the volume are clearly written, what makes them easy to read. Moreover, some contributions, especially those </w:t>
      </w:r>
      <w:r w:rsidR="001C0541">
        <w:rPr>
          <w:rFonts w:asciiTheme="majorBidi" w:hAnsiTheme="majorBidi" w:cstheme="majorBidi"/>
          <w:lang w:val="en-US" w:bidi="he-IL"/>
        </w:rPr>
        <w:t>concerning the New Testament, apocryphal and</w:t>
      </w:r>
      <w:r w:rsidR="00423D00">
        <w:rPr>
          <w:rFonts w:asciiTheme="majorBidi" w:hAnsiTheme="majorBidi" w:cstheme="majorBidi"/>
          <w:lang w:val="en-US" w:bidi="he-IL"/>
        </w:rPr>
        <w:t xml:space="preserve"> </w:t>
      </w:r>
      <w:proofErr w:type="spellStart"/>
      <w:r w:rsidR="00423D00">
        <w:rPr>
          <w:rFonts w:asciiTheme="majorBidi" w:hAnsiTheme="majorBidi" w:cstheme="majorBidi"/>
          <w:lang w:val="en-US" w:bidi="he-IL"/>
        </w:rPr>
        <w:t>parabiblical</w:t>
      </w:r>
      <w:proofErr w:type="spellEnd"/>
      <w:r w:rsidR="00423D00">
        <w:rPr>
          <w:rFonts w:asciiTheme="majorBidi" w:hAnsiTheme="majorBidi" w:cstheme="majorBidi"/>
          <w:lang w:val="en-US" w:bidi="he-IL"/>
        </w:rPr>
        <w:t xml:space="preserve"> texts, do not require too much background since they provide the reader with a lucid introduction on the problem at hand. However, the articles that directly concern LXX-studies, </w:t>
      </w:r>
      <w:r w:rsidR="00423D00" w:rsidRPr="005858C9">
        <w:rPr>
          <w:rFonts w:asciiTheme="majorBidi" w:hAnsiTheme="majorBidi" w:cstheme="majorBidi"/>
          <w:i/>
          <w:iCs/>
          <w:lang w:val="en-US" w:bidi="he-IL"/>
        </w:rPr>
        <w:t>e.g.</w:t>
      </w:r>
      <w:r w:rsidR="00423D00">
        <w:rPr>
          <w:rFonts w:asciiTheme="majorBidi" w:hAnsiTheme="majorBidi" w:cstheme="majorBidi"/>
          <w:lang w:val="en-US" w:bidi="he-IL"/>
        </w:rPr>
        <w:t xml:space="preserve"> </w:t>
      </w:r>
      <w:proofErr w:type="spellStart"/>
      <w:r w:rsidR="005858C9">
        <w:rPr>
          <w:rFonts w:asciiTheme="majorBidi" w:hAnsiTheme="majorBidi" w:cstheme="majorBidi"/>
          <w:lang w:val="en-US" w:bidi="he-IL"/>
        </w:rPr>
        <w:t>Robker</w:t>
      </w:r>
      <w:proofErr w:type="spellEnd"/>
      <w:r w:rsidR="005858C9">
        <w:rPr>
          <w:rFonts w:asciiTheme="majorBidi" w:hAnsiTheme="majorBidi" w:cstheme="majorBidi"/>
          <w:lang w:val="en-US" w:bidi="he-IL"/>
        </w:rPr>
        <w:t xml:space="preserve">, </w:t>
      </w:r>
      <w:proofErr w:type="spellStart"/>
      <w:r w:rsidR="005858C9">
        <w:rPr>
          <w:rFonts w:asciiTheme="majorBidi" w:hAnsiTheme="majorBidi" w:cstheme="majorBidi"/>
          <w:lang w:val="en-US" w:bidi="he-IL"/>
        </w:rPr>
        <w:t>Sipilä</w:t>
      </w:r>
      <w:proofErr w:type="spellEnd"/>
      <w:r w:rsidR="005858C9">
        <w:rPr>
          <w:rFonts w:asciiTheme="majorBidi" w:hAnsiTheme="majorBidi" w:cstheme="majorBidi"/>
          <w:lang w:val="en-US" w:bidi="he-IL"/>
        </w:rPr>
        <w:t xml:space="preserve"> and </w:t>
      </w:r>
      <w:proofErr w:type="spellStart"/>
      <w:r w:rsidR="005858C9">
        <w:rPr>
          <w:rFonts w:asciiTheme="majorBidi" w:hAnsiTheme="majorBidi" w:cstheme="majorBidi"/>
          <w:lang w:val="en-US" w:bidi="he-IL"/>
        </w:rPr>
        <w:t>Voitila</w:t>
      </w:r>
      <w:proofErr w:type="spellEnd"/>
      <w:r w:rsidR="00423D00">
        <w:rPr>
          <w:rFonts w:asciiTheme="majorBidi" w:hAnsiTheme="majorBidi" w:cstheme="majorBidi"/>
          <w:lang w:val="en-US" w:bidi="he-IL"/>
        </w:rPr>
        <w:t xml:space="preserve">, might require some more background </w:t>
      </w:r>
      <w:r w:rsidR="00DC0928">
        <w:rPr>
          <w:rFonts w:asciiTheme="majorBidi" w:hAnsiTheme="majorBidi" w:cstheme="majorBidi"/>
          <w:lang w:val="en-US" w:bidi="he-IL"/>
        </w:rPr>
        <w:t>given their</w:t>
      </w:r>
      <w:r w:rsidR="00423D00">
        <w:rPr>
          <w:rFonts w:asciiTheme="majorBidi" w:hAnsiTheme="majorBidi" w:cstheme="majorBidi"/>
          <w:lang w:val="en-US" w:bidi="he-IL"/>
        </w:rPr>
        <w:t xml:space="preserve"> more technical </w:t>
      </w:r>
      <w:r w:rsidR="00DC0928">
        <w:rPr>
          <w:rFonts w:asciiTheme="majorBidi" w:hAnsiTheme="majorBidi" w:cstheme="majorBidi"/>
          <w:lang w:val="en-US" w:bidi="he-IL"/>
        </w:rPr>
        <w:t>nature</w:t>
      </w:r>
      <w:r w:rsidR="00423D00">
        <w:rPr>
          <w:rFonts w:asciiTheme="majorBidi" w:hAnsiTheme="majorBidi" w:cstheme="majorBidi"/>
          <w:lang w:val="en-US" w:bidi="he-IL"/>
        </w:rPr>
        <w:t xml:space="preserve">. Nonetheless, </w:t>
      </w:r>
      <w:r>
        <w:rPr>
          <w:rFonts w:asciiTheme="majorBidi" w:hAnsiTheme="majorBidi" w:cstheme="majorBidi"/>
          <w:lang w:val="en-US" w:bidi="he-IL"/>
        </w:rPr>
        <w:t xml:space="preserve">every contribution in the volume presents innovative research and provide the reader with </w:t>
      </w:r>
      <w:r w:rsidR="00DC0928">
        <w:rPr>
          <w:rFonts w:asciiTheme="majorBidi" w:hAnsiTheme="majorBidi" w:cstheme="majorBidi"/>
          <w:lang w:val="en-US" w:bidi="he-IL"/>
        </w:rPr>
        <w:t xml:space="preserve">fresh insights on, </w:t>
      </w:r>
      <w:proofErr w:type="spellStart"/>
      <w:r w:rsidR="00DC0928">
        <w:rPr>
          <w:rFonts w:asciiTheme="majorBidi" w:hAnsiTheme="majorBidi" w:cstheme="majorBidi"/>
          <w:i/>
          <w:iCs/>
          <w:lang w:val="en-US" w:bidi="he-IL"/>
        </w:rPr>
        <w:t>i.a</w:t>
      </w:r>
      <w:proofErr w:type="spellEnd"/>
      <w:r w:rsidR="00DC0928">
        <w:rPr>
          <w:rFonts w:asciiTheme="majorBidi" w:hAnsiTheme="majorBidi" w:cstheme="majorBidi"/>
          <w:i/>
          <w:iCs/>
          <w:lang w:val="en-US" w:bidi="he-IL"/>
        </w:rPr>
        <w:t>.</w:t>
      </w:r>
      <w:r w:rsidR="00DC0928">
        <w:rPr>
          <w:rFonts w:asciiTheme="majorBidi" w:hAnsiTheme="majorBidi" w:cstheme="majorBidi"/>
          <w:lang w:val="en-US" w:bidi="he-IL"/>
        </w:rPr>
        <w:t>, the textual and reception history, theology and linguistics of the Septuagint and cognate literature.</w:t>
      </w:r>
    </w:p>
    <w:p w:rsidR="00416811" w:rsidRDefault="00416811" w:rsidP="009045A6">
      <w:pPr>
        <w:ind w:firstLine="284"/>
        <w:jc w:val="both"/>
        <w:rPr>
          <w:rFonts w:asciiTheme="majorBidi" w:hAnsiTheme="majorBidi" w:cstheme="majorBidi"/>
          <w:lang w:val="en-US" w:bidi="he-IL"/>
        </w:rPr>
      </w:pPr>
    </w:p>
    <w:p w:rsidR="00416811" w:rsidRPr="009045A6" w:rsidRDefault="00416811" w:rsidP="00416811">
      <w:pPr>
        <w:ind w:firstLine="284"/>
        <w:jc w:val="right"/>
      </w:pPr>
      <w:r>
        <w:rPr>
          <w:rFonts w:asciiTheme="majorBidi" w:hAnsiTheme="majorBidi" w:cstheme="majorBidi"/>
          <w:lang w:val="en-US" w:bidi="he-IL"/>
        </w:rPr>
        <w:t>Bryan Beeckman</w:t>
      </w:r>
    </w:p>
    <w:sectPr w:rsidR="00416811" w:rsidRPr="009045A6" w:rsidSect="00080C85">
      <w:pgSz w:w="11906" w:h="16838"/>
      <w:pgMar w:top="1985" w:right="1701"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BL Greek">
    <w:panose1 w:val="02000000000000000000"/>
    <w:charset w:val="00"/>
    <w:family w:val="auto"/>
    <w:pitch w:val="variable"/>
    <w:sig w:usb0="C00000EF" w:usb1="0001A0CB" w:usb2="00000000" w:usb3="00000000" w:csb0="00000009" w:csb1="00000000"/>
  </w:font>
  <w:font w:name="SBL Hebrew">
    <w:panose1 w:val="02000000000000000000"/>
    <w:charset w:val="00"/>
    <w:family w:val="auto"/>
    <w:pitch w:val="variable"/>
    <w:sig w:usb0="8000086F" w:usb1="4000204A"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CD"/>
    <w:rsid w:val="00056987"/>
    <w:rsid w:val="0006448E"/>
    <w:rsid w:val="00080C85"/>
    <w:rsid w:val="000A0B5A"/>
    <w:rsid w:val="0013022B"/>
    <w:rsid w:val="001C0541"/>
    <w:rsid w:val="001E7F9B"/>
    <w:rsid w:val="002450BE"/>
    <w:rsid w:val="002B3A0A"/>
    <w:rsid w:val="002B52D9"/>
    <w:rsid w:val="003237CD"/>
    <w:rsid w:val="003963CA"/>
    <w:rsid w:val="003D20B7"/>
    <w:rsid w:val="00416811"/>
    <w:rsid w:val="00423D00"/>
    <w:rsid w:val="00460EF4"/>
    <w:rsid w:val="00513207"/>
    <w:rsid w:val="005858C9"/>
    <w:rsid w:val="006445F4"/>
    <w:rsid w:val="006735D6"/>
    <w:rsid w:val="00676420"/>
    <w:rsid w:val="006A0D01"/>
    <w:rsid w:val="006C5C80"/>
    <w:rsid w:val="006E0BB1"/>
    <w:rsid w:val="007016D0"/>
    <w:rsid w:val="00703778"/>
    <w:rsid w:val="00774414"/>
    <w:rsid w:val="007C7DDD"/>
    <w:rsid w:val="007F6428"/>
    <w:rsid w:val="008A1D87"/>
    <w:rsid w:val="008C1647"/>
    <w:rsid w:val="009045A6"/>
    <w:rsid w:val="00946B24"/>
    <w:rsid w:val="00972B81"/>
    <w:rsid w:val="009A1015"/>
    <w:rsid w:val="00A704A1"/>
    <w:rsid w:val="00A7471D"/>
    <w:rsid w:val="00A914BA"/>
    <w:rsid w:val="00B3549C"/>
    <w:rsid w:val="00B66CB5"/>
    <w:rsid w:val="00B700D5"/>
    <w:rsid w:val="00B8617A"/>
    <w:rsid w:val="00B90F91"/>
    <w:rsid w:val="00C01F45"/>
    <w:rsid w:val="00C84AD9"/>
    <w:rsid w:val="00D86005"/>
    <w:rsid w:val="00DC0928"/>
    <w:rsid w:val="00E27CCF"/>
    <w:rsid w:val="00E65C17"/>
    <w:rsid w:val="00E865CF"/>
    <w:rsid w:val="00F8687F"/>
    <w:rsid w:val="00FB3BA8"/>
    <w:rsid w:val="00FC09BC"/>
    <w:rsid w:val="00FD00C2"/>
    <w:rsid w:val="00FF6742"/>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640F"/>
  <w15:chartTrackingRefBased/>
  <w15:docId w15:val="{A7ECF5AE-CA59-47AD-A7E9-919728AC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nl-B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491330">
      <w:bodyDiv w:val="1"/>
      <w:marLeft w:val="0"/>
      <w:marRight w:val="0"/>
      <w:marTop w:val="0"/>
      <w:marBottom w:val="0"/>
      <w:divBdr>
        <w:top w:val="none" w:sz="0" w:space="0" w:color="auto"/>
        <w:left w:val="none" w:sz="0" w:space="0" w:color="auto"/>
        <w:bottom w:val="none" w:sz="0" w:space="0" w:color="auto"/>
        <w:right w:val="none" w:sz="0" w:space="0" w:color="auto"/>
      </w:divBdr>
    </w:div>
    <w:div w:id="182689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836</TotalTime>
  <Pages>4</Pages>
  <Words>1884</Words>
  <Characters>10366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KU Leuven</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45</cp:revision>
  <dcterms:created xsi:type="dcterms:W3CDTF">2019-11-25T13:17:00Z</dcterms:created>
  <dcterms:modified xsi:type="dcterms:W3CDTF">2019-11-29T12:45:00Z</dcterms:modified>
</cp:coreProperties>
</file>