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DB29AC" w14:textId="63929DB1" w:rsidR="005B38C2" w:rsidRPr="0095056D" w:rsidRDefault="00134B52" w:rsidP="00D37906">
      <w:pPr>
        <w:spacing w:after="0" w:line="288" w:lineRule="auto"/>
        <w:jc w:val="both"/>
        <w:rPr>
          <w:rFonts w:ascii="Times New Roman" w:hAnsi="Times New Roman" w:cs="Times New Roman"/>
          <w:b/>
          <w:bCs/>
          <w:sz w:val="24"/>
        </w:rPr>
      </w:pPr>
      <w:r w:rsidRPr="0095056D">
        <w:rPr>
          <w:rFonts w:ascii="Times New Roman" w:hAnsi="Times New Roman" w:cs="Times New Roman" w:hint="eastAsia"/>
          <w:b/>
          <w:bCs/>
          <w:sz w:val="24"/>
        </w:rPr>
        <w:t>Exploring the Construct of Phraseological Competence: Perspectives from Human Raters Through Comparative Judgment</w:t>
      </w:r>
    </w:p>
    <w:p w14:paraId="64D93FDF" w14:textId="77777777" w:rsidR="00134B52" w:rsidRPr="00134B52" w:rsidRDefault="00134B52" w:rsidP="00D37906">
      <w:pPr>
        <w:spacing w:after="0" w:line="288" w:lineRule="auto"/>
        <w:jc w:val="both"/>
        <w:rPr>
          <w:rFonts w:hint="eastAsia"/>
          <w:b/>
          <w:bCs/>
        </w:rPr>
      </w:pPr>
    </w:p>
    <w:p w14:paraId="193C41B0" w14:textId="43F415E0" w:rsidR="00D5661E" w:rsidRDefault="009228AF" w:rsidP="00D37906">
      <w:pPr>
        <w:spacing w:after="0" w:line="288" w:lineRule="auto"/>
        <w:jc w:val="both"/>
        <w:rPr>
          <w:rFonts w:ascii="Times New Roman" w:hAnsi="Times New Roman" w:cs="Times New Roman"/>
          <w:sz w:val="24"/>
        </w:rPr>
      </w:pPr>
      <w:r w:rsidRPr="00596555">
        <w:rPr>
          <w:rFonts w:ascii="Times New Roman" w:hAnsi="Times New Roman" w:cs="Times New Roman"/>
          <w:sz w:val="24"/>
        </w:rPr>
        <w:t xml:space="preserve">Phraseological competence is crucial for language acquisition, processing, and fluency (Ellis </w:t>
      </w:r>
      <w:r w:rsidRPr="00CA2B46">
        <w:rPr>
          <w:rFonts w:ascii="Times New Roman" w:hAnsi="Times New Roman" w:cs="Times New Roman"/>
          <w:i/>
          <w:iCs/>
          <w:sz w:val="24"/>
        </w:rPr>
        <w:t>et al.</w:t>
      </w:r>
      <w:r w:rsidRPr="00596555">
        <w:rPr>
          <w:rFonts w:ascii="Times New Roman" w:hAnsi="Times New Roman" w:cs="Times New Roman"/>
          <w:sz w:val="24"/>
        </w:rPr>
        <w:t xml:space="preserve">, 2008; </w:t>
      </w:r>
      <w:proofErr w:type="spellStart"/>
      <w:r w:rsidRPr="00596555">
        <w:rPr>
          <w:rFonts w:ascii="Times New Roman" w:hAnsi="Times New Roman" w:cs="Times New Roman"/>
          <w:sz w:val="24"/>
        </w:rPr>
        <w:t>Paquot</w:t>
      </w:r>
      <w:proofErr w:type="spellEnd"/>
      <w:r w:rsidRPr="00596555">
        <w:rPr>
          <w:rFonts w:ascii="Times New Roman" w:hAnsi="Times New Roman" w:cs="Times New Roman"/>
          <w:sz w:val="24"/>
        </w:rPr>
        <w:t xml:space="preserve"> </w:t>
      </w:r>
      <w:r w:rsidRPr="00CA2B46">
        <w:rPr>
          <w:rFonts w:ascii="Times New Roman" w:hAnsi="Times New Roman" w:cs="Times New Roman"/>
          <w:i/>
          <w:iCs/>
          <w:sz w:val="24"/>
        </w:rPr>
        <w:t>et al.</w:t>
      </w:r>
      <w:r w:rsidRPr="00596555">
        <w:rPr>
          <w:rFonts w:ascii="Times New Roman" w:hAnsi="Times New Roman" w:cs="Times New Roman"/>
          <w:sz w:val="24"/>
        </w:rPr>
        <w:t xml:space="preserve">, 2020) but remains challenging for L2 learners (Laufer &amp; Waldman, 2011; </w:t>
      </w:r>
      <w:proofErr w:type="spellStart"/>
      <w:r w:rsidRPr="00596555">
        <w:rPr>
          <w:rFonts w:ascii="Times New Roman" w:hAnsi="Times New Roman" w:cs="Times New Roman"/>
          <w:sz w:val="24"/>
        </w:rPr>
        <w:t>Paquot</w:t>
      </w:r>
      <w:proofErr w:type="spellEnd"/>
      <w:r w:rsidRPr="00596555">
        <w:rPr>
          <w:rFonts w:ascii="Times New Roman" w:hAnsi="Times New Roman" w:cs="Times New Roman"/>
          <w:sz w:val="24"/>
        </w:rPr>
        <w:t xml:space="preserve"> &amp; Granger, 2012).</w:t>
      </w:r>
      <w:r w:rsidR="00D5661E" w:rsidRPr="00D5661E">
        <w:rPr>
          <w:rFonts w:ascii="DM Sans" w:hAnsi="DM Sans"/>
          <w:color w:val="57606A"/>
          <w:sz w:val="21"/>
          <w:szCs w:val="21"/>
          <w:shd w:val="clear" w:color="auto" w:fill="FFFFFF"/>
        </w:rPr>
        <w:t xml:space="preserve"> </w:t>
      </w:r>
      <w:r w:rsidR="00D5661E" w:rsidRPr="00D5661E">
        <w:rPr>
          <w:rFonts w:ascii="Times New Roman" w:hAnsi="Times New Roman" w:cs="Times New Roman"/>
          <w:sz w:val="24"/>
        </w:rPr>
        <w:t>Recent empirical studies have increasingly conceptualized phraseological competence as a multidimensional construct that includes facets such as accuracy, depth, and breadth</w:t>
      </w:r>
      <w:r w:rsidR="00D5661E">
        <w:rPr>
          <w:rFonts w:ascii="Times New Roman" w:hAnsi="Times New Roman" w:cs="Times New Roman" w:hint="eastAsia"/>
          <w:sz w:val="24"/>
        </w:rPr>
        <w:t xml:space="preserve"> (</w:t>
      </w:r>
      <w:r w:rsidR="00D5661E" w:rsidRPr="00D5661E">
        <w:rPr>
          <w:rFonts w:ascii="Times New Roman" w:hAnsi="Times New Roman" w:cs="Times New Roman"/>
          <w:sz w:val="24"/>
        </w:rPr>
        <w:t xml:space="preserve">Naismith &amp; </w:t>
      </w:r>
      <w:proofErr w:type="spellStart"/>
      <w:r w:rsidR="00D5661E" w:rsidRPr="00D5661E">
        <w:rPr>
          <w:rFonts w:ascii="Times New Roman" w:hAnsi="Times New Roman" w:cs="Times New Roman"/>
          <w:sz w:val="24"/>
        </w:rPr>
        <w:t>Juffs</w:t>
      </w:r>
      <w:proofErr w:type="spellEnd"/>
      <w:r w:rsidR="00D5661E" w:rsidRPr="00D5661E">
        <w:rPr>
          <w:rFonts w:ascii="Times New Roman" w:hAnsi="Times New Roman" w:cs="Times New Roman"/>
          <w:sz w:val="24"/>
        </w:rPr>
        <w:t>, 2025</w:t>
      </w:r>
      <w:r w:rsidR="00D37906">
        <w:rPr>
          <w:rFonts w:ascii="Times New Roman" w:hAnsi="Times New Roman" w:cs="Times New Roman" w:hint="eastAsia"/>
          <w:sz w:val="24"/>
        </w:rPr>
        <w:t xml:space="preserve">; </w:t>
      </w:r>
      <w:proofErr w:type="spellStart"/>
      <w:r w:rsidR="00D37906" w:rsidRPr="00D5661E">
        <w:rPr>
          <w:rFonts w:ascii="Times New Roman" w:hAnsi="Times New Roman" w:cs="Times New Roman"/>
          <w:sz w:val="24"/>
        </w:rPr>
        <w:t>Paquot</w:t>
      </w:r>
      <w:proofErr w:type="spellEnd"/>
      <w:r w:rsidR="00D37906" w:rsidRPr="00D5661E">
        <w:rPr>
          <w:rFonts w:ascii="Times New Roman" w:hAnsi="Times New Roman" w:cs="Times New Roman"/>
          <w:sz w:val="24"/>
        </w:rPr>
        <w:t>, 2019;</w:t>
      </w:r>
      <w:r w:rsidR="00D37906" w:rsidRPr="00D37906">
        <w:rPr>
          <w:rFonts w:ascii="Times New Roman" w:hAnsi="Times New Roman" w:cs="Times New Roman"/>
          <w:sz w:val="24"/>
        </w:rPr>
        <w:t xml:space="preserve"> Xu, 2018</w:t>
      </w:r>
      <w:r w:rsidR="00D5661E">
        <w:rPr>
          <w:rFonts w:ascii="Times New Roman" w:hAnsi="Times New Roman" w:cs="Times New Roman" w:hint="eastAsia"/>
          <w:sz w:val="24"/>
        </w:rPr>
        <w:t>)</w:t>
      </w:r>
      <w:r w:rsidR="00D5661E" w:rsidRPr="00D5661E">
        <w:rPr>
          <w:rFonts w:ascii="Times New Roman" w:hAnsi="Times New Roman" w:cs="Times New Roman"/>
          <w:sz w:val="24"/>
        </w:rPr>
        <w:t>.</w:t>
      </w:r>
      <w:r w:rsidR="00787E47" w:rsidRPr="00787E47">
        <w:rPr>
          <w:rFonts w:ascii="Microsoft YaHei UI" w:eastAsia="Microsoft YaHei UI" w:hAnsi="Microsoft YaHei UI" w:cs="Arial"/>
          <w:kern w:val="0"/>
          <w:sz w:val="18"/>
          <w:szCs w:val="18"/>
          <w14:ligatures w14:val="none"/>
        </w:rPr>
        <w:t xml:space="preserve"> </w:t>
      </w:r>
      <w:r w:rsidR="00787E47" w:rsidRPr="00787E47">
        <w:rPr>
          <w:rFonts w:ascii="Times New Roman" w:hAnsi="Times New Roman" w:cs="Times New Roman"/>
          <w:sz w:val="24"/>
        </w:rPr>
        <w:t xml:space="preserve">This conceptualization </w:t>
      </w:r>
      <w:r w:rsidR="00D37906" w:rsidRPr="00D37906">
        <w:rPr>
          <w:rFonts w:ascii="Times New Roman" w:hAnsi="Times New Roman" w:cs="Times New Roman"/>
          <w:sz w:val="24"/>
        </w:rPr>
        <w:t>raises important questions about how phraseological competence should be assessed and which dimensions are most salient in different contexts. </w:t>
      </w:r>
      <w:r w:rsidR="00D5661E" w:rsidRPr="00D5661E">
        <w:rPr>
          <w:rFonts w:ascii="Times New Roman" w:hAnsi="Times New Roman" w:cs="Times New Roman"/>
          <w:sz w:val="24"/>
        </w:rPr>
        <w:t>In research on linguistic constructs more broadly, two complementary approaches are commonly adopted: (1) analyzing learner output to identify salient performance features, and (2) examining rater orientations to uncover the criteria underlying expert judgments (Ducasse &amp; Brown, 2009).</w:t>
      </w:r>
      <w:r w:rsidR="00D5661E">
        <w:rPr>
          <w:rFonts w:ascii="Times New Roman" w:hAnsi="Times New Roman" w:cs="Times New Roman" w:hint="eastAsia"/>
          <w:sz w:val="24"/>
        </w:rPr>
        <w:t xml:space="preserve"> </w:t>
      </w:r>
      <w:r w:rsidR="00D50904">
        <w:rPr>
          <w:rFonts w:ascii="Times New Roman" w:hAnsi="Times New Roman" w:cs="Times New Roman"/>
          <w:sz w:val="24"/>
        </w:rPr>
        <w:t>W</w:t>
      </w:r>
      <w:r w:rsidR="00D5661E" w:rsidRPr="00D5661E">
        <w:rPr>
          <w:rFonts w:ascii="Times New Roman" w:hAnsi="Times New Roman" w:cs="Times New Roman"/>
          <w:sz w:val="24"/>
        </w:rPr>
        <w:t xml:space="preserve">ithin </w:t>
      </w:r>
      <w:r w:rsidR="00D5661E" w:rsidRPr="00BF7496">
        <w:rPr>
          <w:rFonts w:ascii="Times New Roman" w:hAnsi="Times New Roman" w:cs="Times New Roman" w:hint="eastAsia"/>
          <w:sz w:val="24"/>
        </w:rPr>
        <w:t>phraseological research</w:t>
      </w:r>
      <w:r w:rsidR="00D50904">
        <w:rPr>
          <w:rFonts w:ascii="Times New Roman" w:hAnsi="Times New Roman" w:cs="Times New Roman"/>
          <w:sz w:val="24"/>
        </w:rPr>
        <w:t>, however</w:t>
      </w:r>
      <w:r w:rsidR="00D5661E" w:rsidRPr="00D5661E">
        <w:rPr>
          <w:rFonts w:ascii="Times New Roman" w:hAnsi="Times New Roman" w:cs="Times New Roman"/>
          <w:sz w:val="24"/>
        </w:rPr>
        <w:t>, the first approach—relying on corpus-based analyses and computational indices—has been overwhelmingly dominant</w:t>
      </w:r>
      <w:r w:rsidR="001D2FC4">
        <w:rPr>
          <w:rFonts w:ascii="Times New Roman" w:hAnsi="Times New Roman" w:cs="Times New Roman" w:hint="eastAsia"/>
          <w:sz w:val="24"/>
        </w:rPr>
        <w:t xml:space="preserve"> (e.g., </w:t>
      </w:r>
      <w:proofErr w:type="spellStart"/>
      <w:r w:rsidR="001D2FC4">
        <w:rPr>
          <w:rFonts w:ascii="Times New Roman" w:hAnsi="Times New Roman" w:cs="Times New Roman" w:hint="eastAsia"/>
          <w:sz w:val="24"/>
        </w:rPr>
        <w:t>Paquot</w:t>
      </w:r>
      <w:proofErr w:type="spellEnd"/>
      <w:r w:rsidR="001D2FC4">
        <w:rPr>
          <w:rFonts w:ascii="Times New Roman" w:hAnsi="Times New Roman" w:cs="Times New Roman" w:hint="eastAsia"/>
          <w:sz w:val="24"/>
        </w:rPr>
        <w:t xml:space="preserve">, 2019; </w:t>
      </w:r>
      <w:proofErr w:type="spellStart"/>
      <w:r w:rsidR="001D2FC4" w:rsidRPr="001D2FC4">
        <w:rPr>
          <w:rFonts w:ascii="Times New Roman" w:hAnsi="Times New Roman" w:cs="Times New Roman"/>
          <w:sz w:val="24"/>
        </w:rPr>
        <w:t>Paquot</w:t>
      </w:r>
      <w:proofErr w:type="spellEnd"/>
      <w:r w:rsidR="001D2FC4">
        <w:rPr>
          <w:rFonts w:ascii="Times New Roman" w:hAnsi="Times New Roman" w:cs="Times New Roman" w:hint="eastAsia"/>
          <w:sz w:val="24"/>
        </w:rPr>
        <w:t xml:space="preserve"> </w:t>
      </w:r>
      <w:r w:rsidR="001D2FC4" w:rsidRPr="001D2FC4">
        <w:rPr>
          <w:rFonts w:ascii="Times New Roman" w:hAnsi="Times New Roman" w:cs="Times New Roman"/>
          <w:sz w:val="24"/>
        </w:rPr>
        <w:t xml:space="preserve">&amp; </w:t>
      </w:r>
      <w:proofErr w:type="spellStart"/>
      <w:r w:rsidR="001D2FC4" w:rsidRPr="001D2FC4">
        <w:rPr>
          <w:rFonts w:ascii="Times New Roman" w:hAnsi="Times New Roman" w:cs="Times New Roman"/>
          <w:sz w:val="24"/>
        </w:rPr>
        <w:t>Naets</w:t>
      </w:r>
      <w:proofErr w:type="spellEnd"/>
      <w:r w:rsidR="001D2FC4" w:rsidRPr="001D2FC4">
        <w:rPr>
          <w:rFonts w:ascii="Times New Roman" w:hAnsi="Times New Roman" w:cs="Times New Roman"/>
          <w:sz w:val="24"/>
        </w:rPr>
        <w:t xml:space="preserve">, </w:t>
      </w:r>
      <w:r w:rsidR="001D2FC4">
        <w:rPr>
          <w:rFonts w:ascii="Times New Roman" w:hAnsi="Times New Roman" w:cs="Times New Roman" w:hint="eastAsia"/>
          <w:sz w:val="24"/>
        </w:rPr>
        <w:t>2</w:t>
      </w:r>
      <w:r w:rsidR="001D2FC4" w:rsidRPr="001D2FC4">
        <w:rPr>
          <w:rFonts w:ascii="Times New Roman" w:hAnsi="Times New Roman" w:cs="Times New Roman"/>
          <w:sz w:val="24"/>
        </w:rPr>
        <w:t>025</w:t>
      </w:r>
      <w:r w:rsidR="001D2FC4">
        <w:rPr>
          <w:rFonts w:ascii="Times New Roman" w:hAnsi="Times New Roman" w:cs="Times New Roman" w:hint="eastAsia"/>
          <w:sz w:val="24"/>
        </w:rPr>
        <w:t>)</w:t>
      </w:r>
      <w:r w:rsidR="00D5661E" w:rsidRPr="00D5661E">
        <w:rPr>
          <w:rFonts w:ascii="Times New Roman" w:hAnsi="Times New Roman" w:cs="Times New Roman"/>
          <w:sz w:val="24"/>
        </w:rPr>
        <w:t>.</w:t>
      </w:r>
      <w:r w:rsidR="004C44A4" w:rsidRPr="004C44A4">
        <w:rPr>
          <w:rFonts w:ascii="DM Sans" w:hAnsi="DM Sans"/>
          <w:sz w:val="21"/>
          <w:szCs w:val="21"/>
          <w:shd w:val="clear" w:color="auto" w:fill="FFFFFF"/>
        </w:rPr>
        <w:t xml:space="preserve"> </w:t>
      </w:r>
      <w:r w:rsidR="004C44A4" w:rsidRPr="004C44A4">
        <w:rPr>
          <w:rFonts w:ascii="Times New Roman" w:hAnsi="Times New Roman" w:cs="Times New Roman"/>
          <w:sz w:val="24"/>
        </w:rPr>
        <w:t xml:space="preserve">In contrast, little is known about the dimensions that human raters focus on when </w:t>
      </w:r>
      <w:r w:rsidR="000D3C4A">
        <w:rPr>
          <w:rFonts w:ascii="Times New Roman" w:hAnsi="Times New Roman" w:cs="Times New Roman"/>
          <w:sz w:val="24"/>
        </w:rPr>
        <w:t xml:space="preserve">evaluating </w:t>
      </w:r>
      <w:r w:rsidR="004C44A4" w:rsidRPr="004C44A4">
        <w:rPr>
          <w:rFonts w:ascii="Times New Roman" w:hAnsi="Times New Roman" w:cs="Times New Roman"/>
          <w:sz w:val="24"/>
        </w:rPr>
        <w:t xml:space="preserve">phraseological competence, </w:t>
      </w:r>
      <w:r w:rsidR="00D37906" w:rsidRPr="00D37906">
        <w:rPr>
          <w:rFonts w:ascii="Times New Roman" w:hAnsi="Times New Roman" w:cs="Times New Roman"/>
          <w:sz w:val="24"/>
        </w:rPr>
        <w:t xml:space="preserve">even though their judgments are often regarded as the gold standard for establishing construct validity </w:t>
      </w:r>
      <w:r w:rsidR="00D5661E" w:rsidRPr="00D5661E">
        <w:rPr>
          <w:rFonts w:ascii="Times New Roman" w:hAnsi="Times New Roman" w:cs="Times New Roman"/>
          <w:sz w:val="24"/>
        </w:rPr>
        <w:t>(Crossley</w:t>
      </w:r>
      <w:r w:rsidR="00D5661E" w:rsidRPr="00187F21">
        <w:rPr>
          <w:rFonts w:ascii="Times New Roman" w:hAnsi="Times New Roman" w:cs="Times New Roman"/>
          <w:i/>
          <w:iCs/>
          <w:sz w:val="24"/>
        </w:rPr>
        <w:t xml:space="preserve"> et al.</w:t>
      </w:r>
      <w:r w:rsidR="00D5661E" w:rsidRPr="00D5661E">
        <w:rPr>
          <w:rFonts w:ascii="Times New Roman" w:hAnsi="Times New Roman" w:cs="Times New Roman"/>
          <w:sz w:val="24"/>
        </w:rPr>
        <w:t>, 2013).</w:t>
      </w:r>
    </w:p>
    <w:p w14:paraId="3EBCE175" w14:textId="77777777" w:rsidR="00C43B92" w:rsidRPr="00D37906" w:rsidRDefault="00C43B92" w:rsidP="00D37906">
      <w:pPr>
        <w:spacing w:after="0" w:line="288" w:lineRule="auto"/>
        <w:jc w:val="both"/>
        <w:rPr>
          <w:rFonts w:ascii="Times New Roman" w:hAnsi="Times New Roman" w:cs="Times New Roman"/>
          <w:sz w:val="24"/>
        </w:rPr>
      </w:pPr>
    </w:p>
    <w:p w14:paraId="688D1F0C" w14:textId="05E6E6AF" w:rsidR="00C43B92" w:rsidRDefault="0023751D" w:rsidP="00D37906">
      <w:pPr>
        <w:spacing w:after="0" w:line="288" w:lineRule="auto"/>
        <w:jc w:val="both"/>
        <w:rPr>
          <w:rFonts w:ascii="Times New Roman" w:hAnsi="Times New Roman" w:cs="Times New Roman"/>
          <w:sz w:val="24"/>
        </w:rPr>
      </w:pPr>
      <w:r w:rsidRPr="0023751D">
        <w:rPr>
          <w:rFonts w:ascii="Times New Roman" w:hAnsi="Times New Roman" w:cs="Times New Roman"/>
          <w:sz w:val="24"/>
        </w:rPr>
        <w:t>This study investigates how human raters assess phraseological competence, with the aim of identifying the specific dimensions to which they are most sensitive. To this end, it adopts comparative judgment (CJ), a methodological innovation increasingly</w:t>
      </w:r>
      <w:r w:rsidR="00B6629A">
        <w:rPr>
          <w:rFonts w:ascii="Times New Roman" w:hAnsi="Times New Roman" w:cs="Times New Roman"/>
          <w:sz w:val="24"/>
        </w:rPr>
        <w:t xml:space="preserve"> used to assess </w:t>
      </w:r>
      <w:bookmarkStart w:id="0" w:name="OLE_LINK8"/>
      <w:bookmarkStart w:id="1" w:name="OLE_LINK5"/>
      <w:r w:rsidR="00C36C18" w:rsidRPr="00C36C18">
        <w:rPr>
          <w:rFonts w:ascii="Times New Roman" w:hAnsi="Times New Roman" w:cs="Times New Roman"/>
          <w:sz w:val="24"/>
        </w:rPr>
        <w:t xml:space="preserve">complex and multidimensional linguistic constructs in applied linguistics (Thwaites &amp; </w:t>
      </w:r>
      <w:proofErr w:type="spellStart"/>
      <w:r w:rsidR="00C36C18" w:rsidRPr="00C36C18">
        <w:rPr>
          <w:rFonts w:ascii="Times New Roman" w:hAnsi="Times New Roman" w:cs="Times New Roman"/>
          <w:sz w:val="24"/>
        </w:rPr>
        <w:t>Paquot</w:t>
      </w:r>
      <w:proofErr w:type="spellEnd"/>
      <w:r w:rsidR="00C36C18" w:rsidRPr="00C36C18">
        <w:rPr>
          <w:rFonts w:ascii="Times New Roman" w:hAnsi="Times New Roman" w:cs="Times New Roman"/>
          <w:sz w:val="24"/>
        </w:rPr>
        <w:t xml:space="preserve">, 2024; </w:t>
      </w:r>
      <w:proofErr w:type="spellStart"/>
      <w:r w:rsidR="00C36C18" w:rsidRPr="00C36C18">
        <w:rPr>
          <w:rFonts w:ascii="Times New Roman" w:hAnsi="Times New Roman" w:cs="Times New Roman"/>
          <w:sz w:val="24"/>
        </w:rPr>
        <w:t>Verhavert</w:t>
      </w:r>
      <w:proofErr w:type="spellEnd"/>
      <w:r w:rsidR="00C36C18" w:rsidRPr="00C36C18">
        <w:rPr>
          <w:rFonts w:ascii="Times New Roman" w:hAnsi="Times New Roman" w:cs="Times New Roman"/>
          <w:sz w:val="24"/>
        </w:rPr>
        <w:t xml:space="preserve"> </w:t>
      </w:r>
      <w:r w:rsidR="00C36C18" w:rsidRPr="008C27BD">
        <w:rPr>
          <w:rFonts w:ascii="Times New Roman" w:hAnsi="Times New Roman" w:cs="Times New Roman"/>
          <w:i/>
          <w:iCs/>
          <w:sz w:val="24"/>
        </w:rPr>
        <w:t>et al.</w:t>
      </w:r>
      <w:r w:rsidR="00C36C18" w:rsidRPr="00C36C18">
        <w:rPr>
          <w:rFonts w:ascii="Times New Roman" w:hAnsi="Times New Roman" w:cs="Times New Roman"/>
          <w:sz w:val="24"/>
        </w:rPr>
        <w:t>, 2019). In CJ, expert raters compare pairs of performances</w:t>
      </w:r>
      <w:r w:rsidR="00EB0A6D">
        <w:rPr>
          <w:rFonts w:ascii="Times New Roman" w:hAnsi="Times New Roman" w:cs="Times New Roman"/>
          <w:sz w:val="24"/>
        </w:rPr>
        <w:t xml:space="preserve"> </w:t>
      </w:r>
      <w:r w:rsidR="00EB0A6D" w:rsidRPr="00EB0A6D">
        <w:rPr>
          <w:rFonts w:ascii="Times New Roman" w:hAnsi="Times New Roman" w:cs="Times New Roman"/>
          <w:sz w:val="24"/>
        </w:rPr>
        <w:t>and decide which one demonstrates a higher level of the target construct.</w:t>
      </w:r>
      <w:r w:rsidR="00EB0A6D">
        <w:rPr>
          <w:rFonts w:ascii="Times New Roman" w:hAnsi="Times New Roman" w:cs="Times New Roman"/>
          <w:sz w:val="24"/>
        </w:rPr>
        <w:t xml:space="preserve"> These pairwise</w:t>
      </w:r>
      <w:r w:rsidR="00C36C18" w:rsidRPr="00C36C18">
        <w:rPr>
          <w:rFonts w:ascii="Times New Roman" w:hAnsi="Times New Roman" w:cs="Times New Roman"/>
          <w:sz w:val="24"/>
        </w:rPr>
        <w:t xml:space="preserve"> </w:t>
      </w:r>
      <w:r w:rsidR="00386CD1">
        <w:rPr>
          <w:rFonts w:ascii="Times New Roman" w:hAnsi="Times New Roman" w:cs="Times New Roman"/>
          <w:sz w:val="24"/>
        </w:rPr>
        <w:t>comparisons</w:t>
      </w:r>
      <w:r w:rsidR="00386CD1" w:rsidRPr="00C36C18">
        <w:rPr>
          <w:rFonts w:ascii="Times New Roman" w:hAnsi="Times New Roman" w:cs="Times New Roman"/>
          <w:sz w:val="24"/>
        </w:rPr>
        <w:t xml:space="preserve"> </w:t>
      </w:r>
      <w:r w:rsidR="00C36C18" w:rsidRPr="00C36C18">
        <w:rPr>
          <w:rFonts w:ascii="Times New Roman" w:hAnsi="Times New Roman" w:cs="Times New Roman"/>
          <w:sz w:val="24"/>
        </w:rPr>
        <w:t xml:space="preserve">are </w:t>
      </w:r>
      <w:r w:rsidR="00386CD1">
        <w:rPr>
          <w:rFonts w:ascii="Times New Roman" w:hAnsi="Times New Roman" w:cs="Times New Roman"/>
          <w:sz w:val="24"/>
        </w:rPr>
        <w:t xml:space="preserve">then modelled </w:t>
      </w:r>
      <w:r w:rsidR="00C36C18" w:rsidRPr="00C36C18">
        <w:rPr>
          <w:rFonts w:ascii="Times New Roman" w:hAnsi="Times New Roman" w:cs="Times New Roman"/>
          <w:sz w:val="24"/>
        </w:rPr>
        <w:t>statistically</w:t>
      </w:r>
      <w:r w:rsidR="00386CD1">
        <w:rPr>
          <w:rFonts w:ascii="Times New Roman" w:hAnsi="Times New Roman" w:cs="Times New Roman"/>
          <w:sz w:val="24"/>
        </w:rPr>
        <w:t xml:space="preserve"> </w:t>
      </w:r>
      <w:r w:rsidR="00C36C18" w:rsidRPr="00C36C18">
        <w:rPr>
          <w:rFonts w:ascii="Times New Roman" w:hAnsi="Times New Roman" w:cs="Times New Roman"/>
          <w:sz w:val="24"/>
        </w:rPr>
        <w:t xml:space="preserve">using the Bradley-Terry-Luce (BTL) </w:t>
      </w:r>
      <w:r w:rsidR="00386CD1">
        <w:rPr>
          <w:rFonts w:ascii="Times New Roman" w:hAnsi="Times New Roman" w:cs="Times New Roman"/>
          <w:sz w:val="24"/>
        </w:rPr>
        <w:t>framework</w:t>
      </w:r>
      <w:r w:rsidR="00C36C18" w:rsidRPr="00C36C18">
        <w:rPr>
          <w:rFonts w:ascii="Times New Roman" w:hAnsi="Times New Roman" w:cs="Times New Roman"/>
          <w:sz w:val="24"/>
        </w:rPr>
        <w:t xml:space="preserve">. </w:t>
      </w:r>
      <w:r w:rsidR="00342CEE">
        <w:rPr>
          <w:rFonts w:ascii="Times New Roman" w:hAnsi="Times New Roman" w:cs="Times New Roman"/>
          <w:sz w:val="24"/>
        </w:rPr>
        <w:t>CJ</w:t>
      </w:r>
      <w:r w:rsidR="00C36C18" w:rsidRPr="00C36C18">
        <w:rPr>
          <w:rFonts w:ascii="Times New Roman" w:hAnsi="Times New Roman" w:cs="Times New Roman"/>
          <w:sz w:val="24"/>
        </w:rPr>
        <w:t xml:space="preserve"> has </w:t>
      </w:r>
      <w:r w:rsidR="0054315F">
        <w:rPr>
          <w:rFonts w:ascii="Times New Roman" w:hAnsi="Times New Roman" w:cs="Times New Roman"/>
          <w:sz w:val="24"/>
        </w:rPr>
        <w:t>proven to be a reliable and valid method for assessing</w:t>
      </w:r>
      <w:r w:rsidR="00C43B92" w:rsidRPr="006A61FC">
        <w:rPr>
          <w:rFonts w:ascii="Times New Roman" w:hAnsi="Times New Roman" w:cs="Times New Roman"/>
          <w:sz w:val="24"/>
        </w:rPr>
        <w:t xml:space="preserve"> complex constructs in language</w:t>
      </w:r>
      <w:r w:rsidR="003929A7">
        <w:rPr>
          <w:rFonts w:ascii="Times New Roman" w:hAnsi="Times New Roman" w:cs="Times New Roman"/>
          <w:sz w:val="24"/>
        </w:rPr>
        <w:t xml:space="preserve"> learning and</w:t>
      </w:r>
      <w:r w:rsidR="00C43B92" w:rsidRPr="006A61FC">
        <w:rPr>
          <w:rFonts w:ascii="Times New Roman" w:hAnsi="Times New Roman" w:cs="Times New Roman"/>
          <w:sz w:val="24"/>
        </w:rPr>
        <w:t xml:space="preserve"> assessment (Thwaites </w:t>
      </w:r>
      <w:r w:rsidR="00C43B92" w:rsidRPr="00CA2B46">
        <w:rPr>
          <w:rFonts w:ascii="Times New Roman" w:hAnsi="Times New Roman" w:cs="Times New Roman"/>
          <w:i/>
          <w:iCs/>
          <w:sz w:val="24"/>
        </w:rPr>
        <w:t>et al.</w:t>
      </w:r>
      <w:r w:rsidR="00C43B92" w:rsidRPr="006A61FC">
        <w:rPr>
          <w:rFonts w:ascii="Times New Roman" w:hAnsi="Times New Roman" w:cs="Times New Roman"/>
          <w:sz w:val="24"/>
        </w:rPr>
        <w:t xml:space="preserve">, 2024; </w:t>
      </w:r>
      <w:proofErr w:type="spellStart"/>
      <w:r w:rsidR="00C43B92" w:rsidRPr="006A61FC">
        <w:rPr>
          <w:rFonts w:ascii="Times New Roman" w:hAnsi="Times New Roman" w:cs="Times New Roman"/>
          <w:sz w:val="24"/>
        </w:rPr>
        <w:t>Verhavert</w:t>
      </w:r>
      <w:proofErr w:type="spellEnd"/>
      <w:r w:rsidR="00C43B92" w:rsidRPr="006A61FC">
        <w:rPr>
          <w:rFonts w:ascii="Times New Roman" w:hAnsi="Times New Roman" w:cs="Times New Roman"/>
          <w:sz w:val="24"/>
        </w:rPr>
        <w:t xml:space="preserve"> </w:t>
      </w:r>
      <w:r w:rsidR="00C43B92" w:rsidRPr="00CA2B46">
        <w:rPr>
          <w:rFonts w:ascii="Times New Roman" w:hAnsi="Times New Roman" w:cs="Times New Roman"/>
          <w:i/>
          <w:iCs/>
          <w:sz w:val="24"/>
        </w:rPr>
        <w:t>et al.</w:t>
      </w:r>
      <w:r w:rsidR="00C43B92" w:rsidRPr="006A61FC">
        <w:rPr>
          <w:rFonts w:ascii="Times New Roman" w:hAnsi="Times New Roman" w:cs="Times New Roman"/>
          <w:sz w:val="24"/>
        </w:rPr>
        <w:t>, 2019).</w:t>
      </w:r>
      <w:bookmarkEnd w:id="0"/>
      <w:r w:rsidR="00347E90">
        <w:rPr>
          <w:rFonts w:ascii="Times New Roman" w:hAnsi="Times New Roman" w:cs="Times New Roman" w:hint="eastAsia"/>
          <w:sz w:val="24"/>
        </w:rPr>
        <w:t xml:space="preserve"> </w:t>
      </w:r>
    </w:p>
    <w:bookmarkEnd w:id="1"/>
    <w:p w14:paraId="0EB3DB10" w14:textId="77777777" w:rsidR="00C43B92" w:rsidRDefault="00C43B92" w:rsidP="00D37906">
      <w:pPr>
        <w:spacing w:after="0" w:line="288" w:lineRule="auto"/>
        <w:jc w:val="both"/>
        <w:rPr>
          <w:rFonts w:ascii="Times New Roman" w:hAnsi="Times New Roman" w:cs="Times New Roman"/>
          <w:sz w:val="24"/>
        </w:rPr>
      </w:pPr>
    </w:p>
    <w:p w14:paraId="37EEE5E3" w14:textId="55E13823" w:rsidR="007E48CC" w:rsidRDefault="003929A7" w:rsidP="00D37906">
      <w:pPr>
        <w:spacing w:after="0" w:line="288" w:lineRule="auto"/>
        <w:jc w:val="both"/>
        <w:rPr>
          <w:rFonts w:ascii="Times New Roman" w:hAnsi="Times New Roman" w:cs="Times New Roman"/>
          <w:sz w:val="24"/>
        </w:rPr>
      </w:pPr>
      <w:bookmarkStart w:id="2" w:name="OLE_LINK4"/>
      <w:r>
        <w:rPr>
          <w:rFonts w:ascii="Times New Roman" w:hAnsi="Times New Roman" w:cs="Times New Roman"/>
          <w:sz w:val="24"/>
        </w:rPr>
        <w:t>The study</w:t>
      </w:r>
      <w:r w:rsidR="007E48CC" w:rsidRPr="00CE22BE">
        <w:rPr>
          <w:rFonts w:ascii="Times New Roman" w:hAnsi="Times New Roman" w:cs="Times New Roman"/>
          <w:sz w:val="24"/>
        </w:rPr>
        <w:t xml:space="preserve"> addresses two questions</w:t>
      </w:r>
      <w:r w:rsidR="007E48CC" w:rsidRPr="00D27CE1">
        <w:rPr>
          <w:rFonts w:ascii="Times New Roman" w:hAnsi="Times New Roman" w:cs="Times New Roman"/>
          <w:sz w:val="24"/>
        </w:rPr>
        <w:t>:</w:t>
      </w:r>
      <w:r w:rsidR="007E48CC">
        <w:rPr>
          <w:rFonts w:ascii="Times New Roman" w:hAnsi="Times New Roman" w:cs="Times New Roman" w:hint="eastAsia"/>
          <w:sz w:val="24"/>
        </w:rPr>
        <w:t xml:space="preserve"> </w:t>
      </w:r>
    </w:p>
    <w:p w14:paraId="0735D89B" w14:textId="77777777" w:rsidR="00FC69D5" w:rsidRDefault="007E48CC" w:rsidP="00D37906">
      <w:pPr>
        <w:spacing w:after="0" w:line="288" w:lineRule="auto"/>
        <w:jc w:val="both"/>
        <w:rPr>
          <w:rFonts w:ascii="Times New Roman" w:hAnsi="Times New Roman" w:cs="Times New Roman"/>
          <w:sz w:val="24"/>
        </w:rPr>
      </w:pPr>
      <w:r w:rsidRPr="007E48CC">
        <w:rPr>
          <w:rFonts w:ascii="Times New Roman" w:hAnsi="Times New Roman" w:cs="Times New Roman" w:hint="eastAsia"/>
          <w:sz w:val="24"/>
        </w:rPr>
        <w:t>RQ1</w:t>
      </w:r>
      <w:r>
        <w:rPr>
          <w:rFonts w:ascii="Times New Roman" w:hAnsi="Times New Roman" w:cs="Times New Roman" w:hint="eastAsia"/>
          <w:sz w:val="24"/>
        </w:rPr>
        <w:t xml:space="preserve">. </w:t>
      </w:r>
      <w:r w:rsidRPr="00D27CE1">
        <w:rPr>
          <w:rFonts w:ascii="Times New Roman" w:hAnsi="Times New Roman" w:cs="Times New Roman"/>
          <w:sz w:val="24"/>
        </w:rPr>
        <w:t>How reliable are the rating scales of test takers’ phraseological competence generated through human comparative judgements?</w:t>
      </w:r>
      <w:r>
        <w:rPr>
          <w:rFonts w:ascii="Times New Roman" w:hAnsi="Times New Roman" w:cs="Times New Roman" w:hint="eastAsia"/>
          <w:sz w:val="24"/>
        </w:rPr>
        <w:t xml:space="preserve"> </w:t>
      </w:r>
      <w:bookmarkEnd w:id="2"/>
    </w:p>
    <w:p w14:paraId="336149DA" w14:textId="3EF4DB5D" w:rsidR="00D37906" w:rsidRDefault="007E48CC" w:rsidP="00D37906">
      <w:pPr>
        <w:spacing w:after="0" w:line="288" w:lineRule="auto"/>
        <w:jc w:val="both"/>
        <w:rPr>
          <w:rFonts w:ascii="Times New Roman" w:hAnsi="Times New Roman" w:cs="Times New Roman" w:hint="eastAsia"/>
          <w:sz w:val="24"/>
        </w:rPr>
      </w:pPr>
      <w:r>
        <w:rPr>
          <w:rFonts w:ascii="Times New Roman" w:hAnsi="Times New Roman" w:cs="Times New Roman" w:hint="eastAsia"/>
          <w:sz w:val="24"/>
        </w:rPr>
        <w:t>RQ</w:t>
      </w:r>
      <w:r w:rsidR="00FC69D5">
        <w:rPr>
          <w:rFonts w:ascii="Times New Roman" w:hAnsi="Times New Roman" w:cs="Times New Roman" w:hint="eastAsia"/>
          <w:sz w:val="24"/>
        </w:rPr>
        <w:t>2</w:t>
      </w:r>
      <w:r>
        <w:rPr>
          <w:rFonts w:ascii="Times New Roman" w:hAnsi="Times New Roman" w:cs="Times New Roman" w:hint="eastAsia"/>
          <w:sz w:val="24"/>
        </w:rPr>
        <w:t xml:space="preserve">. </w:t>
      </w:r>
      <w:r w:rsidR="00187F21" w:rsidRPr="00187F21">
        <w:rPr>
          <w:rFonts w:ascii="Times New Roman" w:hAnsi="Times New Roman" w:cs="Times New Roman"/>
          <w:sz w:val="24"/>
        </w:rPr>
        <w:t xml:space="preserve">What dimensions of phraseological competence do raters </w:t>
      </w:r>
      <w:proofErr w:type="gramStart"/>
      <w:r w:rsidR="00187F21" w:rsidRPr="00187F21">
        <w:rPr>
          <w:rFonts w:ascii="Times New Roman" w:hAnsi="Times New Roman" w:cs="Times New Roman"/>
          <w:sz w:val="24"/>
        </w:rPr>
        <w:t>attend to</w:t>
      </w:r>
      <w:proofErr w:type="gramEnd"/>
      <w:r w:rsidR="00187F21" w:rsidRPr="00187F21">
        <w:rPr>
          <w:rFonts w:ascii="Times New Roman" w:hAnsi="Times New Roman" w:cs="Times New Roman"/>
          <w:sz w:val="24"/>
        </w:rPr>
        <w:t xml:space="preserve"> when using CJ methods for assessment?</w:t>
      </w:r>
      <w:r w:rsidR="007A15CC" w:rsidRPr="007A15CC">
        <w:rPr>
          <w:rFonts w:ascii="Times New Roman" w:hAnsi="Times New Roman" w:cs="Times New Roman" w:hint="eastAsia"/>
          <w:sz w:val="24"/>
        </w:rPr>
        <w:t xml:space="preserve"> </w:t>
      </w:r>
    </w:p>
    <w:p w14:paraId="2ECEC4EC" w14:textId="12005FA0" w:rsidR="00A96D6E" w:rsidRDefault="006C5D31" w:rsidP="00D37906">
      <w:pPr>
        <w:spacing w:after="0" w:line="288" w:lineRule="auto"/>
        <w:jc w:val="both"/>
        <w:rPr>
          <w:rFonts w:ascii="Times New Roman" w:hAnsi="Times New Roman" w:cs="Times New Roman"/>
          <w:sz w:val="24"/>
        </w:rPr>
      </w:pPr>
      <w:r>
        <w:rPr>
          <w:rFonts w:ascii="Times New Roman" w:hAnsi="Times New Roman" w:cs="Times New Roman"/>
          <w:sz w:val="24"/>
        </w:rPr>
        <w:t xml:space="preserve">To investigate these questions, </w:t>
      </w:r>
      <w:r w:rsidR="00B313C4">
        <w:rPr>
          <w:rFonts w:ascii="Times New Roman" w:hAnsi="Times New Roman" w:cs="Times New Roman"/>
          <w:sz w:val="24"/>
        </w:rPr>
        <w:t>the study</w:t>
      </w:r>
      <w:r w:rsidR="001614DE">
        <w:rPr>
          <w:rFonts w:ascii="Times New Roman" w:hAnsi="Times New Roman" w:cs="Times New Roman" w:hint="eastAsia"/>
          <w:sz w:val="24"/>
        </w:rPr>
        <w:t xml:space="preserve"> </w:t>
      </w:r>
      <w:r w:rsidR="00B313C4">
        <w:rPr>
          <w:rFonts w:ascii="Times New Roman" w:hAnsi="Times New Roman" w:cs="Times New Roman"/>
          <w:sz w:val="24"/>
        </w:rPr>
        <w:t>involved 30</w:t>
      </w:r>
      <w:r w:rsidR="007E48CC" w:rsidRPr="003D2906">
        <w:rPr>
          <w:rFonts w:ascii="Times New Roman" w:hAnsi="Times New Roman" w:cs="Times New Roman"/>
          <w:sz w:val="24"/>
        </w:rPr>
        <w:t xml:space="preserve"> </w:t>
      </w:r>
      <w:r w:rsidR="00347E90" w:rsidRPr="00347E90">
        <w:rPr>
          <w:rFonts w:ascii="Times New Roman" w:hAnsi="Times New Roman" w:cs="Times New Roman"/>
          <w:sz w:val="24"/>
        </w:rPr>
        <w:t>doctoral students</w:t>
      </w:r>
      <w:r w:rsidR="007E48CC" w:rsidRPr="003D2906">
        <w:rPr>
          <w:rFonts w:ascii="Times New Roman" w:hAnsi="Times New Roman" w:cs="Times New Roman"/>
          <w:sz w:val="24"/>
        </w:rPr>
        <w:t xml:space="preserve"> and </w:t>
      </w:r>
      <w:r w:rsidR="007E48CC">
        <w:rPr>
          <w:rFonts w:ascii="Times New Roman" w:hAnsi="Times New Roman" w:cs="Times New Roman" w:hint="eastAsia"/>
          <w:sz w:val="24"/>
        </w:rPr>
        <w:t xml:space="preserve">university </w:t>
      </w:r>
      <w:r w:rsidR="007E48CC" w:rsidRPr="003D2906">
        <w:rPr>
          <w:rFonts w:ascii="Times New Roman" w:hAnsi="Times New Roman" w:cs="Times New Roman"/>
          <w:sz w:val="24"/>
        </w:rPr>
        <w:t>instructors in Applied Linguistics</w:t>
      </w:r>
      <w:r w:rsidR="00B313C4">
        <w:rPr>
          <w:rFonts w:ascii="Times New Roman" w:hAnsi="Times New Roman" w:cs="Times New Roman"/>
          <w:sz w:val="24"/>
        </w:rPr>
        <w:t xml:space="preserve"> who served as judges. Each judge completed</w:t>
      </w:r>
      <w:r w:rsidR="007E48CC" w:rsidRPr="003D2906">
        <w:rPr>
          <w:rFonts w:ascii="Times New Roman" w:hAnsi="Times New Roman" w:cs="Times New Roman"/>
          <w:sz w:val="24"/>
        </w:rPr>
        <w:t xml:space="preserve"> 49 pairwise </w:t>
      </w:r>
      <w:r w:rsidR="007E48CC" w:rsidRPr="003D2906">
        <w:rPr>
          <w:rFonts w:ascii="Times New Roman" w:hAnsi="Times New Roman" w:cs="Times New Roman"/>
          <w:sz w:val="24"/>
        </w:rPr>
        <w:lastRenderedPageBreak/>
        <w:t xml:space="preserve">comparisons </w:t>
      </w:r>
      <w:r w:rsidR="003754EA">
        <w:rPr>
          <w:rFonts w:ascii="Times New Roman" w:hAnsi="Times New Roman" w:cs="Times New Roman"/>
          <w:sz w:val="24"/>
        </w:rPr>
        <w:t xml:space="preserve">based </w:t>
      </w:r>
      <w:r w:rsidR="007E48CC" w:rsidRPr="003D2906">
        <w:rPr>
          <w:rFonts w:ascii="Times New Roman" w:hAnsi="Times New Roman" w:cs="Times New Roman"/>
          <w:sz w:val="24"/>
        </w:rPr>
        <w:t xml:space="preserve">on </w:t>
      </w:r>
      <w:r w:rsidR="007E48CC" w:rsidRPr="00CA5AD0">
        <w:rPr>
          <w:rFonts w:ascii="Times New Roman" w:hAnsi="Times New Roman" w:cs="Times New Roman" w:hint="eastAsia"/>
          <w:sz w:val="24"/>
        </w:rPr>
        <w:t xml:space="preserve">transcripts of oral performances </w:t>
      </w:r>
      <w:r w:rsidR="003754EA">
        <w:rPr>
          <w:rFonts w:ascii="Times New Roman" w:hAnsi="Times New Roman" w:cs="Times New Roman"/>
          <w:sz w:val="24"/>
        </w:rPr>
        <w:t>from</w:t>
      </w:r>
      <w:r w:rsidR="007E48CC" w:rsidRPr="00CA5AD0">
        <w:rPr>
          <w:rFonts w:ascii="Times New Roman" w:hAnsi="Times New Roman" w:cs="Times New Roman" w:hint="eastAsia"/>
          <w:sz w:val="24"/>
        </w:rPr>
        <w:t xml:space="preserve"> 98 candidates </w:t>
      </w:r>
      <w:r w:rsidR="003754EA">
        <w:rPr>
          <w:rFonts w:ascii="Times New Roman" w:hAnsi="Times New Roman" w:cs="Times New Roman"/>
          <w:sz w:val="24"/>
        </w:rPr>
        <w:t>who sat</w:t>
      </w:r>
      <w:r w:rsidR="007E48CC" w:rsidRPr="00CA5AD0">
        <w:rPr>
          <w:rFonts w:ascii="Times New Roman" w:hAnsi="Times New Roman" w:cs="Times New Roman" w:hint="eastAsia"/>
          <w:sz w:val="24"/>
        </w:rPr>
        <w:t xml:space="preserve"> the Test for English Majors Band 8 Oral (TEM 8-Oral) exam</w:t>
      </w:r>
      <w:r w:rsidR="0074094A">
        <w:rPr>
          <w:rFonts w:ascii="Times New Roman" w:hAnsi="Times New Roman" w:cs="Times New Roman"/>
          <w:sz w:val="24"/>
        </w:rPr>
        <w:t>. For every comparison, judges also provided</w:t>
      </w:r>
      <w:r w:rsidR="007E48CC" w:rsidRPr="00CA5AD0">
        <w:rPr>
          <w:rFonts w:ascii="Times New Roman" w:hAnsi="Times New Roman" w:cs="Times New Roman" w:hint="eastAsia"/>
          <w:sz w:val="24"/>
        </w:rPr>
        <w:t xml:space="preserve"> written justifications for </w:t>
      </w:r>
      <w:r w:rsidR="0074094A">
        <w:rPr>
          <w:rFonts w:ascii="Times New Roman" w:hAnsi="Times New Roman" w:cs="Times New Roman"/>
          <w:sz w:val="24"/>
        </w:rPr>
        <w:t>their</w:t>
      </w:r>
      <w:r w:rsidR="007E48CC" w:rsidRPr="00CA5AD0">
        <w:rPr>
          <w:rFonts w:ascii="Times New Roman" w:hAnsi="Times New Roman" w:cs="Times New Roman" w:hint="eastAsia"/>
          <w:sz w:val="24"/>
        </w:rPr>
        <w:t xml:space="preserve"> decision</w:t>
      </w:r>
      <w:r w:rsidR="007E48CC" w:rsidRPr="003D2906">
        <w:rPr>
          <w:rFonts w:ascii="Times New Roman" w:hAnsi="Times New Roman" w:cs="Times New Roman"/>
          <w:sz w:val="24"/>
        </w:rPr>
        <w:t xml:space="preserve">. </w:t>
      </w:r>
      <w:r w:rsidR="005A07C7">
        <w:rPr>
          <w:rFonts w:ascii="Times New Roman" w:hAnsi="Times New Roman" w:cs="Times New Roman"/>
          <w:sz w:val="24"/>
        </w:rPr>
        <w:t>The r</w:t>
      </w:r>
      <w:r w:rsidR="00A96D6E" w:rsidRPr="00A96D6E">
        <w:rPr>
          <w:rFonts w:ascii="Times New Roman" w:hAnsi="Times New Roman" w:cs="Times New Roman"/>
          <w:sz w:val="24"/>
        </w:rPr>
        <w:t xml:space="preserve">eliability of the </w:t>
      </w:r>
      <w:r w:rsidR="005A07C7">
        <w:rPr>
          <w:rFonts w:ascii="Times New Roman" w:hAnsi="Times New Roman" w:cs="Times New Roman"/>
          <w:sz w:val="24"/>
        </w:rPr>
        <w:t>resulting</w:t>
      </w:r>
      <w:r w:rsidR="005A07C7" w:rsidRPr="00A96D6E">
        <w:rPr>
          <w:rFonts w:ascii="Times New Roman" w:hAnsi="Times New Roman" w:cs="Times New Roman"/>
          <w:sz w:val="24"/>
        </w:rPr>
        <w:t xml:space="preserve"> </w:t>
      </w:r>
      <w:r w:rsidR="00A96D6E" w:rsidRPr="00A96D6E">
        <w:rPr>
          <w:rFonts w:ascii="Times New Roman" w:hAnsi="Times New Roman" w:cs="Times New Roman"/>
          <w:sz w:val="24"/>
        </w:rPr>
        <w:t>scale was measured using Scale Separation Reliability (SSR).</w:t>
      </w:r>
      <w:r w:rsidR="00187F21" w:rsidRPr="00187F21">
        <w:rPr>
          <w:rFonts w:ascii="DM Sans" w:hAnsi="DM Sans"/>
          <w:sz w:val="21"/>
          <w:szCs w:val="21"/>
          <w:shd w:val="clear" w:color="auto" w:fill="FFFFFF"/>
        </w:rPr>
        <w:t xml:space="preserve"> </w:t>
      </w:r>
      <w:r w:rsidR="005A07C7">
        <w:rPr>
          <w:rFonts w:ascii="Times New Roman" w:hAnsi="Times New Roman" w:cs="Times New Roman"/>
          <w:sz w:val="24"/>
        </w:rPr>
        <w:t>In addition</w:t>
      </w:r>
      <w:r w:rsidR="00187F21" w:rsidRPr="00187F21">
        <w:rPr>
          <w:rFonts w:ascii="Times New Roman" w:hAnsi="Times New Roman" w:cs="Times New Roman"/>
          <w:sz w:val="24"/>
        </w:rPr>
        <w:t xml:space="preserve">, </w:t>
      </w:r>
      <w:r w:rsidR="005A07C7">
        <w:rPr>
          <w:rFonts w:ascii="Times New Roman" w:hAnsi="Times New Roman" w:cs="Times New Roman"/>
          <w:sz w:val="24"/>
        </w:rPr>
        <w:t xml:space="preserve">a </w:t>
      </w:r>
      <w:r w:rsidR="00187F21" w:rsidRPr="00187F21">
        <w:rPr>
          <w:rFonts w:ascii="Times New Roman" w:hAnsi="Times New Roman" w:cs="Times New Roman"/>
          <w:sz w:val="24"/>
        </w:rPr>
        <w:t xml:space="preserve">thematic analysis of </w:t>
      </w:r>
      <w:r w:rsidR="000E6625">
        <w:rPr>
          <w:rFonts w:ascii="Times New Roman" w:hAnsi="Times New Roman" w:cs="Times New Roman"/>
          <w:sz w:val="24"/>
        </w:rPr>
        <w:t xml:space="preserve">the </w:t>
      </w:r>
      <w:r w:rsidR="00187F21" w:rsidRPr="00187F21">
        <w:rPr>
          <w:rFonts w:ascii="Times New Roman" w:hAnsi="Times New Roman" w:cs="Times New Roman"/>
          <w:sz w:val="24"/>
        </w:rPr>
        <w:t xml:space="preserve">qualitative comments was conducted to identify the specific aspects of phraseological competence (e.g., accuracy, diversity, sophistication) that </w:t>
      </w:r>
      <w:r w:rsidR="000E6625">
        <w:rPr>
          <w:rFonts w:ascii="Times New Roman" w:hAnsi="Times New Roman" w:cs="Times New Roman"/>
          <w:sz w:val="24"/>
        </w:rPr>
        <w:t>featured</w:t>
      </w:r>
      <w:r w:rsidR="000E6625" w:rsidRPr="00187F21">
        <w:rPr>
          <w:rFonts w:ascii="Times New Roman" w:hAnsi="Times New Roman" w:cs="Times New Roman"/>
          <w:sz w:val="24"/>
        </w:rPr>
        <w:t xml:space="preserve"> </w:t>
      </w:r>
      <w:r w:rsidR="00187F21" w:rsidRPr="00187F21">
        <w:rPr>
          <w:rFonts w:ascii="Times New Roman" w:hAnsi="Times New Roman" w:cs="Times New Roman"/>
          <w:sz w:val="24"/>
        </w:rPr>
        <w:t>most prominently in human judgments</w:t>
      </w:r>
      <w:r w:rsidR="00A96D6E" w:rsidRPr="00A96D6E">
        <w:rPr>
          <w:rFonts w:ascii="Times New Roman" w:hAnsi="Times New Roman" w:cs="Times New Roman"/>
          <w:sz w:val="24"/>
        </w:rPr>
        <w:t>.</w:t>
      </w:r>
    </w:p>
    <w:p w14:paraId="26B61EA6" w14:textId="2AFFB4FB" w:rsidR="007E48CC" w:rsidRDefault="007E48CC" w:rsidP="00D37906">
      <w:pPr>
        <w:spacing w:after="0" w:line="288" w:lineRule="auto"/>
        <w:jc w:val="both"/>
        <w:rPr>
          <w:rFonts w:ascii="Times New Roman" w:hAnsi="Times New Roman" w:cs="Times New Roman"/>
          <w:sz w:val="24"/>
        </w:rPr>
      </w:pPr>
      <w:r w:rsidRPr="003D2906">
        <w:rPr>
          <w:rFonts w:ascii="Times New Roman" w:hAnsi="Times New Roman" w:cs="Times New Roman"/>
          <w:sz w:val="24"/>
        </w:rPr>
        <w:t xml:space="preserve"> </w:t>
      </w:r>
    </w:p>
    <w:p w14:paraId="10C21C7D" w14:textId="171FE078" w:rsidR="00A62188" w:rsidRDefault="00787E47" w:rsidP="00D37906">
      <w:pPr>
        <w:spacing w:after="0" w:line="288" w:lineRule="auto"/>
        <w:jc w:val="both"/>
        <w:rPr>
          <w:rFonts w:ascii="Times New Roman" w:hAnsi="Times New Roman" w:cs="Times New Roman"/>
          <w:sz w:val="24"/>
        </w:rPr>
      </w:pPr>
      <w:r w:rsidRPr="00787E47">
        <w:rPr>
          <w:rFonts w:ascii="Times New Roman" w:hAnsi="Times New Roman" w:cs="Times New Roman" w:hint="eastAsia"/>
          <w:sz w:val="24"/>
        </w:rPr>
        <w:t xml:space="preserve">After all comparisons were completed, the </w:t>
      </w:r>
      <w:r w:rsidRPr="00347E90">
        <w:rPr>
          <w:rFonts w:ascii="Times New Roman" w:hAnsi="Times New Roman" w:cs="Times New Roman"/>
          <w:sz w:val="24"/>
        </w:rPr>
        <w:t>CJ-generated</w:t>
      </w:r>
      <w:r w:rsidRPr="00787E47">
        <w:rPr>
          <w:rFonts w:ascii="Times New Roman" w:hAnsi="Times New Roman" w:cs="Times New Roman" w:hint="eastAsia"/>
          <w:sz w:val="24"/>
        </w:rPr>
        <w:t xml:space="preserve"> rating scales demonstrated </w:t>
      </w:r>
      <w:r>
        <w:rPr>
          <w:rFonts w:ascii="Times New Roman" w:hAnsi="Times New Roman" w:cs="Times New Roman" w:hint="eastAsia"/>
          <w:sz w:val="24"/>
        </w:rPr>
        <w:t>high</w:t>
      </w:r>
      <w:r w:rsidRPr="00787E47">
        <w:rPr>
          <w:rFonts w:ascii="Times New Roman" w:hAnsi="Times New Roman" w:cs="Times New Roman" w:hint="eastAsia"/>
          <w:sz w:val="24"/>
        </w:rPr>
        <w:t xml:space="preserve"> reliability, with </w:t>
      </w:r>
      <w:r w:rsidRPr="00A96D6E">
        <w:rPr>
          <w:rFonts w:ascii="Times New Roman" w:hAnsi="Times New Roman" w:cs="Times New Roman"/>
          <w:sz w:val="24"/>
        </w:rPr>
        <w:t>SSR</w:t>
      </w:r>
      <w:r w:rsidRPr="00787E47">
        <w:rPr>
          <w:rFonts w:ascii="Times New Roman" w:hAnsi="Times New Roman" w:cs="Times New Roman" w:hint="eastAsia"/>
          <w:sz w:val="24"/>
        </w:rPr>
        <w:t xml:space="preserve"> </w:t>
      </w:r>
      <w:r>
        <w:rPr>
          <w:rFonts w:ascii="Times New Roman" w:hAnsi="Times New Roman" w:cs="Times New Roman" w:hint="eastAsia"/>
          <w:sz w:val="24"/>
        </w:rPr>
        <w:t>reaching</w:t>
      </w:r>
      <w:r w:rsidRPr="00787E47">
        <w:rPr>
          <w:rFonts w:ascii="Times New Roman" w:hAnsi="Times New Roman" w:cs="Times New Roman" w:hint="eastAsia"/>
          <w:sz w:val="24"/>
        </w:rPr>
        <w:t xml:space="preserve"> </w:t>
      </w:r>
      <w:r>
        <w:rPr>
          <w:rFonts w:ascii="Times New Roman" w:hAnsi="Times New Roman" w:cs="Times New Roman" w:hint="eastAsia"/>
          <w:sz w:val="24"/>
        </w:rPr>
        <w:t>0</w:t>
      </w:r>
      <w:r w:rsidRPr="00787E47">
        <w:rPr>
          <w:rFonts w:ascii="Times New Roman" w:hAnsi="Times New Roman" w:cs="Times New Roman" w:hint="eastAsia"/>
          <w:sz w:val="24"/>
        </w:rPr>
        <w:t>.8</w:t>
      </w:r>
      <w:r>
        <w:rPr>
          <w:rFonts w:ascii="Times New Roman" w:hAnsi="Times New Roman" w:cs="Times New Roman" w:hint="eastAsia"/>
          <w:sz w:val="24"/>
        </w:rPr>
        <w:t>8</w:t>
      </w:r>
      <w:r w:rsidRPr="00787E47">
        <w:rPr>
          <w:rFonts w:ascii="Times New Roman" w:hAnsi="Times New Roman" w:cs="Times New Roman" w:hint="eastAsia"/>
          <w:sz w:val="24"/>
        </w:rPr>
        <w:t>.</w:t>
      </w:r>
      <w:r>
        <w:rPr>
          <w:rFonts w:ascii="Times New Roman" w:hAnsi="Times New Roman" w:cs="Times New Roman" w:hint="eastAsia"/>
          <w:sz w:val="24"/>
        </w:rPr>
        <w:t xml:space="preserve"> </w:t>
      </w:r>
      <w:r w:rsidR="00347E90" w:rsidRPr="00A96D6E">
        <w:rPr>
          <w:rFonts w:ascii="Times New Roman" w:hAnsi="Times New Roman" w:cs="Times New Roman"/>
          <w:sz w:val="24"/>
        </w:rPr>
        <w:t xml:space="preserve">Thematic coding of </w:t>
      </w:r>
      <w:r w:rsidRPr="00347E90">
        <w:rPr>
          <w:rFonts w:ascii="Times New Roman" w:hAnsi="Times New Roman" w:cs="Times New Roman"/>
          <w:sz w:val="24"/>
        </w:rPr>
        <w:t>953 justifications from</w:t>
      </w:r>
      <w:r w:rsidRPr="00A96D6E">
        <w:rPr>
          <w:rFonts w:ascii="Times New Roman" w:hAnsi="Times New Roman" w:cs="Times New Roman"/>
          <w:sz w:val="24"/>
        </w:rPr>
        <w:t xml:space="preserve"> </w:t>
      </w:r>
      <w:r>
        <w:rPr>
          <w:rFonts w:ascii="Times New Roman" w:hAnsi="Times New Roman" w:cs="Times New Roman" w:hint="eastAsia"/>
          <w:sz w:val="24"/>
        </w:rPr>
        <w:t>the judges (</w:t>
      </w:r>
      <w:r w:rsidRPr="00347E90">
        <w:rPr>
          <w:rFonts w:ascii="Times New Roman" w:hAnsi="Times New Roman" w:cs="Times New Roman"/>
          <w:sz w:val="24"/>
        </w:rPr>
        <w:t>approximately 20% of all data</w:t>
      </w:r>
      <w:r>
        <w:rPr>
          <w:rFonts w:ascii="Times New Roman" w:hAnsi="Times New Roman" w:cs="Times New Roman" w:hint="eastAsia"/>
          <w:sz w:val="24"/>
        </w:rPr>
        <w:t>)</w:t>
      </w:r>
      <w:r w:rsidR="00347E90" w:rsidRPr="00A96D6E">
        <w:rPr>
          <w:rFonts w:ascii="Times New Roman" w:hAnsi="Times New Roman" w:cs="Times New Roman"/>
          <w:sz w:val="24"/>
        </w:rPr>
        <w:t xml:space="preserve"> revealed that</w:t>
      </w:r>
      <w:r w:rsidR="00283FC1" w:rsidRPr="005D5E2F">
        <w:rPr>
          <w:rFonts w:ascii="Times New Roman" w:hAnsi="Times New Roman" w:cs="Times New Roman" w:hint="eastAsia"/>
          <w:sz w:val="24"/>
        </w:rPr>
        <w:t xml:space="preserve"> </w:t>
      </w:r>
      <w:proofErr w:type="gramStart"/>
      <w:r w:rsidR="008C27BD" w:rsidRPr="008C27BD">
        <w:rPr>
          <w:rFonts w:ascii="Times New Roman" w:hAnsi="Times New Roman" w:cs="Times New Roman"/>
          <w:sz w:val="24"/>
        </w:rPr>
        <w:t>raters</w:t>
      </w:r>
      <w:proofErr w:type="gramEnd"/>
      <w:r w:rsidR="008C27BD" w:rsidRPr="008C27BD">
        <w:rPr>
          <w:rFonts w:ascii="Times New Roman" w:hAnsi="Times New Roman" w:cs="Times New Roman"/>
          <w:sz w:val="24"/>
        </w:rPr>
        <w:t xml:space="preserve"> </w:t>
      </w:r>
      <w:r w:rsidR="004A6DDE">
        <w:rPr>
          <w:rFonts w:ascii="Times New Roman" w:hAnsi="Times New Roman" w:cs="Times New Roman"/>
          <w:sz w:val="24"/>
        </w:rPr>
        <w:t>attended to multiple dimensions of phraseological competence, including</w:t>
      </w:r>
      <w:r w:rsidR="008C27BD" w:rsidRPr="008C27BD">
        <w:rPr>
          <w:rFonts w:ascii="Times New Roman" w:hAnsi="Times New Roman" w:cs="Times New Roman"/>
          <w:sz w:val="24"/>
        </w:rPr>
        <w:t xml:space="preserve"> accuracy, appropriateness, phraseological sophistication, diversity, idiomaticity, quantity, and fluency. </w:t>
      </w:r>
      <w:r w:rsidR="00187F21" w:rsidRPr="00187F21">
        <w:rPr>
          <w:rFonts w:ascii="Times New Roman" w:hAnsi="Times New Roman" w:cs="Times New Roman"/>
          <w:sz w:val="24"/>
        </w:rPr>
        <w:t>Among these, accuracy was the most frequently emphasized (37.04%), followed by phraseological sophistication (19.80%), diversity (16.57%), appropriateness (12.49%), idiomaticity (7.99%), quantity (5.52%), and fluency (0.59%).</w:t>
      </w:r>
      <w:r w:rsidR="00347E90" w:rsidRPr="00A96D6E">
        <w:rPr>
          <w:rFonts w:ascii="Times New Roman" w:hAnsi="Times New Roman" w:cs="Times New Roman"/>
          <w:sz w:val="24"/>
        </w:rPr>
        <w:t xml:space="preserve"> These </w:t>
      </w:r>
      <w:r w:rsidRPr="00787E47">
        <w:rPr>
          <w:rFonts w:ascii="Times New Roman" w:hAnsi="Times New Roman" w:cs="Times New Roman"/>
          <w:sz w:val="24"/>
        </w:rPr>
        <w:t>findings</w:t>
      </w:r>
      <w:r w:rsidR="00347E90" w:rsidRPr="00A96D6E">
        <w:rPr>
          <w:rFonts w:ascii="Times New Roman" w:hAnsi="Times New Roman" w:cs="Times New Roman"/>
          <w:sz w:val="24"/>
        </w:rPr>
        <w:t xml:space="preserve"> </w:t>
      </w:r>
      <w:r w:rsidR="00D73700">
        <w:rPr>
          <w:rFonts w:ascii="Times New Roman" w:hAnsi="Times New Roman" w:cs="Times New Roman"/>
          <w:sz w:val="24"/>
        </w:rPr>
        <w:t>shed light on the</w:t>
      </w:r>
      <w:r w:rsidR="00347E90" w:rsidRPr="00A96D6E">
        <w:rPr>
          <w:rFonts w:ascii="Times New Roman" w:hAnsi="Times New Roman" w:cs="Times New Roman"/>
          <w:sz w:val="24"/>
        </w:rPr>
        <w:t xml:space="preserve"> dimensions foregrounded by raters, provide empirical support for the multidimensional</w:t>
      </w:r>
      <w:r w:rsidR="00A93E1E">
        <w:rPr>
          <w:rFonts w:ascii="Times New Roman" w:hAnsi="Times New Roman" w:cs="Times New Roman"/>
          <w:sz w:val="24"/>
        </w:rPr>
        <w:t xml:space="preserve"> nature of phraseological competence</w:t>
      </w:r>
      <w:r w:rsidR="00347E90" w:rsidRPr="00A96D6E">
        <w:rPr>
          <w:rFonts w:ascii="Times New Roman" w:hAnsi="Times New Roman" w:cs="Times New Roman"/>
          <w:sz w:val="24"/>
        </w:rPr>
        <w:t>, and demonstrate the val</w:t>
      </w:r>
      <w:r w:rsidR="00E64A3B">
        <w:rPr>
          <w:rFonts w:ascii="Times New Roman" w:hAnsi="Times New Roman" w:cs="Times New Roman"/>
          <w:sz w:val="24"/>
        </w:rPr>
        <w:t>ue</w:t>
      </w:r>
      <w:r w:rsidR="00347E90" w:rsidRPr="00A96D6E">
        <w:rPr>
          <w:rFonts w:ascii="Times New Roman" w:hAnsi="Times New Roman" w:cs="Times New Roman"/>
          <w:sz w:val="24"/>
        </w:rPr>
        <w:t xml:space="preserve"> of CJ as a tool for construct exploration in language assessment.</w:t>
      </w:r>
      <w:r w:rsidR="00347E90">
        <w:rPr>
          <w:rFonts w:ascii="Times New Roman" w:hAnsi="Times New Roman" w:cs="Times New Roman" w:hint="eastAsia"/>
          <w:sz w:val="24"/>
        </w:rPr>
        <w:t xml:space="preserve"> </w:t>
      </w:r>
      <w:r w:rsidRPr="00787E47">
        <w:rPr>
          <w:rFonts w:ascii="Times New Roman" w:hAnsi="Times New Roman" w:cs="Times New Roman"/>
          <w:sz w:val="24"/>
        </w:rPr>
        <w:t>We are currently conducting double annotation for 10% of the dataset to further establish inter-coder reliability. Results from the full dataset will be presented at the conference.</w:t>
      </w:r>
    </w:p>
    <w:p w14:paraId="3ABE010D" w14:textId="77777777" w:rsidR="00283FC1" w:rsidRDefault="00283FC1" w:rsidP="00D37906">
      <w:pPr>
        <w:spacing w:after="0" w:line="288" w:lineRule="auto"/>
        <w:jc w:val="both"/>
        <w:rPr>
          <w:rFonts w:ascii="Times New Roman" w:hAnsi="Times New Roman" w:cs="Times New Roman"/>
          <w:sz w:val="24"/>
        </w:rPr>
      </w:pPr>
    </w:p>
    <w:p w14:paraId="492F416F" w14:textId="77777777" w:rsidR="001D2FC4" w:rsidRDefault="001D2FC4" w:rsidP="00D37906">
      <w:pPr>
        <w:spacing w:after="0" w:line="288" w:lineRule="auto"/>
        <w:ind w:left="480" w:hangingChars="200" w:hanging="480"/>
        <w:jc w:val="both"/>
        <w:rPr>
          <w:rFonts w:ascii="Times New Roman" w:hAnsi="Times New Roman" w:cs="Times New Roman"/>
          <w:b/>
          <w:bCs/>
          <w:sz w:val="24"/>
        </w:rPr>
      </w:pPr>
      <w:r w:rsidRPr="00355F21">
        <w:rPr>
          <w:rFonts w:ascii="Times New Roman" w:hAnsi="Times New Roman" w:cs="Times New Roman" w:hint="eastAsia"/>
          <w:b/>
          <w:bCs/>
          <w:sz w:val="24"/>
        </w:rPr>
        <w:t>References</w:t>
      </w:r>
    </w:p>
    <w:p w14:paraId="0D70DA97" w14:textId="77777777" w:rsidR="00D37906" w:rsidRPr="00187F21" w:rsidRDefault="00D37906" w:rsidP="00D37906">
      <w:pPr>
        <w:spacing w:after="0" w:line="288" w:lineRule="auto"/>
        <w:ind w:left="480" w:hangingChars="200" w:hanging="480"/>
        <w:jc w:val="both"/>
        <w:rPr>
          <w:rFonts w:ascii="Times New Roman" w:hAnsi="Times New Roman" w:cs="Times New Roman"/>
          <w:sz w:val="24"/>
        </w:rPr>
      </w:pPr>
      <w:proofErr w:type="gramStart"/>
      <w:r w:rsidRPr="00187F21">
        <w:rPr>
          <w:rFonts w:ascii="Times New Roman" w:hAnsi="Times New Roman" w:cs="Times New Roman"/>
          <w:sz w:val="24"/>
        </w:rPr>
        <w:t>Crossley</w:t>
      </w:r>
      <w:proofErr w:type="gramEnd"/>
      <w:r w:rsidRPr="00187F21">
        <w:rPr>
          <w:rFonts w:ascii="Times New Roman" w:hAnsi="Times New Roman" w:cs="Times New Roman"/>
          <w:sz w:val="24"/>
        </w:rPr>
        <w:t xml:space="preserve">, S., Salsbury, T., &amp; McNamara, D. S. (2013). Validating lexical measures using human scores of lexical </w:t>
      </w:r>
      <w:proofErr w:type="gramStart"/>
      <w:r w:rsidRPr="00187F21">
        <w:rPr>
          <w:rFonts w:ascii="Times New Roman" w:hAnsi="Times New Roman" w:cs="Times New Roman"/>
          <w:sz w:val="24"/>
        </w:rPr>
        <w:t>proficiency</w:t>
      </w:r>
      <w:proofErr w:type="gramEnd"/>
      <w:r w:rsidRPr="00187F21">
        <w:rPr>
          <w:rFonts w:ascii="Times New Roman" w:hAnsi="Times New Roman" w:cs="Times New Roman"/>
          <w:sz w:val="24"/>
        </w:rPr>
        <w:t xml:space="preserve">. In S. Jarvis &amp; M. Daller (Eds.), </w:t>
      </w:r>
      <w:r w:rsidRPr="00187F21">
        <w:rPr>
          <w:rFonts w:ascii="Times New Roman" w:hAnsi="Times New Roman" w:cs="Times New Roman"/>
          <w:i/>
          <w:iCs/>
          <w:sz w:val="24"/>
        </w:rPr>
        <w:t>Studies in bilingualism</w:t>
      </w:r>
      <w:r w:rsidRPr="00187F21">
        <w:rPr>
          <w:rFonts w:ascii="Times New Roman" w:hAnsi="Times New Roman" w:cs="Times New Roman"/>
          <w:sz w:val="24"/>
        </w:rPr>
        <w:t xml:space="preserve"> (Vol. 47, pp. 105</w:t>
      </w:r>
      <w:r w:rsidRPr="00187F21">
        <w:rPr>
          <w:rFonts w:ascii="Times New Roman" w:hAnsi="Times New Roman" w:cs="Times New Roman" w:hint="eastAsia"/>
          <w:sz w:val="24"/>
        </w:rPr>
        <w:t>-</w:t>
      </w:r>
      <w:r w:rsidRPr="00187F21">
        <w:rPr>
          <w:rFonts w:ascii="Times New Roman" w:hAnsi="Times New Roman" w:cs="Times New Roman"/>
          <w:sz w:val="24"/>
        </w:rPr>
        <w:t xml:space="preserve">134). John Benjamins Publishing Company. </w:t>
      </w:r>
      <w:hyperlink r:id="rId7" w:history="1">
        <w:r w:rsidRPr="00187F21">
          <w:rPr>
            <w:rStyle w:val="af5"/>
            <w:rFonts w:ascii="Times New Roman" w:hAnsi="Times New Roman" w:cs="Times New Roman"/>
            <w:sz w:val="24"/>
          </w:rPr>
          <w:t>https://doi.org/10.1075/sibil.47.06ch4</w:t>
        </w:r>
      </w:hyperlink>
    </w:p>
    <w:p w14:paraId="3D7E868E" w14:textId="77777777" w:rsidR="00D37906" w:rsidRPr="00BF7496" w:rsidRDefault="00D37906" w:rsidP="00D37906">
      <w:pPr>
        <w:spacing w:after="0" w:line="288" w:lineRule="auto"/>
        <w:ind w:left="480" w:hangingChars="200" w:hanging="480"/>
        <w:jc w:val="both"/>
        <w:rPr>
          <w:rFonts w:ascii="Times New Roman" w:hAnsi="Times New Roman" w:cs="Times New Roman"/>
          <w:sz w:val="24"/>
        </w:rPr>
      </w:pPr>
      <w:r w:rsidRPr="00BF7496">
        <w:rPr>
          <w:rFonts w:ascii="Times New Roman" w:hAnsi="Times New Roman" w:cs="Times New Roman"/>
          <w:sz w:val="24"/>
        </w:rPr>
        <w:t xml:space="preserve">Ducasse, A. M., &amp; Brown, A. (2009). Assessing paired orals: Raters’ orientation to interaction. </w:t>
      </w:r>
      <w:r w:rsidRPr="00BF7496">
        <w:rPr>
          <w:rFonts w:ascii="Times New Roman" w:hAnsi="Times New Roman" w:cs="Times New Roman"/>
          <w:i/>
          <w:iCs/>
          <w:sz w:val="24"/>
        </w:rPr>
        <w:t>Language Testing</w:t>
      </w:r>
      <w:r w:rsidRPr="00BF7496">
        <w:rPr>
          <w:rFonts w:ascii="Times New Roman" w:hAnsi="Times New Roman" w:cs="Times New Roman"/>
          <w:sz w:val="24"/>
        </w:rPr>
        <w:t xml:space="preserve">, </w:t>
      </w:r>
      <w:r w:rsidRPr="00BF7496">
        <w:rPr>
          <w:rFonts w:ascii="Times New Roman" w:hAnsi="Times New Roman" w:cs="Times New Roman"/>
          <w:i/>
          <w:iCs/>
          <w:sz w:val="24"/>
        </w:rPr>
        <w:t>26</w:t>
      </w:r>
      <w:r w:rsidRPr="00BF7496">
        <w:rPr>
          <w:rFonts w:ascii="Times New Roman" w:hAnsi="Times New Roman" w:cs="Times New Roman"/>
          <w:sz w:val="24"/>
        </w:rPr>
        <w:t xml:space="preserve">(3), 423–443. </w:t>
      </w:r>
      <w:hyperlink r:id="rId8" w:history="1">
        <w:r w:rsidRPr="00BF7496">
          <w:rPr>
            <w:rStyle w:val="af5"/>
            <w:rFonts w:ascii="Times New Roman" w:hAnsi="Times New Roman" w:cs="Times New Roman"/>
            <w:sz w:val="24"/>
          </w:rPr>
          <w:t>https://doi.org/10.1177/0265532209104669</w:t>
        </w:r>
      </w:hyperlink>
    </w:p>
    <w:p w14:paraId="39FCDC2A" w14:textId="77777777" w:rsidR="00D37906" w:rsidRPr="00B150F8" w:rsidRDefault="00D37906" w:rsidP="00D37906">
      <w:pPr>
        <w:spacing w:after="0" w:line="288" w:lineRule="auto"/>
        <w:ind w:left="480" w:hangingChars="200" w:hanging="480"/>
        <w:jc w:val="both"/>
        <w:rPr>
          <w:rFonts w:ascii="Times New Roman" w:hAnsi="Times New Roman" w:cs="Times New Roman"/>
          <w:sz w:val="24"/>
        </w:rPr>
      </w:pPr>
      <w:r w:rsidRPr="00B150F8">
        <w:rPr>
          <w:rFonts w:ascii="Times New Roman" w:hAnsi="Times New Roman" w:cs="Times New Roman"/>
          <w:sz w:val="24"/>
        </w:rPr>
        <w:t>Ellis, N. C., Simpson-Vlach, R., &amp; Maynard, C. (2008). Formulaic language in native and second language speakers: Psycholinguistics, corpus linguistics, and TESOL. </w:t>
      </w:r>
      <w:r w:rsidRPr="00B150F8">
        <w:rPr>
          <w:rFonts w:ascii="Times New Roman" w:hAnsi="Times New Roman" w:cs="Times New Roman"/>
          <w:i/>
          <w:iCs/>
          <w:sz w:val="24"/>
        </w:rPr>
        <w:t>TESOL Quarterly, 42</w:t>
      </w:r>
      <w:r w:rsidRPr="00B150F8">
        <w:rPr>
          <w:rFonts w:ascii="Times New Roman" w:hAnsi="Times New Roman" w:cs="Times New Roman"/>
          <w:sz w:val="24"/>
        </w:rPr>
        <w:t>(3), 375–396. </w:t>
      </w:r>
      <w:hyperlink r:id="rId9" w:tgtFrame="_blank" w:history="1">
        <w:r w:rsidRPr="00B150F8">
          <w:rPr>
            <w:rStyle w:val="af5"/>
            <w:rFonts w:ascii="Times New Roman" w:hAnsi="Times New Roman" w:cs="Times New Roman"/>
            <w:sz w:val="24"/>
          </w:rPr>
          <w:t>https://doi.org/10.1002/j.1545-7249.2008.tb00137.x</w:t>
        </w:r>
      </w:hyperlink>
    </w:p>
    <w:p w14:paraId="34970449" w14:textId="77777777" w:rsidR="00D37906" w:rsidRPr="00B150F8" w:rsidRDefault="00D37906" w:rsidP="00D37906">
      <w:pPr>
        <w:spacing w:after="0" w:line="288" w:lineRule="auto"/>
        <w:ind w:left="480" w:hangingChars="200" w:hanging="480"/>
        <w:jc w:val="both"/>
        <w:rPr>
          <w:rFonts w:ascii="Times New Roman" w:hAnsi="Times New Roman" w:cs="Times New Roman"/>
          <w:sz w:val="24"/>
        </w:rPr>
      </w:pPr>
      <w:r w:rsidRPr="00B150F8">
        <w:rPr>
          <w:rFonts w:ascii="Times New Roman" w:hAnsi="Times New Roman" w:cs="Times New Roman"/>
          <w:sz w:val="24"/>
        </w:rPr>
        <w:t>Laufer, B., &amp; Waldman, T. (2011). Verb-noun collocations in second language writing: A corpus analysis of learners’ English. </w:t>
      </w:r>
      <w:r w:rsidRPr="00B150F8">
        <w:rPr>
          <w:rFonts w:ascii="Times New Roman" w:hAnsi="Times New Roman" w:cs="Times New Roman"/>
          <w:i/>
          <w:iCs/>
          <w:sz w:val="24"/>
        </w:rPr>
        <w:t>Language Learning, 61</w:t>
      </w:r>
      <w:r w:rsidRPr="00B150F8">
        <w:rPr>
          <w:rFonts w:ascii="Times New Roman" w:hAnsi="Times New Roman" w:cs="Times New Roman"/>
          <w:sz w:val="24"/>
        </w:rPr>
        <w:t>(2), 647–672. </w:t>
      </w:r>
      <w:hyperlink r:id="rId10" w:tgtFrame="_blank" w:history="1">
        <w:r w:rsidRPr="00B150F8">
          <w:rPr>
            <w:rStyle w:val="af5"/>
            <w:rFonts w:ascii="Times New Roman" w:hAnsi="Times New Roman" w:cs="Times New Roman"/>
            <w:sz w:val="24"/>
          </w:rPr>
          <w:t>https://doi.org/10.1111/j.1467-9922.2010.00621.x</w:t>
        </w:r>
      </w:hyperlink>
    </w:p>
    <w:p w14:paraId="208C33DF" w14:textId="77777777" w:rsidR="00D37906" w:rsidRPr="00A62188" w:rsidRDefault="00D37906" w:rsidP="00D37906">
      <w:pPr>
        <w:spacing w:after="0" w:line="288" w:lineRule="auto"/>
        <w:ind w:left="480" w:hangingChars="200" w:hanging="480"/>
        <w:jc w:val="both"/>
        <w:rPr>
          <w:rFonts w:ascii="Times New Roman" w:hAnsi="Times New Roman" w:cs="Times New Roman"/>
          <w:sz w:val="24"/>
        </w:rPr>
      </w:pPr>
      <w:r w:rsidRPr="00A62188">
        <w:rPr>
          <w:rFonts w:ascii="Times New Roman" w:hAnsi="Times New Roman" w:cs="Times New Roman"/>
          <w:sz w:val="24"/>
        </w:rPr>
        <w:t xml:space="preserve">Naismith, B., &amp; </w:t>
      </w:r>
      <w:proofErr w:type="spellStart"/>
      <w:r w:rsidRPr="00A62188">
        <w:rPr>
          <w:rFonts w:ascii="Times New Roman" w:hAnsi="Times New Roman" w:cs="Times New Roman"/>
          <w:sz w:val="24"/>
        </w:rPr>
        <w:t>Juffs</w:t>
      </w:r>
      <w:proofErr w:type="spellEnd"/>
      <w:r w:rsidRPr="00A62188">
        <w:rPr>
          <w:rFonts w:ascii="Times New Roman" w:hAnsi="Times New Roman" w:cs="Times New Roman"/>
          <w:sz w:val="24"/>
        </w:rPr>
        <w:t xml:space="preserve">, A. (2025). The impact of collocational proficiency features on expert ratings of L2 English learners’ writing. </w:t>
      </w:r>
      <w:r w:rsidRPr="00A62188">
        <w:rPr>
          <w:rFonts w:ascii="Times New Roman" w:hAnsi="Times New Roman" w:cs="Times New Roman"/>
          <w:i/>
          <w:iCs/>
          <w:sz w:val="24"/>
        </w:rPr>
        <w:t>Studies in Second Language Acquisition</w:t>
      </w:r>
      <w:r w:rsidRPr="00A62188">
        <w:rPr>
          <w:rFonts w:ascii="Times New Roman" w:hAnsi="Times New Roman" w:cs="Times New Roman"/>
          <w:sz w:val="24"/>
        </w:rPr>
        <w:t xml:space="preserve">, 1–25. </w:t>
      </w:r>
      <w:hyperlink r:id="rId11" w:history="1">
        <w:r w:rsidRPr="00A62188">
          <w:rPr>
            <w:rStyle w:val="af5"/>
            <w:rFonts w:ascii="Times New Roman" w:hAnsi="Times New Roman" w:cs="Times New Roman"/>
            <w:sz w:val="24"/>
          </w:rPr>
          <w:t>https://doi.org/10.1017/S0272263125000075</w:t>
        </w:r>
      </w:hyperlink>
    </w:p>
    <w:p w14:paraId="3DAEB333" w14:textId="77777777" w:rsidR="00D37906" w:rsidRPr="00B150F8" w:rsidRDefault="00D37906" w:rsidP="00D37906">
      <w:pPr>
        <w:spacing w:after="0" w:line="288" w:lineRule="auto"/>
        <w:ind w:left="480" w:hangingChars="200" w:hanging="480"/>
        <w:jc w:val="both"/>
        <w:rPr>
          <w:rFonts w:ascii="Times New Roman" w:hAnsi="Times New Roman" w:cs="Times New Roman"/>
          <w:sz w:val="24"/>
        </w:rPr>
      </w:pPr>
      <w:proofErr w:type="spellStart"/>
      <w:r w:rsidRPr="00B150F8">
        <w:rPr>
          <w:rFonts w:ascii="Times New Roman" w:hAnsi="Times New Roman" w:cs="Times New Roman"/>
          <w:sz w:val="24"/>
        </w:rPr>
        <w:lastRenderedPageBreak/>
        <w:t>Paquot</w:t>
      </w:r>
      <w:proofErr w:type="spellEnd"/>
      <w:r w:rsidRPr="00B150F8">
        <w:rPr>
          <w:rFonts w:ascii="Times New Roman" w:hAnsi="Times New Roman" w:cs="Times New Roman"/>
          <w:sz w:val="24"/>
        </w:rPr>
        <w:t>, M., &amp; Granger, S. (2012). Formulaic language in learner corpora. </w:t>
      </w:r>
      <w:r w:rsidRPr="00B150F8">
        <w:rPr>
          <w:rFonts w:ascii="Times New Roman" w:hAnsi="Times New Roman" w:cs="Times New Roman"/>
          <w:i/>
          <w:iCs/>
          <w:sz w:val="24"/>
        </w:rPr>
        <w:t>Annual Review of Applied Linguistics, 32,</w:t>
      </w:r>
      <w:r w:rsidRPr="00B150F8">
        <w:rPr>
          <w:rFonts w:ascii="Times New Roman" w:hAnsi="Times New Roman" w:cs="Times New Roman"/>
          <w:sz w:val="24"/>
        </w:rPr>
        <w:t> 130–149. </w:t>
      </w:r>
      <w:hyperlink r:id="rId12" w:tgtFrame="_blank" w:history="1">
        <w:r w:rsidRPr="00B150F8">
          <w:rPr>
            <w:rStyle w:val="af5"/>
            <w:rFonts w:ascii="Times New Roman" w:hAnsi="Times New Roman" w:cs="Times New Roman"/>
            <w:sz w:val="24"/>
          </w:rPr>
          <w:t>https://doi.org/10.1017/S0267190512000098</w:t>
        </w:r>
      </w:hyperlink>
    </w:p>
    <w:p w14:paraId="721D866A" w14:textId="77777777" w:rsidR="00D37906" w:rsidRPr="001D2FC4" w:rsidRDefault="00D37906" w:rsidP="00D37906">
      <w:pPr>
        <w:spacing w:after="0" w:line="288" w:lineRule="auto"/>
        <w:ind w:left="480" w:hangingChars="200" w:hanging="480"/>
        <w:jc w:val="both"/>
        <w:rPr>
          <w:rFonts w:ascii="Times New Roman" w:hAnsi="Times New Roman" w:cs="Times New Roman"/>
          <w:sz w:val="24"/>
        </w:rPr>
      </w:pPr>
      <w:bookmarkStart w:id="3" w:name="OLE_LINK6"/>
      <w:proofErr w:type="spellStart"/>
      <w:r w:rsidRPr="001D2FC4">
        <w:rPr>
          <w:rFonts w:ascii="Times New Roman" w:hAnsi="Times New Roman" w:cs="Times New Roman"/>
          <w:sz w:val="24"/>
        </w:rPr>
        <w:t>Paquot</w:t>
      </w:r>
      <w:proofErr w:type="spellEnd"/>
      <w:r w:rsidRPr="001D2FC4">
        <w:rPr>
          <w:rFonts w:ascii="Times New Roman" w:hAnsi="Times New Roman" w:cs="Times New Roman"/>
          <w:sz w:val="24"/>
        </w:rPr>
        <w:t xml:space="preserve">, M., &amp; </w:t>
      </w:r>
      <w:proofErr w:type="spellStart"/>
      <w:r w:rsidRPr="001D2FC4">
        <w:rPr>
          <w:rFonts w:ascii="Times New Roman" w:hAnsi="Times New Roman" w:cs="Times New Roman"/>
          <w:sz w:val="24"/>
        </w:rPr>
        <w:t>Naets</w:t>
      </w:r>
      <w:proofErr w:type="spellEnd"/>
      <w:r w:rsidRPr="001D2FC4">
        <w:rPr>
          <w:rFonts w:ascii="Times New Roman" w:hAnsi="Times New Roman" w:cs="Times New Roman"/>
          <w:sz w:val="24"/>
        </w:rPr>
        <w:t>, H. (2025)</w:t>
      </w:r>
      <w:bookmarkEnd w:id="3"/>
      <w:r w:rsidRPr="001D2FC4">
        <w:rPr>
          <w:rFonts w:ascii="Times New Roman" w:hAnsi="Times New Roman" w:cs="Times New Roman"/>
          <w:sz w:val="24"/>
        </w:rPr>
        <w:t xml:space="preserve">. Phraseological sophistication as a multidimensional construct: Exploring the relationship between association, register specificity and frequency of word combinations. In T. Larsson &amp; D. Biber (Eds.), </w:t>
      </w:r>
      <w:r w:rsidRPr="001D2FC4">
        <w:rPr>
          <w:rFonts w:ascii="Times New Roman" w:hAnsi="Times New Roman" w:cs="Times New Roman"/>
          <w:i/>
          <w:iCs/>
          <w:sz w:val="24"/>
        </w:rPr>
        <w:t>Cumulative knowledge building and replication in Learner Corpus Research.</w:t>
      </w:r>
      <w:r w:rsidRPr="001D2FC4">
        <w:rPr>
          <w:rFonts w:ascii="Times New Roman" w:hAnsi="Times New Roman" w:cs="Times New Roman"/>
          <w:sz w:val="24"/>
        </w:rPr>
        <w:t xml:space="preserve"> </w:t>
      </w:r>
      <w:r w:rsidRPr="001D2FC4">
        <w:rPr>
          <w:rFonts w:ascii="Times New Roman" w:hAnsi="Times New Roman" w:cs="Times New Roman"/>
          <w:i/>
          <w:iCs/>
          <w:sz w:val="24"/>
        </w:rPr>
        <w:t>International Journal of Learner Corpus Research, 11</w:t>
      </w:r>
      <w:r w:rsidRPr="001D2FC4">
        <w:rPr>
          <w:rFonts w:ascii="Times New Roman" w:hAnsi="Times New Roman" w:cs="Times New Roman"/>
          <w:sz w:val="24"/>
        </w:rPr>
        <w:t xml:space="preserve">(1). </w:t>
      </w:r>
      <w:hyperlink r:id="rId13" w:history="1">
        <w:r w:rsidRPr="001D2FC4">
          <w:rPr>
            <w:rStyle w:val="af5"/>
            <w:rFonts w:ascii="Times New Roman" w:hAnsi="Times New Roman" w:cs="Times New Roman"/>
            <w:sz w:val="24"/>
          </w:rPr>
          <w:t>https://doi.org/10.1075/ijlcr.23033.paq</w:t>
        </w:r>
      </w:hyperlink>
    </w:p>
    <w:p w14:paraId="71BA7702" w14:textId="77777777" w:rsidR="00D37906" w:rsidRDefault="00D37906" w:rsidP="00D37906">
      <w:pPr>
        <w:spacing w:after="0" w:line="288" w:lineRule="auto"/>
        <w:ind w:left="480" w:hangingChars="200" w:hanging="480"/>
        <w:jc w:val="both"/>
        <w:rPr>
          <w:rFonts w:hint="eastAsia"/>
        </w:rPr>
      </w:pPr>
      <w:proofErr w:type="spellStart"/>
      <w:r w:rsidRPr="00B150F8">
        <w:rPr>
          <w:rFonts w:ascii="Times New Roman" w:hAnsi="Times New Roman" w:cs="Times New Roman"/>
          <w:sz w:val="24"/>
        </w:rPr>
        <w:t>Paquot</w:t>
      </w:r>
      <w:proofErr w:type="spellEnd"/>
      <w:r w:rsidRPr="00B150F8">
        <w:rPr>
          <w:rFonts w:ascii="Times New Roman" w:hAnsi="Times New Roman" w:cs="Times New Roman"/>
          <w:sz w:val="24"/>
        </w:rPr>
        <w:t xml:space="preserve">, M., Gries, S. Th., &amp; Yoder, M. (2020). Measuring lexicogrammar. In P. Winke &amp; T. </w:t>
      </w:r>
      <w:proofErr w:type="spellStart"/>
      <w:r w:rsidRPr="00B150F8">
        <w:rPr>
          <w:rFonts w:ascii="Times New Roman" w:hAnsi="Times New Roman" w:cs="Times New Roman"/>
          <w:sz w:val="24"/>
        </w:rPr>
        <w:t>Brunfaut</w:t>
      </w:r>
      <w:proofErr w:type="spellEnd"/>
      <w:r w:rsidRPr="00B150F8">
        <w:rPr>
          <w:rFonts w:ascii="Times New Roman" w:hAnsi="Times New Roman" w:cs="Times New Roman"/>
          <w:sz w:val="24"/>
        </w:rPr>
        <w:t xml:space="preserve"> (Eds.), </w:t>
      </w:r>
      <w:r w:rsidRPr="00B150F8">
        <w:rPr>
          <w:rFonts w:ascii="Times New Roman" w:hAnsi="Times New Roman" w:cs="Times New Roman"/>
          <w:i/>
          <w:iCs/>
          <w:sz w:val="24"/>
        </w:rPr>
        <w:t>The Routledge handbook of second language acquisition and language testing</w:t>
      </w:r>
      <w:r w:rsidRPr="00B150F8">
        <w:rPr>
          <w:rFonts w:ascii="Times New Roman" w:hAnsi="Times New Roman" w:cs="Times New Roman"/>
          <w:sz w:val="24"/>
        </w:rPr>
        <w:t> (pp. 223–232). Routledge. </w:t>
      </w:r>
      <w:hyperlink r:id="rId14" w:tgtFrame="_blank" w:history="1">
        <w:r w:rsidRPr="00B150F8">
          <w:rPr>
            <w:rStyle w:val="af5"/>
            <w:rFonts w:ascii="Times New Roman" w:hAnsi="Times New Roman" w:cs="Times New Roman"/>
            <w:sz w:val="24"/>
          </w:rPr>
          <w:t>https://doi.org/10.4324/9781351034784-25</w:t>
        </w:r>
      </w:hyperlink>
    </w:p>
    <w:p w14:paraId="19747427" w14:textId="77777777" w:rsidR="00D37906" w:rsidRPr="00C03326" w:rsidRDefault="00D37906" w:rsidP="00D37906">
      <w:pPr>
        <w:spacing w:after="0" w:line="288" w:lineRule="auto"/>
        <w:ind w:left="480" w:hangingChars="200" w:hanging="480"/>
        <w:jc w:val="both"/>
        <w:rPr>
          <w:rFonts w:ascii="Times New Roman" w:hAnsi="Times New Roman" w:cs="Times New Roman"/>
          <w:sz w:val="24"/>
          <w:lang w:val="fr-BE"/>
        </w:rPr>
      </w:pPr>
      <w:r>
        <w:rPr>
          <w:rFonts w:ascii="Times New Roman" w:hAnsi="Times New Roman" w:cs="Times New Roman"/>
          <w:sz w:val="24"/>
        </w:rPr>
        <w:t xml:space="preserve">Thwaites, P. (2024). </w:t>
      </w:r>
      <w:r>
        <w:rPr>
          <w:rFonts w:ascii="Times New Roman" w:hAnsi="Times New Roman" w:cs="Times New Roman"/>
          <w:i/>
          <w:iCs/>
          <w:sz w:val="24"/>
        </w:rPr>
        <w:t>Comparative judgement for advancing research in applied linguistics</w:t>
      </w:r>
      <w:r>
        <w:rPr>
          <w:rFonts w:ascii="Times New Roman" w:hAnsi="Times New Roman" w:cs="Times New Roman"/>
          <w:sz w:val="24"/>
        </w:rPr>
        <w:t xml:space="preserve">. </w:t>
      </w:r>
      <w:hyperlink r:id="rId15" w:history="1">
        <w:r w:rsidRPr="00C03326">
          <w:rPr>
            <w:rStyle w:val="af5"/>
            <w:rFonts w:ascii="Times New Roman" w:hAnsi="Times New Roman" w:cs="Times New Roman"/>
            <w:sz w:val="24"/>
            <w:lang w:val="fr-BE"/>
          </w:rPr>
          <w:t>https://doi.org/10.1016/j.rmal.2024.100142</w:t>
        </w:r>
      </w:hyperlink>
    </w:p>
    <w:p w14:paraId="2398A95A" w14:textId="77777777" w:rsidR="00D37906" w:rsidRDefault="00D37906" w:rsidP="00D37906">
      <w:pPr>
        <w:spacing w:after="0" w:line="288" w:lineRule="auto"/>
        <w:ind w:left="480" w:hangingChars="200" w:hanging="480"/>
        <w:jc w:val="both"/>
        <w:rPr>
          <w:rFonts w:ascii="Times New Roman" w:hAnsi="Times New Roman" w:cs="Times New Roman"/>
          <w:sz w:val="24"/>
        </w:rPr>
      </w:pPr>
      <w:r w:rsidRPr="00C03326">
        <w:rPr>
          <w:rFonts w:ascii="Times New Roman" w:hAnsi="Times New Roman" w:cs="Times New Roman" w:hint="eastAsia"/>
          <w:sz w:val="24"/>
          <w:lang w:val="fr-BE"/>
        </w:rPr>
        <w:t xml:space="preserve">Verhavert, S., Bouwer, R., Donche, V., &amp; De Maeyer, S. (2019). </w:t>
      </w:r>
      <w:r>
        <w:rPr>
          <w:rFonts w:ascii="Times New Roman" w:hAnsi="Times New Roman" w:cs="Times New Roman" w:hint="eastAsia"/>
          <w:sz w:val="24"/>
        </w:rPr>
        <w:t xml:space="preserve">A meta-analysis on the reliability of comparative judgement. </w:t>
      </w:r>
      <w:r>
        <w:rPr>
          <w:rFonts w:ascii="Times New Roman" w:hAnsi="Times New Roman" w:cs="Times New Roman" w:hint="eastAsia"/>
          <w:i/>
          <w:iCs/>
          <w:sz w:val="24"/>
        </w:rPr>
        <w:t>Assessment in Education: Principles, Policy &amp; Practice</w:t>
      </w:r>
      <w:r>
        <w:rPr>
          <w:rFonts w:ascii="Times New Roman" w:hAnsi="Times New Roman" w:cs="Times New Roman" w:hint="eastAsia"/>
          <w:sz w:val="24"/>
        </w:rPr>
        <w:t>, 26(5), 541</w:t>
      </w:r>
      <w:r>
        <w:rPr>
          <w:rFonts w:ascii="Times New Roman" w:hAnsi="Times New Roman" w:cs="Times New Roman" w:hint="eastAsia"/>
          <w:sz w:val="24"/>
        </w:rPr>
        <w:t>–</w:t>
      </w:r>
      <w:r>
        <w:rPr>
          <w:rFonts w:ascii="Times New Roman" w:hAnsi="Times New Roman" w:cs="Times New Roman" w:hint="eastAsia"/>
          <w:sz w:val="24"/>
        </w:rPr>
        <w:t xml:space="preserve">562. </w:t>
      </w:r>
      <w:hyperlink r:id="rId16" w:history="1">
        <w:r>
          <w:rPr>
            <w:rStyle w:val="af5"/>
            <w:rFonts w:ascii="Times New Roman" w:hAnsi="Times New Roman" w:cs="Times New Roman" w:hint="eastAsia"/>
            <w:sz w:val="24"/>
          </w:rPr>
          <w:t>https://doi.org/10.1080/0969594X.2019.1602027</w:t>
        </w:r>
      </w:hyperlink>
    </w:p>
    <w:p w14:paraId="32A5A97A" w14:textId="77777777" w:rsidR="00D37906" w:rsidRDefault="00D37906" w:rsidP="00D37906">
      <w:pPr>
        <w:spacing w:after="0" w:line="288" w:lineRule="auto"/>
        <w:ind w:left="480" w:hangingChars="200" w:hanging="480"/>
        <w:jc w:val="both"/>
        <w:rPr>
          <w:rFonts w:ascii="Times New Roman" w:hAnsi="Times New Roman" w:cs="Times New Roman"/>
          <w:sz w:val="24"/>
        </w:rPr>
      </w:pPr>
      <w:r w:rsidRPr="00D37906">
        <w:rPr>
          <w:rFonts w:ascii="Times New Roman" w:hAnsi="Times New Roman" w:cs="Times New Roman"/>
          <w:sz w:val="24"/>
        </w:rPr>
        <w:t>Xu, J. (2018). Measuring “Spoken Collocational Competence” in Communicative Speaking Assessment. </w:t>
      </w:r>
      <w:r w:rsidRPr="00D37906">
        <w:rPr>
          <w:rFonts w:ascii="Times New Roman" w:hAnsi="Times New Roman" w:cs="Times New Roman"/>
          <w:i/>
          <w:iCs/>
          <w:sz w:val="24"/>
        </w:rPr>
        <w:t>Language Assessment Quarterly</w:t>
      </w:r>
      <w:r w:rsidRPr="00D37906">
        <w:rPr>
          <w:rFonts w:ascii="Times New Roman" w:hAnsi="Times New Roman" w:cs="Times New Roman"/>
          <w:sz w:val="24"/>
        </w:rPr>
        <w:t>, </w:t>
      </w:r>
      <w:r w:rsidRPr="00D37906">
        <w:rPr>
          <w:rFonts w:ascii="Times New Roman" w:hAnsi="Times New Roman" w:cs="Times New Roman"/>
          <w:i/>
          <w:iCs/>
          <w:sz w:val="24"/>
        </w:rPr>
        <w:t>15</w:t>
      </w:r>
      <w:r w:rsidRPr="00D37906">
        <w:rPr>
          <w:rFonts w:ascii="Times New Roman" w:hAnsi="Times New Roman" w:cs="Times New Roman"/>
          <w:sz w:val="24"/>
        </w:rPr>
        <w:t xml:space="preserve">(3), 255–272. </w:t>
      </w:r>
      <w:hyperlink r:id="rId17" w:history="1">
        <w:r w:rsidRPr="007D7963">
          <w:rPr>
            <w:rStyle w:val="af5"/>
            <w:rFonts w:ascii="Times New Roman" w:hAnsi="Times New Roman" w:cs="Times New Roman"/>
            <w:sz w:val="24"/>
          </w:rPr>
          <w:t>https://doi.org/10.1080/15434303.2018.1482900</w:t>
        </w:r>
      </w:hyperlink>
    </w:p>
    <w:sectPr w:rsidR="00D37906">
      <w:headerReference w:type="even" r:id="rId18"/>
      <w:headerReference w:type="default" r:id="rId19"/>
      <w:footerReference w:type="even" r:id="rId20"/>
      <w:footerReference w:type="default" r:id="rId21"/>
      <w:headerReference w:type="first" r:id="rId22"/>
      <w:footerReference w:type="first" r:id="rId23"/>
      <w:pgSz w:w="11906" w:h="16838"/>
      <w:pgMar w:top="1417" w:right="1417" w:bottom="1417"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B38386" w14:textId="77777777" w:rsidR="00AC2987" w:rsidRDefault="00AC2987" w:rsidP="009228AF">
      <w:pPr>
        <w:spacing w:after="0" w:line="240" w:lineRule="auto"/>
        <w:rPr>
          <w:rFonts w:hint="eastAsia"/>
        </w:rPr>
      </w:pPr>
      <w:r>
        <w:separator/>
      </w:r>
    </w:p>
  </w:endnote>
  <w:endnote w:type="continuationSeparator" w:id="0">
    <w:p w14:paraId="7E16174E" w14:textId="77777777" w:rsidR="00AC2987" w:rsidRDefault="00AC2987" w:rsidP="009228AF">
      <w:pPr>
        <w:spacing w:after="0"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DM Sans">
    <w:charset w:val="00"/>
    <w:family w:val="auto"/>
    <w:pitch w:val="variable"/>
    <w:sig w:usb0="8000002F" w:usb1="5000205B" w:usb2="00000000" w:usb3="00000000" w:csb0="00000093" w:csb1="00000000"/>
  </w:font>
  <w:font w:name="Microsoft YaHei U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45C1B2" w14:textId="77777777" w:rsidR="00013021" w:rsidRDefault="00013021">
    <w:pPr>
      <w:pStyle w:val="af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0361698"/>
      <w:docPartObj>
        <w:docPartGallery w:val="Page Numbers (Bottom of Page)"/>
        <w:docPartUnique/>
      </w:docPartObj>
    </w:sdtPr>
    <w:sdtContent>
      <w:p w14:paraId="1FC02A8C" w14:textId="5F9B5C81" w:rsidR="00013021" w:rsidRDefault="00013021">
        <w:pPr>
          <w:pStyle w:val="af0"/>
          <w:jc w:val="center"/>
          <w:rPr>
            <w:rFonts w:hint="eastAsia"/>
          </w:rPr>
        </w:pPr>
        <w:r>
          <w:fldChar w:fldCharType="begin"/>
        </w:r>
        <w:r>
          <w:instrText>PAGE   \* MERGEFORMAT</w:instrText>
        </w:r>
        <w:r>
          <w:fldChar w:fldCharType="separate"/>
        </w:r>
        <w:r>
          <w:rPr>
            <w:lang w:val="zh-CN"/>
          </w:rPr>
          <w:t>2</w:t>
        </w:r>
        <w:r>
          <w:fldChar w:fldCharType="end"/>
        </w:r>
      </w:p>
    </w:sdtContent>
  </w:sdt>
  <w:p w14:paraId="7F83C56D" w14:textId="77777777" w:rsidR="00013021" w:rsidRDefault="00013021">
    <w:pPr>
      <w:pStyle w:val="af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D221F" w14:textId="77777777" w:rsidR="00013021" w:rsidRDefault="00013021">
    <w:pPr>
      <w:pStyle w:val="af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C4E87C" w14:textId="77777777" w:rsidR="00AC2987" w:rsidRDefault="00AC2987" w:rsidP="009228AF">
      <w:pPr>
        <w:spacing w:after="0" w:line="240" w:lineRule="auto"/>
        <w:rPr>
          <w:rFonts w:hint="eastAsia"/>
        </w:rPr>
      </w:pPr>
      <w:r>
        <w:separator/>
      </w:r>
    </w:p>
  </w:footnote>
  <w:footnote w:type="continuationSeparator" w:id="0">
    <w:p w14:paraId="1556B70B" w14:textId="77777777" w:rsidR="00AC2987" w:rsidRDefault="00AC2987" w:rsidP="009228AF">
      <w:pPr>
        <w:spacing w:after="0" w:line="240" w:lineRule="auto"/>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0B621" w14:textId="77777777" w:rsidR="00013021" w:rsidRDefault="00013021">
    <w:pPr>
      <w:pStyle w:val="ae"/>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795C0" w14:textId="77777777" w:rsidR="00013021" w:rsidRDefault="00013021">
    <w:pPr>
      <w:pStyle w:val="ae"/>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2D5141" w14:textId="77777777" w:rsidR="00013021" w:rsidRDefault="00013021">
    <w:pPr>
      <w:pStyle w:val="ae"/>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41196E"/>
    <w:multiLevelType w:val="multilevel"/>
    <w:tmpl w:val="A4B671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9344389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grammar="clean"/>
  <w:defaultTabStop w:val="420"/>
  <w:hyphenationZone w:val="42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6E28"/>
    <w:rsid w:val="00012F2A"/>
    <w:rsid w:val="00013021"/>
    <w:rsid w:val="000423B6"/>
    <w:rsid w:val="00076E28"/>
    <w:rsid w:val="00093D1B"/>
    <w:rsid w:val="000D154E"/>
    <w:rsid w:val="000D171C"/>
    <w:rsid w:val="000D3C4A"/>
    <w:rsid w:val="000E6625"/>
    <w:rsid w:val="000F2F5D"/>
    <w:rsid w:val="00126B84"/>
    <w:rsid w:val="00134B52"/>
    <w:rsid w:val="001614DE"/>
    <w:rsid w:val="00187F21"/>
    <w:rsid w:val="001D2FC4"/>
    <w:rsid w:val="001E22B0"/>
    <w:rsid w:val="001F0078"/>
    <w:rsid w:val="0023751D"/>
    <w:rsid w:val="002741DC"/>
    <w:rsid w:val="00283FC1"/>
    <w:rsid w:val="002C4C31"/>
    <w:rsid w:val="003347BD"/>
    <w:rsid w:val="00342CEE"/>
    <w:rsid w:val="00347E90"/>
    <w:rsid w:val="003754EA"/>
    <w:rsid w:val="00386CD1"/>
    <w:rsid w:val="003929A7"/>
    <w:rsid w:val="00395D7F"/>
    <w:rsid w:val="00466334"/>
    <w:rsid w:val="004A6DDE"/>
    <w:rsid w:val="004C44A4"/>
    <w:rsid w:val="0054315F"/>
    <w:rsid w:val="00544E25"/>
    <w:rsid w:val="00566093"/>
    <w:rsid w:val="005A07C7"/>
    <w:rsid w:val="005B38C2"/>
    <w:rsid w:val="005E4081"/>
    <w:rsid w:val="006254A9"/>
    <w:rsid w:val="00652A5A"/>
    <w:rsid w:val="006C5D31"/>
    <w:rsid w:val="0074094A"/>
    <w:rsid w:val="0075178B"/>
    <w:rsid w:val="00787E47"/>
    <w:rsid w:val="0079315E"/>
    <w:rsid w:val="007A15CC"/>
    <w:rsid w:val="007B68A0"/>
    <w:rsid w:val="007E411B"/>
    <w:rsid w:val="007E48CC"/>
    <w:rsid w:val="008B7D75"/>
    <w:rsid w:val="008C27BD"/>
    <w:rsid w:val="008D5548"/>
    <w:rsid w:val="009228AF"/>
    <w:rsid w:val="009339A4"/>
    <w:rsid w:val="0095056D"/>
    <w:rsid w:val="009A173F"/>
    <w:rsid w:val="00A4784A"/>
    <w:rsid w:val="00A56C27"/>
    <w:rsid w:val="00A62188"/>
    <w:rsid w:val="00A93E1E"/>
    <w:rsid w:val="00A96D6E"/>
    <w:rsid w:val="00AC2987"/>
    <w:rsid w:val="00B313C4"/>
    <w:rsid w:val="00B6629A"/>
    <w:rsid w:val="00BF7496"/>
    <w:rsid w:val="00C36C18"/>
    <w:rsid w:val="00C43B92"/>
    <w:rsid w:val="00C60689"/>
    <w:rsid w:val="00CC6342"/>
    <w:rsid w:val="00D14D0F"/>
    <w:rsid w:val="00D31AF2"/>
    <w:rsid w:val="00D37906"/>
    <w:rsid w:val="00D404DD"/>
    <w:rsid w:val="00D50904"/>
    <w:rsid w:val="00D5661E"/>
    <w:rsid w:val="00D73700"/>
    <w:rsid w:val="00E041C4"/>
    <w:rsid w:val="00E608AD"/>
    <w:rsid w:val="00E63A48"/>
    <w:rsid w:val="00E64A3B"/>
    <w:rsid w:val="00E85AF1"/>
    <w:rsid w:val="00EB0A6D"/>
    <w:rsid w:val="00F568B2"/>
    <w:rsid w:val="00FC69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F0B7C8B"/>
  <w15:chartTrackingRefBased/>
  <w15:docId w15:val="{AC55AB21-CC1A-4EA6-8DFB-6EDA1467B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228AF"/>
    <w:pPr>
      <w:widowControl w:val="0"/>
    </w:pPr>
  </w:style>
  <w:style w:type="paragraph" w:styleId="1">
    <w:name w:val="heading 1"/>
    <w:basedOn w:val="a"/>
    <w:next w:val="a"/>
    <w:link w:val="10"/>
    <w:uiPriority w:val="9"/>
    <w:qFormat/>
    <w:rsid w:val="00076E28"/>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rsid w:val="00076E28"/>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rsid w:val="00076E28"/>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rsid w:val="00076E28"/>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rsid w:val="00076E28"/>
    <w:pPr>
      <w:keepNext/>
      <w:keepLines/>
      <w:spacing w:before="80" w:after="40"/>
      <w:outlineLvl w:val="4"/>
    </w:pPr>
    <w:rPr>
      <w:rFonts w:cstheme="majorBidi"/>
      <w:color w:val="0F4761" w:themeColor="accent1" w:themeShade="BF"/>
      <w:sz w:val="24"/>
    </w:rPr>
  </w:style>
  <w:style w:type="paragraph" w:styleId="6">
    <w:name w:val="heading 6"/>
    <w:basedOn w:val="a"/>
    <w:next w:val="a"/>
    <w:link w:val="60"/>
    <w:uiPriority w:val="9"/>
    <w:semiHidden/>
    <w:unhideWhenUsed/>
    <w:qFormat/>
    <w:rsid w:val="00076E28"/>
    <w:pPr>
      <w:keepNext/>
      <w:keepLines/>
      <w:spacing w:before="40" w:after="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076E28"/>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076E28"/>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076E28"/>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076E28"/>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sid w:val="00076E28"/>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sid w:val="00076E28"/>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sid w:val="00076E28"/>
    <w:rPr>
      <w:rFonts w:cstheme="majorBidi"/>
      <w:color w:val="0F4761" w:themeColor="accent1" w:themeShade="BF"/>
      <w:sz w:val="28"/>
      <w:szCs w:val="28"/>
    </w:rPr>
  </w:style>
  <w:style w:type="character" w:customStyle="1" w:styleId="50">
    <w:name w:val="标题 5 字符"/>
    <w:basedOn w:val="a0"/>
    <w:link w:val="5"/>
    <w:uiPriority w:val="9"/>
    <w:semiHidden/>
    <w:rsid w:val="00076E28"/>
    <w:rPr>
      <w:rFonts w:cstheme="majorBidi"/>
      <w:color w:val="0F4761" w:themeColor="accent1" w:themeShade="BF"/>
      <w:sz w:val="24"/>
    </w:rPr>
  </w:style>
  <w:style w:type="character" w:customStyle="1" w:styleId="60">
    <w:name w:val="标题 6 字符"/>
    <w:basedOn w:val="a0"/>
    <w:link w:val="6"/>
    <w:uiPriority w:val="9"/>
    <w:semiHidden/>
    <w:rsid w:val="00076E28"/>
    <w:rPr>
      <w:rFonts w:cstheme="majorBidi"/>
      <w:b/>
      <w:bCs/>
      <w:color w:val="0F4761" w:themeColor="accent1" w:themeShade="BF"/>
    </w:rPr>
  </w:style>
  <w:style w:type="character" w:customStyle="1" w:styleId="70">
    <w:name w:val="标题 7 字符"/>
    <w:basedOn w:val="a0"/>
    <w:link w:val="7"/>
    <w:uiPriority w:val="9"/>
    <w:semiHidden/>
    <w:rsid w:val="00076E28"/>
    <w:rPr>
      <w:rFonts w:cstheme="majorBidi"/>
      <w:b/>
      <w:bCs/>
      <w:color w:val="595959" w:themeColor="text1" w:themeTint="A6"/>
    </w:rPr>
  </w:style>
  <w:style w:type="character" w:customStyle="1" w:styleId="80">
    <w:name w:val="标题 8 字符"/>
    <w:basedOn w:val="a0"/>
    <w:link w:val="8"/>
    <w:uiPriority w:val="9"/>
    <w:semiHidden/>
    <w:rsid w:val="00076E28"/>
    <w:rPr>
      <w:rFonts w:cstheme="majorBidi"/>
      <w:color w:val="595959" w:themeColor="text1" w:themeTint="A6"/>
    </w:rPr>
  </w:style>
  <w:style w:type="character" w:customStyle="1" w:styleId="90">
    <w:name w:val="标题 9 字符"/>
    <w:basedOn w:val="a0"/>
    <w:link w:val="9"/>
    <w:uiPriority w:val="9"/>
    <w:semiHidden/>
    <w:rsid w:val="00076E28"/>
    <w:rPr>
      <w:rFonts w:eastAsiaTheme="majorEastAsia" w:cstheme="majorBidi"/>
      <w:color w:val="595959" w:themeColor="text1" w:themeTint="A6"/>
    </w:rPr>
  </w:style>
  <w:style w:type="paragraph" w:styleId="a3">
    <w:name w:val="Title"/>
    <w:basedOn w:val="a"/>
    <w:next w:val="a"/>
    <w:link w:val="a4"/>
    <w:uiPriority w:val="10"/>
    <w:qFormat/>
    <w:rsid w:val="00076E28"/>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076E2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76E28"/>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076E28"/>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076E28"/>
    <w:pPr>
      <w:spacing w:before="160"/>
      <w:jc w:val="center"/>
    </w:pPr>
    <w:rPr>
      <w:i/>
      <w:iCs/>
      <w:color w:val="404040" w:themeColor="text1" w:themeTint="BF"/>
    </w:rPr>
  </w:style>
  <w:style w:type="character" w:customStyle="1" w:styleId="a8">
    <w:name w:val="引用 字符"/>
    <w:basedOn w:val="a0"/>
    <w:link w:val="a7"/>
    <w:uiPriority w:val="29"/>
    <w:rsid w:val="00076E28"/>
    <w:rPr>
      <w:i/>
      <w:iCs/>
      <w:color w:val="404040" w:themeColor="text1" w:themeTint="BF"/>
    </w:rPr>
  </w:style>
  <w:style w:type="paragraph" w:styleId="a9">
    <w:name w:val="List Paragraph"/>
    <w:basedOn w:val="a"/>
    <w:uiPriority w:val="34"/>
    <w:qFormat/>
    <w:rsid w:val="00076E28"/>
    <w:pPr>
      <w:ind w:left="720"/>
      <w:contextualSpacing/>
    </w:pPr>
  </w:style>
  <w:style w:type="character" w:styleId="aa">
    <w:name w:val="Intense Emphasis"/>
    <w:basedOn w:val="a0"/>
    <w:uiPriority w:val="21"/>
    <w:qFormat/>
    <w:rsid w:val="00076E28"/>
    <w:rPr>
      <w:i/>
      <w:iCs/>
      <w:color w:val="0F4761" w:themeColor="accent1" w:themeShade="BF"/>
    </w:rPr>
  </w:style>
  <w:style w:type="paragraph" w:styleId="ab">
    <w:name w:val="Intense Quote"/>
    <w:basedOn w:val="a"/>
    <w:next w:val="a"/>
    <w:link w:val="ac"/>
    <w:uiPriority w:val="30"/>
    <w:qFormat/>
    <w:rsid w:val="00076E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076E28"/>
    <w:rPr>
      <w:i/>
      <w:iCs/>
      <w:color w:val="0F4761" w:themeColor="accent1" w:themeShade="BF"/>
    </w:rPr>
  </w:style>
  <w:style w:type="character" w:styleId="ad">
    <w:name w:val="Intense Reference"/>
    <w:basedOn w:val="a0"/>
    <w:uiPriority w:val="32"/>
    <w:qFormat/>
    <w:rsid w:val="00076E28"/>
    <w:rPr>
      <w:b/>
      <w:bCs/>
      <w:smallCaps/>
      <w:color w:val="0F4761" w:themeColor="accent1" w:themeShade="BF"/>
      <w:spacing w:val="5"/>
    </w:rPr>
  </w:style>
  <w:style w:type="paragraph" w:styleId="ae">
    <w:name w:val="header"/>
    <w:basedOn w:val="a"/>
    <w:link w:val="af"/>
    <w:uiPriority w:val="99"/>
    <w:unhideWhenUsed/>
    <w:rsid w:val="009228AF"/>
    <w:pPr>
      <w:tabs>
        <w:tab w:val="center" w:pos="4536"/>
        <w:tab w:val="right" w:pos="9072"/>
      </w:tabs>
      <w:snapToGrid w:val="0"/>
      <w:spacing w:line="240" w:lineRule="auto"/>
      <w:jc w:val="center"/>
    </w:pPr>
    <w:rPr>
      <w:sz w:val="18"/>
      <w:szCs w:val="18"/>
    </w:rPr>
  </w:style>
  <w:style w:type="character" w:customStyle="1" w:styleId="af">
    <w:name w:val="页眉 字符"/>
    <w:basedOn w:val="a0"/>
    <w:link w:val="ae"/>
    <w:uiPriority w:val="99"/>
    <w:rsid w:val="009228AF"/>
    <w:rPr>
      <w:sz w:val="18"/>
      <w:szCs w:val="18"/>
    </w:rPr>
  </w:style>
  <w:style w:type="paragraph" w:styleId="af0">
    <w:name w:val="footer"/>
    <w:basedOn w:val="a"/>
    <w:link w:val="af1"/>
    <w:uiPriority w:val="99"/>
    <w:unhideWhenUsed/>
    <w:rsid w:val="009228AF"/>
    <w:pPr>
      <w:tabs>
        <w:tab w:val="center" w:pos="4536"/>
        <w:tab w:val="right" w:pos="9072"/>
      </w:tabs>
      <w:snapToGrid w:val="0"/>
      <w:spacing w:line="240" w:lineRule="auto"/>
    </w:pPr>
    <w:rPr>
      <w:sz w:val="18"/>
      <w:szCs w:val="18"/>
    </w:rPr>
  </w:style>
  <w:style w:type="character" w:customStyle="1" w:styleId="af1">
    <w:name w:val="页脚 字符"/>
    <w:basedOn w:val="a0"/>
    <w:link w:val="af0"/>
    <w:uiPriority w:val="99"/>
    <w:rsid w:val="009228AF"/>
    <w:rPr>
      <w:sz w:val="18"/>
      <w:szCs w:val="18"/>
    </w:rPr>
  </w:style>
  <w:style w:type="character" w:styleId="af2">
    <w:name w:val="annotation reference"/>
    <w:basedOn w:val="a0"/>
    <w:uiPriority w:val="99"/>
    <w:semiHidden/>
    <w:unhideWhenUsed/>
    <w:rsid w:val="00C43B92"/>
    <w:rPr>
      <w:sz w:val="21"/>
      <w:szCs w:val="21"/>
    </w:rPr>
  </w:style>
  <w:style w:type="paragraph" w:styleId="af3">
    <w:name w:val="annotation text"/>
    <w:basedOn w:val="a"/>
    <w:link w:val="af4"/>
    <w:uiPriority w:val="99"/>
    <w:unhideWhenUsed/>
    <w:rsid w:val="00C43B92"/>
  </w:style>
  <w:style w:type="character" w:customStyle="1" w:styleId="af4">
    <w:name w:val="批注文字 字符"/>
    <w:basedOn w:val="a0"/>
    <w:link w:val="af3"/>
    <w:uiPriority w:val="99"/>
    <w:rsid w:val="00C43B92"/>
  </w:style>
  <w:style w:type="character" w:styleId="af5">
    <w:name w:val="Hyperlink"/>
    <w:basedOn w:val="a0"/>
    <w:uiPriority w:val="99"/>
    <w:unhideWhenUsed/>
    <w:rsid w:val="00A62188"/>
    <w:rPr>
      <w:color w:val="467886" w:themeColor="hyperlink"/>
      <w:u w:val="single"/>
    </w:rPr>
  </w:style>
  <w:style w:type="character" w:styleId="af6">
    <w:name w:val="Unresolved Mention"/>
    <w:basedOn w:val="a0"/>
    <w:uiPriority w:val="99"/>
    <w:semiHidden/>
    <w:unhideWhenUsed/>
    <w:rsid w:val="00A62188"/>
    <w:rPr>
      <w:color w:val="605E5C"/>
      <w:shd w:val="clear" w:color="auto" w:fill="E1DFDD"/>
    </w:rPr>
  </w:style>
  <w:style w:type="paragraph" w:styleId="af7">
    <w:name w:val="annotation subject"/>
    <w:basedOn w:val="af3"/>
    <w:next w:val="af3"/>
    <w:link w:val="af8"/>
    <w:uiPriority w:val="99"/>
    <w:semiHidden/>
    <w:unhideWhenUsed/>
    <w:rsid w:val="00C60689"/>
    <w:pPr>
      <w:spacing w:line="240" w:lineRule="auto"/>
    </w:pPr>
    <w:rPr>
      <w:b/>
      <w:bCs/>
      <w:sz w:val="20"/>
      <w:szCs w:val="20"/>
    </w:rPr>
  </w:style>
  <w:style w:type="character" w:customStyle="1" w:styleId="af8">
    <w:name w:val="批注主题 字符"/>
    <w:basedOn w:val="af4"/>
    <w:link w:val="af7"/>
    <w:uiPriority w:val="99"/>
    <w:semiHidden/>
    <w:rsid w:val="00C60689"/>
    <w:rPr>
      <w:b/>
      <w:bCs/>
      <w:sz w:val="20"/>
      <w:szCs w:val="20"/>
    </w:rPr>
  </w:style>
  <w:style w:type="paragraph" w:styleId="af9">
    <w:name w:val="Revision"/>
    <w:hidden/>
    <w:uiPriority w:val="99"/>
    <w:semiHidden/>
    <w:rsid w:val="00D5090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303305">
      <w:bodyDiv w:val="1"/>
      <w:marLeft w:val="0"/>
      <w:marRight w:val="0"/>
      <w:marTop w:val="0"/>
      <w:marBottom w:val="0"/>
      <w:divBdr>
        <w:top w:val="none" w:sz="0" w:space="0" w:color="auto"/>
        <w:left w:val="none" w:sz="0" w:space="0" w:color="auto"/>
        <w:bottom w:val="none" w:sz="0" w:space="0" w:color="auto"/>
        <w:right w:val="none" w:sz="0" w:space="0" w:color="auto"/>
      </w:divBdr>
    </w:div>
    <w:div w:id="305554417">
      <w:bodyDiv w:val="1"/>
      <w:marLeft w:val="0"/>
      <w:marRight w:val="0"/>
      <w:marTop w:val="0"/>
      <w:marBottom w:val="0"/>
      <w:divBdr>
        <w:top w:val="none" w:sz="0" w:space="0" w:color="auto"/>
        <w:left w:val="none" w:sz="0" w:space="0" w:color="auto"/>
        <w:bottom w:val="none" w:sz="0" w:space="0" w:color="auto"/>
        <w:right w:val="none" w:sz="0" w:space="0" w:color="auto"/>
      </w:divBdr>
      <w:divsChild>
        <w:div w:id="936446784">
          <w:marLeft w:val="480"/>
          <w:marRight w:val="0"/>
          <w:marTop w:val="0"/>
          <w:marBottom w:val="0"/>
          <w:divBdr>
            <w:top w:val="none" w:sz="0" w:space="0" w:color="auto"/>
            <w:left w:val="none" w:sz="0" w:space="0" w:color="auto"/>
            <w:bottom w:val="none" w:sz="0" w:space="0" w:color="auto"/>
            <w:right w:val="none" w:sz="0" w:space="0" w:color="auto"/>
          </w:divBdr>
          <w:divsChild>
            <w:div w:id="84806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027616">
      <w:bodyDiv w:val="1"/>
      <w:marLeft w:val="0"/>
      <w:marRight w:val="0"/>
      <w:marTop w:val="0"/>
      <w:marBottom w:val="0"/>
      <w:divBdr>
        <w:top w:val="none" w:sz="0" w:space="0" w:color="auto"/>
        <w:left w:val="none" w:sz="0" w:space="0" w:color="auto"/>
        <w:bottom w:val="none" w:sz="0" w:space="0" w:color="auto"/>
        <w:right w:val="none" w:sz="0" w:space="0" w:color="auto"/>
      </w:divBdr>
    </w:div>
    <w:div w:id="342167448">
      <w:bodyDiv w:val="1"/>
      <w:marLeft w:val="0"/>
      <w:marRight w:val="0"/>
      <w:marTop w:val="0"/>
      <w:marBottom w:val="0"/>
      <w:divBdr>
        <w:top w:val="none" w:sz="0" w:space="0" w:color="auto"/>
        <w:left w:val="none" w:sz="0" w:space="0" w:color="auto"/>
        <w:bottom w:val="none" w:sz="0" w:space="0" w:color="auto"/>
        <w:right w:val="none" w:sz="0" w:space="0" w:color="auto"/>
      </w:divBdr>
    </w:div>
    <w:div w:id="478888381">
      <w:bodyDiv w:val="1"/>
      <w:marLeft w:val="0"/>
      <w:marRight w:val="0"/>
      <w:marTop w:val="0"/>
      <w:marBottom w:val="0"/>
      <w:divBdr>
        <w:top w:val="none" w:sz="0" w:space="0" w:color="auto"/>
        <w:left w:val="none" w:sz="0" w:space="0" w:color="auto"/>
        <w:bottom w:val="none" w:sz="0" w:space="0" w:color="auto"/>
        <w:right w:val="none" w:sz="0" w:space="0" w:color="auto"/>
      </w:divBdr>
    </w:div>
    <w:div w:id="496655828">
      <w:bodyDiv w:val="1"/>
      <w:marLeft w:val="0"/>
      <w:marRight w:val="0"/>
      <w:marTop w:val="0"/>
      <w:marBottom w:val="0"/>
      <w:divBdr>
        <w:top w:val="none" w:sz="0" w:space="0" w:color="auto"/>
        <w:left w:val="none" w:sz="0" w:space="0" w:color="auto"/>
        <w:bottom w:val="none" w:sz="0" w:space="0" w:color="auto"/>
        <w:right w:val="none" w:sz="0" w:space="0" w:color="auto"/>
      </w:divBdr>
    </w:div>
    <w:div w:id="508177979">
      <w:bodyDiv w:val="1"/>
      <w:marLeft w:val="0"/>
      <w:marRight w:val="0"/>
      <w:marTop w:val="0"/>
      <w:marBottom w:val="0"/>
      <w:divBdr>
        <w:top w:val="none" w:sz="0" w:space="0" w:color="auto"/>
        <w:left w:val="none" w:sz="0" w:space="0" w:color="auto"/>
        <w:bottom w:val="none" w:sz="0" w:space="0" w:color="auto"/>
        <w:right w:val="none" w:sz="0" w:space="0" w:color="auto"/>
      </w:divBdr>
    </w:div>
    <w:div w:id="560747976">
      <w:bodyDiv w:val="1"/>
      <w:marLeft w:val="0"/>
      <w:marRight w:val="0"/>
      <w:marTop w:val="0"/>
      <w:marBottom w:val="0"/>
      <w:divBdr>
        <w:top w:val="none" w:sz="0" w:space="0" w:color="auto"/>
        <w:left w:val="none" w:sz="0" w:space="0" w:color="auto"/>
        <w:bottom w:val="none" w:sz="0" w:space="0" w:color="auto"/>
        <w:right w:val="none" w:sz="0" w:space="0" w:color="auto"/>
      </w:divBdr>
    </w:div>
    <w:div w:id="699285295">
      <w:bodyDiv w:val="1"/>
      <w:marLeft w:val="0"/>
      <w:marRight w:val="0"/>
      <w:marTop w:val="0"/>
      <w:marBottom w:val="0"/>
      <w:divBdr>
        <w:top w:val="none" w:sz="0" w:space="0" w:color="auto"/>
        <w:left w:val="none" w:sz="0" w:space="0" w:color="auto"/>
        <w:bottom w:val="none" w:sz="0" w:space="0" w:color="auto"/>
        <w:right w:val="none" w:sz="0" w:space="0" w:color="auto"/>
      </w:divBdr>
    </w:div>
    <w:div w:id="801122163">
      <w:bodyDiv w:val="1"/>
      <w:marLeft w:val="0"/>
      <w:marRight w:val="0"/>
      <w:marTop w:val="0"/>
      <w:marBottom w:val="0"/>
      <w:divBdr>
        <w:top w:val="none" w:sz="0" w:space="0" w:color="auto"/>
        <w:left w:val="none" w:sz="0" w:space="0" w:color="auto"/>
        <w:bottom w:val="none" w:sz="0" w:space="0" w:color="auto"/>
        <w:right w:val="none" w:sz="0" w:space="0" w:color="auto"/>
      </w:divBdr>
    </w:div>
    <w:div w:id="1032608217">
      <w:bodyDiv w:val="1"/>
      <w:marLeft w:val="0"/>
      <w:marRight w:val="0"/>
      <w:marTop w:val="0"/>
      <w:marBottom w:val="0"/>
      <w:divBdr>
        <w:top w:val="none" w:sz="0" w:space="0" w:color="auto"/>
        <w:left w:val="none" w:sz="0" w:space="0" w:color="auto"/>
        <w:bottom w:val="none" w:sz="0" w:space="0" w:color="auto"/>
        <w:right w:val="none" w:sz="0" w:space="0" w:color="auto"/>
      </w:divBdr>
    </w:div>
    <w:div w:id="1059673726">
      <w:bodyDiv w:val="1"/>
      <w:marLeft w:val="0"/>
      <w:marRight w:val="0"/>
      <w:marTop w:val="0"/>
      <w:marBottom w:val="0"/>
      <w:divBdr>
        <w:top w:val="none" w:sz="0" w:space="0" w:color="auto"/>
        <w:left w:val="none" w:sz="0" w:space="0" w:color="auto"/>
        <w:bottom w:val="none" w:sz="0" w:space="0" w:color="auto"/>
        <w:right w:val="none" w:sz="0" w:space="0" w:color="auto"/>
      </w:divBdr>
    </w:div>
    <w:div w:id="1238130512">
      <w:bodyDiv w:val="1"/>
      <w:marLeft w:val="0"/>
      <w:marRight w:val="0"/>
      <w:marTop w:val="0"/>
      <w:marBottom w:val="0"/>
      <w:divBdr>
        <w:top w:val="none" w:sz="0" w:space="0" w:color="auto"/>
        <w:left w:val="none" w:sz="0" w:space="0" w:color="auto"/>
        <w:bottom w:val="none" w:sz="0" w:space="0" w:color="auto"/>
        <w:right w:val="none" w:sz="0" w:space="0" w:color="auto"/>
      </w:divBdr>
    </w:div>
    <w:div w:id="1261260896">
      <w:bodyDiv w:val="1"/>
      <w:marLeft w:val="0"/>
      <w:marRight w:val="0"/>
      <w:marTop w:val="0"/>
      <w:marBottom w:val="0"/>
      <w:divBdr>
        <w:top w:val="none" w:sz="0" w:space="0" w:color="auto"/>
        <w:left w:val="none" w:sz="0" w:space="0" w:color="auto"/>
        <w:bottom w:val="none" w:sz="0" w:space="0" w:color="auto"/>
        <w:right w:val="none" w:sz="0" w:space="0" w:color="auto"/>
      </w:divBdr>
    </w:div>
    <w:div w:id="1346398496">
      <w:bodyDiv w:val="1"/>
      <w:marLeft w:val="0"/>
      <w:marRight w:val="0"/>
      <w:marTop w:val="0"/>
      <w:marBottom w:val="0"/>
      <w:divBdr>
        <w:top w:val="none" w:sz="0" w:space="0" w:color="auto"/>
        <w:left w:val="none" w:sz="0" w:space="0" w:color="auto"/>
        <w:bottom w:val="none" w:sz="0" w:space="0" w:color="auto"/>
        <w:right w:val="none" w:sz="0" w:space="0" w:color="auto"/>
      </w:divBdr>
    </w:div>
    <w:div w:id="1496528055">
      <w:bodyDiv w:val="1"/>
      <w:marLeft w:val="0"/>
      <w:marRight w:val="0"/>
      <w:marTop w:val="0"/>
      <w:marBottom w:val="0"/>
      <w:divBdr>
        <w:top w:val="none" w:sz="0" w:space="0" w:color="auto"/>
        <w:left w:val="none" w:sz="0" w:space="0" w:color="auto"/>
        <w:bottom w:val="none" w:sz="0" w:space="0" w:color="auto"/>
        <w:right w:val="none" w:sz="0" w:space="0" w:color="auto"/>
      </w:divBdr>
    </w:div>
    <w:div w:id="1598099893">
      <w:bodyDiv w:val="1"/>
      <w:marLeft w:val="0"/>
      <w:marRight w:val="0"/>
      <w:marTop w:val="0"/>
      <w:marBottom w:val="0"/>
      <w:divBdr>
        <w:top w:val="none" w:sz="0" w:space="0" w:color="auto"/>
        <w:left w:val="none" w:sz="0" w:space="0" w:color="auto"/>
        <w:bottom w:val="none" w:sz="0" w:space="0" w:color="auto"/>
        <w:right w:val="none" w:sz="0" w:space="0" w:color="auto"/>
      </w:divBdr>
      <w:divsChild>
        <w:div w:id="1334383116">
          <w:marLeft w:val="480"/>
          <w:marRight w:val="0"/>
          <w:marTop w:val="0"/>
          <w:marBottom w:val="0"/>
          <w:divBdr>
            <w:top w:val="none" w:sz="0" w:space="0" w:color="auto"/>
            <w:left w:val="none" w:sz="0" w:space="0" w:color="auto"/>
            <w:bottom w:val="none" w:sz="0" w:space="0" w:color="auto"/>
            <w:right w:val="none" w:sz="0" w:space="0" w:color="auto"/>
          </w:divBdr>
          <w:divsChild>
            <w:div w:id="1346980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4454215">
      <w:bodyDiv w:val="1"/>
      <w:marLeft w:val="0"/>
      <w:marRight w:val="0"/>
      <w:marTop w:val="0"/>
      <w:marBottom w:val="0"/>
      <w:divBdr>
        <w:top w:val="none" w:sz="0" w:space="0" w:color="auto"/>
        <w:left w:val="none" w:sz="0" w:space="0" w:color="auto"/>
        <w:bottom w:val="none" w:sz="0" w:space="0" w:color="auto"/>
        <w:right w:val="none" w:sz="0" w:space="0" w:color="auto"/>
      </w:divBdr>
    </w:div>
    <w:div w:id="1735204533">
      <w:bodyDiv w:val="1"/>
      <w:marLeft w:val="0"/>
      <w:marRight w:val="0"/>
      <w:marTop w:val="0"/>
      <w:marBottom w:val="0"/>
      <w:divBdr>
        <w:top w:val="none" w:sz="0" w:space="0" w:color="auto"/>
        <w:left w:val="none" w:sz="0" w:space="0" w:color="auto"/>
        <w:bottom w:val="none" w:sz="0" w:space="0" w:color="auto"/>
        <w:right w:val="none" w:sz="0" w:space="0" w:color="auto"/>
      </w:divBdr>
    </w:div>
    <w:div w:id="1746680970">
      <w:bodyDiv w:val="1"/>
      <w:marLeft w:val="0"/>
      <w:marRight w:val="0"/>
      <w:marTop w:val="0"/>
      <w:marBottom w:val="0"/>
      <w:divBdr>
        <w:top w:val="none" w:sz="0" w:space="0" w:color="auto"/>
        <w:left w:val="none" w:sz="0" w:space="0" w:color="auto"/>
        <w:bottom w:val="none" w:sz="0" w:space="0" w:color="auto"/>
        <w:right w:val="none" w:sz="0" w:space="0" w:color="auto"/>
      </w:divBdr>
      <w:divsChild>
        <w:div w:id="362286944">
          <w:marLeft w:val="480"/>
          <w:marRight w:val="0"/>
          <w:marTop w:val="0"/>
          <w:marBottom w:val="0"/>
          <w:divBdr>
            <w:top w:val="none" w:sz="0" w:space="0" w:color="auto"/>
            <w:left w:val="none" w:sz="0" w:space="0" w:color="auto"/>
            <w:bottom w:val="none" w:sz="0" w:space="0" w:color="auto"/>
            <w:right w:val="none" w:sz="0" w:space="0" w:color="auto"/>
          </w:divBdr>
          <w:divsChild>
            <w:div w:id="1575624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965018">
      <w:bodyDiv w:val="1"/>
      <w:marLeft w:val="0"/>
      <w:marRight w:val="0"/>
      <w:marTop w:val="0"/>
      <w:marBottom w:val="0"/>
      <w:divBdr>
        <w:top w:val="none" w:sz="0" w:space="0" w:color="auto"/>
        <w:left w:val="none" w:sz="0" w:space="0" w:color="auto"/>
        <w:bottom w:val="none" w:sz="0" w:space="0" w:color="auto"/>
        <w:right w:val="none" w:sz="0" w:space="0" w:color="auto"/>
      </w:divBdr>
      <w:divsChild>
        <w:div w:id="224922851">
          <w:marLeft w:val="480"/>
          <w:marRight w:val="0"/>
          <w:marTop w:val="0"/>
          <w:marBottom w:val="0"/>
          <w:divBdr>
            <w:top w:val="none" w:sz="0" w:space="0" w:color="auto"/>
            <w:left w:val="none" w:sz="0" w:space="0" w:color="auto"/>
            <w:bottom w:val="none" w:sz="0" w:space="0" w:color="auto"/>
            <w:right w:val="none" w:sz="0" w:space="0" w:color="auto"/>
          </w:divBdr>
          <w:divsChild>
            <w:div w:id="592863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8675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77/0265532209104669" TargetMode="External"/><Relationship Id="rId13" Type="http://schemas.openxmlformats.org/officeDocument/2006/relationships/hyperlink" Target="https://doi.org/10.1075/ijlcr.23033.paq"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https://doi.org/10.1075/sibil.47.06ch4" TargetMode="External"/><Relationship Id="rId12" Type="http://schemas.openxmlformats.org/officeDocument/2006/relationships/hyperlink" Target="https://doi.org/10.1017/S0267190512000098" TargetMode="External"/><Relationship Id="rId17" Type="http://schemas.openxmlformats.org/officeDocument/2006/relationships/hyperlink" Target="https://doi.org/10.1080/15434303.2018.1482900"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1080/0969594X.2019.1602027"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17/S0272263125000075"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doi.org/10.1016/j.rmal.2024.100142" TargetMode="External"/><Relationship Id="rId23" Type="http://schemas.openxmlformats.org/officeDocument/2006/relationships/footer" Target="footer3.xml"/><Relationship Id="rId10" Type="http://schemas.openxmlformats.org/officeDocument/2006/relationships/hyperlink" Target="https://doi.org/10.1111/j.1467-9922.2010.00621.x"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doi.org/10.1002/j.1545-7249.2008.tb00137.x" TargetMode="External"/><Relationship Id="rId14" Type="http://schemas.openxmlformats.org/officeDocument/2006/relationships/hyperlink" Target="https://doi.org/10.4324/9781351034784-25" TargetMode="External"/><Relationship Id="rId22"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316</TotalTime>
  <Pages>3</Pages>
  <Words>972</Words>
  <Characters>6565</Characters>
  <Application>Microsoft Office Word</Application>
  <DocSecurity>0</DocSecurity>
  <Lines>101</Lines>
  <Paragraphs>25</Paragraphs>
  <ScaleCrop>false</ScaleCrop>
  <Company/>
  <LinksUpToDate>false</LinksUpToDate>
  <CharactersWithSpaces>7512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Tingting Wang</dc:creator>
  <cp:keywords/>
  <dc:description/>
  <cp:lastModifiedBy>Tingting Wang</cp:lastModifiedBy>
  <cp:revision>41</cp:revision>
  <dcterms:created xsi:type="dcterms:W3CDTF">2025-07-02T13:00:00Z</dcterms:created>
  <dcterms:modified xsi:type="dcterms:W3CDTF">2025-07-10T15:33:00Z</dcterms:modified>
</cp:coreProperties>
</file>