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after="120" w:before="40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Governed by algorithms on social media ? An analysis of Teens’ oppositions to recommendation systems </w:t>
      </w:r>
    </w:p>
    <w:p w:rsidR="00000000" w:rsidDel="00000000" w:rsidP="00000000" w:rsidRDefault="00000000" w:rsidRPr="00000000" w14:paraId="00000002">
      <w:pPr>
        <w:pageBreakBefore w:val="0"/>
        <w:spacing w:after="120" w:before="40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Wiard, Victor (Engage, USL-B)</w:t>
        <w:br w:type="textWrapping"/>
        <w:t xml:space="preserve">Lits, Brieuc (Engage, USL-B)</w:t>
        <w:br w:type="textWrapping"/>
        <w:t xml:space="preserve">Dufrasne, Marie (Engage, USL-B)</w:t>
      </w:r>
    </w:p>
    <w:p w:rsidR="00000000" w:rsidDel="00000000" w:rsidP="00000000" w:rsidRDefault="00000000" w:rsidRPr="00000000" w14:paraId="00000003">
      <w:pPr>
        <w:pageBreakBefore w:val="0"/>
        <w:spacing w:after="120" w:before="40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Introduction and rationale</w:t>
      </w:r>
    </w:p>
    <w:p w:rsidR="00000000" w:rsidDel="00000000" w:rsidP="00000000" w:rsidRDefault="00000000" w:rsidRPr="00000000" w14:paraId="00000004">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paper presents exploratory results of the phase 2 of </w:t>
      </w:r>
      <w:r w:rsidDel="00000000" w:rsidR="00000000" w:rsidRPr="00000000">
        <w:rPr>
          <w:rFonts w:ascii="Times New Roman" w:cs="Times New Roman" w:eastAsia="Times New Roman" w:hAnsi="Times New Roman"/>
          <w:sz w:val="24"/>
          <w:szCs w:val="24"/>
          <w:rtl w:val="0"/>
        </w:rPr>
        <w:t xml:space="preserve">the research project AlgOpinion (Innoviris 2018-2022), which aims at understanding how social media platforms influence the formation of opinions of young people (15-25) through content personalisation. Phase 1 set out to get a better understanding of the relationships between opinion formation and algorithms on social media by teens. To do this, the team focused on the phenomenon of “filter bubbles” and took a critical and comparative approach to reviewing the literature as well as a pragmatic sociological approach to collecting and analysing field data. Out of this research, two main issues emerged. First, previous studies in the literature temper the importance of filter bubbles on social media, and some even question their very existence. Second, the material collected in the field showed a triple diversity regarding teens on social media: the diversity of platform use, the diversity of practices, and the variation in consciousness of (algorithmic) mechanisms at play on social media platforms. Third, the methodology used (focus groups and semi-directive interviews) proved very useful in exploring the field but problematic when trying to be systematic and create more general models and recommandations (within the framework of the project).</w:t>
      </w:r>
    </w:p>
    <w:p w:rsidR="00000000" w:rsidDel="00000000" w:rsidP="00000000" w:rsidRDefault="00000000" w:rsidRPr="00000000" w14:paraId="00000005">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6">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document summarizes the research process of a new round of data collection. Section one goes back to the literature and proposes to depart from trying to assess the existence of and quantify the presence of filter bubbles on social media. It proposes to focus on news use and access to content diversity related to political opinion formation and the impact of algorithms on the presence of said diversity. Section two proposes a theoretical framework -Activity theory- for the understanding modeling the diversity of practices</w:t>
      </w:r>
      <w:r w:rsidDel="00000000" w:rsidR="00000000" w:rsidRPr="00000000">
        <w:rPr>
          <w:rFonts w:ascii="Times New Roman" w:cs="Times New Roman" w:eastAsia="Times New Roman" w:hAnsi="Times New Roman"/>
          <w:sz w:val="24"/>
          <w:szCs w:val="24"/>
          <w:rtl w:val="0"/>
        </w:rPr>
        <w:t xml:space="preserve"> as well as the discourses regarding these practices of teens on social media rega</w:t>
      </w:r>
      <w:r w:rsidDel="00000000" w:rsidR="00000000" w:rsidRPr="00000000">
        <w:rPr>
          <w:rFonts w:ascii="Times New Roman" w:cs="Times New Roman" w:eastAsia="Times New Roman" w:hAnsi="Times New Roman"/>
          <w:sz w:val="24"/>
          <w:szCs w:val="24"/>
          <w:rtl w:val="0"/>
        </w:rPr>
        <w:t xml:space="preserve">rding access to the diversity of content and news. In particular, the division of phenomena in three levels (operations, actions, and activities) is used to build up a canva for a model that will be tested enriched with the new data. The so-called “</w:t>
      </w:r>
      <w:r w:rsidDel="00000000" w:rsidR="00000000" w:rsidRPr="00000000">
        <w:rPr>
          <w:rFonts w:ascii="Times New Roman" w:cs="Times New Roman" w:eastAsia="Times New Roman" w:hAnsi="Times New Roman"/>
          <w:sz w:val="24"/>
          <w:szCs w:val="24"/>
          <w:rtl w:val="0"/>
        </w:rPr>
        <w:t xml:space="preserve">pyramidal model</w:t>
      </w:r>
      <w:r w:rsidDel="00000000" w:rsidR="00000000" w:rsidRPr="00000000">
        <w:rPr>
          <w:rFonts w:ascii="Times New Roman" w:cs="Times New Roman" w:eastAsia="Times New Roman" w:hAnsi="Times New Roman"/>
          <w:sz w:val="24"/>
          <w:szCs w:val="24"/>
          <w:rtl w:val="0"/>
        </w:rPr>
        <w:t xml:space="preserve">” is also discussed and applied to our research topic. Section three starts by reviewing the methods used to gather the data  through a method we call “</w:t>
      </w:r>
      <w:r w:rsidDel="00000000" w:rsidR="00000000" w:rsidRPr="00000000">
        <w:rPr>
          <w:rFonts w:ascii="Times New Roman" w:cs="Times New Roman" w:eastAsia="Times New Roman" w:hAnsi="Times New Roman"/>
          <w:i w:val="1"/>
          <w:sz w:val="24"/>
          <w:szCs w:val="24"/>
          <w:rtl w:val="0"/>
        </w:rPr>
        <w:t xml:space="preserve">in praxis</w:t>
      </w:r>
      <w:r w:rsidDel="00000000" w:rsidR="00000000" w:rsidRPr="00000000">
        <w:rPr>
          <w:rFonts w:ascii="Times New Roman" w:cs="Times New Roman" w:eastAsia="Times New Roman" w:hAnsi="Times New Roman"/>
          <w:sz w:val="24"/>
          <w:szCs w:val="24"/>
          <w:rtl w:val="0"/>
        </w:rPr>
        <w:t xml:space="preserve"> interviews” and “online private speech”- to gather data for phase 2 of this research. Finally, the last section presents exploratory results on a sample of 6 individuals, which show a relative knowledge of the mechanisms of content recommendations on social media as well as the tactics young people use to increase or mitigate them. </w:t>
      </w:r>
    </w:p>
    <w:p w:rsidR="00000000" w:rsidDel="00000000" w:rsidP="00000000" w:rsidRDefault="00000000" w:rsidRPr="00000000" w14:paraId="00000007">
      <w:pPr>
        <w:pageBreakBefore w:val="0"/>
        <w:spacing w:after="120" w:before="40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Literature review: filter bubbles and </w:t>
      </w:r>
      <w:r w:rsidDel="00000000" w:rsidR="00000000" w:rsidRPr="00000000">
        <w:rPr>
          <w:rFonts w:ascii="Times New Roman" w:cs="Times New Roman" w:eastAsia="Times New Roman" w:hAnsi="Times New Roman"/>
          <w:b w:val="1"/>
          <w:sz w:val="24"/>
          <w:szCs w:val="24"/>
          <w:rtl w:val="0"/>
        </w:rPr>
        <w:t xml:space="preserve">news use</w:t>
      </w:r>
      <w:r w:rsidDel="00000000" w:rsidR="00000000" w:rsidRPr="00000000">
        <w:rPr>
          <w:rFonts w:ascii="Times New Roman" w:cs="Times New Roman" w:eastAsia="Times New Roman" w:hAnsi="Times New Roman"/>
          <w:b w:val="1"/>
          <w:sz w:val="24"/>
          <w:szCs w:val="24"/>
          <w:rtl w:val="0"/>
        </w:rPr>
        <w:t xml:space="preserve"> on social media </w:t>
      </w:r>
    </w:p>
    <w:p w:rsidR="00000000" w:rsidDel="00000000" w:rsidP="00000000" w:rsidRDefault="00000000" w:rsidRPr="00000000" w14:paraId="00000008">
      <w:pPr>
        <w:pageBreakBefore w:val="0"/>
        <w:spacing w:after="120" w:before="36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Social media and filters bubbles: few empirical evidences</w:t>
      </w:r>
    </w:p>
    <w:p w:rsidR="00000000" w:rsidDel="00000000" w:rsidP="00000000" w:rsidRDefault="00000000" w:rsidRPr="00000000" w14:paraId="00000009">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Recent years have seen the generalisation of the use of social media platforms by individuals, of which teens are particularly intense users. In this regard, the presence on said platforms of automated information recommendation systems has generated criticism which denounces the risks of cognitive isolation these technologies may induce. In this line of argument, the personalization of recommended content on the basis of the users’ behaviors causes a scarcity of information contrary to users' opinions, thus facilitating the creation of so called “echo chambers” (Sunstein, 2009) or “filter bubbles” (Pariser, 2011). In the filter bubble theory, users are progressively directed towards content that provides direct satisfaction and maximizes the time spent on a platform to the detriment of the diversity of opinions encountered (Yeung, 2017). This is, of course, in the interest of private companies who sell that time and attention to other companies as advertising space. It is in that way that algorithms are designed to give you “what you want whether you want it or not” (Pariser, 2011). </w:t>
      </w:r>
    </w:p>
    <w:p w:rsidR="00000000" w:rsidDel="00000000" w:rsidP="00000000" w:rsidRDefault="00000000" w:rsidRPr="00000000" w14:paraId="0000000A">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B">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concept of “filter bubbles” became popular over the last ten years in the research community because of the intensification of the use of social media platforms and the generalisation of the presence of algorithms. Furthermore, major political events, including the elections of Donald Trump in the US and Jair Bolsonaro in Brazil or Brexit in the UK, have been said to have been greatly influenced by social media and algorithms. Researchers therefore set out to detect and assess the power of filter bubbles in individuals’ news use. These studies invite us to question the validity of this theory and the assertions that underline it (Zuiderveen, Borgesius et al., 2016; Moeller and Helberger, 2018; Mutz and Young, 2011; Barbera, 2020). On the basis of empirical research, it is advisable to develop a critical look at the “filter bubble” phenomenon. To do so, we analyse our data through the lens of the notions of news diversity and news personalisation.</w:t>
      </w:r>
    </w:p>
    <w:p w:rsidR="00000000" w:rsidDel="00000000" w:rsidP="00000000" w:rsidRDefault="00000000" w:rsidRPr="00000000" w14:paraId="0000000C">
      <w:pPr>
        <w:pageBreakBefore w:val="0"/>
        <w:spacing w:after="120" w:before="36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From filter bubbles to news diversity and personalisation</w:t>
      </w:r>
    </w:p>
    <w:p w:rsidR="00000000" w:rsidDel="00000000" w:rsidP="00000000" w:rsidRDefault="00000000" w:rsidRPr="00000000" w14:paraId="0000000D">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Historically, the purpose of formalizing recommendation systems was to optimize the content a user would receive online. To do so, recommendation systems were built to predict and assign a score to objects and to recommend the object with the highest score to said user. This logic was then extended to many areas in order to be able to target as precisely as possible the content most likely to satisfy the user and, in most cases on social media, to capture his attention for as long as possible. However, there is a paradox here: capturing and keeping attention can bring direct satisfaction to a user but can also generate long-term dissatisfaction. In other terms, content personnalisation can hinder the variety of content one has access to, which is one of the reasons users go on the Internet and use social media. Indeed, the way these systems are built makes them offer content similar to what has previously been consumed.</w:t>
      </w:r>
    </w:p>
    <w:p w:rsidR="00000000" w:rsidDel="00000000" w:rsidP="00000000" w:rsidRDefault="00000000" w:rsidRPr="00000000" w14:paraId="0000000E">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F">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Empirical research on news personalisation shows somewhat contradictory results. While some argue that the personalization of searches online has little impact on content diversity and results of searches of different types of users often overlap (Haim et al., 2018; Krafft et al., 2018, Puschmann, 2019). Others, on the other hand, observe a decrease in the diversity of press articles consulted as a result of the use of customization tools (Claussen et al., 2019; Dylko et al., 2017). On Facebook, Bakshy et al. (2015) observe a decrease in exposure to contrary opinions caused by the algorithm. However, the choice of users' social relationships would also result in a decrease in exposure, the effect of which would be greater than the one caused by the personalization of the news feed. Aiello and Barbieri (2017), however, note a greater diversity of consumption by Users of Flickr and Tumblr following the use of automated recommendations. Some studies of musical recommendations show a decrease in individual diversity (Anderson et al., 2020) while others found an increase in aggregate diversity of all content viewed by a user’s community (Holtz et al., 2020). On Youtube, a recent study came to the conclusion that the graph formed by the network of non-personalized recommendations tends to confine users in groups of homogeneous videos (Roth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2020). These observations are in line with the Ledwich and Zaitsev (2019) finding that the recommendations tend to redirect the user to more dominant, mainstream media. These disparate results focusing each on a specific technology underline the need for a more comprehensive research on the phenomenon, encompassing users’ news diets in complex environments. </w:t>
      </w:r>
    </w:p>
    <w:p w:rsidR="00000000" w:rsidDel="00000000" w:rsidP="00000000" w:rsidRDefault="00000000" w:rsidRPr="00000000" w14:paraId="00000010">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1">
      <w:pPr>
        <w:pageBreakBefore w:val="0"/>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To better understand the impact of content personalisation on those environments, the concept of content diversity is often linked to those of filter bubbles and echo chambers. However, research has defined diversity in various terms: diversity of sources on multiple platforms, diversity of opinions a user has access to, diversity in terms of genre, race and social status of people users get in contact with, etc. </w:t>
      </w:r>
      <w:r w:rsidDel="00000000" w:rsidR="00000000" w:rsidRPr="00000000">
        <w:rPr>
          <w:rFonts w:ascii="Times New Roman" w:cs="Times New Roman" w:eastAsia="Times New Roman" w:hAnsi="Times New Roman"/>
          <w:sz w:val="24"/>
          <w:szCs w:val="24"/>
          <w:rtl w:val="0"/>
        </w:rPr>
        <w:t xml:space="preserve">Within the framework of this research, we will use the notion of diversity to describe the access to various sources on a given platform. Our assu</w:t>
      </w:r>
      <w:r w:rsidDel="00000000" w:rsidR="00000000" w:rsidRPr="00000000">
        <w:rPr>
          <w:rFonts w:ascii="Times New Roman" w:cs="Times New Roman" w:eastAsia="Times New Roman" w:hAnsi="Times New Roman"/>
          <w:sz w:val="24"/>
          <w:szCs w:val="24"/>
          <w:rtl w:val="0"/>
        </w:rPr>
        <w:t xml:space="preserve">mption is that diversity in sources will in the long run provide users with diversity of opinions and people in contact with, and that access to a diversity of sources leads to less polarisation on social media, and reduces filter bubble and echo chambers effects. </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12">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3">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general terms, research on content diversity shows that the use of such systems on social media does not always seem to be synonymous with a lower diversity than an editorial selection (Moeller and Helberger, 2018). Moreover, the importance of the algorithmic factor in the composition of the news diet of users is to be nuanced because of the amount and diversity of sources available online (Napoli, 2011) as well as the importance of so-called weak links (Granovetter, 1973) on social media (Messing and Westwood, 2014; Bakshy, Messing and Adamic, 2015). The diversity of media producers and national policy can also impact the informational ecosystem offered to users (Boczkowski and Mitchelstein, 2013; Garrett, 2013).</w:t>
      </w:r>
    </w:p>
    <w:p w:rsidR="00000000" w:rsidDel="00000000" w:rsidP="00000000" w:rsidRDefault="00000000" w:rsidRPr="00000000" w14:paraId="00000014">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5">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Based on these observations, we aimed at designing a study that uses the tools of Activity Theory and a novel methodology, to gather insights on if/how young perceive news personalisation and how they act on it. In the context of this paper, we focus on how they try to increase personnalisation or on the other side, to resist and mitigate its effect.</w:t>
      </w:r>
    </w:p>
    <w:p w:rsidR="00000000" w:rsidDel="00000000" w:rsidP="00000000" w:rsidRDefault="00000000" w:rsidRPr="00000000" w14:paraId="00000016">
      <w:pPr>
        <w:pageBreakBefore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pageBreakBefore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pageBreakBefore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keepNext w:val="0"/>
        <w:keepLines w:val="0"/>
        <w:pageBreakBefore w:val="0"/>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Research instrument: using the tools of activity theory to understand young people’s perceptions and practices on social media</w:t>
      </w:r>
    </w:p>
    <w:p w:rsidR="00000000" w:rsidDel="00000000" w:rsidP="00000000" w:rsidRDefault="00000000" w:rsidRPr="00000000" w14:paraId="0000001A">
      <w:pPr>
        <w:keepNext w:val="0"/>
        <w:keepLines w:val="0"/>
        <w:pageBreakBefore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pageBreakBefore w:val="0"/>
        <w:spacing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In order to study how young people (15-25) perceive and act on content personalisation on social media, a set of tools focussed on activity theory (AT) can be mobilized. Rather than limiting the study to the description of young people’s opinions, AT allows us to make sense of teenagers’ practices in regard to their perceptions, motives and goals. Each operation made by someone on their device is enacted with the aim to fulfil a goal (consciously or unconsciously). AT permits to analyse the uses of social media by focussing on a micro-level unit of analysis, and to make sense of it on a broader scope. A general background and the fundamentals of AT are first introduced before a clear operationalization of some of the tools provided by AT is suggested.</w:t>
      </w:r>
    </w:p>
    <w:p w:rsidR="00000000" w:rsidDel="00000000" w:rsidP="00000000" w:rsidRDefault="00000000" w:rsidRPr="00000000" w14:paraId="0000001C">
      <w:pPr>
        <w:pageBreakBefore w:val="0"/>
        <w:spacing w:line="36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D">
      <w:pPr>
        <w:keepNext w:val="0"/>
        <w:keepLines w:val="0"/>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Background</w:t>
      </w:r>
    </w:p>
    <w:p w:rsidR="00000000" w:rsidDel="00000000" w:rsidP="00000000" w:rsidRDefault="00000000" w:rsidRPr="00000000" w14:paraId="0000001E">
      <w:pPr>
        <w:pageBreakBefore w:val="0"/>
        <w:spacing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Activity theory (AT), also known as cultural-historical activity theory, is a conceptual framework (or more precisely a disparate set of concepts, models and tools) aiming at studying the relationship between what a human thinks and feels on the one hand, and what they do on the other. As the name suggests, this theory focuses on the activities of human beings by taking into account the importance of the cultural and historical context of such activities. This theoretical framework can thus be mobilized to model the diversity practices of teens on social media regarding content personalisation, but also to understand their perception of their uses through their discourses.</w:t>
      </w:r>
    </w:p>
    <w:p w:rsidR="00000000" w:rsidDel="00000000" w:rsidP="00000000" w:rsidRDefault="00000000" w:rsidRPr="00000000" w14:paraId="0000001F">
      <w:pPr>
        <w:pageBreakBefore w:val="0"/>
        <w:spacing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20">
      <w:pPr>
        <w:pageBreakBefore w:val="0"/>
        <w:spacing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use of activity theory in communication research is scarce up to now for two main reasons. The first reason is that AT is first and foremost a conceptual framework that is anchored in the psychological field since its inception as early as the 1920s, as the idea behind this conceptual framework was to better understand the mechanisms of the human mind behind the actions and activities of human beings (Roth, 2014). AT was suggested by soviet researchers who referred to concepts and methods from the field of psychology. In turn, their work was later adapted and furthered by psychologists and it is only in the 1990s that activity theory percolated to other fields of research, and especially education research (Bakhurst, 2009). The second reason can be explained by socio-historical factors. The growing success of activity theory in the 1990s is explained by historical factors. As mentioned, AT was developed in the USSR in the 1920s and 1930s. This particular context contained in some ways this conceptual framework inside the soviet borders. It is only thus with the fall of the Berlin Wall in 1989 that AT became more apprehensible for researchers from Western Europe and North-America.</w:t>
      </w:r>
    </w:p>
    <w:p w:rsidR="00000000" w:rsidDel="00000000" w:rsidP="00000000" w:rsidRDefault="00000000" w:rsidRPr="00000000" w14:paraId="00000021">
      <w:pPr>
        <w:pageBreakBefore w:val="0"/>
        <w:spacing w:line="36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2">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Activity Theory is thus not a novel framework but rather one with a unique history. This history is marked with four different generations of activity theories, each one marking new turns in the comprehension and the application of the framework. The main invariants from these different generations are the focus on understanding the rationale behind human actions. This understanding is not solely based on analyses on an individual basis, but also from a more global and societal perspective. Activity Theory emphasizes the importance of the relationship between culture and history on the one hand and individual actions. Also, the evolution of the concept of activity has led to the design of various models and instruments that allow the study of activities in detail. More than a broad theoretical framework, activity theory allows to methodically describe the place and the role of a human being within a social phenomenon, by observing micro-level units of analysis (operations) to understand a goal-oriented action, which in turn explains an activity.</w:t>
      </w:r>
      <w:r w:rsidDel="00000000" w:rsidR="00000000" w:rsidRPr="00000000">
        <w:rPr>
          <w:rFonts w:ascii="Times New Roman" w:cs="Times New Roman" w:eastAsia="Times New Roman" w:hAnsi="Times New Roman"/>
          <w:sz w:val="24"/>
          <w:szCs w:val="24"/>
          <w:rtl w:val="0"/>
        </w:rPr>
        <w:t xml:space="preserve"> This latter element is key in understanding how the activities of teens on social media -such as socialising and getting informed or entertained- is shaped by micro-operations such as clicks and scrolls, and vice-versa.</w:t>
      </w:r>
    </w:p>
    <w:p w:rsidR="00000000" w:rsidDel="00000000" w:rsidP="00000000" w:rsidRDefault="00000000" w:rsidRPr="00000000" w14:paraId="00000023">
      <w:pPr>
        <w:pageBreakBefore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keepNext w:val="0"/>
        <w:keepLines w:val="0"/>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The fundamentals of activity theory</w:t>
      </w:r>
    </w:p>
    <w:p w:rsidR="00000000" w:rsidDel="00000000" w:rsidP="00000000" w:rsidRDefault="00000000" w:rsidRPr="00000000" w14:paraId="00000025">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Four different generations of activity theory can be distinguished in the scientific literature. The most important generation on which most key concepts are used in this study is the third generation led by </w:t>
      </w:r>
      <w:r w:rsidDel="00000000" w:rsidR="00000000" w:rsidRPr="00000000">
        <w:rPr>
          <w:rFonts w:ascii="Times New Roman" w:cs="Times New Roman" w:eastAsia="Times New Roman" w:hAnsi="Times New Roman"/>
          <w:sz w:val="24"/>
          <w:szCs w:val="24"/>
          <w:rtl w:val="0"/>
        </w:rPr>
        <w:t xml:space="preserve">Engeström</w:t>
      </w:r>
      <w:r w:rsidDel="00000000" w:rsidR="00000000" w:rsidRPr="00000000">
        <w:rPr>
          <w:rFonts w:ascii="Times New Roman" w:cs="Times New Roman" w:eastAsia="Times New Roman" w:hAnsi="Times New Roman"/>
          <w:sz w:val="24"/>
          <w:szCs w:val="24"/>
          <w:rtl w:val="0"/>
        </w:rPr>
        <w:t xml:space="preserve"> (1999). Nonetheless, it is important to briefly describe the roots from the first and second generations of AT to fully perceive the explanatory power of AT for our research. It is worth noting that this research does not address the current debate regarding the so-called fourth generation of AT as much disagreement currently exists on what such a new generation comprises in theoretical, empirical, but also epistemological terms (see Spinuzzi and Guile, 2019).</w:t>
      </w:r>
    </w:p>
    <w:p w:rsidR="00000000" w:rsidDel="00000000" w:rsidP="00000000" w:rsidRDefault="00000000" w:rsidRPr="00000000" w14:paraId="00000026">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7">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first generation of activity theory can be traced back to Soviet psychology in the 1920s and 1930s, and more specifically to Lev Vygotsky. Heavily influenced by Marxist philosophy, he developed with colleagues the socio-cultural perspective in Russian psychology. This school of thoughts, which contrasted with the views generally propounded in Russian psychology, had the objective to overcome the border between the human mind on the one hand, and culture and society on the other (Kaptelinin and Nardi, 2012: 12). In other words, the objective was to analyze the link between humans’ conscious experiences and humans’ action in the world. Vytgosky’s most fundamental argument is that culture and society are not simple external factors influencing the human mind. Rather, culture and society are responsible for the very production of the mind. This postulate implies that our relation to technology materially shapes who we are and become (Kaptelinin and Nardi, 2012: 14). Therefore, technology is not merely a collection of tools designed to help human beings. Rather, human beings develop intimate relations with and to technology. Vygotsky’s approach to study activities was thus based on the idea of mediation, “in which an individual could control its own actions using physical or psychological tools” (Spinuzzi and Guile, 2019: 2). Vytgosky’s model of AT can therefore be designed as a tryad between a subject, an object, and a mediation tool.</w:t>
      </w:r>
    </w:p>
    <w:p w:rsidR="00000000" w:rsidDel="00000000" w:rsidP="00000000" w:rsidRDefault="00000000" w:rsidRPr="00000000" w14:paraId="00000028">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9">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second generation of activity theory revolves around the works of Alexey Leontiev. A student then friend of Vygostsky, Leontiev has furthered and refined the activity theory. Whereas Vytgosky’s approach was deeply anchored in the field of psychology and remained rather abstract, Leontiev strived to be more systematic in his approach to activity theory and defined specific notions and concepts which became the basis for the subsequent generations of activity theory. As Miettinen (2005) explained, “Leontiev (1978) introduced the philosophical concept of practice, or ‘objective activity’ into psychology to reconsider its foundations, and in this context, he elaborated the concept of the object of activity.” Three main principles emerged from Leontiev’s work on AT:</w:t>
      </w:r>
    </w:p>
    <w:p w:rsidR="00000000" w:rsidDel="00000000" w:rsidP="00000000" w:rsidRDefault="00000000" w:rsidRPr="00000000" w14:paraId="0000002A">
      <w:pPr>
        <w:pageBreakBefore w:val="0"/>
        <w:numPr>
          <w:ilvl w:val="0"/>
          <w:numId w:val="1"/>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Object-orientedness</w:t>
      </w:r>
      <w:r w:rsidDel="00000000" w:rsidR="00000000" w:rsidRPr="00000000">
        <w:rPr>
          <w:rFonts w:ascii="Times New Roman" w:cs="Times New Roman" w:eastAsia="Times New Roman" w:hAnsi="Times New Roman"/>
          <w:sz w:val="24"/>
          <w:szCs w:val="24"/>
          <w:rtl w:val="0"/>
        </w:rPr>
        <w:t xml:space="preserve">: The concept activity relies heavily on the relationship between a subject and an object. In AT, this relationship is understood in the sense that a subject’s interaction with the world is structured around objects. These objects should not be limited to tangible artefacts. Learning a new language is an instance of an object. According to Leontiev, the principle of object-orientedness states that “all human activities are directed toward their objects and are differentiated from one another by their respective objects (Kaptelinin and Nardi, 2012: 29). Objects therefore motivate and direct activities.</w:t>
      </w:r>
    </w:p>
    <w:p w:rsidR="00000000" w:rsidDel="00000000" w:rsidP="00000000" w:rsidRDefault="00000000" w:rsidRPr="00000000" w14:paraId="0000002B">
      <w:pPr>
        <w:pageBreakBefore w:val="0"/>
        <w:numPr>
          <w:ilvl w:val="0"/>
          <w:numId w:val="2"/>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Hierarchical structure of activity</w:t>
      </w:r>
      <w:r w:rsidDel="00000000" w:rsidR="00000000" w:rsidRPr="00000000">
        <w:rPr>
          <w:rFonts w:ascii="Times New Roman" w:cs="Times New Roman" w:eastAsia="Times New Roman" w:hAnsi="Times New Roman"/>
          <w:sz w:val="24"/>
          <w:szCs w:val="24"/>
          <w:rtl w:val="0"/>
        </w:rPr>
        <w:t xml:space="preserve">: A major insight from Leontiev’s approach is the consideration that all human activities are organized into three hierarchical levels. Activities are composed of actions, which are in turn composed of operations. Each level is oriented toward a specific need. Activities are directed toward a motive, actions toward a goal, and operations are oriented to accomplish the conditions needed to attain a goal.</w:t>
      </w:r>
    </w:p>
    <w:p w:rsidR="00000000" w:rsidDel="00000000" w:rsidP="00000000" w:rsidRDefault="00000000" w:rsidRPr="00000000" w14:paraId="0000002C">
      <w:pPr>
        <w:pageBreakBefore w:val="0"/>
        <w:numPr>
          <w:ilvl w:val="0"/>
          <w:numId w:val="2"/>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Activities can be apprehended from an individual perspective as well as from a collective perspectiv</w:t>
      </w:r>
      <w:r w:rsidDel="00000000" w:rsidR="00000000" w:rsidRPr="00000000">
        <w:rPr>
          <w:rFonts w:ascii="Times New Roman" w:cs="Times New Roman" w:eastAsia="Times New Roman" w:hAnsi="Times New Roman"/>
          <w:sz w:val="24"/>
          <w:szCs w:val="24"/>
          <w:rtl w:val="0"/>
        </w:rPr>
        <w:t xml:space="preserve">e. The anchorage in the socio-cultural context in which Leontiev developed his model has been influential in the significance of the division of labor. His seminal example illustrates how people can perform distinct actions with distinct goals, but participating in the same collective activity.</w:t>
      </w:r>
    </w:p>
    <w:p w:rsidR="00000000" w:rsidDel="00000000" w:rsidP="00000000" w:rsidRDefault="00000000" w:rsidRPr="00000000" w14:paraId="0000002D">
      <w:pPr>
        <w:pageBreakBefore w:val="0"/>
        <w:spacing w:line="36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E">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Yrjo Engeström, a Finnish researcher, who picked up activity theory from the Soviet Union and engaged in spreading what he considered “the best kept secret of academia” (Engestrom, 1993: 64) to the Western word in general and Scandinavia in particular, so much so that the third generation of AT is often referred to as Scandinavian activity theory. Building on Leontiev’s work, Engström has strived to be more systematic and structured in defining AT and has suggested the activity system model, which includes a third entity: the community, in addition to the two identified by Leontiev (the individual and the object). Engeström perceives indeed a collective dimension of activity systems. As Kuuti explains: “</w:t>
      </w:r>
      <w:r w:rsidDel="00000000" w:rsidR="00000000" w:rsidRPr="00000000">
        <w:rPr>
          <w:rFonts w:ascii="Times New Roman" w:cs="Times New Roman" w:eastAsia="Times New Roman" w:hAnsi="Times New Roman"/>
          <w:i w:val="1"/>
          <w:sz w:val="24"/>
          <w:szCs w:val="24"/>
          <w:rtl w:val="0"/>
        </w:rPr>
        <w:t xml:space="preserve">The solution offered by Activity Theory is that a minimal meaningful context for individual actions must be included in the basic unit of analysis. This unit is called an activity. Because the context is included in the unit of analysis, the object of our research is always essentially collective, even if our main interest were in individual actions</w:t>
      </w:r>
      <w:r w:rsidDel="00000000" w:rsidR="00000000" w:rsidRPr="00000000">
        <w:rPr>
          <w:rFonts w:ascii="Times New Roman" w:cs="Times New Roman" w:eastAsia="Times New Roman" w:hAnsi="Times New Roman"/>
          <w:sz w:val="24"/>
          <w:szCs w:val="24"/>
          <w:rtl w:val="0"/>
        </w:rPr>
        <w:t xml:space="preserve">.” (1995: 24). This dimension of collectivity will be central in Engeström’s most notorious contribution to AT that is the schematic representation of activity systems. In this representation, six elements are interconnected (see the pyramidal model below). </w:t>
      </w:r>
    </w:p>
    <w:p w:rsidR="00000000" w:rsidDel="00000000" w:rsidP="00000000" w:rsidRDefault="00000000" w:rsidRPr="00000000" w14:paraId="0000002F">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0">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Engeström’s work will be instrumental in the development of AT in the West and in its appropriation by other disciplines than psychology (Engeström et al., 1999). In particular, the fields of human-computer interaction (Bedny and Karkovski, 2003; Kaptelinin and Nardi, 2018; Kuutti, 1995; Nardi, 1996) and education (Krause, 2018; Martin and Peim, 2009) have mobilized AT as a conceptual framework as well as a methodological device. Conversely, in the field of sociology, media, and communication, research mobilizing activity theory remains scarce (Hujanen, 2013; Yardi and Bruckman, 2011). It is in this perspective that activity theory is mobilized in this paper in order to understand the activities of teens on social media and their perception of such activities. Next section details the key elements that are borrowed from AT and the operationalization into a method to collect, organize, and analyse data in the current research.</w:t>
      </w:r>
    </w:p>
    <w:p w:rsidR="00000000" w:rsidDel="00000000" w:rsidP="00000000" w:rsidRDefault="00000000" w:rsidRPr="00000000" w14:paraId="00000031">
      <w:pPr>
        <w:pageBreakBefore w:val="0"/>
        <w:spacing w:after="120" w:before="36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Mobilizing AT for understanding teens’ mobile uses in an informational ecosystem</w:t>
      </w:r>
    </w:p>
    <w:p w:rsidR="00000000" w:rsidDel="00000000" w:rsidP="00000000" w:rsidRDefault="00000000" w:rsidRPr="00000000" w14:paraId="00000032">
      <w:pPr>
        <w:pageBreakBefore w:val="0"/>
        <w:spacing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In this section, two key elements from activity theory are defined as they serve as instrument tools to collect and organize data in this research. The objective is to explain the concepts in light of the background mentioned in section one and to explain how these tools are understood and are used in this study.</w:t>
      </w:r>
    </w:p>
    <w:p w:rsidR="00000000" w:rsidDel="00000000" w:rsidP="00000000" w:rsidRDefault="00000000" w:rsidRPr="00000000" w14:paraId="00000033">
      <w:pPr>
        <w:pageBreakBefore w:val="0"/>
        <w:spacing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34">
      <w:pPr>
        <w:pageBreakBefore w:val="0"/>
        <w:spacing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First</w:t>
      </w:r>
      <w:r w:rsidDel="00000000" w:rsidR="00000000" w:rsidRPr="00000000">
        <w:rPr>
          <w:rFonts w:ascii="Times New Roman" w:cs="Times New Roman" w:eastAsia="Times New Roman" w:hAnsi="Times New Roman"/>
          <w:sz w:val="24"/>
          <w:szCs w:val="24"/>
          <w:highlight w:val="white"/>
          <w:rtl w:val="0"/>
        </w:rPr>
        <w:t xml:space="preserve">, activity theory proposes to classify hierarchically practices and discourses related to them, as already defined by Leontiev (figure 1). The idea is that activities are constituted by actions, which are in turn made of operations. Each of these levels have a specific need. This model contains an explanatory power when applied to our research. </w:t>
      </w:r>
    </w:p>
    <w:p w:rsidR="00000000" w:rsidDel="00000000" w:rsidP="00000000" w:rsidRDefault="00000000" w:rsidRPr="00000000" w14:paraId="00000035">
      <w:pPr>
        <w:pageBreakBefore w:val="0"/>
        <w:spacing w:line="36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6">
      <w:pPr>
        <w:pageBreakBefore w:val="0"/>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Figure 1. Hierarchical structure of activities according to Leontiev. </w:t>
        <w:br w:type="textWrapping"/>
      </w:r>
      <w:r w:rsidDel="00000000" w:rsidR="00000000" w:rsidRPr="00000000">
        <w:rPr>
          <w:rFonts w:ascii="Times New Roman" w:cs="Times New Roman" w:eastAsia="Times New Roman" w:hAnsi="Times New Roman"/>
          <w:highlight w:val="white"/>
        </w:rPr>
        <w:drawing>
          <wp:inline distB="114300" distT="114300" distL="114300" distR="114300">
            <wp:extent cx="3800475" cy="1266825"/>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800475" cy="1266825"/>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pageBreakBefore w:val="0"/>
        <w:spacing w:line="36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white"/>
          <w:rtl w:val="0"/>
        </w:rPr>
        <w:t xml:space="preserve">In this model, </w:t>
      </w:r>
      <w:r w:rsidDel="00000000" w:rsidR="00000000" w:rsidRPr="00000000">
        <w:rPr>
          <w:rFonts w:ascii="Times New Roman" w:cs="Times New Roman" w:eastAsia="Times New Roman" w:hAnsi="Times New Roman"/>
          <w:i w:val="1"/>
          <w:sz w:val="24"/>
          <w:szCs w:val="24"/>
          <w:highlight w:val="white"/>
          <w:rtl w:val="0"/>
        </w:rPr>
        <w:t xml:space="preserve">operations</w:t>
      </w:r>
      <w:r w:rsidDel="00000000" w:rsidR="00000000" w:rsidRPr="00000000">
        <w:rPr>
          <w:rFonts w:ascii="Times New Roman" w:cs="Times New Roman" w:eastAsia="Times New Roman" w:hAnsi="Times New Roman"/>
          <w:sz w:val="24"/>
          <w:szCs w:val="24"/>
          <w:highlight w:val="white"/>
          <w:rtl w:val="0"/>
        </w:rPr>
        <w:t xml:space="preserve"> are routine processes providing an adjustment of an action to the ongoing situation. They are oriented toward the conditions under which the subject is trying to attain a goal. People are typically not aware of their operations which are performed unconsciously. </w:t>
      </w:r>
      <w:r w:rsidDel="00000000" w:rsidR="00000000" w:rsidRPr="00000000">
        <w:rPr>
          <w:rFonts w:ascii="Times New Roman" w:cs="Times New Roman" w:eastAsia="Times New Roman" w:hAnsi="Times New Roman"/>
          <w:i w:val="1"/>
          <w:sz w:val="24"/>
          <w:szCs w:val="24"/>
          <w:highlight w:val="white"/>
          <w:rtl w:val="0"/>
        </w:rPr>
        <w:t xml:space="preserve">Actions</w:t>
      </w:r>
      <w:r w:rsidDel="00000000" w:rsidR="00000000" w:rsidRPr="00000000">
        <w:rPr>
          <w:rFonts w:ascii="Times New Roman" w:cs="Times New Roman" w:eastAsia="Times New Roman" w:hAnsi="Times New Roman"/>
          <w:sz w:val="24"/>
          <w:szCs w:val="24"/>
          <w:highlight w:val="white"/>
          <w:rtl w:val="0"/>
        </w:rPr>
        <w:t xml:space="preserve"> are conscious processes directed at goals which must be undertaken to fulfil the object. The top layer is the activity itself, which is oriented toward a motive, corresponding to a certain need. The motive is the object that the subject ultimately needs to attain. In the context of this research, we focus on the activity of “getting informed” and more precisely how the personalisation of feeds on social media platforms is perceived through this activity. </w:t>
      </w:r>
      <w:r w:rsidDel="00000000" w:rsidR="00000000" w:rsidRPr="00000000">
        <w:rPr>
          <w:rtl w:val="0"/>
        </w:rPr>
      </w:r>
    </w:p>
    <w:p w:rsidR="00000000" w:rsidDel="00000000" w:rsidP="00000000" w:rsidRDefault="00000000" w:rsidRPr="00000000" w14:paraId="00000038">
      <w:pPr>
        <w:pageBreakBefore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pageBreakBefore w:val="0"/>
        <w:spacing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Second, the pyramidal model of activity theory formalized by Engeström is borrowed and applied to our study (Vahed et al., 2018, based on Engeström, 2015). The pyramid is made of two triangles interconnecting six factors to understand an activity. The </w:t>
      </w:r>
      <w:r w:rsidDel="00000000" w:rsidR="00000000" w:rsidRPr="00000000">
        <w:rPr>
          <w:rFonts w:ascii="Times New Roman" w:cs="Times New Roman" w:eastAsia="Times New Roman" w:hAnsi="Times New Roman"/>
          <w:i w:val="1"/>
          <w:sz w:val="24"/>
          <w:szCs w:val="24"/>
          <w:highlight w:val="white"/>
          <w:rtl w:val="0"/>
        </w:rPr>
        <w:t xml:space="preserve">subject</w:t>
      </w:r>
      <w:r w:rsidDel="00000000" w:rsidR="00000000" w:rsidRPr="00000000">
        <w:rPr>
          <w:rFonts w:ascii="Times New Roman" w:cs="Times New Roman" w:eastAsia="Times New Roman" w:hAnsi="Times New Roman"/>
          <w:sz w:val="24"/>
          <w:szCs w:val="24"/>
          <w:highlight w:val="white"/>
          <w:rtl w:val="0"/>
        </w:rPr>
        <w:t xml:space="preserve"> is the person engaged in an activity and which has an </w:t>
      </w:r>
      <w:r w:rsidDel="00000000" w:rsidR="00000000" w:rsidRPr="00000000">
        <w:rPr>
          <w:rFonts w:ascii="Times New Roman" w:cs="Times New Roman" w:eastAsia="Times New Roman" w:hAnsi="Times New Roman"/>
          <w:i w:val="1"/>
          <w:sz w:val="24"/>
          <w:szCs w:val="24"/>
          <w:highlight w:val="white"/>
          <w:rtl w:val="0"/>
        </w:rPr>
        <w:t xml:space="preserve">object</w:t>
      </w:r>
      <w:r w:rsidDel="00000000" w:rsidR="00000000" w:rsidRPr="00000000">
        <w:rPr>
          <w:rFonts w:ascii="Times New Roman" w:cs="Times New Roman" w:eastAsia="Times New Roman" w:hAnsi="Times New Roman"/>
          <w:sz w:val="24"/>
          <w:szCs w:val="24"/>
          <w:highlight w:val="white"/>
          <w:rtl w:val="0"/>
        </w:rPr>
        <w:t xml:space="preserve">. This object is motivated and is aimed towards a desired outcome, such as having a social life, making friends, staying informed and so forth (in our case staying informed). As explained in the third generation of AT, an activity is also shaped by a </w:t>
      </w:r>
      <w:r w:rsidDel="00000000" w:rsidR="00000000" w:rsidRPr="00000000">
        <w:rPr>
          <w:rFonts w:ascii="Times New Roman" w:cs="Times New Roman" w:eastAsia="Times New Roman" w:hAnsi="Times New Roman"/>
          <w:i w:val="1"/>
          <w:sz w:val="24"/>
          <w:szCs w:val="24"/>
          <w:highlight w:val="white"/>
          <w:rtl w:val="0"/>
        </w:rPr>
        <w:t xml:space="preserve">community</w:t>
      </w:r>
      <w:r w:rsidDel="00000000" w:rsidR="00000000" w:rsidRPr="00000000">
        <w:rPr>
          <w:rFonts w:ascii="Times New Roman" w:cs="Times New Roman" w:eastAsia="Times New Roman" w:hAnsi="Times New Roman"/>
          <w:sz w:val="24"/>
          <w:szCs w:val="24"/>
          <w:highlight w:val="white"/>
          <w:rtl w:val="0"/>
        </w:rPr>
        <w:t xml:space="preserve"> of people more or less concerned about the activity. The social aspects of platforms and apps such as Instagram and Youtube highly emphasize that notion of community. The </w:t>
      </w:r>
      <w:r w:rsidDel="00000000" w:rsidR="00000000" w:rsidRPr="00000000">
        <w:rPr>
          <w:rFonts w:ascii="Times New Roman" w:cs="Times New Roman" w:eastAsia="Times New Roman" w:hAnsi="Times New Roman"/>
          <w:i w:val="1"/>
          <w:sz w:val="24"/>
          <w:szCs w:val="24"/>
          <w:highlight w:val="white"/>
          <w:rtl w:val="0"/>
        </w:rPr>
        <w:t xml:space="preserve">tools</w:t>
      </w:r>
      <w:r w:rsidDel="00000000" w:rsidR="00000000" w:rsidRPr="00000000">
        <w:rPr>
          <w:rFonts w:ascii="Times New Roman" w:cs="Times New Roman" w:eastAsia="Times New Roman" w:hAnsi="Times New Roman"/>
          <w:sz w:val="24"/>
          <w:szCs w:val="24"/>
          <w:highlight w:val="white"/>
          <w:rtl w:val="0"/>
        </w:rPr>
        <w:t xml:space="preserve"> are the physical objects such as smartphones, but also systems and symbols used to accomplish the activity. Rooted in a soviet context, activity theory also focuses on the </w:t>
      </w:r>
      <w:r w:rsidDel="00000000" w:rsidR="00000000" w:rsidRPr="00000000">
        <w:rPr>
          <w:rFonts w:ascii="Times New Roman" w:cs="Times New Roman" w:eastAsia="Times New Roman" w:hAnsi="Times New Roman"/>
          <w:i w:val="1"/>
          <w:sz w:val="24"/>
          <w:szCs w:val="24"/>
          <w:highlight w:val="white"/>
          <w:rtl w:val="0"/>
        </w:rPr>
        <w:t xml:space="preserve">division of labour</w:t>
      </w:r>
      <w:r w:rsidDel="00000000" w:rsidR="00000000" w:rsidRPr="00000000">
        <w:rPr>
          <w:rFonts w:ascii="Times New Roman" w:cs="Times New Roman" w:eastAsia="Times New Roman" w:hAnsi="Times New Roman"/>
          <w:sz w:val="24"/>
          <w:szCs w:val="24"/>
          <w:highlight w:val="white"/>
          <w:rtl w:val="0"/>
        </w:rPr>
        <w:t xml:space="preserve"> of the activity, as well as the</w:t>
      </w:r>
      <w:r w:rsidDel="00000000" w:rsidR="00000000" w:rsidRPr="00000000">
        <w:rPr>
          <w:rFonts w:ascii="Times New Roman" w:cs="Times New Roman" w:eastAsia="Times New Roman" w:hAnsi="Times New Roman"/>
          <w:i w:val="1"/>
          <w:sz w:val="24"/>
          <w:szCs w:val="24"/>
          <w:highlight w:val="white"/>
          <w:rtl w:val="0"/>
        </w:rPr>
        <w:t xml:space="preserve"> rules and laws </w:t>
      </w:r>
      <w:r w:rsidDel="00000000" w:rsidR="00000000" w:rsidRPr="00000000">
        <w:rPr>
          <w:rFonts w:ascii="Times New Roman" w:cs="Times New Roman" w:eastAsia="Times New Roman" w:hAnsi="Times New Roman"/>
          <w:sz w:val="24"/>
          <w:szCs w:val="24"/>
          <w:highlight w:val="white"/>
          <w:rtl w:val="0"/>
        </w:rPr>
        <w:t xml:space="preserve">allowing the activity to be performed. These rules can be explicit such as “Terms and Services” to accept or implicit and socially dictated by a community. Applied to this case study, the activity theory model for teens using smartphones and platforms is illustrated in Figure 2.</w:t>
        <w:br w:type="textWrapping"/>
      </w:r>
    </w:p>
    <w:p w:rsidR="00000000" w:rsidDel="00000000" w:rsidP="00000000" w:rsidRDefault="00000000" w:rsidRPr="00000000" w14:paraId="0000003A">
      <w:pPr>
        <w:pageBreakBefore w:val="0"/>
        <w:spacing w:line="36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Figure 2. The pyramidal model, as applied to the context of this research.  </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5731200" cy="3225800"/>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Put briefly, activity theory allows us to study the diversity of discourses and practices of teens on social media regarding access to news, but also to understand their perception of their uses through their discourses. It offers a hierarchical model allowing to deconstruct the activity of young people into actions and operations. In that sense, the practices can be observed and explained at a micro-level and simultaneously give insights about its activities at a higher level. Also, </w:t>
      </w:r>
      <w:r w:rsidDel="00000000" w:rsidR="00000000" w:rsidRPr="00000000">
        <w:rPr>
          <w:rFonts w:ascii="Times New Roman" w:cs="Times New Roman" w:eastAsia="Times New Roman" w:hAnsi="Times New Roman"/>
          <w:sz w:val="24"/>
          <w:szCs w:val="24"/>
          <w:highlight w:val="white"/>
          <w:rtl w:val="0"/>
        </w:rPr>
        <w:t xml:space="preserve">the pyramidal</w:t>
      </w:r>
      <w:r w:rsidDel="00000000" w:rsidR="00000000" w:rsidRPr="00000000">
        <w:rPr>
          <w:rFonts w:ascii="Times New Roman" w:cs="Times New Roman" w:eastAsia="Times New Roman" w:hAnsi="Times New Roman"/>
          <w:sz w:val="24"/>
          <w:szCs w:val="24"/>
          <w:highlight w:val="white"/>
          <w:rtl w:val="0"/>
        </w:rPr>
        <w:t xml:space="preserve"> model offers a broader model of analysis, which serves directly in the operationalization of the research design and offers a lens to collect and analyse the data from the field.</w:t>
      </w:r>
      <w:r w:rsidDel="00000000" w:rsidR="00000000" w:rsidRPr="00000000">
        <w:rPr>
          <w:rtl w:val="0"/>
        </w:rPr>
      </w:r>
    </w:p>
    <w:p w:rsidR="00000000" w:rsidDel="00000000" w:rsidP="00000000" w:rsidRDefault="00000000" w:rsidRPr="00000000" w14:paraId="0000003C">
      <w:pPr>
        <w:keepNext w:val="0"/>
        <w:keepLines w:val="0"/>
        <w:pageBreakBefore w:val="0"/>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Research design:</w:t>
      </w:r>
      <w:r w:rsidDel="00000000" w:rsidR="00000000" w:rsidRPr="00000000">
        <w:rPr>
          <w:rFonts w:ascii="Times New Roman" w:cs="Times New Roman" w:eastAsia="Times New Roman" w:hAnsi="Times New Roman"/>
          <w:b w:val="1"/>
          <w:sz w:val="24"/>
          <w:szCs w:val="24"/>
          <w:rtl w:val="0"/>
        </w:rPr>
        <w:t xml:space="preserve"> online in-praxis interviews</w:t>
      </w:r>
    </w:p>
    <w:p w:rsidR="00000000" w:rsidDel="00000000" w:rsidP="00000000" w:rsidRDefault="00000000" w:rsidRPr="00000000" w14:paraId="0000003D">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rationale of this research is to better understand the influence that personalisation can have on teens in terms of opinion-making and media uses. A first study led by the AlgOpinion team mixed traditional semi-structured interviews and focus groups. These methods proved useful in producing knowledge on the diversity of teens’ social media uses: the diversity of platform use, the diversity of practices, and the variation in consciousness of the (algorithmic) mechanisms at play on social media platforms. However, the methods used in this first study came short in generalizing and providing explanatory models. For that purpose, a new method has been designed drawing on aspects from various research designs that have been identified in the literature on activity theory. This method has been coined </w:t>
      </w:r>
      <w:r w:rsidDel="00000000" w:rsidR="00000000" w:rsidRPr="00000000">
        <w:rPr>
          <w:rFonts w:ascii="Times New Roman" w:cs="Times New Roman" w:eastAsia="Times New Roman" w:hAnsi="Times New Roman"/>
          <w:sz w:val="24"/>
          <w:szCs w:val="24"/>
          <w:rtl w:val="0"/>
        </w:rPr>
        <w:t xml:space="preserve">“online </w:t>
      </w:r>
      <w:r w:rsidDel="00000000" w:rsidR="00000000" w:rsidRPr="00000000">
        <w:rPr>
          <w:rFonts w:ascii="Times New Roman" w:cs="Times New Roman" w:eastAsia="Times New Roman" w:hAnsi="Times New Roman"/>
          <w:i w:val="1"/>
          <w:sz w:val="24"/>
          <w:szCs w:val="24"/>
          <w:rtl w:val="0"/>
        </w:rPr>
        <w:t xml:space="preserve">in praxis </w:t>
      </w:r>
      <w:r w:rsidDel="00000000" w:rsidR="00000000" w:rsidRPr="00000000">
        <w:rPr>
          <w:rFonts w:ascii="Times New Roman" w:cs="Times New Roman" w:eastAsia="Times New Roman" w:hAnsi="Times New Roman"/>
          <w:sz w:val="24"/>
          <w:szCs w:val="24"/>
          <w:rtl w:val="0"/>
        </w:rPr>
        <w:t xml:space="preserve">interviews”.</w:t>
      </w:r>
      <w:r w:rsidDel="00000000" w:rsidR="00000000" w:rsidRPr="00000000">
        <w:rPr>
          <w:rtl w:val="0"/>
        </w:rPr>
      </w:r>
    </w:p>
    <w:p w:rsidR="00000000" w:rsidDel="00000000" w:rsidP="00000000" w:rsidRDefault="00000000" w:rsidRPr="00000000" w14:paraId="0000003E">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F">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order to overcome the shortcomings of traditional semi-structured interviews, we have designed a method mixing semi-structured interviews and the realization of an activity by going through the different levels such as actions and operations. Engeström (1987) justifies that studying activity systems requires qualitative methods allowing to study activities at a micro-level, but giving explanatory power at a macro-level of an activity system :</w:t>
      </w:r>
    </w:p>
    <w:p w:rsidR="00000000" w:rsidDel="00000000" w:rsidP="00000000" w:rsidRDefault="00000000" w:rsidRPr="00000000" w14:paraId="00000040">
      <w:pPr>
        <w:pageBreakBefore w:val="0"/>
        <w:spacing w:line="360" w:lineRule="auto"/>
        <w:ind w:left="283.46456692913375"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rtl w:val="0"/>
        </w:rPr>
        <w:t xml:space="preserve">“Activity system as a unit of analysis calls for complementary of the system view and the subject's view. The analyst constructs the activity system as if looking at it from above. At the same time, the analyst must select a subject, a member (or better yet, multiple different members) of the local activity, through whose eyes and interpretations the activity is constructed. This dialectic between the systemic and subjective-partisan views brings the researcher into a dialogical relationship with the local activity under investigation. The study of an activity system becomes a collective, multivoiced construction of its past, present, and future zones of proximal developments (Engeström, 1987, p. 10).”</w:t>
      </w:r>
      <w:r w:rsidDel="00000000" w:rsidR="00000000" w:rsidRPr="00000000">
        <w:rPr>
          <w:rtl w:val="0"/>
        </w:rPr>
      </w:r>
    </w:p>
    <w:p w:rsidR="00000000" w:rsidDel="00000000" w:rsidP="00000000" w:rsidRDefault="00000000" w:rsidRPr="00000000" w14:paraId="00000041">
      <w:pPr>
        <w:pageBreakBefore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Concretely, in order to study young people’s use of social media to get informed, we invited them to realize a few operations on their smartphones and to share their observations. Rather than obtaining a general, and sometimes biased, discourse of teens regarding their uses, the goal was to confront them to their feeds resulting from their uses. We call this method </w:t>
      </w:r>
      <w:r w:rsidDel="00000000" w:rsidR="00000000" w:rsidRPr="00000000">
        <w:rPr>
          <w:rFonts w:ascii="Times New Roman" w:cs="Times New Roman" w:eastAsia="Times New Roman" w:hAnsi="Times New Roman"/>
          <w:i w:val="1"/>
          <w:sz w:val="24"/>
          <w:szCs w:val="24"/>
          <w:rtl w:val="0"/>
        </w:rPr>
        <w:t xml:space="preserve">in praxis interviews</w:t>
      </w:r>
      <w:r w:rsidDel="00000000" w:rsidR="00000000" w:rsidRPr="00000000">
        <w:rPr>
          <w:rFonts w:ascii="Times New Roman" w:cs="Times New Roman" w:eastAsia="Times New Roman" w:hAnsi="Times New Roman"/>
          <w:sz w:val="24"/>
          <w:szCs w:val="24"/>
          <w:rtl w:val="0"/>
        </w:rPr>
        <w:t xml:space="preserve">, in contrast with ethnographers’ </w:t>
      </w:r>
      <w:r w:rsidDel="00000000" w:rsidR="00000000" w:rsidRPr="00000000">
        <w:rPr>
          <w:rFonts w:ascii="Times New Roman" w:cs="Times New Roman" w:eastAsia="Times New Roman" w:hAnsi="Times New Roman"/>
          <w:i w:val="1"/>
          <w:sz w:val="24"/>
          <w:szCs w:val="24"/>
          <w:rtl w:val="0"/>
        </w:rPr>
        <w:t xml:space="preserve">in situ interviews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to emphasize the importance of performing the activity during the interview and reflect upon it live.</w:t>
      </w:r>
    </w:p>
    <w:p w:rsidR="00000000" w:rsidDel="00000000" w:rsidP="00000000" w:rsidRDefault="00000000" w:rsidRPr="00000000" w14:paraId="00000043">
      <w:pPr>
        <w:pageBreakBefore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Asking participants to perform an activity is not novel per se. The existing literature on activity theory already points to different methods relying on such practices. A few instances are briefly presented hereafter, as they have inspired our methodology and could benefit for further research on the topic. First, we can mention methods proposing a </w:t>
      </w:r>
      <w:r w:rsidDel="00000000" w:rsidR="00000000" w:rsidRPr="00000000">
        <w:rPr>
          <w:rFonts w:ascii="Times New Roman" w:cs="Times New Roman" w:eastAsia="Times New Roman" w:hAnsi="Times New Roman"/>
          <w:i w:val="1"/>
          <w:sz w:val="24"/>
          <w:szCs w:val="24"/>
          <w:rtl w:val="0"/>
        </w:rPr>
        <w:t xml:space="preserve">walkthrough</w:t>
      </w:r>
      <w:r w:rsidDel="00000000" w:rsidR="00000000" w:rsidRPr="00000000">
        <w:rPr>
          <w:rFonts w:ascii="Times New Roman" w:cs="Times New Roman" w:eastAsia="Times New Roman" w:hAnsi="Times New Roman"/>
          <w:sz w:val="24"/>
          <w:szCs w:val="24"/>
          <w:rtl w:val="0"/>
        </w:rPr>
        <w:t xml:space="preserve"> by the participant. This method, often used in human-computer interactions studies, presents a clear list of tasks for the participant to solve. Often designed to identify flaws in programs or softwares, the walkthrough method is also useful in mobile communication studies to better understand how users interact with their interfaces (Light, Burgess and Duguay, 2018). Along the same lines, Jorgensen (2016) suggested the </w:t>
      </w:r>
      <w:r w:rsidDel="00000000" w:rsidR="00000000" w:rsidRPr="00000000">
        <w:rPr>
          <w:rFonts w:ascii="Times New Roman" w:cs="Times New Roman" w:eastAsia="Times New Roman" w:hAnsi="Times New Roman"/>
          <w:i w:val="1"/>
          <w:sz w:val="24"/>
          <w:szCs w:val="24"/>
          <w:rtl w:val="0"/>
        </w:rPr>
        <w:t xml:space="preserve">media go-along</w:t>
      </w:r>
      <w:r w:rsidDel="00000000" w:rsidR="00000000" w:rsidRPr="00000000">
        <w:rPr>
          <w:rFonts w:ascii="Times New Roman" w:cs="Times New Roman" w:eastAsia="Times New Roman" w:hAnsi="Times New Roman"/>
          <w:sz w:val="24"/>
          <w:szCs w:val="24"/>
          <w:rtl w:val="0"/>
        </w:rPr>
        <w:t xml:space="preserve"> method. Anchored in an ethnographic perspective, the objective of this method is to shadow a participant while he is using his media. Finally, two methods that are similar in some ways focus on the spontaneity of participants when realizing an activity. </w:t>
      </w:r>
      <w:r w:rsidDel="00000000" w:rsidR="00000000" w:rsidRPr="00000000">
        <w:rPr>
          <w:rFonts w:ascii="Times New Roman" w:cs="Times New Roman" w:eastAsia="Times New Roman" w:hAnsi="Times New Roman"/>
          <w:sz w:val="24"/>
          <w:szCs w:val="24"/>
          <w:rtl w:val="0"/>
        </w:rPr>
        <w:t xml:space="preserve">Alshammari, Alhadreti, &amp; Mayhew (2015) developed the</w:t>
      </w:r>
      <w:r w:rsidDel="00000000" w:rsidR="00000000" w:rsidRPr="00000000">
        <w:rPr>
          <w:rFonts w:ascii="Times New Roman" w:cs="Times New Roman" w:eastAsia="Times New Roman" w:hAnsi="Times New Roman"/>
          <w:i w:val="1"/>
          <w:sz w:val="24"/>
          <w:szCs w:val="24"/>
          <w:rtl w:val="0"/>
        </w:rPr>
        <w:t xml:space="preserve"> think-aloud</w:t>
      </w:r>
      <w:r w:rsidDel="00000000" w:rsidR="00000000" w:rsidRPr="00000000">
        <w:rPr>
          <w:rFonts w:ascii="Times New Roman" w:cs="Times New Roman" w:eastAsia="Times New Roman" w:hAnsi="Times New Roman"/>
          <w:sz w:val="24"/>
          <w:szCs w:val="24"/>
          <w:rtl w:val="0"/>
        </w:rPr>
        <w:t xml:space="preserve"> method, by which participants are invited to perform a set of tasks while saying out loud what they are thinking and what their trains of thoughts are. Think-aloud methods are often used in the field of Human Computer Interaction in order to test the usability of an interface or a software system. The objective of the think-aloud method is to observe the use of an object by a user and to detect the affordances and obstacles of using it. Along the same lines, Zahner and Moschkovic (2010) introduced the concept of </w:t>
      </w:r>
      <w:r w:rsidDel="00000000" w:rsidR="00000000" w:rsidRPr="00000000">
        <w:rPr>
          <w:rFonts w:ascii="Times New Roman" w:cs="Times New Roman" w:eastAsia="Times New Roman" w:hAnsi="Times New Roman"/>
          <w:i w:val="1"/>
          <w:sz w:val="24"/>
          <w:szCs w:val="24"/>
          <w:rtl w:val="0"/>
        </w:rPr>
        <w:t xml:space="preserve">private speech</w:t>
      </w:r>
      <w:r w:rsidDel="00000000" w:rsidR="00000000" w:rsidRPr="00000000">
        <w:rPr>
          <w:rFonts w:ascii="Times New Roman" w:cs="Times New Roman" w:eastAsia="Times New Roman" w:hAnsi="Times New Roman"/>
          <w:sz w:val="24"/>
          <w:szCs w:val="24"/>
          <w:rtl w:val="0"/>
        </w:rPr>
        <w:t xml:space="preserve"> in order to describe the words and sentences that a user emits to oneself, but aloud.</w:t>
      </w:r>
    </w:p>
    <w:p w:rsidR="00000000" w:rsidDel="00000000" w:rsidP="00000000" w:rsidRDefault="00000000" w:rsidRPr="00000000" w14:paraId="00000045">
      <w:pPr>
        <w:pageBreakBefore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Bringing together different aspects of these methods, </w:t>
      </w:r>
      <w:r w:rsidDel="00000000" w:rsidR="00000000" w:rsidRPr="00000000">
        <w:rPr>
          <w:rFonts w:ascii="Times New Roman" w:cs="Times New Roman" w:eastAsia="Times New Roman" w:hAnsi="Times New Roman"/>
          <w:i w:val="1"/>
          <w:sz w:val="24"/>
          <w:szCs w:val="24"/>
          <w:rtl w:val="0"/>
        </w:rPr>
        <w:t xml:space="preserve">in praxis interviews</w:t>
      </w:r>
      <w:r w:rsidDel="00000000" w:rsidR="00000000" w:rsidRPr="00000000">
        <w:rPr>
          <w:rFonts w:ascii="Times New Roman" w:cs="Times New Roman" w:eastAsia="Times New Roman" w:hAnsi="Times New Roman"/>
          <w:sz w:val="24"/>
          <w:szCs w:val="24"/>
          <w:rtl w:val="0"/>
        </w:rPr>
        <w:t xml:space="preserve"> aim to invite participants to perform simple tasks on their smartphones in order to confront their imagined mobile practices to their actual practices and knowledge about how platforms, interfaces, and algorithms work. Due to the governmental measures regarding Covid put in place during the data collection period, interviews had to be realized online, which paradoxically allowed us to easily record them.</w:t>
      </w:r>
    </w:p>
    <w:p w:rsidR="00000000" w:rsidDel="00000000" w:rsidP="00000000" w:rsidRDefault="00000000" w:rsidRPr="00000000" w14:paraId="00000047">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t xml:space="preserve">The interview guide covers three main themes. First, questions about news use are asked in order to understand the individual’s media ecosystem (which platforms they, which type of news they consume, etc.). This brings general information about the activity of consuming news as well as more detailed information about the media and the platforms they use to get informed. Second, participants are invited to use their smartphones on three applications: Instagram, Facebook, and YouTube. These three platforms have been selected based on findings from an earlier research project led by AlgOpinion. This second part, more practical, allows the depictions of actions and operations of teens on these platforms, and to question their perceptions about these platforms. They are then invited to describe what they see on their feeds, and to discuss how they thought these contents were selected (or not) for them. Finally, reflexive questions are asked about how teens understand recommendation algorithms and about the tactics they put in place in order to resist, or to accentuate, the effects of these algorithms.</w:t>
      </w:r>
    </w:p>
    <w:p w:rsidR="00000000" w:rsidDel="00000000" w:rsidP="00000000" w:rsidRDefault="00000000" w:rsidRPr="00000000" w14:paraId="00000048">
      <w:pPr>
        <w:pageBreakBefore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an exploratory study, five online in-praxis interviews have been conducted for this paper based on an interview guide that has been tested and refined through six pre-tests interviews. It must be noted that the five interviewees whose results are detailed here are all students from a University in Brussels, studying political science or communication, with an age ranging from 18 to 24. This must be taken into consideration when analyzing the practices of the participants on their smartphones and their knowledge of political and media ecosystems. Indeed, all participants said that they consume information on different types of media (print, TV and digital).</w:t>
        <w:br w:type="textWrapping"/>
      </w:r>
    </w:p>
    <w:p w:rsidR="00000000" w:rsidDel="00000000" w:rsidP="00000000" w:rsidRDefault="00000000" w:rsidRPr="00000000" w14:paraId="0000004A">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 Exploratory results : between resisting personalisation and getting adapted content</w:t>
      </w:r>
      <w:r w:rsidDel="00000000" w:rsidR="00000000" w:rsidRPr="00000000">
        <w:rPr>
          <w:rtl w:val="0"/>
        </w:rPr>
      </w:r>
    </w:p>
    <w:p w:rsidR="00000000" w:rsidDel="00000000" w:rsidP="00000000" w:rsidRDefault="00000000" w:rsidRPr="00000000" w14:paraId="0000004B">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Aside from Google and non-digital media, contextual results show that teens massively use Instagram and Youtube for news and entertainment as well as interpersonal communication. Facebook is used less often and in a more passive manner. Some began to use Tik Tok at the time of data collection. They also converse through WhatsApp, Snapchat and Messenger. </w:t>
      </w:r>
    </w:p>
    <w:p w:rsidR="00000000" w:rsidDel="00000000" w:rsidP="00000000" w:rsidRDefault="00000000" w:rsidRPr="00000000" w14:paraId="0000004C">
      <w:pPr>
        <w:pageBreakBefore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pageBreakBefore w:val="0"/>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4.1. Implicit knowledge of how personalisation works and ambivalent feelings towards algorithms</w:t>
      </w:r>
      <w:r w:rsidDel="00000000" w:rsidR="00000000" w:rsidRPr="00000000">
        <w:rPr>
          <w:rtl w:val="0"/>
        </w:rPr>
      </w:r>
    </w:p>
    <w:p w:rsidR="00000000" w:rsidDel="00000000" w:rsidP="00000000" w:rsidRDefault="00000000" w:rsidRPr="00000000" w14:paraId="0000004E">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first part of this paper, we have presented a literature review of the concept of filter bubbles and recommendation algorithms. Preliminary findings show that teens have an implicit knowledge of how personalisation of feeds on platforms such as Instagram work, and that discourses on the negative effects of filter bubbles or echo chambers should be tempered. In this section, the discourse of five teens is discussed about how they feel about recommendation algorithms and about their practices.</w:t>
      </w:r>
    </w:p>
    <w:p w:rsidR="00000000" w:rsidDel="00000000" w:rsidP="00000000" w:rsidRDefault="00000000" w:rsidRPr="00000000" w14:paraId="0000004F">
      <w:pPr>
        <w:pageBreakBefore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First and foremost, the five teens claimed to be conscious about how platforms such as Instagram, Facebook and Youtube operate and that their data were being collected. Even though some expressed a certain discomfort in that regard, the fact that these platforms were free of use counterbalanced that unease, as explained by Interviewee #2: “</w:t>
      </w:r>
      <w:r w:rsidDel="00000000" w:rsidR="00000000" w:rsidRPr="00000000">
        <w:rPr>
          <w:rFonts w:ascii="Times New Roman" w:cs="Times New Roman" w:eastAsia="Times New Roman" w:hAnsi="Times New Roman"/>
          <w:i w:val="1"/>
          <w:sz w:val="24"/>
          <w:szCs w:val="24"/>
          <w:rtl w:val="0"/>
        </w:rPr>
        <w:t xml:space="preserve">Je consulte un média gratuit, donc, euh, il faut bien qu'ils gagnent de l'argent. En utilisant nos données pour nous proposer du contenu pour qu'on consomme, pour qu'on consomme beaucoup sans payer</w:t>
      </w:r>
      <w:r w:rsidDel="00000000" w:rsidR="00000000" w:rsidRPr="00000000">
        <w:rPr>
          <w:rFonts w:ascii="Times New Roman" w:cs="Times New Roman" w:eastAsia="Times New Roman" w:hAnsi="Times New Roman"/>
          <w:sz w:val="24"/>
          <w:szCs w:val="24"/>
          <w:rtl w:val="0"/>
        </w:rPr>
        <w:t xml:space="preserve">”. This is further detailed by Interviewee #4: “</w:t>
      </w:r>
      <w:r w:rsidDel="00000000" w:rsidR="00000000" w:rsidRPr="00000000">
        <w:rPr>
          <w:rFonts w:ascii="Times New Roman" w:cs="Times New Roman" w:eastAsia="Times New Roman" w:hAnsi="Times New Roman"/>
          <w:i w:val="1"/>
          <w:sz w:val="24"/>
          <w:szCs w:val="24"/>
          <w:rtl w:val="0"/>
        </w:rPr>
        <w:t xml:space="preserve">Je sais très bien que ma consommation est surveillée entre guillemets et que, voilà, le contenu qui m'est proposé est directement lié à à mes centres d'intérêt. Enfin je veux dire les trucs sponsorisés que j'ai. Il y a des liens. Donc voilà</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1">
      <w:pPr>
        <w:pageBreakBefore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Regarding how recommendation algorithms work, most participants were fairly confident about their modus operandi globally even though they admitted not knowing exactly how and why certain posts appeared in their feed. This shows that teens have an implicit knowledge about the rules of algorithms, even though the appearance of certain contents kept them upset. For instance, Interviewee #1 explained how she was looking for some information about unclogging a sink and how, even though she had found the answer, she kept seeing ads and sponsored contents about sink unblockers :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Par exemple, j’ai cherché un moyen de déboucher un évier naturellement. Et voilà, maintenant sur youtube, j'ai plein de pubs sur des déboucheurs d'évier ou alors j’ai cherché juste une fois. Moi je me dis, mais qu'est-ce que ça fait là, en fait?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3">
      <w:pPr>
        <w:pageBreakBefore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personalisation does not surprise teens as they are conscious that their behaviour online will have an impact on what they will see in their feed. As Interviewee #2 explains, this phenomenon can be considered as common knowledge: “</w:t>
      </w:r>
      <w:r w:rsidDel="00000000" w:rsidR="00000000" w:rsidRPr="00000000">
        <w:rPr>
          <w:rFonts w:ascii="Times New Roman" w:cs="Times New Roman" w:eastAsia="Times New Roman" w:hAnsi="Times New Roman"/>
          <w:i w:val="1"/>
          <w:sz w:val="24"/>
          <w:szCs w:val="24"/>
          <w:rtl w:val="0"/>
        </w:rPr>
        <w:t xml:space="preserve">J'ai regardé ses chaussures ce matin et là maintenant on les propose comme par hasard. Voilà. Je pense qu'aujourd'hui maintenant, tout le monde sait que c'est pas vraiment un hasard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5">
      <w:pPr>
        <w:pageBreakBefore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some aspects, the personalization of the feed is accepted by some teens. For Interviewee #4, the way Instagram arranges her stories is even beneficial, as she perceives that the stories she considers most important, that is of her friends, are being presented first: “</w:t>
      </w:r>
      <w:r w:rsidDel="00000000" w:rsidR="00000000" w:rsidRPr="00000000">
        <w:rPr>
          <w:rFonts w:ascii="Times New Roman" w:cs="Times New Roman" w:eastAsia="Times New Roman" w:hAnsi="Times New Roman"/>
          <w:i w:val="1"/>
          <w:sz w:val="24"/>
          <w:szCs w:val="24"/>
          <w:rtl w:val="0"/>
        </w:rPr>
        <w:t xml:space="preserve">Mais enfin c'est vrai que par exemple les stories qui sont vers la fin, je les regarde pas du tout. Euh parce que c’est un peu une perte de temps, enfin pas que c'est une perte de temps mais je regarde vraiment le truc essentiel donc mes potes. Par exemple, souvent, euh, sur Instagram poste les Story de mes amis proches, donc c'est celle là que je vois en premier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7">
      <w:pPr>
        <w:pageBreakBefore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However, if this personalization of the feed is expected, it does not mean that teens necessarily enjoy it as they sometimes feel like being trapped. Interviewee #2 shared this impression after visiting a specific restaurant in a shopping mall one morning, and receiving targeted advertisement about this establishment on her smartphone later during the day:  “</w:t>
      </w:r>
      <w:r w:rsidDel="00000000" w:rsidR="00000000" w:rsidRPr="00000000">
        <w:rPr>
          <w:rFonts w:ascii="Times New Roman" w:cs="Times New Roman" w:eastAsia="Times New Roman" w:hAnsi="Times New Roman"/>
          <w:i w:val="1"/>
          <w:sz w:val="24"/>
          <w:szCs w:val="24"/>
          <w:rtl w:val="0"/>
        </w:rPr>
        <w:t xml:space="preserve">Si par exemple je me connecte au City 2 ou je me connecte dans un restaurant peu de temps après, ben j'ai la pub du restaurant en question. Ou alors on m'invite à aller au City 2 et ça c'est des choses que j'aime pas forcément de me sentir suivie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9">
      <w:pPr>
        <w:pageBreakBefore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Feeling trapped is not the only pitfall of recommendation algorithms according to our participants. One element that kept emerging during the interviews is the growing preponderance of advertising and marketing of products. Especially on Instagram, Interviewee #2 explains how she feels like content from stores are being pushed up in the feeds with pictures and links to products to buy rather than content posted by her friends: “</w:t>
      </w:r>
      <w:r w:rsidDel="00000000" w:rsidR="00000000" w:rsidRPr="00000000">
        <w:rPr>
          <w:rFonts w:ascii="Times New Roman" w:cs="Times New Roman" w:eastAsia="Times New Roman" w:hAnsi="Times New Roman"/>
          <w:i w:val="1"/>
          <w:sz w:val="24"/>
          <w:szCs w:val="24"/>
          <w:rtl w:val="0"/>
        </w:rPr>
        <w:t xml:space="preserve">J’ai vraiment l'impression que tous les magasins qui vendent des articles ou quand tu cliques sur la photo, il y a des liens, ils sont beaucoup plus mis en avant que des photos de personnes lambda qui ont leur Instagram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B">
      <w:pPr>
        <w:pageBreakBefore w:val="0"/>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question of filter bubbles and feeling trapped inside a bubble was also commented by several interviewees. For Interviewee #3, this phenomenon can be considered as annoying because she feels she always sees the same things over and over: “</w:t>
      </w:r>
      <w:r w:rsidDel="00000000" w:rsidR="00000000" w:rsidRPr="00000000">
        <w:rPr>
          <w:rFonts w:ascii="Times New Roman" w:cs="Times New Roman" w:eastAsia="Times New Roman" w:hAnsi="Times New Roman"/>
          <w:i w:val="1"/>
          <w:sz w:val="24"/>
          <w:szCs w:val="24"/>
          <w:rtl w:val="0"/>
        </w:rPr>
        <w:t xml:space="preserve">Je vois tout le temps la même chose, c'est vraiment… ça devient un peu chiant</w:t>
      </w:r>
      <w:r w:rsidDel="00000000" w:rsidR="00000000" w:rsidRPr="00000000">
        <w:rPr>
          <w:rFonts w:ascii="Times New Roman" w:cs="Times New Roman" w:eastAsia="Times New Roman" w:hAnsi="Times New Roman"/>
          <w:sz w:val="24"/>
          <w:szCs w:val="24"/>
          <w:rtl w:val="0"/>
        </w:rPr>
        <w:t xml:space="preserve">”. This feeling can have effects that are much damaging than boredom as Interviewee #3 explained how the overflow of information on Facebook, especially on topics related to current events and problems happening in the world had an effect on her mental health: “</w:t>
      </w:r>
      <w:r w:rsidDel="00000000" w:rsidR="00000000" w:rsidRPr="00000000">
        <w:rPr>
          <w:rFonts w:ascii="Times New Roman" w:cs="Times New Roman" w:eastAsia="Times New Roman" w:hAnsi="Times New Roman"/>
          <w:i w:val="1"/>
          <w:sz w:val="24"/>
          <w:szCs w:val="24"/>
          <w:rtl w:val="0"/>
        </w:rPr>
        <w:t xml:space="preserve">moi personnellement, ma santé mentale, elle allait pas si bien. Ben, j'ai remarqué que en fait c'était trop d'avoir tout le temps déjà sur Facebook. Il y a ce flux énorme d'informations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D">
      <w:pPr>
        <w:pageBreakBefore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Rather than feeling trapped inside an informational bubble, Interviewee #2 explains how consuming political information on Instagram has helped her understanding the US elections, and especially in comparing how young Americans and young Europeans lived the Biden campaign: “</w:t>
      </w:r>
      <w:r w:rsidDel="00000000" w:rsidR="00000000" w:rsidRPr="00000000">
        <w:rPr>
          <w:rFonts w:ascii="Times New Roman" w:cs="Times New Roman" w:eastAsia="Times New Roman" w:hAnsi="Times New Roman"/>
          <w:i w:val="1"/>
          <w:sz w:val="24"/>
          <w:szCs w:val="24"/>
          <w:rtl w:val="0"/>
        </w:rPr>
        <w:t xml:space="preserve">Alors de voir le contraste entre ce que nous les Européens ont pensé de ces élections et de ce que les américains eux-mêmes, enfin les jeunes. Ce qu'il pensait de ces élections c'était intéressant parce que ça avait rien à voir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F">
      <w:pPr>
        <w:pageBreakBefore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sum, the interviewees all showed an implicit knowledge of the basics of the recommendation algorithms. They were all conscious that the content that is presented to them is tailored on their previous activities such as likes, subscriptions, networks, and comments. They are aware that all the operations they perform online has a consequence on the content and the sponsored messages that they see. If the personalization of the feeds can sometimes be considered as annoying and not relevant, participants understood the underlying reasons and have developed tactics in order to temper or accentuate how the algorithm works.</w:t>
      </w:r>
    </w:p>
    <w:p w:rsidR="00000000" w:rsidDel="00000000" w:rsidP="00000000" w:rsidRDefault="00000000" w:rsidRPr="00000000" w14:paraId="00000061">
      <w:pPr>
        <w:pageBreakBefore w:val="0"/>
        <w:spacing w:line="360" w:lineRule="auto"/>
        <w:jc w:val="both"/>
        <w:rPr>
          <w:rFonts w:ascii="Times New Roman" w:cs="Times New Roman" w:eastAsia="Times New Roman" w:hAnsi="Times New Roman"/>
          <w:b w:val="1"/>
          <w:sz w:val="20"/>
          <w:szCs w:val="20"/>
          <w:highlight w:val="white"/>
        </w:rPr>
      </w:pPr>
      <w:r w:rsidDel="00000000" w:rsidR="00000000" w:rsidRPr="00000000">
        <w:rPr>
          <w:rtl w:val="0"/>
        </w:rPr>
      </w:r>
    </w:p>
    <w:p w:rsidR="00000000" w:rsidDel="00000000" w:rsidP="00000000" w:rsidRDefault="00000000" w:rsidRPr="00000000" w14:paraId="00000062">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sz w:val="24"/>
          <w:szCs w:val="24"/>
          <w:rtl w:val="0"/>
        </w:rPr>
        <w:t xml:space="preserve">.2. Simple practices yet powerful tactics to modify algorithms</w:t>
      </w:r>
    </w:p>
    <w:p w:rsidR="00000000" w:rsidDel="00000000" w:rsidP="00000000" w:rsidRDefault="00000000" w:rsidRPr="00000000" w14:paraId="00000063">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Despite interviewees often referring to themselves as not being tech-savvy, all of them have developed practices and tactics to alter the effects of recommendation algorithms. Either for reinforcing the personalization of the feed or conversely for reducing it, their behaviour on social media is shaped by operations that are geared towards actions taken to resist or not algorithms (Figure 3). These tactics range from specific operations such as clicking on the “unfollow” button of an account to more drastic measures such as deactivating their own account altogether. The operations and actions observed during the online in-praxis interviews concur mostly with the ones identified in the existing literature on the topic.</w:t>
      </w:r>
    </w:p>
    <w:p w:rsidR="00000000" w:rsidDel="00000000" w:rsidP="00000000" w:rsidRDefault="00000000" w:rsidRPr="00000000" w14:paraId="00000064">
      <w:pPr>
        <w:pageBreakBefore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pageBreakBefore w:val="0"/>
        <w:spacing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Figure 3. The hierarchical model of getting informed on social media. </w:t>
      </w:r>
    </w:p>
    <w:tbl>
      <w:tblPr>
        <w:tblStyle w:val="Table1"/>
        <w:tblW w:w="690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00"/>
        <w:gridCol w:w="3405"/>
        <w:gridCol w:w="1995"/>
        <w:tblGridChange w:id="0">
          <w:tblGrid>
            <w:gridCol w:w="1500"/>
            <w:gridCol w:w="3405"/>
            <w:gridCol w:w="1995"/>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6">
            <w:pPr>
              <w:pageBreakBefore w:val="0"/>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Activity</w:t>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7">
            <w:pPr>
              <w:pageBreakBefore w:val="0"/>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Actions</w:t>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8">
            <w:pPr>
              <w:pageBreakBefore w:val="0"/>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Operations</w:t>
            </w:r>
          </w:p>
        </w:tc>
      </w:tr>
      <w:tr>
        <w:trPr>
          <w:cantSplit w:val="0"/>
          <w:trHeight w:val="270" w:hRule="atLeast"/>
          <w:tblHeader w:val="0"/>
        </w:trPr>
        <w:tc>
          <w:tcPr>
            <w:vMerge w:val="restart"/>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9">
            <w:pPr>
              <w:pageBreakBefore w:val="0"/>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Getting informed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A">
            <w:pPr>
              <w:pageBreakBefore w:val="0"/>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Liking (post, person or page)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B">
            <w:pPr>
              <w:pageBreakBefore w:val="0"/>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Tapping</w:t>
            </w:r>
          </w:p>
        </w:tc>
      </w:tr>
      <w:tr>
        <w:trPr>
          <w:cantSplit w:val="0"/>
          <w:trHeight w:val="315" w:hRule="atLeast"/>
          <w:tblHeader w:val="0"/>
        </w:trPr>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6C">
            <w:pPr>
              <w:pageBreakBefore w:val="0"/>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6D">
            <w:pPr>
              <w:pageBreakBefore w:val="0"/>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Commenting</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6E">
            <w:pPr>
              <w:pageBreakBefore w:val="0"/>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Double tapping</w:t>
            </w:r>
          </w:p>
        </w:tc>
      </w:tr>
      <w:tr>
        <w:trPr>
          <w:cantSplit w:val="0"/>
          <w:trHeight w:val="300" w:hRule="atLeast"/>
          <w:tblHeader w:val="0"/>
        </w:trPr>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6F">
            <w:pPr>
              <w:pageBreakBefore w:val="0"/>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70">
            <w:pPr>
              <w:pageBreakBefore w:val="0"/>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Sharing (on feed or by message)</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71">
            <w:pPr>
              <w:pageBreakBefore w:val="0"/>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Scrolling</w:t>
            </w:r>
          </w:p>
        </w:tc>
      </w:tr>
      <w:tr>
        <w:trPr>
          <w:cantSplit w:val="0"/>
          <w:trHeight w:val="345" w:hRule="atLeast"/>
          <w:tblHeader w:val="0"/>
        </w:trPr>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72">
            <w:pPr>
              <w:pageBreakBefore w:val="0"/>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73">
            <w:pPr>
              <w:pageBreakBefore w:val="0"/>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Publishing (texts, photos, videos, stories)</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74">
            <w:pPr>
              <w:pageBreakBefore w:val="0"/>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Zooming (in or out)</w:t>
            </w:r>
          </w:p>
        </w:tc>
      </w:tr>
      <w:tr>
        <w:trPr>
          <w:cantSplit w:val="0"/>
          <w:trHeight w:val="315" w:hRule="atLeast"/>
          <w:tblHeader w:val="0"/>
        </w:trPr>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75">
            <w:pPr>
              <w:pageBreakBefore w:val="0"/>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76">
            <w:pPr>
              <w:pageBreakBefore w:val="0"/>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77">
            <w:pPr>
              <w:pageBreakBefore w:val="0"/>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 doing anything</w:t>
            </w:r>
          </w:p>
        </w:tc>
      </w:tr>
    </w:tbl>
    <w:p w:rsidR="00000000" w:rsidDel="00000000" w:rsidP="00000000" w:rsidRDefault="00000000" w:rsidRPr="00000000" w14:paraId="00000078">
      <w:pPr>
        <w:pageBreakBefore w:val="0"/>
        <w:spacing w:line="360" w:lineRule="auto"/>
        <w:jc w:val="both"/>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i w:val="1"/>
          <w:sz w:val="24"/>
          <w:szCs w:val="24"/>
          <w:rtl w:val="0"/>
        </w:rPr>
        <w:t xml:space="preserve">Section to be developed. </w:t>
      </w:r>
      <w:r w:rsidDel="00000000" w:rsidR="00000000" w:rsidRPr="00000000">
        <w:rPr>
          <w:rtl w:val="0"/>
        </w:rPr>
      </w:r>
    </w:p>
    <w:p w:rsidR="00000000" w:rsidDel="00000000" w:rsidP="00000000" w:rsidRDefault="00000000" w:rsidRPr="00000000" w14:paraId="00000079">
      <w:pPr>
        <w:pageBreakBefore w:val="0"/>
        <w:spacing w:line="36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7A">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 Between resistance and acceptance : young people ambivalent relationship with social media platforms in a connected world </w:t>
      </w:r>
    </w:p>
    <w:p w:rsidR="00000000" w:rsidDel="00000000" w:rsidP="00000000" w:rsidRDefault="00000000" w:rsidRPr="00000000" w14:paraId="0000007B">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tactics illustrated in the previous subsection show the ambivalent relationship that teens have with social media and recommendation algorithms. Whereas some users enjoy to a certain extent the opportunity to have a selection of contents that might interest them the most, others show skepticism towards the collection and the use of their personal data. </w:t>
      </w:r>
    </w:p>
    <w:p w:rsidR="00000000" w:rsidDel="00000000" w:rsidP="00000000" w:rsidRDefault="00000000" w:rsidRPr="00000000" w14:paraId="0000007C">
      <w:pPr>
        <w:pageBreakBefore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appears from the interviews that resistance tactics often emerge after an overload of information. Interviewee 2 explains how she decided to unfollow a news media account because of the sad news that kept being presented on her feed: “</w:t>
      </w:r>
      <w:r w:rsidDel="00000000" w:rsidR="00000000" w:rsidRPr="00000000">
        <w:rPr>
          <w:rFonts w:ascii="Times New Roman" w:cs="Times New Roman" w:eastAsia="Times New Roman" w:hAnsi="Times New Roman"/>
          <w:i w:val="1"/>
          <w:sz w:val="24"/>
          <w:szCs w:val="24"/>
          <w:rtl w:val="0"/>
        </w:rPr>
        <w:t xml:space="preserve">Je suis le compte RTL info, mais, j'ai arrêté parce que c'est un peu déprimant. Parce que la majeure partie du temps, c'est des infos négatives, du coup j'ai unfollow</w:t>
      </w:r>
      <w:r w:rsidDel="00000000" w:rsidR="00000000" w:rsidRPr="00000000">
        <w:rPr>
          <w:rFonts w:ascii="Times New Roman" w:cs="Times New Roman" w:eastAsia="Times New Roman" w:hAnsi="Times New Roman"/>
          <w:sz w:val="24"/>
          <w:szCs w:val="24"/>
          <w:rtl w:val="0"/>
        </w:rPr>
        <w:t xml:space="preserve">”. Along those lines, different users explained adopting a resisting behaviour regarding the growing marketing aspects of social media accounts. Indeed, after a certain time, Interviewee 1 explains how she reflected on her online behaviour and made the decision to deactivate her Instagram account because she felt she was losing time contemplating products that she did not need anyway: “</w:t>
      </w:r>
      <w:r w:rsidDel="00000000" w:rsidR="00000000" w:rsidRPr="00000000">
        <w:rPr>
          <w:rFonts w:ascii="Times New Roman" w:cs="Times New Roman" w:eastAsia="Times New Roman" w:hAnsi="Times New Roman"/>
          <w:i w:val="1"/>
          <w:sz w:val="24"/>
          <w:szCs w:val="24"/>
          <w:rtl w:val="0"/>
        </w:rPr>
        <w:t xml:space="preserve">Sur instagram, je sui beaucoup d'influenceurs de télé-réalité, du maquillage et des perruques, exactement tout ce qui pousse à la consommation. Donc c’est aussi pour ça que j’ai désactivé mon compte. Je me suis dit, je vais pas acheter des trucs inutiles</w:t>
      </w:r>
      <w:r w:rsidDel="00000000" w:rsidR="00000000" w:rsidRPr="00000000">
        <w:rPr>
          <w:rFonts w:ascii="Times New Roman" w:cs="Times New Roman" w:eastAsia="Times New Roman" w:hAnsi="Times New Roman"/>
          <w:sz w:val="24"/>
          <w:szCs w:val="24"/>
          <w:rtl w:val="0"/>
        </w:rPr>
        <w:t xml:space="preserve">”. This example shows how teens develop a critical thinking about their consumption of social media. At numerous occasions, participants explain how surprised they were when looking at the time they spend on social media. They pointed out that social media platforms were clever in the way they develop their applications to keep the attention of their users, including the development of shorts videos that are easily watched one after the other, such as on Tik-Tok or Reels on Instagram. Participants admitted having been surprised to have been scrolling during one or two hours watching short clips before realizing it and putting their smartphones aside as a result. Interviewee 2 expressed being not at ease in those moments: “</w:t>
      </w:r>
      <w:r w:rsidDel="00000000" w:rsidR="00000000" w:rsidRPr="00000000">
        <w:rPr>
          <w:rFonts w:ascii="Times New Roman" w:cs="Times New Roman" w:eastAsia="Times New Roman" w:hAnsi="Times New Roman"/>
          <w:i w:val="1"/>
          <w:sz w:val="24"/>
          <w:szCs w:val="24"/>
          <w:rtl w:val="0"/>
        </w:rPr>
        <w:t xml:space="preserve">Moi, ça me met mal à l'aise quand je me rends compte que ça fait depuis trop longtemps que je suis en train de scroller. J'arrête, je laisse mon téléphone sur le côté</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E">
      <w:pPr>
        <w:pageBreakBefore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Paradoxically, some users develop both traits of resistance and acceptance, which blurs the line even further regarding their relationship with social media platforms. For instance, Interviewee 1 explains her feeling towards her smartphone and how she sometimes considers herself as being traced: “</w:t>
      </w:r>
      <w:r w:rsidDel="00000000" w:rsidR="00000000" w:rsidRPr="00000000">
        <w:rPr>
          <w:rFonts w:ascii="Times New Roman" w:cs="Times New Roman" w:eastAsia="Times New Roman" w:hAnsi="Times New Roman"/>
          <w:i w:val="1"/>
          <w:sz w:val="24"/>
          <w:szCs w:val="24"/>
          <w:rtl w:val="0"/>
        </w:rPr>
        <w:t xml:space="preserve">voilà mon téléphone en lui-même, c'est limite une puce qui fait qu’on sait exactement où je suis. Alors on n’est plus trop libre. Donc des fois je le prends pas avec moi</w:t>
      </w:r>
      <w:r w:rsidDel="00000000" w:rsidR="00000000" w:rsidRPr="00000000">
        <w:rPr>
          <w:rFonts w:ascii="Times New Roman" w:cs="Times New Roman" w:eastAsia="Times New Roman" w:hAnsi="Times New Roman"/>
          <w:sz w:val="24"/>
          <w:szCs w:val="24"/>
          <w:rtl w:val="0"/>
        </w:rPr>
        <w:t xml:space="preserve">”. As a way of resisting, she then explains how she decides to leave her smartphone at home sometimes in order not to feel tracked. What she explains later on during the interview seems dissonant though. Indeed, the interviewee explains how she recently downloaded an application that gives her money when she walks with her smartphone: “</w:t>
      </w:r>
      <w:r w:rsidDel="00000000" w:rsidR="00000000" w:rsidRPr="00000000">
        <w:rPr>
          <w:rFonts w:ascii="Times New Roman" w:cs="Times New Roman" w:eastAsia="Times New Roman" w:hAnsi="Times New Roman"/>
          <w:i w:val="1"/>
          <w:sz w:val="24"/>
          <w:szCs w:val="24"/>
          <w:rtl w:val="0"/>
        </w:rPr>
        <w:t xml:space="preserve">J'ai téléchargé une application qui donne de l'argent quand on marche</w:t>
      </w:r>
      <w:r w:rsidDel="00000000" w:rsidR="00000000" w:rsidRPr="00000000">
        <w:rPr>
          <w:rFonts w:ascii="Times New Roman" w:cs="Times New Roman" w:eastAsia="Times New Roman" w:hAnsi="Times New Roman"/>
          <w:sz w:val="24"/>
          <w:szCs w:val="24"/>
          <w:rtl w:val="0"/>
        </w:rPr>
        <w:t xml:space="preserve">”. Whereas she first explained feeling traced with her smartphone and having to develop tactics such as leaving her phone home, she then explains how she found a financial incentive to actually share her location data with an app. This example shows how ambivalent the relationship is between teens and their smartphones, and about how they sometimes develop tactics to resist certain aspects of a connected world and how they actually give in and encourage such a world.</w:t>
      </w:r>
    </w:p>
    <w:p w:rsidR="00000000" w:rsidDel="00000000" w:rsidP="00000000" w:rsidRDefault="00000000" w:rsidRPr="00000000" w14:paraId="00000080">
      <w:pPr>
        <w:pageBreakBefore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pageBreakBefore w:val="0"/>
        <w:spacing w:line="360" w:lineRule="auto"/>
        <w:jc w:val="both"/>
        <w:rPr>
          <w:rFonts w:ascii="Times New Roman" w:cs="Times New Roman" w:eastAsia="Times New Roman" w:hAnsi="Times New Roman"/>
          <w:b w:val="1"/>
          <w:sz w:val="20"/>
          <w:szCs w:val="20"/>
          <w:highlight w:val="white"/>
        </w:rPr>
      </w:pPr>
      <w:r w:rsidDel="00000000" w:rsidR="00000000" w:rsidRPr="00000000">
        <w:rPr>
          <w:rFonts w:ascii="Times New Roman" w:cs="Times New Roman" w:eastAsia="Times New Roman" w:hAnsi="Times New Roman"/>
          <w:sz w:val="24"/>
          <w:szCs w:val="24"/>
          <w:rtl w:val="0"/>
        </w:rPr>
        <w:t xml:space="preserve">The question of resistance or acceptance cannot be subsumed to a binary view. What became patent during the interviews is that participants all had different levels of consciousness of recommendation algorithms and had varying ways of considering it important or not. For instance, when Interviewee 4 said that she had many friends on Facebook and that she found it only logical not to see everything that their friends post, she expressed some discomfort of being nudged towards certain contents over other, but that she did not really care: “</w:t>
      </w:r>
      <w:r w:rsidDel="00000000" w:rsidR="00000000" w:rsidRPr="00000000">
        <w:rPr>
          <w:rFonts w:ascii="Times New Roman" w:cs="Times New Roman" w:eastAsia="Times New Roman" w:hAnsi="Times New Roman"/>
          <w:i w:val="1"/>
          <w:sz w:val="24"/>
          <w:szCs w:val="24"/>
          <w:rtl w:val="0"/>
        </w:rPr>
        <w:t xml:space="preserve">Sur Facebook, je sais pas combien j'ai d'amis mais je vois certainement pas tout. Et ça te dérange ou ça te dérange pas? Euh, oui, euh, non, après je pense que le concept me dérange. Le concept qu'on aiguille un peu tout ce que je fais mais après est-ce que ça me dérange vraiment? Pas tant que ça</w:t>
      </w:r>
      <w:r w:rsidDel="00000000" w:rsidR="00000000" w:rsidRPr="00000000">
        <w:rPr>
          <w:rFonts w:ascii="Times New Roman" w:cs="Times New Roman" w:eastAsia="Times New Roman" w:hAnsi="Times New Roman"/>
          <w:sz w:val="24"/>
          <w:szCs w:val="24"/>
          <w:rtl w:val="0"/>
        </w:rPr>
        <w:t xml:space="preserve">”. Other participants were more defiant about the way social platforms decided what was considered as relevant or not. Interviewee #3 reveals how an account that she follows, which is arguably anti-globalization, claimed that it was censored by the Facebook algorithm and suggested tactics to make sure that their content would be visible: “</w:t>
      </w:r>
      <w:r w:rsidDel="00000000" w:rsidR="00000000" w:rsidRPr="00000000">
        <w:rPr>
          <w:rFonts w:ascii="Times New Roman" w:cs="Times New Roman" w:eastAsia="Times New Roman" w:hAnsi="Times New Roman"/>
          <w:i w:val="1"/>
          <w:sz w:val="24"/>
          <w:szCs w:val="24"/>
          <w:rtl w:val="0"/>
        </w:rPr>
        <w:t xml:space="preserve">Il y avait eu un article il y a pas longtemps de “monsieur mondialisation” qui disait que l'algorithme de Facebook était en train de faire que la plupart des gens qui suivent monsieur mondialisation ont leurs articles qui n’apparaissaient plus sur leur page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82">
      <w:pPr>
        <w:pageBreakBefore w:val="0"/>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3">
      <w:pPr>
        <w:pageBreakBefore w:val="0"/>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Discussion (to be developed)</w:t>
      </w:r>
    </w:p>
    <w:p w:rsidR="00000000" w:rsidDel="00000000" w:rsidP="00000000" w:rsidRDefault="00000000" w:rsidRPr="00000000" w14:paraId="00000084">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objective of this paper was threefold. First, we aimed to analyze the perception that teens have regarding recommendation algorithms. Second, we confronted their discourse to their actual behaviour on different social media platforms thanks to an innovative methodology called online in-praxis interview. Third, the goal was to analyze the tactics that teens put in place in order to limit or accentuate the effects of recommendation algorithms.</w:t>
      </w:r>
    </w:p>
    <w:p w:rsidR="00000000" w:rsidDel="00000000" w:rsidP="00000000" w:rsidRDefault="00000000" w:rsidRPr="00000000" w14:paraId="00000085">
      <w:pPr>
        <w:pageBreakBefore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theoretical level, this paper is interesting as it links the activity theory to the field of news consumption. Often cited in the field of education, mobilizing the activity theory in this research allowed us to better understand the activity of consuming information on smartphones, but also to add different levels of analysis such as actions and operations that in turn offer a better understanding of the activity itself.</w:t>
      </w:r>
    </w:p>
    <w:p w:rsidR="00000000" w:rsidDel="00000000" w:rsidP="00000000" w:rsidRDefault="00000000" w:rsidRPr="00000000" w14:paraId="00000087">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8">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methodological level, online in-praxis interviews offered new ways of conducting interviews that permit to go beyond the discourse that teens have regarding their perception of social media use. Rather, by asking them to perform tasks, it was possible to better understand how they operate on social media and how they develop tactics, consciously or not, in order to modify the effects of algorithms. The limit of this method resides in the current sample, which is limited to university students who are students in political science and communication studies, which could imply a greater consciousness of how algorithms work.</w:t>
      </w:r>
    </w:p>
    <w:p w:rsidR="00000000" w:rsidDel="00000000" w:rsidP="00000000" w:rsidRDefault="00000000" w:rsidRPr="00000000" w14:paraId="00000089">
      <w:pPr>
        <w:pageBreakBefore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terms of results, it appears that teens develop an ambivalent relationship with recommendation algorithms. Some develop tactics to resist the choices operated by algorithms and others actually encourage more personalization of their feed. The interviewees all showed an implicit knowledge of the basics of the recommendation algorithms. They were all conscious that the content that is presented to them is tailored on their previous activities such as likes, subscriptions, networks, and comments. They are aware that all the operations they perform online has a consequence on the content and the sponsored messages that they see. If the personalization of the feeds can sometimes be considered as annoying and not relevant, participants understood the underlying reasons and have developed tactics in order to temper or accentuate how the algorithm works.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B">
      <w:pPr>
        <w:pageBreakBefore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C">
      <w:pPr>
        <w:pageBreakBefore w:val="0"/>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References</w:t>
      </w:r>
    </w:p>
    <w:p w:rsidR="00000000" w:rsidDel="00000000" w:rsidP="00000000" w:rsidRDefault="00000000" w:rsidRPr="00000000" w14:paraId="0000008D">
      <w:pPr>
        <w:pageBreakBefore w:val="0"/>
        <w:spacing w:line="276" w:lineRule="auto"/>
        <w:ind w:left="880" w:hanging="440"/>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Aiello, L. M., &amp; Barbieri, N. (2017). Evolution of Ego-networks in Social Media with Link Recommendations. </w:t>
      </w:r>
      <w:r w:rsidDel="00000000" w:rsidR="00000000" w:rsidRPr="00000000">
        <w:rPr>
          <w:rFonts w:ascii="Times New Roman" w:cs="Times New Roman" w:eastAsia="Times New Roman" w:hAnsi="Times New Roman"/>
          <w:i w:val="1"/>
          <w:sz w:val="24"/>
          <w:szCs w:val="24"/>
          <w:rtl w:val="0"/>
        </w:rPr>
        <w:t xml:space="preserve">Proceedings of the Tenth ACM International Conference on Web Search and Data Mining</w:t>
      </w:r>
      <w:r w:rsidDel="00000000" w:rsidR="00000000" w:rsidRPr="00000000">
        <w:rPr>
          <w:rFonts w:ascii="Times New Roman" w:cs="Times New Roman" w:eastAsia="Times New Roman" w:hAnsi="Times New Roman"/>
          <w:sz w:val="24"/>
          <w:szCs w:val="24"/>
          <w:rtl w:val="0"/>
        </w:rPr>
        <w:t xml:space="preserve">, 111–120.</w:t>
      </w:r>
      <w:hyperlink r:id="rId8">
        <w:r w:rsidDel="00000000" w:rsidR="00000000" w:rsidRPr="00000000">
          <w:rPr>
            <w:rFonts w:ascii="Times New Roman" w:cs="Times New Roman" w:eastAsia="Times New Roman" w:hAnsi="Times New Roman"/>
            <w:sz w:val="24"/>
            <w:szCs w:val="24"/>
            <w:rtl w:val="0"/>
          </w:rPr>
          <w:t xml:space="preserve"> </w:t>
        </w:r>
      </w:hyperlink>
      <w:hyperlink r:id="rId9">
        <w:r w:rsidDel="00000000" w:rsidR="00000000" w:rsidRPr="00000000">
          <w:rPr>
            <w:rFonts w:ascii="Times New Roman" w:cs="Times New Roman" w:eastAsia="Times New Roman" w:hAnsi="Times New Roman"/>
            <w:color w:val="1155cc"/>
            <w:sz w:val="24"/>
            <w:szCs w:val="24"/>
            <w:u w:val="single"/>
            <w:rtl w:val="0"/>
          </w:rPr>
          <w:t xml:space="preserve">https://doi.org/10.1145/3018661.3018733</w:t>
        </w:r>
      </w:hyperlink>
      <w:r w:rsidDel="00000000" w:rsidR="00000000" w:rsidRPr="00000000">
        <w:rPr>
          <w:rtl w:val="0"/>
        </w:rPr>
      </w:r>
    </w:p>
    <w:p w:rsidR="00000000" w:rsidDel="00000000" w:rsidP="00000000" w:rsidRDefault="00000000" w:rsidRPr="00000000" w14:paraId="0000008E">
      <w:pPr>
        <w:pageBreakBefore w:val="0"/>
        <w:spacing w:line="276" w:lineRule="auto"/>
        <w:ind w:left="880" w:hanging="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Alshammari, T., Alhadreti, O., &amp; Mayhew, P. (2015). When to ask participants to think aloud:A comparative study of concurrent and retrospective think-aloud methods. </w:t>
      </w:r>
      <w:r w:rsidDel="00000000" w:rsidR="00000000" w:rsidRPr="00000000">
        <w:rPr>
          <w:rFonts w:ascii="Times New Roman" w:cs="Times New Roman" w:eastAsia="Times New Roman" w:hAnsi="Times New Roman"/>
          <w:i w:val="1"/>
          <w:sz w:val="24"/>
          <w:szCs w:val="24"/>
          <w:rtl w:val="0"/>
        </w:rPr>
        <w:t xml:space="preserve">International Journal of Human Computer Interaction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6</w:t>
      </w:r>
      <w:r w:rsidDel="00000000" w:rsidR="00000000" w:rsidRPr="00000000">
        <w:rPr>
          <w:rFonts w:ascii="Times New Roman" w:cs="Times New Roman" w:eastAsia="Times New Roman" w:hAnsi="Times New Roman"/>
          <w:sz w:val="24"/>
          <w:szCs w:val="24"/>
          <w:rtl w:val="0"/>
        </w:rPr>
        <w:t xml:space="preserve">(3), 48–64.</w:t>
      </w:r>
    </w:p>
    <w:p w:rsidR="00000000" w:rsidDel="00000000" w:rsidP="00000000" w:rsidRDefault="00000000" w:rsidRPr="00000000" w14:paraId="0000008F">
      <w:pPr>
        <w:pageBreakBefore w:val="0"/>
        <w:spacing w:line="276" w:lineRule="auto"/>
        <w:ind w:left="880" w:hanging="440"/>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Anderson, A., Maystre, L., Anderson, I., Mehrotra, R., &amp; Lalmas, M. (2020). Algorithmic Effects on the Diversity of Consumption on Spotify. </w:t>
      </w:r>
      <w:r w:rsidDel="00000000" w:rsidR="00000000" w:rsidRPr="00000000">
        <w:rPr>
          <w:rFonts w:ascii="Times New Roman" w:cs="Times New Roman" w:eastAsia="Times New Roman" w:hAnsi="Times New Roman"/>
          <w:i w:val="1"/>
          <w:sz w:val="24"/>
          <w:szCs w:val="24"/>
          <w:rtl w:val="0"/>
        </w:rPr>
        <w:t xml:space="preserve">Proceedings of The Web Conference 2020</w:t>
      </w:r>
      <w:r w:rsidDel="00000000" w:rsidR="00000000" w:rsidRPr="00000000">
        <w:rPr>
          <w:rFonts w:ascii="Times New Roman" w:cs="Times New Roman" w:eastAsia="Times New Roman" w:hAnsi="Times New Roman"/>
          <w:sz w:val="24"/>
          <w:szCs w:val="24"/>
          <w:rtl w:val="0"/>
        </w:rPr>
        <w:t xml:space="preserve">, 2155–2165.</w:t>
      </w:r>
      <w:hyperlink r:id="rId10">
        <w:r w:rsidDel="00000000" w:rsidR="00000000" w:rsidRPr="00000000">
          <w:rPr>
            <w:rFonts w:ascii="Times New Roman" w:cs="Times New Roman" w:eastAsia="Times New Roman" w:hAnsi="Times New Roman"/>
            <w:sz w:val="24"/>
            <w:szCs w:val="24"/>
            <w:rtl w:val="0"/>
          </w:rPr>
          <w:t xml:space="preserve"> </w:t>
        </w:r>
      </w:hyperlink>
      <w:hyperlink r:id="rId11">
        <w:r w:rsidDel="00000000" w:rsidR="00000000" w:rsidRPr="00000000">
          <w:rPr>
            <w:rFonts w:ascii="Times New Roman" w:cs="Times New Roman" w:eastAsia="Times New Roman" w:hAnsi="Times New Roman"/>
            <w:color w:val="1155cc"/>
            <w:sz w:val="24"/>
            <w:szCs w:val="24"/>
            <w:u w:val="single"/>
            <w:rtl w:val="0"/>
          </w:rPr>
          <w:t xml:space="preserve">https://doi.org/10.1145/3366423.3380281</w:t>
        </w:r>
      </w:hyperlink>
      <w:r w:rsidDel="00000000" w:rsidR="00000000" w:rsidRPr="00000000">
        <w:rPr>
          <w:rtl w:val="0"/>
        </w:rPr>
      </w:r>
    </w:p>
    <w:p w:rsidR="00000000" w:rsidDel="00000000" w:rsidP="00000000" w:rsidRDefault="00000000" w:rsidRPr="00000000" w14:paraId="00000090">
      <w:pPr>
        <w:pageBreakBefore w:val="0"/>
        <w:spacing w:line="276" w:lineRule="auto"/>
        <w:ind w:left="880" w:hanging="440"/>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Bakhurst, D. (2009). Reflections on activity theory. </w:t>
      </w:r>
      <w:r w:rsidDel="00000000" w:rsidR="00000000" w:rsidRPr="00000000">
        <w:rPr>
          <w:rFonts w:ascii="Times New Roman" w:cs="Times New Roman" w:eastAsia="Times New Roman" w:hAnsi="Times New Roman"/>
          <w:i w:val="1"/>
          <w:sz w:val="24"/>
          <w:szCs w:val="24"/>
          <w:rtl w:val="0"/>
        </w:rPr>
        <w:t xml:space="preserve">Educational Review</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61</w:t>
      </w:r>
      <w:r w:rsidDel="00000000" w:rsidR="00000000" w:rsidRPr="00000000">
        <w:rPr>
          <w:rFonts w:ascii="Times New Roman" w:cs="Times New Roman" w:eastAsia="Times New Roman" w:hAnsi="Times New Roman"/>
          <w:sz w:val="24"/>
          <w:szCs w:val="24"/>
          <w:rtl w:val="0"/>
        </w:rPr>
        <w:t xml:space="preserve">(2), 197–210.</w:t>
      </w:r>
      <w:hyperlink r:id="rId12">
        <w:r w:rsidDel="00000000" w:rsidR="00000000" w:rsidRPr="00000000">
          <w:rPr>
            <w:rFonts w:ascii="Times New Roman" w:cs="Times New Roman" w:eastAsia="Times New Roman" w:hAnsi="Times New Roman"/>
            <w:sz w:val="24"/>
            <w:szCs w:val="24"/>
            <w:rtl w:val="0"/>
          </w:rPr>
          <w:t xml:space="preserve"> </w:t>
        </w:r>
      </w:hyperlink>
      <w:hyperlink r:id="rId13">
        <w:r w:rsidDel="00000000" w:rsidR="00000000" w:rsidRPr="00000000">
          <w:rPr>
            <w:rFonts w:ascii="Times New Roman" w:cs="Times New Roman" w:eastAsia="Times New Roman" w:hAnsi="Times New Roman"/>
            <w:color w:val="1155cc"/>
            <w:sz w:val="24"/>
            <w:szCs w:val="24"/>
            <w:u w:val="single"/>
            <w:rtl w:val="0"/>
          </w:rPr>
          <w:t xml:space="preserve">https://doi.org/10.1080/00131910902846916</w:t>
        </w:r>
      </w:hyperlink>
      <w:r w:rsidDel="00000000" w:rsidR="00000000" w:rsidRPr="00000000">
        <w:rPr>
          <w:rtl w:val="0"/>
        </w:rPr>
      </w:r>
    </w:p>
    <w:p w:rsidR="00000000" w:rsidDel="00000000" w:rsidP="00000000" w:rsidRDefault="00000000" w:rsidRPr="00000000" w14:paraId="00000091">
      <w:pPr>
        <w:pageBreakBefore w:val="0"/>
        <w:spacing w:line="276" w:lineRule="auto"/>
        <w:ind w:left="880" w:hanging="440"/>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Bakshy, E., Messing, S., &amp; Adamic, L. A. (2015). Exposure to ideologically diverse news and opinion on Facebook. </w:t>
      </w:r>
      <w:r w:rsidDel="00000000" w:rsidR="00000000" w:rsidRPr="00000000">
        <w:rPr>
          <w:rFonts w:ascii="Times New Roman" w:cs="Times New Roman" w:eastAsia="Times New Roman" w:hAnsi="Times New Roman"/>
          <w:i w:val="1"/>
          <w:sz w:val="24"/>
          <w:szCs w:val="24"/>
          <w:rtl w:val="0"/>
        </w:rPr>
        <w:t xml:space="preserve">Science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348</w:t>
      </w:r>
      <w:r w:rsidDel="00000000" w:rsidR="00000000" w:rsidRPr="00000000">
        <w:rPr>
          <w:rFonts w:ascii="Times New Roman" w:cs="Times New Roman" w:eastAsia="Times New Roman" w:hAnsi="Times New Roman"/>
          <w:sz w:val="24"/>
          <w:szCs w:val="24"/>
          <w:rtl w:val="0"/>
        </w:rPr>
        <w:t xml:space="preserve">(6239), 1130–1132.</w:t>
      </w:r>
      <w:hyperlink r:id="rId14">
        <w:r w:rsidDel="00000000" w:rsidR="00000000" w:rsidRPr="00000000">
          <w:rPr>
            <w:rFonts w:ascii="Times New Roman" w:cs="Times New Roman" w:eastAsia="Times New Roman" w:hAnsi="Times New Roman"/>
            <w:sz w:val="24"/>
            <w:szCs w:val="24"/>
            <w:rtl w:val="0"/>
          </w:rPr>
          <w:t xml:space="preserve"> </w:t>
        </w:r>
      </w:hyperlink>
      <w:hyperlink r:id="rId15">
        <w:r w:rsidDel="00000000" w:rsidR="00000000" w:rsidRPr="00000000">
          <w:rPr>
            <w:rFonts w:ascii="Times New Roman" w:cs="Times New Roman" w:eastAsia="Times New Roman" w:hAnsi="Times New Roman"/>
            <w:color w:val="1155cc"/>
            <w:sz w:val="24"/>
            <w:szCs w:val="24"/>
            <w:u w:val="single"/>
            <w:rtl w:val="0"/>
          </w:rPr>
          <w:t xml:space="preserve">https://doi.org/10.1126/science.aaa1160</w:t>
        </w:r>
      </w:hyperlink>
      <w:r w:rsidDel="00000000" w:rsidR="00000000" w:rsidRPr="00000000">
        <w:rPr>
          <w:rtl w:val="0"/>
        </w:rPr>
      </w:r>
    </w:p>
    <w:p w:rsidR="00000000" w:rsidDel="00000000" w:rsidP="00000000" w:rsidRDefault="00000000" w:rsidRPr="00000000" w14:paraId="00000092">
      <w:pPr>
        <w:pageBreakBefore w:val="0"/>
        <w:spacing w:line="276" w:lineRule="auto"/>
        <w:ind w:left="880" w:hanging="440"/>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Barberá, P. (2020). Social Media, Echo Chambers, and Political Polarization. In N. Persily &amp; J. A. Tucker (Eds.), </w:t>
      </w:r>
      <w:r w:rsidDel="00000000" w:rsidR="00000000" w:rsidRPr="00000000">
        <w:rPr>
          <w:rFonts w:ascii="Times New Roman" w:cs="Times New Roman" w:eastAsia="Times New Roman" w:hAnsi="Times New Roman"/>
          <w:i w:val="1"/>
          <w:sz w:val="24"/>
          <w:szCs w:val="24"/>
          <w:rtl w:val="0"/>
        </w:rPr>
        <w:t xml:space="preserve">Social Media and Democracy</w:t>
      </w:r>
      <w:r w:rsidDel="00000000" w:rsidR="00000000" w:rsidRPr="00000000">
        <w:rPr>
          <w:rFonts w:ascii="Times New Roman" w:cs="Times New Roman" w:eastAsia="Times New Roman" w:hAnsi="Times New Roman"/>
          <w:sz w:val="24"/>
          <w:szCs w:val="24"/>
          <w:rtl w:val="0"/>
        </w:rPr>
        <w:t xml:space="preserve"> (1st ed., pp. 34–55). Cambridge University Press.</w:t>
      </w:r>
      <w:hyperlink r:id="rId16">
        <w:r w:rsidDel="00000000" w:rsidR="00000000" w:rsidRPr="00000000">
          <w:rPr>
            <w:rFonts w:ascii="Times New Roman" w:cs="Times New Roman" w:eastAsia="Times New Roman" w:hAnsi="Times New Roman"/>
            <w:sz w:val="24"/>
            <w:szCs w:val="24"/>
            <w:rtl w:val="0"/>
          </w:rPr>
          <w:t xml:space="preserve"> </w:t>
        </w:r>
      </w:hyperlink>
      <w:hyperlink r:id="rId17">
        <w:r w:rsidDel="00000000" w:rsidR="00000000" w:rsidRPr="00000000">
          <w:rPr>
            <w:rFonts w:ascii="Times New Roman" w:cs="Times New Roman" w:eastAsia="Times New Roman" w:hAnsi="Times New Roman"/>
            <w:color w:val="1155cc"/>
            <w:sz w:val="24"/>
            <w:szCs w:val="24"/>
            <w:u w:val="single"/>
            <w:rtl w:val="0"/>
          </w:rPr>
          <w:t xml:space="preserve">https://doi.org/10.1017/9781108890960.004</w:t>
        </w:r>
      </w:hyperlink>
      <w:r w:rsidDel="00000000" w:rsidR="00000000" w:rsidRPr="00000000">
        <w:rPr>
          <w:rtl w:val="0"/>
        </w:rPr>
      </w:r>
    </w:p>
    <w:p w:rsidR="00000000" w:rsidDel="00000000" w:rsidP="00000000" w:rsidRDefault="00000000" w:rsidRPr="00000000" w14:paraId="00000093">
      <w:pPr>
        <w:pageBreakBefore w:val="0"/>
        <w:spacing w:line="276" w:lineRule="auto"/>
        <w:ind w:left="880" w:hanging="440"/>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Bedny, G., &amp; Karwowski, W. (2003). A Systemic-Structural Activity Approach to the Design of Human-Computer Interaction Tasks. </w:t>
      </w:r>
      <w:r w:rsidDel="00000000" w:rsidR="00000000" w:rsidRPr="00000000">
        <w:rPr>
          <w:rFonts w:ascii="Times New Roman" w:cs="Times New Roman" w:eastAsia="Times New Roman" w:hAnsi="Times New Roman"/>
          <w:i w:val="1"/>
          <w:sz w:val="24"/>
          <w:szCs w:val="24"/>
          <w:rtl w:val="0"/>
        </w:rPr>
        <w:t xml:space="preserve">International Journal of Human-Computer Interaction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16</w:t>
      </w:r>
      <w:r w:rsidDel="00000000" w:rsidR="00000000" w:rsidRPr="00000000">
        <w:rPr>
          <w:rFonts w:ascii="Times New Roman" w:cs="Times New Roman" w:eastAsia="Times New Roman" w:hAnsi="Times New Roman"/>
          <w:sz w:val="24"/>
          <w:szCs w:val="24"/>
          <w:rtl w:val="0"/>
        </w:rPr>
        <w:t xml:space="preserve">(2), 235–260.</w:t>
      </w:r>
      <w:hyperlink r:id="rId18">
        <w:r w:rsidDel="00000000" w:rsidR="00000000" w:rsidRPr="00000000">
          <w:rPr>
            <w:rFonts w:ascii="Times New Roman" w:cs="Times New Roman" w:eastAsia="Times New Roman" w:hAnsi="Times New Roman"/>
            <w:sz w:val="24"/>
            <w:szCs w:val="24"/>
            <w:rtl w:val="0"/>
          </w:rPr>
          <w:t xml:space="preserve"> </w:t>
        </w:r>
      </w:hyperlink>
      <w:hyperlink r:id="rId19">
        <w:r w:rsidDel="00000000" w:rsidR="00000000" w:rsidRPr="00000000">
          <w:rPr>
            <w:rFonts w:ascii="Times New Roman" w:cs="Times New Roman" w:eastAsia="Times New Roman" w:hAnsi="Times New Roman"/>
            <w:color w:val="1155cc"/>
            <w:sz w:val="24"/>
            <w:szCs w:val="24"/>
            <w:u w:val="single"/>
            <w:rtl w:val="0"/>
          </w:rPr>
          <w:t xml:space="preserve">https://doi.org/10.1207/S15327590IJHC1602_06</w:t>
        </w:r>
      </w:hyperlink>
      <w:r w:rsidDel="00000000" w:rsidR="00000000" w:rsidRPr="00000000">
        <w:rPr>
          <w:rtl w:val="0"/>
        </w:rPr>
      </w:r>
    </w:p>
    <w:p w:rsidR="00000000" w:rsidDel="00000000" w:rsidP="00000000" w:rsidRDefault="00000000" w:rsidRPr="00000000" w14:paraId="00000094">
      <w:pPr>
        <w:pageBreakBefore w:val="0"/>
        <w:spacing w:line="276" w:lineRule="auto"/>
        <w:ind w:left="880" w:hanging="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Boczkowski, P. J., &amp; Mitchelstein, E. (2013). </w:t>
      </w:r>
      <w:r w:rsidDel="00000000" w:rsidR="00000000" w:rsidRPr="00000000">
        <w:rPr>
          <w:rFonts w:ascii="Times New Roman" w:cs="Times New Roman" w:eastAsia="Times New Roman" w:hAnsi="Times New Roman"/>
          <w:i w:val="1"/>
          <w:sz w:val="24"/>
          <w:szCs w:val="24"/>
          <w:rtl w:val="0"/>
        </w:rPr>
        <w:t xml:space="preserve">The News Gap: When the Information Preferences of the Media and the Public Diverge</w:t>
      </w:r>
      <w:r w:rsidDel="00000000" w:rsidR="00000000" w:rsidRPr="00000000">
        <w:rPr>
          <w:rFonts w:ascii="Times New Roman" w:cs="Times New Roman" w:eastAsia="Times New Roman" w:hAnsi="Times New Roman"/>
          <w:sz w:val="24"/>
          <w:szCs w:val="24"/>
          <w:rtl w:val="0"/>
        </w:rPr>
        <w:t xml:space="preserve">. MIT Press.</w:t>
      </w:r>
    </w:p>
    <w:p w:rsidR="00000000" w:rsidDel="00000000" w:rsidP="00000000" w:rsidRDefault="00000000" w:rsidRPr="00000000" w14:paraId="00000095">
      <w:pPr>
        <w:pageBreakBefore w:val="0"/>
        <w:spacing w:line="276" w:lineRule="auto"/>
        <w:ind w:left="880" w:hanging="440"/>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Claussen, J., Peukert, C., &amp; Sen, A. (2019). </w:t>
      </w:r>
      <w:r w:rsidDel="00000000" w:rsidR="00000000" w:rsidRPr="00000000">
        <w:rPr>
          <w:rFonts w:ascii="Times New Roman" w:cs="Times New Roman" w:eastAsia="Times New Roman" w:hAnsi="Times New Roman"/>
          <w:i w:val="1"/>
          <w:sz w:val="24"/>
          <w:szCs w:val="24"/>
          <w:rtl w:val="0"/>
        </w:rPr>
        <w:t xml:space="preserve">The Editor vs. The Algorithm: Returns to Data and Externalities in Online News</w:t>
      </w:r>
      <w:r w:rsidDel="00000000" w:rsidR="00000000" w:rsidRPr="00000000">
        <w:rPr>
          <w:rFonts w:ascii="Times New Roman" w:cs="Times New Roman" w:eastAsia="Times New Roman" w:hAnsi="Times New Roman"/>
          <w:sz w:val="24"/>
          <w:szCs w:val="24"/>
          <w:rtl w:val="0"/>
        </w:rPr>
        <w:t xml:space="preserve"> (SSRN Scholarly Paper ID 3518959). Social Science Research Network.</w:t>
      </w:r>
      <w:hyperlink r:id="rId20">
        <w:r w:rsidDel="00000000" w:rsidR="00000000" w:rsidRPr="00000000">
          <w:rPr>
            <w:rFonts w:ascii="Times New Roman" w:cs="Times New Roman" w:eastAsia="Times New Roman" w:hAnsi="Times New Roman"/>
            <w:sz w:val="24"/>
            <w:szCs w:val="24"/>
            <w:rtl w:val="0"/>
          </w:rPr>
          <w:t xml:space="preserve"> </w:t>
        </w:r>
      </w:hyperlink>
      <w:hyperlink r:id="rId21">
        <w:r w:rsidDel="00000000" w:rsidR="00000000" w:rsidRPr="00000000">
          <w:rPr>
            <w:rFonts w:ascii="Times New Roman" w:cs="Times New Roman" w:eastAsia="Times New Roman" w:hAnsi="Times New Roman"/>
            <w:color w:val="1155cc"/>
            <w:sz w:val="24"/>
            <w:szCs w:val="24"/>
            <w:u w:val="single"/>
            <w:rtl w:val="0"/>
          </w:rPr>
          <w:t xml:space="preserve">https://papers.ssrn.com/abstract=3518959</w:t>
        </w:r>
      </w:hyperlink>
      <w:r w:rsidDel="00000000" w:rsidR="00000000" w:rsidRPr="00000000">
        <w:rPr>
          <w:rtl w:val="0"/>
        </w:rPr>
      </w:r>
    </w:p>
    <w:p w:rsidR="00000000" w:rsidDel="00000000" w:rsidP="00000000" w:rsidRDefault="00000000" w:rsidRPr="00000000" w14:paraId="00000096">
      <w:pPr>
        <w:pageBreakBefore w:val="0"/>
        <w:spacing w:line="276" w:lineRule="auto"/>
        <w:ind w:left="880" w:hanging="440"/>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Dylko, I., Dolgov, I., Hoffman, W., Eckhart, N., Molina, M., &amp; Aaziz, O. (2017). The dark side of technology: An experimental investigation of the influence of customizability technology on online political selective exposure. </w:t>
      </w:r>
      <w:r w:rsidDel="00000000" w:rsidR="00000000" w:rsidRPr="00000000">
        <w:rPr>
          <w:rFonts w:ascii="Times New Roman" w:cs="Times New Roman" w:eastAsia="Times New Roman" w:hAnsi="Times New Roman"/>
          <w:i w:val="1"/>
          <w:sz w:val="24"/>
          <w:szCs w:val="24"/>
          <w:rtl w:val="0"/>
        </w:rPr>
        <w:t xml:space="preserve">Computers in Human Behavior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73</w:t>
      </w:r>
      <w:r w:rsidDel="00000000" w:rsidR="00000000" w:rsidRPr="00000000">
        <w:rPr>
          <w:rFonts w:ascii="Times New Roman" w:cs="Times New Roman" w:eastAsia="Times New Roman" w:hAnsi="Times New Roman"/>
          <w:sz w:val="24"/>
          <w:szCs w:val="24"/>
          <w:rtl w:val="0"/>
        </w:rPr>
        <w:t xml:space="preserve">, 181–190.</w:t>
      </w:r>
      <w:hyperlink r:id="rId22">
        <w:r w:rsidDel="00000000" w:rsidR="00000000" w:rsidRPr="00000000">
          <w:rPr>
            <w:rFonts w:ascii="Times New Roman" w:cs="Times New Roman" w:eastAsia="Times New Roman" w:hAnsi="Times New Roman"/>
            <w:sz w:val="24"/>
            <w:szCs w:val="24"/>
            <w:rtl w:val="0"/>
          </w:rPr>
          <w:t xml:space="preserve"> </w:t>
        </w:r>
      </w:hyperlink>
      <w:hyperlink r:id="rId23">
        <w:r w:rsidDel="00000000" w:rsidR="00000000" w:rsidRPr="00000000">
          <w:rPr>
            <w:rFonts w:ascii="Times New Roman" w:cs="Times New Roman" w:eastAsia="Times New Roman" w:hAnsi="Times New Roman"/>
            <w:color w:val="1155cc"/>
            <w:sz w:val="24"/>
            <w:szCs w:val="24"/>
            <w:u w:val="single"/>
            <w:rtl w:val="0"/>
          </w:rPr>
          <w:t xml:space="preserve">https://doi.org/10.1016/j.chb.2017.03.031</w:t>
        </w:r>
      </w:hyperlink>
      <w:r w:rsidDel="00000000" w:rsidR="00000000" w:rsidRPr="00000000">
        <w:rPr>
          <w:rtl w:val="0"/>
        </w:rPr>
      </w:r>
    </w:p>
    <w:p w:rsidR="00000000" w:rsidDel="00000000" w:rsidP="00000000" w:rsidRDefault="00000000" w:rsidRPr="00000000" w14:paraId="00000097">
      <w:pPr>
        <w:pageBreakBefore w:val="0"/>
        <w:spacing w:line="276" w:lineRule="auto"/>
        <w:ind w:left="880" w:hanging="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Engestrom, Y. (1987). </w:t>
      </w:r>
      <w:r w:rsidDel="00000000" w:rsidR="00000000" w:rsidRPr="00000000">
        <w:rPr>
          <w:rFonts w:ascii="Times New Roman" w:cs="Times New Roman" w:eastAsia="Times New Roman" w:hAnsi="Times New Roman"/>
          <w:i w:val="1"/>
          <w:sz w:val="24"/>
          <w:szCs w:val="24"/>
          <w:rtl w:val="0"/>
        </w:rPr>
        <w:t xml:space="preserve">Learning by expanding (Helsinki, Orienta-Konsultit Oy)</w:t>
      </w:r>
      <w:r w:rsidDel="00000000" w:rsidR="00000000" w:rsidRPr="00000000">
        <w:rPr>
          <w:rFonts w:ascii="Times New Roman" w:cs="Times New Roman" w:eastAsia="Times New Roman" w:hAnsi="Times New Roman"/>
          <w:sz w:val="24"/>
          <w:szCs w:val="24"/>
          <w:rtl w:val="0"/>
        </w:rPr>
        <w:t xml:space="preserve">. Downloaded 4/6/01 from http://communication. ucsd. edu/MCA/Paper/Engestrom</w:t>
      </w:r>
    </w:p>
    <w:p w:rsidR="00000000" w:rsidDel="00000000" w:rsidP="00000000" w:rsidRDefault="00000000" w:rsidRPr="00000000" w14:paraId="00000098">
      <w:pPr>
        <w:pageBreakBefore w:val="0"/>
        <w:spacing w:line="276" w:lineRule="auto"/>
        <w:ind w:left="880" w:hanging="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Engeström, Y. (1993). Developmental studies of work as a testbench of activity theory: The case of primary care medical practice. </w:t>
      </w:r>
      <w:r w:rsidDel="00000000" w:rsidR="00000000" w:rsidRPr="00000000">
        <w:rPr>
          <w:rFonts w:ascii="Times New Roman" w:cs="Times New Roman" w:eastAsia="Times New Roman" w:hAnsi="Times New Roman"/>
          <w:i w:val="1"/>
          <w:sz w:val="24"/>
          <w:szCs w:val="24"/>
          <w:rtl w:val="0"/>
        </w:rPr>
        <w:t xml:space="preserve">Understanding Practice : Perspectives on Activity and Context</w:t>
      </w:r>
      <w:r w:rsidDel="00000000" w:rsidR="00000000" w:rsidRPr="00000000">
        <w:rPr>
          <w:rFonts w:ascii="Times New Roman" w:cs="Times New Roman" w:eastAsia="Times New Roman" w:hAnsi="Times New Roman"/>
          <w:sz w:val="24"/>
          <w:szCs w:val="24"/>
          <w:rtl w:val="0"/>
        </w:rPr>
        <w:t xml:space="preserve">, 64–103.</w:t>
      </w:r>
    </w:p>
    <w:p w:rsidR="00000000" w:rsidDel="00000000" w:rsidP="00000000" w:rsidRDefault="00000000" w:rsidRPr="00000000" w14:paraId="00000099">
      <w:pPr>
        <w:pageBreakBefore w:val="0"/>
        <w:spacing w:line="276" w:lineRule="auto"/>
        <w:ind w:left="880" w:hanging="440"/>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Engeström, Yrjö, Miettinen, R., &amp; Punamäki, R.-L. (Eds.). (1999). </w:t>
      </w:r>
      <w:r w:rsidDel="00000000" w:rsidR="00000000" w:rsidRPr="00000000">
        <w:rPr>
          <w:rFonts w:ascii="Times New Roman" w:cs="Times New Roman" w:eastAsia="Times New Roman" w:hAnsi="Times New Roman"/>
          <w:i w:val="1"/>
          <w:sz w:val="24"/>
          <w:szCs w:val="24"/>
          <w:rtl w:val="0"/>
        </w:rPr>
        <w:t xml:space="preserve">Perspectives on Activity Theory</w:t>
      </w:r>
      <w:r w:rsidDel="00000000" w:rsidR="00000000" w:rsidRPr="00000000">
        <w:rPr>
          <w:rFonts w:ascii="Times New Roman" w:cs="Times New Roman" w:eastAsia="Times New Roman" w:hAnsi="Times New Roman"/>
          <w:sz w:val="24"/>
          <w:szCs w:val="24"/>
          <w:rtl w:val="0"/>
        </w:rPr>
        <w:t xml:space="preserve">. Cambridge University Press.</w:t>
      </w:r>
      <w:hyperlink r:id="rId24">
        <w:r w:rsidDel="00000000" w:rsidR="00000000" w:rsidRPr="00000000">
          <w:rPr>
            <w:rFonts w:ascii="Times New Roman" w:cs="Times New Roman" w:eastAsia="Times New Roman" w:hAnsi="Times New Roman"/>
            <w:sz w:val="24"/>
            <w:szCs w:val="24"/>
            <w:rtl w:val="0"/>
          </w:rPr>
          <w:t xml:space="preserve"> </w:t>
        </w:r>
      </w:hyperlink>
      <w:hyperlink r:id="rId25">
        <w:r w:rsidDel="00000000" w:rsidR="00000000" w:rsidRPr="00000000">
          <w:rPr>
            <w:rFonts w:ascii="Times New Roman" w:cs="Times New Roman" w:eastAsia="Times New Roman" w:hAnsi="Times New Roman"/>
            <w:color w:val="1155cc"/>
            <w:sz w:val="24"/>
            <w:szCs w:val="24"/>
            <w:u w:val="single"/>
            <w:rtl w:val="0"/>
          </w:rPr>
          <w:t xml:space="preserve">https://doi.org/10.1017/CBO9780511812774</w:t>
        </w:r>
      </w:hyperlink>
      <w:r w:rsidDel="00000000" w:rsidR="00000000" w:rsidRPr="00000000">
        <w:rPr>
          <w:rtl w:val="0"/>
        </w:rPr>
      </w:r>
    </w:p>
    <w:p w:rsidR="00000000" w:rsidDel="00000000" w:rsidP="00000000" w:rsidRDefault="00000000" w:rsidRPr="00000000" w14:paraId="0000009A">
      <w:pPr>
        <w:pageBreakBefore w:val="0"/>
        <w:spacing w:line="276" w:lineRule="auto"/>
        <w:ind w:left="880" w:hanging="440"/>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Garrett, R. K. (2013). Selective Exposure: New Methods and New Directions. </w:t>
      </w:r>
      <w:r w:rsidDel="00000000" w:rsidR="00000000" w:rsidRPr="00000000">
        <w:rPr>
          <w:rFonts w:ascii="Times New Roman" w:cs="Times New Roman" w:eastAsia="Times New Roman" w:hAnsi="Times New Roman"/>
          <w:i w:val="1"/>
          <w:sz w:val="24"/>
          <w:szCs w:val="24"/>
          <w:rtl w:val="0"/>
        </w:rPr>
        <w:t xml:space="preserve">Communication Methods and Measures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7</w:t>
      </w:r>
      <w:r w:rsidDel="00000000" w:rsidR="00000000" w:rsidRPr="00000000">
        <w:rPr>
          <w:rFonts w:ascii="Times New Roman" w:cs="Times New Roman" w:eastAsia="Times New Roman" w:hAnsi="Times New Roman"/>
          <w:sz w:val="24"/>
          <w:szCs w:val="24"/>
          <w:rtl w:val="0"/>
        </w:rPr>
        <w:t xml:space="preserve">(3–4), 247–256.</w:t>
      </w:r>
      <w:hyperlink r:id="rId26">
        <w:r w:rsidDel="00000000" w:rsidR="00000000" w:rsidRPr="00000000">
          <w:rPr>
            <w:rFonts w:ascii="Times New Roman" w:cs="Times New Roman" w:eastAsia="Times New Roman" w:hAnsi="Times New Roman"/>
            <w:sz w:val="24"/>
            <w:szCs w:val="24"/>
            <w:rtl w:val="0"/>
          </w:rPr>
          <w:t xml:space="preserve"> </w:t>
        </w:r>
      </w:hyperlink>
      <w:hyperlink r:id="rId27">
        <w:r w:rsidDel="00000000" w:rsidR="00000000" w:rsidRPr="00000000">
          <w:rPr>
            <w:rFonts w:ascii="Times New Roman" w:cs="Times New Roman" w:eastAsia="Times New Roman" w:hAnsi="Times New Roman"/>
            <w:color w:val="1155cc"/>
            <w:sz w:val="24"/>
            <w:szCs w:val="24"/>
            <w:u w:val="single"/>
            <w:rtl w:val="0"/>
          </w:rPr>
          <w:t xml:space="preserve">https://doi.org/10.1080/19312458.2013.835796</w:t>
        </w:r>
      </w:hyperlink>
      <w:r w:rsidDel="00000000" w:rsidR="00000000" w:rsidRPr="00000000">
        <w:rPr>
          <w:rtl w:val="0"/>
        </w:rPr>
      </w:r>
    </w:p>
    <w:p w:rsidR="00000000" w:rsidDel="00000000" w:rsidP="00000000" w:rsidRDefault="00000000" w:rsidRPr="00000000" w14:paraId="0000009B">
      <w:pPr>
        <w:pageBreakBefore w:val="0"/>
        <w:spacing w:line="276" w:lineRule="auto"/>
        <w:ind w:left="880" w:hanging="440"/>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Granovetter, M. S. (1973). The Strength of Weak Ties. </w:t>
      </w:r>
      <w:r w:rsidDel="00000000" w:rsidR="00000000" w:rsidRPr="00000000">
        <w:rPr>
          <w:rFonts w:ascii="Times New Roman" w:cs="Times New Roman" w:eastAsia="Times New Roman" w:hAnsi="Times New Roman"/>
          <w:i w:val="1"/>
          <w:sz w:val="24"/>
          <w:szCs w:val="24"/>
          <w:rtl w:val="0"/>
        </w:rPr>
        <w:t xml:space="preserve">American Journal of Sociology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78</w:t>
      </w:r>
      <w:r w:rsidDel="00000000" w:rsidR="00000000" w:rsidRPr="00000000">
        <w:rPr>
          <w:rFonts w:ascii="Times New Roman" w:cs="Times New Roman" w:eastAsia="Times New Roman" w:hAnsi="Times New Roman"/>
          <w:sz w:val="24"/>
          <w:szCs w:val="24"/>
          <w:rtl w:val="0"/>
        </w:rPr>
        <w:t xml:space="preserve">(6), 1360–1380.</w:t>
      </w:r>
      <w:hyperlink r:id="rId28">
        <w:r w:rsidDel="00000000" w:rsidR="00000000" w:rsidRPr="00000000">
          <w:rPr>
            <w:rFonts w:ascii="Times New Roman" w:cs="Times New Roman" w:eastAsia="Times New Roman" w:hAnsi="Times New Roman"/>
            <w:sz w:val="24"/>
            <w:szCs w:val="24"/>
            <w:rtl w:val="0"/>
          </w:rPr>
          <w:t xml:space="preserve"> </w:t>
        </w:r>
      </w:hyperlink>
      <w:hyperlink r:id="rId29">
        <w:r w:rsidDel="00000000" w:rsidR="00000000" w:rsidRPr="00000000">
          <w:rPr>
            <w:rFonts w:ascii="Times New Roman" w:cs="Times New Roman" w:eastAsia="Times New Roman" w:hAnsi="Times New Roman"/>
            <w:color w:val="1155cc"/>
            <w:sz w:val="24"/>
            <w:szCs w:val="24"/>
            <w:u w:val="single"/>
            <w:rtl w:val="0"/>
          </w:rPr>
          <w:t xml:space="preserve">https://doi.org/10.1086/225469</w:t>
        </w:r>
      </w:hyperlink>
      <w:r w:rsidDel="00000000" w:rsidR="00000000" w:rsidRPr="00000000">
        <w:rPr>
          <w:rtl w:val="0"/>
        </w:rPr>
      </w:r>
    </w:p>
    <w:p w:rsidR="00000000" w:rsidDel="00000000" w:rsidP="00000000" w:rsidRDefault="00000000" w:rsidRPr="00000000" w14:paraId="0000009C">
      <w:pPr>
        <w:pageBreakBefore w:val="0"/>
        <w:spacing w:line="276" w:lineRule="auto"/>
        <w:ind w:left="880" w:hanging="440"/>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Haim, M., Graefe, A., &amp; Brosius, H.-B. (2018). Burst of the Filter Bubble? </w:t>
      </w:r>
      <w:r w:rsidDel="00000000" w:rsidR="00000000" w:rsidRPr="00000000">
        <w:rPr>
          <w:rFonts w:ascii="Times New Roman" w:cs="Times New Roman" w:eastAsia="Times New Roman" w:hAnsi="Times New Roman"/>
          <w:i w:val="1"/>
          <w:sz w:val="24"/>
          <w:szCs w:val="24"/>
          <w:rtl w:val="0"/>
        </w:rPr>
        <w:t xml:space="preserve">Digital Journalism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6</w:t>
      </w:r>
      <w:r w:rsidDel="00000000" w:rsidR="00000000" w:rsidRPr="00000000">
        <w:rPr>
          <w:rFonts w:ascii="Times New Roman" w:cs="Times New Roman" w:eastAsia="Times New Roman" w:hAnsi="Times New Roman"/>
          <w:sz w:val="24"/>
          <w:szCs w:val="24"/>
          <w:rtl w:val="0"/>
        </w:rPr>
        <w:t xml:space="preserve">(3), 330–343.</w:t>
      </w:r>
      <w:hyperlink r:id="rId30">
        <w:r w:rsidDel="00000000" w:rsidR="00000000" w:rsidRPr="00000000">
          <w:rPr>
            <w:rFonts w:ascii="Times New Roman" w:cs="Times New Roman" w:eastAsia="Times New Roman" w:hAnsi="Times New Roman"/>
            <w:sz w:val="24"/>
            <w:szCs w:val="24"/>
            <w:rtl w:val="0"/>
          </w:rPr>
          <w:t xml:space="preserve"> </w:t>
        </w:r>
      </w:hyperlink>
      <w:hyperlink r:id="rId31">
        <w:r w:rsidDel="00000000" w:rsidR="00000000" w:rsidRPr="00000000">
          <w:rPr>
            <w:rFonts w:ascii="Times New Roman" w:cs="Times New Roman" w:eastAsia="Times New Roman" w:hAnsi="Times New Roman"/>
            <w:color w:val="1155cc"/>
            <w:sz w:val="24"/>
            <w:szCs w:val="24"/>
            <w:u w:val="single"/>
            <w:rtl w:val="0"/>
          </w:rPr>
          <w:t xml:space="preserve">https://doi.org/10.1080/21670811.2017.1338145</w:t>
        </w:r>
      </w:hyperlink>
      <w:r w:rsidDel="00000000" w:rsidR="00000000" w:rsidRPr="00000000">
        <w:rPr>
          <w:rtl w:val="0"/>
        </w:rPr>
      </w:r>
    </w:p>
    <w:p w:rsidR="00000000" w:rsidDel="00000000" w:rsidP="00000000" w:rsidRDefault="00000000" w:rsidRPr="00000000" w14:paraId="0000009D">
      <w:pPr>
        <w:pageBreakBefore w:val="0"/>
        <w:spacing w:line="276" w:lineRule="auto"/>
        <w:ind w:left="880" w:hanging="440"/>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Holtz, D., Carterette, B., Chandar, P., Nazari, Z., Cramer, H., &amp; Aral, S. (2020). The Engagement-Diversity Connection: Evidence from a Field Experiment on Spotify. </w:t>
      </w:r>
      <w:r w:rsidDel="00000000" w:rsidR="00000000" w:rsidRPr="00000000">
        <w:rPr>
          <w:rFonts w:ascii="Times New Roman" w:cs="Times New Roman" w:eastAsia="Times New Roman" w:hAnsi="Times New Roman"/>
          <w:i w:val="1"/>
          <w:sz w:val="24"/>
          <w:szCs w:val="24"/>
          <w:rtl w:val="0"/>
        </w:rPr>
        <w:t xml:space="preserve">Proceedings of the 21st ACM Conference on Economics and Computation</w:t>
      </w:r>
      <w:r w:rsidDel="00000000" w:rsidR="00000000" w:rsidRPr="00000000">
        <w:rPr>
          <w:rFonts w:ascii="Times New Roman" w:cs="Times New Roman" w:eastAsia="Times New Roman" w:hAnsi="Times New Roman"/>
          <w:sz w:val="24"/>
          <w:szCs w:val="24"/>
          <w:rtl w:val="0"/>
        </w:rPr>
        <w:t xml:space="preserve">, 75–76.</w:t>
      </w:r>
      <w:hyperlink r:id="rId32">
        <w:r w:rsidDel="00000000" w:rsidR="00000000" w:rsidRPr="00000000">
          <w:rPr>
            <w:rFonts w:ascii="Times New Roman" w:cs="Times New Roman" w:eastAsia="Times New Roman" w:hAnsi="Times New Roman"/>
            <w:sz w:val="24"/>
            <w:szCs w:val="24"/>
            <w:rtl w:val="0"/>
          </w:rPr>
          <w:t xml:space="preserve"> </w:t>
        </w:r>
      </w:hyperlink>
      <w:hyperlink r:id="rId33">
        <w:r w:rsidDel="00000000" w:rsidR="00000000" w:rsidRPr="00000000">
          <w:rPr>
            <w:rFonts w:ascii="Times New Roman" w:cs="Times New Roman" w:eastAsia="Times New Roman" w:hAnsi="Times New Roman"/>
            <w:color w:val="1155cc"/>
            <w:sz w:val="24"/>
            <w:szCs w:val="24"/>
            <w:u w:val="single"/>
            <w:rtl w:val="0"/>
          </w:rPr>
          <w:t xml:space="preserve">https://doi.org/10.1145/3391403.3399532</w:t>
        </w:r>
      </w:hyperlink>
      <w:r w:rsidDel="00000000" w:rsidR="00000000" w:rsidRPr="00000000">
        <w:rPr>
          <w:rtl w:val="0"/>
        </w:rPr>
      </w:r>
    </w:p>
    <w:p w:rsidR="00000000" w:rsidDel="00000000" w:rsidP="00000000" w:rsidRDefault="00000000" w:rsidRPr="00000000" w14:paraId="0000009E">
      <w:pPr>
        <w:pageBreakBefore w:val="0"/>
        <w:spacing w:line="276" w:lineRule="auto"/>
        <w:ind w:left="880" w:hanging="440"/>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Hujanen, J. (2013). At the crossroads of participation and objectivity: Reinventing citizen engagement in the SBS newsroom. </w:t>
      </w:r>
      <w:r w:rsidDel="00000000" w:rsidR="00000000" w:rsidRPr="00000000">
        <w:rPr>
          <w:rFonts w:ascii="Times New Roman" w:cs="Times New Roman" w:eastAsia="Times New Roman" w:hAnsi="Times New Roman"/>
          <w:i w:val="1"/>
          <w:sz w:val="24"/>
          <w:szCs w:val="24"/>
          <w:rtl w:val="0"/>
        </w:rPr>
        <w:t xml:space="preserve">New Media &amp; Society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15</w:t>
      </w:r>
      <w:r w:rsidDel="00000000" w:rsidR="00000000" w:rsidRPr="00000000">
        <w:rPr>
          <w:rFonts w:ascii="Times New Roman" w:cs="Times New Roman" w:eastAsia="Times New Roman" w:hAnsi="Times New Roman"/>
          <w:sz w:val="24"/>
          <w:szCs w:val="24"/>
          <w:rtl w:val="0"/>
        </w:rPr>
        <w:t xml:space="preserve">(6), 947–962.</w:t>
      </w:r>
      <w:hyperlink r:id="rId34">
        <w:r w:rsidDel="00000000" w:rsidR="00000000" w:rsidRPr="00000000">
          <w:rPr>
            <w:rFonts w:ascii="Times New Roman" w:cs="Times New Roman" w:eastAsia="Times New Roman" w:hAnsi="Times New Roman"/>
            <w:sz w:val="24"/>
            <w:szCs w:val="24"/>
            <w:rtl w:val="0"/>
          </w:rPr>
          <w:t xml:space="preserve"> </w:t>
        </w:r>
      </w:hyperlink>
      <w:hyperlink r:id="rId35">
        <w:r w:rsidDel="00000000" w:rsidR="00000000" w:rsidRPr="00000000">
          <w:rPr>
            <w:rFonts w:ascii="Times New Roman" w:cs="Times New Roman" w:eastAsia="Times New Roman" w:hAnsi="Times New Roman"/>
            <w:color w:val="1155cc"/>
            <w:sz w:val="24"/>
            <w:szCs w:val="24"/>
            <w:u w:val="single"/>
            <w:rtl w:val="0"/>
          </w:rPr>
          <w:t xml:space="preserve">https://doi.org/10.1177/1461444812460721</w:t>
        </w:r>
      </w:hyperlink>
      <w:r w:rsidDel="00000000" w:rsidR="00000000" w:rsidRPr="00000000">
        <w:rPr>
          <w:rtl w:val="0"/>
        </w:rPr>
      </w:r>
    </w:p>
    <w:p w:rsidR="00000000" w:rsidDel="00000000" w:rsidP="00000000" w:rsidRDefault="00000000" w:rsidRPr="00000000" w14:paraId="0000009F">
      <w:pPr>
        <w:pageBreakBefore w:val="0"/>
        <w:spacing w:line="276" w:lineRule="auto"/>
        <w:ind w:left="880" w:hanging="440"/>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Jørgensen, K. M. (2016). The media go-along: Researching mobilities with media at hand. </w:t>
      </w:r>
      <w:r w:rsidDel="00000000" w:rsidR="00000000" w:rsidRPr="00000000">
        <w:rPr>
          <w:rFonts w:ascii="Times New Roman" w:cs="Times New Roman" w:eastAsia="Times New Roman" w:hAnsi="Times New Roman"/>
          <w:i w:val="1"/>
          <w:sz w:val="24"/>
          <w:szCs w:val="24"/>
          <w:rtl w:val="0"/>
        </w:rPr>
        <w:t xml:space="preserve">MedieKultur: Journal of Media and Communication Research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32</w:t>
      </w:r>
      <w:r w:rsidDel="00000000" w:rsidR="00000000" w:rsidRPr="00000000">
        <w:rPr>
          <w:rFonts w:ascii="Times New Roman" w:cs="Times New Roman" w:eastAsia="Times New Roman" w:hAnsi="Times New Roman"/>
          <w:sz w:val="24"/>
          <w:szCs w:val="24"/>
          <w:rtl w:val="0"/>
        </w:rPr>
        <w:t xml:space="preserve">(60), 18 p.-18 p.</w:t>
      </w:r>
      <w:hyperlink r:id="rId36">
        <w:r w:rsidDel="00000000" w:rsidR="00000000" w:rsidRPr="00000000">
          <w:rPr>
            <w:rFonts w:ascii="Times New Roman" w:cs="Times New Roman" w:eastAsia="Times New Roman" w:hAnsi="Times New Roman"/>
            <w:sz w:val="24"/>
            <w:szCs w:val="24"/>
            <w:rtl w:val="0"/>
          </w:rPr>
          <w:t xml:space="preserve"> </w:t>
        </w:r>
      </w:hyperlink>
      <w:hyperlink r:id="rId37">
        <w:r w:rsidDel="00000000" w:rsidR="00000000" w:rsidRPr="00000000">
          <w:rPr>
            <w:rFonts w:ascii="Times New Roman" w:cs="Times New Roman" w:eastAsia="Times New Roman" w:hAnsi="Times New Roman"/>
            <w:color w:val="1155cc"/>
            <w:sz w:val="24"/>
            <w:szCs w:val="24"/>
            <w:u w:val="single"/>
            <w:rtl w:val="0"/>
          </w:rPr>
          <w:t xml:space="preserve">https://doi.org/10.7146/mediekultur.v32i60.22429</w:t>
        </w:r>
      </w:hyperlink>
      <w:r w:rsidDel="00000000" w:rsidR="00000000" w:rsidRPr="00000000">
        <w:rPr>
          <w:rtl w:val="0"/>
        </w:rPr>
      </w:r>
    </w:p>
    <w:p w:rsidR="00000000" w:rsidDel="00000000" w:rsidP="00000000" w:rsidRDefault="00000000" w:rsidRPr="00000000" w14:paraId="000000A0">
      <w:pPr>
        <w:pageBreakBefore w:val="0"/>
        <w:spacing w:line="276" w:lineRule="auto"/>
        <w:ind w:left="880" w:hanging="440"/>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Kaptelinin, V., &amp; Nardi, B. (2018). Activity Theory as a Framework for Human-Technology Interaction Research. </w:t>
      </w:r>
      <w:r w:rsidDel="00000000" w:rsidR="00000000" w:rsidRPr="00000000">
        <w:rPr>
          <w:rFonts w:ascii="Times New Roman" w:cs="Times New Roman" w:eastAsia="Times New Roman" w:hAnsi="Times New Roman"/>
          <w:i w:val="1"/>
          <w:sz w:val="24"/>
          <w:szCs w:val="24"/>
          <w:rtl w:val="0"/>
        </w:rPr>
        <w:t xml:space="preserve">Mind, Culture, and Activity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25</w:t>
      </w:r>
      <w:r w:rsidDel="00000000" w:rsidR="00000000" w:rsidRPr="00000000">
        <w:rPr>
          <w:rFonts w:ascii="Times New Roman" w:cs="Times New Roman" w:eastAsia="Times New Roman" w:hAnsi="Times New Roman"/>
          <w:sz w:val="24"/>
          <w:szCs w:val="24"/>
          <w:rtl w:val="0"/>
        </w:rPr>
        <w:t xml:space="preserve">(1), 3–5.</w:t>
      </w:r>
      <w:hyperlink r:id="rId38">
        <w:r w:rsidDel="00000000" w:rsidR="00000000" w:rsidRPr="00000000">
          <w:rPr>
            <w:rFonts w:ascii="Times New Roman" w:cs="Times New Roman" w:eastAsia="Times New Roman" w:hAnsi="Times New Roman"/>
            <w:sz w:val="24"/>
            <w:szCs w:val="24"/>
            <w:rtl w:val="0"/>
          </w:rPr>
          <w:t xml:space="preserve"> </w:t>
        </w:r>
      </w:hyperlink>
      <w:hyperlink r:id="rId39">
        <w:r w:rsidDel="00000000" w:rsidR="00000000" w:rsidRPr="00000000">
          <w:rPr>
            <w:rFonts w:ascii="Times New Roman" w:cs="Times New Roman" w:eastAsia="Times New Roman" w:hAnsi="Times New Roman"/>
            <w:color w:val="1155cc"/>
            <w:sz w:val="24"/>
            <w:szCs w:val="24"/>
            <w:u w:val="single"/>
            <w:rtl w:val="0"/>
          </w:rPr>
          <w:t xml:space="preserve">https://doi.org/10.1080/10749039.2017.1393089</w:t>
        </w:r>
      </w:hyperlink>
      <w:r w:rsidDel="00000000" w:rsidR="00000000" w:rsidRPr="00000000">
        <w:rPr>
          <w:rtl w:val="0"/>
        </w:rPr>
      </w:r>
    </w:p>
    <w:p w:rsidR="00000000" w:rsidDel="00000000" w:rsidP="00000000" w:rsidRDefault="00000000" w:rsidRPr="00000000" w14:paraId="000000A1">
      <w:pPr>
        <w:pageBreakBefore w:val="0"/>
        <w:spacing w:line="276" w:lineRule="auto"/>
        <w:ind w:left="880" w:hanging="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Krause, K. (2018). </w:t>
      </w:r>
      <w:r w:rsidDel="00000000" w:rsidR="00000000" w:rsidRPr="00000000">
        <w:rPr>
          <w:rFonts w:ascii="Times New Roman" w:cs="Times New Roman" w:eastAsia="Times New Roman" w:hAnsi="Times New Roman"/>
          <w:i w:val="1"/>
          <w:sz w:val="24"/>
          <w:szCs w:val="24"/>
          <w:rtl w:val="0"/>
        </w:rPr>
        <w:t xml:space="preserve">What do educational psychologists recognise is their unique contribution within their profession when working with ethnic minority clients using language/s other than English: A socio-cultural Activity Theory analysis</w:t>
      </w:r>
      <w:r w:rsidDel="00000000" w:rsidR="00000000" w:rsidRPr="00000000">
        <w:rPr>
          <w:rFonts w:ascii="Times New Roman" w:cs="Times New Roman" w:eastAsia="Times New Roman" w:hAnsi="Times New Roman"/>
          <w:sz w:val="24"/>
          <w:szCs w:val="24"/>
          <w:rtl w:val="0"/>
        </w:rPr>
        <w:t xml:space="preserve">. University of Birmingham.</w:t>
      </w:r>
    </w:p>
    <w:p w:rsidR="00000000" w:rsidDel="00000000" w:rsidP="00000000" w:rsidRDefault="00000000" w:rsidRPr="00000000" w14:paraId="000000A2">
      <w:pPr>
        <w:pageBreakBefore w:val="0"/>
        <w:spacing w:line="276" w:lineRule="auto"/>
        <w:ind w:left="880" w:hanging="440"/>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Kuutti, K. (1995). Activity Theory as a Potential Framework for Human-Computer Interaction Research. In B. A. Nardi (Ed.), </w:t>
      </w:r>
      <w:r w:rsidDel="00000000" w:rsidR="00000000" w:rsidRPr="00000000">
        <w:rPr>
          <w:rFonts w:ascii="Times New Roman" w:cs="Times New Roman" w:eastAsia="Times New Roman" w:hAnsi="Times New Roman"/>
          <w:i w:val="1"/>
          <w:sz w:val="24"/>
          <w:szCs w:val="24"/>
          <w:rtl w:val="0"/>
        </w:rPr>
        <w:t xml:space="preserve">Context and Consciousness</w:t>
      </w:r>
      <w:r w:rsidDel="00000000" w:rsidR="00000000" w:rsidRPr="00000000">
        <w:rPr>
          <w:rFonts w:ascii="Times New Roman" w:cs="Times New Roman" w:eastAsia="Times New Roman" w:hAnsi="Times New Roman"/>
          <w:sz w:val="24"/>
          <w:szCs w:val="24"/>
          <w:rtl w:val="0"/>
        </w:rPr>
        <w:t xml:space="preserve">. The MIT Press.</w:t>
      </w:r>
      <w:hyperlink r:id="rId40">
        <w:r w:rsidDel="00000000" w:rsidR="00000000" w:rsidRPr="00000000">
          <w:rPr>
            <w:rFonts w:ascii="Times New Roman" w:cs="Times New Roman" w:eastAsia="Times New Roman" w:hAnsi="Times New Roman"/>
            <w:sz w:val="24"/>
            <w:szCs w:val="24"/>
            <w:rtl w:val="0"/>
          </w:rPr>
          <w:t xml:space="preserve"> </w:t>
        </w:r>
      </w:hyperlink>
      <w:hyperlink r:id="rId41">
        <w:r w:rsidDel="00000000" w:rsidR="00000000" w:rsidRPr="00000000">
          <w:rPr>
            <w:rFonts w:ascii="Times New Roman" w:cs="Times New Roman" w:eastAsia="Times New Roman" w:hAnsi="Times New Roman"/>
            <w:color w:val="1155cc"/>
            <w:sz w:val="24"/>
            <w:szCs w:val="24"/>
            <w:u w:val="single"/>
            <w:rtl w:val="0"/>
          </w:rPr>
          <w:t xml:space="preserve">https://doi.org/10.7551/mitpress/2137.003.0006</w:t>
        </w:r>
      </w:hyperlink>
      <w:r w:rsidDel="00000000" w:rsidR="00000000" w:rsidRPr="00000000">
        <w:rPr>
          <w:rtl w:val="0"/>
        </w:rPr>
      </w:r>
    </w:p>
    <w:p w:rsidR="00000000" w:rsidDel="00000000" w:rsidP="00000000" w:rsidRDefault="00000000" w:rsidRPr="00000000" w14:paraId="000000A3">
      <w:pPr>
        <w:pageBreakBefore w:val="0"/>
        <w:spacing w:line="276" w:lineRule="auto"/>
        <w:ind w:left="880" w:hanging="440"/>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Ledwich, M., &amp; Zaitsev, A. (2019). Algorithmic Extremism: Examining YouTube’s Rabbit Hole of Radicalization. </w:t>
      </w:r>
      <w:r w:rsidDel="00000000" w:rsidR="00000000" w:rsidRPr="00000000">
        <w:rPr>
          <w:rFonts w:ascii="Times New Roman" w:cs="Times New Roman" w:eastAsia="Times New Roman" w:hAnsi="Times New Roman"/>
          <w:i w:val="1"/>
          <w:sz w:val="24"/>
          <w:szCs w:val="24"/>
          <w:rtl w:val="0"/>
        </w:rPr>
        <w:t xml:space="preserve">ArXiv:1912.11211 [Cs]</w:t>
      </w:r>
      <w:r w:rsidDel="00000000" w:rsidR="00000000" w:rsidRPr="00000000">
        <w:rPr>
          <w:rFonts w:ascii="Times New Roman" w:cs="Times New Roman" w:eastAsia="Times New Roman" w:hAnsi="Times New Roman"/>
          <w:sz w:val="24"/>
          <w:szCs w:val="24"/>
          <w:rtl w:val="0"/>
        </w:rPr>
        <w:t xml:space="preserve">.</w:t>
      </w:r>
      <w:hyperlink r:id="rId42">
        <w:r w:rsidDel="00000000" w:rsidR="00000000" w:rsidRPr="00000000">
          <w:rPr>
            <w:rFonts w:ascii="Times New Roman" w:cs="Times New Roman" w:eastAsia="Times New Roman" w:hAnsi="Times New Roman"/>
            <w:sz w:val="24"/>
            <w:szCs w:val="24"/>
            <w:rtl w:val="0"/>
          </w:rPr>
          <w:t xml:space="preserve"> </w:t>
        </w:r>
      </w:hyperlink>
      <w:hyperlink r:id="rId43">
        <w:r w:rsidDel="00000000" w:rsidR="00000000" w:rsidRPr="00000000">
          <w:rPr>
            <w:rFonts w:ascii="Times New Roman" w:cs="Times New Roman" w:eastAsia="Times New Roman" w:hAnsi="Times New Roman"/>
            <w:color w:val="1155cc"/>
            <w:sz w:val="24"/>
            <w:szCs w:val="24"/>
            <w:u w:val="single"/>
            <w:rtl w:val="0"/>
          </w:rPr>
          <w:t xml:space="preserve">http://arxiv.org/abs/1912.11211</w:t>
        </w:r>
      </w:hyperlink>
      <w:r w:rsidDel="00000000" w:rsidR="00000000" w:rsidRPr="00000000">
        <w:rPr>
          <w:rtl w:val="0"/>
        </w:rPr>
      </w:r>
    </w:p>
    <w:p w:rsidR="00000000" w:rsidDel="00000000" w:rsidP="00000000" w:rsidRDefault="00000000" w:rsidRPr="00000000" w14:paraId="000000A4">
      <w:pPr>
        <w:pageBreakBefore w:val="0"/>
        <w:spacing w:line="276" w:lineRule="auto"/>
        <w:ind w:left="880" w:hanging="440"/>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Light, B., Burgess, J., &amp; Duguay, S. (2018). The walkthrough method: An approach to the study of apps. </w:t>
      </w:r>
      <w:r w:rsidDel="00000000" w:rsidR="00000000" w:rsidRPr="00000000">
        <w:rPr>
          <w:rFonts w:ascii="Times New Roman" w:cs="Times New Roman" w:eastAsia="Times New Roman" w:hAnsi="Times New Roman"/>
          <w:i w:val="1"/>
          <w:sz w:val="24"/>
          <w:szCs w:val="24"/>
          <w:rtl w:val="0"/>
        </w:rPr>
        <w:t xml:space="preserve">New Media &amp; Society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20</w:t>
      </w:r>
      <w:r w:rsidDel="00000000" w:rsidR="00000000" w:rsidRPr="00000000">
        <w:rPr>
          <w:rFonts w:ascii="Times New Roman" w:cs="Times New Roman" w:eastAsia="Times New Roman" w:hAnsi="Times New Roman"/>
          <w:sz w:val="24"/>
          <w:szCs w:val="24"/>
          <w:rtl w:val="0"/>
        </w:rPr>
        <w:t xml:space="preserve">(3), 881–900.</w:t>
      </w:r>
      <w:hyperlink r:id="rId44">
        <w:r w:rsidDel="00000000" w:rsidR="00000000" w:rsidRPr="00000000">
          <w:rPr>
            <w:rFonts w:ascii="Times New Roman" w:cs="Times New Roman" w:eastAsia="Times New Roman" w:hAnsi="Times New Roman"/>
            <w:sz w:val="24"/>
            <w:szCs w:val="24"/>
            <w:rtl w:val="0"/>
          </w:rPr>
          <w:t xml:space="preserve"> </w:t>
        </w:r>
      </w:hyperlink>
      <w:hyperlink r:id="rId45">
        <w:r w:rsidDel="00000000" w:rsidR="00000000" w:rsidRPr="00000000">
          <w:rPr>
            <w:rFonts w:ascii="Times New Roman" w:cs="Times New Roman" w:eastAsia="Times New Roman" w:hAnsi="Times New Roman"/>
            <w:color w:val="1155cc"/>
            <w:sz w:val="24"/>
            <w:szCs w:val="24"/>
            <w:u w:val="single"/>
            <w:rtl w:val="0"/>
          </w:rPr>
          <w:t xml:space="preserve">https://doi.org/10.1177/1461444816675438</w:t>
        </w:r>
      </w:hyperlink>
      <w:r w:rsidDel="00000000" w:rsidR="00000000" w:rsidRPr="00000000">
        <w:rPr>
          <w:rtl w:val="0"/>
        </w:rPr>
      </w:r>
    </w:p>
    <w:p w:rsidR="00000000" w:rsidDel="00000000" w:rsidP="00000000" w:rsidRDefault="00000000" w:rsidRPr="00000000" w14:paraId="000000A5">
      <w:pPr>
        <w:pageBreakBefore w:val="0"/>
        <w:spacing w:line="276" w:lineRule="auto"/>
        <w:ind w:left="880" w:hanging="440"/>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Martin, D., &amp; Peim, N. (2009). Critical perspectives on activity theory. </w:t>
      </w:r>
      <w:r w:rsidDel="00000000" w:rsidR="00000000" w:rsidRPr="00000000">
        <w:rPr>
          <w:rFonts w:ascii="Times New Roman" w:cs="Times New Roman" w:eastAsia="Times New Roman" w:hAnsi="Times New Roman"/>
          <w:i w:val="1"/>
          <w:sz w:val="24"/>
          <w:szCs w:val="24"/>
          <w:rtl w:val="0"/>
        </w:rPr>
        <w:t xml:space="preserve">Educational Review</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61</w:t>
      </w:r>
      <w:r w:rsidDel="00000000" w:rsidR="00000000" w:rsidRPr="00000000">
        <w:rPr>
          <w:rFonts w:ascii="Times New Roman" w:cs="Times New Roman" w:eastAsia="Times New Roman" w:hAnsi="Times New Roman"/>
          <w:sz w:val="24"/>
          <w:szCs w:val="24"/>
          <w:rtl w:val="0"/>
        </w:rPr>
        <w:t xml:space="preserve">(2), 131–138.</w:t>
      </w:r>
      <w:hyperlink r:id="rId46">
        <w:r w:rsidDel="00000000" w:rsidR="00000000" w:rsidRPr="00000000">
          <w:rPr>
            <w:rFonts w:ascii="Times New Roman" w:cs="Times New Roman" w:eastAsia="Times New Roman" w:hAnsi="Times New Roman"/>
            <w:sz w:val="24"/>
            <w:szCs w:val="24"/>
            <w:rtl w:val="0"/>
          </w:rPr>
          <w:t xml:space="preserve"> </w:t>
        </w:r>
      </w:hyperlink>
      <w:hyperlink r:id="rId47">
        <w:r w:rsidDel="00000000" w:rsidR="00000000" w:rsidRPr="00000000">
          <w:rPr>
            <w:rFonts w:ascii="Times New Roman" w:cs="Times New Roman" w:eastAsia="Times New Roman" w:hAnsi="Times New Roman"/>
            <w:color w:val="1155cc"/>
            <w:sz w:val="24"/>
            <w:szCs w:val="24"/>
            <w:u w:val="single"/>
            <w:rtl w:val="0"/>
          </w:rPr>
          <w:t xml:space="preserve">https://doi.org/10.1080/00131910902844689</w:t>
        </w:r>
      </w:hyperlink>
      <w:r w:rsidDel="00000000" w:rsidR="00000000" w:rsidRPr="00000000">
        <w:rPr>
          <w:rtl w:val="0"/>
        </w:rPr>
      </w:r>
    </w:p>
    <w:p w:rsidR="00000000" w:rsidDel="00000000" w:rsidP="00000000" w:rsidRDefault="00000000" w:rsidRPr="00000000" w14:paraId="000000A6">
      <w:pPr>
        <w:pageBreakBefore w:val="0"/>
        <w:spacing w:line="276" w:lineRule="auto"/>
        <w:ind w:left="880" w:hanging="440"/>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Messing, S., &amp; Westwood, S. J. (2014). Selective Exposure in the Age of Social Media: Endorsements Trump Partisan Source Affiliation When Selecting News Online. </w:t>
      </w:r>
      <w:r w:rsidDel="00000000" w:rsidR="00000000" w:rsidRPr="00000000">
        <w:rPr>
          <w:rFonts w:ascii="Times New Roman" w:cs="Times New Roman" w:eastAsia="Times New Roman" w:hAnsi="Times New Roman"/>
          <w:i w:val="1"/>
          <w:sz w:val="24"/>
          <w:szCs w:val="24"/>
          <w:rtl w:val="0"/>
        </w:rPr>
        <w:t xml:space="preserve">Communication Research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41</w:t>
      </w:r>
      <w:r w:rsidDel="00000000" w:rsidR="00000000" w:rsidRPr="00000000">
        <w:rPr>
          <w:rFonts w:ascii="Times New Roman" w:cs="Times New Roman" w:eastAsia="Times New Roman" w:hAnsi="Times New Roman"/>
          <w:sz w:val="24"/>
          <w:szCs w:val="24"/>
          <w:rtl w:val="0"/>
        </w:rPr>
        <w:t xml:space="preserve">(8), 1042–1063.</w:t>
      </w:r>
      <w:hyperlink r:id="rId48">
        <w:r w:rsidDel="00000000" w:rsidR="00000000" w:rsidRPr="00000000">
          <w:rPr>
            <w:rFonts w:ascii="Times New Roman" w:cs="Times New Roman" w:eastAsia="Times New Roman" w:hAnsi="Times New Roman"/>
            <w:sz w:val="24"/>
            <w:szCs w:val="24"/>
            <w:rtl w:val="0"/>
          </w:rPr>
          <w:t xml:space="preserve"> </w:t>
        </w:r>
      </w:hyperlink>
      <w:hyperlink r:id="rId49">
        <w:r w:rsidDel="00000000" w:rsidR="00000000" w:rsidRPr="00000000">
          <w:rPr>
            <w:rFonts w:ascii="Times New Roman" w:cs="Times New Roman" w:eastAsia="Times New Roman" w:hAnsi="Times New Roman"/>
            <w:color w:val="1155cc"/>
            <w:sz w:val="24"/>
            <w:szCs w:val="24"/>
            <w:u w:val="single"/>
            <w:rtl w:val="0"/>
          </w:rPr>
          <w:t xml:space="preserve">https://doi.org/10.1177/0093650212466406</w:t>
        </w:r>
      </w:hyperlink>
      <w:r w:rsidDel="00000000" w:rsidR="00000000" w:rsidRPr="00000000">
        <w:rPr>
          <w:rtl w:val="0"/>
        </w:rPr>
      </w:r>
    </w:p>
    <w:p w:rsidR="00000000" w:rsidDel="00000000" w:rsidP="00000000" w:rsidRDefault="00000000" w:rsidRPr="00000000" w14:paraId="000000A7">
      <w:pPr>
        <w:pageBreakBefore w:val="0"/>
        <w:spacing w:line="276" w:lineRule="auto"/>
        <w:ind w:left="880" w:hanging="440"/>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Miettinen, R. (2005). Object of Activity and Individual Motivation. </w:t>
      </w:r>
      <w:r w:rsidDel="00000000" w:rsidR="00000000" w:rsidRPr="00000000">
        <w:rPr>
          <w:rFonts w:ascii="Times New Roman" w:cs="Times New Roman" w:eastAsia="Times New Roman" w:hAnsi="Times New Roman"/>
          <w:i w:val="1"/>
          <w:sz w:val="24"/>
          <w:szCs w:val="24"/>
          <w:rtl w:val="0"/>
        </w:rPr>
        <w:t xml:space="preserve">Mind, Culture, and Activity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12</w:t>
      </w:r>
      <w:r w:rsidDel="00000000" w:rsidR="00000000" w:rsidRPr="00000000">
        <w:rPr>
          <w:rFonts w:ascii="Times New Roman" w:cs="Times New Roman" w:eastAsia="Times New Roman" w:hAnsi="Times New Roman"/>
          <w:sz w:val="24"/>
          <w:szCs w:val="24"/>
          <w:rtl w:val="0"/>
        </w:rPr>
        <w:t xml:space="preserve">(1), 52–69.</w:t>
      </w:r>
      <w:hyperlink r:id="rId50">
        <w:r w:rsidDel="00000000" w:rsidR="00000000" w:rsidRPr="00000000">
          <w:rPr>
            <w:rFonts w:ascii="Times New Roman" w:cs="Times New Roman" w:eastAsia="Times New Roman" w:hAnsi="Times New Roman"/>
            <w:sz w:val="24"/>
            <w:szCs w:val="24"/>
            <w:rtl w:val="0"/>
          </w:rPr>
          <w:t xml:space="preserve"> </w:t>
        </w:r>
      </w:hyperlink>
      <w:hyperlink r:id="rId51">
        <w:r w:rsidDel="00000000" w:rsidR="00000000" w:rsidRPr="00000000">
          <w:rPr>
            <w:rFonts w:ascii="Times New Roman" w:cs="Times New Roman" w:eastAsia="Times New Roman" w:hAnsi="Times New Roman"/>
            <w:color w:val="1155cc"/>
            <w:sz w:val="24"/>
            <w:szCs w:val="24"/>
            <w:u w:val="single"/>
            <w:rtl w:val="0"/>
          </w:rPr>
          <w:t xml:space="preserve">https://doi.org/10.1207/s15327884mca1201_5</w:t>
        </w:r>
      </w:hyperlink>
      <w:r w:rsidDel="00000000" w:rsidR="00000000" w:rsidRPr="00000000">
        <w:rPr>
          <w:rtl w:val="0"/>
        </w:rPr>
      </w:r>
    </w:p>
    <w:p w:rsidR="00000000" w:rsidDel="00000000" w:rsidP="00000000" w:rsidRDefault="00000000" w:rsidRPr="00000000" w14:paraId="000000A8">
      <w:pPr>
        <w:pageBreakBefore w:val="0"/>
        <w:spacing w:line="276" w:lineRule="auto"/>
        <w:ind w:left="880" w:hanging="440"/>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Moeller, J., &amp; Helberger, N. (2018). </w:t>
      </w:r>
      <w:r w:rsidDel="00000000" w:rsidR="00000000" w:rsidRPr="00000000">
        <w:rPr>
          <w:rFonts w:ascii="Times New Roman" w:cs="Times New Roman" w:eastAsia="Times New Roman" w:hAnsi="Times New Roman"/>
          <w:i w:val="1"/>
          <w:sz w:val="24"/>
          <w:szCs w:val="24"/>
          <w:rtl w:val="0"/>
        </w:rPr>
        <w:t xml:space="preserve">Beyond the filter bubble: Concepts, myths, evidence and issues for future debates</w:t>
      </w:r>
      <w:r w:rsidDel="00000000" w:rsidR="00000000" w:rsidRPr="00000000">
        <w:rPr>
          <w:rFonts w:ascii="Times New Roman" w:cs="Times New Roman" w:eastAsia="Times New Roman" w:hAnsi="Times New Roman"/>
          <w:sz w:val="24"/>
          <w:szCs w:val="24"/>
          <w:rtl w:val="0"/>
        </w:rPr>
        <w:t xml:space="preserve">.</w:t>
      </w:r>
      <w:hyperlink r:id="rId52">
        <w:r w:rsidDel="00000000" w:rsidR="00000000" w:rsidRPr="00000000">
          <w:rPr>
            <w:rFonts w:ascii="Times New Roman" w:cs="Times New Roman" w:eastAsia="Times New Roman" w:hAnsi="Times New Roman"/>
            <w:sz w:val="24"/>
            <w:szCs w:val="24"/>
            <w:rtl w:val="0"/>
          </w:rPr>
          <w:t xml:space="preserve"> </w:t>
        </w:r>
      </w:hyperlink>
      <w:hyperlink r:id="rId53">
        <w:r w:rsidDel="00000000" w:rsidR="00000000" w:rsidRPr="00000000">
          <w:rPr>
            <w:rFonts w:ascii="Times New Roman" w:cs="Times New Roman" w:eastAsia="Times New Roman" w:hAnsi="Times New Roman"/>
            <w:color w:val="1155cc"/>
            <w:sz w:val="24"/>
            <w:szCs w:val="24"/>
            <w:u w:val="single"/>
            <w:rtl w:val="0"/>
          </w:rPr>
          <w:t xml:space="preserve">https://dare.uva.nl/search?identifier=478edb9e-8296-4a84-9631-c7360d593610</w:t>
        </w:r>
      </w:hyperlink>
      <w:r w:rsidDel="00000000" w:rsidR="00000000" w:rsidRPr="00000000">
        <w:rPr>
          <w:rtl w:val="0"/>
        </w:rPr>
      </w:r>
    </w:p>
    <w:p w:rsidR="00000000" w:rsidDel="00000000" w:rsidP="00000000" w:rsidRDefault="00000000" w:rsidRPr="00000000" w14:paraId="000000A9">
      <w:pPr>
        <w:pageBreakBefore w:val="0"/>
        <w:spacing w:line="276" w:lineRule="auto"/>
        <w:ind w:left="880" w:hanging="440"/>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Mutz, D. C., &amp; Young, L. (2011). Communication and Public Opinion: Plus Ça Change? </w:t>
      </w:r>
      <w:r w:rsidDel="00000000" w:rsidR="00000000" w:rsidRPr="00000000">
        <w:rPr>
          <w:rFonts w:ascii="Times New Roman" w:cs="Times New Roman" w:eastAsia="Times New Roman" w:hAnsi="Times New Roman"/>
          <w:i w:val="1"/>
          <w:sz w:val="24"/>
          <w:szCs w:val="24"/>
          <w:rtl w:val="0"/>
        </w:rPr>
        <w:t xml:space="preserve">Public Opinion Quarterly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75</w:t>
      </w:r>
      <w:r w:rsidDel="00000000" w:rsidR="00000000" w:rsidRPr="00000000">
        <w:rPr>
          <w:rFonts w:ascii="Times New Roman" w:cs="Times New Roman" w:eastAsia="Times New Roman" w:hAnsi="Times New Roman"/>
          <w:sz w:val="24"/>
          <w:szCs w:val="24"/>
          <w:rtl w:val="0"/>
        </w:rPr>
        <w:t xml:space="preserve">(5), 1018–1044.</w:t>
      </w:r>
      <w:hyperlink r:id="rId54">
        <w:r w:rsidDel="00000000" w:rsidR="00000000" w:rsidRPr="00000000">
          <w:rPr>
            <w:rFonts w:ascii="Times New Roman" w:cs="Times New Roman" w:eastAsia="Times New Roman" w:hAnsi="Times New Roman"/>
            <w:sz w:val="24"/>
            <w:szCs w:val="24"/>
            <w:rtl w:val="0"/>
          </w:rPr>
          <w:t xml:space="preserve"> </w:t>
        </w:r>
      </w:hyperlink>
      <w:hyperlink r:id="rId55">
        <w:r w:rsidDel="00000000" w:rsidR="00000000" w:rsidRPr="00000000">
          <w:rPr>
            <w:rFonts w:ascii="Times New Roman" w:cs="Times New Roman" w:eastAsia="Times New Roman" w:hAnsi="Times New Roman"/>
            <w:color w:val="1155cc"/>
            <w:sz w:val="24"/>
            <w:szCs w:val="24"/>
            <w:u w:val="single"/>
            <w:rtl w:val="0"/>
          </w:rPr>
          <w:t xml:space="preserve">https://doi.org/10.1093/poq/nfr052</w:t>
        </w:r>
      </w:hyperlink>
      <w:r w:rsidDel="00000000" w:rsidR="00000000" w:rsidRPr="00000000">
        <w:rPr>
          <w:rtl w:val="0"/>
        </w:rPr>
      </w:r>
    </w:p>
    <w:p w:rsidR="00000000" w:rsidDel="00000000" w:rsidP="00000000" w:rsidRDefault="00000000" w:rsidRPr="00000000" w14:paraId="000000AA">
      <w:pPr>
        <w:pageBreakBefore w:val="0"/>
        <w:spacing w:line="276" w:lineRule="auto"/>
        <w:ind w:left="880" w:hanging="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Napoli, P. M. (2011). </w:t>
      </w:r>
      <w:r w:rsidDel="00000000" w:rsidR="00000000" w:rsidRPr="00000000">
        <w:rPr>
          <w:rFonts w:ascii="Times New Roman" w:cs="Times New Roman" w:eastAsia="Times New Roman" w:hAnsi="Times New Roman"/>
          <w:i w:val="1"/>
          <w:sz w:val="24"/>
          <w:szCs w:val="24"/>
          <w:rtl w:val="0"/>
        </w:rPr>
        <w:t xml:space="preserve">Audience Evolution: New Technologies and the Transformation of Media Audiences</w:t>
      </w:r>
      <w:r w:rsidDel="00000000" w:rsidR="00000000" w:rsidRPr="00000000">
        <w:rPr>
          <w:rFonts w:ascii="Times New Roman" w:cs="Times New Roman" w:eastAsia="Times New Roman" w:hAnsi="Times New Roman"/>
          <w:sz w:val="24"/>
          <w:szCs w:val="24"/>
          <w:rtl w:val="0"/>
        </w:rPr>
        <w:t xml:space="preserve">. Columbia University Press.</w:t>
      </w:r>
    </w:p>
    <w:p w:rsidR="00000000" w:rsidDel="00000000" w:rsidP="00000000" w:rsidRDefault="00000000" w:rsidRPr="00000000" w14:paraId="000000AB">
      <w:pPr>
        <w:pageBreakBefore w:val="0"/>
        <w:spacing w:line="276" w:lineRule="auto"/>
        <w:ind w:left="880" w:hanging="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Nardi, B. A. (1996). </w:t>
      </w:r>
      <w:r w:rsidDel="00000000" w:rsidR="00000000" w:rsidRPr="00000000">
        <w:rPr>
          <w:rFonts w:ascii="Times New Roman" w:cs="Times New Roman" w:eastAsia="Times New Roman" w:hAnsi="Times New Roman"/>
          <w:i w:val="1"/>
          <w:sz w:val="24"/>
          <w:szCs w:val="24"/>
          <w:rtl w:val="0"/>
        </w:rPr>
        <w:t xml:space="preserve">Context and Consciousness: Activity Theory and Human-computer Interaction</w:t>
      </w:r>
      <w:r w:rsidDel="00000000" w:rsidR="00000000" w:rsidRPr="00000000">
        <w:rPr>
          <w:rFonts w:ascii="Times New Roman" w:cs="Times New Roman" w:eastAsia="Times New Roman" w:hAnsi="Times New Roman"/>
          <w:sz w:val="24"/>
          <w:szCs w:val="24"/>
          <w:rtl w:val="0"/>
        </w:rPr>
        <w:t xml:space="preserve">. MIT Press.</w:t>
      </w:r>
    </w:p>
    <w:p w:rsidR="00000000" w:rsidDel="00000000" w:rsidP="00000000" w:rsidRDefault="00000000" w:rsidRPr="00000000" w14:paraId="000000AC">
      <w:pPr>
        <w:pageBreakBefore w:val="0"/>
        <w:spacing w:line="276" w:lineRule="auto"/>
        <w:ind w:left="880" w:hanging="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Pariser, E. (2011). </w:t>
      </w:r>
      <w:r w:rsidDel="00000000" w:rsidR="00000000" w:rsidRPr="00000000">
        <w:rPr>
          <w:rFonts w:ascii="Times New Roman" w:cs="Times New Roman" w:eastAsia="Times New Roman" w:hAnsi="Times New Roman"/>
          <w:i w:val="1"/>
          <w:sz w:val="24"/>
          <w:szCs w:val="24"/>
          <w:rtl w:val="0"/>
        </w:rPr>
        <w:t xml:space="preserve">The Filter Bubble: What The Internet Is Hiding From You</w:t>
      </w:r>
      <w:r w:rsidDel="00000000" w:rsidR="00000000" w:rsidRPr="00000000">
        <w:rPr>
          <w:rFonts w:ascii="Times New Roman" w:cs="Times New Roman" w:eastAsia="Times New Roman" w:hAnsi="Times New Roman"/>
          <w:sz w:val="24"/>
          <w:szCs w:val="24"/>
          <w:rtl w:val="0"/>
        </w:rPr>
        <w:t xml:space="preserve">. Penguin UK.</w:t>
      </w:r>
    </w:p>
    <w:p w:rsidR="00000000" w:rsidDel="00000000" w:rsidP="00000000" w:rsidRDefault="00000000" w:rsidRPr="00000000" w14:paraId="000000AD">
      <w:pPr>
        <w:pageBreakBefore w:val="0"/>
        <w:spacing w:line="276" w:lineRule="auto"/>
        <w:ind w:left="880" w:hanging="440"/>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Puschmann, C. (2019). An end to the wild west of social media research: A response to Axel Bruns. </w:t>
      </w:r>
      <w:r w:rsidDel="00000000" w:rsidR="00000000" w:rsidRPr="00000000">
        <w:rPr>
          <w:rFonts w:ascii="Times New Roman" w:cs="Times New Roman" w:eastAsia="Times New Roman" w:hAnsi="Times New Roman"/>
          <w:i w:val="1"/>
          <w:sz w:val="24"/>
          <w:szCs w:val="24"/>
          <w:rtl w:val="0"/>
        </w:rPr>
        <w:t xml:space="preserve">Information, Communication &amp; Society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22</w:t>
      </w:r>
      <w:r w:rsidDel="00000000" w:rsidR="00000000" w:rsidRPr="00000000">
        <w:rPr>
          <w:rFonts w:ascii="Times New Roman" w:cs="Times New Roman" w:eastAsia="Times New Roman" w:hAnsi="Times New Roman"/>
          <w:sz w:val="24"/>
          <w:szCs w:val="24"/>
          <w:rtl w:val="0"/>
        </w:rPr>
        <w:t xml:space="preserve">(11), 1582–1589.</w:t>
      </w:r>
      <w:hyperlink r:id="rId56">
        <w:r w:rsidDel="00000000" w:rsidR="00000000" w:rsidRPr="00000000">
          <w:rPr>
            <w:rFonts w:ascii="Times New Roman" w:cs="Times New Roman" w:eastAsia="Times New Roman" w:hAnsi="Times New Roman"/>
            <w:sz w:val="24"/>
            <w:szCs w:val="24"/>
            <w:rtl w:val="0"/>
          </w:rPr>
          <w:t xml:space="preserve"> </w:t>
        </w:r>
      </w:hyperlink>
      <w:hyperlink r:id="rId57">
        <w:r w:rsidDel="00000000" w:rsidR="00000000" w:rsidRPr="00000000">
          <w:rPr>
            <w:rFonts w:ascii="Times New Roman" w:cs="Times New Roman" w:eastAsia="Times New Roman" w:hAnsi="Times New Roman"/>
            <w:color w:val="1155cc"/>
            <w:sz w:val="24"/>
            <w:szCs w:val="24"/>
            <w:u w:val="single"/>
            <w:rtl w:val="0"/>
          </w:rPr>
          <w:t xml:space="preserve">https://doi.org/10.1080/1369118X.2019.1646300</w:t>
        </w:r>
      </w:hyperlink>
      <w:r w:rsidDel="00000000" w:rsidR="00000000" w:rsidRPr="00000000">
        <w:rPr>
          <w:rtl w:val="0"/>
        </w:rPr>
      </w:r>
    </w:p>
    <w:p w:rsidR="00000000" w:rsidDel="00000000" w:rsidP="00000000" w:rsidRDefault="00000000" w:rsidRPr="00000000" w14:paraId="000000AE">
      <w:pPr>
        <w:pageBreakBefore w:val="0"/>
        <w:spacing w:line="276" w:lineRule="auto"/>
        <w:ind w:left="880" w:hanging="440"/>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Roth, C., Mazières, A., &amp; Menezes, T. (2020). Tubes and bubbles topological confinement of YouTube recommendations. </w:t>
      </w:r>
      <w:r w:rsidDel="00000000" w:rsidR="00000000" w:rsidRPr="00000000">
        <w:rPr>
          <w:rFonts w:ascii="Times New Roman" w:cs="Times New Roman" w:eastAsia="Times New Roman" w:hAnsi="Times New Roman"/>
          <w:i w:val="1"/>
          <w:sz w:val="24"/>
          <w:szCs w:val="24"/>
          <w:rtl w:val="0"/>
        </w:rPr>
        <w:t xml:space="preserve">PLOS ONE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15</w:t>
      </w:r>
      <w:r w:rsidDel="00000000" w:rsidR="00000000" w:rsidRPr="00000000">
        <w:rPr>
          <w:rFonts w:ascii="Times New Roman" w:cs="Times New Roman" w:eastAsia="Times New Roman" w:hAnsi="Times New Roman"/>
          <w:sz w:val="24"/>
          <w:szCs w:val="24"/>
          <w:rtl w:val="0"/>
        </w:rPr>
        <w:t xml:space="preserve">(4), e0231703.</w:t>
      </w:r>
      <w:hyperlink r:id="rId58">
        <w:r w:rsidDel="00000000" w:rsidR="00000000" w:rsidRPr="00000000">
          <w:rPr>
            <w:rFonts w:ascii="Times New Roman" w:cs="Times New Roman" w:eastAsia="Times New Roman" w:hAnsi="Times New Roman"/>
            <w:sz w:val="24"/>
            <w:szCs w:val="24"/>
            <w:rtl w:val="0"/>
          </w:rPr>
          <w:t xml:space="preserve"> </w:t>
        </w:r>
      </w:hyperlink>
      <w:hyperlink r:id="rId59">
        <w:r w:rsidDel="00000000" w:rsidR="00000000" w:rsidRPr="00000000">
          <w:rPr>
            <w:rFonts w:ascii="Times New Roman" w:cs="Times New Roman" w:eastAsia="Times New Roman" w:hAnsi="Times New Roman"/>
            <w:color w:val="1155cc"/>
            <w:sz w:val="24"/>
            <w:szCs w:val="24"/>
            <w:u w:val="single"/>
            <w:rtl w:val="0"/>
          </w:rPr>
          <w:t xml:space="preserve">https://doi.org/10.1371/journal.pone.0231703</w:t>
        </w:r>
      </w:hyperlink>
      <w:r w:rsidDel="00000000" w:rsidR="00000000" w:rsidRPr="00000000">
        <w:rPr>
          <w:rtl w:val="0"/>
        </w:rPr>
      </w:r>
    </w:p>
    <w:p w:rsidR="00000000" w:rsidDel="00000000" w:rsidP="00000000" w:rsidRDefault="00000000" w:rsidRPr="00000000" w14:paraId="000000AF">
      <w:pPr>
        <w:pageBreakBefore w:val="0"/>
        <w:spacing w:line="276" w:lineRule="auto"/>
        <w:ind w:left="880" w:hanging="440"/>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Roth, W.-M. (2014). Activity Theory. In T. Teo (Ed.), </w:t>
      </w:r>
      <w:r w:rsidDel="00000000" w:rsidR="00000000" w:rsidRPr="00000000">
        <w:rPr>
          <w:rFonts w:ascii="Times New Roman" w:cs="Times New Roman" w:eastAsia="Times New Roman" w:hAnsi="Times New Roman"/>
          <w:i w:val="1"/>
          <w:sz w:val="24"/>
          <w:szCs w:val="24"/>
          <w:rtl w:val="0"/>
        </w:rPr>
        <w:t xml:space="preserve">Encyclopedia of Critical Psychology</w:t>
      </w:r>
      <w:r w:rsidDel="00000000" w:rsidR="00000000" w:rsidRPr="00000000">
        <w:rPr>
          <w:rFonts w:ascii="Times New Roman" w:cs="Times New Roman" w:eastAsia="Times New Roman" w:hAnsi="Times New Roman"/>
          <w:sz w:val="24"/>
          <w:szCs w:val="24"/>
          <w:rtl w:val="0"/>
        </w:rPr>
        <w:t xml:space="preserve"> (pp. 25–31). Springer.</w:t>
      </w:r>
      <w:hyperlink r:id="rId60">
        <w:r w:rsidDel="00000000" w:rsidR="00000000" w:rsidRPr="00000000">
          <w:rPr>
            <w:rFonts w:ascii="Times New Roman" w:cs="Times New Roman" w:eastAsia="Times New Roman" w:hAnsi="Times New Roman"/>
            <w:sz w:val="24"/>
            <w:szCs w:val="24"/>
            <w:rtl w:val="0"/>
          </w:rPr>
          <w:t xml:space="preserve"> </w:t>
        </w:r>
      </w:hyperlink>
      <w:hyperlink r:id="rId61">
        <w:r w:rsidDel="00000000" w:rsidR="00000000" w:rsidRPr="00000000">
          <w:rPr>
            <w:rFonts w:ascii="Times New Roman" w:cs="Times New Roman" w:eastAsia="Times New Roman" w:hAnsi="Times New Roman"/>
            <w:color w:val="1155cc"/>
            <w:sz w:val="24"/>
            <w:szCs w:val="24"/>
            <w:u w:val="single"/>
            <w:rtl w:val="0"/>
          </w:rPr>
          <w:t xml:space="preserve">https://doi.org/10.1007/978-1-4614-5583-7_5</w:t>
        </w:r>
      </w:hyperlink>
      <w:r w:rsidDel="00000000" w:rsidR="00000000" w:rsidRPr="00000000">
        <w:rPr>
          <w:rtl w:val="0"/>
        </w:rPr>
      </w:r>
    </w:p>
    <w:p w:rsidR="00000000" w:rsidDel="00000000" w:rsidP="00000000" w:rsidRDefault="00000000" w:rsidRPr="00000000" w14:paraId="000000B0">
      <w:pPr>
        <w:pageBreakBefore w:val="0"/>
        <w:spacing w:line="276" w:lineRule="auto"/>
        <w:ind w:left="880" w:hanging="440"/>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Spinuzzi, C., &amp; Guile, D. (2019). Fourth-Generation Activity Theory: An Integrative Literature Review and Implications for Professional Communication. </w:t>
      </w:r>
      <w:r w:rsidDel="00000000" w:rsidR="00000000" w:rsidRPr="00000000">
        <w:rPr>
          <w:rFonts w:ascii="Times New Roman" w:cs="Times New Roman" w:eastAsia="Times New Roman" w:hAnsi="Times New Roman"/>
          <w:i w:val="1"/>
          <w:sz w:val="24"/>
          <w:szCs w:val="24"/>
          <w:rtl w:val="0"/>
        </w:rPr>
        <w:t xml:space="preserve">2019 IEEE International Professional Communication Conference (ProComm)</w:t>
      </w:r>
      <w:r w:rsidDel="00000000" w:rsidR="00000000" w:rsidRPr="00000000">
        <w:rPr>
          <w:rFonts w:ascii="Times New Roman" w:cs="Times New Roman" w:eastAsia="Times New Roman" w:hAnsi="Times New Roman"/>
          <w:sz w:val="24"/>
          <w:szCs w:val="24"/>
          <w:rtl w:val="0"/>
        </w:rPr>
        <w:t xml:space="preserve">, 37–45.</w:t>
      </w:r>
      <w:hyperlink r:id="rId62">
        <w:r w:rsidDel="00000000" w:rsidR="00000000" w:rsidRPr="00000000">
          <w:rPr>
            <w:rFonts w:ascii="Times New Roman" w:cs="Times New Roman" w:eastAsia="Times New Roman" w:hAnsi="Times New Roman"/>
            <w:sz w:val="24"/>
            <w:szCs w:val="24"/>
            <w:rtl w:val="0"/>
          </w:rPr>
          <w:t xml:space="preserve"> </w:t>
        </w:r>
      </w:hyperlink>
      <w:hyperlink r:id="rId63">
        <w:r w:rsidDel="00000000" w:rsidR="00000000" w:rsidRPr="00000000">
          <w:rPr>
            <w:rFonts w:ascii="Times New Roman" w:cs="Times New Roman" w:eastAsia="Times New Roman" w:hAnsi="Times New Roman"/>
            <w:color w:val="1155cc"/>
            <w:sz w:val="24"/>
            <w:szCs w:val="24"/>
            <w:u w:val="single"/>
            <w:rtl w:val="0"/>
          </w:rPr>
          <w:t xml:space="preserve">https://doi.org/10.1109/ProComm.2019.00012</w:t>
        </w:r>
      </w:hyperlink>
      <w:r w:rsidDel="00000000" w:rsidR="00000000" w:rsidRPr="00000000">
        <w:rPr>
          <w:rtl w:val="0"/>
        </w:rPr>
      </w:r>
    </w:p>
    <w:p w:rsidR="00000000" w:rsidDel="00000000" w:rsidP="00000000" w:rsidRDefault="00000000" w:rsidRPr="00000000" w14:paraId="000000B1">
      <w:pPr>
        <w:pageBreakBefore w:val="0"/>
        <w:spacing w:line="276" w:lineRule="auto"/>
        <w:ind w:left="880" w:hanging="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Sunstein, C., &amp; Sunstein, C. R. (2018). </w:t>
      </w:r>
      <w:r w:rsidDel="00000000" w:rsidR="00000000" w:rsidRPr="00000000">
        <w:rPr>
          <w:rFonts w:ascii="Times New Roman" w:cs="Times New Roman" w:eastAsia="Times New Roman" w:hAnsi="Times New Roman"/>
          <w:i w:val="1"/>
          <w:sz w:val="24"/>
          <w:szCs w:val="24"/>
          <w:rtl w:val="0"/>
        </w:rPr>
        <w:t xml:space="preserve"># Republic</w:t>
      </w:r>
      <w:r w:rsidDel="00000000" w:rsidR="00000000" w:rsidRPr="00000000">
        <w:rPr>
          <w:rFonts w:ascii="Times New Roman" w:cs="Times New Roman" w:eastAsia="Times New Roman" w:hAnsi="Times New Roman"/>
          <w:sz w:val="24"/>
          <w:szCs w:val="24"/>
          <w:rtl w:val="0"/>
        </w:rPr>
        <w:t xml:space="preserve">. Princeton university press.</w:t>
      </w:r>
    </w:p>
    <w:p w:rsidR="00000000" w:rsidDel="00000000" w:rsidP="00000000" w:rsidRDefault="00000000" w:rsidRPr="00000000" w14:paraId="000000B2">
      <w:pPr>
        <w:pageBreakBefore w:val="0"/>
        <w:spacing w:line="276" w:lineRule="auto"/>
        <w:ind w:left="880" w:hanging="440"/>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Yardi, S., &amp; Bruckman, A. (2011). Social and technical challenges in parenting teens’ social media use. </w:t>
      </w:r>
      <w:r w:rsidDel="00000000" w:rsidR="00000000" w:rsidRPr="00000000">
        <w:rPr>
          <w:rFonts w:ascii="Times New Roman" w:cs="Times New Roman" w:eastAsia="Times New Roman" w:hAnsi="Times New Roman"/>
          <w:i w:val="1"/>
          <w:sz w:val="24"/>
          <w:szCs w:val="24"/>
          <w:rtl w:val="0"/>
        </w:rPr>
        <w:t xml:space="preserve">Proceedings of the 2011 Annual Conference on Human Factors in Computing Systems - CHI ’11</w:t>
      </w:r>
      <w:r w:rsidDel="00000000" w:rsidR="00000000" w:rsidRPr="00000000">
        <w:rPr>
          <w:rFonts w:ascii="Times New Roman" w:cs="Times New Roman" w:eastAsia="Times New Roman" w:hAnsi="Times New Roman"/>
          <w:sz w:val="24"/>
          <w:szCs w:val="24"/>
          <w:rtl w:val="0"/>
        </w:rPr>
        <w:t xml:space="preserve">, 3237.</w:t>
      </w:r>
      <w:hyperlink r:id="rId64">
        <w:r w:rsidDel="00000000" w:rsidR="00000000" w:rsidRPr="00000000">
          <w:rPr>
            <w:rFonts w:ascii="Times New Roman" w:cs="Times New Roman" w:eastAsia="Times New Roman" w:hAnsi="Times New Roman"/>
            <w:sz w:val="24"/>
            <w:szCs w:val="24"/>
            <w:rtl w:val="0"/>
          </w:rPr>
          <w:t xml:space="preserve"> </w:t>
        </w:r>
      </w:hyperlink>
      <w:hyperlink r:id="rId65">
        <w:r w:rsidDel="00000000" w:rsidR="00000000" w:rsidRPr="00000000">
          <w:rPr>
            <w:rFonts w:ascii="Times New Roman" w:cs="Times New Roman" w:eastAsia="Times New Roman" w:hAnsi="Times New Roman"/>
            <w:color w:val="1155cc"/>
            <w:sz w:val="24"/>
            <w:szCs w:val="24"/>
            <w:u w:val="single"/>
            <w:rtl w:val="0"/>
          </w:rPr>
          <w:t xml:space="preserve">https://doi.org/10.1145/1978942.1979422</w:t>
        </w:r>
      </w:hyperlink>
      <w:r w:rsidDel="00000000" w:rsidR="00000000" w:rsidRPr="00000000">
        <w:rPr>
          <w:rtl w:val="0"/>
        </w:rPr>
      </w:r>
    </w:p>
    <w:p w:rsidR="00000000" w:rsidDel="00000000" w:rsidP="00000000" w:rsidRDefault="00000000" w:rsidRPr="00000000" w14:paraId="000000B3">
      <w:pPr>
        <w:pageBreakBefore w:val="0"/>
        <w:spacing w:line="276" w:lineRule="auto"/>
        <w:ind w:left="880" w:hanging="440"/>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Yeung, K. (2017). ‘Hypernudge’: Big Data as a mode of regulation by design. </w:t>
      </w:r>
      <w:r w:rsidDel="00000000" w:rsidR="00000000" w:rsidRPr="00000000">
        <w:rPr>
          <w:rFonts w:ascii="Times New Roman" w:cs="Times New Roman" w:eastAsia="Times New Roman" w:hAnsi="Times New Roman"/>
          <w:i w:val="1"/>
          <w:sz w:val="24"/>
          <w:szCs w:val="24"/>
          <w:rtl w:val="0"/>
        </w:rPr>
        <w:t xml:space="preserve">Information, Communication &amp; Society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20</w:t>
      </w:r>
      <w:r w:rsidDel="00000000" w:rsidR="00000000" w:rsidRPr="00000000">
        <w:rPr>
          <w:rFonts w:ascii="Times New Roman" w:cs="Times New Roman" w:eastAsia="Times New Roman" w:hAnsi="Times New Roman"/>
          <w:sz w:val="24"/>
          <w:szCs w:val="24"/>
          <w:rtl w:val="0"/>
        </w:rPr>
        <w:t xml:space="preserve">(1), 118–136.</w:t>
      </w:r>
      <w:hyperlink r:id="rId66">
        <w:r w:rsidDel="00000000" w:rsidR="00000000" w:rsidRPr="00000000">
          <w:rPr>
            <w:rFonts w:ascii="Times New Roman" w:cs="Times New Roman" w:eastAsia="Times New Roman" w:hAnsi="Times New Roman"/>
            <w:sz w:val="24"/>
            <w:szCs w:val="24"/>
            <w:rtl w:val="0"/>
          </w:rPr>
          <w:t xml:space="preserve"> </w:t>
        </w:r>
      </w:hyperlink>
      <w:hyperlink r:id="rId67">
        <w:r w:rsidDel="00000000" w:rsidR="00000000" w:rsidRPr="00000000">
          <w:rPr>
            <w:rFonts w:ascii="Times New Roman" w:cs="Times New Roman" w:eastAsia="Times New Roman" w:hAnsi="Times New Roman"/>
            <w:color w:val="1155cc"/>
            <w:sz w:val="24"/>
            <w:szCs w:val="24"/>
            <w:u w:val="single"/>
            <w:rtl w:val="0"/>
          </w:rPr>
          <w:t xml:space="preserve">https://doi.org/10.1080/1369118X.2016.1186713</w:t>
        </w:r>
      </w:hyperlink>
      <w:r w:rsidDel="00000000" w:rsidR="00000000" w:rsidRPr="00000000">
        <w:rPr>
          <w:rtl w:val="0"/>
        </w:rPr>
      </w:r>
    </w:p>
    <w:p w:rsidR="00000000" w:rsidDel="00000000" w:rsidP="00000000" w:rsidRDefault="00000000" w:rsidRPr="00000000" w14:paraId="000000B4">
      <w:pPr>
        <w:pageBreakBefore w:val="0"/>
        <w:spacing w:line="276" w:lineRule="auto"/>
        <w:ind w:left="880" w:hanging="440"/>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Zahner, W., &amp; Moschkovich, J. (2010). Talking while Computing in Groups: The Not-So-Private Functions of Computational Private Speech in Mathematical Discussions. </w:t>
      </w:r>
      <w:r w:rsidDel="00000000" w:rsidR="00000000" w:rsidRPr="00000000">
        <w:rPr>
          <w:rFonts w:ascii="Times New Roman" w:cs="Times New Roman" w:eastAsia="Times New Roman" w:hAnsi="Times New Roman"/>
          <w:i w:val="1"/>
          <w:sz w:val="24"/>
          <w:szCs w:val="24"/>
          <w:rtl w:val="0"/>
        </w:rPr>
        <w:t xml:space="preserve">Mind, Culture, and Activity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17</w:t>
      </w:r>
      <w:r w:rsidDel="00000000" w:rsidR="00000000" w:rsidRPr="00000000">
        <w:rPr>
          <w:rFonts w:ascii="Times New Roman" w:cs="Times New Roman" w:eastAsia="Times New Roman" w:hAnsi="Times New Roman"/>
          <w:sz w:val="24"/>
          <w:szCs w:val="24"/>
          <w:rtl w:val="0"/>
        </w:rPr>
        <w:t xml:space="preserve">(3), 265–283.</w:t>
      </w:r>
      <w:hyperlink r:id="rId68">
        <w:r w:rsidDel="00000000" w:rsidR="00000000" w:rsidRPr="00000000">
          <w:rPr>
            <w:rFonts w:ascii="Times New Roman" w:cs="Times New Roman" w:eastAsia="Times New Roman" w:hAnsi="Times New Roman"/>
            <w:sz w:val="24"/>
            <w:szCs w:val="24"/>
            <w:rtl w:val="0"/>
          </w:rPr>
          <w:t xml:space="preserve"> </w:t>
        </w:r>
      </w:hyperlink>
      <w:hyperlink r:id="rId69">
        <w:r w:rsidDel="00000000" w:rsidR="00000000" w:rsidRPr="00000000">
          <w:rPr>
            <w:rFonts w:ascii="Times New Roman" w:cs="Times New Roman" w:eastAsia="Times New Roman" w:hAnsi="Times New Roman"/>
            <w:color w:val="1155cc"/>
            <w:sz w:val="24"/>
            <w:szCs w:val="24"/>
            <w:u w:val="single"/>
            <w:rtl w:val="0"/>
          </w:rPr>
          <w:t xml:space="preserve">https://doi.org/10.1080/10749030903515213</w:t>
        </w:r>
      </w:hyperlink>
      <w:r w:rsidDel="00000000" w:rsidR="00000000" w:rsidRPr="00000000">
        <w:rPr>
          <w:rtl w:val="0"/>
        </w:rPr>
      </w:r>
    </w:p>
    <w:p w:rsidR="00000000" w:rsidDel="00000000" w:rsidP="00000000" w:rsidRDefault="00000000" w:rsidRPr="00000000" w14:paraId="000000B5">
      <w:pPr>
        <w:pageBreakBefore w:val="0"/>
        <w:spacing w:line="276" w:lineRule="auto"/>
        <w:ind w:left="880" w:hanging="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Zuiderveen Borgesius, F., Trilling, D., Moeller, J., Bodó, B., de Vreese, C. H., &amp; Helberger, N. (2016). </w:t>
      </w:r>
      <w:r w:rsidDel="00000000" w:rsidR="00000000" w:rsidRPr="00000000">
        <w:rPr>
          <w:rFonts w:ascii="Times New Roman" w:cs="Times New Roman" w:eastAsia="Times New Roman" w:hAnsi="Times New Roman"/>
          <w:i w:val="1"/>
          <w:sz w:val="24"/>
          <w:szCs w:val="24"/>
          <w:rtl w:val="0"/>
        </w:rPr>
        <w:t xml:space="preserve">Should We Worry About Filter Bubbles?</w:t>
      </w:r>
      <w:r w:rsidDel="00000000" w:rsidR="00000000" w:rsidRPr="00000000">
        <w:rPr>
          <w:rFonts w:ascii="Times New Roman" w:cs="Times New Roman" w:eastAsia="Times New Roman" w:hAnsi="Times New Roman"/>
          <w:sz w:val="24"/>
          <w:szCs w:val="24"/>
          <w:rtl w:val="0"/>
        </w:rPr>
        <w:t xml:space="preserve"> (SSRN Scholarly Paper ID 2758126). Social Science Research Network.</w:t>
      </w:r>
      <w:hyperlink r:id="rId70">
        <w:r w:rsidDel="00000000" w:rsidR="00000000" w:rsidRPr="00000000">
          <w:rPr>
            <w:rFonts w:ascii="Times New Roman" w:cs="Times New Roman" w:eastAsia="Times New Roman" w:hAnsi="Times New Roman"/>
            <w:sz w:val="24"/>
            <w:szCs w:val="24"/>
            <w:rtl w:val="0"/>
          </w:rPr>
          <w:t xml:space="preserve"> </w:t>
        </w:r>
      </w:hyperlink>
      <w:hyperlink r:id="rId71">
        <w:r w:rsidDel="00000000" w:rsidR="00000000" w:rsidRPr="00000000">
          <w:rPr>
            <w:rFonts w:ascii="Times New Roman" w:cs="Times New Roman" w:eastAsia="Times New Roman" w:hAnsi="Times New Roman"/>
            <w:color w:val="1155cc"/>
            <w:sz w:val="24"/>
            <w:szCs w:val="24"/>
            <w:u w:val="single"/>
            <w:rtl w:val="0"/>
          </w:rPr>
          <w:t xml:space="preserve">https://papers.ssrn.com/abstract=275812</w:t>
        </w:r>
      </w:hyperlink>
      <w:r w:rsidDel="00000000" w:rsidR="00000000" w:rsidRPr="00000000">
        <w:rPr>
          <w:rtl w:val="0"/>
        </w:rPr>
      </w:r>
    </w:p>
    <w:sectPr>
      <w:footerReference r:id="rId72"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6">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doi.org/10.7551/mitpress/2137.003.0006" TargetMode="External"/><Relationship Id="rId42" Type="http://schemas.openxmlformats.org/officeDocument/2006/relationships/hyperlink" Target="http://arxiv.org/abs/1912.11211" TargetMode="External"/><Relationship Id="rId41" Type="http://schemas.openxmlformats.org/officeDocument/2006/relationships/hyperlink" Target="https://doi.org/10.7551/mitpress/2137.003.0006" TargetMode="External"/><Relationship Id="rId44" Type="http://schemas.openxmlformats.org/officeDocument/2006/relationships/hyperlink" Target="https://doi.org/10.1177/1461444816675438" TargetMode="External"/><Relationship Id="rId43" Type="http://schemas.openxmlformats.org/officeDocument/2006/relationships/hyperlink" Target="http://arxiv.org/abs/1912.11211" TargetMode="External"/><Relationship Id="rId46" Type="http://schemas.openxmlformats.org/officeDocument/2006/relationships/hyperlink" Target="https://doi.org/10.1080/00131910902844689" TargetMode="External"/><Relationship Id="rId45" Type="http://schemas.openxmlformats.org/officeDocument/2006/relationships/hyperlink" Target="https://doi.org/10.1177/146144481667543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145/3018661.3018733" TargetMode="External"/><Relationship Id="rId48" Type="http://schemas.openxmlformats.org/officeDocument/2006/relationships/hyperlink" Target="https://doi.org/10.1177/0093650212466406" TargetMode="External"/><Relationship Id="rId47" Type="http://schemas.openxmlformats.org/officeDocument/2006/relationships/hyperlink" Target="https://doi.org/10.1080/00131910902844689" TargetMode="External"/><Relationship Id="rId49" Type="http://schemas.openxmlformats.org/officeDocument/2006/relationships/hyperlink" Target="https://doi.org/10.1177/0093650212466406"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https://doi.org/10.1145/3018661.3018733" TargetMode="External"/><Relationship Id="rId72" Type="http://schemas.openxmlformats.org/officeDocument/2006/relationships/footer" Target="footer1.xml"/><Relationship Id="rId31" Type="http://schemas.openxmlformats.org/officeDocument/2006/relationships/hyperlink" Target="https://doi.org/10.1080/21670811.2017.1338145" TargetMode="External"/><Relationship Id="rId30" Type="http://schemas.openxmlformats.org/officeDocument/2006/relationships/hyperlink" Target="https://doi.org/10.1080/21670811.2017.1338145" TargetMode="External"/><Relationship Id="rId33" Type="http://schemas.openxmlformats.org/officeDocument/2006/relationships/hyperlink" Target="https://doi.org/10.1145/3391403.3399532" TargetMode="External"/><Relationship Id="rId32" Type="http://schemas.openxmlformats.org/officeDocument/2006/relationships/hyperlink" Target="https://doi.org/10.1145/3391403.3399532" TargetMode="External"/><Relationship Id="rId35" Type="http://schemas.openxmlformats.org/officeDocument/2006/relationships/hyperlink" Target="https://doi.org/10.1177/1461444812460721" TargetMode="External"/><Relationship Id="rId34" Type="http://schemas.openxmlformats.org/officeDocument/2006/relationships/hyperlink" Target="https://doi.org/10.1177/1461444812460721" TargetMode="External"/><Relationship Id="rId71" Type="http://schemas.openxmlformats.org/officeDocument/2006/relationships/hyperlink" Target="https://papers.ssrn.com/abstract=2758126" TargetMode="External"/><Relationship Id="rId70" Type="http://schemas.openxmlformats.org/officeDocument/2006/relationships/hyperlink" Target="https://papers.ssrn.com/abstract=2758126" TargetMode="External"/><Relationship Id="rId37" Type="http://schemas.openxmlformats.org/officeDocument/2006/relationships/hyperlink" Target="https://doi.org/10.7146/mediekultur.v32i60.22429" TargetMode="External"/><Relationship Id="rId36" Type="http://schemas.openxmlformats.org/officeDocument/2006/relationships/hyperlink" Target="https://doi.org/10.7146/mediekultur.v32i60.22429" TargetMode="External"/><Relationship Id="rId39" Type="http://schemas.openxmlformats.org/officeDocument/2006/relationships/hyperlink" Target="https://doi.org/10.1080/10749039.2017.1393089" TargetMode="External"/><Relationship Id="rId38" Type="http://schemas.openxmlformats.org/officeDocument/2006/relationships/hyperlink" Target="https://doi.org/10.1080/10749039.2017.1393089" TargetMode="External"/><Relationship Id="rId62" Type="http://schemas.openxmlformats.org/officeDocument/2006/relationships/hyperlink" Target="https://doi.org/10.1109/ProComm.2019.00012" TargetMode="External"/><Relationship Id="rId61" Type="http://schemas.openxmlformats.org/officeDocument/2006/relationships/hyperlink" Target="https://doi.org/10.1007/978-1-4614-5583-7_5" TargetMode="External"/><Relationship Id="rId20" Type="http://schemas.openxmlformats.org/officeDocument/2006/relationships/hyperlink" Target="https://papers.ssrn.com/abstract=3518959" TargetMode="External"/><Relationship Id="rId64" Type="http://schemas.openxmlformats.org/officeDocument/2006/relationships/hyperlink" Target="https://doi.org/10.1145/1978942.1979422" TargetMode="External"/><Relationship Id="rId63" Type="http://schemas.openxmlformats.org/officeDocument/2006/relationships/hyperlink" Target="https://doi.org/10.1109/ProComm.2019.00012" TargetMode="External"/><Relationship Id="rId22" Type="http://schemas.openxmlformats.org/officeDocument/2006/relationships/hyperlink" Target="https://doi.org/10.1016/j.chb.2017.03.031" TargetMode="External"/><Relationship Id="rId66" Type="http://schemas.openxmlformats.org/officeDocument/2006/relationships/hyperlink" Target="https://doi.org/10.1080/1369118X.2016.1186713" TargetMode="External"/><Relationship Id="rId21" Type="http://schemas.openxmlformats.org/officeDocument/2006/relationships/hyperlink" Target="https://papers.ssrn.com/abstract=3518959" TargetMode="External"/><Relationship Id="rId65" Type="http://schemas.openxmlformats.org/officeDocument/2006/relationships/hyperlink" Target="https://doi.org/10.1145/1978942.1979422" TargetMode="External"/><Relationship Id="rId24" Type="http://schemas.openxmlformats.org/officeDocument/2006/relationships/hyperlink" Target="https://doi.org/10.1017/CBO9780511812774" TargetMode="External"/><Relationship Id="rId68" Type="http://schemas.openxmlformats.org/officeDocument/2006/relationships/hyperlink" Target="https://doi.org/10.1080/10749030903515213" TargetMode="External"/><Relationship Id="rId23" Type="http://schemas.openxmlformats.org/officeDocument/2006/relationships/hyperlink" Target="https://doi.org/10.1016/j.chb.2017.03.031" TargetMode="External"/><Relationship Id="rId67" Type="http://schemas.openxmlformats.org/officeDocument/2006/relationships/hyperlink" Target="https://doi.org/10.1080/1369118X.2016.1186713" TargetMode="External"/><Relationship Id="rId60" Type="http://schemas.openxmlformats.org/officeDocument/2006/relationships/hyperlink" Target="https://doi.org/10.1007/978-1-4614-5583-7_5" TargetMode="External"/><Relationship Id="rId26" Type="http://schemas.openxmlformats.org/officeDocument/2006/relationships/hyperlink" Target="https://doi.org/10.1080/19312458.2013.835796" TargetMode="External"/><Relationship Id="rId25" Type="http://schemas.openxmlformats.org/officeDocument/2006/relationships/hyperlink" Target="https://doi.org/10.1017/CBO9780511812774" TargetMode="External"/><Relationship Id="rId69" Type="http://schemas.openxmlformats.org/officeDocument/2006/relationships/hyperlink" Target="https://doi.org/10.1080/10749030903515213" TargetMode="External"/><Relationship Id="rId28" Type="http://schemas.openxmlformats.org/officeDocument/2006/relationships/hyperlink" Target="https://doi.org/10.1086/225469" TargetMode="External"/><Relationship Id="rId27" Type="http://schemas.openxmlformats.org/officeDocument/2006/relationships/hyperlink" Target="https://doi.org/10.1080/19312458.2013.835796" TargetMode="External"/><Relationship Id="rId29" Type="http://schemas.openxmlformats.org/officeDocument/2006/relationships/hyperlink" Target="https://doi.org/10.1086/225469" TargetMode="External"/><Relationship Id="rId51" Type="http://schemas.openxmlformats.org/officeDocument/2006/relationships/hyperlink" Target="https://doi.org/10.1207/s15327884mca1201_5" TargetMode="External"/><Relationship Id="rId50" Type="http://schemas.openxmlformats.org/officeDocument/2006/relationships/hyperlink" Target="https://doi.org/10.1207/s15327884mca1201_5" TargetMode="External"/><Relationship Id="rId53" Type="http://schemas.openxmlformats.org/officeDocument/2006/relationships/hyperlink" Target="https://dare.uva.nl/search?identifier=478edb9e-8296-4a84-9631-c7360d593610" TargetMode="External"/><Relationship Id="rId52" Type="http://schemas.openxmlformats.org/officeDocument/2006/relationships/hyperlink" Target="https://dare.uva.nl/search?identifier=478edb9e-8296-4a84-9631-c7360d593610" TargetMode="External"/><Relationship Id="rId11" Type="http://schemas.openxmlformats.org/officeDocument/2006/relationships/hyperlink" Target="https://doi.org/10.1145/3366423.3380281" TargetMode="External"/><Relationship Id="rId55" Type="http://schemas.openxmlformats.org/officeDocument/2006/relationships/hyperlink" Target="https://doi.org/10.1093/poq/nfr052" TargetMode="External"/><Relationship Id="rId10" Type="http://schemas.openxmlformats.org/officeDocument/2006/relationships/hyperlink" Target="https://doi.org/10.1145/3366423.3380281" TargetMode="External"/><Relationship Id="rId54" Type="http://schemas.openxmlformats.org/officeDocument/2006/relationships/hyperlink" Target="https://doi.org/10.1093/poq/nfr052" TargetMode="External"/><Relationship Id="rId13" Type="http://schemas.openxmlformats.org/officeDocument/2006/relationships/hyperlink" Target="https://doi.org/10.1080/00131910902846916" TargetMode="External"/><Relationship Id="rId57" Type="http://schemas.openxmlformats.org/officeDocument/2006/relationships/hyperlink" Target="https://doi.org/10.1080/1369118X.2019.1646300" TargetMode="External"/><Relationship Id="rId12" Type="http://schemas.openxmlformats.org/officeDocument/2006/relationships/hyperlink" Target="https://doi.org/10.1080/00131910902846916" TargetMode="External"/><Relationship Id="rId56" Type="http://schemas.openxmlformats.org/officeDocument/2006/relationships/hyperlink" Target="https://doi.org/10.1080/1369118X.2019.1646300" TargetMode="External"/><Relationship Id="rId15" Type="http://schemas.openxmlformats.org/officeDocument/2006/relationships/hyperlink" Target="https://doi.org/10.1126/science.aaa1160" TargetMode="External"/><Relationship Id="rId59" Type="http://schemas.openxmlformats.org/officeDocument/2006/relationships/hyperlink" Target="https://doi.org/10.1371/journal.pone.0231703" TargetMode="External"/><Relationship Id="rId14" Type="http://schemas.openxmlformats.org/officeDocument/2006/relationships/hyperlink" Target="https://doi.org/10.1126/science.aaa1160" TargetMode="External"/><Relationship Id="rId58" Type="http://schemas.openxmlformats.org/officeDocument/2006/relationships/hyperlink" Target="https://doi.org/10.1371/journal.pone.0231703" TargetMode="External"/><Relationship Id="rId17" Type="http://schemas.openxmlformats.org/officeDocument/2006/relationships/hyperlink" Target="https://doi.org/10.1017/9781108890960.004" TargetMode="External"/><Relationship Id="rId16" Type="http://schemas.openxmlformats.org/officeDocument/2006/relationships/hyperlink" Target="https://doi.org/10.1017/9781108890960.004" TargetMode="External"/><Relationship Id="rId19" Type="http://schemas.openxmlformats.org/officeDocument/2006/relationships/hyperlink" Target="https://doi.org/10.1207/S15327590IJHC1602_06" TargetMode="External"/><Relationship Id="rId18" Type="http://schemas.openxmlformats.org/officeDocument/2006/relationships/hyperlink" Target="https://doi.org/10.1207/S15327590IJHC1602_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