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1B96A1" w14:textId="12BF5D12" w:rsidR="00AB415D" w:rsidRDefault="00AB415D" w:rsidP="00775CF1">
      <w:pPr>
        <w:spacing w:line="276" w:lineRule="auto"/>
      </w:pPr>
      <w:r w:rsidRPr="00AB415D">
        <w:rPr>
          <w:i/>
          <w:iCs/>
        </w:rPr>
        <w:t>Le livre du chapitre du chapitre cathédral Notre-Dame de la Seds de Toulon</w:t>
      </w:r>
      <w:r w:rsidRPr="00AB415D">
        <w:t xml:space="preserve">. Publié sous la direction de Jacques </w:t>
      </w:r>
      <w:r w:rsidRPr="00AB415D">
        <w:rPr>
          <w:smallCaps/>
        </w:rPr>
        <w:t>Verger</w:t>
      </w:r>
      <w:r w:rsidRPr="00AB415D">
        <w:t xml:space="preserve"> par Thierry </w:t>
      </w:r>
      <w:r w:rsidRPr="00AB415D">
        <w:rPr>
          <w:smallCaps/>
        </w:rPr>
        <w:t>Pécout</w:t>
      </w:r>
      <w:r w:rsidRPr="00AB415D">
        <w:t>. Avec la col</w:t>
      </w:r>
      <w:r>
        <w:t>l</w:t>
      </w:r>
      <w:r w:rsidR="00026E2E">
        <w:t xml:space="preserve">aboration </w:t>
      </w:r>
      <w:r w:rsidRPr="00AB415D">
        <w:t xml:space="preserve">de Nathalie </w:t>
      </w:r>
      <w:r w:rsidRPr="00AB415D">
        <w:rPr>
          <w:smallCaps/>
        </w:rPr>
        <w:t>Molina</w:t>
      </w:r>
      <w:r w:rsidRPr="00AB415D">
        <w:t xml:space="preserve"> et Jean-Loup </w:t>
      </w:r>
      <w:r w:rsidRPr="00AB415D">
        <w:rPr>
          <w:smallCaps/>
        </w:rPr>
        <w:t>Lemaître</w:t>
      </w:r>
      <w:r w:rsidRPr="00AB415D">
        <w:t>. (Recueil des Historiens de la France. Obituaires, Série in-8°, 20). Paris, Académie des Inscriptions et Belles-Lettres</w:t>
      </w:r>
      <w:r w:rsidR="00F522F1">
        <w:t>, Diffusion de Boccard</w:t>
      </w:r>
      <w:r w:rsidRPr="00AB415D">
        <w:t>, 2020.</w:t>
      </w:r>
    </w:p>
    <w:p w14:paraId="52623D1A" w14:textId="1DCEE5D0" w:rsidR="00F522F1" w:rsidRDefault="00F522F1" w:rsidP="00775CF1">
      <w:pPr>
        <w:spacing w:line="276" w:lineRule="auto"/>
      </w:pPr>
    </w:p>
    <w:p w14:paraId="2C3777CA" w14:textId="2AD1D1BF" w:rsidR="00D82E0F" w:rsidRDefault="00115DD5" w:rsidP="00775CF1">
      <w:pPr>
        <w:spacing w:line="276" w:lineRule="auto"/>
      </w:pPr>
      <w:r>
        <w:t>Fondements</w:t>
      </w:r>
      <w:r w:rsidR="00A85ACA">
        <w:t xml:space="preserve"> de la commémoration des défunts et dépositaires mémoriels</w:t>
      </w:r>
      <w:r>
        <w:t xml:space="preserve"> entre autres, </w:t>
      </w:r>
      <w:r w:rsidR="00D82E0F">
        <w:t>l</w:t>
      </w:r>
      <w:r w:rsidR="0070763F">
        <w:t xml:space="preserve">es </w:t>
      </w:r>
      <w:r w:rsidR="00D82E0F">
        <w:t>obituaire</w:t>
      </w:r>
      <w:r w:rsidR="0070763F">
        <w:t>s</w:t>
      </w:r>
      <w:r w:rsidR="006665C0">
        <w:t xml:space="preserve"> appartien</w:t>
      </w:r>
      <w:r w:rsidR="0070763F">
        <w:t>nen</w:t>
      </w:r>
      <w:r w:rsidR="006665C0">
        <w:t xml:space="preserve">t à un type documentaire complexe, profondément ancré dans le quotidien des communautés ecclésiastiques médiévales et modernes. </w:t>
      </w:r>
      <w:r w:rsidR="006665C0" w:rsidRPr="009E7E98">
        <w:t xml:space="preserve">Leur grand intérêt pour les historiens n’est plus à démontrer, tout comme </w:t>
      </w:r>
      <w:r w:rsidR="00707787" w:rsidRPr="009E7E98">
        <w:t xml:space="preserve">celui de </w:t>
      </w:r>
      <w:r w:rsidR="006665C0" w:rsidRPr="009E7E98">
        <w:t>leur édition. E</w:t>
      </w:r>
      <w:r w:rsidR="006665C0">
        <w:t xml:space="preserve">n France, l’Académie </w:t>
      </w:r>
      <w:r w:rsidR="00E67A8E" w:rsidRPr="00E67A8E">
        <w:t xml:space="preserve">des </w:t>
      </w:r>
      <w:r w:rsidR="00E67A8E">
        <w:t>I</w:t>
      </w:r>
      <w:r w:rsidR="00E67A8E" w:rsidRPr="00E67A8E">
        <w:t>nscriptions et Belles-Lettres</w:t>
      </w:r>
      <w:r w:rsidR="00E67A8E">
        <w:t xml:space="preserve"> y consacre une série complète </w:t>
      </w:r>
      <w:r w:rsidR="0070763F">
        <w:t>(série in-8</w:t>
      </w:r>
      <w:r w:rsidR="0070763F" w:rsidRPr="00033D5D">
        <w:rPr>
          <w:vertAlign w:val="superscript"/>
        </w:rPr>
        <w:t>o</w:t>
      </w:r>
      <w:r w:rsidR="0070763F">
        <w:t xml:space="preserve">) </w:t>
      </w:r>
      <w:r w:rsidR="00E67A8E">
        <w:t xml:space="preserve">de sa collection du </w:t>
      </w:r>
      <w:r w:rsidR="00E67A8E" w:rsidRPr="00E67A8E">
        <w:rPr>
          <w:i/>
          <w:iCs/>
        </w:rPr>
        <w:t>Recueil des historiens de France</w:t>
      </w:r>
      <w:r w:rsidR="00E67A8E">
        <w:t xml:space="preserve">. </w:t>
      </w:r>
      <w:r w:rsidR="0070763F">
        <w:t xml:space="preserve">Pour son vingtième volume, </w:t>
      </w:r>
      <w:r w:rsidR="00845AC4">
        <w:t>c’est l’édition du Livre du chapitre du chapitre cathédral Notre-Dame de la Seds de Toulon qui est présentée.</w:t>
      </w:r>
    </w:p>
    <w:p w14:paraId="6F58C888" w14:textId="56BF809C" w:rsidR="007810E2" w:rsidRDefault="00115DD5" w:rsidP="00775CF1">
      <w:pPr>
        <w:spacing w:line="276" w:lineRule="auto"/>
      </w:pPr>
      <w:r>
        <w:t>Pour</w:t>
      </w:r>
      <w:r w:rsidR="007E44C9">
        <w:t xml:space="preserve"> la troisième fois</w:t>
      </w:r>
      <w:r>
        <w:t xml:space="preserve">, </w:t>
      </w:r>
      <w:r w:rsidR="007E44C9">
        <w:t>Thierry Pécout, professeur d’histoire médiévale à l’Université Jean-Monnet de Saint-Étienne, met à profit sa connaissance des structures ecclésiastiques et de la vie religieuse en Provence entre le XII</w:t>
      </w:r>
      <w:r w:rsidR="007E44C9" w:rsidRPr="00033D5D">
        <w:rPr>
          <w:vertAlign w:val="superscript"/>
        </w:rPr>
        <w:t>e</w:t>
      </w:r>
      <w:r w:rsidR="007E44C9">
        <w:t xml:space="preserve"> et le XIV</w:t>
      </w:r>
      <w:r w:rsidR="007E44C9" w:rsidRPr="00033D5D">
        <w:rPr>
          <w:vertAlign w:val="superscript"/>
        </w:rPr>
        <w:t>e</w:t>
      </w:r>
      <w:r w:rsidR="007E44C9">
        <w:t xml:space="preserve"> siècle pour enrichir la </w:t>
      </w:r>
      <w:r w:rsidR="00845AC4">
        <w:t xml:space="preserve">série </w:t>
      </w:r>
      <w:r w:rsidR="00845AC4" w:rsidRPr="00033D5D">
        <w:rPr>
          <w:i/>
          <w:iCs/>
        </w:rPr>
        <w:t>Obituaires</w:t>
      </w:r>
      <w:r w:rsidR="00151A62">
        <w:rPr>
          <w:rStyle w:val="Appelnotedebasdep"/>
        </w:rPr>
        <w:footnoteReference w:id="1"/>
      </w:r>
      <w:r w:rsidR="007E44C9">
        <w:t>.</w:t>
      </w:r>
      <w:r w:rsidR="007E44C9" w:rsidRPr="007E44C9">
        <w:t xml:space="preserve"> </w:t>
      </w:r>
      <w:r w:rsidR="007E44C9">
        <w:t>La présente édition a également profité des contributions d’Henry Bresc (professeur émérite à Paris-Nanterre), de Nathalie Molina (attachée à INRAP M</w:t>
      </w:r>
      <w:r w:rsidR="007E44C9" w:rsidRPr="00F45EE7">
        <w:t>édite</w:t>
      </w:r>
      <w:r w:rsidR="007E44C9">
        <w:t>r</w:t>
      </w:r>
      <w:r w:rsidR="007E44C9" w:rsidRPr="00F45EE7">
        <w:t xml:space="preserve">ranée et la </w:t>
      </w:r>
      <w:r w:rsidR="007E44C9">
        <w:t>M</w:t>
      </w:r>
      <w:r w:rsidR="007E44C9" w:rsidRPr="00F45EE7">
        <w:t>a</w:t>
      </w:r>
      <w:r w:rsidR="007E44C9">
        <w:t>i</w:t>
      </w:r>
      <w:r w:rsidR="007E44C9" w:rsidRPr="00F45EE7">
        <w:t>son médit</w:t>
      </w:r>
      <w:r w:rsidR="007E44C9">
        <w:t>erranéenne</w:t>
      </w:r>
      <w:r w:rsidR="007E44C9" w:rsidRPr="00F45EE7">
        <w:t xml:space="preserve"> des sciences</w:t>
      </w:r>
      <w:r w:rsidR="007E44C9">
        <w:t xml:space="preserve"> </w:t>
      </w:r>
      <w:r w:rsidR="007E44C9" w:rsidRPr="00F45EE7">
        <w:t>de l’</w:t>
      </w:r>
      <w:r w:rsidR="007E44C9">
        <w:t>H</w:t>
      </w:r>
      <w:r w:rsidR="007E44C9" w:rsidRPr="00F45EE7">
        <w:t>omme</w:t>
      </w:r>
      <w:r w:rsidR="007E44C9">
        <w:t>), et enfin de Jean-Loup Lemaître, spécialiste français de la documentation nécrologique (</w:t>
      </w:r>
      <w:r w:rsidR="007E44C9" w:rsidRPr="00855B5D">
        <w:t xml:space="preserve">auxiliaire de l’Académie des Inscriptions et Belles-Lettres). </w:t>
      </w:r>
      <w:r w:rsidR="00855B5D" w:rsidRPr="00855B5D">
        <w:t xml:space="preserve">Le directeur de publication n’est autre que </w:t>
      </w:r>
      <w:r w:rsidR="007E44C9" w:rsidRPr="00855B5D">
        <w:t>Jacques Verger</w:t>
      </w:r>
      <w:r w:rsidR="007E44C9">
        <w:t xml:space="preserve">, </w:t>
      </w:r>
      <w:r w:rsidR="007E44C9" w:rsidRPr="005A7451">
        <w:t xml:space="preserve">membre de l'Académie des </w:t>
      </w:r>
      <w:r w:rsidR="007E44C9">
        <w:t>I</w:t>
      </w:r>
      <w:r w:rsidR="007E44C9" w:rsidRPr="005A7451">
        <w:t>nscriptions et Belles-Lettres</w:t>
      </w:r>
      <w:r w:rsidR="007E44C9">
        <w:t>.</w:t>
      </w:r>
    </w:p>
    <w:p w14:paraId="1FCEB9EF" w14:textId="37C5C444" w:rsidR="00623C69" w:rsidRDefault="001670B1" w:rsidP="00775CF1">
      <w:pPr>
        <w:spacing w:line="276" w:lineRule="auto"/>
      </w:pPr>
      <w:r>
        <w:t xml:space="preserve">Aujourd’hui conservé à la </w:t>
      </w:r>
      <w:r w:rsidRPr="00D316ED">
        <w:rPr>
          <w:lang w:val="la-Latn"/>
        </w:rPr>
        <w:t>Biblioteca Apostolica Vaticana</w:t>
      </w:r>
      <w:r>
        <w:t xml:space="preserve"> (BAV, Reg. lat. 540), l</w:t>
      </w:r>
      <w:r w:rsidR="00082BA9">
        <w:t>’</w:t>
      </w:r>
      <w:r w:rsidR="001A7BEE">
        <w:t>obituaire</w:t>
      </w:r>
      <w:r w:rsidR="00C13533">
        <w:t xml:space="preserve"> de Notre-Dame de la Seds</w:t>
      </w:r>
      <w:r w:rsidRPr="001670B1">
        <w:t xml:space="preserve"> </w:t>
      </w:r>
      <w:r>
        <w:t>de Toulon prend comme support un martyrologe d’Adon et fut employé par le chapitre entre le milieu du XII</w:t>
      </w:r>
      <w:r w:rsidRPr="00623C69">
        <w:rPr>
          <w:vertAlign w:val="superscript"/>
        </w:rPr>
        <w:t>e</w:t>
      </w:r>
      <w:r>
        <w:t xml:space="preserve"> siècle et la fin du XVI</w:t>
      </w:r>
      <w:r w:rsidRPr="00623C69">
        <w:rPr>
          <w:vertAlign w:val="superscript"/>
        </w:rPr>
        <w:t>e</w:t>
      </w:r>
      <w:r>
        <w:t xml:space="preserve"> siècle</w:t>
      </w:r>
      <w:r w:rsidR="00623C69">
        <w:t>.</w:t>
      </w:r>
      <w:r w:rsidR="00C13533">
        <w:t xml:space="preserve"> </w:t>
      </w:r>
      <w:r w:rsidR="007F75BD">
        <w:t xml:space="preserve">Si les </w:t>
      </w:r>
      <w:r w:rsidR="00156D26">
        <w:t>notices nécrologiques présentes dans le manuscrit sont très n</w:t>
      </w:r>
      <w:r w:rsidR="007F75BD">
        <w:t>ombreuses</w:t>
      </w:r>
      <w:r w:rsidR="009F59CC">
        <w:t xml:space="preserve"> (plus de 800)</w:t>
      </w:r>
      <w:r w:rsidR="00156D26">
        <w:t xml:space="preserve">, les scribes et notaires anonymes ne manquent pas de mentionner également </w:t>
      </w:r>
      <w:r w:rsidR="007F75BD">
        <w:t xml:space="preserve">les événements liés à la cité et à la cathédrale. On assiste au déploiement progressif des notices et à l’accroissement de leur précision, bien qu’elles soient, comme il est courant pour les obituaires, </w:t>
      </w:r>
      <w:r w:rsidR="00224348">
        <w:t>délicates</w:t>
      </w:r>
      <w:r w:rsidR="007F75BD">
        <w:t xml:space="preserve"> à dater.</w:t>
      </w:r>
      <w:r w:rsidR="00224348">
        <w:t xml:space="preserve"> Il est important désormais de présenter le contenu de </w:t>
      </w:r>
      <w:r w:rsidR="009E7E98">
        <w:t>l’</w:t>
      </w:r>
      <w:r w:rsidR="00224348">
        <w:t>édition, d’une qualité indéniable.</w:t>
      </w:r>
    </w:p>
    <w:p w14:paraId="11CF5650" w14:textId="62EDB171" w:rsidR="00292467" w:rsidRDefault="001B62E4" w:rsidP="00775CF1">
      <w:pPr>
        <w:spacing w:line="276" w:lineRule="auto"/>
      </w:pPr>
      <w:r>
        <w:t>Après u</w:t>
      </w:r>
      <w:r w:rsidR="00DE6FDF">
        <w:t>n</w:t>
      </w:r>
      <w:r w:rsidR="005A7451">
        <w:t>e préface de Jacques Verger (p. VII-IX) et un</w:t>
      </w:r>
      <w:r w:rsidR="00DE6FDF">
        <w:t xml:space="preserve"> avant-propos dense et </w:t>
      </w:r>
      <w:r>
        <w:t>consistant</w:t>
      </w:r>
      <w:r w:rsidRPr="001B62E4">
        <w:t xml:space="preserve"> </w:t>
      </w:r>
      <w:r>
        <w:t xml:space="preserve">sur le </w:t>
      </w:r>
      <w:r w:rsidRPr="001B62E4">
        <w:t>diocèse méd</w:t>
      </w:r>
      <w:r>
        <w:t>iéval</w:t>
      </w:r>
      <w:r w:rsidRPr="001B62E4">
        <w:t xml:space="preserve"> et mod</w:t>
      </w:r>
      <w:r>
        <w:t>erne</w:t>
      </w:r>
      <w:r w:rsidRPr="001B62E4">
        <w:t xml:space="preserve"> de </w:t>
      </w:r>
      <w:r>
        <w:t>T</w:t>
      </w:r>
      <w:r w:rsidRPr="001B62E4">
        <w:t>oulon</w:t>
      </w:r>
      <w:r w:rsidR="00E01186">
        <w:t xml:space="preserve"> (p. 1-11)</w:t>
      </w:r>
      <w:r>
        <w:t xml:space="preserve">, réalisé par les soins d’Henri Bresc, </w:t>
      </w:r>
      <w:r w:rsidR="00461283">
        <w:t xml:space="preserve">s’ouvre une </w:t>
      </w:r>
      <w:r w:rsidR="00462A53">
        <w:t>abondante bibliographie (p. 13-34). L’</w:t>
      </w:r>
      <w:r w:rsidR="00461283">
        <w:t>ample introduction</w:t>
      </w:r>
      <w:r w:rsidR="00994DDC">
        <w:t xml:space="preserve"> </w:t>
      </w:r>
      <w:r w:rsidR="00E01186">
        <w:t xml:space="preserve">(p. 35-152) </w:t>
      </w:r>
      <w:r w:rsidR="00462A53">
        <w:t xml:space="preserve">mérite la </w:t>
      </w:r>
      <w:r w:rsidR="00D316ED">
        <w:t>descript</w:t>
      </w:r>
      <w:r w:rsidR="00461283">
        <w:t>ion détaillée de son contenu.</w:t>
      </w:r>
      <w:r w:rsidR="00B5243E">
        <w:t xml:space="preserve"> À une étude codicologique complète du manuscrit BAV, </w:t>
      </w:r>
      <w:r w:rsidR="00D316ED">
        <w:t>Reg. l</w:t>
      </w:r>
      <w:r w:rsidR="00B5243E">
        <w:t>at. 540, dont l’origine et la tradition sont présentés</w:t>
      </w:r>
      <w:r w:rsidR="00E01186">
        <w:t xml:space="preserve"> (p. 36-46)</w:t>
      </w:r>
      <w:r w:rsidR="00B5243E">
        <w:t>, su</w:t>
      </w:r>
      <w:r w:rsidR="002007DC">
        <w:t>ccède</w:t>
      </w:r>
      <w:r w:rsidR="00B5243E">
        <w:t xml:space="preserve"> une discussion sur la datation et la composition du manuscrit</w:t>
      </w:r>
      <w:r w:rsidR="00E01186">
        <w:t xml:space="preserve"> (p. 46-</w:t>
      </w:r>
      <w:r w:rsidR="00C634C5">
        <w:t>58)</w:t>
      </w:r>
      <w:r w:rsidR="00B5243E">
        <w:t xml:space="preserve">, en lien étroit avec ses caractéristiques </w:t>
      </w:r>
      <w:r w:rsidR="002007DC">
        <w:t>matérielles mises en évidence</w:t>
      </w:r>
      <w:r w:rsidR="00B5243E">
        <w:t>.</w:t>
      </w:r>
      <w:r w:rsidR="002007DC">
        <w:t xml:space="preserve"> Le martyrologe, texte principal, fait l’objet d’une attention particulière</w:t>
      </w:r>
      <w:r w:rsidR="00C634C5">
        <w:t xml:space="preserve"> (p. 58-65)</w:t>
      </w:r>
      <w:r w:rsidR="002007DC">
        <w:t xml:space="preserve">, avant </w:t>
      </w:r>
      <w:r w:rsidR="005C3561">
        <w:t xml:space="preserve">que l’auteur s’intéresse </w:t>
      </w:r>
      <w:r w:rsidR="002007DC">
        <w:t xml:space="preserve">plus </w:t>
      </w:r>
      <w:r w:rsidR="007319DC">
        <w:t>spécialement</w:t>
      </w:r>
      <w:r w:rsidR="002007DC">
        <w:t xml:space="preserve"> à l’obituaire</w:t>
      </w:r>
      <w:r w:rsidR="00C634C5">
        <w:t xml:space="preserve"> (p. 66-79)</w:t>
      </w:r>
      <w:r w:rsidR="002007DC">
        <w:t>.</w:t>
      </w:r>
      <w:r w:rsidR="00E01186">
        <w:t xml:space="preserve"> </w:t>
      </w:r>
      <w:r w:rsidR="00C634C5">
        <w:t>C</w:t>
      </w:r>
      <w:r w:rsidR="00E01186">
        <w:t xml:space="preserve">ette « très copieuse introduction » (Jacques </w:t>
      </w:r>
      <w:r w:rsidR="00E01186" w:rsidRPr="00C634C5">
        <w:rPr>
          <w:smallCaps/>
        </w:rPr>
        <w:t>Verger</w:t>
      </w:r>
      <w:r w:rsidR="00E01186">
        <w:t>,</w:t>
      </w:r>
      <w:r w:rsidR="00C634C5">
        <w:t xml:space="preserve"> </w:t>
      </w:r>
      <w:r w:rsidR="00C634C5" w:rsidRPr="00C634C5">
        <w:rPr>
          <w:i/>
          <w:iCs/>
        </w:rPr>
        <w:t>Préface</w:t>
      </w:r>
      <w:r w:rsidR="00C634C5">
        <w:t>,</w:t>
      </w:r>
      <w:r w:rsidR="00E01186">
        <w:t xml:space="preserve"> </w:t>
      </w:r>
      <w:r w:rsidR="00C634C5">
        <w:t xml:space="preserve">p. </w:t>
      </w:r>
      <w:r w:rsidR="00E01186">
        <w:t>IX)</w:t>
      </w:r>
      <w:r w:rsidR="00C634C5">
        <w:t xml:space="preserve"> cherche également à </w:t>
      </w:r>
      <w:r w:rsidR="007319DC">
        <w:t xml:space="preserve">le </w:t>
      </w:r>
      <w:r w:rsidR="00C634C5">
        <w:t xml:space="preserve">contextualiser largement : une synthèse sur l’Église de Toulon est </w:t>
      </w:r>
      <w:r w:rsidR="00D316ED">
        <w:t>exp</w:t>
      </w:r>
      <w:r w:rsidR="00C634C5">
        <w:t>osée (p. 80-94), mais aussi sur son diocèse polycentrique (p. 95-98)</w:t>
      </w:r>
      <w:r w:rsidR="00D235BF">
        <w:t xml:space="preserve"> et sur le chapitre cathédral lui-même (p. 98-117). L</w:t>
      </w:r>
      <w:r w:rsidR="0082433C">
        <w:t>’offre et l</w:t>
      </w:r>
      <w:r w:rsidR="00D235BF">
        <w:t>a vie spirituelle</w:t>
      </w:r>
      <w:r w:rsidR="0082433C">
        <w:t>s</w:t>
      </w:r>
      <w:r w:rsidR="00D235BF">
        <w:t xml:space="preserve"> du diocèse n</w:t>
      </w:r>
      <w:r w:rsidR="0082433C">
        <w:t>e sont</w:t>
      </w:r>
      <w:r w:rsidR="00D235BF">
        <w:t xml:space="preserve"> pas oubliée</w:t>
      </w:r>
      <w:r w:rsidR="0082433C">
        <w:t>s</w:t>
      </w:r>
      <w:r w:rsidR="00D235BF">
        <w:t xml:space="preserve"> (p.</w:t>
      </w:r>
      <w:r w:rsidR="005A7451">
        <w:t> </w:t>
      </w:r>
      <w:r w:rsidR="00D235BF">
        <w:t xml:space="preserve">117-125), ainsi que </w:t>
      </w:r>
      <w:r w:rsidR="0082433C">
        <w:t>l</w:t>
      </w:r>
      <w:r w:rsidR="00D235BF">
        <w:t xml:space="preserve">a production </w:t>
      </w:r>
      <w:r w:rsidR="00D235BF">
        <w:lastRenderedPageBreak/>
        <w:t>hagiographique</w:t>
      </w:r>
      <w:r w:rsidR="0082433C">
        <w:t xml:space="preserve"> médiévale </w:t>
      </w:r>
      <w:r w:rsidR="007319DC">
        <w:t>de la cathédrale toulonnaise</w:t>
      </w:r>
      <w:r w:rsidR="0082433C">
        <w:t xml:space="preserve"> (p.</w:t>
      </w:r>
      <w:r w:rsidR="00462A53">
        <w:t> </w:t>
      </w:r>
      <w:r w:rsidR="0082433C">
        <w:t>125-132).</w:t>
      </w:r>
      <w:r w:rsidR="00462A53">
        <w:t xml:space="preserve"> Nathalie Molina propose </w:t>
      </w:r>
      <w:r w:rsidR="00462A53" w:rsidRPr="00855B5D">
        <w:t xml:space="preserve">ensuite un important chapitre </w:t>
      </w:r>
      <w:r w:rsidR="00F02BA5" w:rsidRPr="00855B5D">
        <w:t xml:space="preserve">sur la cathédrale Sainte-Marie de la Seds de Toulon (p. 133-147), </w:t>
      </w:r>
      <w:r w:rsidR="00855B5D" w:rsidRPr="00855B5D">
        <w:t>centré</w:t>
      </w:r>
      <w:r w:rsidR="00F02BA5" w:rsidRPr="00855B5D">
        <w:t xml:space="preserve"> sur les étapes</w:t>
      </w:r>
      <w:r w:rsidR="00F02BA5">
        <w:t xml:space="preserve"> de construction successives et le complexe cathédral dans son ensemble (le cimetière, les quartiers canoniaux et le palais de l’évêque). Enfin, les mesures et monnaies en usage dans l’obituaire </w:t>
      </w:r>
      <w:r w:rsidR="00D316ED">
        <w:t xml:space="preserve">sont précisées </w:t>
      </w:r>
      <w:r w:rsidR="00F02BA5">
        <w:t>(p. 148-152).</w:t>
      </w:r>
      <w:r w:rsidR="00D316ED">
        <w:t xml:space="preserve"> Outre sa qualité, la richesse de l’édition présentée par Thierry Pécout repose dans </w:t>
      </w:r>
      <w:r w:rsidR="0074530E">
        <w:t>la précision des identifications (p. 153-366).</w:t>
      </w:r>
      <w:r w:rsidR="00D316ED">
        <w:t xml:space="preserve"> </w:t>
      </w:r>
      <w:r w:rsidR="0074530E">
        <w:t xml:space="preserve">Deux annexes fondamentales complètent l’édition. La première envisage le support de l’obituaire, à savoir le martyrologe </w:t>
      </w:r>
      <w:r w:rsidR="00FD3739">
        <w:t>toulonnais (p. 367-412)</w:t>
      </w:r>
      <w:r w:rsidR="0074530E">
        <w:t xml:space="preserve"> </w:t>
      </w:r>
      <w:r w:rsidR="0074530E" w:rsidRPr="00994067">
        <w:sym w:font="Symbol" w:char="F02D"/>
      </w:r>
      <w:r w:rsidR="0074530E">
        <w:t xml:space="preserve"> étudié, décrit et publié pour la première fois en 1940 par Georges de Manteyer</w:t>
      </w:r>
      <w:r w:rsidR="0074530E">
        <w:rPr>
          <w:rStyle w:val="Appelnotedebasdep"/>
        </w:rPr>
        <w:footnoteReference w:id="2"/>
      </w:r>
      <w:r w:rsidR="0074530E">
        <w:t>.</w:t>
      </w:r>
      <w:r w:rsidR="00FD3739">
        <w:t xml:space="preserve"> Jean-Loup Lemaître a ainsi mis en évidence les </w:t>
      </w:r>
      <w:r w:rsidR="00FD3739" w:rsidRPr="00CD7A5F">
        <w:rPr>
          <w:i/>
          <w:iCs/>
          <w:lang w:val="la-Latn"/>
        </w:rPr>
        <w:t>auctaria</w:t>
      </w:r>
      <w:r w:rsidR="00FD3739">
        <w:t xml:space="preserve"> et les modifications dans l’ordre des éloges du martyrologe d’Adon tel qu’édité par </w:t>
      </w:r>
      <w:bookmarkStart w:id="0" w:name="_Hlk74901958"/>
      <w:r w:rsidR="00FD3739">
        <w:t>Jacques Dubois et Geneviève Renaud</w:t>
      </w:r>
      <w:bookmarkEnd w:id="0"/>
      <w:r w:rsidR="00FD3739">
        <w:rPr>
          <w:rStyle w:val="Appelnotedebasdep"/>
        </w:rPr>
        <w:footnoteReference w:id="3"/>
      </w:r>
      <w:r w:rsidR="00FD3739">
        <w:t xml:space="preserve">. La deuxième annexe édite </w:t>
      </w:r>
      <w:r w:rsidR="00D81285">
        <w:t>deux</w:t>
      </w:r>
      <w:r w:rsidR="00FD3739">
        <w:t xml:space="preserve"> épitaphes</w:t>
      </w:r>
      <w:r w:rsidR="00D81285">
        <w:t xml:space="preserve"> aujourd’hui</w:t>
      </w:r>
      <w:r w:rsidR="00FD3739">
        <w:t xml:space="preserve"> conservées </w:t>
      </w:r>
      <w:r w:rsidR="00D81285">
        <w:t>respectivement en original ou en copie (p.</w:t>
      </w:r>
      <w:r w:rsidR="00685B7E">
        <w:t> </w:t>
      </w:r>
      <w:r w:rsidR="00D81285">
        <w:t xml:space="preserve">413-414). </w:t>
      </w:r>
      <w:r w:rsidR="00685B7E">
        <w:t>Sont également apprécié</w:t>
      </w:r>
      <w:r w:rsidR="007319DC">
        <w:t>e</w:t>
      </w:r>
      <w:r w:rsidR="00685B7E">
        <w:t>s les o</w:t>
      </w:r>
      <w:r w:rsidR="00D81285">
        <w:t>nze planches couleur (p. 4</w:t>
      </w:r>
      <w:r w:rsidR="00D81285" w:rsidRPr="00291DDE">
        <w:t>15-427)</w:t>
      </w:r>
      <w:r w:rsidR="00685B7E" w:rsidRPr="00291DDE">
        <w:t xml:space="preserve"> et les différentes tables facilitant l’utilisation de l’édition (index hagiographique </w:t>
      </w:r>
      <w:r w:rsidR="00685B7E">
        <w:t>du calendrier et du martyrologe, noms de personne, noms de lieu, principales matières, illustrations, matières ; p. 429-482).</w:t>
      </w:r>
    </w:p>
    <w:p w14:paraId="1F344B7C" w14:textId="56B45528" w:rsidR="00775CF1" w:rsidRDefault="00D764B1" w:rsidP="000C3134">
      <w:pPr>
        <w:spacing w:line="276" w:lineRule="auto"/>
      </w:pPr>
      <w:r>
        <w:t xml:space="preserve">Cette excellente édition, appuyée sur une solide introduction, fournira à l’historien le matériel nécessaire à l’étude de l’obituaire </w:t>
      </w:r>
      <w:r w:rsidR="001A6D85">
        <w:t xml:space="preserve">de Notre-Dame de la Seds de Toulon bien sûr, mais également </w:t>
      </w:r>
      <w:r w:rsidR="000C6C60">
        <w:t xml:space="preserve">à celle </w:t>
      </w:r>
      <w:r w:rsidR="009F59CC">
        <w:t>des hommes et des femmes qui gravitent autour du chapitre cathédral</w:t>
      </w:r>
      <w:r w:rsidR="00A85ACA">
        <w:t xml:space="preserve"> pendant </w:t>
      </w:r>
      <w:r w:rsidR="000C6C60">
        <w:t>plu</w:t>
      </w:r>
      <w:r w:rsidR="00A85ACA">
        <w:t xml:space="preserve">s de </w:t>
      </w:r>
      <w:r w:rsidR="000C6C60">
        <w:t>quatre</w:t>
      </w:r>
      <w:r w:rsidR="00A85ACA">
        <w:t xml:space="preserve"> siècles</w:t>
      </w:r>
      <w:r w:rsidR="009F59CC">
        <w:t>.</w:t>
      </w:r>
      <w:r w:rsidR="000C6C60">
        <w:t xml:space="preserve"> </w:t>
      </w:r>
      <w:r w:rsidR="0034172C">
        <w:t>De fait, l’obituaire aujourd’hui édité est plus qu’un document pratique : il est le « gardien d’une mémoire » (p. 67).</w:t>
      </w:r>
    </w:p>
    <w:sectPr w:rsidR="00775C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0ACFBE" w14:textId="77777777" w:rsidR="00213742" w:rsidRDefault="00213742" w:rsidP="00CD7A5F">
      <w:pPr>
        <w:spacing w:line="240" w:lineRule="auto"/>
      </w:pPr>
      <w:r>
        <w:separator/>
      </w:r>
    </w:p>
  </w:endnote>
  <w:endnote w:type="continuationSeparator" w:id="0">
    <w:p w14:paraId="4DAD1A82" w14:textId="77777777" w:rsidR="00213742" w:rsidRDefault="00213742" w:rsidP="00CD7A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607EE0" w14:textId="77777777" w:rsidR="00213742" w:rsidRDefault="00213742" w:rsidP="00CD7A5F">
      <w:pPr>
        <w:spacing w:line="240" w:lineRule="auto"/>
      </w:pPr>
      <w:r>
        <w:separator/>
      </w:r>
    </w:p>
  </w:footnote>
  <w:footnote w:type="continuationSeparator" w:id="0">
    <w:p w14:paraId="081002FE" w14:textId="77777777" w:rsidR="00213742" w:rsidRDefault="00213742" w:rsidP="00CD7A5F">
      <w:pPr>
        <w:spacing w:line="240" w:lineRule="auto"/>
      </w:pPr>
      <w:r>
        <w:continuationSeparator/>
      </w:r>
    </w:p>
  </w:footnote>
  <w:footnote w:id="1">
    <w:p w14:paraId="19B642C9" w14:textId="745F2253" w:rsidR="00151A62" w:rsidRDefault="00151A62">
      <w:pPr>
        <w:pStyle w:val="Notedebasdepage"/>
      </w:pPr>
      <w:r>
        <w:rPr>
          <w:rStyle w:val="Appelnotedebasdep"/>
        </w:rPr>
        <w:footnoteRef/>
      </w:r>
      <w:r>
        <w:t xml:space="preserve"> Les deux tomes qu’il a précédemment édités sont les tomes</w:t>
      </w:r>
      <w:r w:rsidRPr="00151A62">
        <w:t xml:space="preserve"> IX </w:t>
      </w:r>
      <w:r>
        <w:t>(</w:t>
      </w:r>
      <w:r w:rsidRPr="00151A62">
        <w:t>Les obituaires du chapitre cathédrale Saint-Sauveur et de l’église Sainte-Marie de la Seds d’Aix-en-Provence</w:t>
      </w:r>
      <w:r>
        <w:t xml:space="preserve">) </w:t>
      </w:r>
      <w:r w:rsidRPr="00151A62">
        <w:t xml:space="preserve">et XV </w:t>
      </w:r>
      <w:r>
        <w:t>(</w:t>
      </w:r>
      <w:r w:rsidRPr="00151A62">
        <w:t>Le nécrologe du chapitre cathédral Sainte-Marie et Saint-Castor d’Apt)</w:t>
      </w:r>
      <w:r>
        <w:t>.</w:t>
      </w:r>
    </w:p>
  </w:footnote>
  <w:footnote w:id="2">
    <w:p w14:paraId="664DC13D" w14:textId="48BAAE4B" w:rsidR="0074530E" w:rsidRPr="00671111" w:rsidRDefault="0074530E" w:rsidP="0074530E">
      <w:pPr>
        <w:pStyle w:val="Notedebasdepage"/>
      </w:pPr>
      <w:r>
        <w:rPr>
          <w:rStyle w:val="Appelnotedebasdep"/>
        </w:rPr>
        <w:footnoteRef/>
      </w:r>
      <w:r>
        <w:t xml:space="preserve"> Georges</w:t>
      </w:r>
      <w:r w:rsidR="00FD3739">
        <w:t xml:space="preserve"> de</w:t>
      </w:r>
      <w:r>
        <w:t xml:space="preserve"> </w:t>
      </w:r>
      <w:r w:rsidRPr="00671111">
        <w:rPr>
          <w:smallCaps/>
        </w:rPr>
        <w:t>Manteyer</w:t>
      </w:r>
      <w:r>
        <w:t xml:space="preserve">, </w:t>
      </w:r>
      <w:r w:rsidRPr="00671111">
        <w:rPr>
          <w:i/>
          <w:iCs/>
        </w:rPr>
        <w:t>Le martyrologe lyonnais d’Adon (850), avec ses additions de Besançon (850-886), Brescia (886-1010), Apt (1010-1064) et Toulon (1121)</w:t>
      </w:r>
      <w:r>
        <w:t>, Gap, 1940.</w:t>
      </w:r>
    </w:p>
  </w:footnote>
  <w:footnote w:id="3">
    <w:p w14:paraId="452DB20B" w14:textId="77777777" w:rsidR="00FD3739" w:rsidRPr="00CD7A5F" w:rsidRDefault="00FD3739" w:rsidP="00FD3739">
      <w:pPr>
        <w:pStyle w:val="Notedebasdepage"/>
        <w:rPr>
          <w:lang w:val="fr-FR"/>
        </w:rPr>
      </w:pPr>
      <w:r>
        <w:rPr>
          <w:rStyle w:val="Appelnotedebasdep"/>
        </w:rPr>
        <w:footnoteRef/>
      </w:r>
      <w:r>
        <w:t xml:space="preserve"> </w:t>
      </w:r>
      <w:r w:rsidRPr="00671111">
        <w:t xml:space="preserve">Jacques </w:t>
      </w:r>
      <w:r w:rsidRPr="00671111">
        <w:rPr>
          <w:smallCaps/>
        </w:rPr>
        <w:t>Dubois</w:t>
      </w:r>
      <w:r w:rsidRPr="00671111">
        <w:t xml:space="preserve"> et Geneviève </w:t>
      </w:r>
      <w:r w:rsidRPr="00765B04">
        <w:rPr>
          <w:smallCaps/>
        </w:rPr>
        <w:t>Renaud</w:t>
      </w:r>
      <w:r>
        <w:t xml:space="preserve">, </w:t>
      </w:r>
      <w:r w:rsidRPr="00765B04">
        <w:rPr>
          <w:i/>
          <w:iCs/>
        </w:rPr>
        <w:t>Le martyrologe d’Adon. Ses deux familles, ses trois recensions. Texte et commentaire</w:t>
      </w:r>
      <w:r>
        <w:t>, Paris, 1984.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15D"/>
    <w:rsid w:val="00026E2E"/>
    <w:rsid w:val="00033681"/>
    <w:rsid w:val="00033D5D"/>
    <w:rsid w:val="00082BA9"/>
    <w:rsid w:val="00086D9F"/>
    <w:rsid w:val="000C3134"/>
    <w:rsid w:val="000C6C60"/>
    <w:rsid w:val="000F639C"/>
    <w:rsid w:val="00115DD5"/>
    <w:rsid w:val="00151A62"/>
    <w:rsid w:val="00156D26"/>
    <w:rsid w:val="001670B1"/>
    <w:rsid w:val="001A6D85"/>
    <w:rsid w:val="001A7BEE"/>
    <w:rsid w:val="001B62E4"/>
    <w:rsid w:val="002007DC"/>
    <w:rsid w:val="00201AC3"/>
    <w:rsid w:val="00213742"/>
    <w:rsid w:val="00224348"/>
    <w:rsid w:val="002748E6"/>
    <w:rsid w:val="00291DDE"/>
    <w:rsid w:val="00292467"/>
    <w:rsid w:val="003107D9"/>
    <w:rsid w:val="00311DA7"/>
    <w:rsid w:val="0034172C"/>
    <w:rsid w:val="00447571"/>
    <w:rsid w:val="00461283"/>
    <w:rsid w:val="00462A53"/>
    <w:rsid w:val="0047706C"/>
    <w:rsid w:val="004A0199"/>
    <w:rsid w:val="004C5BD3"/>
    <w:rsid w:val="005A234A"/>
    <w:rsid w:val="005A7451"/>
    <w:rsid w:val="005C3561"/>
    <w:rsid w:val="00623C69"/>
    <w:rsid w:val="006665C0"/>
    <w:rsid w:val="00671111"/>
    <w:rsid w:val="00685B7E"/>
    <w:rsid w:val="00704E92"/>
    <w:rsid w:val="0070763F"/>
    <w:rsid w:val="00707787"/>
    <w:rsid w:val="007319DC"/>
    <w:rsid w:val="0074530E"/>
    <w:rsid w:val="00765B04"/>
    <w:rsid w:val="00775CF1"/>
    <w:rsid w:val="007810E2"/>
    <w:rsid w:val="00785033"/>
    <w:rsid w:val="007B4C85"/>
    <w:rsid w:val="007E44C9"/>
    <w:rsid w:val="007F75BD"/>
    <w:rsid w:val="0082433C"/>
    <w:rsid w:val="00845AC4"/>
    <w:rsid w:val="00855B5D"/>
    <w:rsid w:val="008838E4"/>
    <w:rsid w:val="008F0E7A"/>
    <w:rsid w:val="00987DED"/>
    <w:rsid w:val="00994DDC"/>
    <w:rsid w:val="009A315A"/>
    <w:rsid w:val="009E326F"/>
    <w:rsid w:val="009E7E98"/>
    <w:rsid w:val="009F59CC"/>
    <w:rsid w:val="00A42877"/>
    <w:rsid w:val="00A53388"/>
    <w:rsid w:val="00A63577"/>
    <w:rsid w:val="00A85ACA"/>
    <w:rsid w:val="00A97D57"/>
    <w:rsid w:val="00AB415D"/>
    <w:rsid w:val="00AE6ED2"/>
    <w:rsid w:val="00B5243E"/>
    <w:rsid w:val="00B834A0"/>
    <w:rsid w:val="00B90A0F"/>
    <w:rsid w:val="00B97F04"/>
    <w:rsid w:val="00C13533"/>
    <w:rsid w:val="00C222FC"/>
    <w:rsid w:val="00C50DE6"/>
    <w:rsid w:val="00C634C5"/>
    <w:rsid w:val="00C71A6A"/>
    <w:rsid w:val="00CD7A5F"/>
    <w:rsid w:val="00D10176"/>
    <w:rsid w:val="00D235BF"/>
    <w:rsid w:val="00D316ED"/>
    <w:rsid w:val="00D764B1"/>
    <w:rsid w:val="00D81285"/>
    <w:rsid w:val="00D82E0F"/>
    <w:rsid w:val="00DE6FDF"/>
    <w:rsid w:val="00E01186"/>
    <w:rsid w:val="00E67A8E"/>
    <w:rsid w:val="00EA5A24"/>
    <w:rsid w:val="00F02BA5"/>
    <w:rsid w:val="00F24844"/>
    <w:rsid w:val="00F45EE7"/>
    <w:rsid w:val="00F522F1"/>
    <w:rsid w:val="00F53BBF"/>
    <w:rsid w:val="00FD3739"/>
    <w:rsid w:val="00FF44C1"/>
    <w:rsid w:val="00FF5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4F163"/>
  <w15:chartTrackingRefBased/>
  <w15:docId w15:val="{8F5AABB9-CD80-4047-8431-EE569D938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BBF"/>
    <w:pPr>
      <w:spacing w:after="0" w:line="360" w:lineRule="auto"/>
      <w:ind w:firstLine="709"/>
      <w:jc w:val="both"/>
    </w:pPr>
    <w:rPr>
      <w:rFonts w:ascii="Times New Roman" w:hAnsi="Times New Roman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F53BBF"/>
    <w:pPr>
      <w:keepNext/>
      <w:keepLines/>
      <w:spacing w:before="240" w:after="240"/>
      <w:ind w:firstLine="0"/>
      <w:outlineLvl w:val="0"/>
    </w:pPr>
    <w:rPr>
      <w:rFonts w:eastAsiaTheme="majorEastAsia" w:cstheme="majorBidi"/>
      <w:b/>
      <w:sz w:val="28"/>
      <w:szCs w:val="32"/>
    </w:rPr>
  </w:style>
  <w:style w:type="paragraph" w:styleId="Titre2">
    <w:name w:val="heading 2"/>
    <w:basedOn w:val="Titre1"/>
    <w:next w:val="Normal"/>
    <w:link w:val="Titre2Car"/>
    <w:uiPriority w:val="9"/>
    <w:qFormat/>
    <w:rsid w:val="00F53BBF"/>
    <w:pPr>
      <w:spacing w:before="120" w:after="120"/>
      <w:ind w:left="709"/>
      <w:outlineLvl w:val="1"/>
    </w:pPr>
    <w:rPr>
      <w:b w:val="0"/>
      <w:i/>
      <w:sz w:val="24"/>
      <w:szCs w:val="26"/>
    </w:rPr>
  </w:style>
  <w:style w:type="paragraph" w:styleId="Titre3">
    <w:name w:val="heading 3"/>
    <w:basedOn w:val="Titre2"/>
    <w:next w:val="Normal"/>
    <w:link w:val="Titre3Car"/>
    <w:uiPriority w:val="9"/>
    <w:unhideWhenUsed/>
    <w:qFormat/>
    <w:rsid w:val="00F53BBF"/>
    <w:pPr>
      <w:spacing w:before="40"/>
      <w:outlineLvl w:val="2"/>
    </w:pPr>
    <w:rPr>
      <w:i w:val="0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basedOn w:val="Normal"/>
    <w:link w:val="SansinterligneCar"/>
    <w:uiPriority w:val="1"/>
    <w:unhideWhenUsed/>
    <w:qFormat/>
    <w:rsid w:val="00F53BBF"/>
    <w:pPr>
      <w:spacing w:line="240" w:lineRule="auto"/>
    </w:pPr>
    <w:rPr>
      <w:rFonts w:eastAsiaTheme="minorEastAsia"/>
      <w:lang w:eastAsia="fr-BE"/>
    </w:rPr>
  </w:style>
  <w:style w:type="character" w:customStyle="1" w:styleId="SansinterligneCar">
    <w:name w:val="Sans interligne Car"/>
    <w:basedOn w:val="Policepardfaut"/>
    <w:link w:val="Sansinterligne"/>
    <w:uiPriority w:val="1"/>
    <w:rsid w:val="00F53BBF"/>
    <w:rPr>
      <w:rFonts w:ascii="Times New Roman" w:eastAsiaTheme="minorEastAsia" w:hAnsi="Times New Roman"/>
      <w:sz w:val="24"/>
      <w:lang w:eastAsia="fr-BE"/>
    </w:rPr>
  </w:style>
  <w:style w:type="character" w:customStyle="1" w:styleId="Titre2Car">
    <w:name w:val="Titre 2 Car"/>
    <w:basedOn w:val="Policepardfaut"/>
    <w:link w:val="Titre2"/>
    <w:uiPriority w:val="9"/>
    <w:rsid w:val="00F53BBF"/>
    <w:rPr>
      <w:rFonts w:ascii="Times New Roman" w:eastAsiaTheme="majorEastAsia" w:hAnsi="Times New Roman" w:cstheme="majorBidi"/>
      <w:i/>
      <w:sz w:val="24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F53BBF"/>
    <w:rPr>
      <w:rFonts w:ascii="Times New Roman" w:eastAsiaTheme="majorEastAsia" w:hAnsi="Times New Roman" w:cstheme="majorBidi"/>
      <w:b/>
      <w:sz w:val="28"/>
      <w:szCs w:val="32"/>
    </w:rPr>
  </w:style>
  <w:style w:type="paragraph" w:styleId="Titre">
    <w:name w:val="Title"/>
    <w:basedOn w:val="Normal"/>
    <w:next w:val="Normal"/>
    <w:link w:val="TitreCar"/>
    <w:uiPriority w:val="10"/>
    <w:qFormat/>
    <w:rsid w:val="00F53BBF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53BBF"/>
    <w:rPr>
      <w:rFonts w:ascii="Times New Roman" w:eastAsiaTheme="majorEastAsia" w:hAnsi="Times New Roman" w:cstheme="majorBidi"/>
      <w:spacing w:val="-10"/>
      <w:kern w:val="28"/>
      <w:sz w:val="52"/>
      <w:szCs w:val="56"/>
    </w:rPr>
  </w:style>
  <w:style w:type="paragraph" w:styleId="Notedebasdepage">
    <w:name w:val="footnote text"/>
    <w:basedOn w:val="Normal"/>
    <w:link w:val="NotedebasdepageCar"/>
    <w:uiPriority w:val="99"/>
    <w:rsid w:val="00F53BBF"/>
    <w:pPr>
      <w:spacing w:line="240" w:lineRule="auto"/>
      <w:ind w:firstLine="0"/>
      <w:contextualSpacing/>
    </w:pPr>
    <w:rPr>
      <w:spacing w:val="2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F53BBF"/>
    <w:rPr>
      <w:rFonts w:ascii="Times New Roman" w:hAnsi="Times New Roman"/>
      <w:spacing w:val="2"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F53BBF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BBF"/>
    <w:rPr>
      <w:rFonts w:ascii="Times New Roman" w:hAnsi="Times New Roman"/>
      <w:sz w:val="24"/>
    </w:rPr>
  </w:style>
  <w:style w:type="paragraph" w:styleId="Pieddepage">
    <w:name w:val="footer"/>
    <w:basedOn w:val="Normal"/>
    <w:link w:val="PieddepageCar"/>
    <w:uiPriority w:val="99"/>
    <w:rsid w:val="00F53BBF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BBF"/>
    <w:rPr>
      <w:rFonts w:ascii="Times New Roman" w:hAnsi="Times New Roman"/>
      <w:sz w:val="24"/>
    </w:rPr>
  </w:style>
  <w:style w:type="character" w:styleId="Appelnotedebasdep">
    <w:name w:val="footnote reference"/>
    <w:basedOn w:val="Policepardfaut"/>
    <w:uiPriority w:val="99"/>
    <w:semiHidden/>
    <w:unhideWhenUsed/>
    <w:rsid w:val="00F53BBF"/>
    <w:rPr>
      <w:vertAlign w:val="superscript"/>
    </w:rPr>
  </w:style>
  <w:style w:type="paragraph" w:styleId="Paragraphedeliste">
    <w:name w:val="List Paragraph"/>
    <w:basedOn w:val="Normal"/>
    <w:uiPriority w:val="34"/>
    <w:unhideWhenUsed/>
    <w:qFormat/>
    <w:rsid w:val="00F53BBF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704E92"/>
    <w:pPr>
      <w:spacing w:after="120" w:line="240" w:lineRule="auto"/>
      <w:ind w:left="709" w:firstLine="0"/>
      <w:textboxTightWrap w:val="firstAndLastLine"/>
      <w:outlineLvl w:val="0"/>
    </w:pPr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704E92"/>
    <w:rPr>
      <w:rFonts w:ascii="Times New Roman" w:hAnsi="Times New Roman"/>
      <w:i/>
      <w:iCs/>
      <w:sz w:val="24"/>
    </w:rPr>
  </w:style>
  <w:style w:type="character" w:customStyle="1" w:styleId="Titre3Car">
    <w:name w:val="Titre 3 Car"/>
    <w:basedOn w:val="Policepardfaut"/>
    <w:link w:val="Titre3"/>
    <w:uiPriority w:val="9"/>
    <w:rsid w:val="00F53BBF"/>
    <w:rPr>
      <w:rFonts w:ascii="Times New Roman" w:eastAsiaTheme="majorEastAsia" w:hAnsi="Times New Roman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2</Pages>
  <Words>830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Eléonore Venturelli</dc:creator>
  <cp:keywords/>
  <dc:description/>
  <cp:lastModifiedBy>Eléonore Venturelli</cp:lastModifiedBy>
  <cp:revision>13</cp:revision>
  <dcterms:created xsi:type="dcterms:W3CDTF">2021-06-16T12:16:00Z</dcterms:created>
  <dcterms:modified xsi:type="dcterms:W3CDTF">2021-06-22T08:29:00Z</dcterms:modified>
</cp:coreProperties>
</file>