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0DE2B" w14:textId="77777777" w:rsidR="00B26CDC" w:rsidRPr="008C04EC" w:rsidRDefault="00B26CDC" w:rsidP="00B26CDC">
      <w:pPr>
        <w:spacing w:after="0" w:line="240" w:lineRule="auto"/>
        <w:contextualSpacing/>
        <w:jc w:val="center"/>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t>Determining t</w:t>
      </w:r>
      <w:r w:rsidRPr="008C04EC">
        <w:rPr>
          <w:rFonts w:ascii="Times New Roman" w:hAnsi="Times New Roman" w:cs="Times New Roman"/>
          <w:b/>
          <w:color w:val="000000" w:themeColor="text1"/>
          <w:sz w:val="24"/>
          <w:szCs w:val="24"/>
          <w:lang w:val="en-GB"/>
        </w:rPr>
        <w:t>he Antecedents of Dynamic Supply Chain Capabilities</w:t>
      </w:r>
    </w:p>
    <w:p w14:paraId="7AB7DBE1" w14:textId="77777777" w:rsidR="00B26CDC" w:rsidRDefault="00B26CDC" w:rsidP="00B26CDC">
      <w:pPr>
        <w:spacing w:after="0" w:line="240" w:lineRule="auto"/>
        <w:contextualSpacing/>
        <w:jc w:val="center"/>
        <w:rPr>
          <w:rFonts w:ascii="Times New Roman" w:eastAsia="Calibri" w:hAnsi="Times New Roman" w:cs="Times New Roman"/>
          <w:b/>
          <w:sz w:val="24"/>
          <w:lang w:val="en-GB"/>
        </w:rPr>
      </w:pPr>
    </w:p>
    <w:p w14:paraId="7A7B32C8" w14:textId="77777777" w:rsidR="00B26CDC" w:rsidRDefault="00B26CDC" w:rsidP="00B26CDC">
      <w:pPr>
        <w:spacing w:after="0" w:line="240" w:lineRule="auto"/>
        <w:contextualSpacing/>
        <w:jc w:val="center"/>
        <w:rPr>
          <w:rFonts w:ascii="Times New Roman" w:eastAsia="Calibri" w:hAnsi="Times New Roman" w:cs="Times New Roman"/>
          <w:b/>
          <w:sz w:val="24"/>
          <w:lang w:val="en-GB"/>
        </w:rPr>
      </w:pPr>
    </w:p>
    <w:p w14:paraId="63582029" w14:textId="77777777" w:rsidR="00B26CDC" w:rsidRDefault="00B26CDC" w:rsidP="00B26CDC">
      <w:pPr>
        <w:spacing w:after="0" w:line="240" w:lineRule="auto"/>
        <w:contextualSpacing/>
        <w:jc w:val="center"/>
        <w:rPr>
          <w:rFonts w:ascii="Times New Roman" w:eastAsia="Calibri" w:hAnsi="Times New Roman" w:cs="Times New Roman"/>
          <w:b/>
          <w:sz w:val="24"/>
          <w:lang w:val="en-GB"/>
        </w:rPr>
      </w:pPr>
    </w:p>
    <w:p w14:paraId="46D6A853" w14:textId="77777777" w:rsidR="00B26CDC" w:rsidRPr="00EA6965" w:rsidRDefault="00B26CDC" w:rsidP="00B26CDC">
      <w:pPr>
        <w:spacing w:after="0" w:line="240" w:lineRule="auto"/>
        <w:contextualSpacing/>
        <w:jc w:val="center"/>
        <w:rPr>
          <w:rFonts w:ascii="Times New Roman" w:eastAsia="Calibri" w:hAnsi="Times New Roman" w:cs="Times New Roman"/>
          <w:b/>
          <w:sz w:val="24"/>
          <w:lang w:val="en-GB"/>
        </w:rPr>
      </w:pPr>
      <w:r w:rsidRPr="00EA6965">
        <w:rPr>
          <w:rFonts w:ascii="Times New Roman" w:eastAsia="Calibri" w:hAnsi="Times New Roman" w:cs="Times New Roman"/>
          <w:b/>
          <w:sz w:val="24"/>
          <w:lang w:val="en-GB"/>
        </w:rPr>
        <w:t>Haris Aslam</w:t>
      </w:r>
    </w:p>
    <w:p w14:paraId="3404536B"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University of Management and Technology</w:t>
      </w:r>
    </w:p>
    <w:p w14:paraId="2500EC7D"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School of Business and Economics, Lahore, Pakistan</w:t>
      </w:r>
    </w:p>
    <w:p w14:paraId="2F7D4F3A"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C II, Johar Town, Lahore, Pakistan</w:t>
      </w:r>
    </w:p>
    <w:p w14:paraId="75553969"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++92 042 111300200 (Ext 3364)</w:t>
      </w:r>
    </w:p>
    <w:p w14:paraId="61886D13"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p>
    <w:p w14:paraId="49CD5C86" w14:textId="77777777" w:rsidR="00B26CDC" w:rsidRPr="00EA6965" w:rsidRDefault="00B26CDC" w:rsidP="00B26CDC">
      <w:pPr>
        <w:spacing w:after="0" w:line="240" w:lineRule="auto"/>
        <w:contextualSpacing/>
        <w:jc w:val="center"/>
        <w:rPr>
          <w:rFonts w:ascii="Times New Roman" w:eastAsia="Calibri" w:hAnsi="Times New Roman" w:cs="Times New Roman"/>
          <w:b/>
          <w:sz w:val="24"/>
        </w:rPr>
      </w:pPr>
      <w:r w:rsidRPr="00EA6965">
        <w:rPr>
          <w:rFonts w:ascii="Times New Roman" w:eastAsia="Calibri" w:hAnsi="Times New Roman" w:cs="Times New Roman"/>
          <w:b/>
          <w:sz w:val="24"/>
        </w:rPr>
        <w:t>Constantin Blome</w:t>
      </w:r>
    </w:p>
    <w:p w14:paraId="66636CB9"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University of Sussex</w:t>
      </w:r>
    </w:p>
    <w:p w14:paraId="0F4EF291"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School of Business, Management and Economics</w:t>
      </w:r>
    </w:p>
    <w:p w14:paraId="62BC53BB"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Falmer, Brighton, BN1 9SL, UK</w:t>
      </w:r>
      <w:r w:rsidRPr="00EA6965">
        <w:rPr>
          <w:rFonts w:ascii="Times New Roman" w:eastAsia="Calibri" w:hAnsi="Times New Roman" w:cs="Times New Roman"/>
          <w:sz w:val="24"/>
        </w:rPr>
        <w:br/>
        <w:t>+44 1273 877203</w:t>
      </w:r>
    </w:p>
    <w:p w14:paraId="6DE50978" w14:textId="77777777" w:rsidR="00B26CDC" w:rsidRDefault="00B26CDC" w:rsidP="00B26CDC">
      <w:pPr>
        <w:spacing w:after="0" w:line="240" w:lineRule="auto"/>
        <w:contextualSpacing/>
        <w:jc w:val="center"/>
        <w:rPr>
          <w:rFonts w:ascii="Times New Roman" w:eastAsia="Calibri" w:hAnsi="Times New Roman" w:cs="Times New Roman"/>
          <w:sz w:val="24"/>
        </w:rPr>
      </w:pPr>
    </w:p>
    <w:p w14:paraId="06A926F3" w14:textId="77777777" w:rsidR="00B26CDC" w:rsidRPr="00F33E8D" w:rsidRDefault="00B26CDC" w:rsidP="00B26CDC">
      <w:pPr>
        <w:spacing w:after="0" w:line="240" w:lineRule="auto"/>
        <w:contextualSpacing/>
        <w:jc w:val="center"/>
        <w:rPr>
          <w:rFonts w:ascii="Times New Roman" w:eastAsia="Calibri" w:hAnsi="Times New Roman" w:cs="Times New Roman"/>
          <w:b/>
          <w:sz w:val="24"/>
        </w:rPr>
      </w:pPr>
      <w:r w:rsidRPr="00F33E8D">
        <w:rPr>
          <w:rFonts w:ascii="Times New Roman" w:eastAsia="Calibri" w:hAnsi="Times New Roman" w:cs="Times New Roman"/>
          <w:b/>
          <w:sz w:val="24"/>
        </w:rPr>
        <w:t>Samuel Roscoe</w:t>
      </w:r>
    </w:p>
    <w:p w14:paraId="2247F08D"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University of Sussex</w:t>
      </w:r>
    </w:p>
    <w:p w14:paraId="3CE41482"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School of Business, Management and Economics</w:t>
      </w:r>
    </w:p>
    <w:p w14:paraId="14F39D6A" w14:textId="77777777" w:rsidR="00B26CDC" w:rsidRDefault="00B26CDC" w:rsidP="00B26CDC">
      <w:pPr>
        <w:spacing w:after="0" w:line="240" w:lineRule="auto"/>
        <w:contextualSpacing/>
        <w:jc w:val="center"/>
        <w:rPr>
          <w:rFonts w:ascii="Times New Roman" w:eastAsia="Calibri" w:hAnsi="Times New Roman" w:cs="Times New Roman"/>
          <w:sz w:val="24"/>
        </w:rPr>
      </w:pPr>
      <w:r w:rsidRPr="00EA6965">
        <w:rPr>
          <w:rFonts w:ascii="Times New Roman" w:eastAsia="Calibri" w:hAnsi="Times New Roman" w:cs="Times New Roman"/>
          <w:sz w:val="24"/>
        </w:rPr>
        <w:t>Falmer, Brighton, BN1 9SL, UK</w:t>
      </w:r>
      <w:r w:rsidRPr="00EA6965">
        <w:rPr>
          <w:rFonts w:ascii="Times New Roman" w:eastAsia="Calibri" w:hAnsi="Times New Roman" w:cs="Times New Roman"/>
          <w:sz w:val="24"/>
        </w:rPr>
        <w:br/>
        <w:t>+44 1273 8772</w:t>
      </w:r>
      <w:r>
        <w:rPr>
          <w:rFonts w:ascii="Times New Roman" w:eastAsia="Calibri" w:hAnsi="Times New Roman" w:cs="Times New Roman"/>
          <w:sz w:val="24"/>
        </w:rPr>
        <w:t>03</w:t>
      </w:r>
    </w:p>
    <w:p w14:paraId="60EAAB58" w14:textId="77777777" w:rsidR="00B26CDC" w:rsidRPr="00EA6965" w:rsidRDefault="00B26CDC" w:rsidP="00B26CDC">
      <w:pPr>
        <w:spacing w:after="0" w:line="240" w:lineRule="auto"/>
        <w:contextualSpacing/>
        <w:jc w:val="center"/>
        <w:rPr>
          <w:rFonts w:ascii="Times New Roman" w:eastAsia="Calibri" w:hAnsi="Times New Roman" w:cs="Times New Roman"/>
          <w:sz w:val="24"/>
        </w:rPr>
      </w:pPr>
    </w:p>
    <w:p w14:paraId="25BC45E2" w14:textId="77777777" w:rsidR="00B26CDC" w:rsidRPr="00EA6965" w:rsidRDefault="00B26CDC" w:rsidP="00B26CDC">
      <w:pPr>
        <w:spacing w:after="0" w:line="240" w:lineRule="auto"/>
        <w:contextualSpacing/>
        <w:jc w:val="center"/>
        <w:rPr>
          <w:rFonts w:ascii="Times New Roman" w:eastAsia="Calibri" w:hAnsi="Times New Roman" w:cs="Times New Roman"/>
          <w:b/>
          <w:sz w:val="24"/>
        </w:rPr>
      </w:pPr>
      <w:r w:rsidRPr="00EA6965">
        <w:rPr>
          <w:rFonts w:ascii="Times New Roman" w:eastAsia="Calibri" w:hAnsi="Times New Roman" w:cs="Times New Roman"/>
          <w:b/>
          <w:sz w:val="24"/>
        </w:rPr>
        <w:t>Tashfeen M. Azhar</w:t>
      </w:r>
    </w:p>
    <w:p w14:paraId="42D1ACB1"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University of Management and Technology</w:t>
      </w:r>
    </w:p>
    <w:p w14:paraId="00DAE7FC"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School of Business and Economics, Lahore, Pakistan</w:t>
      </w:r>
    </w:p>
    <w:p w14:paraId="69024E50"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C II, Johar Town, Lahore, Pakistan</w:t>
      </w:r>
    </w:p>
    <w:p w14:paraId="188353DE" w14:textId="77777777" w:rsidR="00B26CDC" w:rsidRPr="00EA6965" w:rsidRDefault="00B26CDC" w:rsidP="00B26CDC">
      <w:pPr>
        <w:spacing w:after="0" w:line="240" w:lineRule="auto"/>
        <w:contextualSpacing/>
        <w:jc w:val="center"/>
        <w:rPr>
          <w:rFonts w:ascii="Times New Roman" w:eastAsia="Calibri" w:hAnsi="Times New Roman" w:cs="Times New Roman"/>
          <w:sz w:val="24"/>
          <w:lang w:val="en-GB"/>
        </w:rPr>
      </w:pPr>
      <w:r w:rsidRPr="00EA6965">
        <w:rPr>
          <w:rFonts w:ascii="Times New Roman" w:eastAsia="Calibri" w:hAnsi="Times New Roman" w:cs="Times New Roman"/>
          <w:sz w:val="24"/>
          <w:lang w:val="en-GB"/>
        </w:rPr>
        <w:t>++92 042 111300200 (Ext 3357)</w:t>
      </w:r>
    </w:p>
    <w:p w14:paraId="013533CF" w14:textId="77777777" w:rsidR="00B26CDC" w:rsidRDefault="00B26CDC" w:rsidP="00B26CDC">
      <w:pPr>
        <w:spacing w:after="160" w:line="259" w:lineRule="auto"/>
      </w:pPr>
      <w:r>
        <w:br w:type="page"/>
      </w:r>
    </w:p>
    <w:p w14:paraId="71113C9A" w14:textId="77777777" w:rsidR="00B26CDC" w:rsidRPr="008C04EC" w:rsidRDefault="00B26CDC" w:rsidP="00B26CDC">
      <w:pPr>
        <w:spacing w:after="0" w:line="240" w:lineRule="auto"/>
        <w:contextualSpacing/>
        <w:jc w:val="center"/>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lastRenderedPageBreak/>
        <w:t>Determining t</w:t>
      </w:r>
      <w:r w:rsidRPr="008C04EC">
        <w:rPr>
          <w:rFonts w:ascii="Times New Roman" w:hAnsi="Times New Roman" w:cs="Times New Roman"/>
          <w:b/>
          <w:color w:val="000000" w:themeColor="text1"/>
          <w:sz w:val="24"/>
          <w:szCs w:val="24"/>
          <w:lang w:val="en-GB"/>
        </w:rPr>
        <w:t>he Antecedents of Dynamic Supply Chain Capabilities</w:t>
      </w:r>
    </w:p>
    <w:p w14:paraId="3D4EC6D3" w14:textId="77777777" w:rsidR="00B26CDC" w:rsidRPr="008C04EC" w:rsidRDefault="00B26CDC" w:rsidP="00B26CDC">
      <w:pPr>
        <w:spacing w:after="0" w:line="240" w:lineRule="auto"/>
        <w:contextualSpacing/>
        <w:jc w:val="center"/>
        <w:rPr>
          <w:rFonts w:ascii="Times New Roman" w:eastAsia="Calibri" w:hAnsi="Times New Roman" w:cs="Times New Roman"/>
          <w:b/>
          <w:color w:val="000000" w:themeColor="text1"/>
          <w:sz w:val="24"/>
          <w:lang w:val="en-GB"/>
        </w:rPr>
      </w:pPr>
    </w:p>
    <w:p w14:paraId="122E5ACE" w14:textId="77777777" w:rsidR="00B26CDC" w:rsidRDefault="00B26CDC" w:rsidP="00B26CDC">
      <w:pPr>
        <w:spacing w:after="0" w:line="240" w:lineRule="auto"/>
        <w:jc w:val="both"/>
        <w:rPr>
          <w:rFonts w:ascii="Times New Roman" w:hAnsi="Times New Roman" w:cs="Times New Roman"/>
          <w:b/>
          <w:color w:val="000000" w:themeColor="text1"/>
          <w:sz w:val="24"/>
          <w:szCs w:val="24"/>
          <w:lang w:val="en-GB"/>
        </w:rPr>
      </w:pPr>
    </w:p>
    <w:p w14:paraId="175E559F" w14:textId="77777777" w:rsidR="00B26CDC" w:rsidRPr="008C04EC" w:rsidRDefault="00B26CDC" w:rsidP="00B26CDC">
      <w:pPr>
        <w:spacing w:after="0" w:line="240" w:lineRule="auto"/>
        <w:jc w:val="both"/>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t>Abstract</w:t>
      </w:r>
    </w:p>
    <w:p w14:paraId="190784DD" w14:textId="77777777" w:rsidR="00B26CDC" w:rsidRPr="008C04EC" w:rsidRDefault="00B26CDC" w:rsidP="00B26CDC">
      <w:pPr>
        <w:spacing w:after="0" w:line="240" w:lineRule="auto"/>
        <w:jc w:val="both"/>
        <w:rPr>
          <w:rFonts w:ascii="Times New Roman" w:hAnsi="Times New Roman" w:cs="Times New Roman"/>
          <w:b/>
          <w:color w:val="000000" w:themeColor="text1"/>
          <w:sz w:val="24"/>
          <w:szCs w:val="24"/>
          <w:lang w:val="en-GB"/>
        </w:rPr>
      </w:pPr>
    </w:p>
    <w:p w14:paraId="5080CC6E" w14:textId="77777777" w:rsidR="00B26CDC" w:rsidRDefault="00B26CDC" w:rsidP="00B26CDC">
      <w:pPr>
        <w:spacing w:after="0" w:line="24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b/>
          <w:color w:val="000000" w:themeColor="text1"/>
          <w:sz w:val="24"/>
          <w:szCs w:val="24"/>
          <w:lang w:val="en-GB"/>
        </w:rPr>
        <w:t xml:space="preserve">Purpose: </w:t>
      </w:r>
      <w:r w:rsidRPr="008C04EC">
        <w:rPr>
          <w:rFonts w:ascii="Times New Roman" w:hAnsi="Times New Roman" w:cs="Times New Roman"/>
          <w:color w:val="000000" w:themeColor="text1"/>
          <w:sz w:val="24"/>
          <w:szCs w:val="24"/>
          <w:lang w:val="en-GB"/>
        </w:rPr>
        <w:t>The purpose of this paper is to</w:t>
      </w:r>
      <w:r>
        <w:rPr>
          <w:rFonts w:ascii="Times New Roman" w:hAnsi="Times New Roman" w:cs="Times New Roman"/>
          <w:color w:val="000000" w:themeColor="text1"/>
          <w:sz w:val="24"/>
          <w:szCs w:val="24"/>
          <w:lang w:val="en-GB"/>
        </w:rPr>
        <w:t xml:space="preserve"> determine the antecedents of </w:t>
      </w:r>
      <w:r w:rsidRPr="008C04EC">
        <w:rPr>
          <w:rFonts w:ascii="Times New Roman" w:hAnsi="Times New Roman" w:cs="Times New Roman"/>
          <w:color w:val="000000" w:themeColor="text1"/>
          <w:sz w:val="24"/>
          <w:szCs w:val="24"/>
          <w:lang w:val="en-GB"/>
        </w:rPr>
        <w:t>Dynamic Supply Chain Capabilities</w:t>
      </w:r>
      <w:r>
        <w:rPr>
          <w:rFonts w:ascii="Times New Roman" w:hAnsi="Times New Roman" w:cs="Times New Roman"/>
          <w:color w:val="000000" w:themeColor="text1"/>
          <w:sz w:val="24"/>
          <w:szCs w:val="24"/>
          <w:lang w:val="en-GB"/>
        </w:rPr>
        <w:t xml:space="preserve"> (DSCCs). We</w:t>
      </w:r>
      <w:r w:rsidRPr="008C04EC">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test entrepreneurial orientation and supply chain learning orientation as two antecedents of DSCCs.</w:t>
      </w:r>
    </w:p>
    <w:p w14:paraId="782F7000" w14:textId="77777777" w:rsidR="00B26CDC" w:rsidRPr="001439FE" w:rsidRDefault="00B26CDC" w:rsidP="00B26CDC">
      <w:pPr>
        <w:spacing w:after="0" w:line="24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b/>
          <w:color w:val="000000" w:themeColor="text1"/>
          <w:sz w:val="24"/>
          <w:szCs w:val="24"/>
          <w:lang w:val="en-GB"/>
        </w:rPr>
        <w:t xml:space="preserve">Design: </w:t>
      </w:r>
      <w:r>
        <w:rPr>
          <w:rFonts w:ascii="Times New Roman" w:hAnsi="Times New Roman" w:cs="Times New Roman"/>
          <w:color w:val="000000" w:themeColor="text1"/>
          <w:sz w:val="24"/>
          <w:szCs w:val="24"/>
          <w:lang w:val="en-GB"/>
        </w:rPr>
        <w:t xml:space="preserve">The paper uses </w:t>
      </w:r>
      <w:r w:rsidRPr="008C04EC">
        <w:rPr>
          <w:rStyle w:val="normaltextrun"/>
          <w:rFonts w:ascii="Times New Roman" w:hAnsi="Times New Roman" w:cs="Times New Roman"/>
          <w:color w:val="000000" w:themeColor="text1"/>
          <w:sz w:val="24"/>
          <w:szCs w:val="24"/>
          <w:lang w:val="en-GB"/>
        </w:rPr>
        <w:t xml:space="preserve">structural equation modelling </w:t>
      </w:r>
      <w:r>
        <w:rPr>
          <w:rStyle w:val="normaltextrun"/>
          <w:rFonts w:ascii="Times New Roman" w:hAnsi="Times New Roman" w:cs="Times New Roman"/>
          <w:color w:val="000000" w:themeColor="text1"/>
          <w:sz w:val="24"/>
          <w:szCs w:val="24"/>
          <w:lang w:val="en-GB"/>
        </w:rPr>
        <w:t xml:space="preserve">to </w:t>
      </w:r>
      <w:r w:rsidRPr="008C04EC">
        <w:rPr>
          <w:rStyle w:val="normaltextrun"/>
          <w:rFonts w:ascii="Times New Roman" w:hAnsi="Times New Roman" w:cs="Times New Roman"/>
          <w:color w:val="000000" w:themeColor="text1"/>
          <w:sz w:val="24"/>
          <w:szCs w:val="24"/>
          <w:lang w:val="en-GB"/>
        </w:rPr>
        <w:t>test</w:t>
      </w:r>
      <w:r>
        <w:rPr>
          <w:rStyle w:val="normaltextrun"/>
          <w:rFonts w:ascii="Times New Roman" w:hAnsi="Times New Roman" w:cs="Times New Roman"/>
          <w:color w:val="000000" w:themeColor="text1"/>
          <w:sz w:val="24"/>
          <w:szCs w:val="24"/>
          <w:lang w:val="en-GB"/>
        </w:rPr>
        <w:t xml:space="preserve"> a hypothetical model. </w:t>
      </w:r>
      <w:r>
        <w:rPr>
          <w:rStyle w:val="fontstyle21"/>
          <w:rFonts w:ascii="Times New Roman" w:hAnsi="Times New Roman" w:cs="Times New Roman"/>
          <w:color w:val="000000" w:themeColor="text1"/>
          <w:sz w:val="24"/>
          <w:szCs w:val="24"/>
          <w:lang w:val="en-GB"/>
        </w:rPr>
        <w:t>Data are</w:t>
      </w:r>
      <w:r w:rsidRPr="008C04EC">
        <w:rPr>
          <w:rStyle w:val="normaltextrun"/>
          <w:rFonts w:ascii="Times New Roman" w:hAnsi="Times New Roman" w:cs="Times New Roman"/>
          <w:color w:val="000000" w:themeColor="text1"/>
          <w:sz w:val="24"/>
          <w:szCs w:val="24"/>
          <w:lang w:val="en-GB"/>
        </w:rPr>
        <w:t xml:space="preserve"> gathered from a survey of 275 operations managers in Pakistan’s turbulent manufacturing industry</w:t>
      </w:r>
      <w:r>
        <w:rPr>
          <w:rFonts w:ascii="Times New Roman" w:hAnsi="Times New Roman" w:cs="Times New Roman"/>
          <w:color w:val="000000" w:themeColor="text1"/>
          <w:sz w:val="24"/>
          <w:szCs w:val="24"/>
          <w:lang w:val="en-GB"/>
        </w:rPr>
        <w:t>.</w:t>
      </w:r>
    </w:p>
    <w:p w14:paraId="4EE89A3F" w14:textId="77777777" w:rsidR="00B26CDC" w:rsidRPr="008C04EC" w:rsidRDefault="00B26CDC" w:rsidP="00B26CDC">
      <w:pPr>
        <w:spacing w:after="0" w:line="24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b/>
          <w:color w:val="000000" w:themeColor="text1"/>
          <w:sz w:val="24"/>
          <w:szCs w:val="24"/>
          <w:lang w:val="en-GB"/>
        </w:rPr>
        <w:t xml:space="preserve">Findings: </w:t>
      </w:r>
      <w:r w:rsidRPr="008C04EC">
        <w:rPr>
          <w:rFonts w:ascii="Times New Roman" w:hAnsi="Times New Roman" w:cs="Times New Roman"/>
          <w:color w:val="000000" w:themeColor="text1"/>
          <w:sz w:val="24"/>
          <w:szCs w:val="24"/>
          <w:lang w:val="en-GB"/>
        </w:rPr>
        <w:t>The findings suggest that</w:t>
      </w:r>
      <w:r w:rsidRPr="008C04EC">
        <w:rPr>
          <w:rStyle w:val="normaltextrun"/>
          <w:rFonts w:ascii="Times New Roman" w:hAnsi="Times New Roman" w:cs="Times New Roman"/>
          <w:color w:val="000000" w:themeColor="text1"/>
          <w:sz w:val="24"/>
          <w:szCs w:val="24"/>
          <w:lang w:val="en-GB"/>
        </w:rPr>
        <w:t xml:space="preserve"> </w:t>
      </w:r>
      <w:r>
        <w:rPr>
          <w:rStyle w:val="normaltextrun"/>
          <w:rFonts w:ascii="Times New Roman" w:hAnsi="Times New Roman" w:cs="Times New Roman"/>
          <w:color w:val="000000" w:themeColor="text1"/>
          <w:sz w:val="24"/>
          <w:szCs w:val="24"/>
          <w:lang w:val="en-GB"/>
        </w:rPr>
        <w:t xml:space="preserve">the </w:t>
      </w:r>
      <w:r w:rsidRPr="008C04EC">
        <w:rPr>
          <w:rFonts w:ascii="Times New Roman" w:hAnsi="Times New Roman" w:cs="Times New Roman"/>
          <w:color w:val="000000" w:themeColor="text1"/>
          <w:sz w:val="24"/>
          <w:szCs w:val="24"/>
          <w:lang w:val="en-GB"/>
        </w:rPr>
        <w:t xml:space="preserve">weaker direct effects of entrepreneurial orientation, in comparison to the indirect effects, indicate that a supply chain learning orientation mediates the relationship between entrepreneurial orientation and DSCCs. </w:t>
      </w:r>
    </w:p>
    <w:p w14:paraId="4C72529B" w14:textId="77777777" w:rsidR="00B26CDC" w:rsidRPr="008C04EC" w:rsidRDefault="00B26CDC" w:rsidP="00B26CDC">
      <w:pPr>
        <w:spacing w:after="0" w:line="240" w:lineRule="auto"/>
        <w:jc w:val="both"/>
        <w:rPr>
          <w:rFonts w:ascii="Times New Roman" w:hAnsi="Times New Roman" w:cs="Times New Roman"/>
          <w:color w:val="000000" w:themeColor="text1"/>
          <w:sz w:val="24"/>
          <w:szCs w:val="24"/>
          <w:lang w:val="en-GB"/>
        </w:rPr>
      </w:pPr>
      <w:r w:rsidRPr="008C04EC">
        <w:rPr>
          <w:rFonts w:ascii="Times New Roman" w:eastAsia="Times New Roman" w:hAnsi="Times New Roman" w:cs="Times New Roman"/>
          <w:b/>
          <w:color w:val="000000" w:themeColor="text1"/>
          <w:sz w:val="24"/>
          <w:szCs w:val="24"/>
          <w:lang w:val="en-GB"/>
        </w:rPr>
        <w:t>Research implications:</w:t>
      </w:r>
      <w:r w:rsidRPr="008C04EC">
        <w:rPr>
          <w:rFonts w:ascii="Times New Roman" w:eastAsia="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rPr>
        <w:t>The paper contributes to theory by identifying that DSCCs emerge when entrepreneurially oriented managers match the knowledge assets of suppliers wi</w:t>
      </w:r>
      <w:r>
        <w:rPr>
          <w:rFonts w:ascii="Times New Roman" w:hAnsi="Times New Roman" w:cs="Times New Roman"/>
          <w:color w:val="000000" w:themeColor="text1"/>
          <w:sz w:val="24"/>
          <w:szCs w:val="24"/>
        </w:rPr>
        <w:t xml:space="preserve">th internal knowledge resources, </w:t>
      </w:r>
      <w:r w:rsidRPr="008C04EC">
        <w:rPr>
          <w:rFonts w:ascii="Times New Roman" w:hAnsi="Times New Roman" w:cs="Times New Roman"/>
          <w:color w:val="000000" w:themeColor="text1"/>
          <w:sz w:val="24"/>
          <w:szCs w:val="24"/>
        </w:rPr>
        <w:t xml:space="preserve">through a process of supply chain learning. </w:t>
      </w:r>
      <w:r>
        <w:rPr>
          <w:rFonts w:ascii="Times New Roman" w:hAnsi="Times New Roman" w:cs="Times New Roman"/>
          <w:color w:val="000000" w:themeColor="text1"/>
          <w:sz w:val="24"/>
          <w:szCs w:val="24"/>
        </w:rPr>
        <w:t>This contribution is important because it highlights that managers will struggle to build an agile and adaptable supply chain if they do not first adopt an entrepreneurial mind-set and prioritize learning with supply chain partners.</w:t>
      </w:r>
    </w:p>
    <w:p w14:paraId="58D7D77A" w14:textId="77777777" w:rsidR="00B26CDC" w:rsidRPr="008C04EC" w:rsidRDefault="00B26CDC" w:rsidP="00B26CDC">
      <w:pPr>
        <w:spacing w:after="0" w:line="240" w:lineRule="auto"/>
        <w:jc w:val="both"/>
        <w:rPr>
          <w:color w:val="000000" w:themeColor="text1"/>
          <w:lang w:val="en-GB"/>
        </w:rPr>
      </w:pPr>
      <w:r w:rsidRPr="008C04EC">
        <w:rPr>
          <w:rFonts w:ascii="Times New Roman" w:eastAsia="Times New Roman" w:hAnsi="Times New Roman" w:cs="Times New Roman"/>
          <w:b/>
          <w:color w:val="000000" w:themeColor="text1"/>
          <w:sz w:val="24"/>
          <w:szCs w:val="24"/>
          <w:lang w:val="en-GB"/>
        </w:rPr>
        <w:t>Practical implications:</w:t>
      </w:r>
      <w:r w:rsidRPr="008C04EC">
        <w:rPr>
          <w:rFonts w:ascii="Times New Roman" w:eastAsia="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The paper gives managers a roadmap for building DSCCs, starting with fostering an entrepreneurially oriented mind-set in the company and then learning with supply chain partners. Entrepreneurially oriented managers are encouraged to take risks, and co-develop innovative ideas with suppliers during the supply chain learning process. </w:t>
      </w:r>
    </w:p>
    <w:p w14:paraId="6B7254FC" w14:textId="77777777" w:rsidR="00B26CDC" w:rsidRPr="008C04EC" w:rsidRDefault="00B26CDC" w:rsidP="00B26CDC">
      <w:pPr>
        <w:spacing w:after="0" w:line="240" w:lineRule="auto"/>
        <w:jc w:val="both"/>
        <w:rPr>
          <w:color w:val="000000" w:themeColor="text1"/>
          <w:lang w:val="en-GB"/>
        </w:rPr>
      </w:pPr>
      <w:r w:rsidRPr="008C04EC">
        <w:rPr>
          <w:rFonts w:ascii="Times New Roman" w:eastAsia="Times New Roman" w:hAnsi="Times New Roman" w:cs="Times New Roman"/>
          <w:b/>
          <w:color w:val="000000" w:themeColor="text1"/>
          <w:sz w:val="24"/>
          <w:szCs w:val="24"/>
          <w:lang w:val="en-GB"/>
        </w:rPr>
        <w:t xml:space="preserve">Originality/value: </w:t>
      </w:r>
      <w:r w:rsidRPr="008C04EC">
        <w:rPr>
          <w:rFonts w:ascii="Times New Roman" w:eastAsia="Times New Roman" w:hAnsi="Times New Roman" w:cs="Times New Roman"/>
          <w:color w:val="000000" w:themeColor="text1"/>
          <w:sz w:val="24"/>
          <w:szCs w:val="24"/>
          <w:lang w:val="en-GB"/>
        </w:rPr>
        <w:t>This study is one of the earliest efforts to determine the strategic orientations that antecede the emergence of dynamic supply chain capabilities</w:t>
      </w:r>
    </w:p>
    <w:p w14:paraId="1C333671" w14:textId="77777777" w:rsidR="00B26CDC" w:rsidRPr="008C04EC" w:rsidRDefault="00B26CDC" w:rsidP="00B26CDC">
      <w:pPr>
        <w:spacing w:after="0"/>
        <w:jc w:val="both"/>
        <w:rPr>
          <w:rFonts w:ascii="Times New Roman" w:hAnsi="Times New Roman" w:cs="Times New Roman"/>
          <w:color w:val="000000" w:themeColor="text1"/>
          <w:sz w:val="24"/>
          <w:szCs w:val="24"/>
          <w:lang w:val="en-GB"/>
        </w:rPr>
      </w:pPr>
    </w:p>
    <w:p w14:paraId="73BC604B" w14:textId="77777777" w:rsidR="00B26CDC" w:rsidRPr="008C04EC" w:rsidRDefault="00B26CDC" w:rsidP="00B26CDC">
      <w:pPr>
        <w:spacing w:after="0"/>
        <w:jc w:val="both"/>
        <w:rPr>
          <w:rFonts w:ascii="Times New Roman" w:hAnsi="Times New Roman" w:cs="Times New Roman"/>
          <w:b/>
          <w:color w:val="000000" w:themeColor="text1"/>
          <w:sz w:val="24"/>
          <w:szCs w:val="24"/>
          <w:lang w:val="en-GB"/>
        </w:rPr>
      </w:pPr>
    </w:p>
    <w:p w14:paraId="1CC715E2" w14:textId="77777777" w:rsidR="00B26CDC" w:rsidRPr="008C04EC" w:rsidRDefault="00B26CDC" w:rsidP="00B26CDC">
      <w:pPr>
        <w:spacing w:after="0"/>
        <w:jc w:val="both"/>
        <w:rPr>
          <w:rFonts w:ascii="Times New Roman" w:hAnsi="Times New Roman" w:cs="Times New Roman"/>
          <w:b/>
          <w:color w:val="000000" w:themeColor="text1"/>
          <w:sz w:val="24"/>
          <w:szCs w:val="24"/>
          <w:lang w:val="en-GB"/>
        </w:rPr>
      </w:pPr>
    </w:p>
    <w:p w14:paraId="1C9F43AA" w14:textId="77777777" w:rsidR="00B26CDC" w:rsidRPr="008C04EC" w:rsidRDefault="00B26CDC" w:rsidP="00B26CDC">
      <w:pPr>
        <w:spacing w:after="0"/>
        <w:jc w:val="both"/>
        <w:rPr>
          <w:rFonts w:ascii="Times New Roman" w:hAnsi="Times New Roman" w:cs="Times New Roman"/>
          <w:color w:val="000000" w:themeColor="text1"/>
          <w:sz w:val="24"/>
          <w:szCs w:val="24"/>
          <w:lang w:val="en-GB"/>
        </w:rPr>
      </w:pPr>
      <w:r w:rsidRPr="008C04EC">
        <w:rPr>
          <w:rFonts w:ascii="Times New Roman" w:hAnsi="Times New Roman" w:cs="Times New Roman"/>
          <w:b/>
          <w:color w:val="000000" w:themeColor="text1"/>
          <w:sz w:val="24"/>
          <w:szCs w:val="24"/>
          <w:lang w:val="en-GB"/>
        </w:rPr>
        <w:t>Keywords:</w:t>
      </w:r>
      <w:r w:rsidRPr="008C04EC">
        <w:rPr>
          <w:rFonts w:ascii="Times New Roman" w:hAnsi="Times New Roman" w:cs="Times New Roman"/>
          <w:color w:val="000000" w:themeColor="text1"/>
          <w:sz w:val="24"/>
          <w:szCs w:val="24"/>
          <w:lang w:val="en-GB"/>
        </w:rPr>
        <w:t xml:space="preserve"> dynamic supply chain capabilities, entrepreneurial orientation, supply chain learning</w:t>
      </w:r>
      <w:r>
        <w:rPr>
          <w:rFonts w:ascii="Times New Roman" w:hAnsi="Times New Roman" w:cs="Times New Roman"/>
          <w:color w:val="000000" w:themeColor="text1"/>
          <w:sz w:val="24"/>
          <w:szCs w:val="24"/>
          <w:lang w:val="en-GB"/>
        </w:rPr>
        <w:t xml:space="preserve"> orientation</w:t>
      </w:r>
      <w:r w:rsidRPr="008C04EC">
        <w:rPr>
          <w:rFonts w:ascii="Times New Roman" w:hAnsi="Times New Roman" w:cs="Times New Roman"/>
          <w:color w:val="000000" w:themeColor="text1"/>
          <w:sz w:val="24"/>
          <w:szCs w:val="24"/>
          <w:lang w:val="en-GB"/>
        </w:rPr>
        <w:t>, market sensing, supply chain agility, supply chain adaptability</w:t>
      </w:r>
    </w:p>
    <w:p w14:paraId="2E4CD626"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6F65F5A8"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25D65C11"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5193F130"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01CE79AF"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5E409C03"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014787B9"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7FDADB74"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52A92506"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5E601F52"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60669990"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2C59FF16"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5A2C8848" w14:textId="77777777" w:rsidR="00B26CDC" w:rsidRDefault="00B26CDC" w:rsidP="00192008">
      <w:pPr>
        <w:spacing w:after="0" w:line="240" w:lineRule="auto"/>
        <w:contextualSpacing/>
        <w:jc w:val="center"/>
        <w:rPr>
          <w:rFonts w:ascii="Times New Roman" w:hAnsi="Times New Roman" w:cs="Times New Roman"/>
          <w:b/>
          <w:color w:val="000000" w:themeColor="text1"/>
          <w:sz w:val="24"/>
          <w:szCs w:val="24"/>
          <w:lang w:val="en-GB"/>
        </w:rPr>
      </w:pPr>
    </w:p>
    <w:p w14:paraId="67C48033" w14:textId="77777777" w:rsidR="00CD749C" w:rsidRPr="008C04EC" w:rsidRDefault="00192008" w:rsidP="005969D5">
      <w:pPr>
        <w:spacing w:after="0" w:line="480" w:lineRule="auto"/>
        <w:jc w:val="both"/>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br w:type="page"/>
      </w:r>
      <w:r w:rsidRPr="008C04EC">
        <w:rPr>
          <w:rFonts w:ascii="Times New Roman" w:hAnsi="Times New Roman" w:cs="Times New Roman"/>
          <w:b/>
          <w:color w:val="000000" w:themeColor="text1"/>
          <w:sz w:val="24"/>
          <w:szCs w:val="24"/>
          <w:lang w:val="en-GB"/>
        </w:rPr>
        <w:lastRenderedPageBreak/>
        <w:t>1. Introduction</w:t>
      </w:r>
    </w:p>
    <w:p w14:paraId="78771571" w14:textId="3F39FEE3" w:rsidR="005F180C" w:rsidRDefault="0010418C" w:rsidP="005969D5">
      <w:pPr>
        <w:spacing w:after="0" w:line="480" w:lineRule="auto"/>
        <w:jc w:val="both"/>
        <w:rPr>
          <w:rFonts w:ascii="Times New Roman" w:hAnsi="Times New Roman" w:cs="Times New Roman"/>
          <w:color w:val="000000" w:themeColor="text1"/>
          <w:sz w:val="24"/>
          <w:lang w:val="en-GB"/>
        </w:rPr>
      </w:pPr>
      <w:r w:rsidRPr="008C04EC">
        <w:rPr>
          <w:rFonts w:ascii="Times New Roman" w:hAnsi="Times New Roman" w:cs="Times New Roman"/>
          <w:color w:val="000000" w:themeColor="text1"/>
          <w:sz w:val="24"/>
        </w:rPr>
        <w:t xml:space="preserve">Supply chain managers </w:t>
      </w:r>
      <w:r w:rsidR="000018A1" w:rsidRPr="008C04EC">
        <w:rPr>
          <w:rFonts w:ascii="Times New Roman" w:hAnsi="Times New Roman" w:cs="Times New Roman"/>
          <w:color w:val="000000" w:themeColor="text1"/>
          <w:sz w:val="24"/>
        </w:rPr>
        <w:t xml:space="preserve">are confronted </w:t>
      </w:r>
      <w:r w:rsidR="009C464C" w:rsidRPr="008C04EC">
        <w:rPr>
          <w:rFonts w:ascii="Times New Roman" w:hAnsi="Times New Roman" w:cs="Times New Roman"/>
          <w:color w:val="000000" w:themeColor="text1"/>
          <w:sz w:val="24"/>
        </w:rPr>
        <w:t>by</w:t>
      </w:r>
      <w:r w:rsidR="000018A1" w:rsidRPr="008C04EC">
        <w:rPr>
          <w:rFonts w:ascii="Times New Roman" w:hAnsi="Times New Roman" w:cs="Times New Roman"/>
          <w:color w:val="000000" w:themeColor="text1"/>
          <w:sz w:val="24"/>
        </w:rPr>
        <w:t xml:space="preserve"> a</w:t>
      </w:r>
      <w:r w:rsidRPr="008C04EC">
        <w:rPr>
          <w:rFonts w:ascii="Times New Roman" w:hAnsi="Times New Roman" w:cs="Times New Roman"/>
          <w:color w:val="000000" w:themeColor="text1"/>
          <w:sz w:val="24"/>
        </w:rPr>
        <w:t xml:space="preserve"> turbulent business environment marked by </w:t>
      </w:r>
      <w:r w:rsidR="00363922" w:rsidRPr="008C04EC">
        <w:rPr>
          <w:rFonts w:ascii="Times New Roman" w:hAnsi="Times New Roman" w:cs="Times New Roman"/>
          <w:color w:val="000000" w:themeColor="text1"/>
          <w:sz w:val="24"/>
        </w:rPr>
        <w:t xml:space="preserve">intense </w:t>
      </w:r>
      <w:r w:rsidRPr="008C04EC">
        <w:rPr>
          <w:rFonts w:ascii="Times New Roman" w:hAnsi="Times New Roman" w:cs="Times New Roman"/>
          <w:color w:val="000000" w:themeColor="text1"/>
          <w:sz w:val="24"/>
        </w:rPr>
        <w:t xml:space="preserve">competition and continuously changing consumer </w:t>
      </w:r>
      <w:r w:rsidR="00437460" w:rsidRPr="008C04EC">
        <w:rPr>
          <w:rFonts w:ascii="Times New Roman" w:hAnsi="Times New Roman" w:cs="Times New Roman"/>
          <w:color w:val="000000" w:themeColor="text1"/>
          <w:sz w:val="24"/>
        </w:rPr>
        <w:t xml:space="preserve">demand </w:t>
      </w:r>
      <w:r w:rsidR="00437460" w:rsidRPr="008C04EC">
        <w:rPr>
          <w:rFonts w:ascii="Times New Roman" w:hAnsi="Times New Roman" w:cs="Times New Roman"/>
          <w:color w:val="000000" w:themeColor="text1"/>
          <w:sz w:val="24"/>
        </w:rPr>
        <w:fldChar w:fldCharType="begin"/>
      </w:r>
      <w:r w:rsidR="00E559B2">
        <w:rPr>
          <w:rFonts w:ascii="Times New Roman" w:hAnsi="Times New Roman" w:cs="Times New Roman"/>
          <w:color w:val="000000" w:themeColor="text1"/>
          <w:sz w:val="24"/>
        </w:rPr>
        <w:instrText xml:space="preserve"> ADDIN ZOTERO_ITEM CSL_CITATION {"citationID":"VNu7sa6z","properties":{"formattedCitation":"(Braziotis et al., 2013; Christopher and Holweg, 2011; Sauer and Seuring, 2018)","plainCitation":"(Braziotis et al., 2013; Christopher and Holweg, 2011; Sauer and Seuring, 2018)","dontUpdate":true,"noteIndex":0},"citationItems":[{"id":226,"uris":["http://zotero.org/users/3209486/items/R3SIDXAX"],"uri":["http://zotero.org/users/3209486/items/R3SIDXAX"],"itemData":{"id":226,"type":"article-journal","title":"Supply chains and supply networks: distinctions and overlaps","container-title":"Supply Chain Management: an international journal","volume":"18","issue":"6","author":[{"family":"Braziotis","given":"Christos"},{"family":"Bourlakis","given":"Michael"},{"family":"Rogers","given":"Helen"},{"family":"Tannock","given":"James"}],"issued":{"date-parts":[["2013"]]}}},{"id":1246,"uris":["http://zotero.org/users/3209486/items/A83QRWHC"],"uri":["http://zotero.org/users/3209486/items/A83QRWHC"],"itemData":{"id":1246,"type":"article-journal","title":"“Supply Chain 2.0”: managing supply chains in the era of turbulence","container-title":"International Journal of Physical Distribution &amp; Logistics Management","page":"63-82","volume":"41","issue":"1","abstract":"Purpose ? An underlying principle of supply chain management is to establish control of the end?to?end process in order to create a seamless flow of goods. The basic idea is that variability is detrimental to performance as it causes cost in the form of stock?outs, poor capacity utilisation, and costly buffers. This paper questions this approach and argues that in the light of increasing turbulence a different approach to supply chain management is needed.Design/methodology/approach ? The paper reports on the authors' work on a Supply Chain Volatility Index and shows how current supply chain practices may no longer fit the context most businesses now operate in ? primarily because these practices were developed under assumptions of stability that no longer hold true. The paper illustrates the findings with case study evidence of firms that have had to adjust to various aspects of turbulence.Findings ? The paper is able to show that most current supply chain management models emanate from a period of relative stability, and second, that there is considerable evidence that we will experience increasing turbulence in the future. This calls into question whether current supply chain models that feature some dynamic flexibility, yet are built on the general premise of control, will be suitable to meet the challenge of increased turbulence.Practical implications ? It is argued that what is needed to master the era of turbulence is structural flexibility which builds flexible options into the design of supply chains. This marks a major departure from current thinking and will require revisiting the management accounting procedures that are used to evaluate different supply chain decisions. The paper presents guidelines on how to manage supply chains in the age of turbulence: by embracing volatility as an opportunity rather than viewing it as a risk, by understanding its nature and impact, and finally by shifting the exposure to risk by building hedges into the supply chain design.Originality/value ? The paper questions the fundamental premise upon which current supply chain models are built and proposes an alternative approach to build structural flexibility into supply chain decision making, which would create the level of adaptability needed to remain competitive in the face of turbulence.","DOI":"10.1108/09600031111101439","ISSN":"0960-0035","journalAbbreviation":"Int Jnl Phys Dist &amp; Log Manage","author":[{"family":"Christopher","given":"Martin"},{"family":"Holweg","given":"Matthias"}],"issued":{"date-parts":[["2011",2,1]]}}},{"id":3966,"uris":["http://zotero.org/users/3209486/items/RM6D7RVT"],"uri":["http://zotero.org/users/3209486/items/RM6D7RVT"],"itemData":{"id":3966,"type":"article-journal","title":"A three-dimensional framework for multi-tier sustainable supply chain management","container-title":"Supply Chain Management: An International Journal","page":"560-572","volume":"23","issue":"6","abstract":"Purpose This study aims to investigate the under-researched role of the sub-supplier?s direct environment in achieving compliance with multi-tier sustainable supply chain management (MT-SSCM) objectives. Design/methodology/approach Building on conceptual research, this study aims to generalize the characteristics of multi-tier supply chains in light of institutional theory and supply chain (SC) uncertainty to enhance the understanding of their complex interrelationship. Findings A three-dimensional framework is built around the supply and demand uncertainty as well as the pressures for sustainability exerted by the supplier?s direct environment to propose ideal constellations for the application of MT-SSCM. Moreover, research directions and implications for the alteration of suboptimal constellations are developed. Practical implications Incorporating the supplier?s environment in the choice of MT-SSCM practices couples the sustainability priorities of the focal firm and the supplier. This enables a more complete picture of the sustainability objectives and sustainable development aims of the SC partners. Originality/value On the basis of institutional theory, the study extends current MT-SSCM concepts by including the supplier?s direct environment in the choice of ideal management practices in a particular SC setup. It provides a definition of a multi-tier SC as an institutional field and a number of research implications regarding MT-SSCM as well as generic SSCM. Moreover, the proposed framework helps SC managers to understand the complex interplay of the SC partners? sustainability aims and provides implications for choosing the most suitable MT-SSCM practices.","DOI":"10.1108/SCM-06-2018-0233","ISSN":"1359-8546","journalAbbreviation":"Supp Chain Mnagmnt","author":[{"family":"Sauer","given":"Philipp C."},{"family":"Seuring","given":"Stefan"}],"issued":{"date-parts":[["2018",9,10]]}}}],"schema":"https://github.com/citation-style-language/schema/raw/master/csl-citation.json"} </w:instrText>
      </w:r>
      <w:r w:rsidR="00437460" w:rsidRPr="008C04EC">
        <w:rPr>
          <w:rFonts w:ascii="Times New Roman" w:hAnsi="Times New Roman" w:cs="Times New Roman"/>
          <w:color w:val="000000" w:themeColor="text1"/>
          <w:sz w:val="24"/>
        </w:rPr>
        <w:fldChar w:fldCharType="separate"/>
      </w:r>
      <w:r w:rsidR="007061B5" w:rsidRPr="008C04EC">
        <w:rPr>
          <w:rFonts w:ascii="Times New Roman" w:hAnsi="Times New Roman" w:cs="Times New Roman"/>
          <w:color w:val="000000" w:themeColor="text1"/>
          <w:sz w:val="24"/>
        </w:rPr>
        <w:t xml:space="preserve">(Braziotis et al., 2013; Christopher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Holweg, 2011; Sauer </w:t>
      </w:r>
      <w:r w:rsidR="00D4006E">
        <w:rPr>
          <w:rFonts w:ascii="Times New Roman" w:hAnsi="Times New Roman" w:cs="Times New Roman"/>
          <w:color w:val="000000" w:themeColor="text1"/>
          <w:sz w:val="24"/>
        </w:rPr>
        <w:t>&amp;</w:t>
      </w:r>
      <w:r w:rsidR="00D4006E"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Seuring, 2018)</w:t>
      </w:r>
      <w:r w:rsidR="00437460" w:rsidRPr="008C04EC">
        <w:rPr>
          <w:rFonts w:ascii="Times New Roman" w:hAnsi="Times New Roman" w:cs="Times New Roman"/>
          <w:color w:val="000000" w:themeColor="text1"/>
          <w:sz w:val="24"/>
        </w:rPr>
        <w:fldChar w:fldCharType="end"/>
      </w:r>
      <w:r w:rsidR="000018A1" w:rsidRPr="008C04EC">
        <w:rPr>
          <w:rFonts w:ascii="Times New Roman" w:hAnsi="Times New Roman" w:cs="Times New Roman"/>
          <w:color w:val="000000" w:themeColor="text1"/>
          <w:sz w:val="24"/>
          <w:szCs w:val="24"/>
          <w:lang w:val="en-GB"/>
        </w:rPr>
        <w:t xml:space="preserve">. Dynamic capabilities allow </w:t>
      </w:r>
      <w:r w:rsidR="005969D5" w:rsidRPr="008C04EC">
        <w:rPr>
          <w:rFonts w:ascii="Times New Roman" w:hAnsi="Times New Roman" w:cs="Times New Roman"/>
          <w:color w:val="000000" w:themeColor="text1"/>
          <w:sz w:val="24"/>
          <w:szCs w:val="24"/>
          <w:lang w:val="en-GB"/>
        </w:rPr>
        <w:t>managers</w:t>
      </w:r>
      <w:r w:rsidR="000018A1" w:rsidRPr="008C04EC">
        <w:rPr>
          <w:rFonts w:ascii="Times New Roman" w:hAnsi="Times New Roman" w:cs="Times New Roman"/>
          <w:color w:val="000000" w:themeColor="text1"/>
          <w:sz w:val="24"/>
          <w:szCs w:val="24"/>
          <w:lang w:val="en-GB"/>
        </w:rPr>
        <w:t xml:space="preserve"> to compete in today’s turbulent market</w:t>
      </w:r>
      <w:r w:rsidR="005969D5" w:rsidRPr="008C04EC">
        <w:rPr>
          <w:rFonts w:ascii="Times New Roman" w:hAnsi="Times New Roman" w:cs="Times New Roman"/>
          <w:color w:val="000000" w:themeColor="text1"/>
          <w:sz w:val="24"/>
          <w:szCs w:val="24"/>
          <w:lang w:val="en-GB"/>
        </w:rPr>
        <w:t xml:space="preserve">place by rapidly reconfiguring the firm’s </w:t>
      </w:r>
      <w:r w:rsidR="000018A1" w:rsidRPr="008C04EC">
        <w:rPr>
          <w:rFonts w:ascii="Times New Roman" w:hAnsi="Times New Roman" w:cs="Times New Roman"/>
          <w:color w:val="000000" w:themeColor="text1"/>
          <w:sz w:val="24"/>
          <w:szCs w:val="24"/>
          <w:lang w:val="en-GB"/>
        </w:rPr>
        <w:t>resource base to</w:t>
      </w:r>
      <w:r w:rsidR="005969D5" w:rsidRPr="008C04EC">
        <w:rPr>
          <w:rFonts w:ascii="Times New Roman" w:hAnsi="Times New Roman" w:cs="Times New Roman"/>
          <w:color w:val="000000" w:themeColor="text1"/>
          <w:sz w:val="24"/>
          <w:szCs w:val="24"/>
          <w:lang w:val="en-GB"/>
        </w:rPr>
        <w:t xml:space="preserve"> achieve</w:t>
      </w:r>
      <w:r w:rsidR="000018A1" w:rsidRPr="008C04EC">
        <w:rPr>
          <w:rFonts w:ascii="Times New Roman" w:hAnsi="Times New Roman" w:cs="Times New Roman"/>
          <w:color w:val="000000" w:themeColor="text1"/>
          <w:sz w:val="24"/>
          <w:szCs w:val="24"/>
          <w:lang w:val="en-GB"/>
        </w:rPr>
        <w:t xml:space="preserve"> align</w:t>
      </w:r>
      <w:r w:rsidR="005969D5" w:rsidRPr="008C04EC">
        <w:rPr>
          <w:rFonts w:ascii="Times New Roman" w:hAnsi="Times New Roman" w:cs="Times New Roman"/>
          <w:color w:val="000000" w:themeColor="text1"/>
          <w:sz w:val="24"/>
          <w:szCs w:val="24"/>
          <w:lang w:val="en-GB"/>
        </w:rPr>
        <w:t>ment</w:t>
      </w:r>
      <w:r w:rsidR="000018A1" w:rsidRPr="008C04EC">
        <w:rPr>
          <w:rFonts w:ascii="Times New Roman" w:hAnsi="Times New Roman" w:cs="Times New Roman"/>
          <w:color w:val="000000" w:themeColor="text1"/>
          <w:sz w:val="24"/>
          <w:szCs w:val="24"/>
          <w:lang w:val="en-GB"/>
        </w:rPr>
        <w:t xml:space="preserve"> with changing</w:t>
      </w:r>
      <w:r w:rsidR="005969D5" w:rsidRPr="008C04EC">
        <w:rPr>
          <w:rFonts w:ascii="Times New Roman" w:hAnsi="Times New Roman" w:cs="Times New Roman"/>
          <w:color w:val="000000" w:themeColor="text1"/>
          <w:sz w:val="24"/>
          <w:szCs w:val="24"/>
          <w:lang w:val="en-GB"/>
        </w:rPr>
        <w:t xml:space="preserve"> </w:t>
      </w:r>
      <w:r w:rsidR="00B410AD" w:rsidRPr="008C04EC">
        <w:rPr>
          <w:rFonts w:ascii="Times New Roman" w:hAnsi="Times New Roman" w:cs="Times New Roman"/>
          <w:color w:val="000000" w:themeColor="text1"/>
          <w:sz w:val="24"/>
          <w:szCs w:val="24"/>
          <w:lang w:val="en-GB"/>
        </w:rPr>
        <w:t xml:space="preserve">customer </w:t>
      </w:r>
      <w:r w:rsidR="005969D5" w:rsidRPr="008C04EC">
        <w:rPr>
          <w:rFonts w:ascii="Times New Roman" w:hAnsi="Times New Roman" w:cs="Times New Roman"/>
          <w:color w:val="000000" w:themeColor="text1"/>
          <w:sz w:val="24"/>
          <w:szCs w:val="24"/>
          <w:lang w:val="en-GB"/>
        </w:rPr>
        <w:t>demand</w:t>
      </w:r>
      <w:r w:rsidR="000018A1" w:rsidRPr="008C04EC">
        <w:rPr>
          <w:rFonts w:ascii="Times New Roman" w:hAnsi="Times New Roman" w:cs="Times New Roman"/>
          <w:color w:val="000000" w:themeColor="text1"/>
          <w:sz w:val="24"/>
          <w:szCs w:val="24"/>
          <w:lang w:val="en-GB"/>
        </w:rPr>
        <w:t xml:space="preserve"> </w:t>
      </w:r>
      <w:r w:rsidR="000018A1"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{"citationID":"DXaYE9NY","properties":{"formattedCitation":"(Helfat and Winter, 2011; Teece et al., 1997; Winter, 2003)","plainCitation":"(Helfat and Winter, 2011; Teece et al., 1997; Winter, 2003)","dontUpdate":true,"noteIndex":0},"citationItems":[{"id":1538,"uris":["http://zotero.org/users/3209486/items/FISBNJZ3"],"uri":["http://zotero.org/users/3209486/items/FISBNJZ3"],"itemData":{"id":1538,"type":"article-journal","title":"Untangling Dynamic and Operational Capabilities: Strategy for the (N)ever-Changing World","container-title":"Strategic Management Journal","page":"1243-1250","volume":"32","issue":"11","abstract":"Abstract We explain why the line between dynamic and operational (or ordinary) capabilities is unavoidably blurry, draw implications for capabilities that promote economically important but seemingly gradual change, and provide recommendations for future research that takes these issues into account. Copyright ? 2011 John Wiley &amp; Sons, Ltd.","DOI":"10.1002/smj.955","ISSN":"0143-2095","journalAbbreviation":"Strategic Management Journal","author":[{"family":"Helfat","given":"Constance E."},{"family":"Winter","given":"Sidney G."}],"issued":{"date-parts":[["2011",8,11]]}}},{"id":499,"uris":["http://zotero.org/users/3209486/items/FHQF4J2U"],"uri":["http://zotero.org/users/3209486/items/FHQF4J2U"],"itemData":{"id":499,"type":"article-journal","title":"Dynamic Capabilities and Strategic Management","container-title":"Strategic Management Journal","page":"509-533","volume":"19","issue":"7","author":[{"family":"Teece","given":"David J."},{"family":"Pisano","given":"Gary P."},{"family":"Shuen","given":"Amy"}],"issued":{"date-parts":[["1997"]]}}},{"id":1400,"uris":["http://zotero.org/users/3209486/items/6KUMB2A8"],"uri":["http://zotero.org/users/3209486/items/6KUMB2A8"],"itemData":{"id":1400,"type":"article-journal","title":"Understanding dynamic capabilities","container-title":"Strategic Management Journal","page":"991-995","volume":"24","issue":"10","abstract":"Defining ordinary or ‘zero-level’ capabilities as those that permit a firm to ‘make a living’ in the short term, one can define dynamic capabilities as those that operate to extend, modify or create ordinary capabilities. Logically, one can then proceed to elaborate a hierarchy of higher-order capabilities. However, it is argued here that the strategic substance of capabilities involves patterning of activity, and that costly investments are typically required to create and sustain such patterning—for example, in product development. Firms can accomplish change without reliance on dynamic capability, by means here termed ‘ad hoc problem solving.’ Whether higher-order capabilities are created or not depends on the costs and benefits of the investments relative to ad hoc problem solving, and so does the ‘level of the game’ at which strategic competition effectively occurs. Copyright © 2003 John Wiley &amp; Sons, Ltd.","DOI":"10.1002/smj.318","ISSN":"1097-0266","journalAbbreviation":"Strat. Mgmt. J.","author":[{"family":"Winter","given":"Sidney G."}],"issued":{"date-parts":[["2003",10,1]]}}}],"schema":"https://github.com/citation-style-language/schema/raw/master/csl-citation.json"} </w:instrText>
      </w:r>
      <w:r w:rsidR="000018A1"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(Helfat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Winter, 2011; Teece et al., 1997; Winter, 2003)</w:t>
      </w:r>
      <w:r w:rsidR="000018A1" w:rsidRPr="008C04EC">
        <w:rPr>
          <w:rFonts w:ascii="Times New Roman" w:hAnsi="Times New Roman" w:cs="Times New Roman"/>
          <w:color w:val="000000" w:themeColor="text1"/>
          <w:sz w:val="24"/>
          <w:szCs w:val="24"/>
          <w:lang w:val="en-GB"/>
        </w:rPr>
        <w:fldChar w:fldCharType="end"/>
      </w:r>
      <w:r w:rsidR="005969D5" w:rsidRPr="008C04EC">
        <w:rPr>
          <w:rFonts w:ascii="Times New Roman" w:hAnsi="Times New Roman" w:cs="Times New Roman"/>
          <w:color w:val="000000" w:themeColor="text1"/>
          <w:sz w:val="24"/>
          <w:szCs w:val="24"/>
          <w:lang w:val="en-GB"/>
        </w:rPr>
        <w:t xml:space="preserve">. </w:t>
      </w:r>
      <w:r w:rsidR="009C464C" w:rsidRPr="008C04EC">
        <w:rPr>
          <w:rFonts w:ascii="Times New Roman" w:hAnsi="Times New Roman" w:cs="Times New Roman"/>
          <w:color w:val="000000" w:themeColor="text1"/>
          <w:sz w:val="24"/>
          <w:szCs w:val="24"/>
          <w:lang w:val="en-GB"/>
        </w:rPr>
        <w:t xml:space="preserve">Dynamic capabilities are comprised of sensing, seizing and transforming capabilities </w:t>
      </w:r>
      <w:r w:rsidR="009C464C" w:rsidRPr="008C04EC">
        <w:rPr>
          <w:rFonts w:ascii="Times New Roman" w:hAnsi="Times New Roman" w:cs="Times New Roman"/>
          <w:color w:val="000000" w:themeColor="text1"/>
          <w:sz w:val="24"/>
          <w:szCs w:val="24"/>
          <w:lang w:val="en-GB"/>
        </w:rPr>
        <w:fldChar w:fldCharType="begin"/>
      </w:r>
      <w:r w:rsidR="009C464C" w:rsidRPr="008C04EC">
        <w:rPr>
          <w:rFonts w:ascii="Times New Roman" w:hAnsi="Times New Roman" w:cs="Times New Roman"/>
          <w:color w:val="000000" w:themeColor="text1"/>
          <w:sz w:val="24"/>
          <w:szCs w:val="24"/>
          <w:lang w:val="en-GB"/>
        </w:rPr>
        <w:instrText xml:space="preserve"> ADDIN ZOTERO_ITEM CSL_CITATION {"citationID":"0DFXTfzf","properties":{"formattedCitation":"(Teece,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9C464C"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(Teece, 2007)</w:t>
      </w:r>
      <w:r w:rsidR="009C464C" w:rsidRPr="008C04EC">
        <w:rPr>
          <w:rFonts w:ascii="Times New Roman" w:hAnsi="Times New Roman" w:cs="Times New Roman"/>
          <w:color w:val="000000" w:themeColor="text1"/>
          <w:sz w:val="24"/>
          <w:szCs w:val="24"/>
          <w:lang w:val="en-GB"/>
        </w:rPr>
        <w:fldChar w:fldCharType="end"/>
      </w:r>
      <w:r w:rsidR="009C464C" w:rsidRPr="008C04EC">
        <w:rPr>
          <w:rFonts w:ascii="Times New Roman" w:hAnsi="Times New Roman" w:cs="Times New Roman"/>
          <w:color w:val="000000" w:themeColor="text1"/>
          <w:sz w:val="24"/>
          <w:szCs w:val="24"/>
          <w:lang w:val="en-GB"/>
        </w:rPr>
        <w:t xml:space="preserve">. </w:t>
      </w:r>
      <w:r w:rsidR="005969D5" w:rsidRPr="008C04EC">
        <w:rPr>
          <w:rFonts w:ascii="Times New Roman" w:hAnsi="Times New Roman" w:cs="Times New Roman"/>
          <w:color w:val="000000" w:themeColor="text1"/>
          <w:sz w:val="24"/>
          <w:lang w:val="en-GB"/>
        </w:rPr>
        <w:t>Sensing capabilities relate to a firm’s capacity to sense and shape opportunities and threats. Seizing capabilities refer to a firm’s capacity to seize opportunities once they are sensed. Transforming capabilities relate to a firm’s capacity to maintain competitiveness over the longer term by enhancing and reconfiguring the firm</w:t>
      </w:r>
      <w:r w:rsidR="00B410AD" w:rsidRPr="008C04EC">
        <w:rPr>
          <w:rFonts w:ascii="Times New Roman" w:hAnsi="Times New Roman" w:cs="Times New Roman"/>
          <w:color w:val="000000" w:themeColor="text1"/>
          <w:sz w:val="24"/>
          <w:lang w:val="en-GB"/>
        </w:rPr>
        <w:t>’</w:t>
      </w:r>
      <w:r w:rsidR="005969D5" w:rsidRPr="008C04EC">
        <w:rPr>
          <w:rFonts w:ascii="Times New Roman" w:hAnsi="Times New Roman" w:cs="Times New Roman"/>
          <w:color w:val="000000" w:themeColor="text1"/>
          <w:sz w:val="24"/>
          <w:lang w:val="en-GB"/>
        </w:rPr>
        <w:t xml:space="preserve">s tangible and intangible resources </w:t>
      </w:r>
      <w:r w:rsidR="005969D5" w:rsidRPr="008C04EC">
        <w:rPr>
          <w:rFonts w:ascii="Times New Roman" w:hAnsi="Times New Roman" w:cs="Times New Roman"/>
          <w:color w:val="000000" w:themeColor="text1"/>
          <w:sz w:val="24"/>
          <w:lang w:val="en-GB"/>
        </w:rPr>
        <w:fldChar w:fldCharType="begin"/>
      </w:r>
      <w:r w:rsidR="005969D5" w:rsidRPr="008C04EC">
        <w:rPr>
          <w:rFonts w:ascii="Times New Roman" w:hAnsi="Times New Roman" w:cs="Times New Roman"/>
          <w:color w:val="000000" w:themeColor="text1"/>
          <w:sz w:val="24"/>
          <w:lang w:val="en-GB"/>
        </w:rPr>
        <w:instrText xml:space="preserve"> ADDIN ZOTERO_ITEM CSL_CITATION {"citationID":"QKbOXhnw","properties":{"formattedCitation":"(Teece,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5969D5"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(Teece, 2007)</w:t>
      </w:r>
      <w:r w:rsidR="005969D5" w:rsidRPr="008C04EC">
        <w:rPr>
          <w:rFonts w:ascii="Times New Roman" w:hAnsi="Times New Roman" w:cs="Times New Roman"/>
          <w:color w:val="000000" w:themeColor="text1"/>
          <w:sz w:val="24"/>
          <w:lang w:val="en-GB"/>
        </w:rPr>
        <w:fldChar w:fldCharType="end"/>
      </w:r>
      <w:r w:rsidR="005969D5" w:rsidRPr="008C04EC">
        <w:rPr>
          <w:rFonts w:ascii="Times New Roman" w:hAnsi="Times New Roman" w:cs="Times New Roman"/>
          <w:color w:val="000000" w:themeColor="text1"/>
          <w:sz w:val="24"/>
          <w:lang w:val="en-GB"/>
        </w:rPr>
        <w:t xml:space="preserve">. </w:t>
      </w:r>
    </w:p>
    <w:p w14:paraId="6D07FD57" w14:textId="78D85A95" w:rsidR="00624CA4" w:rsidRPr="00F4146E" w:rsidRDefault="009330EA" w:rsidP="00F4146E">
      <w:pPr>
        <w:spacing w:after="0"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lang w:val="en-GB"/>
        </w:rPr>
        <w:tab/>
        <w:t xml:space="preserve">Scholars have shown that dynamic capabilities can provide a competitive advantage in rapidly changing markets </w:t>
      </w:r>
      <w:r>
        <w:rPr>
          <w:rFonts w:ascii="Times New Roman" w:hAnsi="Times New Roman" w:cs="Times New Roman"/>
          <w:color w:val="000000" w:themeColor="text1"/>
          <w:sz w:val="24"/>
          <w:lang w:val="en-GB"/>
        </w:rPr>
        <w:fldChar w:fldCharType="begin"/>
      </w:r>
      <w:r>
        <w:rPr>
          <w:rFonts w:ascii="Times New Roman" w:hAnsi="Times New Roman" w:cs="Times New Roman"/>
          <w:color w:val="000000" w:themeColor="text1"/>
          <w:sz w:val="24"/>
          <w:lang w:val="en-GB"/>
        </w:rPr>
        <w:instrText xml:space="preserve"> ADDIN ZOTERO_ITEM CSL_CITATION {"citationID":"gEtnruop","properties":{"formattedCitation":"(Allred et al., 2011; Barreto, 2009)","plainCitation":"(Allred et al., 2011; Barreto, 2009)","noteIndex":0},"citationItems":[{"id":976,"uris":["http://zotero.org/users/3209486/items/4J9WSS84"],"uri":["http://zotero.org/users/3209486/items/4J9WSS84"],"itemData":{"id":976,"type":"article-journal","title":"A Dynamic Collaboration Capability as a Source of Competitive Advantage.","container-title":"Decision Sciences","page":"129-161","volume":"42","issue":"1","source":"EBSCOhost","archive":"buh","abstract":"The resource-based view of the firm argues the essence of decision making is to determine how firm and supply chain resources can be configured to achieve inimitable advantage and superior performance. However, combining resources found among diverse members of a supply chain requires higher levels of coordination than exist at most companies. Manifest cross-functional and interorganizational conflict impedes the relational advantages of collaboration. This research employs a multimethod-survey and interview-approach to evaluate collaboration's influence on operational and firm performance. Our findings show that collaboration, as a dynamic capability, mediates the conflict resulting from functional orientations, and improves performance. Specific structural enablers to enhance an organization's collaborative capability are identified and described, providing insight into how firms can exploit interfirm resources for competitive advantage. [ABSTRACT FROM AUTHOR]","ISSN":"00117315","journalAbbreviation":"Decision Sciences","author":[{"family":"Allred","given":"Chad R."},{"family":"Fawcett","given":"Stanley E."},{"family":"Wallin","given":"Cynthia"},{"family":"Magnan","given":"Gregory M."}],"issued":{"date-parts":[["2011",2]]}}},{"id":973,"uris":["http://zotero.org/users/3209486/items/BUGR6FEJ"],"uri":["http://zotero.org/users/3209486/items/BUGR6FEJ"],"itemData":{"id":973,"type":"article-journal","title":"Dynamic Capabilities: A Review of Past Research and an Agenda for the Future","container-title":"Journal of Management","page":"256-280","volume":"36","issue":"1","abstract":"The dynamic capabilities view, by addressing the question of how firms can cope with changing environments, has gained increasing attention in the management literature in recent years, not only in the concept?s original domain (strategic management) but also in many other areas within business administration. However, such remarkable growth has been associated with a proliferation of definitions of the focal construct as well as the emergence of a complex and disconnected body of research. In addition, the approach has also received some recurring criticisms. In this study, the author reviews the diverse research streams on dynamic capabilities, identifies main limitations and challenges, suggests a new conceptualization of dynamic capability as an aggregate multidimensional construct, and provides guidance about promising avenues for future research.","DOI":"10.1177/0149206309350776","ISSN":"0149-2063","journalAbbreviation":"Journal of Management","author":[{"family":"Barreto","given":"Ilídio"}],"issued":{"date-parts":[["2009",12,28]]}}}],"schema":"https://github.com/citation-style-language/schema/raw/master/csl-citation.json"} </w:instrText>
      </w:r>
      <w:r>
        <w:rPr>
          <w:rFonts w:ascii="Times New Roman" w:hAnsi="Times New Roman" w:cs="Times New Roman"/>
          <w:color w:val="000000" w:themeColor="text1"/>
          <w:sz w:val="24"/>
          <w:lang w:val="en-GB"/>
        </w:rPr>
        <w:fldChar w:fldCharType="separate"/>
      </w:r>
      <w:r w:rsidRPr="009330EA">
        <w:rPr>
          <w:rFonts w:ascii="Times New Roman" w:hAnsi="Times New Roman" w:cs="Times New Roman"/>
          <w:sz w:val="24"/>
        </w:rPr>
        <w:t>(Allred et al., 2011; Barreto, 2009)</w:t>
      </w:r>
      <w:r>
        <w:rPr>
          <w:rFonts w:ascii="Times New Roman" w:hAnsi="Times New Roman" w:cs="Times New Roman"/>
          <w:color w:val="000000" w:themeColor="text1"/>
          <w:sz w:val="24"/>
          <w:lang w:val="en-GB"/>
        </w:rPr>
        <w:fldChar w:fldCharType="end"/>
      </w:r>
      <w:r>
        <w:rPr>
          <w:rFonts w:ascii="Times New Roman" w:hAnsi="Times New Roman" w:cs="Times New Roman"/>
          <w:color w:val="000000" w:themeColor="text1"/>
          <w:sz w:val="24"/>
          <w:lang w:val="en-GB"/>
        </w:rPr>
        <w:t xml:space="preserve">. </w:t>
      </w:r>
      <w:r w:rsidR="001817EC">
        <w:rPr>
          <w:rFonts w:ascii="Times New Roman" w:hAnsi="Times New Roman" w:cs="Times New Roman"/>
          <w:color w:val="000000" w:themeColor="text1"/>
          <w:sz w:val="24"/>
          <w:lang w:val="en-GB"/>
        </w:rPr>
        <w:t xml:space="preserve">And, </w:t>
      </w:r>
      <w:r w:rsidR="00D61A0A">
        <w:rPr>
          <w:rFonts w:ascii="Times New Roman" w:hAnsi="Times New Roman" w:cs="Times New Roman"/>
          <w:color w:val="000000" w:themeColor="text1"/>
          <w:sz w:val="24"/>
          <w:lang w:val="en-GB"/>
        </w:rPr>
        <w:t xml:space="preserve">the </w:t>
      </w:r>
      <w:r w:rsidR="001817EC">
        <w:rPr>
          <w:rFonts w:ascii="Times New Roman" w:hAnsi="Times New Roman" w:cs="Times New Roman"/>
          <w:color w:val="000000" w:themeColor="text1"/>
          <w:sz w:val="24"/>
          <w:lang w:val="en-GB"/>
        </w:rPr>
        <w:t xml:space="preserve">factors that antecede the emergence of </w:t>
      </w:r>
      <w:r>
        <w:rPr>
          <w:rFonts w:ascii="Times New Roman" w:hAnsi="Times New Roman" w:cs="Times New Roman"/>
          <w:color w:val="000000" w:themeColor="text1"/>
          <w:sz w:val="24"/>
          <w:lang w:val="en-GB"/>
        </w:rPr>
        <w:t>dynamic capabilities</w:t>
      </w:r>
      <w:r w:rsidR="00D61A0A">
        <w:rPr>
          <w:rFonts w:ascii="Times New Roman" w:hAnsi="Times New Roman" w:cs="Times New Roman"/>
          <w:color w:val="000000" w:themeColor="text1"/>
          <w:sz w:val="24"/>
          <w:lang w:val="en-GB"/>
        </w:rPr>
        <w:t xml:space="preserve"> have been identified</w:t>
      </w:r>
      <w:r>
        <w:rPr>
          <w:rFonts w:ascii="Times New Roman" w:hAnsi="Times New Roman" w:cs="Times New Roman"/>
          <w:color w:val="000000" w:themeColor="text1"/>
          <w:sz w:val="24"/>
          <w:lang w:val="en-GB"/>
        </w:rPr>
        <w:t xml:space="preserve"> </w:t>
      </w:r>
      <w:r>
        <w:rPr>
          <w:rFonts w:ascii="Times New Roman" w:hAnsi="Times New Roman" w:cs="Times New Roman"/>
          <w:color w:val="000000" w:themeColor="text1"/>
          <w:sz w:val="24"/>
          <w:lang w:val="en-GB"/>
        </w:rPr>
        <w:fldChar w:fldCharType="begin"/>
      </w:r>
      <w:r>
        <w:rPr>
          <w:rFonts w:ascii="Times New Roman" w:hAnsi="Times New Roman" w:cs="Times New Roman"/>
          <w:color w:val="000000" w:themeColor="text1"/>
          <w:sz w:val="24"/>
          <w:lang w:val="en-GB"/>
        </w:rPr>
        <w:instrText xml:space="preserve"> ADDIN ZOTERO_ITEM CSL_CITATION {"citationID":"VpwTi6e7","properties":{"formattedCitation":"(Rothaermel and Hess, 2007)","plainCitation":"(Rothaermel and Hess, 2007)","noteIndex":0},"citationItems":[{"id":335,"uris":["http://zotero.org/users/3209486/items/Z9DN8V6D"],"uri":["http://zotero.org/users/3209486/items/Z9DN8V6D"],"itemData":{"id":335,"type":"article-journal","title":"Building dynamic capabilities: Innovation driven by individual-, firm-, and network-level effects","container-title":"Organization Science","page":"898-921","volume":"18","issue":"6","ISSN":"1047-7039","author":[{"family":"Rothaermel","given":"F.T."},{"family":"Hess","given":"A.M."}],"issued":{"date-parts":[["2007"]]}}}],"schema":"https://github.com/citation-style-language/schema/raw/master/csl-citation.json"} </w:instrText>
      </w:r>
      <w:r>
        <w:rPr>
          <w:rFonts w:ascii="Times New Roman" w:hAnsi="Times New Roman" w:cs="Times New Roman"/>
          <w:color w:val="000000" w:themeColor="text1"/>
          <w:sz w:val="24"/>
          <w:lang w:val="en-GB"/>
        </w:rPr>
        <w:fldChar w:fldCharType="separate"/>
      </w:r>
      <w:r w:rsidRPr="009330EA">
        <w:rPr>
          <w:rFonts w:ascii="Times New Roman" w:hAnsi="Times New Roman" w:cs="Times New Roman"/>
          <w:sz w:val="24"/>
        </w:rPr>
        <w:t>(Rothaermel and Hess, 2007)</w:t>
      </w:r>
      <w:r>
        <w:rPr>
          <w:rFonts w:ascii="Times New Roman" w:hAnsi="Times New Roman" w:cs="Times New Roman"/>
          <w:color w:val="000000" w:themeColor="text1"/>
          <w:sz w:val="24"/>
          <w:lang w:val="en-GB"/>
        </w:rPr>
        <w:fldChar w:fldCharType="end"/>
      </w:r>
      <w:r>
        <w:rPr>
          <w:rFonts w:ascii="Times New Roman" w:hAnsi="Times New Roman" w:cs="Times New Roman"/>
          <w:color w:val="000000" w:themeColor="text1"/>
          <w:sz w:val="24"/>
          <w:lang w:val="en-GB"/>
        </w:rPr>
        <w:t>. Yet, t</w:t>
      </w:r>
      <w:r w:rsidR="005F180C" w:rsidRPr="008C04EC">
        <w:rPr>
          <w:rFonts w:ascii="Times New Roman" w:hAnsi="Times New Roman" w:cs="Times New Roman"/>
          <w:color w:val="000000" w:themeColor="text1"/>
          <w:sz w:val="24"/>
          <w:lang w:val="en-GB"/>
        </w:rPr>
        <w:t>he dynamic capabilities view is firm-centric in it</w:t>
      </w:r>
      <w:r w:rsidR="00072725" w:rsidRPr="008C04EC">
        <w:rPr>
          <w:rFonts w:ascii="Times New Roman" w:hAnsi="Times New Roman" w:cs="Times New Roman"/>
          <w:color w:val="000000" w:themeColor="text1"/>
          <w:sz w:val="24"/>
          <w:lang w:val="en-GB"/>
        </w:rPr>
        <w:t>s</w:t>
      </w:r>
      <w:r w:rsidR="005F180C" w:rsidRPr="008C04EC">
        <w:rPr>
          <w:rFonts w:ascii="Times New Roman" w:hAnsi="Times New Roman" w:cs="Times New Roman"/>
          <w:color w:val="000000" w:themeColor="text1"/>
          <w:sz w:val="24"/>
          <w:lang w:val="en-GB"/>
        </w:rPr>
        <w:t xml:space="preserve"> examination of how to transform internal resources to compete in the external environment</w:t>
      </w:r>
      <w:r w:rsidR="00363922" w:rsidRPr="008C04EC">
        <w:rPr>
          <w:rFonts w:ascii="Times New Roman" w:hAnsi="Times New Roman" w:cs="Times New Roman"/>
          <w:color w:val="000000" w:themeColor="text1"/>
          <w:sz w:val="24"/>
          <w:lang w:val="en-GB"/>
        </w:rPr>
        <w:t xml:space="preserve"> </w:t>
      </w:r>
      <w:r w:rsidR="00363922" w:rsidRPr="008C04EC">
        <w:rPr>
          <w:rFonts w:ascii="Times New Roman" w:hAnsi="Times New Roman" w:cs="Times New Roman"/>
          <w:color w:val="000000" w:themeColor="text1"/>
          <w:sz w:val="24"/>
          <w:lang w:val="en-GB"/>
        </w:rPr>
        <w:fldChar w:fldCharType="begin"/>
      </w:r>
      <w:r w:rsidR="00363922" w:rsidRPr="008C04EC">
        <w:rPr>
          <w:rFonts w:ascii="Times New Roman" w:hAnsi="Times New Roman" w:cs="Times New Roman"/>
          <w:color w:val="000000" w:themeColor="text1"/>
          <w:sz w:val="24"/>
          <w:lang w:val="en-GB"/>
        </w:rPr>
        <w:instrText xml:space="preserve"> ADDIN ZOTERO_ITEM CSL_CITATION {"citationID":"qP5ZGscA","properties":{"formattedCitation":"(Schilke et al., 2017)","plainCitation":"(Schilke et al., 2017)","noteIndex":0},"citationItems":[{"id":4277,"uris":["http://zotero.org/users/3209486/items/9Y5BQT3K"],"uri":["http://zotero.org/users/3209486/items/9Y5BQT3K"],"itemData":{"id":4277,"type":"article-journal","title":"Quo Vadis, Dynamic Capabilities? A Content-Analytic Review of the Current State of Knowledge and Recommendations for Future Research","container-title":"Academy of Management Annals","page":"390-439","volume":"12","issue":"1","abstract":"Although the dynamic capabilities perspective has become one of the most frequently used theoretical lenses in management research, critics have repeatedly voiced their frustration with this literature, particularly bemoaning the lack of empirical knowledge and the underspecification of the construct of dynamic capabilities. But research on dynamic capabilities has advanced considerably since its early years, in which most contributions to this literature were purely conceptual. A plethora of empirical studies as well as further theoretical elaborations have shed substantial light on a variety of specific, measurable factors connected to dynamic capabilities. Our article starts out by analyzing these studies to develop a meta-framework that specifies antecedents, dimensions, mechanisms, moderators, and outcomes of dynamic capabilities identified in the literature to date. This framework provides a comprehensive and systematic synthesis of the dynamic capabilities perspective that reflects the richness of the research while at the same time unifying it into a cohesive, overarching model. Such an analysis has not yet been undertaken; no comprehensive framework with this level of detail has previously been presented for dynamic capabilities. Our analysis shows where research has made the most progress and where gaps and unresolved tensions remain. Based on this analysis, we propose a forward-looking research agenda that outlines directions for future research.","DOI":"10.5465/annals.2016.0014","ISSN":"1941-6520","journalAbbreviation":"ANNALS","author":[{"family":"Schilke","given":"Oliver"},{"family":"Hu","given":"Songcui"},{"family":"Helfat","given":"Constance E."}],"issued":{"date-parts":[["2017",11,9]]}}}],"schema":"https://github.com/citation-style-language/schema/raw/master/csl-citation.json"} </w:instrText>
      </w:r>
      <w:r w:rsidR="00363922"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(Schilke et al., 2017)</w:t>
      </w:r>
      <w:r w:rsidR="00363922" w:rsidRPr="008C04EC">
        <w:rPr>
          <w:rFonts w:ascii="Times New Roman" w:hAnsi="Times New Roman" w:cs="Times New Roman"/>
          <w:color w:val="000000" w:themeColor="text1"/>
          <w:sz w:val="24"/>
          <w:lang w:val="en-GB"/>
        </w:rPr>
        <w:fldChar w:fldCharType="end"/>
      </w:r>
      <w:r w:rsidR="005F180C" w:rsidRPr="008C04EC">
        <w:rPr>
          <w:rFonts w:ascii="Times New Roman" w:hAnsi="Times New Roman" w:cs="Times New Roman"/>
          <w:color w:val="000000" w:themeColor="text1"/>
          <w:sz w:val="24"/>
          <w:lang w:val="en-GB"/>
        </w:rPr>
        <w:t xml:space="preserve">. </w:t>
      </w:r>
      <w:r>
        <w:rPr>
          <w:rFonts w:ascii="Times New Roman" w:hAnsi="Times New Roman" w:cs="Times New Roman"/>
          <w:color w:val="000000" w:themeColor="text1"/>
          <w:sz w:val="24"/>
          <w:lang w:val="en-GB"/>
        </w:rPr>
        <w:t>T</w:t>
      </w:r>
      <w:r w:rsidR="005F180C" w:rsidRPr="008C04EC">
        <w:rPr>
          <w:rFonts w:ascii="Times New Roman" w:hAnsi="Times New Roman" w:cs="Times New Roman"/>
          <w:color w:val="000000" w:themeColor="text1"/>
          <w:sz w:val="24"/>
          <w:lang w:val="en-GB"/>
        </w:rPr>
        <w:t>he reality is that firms</w:t>
      </w:r>
      <w:r w:rsidR="00FA5D0B" w:rsidRPr="008C04EC">
        <w:rPr>
          <w:rFonts w:ascii="Times New Roman" w:hAnsi="Times New Roman" w:cs="Times New Roman"/>
          <w:color w:val="000000" w:themeColor="text1"/>
          <w:sz w:val="24"/>
          <w:lang w:val="en-GB"/>
        </w:rPr>
        <w:t xml:space="preserve"> </w:t>
      </w:r>
      <w:r w:rsidR="006C7F49" w:rsidRPr="008C04EC">
        <w:rPr>
          <w:rFonts w:ascii="Times New Roman" w:hAnsi="Times New Roman" w:cs="Times New Roman"/>
          <w:color w:val="000000" w:themeColor="text1"/>
          <w:sz w:val="24"/>
          <w:lang w:val="en-GB"/>
        </w:rPr>
        <w:t>do not</w:t>
      </w:r>
      <w:r w:rsidR="005F180C" w:rsidRPr="008C04EC">
        <w:rPr>
          <w:rFonts w:ascii="Times New Roman" w:hAnsi="Times New Roman" w:cs="Times New Roman"/>
          <w:color w:val="000000" w:themeColor="text1"/>
          <w:sz w:val="24"/>
          <w:lang w:val="en-GB"/>
        </w:rPr>
        <w:t xml:space="preserve"> compete</w:t>
      </w:r>
      <w:r w:rsidR="001817EC">
        <w:rPr>
          <w:rFonts w:ascii="Times New Roman" w:hAnsi="Times New Roman" w:cs="Times New Roman"/>
          <w:color w:val="000000" w:themeColor="text1"/>
          <w:sz w:val="24"/>
          <w:lang w:val="en-GB"/>
        </w:rPr>
        <w:t xml:space="preserve"> with each other, i</w:t>
      </w:r>
      <w:r w:rsidR="00690597" w:rsidRPr="008C04EC">
        <w:rPr>
          <w:rFonts w:ascii="Times New Roman" w:hAnsi="Times New Roman" w:cs="Times New Roman"/>
          <w:color w:val="000000" w:themeColor="text1"/>
          <w:sz w:val="24"/>
          <w:lang w:val="en-GB"/>
        </w:rPr>
        <w:t xml:space="preserve">nstead, </w:t>
      </w:r>
      <w:r w:rsidR="00FA5D0B" w:rsidRPr="008C04EC">
        <w:rPr>
          <w:rFonts w:ascii="Times New Roman" w:hAnsi="Times New Roman" w:cs="Times New Roman"/>
          <w:color w:val="000000" w:themeColor="text1"/>
          <w:sz w:val="24"/>
          <w:lang w:val="en-GB"/>
        </w:rPr>
        <w:t>it is</w:t>
      </w:r>
      <w:r w:rsidR="00363922" w:rsidRPr="008C04EC">
        <w:rPr>
          <w:rFonts w:ascii="Times New Roman" w:hAnsi="Times New Roman" w:cs="Times New Roman"/>
          <w:color w:val="000000" w:themeColor="text1"/>
          <w:sz w:val="24"/>
          <w:lang w:val="en-GB"/>
        </w:rPr>
        <w:t xml:space="preserve"> their</w:t>
      </w:r>
      <w:r w:rsidR="00FA5D0B" w:rsidRPr="008C04EC">
        <w:rPr>
          <w:rFonts w:ascii="Times New Roman" w:hAnsi="Times New Roman" w:cs="Times New Roman"/>
          <w:color w:val="000000" w:themeColor="text1"/>
          <w:sz w:val="24"/>
          <w:lang w:val="en-GB"/>
        </w:rPr>
        <w:t xml:space="preserve"> end-to-end </w:t>
      </w:r>
      <w:r w:rsidR="005F180C" w:rsidRPr="008C04EC">
        <w:rPr>
          <w:rFonts w:ascii="Times New Roman" w:hAnsi="Times New Roman" w:cs="Times New Roman"/>
          <w:color w:val="000000" w:themeColor="text1"/>
          <w:sz w:val="24"/>
          <w:lang w:val="en-GB"/>
        </w:rPr>
        <w:t>supply chains</w:t>
      </w:r>
      <w:r w:rsidR="006C7F49" w:rsidRPr="008C04EC">
        <w:rPr>
          <w:rFonts w:ascii="Times New Roman" w:hAnsi="Times New Roman" w:cs="Times New Roman"/>
          <w:color w:val="000000" w:themeColor="text1"/>
          <w:sz w:val="24"/>
          <w:lang w:val="en-GB"/>
        </w:rPr>
        <w:t xml:space="preserve"> that fight for market dominance</w:t>
      </w:r>
      <w:r w:rsidR="005F180C" w:rsidRPr="008C04EC">
        <w:rPr>
          <w:rFonts w:ascii="Times New Roman" w:hAnsi="Times New Roman" w:cs="Times New Roman"/>
          <w:color w:val="000000" w:themeColor="text1"/>
          <w:sz w:val="24"/>
          <w:lang w:val="en-GB"/>
        </w:rPr>
        <w:t xml:space="preserve"> </w:t>
      </w:r>
      <w:r w:rsidR="005F180C" w:rsidRPr="008C04EC">
        <w:rPr>
          <w:rFonts w:ascii="Times New Roman" w:hAnsi="Times New Roman" w:cs="Times New Roman"/>
          <w:color w:val="000000" w:themeColor="text1"/>
          <w:sz w:val="24"/>
          <w:lang w:val="en-GB"/>
        </w:rPr>
        <w:fldChar w:fldCharType="begin"/>
      </w:r>
      <w:r w:rsidR="005F180C" w:rsidRPr="008C04EC">
        <w:rPr>
          <w:rFonts w:ascii="Times New Roman" w:hAnsi="Times New Roman" w:cs="Times New Roman"/>
          <w:color w:val="000000" w:themeColor="text1"/>
          <w:sz w:val="24"/>
          <w:lang w:val="en-GB"/>
        </w:rPr>
        <w:instrText xml:space="preserve"> ADDIN ZOTERO_ITEM CSL_CITATION {"citationID":"y76dyk6N","properties":{"formattedCitation":"(Christopher, 2000; Lee, 2004)","plainCitation":"(Christopher, 2000; Lee, 2004)","noteIndex":0},"citationItems":[{"id":770,"uris":["http://zotero.org/users/3209486/items/VXKS7HMQ"],"uri":["http://zotero.org/users/3209486/items/VXKS7HMQ"],"itemData":{"id":770,"type":"article-journal","title":"The Agile Supply Chain: Competing in Volatile Markets","container-title":"Industrial Marketing Management","page":"37-44","volume":"29","issue":"1","abstract":"Turbulent and volatile markets are becoming the norm as life cycles shorten and global economic and competitive forces create additional uncertainty. The risk attached to lengthy and slow-moving logistics “pipelines” has become unsustainable, forcing organizations to look again at how their supply chains are structured and managed. This paper suggests that the key to survival in these changed conditions is through “agility,” in particular by the creation of responsive supply chains. A distinction is drawn between the philosophies of “leanness” and “agility,” and the appropriate application of these ideas is discussed.","DOI":"10.1016/S0019-8501(99)00110-8","ISSN":"0019-8501","journalAbbreviation":"Industrial Marketing Management","author":[{"family":"Christopher","given":"Martin"}],"issued":{"date-parts":[["2000",1]]}}},{"id":771,"uris":["http://zotero.org/users/3209486/items/A3W5KAIU"],"uri":["http://zotero.org/users/3209486/items/A3W5KAIU"],"itemData":{"id":771,"type":"article-journal","title":"The triple-A supply chain","container-title":"Harvard Business Review","page":"102-112","volume":"82","issue":"10","author":[{"family":"Lee","given":"Hau"}],"issued":{"date-parts":[["2004"]]}}}],"schema":"https://github.com/citation-style-language/schema/raw/master/csl-citation.json"} </w:instrText>
      </w:r>
      <w:r w:rsidR="005F180C"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(Christopher, 2000; Lee, 2004)</w:t>
      </w:r>
      <w:r w:rsidR="005F180C" w:rsidRPr="008C04EC">
        <w:rPr>
          <w:rFonts w:ascii="Times New Roman" w:hAnsi="Times New Roman" w:cs="Times New Roman"/>
          <w:color w:val="000000" w:themeColor="text1"/>
          <w:sz w:val="24"/>
          <w:lang w:val="en-GB"/>
        </w:rPr>
        <w:fldChar w:fldCharType="end"/>
      </w:r>
      <w:r w:rsidR="005F180C" w:rsidRPr="008C04EC">
        <w:rPr>
          <w:rFonts w:ascii="Times New Roman" w:hAnsi="Times New Roman" w:cs="Times New Roman"/>
          <w:color w:val="000000" w:themeColor="text1"/>
          <w:sz w:val="24"/>
          <w:lang w:val="en-GB"/>
        </w:rPr>
        <w:t xml:space="preserve">. </w:t>
      </w:r>
      <w:r w:rsidR="00FA5D0B" w:rsidRPr="008C04EC">
        <w:rPr>
          <w:rFonts w:ascii="Times New Roman" w:hAnsi="Times New Roman" w:cs="Times New Roman"/>
          <w:color w:val="000000" w:themeColor="text1"/>
          <w:sz w:val="24"/>
          <w:lang w:val="en-GB"/>
        </w:rPr>
        <w:t xml:space="preserve">With this reality in mind, </w:t>
      </w:r>
      <w:r w:rsidR="00FA5D0B" w:rsidRPr="008C04EC">
        <w:rPr>
          <w:rFonts w:ascii="Times New Roman" w:hAnsi="Times New Roman" w:cs="Times New Roman"/>
          <w:color w:val="000000" w:themeColor="text1"/>
          <w:sz w:val="24"/>
          <w:szCs w:val="24"/>
          <w:lang w:val="en-GB"/>
        </w:rPr>
        <w:t xml:space="preserve">the dynamic capabilities view has been extended beyond firm boundaries to examine how supply </w:t>
      </w:r>
      <w:r w:rsidR="00FA5D0B" w:rsidRPr="003C752B">
        <w:rPr>
          <w:rFonts w:ascii="Times New Roman" w:hAnsi="Times New Roman" w:cs="Times New Roman"/>
          <w:color w:val="000000" w:themeColor="text1"/>
          <w:sz w:val="24"/>
          <w:szCs w:val="24"/>
          <w:lang w:val="en-GB"/>
        </w:rPr>
        <w:t>chain partners</w:t>
      </w:r>
      <w:r w:rsidR="004322F8">
        <w:rPr>
          <w:rFonts w:ascii="Times New Roman" w:hAnsi="Times New Roman" w:cs="Times New Roman"/>
          <w:color w:val="000000" w:themeColor="text1"/>
          <w:sz w:val="24"/>
          <w:szCs w:val="24"/>
          <w:lang w:val="en-GB"/>
        </w:rPr>
        <w:t xml:space="preserve"> </w:t>
      </w:r>
      <w:r w:rsidR="00FA5D0B" w:rsidRPr="003C752B">
        <w:rPr>
          <w:rFonts w:ascii="Times New Roman" w:hAnsi="Times New Roman" w:cs="Times New Roman"/>
          <w:color w:val="000000" w:themeColor="text1"/>
          <w:sz w:val="24"/>
          <w:szCs w:val="24"/>
          <w:lang w:val="en-GB"/>
        </w:rPr>
        <w:t>can achieve</w:t>
      </w:r>
      <w:r w:rsidR="00FA5D0B" w:rsidRPr="008C04EC">
        <w:rPr>
          <w:rFonts w:ascii="Times New Roman" w:hAnsi="Times New Roman" w:cs="Times New Roman"/>
          <w:color w:val="000000" w:themeColor="text1"/>
          <w:sz w:val="24"/>
          <w:szCs w:val="24"/>
          <w:lang w:val="en-GB"/>
        </w:rPr>
        <w:t xml:space="preserve"> competitive </w:t>
      </w:r>
      <w:r w:rsidR="00FA5D0B" w:rsidRPr="00E15687">
        <w:rPr>
          <w:rFonts w:ascii="Times New Roman" w:hAnsi="Times New Roman" w:cs="Times New Roman"/>
          <w:color w:val="000000" w:themeColor="text1"/>
          <w:sz w:val="24"/>
          <w:szCs w:val="24"/>
          <w:lang w:val="en-GB"/>
        </w:rPr>
        <w:t xml:space="preserve">advantage </w:t>
      </w:r>
      <w:r w:rsidR="00FA5D0B" w:rsidRPr="00E15687">
        <w:rPr>
          <w:rFonts w:ascii="Times New Roman" w:hAnsi="Times New Roman" w:cs="Times New Roman"/>
          <w:color w:val="000000" w:themeColor="text1"/>
          <w:sz w:val="24"/>
          <w:szCs w:val="24"/>
          <w:lang w:val="en-GB"/>
        </w:rPr>
        <w:fldChar w:fldCharType="begin"/>
      </w:r>
      <w:r w:rsidR="00D30452" w:rsidRPr="00E15687">
        <w:rPr>
          <w:rFonts w:ascii="Times New Roman" w:hAnsi="Times New Roman" w:cs="Times New Roman"/>
          <w:color w:val="000000" w:themeColor="text1"/>
          <w:sz w:val="24"/>
          <w:szCs w:val="24"/>
          <w:lang w:val="en-GB"/>
        </w:rPr>
        <w:instrText xml:space="preserve"> ADDIN EN.CITE &lt;EndNote&gt;&lt;Cite&gt;&lt;Author&gt;Defee&lt;/Author&gt;&lt;Year&gt;2010&lt;/Year&gt;&lt;RecNum&gt;114&lt;/RecNum&gt;&lt;DisplayText&gt;(Defee &amp;amp; Fugate, 2010)&lt;/DisplayText&gt;&lt;record&gt;&lt;rec-number&gt;114&lt;/rec-number&gt;&lt;foreign-keys&gt;&lt;key app="EN" db-id="seavxzzzfrf2p7eddfnxx5ep2ar05z0ddwx9"&gt;114&lt;/key&gt;&lt;/foreign-keys&gt;&lt;ref-type name="Journal Article"&gt;17&lt;/ref-type&gt;&lt;contributors&gt;&lt;authors&gt;&lt;author&gt;Defee, C Clifford&lt;/author&gt;&lt;author&gt;Fugate, Brian S&lt;/author&gt;&lt;/authors&gt;&lt;/contributors&gt;&lt;titles&gt;&lt;title&gt;Changing perspective of capabilities in the dynamic supply chain era&lt;/title&gt;&lt;secondary-title&gt;International Journal of Logistics Management, The&lt;/secondary-title&gt;&lt;/titles&gt;&lt;periodical&gt;&lt;full-title&gt;International Journal of Logistics Management, The&lt;/full-title&gt;&lt;/periodical&gt;&lt;pages&gt;180-206&lt;/pages&gt;&lt;volume&gt;21&lt;/volume&gt;&lt;number&gt;2&lt;/number&gt;&lt;dates&gt;&lt;year&gt;2010&lt;/year&gt;&lt;/dates&gt;&lt;publisher&gt;Emerald Group Publishing Limited&lt;/publisher&gt;&lt;isbn&gt;0957-4093&lt;/isbn&gt;&lt;urls&gt;&lt;/urls&gt;&lt;/record&gt;&lt;/Cite&gt;&lt;/EndNote&gt;</w:instrText>
      </w:r>
      <w:r w:rsidR="00FA5D0B" w:rsidRPr="00E15687">
        <w:rPr>
          <w:rFonts w:ascii="Times New Roman" w:hAnsi="Times New Roman" w:cs="Times New Roman"/>
          <w:color w:val="000000" w:themeColor="text1"/>
          <w:sz w:val="24"/>
          <w:szCs w:val="24"/>
          <w:lang w:val="en-GB"/>
        </w:rPr>
        <w:fldChar w:fldCharType="separate"/>
      </w:r>
      <w:hyperlink w:anchor="_ENREF_22" w:tooltip="Defee, 2010 #114" w:history="1">
        <w:r w:rsidR="008A6DF5" w:rsidRPr="00E15687">
          <w:rPr>
            <w:rFonts w:ascii="Times New Roman" w:hAnsi="Times New Roman" w:cs="Times New Roman"/>
            <w:noProof/>
            <w:color w:val="000000" w:themeColor="text1"/>
            <w:sz w:val="24"/>
            <w:szCs w:val="24"/>
            <w:lang w:val="en-GB"/>
          </w:rPr>
          <w:fldChar w:fldCharType="begin"/>
        </w:r>
        <w:r w:rsidR="008A6DF5" w:rsidRPr="00E15687">
          <w:rPr>
            <w:rFonts w:ascii="Times New Roman" w:hAnsi="Times New Roman" w:cs="Times New Roman"/>
            <w:noProof/>
            <w:color w:val="000000" w:themeColor="text1"/>
            <w:sz w:val="24"/>
            <w:szCs w:val="24"/>
            <w:lang w:val="en-GB"/>
          </w:rPr>
          <w:instrText xml:space="preserve"> ADDIN ZOTERO_ITEM CSL_CITATION {"citationID":"gVd92XmA","properties":{"formattedCitation":"(Beske, 2012; Defee and Fugate, 2010)","plainCitation":"(Beske, 2012; Defee and Fugate, 2010)","noteIndex":0},"citationItems":[{"id":230,"uris":["http://zotero.org/users/3209486/items/KVZX4DMN"],"uri":["http://zotero.org/users/3209486/items/KVZX4DMN"],"itemData":{"id":230,"type":"article-journal","title":"Dynamic capabilities and sustainable supply chain management","container-title":"International Journal of Physical Distribution &amp; Logistics Management","page":"372-387","volume":"42","issue":"4","abstract":"Purpose - Most sustainable supply chains are situated in dynamic environments, which leads to the assumption that management of such chains requires the application of dynamic management theories, such as the dynamic capabilities (DC) concept. In spite of this, DCs have only scarcely been taken up in (sustainable) supply chain management (SSCM) research. The purpose of this paper is twofold: first, to discuss the complementarities of DCs and SSCM research; and second, to develop a framework which integrates DCs in SSCM practices. Design/methodology/approach - The paper is conceptual in nature and grounded in SSCM and DC theory. Relevant literature from the SCM, SSCM and DC context has been scrutinized. In total, three models from SSCM and DC literature, together with related inputs from other literature sources, have been conjoined. Findings - DC and SSCM are linked through similar environmental and organizational conditions, making the application of DC concepts in the field of SSCM a logical choice. The framework embeds specific DCs into SSCM practices. Research limitations/implications - The presented framework is a step towards building an analytical basis for future empirical research in this area. Discussion on the nature of DCs is still going on, as well as on how to measure supply chain performance. The framework can only give indications and help in the theory building process. Furthermore, the underlying frameworks used for the development of the framework presented here have been derived through different methodologies and not all of them have, as yet, been (fully) empirically tested. Practical implications - Investment in DCs and implementation of SSCM practices improves the agility of the overall supply chain and can lead to higher performance against the three dimensions of sustainability. Originality/value - The paper is the first explicit framework linking SSCM and DC theory. The framework shows that the DC concept can be and indeed should be applied to SSCM research and practice. Furthermore, explicit DCs are put forward. It is a step towards building an analytical basis for future empirical research in this area.","ISSN":"0960-0035","author":[{"family":"Beske","given":"Philip"}],"issued":{"date-parts":[["2012"]]}}},{"id":185,"uris":["http://zotero.org/users/3209486/items/SF9GA4SV"],"uri":["http://zotero.org/users/3209486/items/SF9GA4SV"],"itemData":{"id":185,"type":"article-journal","title":"Changing perspective of capabilities in the dynamic supply chain era","container-title":"International Journal of Logistics Management","page":"180-206","volume":"21","issue":"2","abstract":"Purpose - A review of the literature reveals that previous research on capabilities has been limited to static capabilities and have largely been firm-centric, which neglect today's evolving supply chain environment. To address this shortcoming, this paper aims to explore dynamic supply chain capabilities (DSCCS) as a path to achieving sustainable competitive advantage. Design/methodology/approach - Logistics and supply chain literature is reviewed to provide a foundation for introducing a model of DSCCS driving competitive advantage. Propositions for future research are presented based upon the theoretical model. Findings - The need to continuously renew boundary spanning supply chain capabilities may be facilitated by the presence of a supply chain orientation and a learning orientation found across the multiple partners. Research limitations/implications - Supply chain organizations exist in a continually evolving environment with the best-performing firms often being characterized as agile and continually improving. The dynamic capabilities perspective provides a theoretical foundation that may be used to better understand and predict the success of supply chain firms. The work presented here is conceptual and empirical examination of the propositions should occur before any broad generalization can be drawn. Practical implications - Long-term organizational success may be facilitated by continuous renewal and creation of new static capabilities through the use of DSCCS. Originality/value - The paper demonstrates that dynamic capabilities may be extended beyond the traditional single-firm view to exist across the relationships developed by multiple organizations in a supply chain. [PUBLICATION ABSTRACT]","ISSN":"09574093","author":[{"family":"Defee","given":"C. Clifford"},{"family":"Fugate","given":"Brian S."}],"issued":{"date-parts":[["2010"]]}}}],"schema":"https://github.com/citation-style-language/schema/raw/master/csl-citation.json"} </w:instrText>
        </w:r>
        <w:r w:rsidR="008A6DF5" w:rsidRPr="00E15687">
          <w:rPr>
            <w:rFonts w:ascii="Times New Roman" w:hAnsi="Times New Roman" w:cs="Times New Roman"/>
            <w:noProof/>
            <w:color w:val="000000" w:themeColor="text1"/>
            <w:sz w:val="24"/>
            <w:szCs w:val="24"/>
            <w:lang w:val="en-GB"/>
          </w:rPr>
          <w:fldChar w:fldCharType="separate"/>
        </w:r>
        <w:r w:rsidR="008A6DF5" w:rsidRPr="00E15687">
          <w:rPr>
            <w:rFonts w:ascii="Times New Roman" w:hAnsi="Times New Roman" w:cs="Times New Roman"/>
            <w:noProof/>
            <w:color w:val="000000" w:themeColor="text1"/>
            <w:sz w:val="24"/>
            <w:szCs w:val="24"/>
            <w:lang w:val="en-GB"/>
          </w:rPr>
          <w:t>(Beske, 2012; Defee and Fugate, 2010)</w:t>
        </w:r>
        <w:r w:rsidR="008A6DF5" w:rsidRPr="00E15687">
          <w:rPr>
            <w:rFonts w:ascii="Times New Roman" w:hAnsi="Times New Roman" w:cs="Times New Roman"/>
            <w:noProof/>
            <w:color w:val="000000" w:themeColor="text1"/>
            <w:sz w:val="24"/>
            <w:szCs w:val="24"/>
            <w:lang w:val="en-GB"/>
          </w:rPr>
          <w:fldChar w:fldCharType="end"/>
        </w:r>
      </w:hyperlink>
      <w:r w:rsidR="008A6DF5" w:rsidRPr="00E15687">
        <w:rPr>
          <w:rFonts w:ascii="Times New Roman" w:hAnsi="Times New Roman" w:cs="Times New Roman"/>
          <w:noProof/>
          <w:color w:val="000000" w:themeColor="text1"/>
          <w:sz w:val="24"/>
          <w:szCs w:val="24"/>
          <w:lang w:val="en-GB"/>
        </w:rPr>
        <w:t xml:space="preserve">. </w:t>
      </w:r>
      <w:r w:rsidR="00FA5D0B" w:rsidRPr="00E15687">
        <w:rPr>
          <w:rFonts w:ascii="Times New Roman" w:hAnsi="Times New Roman" w:cs="Times New Roman"/>
          <w:color w:val="000000" w:themeColor="text1"/>
          <w:sz w:val="24"/>
          <w:szCs w:val="24"/>
          <w:lang w:val="en-GB"/>
        </w:rPr>
        <w:fldChar w:fldCharType="end"/>
      </w:r>
      <w:r w:rsidR="00D257E0" w:rsidRPr="008C04EC">
        <w:rPr>
          <w:rFonts w:ascii="Times New Roman" w:hAnsi="Times New Roman" w:cs="Times New Roman"/>
          <w:color w:val="000000" w:themeColor="text1"/>
          <w:sz w:val="24"/>
          <w:szCs w:val="24"/>
          <w:lang w:val="en-GB"/>
        </w:rPr>
        <w:t>D</w:t>
      </w:r>
      <w:r w:rsidR="00690597" w:rsidRPr="008C04EC">
        <w:rPr>
          <w:rFonts w:ascii="Times New Roman" w:hAnsi="Times New Roman" w:cs="Times New Roman"/>
          <w:color w:val="000000" w:themeColor="text1"/>
          <w:sz w:val="24"/>
          <w:szCs w:val="24"/>
          <w:lang w:val="en-GB"/>
        </w:rPr>
        <w:t xml:space="preserve">ynamic Supply Chain Capabilities (DSCCs) </w:t>
      </w:r>
      <w:r w:rsidR="00D257E0" w:rsidRPr="008C04EC">
        <w:rPr>
          <w:rFonts w:ascii="Times New Roman" w:hAnsi="Times New Roman" w:cs="Times New Roman"/>
          <w:color w:val="000000" w:themeColor="text1"/>
          <w:sz w:val="24"/>
          <w:szCs w:val="24"/>
          <w:lang w:val="en-GB"/>
        </w:rPr>
        <w:t xml:space="preserve">are defined as “a learned pattern of cross-organisational activities that facilitate the creation of new static capabilities or the modification of existing capabilities across multiple supply chain members” </w:t>
      </w:r>
      <w:r w:rsidR="00D257E0"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&lt;EndNote&gt;&lt;Cite&gt;&lt;Author&gt;Defee&lt;/Author&gt;&lt;Year&gt;2010&lt;/Year&gt;&lt;RecNum&gt;114&lt;/RecNum&gt;&lt;Suffix&gt; p. 187&lt;/Suffix&gt;&lt;DisplayText&gt;(Defee &amp;amp; Fugate, 2010 p. 187)&lt;/DisplayText&gt;&lt;record&gt;&lt;rec-number&gt;114&lt;/rec-number&gt;&lt;foreign-keys&gt;&lt;key app="EN" db-id="seavxzzzfrf2p7eddfnxx5ep2ar05z0ddwx9"&gt;114&lt;/key&gt;&lt;/foreign-keys&gt;&lt;ref-type name="Journal Article"&gt;17&lt;/ref-type&gt;&lt;contributors&gt;&lt;authors&gt;&lt;author&gt;Defee, C Clifford&lt;/author&gt;&lt;author&gt;Fugate, Brian S&lt;/author&gt;&lt;/authors&gt;&lt;/contributors&gt;&lt;titles&gt;&lt;title&gt;Changing perspective of capabilities in the dynamic supply chain era&lt;/title&gt;&lt;secondary-title&gt;International Journal of Logistics Management, The&lt;/secondary-title&gt;&lt;/titles&gt;&lt;periodical&gt;&lt;full-title&gt;International Journal of Logistics Management, The&lt;/full-title&gt;&lt;/periodical&gt;&lt;pages&gt;180-206&lt;/pages&gt;&lt;volume&gt;21&lt;/volume&gt;&lt;number&gt;2&lt;/number&gt;&lt;dates&gt;&lt;year&gt;2010&lt;/year&gt;&lt;/dates&gt;&lt;publisher&gt;Emerald Group Publishing Limited&lt;/publisher&gt;&lt;isbn&gt;0957-4093&lt;/isbn&gt;&lt;urls&gt;&lt;/urls&gt;&lt;/record&gt;&lt;/Cite&gt;&lt;/EndNote&gt;</w:instrText>
      </w:r>
      <w:r w:rsidR="00D257E0"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22" w:tooltip="Defee, 2010 #114" w:history="1">
        <w:r w:rsidR="00641B32" w:rsidRPr="008C04EC">
          <w:rPr>
            <w:rFonts w:ascii="Times New Roman" w:hAnsi="Times New Roman" w:cs="Times New Roman"/>
            <w:noProof/>
            <w:color w:val="000000" w:themeColor="text1"/>
            <w:sz w:val="24"/>
            <w:szCs w:val="24"/>
            <w:lang w:val="en-GB"/>
          </w:rPr>
          <w:t>Defee &amp; Fugate, 2010</w:t>
        </w:r>
        <w:r w:rsidR="00F646FA">
          <w:rPr>
            <w:rFonts w:ascii="Times New Roman" w:hAnsi="Times New Roman" w:cs="Times New Roman"/>
            <w:noProof/>
            <w:color w:val="000000" w:themeColor="text1"/>
            <w:sz w:val="24"/>
            <w:szCs w:val="24"/>
            <w:lang w:val="en-GB"/>
          </w:rPr>
          <w:t>,</w:t>
        </w:r>
        <w:r w:rsidR="00641B32" w:rsidRPr="008C04EC">
          <w:rPr>
            <w:rFonts w:ascii="Times New Roman" w:hAnsi="Times New Roman" w:cs="Times New Roman"/>
            <w:noProof/>
            <w:color w:val="000000" w:themeColor="text1"/>
            <w:sz w:val="24"/>
            <w:szCs w:val="24"/>
            <w:lang w:val="en-GB"/>
          </w:rPr>
          <w:t xml:space="preserve"> p. 187</w:t>
        </w:r>
      </w:hyperlink>
      <w:r w:rsidR="00D30452" w:rsidRPr="008C04EC">
        <w:rPr>
          <w:rFonts w:ascii="Times New Roman" w:hAnsi="Times New Roman" w:cs="Times New Roman"/>
          <w:noProof/>
          <w:color w:val="000000" w:themeColor="text1"/>
          <w:sz w:val="24"/>
          <w:szCs w:val="24"/>
          <w:lang w:val="en-GB"/>
        </w:rPr>
        <w:t>)</w:t>
      </w:r>
      <w:r w:rsidR="00D257E0" w:rsidRPr="008C04EC">
        <w:rPr>
          <w:rFonts w:ascii="Times New Roman" w:hAnsi="Times New Roman" w:cs="Times New Roman"/>
          <w:color w:val="000000" w:themeColor="text1"/>
          <w:sz w:val="24"/>
          <w:szCs w:val="24"/>
          <w:lang w:val="en-GB"/>
        </w:rPr>
        <w:fldChar w:fldCharType="end"/>
      </w:r>
      <w:r w:rsidR="00D257E0" w:rsidRPr="008C04EC">
        <w:rPr>
          <w:rFonts w:ascii="Times New Roman" w:hAnsi="Times New Roman" w:cs="Times New Roman"/>
          <w:color w:val="000000" w:themeColor="text1"/>
          <w:sz w:val="24"/>
          <w:szCs w:val="24"/>
          <w:lang w:val="en-GB"/>
        </w:rPr>
        <w:t>.</w:t>
      </w:r>
      <w:r w:rsidR="0033273B" w:rsidRPr="008C04EC">
        <w:rPr>
          <w:rFonts w:ascii="Times New Roman" w:hAnsi="Times New Roman" w:cs="Times New Roman"/>
          <w:color w:val="000000" w:themeColor="text1"/>
          <w:sz w:val="24"/>
          <w:szCs w:val="24"/>
          <w:lang w:val="en-GB"/>
        </w:rPr>
        <w:t xml:space="preserve"> </w:t>
      </w:r>
      <w:r w:rsidR="00624CA4">
        <w:rPr>
          <w:rFonts w:ascii="Times New Roman" w:hAnsi="Times New Roman" w:cs="Times New Roman"/>
          <w:color w:val="000000" w:themeColor="text1"/>
          <w:sz w:val="24"/>
          <w:szCs w:val="24"/>
          <w:lang w:val="en-GB"/>
        </w:rPr>
        <w:t>D</w:t>
      </w:r>
      <w:r w:rsidR="00363922" w:rsidRPr="008C04EC">
        <w:rPr>
          <w:rFonts w:ascii="Times New Roman" w:hAnsi="Times New Roman" w:cs="Times New Roman"/>
          <w:color w:val="000000" w:themeColor="text1"/>
          <w:sz w:val="24"/>
          <w:szCs w:val="24"/>
          <w:lang w:val="en-GB"/>
        </w:rPr>
        <w:t>SCCs</w:t>
      </w:r>
      <w:r w:rsidR="00624CA4">
        <w:rPr>
          <w:rFonts w:ascii="Times New Roman" w:hAnsi="Times New Roman" w:cs="Times New Roman"/>
          <w:color w:val="000000" w:themeColor="text1"/>
          <w:sz w:val="24"/>
          <w:szCs w:val="24"/>
          <w:lang w:val="en-GB"/>
        </w:rPr>
        <w:t xml:space="preserve"> allow</w:t>
      </w:r>
      <w:r w:rsidR="00363922" w:rsidRPr="008C04EC">
        <w:rPr>
          <w:rFonts w:ascii="Times New Roman" w:hAnsi="Times New Roman" w:cs="Times New Roman"/>
          <w:color w:val="000000" w:themeColor="text1"/>
          <w:sz w:val="24"/>
          <w:szCs w:val="24"/>
          <w:lang w:val="en-GB"/>
        </w:rPr>
        <w:t xml:space="preserve"> supply </w:t>
      </w:r>
      <w:r w:rsidR="00363922" w:rsidRPr="008C04EC">
        <w:rPr>
          <w:rFonts w:ascii="Times New Roman" w:hAnsi="Times New Roman" w:cs="Times New Roman"/>
          <w:color w:val="000000" w:themeColor="text1"/>
          <w:sz w:val="24"/>
          <w:szCs w:val="24"/>
          <w:lang w:val="en-GB"/>
        </w:rPr>
        <w:lastRenderedPageBreak/>
        <w:t xml:space="preserve">chain partners </w:t>
      </w:r>
      <w:r w:rsidR="00624CA4">
        <w:rPr>
          <w:rFonts w:ascii="Times New Roman" w:hAnsi="Times New Roman" w:cs="Times New Roman"/>
          <w:color w:val="000000" w:themeColor="text1"/>
          <w:sz w:val="24"/>
          <w:szCs w:val="24"/>
          <w:lang w:val="en-GB"/>
        </w:rPr>
        <w:t xml:space="preserve">to </w:t>
      </w:r>
      <w:r w:rsidR="00363922" w:rsidRPr="008C04EC">
        <w:rPr>
          <w:rFonts w:ascii="Times New Roman" w:hAnsi="Times New Roman" w:cs="Times New Roman"/>
          <w:color w:val="000000" w:themeColor="text1"/>
          <w:sz w:val="24"/>
          <w:szCs w:val="24"/>
          <w:lang w:val="en-GB"/>
        </w:rPr>
        <w:t>sense and seize new opportunities by transforming supply chain</w:t>
      </w:r>
      <w:r w:rsidR="00624CA4">
        <w:rPr>
          <w:rFonts w:ascii="Times New Roman" w:hAnsi="Times New Roman" w:cs="Times New Roman"/>
          <w:color w:val="000000" w:themeColor="text1"/>
          <w:sz w:val="24"/>
          <w:szCs w:val="24"/>
          <w:lang w:val="en-GB"/>
        </w:rPr>
        <w:t xml:space="preserve"> </w:t>
      </w:r>
      <w:r w:rsidR="00363922" w:rsidRPr="008C04EC">
        <w:rPr>
          <w:rFonts w:ascii="Times New Roman" w:hAnsi="Times New Roman" w:cs="Times New Roman"/>
          <w:color w:val="000000" w:themeColor="text1"/>
          <w:sz w:val="24"/>
          <w:szCs w:val="24"/>
          <w:lang w:val="en-GB"/>
        </w:rPr>
        <w:t xml:space="preserve">design and infrastructure to achieve alignment with anticipated market shifts </w:t>
      </w:r>
      <w:r w:rsidR="00690597" w:rsidRPr="008C04EC">
        <w:rPr>
          <w:rFonts w:ascii="Times New Roman" w:hAnsi="Times New Roman" w:cs="Times New Roman"/>
          <w:color w:val="000000" w:themeColor="text1"/>
          <w:sz w:val="24"/>
          <w:szCs w:val="24"/>
          <w:lang w:val="en-GB"/>
        </w:rPr>
        <w:fldChar w:fldCharType="begin"/>
      </w:r>
      <w:r w:rsidR="00690597" w:rsidRPr="008C04EC">
        <w:rPr>
          <w:rFonts w:ascii="Times New Roman" w:hAnsi="Times New Roman" w:cs="Times New Roman"/>
          <w:color w:val="000000" w:themeColor="text1"/>
          <w:sz w:val="24"/>
          <w:szCs w:val="24"/>
          <w:lang w:val="en-GB"/>
        </w:rPr>
        <w:instrText xml:space="preserve"> ADDIN EN.CITE &lt;EndNote&gt;&lt;Cite&gt;&lt;Author&gt;Aslam&lt;/Author&gt;&lt;Year&gt;2018&lt;/Year&gt;&lt;RecNum&gt;1211&lt;/RecNum&gt;&lt;DisplayText&gt;(Aslam et al., 2018)&lt;/DisplayText&gt;&lt;record&gt;&lt;rec-number&gt;1211&lt;/rec-number&gt;&lt;foreign-keys&gt;&lt;key app="EN" db-id="seavxzzzfrf2p7eddfnxx5ep2ar05z0ddwx9"&gt;1211&lt;/key&gt;&lt;/foreign-keys&gt;&lt;ref-type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sidR="00690597" w:rsidRPr="008C04EC">
        <w:rPr>
          <w:rFonts w:ascii="Times New Roman" w:hAnsi="Times New Roman" w:cs="Times New Roman"/>
          <w:color w:val="000000" w:themeColor="text1"/>
          <w:sz w:val="24"/>
          <w:szCs w:val="24"/>
          <w:lang w:val="en-GB"/>
        </w:rPr>
        <w:fldChar w:fldCharType="separate"/>
      </w:r>
      <w:r w:rsidR="00690597" w:rsidRPr="008C04EC">
        <w:rPr>
          <w:rFonts w:ascii="Times New Roman" w:hAnsi="Times New Roman" w:cs="Times New Roman"/>
          <w:color w:val="000000" w:themeColor="text1"/>
          <w:sz w:val="24"/>
          <w:szCs w:val="24"/>
          <w:lang w:val="en-GB"/>
        </w:rPr>
        <w:t>(</w:t>
      </w:r>
      <w:hyperlink w:anchor="_ENREF_8" w:tooltip="Aslam, 2018 #1211" w:history="1">
        <w:r w:rsidR="00641B32" w:rsidRPr="008C04EC">
          <w:rPr>
            <w:rFonts w:ascii="Times New Roman" w:hAnsi="Times New Roman" w:cs="Times New Roman"/>
            <w:color w:val="000000" w:themeColor="text1"/>
            <w:sz w:val="24"/>
            <w:szCs w:val="24"/>
            <w:lang w:val="en-GB"/>
          </w:rPr>
          <w:t>Aslam et al., 2018</w:t>
        </w:r>
      </w:hyperlink>
      <w:r w:rsidR="00690597" w:rsidRPr="008C04EC">
        <w:rPr>
          <w:rFonts w:ascii="Times New Roman" w:hAnsi="Times New Roman" w:cs="Times New Roman"/>
          <w:color w:val="000000" w:themeColor="text1"/>
          <w:sz w:val="24"/>
          <w:szCs w:val="24"/>
          <w:lang w:val="en-GB"/>
        </w:rPr>
        <w:t>)</w:t>
      </w:r>
      <w:r w:rsidR="00690597" w:rsidRPr="008C04EC">
        <w:rPr>
          <w:rFonts w:ascii="Times New Roman" w:hAnsi="Times New Roman" w:cs="Times New Roman"/>
          <w:color w:val="000000" w:themeColor="text1"/>
          <w:sz w:val="24"/>
          <w:szCs w:val="24"/>
          <w:lang w:val="en-GB"/>
        </w:rPr>
        <w:fldChar w:fldCharType="end"/>
      </w:r>
      <w:r w:rsidR="00581FE7" w:rsidRPr="008C04EC">
        <w:rPr>
          <w:rFonts w:ascii="Times New Roman" w:hAnsi="Times New Roman" w:cs="Times New Roman"/>
          <w:color w:val="000000" w:themeColor="text1"/>
          <w:sz w:val="24"/>
          <w:szCs w:val="24"/>
          <w:lang w:val="en-GB"/>
        </w:rPr>
        <w:t xml:space="preserve">. </w:t>
      </w:r>
    </w:p>
    <w:p w14:paraId="2A9FAC3E" w14:textId="6534952C" w:rsidR="002173C2" w:rsidRDefault="00624CA4" w:rsidP="009330EA">
      <w:pPr>
        <w:widowControl w:val="0"/>
        <w:autoSpaceDE w:val="0"/>
        <w:autoSpaceDN w:val="0"/>
        <w:adjustRightInd w:val="0"/>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DSCCs are comprised of market sensing, supply chain agility and supply chain adaptability capabilities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&lt;EndNote&gt;&lt;Cite&gt;&lt;Author&gt;Aslam&lt;/Author&gt;&lt;Year&gt;2018&lt;/Year&gt;&lt;RecNum&gt;1211&lt;/RecNum&gt;&lt;DisplayText&gt;(Aslam, Blome, Roscoe, &amp;amp; Azhar, 2018)&lt;/DisplayText&gt;&lt;record&gt;&lt;rec-number&gt;1211&lt;/rec-number&gt;&lt;foreign-keys&gt;&lt;key app="EN" db-id="seavxzzzfrf2p7eddfnxx5ep2ar05z0ddwx9"&gt;1211&lt;/key&gt;&lt;/foreign-keys&gt;&lt;ref-type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8" w:tooltip="Aslam, 2018 #1211" w:history="1">
        <w:r w:rsidRPr="008C04EC">
          <w:rPr>
            <w:rFonts w:ascii="Times New Roman" w:hAnsi="Times New Roman" w:cs="Times New Roman"/>
            <w:noProof/>
            <w:color w:val="000000" w:themeColor="text1"/>
            <w:sz w:val="24"/>
            <w:szCs w:val="24"/>
            <w:lang w:val="en-GB"/>
          </w:rPr>
          <w:t>Aslam</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2018</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t>
      </w:r>
      <w:r w:rsidR="00B441EF" w:rsidRPr="008C04EC">
        <w:rPr>
          <w:rFonts w:ascii="Times New Roman" w:hAnsi="Times New Roman" w:cs="Times New Roman"/>
          <w:color w:val="000000" w:themeColor="text1"/>
          <w:sz w:val="24"/>
          <w:szCs w:val="24"/>
          <w:lang w:val="en-GB"/>
        </w:rPr>
        <w:t xml:space="preserve">A market </w:t>
      </w:r>
      <w:r w:rsidR="00B441EF" w:rsidRPr="008C04EC">
        <w:rPr>
          <w:rFonts w:ascii="Times New Roman" w:hAnsi="Times New Roman" w:cs="Times New Roman"/>
          <w:i/>
          <w:color w:val="000000" w:themeColor="text1"/>
          <w:sz w:val="24"/>
          <w:szCs w:val="24"/>
          <w:lang w:val="en-GB"/>
        </w:rPr>
        <w:t>sensing</w:t>
      </w:r>
      <w:r w:rsidR="00B441EF" w:rsidRPr="008C04EC">
        <w:rPr>
          <w:rFonts w:ascii="Times New Roman" w:hAnsi="Times New Roman" w:cs="Times New Roman"/>
          <w:color w:val="000000" w:themeColor="text1"/>
          <w:sz w:val="24"/>
          <w:szCs w:val="24"/>
          <w:lang w:val="en-GB"/>
        </w:rPr>
        <w:t xml:space="preserve"> capability allows supply chain managers to develop a better understanding of the </w:t>
      </w:r>
      <w:r w:rsidR="00B441EF" w:rsidRPr="00D4006E">
        <w:rPr>
          <w:rFonts w:ascii="Times New Roman" w:hAnsi="Times New Roman" w:cs="Times New Roman"/>
          <w:color w:val="000000" w:themeColor="text1"/>
          <w:sz w:val="24"/>
          <w:szCs w:val="24"/>
          <w:lang w:val="en-GB"/>
        </w:rPr>
        <w:t>market situation</w:t>
      </w:r>
      <w:r w:rsidR="00B410AD" w:rsidRPr="00D4006E">
        <w:rPr>
          <w:rFonts w:ascii="Times New Roman" w:hAnsi="Times New Roman" w:cs="Times New Roman"/>
          <w:color w:val="000000" w:themeColor="text1"/>
          <w:sz w:val="24"/>
          <w:szCs w:val="24"/>
          <w:lang w:val="en-GB"/>
        </w:rPr>
        <w:t>,</w:t>
      </w:r>
      <w:r w:rsidR="00B441EF" w:rsidRPr="00D4006E">
        <w:rPr>
          <w:rFonts w:ascii="Times New Roman" w:hAnsi="Times New Roman" w:cs="Times New Roman"/>
          <w:color w:val="000000" w:themeColor="text1"/>
          <w:sz w:val="24"/>
          <w:szCs w:val="24"/>
          <w:lang w:val="en-GB"/>
        </w:rPr>
        <w:t xml:space="preserve"> giving them a better chance of understanding and acting on uncertainties and market trends </w:t>
      </w:r>
      <w:r w:rsidR="00B441EF" w:rsidRPr="00D4006E">
        <w:rPr>
          <w:rFonts w:ascii="Times New Roman" w:hAnsi="Times New Roman" w:cs="Times New Roman"/>
          <w:color w:val="000000" w:themeColor="text1"/>
          <w:sz w:val="24"/>
          <w:szCs w:val="24"/>
          <w:lang w:val="en-GB"/>
        </w:rPr>
        <w:fldChar w:fldCharType="begin"/>
      </w:r>
      <w:r w:rsidR="00B441EF" w:rsidRPr="00D4006E">
        <w:rPr>
          <w:rFonts w:ascii="Times New Roman" w:hAnsi="Times New Roman" w:cs="Times New Roman"/>
          <w:color w:val="000000" w:themeColor="text1"/>
          <w:sz w:val="24"/>
          <w:szCs w:val="24"/>
          <w:lang w:val="en-GB"/>
        </w:rPr>
        <w:instrText xml:space="preserve"> ADDIN ZOTERO_ITEM CSL_CITATION {"citationID":"zq4VmRgK","properties":{"formattedCitation":"(Day, 1994)","plainCitation":"(Day, 1994)","noteIndex":0},"citationItems":[{"id":959,"uris":["http://zotero.org/users/3209486/items/TAXBRSBD"],"uri":["http://zotero.org/users/3209486/items/TAXBRSBD"],"itemData":{"id":959,"type":"article-journal","title":"The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S."}],"issued":{"date-parts":[["1994"]]}}}],"schema":"https://github.com/citation-style-language/schema/raw/master/csl-citation.json"} </w:instrText>
      </w:r>
      <w:r w:rsidR="00B441EF" w:rsidRPr="00D4006E">
        <w:rPr>
          <w:rFonts w:ascii="Times New Roman" w:hAnsi="Times New Roman" w:cs="Times New Roman"/>
          <w:color w:val="000000" w:themeColor="text1"/>
          <w:sz w:val="24"/>
          <w:szCs w:val="24"/>
          <w:lang w:val="en-GB"/>
        </w:rPr>
        <w:fldChar w:fldCharType="separate"/>
      </w:r>
      <w:r w:rsidR="007061B5" w:rsidRPr="00D4006E">
        <w:rPr>
          <w:rFonts w:ascii="Times New Roman" w:hAnsi="Times New Roman" w:cs="Times New Roman"/>
          <w:color w:val="000000" w:themeColor="text1"/>
          <w:sz w:val="24"/>
          <w:szCs w:val="24"/>
        </w:rPr>
        <w:t>(Day, 1994)</w:t>
      </w:r>
      <w:r w:rsidR="00B441EF" w:rsidRPr="00D4006E">
        <w:rPr>
          <w:rFonts w:ascii="Times New Roman" w:hAnsi="Times New Roman" w:cs="Times New Roman"/>
          <w:color w:val="000000" w:themeColor="text1"/>
          <w:sz w:val="24"/>
          <w:szCs w:val="24"/>
          <w:lang w:val="en-GB"/>
        </w:rPr>
        <w:fldChar w:fldCharType="end"/>
      </w:r>
      <w:r w:rsidR="00B441EF" w:rsidRPr="00D4006E">
        <w:rPr>
          <w:rFonts w:ascii="Times New Roman" w:hAnsi="Times New Roman" w:cs="Times New Roman"/>
          <w:color w:val="000000" w:themeColor="text1"/>
          <w:sz w:val="24"/>
          <w:szCs w:val="24"/>
          <w:lang w:val="en-GB"/>
        </w:rPr>
        <w:t xml:space="preserve">. </w:t>
      </w:r>
      <w:r w:rsidR="0033273B" w:rsidRPr="00D4006E">
        <w:rPr>
          <w:rFonts w:ascii="Times New Roman" w:hAnsi="Times New Roman" w:cs="Times New Roman"/>
          <w:color w:val="000000" w:themeColor="text1"/>
          <w:sz w:val="24"/>
          <w:szCs w:val="24"/>
          <w:lang w:val="en-GB"/>
        </w:rPr>
        <w:t xml:space="preserve">A market sensing DSCC is defined as </w:t>
      </w:r>
      <w:r w:rsidR="0033273B" w:rsidRPr="00624CA4">
        <w:rPr>
          <w:rFonts w:ascii="Times New Roman" w:eastAsiaTheme="minorHAnsi" w:hAnsi="Times New Roman" w:cs="Times New Roman"/>
          <w:color w:val="000000" w:themeColor="text1"/>
          <w:sz w:val="24"/>
          <w:szCs w:val="24"/>
          <w:lang w:val="en-GB"/>
        </w:rPr>
        <w:t xml:space="preserve">a firm’s ability to actively learn about customers, competitors, supply chain members and the business environment to allow for an understanding of market conditions as well as for prediction purposes </w:t>
      </w:r>
      <w:r w:rsidR="0033273B" w:rsidRPr="008B06DF">
        <w:rPr>
          <w:rFonts w:ascii="Times New Roman" w:eastAsiaTheme="minorHAnsi" w:hAnsi="Times New Roman" w:cs="Times New Roman"/>
          <w:color w:val="000000" w:themeColor="text1"/>
          <w:sz w:val="24"/>
          <w:szCs w:val="24"/>
          <w:lang w:val="en-GB"/>
        </w:rPr>
        <w:fldChar w:fldCharType="begin"/>
      </w:r>
      <w:r w:rsidR="0033273B" w:rsidRPr="00624CA4">
        <w:rPr>
          <w:rFonts w:ascii="Times New Roman" w:eastAsiaTheme="minorHAnsi" w:hAnsi="Times New Roman" w:cs="Times New Roman"/>
          <w:color w:val="000000" w:themeColor="text1"/>
          <w:sz w:val="24"/>
          <w:szCs w:val="24"/>
          <w:lang w:val="en-GB"/>
        </w:rPr>
        <w:instrText xml:space="preserve"> ADDIN ZOTERO_ITEM CSL_CITATION {"citationID":"CiZSrzSC","properties":{"formattedCitation":"(c.f. Morgan, 2012)","plainCitation":"(c.f. Morgan, 2012)","noteIndex":0},"citationItems":[{"id":4283,"uris":["http://zotero.org/users/3209486/items/AT6SZTVF"],"uri":["http://zotero.org/users/3209486/items/AT6SZTVF"],"itemData":{"id":4283,"type":"article-journal","title":"Marketing and business performance","container-title":"Journal of the Academy of Marketing Science","page":"102-119","volume":"40","issue":"1","abstract":"Academics and managers have struggled for many years to understand and delineate the role of marketing in explaining business performance differences between firms. Most of the theory base for any such attempts has to be informed by strategic management theory, since the primary question that strategic management seeks to answer is why some firms outperform others over time. This paper synthesizes three major streams of thought in strategic management with the empirical and theoretical literature on strategic marketing to develop an integrative theory-based conceptual framework linking marketing with firms’ business performance.","DOI":"10.1007/s11747-011-0279-9","ISSN":"1552-7824","journalAbbreviation":"Journal of the Academy of Marketing Science","author":[{"family":"Morgan","given":"Neil A."}],"issued":{"date-parts":[["2012",1,1]]}},"prefix":"c.f."}],"schema":"https://github.com/citation-style-language/schema/raw/master/csl-citation.json"} </w:instrText>
      </w:r>
      <w:r w:rsidR="0033273B" w:rsidRPr="008B06DF">
        <w:rPr>
          <w:rFonts w:ascii="Times New Roman" w:eastAsiaTheme="minorHAnsi" w:hAnsi="Times New Roman" w:cs="Times New Roman"/>
          <w:color w:val="000000" w:themeColor="text1"/>
          <w:sz w:val="24"/>
          <w:szCs w:val="24"/>
          <w:lang w:val="en-GB"/>
        </w:rPr>
        <w:fldChar w:fldCharType="separate"/>
      </w:r>
      <w:r w:rsidR="007061B5" w:rsidRPr="00624CA4">
        <w:rPr>
          <w:rFonts w:ascii="Times New Roman" w:hAnsi="Times New Roman" w:cs="Times New Roman"/>
          <w:color w:val="000000" w:themeColor="text1"/>
          <w:sz w:val="24"/>
          <w:szCs w:val="24"/>
        </w:rPr>
        <w:t>(c.f. Morgan, 2012)</w:t>
      </w:r>
      <w:r w:rsidR="0033273B" w:rsidRPr="008B06DF">
        <w:rPr>
          <w:rFonts w:ascii="Times New Roman" w:eastAsiaTheme="minorHAnsi" w:hAnsi="Times New Roman" w:cs="Times New Roman"/>
          <w:color w:val="000000" w:themeColor="text1"/>
          <w:sz w:val="24"/>
          <w:szCs w:val="24"/>
          <w:lang w:val="en-GB"/>
        </w:rPr>
        <w:fldChar w:fldCharType="end"/>
      </w:r>
      <w:r w:rsidR="0033273B" w:rsidRPr="00624CA4">
        <w:rPr>
          <w:rFonts w:ascii="Times New Roman" w:eastAsiaTheme="minorHAnsi" w:hAnsi="Times New Roman" w:cs="Times New Roman"/>
          <w:color w:val="000000" w:themeColor="text1"/>
          <w:sz w:val="24"/>
          <w:szCs w:val="24"/>
          <w:lang w:val="en-GB"/>
        </w:rPr>
        <w:t xml:space="preserve">. </w:t>
      </w:r>
      <w:r w:rsidR="008716AF" w:rsidRPr="00D4006E">
        <w:rPr>
          <w:rFonts w:ascii="Times New Roman" w:hAnsi="Times New Roman" w:cs="Times New Roman"/>
          <w:color w:val="000000" w:themeColor="text1"/>
          <w:sz w:val="24"/>
          <w:szCs w:val="24"/>
          <w:lang w:val="en-GB"/>
        </w:rPr>
        <w:t>Systematically</w:t>
      </w:r>
      <w:r w:rsidR="008716AF" w:rsidRPr="008C04EC">
        <w:rPr>
          <w:rFonts w:ascii="Times New Roman" w:hAnsi="Times New Roman" w:cs="Times New Roman"/>
          <w:color w:val="000000" w:themeColor="text1"/>
          <w:sz w:val="24"/>
          <w:szCs w:val="24"/>
          <w:lang w:val="en-GB"/>
        </w:rPr>
        <w:t xml:space="preserve"> undertaking </w:t>
      </w:r>
      <w:r w:rsidR="00FB2691" w:rsidRPr="008C04EC">
        <w:rPr>
          <w:rFonts w:ascii="Times New Roman" w:hAnsi="Times New Roman" w:cs="Times New Roman"/>
          <w:color w:val="000000" w:themeColor="text1"/>
          <w:sz w:val="24"/>
          <w:szCs w:val="24"/>
          <w:lang w:val="en-GB"/>
        </w:rPr>
        <w:t>market-sensing</w:t>
      </w:r>
      <w:r w:rsidR="008716AF" w:rsidRPr="008C04EC">
        <w:rPr>
          <w:rFonts w:ascii="Times New Roman" w:hAnsi="Times New Roman" w:cs="Times New Roman"/>
          <w:color w:val="000000" w:themeColor="text1"/>
          <w:sz w:val="24"/>
          <w:szCs w:val="24"/>
          <w:lang w:val="en-GB"/>
        </w:rPr>
        <w:t xml:space="preserve"> activities allows supply chain partners </w:t>
      </w:r>
      <w:r w:rsidR="008716AF" w:rsidRPr="00D4006E">
        <w:rPr>
          <w:rFonts w:ascii="Times New Roman" w:hAnsi="Times New Roman" w:cs="Times New Roman"/>
          <w:color w:val="000000" w:themeColor="text1"/>
          <w:sz w:val="24"/>
          <w:szCs w:val="24"/>
          <w:lang w:val="en-GB"/>
        </w:rPr>
        <w:t>to remain synchronized with marketplace changes</w:t>
      </w:r>
      <w:r>
        <w:rPr>
          <w:rFonts w:ascii="Times New Roman" w:hAnsi="Times New Roman" w:cs="Times New Roman"/>
          <w:color w:val="000000" w:themeColor="text1"/>
          <w:sz w:val="24"/>
          <w:szCs w:val="24"/>
          <w:lang w:val="en-GB"/>
        </w:rPr>
        <w:t xml:space="preserve"> (Bharadwaj and Dong, 2013)</w:t>
      </w:r>
      <w:r w:rsidR="008716AF" w:rsidRPr="00D4006E">
        <w:rPr>
          <w:rFonts w:ascii="Times New Roman" w:hAnsi="Times New Roman" w:cs="Times New Roman"/>
          <w:color w:val="000000" w:themeColor="text1"/>
          <w:sz w:val="24"/>
          <w:szCs w:val="24"/>
          <w:lang w:val="en-GB"/>
        </w:rPr>
        <w:t xml:space="preserve">. </w:t>
      </w:r>
      <w:r w:rsidRPr="00D4006E">
        <w:rPr>
          <w:rFonts w:ascii="Times New Roman" w:hAnsi="Times New Roman" w:cs="Times New Roman"/>
          <w:color w:val="000000" w:themeColor="text1"/>
          <w:sz w:val="24"/>
          <w:szCs w:val="24"/>
          <w:lang w:val="en-GB"/>
        </w:rPr>
        <w:t>Supply chain agility is defined as a firm’s ability, in conjunction with its key suppliers and customers, to quickly and effectively react to changes in its environment</w:t>
      </w:r>
      <w:r w:rsidR="008B06DF">
        <w:rPr>
          <w:rFonts w:ascii="Times New Roman" w:hAnsi="Times New Roman" w:cs="Times New Roman"/>
          <w:color w:val="000000" w:themeColor="text1"/>
          <w:sz w:val="24"/>
          <w:szCs w:val="24"/>
          <w:lang w:val="en-GB"/>
        </w:rPr>
        <w:t xml:space="preserve"> (Blome et al. 2013, p. 1295</w:t>
      </w:r>
      <w:r w:rsidR="0088195D">
        <w:rPr>
          <w:rFonts w:ascii="Times New Roman" w:hAnsi="Times New Roman" w:cs="Times New Roman"/>
          <w:color w:val="000000" w:themeColor="text1"/>
          <w:sz w:val="24"/>
          <w:szCs w:val="24"/>
          <w:lang w:val="en-GB"/>
        </w:rPr>
        <w:t>)</w:t>
      </w:r>
      <w:r w:rsidRPr="0053701D">
        <w:rPr>
          <w:rFonts w:ascii="Times New Roman" w:eastAsiaTheme="minorHAnsi" w:hAnsi="Times New Roman" w:cs="Times New Roman"/>
          <w:color w:val="000000" w:themeColor="text1"/>
          <w:sz w:val="24"/>
          <w:szCs w:val="24"/>
          <w:lang w:val="en-GB"/>
        </w:rPr>
        <w:t xml:space="preserve">. </w:t>
      </w:r>
      <w:r>
        <w:rPr>
          <w:rFonts w:ascii="Times New Roman" w:eastAsiaTheme="minorHAnsi" w:hAnsi="Times New Roman" w:cs="Times New Roman"/>
          <w:color w:val="000000" w:themeColor="text1"/>
          <w:sz w:val="24"/>
          <w:szCs w:val="24"/>
          <w:lang w:val="en-GB"/>
        </w:rPr>
        <w:t>It</w:t>
      </w:r>
      <w:r w:rsidR="00B441EF" w:rsidRPr="008B06DF">
        <w:rPr>
          <w:rFonts w:ascii="Times New Roman" w:eastAsiaTheme="minorHAnsi" w:hAnsi="Times New Roman" w:cs="Times New Roman"/>
          <w:color w:val="000000" w:themeColor="text1"/>
          <w:sz w:val="24"/>
          <w:szCs w:val="24"/>
          <w:lang w:val="en-GB"/>
        </w:rPr>
        <w:t xml:space="preserve"> is positioned as a </w:t>
      </w:r>
      <w:r w:rsidR="00B441EF" w:rsidRPr="008B06DF">
        <w:rPr>
          <w:rFonts w:ascii="Times New Roman" w:eastAsiaTheme="minorHAnsi" w:hAnsi="Times New Roman" w:cs="Times New Roman"/>
          <w:i/>
          <w:iCs/>
          <w:color w:val="000000" w:themeColor="text1"/>
          <w:sz w:val="24"/>
          <w:szCs w:val="24"/>
          <w:lang w:val="en-GB"/>
        </w:rPr>
        <w:t xml:space="preserve">seizing </w:t>
      </w:r>
      <w:r w:rsidR="00B441EF" w:rsidRPr="008B06DF">
        <w:rPr>
          <w:rFonts w:ascii="Times New Roman" w:eastAsiaTheme="minorHAnsi" w:hAnsi="Times New Roman" w:cs="Times New Roman"/>
          <w:color w:val="000000" w:themeColor="text1"/>
          <w:sz w:val="24"/>
          <w:szCs w:val="24"/>
          <w:lang w:val="en-GB"/>
        </w:rPr>
        <w:t xml:space="preserve">DSCC because supply chain partners collaborate to develop a flexible and agile supply chain infrastructure that can provide a short-term response to marketplace shifts </w:t>
      </w:r>
      <w:r w:rsidR="00B441EF" w:rsidRPr="00D4006E">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{"citationID":"GHYrTCvz","properties":{"formattedCitation":"(Aslam et al., 2018; Blome et al., 2013; Gligor and Holcomb, 2012)","plainCitation":"(Aslam et al., 2018; Blome et al., 2013; Gligor and Holcomb, 2012)","dontUpdate":true,"noteIndex":0},"citationItems":[{"id":1677,"uris":["http://zotero.org/users/3209486/items/QXLGUB6Z"],"uri":["http://zotero.org/users/3209486/items/QXLGUB6Z"],"itemData":{"id":1677,"type":"article-journal","title":"Dynamic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M."}],"issued":{"date-parts":[["2018"]]}}},{"id":992,"uris":["http://zotero.org/users/3209486/items/MBQFT3RW"],"uri":["http://zotero.org/users/3209486/items/MBQFT3RW"],"itemData":{"id":992,"type":"article-journal","title":"Antecedents and enablers of supply chain agility and its effect on performance: a dynamic capabilities perspective.","container-title":"International Journal of Production Research","page":"1295-1318","volume":"51","issue":"4","source":"EBSCOhost","archive":"buh","abstract":"This paper investigates the fundamental building blocks of supply chain agility, which are conceptualised as supply- and demand-side competence. While the former refers to production and supply management related activities, the latter refers to distribution and demand management related activities. The model further assesses the influence of supply chain agility on operational performance, as well as its mediating role in the relationship between supply- and demand-side competence and performance. Within this framework, process compliance, i.e. how well supply chain management processes are internally executed by the firm's employees, is viewed as an enabler (moderator) on the relationship between supply chain competencies and supply chain agility. Theoretical substantiation is provided by the resource-based view of the firm augmented with the dynamic capabilities perspective. The model is tested with data from 121 supply chain management professionals. Implications for both academic theory development and supply chain and production management practice are provided. [ABSTRACT FROM PUBLISHER]","ISSN":"00207543","journalAbbreviation":"International Journal of Production Research","author":[{"family":"Blome","given":"Constantin"},{"family":"Schoenherr","given":"Tobias"},{"family":"Rexhausen","given":"Daniel"}],"issued":{"date-parts":[["2013",2,15]]}}},{"id":946,"uris":["http://zotero.org/users/3209486/items/CPAWQ9IH"],"uri":["http://zotero.org/users/3209486/items/CPAWQ9IH"],"itemData":{"id":946,"type":"article-journal","title":"Antecedents and Consequences of Supply Chain Agility: Establishing the Link to Firm Performance","container-title":"Journal of Business Logistics","page":"295-308","volume":"33","issue":"4","abstract":"The concept of supply chain agility (SCAGI) has been identified as one of the most important issues in supply chain management literature. However, despite the popularity of the concept, many aspects of SCAGI are largely unexplored. One area that is deficient in research is the behavioral/relational antecedents of SCAGI. Furthermore, no research to date has empirically established the link between SCAGI and firm performance. This article seeks to further theory development by addressing these gaps.","DOI":"10.1111/jbl.12003","ISSN":"2158-1592","journalAbbreviation":"J Bus Logist","author":[{"family":"Gligor","given":"David M."},{"family":"Holcomb","given":"Mary C."}],"issued":{"date-parts":[["2012",12,1]]}}}],"schema":"https://github.com/citation-style-language/schema/raw/master/csl-citation.json"} </w:instrText>
      </w:r>
      <w:r w:rsidR="00B441EF" w:rsidRPr="00D4006E">
        <w:rPr>
          <w:rFonts w:ascii="Times New Roman" w:hAnsi="Times New Roman" w:cs="Times New Roman"/>
          <w:color w:val="000000" w:themeColor="text1"/>
          <w:sz w:val="24"/>
          <w:szCs w:val="24"/>
          <w:lang w:val="en-GB"/>
        </w:rPr>
        <w:fldChar w:fldCharType="separate"/>
      </w:r>
      <w:r w:rsidR="007061B5" w:rsidRPr="00D4006E">
        <w:rPr>
          <w:rFonts w:ascii="Times New Roman" w:hAnsi="Times New Roman" w:cs="Times New Roman"/>
          <w:color w:val="000000" w:themeColor="text1"/>
          <w:sz w:val="24"/>
          <w:szCs w:val="24"/>
        </w:rPr>
        <w:t xml:space="preserve">(Aslam et al., 2018; Blome et al., 2013; Gligor </w:t>
      </w:r>
      <w:r w:rsidR="00F646FA">
        <w:rPr>
          <w:rFonts w:ascii="Times New Roman" w:hAnsi="Times New Roman" w:cs="Times New Roman"/>
          <w:color w:val="000000" w:themeColor="text1"/>
          <w:sz w:val="24"/>
          <w:szCs w:val="24"/>
        </w:rPr>
        <w:t>&amp;</w:t>
      </w:r>
      <w:r w:rsidR="00F646FA" w:rsidRPr="00D4006E">
        <w:rPr>
          <w:rFonts w:ascii="Times New Roman" w:hAnsi="Times New Roman" w:cs="Times New Roman"/>
          <w:color w:val="000000" w:themeColor="text1"/>
          <w:sz w:val="24"/>
          <w:szCs w:val="24"/>
        </w:rPr>
        <w:t xml:space="preserve"> </w:t>
      </w:r>
      <w:r w:rsidR="007061B5" w:rsidRPr="00D4006E">
        <w:rPr>
          <w:rFonts w:ascii="Times New Roman" w:hAnsi="Times New Roman" w:cs="Times New Roman"/>
          <w:color w:val="000000" w:themeColor="text1"/>
          <w:sz w:val="24"/>
          <w:szCs w:val="24"/>
        </w:rPr>
        <w:t>Holcomb, 2012)</w:t>
      </w:r>
      <w:r w:rsidR="00B441EF" w:rsidRPr="00D4006E">
        <w:rPr>
          <w:rFonts w:ascii="Times New Roman" w:hAnsi="Times New Roman" w:cs="Times New Roman"/>
          <w:color w:val="000000" w:themeColor="text1"/>
          <w:sz w:val="24"/>
          <w:szCs w:val="24"/>
          <w:lang w:val="en-GB"/>
        </w:rPr>
        <w:fldChar w:fldCharType="end"/>
      </w:r>
      <w:r w:rsidR="00B441EF" w:rsidRPr="00D4006E">
        <w:rPr>
          <w:rFonts w:ascii="Times New Roman" w:hAnsi="Times New Roman" w:cs="Times New Roman"/>
          <w:color w:val="000000" w:themeColor="text1"/>
          <w:sz w:val="24"/>
          <w:szCs w:val="24"/>
          <w:lang w:val="en-GB"/>
        </w:rPr>
        <w:t>.</w:t>
      </w:r>
      <w:r w:rsidR="00B441EF" w:rsidRPr="008B06DF">
        <w:rPr>
          <w:rFonts w:ascii="Times New Roman" w:eastAsiaTheme="minorHAnsi" w:hAnsi="Times New Roman" w:cs="Times New Roman"/>
          <w:color w:val="000000" w:themeColor="text1"/>
          <w:sz w:val="24"/>
          <w:szCs w:val="24"/>
          <w:lang w:val="en-GB"/>
        </w:rPr>
        <w:t xml:space="preserve"> </w:t>
      </w:r>
      <w:r w:rsidR="008B06DF" w:rsidRPr="00D4006E">
        <w:rPr>
          <w:rFonts w:ascii="Times New Roman" w:hAnsi="Times New Roman" w:cs="Times New Roman"/>
          <w:color w:val="000000" w:themeColor="text1"/>
          <w:sz w:val="24"/>
          <w:szCs w:val="24"/>
          <w:lang w:val="en-GB"/>
        </w:rPr>
        <w:t>Supply chain adaptability is defined as the ability o</w:t>
      </w:r>
      <w:r w:rsidR="008B06DF" w:rsidRPr="008C04EC">
        <w:rPr>
          <w:rFonts w:ascii="Times New Roman" w:hAnsi="Times New Roman" w:cs="Times New Roman"/>
          <w:color w:val="000000" w:themeColor="text1"/>
          <w:sz w:val="24"/>
          <w:szCs w:val="24"/>
          <w:lang w:val="en-GB"/>
        </w:rPr>
        <w:t xml:space="preserve">f supply chain partners to make fundamental and long-term supply chain design changes in the wake of sensed opportunities </w:t>
      </w:r>
      <w:r w:rsidR="008B06DF"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{"citationID":"LIBmgzPM","properties":{"formattedCitation":"(Eckstein et al., 2015; Ketchen and Hult, 2007)","plainCitation":"(Eckstein et al., 2015; Ketchen and Hult, 2007)","dontUpdate":true,"noteIndex":0},"citationItems":[{"id":986,"uris":["http://zotero.org/users/3209486/items/Z54MJW66"],"uri":["http://zotero.org/users/3209486/items/Z54MJW66"],"itemData":{"id":986,"type":"article-journal","title":"The performance impact of supply chain agility and supply chain adaptability: the moderating effect of product complexity","container-title":"International Journal of Production Research","page":"3028-3046","volume":"53","issue":"10","DOI":"10.1080/00207543.2014.970707","ISSN":"0020-7543","journalAbbreviation":"International Journal of Production Research","author":[{"family":"Eckstein","given":"Dominik"},{"family":"Goellner","given":"Matthias"},{"family":"Blome","given":"Constantin"},{"family":"Henke","given":"Michael"}],"issued":{"date-parts":[["2015",5,19]]}}},{"id":1528,"uris":["http://zotero.org/users/3209486/items/GJCL2IVN"],"uri":["http://zotero.org/users/3209486/items/GJCL2IVN"],"itemData":{"id":1528,"type":"article-journal","title":"Bridging organization theory and supply chain management: The case of best value supply chains","container-title":"Special Issue Evolution of the Field of Operations Management SI/ Special Issue Organisation Theory and Supply Chain Management","page":"573-580","volume":"25","issue":"2","abstract":"Rivalry is increasingly being contested at the supply chain level of analysis. Rather than competing “firm versus firm,” today's organizations are battling “supply chain versus supply chain.” Within this context, best value supply chains are emerging as a means to create competitive advantages and superior performance. While traditional supply chains often focus primarily on one key outcome such as speed or cost, best value supply chains excel along an array of uniquely integrated priorities—cost, quality, speed, and flexibility. We describe how key organizational theories help to distinguish traditional supply chains from best value supply chains. To provide a foundation for future inquiry, we offer theory-based research questions that are focused on best value supply chains.","DOI":"10.1016/j.jom.2006.05.010","ISSN":"0272-6963","journalAbbreviation":"Journal of Operations Management","author":[{"family":"Ketchen","given":"David J."},{"family":"Hult","given":"G. Tomas M."}],"issued":{"date-parts":[["2007",3,1]]}}}],"schema":"https://github.com/citation-style-language/schema/raw/master/csl-citation.json"} </w:instrText>
      </w:r>
      <w:r w:rsidR="008B06DF" w:rsidRPr="008C04EC">
        <w:rPr>
          <w:rFonts w:ascii="Times New Roman" w:hAnsi="Times New Roman" w:cs="Times New Roman"/>
          <w:color w:val="000000" w:themeColor="text1"/>
          <w:sz w:val="24"/>
          <w:szCs w:val="24"/>
          <w:lang w:val="en-GB"/>
        </w:rPr>
        <w:fldChar w:fldCharType="separate"/>
      </w:r>
      <w:r w:rsidR="008B06DF" w:rsidRPr="008C04EC">
        <w:rPr>
          <w:rFonts w:ascii="Times New Roman" w:hAnsi="Times New Roman" w:cs="Times New Roman"/>
          <w:color w:val="000000" w:themeColor="text1"/>
          <w:sz w:val="24"/>
        </w:rPr>
        <w:t xml:space="preserve">(Eckstein et al., 2015; Ketchen </w:t>
      </w:r>
      <w:r w:rsidR="008B06DF">
        <w:rPr>
          <w:rFonts w:ascii="Times New Roman" w:hAnsi="Times New Roman" w:cs="Times New Roman"/>
          <w:color w:val="000000" w:themeColor="text1"/>
          <w:sz w:val="24"/>
        </w:rPr>
        <w:t>&amp;</w:t>
      </w:r>
      <w:r w:rsidR="008B06DF" w:rsidRPr="008C04EC">
        <w:rPr>
          <w:rFonts w:ascii="Times New Roman" w:hAnsi="Times New Roman" w:cs="Times New Roman"/>
          <w:color w:val="000000" w:themeColor="text1"/>
          <w:sz w:val="24"/>
        </w:rPr>
        <w:t xml:space="preserve"> Hult, 2007)</w:t>
      </w:r>
      <w:r w:rsidR="008B06DF" w:rsidRPr="008C04EC">
        <w:rPr>
          <w:rFonts w:ascii="Times New Roman" w:hAnsi="Times New Roman" w:cs="Times New Roman"/>
          <w:color w:val="000000" w:themeColor="text1"/>
          <w:sz w:val="24"/>
          <w:szCs w:val="24"/>
          <w:lang w:val="en-GB"/>
        </w:rPr>
        <w:fldChar w:fldCharType="end"/>
      </w:r>
      <w:r w:rsidR="008B06DF" w:rsidRPr="008C04EC">
        <w:rPr>
          <w:rFonts w:ascii="Times New Roman" w:hAnsi="Times New Roman" w:cs="Times New Roman"/>
          <w:color w:val="000000" w:themeColor="text1"/>
          <w:sz w:val="24"/>
          <w:szCs w:val="24"/>
          <w:lang w:val="en-GB"/>
        </w:rPr>
        <w:t xml:space="preserve">. </w:t>
      </w:r>
      <w:r w:rsidR="00B441EF" w:rsidRPr="008B06DF">
        <w:rPr>
          <w:rFonts w:ascii="Times New Roman" w:eastAsiaTheme="minorHAnsi" w:hAnsi="Times New Roman" w:cs="Times New Roman"/>
          <w:color w:val="000000" w:themeColor="text1"/>
          <w:sz w:val="24"/>
          <w:szCs w:val="24"/>
          <w:lang w:val="en-GB"/>
        </w:rPr>
        <w:t xml:space="preserve">Supply chain adaptability is positioned as a </w:t>
      </w:r>
      <w:r w:rsidR="00B441EF" w:rsidRPr="008B06DF">
        <w:rPr>
          <w:rFonts w:ascii="Times New Roman" w:eastAsiaTheme="minorHAnsi" w:hAnsi="Times New Roman" w:cs="Times New Roman"/>
          <w:i/>
          <w:iCs/>
          <w:color w:val="000000" w:themeColor="text1"/>
          <w:sz w:val="24"/>
          <w:szCs w:val="24"/>
          <w:lang w:val="en-GB"/>
        </w:rPr>
        <w:t xml:space="preserve">transforming </w:t>
      </w:r>
      <w:r w:rsidR="00B441EF" w:rsidRPr="008B06DF">
        <w:rPr>
          <w:rFonts w:ascii="Times New Roman" w:eastAsiaTheme="minorHAnsi" w:hAnsi="Times New Roman" w:cs="Times New Roman"/>
          <w:color w:val="000000" w:themeColor="text1"/>
          <w:sz w:val="24"/>
          <w:szCs w:val="24"/>
          <w:lang w:val="en-GB"/>
        </w:rPr>
        <w:t>DSCC, because the resource base and infrastructure of the supply chain is</w:t>
      </w:r>
      <w:r w:rsidR="00B441EF" w:rsidRPr="008B06DF">
        <w:rPr>
          <w:rFonts w:ascii="Times New Roman" w:eastAsiaTheme="minorHAnsi" w:hAnsi="Times New Roman" w:cs="Times New Roman"/>
          <w:i/>
          <w:iCs/>
          <w:color w:val="000000" w:themeColor="text1"/>
          <w:sz w:val="24"/>
          <w:szCs w:val="24"/>
          <w:lang w:val="en-GB"/>
        </w:rPr>
        <w:t xml:space="preserve"> </w:t>
      </w:r>
      <w:r w:rsidR="00B441EF" w:rsidRPr="008B06DF">
        <w:rPr>
          <w:rFonts w:ascii="Times New Roman" w:eastAsiaTheme="minorHAnsi" w:hAnsi="Times New Roman" w:cs="Times New Roman"/>
          <w:color w:val="000000" w:themeColor="text1"/>
          <w:sz w:val="24"/>
          <w:szCs w:val="24"/>
          <w:lang w:val="en-GB"/>
        </w:rPr>
        <w:t xml:space="preserve">transformed over the longer term in response to changes in the marketplace </w:t>
      </w:r>
      <w:r w:rsidR="00B441EF" w:rsidRPr="008B06DF">
        <w:rPr>
          <w:rFonts w:ascii="Times New Roman" w:eastAsiaTheme="minorHAnsi" w:hAnsi="Times New Roman" w:cs="Times New Roman"/>
          <w:color w:val="000000" w:themeColor="text1"/>
          <w:sz w:val="24"/>
          <w:szCs w:val="24"/>
          <w:lang w:val="en-GB"/>
        </w:rPr>
        <w:fldChar w:fldCharType="begin"/>
      </w:r>
      <w:r w:rsidR="00B441EF" w:rsidRPr="008B06DF">
        <w:rPr>
          <w:rFonts w:ascii="Times New Roman" w:eastAsiaTheme="minorHAnsi" w:hAnsi="Times New Roman" w:cs="Times New Roman"/>
          <w:color w:val="000000" w:themeColor="text1"/>
          <w:sz w:val="24"/>
          <w:szCs w:val="24"/>
          <w:lang w:val="en-GB"/>
        </w:rPr>
        <w:instrText xml:space="preserve"> ADDIN ZOTERO_ITEM CSL_CITATION {"citationID":"CbRxLMf1","properties":{"formattedCitation":"(Aslam et al., 2018; Eckstein et al., 2015; Lee, 2004)","plainCitation":"(Aslam et al., 2018; Eckstein et al., 2015; Lee, 2004)","noteIndex":0},"citationItems":[{"id":1677,"uris":["http://zotero.org/users/3209486/items/QXLGUB6Z"],"uri":["http://zotero.org/users/3209486/items/QXLGUB6Z"],"itemData":{"id":1677,"type":"article-journal","title":"Dynamic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M."}],"issued":{"date-parts":[["2018"]]}}},{"id":986,"uris":["http://zotero.org/users/3209486/items/Z54MJW66"],"uri":["http://zotero.org/users/3209486/items/Z54MJW66"],"itemData":{"id":986,"type":"article-journal","title":"The performance impact of supply chain agility and supply chain adaptability: the moderating effect of product complexity","container-title":"International Journal of Production Research","page":"3028-3046","volume":"53","issue":"10","DOI":"10.1080/00207543.2014.970707","ISSN":"0020-7543","journalAbbreviation":"International Journal of Production Research","author":[{"family":"Eckstein","given":"Dominik"},{"family":"Goellner","given":"Matthias"},{"family":"Blome","given":"Constantin"},{"family":"Henke","given":"Michael"}],"issued":{"date-parts":[["2015",5,19]]}}},{"id":771,"uris":["http://zotero.org/users/3209486/items/A3W5KAIU"],"uri":["http://zotero.org/users/3209486/items/A3W5KAIU"],"itemData":{"id":771,"type":"article-journal","title":"The triple-A supply chain","container-title":"Harvard Business Review","page":"102-112","volume":"82","issue":"10","author":[{"family":"Lee","given":"Hau"}],"issued":{"date-parts":[["2004"]]}}}],"schema":"https://github.com/citation-style-language/schema/raw/master/csl-citation.json"} </w:instrText>
      </w:r>
      <w:r w:rsidR="00B441EF" w:rsidRPr="008B06DF">
        <w:rPr>
          <w:rFonts w:ascii="Times New Roman" w:eastAsiaTheme="minorHAnsi" w:hAnsi="Times New Roman" w:cs="Times New Roman"/>
          <w:color w:val="000000" w:themeColor="text1"/>
          <w:sz w:val="24"/>
          <w:szCs w:val="24"/>
          <w:lang w:val="en-GB"/>
        </w:rPr>
        <w:fldChar w:fldCharType="separate"/>
      </w:r>
      <w:r w:rsidR="007061B5" w:rsidRPr="008B06DF">
        <w:rPr>
          <w:rFonts w:ascii="Times New Roman" w:hAnsi="Times New Roman" w:cs="Times New Roman"/>
          <w:color w:val="000000" w:themeColor="text1"/>
          <w:sz w:val="24"/>
          <w:szCs w:val="24"/>
        </w:rPr>
        <w:t>(Aslam et al., 2018; Eckstein et al., 2015; Lee, 2004)</w:t>
      </w:r>
      <w:r w:rsidR="00B441EF" w:rsidRPr="008B06DF">
        <w:rPr>
          <w:rFonts w:ascii="Times New Roman" w:eastAsiaTheme="minorHAnsi" w:hAnsi="Times New Roman" w:cs="Times New Roman"/>
          <w:color w:val="000000" w:themeColor="text1"/>
          <w:sz w:val="24"/>
          <w:szCs w:val="24"/>
          <w:lang w:val="en-GB"/>
        </w:rPr>
        <w:fldChar w:fldCharType="end"/>
      </w:r>
      <w:r w:rsidR="00B441EF" w:rsidRPr="008B06DF">
        <w:rPr>
          <w:rFonts w:ascii="Times New Roman" w:eastAsiaTheme="minorHAnsi" w:hAnsi="Times New Roman" w:cs="Times New Roman"/>
          <w:color w:val="000000" w:themeColor="text1"/>
          <w:sz w:val="24"/>
          <w:szCs w:val="24"/>
          <w:lang w:val="en-GB"/>
        </w:rPr>
        <w:t xml:space="preserve">. </w:t>
      </w:r>
    </w:p>
    <w:p w14:paraId="6835EB9F" w14:textId="5480662F" w:rsidR="00F62222" w:rsidRDefault="006334A4" w:rsidP="00F62222">
      <w:pPr>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Supply chain scholars have examined how DSCCs affect a firm’s operational performance </w:t>
      </w:r>
      <w:r>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ZOTERO_ITEM CSL_CITATION {"citationID":"h4PKQ4bc","properties":{"formattedCitation":"(Ju et al., 2016)","plainCitation":"(Ju et al., 2016)","noteIndex":0},"citationItems":[{"id":4425,"uris":["http://zotero.org/users/3209486/items/23D9H5AU"],"uri":["http://zotero.org/users/3209486/items/23D9H5AU"],"itemData":{"id":4425,"type":"article-journal","title":"Causal Relationship between Supply Chain Dynamic Capabilities, Technological Innovation, and Operational Performance","container-title":"Management and Production Engineering Review","page":"6-15","volume":"7","issue":"4","DOI":"10.1515/mper-2016-0031","journalAbbreviation":"Management and Production Engineering Review","language":"English","author":[{"family":"Ju","given":"Ki-Jung"},{"family":"Park","given":"Byeonghwa"},{"family":"Kim","given":"Taikyoo"}],"issued":{"date-parts":[["2016"]]}}}],"schema":"https://github.com/citation-style-language/schema/raw/master/csl-citation.json"} </w:instrText>
      </w:r>
      <w:r>
        <w:rPr>
          <w:rFonts w:ascii="Times New Roman" w:hAnsi="Times New Roman" w:cs="Times New Roman"/>
          <w:color w:val="000000" w:themeColor="text1"/>
          <w:sz w:val="24"/>
          <w:szCs w:val="24"/>
          <w:lang w:val="en-GB"/>
        </w:rPr>
        <w:fldChar w:fldCharType="separate"/>
      </w:r>
      <w:r w:rsidRPr="006334A4">
        <w:rPr>
          <w:rFonts w:ascii="Times New Roman" w:hAnsi="Times New Roman" w:cs="Times New Roman"/>
          <w:sz w:val="24"/>
        </w:rPr>
        <w:t>(Ju et al., 2016)</w:t>
      </w:r>
      <w:r>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 xml:space="preserve">, economic performance </w:t>
      </w:r>
      <w:r>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ZOTERO_ITEM CSL_CITATION {"citationID":"4bNZgAwv","properties":{"formattedCitation":"(Aslam et al., 2018)","plainCitation":"(Aslam et al., 2018)","noteIndex":0},"citationItems":[{"id":1677,"uris":["http://zotero.org/users/3209486/items/QXLGUB6Z"],"uri":["http://zotero.org/users/3209486/items/QXLGUB6Z"],"itemData":{"id":1677,"type":"article-journal","title":"Dynamic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M."}],"issued":{"date-parts":[["2018"]]}}}],"schema":"https://github.com/citation-style-language/schema/raw/master/csl-citation.json"} </w:instrText>
      </w:r>
      <w:r>
        <w:rPr>
          <w:rFonts w:ascii="Times New Roman" w:hAnsi="Times New Roman" w:cs="Times New Roman"/>
          <w:color w:val="000000" w:themeColor="text1"/>
          <w:sz w:val="24"/>
          <w:szCs w:val="24"/>
          <w:lang w:val="en-GB"/>
        </w:rPr>
        <w:fldChar w:fldCharType="separate"/>
      </w:r>
      <w:r w:rsidRPr="006334A4">
        <w:rPr>
          <w:rFonts w:ascii="Times New Roman" w:hAnsi="Times New Roman" w:cs="Times New Roman"/>
          <w:sz w:val="24"/>
        </w:rPr>
        <w:t>(Aslam et al., 2018)</w:t>
      </w:r>
      <w:r>
        <w:rPr>
          <w:rFonts w:ascii="Times New Roman" w:hAnsi="Times New Roman" w:cs="Times New Roman"/>
          <w:color w:val="000000" w:themeColor="text1"/>
          <w:sz w:val="24"/>
          <w:szCs w:val="24"/>
          <w:lang w:val="en-GB"/>
        </w:rPr>
        <w:fldChar w:fldCharType="end"/>
      </w:r>
      <w:r w:rsidR="00A336FA">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as well as social and environmental performance </w:t>
      </w:r>
      <w:r>
        <w:rPr>
          <w:rFonts w:ascii="Times New Roman" w:hAnsi="Times New Roman" w:cs="Times New Roman"/>
          <w:color w:val="000000" w:themeColor="text1"/>
          <w:sz w:val="24"/>
          <w:szCs w:val="24"/>
          <w:lang w:val="en-GB"/>
        </w:rPr>
        <w:fldChar w:fldCharType="begin"/>
      </w:r>
      <w:r>
        <w:rPr>
          <w:rFonts w:ascii="Times New Roman" w:hAnsi="Times New Roman" w:cs="Times New Roman"/>
          <w:color w:val="000000" w:themeColor="text1"/>
          <w:sz w:val="24"/>
          <w:szCs w:val="24"/>
          <w:lang w:val="en-GB"/>
        </w:rPr>
        <w:instrText xml:space="preserve"> ADDIN ZOTERO_ITEM CSL_CITATION {"citationID":"LxGhgS6m","properties":{"formattedCitation":"(Beske, 2012; Hong et al., 2018)","plainCitation":"(Beske, 2012; Hong et al., 2018)","noteIndex":0},"citationItems":[{"id":230,"uris":["http://zotero.org/users/3209486/items/KVZX4DMN"],"uri":["http://zotero.org/users/3209486/items/KVZX4DMN"],"itemData":{"id":230,"type":"article-journal","title":"Dynamic capabilities and sustainable supply chain management","container-title":"International Journal of Physical Distribution &amp; Logistics Management","page":"372-387","volume":"42","issue":"4","abstract":"Purpose - Most sustainable supply chains are situated in dynamic environments, which leads to the assumption that management of such chains requires the application of dynamic management theories, such as the dynamic capabilities (DC) concept. In spite of this, DCs have only scarcely been taken up in (sustainable) supply chain management (SSCM) research. The purpose of this paper is twofold: first, to discuss the complementarities of DCs and SSCM research; and second, to develop a framework which integrates DCs in SSCM practices. Design/methodology/approach - The paper is conceptual in nature and grounded in SSCM and DC theory. Relevant literature from the SCM, SSCM and DC context has been scrutinized. In total, three models from SSCM and DC literature, together with related inputs from other literature sources, have been conjoined. Findings - DC and SSCM are linked through similar environmental and organizational conditions, making the application of DC concepts in the field of SSCM a logical choice. The framework embeds specific DCs into SSCM practices. Research limitations/implications - The presented framework is a step towards building an analytical basis for future empirical research in this area. Discussion on the nature of DCs is still going on, as well as on how to measure supply chain performance. The framework can only give indications and help in the theory building process. Furthermore, the underlying frameworks used for the development of the framework presented here have been derived through different methodologies and not all of them have, as yet, been (fully) empirically tested. Practical implications - Investment in DCs and implementation of SSCM practices improves the agility of the overall supply chain and can lead to higher performance against the three dimensions of sustainability. Originality/value - The paper is the first explicit framework linking SSCM and DC theory. The framework shows that the DC concept can be and indeed should be applied to SSCM research and practice. Furthermore, explicit DCs are put forward. It is a step towards building an analytical basis for future empirical research in this area.","ISSN":"0960-0035","author":[{"family":"Beske","given":"Philip"}],"issued":{"date-parts":[["2012"]]}}},{"id":4420,"uris":["http://zotero.org/users/3209486/items/D7PDBNHN"],"uri":["http://zotero.org/users/3209486/items/D7PDBNHN"],"itemData":{"id":4420,"type":"article-journal","title":"Sustainable supply chain management practices, supply chain dynamic capabilities, and enterprise performance","container-title":"Journal of Cleaner Production","page":"3508-3519","volume":"172","abstract":"The combination of sustainable supply chain management (SSCM) and dynamic capabilities theory is a fairly young topic, which has attracted great attention from scholars and practitioners recently. This study empirically investigates the impact of SSCM practices on supply chain (SC) dynamic capabilities and enterprise performance (including economic, environmental and social performance) by explicitly focusing on the mediation effect of SC dynamic capabilities on the link between SSCM practices and enterprise performance. Data collected from 209 Chinese manufacturing firms were analyzed using structural equation modeling. The results reveal that SSCM practices have a significant positive effect on SC dynamic capabilities and all three dimensions of performances. Whereas SC dynamic capabilities affect only environmental performance positively, they have no effect on economic performance and social performance. Furthermore our analysis reveals that SC dynamic capabilities partially mediate the relationship between SSCM practices and enterprise performance. Overall, the findings explicate the importance for firms, in particular those operating in developing countries, to reinforce their SC dynamic capabilities and implement effective SSCM practices as an enabler.","DOI":"10.1016/j.jclepro.2017.06.093","ISSN":"0959-6526","journalAbbreviation":"Journal of Cleaner Production","author":[{"family":"Hong","given":"Jiangtao"},{"family":"Zhang","given":"Yibin"},{"family":"Ding","given":"Minqiu"}],"issued":{"date-parts":[["2018",1,20]]}}}],"schema":"https://github.com/citation-style-language/schema/raw/master/csl-citation.json"} </w:instrText>
      </w:r>
      <w:r>
        <w:rPr>
          <w:rFonts w:ascii="Times New Roman" w:hAnsi="Times New Roman" w:cs="Times New Roman"/>
          <w:color w:val="000000" w:themeColor="text1"/>
          <w:sz w:val="24"/>
          <w:szCs w:val="24"/>
          <w:lang w:val="en-GB"/>
        </w:rPr>
        <w:fldChar w:fldCharType="separate"/>
      </w:r>
      <w:r w:rsidRPr="006334A4">
        <w:rPr>
          <w:rFonts w:ascii="Times New Roman" w:hAnsi="Times New Roman" w:cs="Times New Roman"/>
          <w:sz w:val="24"/>
        </w:rPr>
        <w:t>(Beske, 2012; Hong et al., 2018)</w:t>
      </w:r>
      <w:r>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 xml:space="preserve">. </w:t>
      </w:r>
      <w:r w:rsidR="000E0C65">
        <w:rPr>
          <w:rFonts w:ascii="Times New Roman" w:hAnsi="Times New Roman" w:cs="Times New Roman"/>
          <w:color w:val="000000" w:themeColor="text1"/>
          <w:sz w:val="24"/>
          <w:szCs w:val="24"/>
          <w:lang w:val="en-GB"/>
        </w:rPr>
        <w:t xml:space="preserve">However, the testing of the theoretical underpinnings of DSCCs, particularly its antecedents, is still in its infancy. </w:t>
      </w:r>
      <w:r w:rsidR="00734E67">
        <w:rPr>
          <w:rFonts w:ascii="Times New Roman" w:hAnsi="Times New Roman" w:cs="Times New Roman"/>
          <w:color w:val="000000" w:themeColor="text1"/>
          <w:sz w:val="24"/>
          <w:szCs w:val="24"/>
          <w:lang w:val="en-GB"/>
        </w:rPr>
        <w:t xml:space="preserve">This is </w:t>
      </w:r>
      <w:r w:rsidR="00734E67">
        <w:rPr>
          <w:rFonts w:ascii="Times New Roman" w:hAnsi="Times New Roman" w:cs="Times New Roman"/>
          <w:color w:val="000000" w:themeColor="text1"/>
          <w:sz w:val="24"/>
          <w:szCs w:val="24"/>
          <w:lang w:val="en-GB"/>
        </w:rPr>
        <w:lastRenderedPageBreak/>
        <w:t>an important omission because managers</w:t>
      </w:r>
      <w:r w:rsidR="00734E67">
        <w:rPr>
          <w:rFonts w:ascii="Times New Roman" w:hAnsi="Times New Roman" w:cs="Times New Roman"/>
          <w:color w:val="000000" w:themeColor="text1"/>
          <w:sz w:val="24"/>
          <w:szCs w:val="24"/>
        </w:rPr>
        <w:t xml:space="preserve"> will </w:t>
      </w:r>
      <w:r w:rsidR="0088195D">
        <w:rPr>
          <w:rFonts w:ascii="Times New Roman" w:hAnsi="Times New Roman" w:cs="Times New Roman"/>
          <w:color w:val="000000" w:themeColor="text1"/>
          <w:sz w:val="24"/>
          <w:szCs w:val="24"/>
        </w:rPr>
        <w:t>find it difficult to seize</w:t>
      </w:r>
      <w:r w:rsidR="00734E67">
        <w:rPr>
          <w:rFonts w:ascii="Times New Roman" w:hAnsi="Times New Roman" w:cs="Times New Roman"/>
          <w:color w:val="000000" w:themeColor="text1"/>
          <w:sz w:val="24"/>
          <w:szCs w:val="24"/>
        </w:rPr>
        <w:t xml:space="preserve"> on new market opportunities without </w:t>
      </w:r>
      <w:r w:rsidR="0088195D">
        <w:rPr>
          <w:rFonts w:ascii="Times New Roman" w:hAnsi="Times New Roman" w:cs="Times New Roman"/>
          <w:color w:val="000000" w:themeColor="text1"/>
          <w:sz w:val="24"/>
          <w:szCs w:val="24"/>
        </w:rPr>
        <w:t xml:space="preserve">a roadmap of </w:t>
      </w:r>
      <w:r w:rsidR="00734E67">
        <w:rPr>
          <w:rFonts w:ascii="Times New Roman" w:hAnsi="Times New Roman" w:cs="Times New Roman"/>
          <w:color w:val="000000" w:themeColor="text1"/>
          <w:sz w:val="24"/>
          <w:szCs w:val="24"/>
        </w:rPr>
        <w:t>how to build DSCCs</w:t>
      </w:r>
      <w:r w:rsidR="00E17BCD">
        <w:rPr>
          <w:rFonts w:ascii="Times New Roman" w:hAnsi="Times New Roman" w:cs="Times New Roman"/>
          <w:color w:val="000000" w:themeColor="text1"/>
          <w:sz w:val="24"/>
          <w:szCs w:val="24"/>
        </w:rPr>
        <w:t>.</w:t>
      </w:r>
      <w:r w:rsidR="00734E67">
        <w:rPr>
          <w:rFonts w:ascii="Times New Roman" w:hAnsi="Times New Roman" w:cs="Times New Roman"/>
          <w:color w:val="000000" w:themeColor="text1"/>
          <w:sz w:val="24"/>
          <w:szCs w:val="24"/>
          <w:lang w:val="en-GB"/>
        </w:rPr>
        <w:t xml:space="preserve"> </w:t>
      </w:r>
      <w:r w:rsidR="00D61A0A">
        <w:rPr>
          <w:rFonts w:ascii="Times New Roman" w:hAnsi="Times New Roman" w:cs="Times New Roman"/>
          <w:color w:val="000000" w:themeColor="text1"/>
          <w:sz w:val="24"/>
          <w:szCs w:val="24"/>
          <w:lang w:val="en-GB"/>
        </w:rPr>
        <w:t>Therefore, t</w:t>
      </w:r>
      <w:r w:rsidR="006B2E05">
        <w:rPr>
          <w:rFonts w:ascii="Times New Roman" w:hAnsi="Times New Roman" w:cs="Times New Roman"/>
          <w:color w:val="000000" w:themeColor="text1"/>
          <w:sz w:val="24"/>
          <w:szCs w:val="24"/>
          <w:lang w:val="en-GB"/>
        </w:rPr>
        <w:t>he purpose of this paper is to</w:t>
      </w:r>
      <w:r w:rsidR="00637932" w:rsidRPr="008C04EC">
        <w:rPr>
          <w:rFonts w:ascii="Times New Roman" w:hAnsi="Times New Roman" w:cs="Times New Roman"/>
          <w:color w:val="000000" w:themeColor="text1"/>
          <w:sz w:val="24"/>
          <w:szCs w:val="24"/>
          <w:lang w:val="en-GB"/>
        </w:rPr>
        <w:t xml:space="preserve"> </w:t>
      </w:r>
      <w:r w:rsidR="00EF4AEA" w:rsidRPr="008C04EC">
        <w:rPr>
          <w:rFonts w:ascii="Times New Roman" w:hAnsi="Times New Roman" w:cs="Times New Roman"/>
          <w:color w:val="000000" w:themeColor="text1"/>
          <w:sz w:val="24"/>
          <w:szCs w:val="24"/>
          <w:lang w:val="en-GB"/>
        </w:rPr>
        <w:t xml:space="preserve">answer the question: </w:t>
      </w:r>
      <w:r w:rsidR="00EF4AEA" w:rsidRPr="008C04EC">
        <w:rPr>
          <w:rFonts w:ascii="Times New Roman" w:hAnsi="Times New Roman" w:cs="Times New Roman"/>
          <w:i/>
          <w:color w:val="000000" w:themeColor="text1"/>
          <w:sz w:val="24"/>
          <w:szCs w:val="24"/>
          <w:lang w:val="en-GB"/>
        </w:rPr>
        <w:t>what are the</w:t>
      </w:r>
      <w:r w:rsidR="00637932" w:rsidRPr="008C04EC">
        <w:rPr>
          <w:rFonts w:ascii="Times New Roman" w:hAnsi="Times New Roman" w:cs="Times New Roman"/>
          <w:i/>
          <w:color w:val="000000" w:themeColor="text1"/>
          <w:sz w:val="24"/>
          <w:szCs w:val="24"/>
          <w:lang w:val="en-GB"/>
        </w:rPr>
        <w:t xml:space="preserve"> antecedents of dynamic supply chain capabilities</w:t>
      </w:r>
      <w:r w:rsidR="00C25B70" w:rsidRPr="008C04EC">
        <w:rPr>
          <w:rFonts w:ascii="Times New Roman" w:hAnsi="Times New Roman" w:cs="Times New Roman"/>
          <w:i/>
          <w:color w:val="000000" w:themeColor="text1"/>
          <w:sz w:val="24"/>
          <w:szCs w:val="24"/>
          <w:lang w:val="en-GB"/>
        </w:rPr>
        <w:t>?</w:t>
      </w:r>
      <w:r w:rsidR="00637932" w:rsidRPr="008C04EC">
        <w:rPr>
          <w:rFonts w:ascii="Times New Roman" w:hAnsi="Times New Roman" w:cs="Times New Roman"/>
          <w:color w:val="000000" w:themeColor="text1"/>
          <w:sz w:val="24"/>
          <w:szCs w:val="24"/>
          <w:lang w:val="en-GB"/>
        </w:rPr>
        <w:t xml:space="preserve"> </w:t>
      </w:r>
      <w:r w:rsidR="004322F8">
        <w:rPr>
          <w:rFonts w:ascii="Times New Roman" w:hAnsi="Times New Roman" w:cs="Times New Roman"/>
          <w:color w:val="000000" w:themeColor="text1"/>
          <w:sz w:val="24"/>
          <w:szCs w:val="24"/>
          <w:lang w:val="en-GB"/>
        </w:rPr>
        <w:t xml:space="preserve"> </w:t>
      </w:r>
    </w:p>
    <w:p w14:paraId="77CE4CD1" w14:textId="3B590966" w:rsidR="009330EA" w:rsidRPr="001817EC" w:rsidRDefault="00F62222" w:rsidP="001817EC">
      <w:pPr>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We build the argument that</w:t>
      </w:r>
      <w:r w:rsidR="006334A4">
        <w:rPr>
          <w:rFonts w:ascii="Times New Roman" w:hAnsi="Times New Roman" w:cs="Times New Roman"/>
          <w:color w:val="000000" w:themeColor="text1"/>
          <w:sz w:val="24"/>
          <w:szCs w:val="24"/>
          <w:lang w:val="en-GB"/>
        </w:rPr>
        <w:t xml:space="preserve"> when supply </w:t>
      </w:r>
      <w:r w:rsidR="004322F8">
        <w:rPr>
          <w:rFonts w:ascii="Times New Roman" w:hAnsi="Times New Roman" w:cs="Times New Roman"/>
          <w:color w:val="000000" w:themeColor="text1"/>
          <w:sz w:val="24"/>
          <w:szCs w:val="24"/>
          <w:lang w:val="en-GB"/>
        </w:rPr>
        <w:t xml:space="preserve">chain partners </w:t>
      </w:r>
      <w:r w:rsidR="00D014B7">
        <w:rPr>
          <w:rFonts w:ascii="Times New Roman" w:hAnsi="Times New Roman" w:cs="Times New Roman"/>
          <w:color w:val="000000" w:themeColor="text1"/>
          <w:sz w:val="24"/>
          <w:szCs w:val="24"/>
          <w:lang w:val="en-GB"/>
        </w:rPr>
        <w:t>set out to</w:t>
      </w:r>
      <w:r w:rsidR="006334A4">
        <w:rPr>
          <w:rFonts w:ascii="Times New Roman" w:hAnsi="Times New Roman" w:cs="Times New Roman"/>
          <w:color w:val="000000" w:themeColor="text1"/>
          <w:sz w:val="24"/>
          <w:szCs w:val="24"/>
          <w:lang w:val="en-GB"/>
        </w:rPr>
        <w:t xml:space="preserve"> c</w:t>
      </w:r>
      <w:r w:rsidR="004322F8">
        <w:rPr>
          <w:rFonts w:ascii="Times New Roman" w:hAnsi="Times New Roman" w:cs="Times New Roman"/>
          <w:color w:val="000000" w:themeColor="text1"/>
          <w:sz w:val="24"/>
          <w:szCs w:val="24"/>
          <w:lang w:val="en-GB"/>
        </w:rPr>
        <w:t>o-develop DSCCs</w:t>
      </w:r>
      <w:r w:rsidR="008A6DF5">
        <w:rPr>
          <w:rFonts w:ascii="Times New Roman" w:hAnsi="Times New Roman" w:cs="Times New Roman"/>
          <w:color w:val="000000" w:themeColor="text1"/>
          <w:sz w:val="24"/>
          <w:szCs w:val="24"/>
          <w:lang w:val="en-GB"/>
        </w:rPr>
        <w:t>,</w:t>
      </w:r>
      <w:r w:rsidR="004322F8">
        <w:rPr>
          <w:rFonts w:ascii="Times New Roman" w:hAnsi="Times New Roman" w:cs="Times New Roman"/>
          <w:color w:val="000000" w:themeColor="text1"/>
          <w:sz w:val="24"/>
          <w:szCs w:val="24"/>
          <w:lang w:val="en-GB"/>
        </w:rPr>
        <w:t xml:space="preserve"> they should first </w:t>
      </w:r>
      <w:r w:rsidR="0021652B">
        <w:rPr>
          <w:rFonts w:ascii="Times New Roman" w:hAnsi="Times New Roman" w:cs="Times New Roman"/>
          <w:color w:val="000000" w:themeColor="text1"/>
          <w:sz w:val="24"/>
          <w:szCs w:val="24"/>
          <w:lang w:val="en-GB"/>
        </w:rPr>
        <w:t>share a</w:t>
      </w:r>
      <w:r w:rsidR="004322F8">
        <w:rPr>
          <w:rFonts w:ascii="Times New Roman" w:hAnsi="Times New Roman" w:cs="Times New Roman"/>
          <w:color w:val="000000" w:themeColor="text1"/>
          <w:sz w:val="24"/>
          <w:szCs w:val="24"/>
          <w:lang w:val="en-GB"/>
        </w:rPr>
        <w:t xml:space="preserve"> strategic orien</w:t>
      </w:r>
      <w:r w:rsidR="0021652B">
        <w:rPr>
          <w:rFonts w:ascii="Times New Roman" w:hAnsi="Times New Roman" w:cs="Times New Roman"/>
          <w:color w:val="000000" w:themeColor="text1"/>
          <w:sz w:val="24"/>
          <w:szCs w:val="24"/>
          <w:lang w:val="en-GB"/>
        </w:rPr>
        <w:t>tation</w:t>
      </w:r>
      <w:r w:rsidR="004322F8">
        <w:rPr>
          <w:rFonts w:ascii="Times New Roman" w:hAnsi="Times New Roman" w:cs="Times New Roman"/>
          <w:color w:val="000000" w:themeColor="text1"/>
          <w:sz w:val="24"/>
          <w:szCs w:val="24"/>
          <w:lang w:val="en-GB"/>
        </w:rPr>
        <w:t xml:space="preserve">. When a firm and its suppliers </w:t>
      </w:r>
      <w:r w:rsidR="008A6DF5">
        <w:rPr>
          <w:rFonts w:ascii="Times New Roman" w:hAnsi="Times New Roman" w:cs="Times New Roman"/>
          <w:color w:val="000000" w:themeColor="text1"/>
          <w:sz w:val="24"/>
          <w:szCs w:val="24"/>
          <w:lang w:val="en-GB"/>
        </w:rPr>
        <w:t>are oriented</w:t>
      </w:r>
      <w:r w:rsidR="004322F8">
        <w:rPr>
          <w:rFonts w:ascii="Times New Roman" w:hAnsi="Times New Roman" w:cs="Times New Roman"/>
          <w:color w:val="000000" w:themeColor="text1"/>
          <w:sz w:val="24"/>
          <w:szCs w:val="24"/>
          <w:lang w:val="en-GB"/>
        </w:rPr>
        <w:t xml:space="preserve"> </w:t>
      </w:r>
      <w:r w:rsidR="008A6DF5">
        <w:rPr>
          <w:rFonts w:ascii="Times New Roman" w:hAnsi="Times New Roman" w:cs="Times New Roman"/>
          <w:color w:val="000000" w:themeColor="text1"/>
          <w:sz w:val="24"/>
          <w:szCs w:val="24"/>
          <w:lang w:val="en-GB"/>
        </w:rPr>
        <w:t xml:space="preserve">to </w:t>
      </w:r>
      <w:r w:rsidR="004322F8">
        <w:rPr>
          <w:rFonts w:ascii="Times New Roman" w:hAnsi="Times New Roman" w:cs="Times New Roman"/>
          <w:color w:val="000000" w:themeColor="text1"/>
          <w:sz w:val="24"/>
          <w:szCs w:val="24"/>
          <w:lang w:val="en-GB"/>
        </w:rPr>
        <w:t>attain the same strategic objectives</w:t>
      </w:r>
      <w:r w:rsidR="00173EE3">
        <w:rPr>
          <w:rFonts w:ascii="Times New Roman" w:hAnsi="Times New Roman" w:cs="Times New Roman"/>
          <w:color w:val="000000" w:themeColor="text1"/>
          <w:sz w:val="24"/>
          <w:szCs w:val="24"/>
          <w:lang w:val="en-GB"/>
        </w:rPr>
        <w:t>,</w:t>
      </w:r>
      <w:r w:rsidR="004322F8">
        <w:rPr>
          <w:rFonts w:ascii="Times New Roman" w:hAnsi="Times New Roman" w:cs="Times New Roman"/>
          <w:color w:val="000000" w:themeColor="text1"/>
          <w:sz w:val="24"/>
          <w:szCs w:val="24"/>
          <w:lang w:val="en-GB"/>
        </w:rPr>
        <w:t xml:space="preserve"> they are better </w:t>
      </w:r>
      <w:r w:rsidR="00173EE3">
        <w:rPr>
          <w:rFonts w:ascii="Times New Roman" w:hAnsi="Times New Roman" w:cs="Times New Roman"/>
          <w:color w:val="000000" w:themeColor="text1"/>
          <w:sz w:val="24"/>
          <w:szCs w:val="24"/>
          <w:lang w:val="en-GB"/>
        </w:rPr>
        <w:t>able</w:t>
      </w:r>
      <w:r w:rsidR="00A336FA">
        <w:rPr>
          <w:rFonts w:ascii="Times New Roman" w:hAnsi="Times New Roman" w:cs="Times New Roman"/>
          <w:color w:val="000000" w:themeColor="text1"/>
          <w:sz w:val="24"/>
          <w:szCs w:val="24"/>
          <w:lang w:val="en-GB"/>
        </w:rPr>
        <w:t xml:space="preserve"> to</w:t>
      </w:r>
      <w:r w:rsidR="004322F8">
        <w:rPr>
          <w:rFonts w:ascii="Times New Roman" w:hAnsi="Times New Roman" w:cs="Times New Roman"/>
          <w:color w:val="000000" w:themeColor="text1"/>
          <w:sz w:val="24"/>
          <w:szCs w:val="24"/>
          <w:lang w:val="en-GB"/>
        </w:rPr>
        <w:t xml:space="preserve"> </w:t>
      </w:r>
      <w:r w:rsidR="00173EE3">
        <w:rPr>
          <w:rFonts w:ascii="Times New Roman" w:hAnsi="Times New Roman" w:cs="Times New Roman"/>
          <w:color w:val="000000" w:themeColor="text1"/>
          <w:sz w:val="24"/>
          <w:szCs w:val="24"/>
          <w:lang w:val="en-GB"/>
        </w:rPr>
        <w:t xml:space="preserve">coordinate the reconfiguration of </w:t>
      </w:r>
      <w:r w:rsidR="004322F8">
        <w:rPr>
          <w:rFonts w:ascii="Times New Roman" w:hAnsi="Times New Roman" w:cs="Times New Roman"/>
          <w:color w:val="000000" w:themeColor="text1"/>
          <w:sz w:val="24"/>
          <w:szCs w:val="24"/>
          <w:lang w:val="en-GB"/>
        </w:rPr>
        <w:t xml:space="preserve">supply chain assets to achieve </w:t>
      </w:r>
      <w:r w:rsidR="00823702">
        <w:rPr>
          <w:rFonts w:ascii="Times New Roman" w:hAnsi="Times New Roman" w:cs="Times New Roman"/>
          <w:color w:val="000000" w:themeColor="text1"/>
          <w:sz w:val="24"/>
          <w:szCs w:val="24"/>
          <w:lang w:val="en-GB"/>
        </w:rPr>
        <w:t>desired</w:t>
      </w:r>
      <w:r w:rsidR="006B2E05">
        <w:rPr>
          <w:rFonts w:ascii="Times New Roman" w:hAnsi="Times New Roman" w:cs="Times New Roman"/>
          <w:color w:val="000000" w:themeColor="text1"/>
          <w:sz w:val="24"/>
          <w:szCs w:val="24"/>
          <w:lang w:val="en-GB"/>
        </w:rPr>
        <w:t xml:space="preserve"> </w:t>
      </w:r>
      <w:r w:rsidR="004322F8">
        <w:rPr>
          <w:rFonts w:ascii="Times New Roman" w:hAnsi="Times New Roman" w:cs="Times New Roman"/>
          <w:color w:val="000000" w:themeColor="text1"/>
          <w:sz w:val="24"/>
          <w:szCs w:val="24"/>
          <w:lang w:val="en-GB"/>
        </w:rPr>
        <w:t>goal</w:t>
      </w:r>
      <w:r w:rsidR="00734E67">
        <w:rPr>
          <w:rFonts w:ascii="Times New Roman" w:hAnsi="Times New Roman" w:cs="Times New Roman"/>
          <w:color w:val="000000" w:themeColor="text1"/>
          <w:sz w:val="24"/>
          <w:szCs w:val="24"/>
          <w:lang w:val="en-GB"/>
        </w:rPr>
        <w:t>s</w:t>
      </w:r>
      <w:r w:rsidR="00AD1214">
        <w:rPr>
          <w:rFonts w:ascii="Times New Roman" w:hAnsi="Times New Roman" w:cs="Times New Roman"/>
          <w:color w:val="000000" w:themeColor="text1"/>
          <w:sz w:val="24"/>
          <w:szCs w:val="24"/>
          <w:lang w:val="en-GB"/>
        </w:rPr>
        <w:t xml:space="preserve"> </w:t>
      </w:r>
      <w:r w:rsidR="00AD1214">
        <w:rPr>
          <w:rFonts w:ascii="Times New Roman" w:hAnsi="Times New Roman" w:cs="Times New Roman"/>
          <w:color w:val="000000" w:themeColor="text1"/>
          <w:sz w:val="24"/>
          <w:szCs w:val="24"/>
          <w:lang w:val="en-GB"/>
        </w:rPr>
        <w:fldChar w:fldCharType="begin"/>
      </w:r>
      <w:r w:rsidR="00AD1214">
        <w:rPr>
          <w:rFonts w:ascii="Times New Roman" w:hAnsi="Times New Roman" w:cs="Times New Roman"/>
          <w:color w:val="000000" w:themeColor="text1"/>
          <w:sz w:val="24"/>
          <w:szCs w:val="24"/>
          <w:lang w:val="en-GB"/>
        </w:rPr>
        <w:instrText xml:space="preserve"> ADDIN ZOTERO_ITEM CSL_CITATION {"citationID":"lQDhy8zP","properties":{"formattedCitation":"(Defee and Fugate, 2010)","plainCitation":"(Defee and Fugate, 2010)","noteIndex":0},"citationItems":[{"id":185,"uris":["http://zotero.org/users/3209486/items/SF9GA4SV"],"uri":["http://zotero.org/users/3209486/items/SF9GA4SV"],"itemData":{"id":185,"type":"article-journal","title":"Changing perspective of capabilities in the dynamic supply chain era","container-title":"International Journal of Logistics Management","page":"180-206","volume":"21","issue":"2","abstract":"Purpose - A review of the literature reveals that previous research on capabilities has been limited to static capabilities and have largely been firm-centric, which neglect today's evolving supply chain environment. To address this shortcoming, this paper aims to explore dynamic supply chain capabilities (DSCCS) as a path to achieving sustainable competitive advantage. Design/methodology/approach - Logistics and supply chain literature is reviewed to provide a foundation for introducing a model of DSCCS driving competitive advantage. Propositions for future research are presented based upon the theoretical model. Findings - The need to continuously renew boundary spanning supply chain capabilities may be facilitated by the presence of a supply chain orientation and a learning orientation found across the multiple partners. Research limitations/implications - Supply chain organizations exist in a continually evolving environment with the best-performing firms often being characterized as agile and continually improving. The dynamic capabilities perspective provides a theoretical foundation that may be used to better understand and predict the success of supply chain firms. The work presented here is conceptual and empirical examination of the propositions should occur before any broad generalization can be drawn. Practical implications - Long-term organizational success may be facilitated by continuous renewal and creation of new static capabilities through the use of DSCCS. Originality/value - The paper demonstrates that dynamic capabilities may be extended beyond the traditional single-firm view to exist across the relationships developed by multiple organizations in a supply chain. [PUBLICATION ABSTRACT]","ISSN":"09574093","author":[{"family":"Defee","given":"C. Clifford"},{"family":"Fugate","given":"Brian S."}],"issued":{"date-parts":[["2010"]]}}}],"schema":"https://github.com/citation-style-language/schema/raw/master/csl-citation.json"} </w:instrText>
      </w:r>
      <w:r w:rsidR="00AD1214">
        <w:rPr>
          <w:rFonts w:ascii="Times New Roman" w:hAnsi="Times New Roman" w:cs="Times New Roman"/>
          <w:color w:val="000000" w:themeColor="text1"/>
          <w:sz w:val="24"/>
          <w:szCs w:val="24"/>
          <w:lang w:val="en-GB"/>
        </w:rPr>
        <w:fldChar w:fldCharType="separate"/>
      </w:r>
      <w:r w:rsidR="00AD1214" w:rsidRPr="00AD1214">
        <w:rPr>
          <w:rFonts w:ascii="Times New Roman" w:hAnsi="Times New Roman" w:cs="Times New Roman"/>
          <w:sz w:val="24"/>
        </w:rPr>
        <w:t>(Defee and Fugate, 2010)</w:t>
      </w:r>
      <w:r w:rsidR="00AD1214">
        <w:rPr>
          <w:rFonts w:ascii="Times New Roman" w:hAnsi="Times New Roman" w:cs="Times New Roman"/>
          <w:color w:val="000000" w:themeColor="text1"/>
          <w:sz w:val="24"/>
          <w:szCs w:val="24"/>
          <w:lang w:val="en-GB"/>
        </w:rPr>
        <w:fldChar w:fldCharType="end"/>
      </w:r>
      <w:r w:rsidR="00173EE3">
        <w:rPr>
          <w:rFonts w:ascii="Times New Roman" w:hAnsi="Times New Roman" w:cs="Times New Roman"/>
          <w:color w:val="000000" w:themeColor="text1"/>
          <w:sz w:val="24"/>
          <w:szCs w:val="24"/>
          <w:lang w:val="en-GB"/>
        </w:rPr>
        <w:t xml:space="preserve">. </w:t>
      </w:r>
      <w:r w:rsidR="0088195D">
        <w:rPr>
          <w:rFonts w:ascii="Times New Roman" w:hAnsi="Times New Roman" w:cs="Times New Roman"/>
          <w:color w:val="000000" w:themeColor="text1"/>
          <w:sz w:val="24"/>
          <w:szCs w:val="24"/>
          <w:lang w:val="en-GB"/>
        </w:rPr>
        <w:t>In this paper, an</w:t>
      </w:r>
      <w:r w:rsidR="00E357FB">
        <w:rPr>
          <w:rFonts w:ascii="Times New Roman" w:hAnsi="Times New Roman" w:cs="Times New Roman"/>
          <w:color w:val="000000" w:themeColor="text1"/>
          <w:sz w:val="24"/>
          <w:szCs w:val="24"/>
          <w:lang w:val="en-GB"/>
        </w:rPr>
        <w:t xml:space="preserve"> e</w:t>
      </w:r>
      <w:r w:rsidR="00536586">
        <w:rPr>
          <w:rFonts w:ascii="Times New Roman" w:hAnsi="Times New Roman" w:cs="Times New Roman"/>
          <w:color w:val="000000" w:themeColor="text1"/>
          <w:sz w:val="24"/>
          <w:szCs w:val="24"/>
          <w:lang w:val="en-GB"/>
        </w:rPr>
        <w:t xml:space="preserve">ntrepreneurial </w:t>
      </w:r>
      <w:r w:rsidR="00E357FB">
        <w:rPr>
          <w:rFonts w:ascii="Times New Roman" w:hAnsi="Times New Roman" w:cs="Times New Roman"/>
          <w:color w:val="000000" w:themeColor="text1"/>
          <w:sz w:val="24"/>
          <w:szCs w:val="24"/>
          <w:lang w:val="en-GB"/>
        </w:rPr>
        <w:t xml:space="preserve">and a </w:t>
      </w:r>
      <w:r w:rsidR="00536586">
        <w:rPr>
          <w:rFonts w:ascii="Times New Roman" w:hAnsi="Times New Roman" w:cs="Times New Roman"/>
          <w:color w:val="000000" w:themeColor="text1"/>
          <w:sz w:val="24"/>
          <w:szCs w:val="24"/>
          <w:lang w:val="en-GB"/>
        </w:rPr>
        <w:t>suppl</w:t>
      </w:r>
      <w:r w:rsidR="0088195D">
        <w:rPr>
          <w:rFonts w:ascii="Times New Roman" w:hAnsi="Times New Roman" w:cs="Times New Roman"/>
          <w:color w:val="000000" w:themeColor="text1"/>
          <w:sz w:val="24"/>
          <w:szCs w:val="24"/>
          <w:lang w:val="en-GB"/>
        </w:rPr>
        <w:t xml:space="preserve">y chain learning orientation are positioned as </w:t>
      </w:r>
      <w:r w:rsidR="00536586">
        <w:rPr>
          <w:rFonts w:ascii="Times New Roman" w:hAnsi="Times New Roman" w:cs="Times New Roman"/>
          <w:color w:val="000000" w:themeColor="text1"/>
          <w:sz w:val="24"/>
          <w:szCs w:val="24"/>
          <w:lang w:val="en-GB"/>
        </w:rPr>
        <w:t xml:space="preserve">two </w:t>
      </w:r>
      <w:r w:rsidR="00E357FB">
        <w:rPr>
          <w:rFonts w:ascii="Times New Roman" w:hAnsi="Times New Roman" w:cs="Times New Roman"/>
          <w:color w:val="000000" w:themeColor="text1"/>
          <w:sz w:val="24"/>
          <w:szCs w:val="24"/>
          <w:lang w:val="en-GB"/>
        </w:rPr>
        <w:t>strategic orientations that antecede the emergence of</w:t>
      </w:r>
      <w:r w:rsidR="00536586">
        <w:rPr>
          <w:rFonts w:ascii="Times New Roman" w:hAnsi="Times New Roman" w:cs="Times New Roman"/>
          <w:color w:val="000000" w:themeColor="text1"/>
          <w:sz w:val="24"/>
          <w:szCs w:val="24"/>
          <w:lang w:val="en-GB"/>
        </w:rPr>
        <w:t xml:space="preserve"> DSCCs. </w:t>
      </w:r>
      <w:r w:rsidR="00E357FB">
        <w:rPr>
          <w:rFonts w:ascii="Times New Roman" w:hAnsi="Times New Roman" w:cs="Times New Roman"/>
          <w:color w:val="000000" w:themeColor="text1"/>
          <w:sz w:val="24"/>
          <w:szCs w:val="24"/>
          <w:lang w:val="en-GB"/>
        </w:rPr>
        <w:t>F</w:t>
      </w:r>
      <w:r w:rsidR="008A6DF5">
        <w:rPr>
          <w:rFonts w:ascii="Times New Roman" w:hAnsi="Times New Roman" w:cs="Times New Roman"/>
          <w:color w:val="000000" w:themeColor="text1"/>
          <w:sz w:val="24"/>
          <w:szCs w:val="24"/>
          <w:lang w:val="en-GB"/>
        </w:rPr>
        <w:t xml:space="preserve">irms with strong dynamic capabilities are said to </w:t>
      </w:r>
      <w:r w:rsidR="00536586">
        <w:rPr>
          <w:rFonts w:ascii="Times New Roman" w:hAnsi="Times New Roman" w:cs="Times New Roman"/>
          <w:color w:val="000000" w:themeColor="text1"/>
          <w:sz w:val="24"/>
          <w:szCs w:val="24"/>
          <w:lang w:val="en-GB"/>
        </w:rPr>
        <w:t>be intensely entrepreneurial</w:t>
      </w:r>
      <w:r w:rsidR="008A6DF5">
        <w:rPr>
          <w:rFonts w:ascii="Times New Roman" w:hAnsi="Times New Roman" w:cs="Times New Roman"/>
          <w:color w:val="000000" w:themeColor="text1"/>
          <w:sz w:val="24"/>
          <w:szCs w:val="24"/>
          <w:lang w:val="en-GB"/>
        </w:rPr>
        <w:t xml:space="preserve"> </w:t>
      </w:r>
      <w:r w:rsidR="00536586" w:rsidRPr="008C04EC">
        <w:rPr>
          <w:rFonts w:ascii="Times-Italic" w:eastAsiaTheme="minorHAnsi" w:hAnsi="Times-Italic" w:cs="Times-Italic"/>
          <w:iCs/>
          <w:color w:val="000000" w:themeColor="text1"/>
          <w:sz w:val="24"/>
          <w:szCs w:val="18"/>
          <w:lang w:val="en-GB"/>
        </w:rPr>
        <w:t xml:space="preserve">and the ability to recognize new opportunities </w:t>
      </w:r>
      <w:r w:rsidR="00823702">
        <w:rPr>
          <w:rFonts w:ascii="Times-Italic" w:eastAsiaTheme="minorHAnsi" w:hAnsi="Times-Italic" w:cs="Times-Italic"/>
          <w:iCs/>
          <w:color w:val="000000" w:themeColor="text1"/>
          <w:sz w:val="24"/>
          <w:szCs w:val="18"/>
          <w:lang w:val="en-GB"/>
        </w:rPr>
        <w:t>is said to depend</w:t>
      </w:r>
      <w:r w:rsidR="00536586" w:rsidRPr="008C04EC">
        <w:rPr>
          <w:rFonts w:ascii="Times-Italic" w:eastAsiaTheme="minorHAnsi" w:hAnsi="Times-Italic" w:cs="Times-Italic"/>
          <w:iCs/>
          <w:color w:val="000000" w:themeColor="text1"/>
          <w:sz w:val="24"/>
          <w:szCs w:val="18"/>
          <w:lang w:val="en-GB"/>
        </w:rPr>
        <w:t xml:space="preserve"> on a manager’s kn</w:t>
      </w:r>
      <w:r w:rsidR="00734E67">
        <w:rPr>
          <w:rFonts w:ascii="Times-Italic" w:eastAsiaTheme="minorHAnsi" w:hAnsi="Times-Italic" w:cs="Times-Italic"/>
          <w:iCs/>
          <w:color w:val="000000" w:themeColor="text1"/>
          <w:sz w:val="24"/>
          <w:szCs w:val="18"/>
          <w:lang w:val="en-GB"/>
        </w:rPr>
        <w:t>owledge and learning capacities</w:t>
      </w:r>
      <w:r w:rsidR="00E357FB">
        <w:rPr>
          <w:rFonts w:ascii="Times-Italic" w:eastAsiaTheme="minorHAnsi" w:hAnsi="Times-Italic" w:cs="Times-Italic"/>
          <w:iCs/>
          <w:color w:val="000000" w:themeColor="text1"/>
          <w:sz w:val="24"/>
          <w:szCs w:val="18"/>
          <w:lang w:val="en-GB"/>
        </w:rPr>
        <w:t xml:space="preserve"> </w:t>
      </w:r>
      <w:r w:rsidR="00E357FB">
        <w:rPr>
          <w:rFonts w:ascii="Times-Italic" w:eastAsiaTheme="minorHAnsi" w:hAnsi="Times-Italic" w:cs="Times-Italic"/>
          <w:iCs/>
          <w:color w:val="000000" w:themeColor="text1"/>
          <w:sz w:val="24"/>
          <w:szCs w:val="18"/>
          <w:lang w:val="en-GB"/>
        </w:rPr>
        <w:fldChar w:fldCharType="begin"/>
      </w:r>
      <w:r w:rsidR="00E357FB">
        <w:rPr>
          <w:rFonts w:ascii="Times-Italic" w:eastAsiaTheme="minorHAnsi" w:hAnsi="Times-Italic" w:cs="Times-Italic"/>
          <w:iCs/>
          <w:color w:val="000000" w:themeColor="text1"/>
          <w:sz w:val="24"/>
          <w:szCs w:val="18"/>
          <w:lang w:val="en-GB"/>
        </w:rPr>
        <w:instrText xml:space="preserve"> ADDIN ZOTERO_ITEM CSL_CITATION {"citationID":"Bmb54uDy","properties":{"formattedCitation":"(Teece,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E357FB">
        <w:rPr>
          <w:rFonts w:ascii="Times-Italic" w:eastAsiaTheme="minorHAnsi" w:hAnsi="Times-Italic" w:cs="Times-Italic"/>
          <w:iCs/>
          <w:color w:val="000000" w:themeColor="text1"/>
          <w:sz w:val="24"/>
          <w:szCs w:val="18"/>
          <w:lang w:val="en-GB"/>
        </w:rPr>
        <w:fldChar w:fldCharType="separate"/>
      </w:r>
      <w:r w:rsidR="00E357FB" w:rsidRPr="00E357FB">
        <w:rPr>
          <w:rFonts w:ascii="Times-Italic" w:hAnsi="Times-Italic"/>
          <w:sz w:val="24"/>
        </w:rPr>
        <w:t>(Teece, 2007)</w:t>
      </w:r>
      <w:r w:rsidR="00E357FB">
        <w:rPr>
          <w:rFonts w:ascii="Times-Italic" w:eastAsiaTheme="minorHAnsi" w:hAnsi="Times-Italic" w:cs="Times-Italic"/>
          <w:iCs/>
          <w:color w:val="000000" w:themeColor="text1"/>
          <w:sz w:val="24"/>
          <w:szCs w:val="18"/>
          <w:lang w:val="en-GB"/>
        </w:rPr>
        <w:fldChar w:fldCharType="end"/>
      </w:r>
      <w:r w:rsidR="00E357FB">
        <w:rPr>
          <w:rFonts w:ascii="Times-Italic" w:eastAsiaTheme="minorHAnsi" w:hAnsi="Times-Italic" w:cs="Times-Italic"/>
          <w:iCs/>
          <w:color w:val="000000" w:themeColor="text1"/>
          <w:sz w:val="24"/>
          <w:szCs w:val="18"/>
          <w:lang w:val="en-GB"/>
        </w:rPr>
        <w:t>.</w:t>
      </w:r>
      <w:r w:rsidR="00734E67">
        <w:rPr>
          <w:rFonts w:ascii="Times New Roman" w:hAnsi="Times New Roman" w:cs="Times New Roman"/>
          <w:sz w:val="24"/>
        </w:rPr>
        <w:t xml:space="preserve"> </w:t>
      </w:r>
      <w:r w:rsidR="006334A4" w:rsidRPr="008C04EC">
        <w:rPr>
          <w:rFonts w:ascii="Times New Roman" w:eastAsiaTheme="minorHAnsi" w:hAnsi="Times New Roman" w:cs="Times New Roman"/>
          <w:iCs/>
          <w:color w:val="000000" w:themeColor="text1"/>
          <w:sz w:val="24"/>
          <w:szCs w:val="18"/>
          <w:lang w:val="en-GB"/>
        </w:rPr>
        <w:t xml:space="preserve">Organizations acting entrepreneurially adjust their operations in dynamically competitive environments and shape that environment by committing resources to exploit uncertain opportunities </w:t>
      </w:r>
      <w:r w:rsidR="006334A4" w:rsidRPr="008C04EC">
        <w:rPr>
          <w:rFonts w:ascii="Times New Roman" w:eastAsiaTheme="minorHAnsi" w:hAnsi="Times New Roman" w:cs="Times New Roman"/>
          <w:iCs/>
          <w:color w:val="000000" w:themeColor="text1"/>
          <w:sz w:val="24"/>
          <w:szCs w:val="18"/>
          <w:lang w:val="en-GB"/>
        </w:rPr>
        <w:fldChar w:fldCharType="begin"/>
      </w:r>
      <w:r w:rsidR="00E357FB">
        <w:rPr>
          <w:rFonts w:ascii="Times New Roman" w:eastAsiaTheme="minorHAnsi" w:hAnsi="Times New Roman" w:cs="Times New Roman"/>
          <w:iCs/>
          <w:color w:val="000000" w:themeColor="text1"/>
          <w:sz w:val="24"/>
          <w:szCs w:val="18"/>
          <w:lang w:val="en-GB"/>
        </w:rPr>
        <w:instrText xml:space="preserve"> ADDIN ZOTERO_ITEM CSL_CITATION {"citationID":"43ZGsaXn","properties":{"formattedCitation":"(Covin and Slevin, 1989; Hakala, 2011; Renko et al., 2009)","plainCitation":"(Covin and Slevin, 1989; Hakala, 2011; Renko et al., 2009)","noteIndex":0},"citationItems":[{"id":4297,"uris":["http://zotero.org/users/3209486/items/VYG5AESW"],"uri":["http://zotero.org/users/3209486/items/VYG5AESW"],"itemData":{"id":4297,"type":"article-journal","title":"Strategic Management of Small Firms in Hostile and Benign Environments","container-title":"Strategic Management Journal","page":"75-87","volume":"10","issue":"1","archive":"JSTOR","abstract":"[This paper reports the results of a study designed to investigate the effective strategic responses to environmental hostility among small manufacturing firms. Data on environmental hostility, organization structure, strategic posture, competitive tactics, and financial performance were collected from 161 small manufacturers. Findings indicate that performance among small firms in hostile environments was positively related to an organic structure, an entrepreneurial strategic posture, and a competitive profile characterized by a long-term orientation, high product prices, and a concern for predicting industry trends. In benign environments, on the other hand, performance was positively related to a mechanistic structure, a conservative strategic posture, and a competitive profile characterized by conservative financial management and a short-term financial orientation, an emphasis on product refinement, and a willingness to rely heavily on single customers.]","ISSN":"01432095, 10970266","author":[{"family":"Covin","given":"Jeffrey G."},{"family":"Slevin","given":"Dennis P."}],"issued":{"date-parts":[["1989"]]}}},{"id":4285,"uris":["http://zotero.org/users/3209486/items/R64G6KQ4"],"uri":["http://zotero.org/users/3209486/items/R64G6KQ4"],"itemData":{"id":4285,"type":"article-journal","title":"Strategic Orientations in Management Literature: Three Approaches to Understanding the Interaction between Market, Technology, Entrepreneurial and Learning Orientations","container-title":"International Journal of Management Reviews","page":"199-217","volume":"13","issue":"2","abstract":"Market, technology, entrepreneurial and learning orientations have attracted major scholarly interest within their specific streams of literature for some decades. These strategic orientations are seen as principles that direct and influence the activities of a firm and generate the behaviours intended to ensure its viability and performance. Prior studies have argued that firms should develop and use multiple orientations, yet the relationship between different orientations has received only fragmented attention. This paper presents a systematic review of this literature, covering 67 scholarly articles published between 1987 and 2010 which investigate multiple orientations. The paper contributes first by summarizing the current state of knowledge on the interplay between these orientations. Many of these relationships have not been studied to any great degree, and there are research gaps in the information available on the relationships between entrepreneurial, technology and learning orientation in particular. Secondly, the paper contributes to further theoretical and empirical enquiry by synthesizing the empirical findings into a three-approach framework. The sequential, alternatives and complementary approaches to perceiving the relationship between orientations all suggest areas for further research. The sequential approach could further contribute by developing better constructs for explaining the orientation of the firm; while the alternatives approach could increase its relevance to management through the exploration of contingency settings and comparative studies. The complementary approach encourages discussion between researchers from the different streams of literature through the investigation of the relationships. It suggests focus on the investigation of both universal- and contingency-dependent-orientation configurations.","DOI":"10.1111/j.1468-2370.2010.00292.x","ISSN":"1460-8545","journalAbbreviation":"International Journal of Management Reviews","author":[{"family":"Hakala","given":"Henri"}],"issued":{"date-parts":[["2011",6,1]]}}},{"id":4289,"uris":["http://zotero.org/users/3209486/items/LEI5MK77"],"uri":["http://zotero.org/users/3209486/items/LEI5MK77"],"itemData":{"id":4289,"type":"article-journal","title":"The Effect of a Market Orientation, Entrepreneurial Orientation, and Technological Capability on Innovativeness: A Study of Young Biotechnology Ventures in the United States and in Scandinavia","container-title":"Journal of Small Business Management","page":"331-369","volume":"47","issue":"3","abstract":"Previous research suggests that in order to excel in innovativeness, a firm should simultaneously be market oriented, proactive, and willing to take risks, as well as have access to superior technological assets and capabilities. However, the contribution of these factors on innovative outcomes has seldom been assessed in one study. This study investigates influences of market orientation, entrepreneurial orientation, and technological capabilities on technology ventures' innovativeness. Data for this study were collected through personal interviews in biotechnology startups in the United States, Finland, and Sweden. As expected, results indicate a significant link between technological capability and product innovativeness. However, neither market orientation nor entrepreneurial orientation is related to product innovativeness in this empirical context where firms typically aim at launching radical, disruptive innovations. The drivers of capital investments, however, are different from the antecedents of product innovativeness. Differences between the Nordic and U.S.-based biotechnology ventures are also identified.","DOI":"10.1111/j.1540-627X.2009.00274.x","ISSN":"0047-2778","journalAbbreviation":"Journal of Small Business Management","author":[{"family":"Renko","given":"Maija"},{"family":"Carsrud","given":"Alan"},{"family":"Brännback","given":"Malin"}],"issued":{"date-parts":[["2009",7,1]]}}}],"schema":"https://github.com/citation-style-language/schema/raw/master/csl-citation.json"} </w:instrText>
      </w:r>
      <w:r w:rsidR="006334A4" w:rsidRPr="008C04EC">
        <w:rPr>
          <w:rFonts w:ascii="Times New Roman" w:eastAsiaTheme="minorHAnsi" w:hAnsi="Times New Roman" w:cs="Times New Roman"/>
          <w:iCs/>
          <w:color w:val="000000" w:themeColor="text1"/>
          <w:sz w:val="24"/>
          <w:szCs w:val="18"/>
          <w:lang w:val="en-GB"/>
        </w:rPr>
        <w:fldChar w:fldCharType="separate"/>
      </w:r>
      <w:r w:rsidR="00E357FB" w:rsidRPr="00E357FB">
        <w:rPr>
          <w:rFonts w:ascii="Times New Roman" w:hAnsi="Times New Roman" w:cs="Times New Roman"/>
          <w:sz w:val="24"/>
        </w:rPr>
        <w:t>(Covin and Slevin, 1989; Hakala, 2011; Renko et al., 2009)</w:t>
      </w:r>
      <w:r w:rsidR="006334A4" w:rsidRPr="008C04EC">
        <w:rPr>
          <w:rFonts w:ascii="Times New Roman" w:eastAsiaTheme="minorHAnsi" w:hAnsi="Times New Roman" w:cs="Times New Roman"/>
          <w:iCs/>
          <w:color w:val="000000" w:themeColor="text1"/>
          <w:sz w:val="24"/>
          <w:szCs w:val="18"/>
          <w:lang w:val="en-GB"/>
        </w:rPr>
        <w:fldChar w:fldCharType="end"/>
      </w:r>
      <w:r w:rsidR="006334A4" w:rsidRPr="008C04EC">
        <w:rPr>
          <w:rFonts w:ascii="Times New Roman" w:eastAsiaTheme="minorHAnsi" w:hAnsi="Times New Roman" w:cs="Times New Roman"/>
          <w:iCs/>
          <w:color w:val="000000" w:themeColor="text1"/>
          <w:sz w:val="24"/>
          <w:szCs w:val="18"/>
          <w:lang w:val="en-GB"/>
        </w:rPr>
        <w:t>.</w:t>
      </w:r>
      <w:r w:rsidR="006334A4">
        <w:rPr>
          <w:rFonts w:ascii="Times New Roman" w:eastAsiaTheme="minorHAnsi" w:hAnsi="Times New Roman" w:cs="Times New Roman"/>
          <w:iCs/>
          <w:color w:val="000000" w:themeColor="text1"/>
          <w:sz w:val="24"/>
          <w:szCs w:val="18"/>
          <w:lang w:val="en-GB"/>
        </w:rPr>
        <w:t xml:space="preserve"> </w:t>
      </w:r>
      <w:r w:rsidR="00E357FB" w:rsidRPr="008C04EC">
        <w:rPr>
          <w:rFonts w:ascii="Times New Roman" w:hAnsi="Times New Roman" w:cs="Times New Roman"/>
          <w:color w:val="000000" w:themeColor="text1"/>
          <w:sz w:val="24"/>
          <w:szCs w:val="24"/>
          <w:lang w:val="en-GB"/>
        </w:rPr>
        <w:t xml:space="preserve">To reap the benefits of entrepreneurial efforts, </w:t>
      </w:r>
      <w:r w:rsidR="00823702">
        <w:rPr>
          <w:rFonts w:ascii="Times New Roman" w:hAnsi="Times New Roman" w:cs="Times New Roman"/>
          <w:color w:val="000000" w:themeColor="text1"/>
          <w:sz w:val="24"/>
          <w:szCs w:val="24"/>
          <w:lang w:val="en-GB"/>
        </w:rPr>
        <w:t>scholars stress that an organization and its partners should</w:t>
      </w:r>
      <w:r w:rsidR="00E357FB" w:rsidRPr="008C04EC">
        <w:rPr>
          <w:rFonts w:ascii="Times New Roman" w:hAnsi="Times New Roman" w:cs="Times New Roman"/>
          <w:color w:val="000000" w:themeColor="text1"/>
          <w:sz w:val="24"/>
          <w:szCs w:val="24"/>
          <w:lang w:val="en-GB"/>
        </w:rPr>
        <w:t xml:space="preserve"> be committed to continuous learning, open to new ideas, and orientated towards achieving a shared understanding of newly acquired knowledge </w:t>
      </w:r>
      <w:r w:rsidR="00E357FB" w:rsidRPr="008C04EC">
        <w:rPr>
          <w:rFonts w:ascii="Times New Roman" w:hAnsi="Times New Roman" w:cs="Times New Roman"/>
          <w:color w:val="000000" w:themeColor="text1"/>
          <w:sz w:val="24"/>
          <w:szCs w:val="24"/>
          <w:lang w:val="en-GB"/>
        </w:rPr>
        <w:fldChar w:fldCharType="begin">
          <w:fldData xml:space="preserve">PEVuZE5vdGU+PENpdGU+PEF1dGhvcj5TaW5rdWxhPC9BdXRob3I+PFllYXI+MTk5NDwvWWVhcj48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</w:fldData>
        </w:fldChar>
      </w:r>
      <w:r w:rsidR="00E357FB" w:rsidRPr="008C04EC">
        <w:rPr>
          <w:rFonts w:ascii="Times New Roman" w:hAnsi="Times New Roman" w:cs="Times New Roman"/>
          <w:color w:val="000000" w:themeColor="text1"/>
          <w:sz w:val="24"/>
          <w:szCs w:val="24"/>
          <w:lang w:val="en-GB"/>
        </w:rPr>
        <w:instrText xml:space="preserve"> ADDIN EN.CITE </w:instrText>
      </w:r>
      <w:r w:rsidR="00E357FB" w:rsidRPr="008C04EC">
        <w:rPr>
          <w:rFonts w:ascii="Times New Roman" w:hAnsi="Times New Roman" w:cs="Times New Roman"/>
          <w:color w:val="000000" w:themeColor="text1"/>
          <w:sz w:val="24"/>
          <w:szCs w:val="24"/>
          <w:lang w:val="en-GB"/>
        </w:rPr>
        <w:fldChar w:fldCharType="begin">
          <w:fldData xml:space="preserve">PEVuZE5vdGU+PENpdGU+PEF1dGhvcj5TaW5rdWxhPC9BdXRob3I+PFllYXI+MTk5NDwvWWVhcj48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</w:fldData>
        </w:fldChar>
      </w:r>
      <w:r w:rsidR="00E357FB" w:rsidRPr="008C04EC">
        <w:rPr>
          <w:rFonts w:ascii="Times New Roman" w:hAnsi="Times New Roman" w:cs="Times New Roman"/>
          <w:color w:val="000000" w:themeColor="text1"/>
          <w:sz w:val="24"/>
          <w:szCs w:val="24"/>
          <w:lang w:val="en-GB"/>
        </w:rPr>
        <w:instrText xml:space="preserve"> ADDIN EN.CITE.DATA </w:instrText>
      </w:r>
      <w:r w:rsidR="00E357FB" w:rsidRPr="008C04EC">
        <w:rPr>
          <w:rFonts w:ascii="Times New Roman" w:hAnsi="Times New Roman" w:cs="Times New Roman"/>
          <w:color w:val="000000" w:themeColor="text1"/>
          <w:sz w:val="24"/>
          <w:szCs w:val="24"/>
          <w:lang w:val="en-GB"/>
        </w:rPr>
      </w:r>
      <w:r w:rsidR="00E357FB" w:rsidRPr="008C04EC">
        <w:rPr>
          <w:rFonts w:ascii="Times New Roman" w:hAnsi="Times New Roman" w:cs="Times New Roman"/>
          <w:color w:val="000000" w:themeColor="text1"/>
          <w:sz w:val="24"/>
          <w:szCs w:val="24"/>
          <w:lang w:val="en-GB"/>
        </w:rPr>
        <w:fldChar w:fldCharType="end"/>
      </w:r>
      <w:r w:rsidR="00E357FB" w:rsidRPr="008C04EC">
        <w:rPr>
          <w:rFonts w:ascii="Times New Roman" w:hAnsi="Times New Roman" w:cs="Times New Roman"/>
          <w:color w:val="000000" w:themeColor="text1"/>
          <w:sz w:val="24"/>
          <w:szCs w:val="24"/>
          <w:lang w:val="en-GB"/>
        </w:rPr>
      </w:r>
      <w:r w:rsidR="00E357FB" w:rsidRPr="008C04EC">
        <w:rPr>
          <w:rFonts w:ascii="Times New Roman" w:hAnsi="Times New Roman" w:cs="Times New Roman"/>
          <w:color w:val="000000" w:themeColor="text1"/>
          <w:sz w:val="24"/>
          <w:szCs w:val="24"/>
          <w:lang w:val="en-GB"/>
        </w:rPr>
        <w:fldChar w:fldCharType="separate"/>
      </w:r>
      <w:r w:rsidR="00E357FB" w:rsidRPr="008C04EC">
        <w:rPr>
          <w:rFonts w:ascii="Times New Roman" w:hAnsi="Times New Roman" w:cs="Times New Roman"/>
          <w:noProof/>
          <w:color w:val="000000" w:themeColor="text1"/>
          <w:sz w:val="24"/>
          <w:szCs w:val="24"/>
          <w:lang w:val="en-GB"/>
        </w:rPr>
        <w:t>(</w:t>
      </w:r>
      <w:hyperlink w:anchor="_ENREF_84" w:tooltip="Sinkula, 1994 #1112" w:history="1">
        <w:r w:rsidR="00E357FB" w:rsidRPr="008C04EC">
          <w:rPr>
            <w:rFonts w:ascii="Times New Roman" w:hAnsi="Times New Roman" w:cs="Times New Roman"/>
            <w:noProof/>
            <w:color w:val="000000" w:themeColor="text1"/>
            <w:sz w:val="24"/>
            <w:szCs w:val="24"/>
            <w:lang w:val="en-GB"/>
          </w:rPr>
          <w:t>Sinkula, 1994</w:t>
        </w:r>
      </w:hyperlink>
      <w:r w:rsidR="00E357FB" w:rsidRPr="008C04EC">
        <w:rPr>
          <w:rFonts w:ascii="Times New Roman" w:hAnsi="Times New Roman" w:cs="Times New Roman"/>
          <w:noProof/>
          <w:color w:val="000000" w:themeColor="text1"/>
          <w:sz w:val="24"/>
          <w:szCs w:val="24"/>
          <w:lang w:val="en-GB"/>
        </w:rPr>
        <w:t xml:space="preserve">; </w:t>
      </w:r>
      <w:hyperlink w:anchor="_ENREF_85" w:tooltip="Slater, 1995 #1111" w:history="1">
        <w:r w:rsidR="00E357FB" w:rsidRPr="008C04EC">
          <w:rPr>
            <w:rFonts w:ascii="Times New Roman" w:hAnsi="Times New Roman" w:cs="Times New Roman"/>
            <w:noProof/>
            <w:color w:val="000000" w:themeColor="text1"/>
            <w:sz w:val="24"/>
            <w:szCs w:val="24"/>
            <w:lang w:val="en-GB"/>
          </w:rPr>
          <w:t>Slater &amp; Narver, 1995</w:t>
        </w:r>
      </w:hyperlink>
      <w:r w:rsidR="00E357FB" w:rsidRPr="008C04EC">
        <w:rPr>
          <w:rFonts w:ascii="Times New Roman" w:hAnsi="Times New Roman" w:cs="Times New Roman"/>
          <w:noProof/>
          <w:color w:val="000000" w:themeColor="text1"/>
          <w:sz w:val="24"/>
          <w:szCs w:val="24"/>
          <w:lang w:val="en-GB"/>
        </w:rPr>
        <w:t xml:space="preserve">; </w:t>
      </w:r>
      <w:hyperlink w:anchor="_ENREF_95" w:tooltip="Wang, 2008 #1068" w:history="1">
        <w:r w:rsidR="00E357FB" w:rsidRPr="008C04EC">
          <w:rPr>
            <w:rFonts w:ascii="Times New Roman" w:hAnsi="Times New Roman" w:cs="Times New Roman"/>
            <w:noProof/>
            <w:color w:val="000000" w:themeColor="text1"/>
            <w:sz w:val="24"/>
            <w:szCs w:val="24"/>
            <w:lang w:val="en-GB"/>
          </w:rPr>
          <w:t>Wang, 2008</w:t>
        </w:r>
      </w:hyperlink>
      <w:r w:rsidR="00E357FB" w:rsidRPr="008C04EC">
        <w:rPr>
          <w:rFonts w:ascii="Times New Roman" w:hAnsi="Times New Roman" w:cs="Times New Roman"/>
          <w:noProof/>
          <w:color w:val="000000" w:themeColor="text1"/>
          <w:sz w:val="24"/>
          <w:szCs w:val="24"/>
          <w:lang w:val="en-GB"/>
        </w:rPr>
        <w:t>)</w:t>
      </w:r>
      <w:r w:rsidR="00E357FB" w:rsidRPr="008C04EC">
        <w:rPr>
          <w:rFonts w:ascii="Times New Roman" w:hAnsi="Times New Roman" w:cs="Times New Roman"/>
          <w:color w:val="000000" w:themeColor="text1"/>
          <w:sz w:val="24"/>
          <w:szCs w:val="24"/>
          <w:lang w:val="en-GB"/>
        </w:rPr>
        <w:fldChar w:fldCharType="end"/>
      </w:r>
      <w:r w:rsidR="00E357FB" w:rsidRPr="008C04EC">
        <w:rPr>
          <w:rFonts w:ascii="Times New Roman" w:hAnsi="Times New Roman" w:cs="Times New Roman"/>
          <w:color w:val="000000" w:themeColor="text1"/>
          <w:sz w:val="24"/>
          <w:szCs w:val="24"/>
          <w:lang w:val="en-GB"/>
        </w:rPr>
        <w:t>.</w:t>
      </w:r>
      <w:r w:rsidR="00E357FB">
        <w:rPr>
          <w:rFonts w:ascii="Times New Roman" w:eastAsiaTheme="minorHAnsi" w:hAnsi="Times New Roman" w:cs="Times New Roman"/>
          <w:iCs/>
          <w:color w:val="000000" w:themeColor="text1"/>
          <w:sz w:val="24"/>
          <w:szCs w:val="18"/>
          <w:lang w:val="en-GB"/>
        </w:rPr>
        <w:t xml:space="preserve"> </w:t>
      </w:r>
      <w:r w:rsidR="006334A4">
        <w:rPr>
          <w:rFonts w:ascii="Times New Roman" w:eastAsiaTheme="minorHAnsi" w:hAnsi="Times New Roman" w:cs="Times New Roman"/>
          <w:iCs/>
          <w:color w:val="000000" w:themeColor="text1"/>
          <w:sz w:val="24"/>
          <w:szCs w:val="18"/>
          <w:lang w:val="en-GB"/>
        </w:rPr>
        <w:t xml:space="preserve">By extension, supply chain partners </w:t>
      </w:r>
      <w:r w:rsidR="00536586">
        <w:rPr>
          <w:rFonts w:ascii="Times New Roman" w:eastAsiaTheme="minorHAnsi" w:hAnsi="Times New Roman" w:cs="Times New Roman"/>
          <w:iCs/>
          <w:color w:val="000000" w:themeColor="text1"/>
          <w:sz w:val="24"/>
          <w:szCs w:val="18"/>
          <w:lang w:val="en-GB"/>
        </w:rPr>
        <w:t xml:space="preserve">that act </w:t>
      </w:r>
      <w:r w:rsidR="006334A4">
        <w:rPr>
          <w:rFonts w:ascii="Times New Roman" w:eastAsiaTheme="minorHAnsi" w:hAnsi="Times New Roman" w:cs="Times New Roman"/>
          <w:iCs/>
          <w:color w:val="000000" w:themeColor="text1"/>
          <w:sz w:val="24"/>
          <w:szCs w:val="18"/>
          <w:lang w:val="en-GB"/>
        </w:rPr>
        <w:t xml:space="preserve">entrepreneurially </w:t>
      </w:r>
      <w:r w:rsidR="00536586">
        <w:rPr>
          <w:rFonts w:ascii="Times New Roman" w:eastAsiaTheme="minorHAnsi" w:hAnsi="Times New Roman" w:cs="Times New Roman"/>
          <w:iCs/>
          <w:color w:val="000000" w:themeColor="text1"/>
          <w:sz w:val="24"/>
          <w:szCs w:val="18"/>
          <w:lang w:val="en-GB"/>
        </w:rPr>
        <w:t xml:space="preserve">and learn together </w:t>
      </w:r>
      <w:r w:rsidR="00E357FB">
        <w:rPr>
          <w:rFonts w:ascii="Times New Roman" w:eastAsiaTheme="minorHAnsi" w:hAnsi="Times New Roman" w:cs="Times New Roman"/>
          <w:iCs/>
          <w:color w:val="000000" w:themeColor="text1"/>
          <w:sz w:val="24"/>
          <w:szCs w:val="18"/>
          <w:lang w:val="en-GB"/>
        </w:rPr>
        <w:t xml:space="preserve">are better </w:t>
      </w:r>
      <w:r w:rsidR="00D014B7">
        <w:rPr>
          <w:rFonts w:ascii="Times New Roman" w:eastAsiaTheme="minorHAnsi" w:hAnsi="Times New Roman" w:cs="Times New Roman"/>
          <w:iCs/>
          <w:color w:val="000000" w:themeColor="text1"/>
          <w:sz w:val="24"/>
          <w:szCs w:val="18"/>
          <w:lang w:val="en-GB"/>
        </w:rPr>
        <w:t xml:space="preserve">able </w:t>
      </w:r>
      <w:r w:rsidR="00E357FB">
        <w:rPr>
          <w:rFonts w:ascii="Times New Roman" w:eastAsiaTheme="minorHAnsi" w:hAnsi="Times New Roman" w:cs="Times New Roman"/>
          <w:iCs/>
          <w:color w:val="000000" w:themeColor="text1"/>
          <w:sz w:val="24"/>
          <w:szCs w:val="18"/>
          <w:lang w:val="en-GB"/>
        </w:rPr>
        <w:t>to</w:t>
      </w:r>
      <w:r w:rsidR="006334A4">
        <w:rPr>
          <w:rFonts w:ascii="Times New Roman" w:eastAsiaTheme="minorHAnsi" w:hAnsi="Times New Roman" w:cs="Times New Roman"/>
          <w:iCs/>
          <w:color w:val="000000" w:themeColor="text1"/>
          <w:sz w:val="24"/>
          <w:szCs w:val="18"/>
          <w:lang w:val="en-GB"/>
        </w:rPr>
        <w:t xml:space="preserve"> reconfigure supply chain resources </w:t>
      </w:r>
      <w:r w:rsidR="00E357FB">
        <w:rPr>
          <w:rFonts w:ascii="Times New Roman" w:eastAsiaTheme="minorHAnsi" w:hAnsi="Times New Roman" w:cs="Times New Roman"/>
          <w:iCs/>
          <w:color w:val="000000" w:themeColor="text1"/>
          <w:sz w:val="24"/>
          <w:szCs w:val="18"/>
          <w:lang w:val="en-GB"/>
        </w:rPr>
        <w:t xml:space="preserve">and </w:t>
      </w:r>
      <w:r w:rsidR="006334A4">
        <w:rPr>
          <w:rFonts w:ascii="Times New Roman" w:eastAsiaTheme="minorHAnsi" w:hAnsi="Times New Roman" w:cs="Times New Roman"/>
          <w:iCs/>
          <w:color w:val="000000" w:themeColor="text1"/>
          <w:sz w:val="24"/>
          <w:szCs w:val="18"/>
          <w:lang w:val="en-GB"/>
        </w:rPr>
        <w:t xml:space="preserve">seize on market opportunities when they arise. </w:t>
      </w:r>
      <w:r w:rsidR="00305DD8" w:rsidRPr="00305DD8">
        <w:rPr>
          <w:rFonts w:ascii="Times New Roman" w:eastAsiaTheme="minorHAnsi" w:hAnsi="Times New Roman" w:cs="Times New Roman"/>
          <w:iCs/>
          <w:color w:val="000000" w:themeColor="text1"/>
          <w:sz w:val="24"/>
          <w:szCs w:val="18"/>
          <w:lang w:val="en-GB"/>
        </w:rPr>
        <w:t xml:space="preserve">This </w:t>
      </w:r>
      <w:r w:rsidR="00305DD8">
        <w:rPr>
          <w:rFonts w:ascii="Times New Roman" w:eastAsiaTheme="minorHAnsi" w:hAnsi="Times New Roman" w:cs="Times New Roman"/>
          <w:iCs/>
          <w:color w:val="000000" w:themeColor="text1"/>
          <w:sz w:val="24"/>
          <w:szCs w:val="18"/>
          <w:lang w:val="en-GB"/>
        </w:rPr>
        <w:t xml:space="preserve">paper </w:t>
      </w:r>
      <w:r w:rsidR="00305DD8" w:rsidRPr="00305DD8">
        <w:rPr>
          <w:rFonts w:ascii="Times New Roman" w:eastAsiaTheme="minorHAnsi" w:hAnsi="Times New Roman" w:cs="Times New Roman"/>
          <w:iCs/>
          <w:color w:val="000000" w:themeColor="text1"/>
          <w:sz w:val="24"/>
          <w:szCs w:val="18"/>
          <w:lang w:val="en-GB"/>
        </w:rPr>
        <w:t>provides a new angle to theory testing</w:t>
      </w:r>
      <w:r w:rsidR="001149E1">
        <w:rPr>
          <w:rFonts w:ascii="Times New Roman" w:eastAsiaTheme="minorHAnsi" w:hAnsi="Times New Roman" w:cs="Times New Roman"/>
          <w:iCs/>
          <w:color w:val="000000" w:themeColor="text1"/>
          <w:sz w:val="24"/>
          <w:szCs w:val="18"/>
          <w:lang w:val="en-GB"/>
        </w:rPr>
        <w:t xml:space="preserve"> by</w:t>
      </w:r>
      <w:r w:rsidR="00305DD8" w:rsidRPr="00305DD8">
        <w:rPr>
          <w:rFonts w:ascii="Times New Roman" w:eastAsiaTheme="minorHAnsi" w:hAnsi="Times New Roman" w:cs="Times New Roman"/>
          <w:iCs/>
          <w:color w:val="000000" w:themeColor="text1"/>
          <w:sz w:val="24"/>
          <w:szCs w:val="18"/>
          <w:lang w:val="en-GB"/>
        </w:rPr>
        <w:t xml:space="preserve"> indicating how dynamic capabilities are enabled by</w:t>
      </w:r>
      <w:r w:rsidR="001149E1">
        <w:rPr>
          <w:rFonts w:ascii="Times New Roman" w:eastAsiaTheme="minorHAnsi" w:hAnsi="Times New Roman" w:cs="Times New Roman"/>
          <w:iCs/>
          <w:color w:val="000000" w:themeColor="text1"/>
          <w:sz w:val="24"/>
          <w:szCs w:val="18"/>
          <w:lang w:val="en-GB"/>
        </w:rPr>
        <w:t xml:space="preserve"> an</w:t>
      </w:r>
      <w:r w:rsidR="00305DD8" w:rsidRPr="00305DD8">
        <w:rPr>
          <w:rFonts w:ascii="Times New Roman" w:eastAsiaTheme="minorHAnsi" w:hAnsi="Times New Roman" w:cs="Times New Roman"/>
          <w:iCs/>
          <w:color w:val="000000" w:themeColor="text1"/>
          <w:sz w:val="24"/>
          <w:szCs w:val="18"/>
          <w:lang w:val="en-GB"/>
        </w:rPr>
        <w:t xml:space="preserve"> entrepreneurial orientation and </w:t>
      </w:r>
      <w:r w:rsidR="001149E1">
        <w:rPr>
          <w:rFonts w:ascii="Times New Roman" w:eastAsiaTheme="minorHAnsi" w:hAnsi="Times New Roman" w:cs="Times New Roman"/>
          <w:iCs/>
          <w:color w:val="000000" w:themeColor="text1"/>
          <w:sz w:val="24"/>
          <w:szCs w:val="18"/>
          <w:lang w:val="en-GB"/>
        </w:rPr>
        <w:t xml:space="preserve">an </w:t>
      </w:r>
      <w:r w:rsidR="00305DD8" w:rsidRPr="00305DD8">
        <w:rPr>
          <w:rFonts w:ascii="Times New Roman" w:eastAsiaTheme="minorHAnsi" w:hAnsi="Times New Roman" w:cs="Times New Roman"/>
          <w:iCs/>
          <w:color w:val="000000" w:themeColor="text1"/>
          <w:sz w:val="24"/>
          <w:szCs w:val="18"/>
          <w:lang w:val="en-GB"/>
        </w:rPr>
        <w:t>ability to learn</w:t>
      </w:r>
      <w:r w:rsidR="000E0C65">
        <w:rPr>
          <w:rFonts w:ascii="Times New Roman" w:eastAsiaTheme="minorHAnsi" w:hAnsi="Times New Roman" w:cs="Times New Roman"/>
          <w:iCs/>
          <w:color w:val="000000" w:themeColor="text1"/>
          <w:sz w:val="24"/>
          <w:szCs w:val="18"/>
          <w:lang w:val="en-GB"/>
        </w:rPr>
        <w:t xml:space="preserve"> with supply chain partners</w:t>
      </w:r>
    </w:p>
    <w:p w14:paraId="42B759D6" w14:textId="668C6D64" w:rsidR="00BF1E9F" w:rsidRPr="008C04EC" w:rsidRDefault="00F62222" w:rsidP="001817EC">
      <w:pPr>
        <w:autoSpaceDE w:val="0"/>
        <w:autoSpaceDN w:val="0"/>
        <w:adjustRightInd w:val="0"/>
        <w:spacing w:after="0" w:line="480" w:lineRule="auto"/>
        <w:ind w:firstLine="567"/>
        <w:contextualSpacing/>
        <w:jc w:val="both"/>
        <w:rPr>
          <w:rFonts w:ascii="Times-Italic" w:eastAsiaTheme="minorHAnsi" w:hAnsi="Times-Italic" w:cs="Times-Italic"/>
          <w:iCs/>
          <w:color w:val="000000" w:themeColor="text1"/>
          <w:sz w:val="24"/>
          <w:szCs w:val="18"/>
          <w:lang w:val="en-GB"/>
        </w:rPr>
      </w:pPr>
      <w:r>
        <w:rPr>
          <w:rFonts w:ascii="Times New Roman" w:hAnsi="Times New Roman" w:cs="Times New Roman"/>
          <w:color w:val="000000" w:themeColor="text1"/>
          <w:sz w:val="24"/>
          <w:szCs w:val="24"/>
        </w:rPr>
        <w:t>Data are gathered from</w:t>
      </w:r>
      <w:r w:rsidR="00696DCF" w:rsidRPr="008C04EC">
        <w:rPr>
          <w:rFonts w:ascii="Times New Roman" w:hAnsi="Times New Roman" w:cs="Times New Roman"/>
          <w:color w:val="000000" w:themeColor="text1"/>
          <w:sz w:val="24"/>
          <w:szCs w:val="24"/>
          <w:lang w:val="en-GB"/>
        </w:rPr>
        <w:t xml:space="preserve"> </w:t>
      </w:r>
      <w:r w:rsidR="00696DCF" w:rsidRPr="008C04EC">
        <w:rPr>
          <w:rFonts w:ascii="Times New Roman" w:eastAsia="Calibri" w:hAnsi="Times New Roman" w:cs="Times New Roman"/>
          <w:color w:val="000000" w:themeColor="text1"/>
          <w:sz w:val="24"/>
          <w:szCs w:val="24"/>
          <w:lang w:val="en-GB"/>
        </w:rPr>
        <w:t xml:space="preserve">survey of 275 operations and supply chain managers working in Pakistan’s manufacturing sector. Pakistan is undergoing a significant period of economic change, with its gross domestic product (GDP) expected to grow at an annual rate of 6% for the next ten years, far outstripping western economies </w:t>
      </w:r>
      <w:r w:rsidR="00696DCF" w:rsidRPr="008C04EC">
        <w:rPr>
          <w:rStyle w:val="fontstyle01"/>
          <w:rFonts w:ascii="Times New Roman" w:hAnsi="Times New Roman" w:cs="Times New Roman"/>
          <w:color w:val="000000" w:themeColor="text1"/>
          <w:sz w:val="24"/>
          <w:szCs w:val="24"/>
          <w:lang w:val="en-GB"/>
        </w:rPr>
        <w:fldChar w:fldCharType="begin"/>
      </w:r>
      <w:r w:rsidR="00696DCF" w:rsidRPr="008C04EC">
        <w:rPr>
          <w:rStyle w:val="fontstyle01"/>
          <w:rFonts w:ascii="Times New Roman" w:hAnsi="Times New Roman" w:cs="Times New Roman"/>
          <w:color w:val="000000" w:themeColor="text1"/>
          <w:sz w:val="24"/>
          <w:szCs w:val="24"/>
          <w:lang w:val="en-GB"/>
        </w:rPr>
        <w:instrText xml:space="preserve"> ADDIN EN.CITE &lt;EndNote&gt;&lt;Cite&gt;&lt;Author&gt;Zahid&lt;/Author&gt;&lt;Year&gt;2017&lt;/Year&gt;&lt;RecNum&gt;1034&lt;/RecNum&gt;&lt;DisplayText&gt;(Zahid, 2017)&lt;/DisplayText&gt;&lt;record&gt;&lt;rec-number&gt;1034&lt;/rec-number&gt;&lt;foreign-keys&gt;&lt;key app="EN" db-id="seavxzzzfrf2p7eddfnxx5ep2ar05z0ddwx9"&gt;1034&lt;/key&gt;&lt;/foreign-keys&gt;&lt;ref-type name="Newspaper Article"&gt;23&lt;/ref-type&gt;&lt;contributors&gt;&lt;authors&gt;&lt;author&gt;Wali Zahid&lt;/author&gt;&lt;/authors&gt;&lt;/contributors&gt;&lt;titles&gt;&lt;title&gt;Pakistan&amp;apos;s GDP growth rate is even higher than that of China: Harvard study&lt;/title&gt;&lt;secondary-title&gt;Tribune&lt;/secondary-title&gt;&lt;/titles&gt;&lt;num-vols&gt;Daily&lt;/num-vols&gt;&lt;dates&gt;&lt;year&gt;2017&lt;/year&gt;&lt;pub-dates&gt;&lt;date&gt;7th July&lt;/date&gt;&lt;/pub-dates&gt;&lt;/dates&gt;&lt;pub-location&gt;Pakistan&lt;/pub-location&gt;&lt;urls&gt;&lt;related-urls&gt;&lt;url&gt;https://tribune.com.pk/story/1452332/pakistans-gdp-growth-rate-even-higher-china-harvard-study/&lt;/url&gt;&lt;/related-urls&gt;&lt;/urls&gt;&lt;access-date&gt;21st August, 2017&lt;/access-date&gt;&lt;/record&gt;&lt;/Cite&gt;&lt;/EndNote&gt;</w:instrText>
      </w:r>
      <w:r w:rsidR="00696DCF" w:rsidRPr="008C04EC">
        <w:rPr>
          <w:rStyle w:val="fontstyle01"/>
          <w:rFonts w:ascii="Times New Roman" w:hAnsi="Times New Roman" w:cs="Times New Roman"/>
          <w:color w:val="000000" w:themeColor="text1"/>
          <w:sz w:val="24"/>
          <w:szCs w:val="24"/>
          <w:lang w:val="en-GB"/>
        </w:rPr>
        <w:fldChar w:fldCharType="separate"/>
      </w:r>
      <w:r w:rsidR="00696DCF" w:rsidRPr="008C04EC">
        <w:rPr>
          <w:rStyle w:val="fontstyle01"/>
          <w:rFonts w:ascii="Times New Roman" w:hAnsi="Times New Roman" w:cs="Times New Roman"/>
          <w:color w:val="000000" w:themeColor="text1"/>
          <w:sz w:val="24"/>
          <w:szCs w:val="24"/>
          <w:lang w:val="en-GB"/>
        </w:rPr>
        <w:t>(</w:t>
      </w:r>
      <w:hyperlink w:anchor="_ENREF_101" w:tooltip="Zahid, 2017 #1034" w:history="1">
        <w:r w:rsidR="00641B32" w:rsidRPr="008C04EC">
          <w:rPr>
            <w:rStyle w:val="fontstyle01"/>
            <w:rFonts w:ascii="Times New Roman" w:hAnsi="Times New Roman" w:cs="Times New Roman"/>
            <w:color w:val="000000" w:themeColor="text1"/>
            <w:sz w:val="24"/>
            <w:szCs w:val="24"/>
            <w:lang w:val="en-GB"/>
          </w:rPr>
          <w:t>Zahid, 2017</w:t>
        </w:r>
      </w:hyperlink>
      <w:r w:rsidR="00696DCF" w:rsidRPr="008C04EC">
        <w:rPr>
          <w:rStyle w:val="fontstyle01"/>
          <w:rFonts w:ascii="Times New Roman" w:hAnsi="Times New Roman" w:cs="Times New Roman"/>
          <w:color w:val="000000" w:themeColor="text1"/>
          <w:sz w:val="24"/>
          <w:szCs w:val="24"/>
          <w:lang w:val="en-GB"/>
        </w:rPr>
        <w:t>)</w:t>
      </w:r>
      <w:r w:rsidR="00696DCF" w:rsidRPr="008C04EC">
        <w:rPr>
          <w:rStyle w:val="fontstyle01"/>
          <w:rFonts w:ascii="Times New Roman" w:hAnsi="Times New Roman" w:cs="Times New Roman"/>
          <w:color w:val="000000" w:themeColor="text1"/>
          <w:sz w:val="24"/>
          <w:szCs w:val="24"/>
          <w:lang w:val="en-GB"/>
        </w:rPr>
        <w:fldChar w:fldCharType="end"/>
      </w:r>
      <w:r w:rsidR="00696DCF" w:rsidRPr="008C04EC">
        <w:rPr>
          <w:rFonts w:ascii="Times New Roman" w:eastAsia="Calibri" w:hAnsi="Times New Roman" w:cs="Times New Roman"/>
          <w:color w:val="000000" w:themeColor="text1"/>
          <w:sz w:val="24"/>
          <w:szCs w:val="24"/>
          <w:lang w:val="en-GB"/>
        </w:rPr>
        <w:t xml:space="preserve">. At the same time, </w:t>
      </w:r>
      <w:r w:rsidR="00696DCF" w:rsidRPr="008C04EC">
        <w:rPr>
          <w:rFonts w:ascii="Times New Roman" w:eastAsia="Calibri" w:hAnsi="Times New Roman" w:cs="Times New Roman"/>
          <w:color w:val="000000" w:themeColor="text1"/>
          <w:sz w:val="24"/>
          <w:szCs w:val="24"/>
          <w:lang w:val="en-GB"/>
        </w:rPr>
        <w:lastRenderedPageBreak/>
        <w:t>Pakistani ma</w:t>
      </w:r>
      <w:r w:rsidR="00B441EF" w:rsidRPr="008C04EC">
        <w:rPr>
          <w:rFonts w:ascii="Times New Roman" w:eastAsia="Calibri" w:hAnsi="Times New Roman" w:cs="Times New Roman"/>
          <w:color w:val="000000" w:themeColor="text1"/>
          <w:sz w:val="24"/>
          <w:szCs w:val="24"/>
          <w:lang w:val="en-GB"/>
        </w:rPr>
        <w:t>nufacturing firms face increase</w:t>
      </w:r>
      <w:r w:rsidR="00D577E8">
        <w:rPr>
          <w:rFonts w:ascii="Times New Roman" w:eastAsia="Calibri" w:hAnsi="Times New Roman" w:cs="Times New Roman"/>
          <w:color w:val="000000" w:themeColor="text1"/>
          <w:sz w:val="24"/>
          <w:szCs w:val="24"/>
          <w:lang w:val="en-GB"/>
        </w:rPr>
        <w:t>d</w:t>
      </w:r>
      <w:r w:rsidR="00696DCF" w:rsidRPr="008C04EC">
        <w:rPr>
          <w:rFonts w:ascii="Times New Roman" w:eastAsia="Calibri" w:hAnsi="Times New Roman" w:cs="Times New Roman"/>
          <w:color w:val="000000" w:themeColor="text1"/>
          <w:sz w:val="24"/>
          <w:szCs w:val="24"/>
          <w:lang w:val="en-GB"/>
        </w:rPr>
        <w:t xml:space="preserve"> competition as </w:t>
      </w:r>
      <w:r w:rsidR="0088195D">
        <w:rPr>
          <w:rFonts w:ascii="Times New Roman" w:eastAsia="Calibri" w:hAnsi="Times New Roman" w:cs="Times New Roman"/>
          <w:color w:val="000000" w:themeColor="text1"/>
          <w:sz w:val="24"/>
          <w:lang w:val="en-GB"/>
        </w:rPr>
        <w:t>Chinese companies</w:t>
      </w:r>
      <w:r w:rsidR="00696DCF" w:rsidRPr="008C04EC">
        <w:rPr>
          <w:rFonts w:ascii="Times New Roman" w:eastAsia="Calibri" w:hAnsi="Times New Roman" w:cs="Times New Roman"/>
          <w:color w:val="000000" w:themeColor="text1"/>
          <w:sz w:val="24"/>
          <w:lang w:val="en-GB"/>
        </w:rPr>
        <w:t xml:space="preserve"> enter the market as part of the Pakistan-China development corridor </w:t>
      </w:r>
      <w:r w:rsidR="00696DCF" w:rsidRPr="008C04EC">
        <w:rPr>
          <w:rFonts w:ascii="Times New Roman" w:eastAsia="Calibri" w:hAnsi="Times New Roman" w:cs="Times New Roman"/>
          <w:color w:val="000000" w:themeColor="text1"/>
          <w:sz w:val="24"/>
          <w:lang w:val="en-GB"/>
        </w:rPr>
        <w:fldChar w:fldCharType="begin"/>
      </w:r>
      <w:r w:rsidR="00D30452" w:rsidRPr="008C04EC">
        <w:rPr>
          <w:rFonts w:ascii="Times New Roman" w:eastAsia="Calibri" w:hAnsi="Times New Roman" w:cs="Times New Roman"/>
          <w:color w:val="000000" w:themeColor="text1"/>
          <w:sz w:val="24"/>
          <w:lang w:val="en-GB"/>
        </w:rPr>
        <w:instrText xml:space="preserve"> ADDIN EN.CITE &lt;EndNote&gt;&lt;Cite&gt;&lt;Author&gt;World Bank&lt;/Author&gt;&lt;Year&gt;2017&lt;/Year&gt;&lt;RecNum&gt;1035&lt;/RecNum&gt;&lt;DisplayText&gt;(World Bank, 2017)&lt;/DisplayText&gt;&lt;record&gt;&lt;rec-number&gt;1035&lt;/rec-number&gt;&lt;foreign-keys&gt;&lt;key app="EN" db-id="seavxzzzfrf2p7eddfnxx5ep2ar05z0ddwx9"&gt;1035&lt;/key&gt;&lt;/foreign-keys&gt;&lt;ref-type name="Web Page"&gt;12&lt;/ref-type&gt;&lt;contributors&gt;&lt;authors&gt;&lt;author&gt;World Bank,&lt;/author&gt;&lt;/authors&gt;&lt;/contributors&gt;&lt;titles&gt;&lt;title&gt;Pakistan to record highest growth rate in nine years&lt;/title&gt;&lt;/titles&gt;&lt;volume&gt;2017&lt;/volume&gt;&lt;number&gt;21 August&lt;/number&gt;&lt;dates&gt;&lt;year&gt;2017&lt;/year&gt;&lt;pub-dates&gt;&lt;date&gt;20th May&lt;/date&gt;&lt;/pub-dates&gt;&lt;/dates&gt;&lt;pub-location&gt;Islamabad&lt;/pub-location&gt;&lt;publisher&gt;World Bank&lt;/publisher&gt;&lt;urls&gt;&lt;related-urls&gt;&lt;url&gt;http://www.worldbank.org/en/news/press-release/2017/05/19/pakistan-to-record-highest-growth-rate-in-nine-years-wb-report&lt;/url&gt;&lt;/related-urls&gt;&lt;/urls&gt;&lt;custom2&gt;20th May, 2017&lt;/custom2&gt;&lt;/record&gt;&lt;/Cite&gt;&lt;/EndNote&gt;</w:instrText>
      </w:r>
      <w:r w:rsidR="00696DCF" w:rsidRPr="008C04EC">
        <w:rPr>
          <w:rFonts w:ascii="Times New Roman" w:eastAsia="Calibri" w:hAnsi="Times New Roman" w:cs="Times New Roman"/>
          <w:color w:val="000000" w:themeColor="text1"/>
          <w:sz w:val="24"/>
          <w:lang w:val="en-GB"/>
        </w:rPr>
        <w:fldChar w:fldCharType="separate"/>
      </w:r>
      <w:r w:rsidR="00D30452" w:rsidRPr="008C04EC">
        <w:rPr>
          <w:rFonts w:ascii="Times New Roman" w:eastAsia="Calibri" w:hAnsi="Times New Roman" w:cs="Times New Roman"/>
          <w:noProof/>
          <w:color w:val="000000" w:themeColor="text1"/>
          <w:sz w:val="24"/>
          <w:lang w:val="en-GB"/>
        </w:rPr>
        <w:t>(</w:t>
      </w:r>
      <w:hyperlink w:anchor="_ENREF_100" w:tooltip="World Bank, 2017 #1035" w:history="1">
        <w:r w:rsidR="00641B32" w:rsidRPr="008C04EC">
          <w:rPr>
            <w:rFonts w:ascii="Times New Roman" w:eastAsia="Calibri" w:hAnsi="Times New Roman" w:cs="Times New Roman"/>
            <w:noProof/>
            <w:color w:val="000000" w:themeColor="text1"/>
            <w:sz w:val="24"/>
            <w:lang w:val="en-GB"/>
          </w:rPr>
          <w:t>World Bank, 2017</w:t>
        </w:r>
      </w:hyperlink>
      <w:r w:rsidR="00D30452" w:rsidRPr="008C04EC">
        <w:rPr>
          <w:rFonts w:ascii="Times New Roman" w:eastAsia="Calibri" w:hAnsi="Times New Roman" w:cs="Times New Roman"/>
          <w:noProof/>
          <w:color w:val="000000" w:themeColor="text1"/>
          <w:sz w:val="24"/>
          <w:lang w:val="en-GB"/>
        </w:rPr>
        <w:t>)</w:t>
      </w:r>
      <w:r w:rsidR="00696DCF" w:rsidRPr="008C04EC">
        <w:rPr>
          <w:rFonts w:ascii="Times New Roman" w:eastAsia="Calibri" w:hAnsi="Times New Roman" w:cs="Times New Roman"/>
          <w:color w:val="000000" w:themeColor="text1"/>
          <w:sz w:val="24"/>
          <w:lang w:val="en-GB"/>
        </w:rPr>
        <w:fldChar w:fldCharType="end"/>
      </w:r>
      <w:r w:rsidR="00696DCF" w:rsidRPr="008C04EC">
        <w:rPr>
          <w:rFonts w:ascii="Times New Roman" w:eastAsia="Calibri" w:hAnsi="Times New Roman" w:cs="Times New Roman"/>
          <w:color w:val="000000" w:themeColor="text1"/>
          <w:sz w:val="24"/>
          <w:lang w:val="en-GB"/>
        </w:rPr>
        <w:t xml:space="preserve">. Pakistan’s turbulent manufacturing sector presents an ideal context to study the </w:t>
      </w:r>
      <w:r w:rsidR="009918CF" w:rsidRPr="008C04EC">
        <w:rPr>
          <w:rFonts w:ascii="Times New Roman" w:eastAsia="Calibri" w:hAnsi="Times New Roman" w:cs="Times New Roman"/>
          <w:color w:val="000000" w:themeColor="text1"/>
          <w:sz w:val="24"/>
          <w:lang w:val="en-GB"/>
        </w:rPr>
        <w:t>antecedents</w:t>
      </w:r>
      <w:r w:rsidR="00696DCF" w:rsidRPr="008C04EC">
        <w:rPr>
          <w:rFonts w:ascii="Times New Roman" w:eastAsia="Calibri" w:hAnsi="Times New Roman" w:cs="Times New Roman"/>
          <w:color w:val="000000" w:themeColor="text1"/>
          <w:sz w:val="24"/>
          <w:lang w:val="en-GB"/>
        </w:rPr>
        <w:t xml:space="preserve"> of DSCCs</w:t>
      </w:r>
      <w:r w:rsidR="009918CF" w:rsidRPr="008C04EC">
        <w:rPr>
          <w:rFonts w:ascii="Times-Italic" w:eastAsiaTheme="minorHAnsi" w:hAnsi="Times-Italic" w:cs="Times-Italic"/>
          <w:iCs/>
          <w:color w:val="000000" w:themeColor="text1"/>
          <w:sz w:val="24"/>
          <w:szCs w:val="18"/>
          <w:lang w:val="en-GB"/>
        </w:rPr>
        <w:t>.</w:t>
      </w:r>
    </w:p>
    <w:p w14:paraId="4F2D1DBC" w14:textId="77777777" w:rsidR="00696DCF" w:rsidRPr="008C04EC" w:rsidRDefault="00696DCF" w:rsidP="00696DCF">
      <w:pPr>
        <w:spacing w:after="0" w:line="480" w:lineRule="auto"/>
        <w:ind w:firstLine="567"/>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The remainder of the paper is divided into four sections. The next section discusses the relevant literature and establishes the theoretical underpinnings for our hypothetical model. Section 3 provides a justification of the research design. Section 4 discusses the findings from the study, and Section 5 concludes by outlining the study’s contribution to theory and managerial practice, the limitations of the study and future directions for research.</w:t>
      </w:r>
    </w:p>
    <w:p w14:paraId="10DA9F40" w14:textId="77777777" w:rsidR="00696DCF" w:rsidRPr="008C04EC" w:rsidRDefault="00696DCF" w:rsidP="00696DCF">
      <w:pPr>
        <w:spacing w:after="0" w:line="480" w:lineRule="auto"/>
        <w:rPr>
          <w:rFonts w:ascii="Times New Roman" w:hAnsi="Times New Roman" w:cs="Times New Roman"/>
          <w:b/>
          <w:color w:val="000000" w:themeColor="text1"/>
          <w:sz w:val="24"/>
          <w:szCs w:val="24"/>
          <w:lang w:val="en-GB"/>
        </w:rPr>
      </w:pPr>
    </w:p>
    <w:p w14:paraId="2E1C0795" w14:textId="77777777" w:rsidR="00696DCF" w:rsidRPr="008C04EC" w:rsidRDefault="00696DCF" w:rsidP="00696DCF">
      <w:pPr>
        <w:spacing w:after="0" w:line="480" w:lineRule="auto"/>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t>2. Literature Review and Hypothetical Model</w:t>
      </w:r>
    </w:p>
    <w:p w14:paraId="045BB4DA" w14:textId="04EF1C83" w:rsidR="00696DCF" w:rsidRPr="008C04EC" w:rsidRDefault="006F4148" w:rsidP="006F4148">
      <w:pPr>
        <w:autoSpaceDE w:val="0"/>
        <w:autoSpaceDN w:val="0"/>
        <w:adjustRightInd w:val="0"/>
        <w:spacing w:after="0" w:line="480" w:lineRule="auto"/>
        <w:contextualSpacing/>
        <w:jc w:val="both"/>
        <w:rPr>
          <w:rFonts w:ascii="Times New Roman" w:hAnsi="Times New Roman" w:cs="Times New Roman"/>
          <w:b/>
          <w:i/>
          <w:color w:val="000000" w:themeColor="text1"/>
          <w:sz w:val="24"/>
          <w:szCs w:val="24"/>
          <w:lang w:val="en-GB"/>
        </w:rPr>
      </w:pPr>
      <w:r w:rsidRPr="008C04EC">
        <w:rPr>
          <w:rFonts w:ascii="Times New Roman" w:hAnsi="Times New Roman" w:cs="Times New Roman"/>
          <w:b/>
          <w:i/>
          <w:color w:val="000000" w:themeColor="text1"/>
          <w:sz w:val="24"/>
          <w:szCs w:val="24"/>
          <w:lang w:val="en-GB"/>
        </w:rPr>
        <w:t>2.1 Dynamic Capabilities</w:t>
      </w:r>
      <w:r w:rsidR="001C0574" w:rsidRPr="008C04EC">
        <w:rPr>
          <w:rFonts w:ascii="Times New Roman" w:hAnsi="Times New Roman" w:cs="Times New Roman"/>
          <w:b/>
          <w:i/>
          <w:color w:val="000000" w:themeColor="text1"/>
          <w:sz w:val="24"/>
          <w:szCs w:val="24"/>
          <w:lang w:val="en-GB"/>
        </w:rPr>
        <w:t xml:space="preserve"> </w:t>
      </w:r>
      <w:r w:rsidR="00D577E8">
        <w:rPr>
          <w:rFonts w:ascii="Times New Roman" w:hAnsi="Times New Roman" w:cs="Times New Roman"/>
          <w:b/>
          <w:i/>
          <w:color w:val="000000" w:themeColor="text1"/>
          <w:sz w:val="24"/>
          <w:szCs w:val="24"/>
          <w:lang w:val="en-GB"/>
        </w:rPr>
        <w:t>View</w:t>
      </w:r>
    </w:p>
    <w:p w14:paraId="4D35BAE1" w14:textId="06CB99D3" w:rsidR="001C0574" w:rsidRPr="008C04EC" w:rsidRDefault="006F4148" w:rsidP="00825486">
      <w:pPr>
        <w:spacing w:after="0" w:line="480" w:lineRule="auto"/>
        <w:jc w:val="both"/>
        <w:rPr>
          <w:rFonts w:ascii="Times New Roman" w:hAnsi="Times New Roman" w:cs="Times New Roman"/>
          <w:color w:val="000000" w:themeColor="text1"/>
          <w:sz w:val="24"/>
          <w:lang w:val="en-GB"/>
        </w:rPr>
      </w:pPr>
      <w:r w:rsidRPr="008C04EC">
        <w:rPr>
          <w:rFonts w:ascii="Times New Roman" w:hAnsi="Times New Roman" w:cs="Times New Roman"/>
          <w:color w:val="000000" w:themeColor="text1"/>
          <w:sz w:val="24"/>
          <w:szCs w:val="24"/>
          <w:lang w:val="en-GB"/>
        </w:rPr>
        <w:t xml:space="preserve">The dynamic capabilities view provides the theoretical underpinnings for our research. The concept of dynamic capabilities is grounded in resource-based theory, which suggests that in addition to rare, valuable, inimitable, and non-substitutable (VRIN) resources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&lt;EndNote&gt;&lt;Cite&gt;&lt;Author&gt;Barney&lt;/Author&gt;&lt;Year&gt;1991&lt;/Year&gt;&lt;RecNum&gt;103&lt;/RecNum&gt;&lt;DisplayText&gt;(Barney, 1991)&lt;/DisplayText&gt;&lt;record&gt;&lt;rec-number&gt;103&lt;/rec-number&gt;&lt;foreign-keys&gt;&lt;key app="EN" db-id="seavxzzzfrf2p7eddfnxx5ep2ar05z0ddwx9"&gt;103&lt;/key&gt;&lt;/foreign-keys&gt;&lt;ref-type name="Journal Article"&gt;17&lt;/ref-type&gt;&lt;contributors&gt;&lt;authors&gt;&lt;author&gt;Jay Barney&lt;/author&gt;&lt;/authors&gt;&lt;/contributors&gt;&lt;titles&gt;&lt;title&gt;Firm resources and sustained competitive advantage&lt;/title&gt;&lt;secondary-title&gt;Journal of Management&lt;/secondary-title&gt;&lt;/titles&gt;&lt;periodical&gt;&lt;full-title&gt;Journal of management&lt;/full-title&gt;&lt;/periodical&gt;&lt;pages&gt;99-120&lt;/pages&gt;&lt;volume&gt;17&lt;/volume&gt;&lt;number&gt;1&lt;/number&gt;&lt;dates&gt;&lt;year&gt;1991&lt;/year&gt;&lt;/dates&gt;&lt;publisher&gt;Sage Publications&lt;/publisher&gt;&lt;isbn&gt;0149-2063&lt;/isbn&gt;&lt;urls&gt;&lt;/urls&gt;&lt;/record&gt;&lt;/Cite&gt;&lt;/EndNote&gt;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9" w:tooltip="Barney, 1991 #103" w:history="1">
        <w:r w:rsidR="00641B32" w:rsidRPr="008C04EC">
          <w:rPr>
            <w:rFonts w:ascii="Times New Roman" w:hAnsi="Times New Roman" w:cs="Times New Roman"/>
            <w:color w:val="000000" w:themeColor="text1"/>
            <w:sz w:val="24"/>
            <w:szCs w:val="24"/>
            <w:lang w:val="en-GB"/>
          </w:rPr>
          <w:t>Barney, 1991</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firms require dynamic capabilities to succeed in turbulent environments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&lt;EndNote&gt;&lt;Cite&gt;&lt;Author&gt;Teece&lt;/Author&gt;&lt;Year&gt;1997&lt;/Year&gt;&lt;RecNum&gt;440&lt;/RecNum&gt;&lt;DisplayText&gt;(Teece, Pisano, &amp;amp; Shuen, 1997)&lt;/DisplayText&gt;&lt;record&gt;&lt;rec-number&gt;440&lt;/rec-number&gt;&lt;foreign-keys&gt;&lt;key app="EN" db-id="seavxzzzfrf2p7eddfnxx5ep2ar05z0ddwx9"&gt;440&lt;/key&gt;&lt;/foreign-keys&gt;&lt;ref-type name="Journal Article"&gt;17&lt;/ref-type&gt;&lt;contributors&gt;&lt;authors&gt;&lt;author&gt;Teece, David J&lt;/author&gt;&lt;author&gt;Pisano,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Journal&lt;/full-title&gt;&lt;/periodical&gt;&lt;pages&gt;509-533&lt;/pages&gt;&lt;volume&gt;18&lt;/volume&gt;&lt;number&gt;7&lt;/number&gt;&lt;dates&gt;&lt;year&gt;1997&lt;/year&gt;&lt;/dates&gt;&lt;publisher&gt;World Scientific&lt;/publisher&gt;&lt;isbn&gt;0143-2095&lt;/isbn&gt;&lt;urls&gt;&lt;/urls&gt;&lt;/record&gt;&lt;/Cite&gt;&lt;/EndNote&gt;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92" w:tooltip="Teece, 1997 #440" w:history="1">
        <w:r w:rsidR="00641B32" w:rsidRPr="008C04EC">
          <w:rPr>
            <w:rFonts w:ascii="Times New Roman" w:hAnsi="Times New Roman" w:cs="Times New Roman"/>
            <w:noProof/>
            <w:color w:val="000000" w:themeColor="text1"/>
            <w:sz w:val="24"/>
            <w:szCs w:val="24"/>
            <w:lang w:val="en-GB"/>
          </w:rPr>
          <w:t>Teece</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1997</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Dynamic capabilities are defined as “a learned and stable pattern of collective activity through which the organisation systematically generates and modifies its operating routines in pursuit of improved effectiveness” </w:t>
      </w:r>
      <w:r w:rsidRPr="008C04EC">
        <w:rPr>
          <w:rFonts w:ascii="Times New Roman" w:hAnsi="Times New Roman" w:cs="Times New Roman"/>
          <w:color w:val="000000" w:themeColor="text1"/>
          <w:sz w:val="24"/>
          <w:szCs w:val="24"/>
          <w:lang w:val="en-GB"/>
        </w:rPr>
        <w:fldChar w:fldCharType="begin"/>
      </w:r>
      <w:r w:rsidR="001C0574" w:rsidRPr="008C04EC">
        <w:rPr>
          <w:rFonts w:ascii="Times New Roman" w:hAnsi="Times New Roman" w:cs="Times New Roman"/>
          <w:color w:val="000000" w:themeColor="text1"/>
          <w:sz w:val="24"/>
          <w:szCs w:val="24"/>
          <w:lang w:val="en-GB"/>
        </w:rPr>
        <w:instrText xml:space="preserve"> ADDIN ZOTERO_ITEM CSL_CITATION {"citationID":"gjAzuC14","properties":{"formattedCitation":"(Zollo and Winter, 2002 p. 340)","plainCitation":"(Zollo and Winter, 2002 p. 340)","dontUpdate":true,"noteIndex":0},"citationItems":[{"id":690,"uris":["http://zotero.org/users/3209486/items/Z8P9V43E"],"uri":["http://zotero.org/users/3209486/items/Z8P9V43E"],"itemData":{"id":690,"type":"article-journal","title":"Deliberate Learning and the Evolution of Dynamic Capabilities.","container-title":"Organization Science","page":"339-351","volume":"13","issue":"3","source":"EBSCOhost","archive":"buh","abstract":"This paper investigates the mechanisms through which organizations develop dynamic capabilities, defined as routinized activities directed to the development and adaptation of operating routines. It addresses the role of (1) experience accumulation, (2) knowledge articulation, and (3) knowledge codification processes in the evolution of dynamic, as well as operational, routines. The argument is made that dynamic capabilities are shaped by the coevolution of these learning mechanisms. At any point in time, firms adopt a mix of learning behaviors constituted by a semiautomatic accumulation of experience and by deliberate investments in knowledge articulation and codification activities. The relative effectiveness of these capability-building mechanisms is analyzed here as contingent upon selected features of the task to be learned, such as its frequency, homogeneity, and degree of causal ambiguity. Testable hypotheses about these effects are derived. Somewhat counterintuitive implications of the analysis include the relatively superior effectiveness of highly deliberate learning processes such as knowledge codification at lower levels of frequency and homogeneity of the organizational task, in contrast with common managerial practice. [ABSTRACT FROM AUTHOR]","ISSN":"10477039","journalAbbreviation":"Organization Science","author":[{"family":"Zollo","given":"Maurizio"},{"family":"Winter","given":"Sidney G."}],"issued":{"date-parts":[["2002",6,5]]}},"suffix":"p. 340"}],"schema":"https://github.com/citation-style-language/schema/raw/master/csl-citation.json"} </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 xml:space="preserve">(Zollo </w:t>
      </w:r>
      <w:r w:rsidR="00F646FA">
        <w:rPr>
          <w:rFonts w:ascii="Times New Roman" w:hAnsi="Times New Roman" w:cs="Times New Roman"/>
          <w:color w:val="000000" w:themeColor="text1"/>
          <w:sz w:val="24"/>
          <w:szCs w:val="24"/>
          <w:lang w:val="en-GB"/>
        </w:rPr>
        <w:t>&amp;</w:t>
      </w:r>
      <w:r w:rsidR="00F646FA"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Winter, 2002</w:t>
      </w:r>
      <w:r w:rsidR="00D4006E">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t xml:space="preserve"> p.</w:t>
      </w:r>
      <w:r w:rsidR="00D577E8">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340)</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Organisations learn when employees make mistakes and acquire knowledge from these experiences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&lt;EndNote&gt;&lt;Cite&gt;&lt;Author&gt;Zollo&lt;/Author&gt;&lt;Year&gt;2002&lt;/Year&gt;&lt;RecNum&gt;139&lt;/RecNum&gt;&lt;DisplayText&gt;(Collis, 1994; Zollo &amp;amp; Winter, 2002)&lt;/DisplayText&gt;&lt;record&gt;&lt;rec-number&gt;139&lt;/rec-number&gt;&lt;foreign-keys&gt;&lt;key app="EN" db-id="seavxzzzfrf2p7eddfnxx5ep2ar05z0ddwx9"&gt;139&lt;/key&gt;&lt;/foreign-keys&gt;&lt;ref-type name="Journal Article"&gt;17&lt;/ref-type&gt;&lt;contributors&gt;&lt;authors&gt;&lt;author&gt;Zollo, Maurizio&lt;/author&gt;&lt;author&gt;Winter, Sidney G&lt;/author&gt;&lt;/authors&gt;&lt;/contributors&gt;&lt;titles&gt;&lt;title&gt;Deliberate learning and the evolution of dynamic capabilities&lt;/title&gt;&lt;secondary-title&gt;Organization Science&lt;/secondary-title&gt;&lt;/titles&gt;&lt;periodical&gt;&lt;full-title&gt;Organization science&lt;/full-title&gt;&lt;/periodical&gt;&lt;pages&gt;339-351&lt;/pages&gt;&lt;volume&gt;13&lt;/volume&gt;&lt;number&gt;3&lt;/number&gt;&lt;dates&gt;&lt;year&gt;2002&lt;/year&gt;&lt;/dates&gt;&lt;publisher&gt;INFORMS&lt;/publisher&gt;&lt;isbn&gt;1047-7039&lt;/isbn&gt;&lt;urls&gt;&lt;/urls&gt;&lt;/record&gt;&lt;/Cite&gt;&lt;Cite&gt;&lt;Author&gt;Collis&lt;/Author&gt;&lt;Year&gt;1994&lt;/Year&gt;&lt;RecNum&gt;316&lt;/RecNum&gt;&lt;record&gt;&lt;rec-number&gt;316&lt;/rec-number&gt;&lt;foreign-keys&gt;&lt;key app="EN" db-id="seavxzzzfrf2p7eddfnxx5ep2ar05z0ddwx9"&gt;316&lt;/key&gt;&lt;/foreign-keys&gt;&lt;ref-type name="Journal Article"&gt;17&lt;/ref-type&gt;&lt;contributors&gt;&lt;authors&gt;&lt;author&gt;Collis, David J&lt;/author&gt;&lt;/authors&gt;&lt;/contributors&gt;&lt;titles&gt;&lt;title&gt;Research note: how valuable are organizational capabilities?&lt;/title&gt;&lt;secondary-title&gt;Strategic Management Journal&lt;/secondary-title&gt;&lt;/titles&gt;&lt;periodical&gt;&lt;full-title&gt;Strategic Management Journal&lt;/full-title&gt;&lt;/periodical&gt;&lt;pages&gt;143-152&lt;/pages&gt;&lt;volume&gt;15&lt;/volume&gt;&lt;number&gt;S1&lt;/number&gt;&lt;dates&gt;&lt;year&gt;1994&lt;/year&gt;&lt;/dates&gt;&lt;publisher&gt;Wiley Online Library&lt;/publisher&gt;&lt;isbn&gt;1097-0266&lt;/isbn&gt;&lt;urls&gt;&lt;/urls&gt;&lt;/record&gt;&lt;/Cite&gt;&lt;/EndNote&gt;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15" w:tooltip="Collis, 1994 #316" w:history="1">
        <w:r w:rsidR="00641B32" w:rsidRPr="008C04EC">
          <w:rPr>
            <w:rFonts w:ascii="Times New Roman" w:hAnsi="Times New Roman" w:cs="Times New Roman"/>
            <w:noProof/>
            <w:color w:val="000000" w:themeColor="text1"/>
            <w:sz w:val="24"/>
            <w:szCs w:val="24"/>
            <w:lang w:val="en-GB"/>
          </w:rPr>
          <w:t>Collis, 1994</w:t>
        </w:r>
      </w:hyperlink>
      <w:r w:rsidR="00D30452" w:rsidRPr="008C04EC">
        <w:rPr>
          <w:rFonts w:ascii="Times New Roman" w:hAnsi="Times New Roman" w:cs="Times New Roman"/>
          <w:noProof/>
          <w:color w:val="000000" w:themeColor="text1"/>
          <w:sz w:val="24"/>
          <w:szCs w:val="24"/>
          <w:lang w:val="en-GB"/>
        </w:rPr>
        <w:t xml:space="preserve">; </w:t>
      </w:r>
      <w:hyperlink w:anchor="_ENREF_106" w:tooltip="Zollo, 2002 #139" w:history="1">
        <w:r w:rsidR="00641B32" w:rsidRPr="008C04EC">
          <w:rPr>
            <w:rFonts w:ascii="Times New Roman" w:hAnsi="Times New Roman" w:cs="Times New Roman"/>
            <w:noProof/>
            <w:color w:val="000000" w:themeColor="text1"/>
            <w:sz w:val="24"/>
            <w:szCs w:val="24"/>
            <w:lang w:val="en-GB"/>
          </w:rPr>
          <w:t>Zollo &amp; Winter, 2002</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t>
      </w:r>
      <w:r w:rsidR="001C0574" w:rsidRPr="008C04EC">
        <w:rPr>
          <w:rFonts w:ascii="Times New Roman" w:hAnsi="Times New Roman" w:cs="Times New Roman"/>
          <w:color w:val="000000" w:themeColor="text1"/>
          <w:sz w:val="24"/>
          <w:lang w:val="en-GB"/>
        </w:rPr>
        <w:t xml:space="preserve">Deliberate learning efforts, based on the selection and retention of knowledge, become </w:t>
      </w:r>
      <w:r w:rsidR="00B410AD" w:rsidRPr="008C04EC">
        <w:rPr>
          <w:rFonts w:ascii="Times New Roman" w:hAnsi="Times New Roman" w:cs="Times New Roman"/>
          <w:color w:val="000000" w:themeColor="text1"/>
          <w:sz w:val="24"/>
          <w:lang w:val="en-GB"/>
        </w:rPr>
        <w:t>routinized</w:t>
      </w:r>
      <w:r w:rsidR="001C0574" w:rsidRPr="008C04EC">
        <w:rPr>
          <w:rFonts w:ascii="Times New Roman" w:hAnsi="Times New Roman" w:cs="Times New Roman"/>
          <w:color w:val="000000" w:themeColor="text1"/>
          <w:sz w:val="24"/>
          <w:lang w:val="en-GB"/>
        </w:rPr>
        <w:t xml:space="preserve"> over time as </w:t>
      </w:r>
      <w:r w:rsidR="00AD6ED7" w:rsidRPr="008C04EC">
        <w:rPr>
          <w:rFonts w:ascii="Times New Roman" w:hAnsi="Times New Roman" w:cs="Times New Roman"/>
          <w:color w:val="000000" w:themeColor="text1"/>
          <w:sz w:val="24"/>
          <w:lang w:val="en-GB"/>
        </w:rPr>
        <w:t>new information is</w:t>
      </w:r>
      <w:r w:rsidR="001C0574" w:rsidRPr="008C04EC">
        <w:rPr>
          <w:rFonts w:ascii="Times New Roman" w:hAnsi="Times New Roman" w:cs="Times New Roman"/>
          <w:color w:val="000000" w:themeColor="text1"/>
          <w:sz w:val="24"/>
          <w:lang w:val="en-GB"/>
        </w:rPr>
        <w:t xml:space="preserve"> stored in an organisation’s procedural memory </w:t>
      </w:r>
      <w:r w:rsidR="001C0574" w:rsidRPr="008C04EC">
        <w:rPr>
          <w:rFonts w:ascii="Times New Roman" w:hAnsi="Times New Roman" w:cs="Times New Roman"/>
          <w:color w:val="000000" w:themeColor="text1"/>
          <w:sz w:val="24"/>
          <w:lang w:val="en-GB"/>
        </w:rPr>
        <w:fldChar w:fldCharType="begin"/>
      </w:r>
      <w:r w:rsidR="00E559B2">
        <w:rPr>
          <w:rFonts w:ascii="Times New Roman" w:hAnsi="Times New Roman" w:cs="Times New Roman"/>
          <w:color w:val="000000" w:themeColor="text1"/>
          <w:sz w:val="24"/>
          <w:lang w:val="en-GB"/>
        </w:rPr>
        <w:instrText xml:space="preserve"> ADDIN ZOTERO_ITEM CSL_CITATION {"citationID":"bUsA370Y","properties":{"formattedCitation":"(Gavetti and Levinthal, 2000; Zollo and Winter, 2002)","plainCitation":"(Gavetti and Levinthal, 2000; Zollo and Winter, 2002)","dontUpdate":true,"noteIndex":0},"citationItems":[{"id":12,"uris":["http://zotero.org/users/3209486/items/2AIM6M54"],"uri":["http://zotero.org/users/3209486/items/2AIM6M54"],"itemData":{"id":12,"type":"article-journal","title":"Looking Forward and Looking Backward: Cognitive and Experiential Search","container-title":"Administrative Science Quarterly","page":"113-137","volume":"45","issue":"1","abstract":"We used computer simulations to examine the role and interrelationship between search processes that are forward-looking, based on actors' cognitive map of action-outcome linkages, and those that are backward-looking, or experience based. Cognition was modeled as a simple, low-dimensional representation of a more complex, higher dimensional fitness landscape. Results show that, although crude, these representations still act as a powerful guide to initial search efforts and usefully constrain the direction of subsequent experiential search. Changing a cognitive representation itself can act as an important mode of adaptation, effectively resulting in the sequential allocation of attention to different facets of the environment. This virtue of shifting cognitive representation, however, may be offset by the loss of tacit knowledge associated with the prior cognition.","DOI":"10.2307/2666981","ISSN":"00018392","author":[{"family":"Gavetti","given":"Giovanni"},{"family":"Levinthal","given":"Daniel"}],"issued":{"date-parts":[["2000"]]}}},{"id":690,"uris":["http://zotero.org/users/3209486/items/Z8P9V43E"],"uri":["http://zotero.org/users/3209486/items/Z8P9V43E"],"itemData":{"id":690,"type":"article-journal","title":"Deliberate Learning and the Evolution of Dynamic Capabilities.","container-title":"Organization Science","page":"339-351","volume":"13","issue":"3","source":"EBSCOhost","archive":"buh","abstract":"This paper investigates the mechanisms through which organizations develop dynamic capabilities, defined as routinized activities directed to the development and adaptation of operating routines. It addresses the role of (1) experience accumulation, (2) knowledge articulation, and (3) knowledge codification processes in the evolution of dynamic, as well as operational, routines. The argument is made that dynamic capabilities are shaped by the coevolution of these learning mechanisms. At any point in time, firms adopt a mix of learning behaviors constituted by a semiautomatic accumulation of experience and by deliberate investments in knowledge articulation and codification activities. The relative effectiveness of these capability-building mechanisms is analyzed here as contingent upon selected features of the task to be learned, such as its frequency, homogeneity, and degree of causal ambiguity. Testable hypotheses about these effects are derived. Somewhat counterintuitive implications of the analysis include the relatively superior effectiveness of highly deliberate learning processes such as knowledge codification at lower levels of frequency and homogeneity of the organizational task, in contrast with common managerial practice. [ABSTRACT FROM AUTHOR]","ISSN":"10477039","journalAbbreviation":"Organization Science","author":[{"family":"Zollo","given":"Maurizio"},{"family":"Winter","given":"Sidney G."}],"issued":{"date-parts":[["2002",6,5]]}}}],"schema":"https://github.com/citation-style-language/schema/raw/master/csl-citation.json"} </w:instrText>
      </w:r>
      <w:r w:rsidR="001C0574"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 xml:space="preserve">(Gavetti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Levinthal, 2000; Zollo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Winter, 2002)</w:t>
      </w:r>
      <w:r w:rsidR="001C0574" w:rsidRPr="008C04EC">
        <w:rPr>
          <w:rFonts w:ascii="Times New Roman" w:hAnsi="Times New Roman" w:cs="Times New Roman"/>
          <w:color w:val="000000" w:themeColor="text1"/>
          <w:sz w:val="24"/>
          <w:lang w:val="en-GB"/>
        </w:rPr>
        <w:fldChar w:fldCharType="end"/>
      </w:r>
      <w:r w:rsidR="001C0574" w:rsidRPr="008C04EC">
        <w:rPr>
          <w:rFonts w:ascii="Times New Roman" w:hAnsi="Times New Roman" w:cs="Times New Roman"/>
          <w:color w:val="000000" w:themeColor="text1"/>
          <w:sz w:val="24"/>
          <w:lang w:val="en-GB"/>
        </w:rPr>
        <w:t xml:space="preserve">. As an organisation develops the capability of ‘learning-to-learn’, it is better able to sense new market opportunities through R&amp;D and horizon scanning activities </w:t>
      </w:r>
      <w:r w:rsidR="001C0574" w:rsidRPr="008C04EC">
        <w:rPr>
          <w:rFonts w:ascii="Times New Roman" w:hAnsi="Times New Roman" w:cs="Times New Roman"/>
          <w:color w:val="000000" w:themeColor="text1"/>
          <w:sz w:val="24"/>
          <w:lang w:val="en-GB"/>
        </w:rPr>
        <w:fldChar w:fldCharType="begin"/>
      </w:r>
      <w:r w:rsidR="001C0574" w:rsidRPr="008C04EC">
        <w:rPr>
          <w:rFonts w:ascii="Times New Roman" w:hAnsi="Times New Roman" w:cs="Times New Roman"/>
          <w:color w:val="000000" w:themeColor="text1"/>
          <w:sz w:val="24"/>
          <w:lang w:val="en-GB"/>
        </w:rPr>
        <w:instrText xml:space="preserve"> ADDIN ZOTERO_ITEM CSL_CITATION {"citationID":"7G3rkmW8","properties":{"formattedCitation":"(Teece,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1C0574"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(Teece, 2007)</w:t>
      </w:r>
      <w:r w:rsidR="001C0574" w:rsidRPr="008C04EC">
        <w:rPr>
          <w:rFonts w:ascii="Times New Roman" w:hAnsi="Times New Roman" w:cs="Times New Roman"/>
          <w:color w:val="000000" w:themeColor="text1"/>
          <w:sz w:val="24"/>
          <w:lang w:val="en-GB"/>
        </w:rPr>
        <w:fldChar w:fldCharType="end"/>
      </w:r>
      <w:r w:rsidR="001C0574" w:rsidRPr="008C04EC">
        <w:rPr>
          <w:rFonts w:ascii="Times New Roman" w:hAnsi="Times New Roman" w:cs="Times New Roman"/>
          <w:color w:val="000000" w:themeColor="text1"/>
          <w:sz w:val="24"/>
          <w:lang w:val="en-GB"/>
        </w:rPr>
        <w:t xml:space="preserve">. A learning culture allows employees to quickly accumulate knowledge through experiential learning and apply this new </w:t>
      </w:r>
      <w:r w:rsidR="001C0574" w:rsidRPr="008C04EC">
        <w:rPr>
          <w:rFonts w:ascii="Times New Roman" w:hAnsi="Times New Roman" w:cs="Times New Roman"/>
          <w:color w:val="000000" w:themeColor="text1"/>
          <w:sz w:val="24"/>
          <w:lang w:val="en-GB"/>
        </w:rPr>
        <w:lastRenderedPageBreak/>
        <w:t xml:space="preserve">knowledge to seize on emergent opportunities </w:t>
      </w:r>
      <w:r w:rsidR="001C0574" w:rsidRPr="008C04EC">
        <w:rPr>
          <w:rFonts w:ascii="Times New Roman" w:hAnsi="Times New Roman" w:cs="Times New Roman"/>
          <w:color w:val="000000" w:themeColor="text1"/>
          <w:sz w:val="24"/>
          <w:lang w:val="en-GB"/>
        </w:rPr>
        <w:fldChar w:fldCharType="begin"/>
      </w:r>
      <w:r w:rsidR="001C0574" w:rsidRPr="008C04EC">
        <w:rPr>
          <w:rFonts w:ascii="Times New Roman" w:hAnsi="Times New Roman" w:cs="Times New Roman"/>
          <w:color w:val="000000" w:themeColor="text1"/>
          <w:sz w:val="24"/>
          <w:lang w:val="en-GB"/>
        </w:rPr>
        <w:instrText xml:space="preserve"> ADDIN ZOTERO_ITEM CSL_CITATION {"citationID":"4AfK9rjK","properties":{"formattedCitation":"(Teece et al., 1997)","plainCitation":"(Teece et al., 1997)","noteIndex":0},"citationItems":[{"id":499,"uris":["http://zotero.org/users/3209486/items/FHQF4J2U"],"uri":["http://zotero.org/users/3209486/items/FHQF4J2U"],"itemData":{"id":499,"type":"article-journal","title":"Dynamic Capabilities and Strategic Management","container-title":"Strategic Management Journal","page":"509-533","volume":"19","issue":"7","author":[{"family":"Teece","given":"David J."},{"family":"Pisano","given":"Gary P."},{"family":"Shuen","given":"Amy"}],"issued":{"date-parts":[["1997"]]}}}],"schema":"https://github.com/citation-style-language/schema/raw/master/csl-citation.json"} </w:instrText>
      </w:r>
      <w:r w:rsidR="001C0574"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(Teece et al., 1997)</w:t>
      </w:r>
      <w:r w:rsidR="001C0574" w:rsidRPr="008C04EC">
        <w:rPr>
          <w:rFonts w:ascii="Times New Roman" w:hAnsi="Times New Roman" w:cs="Times New Roman"/>
          <w:color w:val="000000" w:themeColor="text1"/>
          <w:sz w:val="24"/>
          <w:lang w:val="en-GB"/>
        </w:rPr>
        <w:fldChar w:fldCharType="end"/>
      </w:r>
      <w:r w:rsidR="001C0574" w:rsidRPr="008C04EC">
        <w:rPr>
          <w:rFonts w:ascii="Times New Roman" w:hAnsi="Times New Roman" w:cs="Times New Roman"/>
          <w:color w:val="000000" w:themeColor="text1"/>
          <w:sz w:val="24"/>
          <w:lang w:val="en-GB"/>
        </w:rPr>
        <w:t xml:space="preserve">. </w:t>
      </w:r>
      <w:r w:rsidR="00825486" w:rsidRPr="008C04EC">
        <w:rPr>
          <w:rFonts w:ascii="Times New Roman" w:hAnsi="Times New Roman" w:cs="Times New Roman"/>
          <w:color w:val="000000" w:themeColor="text1"/>
          <w:sz w:val="24"/>
          <w:lang w:val="en-GB"/>
        </w:rPr>
        <w:t xml:space="preserve">Deliberate learning routines allow managers to continuously transform the firm’s tangible and intangible assets to remain competitive in turbulent environments </w:t>
      </w:r>
      <w:r w:rsidR="00825486" w:rsidRPr="008C04EC">
        <w:rPr>
          <w:rFonts w:ascii="Times New Roman" w:hAnsi="Times New Roman" w:cs="Times New Roman"/>
          <w:color w:val="000000" w:themeColor="text1"/>
          <w:sz w:val="24"/>
          <w:lang w:val="en-GB"/>
        </w:rPr>
        <w:fldChar w:fldCharType="begin"/>
      </w:r>
      <w:r w:rsidR="00825486" w:rsidRPr="008C04EC">
        <w:rPr>
          <w:rFonts w:ascii="Times New Roman" w:hAnsi="Times New Roman" w:cs="Times New Roman"/>
          <w:color w:val="000000" w:themeColor="text1"/>
          <w:sz w:val="24"/>
          <w:lang w:val="en-GB"/>
        </w:rPr>
        <w:instrText xml:space="preserve"> ADDIN ZOTERO_ITEM CSL_CITATION {"citationID":"Qfe1EqVE","properties":{"formattedCitation":"(Teece,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825486"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(Teece, 2007)</w:t>
      </w:r>
      <w:r w:rsidR="00825486" w:rsidRPr="008C04EC">
        <w:rPr>
          <w:rFonts w:ascii="Times New Roman" w:hAnsi="Times New Roman" w:cs="Times New Roman"/>
          <w:color w:val="000000" w:themeColor="text1"/>
          <w:sz w:val="24"/>
          <w:lang w:val="en-GB"/>
        </w:rPr>
        <w:fldChar w:fldCharType="end"/>
      </w:r>
      <w:r w:rsidR="00825486" w:rsidRPr="008C04EC">
        <w:rPr>
          <w:rFonts w:ascii="Times New Roman" w:hAnsi="Times New Roman" w:cs="Times New Roman"/>
          <w:color w:val="000000" w:themeColor="text1"/>
          <w:sz w:val="24"/>
          <w:lang w:val="en-GB"/>
        </w:rPr>
        <w:t>.</w:t>
      </w:r>
      <w:r w:rsidR="00785B2F" w:rsidRPr="008C04EC">
        <w:rPr>
          <w:rFonts w:ascii="Times New Roman" w:hAnsi="Times New Roman" w:cs="Times New Roman"/>
          <w:color w:val="000000" w:themeColor="text1"/>
          <w:sz w:val="24"/>
          <w:lang w:val="en-GB"/>
        </w:rPr>
        <w:t xml:space="preserve"> </w:t>
      </w:r>
      <w:r w:rsidR="00B410AD" w:rsidRPr="008C04EC">
        <w:rPr>
          <w:rFonts w:ascii="Times New Roman" w:hAnsi="Times New Roman" w:cs="Times New Roman"/>
          <w:color w:val="000000" w:themeColor="text1"/>
          <w:sz w:val="24"/>
          <w:lang w:val="en-GB"/>
        </w:rPr>
        <w:t xml:space="preserve">Dynamic capabilities emerge when </w:t>
      </w:r>
      <w:r w:rsidR="00785B2F" w:rsidRPr="008C04EC">
        <w:rPr>
          <w:rFonts w:ascii="Times New Roman" w:hAnsi="Times New Roman" w:cs="Times New Roman"/>
          <w:color w:val="000000" w:themeColor="text1"/>
          <w:sz w:val="24"/>
          <w:lang w:val="en-GB"/>
        </w:rPr>
        <w:t xml:space="preserve">the intention is to stimulate internal change in a firm’s resource base to achieve fit with the external environment </w:t>
      </w:r>
      <w:r w:rsidR="00785B2F" w:rsidRPr="008C04EC">
        <w:rPr>
          <w:rFonts w:ascii="Times New Roman" w:hAnsi="Times New Roman" w:cs="Times New Roman"/>
          <w:color w:val="000000" w:themeColor="text1"/>
          <w:sz w:val="24"/>
          <w:lang w:val="en-GB"/>
        </w:rPr>
        <w:fldChar w:fldCharType="begin"/>
      </w:r>
      <w:r w:rsidR="00785B2F" w:rsidRPr="008C04EC">
        <w:rPr>
          <w:rFonts w:ascii="Times New Roman" w:hAnsi="Times New Roman" w:cs="Times New Roman"/>
          <w:color w:val="000000" w:themeColor="text1"/>
          <w:sz w:val="24"/>
          <w:lang w:val="en-GB"/>
        </w:rPr>
        <w:instrText xml:space="preserve"> ADDIN ZOTERO_ITEM CSL_CITATION {"citationID":"jo03maRu","properties":{"formattedCitation":"(Teece, 2007; Teece et al., 1997)","plainCitation":"(Teece, 2007; Teece et al., 1997)","noteIndex":0},"citationItems":[{"id":623,"uris":["http://zotero.org/users/3209486/items/AM6EMAB6"],"uri":["http://zotero.org/users/3209486/items/AM6EMAB6"],"itemData":{"id":623,"type":"article-journal","title":"Explicating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J."}],"issued":{"date-parts":[["2007",12,1]]}}},{"id":499,"uris":["http://zotero.org/users/3209486/items/FHQF4J2U"],"uri":["http://zotero.org/users/3209486/items/FHQF4J2U"],"itemData":{"id":499,"type":"article-journal","title":"Dynamic Capabilities and Strategic Management","container-title":"Strategic Management Journal","page":"509-533","volume":"19","issue":"7","author":[{"family":"Teece","given":"David J."},{"family":"Pisano","given":"Gary P."},{"family":"Shuen","given":"Amy"}],"issued":{"date-parts":[["1997"]]}}}],"schema":"https://github.com/citation-style-language/schema/raw/master/csl-citation.json"} </w:instrText>
      </w:r>
      <w:r w:rsidR="00785B2F"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(Teece, 2007; Teece et al., 1997)</w:t>
      </w:r>
      <w:r w:rsidR="00785B2F" w:rsidRPr="008C04EC">
        <w:rPr>
          <w:rFonts w:ascii="Times New Roman" w:hAnsi="Times New Roman" w:cs="Times New Roman"/>
          <w:color w:val="000000" w:themeColor="text1"/>
          <w:sz w:val="24"/>
          <w:lang w:val="en-GB"/>
        </w:rPr>
        <w:fldChar w:fldCharType="end"/>
      </w:r>
      <w:r w:rsidR="00B410AD" w:rsidRPr="008C04EC">
        <w:rPr>
          <w:rFonts w:ascii="Times New Roman" w:hAnsi="Times New Roman" w:cs="Times New Roman"/>
          <w:color w:val="000000" w:themeColor="text1"/>
          <w:sz w:val="24"/>
          <w:lang w:val="en-GB"/>
        </w:rPr>
        <w:t>.</w:t>
      </w:r>
    </w:p>
    <w:p w14:paraId="214F1F9C" w14:textId="4548A782" w:rsidR="003C64C4" w:rsidRPr="008C04EC" w:rsidRDefault="003C64C4" w:rsidP="00437460">
      <w:pPr>
        <w:spacing w:after="0" w:line="480" w:lineRule="auto"/>
        <w:ind w:firstLine="567"/>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lang w:val="en-GB"/>
        </w:rPr>
        <w:t xml:space="preserve">The discourse surrounding dynamic capabilities </w:t>
      </w:r>
      <w:r w:rsidR="005B4DF7" w:rsidRPr="008C04EC">
        <w:rPr>
          <w:rFonts w:ascii="Times New Roman" w:hAnsi="Times New Roman" w:cs="Times New Roman"/>
          <w:color w:val="000000" w:themeColor="text1"/>
          <w:sz w:val="24"/>
          <w:lang w:val="en-GB"/>
        </w:rPr>
        <w:t>has been</w:t>
      </w:r>
      <w:r w:rsidRPr="008C04EC">
        <w:rPr>
          <w:rFonts w:ascii="Times New Roman" w:hAnsi="Times New Roman" w:cs="Times New Roman"/>
          <w:color w:val="000000" w:themeColor="text1"/>
          <w:sz w:val="24"/>
          <w:lang w:val="en-GB"/>
        </w:rPr>
        <w:t xml:space="preserve"> primarily conf</w:t>
      </w:r>
      <w:r w:rsidR="005B4DF7" w:rsidRPr="008C04EC">
        <w:rPr>
          <w:rFonts w:ascii="Times New Roman" w:hAnsi="Times New Roman" w:cs="Times New Roman"/>
          <w:color w:val="000000" w:themeColor="text1"/>
          <w:sz w:val="24"/>
          <w:lang w:val="en-GB"/>
        </w:rPr>
        <w:t xml:space="preserve">ined </w:t>
      </w:r>
      <w:r w:rsidR="00825486" w:rsidRPr="008C04EC">
        <w:rPr>
          <w:rFonts w:ascii="Times New Roman" w:hAnsi="Times New Roman" w:cs="Times New Roman"/>
          <w:color w:val="000000" w:themeColor="text1"/>
          <w:sz w:val="24"/>
          <w:lang w:val="en-GB"/>
        </w:rPr>
        <w:t>to</w:t>
      </w:r>
      <w:r w:rsidRPr="008C04EC">
        <w:rPr>
          <w:rFonts w:ascii="Times New Roman" w:hAnsi="Times New Roman" w:cs="Times New Roman"/>
          <w:color w:val="000000" w:themeColor="text1"/>
          <w:sz w:val="24"/>
          <w:lang w:val="en-GB"/>
        </w:rPr>
        <w:t xml:space="preserve"> </w:t>
      </w:r>
      <w:r w:rsidR="00396D92" w:rsidRPr="008C04EC">
        <w:rPr>
          <w:rFonts w:ascii="Times New Roman" w:hAnsi="Times New Roman" w:cs="Times New Roman"/>
          <w:color w:val="000000" w:themeColor="text1"/>
          <w:sz w:val="24"/>
          <w:lang w:val="en-GB"/>
        </w:rPr>
        <w:t>the competitiveness of firms</w:t>
      </w:r>
      <w:r w:rsidRPr="008C04EC">
        <w:rPr>
          <w:rFonts w:ascii="Times New Roman" w:hAnsi="Times New Roman" w:cs="Times New Roman"/>
          <w:color w:val="000000" w:themeColor="text1"/>
          <w:sz w:val="24"/>
          <w:lang w:val="en-GB"/>
        </w:rPr>
        <w:t xml:space="preserve"> </w:t>
      </w:r>
      <w:r w:rsidR="0078214B" w:rsidRPr="008C04EC">
        <w:rPr>
          <w:rFonts w:ascii="Times New Roman" w:hAnsi="Times New Roman" w:cs="Times New Roman"/>
          <w:color w:val="000000" w:themeColor="text1"/>
          <w:sz w:val="24"/>
          <w:lang w:val="en-GB"/>
        </w:rPr>
        <w:fldChar w:fldCharType="begin"/>
      </w:r>
      <w:r w:rsidR="0078214B" w:rsidRPr="008C04EC">
        <w:rPr>
          <w:rFonts w:ascii="Times New Roman" w:hAnsi="Times New Roman" w:cs="Times New Roman"/>
          <w:color w:val="000000" w:themeColor="text1"/>
          <w:sz w:val="24"/>
          <w:lang w:val="en-GB"/>
        </w:rPr>
        <w:instrText xml:space="preserve"> ADDIN ZOTERO_ITEM CSL_CITATION {"citationID":"GTtij0DI","properties":{"formattedCitation":"(Schilke et al., 2017)","plainCitation":"(Schilke et al., 2017)","noteIndex":0},"citationItems":[{"id":4277,"uris":["http://zotero.org/users/3209486/items/9Y5BQT3K"],"uri":["http://zotero.org/users/3209486/items/9Y5BQT3K"],"itemData":{"id":4277,"type":"article-journal","title":"Quo Vadis, Dynamic Capabilities? A Content-Analytic Review of the Current State of Knowledge and Recommendations for Future Research","container-title":"Academy of Management Annals","page":"390-439","volume":"12","issue":"1","abstract":"Although the dynamic capabilities perspective has become one of the most frequently used theoretical lenses in management research, critics have repeatedly voiced their frustration with this literature, particularly bemoaning the lack of empirical knowledge and the underspecification of the construct of dynamic capabilities. But research on dynamic capabilities has advanced considerably since its early years, in which most contributions to this literature were purely conceptual. A plethora of empirical studies as well as further theoretical elaborations have shed substantial light on a variety of specific, measurable factors connected to dynamic capabilities. Our article starts out by analyzing these studies to develop a meta-framework that specifies antecedents, dimensions, mechanisms, moderators, and outcomes of dynamic capabilities identified in the literature to date. This framework provides a comprehensive and systematic synthesis of the dynamic capabilities perspective that reflects the richness of the research while at the same time unifying it into a cohesive, overarching model. Such an analysis has not yet been undertaken; no comprehensive framework with this level of detail has previously been presented for dynamic capabilities. Our analysis shows where research has made the most progress and where gaps and unresolved tensions remain. Based on this analysis, we propose a forward-looking research agenda that outlines directions for future research.","DOI":"10.5465/annals.2016.0014","ISSN":"1941-6520","journalAbbreviation":"ANNALS","author":[{"family":"Schilke","given":"Oliver"},{"family":"Hu","given":"Songcui"},{"family":"Helfat","given":"Constance E."}],"issued":{"date-parts":[["2017",11,9]]}}}],"schema":"https://github.com/citation-style-language/schema/raw/master/csl-citation.json"} </w:instrText>
      </w:r>
      <w:r w:rsidR="0078214B" w:rsidRPr="008C04EC">
        <w:rPr>
          <w:rFonts w:ascii="Times New Roman" w:hAnsi="Times New Roman" w:cs="Times New Roman"/>
          <w:color w:val="000000" w:themeColor="text1"/>
          <w:sz w:val="24"/>
          <w:lang w:val="en-GB"/>
        </w:rPr>
        <w:fldChar w:fldCharType="separate"/>
      </w:r>
      <w:r w:rsidR="007061B5" w:rsidRPr="008C04EC">
        <w:rPr>
          <w:rFonts w:ascii="Times New Roman" w:hAnsi="Times New Roman" w:cs="Times New Roman"/>
          <w:color w:val="000000" w:themeColor="text1"/>
          <w:sz w:val="24"/>
        </w:rPr>
        <w:t>(Schilke et al., 2017)</w:t>
      </w:r>
      <w:r w:rsidR="0078214B" w:rsidRPr="008C04EC">
        <w:rPr>
          <w:rFonts w:ascii="Times New Roman" w:hAnsi="Times New Roman" w:cs="Times New Roman"/>
          <w:color w:val="000000" w:themeColor="text1"/>
          <w:sz w:val="24"/>
          <w:lang w:val="en-GB"/>
        </w:rPr>
        <w:fldChar w:fldCharType="end"/>
      </w:r>
      <w:r w:rsidRPr="008C04EC">
        <w:rPr>
          <w:rFonts w:ascii="Times New Roman" w:hAnsi="Times New Roman" w:cs="Times New Roman"/>
          <w:color w:val="000000" w:themeColor="text1"/>
          <w:sz w:val="24"/>
          <w:lang w:val="en-GB"/>
        </w:rPr>
        <w:t xml:space="preserve">. </w:t>
      </w:r>
      <w:r w:rsidRPr="008C04EC">
        <w:rPr>
          <w:rFonts w:ascii="Times New Roman" w:hAnsi="Times New Roman" w:cs="Times New Roman"/>
          <w:color w:val="000000" w:themeColor="text1"/>
          <w:sz w:val="24"/>
          <w:szCs w:val="24"/>
        </w:rPr>
        <w:t>Although often under</w:t>
      </w:r>
      <w:r w:rsidR="008B06DF">
        <w:rPr>
          <w:rFonts w:ascii="Times New Roman" w:hAnsi="Times New Roman" w:cs="Times New Roman"/>
          <w:color w:val="000000" w:themeColor="text1"/>
          <w:sz w:val="24"/>
          <w:szCs w:val="24"/>
        </w:rPr>
        <w:t>-</w:t>
      </w:r>
      <w:r w:rsidRPr="008C04EC">
        <w:rPr>
          <w:rFonts w:ascii="Times New Roman" w:hAnsi="Times New Roman" w:cs="Times New Roman"/>
          <w:color w:val="000000" w:themeColor="text1"/>
          <w:sz w:val="24"/>
          <w:szCs w:val="24"/>
        </w:rPr>
        <w:t xml:space="preserve">emphasized in the literature, the dynamic capabilities view also encompasses alterations to the firm’s external environment (Helfat </w:t>
      </w:r>
      <w:r w:rsidR="00F646FA">
        <w:rPr>
          <w:rFonts w:ascii="Times New Roman" w:hAnsi="Times New Roman" w:cs="Times New Roman"/>
          <w:color w:val="000000" w:themeColor="text1"/>
          <w:sz w:val="24"/>
          <w:szCs w:val="24"/>
        </w:rPr>
        <w:t>&amp;</w:t>
      </w:r>
      <w:r w:rsidR="00F646FA" w:rsidRPr="008C04EC">
        <w:rPr>
          <w:rFonts w:ascii="Times New Roman" w:hAnsi="Times New Roman" w:cs="Times New Roman"/>
          <w:color w:val="000000" w:themeColor="text1"/>
          <w:sz w:val="24"/>
          <w:szCs w:val="24"/>
        </w:rPr>
        <w:t xml:space="preserve"> </w:t>
      </w:r>
      <w:r w:rsidRPr="008C04EC">
        <w:rPr>
          <w:rFonts w:ascii="Times New Roman" w:hAnsi="Times New Roman" w:cs="Times New Roman"/>
          <w:color w:val="000000" w:themeColor="text1"/>
          <w:sz w:val="24"/>
          <w:szCs w:val="24"/>
        </w:rPr>
        <w:t>Winter, 2011; Teece, 2007).</w:t>
      </w:r>
      <w:r w:rsidR="0078214B" w:rsidRPr="008C04EC">
        <w:rPr>
          <w:rFonts w:ascii="Times New Roman" w:hAnsi="Times New Roman" w:cs="Times New Roman"/>
          <w:color w:val="000000" w:themeColor="text1"/>
          <w:sz w:val="24"/>
          <w:szCs w:val="24"/>
        </w:rPr>
        <w:t xml:space="preserve"> Indeed, Teece </w:t>
      </w:r>
      <w:r w:rsidR="0078214B" w:rsidRPr="008C04EC">
        <w:rPr>
          <w:rFonts w:ascii="Times New Roman" w:hAnsi="Times New Roman" w:cs="Times New Roman"/>
          <w:color w:val="000000" w:themeColor="text1"/>
          <w:sz w:val="24"/>
          <w:szCs w:val="24"/>
        </w:rPr>
        <w:fldChar w:fldCharType="begin"/>
      </w:r>
      <w:r w:rsidR="0078214B" w:rsidRPr="008C04EC">
        <w:rPr>
          <w:rFonts w:ascii="Times New Roman" w:hAnsi="Times New Roman" w:cs="Times New Roman"/>
          <w:color w:val="000000" w:themeColor="text1"/>
          <w:sz w:val="24"/>
          <w:szCs w:val="24"/>
        </w:rPr>
        <w:instrText xml:space="preserve"> ADDIN ZOTERO_ITEM CSL_CITATION {"citationID":"sDJ2EgkX","properties":{"formattedCitation":"(2007)","plainCitation":"(2007)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J."}],"issued":{"date-parts":[["2007",12,1]]}},"suppress-author":true}],"schema":"https://github.com/citation-style-language/schema/raw/master/csl-citation.json"} </w:instrText>
      </w:r>
      <w:r w:rsidR="0078214B"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(2007)</w:t>
      </w:r>
      <w:r w:rsidR="0078214B" w:rsidRPr="008C04EC">
        <w:rPr>
          <w:rFonts w:ascii="Times New Roman" w:hAnsi="Times New Roman" w:cs="Times New Roman"/>
          <w:color w:val="000000" w:themeColor="text1"/>
          <w:sz w:val="24"/>
          <w:szCs w:val="24"/>
        </w:rPr>
        <w:fldChar w:fldCharType="end"/>
      </w:r>
      <w:r w:rsidR="0078214B" w:rsidRPr="008C04EC">
        <w:rPr>
          <w:rFonts w:ascii="Times New Roman" w:hAnsi="Times New Roman" w:cs="Times New Roman"/>
          <w:color w:val="000000" w:themeColor="text1"/>
          <w:sz w:val="24"/>
          <w:szCs w:val="24"/>
        </w:rPr>
        <w:t xml:space="preserve"> </w:t>
      </w:r>
      <w:r w:rsidR="008B06DF">
        <w:rPr>
          <w:rFonts w:ascii="Times New Roman" w:hAnsi="Times New Roman" w:cs="Times New Roman"/>
          <w:color w:val="000000" w:themeColor="text1"/>
          <w:sz w:val="24"/>
          <w:szCs w:val="24"/>
        </w:rPr>
        <w:t>stresses</w:t>
      </w:r>
      <w:r w:rsidR="008B06DF" w:rsidRPr="008C04EC">
        <w:rPr>
          <w:rFonts w:ascii="Times New Roman" w:hAnsi="Times New Roman" w:cs="Times New Roman"/>
          <w:color w:val="000000" w:themeColor="text1"/>
          <w:sz w:val="24"/>
          <w:szCs w:val="24"/>
        </w:rPr>
        <w:t xml:space="preserve"> </w:t>
      </w:r>
      <w:r w:rsidR="0078214B" w:rsidRPr="008C04EC">
        <w:rPr>
          <w:rFonts w:ascii="Times New Roman" w:hAnsi="Times New Roman" w:cs="Times New Roman"/>
          <w:color w:val="000000" w:themeColor="text1"/>
          <w:sz w:val="24"/>
          <w:szCs w:val="24"/>
        </w:rPr>
        <w:t xml:space="preserve">the importance of broad-based external search and the subsequent integration </w:t>
      </w:r>
      <w:r w:rsidR="0074013B" w:rsidRPr="008C04EC">
        <w:rPr>
          <w:rFonts w:ascii="Times New Roman" w:hAnsi="Times New Roman" w:cs="Times New Roman"/>
          <w:color w:val="000000" w:themeColor="text1"/>
          <w:sz w:val="24"/>
          <w:szCs w:val="24"/>
        </w:rPr>
        <w:t>of</w:t>
      </w:r>
      <w:r w:rsidR="0078214B" w:rsidRPr="008C04EC">
        <w:rPr>
          <w:rFonts w:ascii="Times New Roman" w:hAnsi="Times New Roman" w:cs="Times New Roman"/>
          <w:color w:val="000000" w:themeColor="text1"/>
          <w:sz w:val="24"/>
          <w:szCs w:val="24"/>
        </w:rPr>
        <w:t xml:space="preserve"> customers and suppliers. He argues that if suppliers of new technology do not succeed in properly understanding customer needs, it is unlikely that the new products they develop will be successful. He stresses that the combination of knowledge within the enterprise and between external organization</w:t>
      </w:r>
      <w:r w:rsidR="00825486" w:rsidRPr="008C04EC">
        <w:rPr>
          <w:rFonts w:ascii="Times New Roman" w:hAnsi="Times New Roman" w:cs="Times New Roman"/>
          <w:color w:val="000000" w:themeColor="text1"/>
          <w:sz w:val="24"/>
          <w:szCs w:val="24"/>
        </w:rPr>
        <w:t>s</w:t>
      </w:r>
      <w:r w:rsidR="0078214B" w:rsidRPr="008C04EC">
        <w:rPr>
          <w:rFonts w:ascii="Times New Roman" w:hAnsi="Times New Roman" w:cs="Times New Roman"/>
          <w:color w:val="000000" w:themeColor="text1"/>
          <w:sz w:val="24"/>
          <w:szCs w:val="24"/>
        </w:rPr>
        <w:t xml:space="preserve"> is important in the development of dynamic capabilities </w:t>
      </w:r>
      <w:r w:rsidR="00D625DC"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{"citationID":"Vk9zMe2z","properties":{"formattedCitation":"(Teece, 2007 p. 1339)","plainCitation":"(Teece, 2007 p. 1339)","dontUpdate":true,"noteIndex":0},"citationItems":[{"id":623,"uris":["http://zotero.org/users/3209486/items/AM6EMAB6"],"uri":["http://zotero.org/users/3209486/items/AM6EMAB6"],"itemData":{"id":623,"type":"article-journal","title":"Explicating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J."}],"issued":{"date-parts":[["2007",12,1]]}},"suffix":"p. 1339"}],"schema":"https://github.com/citation-style-language/schema/raw/master/csl-citation.json"} </w:instrText>
      </w:r>
      <w:r w:rsidR="00D625DC"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(Teece, 2007</w:t>
      </w:r>
      <w:r w:rsidR="00D4006E">
        <w:rPr>
          <w:rFonts w:ascii="Times New Roman" w:hAnsi="Times New Roman" w:cs="Times New Roman"/>
          <w:color w:val="000000" w:themeColor="text1"/>
          <w:sz w:val="24"/>
        </w:rPr>
        <w:t>,</w:t>
      </w:r>
      <w:r w:rsidR="007061B5" w:rsidRPr="008C04EC">
        <w:rPr>
          <w:rFonts w:ascii="Times New Roman" w:hAnsi="Times New Roman" w:cs="Times New Roman"/>
          <w:color w:val="000000" w:themeColor="text1"/>
          <w:sz w:val="24"/>
        </w:rPr>
        <w:t xml:space="preserve"> p. 1339)</w:t>
      </w:r>
      <w:r w:rsidR="00D625DC" w:rsidRPr="008C04EC">
        <w:rPr>
          <w:rFonts w:ascii="Times New Roman" w:hAnsi="Times New Roman" w:cs="Times New Roman"/>
          <w:color w:val="000000" w:themeColor="text1"/>
          <w:sz w:val="24"/>
          <w:szCs w:val="24"/>
        </w:rPr>
        <w:fldChar w:fldCharType="end"/>
      </w:r>
      <w:r w:rsidR="00D625DC" w:rsidRPr="008C04EC">
        <w:rPr>
          <w:rFonts w:ascii="Times New Roman" w:hAnsi="Times New Roman" w:cs="Times New Roman"/>
          <w:color w:val="000000" w:themeColor="text1"/>
          <w:sz w:val="24"/>
          <w:szCs w:val="24"/>
        </w:rPr>
        <w:t>.</w:t>
      </w:r>
      <w:r w:rsidR="0078214B" w:rsidRPr="008C04EC">
        <w:rPr>
          <w:rFonts w:ascii="Times New Roman" w:hAnsi="Times New Roman" w:cs="Times New Roman"/>
          <w:color w:val="000000" w:themeColor="text1"/>
          <w:sz w:val="24"/>
          <w:szCs w:val="24"/>
        </w:rPr>
        <w:t xml:space="preserve"> </w:t>
      </w:r>
    </w:p>
    <w:p w14:paraId="3F69F122" w14:textId="21F33726" w:rsidR="00B410AD" w:rsidRDefault="006575F8" w:rsidP="00734E67">
      <w:pPr>
        <w:spacing w:after="0" w:line="480" w:lineRule="auto"/>
        <w:ind w:firstLine="567"/>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 xml:space="preserve">Helfat and Winter </w:t>
      </w:r>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ZOTERO_ITEM CSL_CITATION {"citationID":"metoHzld","properties":{"formattedCitation":"(2011)","plainCitation":"(2011)","noteIndex":0},"citationItems":[{"id":1538,"uris":["http://zotero.org/users/3209486/items/FISBNJZ3"],"uri":["http://zotero.org/users/3209486/items/FISBNJZ3"],"itemData":{"id":1538,"type":"article-journal","title":"Untangling Dynamic and Operational Capabilities: Strategy for the (N)ever-Changing World","container-title":"Strategic Management Journal","page":"1243-1250","volume":"32","issue":"11","abstract":"Abstract We explain why the line between dynamic and operational (or ordinary) capabilities is unavoidably blurry, draw implications for capabilities that promote economically important but seemingly gradual change, and provide recommendations for future research that takes these issues into account. Copyright ? 2011 John Wiley &amp; Sons, Ltd.","DOI":"10.1002/smj.955","ISSN":"0143-2095","journalAbbreviation":"Strategic Management Journal","author":[{"family":"Helfat","given":"Constance E."},{"family":"Winter","given":"Sidney G."}],"issued":{"date-parts":[["2011",8,11]]}},"suppress-author":true}],"schema":"https://github.com/citation-style-language/schema/raw/master/csl-citation.json"}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(2011)</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discuss the notion of</w:t>
      </w:r>
      <w:r w:rsidR="000A5D29" w:rsidRPr="008C04EC">
        <w:rPr>
          <w:rFonts w:ascii="Times New Roman" w:hAnsi="Times New Roman" w:cs="Times New Roman"/>
          <w:color w:val="000000" w:themeColor="text1"/>
          <w:sz w:val="24"/>
          <w:szCs w:val="24"/>
        </w:rPr>
        <w:t xml:space="preserve"> external</w:t>
      </w:r>
      <w:r w:rsidRPr="008C04EC">
        <w:rPr>
          <w:rFonts w:ascii="Times New Roman" w:hAnsi="Times New Roman" w:cs="Times New Roman"/>
          <w:color w:val="000000" w:themeColor="text1"/>
          <w:sz w:val="24"/>
          <w:szCs w:val="24"/>
        </w:rPr>
        <w:t xml:space="preserve"> integrative capabilities that enable communication and coordination </w:t>
      </w:r>
      <w:r w:rsidR="005B4DF7" w:rsidRPr="008C04EC">
        <w:rPr>
          <w:rFonts w:ascii="Times New Roman" w:hAnsi="Times New Roman" w:cs="Times New Roman"/>
          <w:color w:val="000000" w:themeColor="text1"/>
          <w:sz w:val="24"/>
          <w:szCs w:val="24"/>
        </w:rPr>
        <w:t>between organisations</w:t>
      </w:r>
      <w:r w:rsidRPr="008C04EC">
        <w:rPr>
          <w:rFonts w:ascii="Times New Roman" w:hAnsi="Times New Roman" w:cs="Times New Roman"/>
          <w:color w:val="000000" w:themeColor="text1"/>
          <w:sz w:val="24"/>
          <w:szCs w:val="24"/>
        </w:rPr>
        <w:t xml:space="preserve">. </w:t>
      </w:r>
      <w:r w:rsidR="00071431" w:rsidRPr="008C04EC">
        <w:rPr>
          <w:rFonts w:ascii="Times New Roman" w:hAnsi="Times New Roman" w:cs="Times New Roman"/>
          <w:color w:val="000000" w:themeColor="text1"/>
          <w:sz w:val="24"/>
          <w:szCs w:val="24"/>
        </w:rPr>
        <w:t>I</w:t>
      </w:r>
      <w:r w:rsidRPr="008C04EC">
        <w:rPr>
          <w:rFonts w:ascii="Times New Roman" w:hAnsi="Times New Roman" w:cs="Times New Roman"/>
          <w:color w:val="000000" w:themeColor="text1"/>
          <w:sz w:val="24"/>
          <w:szCs w:val="24"/>
        </w:rPr>
        <w:t xml:space="preserve">ntegration occurs by facilitating shared activities that produce economies of scope across stages of production or product lines </w:t>
      </w:r>
      <w:r w:rsidRPr="008C04EC">
        <w:rPr>
          <w:rFonts w:ascii="Times New Roman" w:hAnsi="Times New Roman" w:cs="Times New Roman"/>
          <w:color w:val="000000" w:themeColor="text1"/>
          <w:sz w:val="24"/>
          <w:szCs w:val="24"/>
        </w:rPr>
        <w:fldChar w:fldCharType="begin"/>
      </w:r>
      <w:r w:rsidR="00C84D0D">
        <w:rPr>
          <w:rFonts w:ascii="Times New Roman" w:hAnsi="Times New Roman" w:cs="Times New Roman"/>
          <w:color w:val="000000" w:themeColor="text1"/>
          <w:sz w:val="24"/>
          <w:szCs w:val="24"/>
        </w:rPr>
        <w:instrText xml:space="preserve"> ADDIN ZOTERO_ITEM CSL_CITATION {"citationID":"pE6uw4iZ","properties":{"formattedCitation":"(Helfat and Winter, 2011; Zhu et al., 2018)","plainCitation":"(Helfat and Winter, 2011; Zhu et al., 2018)","noteIndex":0},"citationItems":[{"id":1538,"uris":["http://zotero.org/users/3209486/items/FISBNJZ3"],"uri":["http://zotero.org/users/3209486/items/FISBNJZ3"],"itemData":{"id":1538,"type":"article-journal","title":"Untangling Dynamic and Operational Capabilities: Strategy for the (N)ever-Changing World","container-title":"Strategic Management Journal","page":"1243-1250","volume":"32","issue":"11","abstract":"Abstract We explain why the line between dynamic and operational (or ordinary) capabilities is unavoidably blurry, draw implications for capabilities that promote economically important but seemingly gradual change, and provide recommendations for future research that takes these issues into account. Copyright ? 2011 John Wiley &amp; Sons, Ltd.","DOI":"10.1002/smj.955","ISSN":"0143-2095","journalAbbreviation":"Strategic Management Journal","author":[{"family":"Helfat","given":"Constance E."},{"family":"Winter","given":"Sidney G."}],"issued":{"date-parts":[["2011",8,11]]}}},{"id":4657,"uris":["http://zotero.org/users/3209486/items/EGHMY4G8"],"uri":["http://zotero.org/users/3209486/items/EGHMY4G8"],"itemData":{"id":4657,"type":"article-journal","title":"Supply chain integration: value creation through managing inter-organizational learning","container-title":"International Journal of Operations &amp; Production Management","page":"211-229","volume":"38","issue":"1","archive":"Business Premium Collection","archive_location":"1979163199","abstract":"PurposeThe purpose of this paper is to demonstrate how inter-organizational learning (including supply chain learning and imitation prevention) mediates the relationships between supply chain integration (SCI) and two dimensions of focal firm performance (i.e. customer service performance and innovation performance).Design/methodology/approachA cross-sectional approach was adopted with primary data collected through a survey in China. Data were analyzed using structural equation modeling with partial least-squares estimations.FindingsThe findings verify that inter-organizational learning mediates the relationship between SCI and focal firm performance. The results of sub-group model analysis illustrate that both powerful and weak focal firms benefit from inter-organizational learning, but in different ways.Research limitations/implicationsThe responses were all from young executives who had four years' work experience on average. Top-level executives may provide more comprehensive and accurate input for similar future research.Practical implicationsThe results suggest that successfully integrating the supply chain to create customer value requires both supply chain learning and imitation prevention.Originality/valueThis paper responds to calls for an inter-disciplinary research between supply chain management and inter-organizational learning by taking into account supply chain learning and imitation prevention as links between SCI and both customer service performance for current success and innovation performance for future prosperity.","DOI":"10.1108/IJOPM-06-2015-0372","ISSN":"01443577","language":"English","author":[{"family":"Zhu","given":"Quan"},{"family":"Krikke","given":"Harold"},{"family":"Caniëls","given":"Marjolein CJ"}],"issued":{"date-parts":[["2018"]]}}}],"schema":"https://github.com/citation-style-language/schema/raw/master/csl-citation.json"}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C84D0D" w:rsidRPr="00C84D0D">
        <w:rPr>
          <w:rFonts w:ascii="Times New Roman" w:hAnsi="Times New Roman" w:cs="Times New Roman"/>
          <w:sz w:val="24"/>
        </w:rPr>
        <w:t>(Helfat and Winter, 2011; Zhu et al., 2018)</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w:t>
      </w:r>
      <w:r w:rsidR="000A5D29" w:rsidRPr="008C04EC">
        <w:rPr>
          <w:rFonts w:ascii="Times New Roman" w:hAnsi="Times New Roman" w:cs="Times New Roman"/>
          <w:color w:val="000000" w:themeColor="text1"/>
          <w:sz w:val="24"/>
          <w:szCs w:val="24"/>
        </w:rPr>
        <w:t>External i</w:t>
      </w:r>
      <w:r w:rsidRPr="008C04EC">
        <w:rPr>
          <w:rFonts w:ascii="Times New Roman" w:hAnsi="Times New Roman" w:cs="Times New Roman"/>
          <w:color w:val="000000" w:themeColor="text1"/>
          <w:sz w:val="24"/>
          <w:szCs w:val="24"/>
        </w:rPr>
        <w:t xml:space="preserve">ntegrative capabilities make change possible </w:t>
      </w:r>
      <w:r w:rsidR="00071431" w:rsidRPr="008C04EC">
        <w:rPr>
          <w:rFonts w:ascii="Times New Roman" w:hAnsi="Times New Roman" w:cs="Times New Roman"/>
          <w:color w:val="000000" w:themeColor="text1"/>
          <w:sz w:val="24"/>
          <w:szCs w:val="24"/>
        </w:rPr>
        <w:t>by</w:t>
      </w:r>
      <w:r w:rsidRPr="008C04EC">
        <w:rPr>
          <w:rFonts w:ascii="Times New Roman" w:hAnsi="Times New Roman" w:cs="Times New Roman"/>
          <w:color w:val="000000" w:themeColor="text1"/>
          <w:sz w:val="24"/>
          <w:szCs w:val="24"/>
        </w:rPr>
        <w:t xml:space="preserve"> coordinating design and manufacturing activities with suppliers </w:t>
      </w:r>
      <w:r w:rsidR="00071431" w:rsidRPr="008C04EC">
        <w:rPr>
          <w:rFonts w:ascii="Times New Roman" w:hAnsi="Times New Roman" w:cs="Times New Roman"/>
          <w:color w:val="000000" w:themeColor="text1"/>
          <w:sz w:val="24"/>
          <w:szCs w:val="24"/>
        </w:rPr>
        <w:t xml:space="preserve">such as </w:t>
      </w:r>
      <w:r w:rsidRPr="008C04EC">
        <w:rPr>
          <w:rFonts w:ascii="Times New Roman" w:hAnsi="Times New Roman" w:cs="Times New Roman"/>
          <w:color w:val="000000" w:themeColor="text1"/>
          <w:sz w:val="24"/>
          <w:szCs w:val="24"/>
        </w:rPr>
        <w:t xml:space="preserve">during the new product development process </w:t>
      </w:r>
      <w:r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{"citationID":"96T6w15Y","properties":{"formattedCitation":"(Clark and Fujimoto, 1991; Handfield et al., 1999)","plainCitation":"(Clark and Fujimoto, 1991; Handfield et al., 1999)","dontUpdate":true,"noteIndex":0},"citationItems":[{"id":597,"uris":["http://zotero.org/users/3209486/items/FQEDNJJE"],"uri":["http://zotero.org/users/3209486/items/FQEDNJJE"],"itemData":{"id":597,"type":"book","title":"Product Development Performance: Strategy, Organization, and Management in the World Auto Industry","publisher":"Harvard Business Press","number-of-pages":"432","source":"Google Books","abstract":"The result of six years of research conducted at the Harvard Business School on how different manufacturing firms around the world approach the development of new products. Its principal focus is on the impact of strategy, organization, and management on this critical component of business strategy. Concentrates on case studies from the world auto industry. Drawing on extensive research on twenty companies in Europe, North America, and Japan, the authors identify the strategies, practices, and capabilities that create superior performance in lead time, engineering productivity, and total product quality. The authors make the general applications of their findings clear to other industries. Managers will see how engineering needs to become more customer oriented, how integrated problem-solving activities pay off, how lead times can be cut without damaging side effects, and how strong project leaders championing products can promote innovative results.","ISBN":"978-0-87584-245-5","title-short":"Product Development Performance","language":"en","author":[{"family":"Clark","given":"Kim B."},{"family":"Fujimoto","given":"Takahiro"}],"issued":{"date-parts":[["1991"]]}}},{"id":163,"uris":["http://zotero.org/users/3209486/items/MK7UTCQE"],"uri":["http://zotero.org/users/3209486/items/MK7UTCQE"],"itemData":{"id":163,"type":"article-journal","title":"Involving Suppliers in New Product Development","container-title":"California Management Review","page":"59-82","volume":"42","issue":"1","author":[{"family":"Handfield","given":"Robert B."},{"family":"Ragatz","given":"Gary L."},{"family":"Petersen","given":"Kenneth J."},{"family":"Monczka","given":"Robert M."}],"issued":{"date-parts":[["1999"]]}}}],"schema":"https://github.com/citation-style-language/schema/raw/master/csl-citation.json"}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(Clark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Fujimoto, 1991; Handfield et al., 1999)</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w:t>
      </w:r>
      <w:r w:rsidR="00474F26" w:rsidRPr="008C04EC">
        <w:rPr>
          <w:rFonts w:ascii="Times New Roman" w:hAnsi="Times New Roman" w:cs="Times New Roman"/>
          <w:color w:val="000000" w:themeColor="text1"/>
          <w:sz w:val="24"/>
          <w:szCs w:val="24"/>
        </w:rPr>
        <w:t xml:space="preserve"> </w:t>
      </w:r>
      <w:r w:rsidR="00825486" w:rsidRPr="008C04EC">
        <w:rPr>
          <w:rFonts w:ascii="Times New Roman" w:hAnsi="Times New Roman" w:cs="Times New Roman"/>
          <w:color w:val="000000" w:themeColor="text1"/>
          <w:sz w:val="24"/>
          <w:szCs w:val="24"/>
        </w:rPr>
        <w:t xml:space="preserve">Possessing </w:t>
      </w:r>
      <w:r w:rsidR="00071431" w:rsidRPr="008C04EC">
        <w:rPr>
          <w:rFonts w:ascii="Times New Roman" w:hAnsi="Times New Roman" w:cs="Times New Roman"/>
          <w:color w:val="000000" w:themeColor="text1"/>
          <w:sz w:val="24"/>
          <w:szCs w:val="24"/>
        </w:rPr>
        <w:t>integrative</w:t>
      </w:r>
      <w:r w:rsidR="00825486" w:rsidRPr="008C04EC">
        <w:rPr>
          <w:rFonts w:ascii="Times New Roman" w:hAnsi="Times New Roman" w:cs="Times New Roman"/>
          <w:color w:val="000000" w:themeColor="text1"/>
          <w:sz w:val="24"/>
          <w:szCs w:val="24"/>
        </w:rPr>
        <w:t xml:space="preserve"> capabilities enables</w:t>
      </w:r>
      <w:r w:rsidR="003B3A40" w:rsidRPr="008C04EC">
        <w:rPr>
          <w:rFonts w:ascii="Times New Roman" w:hAnsi="Times New Roman" w:cs="Times New Roman"/>
          <w:color w:val="000000" w:themeColor="text1"/>
          <w:sz w:val="24"/>
          <w:szCs w:val="24"/>
        </w:rPr>
        <w:t xml:space="preserve"> firms to</w:t>
      </w:r>
      <w:r w:rsidR="009D5F49" w:rsidRPr="008C04EC">
        <w:rPr>
          <w:rFonts w:ascii="Times New Roman" w:hAnsi="Times New Roman" w:cs="Times New Roman"/>
          <w:color w:val="000000" w:themeColor="text1"/>
          <w:sz w:val="24"/>
          <w:szCs w:val="24"/>
        </w:rPr>
        <w:t xml:space="preserve"> absorb knowled</w:t>
      </w:r>
      <w:r w:rsidR="003B3A40" w:rsidRPr="008C04EC">
        <w:rPr>
          <w:rFonts w:ascii="Times New Roman" w:hAnsi="Times New Roman" w:cs="Times New Roman"/>
          <w:color w:val="000000" w:themeColor="text1"/>
          <w:sz w:val="24"/>
          <w:szCs w:val="24"/>
        </w:rPr>
        <w:t xml:space="preserve">ge from supply chain partners as part of a process of continuous learning </w:t>
      </w:r>
      <w:r w:rsidR="003B3A40"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{"citationID":"7S2qUhRZ","properties":{"formattedCitation":"(Wu and Ragatz, 2009)","plainCitation":"(Wu and Ragatz, 2009)","dontUpdate":true,"noteIndex":0},"citationItems":[{"id":4293,"uris":["http://zotero.org/users/3209486/items/UISWFMM9"],"uri":["http://zotero.org/users/3209486/items/UISWFMM9"],"itemData":{"id":4293,"type":"article-journal","title":"The role of integrative capabilities in involving suppliers in New Product Development: a knowledge integration perspective","container-title":"International Journal of Manufacturing Technology and Management","page":"82-101","volume":"19","issue":"1-2","abstract":"Early Supplier Involvement (ESI) aims to facilitate New Product Development (NPD) success and create competitive advantage for the purchasing firm. Unfortunately, empirical results are inconsistent in verifying the linkage between ESI and NPD success. To solve this paradox, this paper views ESI as a knowledge integration process and examines the role of the purchasing firm's integrative capabilities in the process. Competing models are proposed and tested. The results demonstrate that NPD success depends not only on the supplier's knowledge and expertise, but also on the purchasing firm's integrative capabilities to absorb knowledge and increase efficiency of knowledge integration.","DOI":"10.1504/IJMTM.2010.029452","ISSN":"1368-2148","journalAbbreviation":"International Journal of Manufacturing Technology and Management","author":[{"family":"Wu","given":"Sarah Jinhui"},{"family":"Ragatz","given":"Gary L."}],"issued":{"date-parts":[["2009",12,2]]}}}],"schema":"https://github.com/citation-style-language/schema/raw/master/csl-citation.json"} </w:instrText>
      </w:r>
      <w:r w:rsidR="003B3A40"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(Wu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Ragatz, 2009)</w:t>
      </w:r>
      <w:r w:rsidR="003B3A40" w:rsidRPr="008C04EC">
        <w:rPr>
          <w:rFonts w:ascii="Times New Roman" w:hAnsi="Times New Roman" w:cs="Times New Roman"/>
          <w:color w:val="000000" w:themeColor="text1"/>
          <w:sz w:val="24"/>
          <w:szCs w:val="24"/>
        </w:rPr>
        <w:fldChar w:fldCharType="end"/>
      </w:r>
      <w:r w:rsidR="00347F45" w:rsidRPr="008C04EC">
        <w:rPr>
          <w:rFonts w:ascii="Times New Roman" w:hAnsi="Times New Roman" w:cs="Times New Roman"/>
          <w:color w:val="000000" w:themeColor="text1"/>
          <w:sz w:val="24"/>
          <w:szCs w:val="24"/>
        </w:rPr>
        <w:t>.</w:t>
      </w:r>
      <w:r w:rsidR="003B3A40" w:rsidRPr="008C04EC">
        <w:rPr>
          <w:rFonts w:ascii="Times New Roman" w:hAnsi="Times New Roman" w:cs="Times New Roman"/>
          <w:color w:val="000000" w:themeColor="text1"/>
          <w:sz w:val="24"/>
          <w:szCs w:val="24"/>
        </w:rPr>
        <w:t xml:space="preserve"> Integrative capabilities </w:t>
      </w:r>
      <w:r w:rsidR="00347F45" w:rsidRPr="008C04EC">
        <w:rPr>
          <w:rFonts w:ascii="Times New Roman" w:hAnsi="Times New Roman" w:cs="Times New Roman"/>
          <w:color w:val="000000" w:themeColor="text1"/>
          <w:sz w:val="24"/>
          <w:szCs w:val="24"/>
        </w:rPr>
        <w:t>become</w:t>
      </w:r>
      <w:r w:rsidR="003B3A40" w:rsidRPr="008C04EC">
        <w:rPr>
          <w:rFonts w:ascii="Times New Roman" w:hAnsi="Times New Roman" w:cs="Times New Roman"/>
          <w:color w:val="000000" w:themeColor="text1"/>
          <w:sz w:val="24"/>
          <w:szCs w:val="24"/>
        </w:rPr>
        <w:t xml:space="preserve"> dynamic capabilities when the intended use is </w:t>
      </w:r>
      <w:r w:rsidR="000A5D29" w:rsidRPr="008C04EC">
        <w:rPr>
          <w:rFonts w:ascii="Times New Roman" w:hAnsi="Times New Roman" w:cs="Times New Roman"/>
          <w:color w:val="000000" w:themeColor="text1"/>
          <w:sz w:val="24"/>
          <w:szCs w:val="24"/>
        </w:rPr>
        <w:t xml:space="preserve">to stimulate change in the external marketplace, </w:t>
      </w:r>
      <w:r w:rsidR="003B3A40" w:rsidRPr="008C04EC">
        <w:rPr>
          <w:rFonts w:ascii="Times New Roman" w:hAnsi="Times New Roman" w:cs="Times New Roman"/>
          <w:color w:val="000000" w:themeColor="text1"/>
          <w:sz w:val="24"/>
          <w:szCs w:val="24"/>
        </w:rPr>
        <w:t xml:space="preserve">such as during the launch of a new product </w:t>
      </w:r>
      <w:r w:rsidR="00825486" w:rsidRPr="008C04EC">
        <w:rPr>
          <w:rFonts w:ascii="Times New Roman" w:hAnsi="Times New Roman" w:cs="Times New Roman"/>
          <w:color w:val="000000" w:themeColor="text1"/>
          <w:sz w:val="24"/>
          <w:szCs w:val="24"/>
        </w:rPr>
        <w:t>to alter</w:t>
      </w:r>
      <w:r w:rsidR="003B3A40" w:rsidRPr="008C04EC">
        <w:rPr>
          <w:rFonts w:ascii="Times New Roman" w:hAnsi="Times New Roman" w:cs="Times New Roman"/>
          <w:color w:val="000000" w:themeColor="text1"/>
          <w:sz w:val="24"/>
          <w:szCs w:val="24"/>
        </w:rPr>
        <w:t xml:space="preserve"> customer demand </w:t>
      </w:r>
      <w:r w:rsidR="003B3A40" w:rsidRPr="008C04EC">
        <w:rPr>
          <w:rFonts w:ascii="Times New Roman" w:hAnsi="Times New Roman" w:cs="Times New Roman"/>
          <w:color w:val="000000" w:themeColor="text1"/>
          <w:sz w:val="24"/>
          <w:szCs w:val="24"/>
        </w:rPr>
        <w:lastRenderedPageBreak/>
        <w:t xml:space="preserve">patterns </w:t>
      </w:r>
      <w:r w:rsidR="003B3A40" w:rsidRPr="008C04EC">
        <w:rPr>
          <w:rFonts w:ascii="Times New Roman" w:hAnsi="Times New Roman" w:cs="Times New Roman"/>
          <w:color w:val="000000" w:themeColor="text1"/>
          <w:sz w:val="24"/>
          <w:szCs w:val="24"/>
        </w:rPr>
        <w:fldChar w:fldCharType="begin"/>
      </w:r>
      <w:r w:rsidR="00C84D0D">
        <w:rPr>
          <w:rFonts w:ascii="Times New Roman" w:hAnsi="Times New Roman" w:cs="Times New Roman"/>
          <w:color w:val="000000" w:themeColor="text1"/>
          <w:sz w:val="24"/>
          <w:szCs w:val="24"/>
        </w:rPr>
        <w:instrText xml:space="preserve"> ADDIN ZOTERO_ITEM CSL_CITATION {"citationID":"kFdgqBye","properties":{"formattedCitation":"(Gutierrez-Gutierrez et al., 2018; Helfat and Winter, 2011)","plainCitation":"(Gutierrez-Gutierrez et al., 2018; Helfat and Winter, 2011)","noteIndex":0},"citationItems":[{"id":4662,"uris":["http://zotero.org/users/3209486/items/EKJJW72L"],"uri":["http://zotero.org/users/3209486/items/EKJJW72L"],"itemData":{"id":4662,"type":"article-journal","title":"The role of human resource-related quality management practices in new product development","container-title":"International Journal of Operations &amp; Production Management","page":"43-66","volume":"38","issue":"1","archive":"Business Premium Collection","archive_location":"1979163381","abstract":"PurposeThe purpose of this paper is to adopt the dynamic capability (DC) view as a theoretical framework to empirically investigate the relationships among human resource (HR)-related quality management (QM) practices: new product development (NPD) as a specific DC, learning orientation, knowledge integration, and strategic flexibility. Learning orientation and knowledge integration represent two antecedents of strategic flexibility, and strategic flexibility is the developed ability that facilitates NPD.Design/methodology/approachTo empirically test the relationships, the authors used data from 236 European firms and performed structural equation modeling.FindingsResults indicate that HR-related QM practices contribute to creating a learning-oriented company, integrating knowledge, and supporting successful NPD. Furthermore, knowledge integration is positively related to NPD through strategic flexibility.Practical implicationsThis study is relevant for practitioners because it identifies key points in QM implementation that enable firms to be more strategically flexible and thus better able to regularly develop new products.Originality/valueWhen organizations must sustain their competitive positions by continuously adapting to environmental changes, it is important to study not only how QM implementation is positively related to the firm performance on which a significant portion of the QM literature has focused but also to study whether QM implementation is related to strategic variables and can make a contribution to strategic processes. To fill the void in the HR and QM literature, this study offers an integrated framework with empirical support that identifies the role of HR-related QM practices in learning orientation, knowledge integration, strategic flexibility, and NPD.","DOI":"10.1108/IJOPM-07-2016-0387","ISSN":"01443577","language":"English","author":[{"family":"Gutierrez-Gutierrez","given":"Leopoldo J"},{"family":"Barrales-Molina","given":"Vanesa"},{"literal":"Hale Kaynak"}],"issued":{"date-parts":[["2018"]]}}},{"id":1538,"uris":["http://zotero.org/users/3209486/items/FISBNJZ3"],"uri":["http://zotero.org/users/3209486/items/FISBNJZ3"],"itemData":{"id":1538,"type":"article-journal","title":"Untangling Dynamic and Operational Capabilities: Strategy for the (N)ever-Changing World","container-title":"Strategic Management Journal","page":"1243-1250","volume":"32","issue":"11","abstract":"Abstract We explain why the line between dynamic and operational (or ordinary) capabilities is unavoidably blurry, draw implications for capabilities that promote economically important but seemingly gradual change, and provide recommendations for future research that takes these issues into account. Copyright ? 2011 John Wiley &amp; Sons, Ltd.","DOI":"10.1002/smj.955","ISSN":"0143-2095","journalAbbreviation":"Strategic Management Journal","author":[{"family":"Helfat","given":"Constance E."},{"family":"Winter","given":"Sidney G."}],"issued":{"date-parts":[["2011",8,11]]}}}],"schema":"https://github.com/citation-style-language/schema/raw/master/csl-citation.json"} </w:instrText>
      </w:r>
      <w:r w:rsidR="003B3A40" w:rsidRPr="008C04EC">
        <w:rPr>
          <w:rFonts w:ascii="Times New Roman" w:hAnsi="Times New Roman" w:cs="Times New Roman"/>
          <w:color w:val="000000" w:themeColor="text1"/>
          <w:sz w:val="24"/>
          <w:szCs w:val="24"/>
        </w:rPr>
        <w:fldChar w:fldCharType="separate"/>
      </w:r>
      <w:r w:rsidR="00C84D0D" w:rsidRPr="00C84D0D">
        <w:rPr>
          <w:rFonts w:ascii="Times New Roman" w:hAnsi="Times New Roman" w:cs="Times New Roman"/>
          <w:sz w:val="24"/>
        </w:rPr>
        <w:t>(Gutierrez-Gutierrez et al., 2018; Helfat and Winter, 2011)</w:t>
      </w:r>
      <w:r w:rsidR="003B3A40" w:rsidRPr="008C04EC">
        <w:rPr>
          <w:rFonts w:ascii="Times New Roman" w:hAnsi="Times New Roman" w:cs="Times New Roman"/>
          <w:color w:val="000000" w:themeColor="text1"/>
          <w:sz w:val="24"/>
          <w:szCs w:val="24"/>
        </w:rPr>
        <w:fldChar w:fldCharType="end"/>
      </w:r>
      <w:r w:rsidR="00347F45" w:rsidRPr="008C04EC">
        <w:rPr>
          <w:rFonts w:ascii="Times New Roman" w:hAnsi="Times New Roman" w:cs="Times New Roman"/>
          <w:color w:val="000000" w:themeColor="text1"/>
          <w:sz w:val="24"/>
          <w:szCs w:val="24"/>
        </w:rPr>
        <w:t xml:space="preserve">. </w:t>
      </w:r>
      <w:r w:rsidR="005B4DF7" w:rsidRPr="008C04EC">
        <w:rPr>
          <w:rFonts w:ascii="Times New Roman" w:hAnsi="Times New Roman" w:cs="Times New Roman"/>
          <w:color w:val="000000" w:themeColor="text1"/>
          <w:sz w:val="24"/>
          <w:szCs w:val="24"/>
        </w:rPr>
        <w:t>The importance of</w:t>
      </w:r>
      <w:r w:rsidR="003B3A40" w:rsidRPr="008C04EC">
        <w:rPr>
          <w:rFonts w:ascii="Times New Roman" w:hAnsi="Times New Roman" w:cs="Times New Roman"/>
          <w:color w:val="000000" w:themeColor="text1"/>
          <w:sz w:val="24"/>
          <w:szCs w:val="24"/>
        </w:rPr>
        <w:t xml:space="preserve"> </w:t>
      </w:r>
      <w:r w:rsidR="00A04F37" w:rsidRPr="008C04EC">
        <w:rPr>
          <w:rFonts w:ascii="Times New Roman" w:hAnsi="Times New Roman" w:cs="Times New Roman"/>
          <w:color w:val="000000" w:themeColor="text1"/>
          <w:sz w:val="24"/>
          <w:szCs w:val="24"/>
        </w:rPr>
        <w:t xml:space="preserve">integrating suppliers </w:t>
      </w:r>
      <w:r w:rsidR="00B448F8" w:rsidRPr="008C04EC">
        <w:rPr>
          <w:rFonts w:ascii="Times New Roman" w:hAnsi="Times New Roman" w:cs="Times New Roman"/>
          <w:color w:val="000000" w:themeColor="text1"/>
          <w:sz w:val="24"/>
          <w:szCs w:val="24"/>
        </w:rPr>
        <w:t>as part of a</w:t>
      </w:r>
      <w:r w:rsidR="003B3A40" w:rsidRPr="008C04EC">
        <w:rPr>
          <w:rFonts w:ascii="Times New Roman" w:hAnsi="Times New Roman" w:cs="Times New Roman"/>
          <w:color w:val="000000" w:themeColor="text1"/>
          <w:sz w:val="24"/>
          <w:szCs w:val="24"/>
        </w:rPr>
        <w:t xml:space="preserve"> coordinated response to marketplace shifts</w:t>
      </w:r>
      <w:r w:rsidR="005B4DF7" w:rsidRPr="008C04EC">
        <w:rPr>
          <w:rFonts w:ascii="Times New Roman" w:hAnsi="Times New Roman" w:cs="Times New Roman"/>
          <w:color w:val="000000" w:themeColor="text1"/>
          <w:sz w:val="24"/>
          <w:szCs w:val="24"/>
        </w:rPr>
        <w:t xml:space="preserve"> </w:t>
      </w:r>
      <w:r w:rsidR="003B3A40" w:rsidRPr="008C04EC">
        <w:rPr>
          <w:rFonts w:ascii="Times New Roman" w:hAnsi="Times New Roman" w:cs="Times New Roman"/>
          <w:color w:val="000000" w:themeColor="text1"/>
          <w:sz w:val="24"/>
          <w:szCs w:val="24"/>
        </w:rPr>
        <w:t xml:space="preserve">is discussed </w:t>
      </w:r>
      <w:r w:rsidR="005B4DF7" w:rsidRPr="008C04EC">
        <w:rPr>
          <w:rFonts w:ascii="Times New Roman" w:hAnsi="Times New Roman" w:cs="Times New Roman"/>
          <w:color w:val="000000" w:themeColor="text1"/>
          <w:sz w:val="24"/>
          <w:szCs w:val="24"/>
        </w:rPr>
        <w:t>in</w:t>
      </w:r>
      <w:r w:rsidR="0088195D">
        <w:rPr>
          <w:rFonts w:ascii="Times New Roman" w:hAnsi="Times New Roman" w:cs="Times New Roman"/>
          <w:color w:val="000000" w:themeColor="text1"/>
          <w:sz w:val="24"/>
          <w:szCs w:val="24"/>
        </w:rPr>
        <w:t xml:space="preserve"> an</w:t>
      </w:r>
      <w:r w:rsidR="005B4DF7" w:rsidRPr="008C04EC">
        <w:rPr>
          <w:rFonts w:ascii="Times New Roman" w:hAnsi="Times New Roman" w:cs="Times New Roman"/>
          <w:color w:val="000000" w:themeColor="text1"/>
          <w:sz w:val="24"/>
          <w:szCs w:val="24"/>
        </w:rPr>
        <w:t xml:space="preserve"> </w:t>
      </w:r>
      <w:r w:rsidR="003B3A40" w:rsidRPr="008C04EC">
        <w:rPr>
          <w:rFonts w:ascii="Times New Roman" w:hAnsi="Times New Roman" w:cs="Times New Roman"/>
          <w:color w:val="000000" w:themeColor="text1"/>
          <w:sz w:val="24"/>
          <w:szCs w:val="24"/>
        </w:rPr>
        <w:t>emergent</w:t>
      </w:r>
      <w:r w:rsidR="005B4DF7" w:rsidRPr="008C04EC">
        <w:rPr>
          <w:rFonts w:ascii="Times New Roman" w:hAnsi="Times New Roman" w:cs="Times New Roman"/>
          <w:color w:val="000000" w:themeColor="text1"/>
          <w:sz w:val="24"/>
          <w:szCs w:val="24"/>
        </w:rPr>
        <w:t xml:space="preserve"> literature on dynamic </w:t>
      </w:r>
      <w:r w:rsidR="003B3A40" w:rsidRPr="008C04EC">
        <w:rPr>
          <w:rFonts w:ascii="Times New Roman" w:hAnsi="Times New Roman" w:cs="Times New Roman"/>
          <w:color w:val="000000" w:themeColor="text1"/>
          <w:sz w:val="24"/>
          <w:szCs w:val="24"/>
        </w:rPr>
        <w:t>s</w:t>
      </w:r>
      <w:r w:rsidR="005B4DF7" w:rsidRPr="008C04EC">
        <w:rPr>
          <w:rFonts w:ascii="Times New Roman" w:hAnsi="Times New Roman" w:cs="Times New Roman"/>
          <w:color w:val="000000" w:themeColor="text1"/>
          <w:sz w:val="24"/>
          <w:szCs w:val="24"/>
        </w:rPr>
        <w:t>upply chain capabilities</w:t>
      </w:r>
      <w:r w:rsidR="003B3A40" w:rsidRPr="008C04EC">
        <w:rPr>
          <w:rFonts w:ascii="Times New Roman" w:hAnsi="Times New Roman" w:cs="Times New Roman"/>
          <w:color w:val="000000" w:themeColor="text1"/>
          <w:sz w:val="24"/>
          <w:szCs w:val="24"/>
        </w:rPr>
        <w:t xml:space="preserve"> </w:t>
      </w:r>
      <w:r w:rsidR="003B3A40"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{"citationID":"EcXWB6rZ","properties":{"formattedCitation":"(Aslam et al., 2018; Defee and Fugate, 2010; Dubey et al., 2017; Swafford et al., 2006)","plainCitation":"(Aslam et al., 2018; Defee and Fugate, 2010; Dubey et al., 2017; Swafford et al., 2006)","dontUpdate":true,"noteIndex":0},"citationItems":[{"id":1677,"uris":["http://zotero.org/users/3209486/items/QXLGUB6Z"],"uri":["http://zotero.org/users/3209486/items/QXLGUB6Z"],"itemData":{"id":1677,"type":"article-journal","title":"Dynamic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M."}],"issued":{"date-parts":[["2018"]]}}},{"id":185,"uris":["http://zotero.org/users/3209486/items/SF9GA4SV"],"uri":["http://zotero.org/users/3209486/items/SF9GA4SV"],"itemData":{"id":185,"type":"article-journal","title":"Changing perspective of capabilities in the dynamic supply chain era","container-title":"International Journal of Logistics Management","page":"180-206","volume":"21","issue":"2","abstract":"Purpose - A review of the literature reveals that previous research on capabilities has been limited to static capabilities and have largely been firm-centric, which neglect today's evolving supply chain environment. To address this shortcoming, this paper aims to explore dynamic supply chain capabilities (DSCCS) as a path to achieving sustainable competitive advantage. Design/methodology/approach - Logistics and supply chain literature is reviewed to provide a foundation for introducing a model of DSCCS driving competitive advantage. Propositions for future research are presented based upon the theoretical model. Findings - The need to continuously renew boundary spanning supply chain capabilities may be facilitated by the presence of a supply chain orientation and a learning orientation found across the multiple partners. Research limitations/implications - Supply chain organizations exist in a continually evolving environment with the best-performing firms often being characterized as agile and continually improving. The dynamic capabilities perspective provides a theoretical foundation that may be used to better understand and predict the success of supply chain firms. The work presented here is conceptual and empirical examination of the propositions should occur before any broad generalization can be drawn. Practical implications - Long-term organizational success may be facilitated by continuous renewal and creation of new static capabilities through the use of DSCCS. Originality/value - The paper demonstrates that dynamic capabilities may be extended beyond the traditional single-firm view to exist across the relationships developed by multiple organizations in a supply chain. [PUBLICATION ABSTRACT]","ISSN":"09574093","author":[{"family":"Defee","given":"C. Clifford"},{"family":"Fugate","given":"Brian S."}],"issued":{"date-parts":[["2010"]]}}},{"id":1736,"uris":["http://zotero.org/users/3209486/items/ECVJDFAZ"],"uri":["http://zotero.org/users/3209486/items/ECVJDFAZ"],"itemData":{"id":1736,"type":"article-journal","title":"Supply chain agility, adaptability and alignment: Empirical evidence from the Indian auto components industry","container-title":"International Journal of Operations &amp; Production Management","page":"129-148","volume":"38","issue":"1","abstract":"Purpose The purpose of this paper is to examine when and how organizations create agility, adaptability, and alignment as distinct supply chain properties to gain sustainable competitive advantage. Design/methodology/approach The current study utilizes the resource-based view (RBV) under the moderating effect of top management commitment (TMC). To test the research hypotheses, the authors gathered 351 usable responses using a pre-tested questionnaire. Findings The statistical analyses suggest that information sharing and supply chain connectivity resources influence supply chain visibility capability, which, under the moderating effect of TMC, enhance supply chain agility, adaptability, and alignment (SCAAA). Originality/value The contribution lies in: providing a holistic study of the antecedents of agility, adaptability, and alignment; investigating the moderating role of TMC on SCAAA; following the RBV and addressing calls for investigating the role of resources in supply chain management, and for empirical studies with implications for supply chain design.","DOI":"10.1108/IJOPM-04-2016-0173","ISSN":"0144-3577","journalAbbreviation":"Int Jrnl of Op &amp; Prod Mnagemnt","author":[{"family":"Dubey","given":"Rameshwar"},{"family":"Altay","given":"Nezih"},{"family":"Gunasekaran","given":"Angappa"},{"family":"Blome","given":"Constantin"},{"family":"Papadopoulos","given":"Thanos"},{"family":"Childe","given":"Stephen J."}],"issued":{"date-parts":[["2017",11,23]]}}},{"id":1407,"uris":["http://zotero.org/users/3209486/items/MJT4TQNQ"],"uri":["http://zotero.org/users/3209486/items/MJT4TQNQ"],"itemData":{"id":1407,"type":"article-journal","title":"The antecedents of supply chain agility of a firm: Scale development and model testing","container-title":"Journal of Operations Management","page":"170-188","volume":"24","issue":"2","abstract":"In a constantly changing global competitive environment, an organization's supply chain agility directly impacts its ability to produce, and deliver innovative products to their customers in a timely and cost effective manner. While the beneficial impact of supply chain agility is generally acknowledged, very little research exists to date addressing how an organization can achieve supply chain agility. This study first presents a framework of an organization's supply chain process flexibilities as an important antecedent of its supply chain agility, and then establishes the key factors that determine the flexibility attributes of the three critical processes of the supply chain—procurement/sourcing, manufacturing, and distribution/logistics. Using empirical data, we develop flexibility and agility scales related to our supply chain agility model, and then test the model. Findings reveal that supply chain agility of a firm is directly and positively impacted by the degree of flexibility present in the manufacturing and procurement/sourcing processes of the supply chain; while it is indirectly impacted by the level of flexibility within its distribution/logistics process. The results also support our view that a firm's supply chain agility is impacted by the synergy among the three process flexibilities in its internal supply chain.","DOI":"10.1016/j.jom.2005.05.002","ISSN":"0272-6963","journalAbbreviation":"Journal of Operations Management","author":[{"family":"Swafford","given":"Patricia M."},{"family":"Ghosh","given":"Soumen"},{"family":"Murthy","given":"Nagesh"}],"issued":{"date-parts":[["2006",1]]}}}],"schema":"https://github.com/citation-style-language/schema/raw/master/csl-citation.json"} </w:instrText>
      </w:r>
      <w:r w:rsidR="003B3A40"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(Aslam et al., 2018; Defee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Fugate, 2010; Dubey et al., 2017; Swafford et al., 2006)</w:t>
      </w:r>
      <w:r w:rsidR="003B3A40" w:rsidRPr="008C04EC">
        <w:rPr>
          <w:rFonts w:ascii="Times New Roman" w:hAnsi="Times New Roman" w:cs="Times New Roman"/>
          <w:color w:val="000000" w:themeColor="text1"/>
          <w:sz w:val="24"/>
          <w:szCs w:val="24"/>
        </w:rPr>
        <w:fldChar w:fldCharType="end"/>
      </w:r>
      <w:r w:rsidR="003B3A40" w:rsidRPr="008C04EC">
        <w:rPr>
          <w:rFonts w:ascii="Times New Roman" w:hAnsi="Times New Roman" w:cs="Times New Roman"/>
          <w:color w:val="000000" w:themeColor="text1"/>
          <w:sz w:val="24"/>
          <w:szCs w:val="24"/>
        </w:rPr>
        <w:t xml:space="preserve">. </w:t>
      </w:r>
    </w:p>
    <w:p w14:paraId="0C929C7C" w14:textId="77777777" w:rsidR="00734E67" w:rsidRPr="00734E67" w:rsidRDefault="00734E67" w:rsidP="00734E67">
      <w:pPr>
        <w:spacing w:after="0" w:line="480" w:lineRule="auto"/>
        <w:ind w:firstLine="567"/>
        <w:jc w:val="both"/>
        <w:rPr>
          <w:rFonts w:ascii="Times New Roman" w:hAnsi="Times New Roman" w:cs="Times New Roman"/>
          <w:color w:val="000000" w:themeColor="text1"/>
          <w:sz w:val="24"/>
          <w:szCs w:val="24"/>
        </w:rPr>
      </w:pPr>
    </w:p>
    <w:p w14:paraId="51E63D84" w14:textId="59ABD6BC" w:rsidR="000A5D29" w:rsidRPr="008C04EC" w:rsidRDefault="000A5D29" w:rsidP="000A5D29">
      <w:pPr>
        <w:spacing w:after="0" w:line="480" w:lineRule="auto"/>
        <w:jc w:val="both"/>
        <w:rPr>
          <w:rFonts w:ascii="Times New Roman" w:hAnsi="Times New Roman" w:cs="Times New Roman"/>
          <w:b/>
          <w:i/>
          <w:color w:val="000000" w:themeColor="text1"/>
          <w:sz w:val="24"/>
          <w:szCs w:val="24"/>
        </w:rPr>
      </w:pPr>
      <w:r w:rsidRPr="008C04EC">
        <w:rPr>
          <w:rFonts w:ascii="Times New Roman" w:hAnsi="Times New Roman" w:cs="Times New Roman"/>
          <w:b/>
          <w:i/>
          <w:color w:val="000000" w:themeColor="text1"/>
          <w:sz w:val="24"/>
          <w:szCs w:val="24"/>
        </w:rPr>
        <w:t>2.2 Dynamic Supply Chain Capabilities</w:t>
      </w:r>
    </w:p>
    <w:p w14:paraId="3D64C9DD" w14:textId="30696814" w:rsidR="002A5748" w:rsidRPr="008C04EC" w:rsidRDefault="000A5D29" w:rsidP="000A5D29">
      <w:pPr>
        <w:spacing w:after="0" w:line="480" w:lineRule="auto"/>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 xml:space="preserve">An influential paper by </w:t>
      </w:r>
      <w:r w:rsidR="002E4282" w:rsidRPr="008C04EC">
        <w:rPr>
          <w:rFonts w:ascii="Times New Roman" w:hAnsi="Times New Roman" w:cs="Times New Roman"/>
          <w:color w:val="000000" w:themeColor="text1"/>
          <w:sz w:val="24"/>
          <w:szCs w:val="24"/>
        </w:rPr>
        <w:t xml:space="preserve">Lee </w:t>
      </w:r>
      <w:r w:rsidR="002E4282" w:rsidRPr="008C04EC">
        <w:rPr>
          <w:rFonts w:ascii="Times New Roman" w:hAnsi="Times New Roman" w:cs="Times New Roman"/>
          <w:color w:val="000000" w:themeColor="text1"/>
          <w:sz w:val="24"/>
          <w:szCs w:val="24"/>
        </w:rPr>
        <w:fldChar w:fldCharType="begin"/>
      </w:r>
      <w:r w:rsidR="002E4282" w:rsidRPr="008C04EC">
        <w:rPr>
          <w:rFonts w:ascii="Times New Roman" w:hAnsi="Times New Roman" w:cs="Times New Roman"/>
          <w:color w:val="000000" w:themeColor="text1"/>
          <w:sz w:val="24"/>
          <w:szCs w:val="24"/>
        </w:rPr>
        <w:instrText xml:space="preserve"> ADDIN ZOTERO_ITEM CSL_CITATION {"citationID":"3mi9l4Wb","properties":{"formattedCitation":"(2004)","plainCitation":"(2004)","noteIndex":0},"citationItems":[{"id":771,"uris":["http://zotero.org/users/3209486/items/A3W5KAIU"],"uri":["http://zotero.org/users/3209486/items/A3W5KAIU"],"itemData":{"id":771,"type":"article-journal","title":"The triple-A supply chain","container-title":"Harvard Business Review","page":"102-112","volume":"82","issue":"10","author":[{"family":"Lee","given":"Hau"}],"issued":{"date-parts":[["2004"]]}},"suppress-author":true}],"schema":"https://github.com/citation-style-language/schema/raw/master/csl-citation.json"} </w:instrText>
      </w:r>
      <w:r w:rsidR="002E4282"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(2004)</w:t>
      </w:r>
      <w:r w:rsidR="002E4282" w:rsidRPr="008C04EC">
        <w:rPr>
          <w:rFonts w:ascii="Times New Roman" w:hAnsi="Times New Roman" w:cs="Times New Roman"/>
          <w:color w:val="000000" w:themeColor="text1"/>
          <w:sz w:val="24"/>
          <w:szCs w:val="24"/>
        </w:rPr>
        <w:fldChar w:fldCharType="end"/>
      </w:r>
      <w:r w:rsidR="002E4282" w:rsidRPr="008C04EC">
        <w:rPr>
          <w:rFonts w:ascii="Times New Roman" w:hAnsi="Times New Roman" w:cs="Times New Roman"/>
          <w:color w:val="000000" w:themeColor="text1"/>
          <w:sz w:val="24"/>
          <w:szCs w:val="24"/>
        </w:rPr>
        <w:t xml:space="preserve"> argue</w:t>
      </w:r>
      <w:r w:rsidRPr="008C04EC">
        <w:rPr>
          <w:rFonts w:ascii="Times New Roman" w:hAnsi="Times New Roman" w:cs="Times New Roman"/>
          <w:color w:val="000000" w:themeColor="text1"/>
          <w:sz w:val="24"/>
          <w:szCs w:val="24"/>
        </w:rPr>
        <w:t>d</w:t>
      </w:r>
      <w:r w:rsidR="002E4282" w:rsidRPr="008C04EC">
        <w:rPr>
          <w:rFonts w:ascii="Times New Roman" w:hAnsi="Times New Roman" w:cs="Times New Roman"/>
          <w:color w:val="000000" w:themeColor="text1"/>
          <w:sz w:val="24"/>
          <w:szCs w:val="24"/>
        </w:rPr>
        <w:t xml:space="preserve"> that successful companies are those that have agile supply chains that can rapidly respond to short-term </w:t>
      </w:r>
      <w:r w:rsidR="002A5748" w:rsidRPr="008C04EC">
        <w:rPr>
          <w:rFonts w:ascii="Times New Roman" w:hAnsi="Times New Roman" w:cs="Times New Roman"/>
          <w:color w:val="000000" w:themeColor="text1"/>
          <w:sz w:val="24"/>
          <w:szCs w:val="24"/>
        </w:rPr>
        <w:t xml:space="preserve">demand </w:t>
      </w:r>
      <w:r w:rsidR="002E4282" w:rsidRPr="008C04EC">
        <w:rPr>
          <w:rFonts w:ascii="Times New Roman" w:hAnsi="Times New Roman" w:cs="Times New Roman"/>
          <w:color w:val="000000" w:themeColor="text1"/>
          <w:sz w:val="24"/>
          <w:szCs w:val="24"/>
        </w:rPr>
        <w:t xml:space="preserve">changes as well as adaptable supply chains that can be reconfigured to address long-term marketplace alterations. </w:t>
      </w:r>
      <w:r w:rsidR="0019689D" w:rsidRPr="008C04EC">
        <w:rPr>
          <w:rFonts w:ascii="Times New Roman" w:hAnsi="Times New Roman" w:cs="Times New Roman"/>
          <w:color w:val="000000" w:themeColor="text1"/>
          <w:sz w:val="24"/>
          <w:szCs w:val="24"/>
        </w:rPr>
        <w:t xml:space="preserve">Agility is characterized by flexibility and responsiveness and spans organisational structures, processes, and managerial mindsets </w:t>
      </w:r>
      <w:r w:rsidR="0019689D"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{"citationID":"CM8hHEZ3","properties":{"formattedCitation":"(Blome et al., 2013; Christopher and Towill, 2000)","plainCitation":"(Blome et al., 2013; Christopher and Towill, 2000)","dontUpdate":true,"noteIndex":0},"citationItems":[{"id":992,"uris":["http://zotero.org/users/3209486/items/MBQFT3RW"],"uri":["http://zotero.org/users/3209486/items/MBQFT3RW"],"itemData":{"id":992,"type":"article-journal","title":"Antecedents and enablers of supply chain agility and its effect on performance: a dynamic capabilities perspective.","container-title":"International Journal of Production Research","page":"1295-1318","volume":"51","issue":"4","source":"EBSCOhost","archive":"buh","abstract":"This paper investigates the fundamental building blocks of supply chain agility, which are conceptualised as supply- and demand-side competence. While the former refers to production and supply management related activities, the latter refers to distribution and demand management related activities. The model further assesses the influence of supply chain agility on operational performance, as well as its mediating role in the relationship between supply- and demand-side competence and performance. Within this framework, process compliance, i.e. how well supply chain management processes are internally executed by the firm's employees, is viewed as an enabler (moderator) on the relationship between supply chain competencies and supply chain agility. Theoretical substantiation is provided by the resource-based view of the firm augmented with the dynamic capabilities perspective. The model is tested with data from 121 supply chain management professionals. Implications for both academic theory development and supply chain and production management practice are provided. [ABSTRACT FROM PUBLISHER]","ISSN":"00207543","journalAbbreviation":"International Journal of Production Research","author":[{"family":"Blome","given":"Constantin"},{"family":"Schoenherr","given":"Tobias"},{"family":"Rexhausen","given":"Daniel"}],"issued":{"date-parts":[["2013",2,15]]}}},{"id":1243,"uris":["http://zotero.org/users/3209486/items/T6S2PJVS"],"uri":["http://zotero.org/users/3209486/items/T6S2PJVS"],"itemData":{"id":1243,"type":"article-journal","title":"Supply chain migration from lean and functional to agile and customised","container-title":"Supply Chain Management: An International Journal","page":"206-213","volume":"5","issue":"4","abstract":"Shows how the lean and agile paradigms may be selected according to marketplace requirements. These are distinctly different, since in the first case the market winner is cost, whereas in the second case the market winner is availability. Agile supply chains are required to be market sensitive and hence nimble. This means that the definition of waste is different from that appropriate to lean supply. The proper location of decoupling points for material flow and information flow enable a hybrid supply chain to be engineered. This encourages lean (efficient) supply upstream and agile (effective) supply downstream, thus bringing together the best of both paradigms. The paper concludes by proposing a cyclic migratory model which describes the PC supply chain attributes during its evolution from traditional to its present customised ?leagile? operation.","DOI":"10.1108/13598540010347334","ISSN":"1359-8546","journalAbbreviation":"Supp Chain Mnagmnt","author":[{"family":"Christopher","given":"Martin"},{"family":"Towill","given":"Denis R."}],"issued":{"date-parts":[["2000",10,1]]}}}],"schema":"https://github.com/citation-style-language/schema/raw/master/csl-citation.json"} </w:instrText>
      </w:r>
      <w:r w:rsidR="0019689D"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(Blome et al., 2013; Christopher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Towill, 2000)</w:t>
      </w:r>
      <w:r w:rsidR="0019689D" w:rsidRPr="008C04EC">
        <w:rPr>
          <w:rFonts w:ascii="Times New Roman" w:hAnsi="Times New Roman" w:cs="Times New Roman"/>
          <w:color w:val="000000" w:themeColor="text1"/>
          <w:sz w:val="24"/>
          <w:szCs w:val="24"/>
        </w:rPr>
        <w:fldChar w:fldCharType="end"/>
      </w:r>
      <w:r w:rsidR="0019689D" w:rsidRPr="008C04EC">
        <w:rPr>
          <w:rFonts w:ascii="Times New Roman" w:hAnsi="Times New Roman" w:cs="Times New Roman"/>
          <w:color w:val="000000" w:themeColor="text1"/>
          <w:sz w:val="24"/>
          <w:szCs w:val="24"/>
        </w:rPr>
        <w:t>. Suppl</w:t>
      </w:r>
      <w:r w:rsidR="002A5748" w:rsidRPr="008C04EC">
        <w:rPr>
          <w:rFonts w:ascii="Times New Roman" w:hAnsi="Times New Roman" w:cs="Times New Roman"/>
          <w:color w:val="000000" w:themeColor="text1"/>
          <w:sz w:val="24"/>
          <w:szCs w:val="24"/>
        </w:rPr>
        <w:t>y chain agility therefore extends</w:t>
      </w:r>
      <w:r w:rsidR="0019689D" w:rsidRPr="008C04EC">
        <w:rPr>
          <w:rFonts w:ascii="Times New Roman" w:hAnsi="Times New Roman" w:cs="Times New Roman"/>
          <w:color w:val="000000" w:themeColor="text1"/>
          <w:sz w:val="24"/>
          <w:szCs w:val="24"/>
        </w:rPr>
        <w:t xml:space="preserve"> beyond firm boundaries and requires alignment with customer</w:t>
      </w:r>
      <w:r w:rsidR="008B06DF">
        <w:rPr>
          <w:rFonts w:ascii="Times New Roman" w:hAnsi="Times New Roman" w:cs="Times New Roman"/>
          <w:color w:val="000000" w:themeColor="text1"/>
          <w:sz w:val="24"/>
          <w:szCs w:val="24"/>
        </w:rPr>
        <w:t>s</w:t>
      </w:r>
      <w:r w:rsidR="0019689D" w:rsidRPr="008C04EC">
        <w:rPr>
          <w:rFonts w:ascii="Times New Roman" w:hAnsi="Times New Roman" w:cs="Times New Roman"/>
          <w:color w:val="000000" w:themeColor="text1"/>
          <w:sz w:val="24"/>
          <w:szCs w:val="24"/>
        </w:rPr>
        <w:t xml:space="preserve"> and suppliers </w:t>
      </w:r>
      <w:r w:rsidR="0019689D"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{"citationID":"g67SoDZh","properties":{"formattedCitation":"(Blome et al., 2013; Braunscheidel and Suresh, 2009)","plainCitation":"(Blome et al., 2013; Braunscheidel and Suresh, 2009)","dontUpdate":true,"noteIndex":0},"citationItems":[{"id":992,"uris":["http://zotero.org/users/3209486/items/MBQFT3RW"],"uri":["http://zotero.org/users/3209486/items/MBQFT3RW"],"itemData":{"id":992,"type":"article-journal","title":"Antecedents and enablers of supply chain agility and its effect on performance: a dynamic capabilities perspective.","container-title":"International Journal of Production Research","page":"1295-1318","volume":"51","issue":"4","source":"EBSCOhost","archive":"buh","abstract":"This paper investigates the fundamental building blocks of supply chain agility, which are conceptualised as supply- and demand-side competence. While the former refers to production and supply management related activities, the latter refers to distribution and demand management related activities. The model further assesses the influence of supply chain agility on operational performance, as well as its mediating role in the relationship between supply- and demand-side competence and performance. Within this framework, process compliance, i.e. how well supply chain management processes are internally executed by the firm's employees, is viewed as an enabler (moderator) on the relationship between supply chain competencies and supply chain agility. Theoretical substantiation is provided by the resource-based view of the firm augmented with the dynamic capabilities perspective. The model is tested with data from 121 supply chain management professionals. Implications for both academic theory development and supply chain and production management practice are provided. [ABSTRACT FROM PUBLISHER]","ISSN":"00207543","journalAbbreviation":"International Journal of Production Research","author":[{"family":"Blome","given":"Constantin"},{"family":"Schoenherr","given":"Tobias"},{"family":"Rexhausen","given":"Daniel"}],"issued":{"date-parts":[["2013",2,15]]}}},{"id":1219,"uris":["http://zotero.org/users/3209486/items/RKEEBXBG"],"uri":["http://zotero.org/users/3209486/items/RKEEBXBG"],"itemData":{"id":1219,"type":"article-journal","title":"The organizational antecedents of a firm’s supply chain agility for risk mitigation and response","container-title":"Journal of Operations Management","page":"119-140","volume":"27","issue":"2","abstract":"Today’s marketplace is characterized by intense competitive pressures as well as high levels of turbulence and uncertainty. Organizations require agility in their supply chains to provide superior value as well as to manage disruption risks and ensure uninterrupted service to customers. Thus the cultivation of agility is approached as a risk management initiative that enables a firm to respond rapidly to marketplace changes, as well as anticipated and actual disruptions in the supply chain. Agility is of value for both risk mitigation and response.\n\nThis research investigates the impact of two cultural antecedents, market orientation and learning orientation, and three organizational practices, all aimed at augmenting the supply chain agility of a firm. A firm’s supply chain agility (FSCA) is defined as the capability of the firm, both internally and in conjunction with its key suppliers and customers, to adapt or respond in a speedy manner to marketplace changes as well as to potential and actual disruptions, contributing to the agility of the extended supply chain.\n\nThe two cultural antecedents of market and learning orientations are posited to affect the organizational practices of internal integration, external integration with key suppliers and customers, and external flexibility, and eventually impact the firm’s supply chain agility. The external flexibility elements considered are volume and mix flexibility. In addition, the specific organizational characteristics and practices exhibited by firms with high levels of supply chain agility are also investigated.\n\nThrough the use of the structural equation modeling technique, partial least squares (PLS), it is shown that strong linkages exist among the cultural antecedents, the three organizational practices considered, and the firm’s supply chain agility. All three organizational practices, internal integration, external integration with key suppliers and customers, and external flexibility are shown to have significant positive impact on the firm’s supply chain agility.\n\nMarket orientation is shown to significantly impact both internal and external supply chain integration, along with the two elements of external flexibility. Learning orientation, on the other hand, is shown to have a strong and direct influence only on the level of internal integration. Firms with high levels of external integration are also shown to have high levels of internal integration, consistent with past research. Internal and external integration efforts are also seen to be unrelated to the levels of external flexibility present. The results serve to establish a set of key drivers for augmenting supply chain agility as a risk management initiative.","DOI":"10.1016/j.jom.2008.09.006","ISSN":"0272-6963","journalAbbreviation":"Journal of Operations Management","author":[{"family":"Braunscheidel","given":"Michael J."},{"family":"Suresh","given":"Nallan C."}],"issued":{"date-parts":[["2009",4]]}}}],"schema":"https://github.com/citation-style-language/schema/raw/master/csl-citation.json"} </w:instrText>
      </w:r>
      <w:r w:rsidR="0019689D"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(Blome et al., 2013; Braunscheidel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Suresh, 2009)</w:t>
      </w:r>
      <w:r w:rsidR="0019689D" w:rsidRPr="008C04EC">
        <w:rPr>
          <w:rFonts w:ascii="Times New Roman" w:hAnsi="Times New Roman" w:cs="Times New Roman"/>
          <w:color w:val="000000" w:themeColor="text1"/>
          <w:sz w:val="24"/>
          <w:szCs w:val="24"/>
        </w:rPr>
        <w:fldChar w:fldCharType="end"/>
      </w:r>
      <w:r w:rsidR="0019689D" w:rsidRPr="008C04EC">
        <w:rPr>
          <w:rFonts w:ascii="Times New Roman" w:hAnsi="Times New Roman" w:cs="Times New Roman"/>
          <w:color w:val="000000" w:themeColor="text1"/>
          <w:sz w:val="24"/>
          <w:szCs w:val="24"/>
        </w:rPr>
        <w:t xml:space="preserve">. </w:t>
      </w:r>
      <w:r w:rsidR="000334A5" w:rsidRPr="008C04EC">
        <w:rPr>
          <w:rFonts w:ascii="Times New Roman" w:hAnsi="Times New Roman" w:cs="Times New Roman"/>
          <w:color w:val="000000" w:themeColor="text1"/>
          <w:sz w:val="24"/>
          <w:szCs w:val="24"/>
        </w:rPr>
        <w:t xml:space="preserve">Swafford et al. </w:t>
      </w:r>
      <w:r w:rsidR="000334A5" w:rsidRPr="008C04EC">
        <w:rPr>
          <w:rFonts w:ascii="Times New Roman" w:hAnsi="Times New Roman" w:cs="Times New Roman"/>
          <w:color w:val="000000" w:themeColor="text1"/>
          <w:sz w:val="24"/>
          <w:szCs w:val="24"/>
        </w:rPr>
        <w:fldChar w:fldCharType="begin"/>
      </w:r>
      <w:r w:rsidR="000334A5" w:rsidRPr="008C04EC">
        <w:rPr>
          <w:rFonts w:ascii="Times New Roman" w:hAnsi="Times New Roman" w:cs="Times New Roman"/>
          <w:color w:val="000000" w:themeColor="text1"/>
          <w:sz w:val="24"/>
          <w:szCs w:val="24"/>
        </w:rPr>
        <w:instrText xml:space="preserve"> ADDIN ZOTERO_ITEM CSL_CITATION {"citationID":"P4xpDgLo","properties":{"formattedCitation":"(2006)","plainCitation":"(2006)","noteIndex":0},"citationItems":[{"id":1407,"uris":["http://zotero.org/users/3209486/items/MJT4TQNQ"],"uri":["http://zotero.org/users/3209486/items/MJT4TQNQ"],"itemData":{"id":1407,"type":"article-journal","title":"The antecedents of supply chain agility of a firm: Scale development and model testing","container-title":"Journal of Operations Management","page":"170-188","volume":"24","issue":"2","abstract":"In a constantly changing global competitive environment, an organization's supply chain agility directly impacts its ability to produce, and deliver innovative products to their customers in a timely and cost effective manner. While the beneficial impact of supply chain agility is generally acknowledged, very little research exists to date addressing how an organization can achieve supply chain agility. This study first presents a framework of an organization's supply chain process flexibilities as an important antecedent of its supply chain agility, and then establishes the key factors that determine the flexibility attributes of the three critical processes of the supply chain—procurement/sourcing, manufacturing, and distribution/logistics. Using empirical data, we develop flexibility and agility scales related to our supply chain agility model, and then test the model. Findings reveal that supply chain agility of a firm is directly and positively impacted by the degree of flexibility present in the manufacturing and procurement/sourcing processes of the supply chain; while it is indirectly impacted by the level of flexibility within its distribution/logistics process. The results also support our view that a firm's supply chain agility is impacted by the synergy among the three process flexibilities in its internal supply chain.","DOI":"10.1016/j.jom.2005.05.002","ISSN":"0272-6963","journalAbbreviation":"Journal of Operations Management","author":[{"family":"Swafford","given":"Patricia M."},{"family":"Ghosh","given":"Soumen"},{"family":"Murthy","given":"Nagesh"}],"issued":{"date-parts":[["2006",1]]}},"suppress-author":true}],"schema":"https://github.com/citation-style-language/schema/raw/master/csl-citation.json"} </w:instrText>
      </w:r>
      <w:r w:rsidR="000334A5"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(2006)</w:t>
      </w:r>
      <w:r w:rsidR="000334A5" w:rsidRPr="008C04EC">
        <w:rPr>
          <w:rFonts w:ascii="Times New Roman" w:hAnsi="Times New Roman" w:cs="Times New Roman"/>
          <w:color w:val="000000" w:themeColor="text1"/>
          <w:sz w:val="24"/>
          <w:szCs w:val="24"/>
        </w:rPr>
        <w:fldChar w:fldCharType="end"/>
      </w:r>
      <w:r w:rsidR="000334A5" w:rsidRPr="008C04EC">
        <w:rPr>
          <w:rFonts w:ascii="Times New Roman" w:hAnsi="Times New Roman" w:cs="Times New Roman"/>
          <w:color w:val="000000" w:themeColor="text1"/>
          <w:sz w:val="24"/>
          <w:szCs w:val="24"/>
        </w:rPr>
        <w:t xml:space="preserve"> suggest</w:t>
      </w:r>
      <w:r w:rsidR="00B448F8" w:rsidRPr="008C04EC">
        <w:rPr>
          <w:rFonts w:ascii="Times New Roman" w:hAnsi="Times New Roman" w:cs="Times New Roman"/>
          <w:color w:val="000000" w:themeColor="text1"/>
          <w:sz w:val="24"/>
          <w:szCs w:val="24"/>
        </w:rPr>
        <w:t xml:space="preserve"> agility </w:t>
      </w:r>
      <w:r w:rsidR="002A5748" w:rsidRPr="008C04EC">
        <w:rPr>
          <w:rFonts w:ascii="Times New Roman" w:hAnsi="Times New Roman" w:cs="Times New Roman"/>
          <w:color w:val="000000" w:themeColor="text1"/>
          <w:sz w:val="24"/>
          <w:szCs w:val="24"/>
        </w:rPr>
        <w:t>is</w:t>
      </w:r>
      <w:r w:rsidR="00B448F8" w:rsidRPr="008C04EC">
        <w:rPr>
          <w:rFonts w:ascii="Times New Roman" w:hAnsi="Times New Roman" w:cs="Times New Roman"/>
          <w:color w:val="000000" w:themeColor="text1"/>
          <w:sz w:val="24"/>
          <w:szCs w:val="24"/>
        </w:rPr>
        <w:t xml:space="preserve"> a supply chain-level capability </w:t>
      </w:r>
      <w:r w:rsidR="000334A5" w:rsidRPr="008C04EC">
        <w:rPr>
          <w:rFonts w:ascii="Times New Roman" w:hAnsi="Times New Roman" w:cs="Times New Roman"/>
          <w:color w:val="000000" w:themeColor="text1"/>
          <w:sz w:val="24"/>
          <w:szCs w:val="24"/>
        </w:rPr>
        <w:t>because it a</w:t>
      </w:r>
      <w:r w:rsidR="00B448F8" w:rsidRPr="008C04EC">
        <w:rPr>
          <w:rFonts w:ascii="Times New Roman" w:hAnsi="Times New Roman" w:cs="Times New Roman"/>
          <w:color w:val="000000" w:themeColor="text1"/>
          <w:sz w:val="24"/>
          <w:szCs w:val="24"/>
        </w:rPr>
        <w:t xml:space="preserve">llows buyers and suppliers to seize opportunities once they are sensed </w:t>
      </w:r>
      <w:r w:rsidR="00B448F8" w:rsidRPr="008C04EC">
        <w:rPr>
          <w:rFonts w:ascii="Times New Roman" w:hAnsi="Times New Roman" w:cs="Times New Roman"/>
          <w:color w:val="000000" w:themeColor="text1"/>
          <w:sz w:val="24"/>
          <w:szCs w:val="24"/>
        </w:rPr>
        <w:fldChar w:fldCharType="begin"/>
      </w:r>
      <w:r w:rsidR="00B448F8" w:rsidRPr="008C04EC">
        <w:rPr>
          <w:rFonts w:ascii="Times New Roman" w:hAnsi="Times New Roman" w:cs="Times New Roman"/>
          <w:color w:val="000000" w:themeColor="text1"/>
          <w:sz w:val="24"/>
          <w:szCs w:val="24"/>
        </w:rPr>
        <w:instrText xml:space="preserve"> ADDIN ZOTERO_ITEM CSL_CITATION {"citationID":"qy4pTeoK","properties":{"formattedCitation":"(Swafford et al., 2006)","plainCitation":"(Swafford et al., 2006)","noteIndex":0},"citationItems":[{"id":1407,"uris":["http://zotero.org/users/3209486/items/MJT4TQNQ"],"uri":["http://zotero.org/users/3209486/items/MJT4TQNQ"],"itemData":{"id":1407,"type":"article-journal","title":"The antecedents of supply chain agility of a firm: Scale development and model testing","container-title":"Journal of Operations Management","page":"170-188","volume":"24","issue":"2","abstract":"In a constantly changing global competitive environment, an organization's supply chain agility directly impacts its ability to produce, and deliver innovative products to their customers in a timely and cost effective manner. While the beneficial impact of supply chain agility is generally acknowledged, very little research exists to date addressing how an organization can achieve supply chain agility. This study first presents a framework of an organization's supply chain process flexibilities as an important antecedent of its supply chain agility, and then establishes the key factors that determine the flexibility attributes of the three critical processes of the supply chain—procurement/sourcing, manufacturing, and distribution/logistics. Using empirical data, we develop flexibility and agility scales related to our supply chain agility model, and then test the model. Findings reveal that supply chain agility of a firm is directly and positively impacted by the degree of flexibility present in the manufacturing and procurement/sourcing processes of the supply chain; while it is indirectly impacted by the level of flexibility within its distribution/logistics process. The results also support our view that a firm's supply chain agility is impacted by the synergy among the three process flexibilities in its internal supply chain.","DOI":"10.1016/j.jom.2005.05.002","ISSN":"0272-6963","journalAbbreviation":"Journal of Operations Management","author":[{"family":"Swafford","given":"Patricia M."},{"family":"Ghosh","given":"Soumen"},{"family":"Murthy","given":"Nagesh"}],"issued":{"date-parts":[["2006",1]]}}}],"schema":"https://github.com/citation-style-language/schema/raw/master/csl-citation.json"} </w:instrText>
      </w:r>
      <w:r w:rsidR="00B448F8"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(Swafford et al., 2006)</w:t>
      </w:r>
      <w:r w:rsidR="00B448F8" w:rsidRPr="008C04EC">
        <w:rPr>
          <w:rFonts w:ascii="Times New Roman" w:hAnsi="Times New Roman" w:cs="Times New Roman"/>
          <w:color w:val="000000" w:themeColor="text1"/>
          <w:sz w:val="24"/>
          <w:szCs w:val="24"/>
        </w:rPr>
        <w:fldChar w:fldCharType="end"/>
      </w:r>
      <w:r w:rsidR="00B448F8" w:rsidRPr="008C04EC">
        <w:rPr>
          <w:rFonts w:ascii="Times New Roman" w:hAnsi="Times New Roman" w:cs="Times New Roman"/>
          <w:color w:val="000000" w:themeColor="text1"/>
          <w:sz w:val="24"/>
          <w:szCs w:val="24"/>
        </w:rPr>
        <w:t xml:space="preserve">. Other scholars argue that supply chain agility is a fundamental capability needed to endure and flourish in volatile environments </w:t>
      </w:r>
      <w:r w:rsidR="00B448F8"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{"citationID":"nifacB5o","properties":{"formattedCitation":"(Braunscheidel and Suresh, 2009; Gligor and Holcomb, 2012)","plainCitation":"(Braunscheidel and Suresh, 2009; Gligor and Holcomb, 2012)","dontUpdate":true,"noteIndex":0},"citationItems":[{"id":1219,"uris":["http://zotero.org/users/3209486/items/RKEEBXBG"],"uri":["http://zotero.org/users/3209486/items/RKEEBXBG"],"itemData":{"id":1219,"type":"article-journal","title":"The organizational antecedents of a firm’s supply chain agility for risk mitigation and response","container-title":"Journal of Operations Management","page":"119-140","volume":"27","issue":"2","abstract":"Today’s marketplace is characterized by intense competitive pressures as well as high levels of turbulence and uncertainty. Organizations require agility in their supply chains to provide superior value as well as to manage disruption risks and ensure uninterrupted service to customers. Thus the cultivation of agility is approached as a risk management initiative that enables a firm to respond rapidly to marketplace changes, as well as anticipated and actual disruptions in the supply chain. Agility is of value for both risk mitigation and response.\n\nThis research investigates the impact of two cultural antecedents, market orientation and learning orientation, and three organizational practices, all aimed at augmenting the supply chain agility of a firm. A firm’s supply chain agility (FSCA) is defined as the capability of the firm, both internally and in conjunction with its key suppliers and customers, to adapt or respond in a speedy manner to marketplace changes as well as to potential and actual disruptions, contributing to the agility of the extended supply chain.\n\nThe two cultural antecedents of market and learning orientations are posited to affect the organizational practices of internal integration, external integration with key suppliers and customers, and external flexibility, and eventually impact the firm’s supply chain agility. The external flexibility elements considered are volume and mix flexibility. In addition, the specific organizational characteristics and practices exhibited by firms with high levels of supply chain agility are also investigated.\n\nThrough the use of the structural equation modeling technique, partial least squares (PLS), it is shown that strong linkages exist among the cultural antecedents, the three organizational practices considered, and the firm’s supply chain agility. All three organizational practices, internal integration, external integration with key suppliers and customers, and external flexibility are shown to have significant positive impact on the firm’s supply chain agility.\n\nMarket orientation is shown to significantly impact both internal and external supply chain integration, along with the two elements of external flexibility. Learning orientation, on the other hand, is shown to have a strong and direct influence only on the level of internal integration. Firms with high levels of external integration are also shown to have high levels of internal integration, consistent with past research. Internal and external integration efforts are also seen to be unrelated to the levels of external flexibility present. The results serve to establish a set of key drivers for augmenting supply chain agility as a risk management initiative.","DOI":"10.1016/j.jom.2008.09.006","ISSN":"0272-6963","journalAbbreviation":"Journal of Operations Management","author":[{"family":"Braunscheidel","given":"Michael J."},{"family":"Suresh","given":"Nallan C."}],"issued":{"date-parts":[["2009",4]]}}},{"id":946,"uris":["http://zotero.org/users/3209486/items/CPAWQ9IH"],"uri":["http://zotero.org/users/3209486/items/CPAWQ9IH"],"itemData":{"id":946,"type":"article-journal","title":"Antecedents and Consequences of Supply Chain Agility: Establishing the Link to Firm Performance","container-title":"Journal of Business Logistics","page":"295-308","volume":"33","issue":"4","abstract":"The concept of supply chain agility (SCAGI) has been identified as one of the most important issues in supply chain management literature. However, despite the popularity of the concept, many aspects of SCAGI are largely unexplored. One area that is deficient in research is the behavioral/relational antecedents of SCAGI. Furthermore, no research to date has empirically established the link between SCAGI and firm performance. This article seeks to further theory development by addressing these gaps.","DOI":"10.1111/jbl.12003","ISSN":"2158-1592","journalAbbreviation":"J Bus Logist","author":[{"family":"Gligor","given":"David M."},{"family":"Holcomb","given":"Mary C."}],"issued":{"date-parts":[["2012",12,1]]}}}],"schema":"https://github.com/citation-style-language/schema/raw/master/csl-citation.json"} </w:instrText>
      </w:r>
      <w:r w:rsidR="00B448F8"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(Braunscheidel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Suresh, 2009; Gligor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Holcomb, 2012)</w:t>
      </w:r>
      <w:r w:rsidR="00B448F8" w:rsidRPr="008C04EC">
        <w:rPr>
          <w:rFonts w:ascii="Times New Roman" w:hAnsi="Times New Roman" w:cs="Times New Roman"/>
          <w:color w:val="000000" w:themeColor="text1"/>
          <w:sz w:val="24"/>
          <w:szCs w:val="24"/>
        </w:rPr>
        <w:fldChar w:fldCharType="end"/>
      </w:r>
      <w:r w:rsidR="00B448F8" w:rsidRPr="008C04EC">
        <w:rPr>
          <w:rFonts w:ascii="Times New Roman" w:hAnsi="Times New Roman" w:cs="Times New Roman"/>
          <w:color w:val="000000" w:themeColor="text1"/>
          <w:sz w:val="24"/>
          <w:szCs w:val="24"/>
        </w:rPr>
        <w:t xml:space="preserve">. Blome et al. </w:t>
      </w:r>
      <w:r w:rsidR="00B448F8" w:rsidRPr="008C04EC">
        <w:rPr>
          <w:rFonts w:ascii="Times New Roman" w:hAnsi="Times New Roman" w:cs="Times New Roman"/>
          <w:color w:val="000000" w:themeColor="text1"/>
          <w:sz w:val="24"/>
          <w:szCs w:val="24"/>
        </w:rPr>
        <w:fldChar w:fldCharType="begin"/>
      </w:r>
      <w:r w:rsidR="00B448F8" w:rsidRPr="008C04EC">
        <w:rPr>
          <w:rFonts w:ascii="Times New Roman" w:hAnsi="Times New Roman" w:cs="Times New Roman"/>
          <w:color w:val="000000" w:themeColor="text1"/>
          <w:sz w:val="24"/>
          <w:szCs w:val="24"/>
        </w:rPr>
        <w:instrText xml:space="preserve"> ADDIN ZOTERO_ITEM CSL_CITATION {"citationID":"XPik42vg","properties":{"formattedCitation":"(2013)","plainCitation":"(2013)","noteIndex":0},"citationItems":[{"id":992,"uris":["http://zotero.org/users/3209486/items/MBQFT3RW"],"uri":["http://zotero.org/users/3209486/items/MBQFT3RW"],"itemData":{"id":992,"type":"article-journal","title":"Antecedents and enablers of supply chain agility and its effect on performance: a dynamic capabilities perspective.","container-title":"International Journal of Production Research","page":"1295-1318","volume":"51","issue":"4","source":"EBSCOhost","archive":"buh","abstract":"This paper investigates the fundamental building blocks of supply chain agility, which are conceptualised as supply- and demand-side competence. While the former refers to production and supply management related activities, the latter refers to distribution and demand management related activities. The model further assesses the influence of supply chain agility on operational performance, as well as its mediating role in the relationship between supply- and demand-side competence and performance. Within this framework, process compliance, i.e. how well supply chain management processes are internally executed by the firm's employees, is viewed as an enabler (moderator) on the relationship between supply chain competencies and supply chain agility. Theoretical substantiation is provided by the resource-based view of the firm augmented with the dynamic capabilities perspective. The model is tested with data from 121 supply chain management professionals. Implications for both academic theory development and supply chain and production management practice are provided. [ABSTRACT FROM PUBLISHER]","ISSN":"00207543","journalAbbreviation":"International Journal of Production Research","author":[{"family":"Blome","given":"Constantin"},{"family":"Schoenherr","given":"Tobias"},{"family":"Rexhausen","given":"Daniel"}],"issued":{"date-parts":[["2013",2,15]]}},"suppress-author":true}],"schema":"https://github.com/citation-style-language/schema/raw/master/csl-citation.json"} </w:instrText>
      </w:r>
      <w:r w:rsidR="00B448F8"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(2013)</w:t>
      </w:r>
      <w:r w:rsidR="00B448F8" w:rsidRPr="008C04EC">
        <w:rPr>
          <w:rFonts w:ascii="Times New Roman" w:hAnsi="Times New Roman" w:cs="Times New Roman"/>
          <w:color w:val="000000" w:themeColor="text1"/>
          <w:sz w:val="24"/>
          <w:szCs w:val="24"/>
        </w:rPr>
        <w:fldChar w:fldCharType="end"/>
      </w:r>
      <w:r w:rsidR="00B448F8" w:rsidRPr="008C04EC">
        <w:rPr>
          <w:rFonts w:ascii="Times New Roman" w:hAnsi="Times New Roman" w:cs="Times New Roman"/>
          <w:color w:val="000000" w:themeColor="text1"/>
          <w:sz w:val="24"/>
          <w:szCs w:val="24"/>
        </w:rPr>
        <w:t xml:space="preserve"> suggest that supply chain agili</w:t>
      </w:r>
      <w:r w:rsidR="00105B7E" w:rsidRPr="008C04EC">
        <w:rPr>
          <w:rFonts w:ascii="Times New Roman" w:hAnsi="Times New Roman" w:cs="Times New Roman"/>
          <w:color w:val="000000" w:themeColor="text1"/>
          <w:sz w:val="24"/>
          <w:szCs w:val="24"/>
        </w:rPr>
        <w:t>ty is a dynamic capability that can positively influence the operat</w:t>
      </w:r>
      <w:r w:rsidR="00440A05" w:rsidRPr="008C04EC">
        <w:rPr>
          <w:rFonts w:ascii="Times New Roman" w:hAnsi="Times New Roman" w:cs="Times New Roman"/>
          <w:color w:val="000000" w:themeColor="text1"/>
          <w:sz w:val="24"/>
          <w:szCs w:val="24"/>
        </w:rPr>
        <w:t xml:space="preserve">ional performance of the firm. </w:t>
      </w:r>
    </w:p>
    <w:p w14:paraId="64B3F2BE" w14:textId="6180AD0A" w:rsidR="003B3A40" w:rsidRDefault="00105B7E" w:rsidP="002A5748">
      <w:pPr>
        <w:spacing w:after="0" w:line="480" w:lineRule="auto"/>
        <w:ind w:firstLine="567"/>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Supply chain adaptability has a longer-term orientation and refers to the ability of supply chain partners to reconfigure and transform supply chain design to</w:t>
      </w:r>
      <w:r w:rsidR="000334A5" w:rsidRPr="008C04EC">
        <w:rPr>
          <w:rFonts w:ascii="Times New Roman" w:hAnsi="Times New Roman" w:cs="Times New Roman"/>
          <w:color w:val="000000" w:themeColor="text1"/>
          <w:sz w:val="24"/>
          <w:szCs w:val="24"/>
        </w:rPr>
        <w:t xml:space="preserve"> match</w:t>
      </w:r>
      <w:r w:rsidRPr="008C04EC">
        <w:rPr>
          <w:rFonts w:ascii="Times New Roman" w:hAnsi="Times New Roman" w:cs="Times New Roman"/>
          <w:color w:val="000000" w:themeColor="text1"/>
          <w:sz w:val="24"/>
          <w:szCs w:val="24"/>
        </w:rPr>
        <w:t xml:space="preserve"> anticipated market changes </w:t>
      </w:r>
      <w:r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{"citationID":"FIIXmtaA","properties":{"formattedCitation":"(Ketchen and Hult, 2007; Lee, 2004)","plainCitation":"(Ketchen and Hult, 2007; Lee, 2004)","dontUpdate":true,"noteIndex":0},"citationItems":[{"id":1528,"uris":["http://zotero.org/users/3209486/items/GJCL2IVN"],"uri":["http://zotero.org/users/3209486/items/GJCL2IVN"],"itemData":{"id":1528,"type":"article-journal","title":"Bridging organization theory and supply chain management: The case of best value supply chains","container-title":"Special Issue Evolution of the Field of Operations Management SI/ Special Issue Organisation Theory and Supply Chain Management","page":"573-580","volume":"25","issue":"2","abstract":"Rivalry is increasingly being contested at the supply chain level of analysis. Rather than competing “firm versus firm,” today's organizations are battling “supply chain versus supply chain.” Within this context, best value supply chains are emerging as a means to create competitive advantages and superior performance. While traditional supply chains often focus primarily on one key outcome such as speed or cost, best value supply chains excel along an array of uniquely integrated priorities—cost, quality, speed, and flexibility. We describe how key organizational theories help to distinguish traditional supply chains from best value supply chains. To provide a foundation for future inquiry, we offer theory-based research questions that are focused on best value supply chains.","DOI":"10.1016/j.jom.2006.05.010","ISSN":"0272-6963","journalAbbreviation":"Journal of Operations Management","author":[{"family":"Ketchen","given":"David J."},{"family":"Hult","given":"G. Tomas M."}],"issued":{"date-parts":[["2007",3,1]]}}},{"id":771,"uris":["http://zotero.org/users/3209486/items/A3W5KAIU"],"uri":["http://zotero.org/users/3209486/items/A3W5KAIU"],"itemData":{"id":771,"type":"article-journal","title":"The triple-A supply chain","container-title":"Harvard Business Review","page":"102-112","volume":"82","issue":"10","author":[{"family":"Lee","given":"Hau"}],"issued":{"date-parts":[["2004"]]}}}],"schema":"https://github.com/citation-style-language/schema/raw/master/csl-citation.json"}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(Ketchen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Hult, 2007; Lee, 2004)</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Dubey et al. </w:t>
      </w:r>
      <w:r w:rsidR="006D7407" w:rsidRPr="008C04EC">
        <w:rPr>
          <w:rFonts w:ascii="Times New Roman" w:hAnsi="Times New Roman" w:cs="Times New Roman"/>
          <w:color w:val="000000" w:themeColor="text1"/>
          <w:sz w:val="24"/>
          <w:szCs w:val="24"/>
        </w:rPr>
        <w:fldChar w:fldCharType="begin"/>
      </w:r>
      <w:r w:rsidR="006D7407" w:rsidRPr="008C04EC">
        <w:rPr>
          <w:rFonts w:ascii="Times New Roman" w:hAnsi="Times New Roman" w:cs="Times New Roman"/>
          <w:color w:val="000000" w:themeColor="text1"/>
          <w:sz w:val="24"/>
          <w:szCs w:val="24"/>
        </w:rPr>
        <w:instrText xml:space="preserve"> ADDIN ZOTERO_ITEM CSL_CITATION {"citationID":"ceKK0WcG","properties":{"formattedCitation":"(2017)","plainCitation":"(2017)","noteIndex":0},"citationItems":[{"id":1736,"uris":["http://zotero.org/users/3209486/items/ECVJDFAZ"],"uri":["http://zotero.org/users/3209486/items/ECVJDFAZ"],"itemData":{"id":1736,"type":"article-journal","title":"Supply chain agility, adaptability and alignment: Empirical evidence from the Indian auto components industry","container-title":"International Journal of Operations &amp; Production Management","page":"129-148","volume":"38","issue":"1","abstract":"Purpose The purpose of this paper is to examine when and how organizations create agility, adaptability, and alignment as distinct supply chain properties to gain sustainable competitive advantage. Design/methodology/approach The current study utilizes the resource-based view (RBV) under the moderating effect of top management commitment (TMC). To test the research hypotheses, the authors gathered 351 usable responses using a pre-tested questionnaire. Findings The statistical analyses suggest that information sharing and supply chain connectivity resources influence supply chain visibility capability, which, under the moderating effect of TMC, enhance supply chain agility, adaptability, and alignment (SCAAA). Originality/value The contribution lies in: providing a holistic study of the antecedents of agility, adaptability, and alignment; investigating the moderating role of TMC on SCAAA; following the RBV and addressing calls for investigating the role of resources in supply chain management, and for empirical studies with implications for supply chain design.","DOI":"10.1108/IJOPM-04-2016-0173","ISSN":"0144-3577","journalAbbreviation":"Int Jrnl of Op &amp; Prod Mnagemnt","author":[{"family":"Dubey","given":"Rameshwar"},{"family":"Altay","given":"Nezih"},{"family":"Gunasekaran","given":"Angappa"},{"family":"Blome","given":"Constantin"},{"family":"Papadopoulos","given":"Thanos"},{"family":"Childe","given":"Stephen J."}],"issued":{"date-parts":[["2017",11,23]]}},"suppress-author":true}],"schema":"https://github.com/citation-style-language/schema/raw/master/csl-citation.json"} </w:instrText>
      </w:r>
      <w:r w:rsidR="006D7407"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(2017)</w:t>
      </w:r>
      <w:r w:rsidR="006D7407" w:rsidRPr="008C04EC">
        <w:rPr>
          <w:rFonts w:ascii="Times New Roman" w:hAnsi="Times New Roman" w:cs="Times New Roman"/>
          <w:color w:val="000000" w:themeColor="text1"/>
          <w:sz w:val="24"/>
          <w:szCs w:val="24"/>
        </w:rPr>
        <w:fldChar w:fldCharType="end"/>
      </w:r>
      <w:r w:rsidR="006D7407" w:rsidRPr="008C04EC">
        <w:rPr>
          <w:rFonts w:ascii="Times New Roman" w:hAnsi="Times New Roman" w:cs="Times New Roman"/>
          <w:color w:val="000000" w:themeColor="text1"/>
          <w:sz w:val="24"/>
          <w:szCs w:val="24"/>
        </w:rPr>
        <w:t xml:space="preserve"> argue that supply chain adaptability prepares supply chain members to adjust according to the market situation and gain a desired competitive advantage</w:t>
      </w:r>
      <w:r w:rsidR="002A5748" w:rsidRPr="008C04EC">
        <w:rPr>
          <w:rFonts w:ascii="Times New Roman" w:hAnsi="Times New Roman" w:cs="Times New Roman"/>
          <w:color w:val="000000" w:themeColor="text1"/>
          <w:sz w:val="24"/>
          <w:szCs w:val="24"/>
        </w:rPr>
        <w:t xml:space="preserve">. </w:t>
      </w:r>
      <w:r w:rsidRPr="008C04EC">
        <w:rPr>
          <w:rFonts w:ascii="Times New Roman" w:hAnsi="Times New Roman" w:cs="Times New Roman"/>
          <w:color w:val="000000" w:themeColor="text1"/>
          <w:sz w:val="24"/>
          <w:szCs w:val="24"/>
        </w:rPr>
        <w:t>When a</w:t>
      </w:r>
      <w:r w:rsidR="00286CBD" w:rsidRPr="008C04EC">
        <w:rPr>
          <w:rFonts w:ascii="Times New Roman" w:hAnsi="Times New Roman" w:cs="Times New Roman"/>
          <w:color w:val="000000" w:themeColor="text1"/>
          <w:sz w:val="24"/>
          <w:szCs w:val="24"/>
        </w:rPr>
        <w:t xml:space="preserve">gility and adaptability capabilities become integrated between supply chain partners, a complex adaptive system forms </w:t>
      </w:r>
      <w:r w:rsidR="00286CBD" w:rsidRPr="008C04EC">
        <w:rPr>
          <w:rFonts w:ascii="Times New Roman" w:hAnsi="Times New Roman" w:cs="Times New Roman"/>
          <w:color w:val="000000" w:themeColor="text1"/>
          <w:sz w:val="24"/>
          <w:szCs w:val="24"/>
        </w:rPr>
        <w:fldChar w:fldCharType="begin"/>
      </w:r>
      <w:r w:rsidR="00286CBD" w:rsidRPr="008C04EC">
        <w:rPr>
          <w:rFonts w:ascii="Times New Roman" w:hAnsi="Times New Roman" w:cs="Times New Roman"/>
          <w:color w:val="000000" w:themeColor="text1"/>
          <w:sz w:val="24"/>
          <w:szCs w:val="24"/>
        </w:rPr>
        <w:instrText xml:space="preserve"> ADDIN ZOTERO_ITEM CSL_CITATION {"citationID":"i9Wl8GjB","properties":{"formattedCitation":"(Choi et al., 2001)","plainCitation":"(Choi et al., 2001)","noteIndex":0},"citationItems":[{"id":210,"uris":["http://zotero.org/users/3209486/items/FXE587HG"],"uri":["http://zotero.org/users/3209486/items/FXE587HG"],"itemData":{"id":210,"type":"article-journal","title":"Supply networks and complex adaptive systems: control versus emergence","container-title":"Journal of Operations Management","page":"351-366","volume":"19","issue":"3","abstract":"In much of the current literature on supply chain management, supply networks are recognized as a system. In this paper, we take this observation to the next level by arguing the need to recognize supply networks as a complex adaptive system (CAS). We propose that many supply networks emerge rather than result from purposeful design by a singular entity. Most supply chain management literature emphasizes negative feedback for purposes of control; however, the emergent patterns in a supply network can much better be managed through positive feedback, which allows for autonomous action. Imposing too much control detracts from innovation and flexibility; conversely, allowing too much emergence can undermine managerial predictability and work routines. Therefore, when managing supply networks, managers must appropriately balance how much to control and how much to let emerge.","DOI":"10.1016/S0272-6963(00)00068-1","ISSN":"0272-6963","author":[{"family":"Choi","given":"Thomas Y."},{"family":"Dooley","given":"Kevin J."},{"family":"Rungtusanatham","given":"Manus"}],"issued":{"date-parts":[["2001"]]}}}],"schema":"https://github.com/citation-style-language/schema/raw/master/csl-citation.json"} </w:instrText>
      </w:r>
      <w:r w:rsidR="00286CBD"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(Choi et al., 2001)</w:t>
      </w:r>
      <w:r w:rsidR="00286CBD" w:rsidRPr="008C04EC">
        <w:rPr>
          <w:rFonts w:ascii="Times New Roman" w:hAnsi="Times New Roman" w:cs="Times New Roman"/>
          <w:color w:val="000000" w:themeColor="text1"/>
          <w:sz w:val="24"/>
          <w:szCs w:val="24"/>
        </w:rPr>
        <w:fldChar w:fldCharType="end"/>
      </w:r>
      <w:r w:rsidR="00B410AD" w:rsidRPr="008C04EC">
        <w:rPr>
          <w:rFonts w:ascii="Times New Roman" w:hAnsi="Times New Roman" w:cs="Times New Roman"/>
          <w:color w:val="000000" w:themeColor="text1"/>
          <w:sz w:val="24"/>
          <w:szCs w:val="24"/>
        </w:rPr>
        <w:t>,</w:t>
      </w:r>
      <w:r w:rsidR="00286CBD" w:rsidRPr="008C04EC">
        <w:rPr>
          <w:rFonts w:ascii="Times New Roman" w:hAnsi="Times New Roman" w:cs="Times New Roman"/>
          <w:color w:val="000000" w:themeColor="text1"/>
          <w:sz w:val="24"/>
          <w:szCs w:val="24"/>
        </w:rPr>
        <w:t xml:space="preserve"> </w:t>
      </w:r>
      <w:r w:rsidR="00286CBD" w:rsidRPr="008C04EC">
        <w:rPr>
          <w:rFonts w:ascii="Times New Roman" w:hAnsi="Times New Roman" w:cs="Times New Roman"/>
          <w:color w:val="000000" w:themeColor="text1"/>
          <w:sz w:val="24"/>
          <w:szCs w:val="24"/>
        </w:rPr>
        <w:lastRenderedPageBreak/>
        <w:t xml:space="preserve">which is able to seize new opportunities in the short term, and transform supply chain infrastructure in the longer term to address changes in consumer demand </w:t>
      </w:r>
      <w:r w:rsidR="00286CBD" w:rsidRPr="008C04EC">
        <w:rPr>
          <w:rFonts w:ascii="Times New Roman" w:hAnsi="Times New Roman" w:cs="Times New Roman"/>
          <w:color w:val="000000" w:themeColor="text1"/>
          <w:sz w:val="24"/>
          <w:szCs w:val="24"/>
        </w:rPr>
        <w:fldChar w:fldCharType="begin"/>
      </w:r>
      <w:r w:rsidR="00286CBD" w:rsidRPr="008C04EC">
        <w:rPr>
          <w:rFonts w:ascii="Times New Roman" w:hAnsi="Times New Roman" w:cs="Times New Roman"/>
          <w:color w:val="000000" w:themeColor="text1"/>
          <w:sz w:val="24"/>
          <w:szCs w:val="24"/>
        </w:rPr>
        <w:instrText xml:space="preserve"> ADDIN ZOTERO_ITEM CSL_CITATION {"citationID":"I8NSYDjC","properties":{"formattedCitation":"(Whitten et al., 2012)","plainCitation":"(Whitten et al., 2012)","noteIndex":0},"citationItems":[{"id":1717,"uris":["http://zotero.org/users/3209486/items/DQIPYSTP"],"uri":["http://zotero.org/users/3209486/items/DQIPYSTP"],"itemData":{"id":1717,"type":"article-journal","title":"Triple‐A supply chain performance","container-title":"International Journal of Operations &amp; Production Management","page":"28-48","volume":"32","issue":"1","abstract":"Purpose ? In 2004 Lee proposed that successful supply chains must be agile, adaptable, and aligned and described those chains as ?Triple?A? supply chains. The purpose of this paper is to theorize a Triple?A supply chain performance model that incorporates Triple?A supply chain status as antecedent to supply chain performance and supply chain performance as antecedent to organizational performance.Design/methodology/approach ? Using data from a national sample of 132 supply chain professionals collected in partnership with APICS, the authors develop scales based on descriptive items listed by Lee for the Triple?A supply chain strategy dimensions of agility, adaptability, and alignment and assess the complete model using a structural equation methodology.Findings ? Results indicate that Triple?A supply chain strategy positively impacts supply chain performance and that, in turn, supply chain performance positively impacts organizational performance. Supply chain performance is more strongly related to the marketing performance than to the financial performance of the organization. Additionally, marketing performance positively impacts financial performance.Research limitations/implications ? The major limitation is that only one person in each organization was surveyed with regards to both organizational and supply chain performance. Future research can be aimed at multiple respondents per organization.Practical implications ? Based on the results of this study, the authors argue that organizational success depends on the agility, adaptability, and alignment of supply chains.Originality/value ? This is the first research which has empirically tested Lee's suggestions; his propositions were based on his extensive supply chain research and experience and reported in the Harvard Business Review. The paper's findings are valuable to both practitioners and academic researchers.","DOI":"10.1108/01443571211195727","ISSN":"0144-3577","journalAbbreviation":"Int Jrnl of Op &amp; Prod Mnagemnt","author":[{"family":"Whitten","given":"G. Dwayne"},{"family":"Green","given":"Kenneth W."},{"family":"Zelbst","given":"Pamela J."}],"issued":{"date-parts":[["2012",1,6]]}}}],"schema":"https://github.com/citation-style-language/schema/raw/master/csl-citation.json"} </w:instrText>
      </w:r>
      <w:r w:rsidR="00286CBD"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(Whitten et al., 2012)</w:t>
      </w:r>
      <w:r w:rsidR="00286CBD" w:rsidRPr="008C04EC">
        <w:rPr>
          <w:rFonts w:ascii="Times New Roman" w:hAnsi="Times New Roman" w:cs="Times New Roman"/>
          <w:color w:val="000000" w:themeColor="text1"/>
          <w:sz w:val="24"/>
          <w:szCs w:val="24"/>
        </w:rPr>
        <w:fldChar w:fldCharType="end"/>
      </w:r>
      <w:r w:rsidR="00286CBD" w:rsidRPr="008C04EC">
        <w:rPr>
          <w:rFonts w:ascii="Times New Roman" w:hAnsi="Times New Roman" w:cs="Times New Roman"/>
          <w:color w:val="000000" w:themeColor="text1"/>
          <w:sz w:val="24"/>
          <w:szCs w:val="24"/>
        </w:rPr>
        <w:t xml:space="preserve">. </w:t>
      </w:r>
      <w:r w:rsidR="002E4282" w:rsidRPr="008C04EC">
        <w:rPr>
          <w:rFonts w:ascii="Times New Roman" w:hAnsi="Times New Roman" w:cs="Times New Roman"/>
          <w:color w:val="000000" w:themeColor="text1"/>
          <w:sz w:val="24"/>
          <w:szCs w:val="24"/>
        </w:rPr>
        <w:t xml:space="preserve">As supply chain agility and adaptability capabilities </w:t>
      </w:r>
      <w:r w:rsidRPr="008C04EC">
        <w:rPr>
          <w:rFonts w:ascii="Times New Roman" w:hAnsi="Times New Roman" w:cs="Times New Roman"/>
          <w:color w:val="000000" w:themeColor="text1"/>
          <w:sz w:val="24"/>
          <w:szCs w:val="24"/>
        </w:rPr>
        <w:t>result from the firm’s ability to reconfigure firm-level and supply chain-level resources</w:t>
      </w:r>
      <w:r w:rsidR="002E4282" w:rsidRPr="008C04EC">
        <w:rPr>
          <w:rFonts w:ascii="Times New Roman" w:hAnsi="Times New Roman" w:cs="Times New Roman"/>
          <w:color w:val="000000" w:themeColor="text1"/>
          <w:sz w:val="24"/>
          <w:szCs w:val="24"/>
        </w:rPr>
        <w:t xml:space="preserve">, they </w:t>
      </w:r>
      <w:r w:rsidR="0088195D">
        <w:rPr>
          <w:rFonts w:ascii="Times New Roman" w:hAnsi="Times New Roman" w:cs="Times New Roman"/>
          <w:color w:val="000000" w:themeColor="text1"/>
          <w:sz w:val="24"/>
          <w:szCs w:val="24"/>
        </w:rPr>
        <w:t>can be</w:t>
      </w:r>
      <w:r w:rsidRPr="008C04EC">
        <w:rPr>
          <w:rFonts w:ascii="Times New Roman" w:hAnsi="Times New Roman" w:cs="Times New Roman"/>
          <w:color w:val="000000" w:themeColor="text1"/>
          <w:sz w:val="24"/>
          <w:szCs w:val="24"/>
        </w:rPr>
        <w:t xml:space="preserve"> </w:t>
      </w:r>
      <w:r w:rsidR="002E4282" w:rsidRPr="008C04EC">
        <w:rPr>
          <w:rFonts w:ascii="Times New Roman" w:hAnsi="Times New Roman" w:cs="Times New Roman"/>
          <w:color w:val="000000" w:themeColor="text1"/>
          <w:sz w:val="24"/>
          <w:szCs w:val="24"/>
        </w:rPr>
        <w:t>positioned as dynamic, supply c</w:t>
      </w:r>
      <w:r w:rsidR="00286CBD" w:rsidRPr="008C04EC">
        <w:rPr>
          <w:rFonts w:ascii="Times New Roman" w:hAnsi="Times New Roman" w:cs="Times New Roman"/>
          <w:color w:val="000000" w:themeColor="text1"/>
          <w:sz w:val="24"/>
          <w:szCs w:val="24"/>
        </w:rPr>
        <w:t>hain-</w:t>
      </w:r>
      <w:r w:rsidR="002E4282" w:rsidRPr="008C04EC">
        <w:rPr>
          <w:rFonts w:ascii="Times New Roman" w:hAnsi="Times New Roman" w:cs="Times New Roman"/>
          <w:color w:val="000000" w:themeColor="text1"/>
          <w:sz w:val="24"/>
          <w:szCs w:val="24"/>
        </w:rPr>
        <w:t>level capabilities</w:t>
      </w:r>
      <w:r w:rsidR="00286CBD" w:rsidRPr="008C04EC">
        <w:rPr>
          <w:rFonts w:ascii="Times New Roman" w:hAnsi="Times New Roman" w:cs="Times New Roman"/>
          <w:color w:val="000000" w:themeColor="text1"/>
          <w:sz w:val="24"/>
          <w:szCs w:val="24"/>
        </w:rPr>
        <w:t xml:space="preserve"> </w:t>
      </w:r>
      <w:r w:rsidR="00286CBD" w:rsidRPr="008C04EC">
        <w:rPr>
          <w:rFonts w:ascii="Times New Roman" w:hAnsi="Times New Roman" w:cs="Times New Roman"/>
          <w:color w:val="000000" w:themeColor="text1"/>
          <w:sz w:val="24"/>
          <w:szCs w:val="24"/>
        </w:rPr>
        <w:fldChar w:fldCharType="begin"/>
      </w:r>
      <w:r w:rsidR="00286CBD" w:rsidRPr="008C04EC">
        <w:rPr>
          <w:rFonts w:ascii="Times New Roman" w:hAnsi="Times New Roman" w:cs="Times New Roman"/>
          <w:color w:val="000000" w:themeColor="text1"/>
          <w:sz w:val="24"/>
          <w:szCs w:val="24"/>
        </w:rPr>
        <w:instrText xml:space="preserve"> ADDIN ZOTERO_ITEM CSL_CITATION {"citationID":"qrCrYEfj","properties":{"formattedCitation":"(Blome et al., 2013; Eckstein et al., 2015; Whitten et al., 2012)","plainCitation":"(Blome et al., 2013; Eckstein et al., 2015; Whitten et al., 2012)","noteIndex":0},"citationItems":[{"id":992,"uris":["http://zotero.org/users/3209486/items/MBQFT3RW"],"uri":["http://zotero.org/users/3209486/items/MBQFT3RW"],"itemData":{"id":992,"type":"article-journal","title":"Antecedents and enablers of supply chain agility and its effect on performance: a dynamic capabilities perspective.","container-title":"International Journal of Production Research","page":"1295-1318","volume":"51","issue":"4","source":"EBSCOhost","archive":"buh","abstract":"This paper investigates the fundamental building blocks of supply chain agility, which are conceptualised as supply- and demand-side competence. While the former refers to production and supply management related activities, the latter refers to distribution and demand management related activities. The model further assesses the influence of supply chain agility on operational performance, as well as its mediating role in the relationship between supply- and demand-side competence and performance. Within this framework, process compliance, i.e. how well supply chain management processes are internally executed by the firm's employees, is viewed as an enabler (moderator) on the relationship between supply chain competencies and supply chain agility. Theoretical substantiation is provided by the resource-based view of the firm augmented with the dynamic capabilities perspective. The model is tested with data from 121 supply chain management professionals. Implications for both academic theory development and supply chain and production management practice are provided. [ABSTRACT FROM PUBLISHER]","ISSN":"00207543","journalAbbreviation":"International Journal of Production Research","author":[{"family":"Blome","given":"Constantin"},{"family":"Schoenherr","given":"Tobias"},{"family":"Rexhausen","given":"Daniel"}],"issued":{"date-parts":[["2013",2,15]]}}},{"id":986,"uris":["http://zotero.org/users/3209486/items/Z54MJW66"],"uri":["http://zotero.org/users/3209486/items/Z54MJW66"],"itemData":{"id":986,"type":"article-journal","title":"The performance impact of supply chain agility and supply chain adaptability: the moderating effect of product complexity","container-title":"International Journal of Production Research","page":"3028-3046","volume":"53","issue":"10","DOI":"10.1080/00207543.2014.970707","ISSN":"0020-7543","journalAbbreviation":"International Journal of Production Research","author":[{"family":"Eckstein","given":"Dominik"},{"family":"Goellner","given":"Matthias"},{"family":"Blome","given":"Constantin"},{"family":"Henke","given":"Michael"}],"issued":{"date-parts":[["2015",5,19]]}}},{"id":1717,"uris":["http://zotero.org/users/3209486/items/DQIPYSTP"],"uri":["http://zotero.org/users/3209486/items/DQIPYSTP"],"itemData":{"id":1717,"type":"article-journal","title":"Triple‐A supply chain performance","container-title":"International Journal of Operations &amp; Production Management","page":"28-48","volume":"32","issue":"1","abstract":"Purpose ? In 2004 Lee proposed that successful supply chains must be agile, adaptable, and aligned and described those chains as ?Triple?A? supply chains. The purpose of this paper is to theorize a Triple?A supply chain performance model that incorporates Triple?A supply chain status as antecedent to supply chain performance and supply chain performance as antecedent to organizational performance.Design/methodology/approach ? Using data from a national sample of 132 supply chain professionals collected in partnership with APICS, the authors develop scales based on descriptive items listed by Lee for the Triple?A supply chain strategy dimensions of agility, adaptability, and alignment and assess the complete model using a structural equation methodology.Findings ? Results indicate that Triple?A supply chain strategy positively impacts supply chain performance and that, in turn, supply chain performance positively impacts organizational performance. Supply chain performance is more strongly related to the marketing performance than to the financial performance of the organization. Additionally, marketing performance positively impacts financial performance.Research limitations/implications ? The major limitation is that only one person in each organization was surveyed with regards to both organizational and supply chain performance. Future research can be aimed at multiple respondents per organization.Practical implications ? Based on the results of this study, the authors argue that organizational success depends on the agility, adaptability, and alignment of supply chains.Originality/value ? This is the first research which has empirically tested Lee's suggestions; his propositions were based on his extensive supply chain research and experience and reported in the Harvard Business Review. The paper's findings are valuable to both practitioners and academic researchers.","DOI":"10.1108/01443571211195727","ISSN":"0144-3577","journalAbbreviation":"Int Jrnl of Op &amp; Prod Mnagemnt","author":[{"family":"Whitten","given":"G. Dwayne"},{"family":"Green","given":"Kenneth W."},{"family":"Zelbst","given":"Pamela J."}],"issued":{"date-parts":[["2012",1,6]]}}}],"schema":"https://github.com/citation-style-language/schema/raw/master/csl-citation.json"} </w:instrText>
      </w:r>
      <w:r w:rsidR="00286CBD"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(Blome et al., 2013; Eckstein et al., 2015; Whitten et al., 2012)</w:t>
      </w:r>
      <w:r w:rsidR="00286CBD" w:rsidRPr="008C04EC">
        <w:rPr>
          <w:rFonts w:ascii="Times New Roman" w:hAnsi="Times New Roman" w:cs="Times New Roman"/>
          <w:color w:val="000000" w:themeColor="text1"/>
          <w:sz w:val="24"/>
          <w:szCs w:val="24"/>
        </w:rPr>
        <w:fldChar w:fldCharType="end"/>
      </w:r>
      <w:r w:rsidR="00286CBD" w:rsidRPr="008C04EC">
        <w:rPr>
          <w:rFonts w:ascii="Times New Roman" w:hAnsi="Times New Roman" w:cs="Times New Roman"/>
          <w:color w:val="000000" w:themeColor="text1"/>
          <w:sz w:val="24"/>
          <w:szCs w:val="24"/>
        </w:rPr>
        <w:t>.</w:t>
      </w:r>
      <w:r w:rsidR="00734E67">
        <w:rPr>
          <w:rFonts w:ascii="Times New Roman" w:hAnsi="Times New Roman" w:cs="Times New Roman"/>
          <w:color w:val="000000" w:themeColor="text1"/>
          <w:sz w:val="24"/>
          <w:szCs w:val="24"/>
        </w:rPr>
        <w:t xml:space="preserve"> </w:t>
      </w:r>
    </w:p>
    <w:p w14:paraId="66744FF8" w14:textId="004FD43A" w:rsidR="00080D04" w:rsidRPr="008C04EC" w:rsidRDefault="000334A5" w:rsidP="00145B43">
      <w:pPr>
        <w:spacing w:after="0" w:line="480" w:lineRule="auto"/>
        <w:ind w:firstLine="567"/>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Yet,</w:t>
      </w:r>
      <w:r w:rsidR="00080D04" w:rsidRPr="008C04EC">
        <w:rPr>
          <w:rFonts w:ascii="Times New Roman" w:hAnsi="Times New Roman" w:cs="Times New Roman"/>
          <w:color w:val="000000" w:themeColor="text1"/>
          <w:sz w:val="24"/>
          <w:szCs w:val="24"/>
        </w:rPr>
        <w:t xml:space="preserve"> supply chain partners cannot </w:t>
      </w:r>
      <w:r w:rsidRPr="008C04EC">
        <w:rPr>
          <w:rFonts w:ascii="Times New Roman" w:hAnsi="Times New Roman" w:cs="Times New Roman"/>
          <w:color w:val="000000" w:themeColor="text1"/>
          <w:sz w:val="24"/>
          <w:szCs w:val="24"/>
        </w:rPr>
        <w:t>seize marketplace opportunities</w:t>
      </w:r>
      <w:r w:rsidR="00080D04" w:rsidRPr="008C04EC">
        <w:rPr>
          <w:rFonts w:ascii="Times New Roman" w:hAnsi="Times New Roman" w:cs="Times New Roman"/>
          <w:color w:val="000000" w:themeColor="text1"/>
          <w:sz w:val="24"/>
          <w:szCs w:val="24"/>
        </w:rPr>
        <w:t xml:space="preserve"> if these opportunities are not sensed in the first place. </w:t>
      </w:r>
      <w:r w:rsidR="00F741F7" w:rsidRPr="008C04EC">
        <w:rPr>
          <w:rFonts w:ascii="Times New Roman" w:hAnsi="Times New Roman" w:cs="Times New Roman"/>
          <w:color w:val="000000" w:themeColor="text1"/>
          <w:sz w:val="24"/>
          <w:szCs w:val="24"/>
        </w:rPr>
        <w:t xml:space="preserve">Day </w:t>
      </w:r>
      <w:r w:rsidR="00F741F7" w:rsidRPr="008C04EC">
        <w:rPr>
          <w:rFonts w:ascii="Times New Roman" w:hAnsi="Times New Roman" w:cs="Times New Roman"/>
          <w:color w:val="000000" w:themeColor="text1"/>
          <w:sz w:val="24"/>
          <w:szCs w:val="24"/>
        </w:rPr>
        <w:fldChar w:fldCharType="begin"/>
      </w:r>
      <w:r w:rsidR="00F741F7" w:rsidRPr="008C04EC">
        <w:rPr>
          <w:rFonts w:ascii="Times New Roman" w:hAnsi="Times New Roman" w:cs="Times New Roman"/>
          <w:color w:val="000000" w:themeColor="text1"/>
          <w:sz w:val="24"/>
          <w:szCs w:val="24"/>
        </w:rPr>
        <w:instrText xml:space="preserve"> ADDIN ZOTERO_ITEM CSL_CITATION {"citationID":"7aQYPd7Y","properties":{"formattedCitation":"(1994)","plainCitation":"(1994)","noteIndex":0},"citationItems":[{"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S."}],"issued":{"date-parts":[["1994"]]}},"suppress-author":true}],"schema":"https://github.com/citation-style-language/schema/raw/master/csl-citation.json"} </w:instrText>
      </w:r>
      <w:r w:rsidR="00F741F7"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(1994)</w:t>
      </w:r>
      <w:r w:rsidR="00F741F7" w:rsidRPr="008C04EC">
        <w:rPr>
          <w:rFonts w:ascii="Times New Roman" w:hAnsi="Times New Roman" w:cs="Times New Roman"/>
          <w:color w:val="000000" w:themeColor="text1"/>
          <w:sz w:val="24"/>
          <w:szCs w:val="24"/>
        </w:rPr>
        <w:fldChar w:fldCharType="end"/>
      </w:r>
      <w:r w:rsidR="00F741F7" w:rsidRPr="008C04EC">
        <w:rPr>
          <w:rFonts w:ascii="Times New Roman" w:hAnsi="Times New Roman" w:cs="Times New Roman"/>
          <w:color w:val="000000" w:themeColor="text1"/>
          <w:sz w:val="24"/>
          <w:szCs w:val="24"/>
        </w:rPr>
        <w:t xml:space="preserve"> argues that market-driven firms are distinguished by an ability to sense events and trends in their markets ahead of </w:t>
      </w:r>
      <w:r w:rsidRPr="008C04EC">
        <w:rPr>
          <w:rFonts w:ascii="Times New Roman" w:hAnsi="Times New Roman" w:cs="Times New Roman"/>
          <w:color w:val="000000" w:themeColor="text1"/>
          <w:sz w:val="24"/>
          <w:szCs w:val="24"/>
        </w:rPr>
        <w:t>the competition</w:t>
      </w:r>
      <w:r w:rsidR="00145B43" w:rsidRPr="008C04EC">
        <w:rPr>
          <w:rFonts w:ascii="Times New Roman" w:hAnsi="Times New Roman" w:cs="Times New Roman"/>
          <w:color w:val="000000" w:themeColor="text1"/>
          <w:sz w:val="24"/>
          <w:szCs w:val="24"/>
        </w:rPr>
        <w:t xml:space="preserve">. These firms </w:t>
      </w:r>
      <w:r w:rsidR="00F741F7" w:rsidRPr="008C04EC">
        <w:rPr>
          <w:rFonts w:ascii="Times New Roman" w:hAnsi="Times New Roman" w:cs="Times New Roman"/>
          <w:color w:val="000000" w:themeColor="text1"/>
          <w:sz w:val="24"/>
          <w:szCs w:val="24"/>
        </w:rPr>
        <w:t>can anticipate more accurately the responses to actions designed to retain or attract customer</w:t>
      </w:r>
      <w:r w:rsidR="00BA0E9C">
        <w:rPr>
          <w:rFonts w:ascii="Times New Roman" w:hAnsi="Times New Roman" w:cs="Times New Roman"/>
          <w:color w:val="000000" w:themeColor="text1"/>
          <w:sz w:val="24"/>
          <w:szCs w:val="24"/>
        </w:rPr>
        <w:t>s</w:t>
      </w:r>
      <w:r w:rsidR="00F741F7" w:rsidRPr="008C04EC">
        <w:rPr>
          <w:rFonts w:ascii="Times New Roman" w:hAnsi="Times New Roman" w:cs="Times New Roman"/>
          <w:color w:val="000000" w:themeColor="text1"/>
          <w:sz w:val="24"/>
          <w:szCs w:val="24"/>
        </w:rPr>
        <w:t>, i</w:t>
      </w:r>
      <w:r w:rsidRPr="008C04EC">
        <w:rPr>
          <w:rFonts w:ascii="Times New Roman" w:hAnsi="Times New Roman" w:cs="Times New Roman"/>
          <w:color w:val="000000" w:themeColor="text1"/>
          <w:sz w:val="24"/>
          <w:szCs w:val="24"/>
        </w:rPr>
        <w:t>mprove channel relations or out</w:t>
      </w:r>
      <w:r w:rsidR="00F741F7" w:rsidRPr="008C04EC">
        <w:rPr>
          <w:rFonts w:ascii="Times New Roman" w:hAnsi="Times New Roman" w:cs="Times New Roman"/>
          <w:color w:val="000000" w:themeColor="text1"/>
          <w:sz w:val="24"/>
          <w:szCs w:val="24"/>
        </w:rPr>
        <w:t xml:space="preserve">maneuver the competition </w:t>
      </w:r>
      <w:r w:rsidR="00F741F7" w:rsidRPr="008C04EC">
        <w:rPr>
          <w:rFonts w:ascii="Times New Roman" w:hAnsi="Times New Roman" w:cs="Times New Roman"/>
          <w:color w:val="000000" w:themeColor="text1"/>
          <w:sz w:val="24"/>
          <w:szCs w:val="24"/>
        </w:rPr>
        <w:fldChar w:fldCharType="begin"/>
      </w:r>
      <w:r w:rsidR="00F741F7" w:rsidRPr="008C04EC">
        <w:rPr>
          <w:rFonts w:ascii="Times New Roman" w:hAnsi="Times New Roman" w:cs="Times New Roman"/>
          <w:color w:val="000000" w:themeColor="text1"/>
          <w:sz w:val="24"/>
          <w:szCs w:val="24"/>
        </w:rPr>
        <w:instrText xml:space="preserve"> ADDIN ZOTERO_ITEM CSL_CITATION {"citationID":"BsuQKnEl","properties":{"formattedCitation":"(Day, 1994 p. 44)","plainCitation":"(Day, 1994 p. 44)","noteIndex":0},"citationItems":[{"id":959,"uris":["http://zotero.org/users/3209486/items/TAXBRSBD"],"uri":["http://zotero.org/users/3209486/items/TAXBRSBD"],"itemData":{"id":959,"type":"article-journal","title":"The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S."}],"issued":{"date-parts":[["1994"]]}},"suffix":"p. 44"}],"schema":"https://github.com/citation-style-language/schema/raw/master/csl-citation.json"} </w:instrText>
      </w:r>
      <w:r w:rsidR="00F741F7"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(Day, 1994 p. 44)</w:t>
      </w:r>
      <w:r w:rsidR="00F741F7" w:rsidRPr="008C04EC">
        <w:rPr>
          <w:rFonts w:ascii="Times New Roman" w:hAnsi="Times New Roman" w:cs="Times New Roman"/>
          <w:color w:val="000000" w:themeColor="text1"/>
          <w:sz w:val="24"/>
          <w:szCs w:val="24"/>
        </w:rPr>
        <w:fldChar w:fldCharType="end"/>
      </w:r>
      <w:r w:rsidR="00F741F7" w:rsidRPr="008C04EC">
        <w:rPr>
          <w:rFonts w:ascii="Times New Roman" w:hAnsi="Times New Roman" w:cs="Times New Roman"/>
          <w:color w:val="000000" w:themeColor="text1"/>
          <w:sz w:val="24"/>
          <w:szCs w:val="24"/>
        </w:rPr>
        <w:t>.</w:t>
      </w:r>
      <w:r w:rsidR="00145B43" w:rsidRPr="008C04EC">
        <w:rPr>
          <w:rFonts w:ascii="Times New Roman" w:hAnsi="Times New Roman" w:cs="Times New Roman"/>
          <w:color w:val="000000" w:themeColor="text1"/>
          <w:sz w:val="24"/>
          <w:szCs w:val="24"/>
        </w:rPr>
        <w:t xml:space="preserve"> Market sensing is considered a capability because managers </w:t>
      </w:r>
      <w:r w:rsidRPr="008C04EC">
        <w:rPr>
          <w:rFonts w:ascii="Times New Roman" w:hAnsi="Times New Roman" w:cs="Times New Roman"/>
          <w:color w:val="000000" w:themeColor="text1"/>
          <w:sz w:val="24"/>
          <w:szCs w:val="24"/>
        </w:rPr>
        <w:t>are able</w:t>
      </w:r>
      <w:r w:rsidR="00D577E8">
        <w:rPr>
          <w:rFonts w:ascii="Times New Roman" w:hAnsi="Times New Roman" w:cs="Times New Roman"/>
          <w:color w:val="000000" w:themeColor="text1"/>
          <w:sz w:val="24"/>
          <w:szCs w:val="24"/>
        </w:rPr>
        <w:t xml:space="preserve"> to</w:t>
      </w:r>
      <w:r w:rsidRPr="008C04EC">
        <w:rPr>
          <w:rFonts w:ascii="Times New Roman" w:hAnsi="Times New Roman" w:cs="Times New Roman"/>
          <w:color w:val="000000" w:themeColor="text1"/>
          <w:sz w:val="24"/>
          <w:szCs w:val="24"/>
        </w:rPr>
        <w:t xml:space="preserve"> </w:t>
      </w:r>
      <w:r w:rsidR="00145B43" w:rsidRPr="008C04EC">
        <w:rPr>
          <w:rFonts w:ascii="Times New Roman" w:hAnsi="Times New Roman" w:cs="Times New Roman"/>
          <w:color w:val="000000" w:themeColor="text1"/>
          <w:sz w:val="24"/>
          <w:szCs w:val="24"/>
        </w:rPr>
        <w:t xml:space="preserve">sense new opportunities by following a sequence of information processing activities </w:t>
      </w:r>
      <w:r w:rsidR="002A5748" w:rsidRPr="008C04EC">
        <w:rPr>
          <w:rFonts w:ascii="Times New Roman" w:hAnsi="Times New Roman" w:cs="Times New Roman"/>
          <w:color w:val="000000" w:themeColor="text1"/>
          <w:sz w:val="24"/>
          <w:szCs w:val="24"/>
        </w:rPr>
        <w:t xml:space="preserve">used to stimulate organizational </w:t>
      </w:r>
      <w:r w:rsidR="00D577E8">
        <w:rPr>
          <w:rFonts w:ascii="Times New Roman" w:hAnsi="Times New Roman" w:cs="Times New Roman"/>
          <w:color w:val="000000" w:themeColor="text1"/>
          <w:sz w:val="24"/>
          <w:szCs w:val="24"/>
        </w:rPr>
        <w:t xml:space="preserve">learning </w:t>
      </w:r>
      <w:r w:rsidR="00145B43"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{"citationID":"jpv0sYMq","properties":{"formattedCitation":"(Day, 1994; Fiol and Lyles, 1985)","plainCitation":"(Day, 1994; Fiol and Lyles, 1985)","dontUpdate":true,"noteIndex":0},"citationItems":[{"id":959,"uris":["http://zotero.org/users/3209486/items/TAXBRSBD"],"uri":["http://zotero.org/users/3209486/items/TAXBRSBD"],"itemData":{"id":959,"type":"article-journal","title":"The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S."}],"issued":{"date-parts":[["1994"]]}}},{"id":1569,"uris":["http://zotero.org/users/3209486/items/3WN2MHFH"],"uri":["http://zotero.org/users/3209486/items/3WN2MHFH"],"itemData":{"id":1569,"type":"article-journal","title":"Organizational Learning","container-title":"Academy of Management Review","page":"803-813","volume":"10","issue":"4","abstract":"No theory or model of organizational learning has widespread acceptance. This paper clarifies the distinction between organizational learning and organizational adaptation and shows that change does not necessarily imply learning. There are different levels of learning, each having a different impact on the strategic management of the firm.","DOI":"10.5465/amr.1985.4279103","ISSN":"0363-7425","journalAbbreviation":"AMR","author":[{"family":"Fiol","given":"C. Marlene"},{"family":"Lyles","given":"Marjorie A."}],"issued":{"date-parts":[["1985",10,1]]}}}],"schema":"https://github.com/citation-style-language/schema/raw/master/csl-citation.json"} </w:instrText>
      </w:r>
      <w:r w:rsidR="00145B43"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(Day, 1994; Fiol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Lyles, 1985)</w:t>
      </w:r>
      <w:r w:rsidR="00145B43" w:rsidRPr="008C04EC">
        <w:rPr>
          <w:rFonts w:ascii="Times New Roman" w:hAnsi="Times New Roman" w:cs="Times New Roman"/>
          <w:color w:val="000000" w:themeColor="text1"/>
          <w:sz w:val="24"/>
          <w:szCs w:val="24"/>
        </w:rPr>
        <w:fldChar w:fldCharType="end"/>
      </w:r>
      <w:r w:rsidR="00145B43" w:rsidRPr="008C04EC">
        <w:rPr>
          <w:rFonts w:ascii="Times New Roman" w:hAnsi="Times New Roman" w:cs="Times New Roman"/>
          <w:color w:val="000000" w:themeColor="text1"/>
          <w:sz w:val="24"/>
          <w:szCs w:val="24"/>
        </w:rPr>
        <w:t xml:space="preserve">. The learning process involves gathering new information about trends, events, opportunities and threats in the market environment, absorbing that knowledge into the firm and then reconfiguring knowledge resources in light of the new information </w:t>
      </w:r>
      <w:r w:rsidR="00145B43"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{"citationID":"VsinIOWW","properties":{"formattedCitation":"(Day, 1994; Fiol and Lyles, 1985)","plainCitation":"(Day, 1994; Fiol and Lyles, 1985)","dontUpdate":true,"noteIndex":0},"citationItems":[{"id":959,"uris":["http://zotero.org/users/3209486/items/TAXBRSBD"],"uri":["http://zotero.org/users/3209486/items/TAXBRSBD"],"itemData":{"id":959,"type":"article-journal","title":"The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S."}],"issued":{"date-parts":[["1994"]]}}},{"id":1569,"uris":["http://zotero.org/users/3209486/items/3WN2MHFH"],"uri":["http://zotero.org/users/3209486/items/3WN2MHFH"],"itemData":{"id":1569,"type":"article-journal","title":"Organizational Learning","container-title":"Academy of Management Review","page":"803-813","volume":"10","issue":"4","abstract":"No theory or model of organizational learning has widespread acceptance. This paper clarifies the distinction between organizational learning and organizational adaptation and shows that change does not necessarily imply learning. There are different levels of learning, each having a different impact on the strategic management of the firm.","DOI":"10.5465/amr.1985.4279103","ISSN":"0363-7425","journalAbbreviation":"AMR","author":[{"family":"Fiol","given":"C. Marlene"},{"family":"Lyles","given":"Marjorie A."}],"issued":{"date-parts":[["1985",10,1]]}}}],"schema":"https://github.com/citation-style-language/schema/raw/master/csl-citation.json"} </w:instrText>
      </w:r>
      <w:r w:rsidR="00145B43"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(Day, 1994; Fiol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Lyles, 1985)</w:t>
      </w:r>
      <w:r w:rsidR="00145B43" w:rsidRPr="008C04EC">
        <w:rPr>
          <w:rFonts w:ascii="Times New Roman" w:hAnsi="Times New Roman" w:cs="Times New Roman"/>
          <w:color w:val="000000" w:themeColor="text1"/>
          <w:sz w:val="24"/>
          <w:szCs w:val="24"/>
        </w:rPr>
        <w:fldChar w:fldCharType="end"/>
      </w:r>
      <w:r w:rsidR="00145B43" w:rsidRPr="008C04EC">
        <w:rPr>
          <w:rFonts w:ascii="Times New Roman" w:hAnsi="Times New Roman" w:cs="Times New Roman"/>
          <w:color w:val="000000" w:themeColor="text1"/>
          <w:sz w:val="24"/>
          <w:szCs w:val="24"/>
        </w:rPr>
        <w:t>.</w:t>
      </w:r>
      <w:r w:rsidR="00F741F7" w:rsidRPr="008C04EC">
        <w:rPr>
          <w:rFonts w:ascii="Times New Roman" w:hAnsi="Times New Roman" w:cs="Times New Roman"/>
          <w:color w:val="000000" w:themeColor="text1"/>
          <w:sz w:val="24"/>
          <w:szCs w:val="24"/>
        </w:rPr>
        <w:t xml:space="preserve"> </w:t>
      </w:r>
      <w:r w:rsidR="008716AF" w:rsidRPr="008C04EC">
        <w:rPr>
          <w:rFonts w:ascii="Times New Roman" w:hAnsi="Times New Roman" w:cs="Times New Roman"/>
          <w:color w:val="000000" w:themeColor="text1"/>
          <w:sz w:val="24"/>
          <w:szCs w:val="24"/>
        </w:rPr>
        <w:t xml:space="preserve">To sense new opportunities, </w:t>
      </w:r>
      <w:r w:rsidR="002B74F4" w:rsidRPr="008C04EC">
        <w:rPr>
          <w:rFonts w:ascii="Times New Roman" w:hAnsi="Times New Roman" w:cs="Times New Roman"/>
          <w:color w:val="000000" w:themeColor="text1"/>
          <w:sz w:val="24"/>
          <w:szCs w:val="24"/>
        </w:rPr>
        <w:t xml:space="preserve">managers </w:t>
      </w:r>
      <w:r w:rsidR="008716AF" w:rsidRPr="008C04EC">
        <w:rPr>
          <w:rFonts w:ascii="Times New Roman" w:hAnsi="Times New Roman" w:cs="Times New Roman"/>
          <w:color w:val="000000" w:themeColor="text1"/>
          <w:sz w:val="24"/>
          <w:szCs w:val="24"/>
        </w:rPr>
        <w:t xml:space="preserve">undertake horizon scanning activities, which involve reviewing trade magazines, </w:t>
      </w:r>
      <w:r w:rsidR="005129AF" w:rsidRPr="008C04EC">
        <w:rPr>
          <w:rFonts w:ascii="Times New Roman" w:hAnsi="Times New Roman" w:cs="Times New Roman"/>
          <w:color w:val="000000" w:themeColor="text1"/>
          <w:sz w:val="24"/>
          <w:szCs w:val="24"/>
        </w:rPr>
        <w:t xml:space="preserve">attending </w:t>
      </w:r>
      <w:r w:rsidR="008716AF" w:rsidRPr="008C04EC">
        <w:rPr>
          <w:rFonts w:ascii="Times New Roman" w:hAnsi="Times New Roman" w:cs="Times New Roman"/>
          <w:color w:val="000000" w:themeColor="text1"/>
          <w:sz w:val="24"/>
          <w:szCs w:val="24"/>
        </w:rPr>
        <w:t>conference</w:t>
      </w:r>
      <w:r w:rsidR="005129AF" w:rsidRPr="008C04EC">
        <w:rPr>
          <w:rFonts w:ascii="Times New Roman" w:hAnsi="Times New Roman" w:cs="Times New Roman"/>
          <w:color w:val="000000" w:themeColor="text1"/>
          <w:sz w:val="24"/>
          <w:szCs w:val="24"/>
        </w:rPr>
        <w:t>s</w:t>
      </w:r>
      <w:r w:rsidR="008716AF" w:rsidRPr="008C04EC">
        <w:rPr>
          <w:rFonts w:ascii="Times New Roman" w:hAnsi="Times New Roman" w:cs="Times New Roman"/>
          <w:color w:val="000000" w:themeColor="text1"/>
          <w:sz w:val="24"/>
          <w:szCs w:val="24"/>
        </w:rPr>
        <w:t xml:space="preserve"> and speaking with suppliers and customers to identify new trends and technological breakthroughs </w:t>
      </w:r>
      <w:r w:rsidR="008716AF" w:rsidRPr="008C04EC">
        <w:rPr>
          <w:rFonts w:ascii="Times New Roman" w:hAnsi="Times New Roman" w:cs="Times New Roman"/>
          <w:color w:val="000000" w:themeColor="text1"/>
          <w:sz w:val="24"/>
          <w:szCs w:val="24"/>
        </w:rPr>
        <w:fldChar w:fldCharType="begin"/>
      </w:r>
      <w:r w:rsidR="008716AF" w:rsidRPr="008C04EC">
        <w:rPr>
          <w:rFonts w:ascii="Times New Roman" w:hAnsi="Times New Roman" w:cs="Times New Roman"/>
          <w:color w:val="000000" w:themeColor="text1"/>
          <w:sz w:val="24"/>
          <w:szCs w:val="24"/>
        </w:rPr>
        <w:instrText xml:space="preserve"> ADDIN ZOTERO_ITEM CSL_CITATION {"citationID":"7795tezJ","properties":{"formattedCitation":"(Cousins et al., 2011)","plainCitation":"(Cousins et al., 2011)","noteIndex":0},"citationItems":[{"id":200,"uris":["http://zotero.org/users/3209486/items/R2RSAHRJ"],"uri":["http://zotero.org/users/3209486/items/R2RSAHRJ"],"itemData":{"id":200,"type":"article-journal","title":"Breakthrough Scanning, Supplier Knowledge Exchange, and New Product Development Performance","container-title":"Journal of Product Innovation Management","page":"930-942","volume":"28","issue":"6","abstract":"The ability of a firm to scan its environment for breakthrough innovations and develop new products is increasingly central to business success. However, many firms struggle to develop breakthrough innovations alone, and rely increasingly on their supply base to provide input in processing uncertain and ambiguous technological knowledge. This paper develops a theoretical framework, based in information processing theory, to investigate the effects of breakthrough search behaviors by the buyer firm on their technical proficiency, reliance on supplementary processing capacity with suppliers, and subsequent new product development and financial performance. Using data provided by 111 procurement executives from the United Kingdom, we find support for our hypotheses. Increased breakthrough scanning results in higher firm-level technical proficiency, and also an increase in knowledge sharing with the firm's suppliers. A combination of a firm's technical capabilities and knowledge exchange with suppliers was found to result in improved new product development performance and financial performance. This study extends the supply relationship management and new product development literatures, and suggests implications for both research and practice. [ABSTRACT FROM AUTHOR]\nCopyright of Journal of Product Innovation Management is the property of Wiley-Blackwell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Abstracts.)","ISSN":"07376782","author":[{"family":"Cousins","given":"Paul D."},{"family":"Lawson","given":"Benn"},{"family":"Petersen","given":"Kenneth J."},{"family":"Handfield","given":"Robert B."}],"issued":{"date-parts":[["2011"]]}}}],"schema":"https://github.com/citation-style-language/schema/raw/master/csl-citation.json"} </w:instrText>
      </w:r>
      <w:r w:rsidR="008716AF"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(Cousins et al., 2011)</w:t>
      </w:r>
      <w:r w:rsidR="008716AF" w:rsidRPr="008C04EC">
        <w:rPr>
          <w:rFonts w:ascii="Times New Roman" w:hAnsi="Times New Roman" w:cs="Times New Roman"/>
          <w:color w:val="000000" w:themeColor="text1"/>
          <w:sz w:val="24"/>
          <w:szCs w:val="24"/>
        </w:rPr>
        <w:fldChar w:fldCharType="end"/>
      </w:r>
      <w:r w:rsidR="008716AF" w:rsidRPr="008C04EC">
        <w:rPr>
          <w:rFonts w:ascii="Times New Roman" w:hAnsi="Times New Roman" w:cs="Times New Roman"/>
          <w:color w:val="000000" w:themeColor="text1"/>
          <w:sz w:val="24"/>
          <w:szCs w:val="24"/>
        </w:rPr>
        <w:t>. Integrating suppliers in horizon scanning in</w:t>
      </w:r>
      <w:r w:rsidR="005129AF" w:rsidRPr="008C04EC">
        <w:rPr>
          <w:rFonts w:ascii="Times New Roman" w:hAnsi="Times New Roman" w:cs="Times New Roman"/>
          <w:color w:val="000000" w:themeColor="text1"/>
          <w:sz w:val="24"/>
          <w:szCs w:val="24"/>
        </w:rPr>
        <w:t xml:space="preserve">creases </w:t>
      </w:r>
      <w:r w:rsidR="002B74F4" w:rsidRPr="008C04EC">
        <w:rPr>
          <w:rFonts w:ascii="Times New Roman" w:hAnsi="Times New Roman" w:cs="Times New Roman"/>
          <w:color w:val="000000" w:themeColor="text1"/>
          <w:sz w:val="24"/>
          <w:szCs w:val="24"/>
        </w:rPr>
        <w:t>the activity’s</w:t>
      </w:r>
      <w:r w:rsidR="005129AF" w:rsidRPr="008C04EC">
        <w:rPr>
          <w:rFonts w:ascii="Times New Roman" w:hAnsi="Times New Roman" w:cs="Times New Roman"/>
          <w:color w:val="000000" w:themeColor="text1"/>
          <w:sz w:val="24"/>
          <w:szCs w:val="24"/>
        </w:rPr>
        <w:t xml:space="preserve"> breadth and depth, helping the firm to identify promising innovations and </w:t>
      </w:r>
      <w:r w:rsidR="002B74F4" w:rsidRPr="008C04EC">
        <w:rPr>
          <w:rFonts w:ascii="Times New Roman" w:hAnsi="Times New Roman" w:cs="Times New Roman"/>
          <w:color w:val="000000" w:themeColor="text1"/>
          <w:sz w:val="24"/>
          <w:szCs w:val="24"/>
        </w:rPr>
        <w:t>allowing</w:t>
      </w:r>
      <w:r w:rsidR="005129AF" w:rsidRPr="008C04EC">
        <w:rPr>
          <w:rFonts w:ascii="Times New Roman" w:hAnsi="Times New Roman" w:cs="Times New Roman"/>
          <w:color w:val="000000" w:themeColor="text1"/>
          <w:sz w:val="24"/>
          <w:szCs w:val="24"/>
        </w:rPr>
        <w:t xml:space="preserve"> new information </w:t>
      </w:r>
      <w:r w:rsidR="002B74F4" w:rsidRPr="008C04EC">
        <w:rPr>
          <w:rFonts w:ascii="Times New Roman" w:hAnsi="Times New Roman" w:cs="Times New Roman"/>
          <w:color w:val="000000" w:themeColor="text1"/>
          <w:sz w:val="24"/>
          <w:szCs w:val="24"/>
        </w:rPr>
        <w:t>to be absorbed</w:t>
      </w:r>
      <w:r w:rsidR="005129AF" w:rsidRPr="008C04EC">
        <w:rPr>
          <w:rFonts w:ascii="Times New Roman" w:hAnsi="Times New Roman" w:cs="Times New Roman"/>
          <w:color w:val="000000" w:themeColor="text1"/>
          <w:sz w:val="24"/>
          <w:szCs w:val="24"/>
        </w:rPr>
        <w:t xml:space="preserve"> </w:t>
      </w:r>
      <w:r w:rsidR="005129AF" w:rsidRPr="008C04EC">
        <w:rPr>
          <w:rFonts w:ascii="Times New Roman" w:hAnsi="Times New Roman" w:cs="Times New Roman"/>
          <w:color w:val="000000" w:themeColor="text1"/>
          <w:sz w:val="24"/>
          <w:szCs w:val="24"/>
        </w:rPr>
        <w:fldChar w:fldCharType="begin"/>
      </w:r>
      <w:r w:rsidR="000A1726">
        <w:rPr>
          <w:rFonts w:ascii="Times New Roman" w:hAnsi="Times New Roman" w:cs="Times New Roman"/>
          <w:color w:val="000000" w:themeColor="text1"/>
          <w:sz w:val="24"/>
          <w:szCs w:val="24"/>
        </w:rPr>
        <w:instrText xml:space="preserve"> ADDIN ZOTERO_ITEM CSL_CITATION {"citationID":"aBFBY9r7","properties":{"formattedCitation":"(Cousins et al., 2011)","plainCitation":"(Cousins et al., 2011)","dontUpdate":true,"noteIndex":0},"citationItems":[{"id":200,"uris":["http://zotero.org/users/3209486/items/R2RSAHRJ"],"uri":["http://zotero.org/users/3209486/items/R2RSAHRJ"],"itemData":{"id":200,"type":"article-journal","title":"Breakthrough Scanning, Supplier Knowledge Exchange, and New Product Development Performance","container-title":"Journal of Product Innovation Management","page":"930-942","volume":"28","issue":"6","abstract":"The ability of a firm to scan its environment for breakthrough innovations and develop new products is increasingly central to business success. However, many firms struggle to develop breakthrough innovations alone, and rely increasingly on their supply base to provide input in processing uncertain and ambiguous technological knowledge. This paper develops a theoretical framework, based in information processing theory, to investigate the effects of breakthrough search behaviors by the buyer firm on their technical proficiency, reliance on supplementary processing capacity with suppliers, and subsequent new product development and financial performance. Using data provided by 111 procurement executives from the United Kingdom, we find support for our hypotheses. Increased breakthrough scanning results in higher firm-level technical proficiency, and also an increase in knowledge sharing with the firm's suppliers. A combination of a firm's technical capabilities and knowledge exchange with suppliers was found to result in improved new product development performance and financial performance. This study extends the supply relationship management and new product development literatures, and suggests implications for both research and practice. [ABSTRACT FROM AUTHOR]\nCopyright of Journal of Product Innovation Management is the property of Wiley-Blackwell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Abstracts.)","ISSN":"07376782","author":[{"family":"Cousins","given":"Paul D."},{"family":"Lawson","given":"Benn"},{"family":"Petersen","given":"Kenneth J."},{"family":"Handfield","given":"Robert B."}],"issued":{"date-parts":[["2011"]]}}}],"schema":"https://github.com/citation-style-language/schema/raw/master/csl-citation.json"} </w:instrText>
      </w:r>
      <w:r w:rsidR="005129AF" w:rsidRPr="008C04EC">
        <w:rPr>
          <w:rFonts w:ascii="Times New Roman" w:hAnsi="Times New Roman" w:cs="Times New Roman"/>
          <w:color w:val="000000" w:themeColor="text1"/>
          <w:sz w:val="24"/>
          <w:szCs w:val="24"/>
        </w:rPr>
        <w:fldChar w:fldCharType="separate"/>
      </w:r>
      <w:r w:rsidR="002C05B8" w:rsidRPr="002C05B8">
        <w:rPr>
          <w:rFonts w:ascii="Times New Roman" w:hAnsi="Times New Roman" w:cs="Times New Roman"/>
          <w:sz w:val="24"/>
        </w:rPr>
        <w:t>(Brandon-Jones and Knoppen, 2018; Cousins et al., 2011)</w:t>
      </w:r>
      <w:r w:rsidR="005129AF" w:rsidRPr="008C04EC">
        <w:rPr>
          <w:rFonts w:ascii="Times New Roman" w:hAnsi="Times New Roman" w:cs="Times New Roman"/>
          <w:color w:val="000000" w:themeColor="text1"/>
          <w:sz w:val="24"/>
          <w:szCs w:val="24"/>
        </w:rPr>
        <w:fldChar w:fldCharType="end"/>
      </w:r>
      <w:r w:rsidR="005129AF" w:rsidRPr="008C04EC">
        <w:rPr>
          <w:rFonts w:ascii="Times New Roman" w:hAnsi="Times New Roman" w:cs="Times New Roman"/>
          <w:color w:val="000000" w:themeColor="text1"/>
          <w:sz w:val="24"/>
          <w:szCs w:val="24"/>
        </w:rPr>
        <w:t xml:space="preserve">. </w:t>
      </w:r>
      <w:r w:rsidR="008716AF" w:rsidRPr="008C04EC">
        <w:rPr>
          <w:rFonts w:ascii="Times New Roman" w:hAnsi="Times New Roman" w:cs="Times New Roman"/>
          <w:color w:val="000000" w:themeColor="text1"/>
          <w:sz w:val="24"/>
          <w:szCs w:val="24"/>
        </w:rPr>
        <w:t>Such m</w:t>
      </w:r>
      <w:r w:rsidR="00080D04" w:rsidRPr="008C04EC">
        <w:rPr>
          <w:rFonts w:ascii="Times New Roman" w:hAnsi="Times New Roman" w:cs="Times New Roman"/>
          <w:color w:val="000000" w:themeColor="text1"/>
          <w:sz w:val="24"/>
          <w:szCs w:val="24"/>
        </w:rPr>
        <w:t>arket sensing</w:t>
      </w:r>
      <w:r w:rsidR="008716AF" w:rsidRPr="008C04EC">
        <w:rPr>
          <w:rFonts w:ascii="Times New Roman" w:hAnsi="Times New Roman" w:cs="Times New Roman"/>
          <w:color w:val="000000" w:themeColor="text1"/>
          <w:sz w:val="24"/>
          <w:szCs w:val="24"/>
        </w:rPr>
        <w:t xml:space="preserve"> activities</w:t>
      </w:r>
      <w:r w:rsidR="00080D04" w:rsidRPr="008C04EC">
        <w:rPr>
          <w:rFonts w:ascii="Times New Roman" w:hAnsi="Times New Roman" w:cs="Times New Roman"/>
          <w:color w:val="000000" w:themeColor="text1"/>
          <w:sz w:val="24"/>
          <w:szCs w:val="24"/>
        </w:rPr>
        <w:t xml:space="preserve"> </w:t>
      </w:r>
      <w:r w:rsidRPr="008C04EC">
        <w:rPr>
          <w:rFonts w:ascii="Times New Roman" w:hAnsi="Times New Roman" w:cs="Times New Roman"/>
          <w:color w:val="000000" w:themeColor="text1"/>
          <w:sz w:val="24"/>
          <w:szCs w:val="24"/>
        </w:rPr>
        <w:t xml:space="preserve">allow </w:t>
      </w:r>
      <w:r w:rsidR="008716AF" w:rsidRPr="008C04EC">
        <w:rPr>
          <w:rFonts w:ascii="Times New Roman" w:hAnsi="Times New Roman" w:cs="Times New Roman"/>
          <w:color w:val="000000" w:themeColor="text1"/>
          <w:sz w:val="24"/>
          <w:szCs w:val="24"/>
        </w:rPr>
        <w:t>supply chain partners</w:t>
      </w:r>
      <w:r w:rsidR="005129AF" w:rsidRPr="008C04EC">
        <w:rPr>
          <w:rFonts w:ascii="Times New Roman" w:hAnsi="Times New Roman" w:cs="Times New Roman"/>
          <w:color w:val="000000" w:themeColor="text1"/>
          <w:sz w:val="24"/>
          <w:szCs w:val="24"/>
        </w:rPr>
        <w:t xml:space="preserve"> </w:t>
      </w:r>
      <w:r w:rsidR="008716AF" w:rsidRPr="008C04EC">
        <w:rPr>
          <w:rFonts w:ascii="Times New Roman" w:hAnsi="Times New Roman" w:cs="Times New Roman"/>
          <w:color w:val="000000" w:themeColor="text1"/>
          <w:sz w:val="24"/>
          <w:szCs w:val="24"/>
        </w:rPr>
        <w:t>to develop the structures, technologies and policies</w:t>
      </w:r>
      <w:r w:rsidR="00440A05" w:rsidRPr="008C04EC">
        <w:rPr>
          <w:rFonts w:ascii="Times New Roman" w:hAnsi="Times New Roman" w:cs="Times New Roman"/>
          <w:color w:val="000000" w:themeColor="text1"/>
          <w:sz w:val="24"/>
          <w:szCs w:val="24"/>
        </w:rPr>
        <w:t xml:space="preserve"> needed</w:t>
      </w:r>
      <w:r w:rsidR="008716AF" w:rsidRPr="008C04EC">
        <w:rPr>
          <w:rFonts w:ascii="Times New Roman" w:hAnsi="Times New Roman" w:cs="Times New Roman"/>
          <w:color w:val="000000" w:themeColor="text1"/>
          <w:sz w:val="24"/>
          <w:szCs w:val="24"/>
        </w:rPr>
        <w:t xml:space="preserve"> to respond to market changes in an efficient manner </w:t>
      </w:r>
      <w:r w:rsidR="008716AF" w:rsidRPr="008C04EC">
        <w:rPr>
          <w:rFonts w:ascii="Times New Roman" w:hAnsi="Times New Roman" w:cs="Times New Roman"/>
          <w:color w:val="000000" w:themeColor="text1"/>
          <w:sz w:val="24"/>
          <w:szCs w:val="24"/>
        </w:rPr>
        <w:fldChar w:fldCharType="begin"/>
      </w:r>
      <w:r w:rsidR="008716AF" w:rsidRPr="008C04EC">
        <w:rPr>
          <w:rFonts w:ascii="Times New Roman" w:hAnsi="Times New Roman" w:cs="Times New Roman"/>
          <w:color w:val="000000" w:themeColor="text1"/>
          <w:sz w:val="24"/>
          <w:szCs w:val="24"/>
        </w:rPr>
        <w:instrText xml:space="preserve"> ADDIN ZOTERO_ITEM CSL_CITATION {"citationID":"UcAS0Bx7","properties":{"formattedCitation":"(Ngai et al., 2011)","plainCitation":"(Ngai et al., 2011)","noteIndex":0},"citationItems":[{"id":4295,"uris":["http://zotero.org/users/3209486/items/6FPC45DH"],"uri":["http://zotero.org/users/3209486/items/6FPC45DH"],"itemData":{"id":4295,"type":"article-journal","title":"Information technology, operational, and management competencies for supply chain agility: Findings from case studies","container-title":"Special Issue: Strategic Enterprise Information Systems for Global Supply Chain Competitiveness","page":"232-249","volume":"20","issue":"3","abstract":"Given the growing emphasis on the need for supply chain agility to sustain competitive advantage, this study explores the impact of the relationship between supply chain competence and supply chain agility on firm performance. Although the influence of supply chain agility on firm performance has been acknowledged, this study further articulates the relationship from the perspective of inter-organizational collaboration. We develop a conceptual model based on the resource-based view and employ a multi-case study method in this exploratory research. Our findings highlight the importance of distinguishing the difference between supply chain agility and supply chain competence and their impact on firm performance. This study contributes to the growing body of conceptual and empirical literature on supply chain agility and adds to the understanding of the complexity of supply chain competence.","DOI":"10.1016/j.jsis.2010.11.002","ISSN":"0963-8687","journalAbbreviation":"The Journal of Strategic Information Systems","author":[{"family":"Ngai","given":"Eric W.T."},{"family":"Chau","given":"Dorothy C.K."},{"family":"Chan","given":"T.L.A."}],"issued":{"date-parts":[["2011",9,1]]}}}],"schema":"https://github.com/citation-style-language/schema/raw/master/csl-citation.json"} </w:instrText>
      </w:r>
      <w:r w:rsidR="008716AF"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(Ngai et al., 2011)</w:t>
      </w:r>
      <w:r w:rsidR="008716AF" w:rsidRPr="008C04EC">
        <w:rPr>
          <w:rFonts w:ascii="Times New Roman" w:hAnsi="Times New Roman" w:cs="Times New Roman"/>
          <w:color w:val="000000" w:themeColor="text1"/>
          <w:sz w:val="24"/>
          <w:szCs w:val="24"/>
        </w:rPr>
        <w:fldChar w:fldCharType="end"/>
      </w:r>
      <w:r w:rsidR="005129AF" w:rsidRPr="008C04EC">
        <w:rPr>
          <w:rFonts w:ascii="Times New Roman" w:hAnsi="Times New Roman" w:cs="Times New Roman"/>
          <w:color w:val="000000" w:themeColor="text1"/>
          <w:sz w:val="24"/>
          <w:szCs w:val="24"/>
        </w:rPr>
        <w:t>.</w:t>
      </w:r>
      <w:r w:rsidR="00145B43" w:rsidRPr="008C04EC">
        <w:rPr>
          <w:rFonts w:ascii="Times New Roman" w:hAnsi="Times New Roman" w:cs="Times New Roman"/>
          <w:color w:val="000000" w:themeColor="text1"/>
          <w:sz w:val="24"/>
          <w:szCs w:val="24"/>
        </w:rPr>
        <w:t xml:space="preserve"> Market sensing becomes a dynamic capability, when the intended use is to </w:t>
      </w:r>
      <w:r w:rsidRPr="008C04EC">
        <w:rPr>
          <w:rFonts w:ascii="Times New Roman" w:hAnsi="Times New Roman" w:cs="Times New Roman"/>
          <w:color w:val="000000" w:themeColor="text1"/>
          <w:sz w:val="24"/>
          <w:szCs w:val="24"/>
        </w:rPr>
        <w:t>affect</w:t>
      </w:r>
      <w:r w:rsidR="00440A05" w:rsidRPr="008C04EC">
        <w:rPr>
          <w:rFonts w:ascii="Times New Roman" w:hAnsi="Times New Roman" w:cs="Times New Roman"/>
          <w:color w:val="000000" w:themeColor="text1"/>
          <w:sz w:val="24"/>
          <w:szCs w:val="24"/>
        </w:rPr>
        <w:t xml:space="preserve"> change within the firm</w:t>
      </w:r>
      <w:r w:rsidRPr="008C04EC">
        <w:rPr>
          <w:rFonts w:ascii="Times New Roman" w:hAnsi="Times New Roman" w:cs="Times New Roman"/>
          <w:color w:val="000000" w:themeColor="text1"/>
          <w:sz w:val="24"/>
          <w:szCs w:val="24"/>
        </w:rPr>
        <w:t>’</w:t>
      </w:r>
      <w:r w:rsidR="00440A05" w:rsidRPr="008C04EC">
        <w:rPr>
          <w:rFonts w:ascii="Times New Roman" w:hAnsi="Times New Roman" w:cs="Times New Roman"/>
          <w:color w:val="000000" w:themeColor="text1"/>
          <w:sz w:val="24"/>
          <w:szCs w:val="24"/>
        </w:rPr>
        <w:t>s tangible and intangible assets</w:t>
      </w:r>
      <w:r w:rsidR="00145B43" w:rsidRPr="008C04EC">
        <w:rPr>
          <w:rFonts w:ascii="Times New Roman" w:hAnsi="Times New Roman" w:cs="Times New Roman"/>
          <w:color w:val="000000" w:themeColor="text1"/>
          <w:sz w:val="24"/>
          <w:szCs w:val="24"/>
        </w:rPr>
        <w:t xml:space="preserve">, such as absorbing novel technological information when </w:t>
      </w:r>
      <w:r w:rsidR="00145B43" w:rsidRPr="008C04EC">
        <w:rPr>
          <w:rFonts w:ascii="Times New Roman" w:hAnsi="Times New Roman" w:cs="Times New Roman"/>
          <w:color w:val="000000" w:themeColor="text1"/>
          <w:sz w:val="24"/>
          <w:szCs w:val="24"/>
        </w:rPr>
        <w:lastRenderedPageBreak/>
        <w:t xml:space="preserve">developing new products </w:t>
      </w:r>
      <w:r w:rsidR="00145B43" w:rsidRPr="008C04EC">
        <w:rPr>
          <w:rFonts w:ascii="Times New Roman" w:hAnsi="Times New Roman" w:cs="Times New Roman"/>
          <w:color w:val="000000" w:themeColor="text1"/>
          <w:sz w:val="24"/>
          <w:szCs w:val="24"/>
        </w:rPr>
        <w:fldChar w:fldCharType="begin"/>
      </w:r>
      <w:r w:rsidR="00E559B2">
        <w:rPr>
          <w:rFonts w:ascii="Times New Roman" w:hAnsi="Times New Roman" w:cs="Times New Roman"/>
          <w:color w:val="000000" w:themeColor="text1"/>
          <w:sz w:val="24"/>
          <w:szCs w:val="24"/>
        </w:rPr>
        <w:instrText xml:space="preserve"> ADDIN ZOTERO_ITEM CSL_CITATION {"citationID":"sQerW3rf","properties":{"formattedCitation":"(Bharadwaj and Dong, 2013)","plainCitation":"(Bharadwaj and Dong, 2013)","dontUpdate":true,"noteIndex":0},"citationItems":[{"id":1716,"uris":["http://zotero.org/users/3209486/items/ZJ9MR7YM"],"uri":["http://zotero.org/users/3209486/items/ZJ9MR7YM"],"itemData":{"id":1716,"type":"article-journal","title":"Toward Further Understanding the Market‐sensing Capability–Value Creation Relationship","container-title":"Journal of Product Innovation Management","page":"799-813","volume":"31","issue":"4","abstract":"Earlier writings have speculated that the components of customer focus may have differential effects on customer value. This research is responsive to this call as it identifies the behavioral and cultural components that underlie a market?sensing capability (i.e., customer focus), and undertakes a finer?grained examination of the impact of the routines through which customer focus is manifested. Specifically, this research investigates the market learning activities (ML) that can affect the depth of the understanding achieved regarding the buyer's requirements and usage context, and the customer?oriented practices (CO) that can affect the breadth of potential solutions generated to address those requirements. Given the possibility that some buyers may have more sophisticated needs, the role of a customer's performance standards is also considered as a moderating variable. Based on data collected from computer and electronics manufacturers via two separate surveys, the results support that a supplier's ML and CO, respectively, affect perceived customer value. The results also show that a customer's performance standards do not moderate the ML?customer value relationship. Regardless of whether the customer's performance standards (along the lines of product quality, defect rates, and on?time delivery) are high or low, the seller must be adept at discerning changes in the buying firm's requirements and operational realities. Thus, market learning practices are needed across all customers in order for the supplier to remain synchronized with market changes and deliver superior value to them. Additionally, the results support that the positive association between a seller's CO and perceived customer value is stronger when buyers have more demanding performance standards. The generation of a broader array of potential solutions that is commensurate with a more outward focus is likely to be needed to satisfy customers with more stringent requirements. The disaggregated approach taken in this research contributes to theory by (1) providing greater insight into the domain of the customer focus construct, (2) tracing the mechanisms through which customer focus is reified, and (3) evaluating the possibility that the components of customer focus may have differential effects on customer value. The main practical implication stems from the proposal that market sensing can serve as a core competence and thereby provide the foundation for differential advantage.","DOI":"10.1111/jpim.12124","ISSN":"0737-6782","journalAbbreviation":"Journal of Product Innovation Management","author":[{"family":"Bharadwaj","given":"Neeraj"},{"family":"Dong","given":"Yuexiao"}],"issued":{"date-parts":[["2013",11,3]]}}}],"schema":"https://github.com/citation-style-language/schema/raw/master/csl-citation.json"} </w:instrText>
      </w:r>
      <w:r w:rsidR="00145B43"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 xml:space="preserve">(Bharadwaj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Dong, 2013)</w:t>
      </w:r>
      <w:r w:rsidR="00145B43" w:rsidRPr="008C04EC">
        <w:rPr>
          <w:rFonts w:ascii="Times New Roman" w:hAnsi="Times New Roman" w:cs="Times New Roman"/>
          <w:color w:val="000000" w:themeColor="text1"/>
          <w:sz w:val="24"/>
          <w:szCs w:val="24"/>
        </w:rPr>
        <w:fldChar w:fldCharType="end"/>
      </w:r>
      <w:r w:rsidR="00440A05" w:rsidRPr="008C04EC">
        <w:rPr>
          <w:rFonts w:ascii="Times New Roman" w:hAnsi="Times New Roman" w:cs="Times New Roman"/>
          <w:color w:val="000000" w:themeColor="text1"/>
          <w:sz w:val="24"/>
          <w:szCs w:val="24"/>
        </w:rPr>
        <w:t xml:space="preserve">. Market sensing becomes a dynamic supply chain capability when supply chain partners actively scan the market for new knowledge and innovation and use this information to alter the supply chain’s resource base </w:t>
      </w:r>
      <w:r w:rsidR="00440A05" w:rsidRPr="008C04EC">
        <w:rPr>
          <w:rFonts w:ascii="Times New Roman" w:hAnsi="Times New Roman" w:cs="Times New Roman"/>
          <w:color w:val="000000" w:themeColor="text1"/>
          <w:sz w:val="24"/>
          <w:szCs w:val="24"/>
        </w:rPr>
        <w:fldChar w:fldCharType="begin"/>
      </w:r>
      <w:r w:rsidR="00CB0F57" w:rsidRPr="008C04EC">
        <w:rPr>
          <w:rFonts w:ascii="Times New Roman" w:hAnsi="Times New Roman" w:cs="Times New Roman"/>
          <w:color w:val="000000" w:themeColor="text1"/>
          <w:sz w:val="24"/>
          <w:szCs w:val="24"/>
        </w:rPr>
        <w:instrText xml:space="preserve"> ADDIN ZOTERO_ITEM CSL_CITATION {"citationID":"HvT3zcyW","properties":{"formattedCitation":"(Aslam et al., 2018; Tse et al., 2016)","plainCitation":"(Aslam et al., 2018; Tse et al., 2016)","noteIndex":0},"citationItems":[{"id":1677,"uris":["http://zotero.org/users/3209486/items/QXLGUB6Z"],"uri":["http://zotero.org/users/3209486/items/QXLGUB6Z"],"itemData":{"id":1677,"type":"article-journal","title":"Dynamic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M."}],"issued":{"date-parts":[["2018"]]}}},{"id":980,"uris":["http://zotero.org/users/3209486/items/64QSFAAG"],"uri":["http://zotero.org/users/3209486/items/64QSFAAG"],"itemData":{"id":980,"type":"article-journal","title":"Embracing supply chain agility: an investigation in the electronics industry","container-title":"Supply Chain Management: An International Journal","page":"140-156","volume":"21","issue":"1","abstract":"Purpose ? This paper aims to identify the antecedents of firm?s supply chain agility (SC agility) and how SC agility impacts on firm?s performance. Design/methodology/approach ? Based on a comprehensive literature review, a conceptual model was proposed, in which the interrelated hypotheses were tested by structural equation modelling methodology using a dataset collected from 266 Chinese electronics firms. Findings ? Initially, it was found that SC integration and external learning positively influenced SC agility. Second, the results indicated that firm?s performance is positively impacted by SC agility. Moreover, SC agility also fully mediated the effect of SC integration on firm?s performance and the effect of external learning on firm?s performance. Research limitations/implications ? The generalizability of this research sample might be the major limitation of this study. Therefore, future research can adopt other industry sectors samples, such as automobile manufacturing, or other country samples to validate the research model. Practical implications ? This research outlines strategies for better preparedness to achieve SCs to be agile which is a core competency of electronic firms in emerging market. Findings reveal that the external coordination practices ? external learning and SC integration ? are important factors of SC agility. In addition, the findings contribute to understanding the important role of SC agility in improving firm?s performance. Originality/value ? This research examines the impact of two antecedents (i.e. SC integration and external learning) on SC agility and is the first empirical research to analyze the mediation effect of SC agility on the relationship between SC integration and firm performance and the relationship between external learning and firm performance.","DOI":"10.1108/SCM-06-2015-0237","ISSN":"1359-8546","journalAbbreviation":"Supp Chain Mnagmnt","author":[{"family":"Tse","given":"Ying Kei"},{"family":"Zhang","given":"Minhao"},{"family":"Akhtar","given":"Pervaiz"},{"family":"MacBryde","given":"Jill"}],"issued":{"date-parts":[["2016",1,8]]}}}],"schema":"https://github.com/citation-style-language/schema/raw/master/csl-citation.json"} </w:instrText>
      </w:r>
      <w:r w:rsidR="00440A05"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(Aslam et al., 2018; Tse et al., 2016)</w:t>
      </w:r>
      <w:r w:rsidR="00440A05" w:rsidRPr="008C04EC">
        <w:rPr>
          <w:rFonts w:ascii="Times New Roman" w:hAnsi="Times New Roman" w:cs="Times New Roman"/>
          <w:color w:val="000000" w:themeColor="text1"/>
          <w:sz w:val="24"/>
          <w:szCs w:val="24"/>
        </w:rPr>
        <w:fldChar w:fldCharType="end"/>
      </w:r>
      <w:r w:rsidR="00440A05" w:rsidRPr="008C04EC">
        <w:rPr>
          <w:rFonts w:ascii="Times New Roman" w:hAnsi="Times New Roman" w:cs="Times New Roman"/>
          <w:color w:val="000000" w:themeColor="text1"/>
          <w:sz w:val="24"/>
          <w:szCs w:val="24"/>
        </w:rPr>
        <w:t>.</w:t>
      </w:r>
    </w:p>
    <w:p w14:paraId="172CBAFB" w14:textId="37FAA3F1" w:rsidR="00F03E69" w:rsidRPr="008C04EC" w:rsidRDefault="00CB0F57" w:rsidP="002C628D">
      <w:pPr>
        <w:spacing w:after="0" w:line="480" w:lineRule="auto"/>
        <w:ind w:firstLine="567"/>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 xml:space="preserve">Collectively, market sensing, supply chain agility and </w:t>
      </w:r>
      <w:r w:rsidR="003917C4">
        <w:rPr>
          <w:rFonts w:ascii="Times New Roman" w:hAnsi="Times New Roman" w:cs="Times New Roman"/>
          <w:color w:val="000000" w:themeColor="text1"/>
          <w:sz w:val="24"/>
          <w:szCs w:val="24"/>
        </w:rPr>
        <w:t xml:space="preserve">supply chain </w:t>
      </w:r>
      <w:r w:rsidRPr="008C04EC">
        <w:rPr>
          <w:rFonts w:ascii="Times New Roman" w:hAnsi="Times New Roman" w:cs="Times New Roman"/>
          <w:color w:val="000000" w:themeColor="text1"/>
          <w:sz w:val="24"/>
          <w:szCs w:val="24"/>
        </w:rPr>
        <w:t xml:space="preserve">adaptability </w:t>
      </w:r>
      <w:r w:rsidR="00F03E69" w:rsidRPr="008C04EC">
        <w:rPr>
          <w:rFonts w:ascii="Times New Roman" w:hAnsi="Times New Roman" w:cs="Times New Roman"/>
          <w:color w:val="000000" w:themeColor="text1"/>
          <w:sz w:val="24"/>
          <w:szCs w:val="24"/>
        </w:rPr>
        <w:t>act as a</w:t>
      </w:r>
      <w:r w:rsidRPr="008C04EC">
        <w:rPr>
          <w:rFonts w:ascii="Times New Roman" w:hAnsi="Times New Roman" w:cs="Times New Roman"/>
          <w:color w:val="000000" w:themeColor="text1"/>
          <w:sz w:val="24"/>
          <w:szCs w:val="24"/>
        </w:rPr>
        <w:t xml:space="preserve"> coherent cluster of DSCCs because they allow supply chain partners to </w:t>
      </w:r>
      <w:r w:rsidRPr="008C04EC">
        <w:rPr>
          <w:rFonts w:ascii="Times New Roman" w:hAnsi="Times New Roman" w:cs="Times New Roman"/>
          <w:i/>
          <w:color w:val="000000" w:themeColor="text1"/>
          <w:sz w:val="24"/>
          <w:szCs w:val="24"/>
        </w:rPr>
        <w:t>sense</w:t>
      </w:r>
      <w:r w:rsidRPr="008C04EC">
        <w:rPr>
          <w:rFonts w:ascii="Times New Roman" w:hAnsi="Times New Roman" w:cs="Times New Roman"/>
          <w:color w:val="000000" w:themeColor="text1"/>
          <w:sz w:val="24"/>
          <w:szCs w:val="24"/>
        </w:rPr>
        <w:t xml:space="preserve"> new market opportunities, to </w:t>
      </w:r>
      <w:r w:rsidRPr="008C04EC">
        <w:rPr>
          <w:rFonts w:ascii="Times New Roman" w:hAnsi="Times New Roman" w:cs="Times New Roman"/>
          <w:i/>
          <w:color w:val="000000" w:themeColor="text1"/>
          <w:sz w:val="24"/>
          <w:szCs w:val="24"/>
        </w:rPr>
        <w:t>seize</w:t>
      </w:r>
      <w:r w:rsidRPr="008C04EC">
        <w:rPr>
          <w:rFonts w:ascii="Times New Roman" w:hAnsi="Times New Roman" w:cs="Times New Roman"/>
          <w:color w:val="000000" w:themeColor="text1"/>
          <w:sz w:val="24"/>
          <w:szCs w:val="24"/>
        </w:rPr>
        <w:t xml:space="preserve"> these opportunities in the short term, and to </w:t>
      </w:r>
      <w:r w:rsidRPr="008C04EC">
        <w:rPr>
          <w:rFonts w:ascii="Times New Roman" w:hAnsi="Times New Roman" w:cs="Times New Roman"/>
          <w:i/>
          <w:color w:val="000000" w:themeColor="text1"/>
          <w:sz w:val="24"/>
          <w:szCs w:val="24"/>
        </w:rPr>
        <w:t>transform</w:t>
      </w:r>
      <w:r w:rsidRPr="008C04EC">
        <w:rPr>
          <w:rFonts w:ascii="Times New Roman" w:hAnsi="Times New Roman" w:cs="Times New Roman"/>
          <w:color w:val="000000" w:themeColor="text1"/>
          <w:sz w:val="24"/>
          <w:szCs w:val="24"/>
        </w:rPr>
        <w:t xml:space="preserve"> supply chain r</w:t>
      </w:r>
      <w:r w:rsidR="003853E6" w:rsidRPr="008C04EC">
        <w:rPr>
          <w:rFonts w:ascii="Times New Roman" w:hAnsi="Times New Roman" w:cs="Times New Roman"/>
          <w:color w:val="000000" w:themeColor="text1"/>
          <w:sz w:val="24"/>
          <w:szCs w:val="24"/>
        </w:rPr>
        <w:t>esources in the longer-</w:t>
      </w:r>
      <w:r w:rsidRPr="008C04EC">
        <w:rPr>
          <w:rFonts w:ascii="Times New Roman" w:hAnsi="Times New Roman" w:cs="Times New Roman"/>
          <w:color w:val="000000" w:themeColor="text1"/>
          <w:sz w:val="24"/>
          <w:szCs w:val="24"/>
        </w:rPr>
        <w:t>term to match a</w:t>
      </w:r>
      <w:r w:rsidR="003853E6" w:rsidRPr="008C04EC">
        <w:rPr>
          <w:rFonts w:ascii="Times New Roman" w:hAnsi="Times New Roman" w:cs="Times New Roman"/>
          <w:color w:val="000000" w:themeColor="text1"/>
          <w:sz w:val="24"/>
          <w:szCs w:val="24"/>
        </w:rPr>
        <w:t xml:space="preserve">nticipated marketplace changes </w:t>
      </w:r>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ZOTERO_ITEM CSL_CITATION {"citationID":"CvdnpZ66","properties":{"formattedCitation":"(Aslam et al., 2018)","plainCitation":"(Aslam et al., 2018)","noteIndex":0},"citationItems":[{"id":1677,"uris":["http://zotero.org/users/3209486/items/QXLGUB6Z"],"uri":["http://zotero.org/users/3209486/items/QXLGUB6Z"],"itemData":{"id":1677,"type":"article-journal","title":"Dynamic Supply Chain Capabilities: how market sensing, supply chain agility and adaptability affect supply chain ambidexterity","container-title":"International Journal of Operations &amp; Production Management","abstract":"Abstract: \nPurpose: This paper positions market sensing, supply chain agility and supply chain adaptability as a coherent cluster of dynamic supply chain capabilities. The purpose of the paper is to understand how dynamic supply chain capabilities interrelate and their effect on supply chain ambidexterity.\nDesign/methodology/approach: Based on a survey of Pakistani manufacturing firms, a theoretically-derived model was tested in a structural equation model. \nFindings: The results of the study show that a market-sensing capability is an antecedent of supply chain agility and supply chain adaptability. Furthermore, supply chain agility, directly, and supply chain adaptability, indirectly, affect supply chain ambidexterity. Supply chain agility therefore mediates the relationship between supply chain adaptability and supply chain ambidexterity.\nOriginality/value: The contribution of this study lies in: (1) identifying dynamic capability clusters relevant for achieving supply chain ambidexterity;(2) evaluating performance implications of dynamic capabilities in the supply chain, specifically supply chain agility and adaptability; and (3) proposing a unique measurement of supply chain ambidexterity in the light supply chain theory, and empirically evaluating the relationship between dynamic capabilities and supply chain ambidexterity.\nKeywords: Market sensing, supply chain agility, supply chain adaptability, supply chain ambidexterity, dynamic capabilities view, survey","author":[{"family":"Aslam","given":"Haris"},{"family":"Blome","given":"Constantin"},{"family":"Roscoe","given":"Samuel"},{"family":"Azhar","given":"Tashfeen M."}],"issued":{"date-parts":[["2018"]]}}}],"schema":"https://github.com/citation-style-language/schema/raw/master/csl-citation.json"}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(Aslam et al., 2018)</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w:t>
      </w:r>
      <w:r w:rsidR="00734E67">
        <w:rPr>
          <w:rFonts w:ascii="Times New Roman" w:hAnsi="Times New Roman" w:cs="Times New Roman"/>
          <w:color w:val="000000" w:themeColor="text1"/>
          <w:sz w:val="24"/>
          <w:szCs w:val="24"/>
        </w:rPr>
        <w:t xml:space="preserve">An emergent body of literature has found a positive relationship between the development of DSCCs and </w:t>
      </w:r>
      <w:r w:rsidR="00E234E1">
        <w:rPr>
          <w:rFonts w:ascii="Times New Roman" w:hAnsi="Times New Roman" w:cs="Times New Roman"/>
          <w:color w:val="000000" w:themeColor="text1"/>
          <w:sz w:val="24"/>
          <w:szCs w:val="24"/>
        </w:rPr>
        <w:t xml:space="preserve">firm performance. For example, Ju et al. </w:t>
      </w:r>
      <w:r w:rsidR="00E234E1">
        <w:rPr>
          <w:rFonts w:ascii="Times New Roman" w:hAnsi="Times New Roman" w:cs="Times New Roman"/>
          <w:color w:val="000000" w:themeColor="text1"/>
          <w:sz w:val="24"/>
          <w:szCs w:val="24"/>
        </w:rPr>
        <w:fldChar w:fldCharType="begin"/>
      </w:r>
      <w:r w:rsidR="00E234E1">
        <w:rPr>
          <w:rFonts w:ascii="Times New Roman" w:hAnsi="Times New Roman" w:cs="Times New Roman"/>
          <w:color w:val="000000" w:themeColor="text1"/>
          <w:sz w:val="24"/>
          <w:szCs w:val="24"/>
        </w:rPr>
        <w:instrText xml:space="preserve"> ADDIN ZOTERO_ITEM CSL_CITATION {"citationID":"Bs6KvXVE","properties":{"formattedCitation":"(2016)","plainCitation":"(2016)","noteIndex":0},"citationItems":[{"id":4425,"uris":["http://zotero.org/users/3209486/items/23D9H5AU"],"uri":["http://zotero.org/users/3209486/items/23D9H5AU"],"itemData":{"id":4425,"type":"article-journal","title":"Causal Relationship between Supply Chain Dynamic Capabilities, Technological Innovation, and Operational Performance","container-title":"Management and Production Engineering Review","page":"6-15","volume":"7","issue":"4","DOI":"10.1515/mper-2016-0031","journalAbbreviation":"Management and Production Engineering Review","language":"English","author":[{"family":"Ju","given":"Ki-Jung"},{"family":"Park","given":"Byeonghwa"},{"family":"Kim","given":"Taikyoo"}],"issued":{"date-parts":[["2016"]]}},"suppress-author":true}],"schema":"https://github.com/citation-style-language/schema/raw/master/csl-citation.json"} </w:instrText>
      </w:r>
      <w:r w:rsidR="00E234E1">
        <w:rPr>
          <w:rFonts w:ascii="Times New Roman" w:hAnsi="Times New Roman" w:cs="Times New Roman"/>
          <w:color w:val="000000" w:themeColor="text1"/>
          <w:sz w:val="24"/>
          <w:szCs w:val="24"/>
        </w:rPr>
        <w:fldChar w:fldCharType="separate"/>
      </w:r>
      <w:r w:rsidR="00E234E1" w:rsidRPr="00E234E1">
        <w:rPr>
          <w:rFonts w:ascii="Times New Roman" w:hAnsi="Times New Roman" w:cs="Times New Roman"/>
          <w:sz w:val="24"/>
        </w:rPr>
        <w:t>(2016)</w:t>
      </w:r>
      <w:r w:rsidR="00E234E1">
        <w:rPr>
          <w:rFonts w:ascii="Times New Roman" w:hAnsi="Times New Roman" w:cs="Times New Roman"/>
          <w:color w:val="000000" w:themeColor="text1"/>
          <w:sz w:val="24"/>
          <w:szCs w:val="24"/>
        </w:rPr>
        <w:fldChar w:fldCharType="end"/>
      </w:r>
      <w:r w:rsidR="00E234E1">
        <w:rPr>
          <w:rFonts w:ascii="Times New Roman" w:hAnsi="Times New Roman" w:cs="Times New Roman"/>
          <w:color w:val="000000" w:themeColor="text1"/>
          <w:sz w:val="24"/>
          <w:szCs w:val="24"/>
        </w:rPr>
        <w:t xml:space="preserve"> found that DSCCs positively influence </w:t>
      </w:r>
      <w:r w:rsidR="00734E67">
        <w:rPr>
          <w:rFonts w:ascii="Times New Roman" w:hAnsi="Times New Roman" w:cs="Times New Roman"/>
          <w:color w:val="000000" w:themeColor="text1"/>
          <w:sz w:val="24"/>
          <w:szCs w:val="24"/>
        </w:rPr>
        <w:t>technological innovation and operationa</w:t>
      </w:r>
      <w:r w:rsidR="00E234E1">
        <w:rPr>
          <w:rFonts w:ascii="Times New Roman" w:hAnsi="Times New Roman" w:cs="Times New Roman"/>
          <w:color w:val="000000" w:themeColor="text1"/>
          <w:sz w:val="24"/>
          <w:szCs w:val="24"/>
        </w:rPr>
        <w:t>l performance</w:t>
      </w:r>
      <w:r w:rsidR="00734E67">
        <w:rPr>
          <w:rFonts w:ascii="Times New Roman" w:hAnsi="Times New Roman" w:cs="Times New Roman"/>
          <w:color w:val="000000" w:themeColor="text1"/>
          <w:sz w:val="24"/>
          <w:szCs w:val="24"/>
        </w:rPr>
        <w:fldChar w:fldCharType="begin"/>
      </w:r>
      <w:r w:rsidR="009330EA">
        <w:rPr>
          <w:rFonts w:ascii="Times New Roman" w:hAnsi="Times New Roman" w:cs="Times New Roman"/>
          <w:color w:val="000000" w:themeColor="text1"/>
          <w:sz w:val="24"/>
          <w:szCs w:val="24"/>
        </w:rPr>
        <w:instrText xml:space="preserve"> ADDIN ZOTERO_ITEM CSL_CITATION {"citationID":"9wlvr1D7","properties":{"formattedCitation":"(Ju et al., 2016)","plainCitation":"(Ju et al., 2016)","dontUpdate":true,"noteIndex":0},"citationItems":[{"id":4425,"uris":["http://zotero.org/users/3209486/items/23D9H5AU"],"uri":["http://zotero.org/users/3209486/items/23D9H5AU"],"itemData":{"id":4425,"type":"article-journal","title":"Causal Relationship between Supply Chain Dynamic Capabilities, Technological Innovation, and Operational Performance","container-title":"Management and Production Engineering Review","page":"6-15","volume":"7","issue":"4","DOI":"10.1515/mper-2016-0031","journalAbbreviation":"Management and Production Engineering Review","language":"English","author":[{"family":"Ju","given":"Ki-Jung"},{"family":"Park","given":"Byeonghwa"},{"family":"Kim","given":"Taikyoo"}],"issued":{"date-parts":[["2016"]]}}}],"schema":"https://github.com/citation-style-language/schema/raw/master/csl-citation.json"} </w:instrText>
      </w:r>
      <w:r w:rsidR="00734E67">
        <w:rPr>
          <w:rFonts w:ascii="Times New Roman" w:hAnsi="Times New Roman" w:cs="Times New Roman"/>
          <w:color w:val="000000" w:themeColor="text1"/>
          <w:sz w:val="24"/>
          <w:szCs w:val="24"/>
        </w:rPr>
        <w:fldChar w:fldCharType="end"/>
      </w:r>
      <w:r w:rsidR="00734E67">
        <w:rPr>
          <w:rFonts w:ascii="Times New Roman" w:hAnsi="Times New Roman" w:cs="Times New Roman"/>
          <w:color w:val="000000" w:themeColor="text1"/>
          <w:sz w:val="24"/>
          <w:szCs w:val="24"/>
        </w:rPr>
        <w:t>. Other authors have found that DSCCs positively influence the sustainability o</w:t>
      </w:r>
      <w:r w:rsidR="00E234E1">
        <w:rPr>
          <w:rFonts w:ascii="Times New Roman" w:hAnsi="Times New Roman" w:cs="Times New Roman"/>
          <w:color w:val="000000" w:themeColor="text1"/>
          <w:sz w:val="24"/>
          <w:szCs w:val="24"/>
        </w:rPr>
        <w:t xml:space="preserve">f supply chains </w:t>
      </w:r>
      <w:r w:rsidR="00E234E1">
        <w:rPr>
          <w:rFonts w:ascii="Times New Roman" w:hAnsi="Times New Roman" w:cs="Times New Roman"/>
          <w:color w:val="000000" w:themeColor="text1"/>
          <w:sz w:val="24"/>
          <w:szCs w:val="24"/>
        </w:rPr>
        <w:fldChar w:fldCharType="begin"/>
      </w:r>
      <w:r w:rsidR="00E234E1">
        <w:rPr>
          <w:rFonts w:ascii="Times New Roman" w:hAnsi="Times New Roman" w:cs="Times New Roman"/>
          <w:color w:val="000000" w:themeColor="text1"/>
          <w:sz w:val="24"/>
          <w:szCs w:val="24"/>
        </w:rPr>
        <w:instrText xml:space="preserve"> ADDIN ZOTERO_ITEM CSL_CITATION {"citationID":"BIzICBCS","properties":{"formattedCitation":"(Beske, 2012; Beske et al., 2014; Hong et al., 2018)","plainCitation":"(Beske, 2012; Beske et al., 2014; Hong et al., 2018)","noteIndex":0},"citationItems":[{"id":230,"uris":["http://zotero.org/users/3209486/items/KVZX4DMN"],"uri":["http://zotero.org/users/3209486/items/KVZX4DMN"],"itemData":{"id":230,"type":"article-journal","title":"Dynamic capabilities and sustainable supply chain management","container-title":"International Journal of Physical Distribution &amp; Logistics Management","page":"372-387","volume":"42","issue":"4","abstract":"Purpose - Most sustainable supply chains are situated in dynamic environments, which leads to the assumption that management of such chains requires the application of dynamic management theories, such as the dynamic capabilities (DC) concept. In spite of this, DCs have only scarcely been taken up in (sustainable) supply chain management (SSCM) research. The purpose of this paper is twofold: first, to discuss the complementarities of DCs and SSCM research; and second, to develop a framework which integrates DCs in SSCM practices. Design/methodology/approach - The paper is conceptual in nature and grounded in SSCM and DC theory. Relevant literature from the SCM, SSCM and DC context has been scrutinized. In total, three models from SSCM and DC literature, together with related inputs from other literature sources, have been conjoined. Findings - DC and SSCM are linked through similar environmental and organizational conditions, making the application of DC concepts in the field of SSCM a logical choice. The framework embeds specific DCs into SSCM practices. Research limitations/implications - The presented framework is a step towards building an analytical basis for future empirical research in this area. Discussion on the nature of DCs is still going on, as well as on how to measure supply chain performance. The framework can only give indications and help in the theory building process. Furthermore, the underlying frameworks used for the development of the framework presented here have been derived through different methodologies and not all of them have, as yet, been (fully) empirically tested. Practical implications - Investment in DCs and implementation of SSCM practices improves the agility of the overall supply chain and can lead to higher performance against the three dimensions of sustainability. Originality/value - The paper is the first explicit framework linking SSCM and DC theory. The framework shows that the DC concept can be and indeed should be applied to SSCM research and practice. Furthermore, explicit DCs are put forward. It is a step towards building an analytical basis for future empirical research in this area.","ISSN":"0960-0035","author":[{"family":"Beske","given":"Philip"}],"issued":{"date-parts":[["2012"]]}}},{"id":4426,"uris":["http://zotero.org/users/3209486/items/I7EZ8CLD"],"uri":["http://zotero.org/users/3209486/items/I7EZ8CLD"],"itemData":{"id":4426,"type":"article-journal","title":"Sustainable supply chain management practices and dynamic capabilities in the food industry: A critical analysis of the literature","container-title":"Sustainable Food Supply Chain Management","page":"131-143","volume":"152","abstract":"Sustainable Supply Chain Management (SSCM) and Dynamic Capabilities (DCs) are both relatively young research fields examining dynamically changing corporate environments and industries. The food industry is an example of such a dynamic environment. Customers have high expectations for food safety and a growing demand for sustainably produced food. Companies fulfilling these demands target a customer base with high awareness of all three dimensions of sustainability, i.e., the economical, ecological, and social, circumstances in which food is produced and offered. This paper aims at describing how SSCM practices allow companies to maintain control over their supply chain and achieve a competitive advantage with the implementation of dynamic capabilities. Previously identified practices in SSCM are related to DC theory by identifying them as basic routines that form specific DCs. We conduct a literature review, including content analysis, examining publications (52 articles) on sustainable food supply chains published in English, peer-reviewed journals. We form the link between SSCM and DCs by integrating them into the same conceptual context. Specific DCs in the supply chain of a sustainability-oriented industry are also identified, such as knowledge sharing and re-conceptualizing the supply chain. Thereafter, we scrutinize the food industry according to SSCM and DC criteria and offer insights into the strategies used in that business market. The results show that sustainability practices and DCs in the supply chain are used among others to enhance traceability and tracking and to fulfill customer demands. Further research is needed to extend the operationalization of the existing conceptual frameworks.","DOI":"10.1016/j.ijpe.2013.12.026","ISSN":"0925-5273","journalAbbreviation":"International Journal of Production Economics","author":[{"family":"Beske","given":"Philip"},{"family":"Land","given":"Anna"},{"family":"Seuring","given":"Stefan"}],"issued":{"date-parts":[["2014",6,1]]}}},{"id":4420,"uris":["http://zotero.org/users/3209486/items/D7PDBNHN"],"uri":["http://zotero.org/users/3209486/items/D7PDBNHN"],"itemData":{"id":4420,"type":"article-journal","title":"Sustainable supply chain management practices, supply chain dynamic capabilities, and enterprise performance","container-title":"Journal of Cleaner Production","page":"3508-3519","volume":"172","abstract":"The combination of sustainable supply chain management (SSCM) and dynamic capabilities theory is a fairly young topic, which has attracted great attention from scholars and practitioners recently. This study empirically investigates the impact of SSCM practices on supply chain (SC) dynamic capabilities and enterprise performance (including economic, environmental and social performance) by explicitly focusing on the mediation effect of SC dynamic capabilities on the link between SSCM practices and enterprise performance. Data collected from 209 Chinese manufacturing firms were analyzed using structural equation modeling. The results reveal that SSCM practices have a significant positive effect on SC dynamic capabilities and all three dimensions of performances. Whereas SC dynamic capabilities affect only environmental performance positively, they have no effect on economic performance and social performance. Furthermore our analysis reveals that SC dynamic capabilities partially mediate the relationship between SSCM practices and enterprise performance. Overall, the findings explicate the importance for firms, in particular those operating in developing countries, to reinforce their SC dynamic capabilities and implement effective SSCM practices as an enabler.","DOI":"10.1016/j.jclepro.2017.06.093","ISSN":"0959-6526","journalAbbreviation":"Journal of Cleaner Production","author":[{"family":"Hong","given":"Jiangtao"},{"family":"Zhang","given":"Yibin"},{"family":"Ding","given":"Minqiu"}],"issued":{"date-parts":[["2018",1,20]]}}}],"schema":"https://github.com/citation-style-language/schema/raw/master/csl-citation.json"} </w:instrText>
      </w:r>
      <w:r w:rsidR="00E234E1">
        <w:rPr>
          <w:rFonts w:ascii="Times New Roman" w:hAnsi="Times New Roman" w:cs="Times New Roman"/>
          <w:color w:val="000000" w:themeColor="text1"/>
          <w:sz w:val="24"/>
          <w:szCs w:val="24"/>
        </w:rPr>
        <w:fldChar w:fldCharType="separate"/>
      </w:r>
      <w:r w:rsidR="00E234E1" w:rsidRPr="00E234E1">
        <w:rPr>
          <w:rFonts w:ascii="Times New Roman" w:hAnsi="Times New Roman" w:cs="Times New Roman"/>
          <w:sz w:val="24"/>
        </w:rPr>
        <w:t>(Beske, 2012; Beske et al., 2014; Hong et al., 2018)</w:t>
      </w:r>
      <w:r w:rsidR="00E234E1">
        <w:rPr>
          <w:rFonts w:ascii="Times New Roman" w:hAnsi="Times New Roman" w:cs="Times New Roman"/>
          <w:color w:val="000000" w:themeColor="text1"/>
          <w:sz w:val="24"/>
          <w:szCs w:val="24"/>
        </w:rPr>
        <w:fldChar w:fldCharType="end"/>
      </w:r>
      <w:r w:rsidR="00E234E1">
        <w:rPr>
          <w:rFonts w:ascii="Times New Roman" w:hAnsi="Times New Roman" w:cs="Times New Roman"/>
          <w:color w:val="000000" w:themeColor="text1"/>
          <w:sz w:val="24"/>
          <w:szCs w:val="24"/>
        </w:rPr>
        <w:t xml:space="preserve">. Beske </w:t>
      </w:r>
      <w:r w:rsidR="00E234E1">
        <w:rPr>
          <w:rFonts w:ascii="Times New Roman" w:hAnsi="Times New Roman" w:cs="Times New Roman"/>
          <w:color w:val="000000" w:themeColor="text1"/>
          <w:sz w:val="24"/>
          <w:szCs w:val="24"/>
        </w:rPr>
        <w:fldChar w:fldCharType="begin"/>
      </w:r>
      <w:r w:rsidR="00E234E1">
        <w:rPr>
          <w:rFonts w:ascii="Times New Roman" w:hAnsi="Times New Roman" w:cs="Times New Roman"/>
          <w:color w:val="000000" w:themeColor="text1"/>
          <w:sz w:val="24"/>
          <w:szCs w:val="24"/>
        </w:rPr>
        <w:instrText xml:space="preserve"> ADDIN ZOTERO_ITEM CSL_CITATION {"citationID":"9fXUOslP","properties":{"formattedCitation":"(2012)","plainCitation":"(2012)","noteIndex":0},"citationItems":[{"id":230,"uris":["http://zotero.org/users/3209486/items/KVZX4DMN"],"uri":["http://zotero.org/users/3209486/items/KVZX4DMN"],"itemData":{"id":230,"type":"article-journal","title":"Dynamic capabilities and sustainable supply chain management","container-title":"International Journal of Physical Distribution &amp; Logistics Management","page":"372-387","volume":"42","issue":"4","abstract":"Purpose - Most sustainable supply chains are situated in dynamic environments, which leads to the assumption that management of such chains requires the application of dynamic management theories, such as the dynamic capabilities (DC) concept. In spite of this, DCs have only scarcely been taken up in (sustainable) supply chain management (SSCM) research. The purpose of this paper is twofold: first, to discuss the complementarities of DCs and SSCM research; and second, to develop a framework which integrates DCs in SSCM practices. Design/methodology/approach - The paper is conceptual in nature and grounded in SSCM and DC theory. Relevant literature from the SCM, SSCM and DC context has been scrutinized. In total, three models from SSCM and DC literature, together with related inputs from other literature sources, have been conjoined. Findings - DC and SSCM are linked through similar environmental and organizational conditions, making the application of DC concepts in the field of SSCM a logical choice. The framework embeds specific DCs into SSCM practices. Research limitations/implications - The presented framework is a step towards building an analytical basis for future empirical research in this area. Discussion on the nature of DCs is still going on, as well as on how to measure supply chain performance. The framework can only give indications and help in the theory building process. Furthermore, the underlying frameworks used for the development of the framework presented here have been derived through different methodologies and not all of them have, as yet, been (fully) empirically tested. Practical implications - Investment in DCs and implementation of SSCM practices improves the agility of the overall supply chain and can lead to higher performance against the three dimensions of sustainability. Originality/value - The paper is the first explicit framework linking SSCM and DC theory. The framework shows that the DC concept can be and indeed should be applied to SSCM research and practice. Furthermore, explicit DCs are put forward. It is a step towards building an analytical basis for future empirical research in this area.","ISSN":"0960-0035","author":[{"family":"Beske","given":"Philip"}],"issued":{"date-parts":[["2012"]]}},"suppress-author":true}],"schema":"https://github.com/citation-style-language/schema/raw/master/csl-citation.json"} </w:instrText>
      </w:r>
      <w:r w:rsidR="00E234E1">
        <w:rPr>
          <w:rFonts w:ascii="Times New Roman" w:hAnsi="Times New Roman" w:cs="Times New Roman"/>
          <w:color w:val="000000" w:themeColor="text1"/>
          <w:sz w:val="24"/>
          <w:szCs w:val="24"/>
        </w:rPr>
        <w:fldChar w:fldCharType="separate"/>
      </w:r>
      <w:r w:rsidR="00E234E1" w:rsidRPr="00E234E1">
        <w:rPr>
          <w:rFonts w:ascii="Times New Roman" w:hAnsi="Times New Roman" w:cs="Times New Roman"/>
          <w:sz w:val="24"/>
        </w:rPr>
        <w:t>(2012)</w:t>
      </w:r>
      <w:r w:rsidR="00E234E1">
        <w:rPr>
          <w:rFonts w:ascii="Times New Roman" w:hAnsi="Times New Roman" w:cs="Times New Roman"/>
          <w:color w:val="000000" w:themeColor="text1"/>
          <w:sz w:val="24"/>
          <w:szCs w:val="24"/>
        </w:rPr>
        <w:fldChar w:fldCharType="end"/>
      </w:r>
      <w:r w:rsidR="00E234E1">
        <w:rPr>
          <w:rFonts w:ascii="Times New Roman" w:hAnsi="Times New Roman" w:cs="Times New Roman"/>
          <w:color w:val="000000" w:themeColor="text1"/>
          <w:sz w:val="24"/>
          <w:szCs w:val="24"/>
        </w:rPr>
        <w:t xml:space="preserve"> found that DSCCs</w:t>
      </w:r>
      <w:r w:rsidR="002C628D">
        <w:rPr>
          <w:rFonts w:ascii="Times New Roman" w:hAnsi="Times New Roman" w:cs="Times New Roman"/>
          <w:color w:val="000000" w:themeColor="text1"/>
          <w:sz w:val="24"/>
          <w:szCs w:val="24"/>
        </w:rPr>
        <w:t xml:space="preserve"> can enhance a firms sustainability performance through the protection of rare resources and their inimitability </w:t>
      </w:r>
      <w:r w:rsidR="000A1B14">
        <w:rPr>
          <w:rFonts w:ascii="Times New Roman" w:hAnsi="Times New Roman" w:cs="Times New Roman"/>
          <w:color w:val="000000" w:themeColor="text1"/>
          <w:sz w:val="24"/>
          <w:szCs w:val="24"/>
        </w:rPr>
        <w:t>by building</w:t>
      </w:r>
      <w:r w:rsidR="002C628D">
        <w:rPr>
          <w:rFonts w:ascii="Times New Roman" w:hAnsi="Times New Roman" w:cs="Times New Roman"/>
          <w:color w:val="000000" w:themeColor="text1"/>
          <w:sz w:val="24"/>
          <w:szCs w:val="24"/>
        </w:rPr>
        <w:t xml:space="preserve"> long-term relationships and trust with supply chain partners. Two years later, Beske et al. </w:t>
      </w:r>
      <w:r w:rsidR="002C628D">
        <w:rPr>
          <w:rFonts w:ascii="Times New Roman" w:hAnsi="Times New Roman" w:cs="Times New Roman"/>
          <w:color w:val="000000" w:themeColor="text1"/>
          <w:sz w:val="24"/>
          <w:szCs w:val="24"/>
        </w:rPr>
        <w:fldChar w:fldCharType="begin"/>
      </w:r>
      <w:r w:rsidR="002C628D">
        <w:rPr>
          <w:rFonts w:ascii="Times New Roman" w:hAnsi="Times New Roman" w:cs="Times New Roman"/>
          <w:color w:val="000000" w:themeColor="text1"/>
          <w:sz w:val="24"/>
          <w:szCs w:val="24"/>
        </w:rPr>
        <w:instrText xml:space="preserve"> ADDIN ZOTERO_ITEM CSL_CITATION {"citationID":"L8iuvzzD","properties":{"formattedCitation":"(2014)","plainCitation":"(2014)","noteIndex":0},"citationItems":[{"id":4426,"uris":["http://zotero.org/users/3209486/items/I7EZ8CLD"],"uri":["http://zotero.org/users/3209486/items/I7EZ8CLD"],"itemData":{"id":4426,"type":"article-journal","title":"Sustainable supply chain management practices and dynamic capabilities in the food industry: A critical analysis of the literature","container-title":"Sustainable Food Supply Chain Management","page":"131-143","volume":"152","abstract":"Sustainable Supply Chain Management (SSCM) and Dynamic Capabilities (DCs) are both relatively young research fields examining dynamically changing corporate environments and industries. The food industry is an example of such a dynamic environment. Customers have high expectations for food safety and a growing demand for sustainably produced food. Companies fulfilling these demands target a customer base with high awareness of all three dimensions of sustainability, i.e., the economical, ecological, and social, circumstances in which food is produced and offered. This paper aims at describing how SSCM practices allow companies to maintain control over their supply chain and achieve a competitive advantage with the implementation of dynamic capabilities. Previously identified practices in SSCM are related to DC theory by identifying them as basic routines that form specific DCs. We conduct a literature review, including content analysis, examining publications (52 articles) on sustainable food supply chains published in English, peer-reviewed journals. We form the link between SSCM and DCs by integrating them into the same conceptual context. Specific DCs in the supply chain of a sustainability-oriented industry are also identified, such as knowledge sharing and re-conceptualizing the supply chain. Thereafter, we scrutinize the food industry according to SSCM and DC criteria and offer insights into the strategies used in that business market. The results show that sustainability practices and DCs in the supply chain are used among others to enhance traceability and tracking and to fulfill customer demands. Further research is needed to extend the operationalization of the existing conceptual frameworks.","DOI":"10.1016/j.ijpe.2013.12.026","ISSN":"0925-5273","journalAbbreviation":"International Journal of Production Economics","author":[{"family":"Beske","given":"Philip"},{"family":"Land","given":"Anna"},{"family":"Seuring","given":"Stefan"}],"issued":{"date-parts":[["2014",6,1]]}},"suppress-author":true}],"schema":"https://github.com/citation-style-language/schema/raw/master/csl-citation.json"} </w:instrText>
      </w:r>
      <w:r w:rsidR="002C628D">
        <w:rPr>
          <w:rFonts w:ascii="Times New Roman" w:hAnsi="Times New Roman" w:cs="Times New Roman"/>
          <w:color w:val="000000" w:themeColor="text1"/>
          <w:sz w:val="24"/>
          <w:szCs w:val="24"/>
        </w:rPr>
        <w:fldChar w:fldCharType="separate"/>
      </w:r>
      <w:r w:rsidR="002C628D" w:rsidRPr="002C628D">
        <w:rPr>
          <w:rFonts w:ascii="Times New Roman" w:hAnsi="Times New Roman" w:cs="Times New Roman"/>
          <w:sz w:val="24"/>
        </w:rPr>
        <w:t>(2014)</w:t>
      </w:r>
      <w:r w:rsidR="002C628D">
        <w:rPr>
          <w:rFonts w:ascii="Times New Roman" w:hAnsi="Times New Roman" w:cs="Times New Roman"/>
          <w:color w:val="000000" w:themeColor="text1"/>
          <w:sz w:val="24"/>
          <w:szCs w:val="24"/>
        </w:rPr>
        <w:fldChar w:fldCharType="end"/>
      </w:r>
      <w:r w:rsidR="002C628D">
        <w:rPr>
          <w:rFonts w:ascii="Times New Roman" w:hAnsi="Times New Roman" w:cs="Times New Roman"/>
          <w:color w:val="000000" w:themeColor="text1"/>
          <w:sz w:val="24"/>
          <w:szCs w:val="24"/>
        </w:rPr>
        <w:t xml:space="preserve"> argued that DSCCs improve a firms environmental and social performance by enhancing the transparenc</w:t>
      </w:r>
      <w:r w:rsidR="00BB4A57">
        <w:rPr>
          <w:rFonts w:ascii="Times New Roman" w:hAnsi="Times New Roman" w:cs="Times New Roman"/>
          <w:color w:val="000000" w:themeColor="text1"/>
          <w:sz w:val="24"/>
          <w:szCs w:val="24"/>
        </w:rPr>
        <w:t>y</w:t>
      </w:r>
      <w:r w:rsidR="002C628D">
        <w:rPr>
          <w:rFonts w:ascii="Times New Roman" w:hAnsi="Times New Roman" w:cs="Times New Roman"/>
          <w:color w:val="000000" w:themeColor="text1"/>
          <w:sz w:val="24"/>
          <w:szCs w:val="24"/>
        </w:rPr>
        <w:t xml:space="preserve"> and traceability of supply chain practices. In a somewhat contradictory study, Hong et al. </w:t>
      </w:r>
      <w:r w:rsidR="002C628D">
        <w:rPr>
          <w:rFonts w:ascii="Times New Roman" w:hAnsi="Times New Roman" w:cs="Times New Roman"/>
          <w:color w:val="000000" w:themeColor="text1"/>
          <w:sz w:val="24"/>
          <w:szCs w:val="24"/>
        </w:rPr>
        <w:fldChar w:fldCharType="begin"/>
      </w:r>
      <w:r w:rsidR="002C628D">
        <w:rPr>
          <w:rFonts w:ascii="Times New Roman" w:hAnsi="Times New Roman" w:cs="Times New Roman"/>
          <w:color w:val="000000" w:themeColor="text1"/>
          <w:sz w:val="24"/>
          <w:szCs w:val="24"/>
        </w:rPr>
        <w:instrText xml:space="preserve"> ADDIN ZOTERO_ITEM CSL_CITATION {"citationID":"vJvIT3mx","properties":{"formattedCitation":"(2018)","plainCitation":"(2018)","noteIndex":0},"citationItems":[{"id":4420,"uris":["http://zotero.org/users/3209486/items/D7PDBNHN"],"uri":["http://zotero.org/users/3209486/items/D7PDBNHN"],"itemData":{"id":4420,"type":"article-journal","title":"Sustainable supply chain management practices, supply chain dynamic capabilities, and enterprise performance","container-title":"Journal of Cleaner Production","page":"3508-3519","volume":"172","abstract":"The combination of sustainable supply chain management (SSCM) and dynamic capabilities theory is a fairly young topic, which has attracted great attention from scholars and practitioners recently. This study empirically investigates the impact of SSCM practices on supply chain (SC) dynamic capabilities and enterprise performance (including economic, environmental and social performance) by explicitly focusing on the mediation effect of SC dynamic capabilities on the link between SSCM practices and enterprise performance. Data collected from 209 Chinese manufacturing firms were analyzed using structural equation modeling. The results reveal that SSCM practices have a significant positive effect on SC dynamic capabilities and all three dimensions of performances. Whereas SC dynamic capabilities affect only environmental performance positively, they have no effect on economic performance and social performance. Furthermore our analysis reveals that SC dynamic capabilities partially mediate the relationship between SSCM practices and enterprise performance. Overall, the findings explicate the importance for firms, in particular those operating in developing countries, to reinforce their SC dynamic capabilities and implement effective SSCM practices as an enabler.","DOI":"10.1016/j.jclepro.2017.06.093","ISSN":"0959-6526","journalAbbreviation":"Journal of Cleaner Production","author":[{"family":"Hong","given":"Jiangtao"},{"family":"Zhang","given":"Yibin"},{"family":"Ding","given":"Minqiu"}],"issued":{"date-parts":[["2018",1,20]]}},"suppress-author":true}],"schema":"https://github.com/citation-style-language/schema/raw/master/csl-citation.json"} </w:instrText>
      </w:r>
      <w:r w:rsidR="002C628D">
        <w:rPr>
          <w:rFonts w:ascii="Times New Roman" w:hAnsi="Times New Roman" w:cs="Times New Roman"/>
          <w:color w:val="000000" w:themeColor="text1"/>
          <w:sz w:val="24"/>
          <w:szCs w:val="24"/>
        </w:rPr>
        <w:fldChar w:fldCharType="separate"/>
      </w:r>
      <w:r w:rsidR="002C628D" w:rsidRPr="002C628D">
        <w:rPr>
          <w:rFonts w:ascii="Times New Roman" w:hAnsi="Times New Roman" w:cs="Times New Roman"/>
          <w:sz w:val="24"/>
        </w:rPr>
        <w:t>(2018)</w:t>
      </w:r>
      <w:r w:rsidR="002C628D">
        <w:rPr>
          <w:rFonts w:ascii="Times New Roman" w:hAnsi="Times New Roman" w:cs="Times New Roman"/>
          <w:color w:val="000000" w:themeColor="text1"/>
          <w:sz w:val="24"/>
          <w:szCs w:val="24"/>
        </w:rPr>
        <w:fldChar w:fldCharType="end"/>
      </w:r>
      <w:r w:rsidR="002C628D">
        <w:rPr>
          <w:rFonts w:ascii="Times New Roman" w:hAnsi="Times New Roman" w:cs="Times New Roman"/>
          <w:color w:val="000000" w:themeColor="text1"/>
          <w:sz w:val="24"/>
          <w:szCs w:val="24"/>
        </w:rPr>
        <w:t xml:space="preserve"> found that DSCCs positively affect a firm’s environmental performance, but have no effect on social and economic performance. While </w:t>
      </w:r>
      <w:r w:rsidR="004A1ED6">
        <w:rPr>
          <w:rFonts w:ascii="Times New Roman" w:hAnsi="Times New Roman" w:cs="Times New Roman"/>
          <w:color w:val="000000" w:themeColor="text1"/>
          <w:sz w:val="24"/>
          <w:szCs w:val="24"/>
        </w:rPr>
        <w:t>this literature has</w:t>
      </w:r>
      <w:r w:rsidR="002C628D">
        <w:rPr>
          <w:rFonts w:ascii="Times New Roman" w:hAnsi="Times New Roman" w:cs="Times New Roman"/>
          <w:color w:val="000000" w:themeColor="text1"/>
          <w:sz w:val="24"/>
          <w:szCs w:val="24"/>
        </w:rPr>
        <w:t xml:space="preserve"> examined performance implications, </w:t>
      </w:r>
      <w:r w:rsidR="004A1ED6">
        <w:rPr>
          <w:rFonts w:ascii="Times New Roman" w:hAnsi="Times New Roman" w:cs="Times New Roman"/>
          <w:color w:val="000000" w:themeColor="text1"/>
          <w:sz w:val="24"/>
          <w:szCs w:val="24"/>
        </w:rPr>
        <w:t>it has</w:t>
      </w:r>
      <w:r w:rsidR="002C628D">
        <w:rPr>
          <w:rFonts w:ascii="Times New Roman" w:hAnsi="Times New Roman" w:cs="Times New Roman"/>
          <w:color w:val="000000" w:themeColor="text1"/>
          <w:sz w:val="24"/>
          <w:szCs w:val="24"/>
        </w:rPr>
        <w:t xml:space="preserve"> yet </w:t>
      </w:r>
      <w:r w:rsidR="003853E6" w:rsidRPr="008C04EC">
        <w:rPr>
          <w:rFonts w:ascii="Times New Roman" w:hAnsi="Times New Roman" w:cs="Times New Roman"/>
          <w:color w:val="000000" w:themeColor="text1"/>
          <w:sz w:val="24"/>
          <w:szCs w:val="24"/>
        </w:rPr>
        <w:t>to identify</w:t>
      </w:r>
      <w:r w:rsidR="00581FE7" w:rsidRPr="008C04EC">
        <w:rPr>
          <w:rFonts w:ascii="Times New Roman" w:hAnsi="Times New Roman" w:cs="Times New Roman"/>
          <w:color w:val="000000" w:themeColor="text1"/>
          <w:sz w:val="24"/>
          <w:szCs w:val="24"/>
        </w:rPr>
        <w:t xml:space="preserve"> the strategic orientations and managerial mind</w:t>
      </w:r>
      <w:r w:rsidR="002C628D">
        <w:rPr>
          <w:rFonts w:ascii="Times New Roman" w:hAnsi="Times New Roman" w:cs="Times New Roman"/>
          <w:color w:val="000000" w:themeColor="text1"/>
          <w:sz w:val="24"/>
          <w:szCs w:val="24"/>
        </w:rPr>
        <w:t>-</w:t>
      </w:r>
      <w:r w:rsidR="00581FE7" w:rsidRPr="008C04EC">
        <w:rPr>
          <w:rFonts w:ascii="Times New Roman" w:hAnsi="Times New Roman" w:cs="Times New Roman"/>
          <w:color w:val="000000" w:themeColor="text1"/>
          <w:sz w:val="24"/>
          <w:szCs w:val="24"/>
        </w:rPr>
        <w:t xml:space="preserve">sets that underpin the emergence of DSCCs. We now turn our attention to the entrepreneurial orientation and supply chain learning literature to gain insights on how these constructs </w:t>
      </w:r>
      <w:r w:rsidR="003853E6" w:rsidRPr="008C04EC">
        <w:rPr>
          <w:rFonts w:ascii="Times New Roman" w:hAnsi="Times New Roman" w:cs="Times New Roman"/>
          <w:color w:val="000000" w:themeColor="text1"/>
          <w:sz w:val="24"/>
          <w:szCs w:val="24"/>
        </w:rPr>
        <w:t>can</w:t>
      </w:r>
      <w:r w:rsidR="00342284" w:rsidRPr="008C04EC">
        <w:rPr>
          <w:rFonts w:ascii="Times New Roman" w:hAnsi="Times New Roman" w:cs="Times New Roman"/>
          <w:color w:val="000000" w:themeColor="text1"/>
          <w:sz w:val="24"/>
          <w:szCs w:val="24"/>
        </w:rPr>
        <w:t xml:space="preserve"> </w:t>
      </w:r>
      <w:r w:rsidR="00581FE7" w:rsidRPr="008C04EC">
        <w:rPr>
          <w:rFonts w:ascii="Times New Roman" w:hAnsi="Times New Roman" w:cs="Times New Roman"/>
          <w:color w:val="000000" w:themeColor="text1"/>
          <w:sz w:val="24"/>
          <w:szCs w:val="24"/>
        </w:rPr>
        <w:t xml:space="preserve">support the development of DSCCs. </w:t>
      </w:r>
    </w:p>
    <w:p w14:paraId="1A3256F0" w14:textId="24A70B28" w:rsidR="0019689D" w:rsidRPr="008C04EC" w:rsidRDefault="001439FE" w:rsidP="001439FE">
      <w:pPr>
        <w:spacing w:after="160" w:line="259"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529F79E" w14:textId="29B1F069" w:rsidR="0074013B" w:rsidRPr="008C04EC" w:rsidRDefault="00581FE7" w:rsidP="00581FE7">
      <w:pPr>
        <w:spacing w:after="0" w:line="480" w:lineRule="auto"/>
        <w:jc w:val="both"/>
        <w:rPr>
          <w:rFonts w:ascii="Times New Roman" w:hAnsi="Times New Roman" w:cs="Times New Roman"/>
          <w:b/>
          <w:i/>
          <w:color w:val="000000" w:themeColor="text1"/>
          <w:sz w:val="24"/>
          <w:szCs w:val="24"/>
        </w:rPr>
      </w:pPr>
      <w:r w:rsidRPr="008C04EC">
        <w:rPr>
          <w:rFonts w:ascii="Times New Roman" w:hAnsi="Times New Roman" w:cs="Times New Roman"/>
          <w:b/>
          <w:i/>
          <w:color w:val="000000" w:themeColor="text1"/>
          <w:sz w:val="24"/>
          <w:szCs w:val="24"/>
        </w:rPr>
        <w:lastRenderedPageBreak/>
        <w:t>2.</w:t>
      </w:r>
      <w:r w:rsidR="000A5D29" w:rsidRPr="008C04EC">
        <w:rPr>
          <w:rFonts w:ascii="Times New Roman" w:hAnsi="Times New Roman" w:cs="Times New Roman"/>
          <w:b/>
          <w:i/>
          <w:color w:val="000000" w:themeColor="text1"/>
          <w:sz w:val="24"/>
          <w:szCs w:val="24"/>
        </w:rPr>
        <w:t>3</w:t>
      </w:r>
      <w:r w:rsidRPr="008C04EC">
        <w:rPr>
          <w:rFonts w:ascii="Times New Roman" w:hAnsi="Times New Roman" w:cs="Times New Roman"/>
          <w:b/>
          <w:i/>
          <w:color w:val="000000" w:themeColor="text1"/>
          <w:sz w:val="24"/>
          <w:szCs w:val="24"/>
        </w:rPr>
        <w:t xml:space="preserve"> Entrepreneurial Orientation and Dynamic Supply Chain Capabilities</w:t>
      </w:r>
    </w:p>
    <w:p w14:paraId="2CBD3EE5" w14:textId="7860BB30" w:rsidR="009E4D7B" w:rsidRPr="00C37F90" w:rsidRDefault="00581FE7" w:rsidP="00C37F90">
      <w:pPr>
        <w:autoSpaceDE w:val="0"/>
        <w:autoSpaceDN w:val="0"/>
        <w:adjustRightInd w:val="0"/>
        <w:spacing w:after="0" w:line="480" w:lineRule="auto"/>
        <w:contextualSpacing/>
        <w:jc w:val="both"/>
        <w:rPr>
          <w:rFonts w:ascii="Times New Roman" w:eastAsiaTheme="minorHAnsi" w:hAnsi="Times New Roman" w:cs="Times New Roman"/>
          <w:iCs/>
          <w:color w:val="000000" w:themeColor="text1"/>
          <w:sz w:val="24"/>
          <w:szCs w:val="18"/>
          <w:lang w:val="en-GB"/>
        </w:rPr>
      </w:pPr>
      <w:r w:rsidRPr="008C04EC">
        <w:rPr>
          <w:rFonts w:ascii="Times-Italic" w:eastAsiaTheme="minorHAnsi" w:hAnsi="Times-Italic" w:cs="Times-Italic"/>
          <w:iCs/>
          <w:color w:val="000000" w:themeColor="text1"/>
          <w:sz w:val="24"/>
          <w:szCs w:val="18"/>
          <w:lang w:val="en-GB"/>
        </w:rPr>
        <w:t xml:space="preserve">Teece </w:t>
      </w:r>
      <w:r w:rsidRPr="008C04EC">
        <w:rPr>
          <w:rFonts w:ascii="Times-Italic" w:eastAsiaTheme="minorHAnsi" w:hAnsi="Times-Italic" w:cs="Times-Italic"/>
          <w:iCs/>
          <w:color w:val="000000" w:themeColor="text1"/>
          <w:sz w:val="24"/>
          <w:szCs w:val="18"/>
          <w:lang w:val="en-GB"/>
        </w:rPr>
        <w:fldChar w:fldCharType="begin"/>
      </w:r>
      <w:r w:rsidRPr="008C04EC">
        <w:rPr>
          <w:rFonts w:ascii="Times-Italic" w:eastAsiaTheme="minorHAnsi" w:hAnsi="Times-Italic" w:cs="Times-Italic"/>
          <w:iCs/>
          <w:color w:val="000000" w:themeColor="text1"/>
          <w:sz w:val="24"/>
          <w:szCs w:val="18"/>
          <w:lang w:val="en-GB"/>
        </w:rPr>
        <w:instrText xml:space="preserve"> ADDIN ZOTERO_ITEM CSL_CITATION {"citationID":"z9biznJ6","properties":{"formattedCitation":"(2007)","plainCitation":"(2007)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J."}],"issued":{"date-parts":[["2007",12,1]]}},"suppress-author":true}],"schema":"https://github.com/citation-style-language/schema/raw/master/csl-citation.json"} </w:instrText>
      </w:r>
      <w:r w:rsidRPr="008C04EC">
        <w:rPr>
          <w:rFonts w:ascii="Times-Italic" w:eastAsiaTheme="minorHAnsi" w:hAnsi="Times-Italic" w:cs="Times-Italic"/>
          <w:iCs/>
          <w:color w:val="000000" w:themeColor="text1"/>
          <w:sz w:val="24"/>
          <w:szCs w:val="18"/>
          <w:lang w:val="en-GB"/>
        </w:rPr>
        <w:fldChar w:fldCharType="separate"/>
      </w:r>
      <w:r w:rsidR="007061B5" w:rsidRPr="008C04EC">
        <w:rPr>
          <w:rFonts w:ascii="Times-Italic" w:hAnsi="Times-Italic"/>
          <w:color w:val="000000" w:themeColor="text1"/>
          <w:sz w:val="24"/>
        </w:rPr>
        <w:t>(2007)</w:t>
      </w:r>
      <w:r w:rsidRPr="008C04EC">
        <w:rPr>
          <w:rFonts w:ascii="Times-Italic" w:eastAsiaTheme="minorHAnsi" w:hAnsi="Times-Italic" w:cs="Times-Italic"/>
          <w:iCs/>
          <w:color w:val="000000" w:themeColor="text1"/>
          <w:sz w:val="24"/>
          <w:szCs w:val="18"/>
          <w:lang w:val="en-GB"/>
        </w:rPr>
        <w:fldChar w:fldCharType="end"/>
      </w:r>
      <w:r w:rsidRPr="008C04EC">
        <w:rPr>
          <w:rFonts w:ascii="Times-Italic" w:eastAsiaTheme="minorHAnsi" w:hAnsi="Times-Italic" w:cs="Times-Italic"/>
          <w:iCs/>
          <w:color w:val="000000" w:themeColor="text1"/>
          <w:sz w:val="24"/>
          <w:szCs w:val="18"/>
          <w:lang w:val="en-GB"/>
        </w:rPr>
        <w:t xml:space="preserve"> </w:t>
      </w:r>
      <w:r w:rsidR="000130A3" w:rsidRPr="008C04EC">
        <w:rPr>
          <w:rFonts w:ascii="Times-Italic" w:eastAsiaTheme="minorHAnsi" w:hAnsi="Times-Italic" w:cs="Times-Italic"/>
          <w:iCs/>
          <w:color w:val="000000" w:themeColor="text1"/>
          <w:sz w:val="24"/>
          <w:szCs w:val="18"/>
          <w:lang w:val="en-GB"/>
        </w:rPr>
        <w:t>suggests</w:t>
      </w:r>
      <w:r w:rsidRPr="008C04EC">
        <w:rPr>
          <w:rFonts w:ascii="Times-Italic" w:eastAsiaTheme="minorHAnsi" w:hAnsi="Times-Italic" w:cs="Times-Italic"/>
          <w:iCs/>
          <w:color w:val="000000" w:themeColor="text1"/>
          <w:sz w:val="24"/>
          <w:szCs w:val="18"/>
          <w:lang w:val="en-GB"/>
        </w:rPr>
        <w:t xml:space="preserve"> that </w:t>
      </w:r>
      <w:r w:rsidR="00712C63" w:rsidRPr="008C04EC">
        <w:rPr>
          <w:rFonts w:ascii="Times New Roman" w:hAnsi="Times New Roman" w:cs="Times New Roman"/>
          <w:color w:val="000000" w:themeColor="text1"/>
          <w:sz w:val="24"/>
          <w:szCs w:val="24"/>
          <w:lang w:val="en-GB"/>
        </w:rPr>
        <w:t>firms</w:t>
      </w:r>
      <w:r w:rsidR="00712C63" w:rsidRPr="008C04EC">
        <w:rPr>
          <w:rFonts w:ascii="Times New Roman" w:eastAsiaTheme="minorHAnsi" w:hAnsi="Times New Roman" w:cs="Times New Roman"/>
          <w:iCs/>
          <w:color w:val="000000" w:themeColor="text1"/>
          <w:sz w:val="24"/>
          <w:szCs w:val="18"/>
          <w:lang w:val="en-GB"/>
        </w:rPr>
        <w:t xml:space="preserve"> with strong dynamic capabilities are intensely entrepreneurial. </w:t>
      </w:r>
      <w:r w:rsidR="000130A3" w:rsidRPr="008C04EC">
        <w:rPr>
          <w:rFonts w:ascii="Times New Roman" w:eastAsiaTheme="minorHAnsi" w:hAnsi="Times New Roman" w:cs="Times New Roman"/>
          <w:iCs/>
          <w:color w:val="000000" w:themeColor="text1"/>
          <w:sz w:val="24"/>
          <w:szCs w:val="18"/>
          <w:lang w:val="en-GB"/>
        </w:rPr>
        <w:t xml:space="preserve">He </w:t>
      </w:r>
      <w:r w:rsidR="00342284" w:rsidRPr="008C04EC">
        <w:rPr>
          <w:rFonts w:ascii="Times New Roman" w:eastAsiaTheme="minorHAnsi" w:hAnsi="Times New Roman" w:cs="Times New Roman"/>
          <w:iCs/>
          <w:color w:val="000000" w:themeColor="text1"/>
          <w:sz w:val="24"/>
          <w:szCs w:val="18"/>
          <w:lang w:val="en-GB"/>
        </w:rPr>
        <w:t>argues t</w:t>
      </w:r>
      <w:r w:rsidR="000130A3" w:rsidRPr="008C04EC">
        <w:rPr>
          <w:rFonts w:ascii="Times New Roman" w:eastAsiaTheme="minorHAnsi" w:hAnsi="Times New Roman" w:cs="Times New Roman"/>
          <w:iCs/>
          <w:color w:val="000000" w:themeColor="text1"/>
          <w:sz w:val="24"/>
          <w:szCs w:val="18"/>
          <w:lang w:val="en-GB"/>
        </w:rPr>
        <w:t>hat the ability of management to identify opportunities</w:t>
      </w:r>
      <w:r w:rsidR="00F03E69" w:rsidRPr="008C04EC">
        <w:rPr>
          <w:rFonts w:ascii="Times New Roman" w:eastAsiaTheme="minorHAnsi" w:hAnsi="Times New Roman" w:cs="Times New Roman"/>
          <w:iCs/>
          <w:color w:val="000000" w:themeColor="text1"/>
          <w:sz w:val="24"/>
          <w:szCs w:val="18"/>
          <w:lang w:val="en-GB"/>
        </w:rPr>
        <w:t xml:space="preserve"> for investment</w:t>
      </w:r>
      <w:r w:rsidR="000130A3" w:rsidRPr="008C04EC">
        <w:rPr>
          <w:rFonts w:ascii="Times New Roman" w:eastAsiaTheme="minorHAnsi" w:hAnsi="Times New Roman" w:cs="Times New Roman"/>
          <w:iCs/>
          <w:color w:val="000000" w:themeColor="text1"/>
          <w:sz w:val="24"/>
          <w:szCs w:val="18"/>
          <w:lang w:val="en-GB"/>
        </w:rPr>
        <w:t xml:space="preserve"> in co-specialized </w:t>
      </w:r>
      <w:r w:rsidR="00912D54" w:rsidRPr="008C04EC">
        <w:rPr>
          <w:rFonts w:ascii="Times New Roman" w:eastAsiaTheme="minorHAnsi" w:hAnsi="Times New Roman" w:cs="Times New Roman"/>
          <w:iCs/>
          <w:color w:val="000000" w:themeColor="text1"/>
          <w:sz w:val="24"/>
          <w:szCs w:val="18"/>
          <w:lang w:val="en-GB"/>
        </w:rPr>
        <w:t xml:space="preserve">assets (i.e. </w:t>
      </w:r>
      <w:r w:rsidR="00807243" w:rsidRPr="008C04EC">
        <w:rPr>
          <w:rFonts w:ascii="Times New Roman" w:eastAsiaTheme="minorHAnsi" w:hAnsi="Times New Roman" w:cs="Times New Roman"/>
          <w:iCs/>
          <w:color w:val="000000" w:themeColor="text1"/>
          <w:sz w:val="24"/>
          <w:szCs w:val="18"/>
          <w:lang w:val="en-GB"/>
        </w:rPr>
        <w:t>complementary, value-</w:t>
      </w:r>
      <w:r w:rsidR="00912D54" w:rsidRPr="008C04EC">
        <w:rPr>
          <w:rFonts w:ascii="Times New Roman" w:eastAsiaTheme="minorHAnsi" w:hAnsi="Times New Roman" w:cs="Times New Roman"/>
          <w:iCs/>
          <w:color w:val="000000" w:themeColor="text1"/>
          <w:sz w:val="24"/>
          <w:szCs w:val="18"/>
          <w:lang w:val="en-GB"/>
        </w:rPr>
        <w:t xml:space="preserve">enhancing assets) </w:t>
      </w:r>
      <w:r w:rsidR="000130A3" w:rsidRPr="008C04EC">
        <w:rPr>
          <w:rFonts w:ascii="Times New Roman" w:eastAsiaTheme="minorHAnsi" w:hAnsi="Times New Roman" w:cs="Times New Roman"/>
          <w:iCs/>
          <w:color w:val="000000" w:themeColor="text1"/>
          <w:sz w:val="24"/>
          <w:szCs w:val="18"/>
          <w:lang w:val="en-GB"/>
        </w:rPr>
        <w:t>is fundamental to dynamic capabilities</w:t>
      </w:r>
      <w:r w:rsidR="00342284" w:rsidRPr="008C04EC">
        <w:rPr>
          <w:rFonts w:ascii="Times New Roman" w:eastAsiaTheme="minorHAnsi" w:hAnsi="Times New Roman" w:cs="Times New Roman"/>
          <w:iCs/>
          <w:color w:val="000000" w:themeColor="text1"/>
          <w:sz w:val="24"/>
          <w:szCs w:val="18"/>
          <w:lang w:val="en-GB"/>
        </w:rPr>
        <w:t xml:space="preserve"> </w:t>
      </w:r>
      <w:r w:rsidR="00342284" w:rsidRPr="008C04EC">
        <w:rPr>
          <w:rFonts w:ascii="Times New Roman" w:eastAsiaTheme="minorHAnsi" w:hAnsi="Times New Roman" w:cs="Times New Roman"/>
          <w:iCs/>
          <w:color w:val="000000" w:themeColor="text1"/>
          <w:sz w:val="24"/>
          <w:szCs w:val="18"/>
          <w:lang w:val="en-GB"/>
        </w:rPr>
        <w:fldChar w:fldCharType="begin"/>
      </w:r>
      <w:r w:rsidR="00342284" w:rsidRPr="008C04EC">
        <w:rPr>
          <w:rFonts w:ascii="Times New Roman" w:eastAsiaTheme="minorHAnsi" w:hAnsi="Times New Roman" w:cs="Times New Roman"/>
          <w:iCs/>
          <w:color w:val="000000" w:themeColor="text1"/>
          <w:sz w:val="24"/>
          <w:szCs w:val="18"/>
          <w:lang w:val="en-GB"/>
        </w:rPr>
        <w:instrText xml:space="preserve"> ADDIN ZOTERO_ITEM CSL_CITATION {"citationID":"g2CQzPgP","properties":{"formattedCitation":"(Teece, 2007)","plainCitation":"(Teece, 2007)","noteIndex":0},"citationItems":[{"id":623,"uris":["http://zotero.org/users/3209486/items/AM6EMAB6"],"uri":["http://zotero.org/users/3209486/items/AM6EMAB6"],"itemData":{"id":623,"type":"article-journal","title":"Explicating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J."}],"issued":{"date-parts":[["2007",12,1]]}}}],"schema":"https://github.com/citation-style-language/schema/raw/master/csl-citation.json"} </w:instrText>
      </w:r>
      <w:r w:rsidR="00342284" w:rsidRPr="008C04EC">
        <w:rPr>
          <w:rFonts w:ascii="Times New Roman" w:eastAsiaTheme="minorHAnsi" w:hAnsi="Times New Roman" w:cs="Times New Roman"/>
          <w:iCs/>
          <w:color w:val="000000" w:themeColor="text1"/>
          <w:sz w:val="24"/>
          <w:szCs w:val="18"/>
          <w:lang w:val="en-GB"/>
        </w:rPr>
        <w:fldChar w:fldCharType="separate"/>
      </w:r>
      <w:r w:rsidR="007061B5" w:rsidRPr="008C04EC">
        <w:rPr>
          <w:rFonts w:ascii="Times New Roman" w:hAnsi="Times New Roman" w:cs="Times New Roman"/>
          <w:color w:val="000000" w:themeColor="text1"/>
          <w:sz w:val="24"/>
        </w:rPr>
        <w:t>(Teece, 2007)</w:t>
      </w:r>
      <w:r w:rsidR="00342284" w:rsidRPr="008C04EC">
        <w:rPr>
          <w:rFonts w:ascii="Times New Roman" w:eastAsiaTheme="minorHAnsi" w:hAnsi="Times New Roman" w:cs="Times New Roman"/>
          <w:iCs/>
          <w:color w:val="000000" w:themeColor="text1"/>
          <w:sz w:val="24"/>
          <w:szCs w:val="18"/>
          <w:lang w:val="en-GB"/>
        </w:rPr>
        <w:fldChar w:fldCharType="end"/>
      </w:r>
      <w:r w:rsidR="000130A3" w:rsidRPr="008C04EC">
        <w:rPr>
          <w:rFonts w:ascii="Times New Roman" w:eastAsiaTheme="minorHAnsi" w:hAnsi="Times New Roman" w:cs="Times New Roman"/>
          <w:iCs/>
          <w:color w:val="000000" w:themeColor="text1"/>
          <w:sz w:val="24"/>
          <w:szCs w:val="18"/>
          <w:lang w:val="en-GB"/>
        </w:rPr>
        <w:t xml:space="preserve">. In particular, the decision on when and how to invest </w:t>
      </w:r>
      <w:r w:rsidR="0019689D" w:rsidRPr="008C04EC">
        <w:rPr>
          <w:rFonts w:ascii="Times New Roman" w:eastAsiaTheme="minorHAnsi" w:hAnsi="Times New Roman" w:cs="Times New Roman"/>
          <w:iCs/>
          <w:color w:val="000000" w:themeColor="text1"/>
          <w:sz w:val="24"/>
          <w:szCs w:val="18"/>
          <w:lang w:val="en-GB"/>
        </w:rPr>
        <w:t>depends</w:t>
      </w:r>
      <w:r w:rsidR="000130A3" w:rsidRPr="008C04EC">
        <w:rPr>
          <w:rFonts w:ascii="Times New Roman" w:eastAsiaTheme="minorHAnsi" w:hAnsi="Times New Roman" w:cs="Times New Roman"/>
          <w:iCs/>
          <w:color w:val="000000" w:themeColor="text1"/>
          <w:sz w:val="24"/>
          <w:szCs w:val="18"/>
          <w:lang w:val="en-GB"/>
        </w:rPr>
        <w:t xml:space="preserve"> on management’s entrepreneurial capacities with respect to matching up and integrating relevant co-specialized assets </w:t>
      </w:r>
      <w:r w:rsidR="000130A3" w:rsidRPr="008C04EC">
        <w:rPr>
          <w:rFonts w:ascii="Times New Roman" w:eastAsiaTheme="minorHAnsi" w:hAnsi="Times New Roman" w:cs="Times New Roman"/>
          <w:iCs/>
          <w:color w:val="000000" w:themeColor="text1"/>
          <w:sz w:val="24"/>
          <w:szCs w:val="18"/>
          <w:lang w:val="en-GB"/>
        </w:rPr>
        <w:fldChar w:fldCharType="begin"/>
      </w:r>
      <w:r w:rsidR="00E559B2">
        <w:rPr>
          <w:rFonts w:ascii="Times New Roman" w:eastAsiaTheme="minorHAnsi" w:hAnsi="Times New Roman" w:cs="Times New Roman"/>
          <w:iCs/>
          <w:color w:val="000000" w:themeColor="text1"/>
          <w:sz w:val="24"/>
          <w:szCs w:val="18"/>
          <w:lang w:val="en-GB"/>
        </w:rPr>
        <w:instrText xml:space="preserve"> ADDIN ZOTERO_ITEM CSL_CITATION {"citationID":"xRELxO7D","properties":{"formattedCitation":"(Teece, 2007 p. 1338)","plainCitation":"(Teece, 2007 p. 1338)","dontUpdate":true,"noteIndex":0},"citationItems":[{"id":623,"uris":["http://zotero.org/users/3209486/items/AM6EMAB6"],"uri":["http://zotero.org/users/3209486/items/AM6EMAB6"],"itemData":{"id":623,"type":"article-journal","title":"Explicating dynamic capabilities: the nature and microfoundations of (sustainable) enterprise performance","container-title":"Strategic Management Journal","page":"1319-1350","volume":"28","issue":"13","abstract":"This paper draws on the social and behavioral sciences in an endeavor to specify the nature and microfoundations of the capabilities necessary to sustain superior enterprise performance in an open economy with rapid innovation and globally dispersed sources of invention, innovation, and manufacturing capability. Dynamic capabilities enable business enterprises to create, deploy, and protect the intangible assets that support superior long- run business performance. The microfoundations of dynamic capabilities—the distinct skills, processes, procedures, organizational structures, decision rules, and disciplines—which undergird enterprise-level sensing, seizing, and reconfiguring capacities are difficult to develop and deploy. Enterprises with strong dynamic capabilities are intensely entrepreneurial. They not only adapt to business ecosystems, but also shape them through innovation and through collaboration with other enterprises, entities, and institutions. The framework advanced can help scholars understand the foundations of long-run enterprise success while helping managers delineate relevant strategic considerations and the priorities they must adopt to enhance enterprise performance and escape the zero profit tendency associated with operating in markets open to global competition. Copyright © 2007 John Wiley &amp; Sons, Ltd.","DOI":"10.1002/smj.640","ISSN":"1097-0266","journalAbbreviation":"Strat. Mgmt. J.","author":[{"family":"Teece","given":"David J."}],"issued":{"date-parts":[["2007",12,1]]}},"suffix":"p. 1338"}],"schema":"https://github.com/citation-style-language/schema/raw/master/csl-citation.json"} </w:instrText>
      </w:r>
      <w:r w:rsidR="000130A3" w:rsidRPr="008C04EC">
        <w:rPr>
          <w:rFonts w:ascii="Times New Roman" w:eastAsiaTheme="minorHAnsi" w:hAnsi="Times New Roman" w:cs="Times New Roman"/>
          <w:iCs/>
          <w:color w:val="000000" w:themeColor="text1"/>
          <w:sz w:val="24"/>
          <w:szCs w:val="18"/>
          <w:lang w:val="en-GB"/>
        </w:rPr>
        <w:fldChar w:fldCharType="separate"/>
      </w:r>
      <w:r w:rsidR="007061B5" w:rsidRPr="008C04EC">
        <w:rPr>
          <w:rFonts w:ascii="Times New Roman" w:hAnsi="Times New Roman" w:cs="Times New Roman"/>
          <w:color w:val="000000" w:themeColor="text1"/>
          <w:sz w:val="24"/>
        </w:rPr>
        <w:t>(Teece, 2007</w:t>
      </w:r>
      <w:r w:rsidR="00D4006E">
        <w:rPr>
          <w:rFonts w:ascii="Times New Roman" w:hAnsi="Times New Roman" w:cs="Times New Roman"/>
          <w:color w:val="000000" w:themeColor="text1"/>
          <w:sz w:val="24"/>
        </w:rPr>
        <w:t>,</w:t>
      </w:r>
      <w:r w:rsidR="007061B5" w:rsidRPr="008C04EC">
        <w:rPr>
          <w:rFonts w:ascii="Times New Roman" w:hAnsi="Times New Roman" w:cs="Times New Roman"/>
          <w:color w:val="000000" w:themeColor="text1"/>
          <w:sz w:val="24"/>
        </w:rPr>
        <w:t xml:space="preserve"> p. 1338)</w:t>
      </w:r>
      <w:r w:rsidR="000130A3" w:rsidRPr="008C04EC">
        <w:rPr>
          <w:rFonts w:ascii="Times New Roman" w:eastAsiaTheme="minorHAnsi" w:hAnsi="Times New Roman" w:cs="Times New Roman"/>
          <w:iCs/>
          <w:color w:val="000000" w:themeColor="text1"/>
          <w:sz w:val="24"/>
          <w:szCs w:val="18"/>
          <w:lang w:val="en-GB"/>
        </w:rPr>
        <w:fldChar w:fldCharType="end"/>
      </w:r>
      <w:r w:rsidR="000130A3" w:rsidRPr="008C04EC">
        <w:rPr>
          <w:rFonts w:ascii="Times New Roman" w:eastAsiaTheme="minorHAnsi" w:hAnsi="Times New Roman" w:cs="Times New Roman"/>
          <w:iCs/>
          <w:color w:val="000000" w:themeColor="text1"/>
          <w:sz w:val="24"/>
          <w:szCs w:val="18"/>
          <w:lang w:val="en-GB"/>
        </w:rPr>
        <w:t>.</w:t>
      </w:r>
      <w:r w:rsidR="006E7E6E" w:rsidRPr="008C04EC">
        <w:rPr>
          <w:rFonts w:ascii="Times New Roman" w:eastAsiaTheme="minorHAnsi" w:hAnsi="Times New Roman" w:cs="Times New Roman"/>
          <w:iCs/>
          <w:color w:val="000000" w:themeColor="text1"/>
          <w:sz w:val="24"/>
          <w:szCs w:val="18"/>
          <w:lang w:val="en-GB"/>
        </w:rPr>
        <w:t xml:space="preserve"> </w:t>
      </w:r>
      <w:r w:rsidR="00342284" w:rsidRPr="008C04EC">
        <w:rPr>
          <w:rFonts w:ascii="Times New Roman" w:eastAsiaTheme="minorHAnsi" w:hAnsi="Times New Roman" w:cs="Times New Roman"/>
          <w:iCs/>
          <w:color w:val="000000" w:themeColor="text1"/>
          <w:sz w:val="24"/>
          <w:szCs w:val="18"/>
          <w:lang w:val="en-GB"/>
        </w:rPr>
        <w:t>E</w:t>
      </w:r>
      <w:r w:rsidR="006E7E6E" w:rsidRPr="008C04EC">
        <w:rPr>
          <w:rFonts w:ascii="Times New Roman" w:eastAsiaTheme="minorHAnsi" w:hAnsi="Times New Roman" w:cs="Times New Roman"/>
          <w:iCs/>
          <w:color w:val="000000" w:themeColor="text1"/>
          <w:sz w:val="24"/>
          <w:szCs w:val="18"/>
          <w:lang w:val="en-GB"/>
        </w:rPr>
        <w:t xml:space="preserve">ntrepreneurially oriented managers </w:t>
      </w:r>
      <w:r w:rsidR="00C37F90">
        <w:rPr>
          <w:rFonts w:ascii="Times New Roman" w:eastAsiaTheme="minorHAnsi" w:hAnsi="Times New Roman" w:cs="Times New Roman"/>
          <w:iCs/>
          <w:color w:val="000000" w:themeColor="text1"/>
          <w:sz w:val="24"/>
          <w:szCs w:val="18"/>
          <w:lang w:val="en-GB"/>
        </w:rPr>
        <w:t>are able to</w:t>
      </w:r>
      <w:r w:rsidR="00342284" w:rsidRPr="008C04EC">
        <w:rPr>
          <w:rFonts w:ascii="Times New Roman" w:eastAsiaTheme="minorHAnsi" w:hAnsi="Times New Roman" w:cs="Times New Roman"/>
          <w:iCs/>
          <w:color w:val="000000" w:themeColor="text1"/>
          <w:sz w:val="24"/>
          <w:szCs w:val="18"/>
          <w:lang w:val="en-GB"/>
        </w:rPr>
        <w:t xml:space="preserve"> match co-specialized assets by absorbing </w:t>
      </w:r>
      <w:r w:rsidR="00305C07" w:rsidRPr="008C04EC">
        <w:rPr>
          <w:rFonts w:ascii="Times New Roman" w:eastAsiaTheme="minorHAnsi" w:hAnsi="Times New Roman" w:cs="Times New Roman"/>
          <w:iCs/>
          <w:color w:val="000000" w:themeColor="text1"/>
          <w:sz w:val="24"/>
          <w:szCs w:val="18"/>
          <w:lang w:val="en-GB"/>
        </w:rPr>
        <w:t>innovative technologies</w:t>
      </w:r>
      <w:r w:rsidR="006E7E6E" w:rsidRPr="008C04EC">
        <w:rPr>
          <w:rFonts w:ascii="Times New Roman" w:eastAsiaTheme="minorHAnsi" w:hAnsi="Times New Roman" w:cs="Times New Roman"/>
          <w:iCs/>
          <w:color w:val="000000" w:themeColor="text1"/>
          <w:sz w:val="24"/>
          <w:szCs w:val="18"/>
          <w:lang w:val="en-GB"/>
        </w:rPr>
        <w:t xml:space="preserve"> into the firm </w:t>
      </w:r>
      <w:r w:rsidR="00342284" w:rsidRPr="008C04EC">
        <w:rPr>
          <w:rFonts w:ascii="Times New Roman" w:eastAsiaTheme="minorHAnsi" w:hAnsi="Times New Roman" w:cs="Times New Roman"/>
          <w:iCs/>
          <w:color w:val="000000" w:themeColor="text1"/>
          <w:sz w:val="24"/>
          <w:szCs w:val="18"/>
          <w:lang w:val="en-GB"/>
        </w:rPr>
        <w:t>and</w:t>
      </w:r>
      <w:r w:rsidR="00C37F90">
        <w:rPr>
          <w:rFonts w:ascii="Times New Roman" w:eastAsiaTheme="minorHAnsi" w:hAnsi="Times New Roman" w:cs="Times New Roman"/>
          <w:iCs/>
          <w:color w:val="000000" w:themeColor="text1"/>
          <w:sz w:val="24"/>
          <w:szCs w:val="18"/>
          <w:lang w:val="en-GB"/>
        </w:rPr>
        <w:t xml:space="preserve"> matching it to suitable knowledge sets possessed by operational staff</w:t>
      </w:r>
      <w:r w:rsidR="000A1726">
        <w:rPr>
          <w:rFonts w:ascii="Times New Roman" w:eastAsiaTheme="minorHAnsi" w:hAnsi="Times New Roman" w:cs="Times New Roman"/>
          <w:iCs/>
          <w:color w:val="000000" w:themeColor="text1"/>
          <w:sz w:val="24"/>
          <w:szCs w:val="18"/>
          <w:lang w:val="en-GB"/>
        </w:rPr>
        <w:t xml:space="preserve"> </w:t>
      </w:r>
      <w:r w:rsidR="000A1726">
        <w:rPr>
          <w:rFonts w:ascii="Times New Roman" w:eastAsiaTheme="minorHAnsi" w:hAnsi="Times New Roman" w:cs="Times New Roman"/>
          <w:iCs/>
          <w:color w:val="000000" w:themeColor="text1"/>
          <w:sz w:val="24"/>
          <w:szCs w:val="18"/>
          <w:lang w:val="en-GB"/>
        </w:rPr>
        <w:fldChar w:fldCharType="begin"/>
      </w:r>
      <w:r w:rsidR="000A1726">
        <w:rPr>
          <w:rFonts w:ascii="Times New Roman" w:eastAsiaTheme="minorHAnsi" w:hAnsi="Times New Roman" w:cs="Times New Roman"/>
          <w:iCs/>
          <w:color w:val="000000" w:themeColor="text1"/>
          <w:sz w:val="24"/>
          <w:szCs w:val="18"/>
          <w:lang w:val="en-GB"/>
        </w:rPr>
        <w:instrText xml:space="preserve"> ADDIN ZOTERO_ITEM CSL_CITATION {"citationID":"ooCoIGqR","properties":{"formattedCitation":"(Sahi et al., 2019)","plainCitation":"(Sahi et al., 2019)","noteIndex":0},"citationItems":[{"id":4589,"uris":["http://zotero.org/users/3209486/items/2FV5LMTF"],"uri":["http://zotero.org/users/3209486/items/2FV5LMTF"],"itemData":{"id":4589,"type":"article-journal","title":"Relating entrepreneurial orientation with operational responsiveness","container-title":"International journal of production and operations management","page":"739-766","volume":"39","issue":"5","abstract":"Abstract\nPurpose\n\nPremised on dynamic capability theory, the purpose of this paper is to explore the link between entrepreneurial orientation (EO) and operational responsiveness (OR). In addition, grounded in contingency theory, the authors examine the roles of competitive intensity and technological turbulence in affecting the entrepreneurial orientation and OR link.\nDesign/methodology/approach\n\nThis study proposes that firms’ entrepreneurial initiatives in terms of innovativeness, proactiveness and risk-taking significantly affect their responsiveness. Competitive intensity and technological turbulence moderate the EO and OR relationship. Using hierarchical regression analysis, the authors analyze the data generated from a sample of 164 small-and-medium enterprises in the USA.\nFindings\n\nThe findings show that entrepreneurial initiatives are instrumental in responding to market requirements, which in turn results in superior performance. The authors also find that the interactive effects of innovativeness/risk-taking and competitive intensity are significant and positive, while those of innovativeness/proactiveness and technological turbulence on responsiveness are significant but negative. These findings imply that OR is effective when the level of competitive intensity is high while technological turbulence is low.\nResearch limitations/implications\n\nThe authors conclude the paper by suggesting that entrepreneurial actions are pre-requisites for OR, which becomes effective only when the market experiences a moderate level of competition and a low level of technological change. The study provides implications for cross-functional research in the areas of entrepreneurship and operations management (OM) and also suggests future directions in this research stream.\nOriginality/value\n\nAlthough responsiveness has been recognized as a critical competitive capability in the OM literature, its relationship with EO is not fully understood and has not been empirically tested. Moreover, the interplay between EO and competitive intensity/technological turbulence and their effects on effective OR have not been gauged in the past.","author":[{"family":"Sahi","given":"Gurjeet Kaur"},{"family":"Gupta","given":"Mahesh"},{"family":"Cheng","given":"T.C.E."},{"family":"Lionel","given":"S."}],"issued":{"date-parts":[["2019"]]}}}],"schema":"https://github.com/citation-style-language/schema/raw/master/csl-citation.json"} </w:instrText>
      </w:r>
      <w:r w:rsidR="000A1726">
        <w:rPr>
          <w:rFonts w:ascii="Times New Roman" w:eastAsiaTheme="minorHAnsi" w:hAnsi="Times New Roman" w:cs="Times New Roman"/>
          <w:iCs/>
          <w:color w:val="000000" w:themeColor="text1"/>
          <w:sz w:val="24"/>
          <w:szCs w:val="18"/>
          <w:lang w:val="en-GB"/>
        </w:rPr>
        <w:fldChar w:fldCharType="separate"/>
      </w:r>
      <w:r w:rsidR="000A1726" w:rsidRPr="000A1726">
        <w:rPr>
          <w:rFonts w:ascii="Times New Roman" w:hAnsi="Times New Roman" w:cs="Times New Roman"/>
          <w:sz w:val="24"/>
        </w:rPr>
        <w:t>(Sahi et al., 2019)</w:t>
      </w:r>
      <w:r w:rsidR="000A1726">
        <w:rPr>
          <w:rFonts w:ascii="Times New Roman" w:eastAsiaTheme="minorHAnsi" w:hAnsi="Times New Roman" w:cs="Times New Roman"/>
          <w:iCs/>
          <w:color w:val="000000" w:themeColor="text1"/>
          <w:sz w:val="24"/>
          <w:szCs w:val="18"/>
          <w:lang w:val="en-GB"/>
        </w:rPr>
        <w:fldChar w:fldCharType="end"/>
      </w:r>
      <w:r w:rsidR="00C37F90">
        <w:rPr>
          <w:rFonts w:ascii="Times New Roman" w:eastAsiaTheme="minorHAnsi" w:hAnsi="Times New Roman" w:cs="Times New Roman"/>
          <w:iCs/>
          <w:color w:val="000000" w:themeColor="text1"/>
          <w:sz w:val="24"/>
          <w:szCs w:val="18"/>
          <w:lang w:val="en-GB"/>
        </w:rPr>
        <w:t xml:space="preserve">. </w:t>
      </w:r>
      <w:r w:rsidR="00342284" w:rsidRPr="008C04EC">
        <w:rPr>
          <w:rFonts w:ascii="Times New Roman" w:eastAsiaTheme="minorHAnsi" w:hAnsi="Times New Roman" w:cs="Times New Roman"/>
          <w:iCs/>
          <w:color w:val="000000" w:themeColor="text1"/>
          <w:sz w:val="24"/>
          <w:szCs w:val="18"/>
          <w:lang w:val="en-GB"/>
        </w:rPr>
        <w:t xml:space="preserve">Entrepreneurial orientation is a strategic orientation that captures the specifically entrepreneurial aspects of firms’ strategies </w:t>
      </w:r>
      <w:r w:rsidR="00342284" w:rsidRPr="008C04EC">
        <w:rPr>
          <w:rFonts w:ascii="Times New Roman" w:eastAsiaTheme="minorHAnsi" w:hAnsi="Times New Roman" w:cs="Times New Roman"/>
          <w:iCs/>
          <w:color w:val="000000" w:themeColor="text1"/>
          <w:sz w:val="24"/>
          <w:szCs w:val="18"/>
          <w:lang w:val="en-GB"/>
        </w:rPr>
        <w:fldChar w:fldCharType="begin"/>
      </w:r>
      <w:r w:rsidR="00E559B2">
        <w:rPr>
          <w:rFonts w:ascii="Times New Roman" w:eastAsiaTheme="minorHAnsi" w:hAnsi="Times New Roman" w:cs="Times New Roman"/>
          <w:iCs/>
          <w:color w:val="000000" w:themeColor="text1"/>
          <w:sz w:val="24"/>
          <w:szCs w:val="18"/>
          <w:lang w:val="en-GB"/>
        </w:rPr>
        <w:instrText xml:space="preserve"> ADDIN ZOTERO_ITEM CSL_CITATION {"citationID":"hfiEVmhn","properties":{"formattedCitation":"(Covin and Slevin, 1989; Hakala, 2011; Wiklund and Shepherd, 2005)","plainCitation":"(Covin and Slevin, 1989; Hakala, 2011; Wiklund and Shepherd, 2005)","dontUpdate":true,"noteIndex":0},"citationItems":[{"id":4297,"uris":["http://zotero.org/users/3209486/items/VYG5AESW"],"uri":["http://zotero.org/users/3209486/items/VYG5AESW"],"itemData":{"id":4297,"type":"article-journal","title":"Strategic Management of Small Firms in Hostile and Benign Environments","container-title":"Strategic Management Journal","page":"75-87","volume":"10","issue":"1","archive":"JSTOR","abstract":"[This paper reports the results of a study designed to investigate the effective strategic responses to environmental hostility among small manufacturing firms. Data on environmental hostility, organization structure, strategic posture, competitive tactics, and financial performance were collected from 161 small manufacturers. Findings indicate that performance among small firms in hostile environments was positively related to an organic structure, an entrepreneurial strategic posture, and a competitive profile characterized by a long-term orientation, high product prices, and a concern for predicting industry trends. In benign environments, on the other hand, performance was positively related to a mechanistic structure, a conservative strategic posture, and a competitive profile characterized by conservative financial management and a short-term financial orientation, an emphasis on product refinement, and a willingness to rely heavily on single customers.]","ISSN":"01432095, 10970266","author":[{"family":"Covin","given":"Jeffrey G."},{"family":"Slevin","given":"Dennis P."}],"issued":{"date-parts":[["1989"]]}}},{"id":4285,"uris":["http://zotero.org/users/3209486/items/R64G6KQ4"],"uri":["http://zotero.org/users/3209486/items/R64G6KQ4"],"itemData":{"id":4285,"type":"article-journal","title":"Strategic Orientations in Management Literature: Three Approaches to Understanding the Interaction between Market, Technology, Entrepreneurial and Learning Orientations","container-title":"International Journal of Management Reviews","page":"199-217","volume":"13","issue":"2","abstract":"Market, technology, entrepreneurial and learning orientations have attracted major scholarly interest within their specific streams of literature for some decades. These strategic orientations are seen as principles that direct and influence the activities of a firm and generate the behaviours intended to ensure its viability and performance. Prior studies have argued that firms should develop and use multiple orientations, yet the relationship between different orientations has received only fragmented attention. This paper presents a systematic review of this literature, covering 67 scholarly articles published between 1987 and 2010 which investigate multiple orientations. The paper contributes first by summarizing the current state of knowledge on the interplay between these orientations. Many of these relationships have not been studied to any great degree, and there are research gaps in the information available on the relationships between entrepreneurial, technology and learning orientation in particular. Secondly, the paper contributes to further theoretical and empirical enquiry by synthesizing the empirical findings into a three-approach framework. The sequential, alternatives and complementary approaches to perceiving the relationship between orientations all suggest areas for further research. The sequential approach could further contribute by developing better constructs for explaining the orientation of the firm; while the alternatives approach could increase its relevance to management through the exploration of contingency settings and comparative studies. The complementary approach encourages discussion between researchers from the different streams of literature through the investigation of the relationships. It suggests focus on the investigation of both universal- and contingency-dependent-orientation configurations.","DOI":"10.1111/j.1468-2370.2010.00292.x","ISSN":"1460-8545","journalAbbreviation":"International Journal of Management Reviews","author":[{"family":"Hakala","given":"Henri"}],"issued":{"date-parts":[["2011",6,1]]}}},{"id":4298,"uris":["http://zotero.org/users/3209486/items/8STAXVIC"],"uri":["http://zotero.org/users/3209486/items/8STAXVIC"],"itemData":{"id":4298,"type":"article-journal","title":"Entrepreneurial orientation and small business performance: a configurational approach","container-title":"Journal of Business Venturing","page":"71-91","volume":"20","issue":"1","abstract":"The strategy and entrepreneurship literatures suggest that an entrepreneurial orientation (EO) improves firm performance, but the empirical results are mixed. In this article, we investigate the EO of small businesses and find that a main-effects-only analysis provides an incomplete picture of performance. Access to capital and the dynamism of the environment are important to small businesses, and we find that when combined with EO (a three-way interaction model) the configurational approach explains variance in performance over and above a contingency model (two-way interactions) and a main-effects-only model.","DOI":"10.1016/j.jbusvent.2004.01.001","ISSN":"0883-9026","journalAbbreviation":"Journal of Business Venturing","author":[{"family":"Wiklund","given":"Johan"},{"family":"Shepherd","given":"Dean"}],"issued":{"date-parts":[["2005",1,1]]}}}],"schema":"https://github.com/citation-style-language/schema/raw/master/csl-citation.json"} </w:instrText>
      </w:r>
      <w:r w:rsidR="00342284" w:rsidRPr="008C04EC">
        <w:rPr>
          <w:rFonts w:ascii="Times New Roman" w:eastAsiaTheme="minorHAnsi" w:hAnsi="Times New Roman" w:cs="Times New Roman"/>
          <w:iCs/>
          <w:color w:val="000000" w:themeColor="text1"/>
          <w:sz w:val="24"/>
          <w:szCs w:val="18"/>
          <w:lang w:val="en-GB"/>
        </w:rPr>
        <w:fldChar w:fldCharType="separate"/>
      </w:r>
      <w:r w:rsidR="007061B5" w:rsidRPr="008C04EC">
        <w:rPr>
          <w:rFonts w:ascii="Times New Roman" w:hAnsi="Times New Roman" w:cs="Times New Roman"/>
          <w:color w:val="000000" w:themeColor="text1"/>
          <w:sz w:val="24"/>
        </w:rPr>
        <w:t xml:space="preserve">(Covin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Slevin, 1989; Hakala, 2011; Wiklund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Shepherd, 2005)</w:t>
      </w:r>
      <w:r w:rsidR="00342284" w:rsidRPr="008C04EC">
        <w:rPr>
          <w:rFonts w:ascii="Times New Roman" w:eastAsiaTheme="minorHAnsi" w:hAnsi="Times New Roman" w:cs="Times New Roman"/>
          <w:iCs/>
          <w:color w:val="000000" w:themeColor="text1"/>
          <w:sz w:val="24"/>
          <w:szCs w:val="18"/>
          <w:lang w:val="en-GB"/>
        </w:rPr>
        <w:fldChar w:fldCharType="end"/>
      </w:r>
      <w:r w:rsidR="00342284" w:rsidRPr="008C04EC">
        <w:rPr>
          <w:rFonts w:ascii="Times New Roman" w:eastAsiaTheme="minorHAnsi" w:hAnsi="Times New Roman" w:cs="Times New Roman"/>
          <w:iCs/>
          <w:color w:val="000000" w:themeColor="text1"/>
          <w:sz w:val="24"/>
          <w:szCs w:val="18"/>
          <w:lang w:val="en-GB"/>
        </w:rPr>
        <w:t xml:space="preserve">. </w:t>
      </w:r>
      <w:r w:rsidR="00305C07" w:rsidRPr="008C04EC">
        <w:rPr>
          <w:rFonts w:ascii="Times New Roman" w:eastAsiaTheme="minorHAnsi" w:hAnsi="Times New Roman" w:cs="Times New Roman"/>
          <w:iCs/>
          <w:color w:val="000000" w:themeColor="text1"/>
          <w:sz w:val="24"/>
          <w:szCs w:val="18"/>
          <w:lang w:val="en-GB"/>
        </w:rPr>
        <w:t>The predominant view of what it</w:t>
      </w:r>
      <w:r w:rsidR="006E7E6E" w:rsidRPr="008C04EC">
        <w:rPr>
          <w:rFonts w:ascii="Times New Roman" w:eastAsiaTheme="minorHAnsi" w:hAnsi="Times New Roman" w:cs="Times New Roman"/>
          <w:iCs/>
          <w:color w:val="000000" w:themeColor="text1"/>
          <w:sz w:val="24"/>
          <w:szCs w:val="18"/>
          <w:lang w:val="en-GB"/>
        </w:rPr>
        <w:t xml:space="preserve"> means to be entrepreneurial is an organizational </w:t>
      </w:r>
      <w:r w:rsidR="009E4D7B" w:rsidRPr="008C04EC">
        <w:rPr>
          <w:rFonts w:ascii="Times New Roman" w:eastAsiaTheme="minorHAnsi" w:hAnsi="Times New Roman" w:cs="Times New Roman"/>
          <w:iCs/>
          <w:color w:val="000000" w:themeColor="text1"/>
          <w:sz w:val="24"/>
          <w:szCs w:val="18"/>
          <w:lang w:val="en-GB"/>
        </w:rPr>
        <w:t>tendency toward</w:t>
      </w:r>
      <w:r w:rsidR="006E7E6E" w:rsidRPr="008C04EC">
        <w:rPr>
          <w:rFonts w:ascii="Times New Roman" w:eastAsiaTheme="minorHAnsi" w:hAnsi="Times New Roman" w:cs="Times New Roman"/>
          <w:iCs/>
          <w:color w:val="000000" w:themeColor="text1"/>
          <w:sz w:val="24"/>
          <w:szCs w:val="18"/>
          <w:lang w:val="en-GB"/>
        </w:rPr>
        <w:t xml:space="preserve"> concurrently taking risks, </w:t>
      </w:r>
      <w:r w:rsidR="00622767" w:rsidRPr="008C04EC">
        <w:rPr>
          <w:rFonts w:ascii="Times New Roman" w:eastAsiaTheme="minorHAnsi" w:hAnsi="Times New Roman" w:cs="Times New Roman"/>
          <w:iCs/>
          <w:color w:val="000000" w:themeColor="text1"/>
          <w:sz w:val="24"/>
          <w:szCs w:val="18"/>
          <w:lang w:val="en-GB"/>
        </w:rPr>
        <w:t xml:space="preserve">continuously </w:t>
      </w:r>
      <w:r w:rsidR="006E7E6E" w:rsidRPr="008C04EC">
        <w:rPr>
          <w:rFonts w:ascii="Times New Roman" w:eastAsiaTheme="minorHAnsi" w:hAnsi="Times New Roman" w:cs="Times New Roman"/>
          <w:iCs/>
          <w:color w:val="000000" w:themeColor="text1"/>
          <w:sz w:val="24"/>
          <w:szCs w:val="18"/>
          <w:lang w:val="en-GB"/>
        </w:rPr>
        <w:t>innovating</w:t>
      </w:r>
      <w:r w:rsidR="00622767" w:rsidRPr="008C04EC">
        <w:rPr>
          <w:rFonts w:ascii="Times New Roman" w:eastAsiaTheme="minorHAnsi" w:hAnsi="Times New Roman" w:cs="Times New Roman"/>
          <w:iCs/>
          <w:color w:val="000000" w:themeColor="text1"/>
          <w:sz w:val="24"/>
          <w:szCs w:val="18"/>
          <w:lang w:val="en-GB"/>
        </w:rPr>
        <w:t xml:space="preserve"> to</w:t>
      </w:r>
      <w:r w:rsidR="006E7E6E" w:rsidRPr="008C04EC">
        <w:rPr>
          <w:rFonts w:ascii="Times New Roman" w:eastAsiaTheme="minorHAnsi" w:hAnsi="Times New Roman" w:cs="Times New Roman"/>
          <w:iCs/>
          <w:color w:val="000000" w:themeColor="text1"/>
          <w:sz w:val="24"/>
          <w:szCs w:val="18"/>
          <w:lang w:val="en-GB"/>
        </w:rPr>
        <w:t xml:space="preserve"> rejuvenate </w:t>
      </w:r>
      <w:r w:rsidR="00622767" w:rsidRPr="008C04EC">
        <w:rPr>
          <w:rFonts w:ascii="Times New Roman" w:eastAsiaTheme="minorHAnsi" w:hAnsi="Times New Roman" w:cs="Times New Roman"/>
          <w:iCs/>
          <w:color w:val="000000" w:themeColor="text1"/>
          <w:sz w:val="24"/>
          <w:szCs w:val="18"/>
          <w:lang w:val="en-GB"/>
        </w:rPr>
        <w:t xml:space="preserve">the firm’s </w:t>
      </w:r>
      <w:r w:rsidR="006E7E6E" w:rsidRPr="008C04EC">
        <w:rPr>
          <w:rFonts w:ascii="Times New Roman" w:eastAsiaTheme="minorHAnsi" w:hAnsi="Times New Roman" w:cs="Times New Roman"/>
          <w:iCs/>
          <w:color w:val="000000" w:themeColor="text1"/>
          <w:sz w:val="24"/>
          <w:szCs w:val="18"/>
          <w:lang w:val="en-GB"/>
        </w:rPr>
        <w:t xml:space="preserve">market offering and being more proactive than </w:t>
      </w:r>
      <w:r w:rsidR="00622767" w:rsidRPr="008C04EC">
        <w:rPr>
          <w:rFonts w:ascii="Times New Roman" w:eastAsiaTheme="minorHAnsi" w:hAnsi="Times New Roman" w:cs="Times New Roman"/>
          <w:iCs/>
          <w:color w:val="000000" w:themeColor="text1"/>
          <w:sz w:val="24"/>
          <w:szCs w:val="18"/>
          <w:lang w:val="en-GB"/>
        </w:rPr>
        <w:t>the competition</w:t>
      </w:r>
      <w:r w:rsidR="00305C07" w:rsidRPr="008C04EC">
        <w:rPr>
          <w:rFonts w:ascii="Times New Roman" w:eastAsiaTheme="minorHAnsi" w:hAnsi="Times New Roman" w:cs="Times New Roman"/>
          <w:iCs/>
          <w:color w:val="000000" w:themeColor="text1"/>
          <w:sz w:val="24"/>
          <w:szCs w:val="18"/>
          <w:lang w:val="en-GB"/>
        </w:rPr>
        <w:t xml:space="preserve"> </w:t>
      </w:r>
      <w:r w:rsidR="00305C07" w:rsidRPr="008C04EC">
        <w:rPr>
          <w:rFonts w:ascii="Times New Roman" w:eastAsiaTheme="minorHAnsi" w:hAnsi="Times New Roman" w:cs="Times New Roman"/>
          <w:iCs/>
          <w:color w:val="000000" w:themeColor="text1"/>
          <w:sz w:val="24"/>
          <w:szCs w:val="18"/>
          <w:lang w:val="en-GB"/>
        </w:rPr>
        <w:fldChar w:fldCharType="begin"/>
      </w:r>
      <w:r w:rsidR="00305C07" w:rsidRPr="008C04EC">
        <w:rPr>
          <w:rFonts w:ascii="Times New Roman" w:eastAsiaTheme="minorHAnsi" w:hAnsi="Times New Roman" w:cs="Times New Roman"/>
          <w:iCs/>
          <w:color w:val="000000" w:themeColor="text1"/>
          <w:sz w:val="24"/>
          <w:szCs w:val="18"/>
          <w:lang w:val="en-GB"/>
        </w:rPr>
        <w:instrText xml:space="preserve"> ADDIN ZOTERO_ITEM CSL_CITATION {"citationID":"HZlZZCfw","properties":{"formattedCitation":"(Gupta et al., 2014; Miller, 1983)","plainCitation":"(Gupta et al., 2014; Miller, 1983)","noteIndex":0},"citationItems":[{"id":1714,"uris":["http://zotero.org/users/3209486/items/R8PL43H2"],"uri":["http://zotero.org/users/3209486/items/R8PL43H2"],"itemData":{"id":1714,"type":"article-journal","title":"Entrepreneurial Orientation Capability and Firm Performance under Conditions of Organizational Learning.","container-title":"Journal of Managerial Issues","page":"157-173","volume":"26","issue":"2","source":"EBSCOhost","archive":"buh","abstract":"The article discusses a study on dynamic capabilities and the effects of entrepreneurial orientation (EO) capability and organizational learning (OL) on a firm's performance and competitiveness. Topics include the dynamic capabilities perspective, OL mechanisms and EO and OL interface in the development of dynamic capabilities and support of performance benefits, and the study's goal of investigating the benefits of EO in large publicly traded firms and the EO-performance relationship.","ISSN":"10453695","journalAbbreviation":"Journal of Managerial Issues","author":[{"family":"Gupta","given":"Vishal K."},{"family":"Dutta","given":"Dev K."},{"literal":"Xiujian Chen"}],"issued":{"date-parts":[["2014"]]}}},{"id":4296,"uris":["http://zotero.org/users/3209486/items/SPDBIXG6"],"uri":["http://zotero.org/users/3209486/items/SPDBIXG6"],"itemData":{"id":4296,"type":"article-journal","title":"The correlates of entrepreneurship in three types of firms","container-title":"Management Science","page":"770-791","volume":"29","author":[{"family":"Miller","given":"Daniel"}],"issued":{"date-parts":[["1983"]]}}}],"schema":"https://github.com/citation-style-language/schema/raw/master/csl-citation.json"} </w:instrText>
      </w:r>
      <w:r w:rsidR="00305C07" w:rsidRPr="008C04EC">
        <w:rPr>
          <w:rFonts w:ascii="Times New Roman" w:eastAsiaTheme="minorHAnsi" w:hAnsi="Times New Roman" w:cs="Times New Roman"/>
          <w:iCs/>
          <w:color w:val="000000" w:themeColor="text1"/>
          <w:sz w:val="24"/>
          <w:szCs w:val="18"/>
          <w:lang w:val="en-GB"/>
        </w:rPr>
        <w:fldChar w:fldCharType="separate"/>
      </w:r>
      <w:r w:rsidR="007061B5" w:rsidRPr="008C04EC">
        <w:rPr>
          <w:rFonts w:ascii="Times New Roman" w:hAnsi="Times New Roman" w:cs="Times New Roman"/>
          <w:color w:val="000000" w:themeColor="text1"/>
          <w:sz w:val="24"/>
        </w:rPr>
        <w:t>(Gupta et al., 2014; Miller, 1983)</w:t>
      </w:r>
      <w:r w:rsidR="00305C07" w:rsidRPr="008C04EC">
        <w:rPr>
          <w:rFonts w:ascii="Times New Roman" w:eastAsiaTheme="minorHAnsi" w:hAnsi="Times New Roman" w:cs="Times New Roman"/>
          <w:iCs/>
          <w:color w:val="000000" w:themeColor="text1"/>
          <w:sz w:val="24"/>
          <w:szCs w:val="18"/>
          <w:lang w:val="en-GB"/>
        </w:rPr>
        <w:fldChar w:fldCharType="end"/>
      </w:r>
      <w:r w:rsidR="006E7E6E" w:rsidRPr="008C04EC">
        <w:rPr>
          <w:rFonts w:ascii="Times New Roman" w:eastAsiaTheme="minorHAnsi" w:hAnsi="Times New Roman" w:cs="Times New Roman"/>
          <w:iCs/>
          <w:color w:val="000000" w:themeColor="text1"/>
          <w:sz w:val="24"/>
          <w:szCs w:val="18"/>
          <w:lang w:val="en-GB"/>
        </w:rPr>
        <w:t>. Indeed, e</w:t>
      </w:r>
      <w:r w:rsidR="006E7E6E" w:rsidRPr="008C04EC">
        <w:rPr>
          <w:rFonts w:ascii="Times New Roman" w:eastAsia="Times New Roman" w:hAnsi="Times New Roman" w:cs="Times New Roman"/>
          <w:color w:val="000000" w:themeColor="text1"/>
          <w:sz w:val="24"/>
          <w:szCs w:val="24"/>
          <w:lang w:val="en-GB" w:eastAsia="en-GB"/>
        </w:rPr>
        <w:t>ntrepreneurial orientation is defined as the “</w:t>
      </w:r>
      <w:r w:rsidR="006E7E6E" w:rsidRPr="008C04EC">
        <w:rPr>
          <w:rFonts w:ascii="Times New Roman" w:hAnsi="Times New Roman" w:cs="Times New Roman"/>
          <w:color w:val="000000" w:themeColor="text1"/>
          <w:sz w:val="24"/>
          <w:szCs w:val="24"/>
          <w:lang w:val="en-GB"/>
        </w:rPr>
        <w:t xml:space="preserve">processes, structures, and behaviours of the firm that are characterised by innovativeness, pro-activeness, and risk-taking” </w:t>
      </w:r>
      <w:r w:rsidR="006E7E6E"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&lt;EndNote&gt;&lt;Cite&gt;&lt;Author&gt;Stam&lt;/Author&gt;&lt;Year&gt;2008&lt;/Year&gt;&lt;RecNum&gt;927&lt;/RecNum&gt;&lt;Pages&gt;98&lt;/Pages&gt;&lt;DisplayText&gt;(Stam &amp;amp; Elfring, 2008, p. 98)&lt;/DisplayText&gt;&lt;record&gt;&lt;rec-number&gt;927&lt;/rec-number&gt;&lt;foreign-keys&gt;&lt;key app="EN" db-id="seavxzzzfrf2p7eddfnxx5ep2ar05z0ddwx9"&gt;927&lt;/key&gt;&lt;/foreign-keys&gt;&lt;ref-type name="Journal Article"&gt;17&lt;/ref-type&gt;&lt;contributors&gt;&lt;authors&gt;&lt;author&gt;Stam, Wouter&lt;/author&gt;&lt;author&gt;Elfring, Tom&lt;/author&gt;&lt;/authors&gt;&lt;/contributors&gt;&lt;titles&gt;&lt;title&gt;Entrepreneurial orientation and new venture performance: The moderating role of intra-and extraindustry social capital&lt;/title&gt;&lt;secondary-title&gt;Academy of Management Journal&lt;/secondary-title&gt;&lt;/titles&gt;&lt;periodical&gt;&lt;full-title&gt;Academy of Management Journal&lt;/full-title&gt;&lt;/periodical&gt;&lt;pages&gt;97-111&lt;/pages&gt;&lt;volume&gt;51&lt;/volume&gt;&lt;number&gt;1&lt;/number&gt;&lt;dates&gt;&lt;year&gt;2008&lt;/year&gt;&lt;/dates&gt;&lt;publisher&gt;Academy of Management&lt;/publisher&gt;&lt;isbn&gt;0001-4273&lt;/isbn&gt;&lt;urls&gt;&lt;/urls&gt;&lt;/record&gt;&lt;/Cite&gt;&lt;/EndNote&gt;</w:instrText>
      </w:r>
      <w:r w:rsidR="006E7E6E"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88" w:tooltip="Stam, 2008 #927" w:history="1">
        <w:r w:rsidR="00641B32" w:rsidRPr="008C04EC">
          <w:rPr>
            <w:rFonts w:ascii="Times New Roman" w:hAnsi="Times New Roman" w:cs="Times New Roman"/>
            <w:noProof/>
            <w:color w:val="000000" w:themeColor="text1"/>
            <w:sz w:val="24"/>
            <w:szCs w:val="24"/>
            <w:lang w:val="en-GB"/>
          </w:rPr>
          <w:t>Stam &amp; Elfring, 2008, p. 98</w:t>
        </w:r>
      </w:hyperlink>
      <w:r w:rsidR="00D30452" w:rsidRPr="008C04EC">
        <w:rPr>
          <w:rFonts w:ascii="Times New Roman" w:hAnsi="Times New Roman" w:cs="Times New Roman"/>
          <w:noProof/>
          <w:color w:val="000000" w:themeColor="text1"/>
          <w:sz w:val="24"/>
          <w:szCs w:val="24"/>
          <w:lang w:val="en-GB"/>
        </w:rPr>
        <w:t>)</w:t>
      </w:r>
      <w:r w:rsidR="006E7E6E" w:rsidRPr="008C04EC">
        <w:rPr>
          <w:rFonts w:ascii="Times New Roman" w:hAnsi="Times New Roman" w:cs="Times New Roman"/>
          <w:color w:val="000000" w:themeColor="text1"/>
          <w:sz w:val="24"/>
          <w:szCs w:val="24"/>
          <w:lang w:val="en-GB"/>
        </w:rPr>
        <w:fldChar w:fldCharType="end"/>
      </w:r>
      <w:r w:rsidR="006E7E6E" w:rsidRPr="008C04EC">
        <w:rPr>
          <w:rFonts w:ascii="Times New Roman" w:hAnsi="Times New Roman" w:cs="Times New Roman"/>
          <w:color w:val="000000" w:themeColor="text1"/>
          <w:sz w:val="24"/>
          <w:szCs w:val="24"/>
          <w:lang w:val="en-GB"/>
        </w:rPr>
        <w:t>.</w:t>
      </w:r>
      <w:r w:rsidR="008F29FE" w:rsidRPr="008C04EC">
        <w:rPr>
          <w:rFonts w:ascii="Times New Roman" w:hAnsi="Times New Roman" w:cs="Times New Roman"/>
          <w:color w:val="000000" w:themeColor="text1"/>
          <w:sz w:val="24"/>
          <w:szCs w:val="24"/>
          <w:lang w:val="en-GB"/>
        </w:rPr>
        <w:t xml:space="preserve"> </w:t>
      </w:r>
    </w:p>
    <w:p w14:paraId="7322B0F4" w14:textId="68ACC2C7" w:rsidR="009E4D7B" w:rsidRPr="008C04EC" w:rsidRDefault="00DC4548" w:rsidP="00342284">
      <w:pPr>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Innovativeness refers to a willingness to introduce newness and novelty through experimentation and creative processes aimed at developing new product</w:t>
      </w:r>
      <w:r w:rsidR="00342284" w:rsidRPr="008C04EC">
        <w:rPr>
          <w:rFonts w:ascii="Times New Roman" w:hAnsi="Times New Roman" w:cs="Times New Roman"/>
          <w:color w:val="000000" w:themeColor="text1"/>
          <w:sz w:val="24"/>
          <w:szCs w:val="24"/>
          <w:lang w:val="en-GB"/>
        </w:rPr>
        <w:t>s</w:t>
      </w:r>
      <w:r w:rsidRPr="008C04EC">
        <w:rPr>
          <w:rFonts w:ascii="Times New Roman" w:hAnsi="Times New Roman" w:cs="Times New Roman"/>
          <w:color w:val="000000" w:themeColor="text1"/>
          <w:sz w:val="24"/>
          <w:szCs w:val="24"/>
          <w:lang w:val="en-GB"/>
        </w:rPr>
        <w:t xml:space="preserve"> and services </w:t>
      </w:r>
      <w:r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{"citationID":"2v8cQkgv","properties":{"formattedCitation":"(Dess and Lumpkin, 2005)","plainCitation":"(Dess and Lumpkin, 2005)","dontUpdate":true,"noteIndex":0},"citationItems":[{"id":3990,"uris":["http://zotero.org/users/3209486/items/BF6HPAUC"],"uri":["http://zotero.org/users/3209486/items/BF6HPAUC"],"itemData":{"id":3990,"type":"article-journal","title":"The Role of Entrepreneurial Orientation in Stimulating Effective Corporate Entrepreneurship.","container-title":"Academy of Management Executive","page":"147-156","volume":"19","issue":"1","source":"EBSCOhost","archive":"buh","abstract":"This article discusses research that examines the relationship between a firm's entrepreneurial orientation and their overall performance. The authors note that firms that follow a strategy of corporate entrepreneurship are able to pursue growth through new venture opportunities and strategic renewal. Firms that are able to effectively follow this strategy experience sustainable advantages and yield above-average returns. They outline and discuss five dimensions of corporate entrepreneurship including autonomy, innovativness, proactiveness, competitive aggressiveness and risk-taking. They examine what implications these strategies have for managers and identify areas of future research.","ISSN":"10795545","journalAbbreviation":"Academy of Management Executive","author":[{"family":"Dess","given":"Gregory G."},{"family":"Lumpkin","given":"G. T."}],"issued":{"date-parts":[["2005",2]]}}}],"schema":"https://github.com/citation-style-language/schema/raw/master/csl-citation.json"} </w:instrText>
      </w:r>
      <w:r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(Dess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Lumpkin, 2005)</w:t>
      </w:r>
      <w:r w:rsidRPr="008C04EC">
        <w:rPr>
          <w:rFonts w:ascii="Times New Roman" w:hAnsi="Times New Roman" w:cs="Times New Roman"/>
          <w:color w:val="000000" w:themeColor="text1"/>
          <w:sz w:val="24"/>
          <w:szCs w:val="24"/>
          <w:lang w:val="en-GB"/>
        </w:rPr>
        <w:fldChar w:fldCharType="end"/>
      </w:r>
      <w:r w:rsidR="0019689D" w:rsidRPr="008C04EC">
        <w:rPr>
          <w:rFonts w:ascii="Times New Roman" w:hAnsi="Times New Roman" w:cs="Times New Roman"/>
          <w:color w:val="000000" w:themeColor="text1"/>
          <w:sz w:val="24"/>
          <w:szCs w:val="24"/>
          <w:lang w:val="en-GB"/>
        </w:rPr>
        <w:t>. Yet, innovative ideas do not always originate from within firm boundaries</w:t>
      </w:r>
      <w:r w:rsidR="00342284" w:rsidRPr="008C04EC">
        <w:rPr>
          <w:rFonts w:ascii="Times New Roman" w:hAnsi="Times New Roman" w:cs="Times New Roman"/>
          <w:color w:val="000000" w:themeColor="text1"/>
          <w:sz w:val="24"/>
          <w:szCs w:val="24"/>
          <w:lang w:val="en-GB"/>
        </w:rPr>
        <w:t xml:space="preserve"> but</w:t>
      </w:r>
      <w:r w:rsidR="0019689D" w:rsidRPr="008C04EC">
        <w:rPr>
          <w:rFonts w:ascii="Times New Roman" w:hAnsi="Times New Roman" w:cs="Times New Roman"/>
          <w:color w:val="000000" w:themeColor="text1"/>
          <w:sz w:val="24"/>
          <w:szCs w:val="24"/>
          <w:lang w:val="en-GB"/>
        </w:rPr>
        <w:t xml:space="preserve"> o</w:t>
      </w:r>
      <w:r w:rsidR="00342284" w:rsidRPr="008C04EC">
        <w:rPr>
          <w:rFonts w:ascii="Times New Roman" w:hAnsi="Times New Roman" w:cs="Times New Roman"/>
          <w:color w:val="000000" w:themeColor="text1"/>
          <w:sz w:val="24"/>
          <w:szCs w:val="24"/>
          <w:lang w:val="en-GB"/>
        </w:rPr>
        <w:t>ften stem from external sources,</w:t>
      </w:r>
      <w:r w:rsidR="0019689D" w:rsidRPr="008C04EC">
        <w:rPr>
          <w:rFonts w:ascii="Times New Roman" w:hAnsi="Times New Roman" w:cs="Times New Roman"/>
          <w:color w:val="000000" w:themeColor="text1"/>
          <w:sz w:val="24"/>
          <w:szCs w:val="24"/>
          <w:lang w:val="en-GB"/>
        </w:rPr>
        <w:t xml:space="preserve"> such as suppliers </w:t>
      </w:r>
      <w:r w:rsidR="0019689D" w:rsidRPr="008C04EC">
        <w:rPr>
          <w:rFonts w:ascii="Times New Roman" w:hAnsi="Times New Roman" w:cs="Times New Roman"/>
          <w:color w:val="000000" w:themeColor="text1"/>
          <w:sz w:val="24"/>
          <w:szCs w:val="24"/>
          <w:lang w:val="en-GB"/>
        </w:rPr>
        <w:fldChar w:fldCharType="begin"/>
      </w:r>
      <w:r w:rsidR="0019689D" w:rsidRPr="008C04EC">
        <w:rPr>
          <w:rFonts w:ascii="Times New Roman" w:hAnsi="Times New Roman" w:cs="Times New Roman"/>
          <w:color w:val="000000" w:themeColor="text1"/>
          <w:sz w:val="24"/>
          <w:szCs w:val="24"/>
          <w:lang w:val="en-GB"/>
        </w:rPr>
        <w:instrText xml:space="preserve"> ADDIN ZOTERO_ITEM CSL_CITATION {"citationID":"zHDkoQMH","properties":{"formattedCitation":"(Bidault et al., 1998; Powell et al., 1996)","plainCitation":"(Bidault et al., 1998; Powell et al., 1996)","noteIndex":0},"citationItems":[{"id":594,"uris":["http://zotero.org/users/3209486/items/5C4RZE2S"],"uri":["http://zotero.org/users/3209486/items/5C4RZE2S"],"itemData":{"id":594,"type":"article-journal","title":"The drivers of cooperation between buyers and suppliers for product innovation","container-title":"Research Policy","page":"719-732","volume":"26","issue":"7–8","abstract":"This article reports the results of an empirical study that probed the adoption of Early Supplier Involvement (ESI) in the product development process. ESI is defined as a form of vertical cooperation where manufacturers involve suppliers at an early stage in the product development/innovation process, generally at the level of concept and design. Previous research has shown that Western automobiles manufacturers obtained significant benefits by emulating the ESI practices of their Japanese competitors; the bulk of research knowledge is, in fact, located in this domain. This study focused on a group of assembly-based industries outside the automotive setting to determine if the adoption and benefits of ESI are found in other domains as well. Twenty-five companies in three non-automotive industries participated in the research. A model of ESI adoption was developed and tested, and an ESI index created to determine the degree to which this practice was applied. The results reveal, among other things, that the level of ESI practice is strongly related to a higher number of supplier base initiatives, lower product integration, broader supplier scope and a higher proportion of parts purchased. Significant results were also obtained in comparisons between industry sectors and geographic regions (USA, Western Europe and Japan). We suggest that promising directions for future research include broad-based samples across industrial sectors and industry-focused empirical study.","DOI":"10.1016/S0048-7333(97)00034-6","ISSN":"0048-7333","journalAbbreviation":"Research Policy","author":[{"family":"Bidault","given":"Francis"},{"family":"Despres","given":"Charles"},{"family":"Butler","given":"Christina"}],"issued":{"date-parts":[["1998",4]]}}},{"id":446,"uris":["http://zotero.org/users/3209486/items/J9GN9Z69"],"uri":["http://zotero.org/users/3209486/items/J9GN9Z69"],"itemData":{"id":446,"type":"article-journal","title":"Interorganizational Collaboration and the Locus of Innovation: Networks of Learning in Biotechnology","container-title":"Administrative Science Quarterly","page":"116-145","volume":"41","issue":"1","author":[{"family":"Powell","given":"Walter W. ; Koput","suffix":"Kenneth W. ; Smith-Doerr, Laurel"},{"family":"Koput","given":"Kenneith W."},{"family":"Smith-Doerr","given":"Laurel"}],"issued":{"date-parts":[["1996"]]}}}],"schema":"https://github.com/citation-style-language/schema/raw/master/csl-citation.json"} </w:instrText>
      </w:r>
      <w:r w:rsidR="0019689D"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(Bidault et al., 1998; Powell et al., 1996)</w:t>
      </w:r>
      <w:r w:rsidR="0019689D" w:rsidRPr="008C04EC">
        <w:rPr>
          <w:rFonts w:ascii="Times New Roman" w:hAnsi="Times New Roman" w:cs="Times New Roman"/>
          <w:color w:val="000000" w:themeColor="text1"/>
          <w:sz w:val="24"/>
          <w:szCs w:val="24"/>
          <w:lang w:val="en-GB"/>
        </w:rPr>
        <w:fldChar w:fldCharType="end"/>
      </w:r>
      <w:r w:rsidR="0019689D" w:rsidRPr="008C04EC">
        <w:rPr>
          <w:rFonts w:ascii="Times New Roman" w:hAnsi="Times New Roman" w:cs="Times New Roman"/>
          <w:color w:val="000000" w:themeColor="text1"/>
          <w:sz w:val="24"/>
          <w:szCs w:val="24"/>
          <w:lang w:val="en-GB"/>
        </w:rPr>
        <w:t xml:space="preserve">. Entrepreneurial managers that can extend market scanning activities beyond firm boundaries, to include suppliers, are better able to identify promising innovations, and can absorb this information and match it with the knowledge assets of employees </w:t>
      </w:r>
      <w:r w:rsidR="0019689D" w:rsidRPr="008C04EC">
        <w:rPr>
          <w:rFonts w:ascii="Times New Roman" w:hAnsi="Times New Roman" w:cs="Times New Roman"/>
          <w:color w:val="000000" w:themeColor="text1"/>
          <w:sz w:val="24"/>
          <w:szCs w:val="24"/>
          <w:lang w:val="en-GB"/>
        </w:rPr>
        <w:fldChar w:fldCharType="begin"/>
      </w:r>
      <w:r w:rsidR="0019689D" w:rsidRPr="008C04EC">
        <w:rPr>
          <w:rFonts w:ascii="Times New Roman" w:hAnsi="Times New Roman" w:cs="Times New Roman"/>
          <w:color w:val="000000" w:themeColor="text1"/>
          <w:sz w:val="24"/>
          <w:szCs w:val="24"/>
          <w:lang w:val="en-GB"/>
        </w:rPr>
        <w:instrText xml:space="preserve"> ADDIN ZOTERO_ITEM CSL_CITATION {"citationID":"xDY0JgpG","properties":{"formattedCitation":"(Bharadwaj and Dong, 2013; Cousins et al., 2011)","plainCitation":"(Bharadwaj and Dong, 2013; Cousins et al., 2011)","noteIndex":0},"citationItems":[{"id":1716,"uris":["http://zotero.org/users/3209486/items/ZJ9MR7YM"],"uri":["http://zotero.org/users/3209486/items/ZJ9MR7YM"],"itemData":{"id":1716,"type":"article-journal","title":"Toward Further Understanding the Market‐sensing Capability–Value Creation Relationship","container-title":"Journal of Product Innovation Management","page":"799-813","volume":"31","issue":"4","abstract":"Earlier writings have speculated that the components of customer focus may have differential effects on customer value. This research is responsive to this call as it identifies the behavioral and cultural components that underlie a market?sensing capability (i.e., customer focus), and undertakes a finer?grained examination of the impact of the routines through which customer focus is manifested. Specifically, this research investigates the market learning activities (ML) that can affect the depth of the understanding achieved regarding the buyer's requirements and usage context, and the customer?oriented practices (CO) that can affect the breadth of potential solutions generated to address those requirements. Given the possibility that some buyers may have more sophisticated needs, the role of a customer's performance standards is also considered as a moderating variable. Based on data collected from computer and electronics manufacturers via two separate surveys, the results support that a supplier's ML and CO, respectively, affect perceived customer value. The results also show that a customer's performance standards do not moderate the ML?customer value relationship. Regardless of whether the customer's performance standards (along the lines of product quality, defect rates, and on?time delivery) are high or low, the seller must be adept at discerning changes in the buying firm's requirements and operational realities. Thus, market learning practices are needed across all customers in order for the supplier to remain synchronized with market changes and deliver superior value to them. Additionally, the results support that the positive association between a seller's CO and perceived customer value is stronger when buyers have more demanding performance standards. The generation of a broader array of potential solutions that is commensurate with a more outward focus is likely to be needed to satisfy customers with more stringent requirements. The disaggregated approach taken in this research contributes to theory by (1) providing greater insight into the domain of the customer focus construct, (2) tracing the mechanisms through which customer focus is reified, and (3) evaluating the possibility that the components of customer focus may have differential effects on customer value. The main practical implication stems from the proposal that market sensing can serve as a core competence and thereby provide the foundation for differential advantage.","DOI":"10.1111/jpim.12124","ISSN":"0737-6782","journalAbbreviation":"Journal of Product Innovation Management","author":[{"family":"Bharadwaj","given":"Neeraj"},{"family":"Dong","given":"Yuexiao"}],"issued":{"date-parts":[["2013",11,3]]}}},{"id":200,"uris":["http://zotero.org/users/3209486/items/R2RSAHRJ"],"uri":["http://zotero.org/users/3209486/items/R2RSAHRJ"],"itemData":{"id":200,"type":"article-journal","title":"Breakthrough Scanning, Supplier Knowledge Exchange, and New Product Development Performance","container-title":"Journal of Product Innovation Management","page":"930-942","volume":"28","issue":"6","abstract":"The ability of a firm to scan its environment for breakthrough innovations and develop new products is increasingly central to business success. However, many firms struggle to develop breakthrough innovations alone, and rely increasingly on their supply base to provide input in processing uncertain and ambiguous technological knowledge. This paper develops a theoretical framework, based in information processing theory, to investigate the effects of breakthrough search behaviors by the buyer firm on their technical proficiency, reliance on supplementary processing capacity with suppliers, and subsequent new product development and financial performance. Using data provided by 111 procurement executives from the United Kingdom, we find support for our hypotheses. Increased breakthrough scanning results in higher firm-level technical proficiency, and also an increase in knowledge sharing with the firm's suppliers. A combination of a firm's technical capabilities and knowledge exchange with suppliers was found to result in improved new product development performance and financial performance. This study extends the supply relationship management and new product development literatures, and suggests implications for both research and practice. [ABSTRACT FROM AUTHOR]\nCopyright of Journal of Product Innovation Management is the property of Wiley-Blackwell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Abstracts.)","ISSN":"07376782","author":[{"family":"Cousins","given":"Paul D."},{"family":"Lawson","given":"Benn"},{"family":"Petersen","given":"Kenneth J."},{"family":"Handfield","given":"Robert B."}],"issued":{"date-parts":[["2011"]]}}}],"schema":"https://github.com/citation-style-language/schema/raw/master/csl-citation.json"} </w:instrText>
      </w:r>
      <w:r w:rsidR="0019689D"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(Bharadwaj and Dong, 2013; Cousins et al., 2011)</w:t>
      </w:r>
      <w:r w:rsidR="0019689D" w:rsidRPr="008C04EC">
        <w:rPr>
          <w:rFonts w:ascii="Times New Roman" w:hAnsi="Times New Roman" w:cs="Times New Roman"/>
          <w:color w:val="000000" w:themeColor="text1"/>
          <w:sz w:val="24"/>
          <w:szCs w:val="24"/>
          <w:lang w:val="en-GB"/>
        </w:rPr>
        <w:fldChar w:fldCharType="end"/>
      </w:r>
      <w:r w:rsidR="0019689D" w:rsidRPr="008C04EC">
        <w:rPr>
          <w:rFonts w:ascii="Times New Roman" w:hAnsi="Times New Roman" w:cs="Times New Roman"/>
          <w:color w:val="000000" w:themeColor="text1"/>
          <w:sz w:val="24"/>
          <w:szCs w:val="24"/>
          <w:lang w:val="en-GB"/>
        </w:rPr>
        <w:t xml:space="preserve">. </w:t>
      </w:r>
      <w:r w:rsidR="00FE7F1C">
        <w:rPr>
          <w:rFonts w:ascii="Times New Roman" w:hAnsi="Times New Roman" w:cs="Times New Roman"/>
          <w:color w:val="000000" w:themeColor="text1"/>
          <w:sz w:val="24"/>
          <w:szCs w:val="24"/>
          <w:lang w:val="en-GB"/>
        </w:rPr>
        <w:t>The</w:t>
      </w:r>
      <w:r w:rsidR="00FE7F1C" w:rsidRPr="008C04EC">
        <w:rPr>
          <w:rFonts w:ascii="Times New Roman" w:hAnsi="Times New Roman" w:cs="Times New Roman"/>
          <w:color w:val="000000" w:themeColor="text1"/>
          <w:sz w:val="24"/>
          <w:szCs w:val="24"/>
          <w:lang w:val="en-GB"/>
        </w:rPr>
        <w:t xml:space="preserve"> foundation for dynamic capabilities </w:t>
      </w:r>
      <w:r w:rsidR="00FE7F1C">
        <w:rPr>
          <w:rFonts w:ascii="Times New Roman" w:hAnsi="Times New Roman" w:cs="Times New Roman"/>
          <w:color w:val="000000" w:themeColor="text1"/>
          <w:sz w:val="24"/>
          <w:szCs w:val="24"/>
          <w:lang w:val="en-GB"/>
        </w:rPr>
        <w:t xml:space="preserve">is set when a </w:t>
      </w:r>
      <w:r w:rsidR="00FE7F1C">
        <w:rPr>
          <w:rFonts w:ascii="Times New Roman" w:hAnsi="Times New Roman" w:cs="Times New Roman"/>
          <w:color w:val="000000" w:themeColor="text1"/>
          <w:sz w:val="24"/>
          <w:szCs w:val="24"/>
          <w:lang w:val="en-GB"/>
        </w:rPr>
        <w:lastRenderedPageBreak/>
        <w:t>manager</w:t>
      </w:r>
      <w:r w:rsidR="0019689D" w:rsidRPr="008C04EC">
        <w:rPr>
          <w:rFonts w:ascii="Times New Roman" w:hAnsi="Times New Roman" w:cs="Times New Roman"/>
          <w:color w:val="000000" w:themeColor="text1"/>
          <w:sz w:val="24"/>
          <w:szCs w:val="24"/>
          <w:lang w:val="en-GB"/>
        </w:rPr>
        <w:t xml:space="preserve"> combine</w:t>
      </w:r>
      <w:r w:rsidR="00FE7F1C">
        <w:rPr>
          <w:rFonts w:ascii="Times New Roman" w:hAnsi="Times New Roman" w:cs="Times New Roman"/>
          <w:color w:val="000000" w:themeColor="text1"/>
          <w:sz w:val="24"/>
          <w:szCs w:val="24"/>
          <w:lang w:val="en-GB"/>
        </w:rPr>
        <w:t>s</w:t>
      </w:r>
      <w:r w:rsidR="0019689D" w:rsidRPr="008C04EC">
        <w:rPr>
          <w:rFonts w:ascii="Times New Roman" w:hAnsi="Times New Roman" w:cs="Times New Roman"/>
          <w:color w:val="000000" w:themeColor="text1"/>
          <w:sz w:val="24"/>
          <w:szCs w:val="24"/>
          <w:lang w:val="en-GB"/>
        </w:rPr>
        <w:t xml:space="preserve"> innovative assets with the knowledge resources of </w:t>
      </w:r>
      <w:r w:rsidR="00FE7F1C">
        <w:rPr>
          <w:rFonts w:ascii="Times New Roman" w:hAnsi="Times New Roman" w:cs="Times New Roman"/>
          <w:color w:val="000000" w:themeColor="text1"/>
          <w:sz w:val="24"/>
          <w:szCs w:val="24"/>
          <w:lang w:val="en-GB"/>
        </w:rPr>
        <w:t>the firm</w:t>
      </w:r>
      <w:r w:rsidR="00FE7F1C" w:rsidRPr="008C04EC">
        <w:rPr>
          <w:rFonts w:ascii="Times New Roman" w:hAnsi="Times New Roman" w:cs="Times New Roman"/>
          <w:color w:val="000000" w:themeColor="text1"/>
          <w:sz w:val="24"/>
          <w:szCs w:val="24"/>
          <w:lang w:val="en-GB"/>
        </w:rPr>
        <w:t xml:space="preserve"> </w:t>
      </w:r>
      <w:r w:rsidR="00342284" w:rsidRPr="008C04EC">
        <w:rPr>
          <w:rFonts w:ascii="Times New Roman" w:hAnsi="Times New Roman" w:cs="Times New Roman"/>
          <w:color w:val="000000" w:themeColor="text1"/>
          <w:sz w:val="24"/>
          <w:szCs w:val="24"/>
          <w:lang w:val="en-GB"/>
        </w:rPr>
        <w:t xml:space="preserve">to achieve fit </w:t>
      </w:r>
      <w:r w:rsidR="0019689D" w:rsidRPr="008C04EC">
        <w:rPr>
          <w:rFonts w:ascii="Times New Roman" w:hAnsi="Times New Roman" w:cs="Times New Roman"/>
          <w:color w:val="000000" w:themeColor="text1"/>
          <w:sz w:val="24"/>
          <w:szCs w:val="24"/>
          <w:lang w:val="en-GB"/>
        </w:rPr>
        <w:t xml:space="preserve">with the </w:t>
      </w:r>
      <w:r w:rsidR="00342284" w:rsidRPr="008C04EC">
        <w:rPr>
          <w:rFonts w:ascii="Times New Roman" w:hAnsi="Times New Roman" w:cs="Times New Roman"/>
          <w:color w:val="000000" w:themeColor="text1"/>
          <w:sz w:val="24"/>
          <w:szCs w:val="24"/>
          <w:lang w:val="en-GB"/>
        </w:rPr>
        <w:t>changing business environment</w:t>
      </w:r>
      <w:r w:rsidR="0019689D" w:rsidRPr="008C04EC">
        <w:rPr>
          <w:rFonts w:ascii="Times New Roman" w:hAnsi="Times New Roman" w:cs="Times New Roman"/>
          <w:color w:val="000000" w:themeColor="text1"/>
          <w:sz w:val="24"/>
          <w:szCs w:val="24"/>
          <w:lang w:val="en-GB"/>
        </w:rPr>
        <w:t xml:space="preserve"> </w:t>
      </w:r>
      <w:r w:rsidR="0019689D" w:rsidRPr="008C04EC">
        <w:rPr>
          <w:rFonts w:ascii="Times New Roman" w:hAnsi="Times New Roman" w:cs="Times New Roman"/>
          <w:color w:val="000000" w:themeColor="text1"/>
          <w:sz w:val="24"/>
          <w:szCs w:val="24"/>
          <w:lang w:val="en-GB"/>
        </w:rPr>
        <w:fldChar w:fldCharType="begin"/>
      </w:r>
      <w:r w:rsidR="0019689D" w:rsidRPr="008C04EC">
        <w:rPr>
          <w:rFonts w:ascii="Times New Roman" w:hAnsi="Times New Roman" w:cs="Times New Roman"/>
          <w:color w:val="000000" w:themeColor="text1"/>
          <w:sz w:val="24"/>
          <w:szCs w:val="24"/>
          <w:lang w:val="en-GB"/>
        </w:rPr>
        <w:instrText xml:space="preserve"> ADDIN ZOTERO_ITEM CSL_CITATION {"citationID":"srxdobRu","properties":{"formattedCitation":"(Teece et al., 1997)","plainCitation":"(Teece et al., 1997)","noteIndex":0},"citationItems":[{"id":499,"uris":["http://zotero.org/users/3209486/items/FHQF4J2U"],"uri":["http://zotero.org/users/3209486/items/FHQF4J2U"],"itemData":{"id":499,"type":"article-journal","title":"Dynamic Capabilities and Strategic Management","container-title":"Strategic Management Journal","page":"509-533","volume":"19","issue":"7","author":[{"family":"Teece","given":"David J."},{"family":"Pisano","given":"Gary P."},{"family":"Shuen","given":"Amy"}],"issued":{"date-parts":[["1997"]]}}}],"schema":"https://github.com/citation-style-language/schema/raw/master/csl-citation.json"} </w:instrText>
      </w:r>
      <w:r w:rsidR="0019689D"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(Teece et al., 1997)</w:t>
      </w:r>
      <w:r w:rsidR="0019689D" w:rsidRPr="008C04EC">
        <w:rPr>
          <w:rFonts w:ascii="Times New Roman" w:hAnsi="Times New Roman" w:cs="Times New Roman"/>
          <w:color w:val="000000" w:themeColor="text1"/>
          <w:sz w:val="24"/>
          <w:szCs w:val="24"/>
          <w:lang w:val="en-GB"/>
        </w:rPr>
        <w:fldChar w:fldCharType="end"/>
      </w:r>
      <w:r w:rsidR="0019689D" w:rsidRPr="008C04EC">
        <w:rPr>
          <w:rFonts w:ascii="Times New Roman" w:hAnsi="Times New Roman" w:cs="Times New Roman"/>
          <w:color w:val="000000" w:themeColor="text1"/>
          <w:sz w:val="24"/>
          <w:szCs w:val="24"/>
          <w:lang w:val="en-GB"/>
        </w:rPr>
        <w:t xml:space="preserve">. </w:t>
      </w:r>
      <w:r w:rsidR="00342284" w:rsidRPr="008C04EC">
        <w:rPr>
          <w:rFonts w:ascii="Times New Roman" w:hAnsi="Times New Roman" w:cs="Times New Roman"/>
          <w:color w:val="000000" w:themeColor="text1"/>
          <w:sz w:val="24"/>
          <w:szCs w:val="24"/>
          <w:lang w:val="en-GB"/>
        </w:rPr>
        <w:t>W</w:t>
      </w:r>
      <w:r w:rsidR="0019689D" w:rsidRPr="008C04EC">
        <w:rPr>
          <w:rFonts w:ascii="Times New Roman" w:hAnsi="Times New Roman" w:cs="Times New Roman"/>
          <w:color w:val="000000" w:themeColor="text1"/>
          <w:sz w:val="24"/>
          <w:szCs w:val="24"/>
          <w:lang w:val="en-GB"/>
        </w:rPr>
        <w:t>hen the</w:t>
      </w:r>
      <w:r w:rsidR="00342284" w:rsidRPr="008C04EC">
        <w:rPr>
          <w:rFonts w:ascii="Times New Roman" w:hAnsi="Times New Roman" w:cs="Times New Roman"/>
          <w:color w:val="000000" w:themeColor="text1"/>
          <w:sz w:val="24"/>
          <w:szCs w:val="24"/>
          <w:lang w:val="en-GB"/>
        </w:rPr>
        <w:t>se</w:t>
      </w:r>
      <w:r w:rsidR="0019689D" w:rsidRPr="008C04EC">
        <w:rPr>
          <w:rFonts w:ascii="Times New Roman" w:hAnsi="Times New Roman" w:cs="Times New Roman"/>
          <w:color w:val="000000" w:themeColor="text1"/>
          <w:sz w:val="24"/>
          <w:szCs w:val="24"/>
          <w:lang w:val="en-GB"/>
        </w:rPr>
        <w:t xml:space="preserve"> innovative ideas </w:t>
      </w:r>
      <w:r w:rsidR="006C53FE" w:rsidRPr="008C04EC">
        <w:rPr>
          <w:rFonts w:ascii="Times New Roman" w:hAnsi="Times New Roman" w:cs="Times New Roman"/>
          <w:color w:val="000000" w:themeColor="text1"/>
          <w:sz w:val="24"/>
          <w:szCs w:val="24"/>
          <w:lang w:val="en-GB"/>
        </w:rPr>
        <w:t>stem from suppliers</w:t>
      </w:r>
      <w:r w:rsidR="0019689D" w:rsidRPr="008C04EC">
        <w:rPr>
          <w:rFonts w:ascii="Times New Roman" w:hAnsi="Times New Roman" w:cs="Times New Roman"/>
          <w:color w:val="000000" w:themeColor="text1"/>
          <w:sz w:val="24"/>
          <w:szCs w:val="24"/>
          <w:lang w:val="en-GB"/>
        </w:rPr>
        <w:t xml:space="preserve"> and are matched with </w:t>
      </w:r>
      <w:r w:rsidR="006C53FE" w:rsidRPr="008C04EC">
        <w:rPr>
          <w:rFonts w:ascii="Times New Roman" w:hAnsi="Times New Roman" w:cs="Times New Roman"/>
          <w:color w:val="000000" w:themeColor="text1"/>
          <w:sz w:val="24"/>
          <w:szCs w:val="24"/>
          <w:lang w:val="en-GB"/>
        </w:rPr>
        <w:t xml:space="preserve">the knowledge assets of the firm, the foundation is set for </w:t>
      </w:r>
      <w:r w:rsidR="00342284" w:rsidRPr="008C04EC">
        <w:rPr>
          <w:rFonts w:ascii="Times New Roman" w:hAnsi="Times New Roman" w:cs="Times New Roman"/>
          <w:color w:val="000000" w:themeColor="text1"/>
          <w:sz w:val="24"/>
          <w:szCs w:val="24"/>
          <w:lang w:val="en-GB"/>
        </w:rPr>
        <w:t xml:space="preserve">dynamic supply chain capabilities </w:t>
      </w:r>
      <w:r w:rsidR="006C53FE" w:rsidRPr="008C04EC">
        <w:rPr>
          <w:rFonts w:ascii="Times New Roman" w:hAnsi="Times New Roman" w:cs="Times New Roman"/>
          <w:color w:val="000000" w:themeColor="text1"/>
          <w:sz w:val="24"/>
          <w:szCs w:val="24"/>
          <w:lang w:val="en-GB"/>
        </w:rPr>
        <w:t xml:space="preserve">to </w:t>
      </w:r>
      <w:r w:rsidR="00342284" w:rsidRPr="008C04EC">
        <w:rPr>
          <w:rFonts w:ascii="Times New Roman" w:hAnsi="Times New Roman" w:cs="Times New Roman"/>
          <w:color w:val="000000" w:themeColor="text1"/>
          <w:sz w:val="24"/>
          <w:szCs w:val="24"/>
          <w:lang w:val="en-GB"/>
        </w:rPr>
        <w:t>emerge.</w:t>
      </w:r>
    </w:p>
    <w:p w14:paraId="14EB71B6" w14:textId="112D8DCF" w:rsidR="008F29FE" w:rsidRPr="008C04EC" w:rsidRDefault="008F29FE" w:rsidP="00C432D8">
      <w:pPr>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Pro-activeness refers to a firm’s forward-looking behaviour and its efforts to gain the first mover advantages that shape the marketplace by introducing new products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&lt;EndNote&gt;&lt;Cite&gt;&lt;Author&gt;Lyon&lt;/Author&gt;&lt;Year&gt;2000&lt;/Year&gt;&lt;RecNum&gt;1011&lt;/RecNum&gt;&lt;DisplayText&gt;(Lyon, Lumpkin, &amp;amp; Dess, 2000)&lt;/DisplayText&gt;&lt;record&gt;&lt;rec-number&gt;1011&lt;/rec-number&gt;&lt;foreign-keys&gt;&lt;key app="EN" db-id="seavxzzzfrf2p7eddfnxx5ep2ar05z0ddwx9"&gt;1011&lt;/key&gt;&lt;/foreign-keys&gt;&lt;ref-type name="Journal Article"&gt;17&lt;/ref-type&gt;&lt;contributors&gt;&lt;authors&gt;&lt;author&gt;Lyon, Douglas W&lt;/author&gt;&lt;author&gt;Lumpkin, G Thomas&lt;/author&gt;&lt;author&gt;Dess, Gregory G&lt;/author&gt;&lt;/authors&gt;&lt;/contributors&gt;&lt;titles&gt;&lt;title&gt;Enhancing entrepreneurial orientation research: Operationalizing and measuring a key strategic decision making process&lt;/title&gt;&lt;secondary-title&gt;Journal of Management&lt;/secondary-title&gt;&lt;/titles&gt;&lt;periodical&gt;&lt;full-title&gt;Journal of management&lt;/full-title&gt;&lt;/periodical&gt;&lt;pages&gt;1055-1085&lt;/pages&gt;&lt;volume&gt;26&lt;/volume&gt;&lt;number&gt;5&lt;/number&gt;&lt;dates&gt;&lt;year&gt;2000&lt;/year&gt;&lt;/dates&gt;&lt;publisher&gt;Sage Publications Sage CA: Thousand Oaks, CA&lt;/publisher&gt;&lt;isbn&gt;0149-2063&lt;/isbn&gt;&lt;urls&gt;&lt;/urls&gt;&lt;/record&gt;&lt;/Cite&gt;&lt;/EndNote&gt;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63" w:tooltip="Lyon, 2000 #1011" w:history="1">
        <w:r w:rsidR="00641B32" w:rsidRPr="008C04EC">
          <w:rPr>
            <w:rFonts w:ascii="Times New Roman" w:hAnsi="Times New Roman" w:cs="Times New Roman"/>
            <w:noProof/>
            <w:color w:val="000000" w:themeColor="text1"/>
            <w:sz w:val="24"/>
            <w:szCs w:val="24"/>
            <w:lang w:val="en-GB"/>
          </w:rPr>
          <w:t>Lyon, Lumpkin, &amp; Dess, 2000</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006C53FE" w:rsidRPr="008C04EC">
        <w:rPr>
          <w:rFonts w:ascii="Times New Roman" w:hAnsi="Times New Roman" w:cs="Times New Roman"/>
          <w:color w:val="000000" w:themeColor="text1"/>
          <w:sz w:val="24"/>
          <w:szCs w:val="24"/>
          <w:lang w:val="en-GB"/>
        </w:rPr>
        <w:t xml:space="preserve">. </w:t>
      </w:r>
      <w:r w:rsidR="00C432D8" w:rsidRPr="008C04EC">
        <w:rPr>
          <w:rFonts w:ascii="Times New Roman" w:hAnsi="Times New Roman" w:cs="Times New Roman"/>
          <w:color w:val="000000" w:themeColor="text1"/>
          <w:sz w:val="24"/>
          <w:szCs w:val="24"/>
          <w:lang w:val="en-GB"/>
        </w:rPr>
        <w:t xml:space="preserve">Pro-activeness in the supply chain refers to how supply chain partners identify market opportunities and seize such opportunities to shape the business environment </w:t>
      </w:r>
      <w:r w:rsidR="00C432D8"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{"citationID":"uEoBPIIH","properties":{"formattedCitation":"(Gligor and Holcomb, 2012; Lumpkin and Dess, 1996; Wang, 2008)","plainCitation":"(Gligor and Holcomb, 2012; Lumpkin and Dess, 1996; Wang, 2008)","dontUpdate":true,"noteIndex":0},"citationItems":[{"id":946,"uris":["http://zotero.org/users/3209486/items/CPAWQ9IH"],"uri":["http://zotero.org/users/3209486/items/CPAWQ9IH"],"itemData":{"id":946,"type":"article-journal","title":"Antecedents and Consequences of Supply Chain Agility: Establishing the Link to Firm Performance","container-title":"Journal of Business Logistics","page":"295-308","volume":"33","issue":"4","abstract":"The concept of supply chain agility (SCAGI) has been identified as one of the most important issues in supply chain management literature. However, despite the popularity of the concept, many aspects of SCAGI are largely unexplored. One area that is deficient in research is the behavioral/relational antecedents of SCAGI. Furthermore, no research to date has empirically established the link between SCAGI and firm performance. This article seeks to further theory development by addressing these gaps.","DOI":"10.1111/jbl.12003","ISSN":"2158-1592","journalAbbreviation":"J Bus Logist","author":[{"family":"Gligor","given":"David M."},{"family":"Holcomb","given":"Mary C."}],"issued":{"date-parts":[["2012",12,1]]}}},{"id":4299,"uris":["http://zotero.org/users/3209486/items/V2JFWDHE"],"uri":["http://zotero.org/users/3209486/items/V2JFWDHE"],"itemData":{"id":4299,"type":"article-journal","title":"Clarifying the Entrepreneurial Orientation Construct and Linking It to Performance","container-title":"The Academy of Management Review","page":"135-172","volume":"21","issue":"1","abstract":"The primary purpose of this article is to clarify the nature of the entrepreneurial orientation (EO) construct and to propose a contingency framework for investigating the relationship between EO and firm performance. We first explore and refine the dimensions of EO and discuss the usefulness of viewing a firm's EO as a multidimensional construct. Then, drawing on examples from the EO-related contingencies literature, we suggest alternative models (moderating effects, mediating effects, independent effects, interaction effects) for testing the EO-performance relationship.","DOI":"10.2307/258632","ISSN":"03637425","author":[{"family":"Lumpkin","given":"G. T."},{"family":"Dess","given":"Gregory G."}],"issued":{"date-parts":[["1996"]]}}},{"id":1680,"uris":["http://zotero.org/users/3209486/items/W65C2ZHF"],"uri":["http://zotero.org/users/3209486/items/W65C2ZHF"],"itemData":{"id":1680,"type":"article-journal","title":"Entrepreneurial Orientation, Learning Orientation, and Firm Performance","container-title":"Entrepreneurship Theory and Practice","page":"635-657","volume":"32","issue":"4","abstract":"Entrepreneurial orientation (EO) is a key ingredient for firm success. Nonetheless, an important message from past findings is that simply examining the direct effect of EO on firm performance provides an incomplete picture. Prior studies examined various internal and external factors that influence the EO?performance relationship. However, learning orientation (LO) has been a missing link in the examination of the relationship. Using data from 213 medium?to?large UK firms, this study finds that LO mediates the EO?performance relationship, and the EO?LO?performance link is stronger for prospectors than analyzers. The findings indicate that LO must be in place to maximize the effect of EO on performance, and that LO is an important dimension, along with EO, to distinguish prospectors from analyzers.","DOI":"10.1111/j.1540-6520.2008.00246.x","ISSN":"1042-2587","journalAbbreviation":"Entrepreneurship Theory and Practice","author":[{"family":"Wang","given":"Catherine"}],"issued":{"date-parts":[["2008",6,28]]}}}],"schema":"https://github.com/citation-style-language/schema/raw/master/csl-citation.json"} </w:instrText>
      </w:r>
      <w:r w:rsidR="00C432D8"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(Gligor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Holcomb, 2012; Lumpkin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Dess, 1996; Wang, 2008)</w:t>
      </w:r>
      <w:r w:rsidR="00C432D8" w:rsidRPr="008C04EC">
        <w:rPr>
          <w:rFonts w:ascii="Times New Roman" w:hAnsi="Times New Roman" w:cs="Times New Roman"/>
          <w:color w:val="000000" w:themeColor="text1"/>
          <w:sz w:val="24"/>
          <w:szCs w:val="24"/>
          <w:lang w:val="en-GB"/>
        </w:rPr>
        <w:fldChar w:fldCharType="end"/>
      </w:r>
      <w:r w:rsidR="00C432D8" w:rsidRPr="008C04EC">
        <w:rPr>
          <w:rFonts w:ascii="Times New Roman" w:hAnsi="Times New Roman" w:cs="Times New Roman"/>
          <w:color w:val="000000" w:themeColor="text1"/>
          <w:sz w:val="24"/>
          <w:szCs w:val="24"/>
          <w:lang w:val="en-GB"/>
        </w:rPr>
        <w:t xml:space="preserve">. Proactive supply chain partners can achieve first-mover advantages by bringing innovative products to market before the competition </w:t>
      </w:r>
      <w:r w:rsidR="00C432D8"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{"citationID":"PRZPYID8","properties":{"formattedCitation":"(Dess and Lumpkin, 2005; Lieberman and Montgomery, 1988)","plainCitation":"(Dess and Lumpkin, 2005; Lieberman and Montgomery, 1988)","dontUpdate":true,"noteIndex":0},"citationItems":[{"id":3990,"uris":["http://zotero.org/users/3209486/items/BF6HPAUC"],"uri":["http://zotero.org/users/3209486/items/BF6HPAUC"],"itemData":{"id":3990,"type":"article-journal","title":"The Role of Entrepreneurial Orientation in Stimulating Effective Corporate Entrepreneurship.","container-title":"Academy of Management Executive","page":"147-156","volume":"19","issue":"1","source":"EBSCOhost","archive":"buh","abstract":"This article discusses research that examines the relationship between a firm's entrepreneurial orientation and their overall performance. The authors note that firms that follow a strategy of corporate entrepreneurship are able to pursue growth through new venture opportunities and strategic renewal. Firms that are able to effectively follow this strategy experience sustainable advantages and yield above-average returns. They outline and discuss five dimensions of corporate entrepreneurship including autonomy, innovativness, proactiveness, competitive aggressiveness and risk-taking. They examine what implications these strategies have for managers and identify areas of future research.","ISSN":"10795545","journalAbbreviation":"Academy of Management Executive","author":[{"family":"Dess","given":"Gregory G."},{"family":"Lumpkin","given":"G. T."}],"issued":{"date-parts":[["2005",2]]}}},{"id":4300,"uris":["http://zotero.org/users/3209486/items/7PIURLQV"],"uri":["http://zotero.org/users/3209486/items/7PIURLQV"],"itemData":{"id":4300,"type":"article-journal","title":"First-Mover Advantages","container-title":"Strategic Management Journal","page":"41-58","volume":"9","archive":"JSTOR","abstract":"[This article surveys the theoretical and empirical literature on mechanisms that confer advantages and disadvantages on first-mover firms. Major conceptual issues are addressed, and recommendations are given for future research. Managerial implications are also discussed.]","ISSN":"01432095, 10970266","author":[{"family":"Lieberman","given":"Marvin B."},{"family":"Montgomery","given":"David B."}],"issued":{"date-parts":[["1988"]]}}}],"schema":"https://github.com/citation-style-language/schema/raw/master/csl-citation.json"} </w:instrText>
      </w:r>
      <w:r w:rsidR="00C432D8"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(Dess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Lumpkin, 2005; Lieberman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Montgomery, 1988)</w:t>
      </w:r>
      <w:r w:rsidR="00C432D8" w:rsidRPr="008C04EC">
        <w:rPr>
          <w:rFonts w:ascii="Times New Roman" w:hAnsi="Times New Roman" w:cs="Times New Roman"/>
          <w:color w:val="000000" w:themeColor="text1"/>
          <w:sz w:val="24"/>
          <w:szCs w:val="24"/>
          <w:lang w:val="en-GB"/>
        </w:rPr>
        <w:fldChar w:fldCharType="end"/>
      </w:r>
      <w:r w:rsidR="00C432D8" w:rsidRPr="008C04EC">
        <w:rPr>
          <w:rFonts w:ascii="Times New Roman" w:hAnsi="Times New Roman" w:cs="Times New Roman"/>
          <w:color w:val="000000" w:themeColor="text1"/>
          <w:sz w:val="24"/>
          <w:szCs w:val="24"/>
          <w:lang w:val="en-GB"/>
        </w:rPr>
        <w:t xml:space="preserve">. Pro-activeness requires the accurate sensing of shifts in the marketplace and developing corresponding action plans </w:t>
      </w:r>
      <w:r w:rsidR="00C432D8"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&lt;EndNote&gt;&lt;Cite&gt;&lt;Author&gt;Dai&lt;/Author&gt;&lt;Year&gt;2016&lt;/Year&gt;&lt;RecNum&gt;1008&lt;/RecNum&gt;&lt;DisplayText&gt;(Dai, Roundy, Chok, Ding, &amp;amp; Byun, 2016)&lt;/DisplayText&gt;&lt;record&gt;&lt;rec-number&gt;1008&lt;/rec-number&gt;&lt;foreign-keys&gt;&lt;key app="EN" db-id="seavxzzzfrf2p7eddfnxx5ep2ar05z0ddwx9"&gt;1008&lt;/key&gt;&lt;/foreign-keys&gt;&lt;ref-type name="Journal Article"&gt;17&lt;/ref-type&gt;&lt;contributors&gt;&lt;authors&gt;&lt;author&gt;Dai, Ye&lt;/author&gt;&lt;author&gt;Roundy, Philip T&lt;/author&gt;&lt;author&gt;Chok, Jay I&lt;/author&gt;&lt;author&gt;Ding, Fangsheng&lt;/author&gt;&lt;author&gt;Byun, Gukdo&lt;/author&gt;&lt;/authors&gt;&lt;/contributors&gt;&lt;titles&gt;&lt;title&gt;‘Who Knows What?’in New Venture Teams: Transactive Memory Systems as a Micro</w:instrText>
      </w:r>
      <w:r w:rsidR="00D30452" w:rsidRPr="008C04EC">
        <w:rPr>
          <w:rFonts w:ascii="Cambria Math" w:hAnsi="Cambria Math" w:cs="Cambria Math"/>
          <w:color w:val="000000" w:themeColor="text1"/>
          <w:sz w:val="24"/>
          <w:szCs w:val="24"/>
          <w:lang w:val="en-GB"/>
        </w:rPr>
        <w:instrText>‐</w:instrText>
      </w:r>
      <w:r w:rsidR="00D30452" w:rsidRPr="008C04EC">
        <w:rPr>
          <w:rFonts w:ascii="Times New Roman" w:hAnsi="Times New Roman" w:cs="Times New Roman"/>
          <w:color w:val="000000" w:themeColor="text1"/>
          <w:sz w:val="24"/>
          <w:szCs w:val="24"/>
          <w:lang w:val="en-GB"/>
        </w:rPr>
        <w:instrText>Foundation of Entrepreneurial Orientation&lt;/title&gt;&lt;secondary-title&gt;Journal of Management Studies&lt;/secondary-title&gt;&lt;/titles&gt;&lt;periodical&gt;&lt;full-title&gt;Journal of Management Studies&lt;/full-title&gt;&lt;/periodical&gt;&lt;pages&gt;1320-1347&lt;/pages&gt;&lt;volume&gt;53&lt;/volume&gt;&lt;number&gt;8&lt;/number&gt;&lt;dates&gt;&lt;year&gt;2016&lt;/year&gt;&lt;/dates&gt;&lt;publisher&gt;Wiley Online Library&lt;/publisher&gt;&lt;isbn&gt;1467-6486&lt;/isbn&gt;&lt;urls&gt;&lt;/urls&gt;&lt;/record&gt;&lt;/Cite&gt;&lt;/EndNote&gt;</w:instrText>
      </w:r>
      <w:r w:rsidR="00C432D8"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19" w:tooltip="Dai, 2016 #1008" w:history="1">
        <w:r w:rsidR="00641B32" w:rsidRPr="008C04EC">
          <w:rPr>
            <w:rFonts w:ascii="Times New Roman" w:hAnsi="Times New Roman" w:cs="Times New Roman"/>
            <w:noProof/>
            <w:color w:val="000000" w:themeColor="text1"/>
            <w:sz w:val="24"/>
            <w:szCs w:val="24"/>
            <w:lang w:val="en-GB"/>
          </w:rPr>
          <w:t>Dai</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2016</w:t>
        </w:r>
      </w:hyperlink>
      <w:r w:rsidR="00D30452" w:rsidRPr="008C04EC">
        <w:rPr>
          <w:rFonts w:ascii="Times New Roman" w:hAnsi="Times New Roman" w:cs="Times New Roman"/>
          <w:noProof/>
          <w:color w:val="000000" w:themeColor="text1"/>
          <w:sz w:val="24"/>
          <w:szCs w:val="24"/>
          <w:lang w:val="en-GB"/>
        </w:rPr>
        <w:t>)</w:t>
      </w:r>
      <w:r w:rsidR="00C432D8" w:rsidRPr="008C04EC">
        <w:rPr>
          <w:rFonts w:ascii="Times New Roman" w:hAnsi="Times New Roman" w:cs="Times New Roman"/>
          <w:color w:val="000000" w:themeColor="text1"/>
          <w:sz w:val="24"/>
          <w:szCs w:val="24"/>
          <w:lang w:val="en-GB"/>
        </w:rPr>
        <w:fldChar w:fldCharType="end"/>
      </w:r>
      <w:r w:rsidR="00C432D8" w:rsidRPr="008C04EC">
        <w:rPr>
          <w:rFonts w:ascii="Times New Roman" w:hAnsi="Times New Roman" w:cs="Times New Roman"/>
          <w:color w:val="000000" w:themeColor="text1"/>
          <w:sz w:val="24"/>
          <w:szCs w:val="24"/>
          <w:lang w:val="en-GB"/>
        </w:rPr>
        <w:t xml:space="preserve">. Proactive supply chain partners can develop systems to monitor market trends, sense future customer needs, and predict changes in marketplace demand </w:t>
      </w:r>
      <w:r w:rsidR="00C432D8"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&lt;EndNote&gt;&lt;Cite&gt;&lt;Author&gt;Dess&lt;/Author&gt;&lt;Year&gt;2005&lt;/Year&gt;&lt;RecNum&gt;1020&lt;/RecNum&gt;&lt;DisplayText&gt;(Dess &amp;amp; Lumpkin, 2005)&lt;/DisplayText&gt;&lt;record&gt;&lt;rec-number&gt;1020&lt;/rec-number&gt;&lt;foreign-keys&gt;&lt;key app="EN" db-id="seavxzzzfrf2p7eddfnxx5ep2ar05z0ddwx9"&gt;1020&lt;/key&gt;&lt;/foreign-keys&gt;&lt;ref-type name="Journal Article"&gt;17&lt;/ref-type&gt;&lt;contributors&gt;&lt;authors&gt;&lt;author&gt;Dess, Gregory G&lt;/author&gt;&lt;author&gt;Lumpkin, G Tom&lt;/author&gt;&lt;/authors&gt;&lt;/contributors&gt;&lt;titles&gt;&lt;title&gt;The role of entrepreneurial orientation in stimulating effective corporate entrepreneurship&lt;/title&gt;&lt;secondary-title&gt;The Academy of Management Executive&lt;/secondary-title&gt;&lt;/titles&gt;&lt;periodical&gt;&lt;full-title&gt;The Academy of Management Executive&lt;/full-title&gt;&lt;/periodical&gt;&lt;pages&gt;147-156&lt;/pages&gt;&lt;volume&gt;19&lt;/volume&gt;&lt;number&gt;1&lt;/number&gt;&lt;dates&gt;&lt;year&gt;2005&lt;/year&gt;&lt;/dates&gt;&lt;publisher&gt;Academy of Management&lt;/publisher&gt;&lt;isbn&gt;1558-9080&lt;/isbn&gt;&lt;urls&gt;&lt;/urls&gt;&lt;/record&gt;&lt;/Cite&gt;&lt;/EndNote&gt;</w:instrText>
      </w:r>
      <w:r w:rsidR="00C432D8"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24" w:tooltip="Dess, 2005 #1020" w:history="1">
        <w:r w:rsidR="00641B32" w:rsidRPr="008C04EC">
          <w:rPr>
            <w:rFonts w:ascii="Times New Roman" w:hAnsi="Times New Roman" w:cs="Times New Roman"/>
            <w:noProof/>
            <w:color w:val="000000" w:themeColor="text1"/>
            <w:sz w:val="24"/>
            <w:szCs w:val="24"/>
            <w:lang w:val="en-GB"/>
          </w:rPr>
          <w:t>Dess &amp; Lumpkin, 2005</w:t>
        </w:r>
      </w:hyperlink>
      <w:r w:rsidR="00D30452" w:rsidRPr="008C04EC">
        <w:rPr>
          <w:rFonts w:ascii="Times New Roman" w:hAnsi="Times New Roman" w:cs="Times New Roman"/>
          <w:noProof/>
          <w:color w:val="000000" w:themeColor="text1"/>
          <w:sz w:val="24"/>
          <w:szCs w:val="24"/>
          <w:lang w:val="en-GB"/>
        </w:rPr>
        <w:t>)</w:t>
      </w:r>
      <w:r w:rsidR="00C432D8" w:rsidRPr="008C04EC">
        <w:rPr>
          <w:rFonts w:ascii="Times New Roman" w:hAnsi="Times New Roman" w:cs="Times New Roman"/>
          <w:color w:val="000000" w:themeColor="text1"/>
          <w:sz w:val="24"/>
          <w:szCs w:val="24"/>
          <w:lang w:val="en-GB"/>
        </w:rPr>
        <w:fldChar w:fldCharType="end"/>
      </w:r>
      <w:r w:rsidR="00C432D8" w:rsidRPr="008C04EC">
        <w:rPr>
          <w:rFonts w:ascii="Times New Roman" w:hAnsi="Times New Roman" w:cs="Times New Roman"/>
          <w:color w:val="000000" w:themeColor="text1"/>
          <w:sz w:val="24"/>
          <w:szCs w:val="24"/>
          <w:lang w:val="en-GB"/>
        </w:rPr>
        <w:t xml:space="preserve">. Thus, pro-activeness gives managers the ability to sense and seize a marketplace opportunity before the competition, leading to long-term competitive advantages </w:t>
      </w:r>
      <w:r w:rsidR="00C432D8"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&lt;EndNote&gt;&lt;Cite&gt;&lt;Author&gt;Dess&lt;/Author&gt;&lt;Year&gt;2005&lt;/Year&gt;&lt;RecNum&gt;1020&lt;/RecNum&gt;&lt;DisplayText&gt;(Dess &amp;amp; Lumpkin, 2005)&lt;/DisplayText&gt;&lt;record&gt;&lt;rec-number&gt;1020&lt;/rec-number&gt;&lt;foreign-keys&gt;&lt;key app="EN" db-id="seavxzzzfrf2p7eddfnxx5ep2ar05z0ddwx9"&gt;1020&lt;/key&gt;&lt;/foreign-keys&gt;&lt;ref-type name="Journal Article"&gt;17&lt;/ref-type&gt;&lt;contributors&gt;&lt;authors&gt;&lt;author&gt;Dess, Gregory G&lt;/author&gt;&lt;author&gt;Lumpkin, G Tom&lt;/author&gt;&lt;/authors&gt;&lt;/contributors&gt;&lt;titles&gt;&lt;title&gt;The role of entrepreneurial orientation in stimulating effective corporate entrepreneurship&lt;/title&gt;&lt;secondary-title&gt;The Academy of Management Executive&lt;/secondary-title&gt;&lt;/titles&gt;&lt;periodical&gt;&lt;full-title&gt;The Academy of Management Executive&lt;/full-title&gt;&lt;/periodical&gt;&lt;pages&gt;147-156&lt;/pages&gt;&lt;volume&gt;19&lt;/volume&gt;&lt;number&gt;1&lt;/number&gt;&lt;dates&gt;&lt;year&gt;2005&lt;/year&gt;&lt;/dates&gt;&lt;publisher&gt;Academy of Management&lt;/publisher&gt;&lt;isbn&gt;1558-9080&lt;/isbn&gt;&lt;urls&gt;&lt;/urls&gt;&lt;/record&gt;&lt;/Cite&gt;&lt;/EndNote&gt;</w:instrText>
      </w:r>
      <w:r w:rsidR="00C432D8"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24" w:tooltip="Dess, 2005 #1020" w:history="1">
        <w:r w:rsidR="00641B32" w:rsidRPr="008C04EC">
          <w:rPr>
            <w:rFonts w:ascii="Times New Roman" w:hAnsi="Times New Roman" w:cs="Times New Roman"/>
            <w:noProof/>
            <w:color w:val="000000" w:themeColor="text1"/>
            <w:sz w:val="24"/>
            <w:szCs w:val="24"/>
            <w:lang w:val="en-GB"/>
          </w:rPr>
          <w:t>Dess &amp; Lumpkin, 2005</w:t>
        </w:r>
      </w:hyperlink>
      <w:r w:rsidR="00D30452" w:rsidRPr="008C04EC">
        <w:rPr>
          <w:rFonts w:ascii="Times New Roman" w:hAnsi="Times New Roman" w:cs="Times New Roman"/>
          <w:noProof/>
          <w:color w:val="000000" w:themeColor="text1"/>
          <w:sz w:val="24"/>
          <w:szCs w:val="24"/>
          <w:lang w:val="en-GB"/>
        </w:rPr>
        <w:t>)</w:t>
      </w:r>
      <w:r w:rsidR="00C432D8" w:rsidRPr="008C04EC">
        <w:rPr>
          <w:rFonts w:ascii="Times New Roman" w:hAnsi="Times New Roman" w:cs="Times New Roman"/>
          <w:color w:val="000000" w:themeColor="text1"/>
          <w:sz w:val="24"/>
          <w:szCs w:val="24"/>
          <w:lang w:val="en-GB"/>
        </w:rPr>
        <w:fldChar w:fldCharType="end"/>
      </w:r>
      <w:r w:rsidR="00C432D8" w:rsidRPr="008C04EC">
        <w:rPr>
          <w:rFonts w:ascii="Times New Roman" w:hAnsi="Times New Roman" w:cs="Times New Roman"/>
          <w:color w:val="000000" w:themeColor="text1"/>
          <w:sz w:val="24"/>
          <w:szCs w:val="24"/>
          <w:lang w:val="en-GB"/>
        </w:rPr>
        <w:t>.</w:t>
      </w:r>
    </w:p>
    <w:p w14:paraId="27760A57" w14:textId="3CBA0E09" w:rsidR="00144AF5" w:rsidRPr="008C04EC" w:rsidRDefault="006C53FE" w:rsidP="00144AF5">
      <w:pPr>
        <w:autoSpaceDE w:val="0"/>
        <w:autoSpaceDN w:val="0"/>
        <w:adjustRightInd w:val="0"/>
        <w:spacing w:after="0" w:line="480" w:lineRule="auto"/>
        <w:ind w:firstLine="567"/>
        <w:contextualSpacing/>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Risk is often described in the supply chain literature as something to be managed and avoided </w:t>
      </w:r>
      <w:r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{"citationID":"teIlbRQD","properties":{"formattedCitation":"(Braunscheidel and Suresh, 2009; Chopra and Sodhi, 2004)","plainCitation":"(Braunscheidel and Suresh, 2009; Chopra and Sodhi, 2004)","dontUpdate":true,"noteIndex":0},"citationItems":[{"id":1219,"uris":["http://zotero.org/users/3209486/items/RKEEBXBG"],"uri":["http://zotero.org/users/3209486/items/RKEEBXBG"],"itemData":{"id":1219,"type":"article-journal","title":"The organizational antecedents of a firm’s supply chain agility for risk mitigation and response","container-title":"Journal of Operations Management","page":"119-140","volume":"27","issue":"2","abstract":"Today’s marketplace is characterized by intense competitive pressures as well as high levels of turbulence and uncertainty. Organizations require agility in their supply chains to provide superior value as well as to manage disruption risks and ensure uninterrupted service to customers. Thus the cultivation of agility is approached as a risk management initiative that enables a firm to respond rapidly to marketplace changes, as well as anticipated and actual disruptions in the supply chain. Agility is of value for both risk mitigation and response.\n\nThis research investigates the impact of two cultural antecedents, market orientation and learning orientation, and three organizational practices, all aimed at augmenting the supply chain agility of a firm. A firm’s supply chain agility (FSCA) is defined as the capability of the firm, both internally and in conjunction with its key suppliers and customers, to adapt or respond in a speedy manner to marketplace changes as well as to potential and actual disruptions, contributing to the agility of the extended supply chain.\n\nThe two cultural antecedents of market and learning orientations are posited to affect the organizational practices of internal integration, external integration with key suppliers and customers, and external flexibility, and eventually impact the firm’s supply chain agility. The external flexibility elements considered are volume and mix flexibility. In addition, the specific organizational characteristics and practices exhibited by firms with high levels of supply chain agility are also investigated.\n\nThrough the use of the structural equation modeling technique, partial least squares (PLS), it is shown that strong linkages exist among the cultural antecedents, the three organizational practices considered, and the firm’s supply chain agility. All three organizational practices, internal integration, external integration with key suppliers and customers, and external flexibility are shown to have significant positive impact on the firm’s supply chain agility.\n\nMarket orientation is shown to significantly impact both internal and external supply chain integration, along with the two elements of external flexibility. Learning orientation, on the other hand, is shown to have a strong and direct influence only on the level of internal integration. Firms with high levels of external integration are also shown to have high levels of internal integration, consistent with past research. Internal and external integration efforts are also seen to be unrelated to the levels of external flexibility present. The results serve to establish a set of key drivers for augmenting supply chain agility as a risk management initiative.","DOI":"10.1016/j.jom.2008.09.006","ISSN":"0272-6963","journalAbbreviation":"Journal of Operations Management","author":[{"family":"Braunscheidel","given":"Michael J."},{"family":"Suresh","given":"Nallan C."}],"issued":{"date-parts":[["2009",4]]}}},{"id":284,"uris":["http://zotero.org/users/3209486/items/Z8J4XHFB"],"uri":["http://zotero.org/users/3209486/items/Z8J4XHFB"],"itemData":{"id":284,"type":"article-journal","title":"Managing Risk to avoid supply-chain break down","container-title":"MIT Sloan Management Review","page":"53-61","volume":"46","issue":"1","author":[{"family":"Chopra","given":"Sunil"},{"family":"Sodhi","given":"Manmohan S."}],"issued":{"date-parts":[["2004"]]}}}],"schema":"https://github.com/citation-style-language/schema/raw/master/csl-citation.json"} </w:instrText>
      </w:r>
      <w:r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(Braunscheidel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Suresh, 2009; Chopra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Sodhi, 2004)</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Yet, risk aversion leads to organisations becoming trapped in established routines and decision-making patterns </w:t>
      </w:r>
      <w:r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{"citationID":"KhhcaiwF","properties":{"formattedCitation":"(Lumpkin and Dess, 1996)","plainCitation":"(Lumpkin and Dess, 1996)","dontUpdate":true,"noteIndex":0},"citationItems":[{"id":4299,"uris":["http://zotero.org/users/3209486/items/V2JFWDHE"],"uri":["http://zotero.org/users/3209486/items/V2JFWDHE"],"itemData":{"id":4299,"type":"article-journal","title":"Clarifying the Entrepreneurial Orientation Construct and Linking It to Performance","container-title":"The Academy of Management Review","page":"135-172","volume":"21","issue":"1","abstract":"The primary purpose of this article is to clarify the nature of the entrepreneurial orientation (EO) construct and to propose a contingency framework for investigating the relationship between EO and firm performance. We first explore and refine the dimensions of EO and discuss the usefulness of viewing a firm's EO as a multidimensional construct. Then, drawing on examples from the EO-related contingencies literature, we suggest alternative models (moderating effects, mediating effects, independent effects, interaction effects) for testing the EO-performance relationship.","DOI":"10.2307/258632","ISSN":"03637425","author":[{"family":"Lumpkin","given":"G. T."},{"family":"Dess","given":"Gregory G."}],"issued":{"date-parts":[["1996"]]}}}],"schema":"https://github.com/citation-style-language/schema/raw/master/csl-citation.json"} </w:instrText>
      </w:r>
      <w:r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(Lumpkin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Dess, 1996)</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Entrepreneurial organisations are those that are willing to take calculated risks on innovation and reconfigure their resource base to seize new market opportunities </w:t>
      </w:r>
      <w:r w:rsidRPr="008C04EC">
        <w:rPr>
          <w:rFonts w:ascii="Times New Roman" w:hAnsi="Times New Roman" w:cs="Times New Roman"/>
          <w:color w:val="000000" w:themeColor="text1"/>
          <w:sz w:val="24"/>
          <w:szCs w:val="24"/>
          <w:lang w:val="en-GB"/>
        </w:rPr>
        <w:fldChar w:fldCharType="begin">
          <w:fldData xml:space="preserve">PEVuZE5vdGU+PENpdGU+PEF1dGhvcj5EZXNzPC9BdXRob3I+PFllYXI+MjAwNTwvWWVhcj48UmVj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PEVuZE5vdGU+PENpdGU+PEF1dGhvcj5EZXNzPC9BdXRob3I+PFllYXI+MjAwNTwvWWVhcj48UmVj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24" w:tooltip="Dess, 2005 #1020" w:history="1">
        <w:r w:rsidR="00641B32" w:rsidRPr="008C04EC">
          <w:rPr>
            <w:rFonts w:ascii="Times New Roman" w:hAnsi="Times New Roman" w:cs="Times New Roman"/>
            <w:noProof/>
            <w:color w:val="000000" w:themeColor="text1"/>
            <w:sz w:val="24"/>
            <w:szCs w:val="24"/>
            <w:lang w:val="en-GB"/>
          </w:rPr>
          <w:t>Dess &amp; Lumpkin, 2005</w:t>
        </w:r>
      </w:hyperlink>
      <w:r w:rsidR="00D30452" w:rsidRPr="008C04EC">
        <w:rPr>
          <w:rFonts w:ascii="Times New Roman" w:hAnsi="Times New Roman" w:cs="Times New Roman"/>
          <w:noProof/>
          <w:color w:val="000000" w:themeColor="text1"/>
          <w:sz w:val="24"/>
          <w:szCs w:val="24"/>
          <w:lang w:val="en-GB"/>
        </w:rPr>
        <w:t xml:space="preserve">; </w:t>
      </w:r>
      <w:hyperlink w:anchor="_ENREF_35" w:tooltip="Grühn, 2017 #1077" w:history="1">
        <w:r w:rsidR="00641B32" w:rsidRPr="008C04EC">
          <w:rPr>
            <w:rFonts w:ascii="Times New Roman" w:hAnsi="Times New Roman" w:cs="Times New Roman"/>
            <w:noProof/>
            <w:color w:val="000000" w:themeColor="text1"/>
            <w:sz w:val="24"/>
            <w:szCs w:val="24"/>
            <w:lang w:val="en-GB"/>
          </w:rPr>
          <w:t>Grühn</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2017</w:t>
        </w:r>
      </w:hyperlink>
      <w:r w:rsidR="00D30452" w:rsidRPr="008C04EC">
        <w:rPr>
          <w:rFonts w:ascii="Times New Roman" w:hAnsi="Times New Roman" w:cs="Times New Roman"/>
          <w:noProof/>
          <w:color w:val="000000" w:themeColor="text1"/>
          <w:sz w:val="24"/>
          <w:szCs w:val="24"/>
          <w:lang w:val="en-GB"/>
        </w:rPr>
        <w:t xml:space="preserve">; </w:t>
      </w:r>
      <w:hyperlink w:anchor="_ENREF_91" w:tooltip="Teece, 2007 #24" w:history="1">
        <w:r w:rsidR="00641B32" w:rsidRPr="008C04EC">
          <w:rPr>
            <w:rFonts w:ascii="Times New Roman" w:hAnsi="Times New Roman" w:cs="Times New Roman"/>
            <w:noProof/>
            <w:color w:val="000000" w:themeColor="text1"/>
            <w:sz w:val="24"/>
            <w:szCs w:val="24"/>
            <w:lang w:val="en-GB"/>
          </w:rPr>
          <w:t>Teece, 2007</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t>
      </w:r>
      <w:r w:rsidR="009E4D7B" w:rsidRPr="008C04EC">
        <w:rPr>
          <w:rFonts w:ascii="Times New Roman" w:hAnsi="Times New Roman" w:cs="Times New Roman"/>
          <w:color w:val="000000" w:themeColor="text1"/>
          <w:sz w:val="24"/>
          <w:szCs w:val="24"/>
          <w:lang w:val="en-GB"/>
        </w:rPr>
        <w:t xml:space="preserve">Risk-taking entails devoting more resources to projects that have uncertain outcomes, and entering new markets to seize emergent opportunities </w:t>
      </w:r>
      <w:r w:rsidR="009E4D7B" w:rsidRPr="008C04EC">
        <w:rPr>
          <w:rFonts w:ascii="Times New Roman" w:hAnsi="Times New Roman" w:cs="Times New Roman"/>
          <w:bCs/>
          <w:color w:val="000000" w:themeColor="text1"/>
          <w:sz w:val="24"/>
          <w:szCs w:val="24"/>
          <w:lang w:val="en-GB"/>
        </w:rPr>
        <w:fldChar w:fldCharType="begin"/>
      </w:r>
      <w:r w:rsidR="00D30452" w:rsidRPr="008C04EC">
        <w:rPr>
          <w:rFonts w:ascii="Times New Roman" w:hAnsi="Times New Roman" w:cs="Times New Roman"/>
          <w:bCs/>
          <w:color w:val="000000" w:themeColor="text1"/>
          <w:sz w:val="24"/>
          <w:szCs w:val="24"/>
          <w:lang w:val="en-GB"/>
        </w:rPr>
        <w:instrText xml:space="preserve"> ADDIN EN.CITE &lt;EndNote&gt;&lt;Cite&gt;&lt;Author&gt;Lumpkin&lt;/Author&gt;&lt;Year&gt;1996&lt;/Year&gt;&lt;RecNum&gt;1007&lt;/RecNum&gt;&lt;DisplayText&gt;(Lumpkin &amp;amp; Dess, 1996)&lt;/DisplayText&gt;&lt;record&gt;&lt;rec-number&gt;1007&lt;/rec-number&gt;&lt;foreign-keys&gt;&lt;key app="EN" db-id="seavxzzzfrf2p7eddfnxx5ep2ar05z0ddwx9"&gt;1007&lt;/key&gt;&lt;/foreign-keys&gt;&lt;ref-type name="Journal Article"&gt;17&lt;/ref-type&gt;&lt;contributors&gt;&lt;authors&gt;&lt;author&gt;Lumpkin, G Tom&lt;/author&gt;&lt;author&gt;Dess, Gregory G&lt;/author&gt;&lt;/authors&gt;&lt;/contributors&gt;&lt;titles&gt;&lt;title&gt;Clarifying the entrepreneurial orientation construct and linking it to performance&lt;/title&gt;&lt;secondary-title&gt;Academy of Management Review&lt;/secondary-title&gt;&lt;/titles&gt;&lt;periodical&gt;&lt;full-title&gt;Academy of management review&lt;/full-title&gt;&lt;/periodical&gt;&lt;pages&gt;135-172&lt;/pages&gt;&lt;volume&gt;21&lt;/volume&gt;&lt;number&gt;1&lt;/number&gt;&lt;dates&gt;&lt;year&gt;1996&lt;/year&gt;&lt;/dates&gt;&lt;publisher&gt;Academy of Management&lt;/publisher&gt;&lt;isbn&gt;0363-7425&lt;/isbn&gt;&lt;urls&gt;&lt;/urls&gt;&lt;/record&gt;&lt;/Cite&gt;&lt;/EndNote&gt;</w:instrText>
      </w:r>
      <w:r w:rsidR="009E4D7B" w:rsidRPr="008C04EC">
        <w:rPr>
          <w:rFonts w:ascii="Times New Roman" w:hAnsi="Times New Roman" w:cs="Times New Roman"/>
          <w:bCs/>
          <w:color w:val="000000" w:themeColor="text1"/>
          <w:sz w:val="24"/>
          <w:szCs w:val="24"/>
          <w:lang w:val="en-GB"/>
        </w:rPr>
        <w:fldChar w:fldCharType="separate"/>
      </w:r>
      <w:r w:rsidR="00D30452" w:rsidRPr="008C04EC">
        <w:rPr>
          <w:rFonts w:ascii="Times New Roman" w:hAnsi="Times New Roman" w:cs="Times New Roman"/>
          <w:bCs/>
          <w:noProof/>
          <w:color w:val="000000" w:themeColor="text1"/>
          <w:sz w:val="24"/>
          <w:szCs w:val="24"/>
          <w:lang w:val="en-GB"/>
        </w:rPr>
        <w:t>(</w:t>
      </w:r>
      <w:hyperlink w:anchor="_ENREF_62" w:tooltip="Lumpkin, 1996 #1007" w:history="1">
        <w:r w:rsidR="00641B32" w:rsidRPr="008C04EC">
          <w:rPr>
            <w:rFonts w:ascii="Times New Roman" w:hAnsi="Times New Roman" w:cs="Times New Roman"/>
            <w:bCs/>
            <w:noProof/>
            <w:color w:val="000000" w:themeColor="text1"/>
            <w:sz w:val="24"/>
            <w:szCs w:val="24"/>
            <w:lang w:val="en-GB"/>
          </w:rPr>
          <w:t>Lumpkin &amp; Dess, 1996</w:t>
        </w:r>
      </w:hyperlink>
      <w:r w:rsidR="00D30452" w:rsidRPr="008C04EC">
        <w:rPr>
          <w:rFonts w:ascii="Times New Roman" w:hAnsi="Times New Roman" w:cs="Times New Roman"/>
          <w:bCs/>
          <w:noProof/>
          <w:color w:val="000000" w:themeColor="text1"/>
          <w:sz w:val="24"/>
          <w:szCs w:val="24"/>
          <w:lang w:val="en-GB"/>
        </w:rPr>
        <w:t>)</w:t>
      </w:r>
      <w:r w:rsidR="009E4D7B" w:rsidRPr="008C04EC">
        <w:rPr>
          <w:rFonts w:ascii="Times New Roman" w:hAnsi="Times New Roman" w:cs="Times New Roman"/>
          <w:bCs/>
          <w:color w:val="000000" w:themeColor="text1"/>
          <w:sz w:val="24"/>
          <w:szCs w:val="24"/>
          <w:lang w:val="en-GB"/>
        </w:rPr>
        <w:fldChar w:fldCharType="end"/>
      </w:r>
      <w:r w:rsidR="009E4D7B" w:rsidRPr="008C04EC">
        <w:rPr>
          <w:rFonts w:ascii="Times New Roman" w:hAnsi="Times New Roman" w:cs="Times New Roman"/>
          <w:bCs/>
          <w:color w:val="000000" w:themeColor="text1"/>
          <w:sz w:val="24"/>
          <w:szCs w:val="24"/>
          <w:lang w:val="en-GB"/>
        </w:rPr>
        <w:t xml:space="preserve">. </w:t>
      </w:r>
      <w:r w:rsidR="00144AF5" w:rsidRPr="008C04EC">
        <w:rPr>
          <w:rFonts w:ascii="Times New Roman" w:hAnsi="Times New Roman" w:cs="Times New Roman"/>
          <w:bCs/>
          <w:color w:val="000000" w:themeColor="text1"/>
          <w:sz w:val="24"/>
          <w:szCs w:val="24"/>
          <w:lang w:val="en-GB"/>
        </w:rPr>
        <w:t xml:space="preserve">Entrepreneurially-oriented managers </w:t>
      </w:r>
      <w:r w:rsidR="00144AF5" w:rsidRPr="008C04EC">
        <w:rPr>
          <w:rFonts w:ascii="Times New Roman" w:hAnsi="Times New Roman" w:cs="Times New Roman"/>
          <w:bCs/>
          <w:color w:val="000000" w:themeColor="text1"/>
          <w:sz w:val="24"/>
          <w:szCs w:val="24"/>
          <w:lang w:val="en-GB"/>
        </w:rPr>
        <w:lastRenderedPageBreak/>
        <w:t xml:space="preserve">that are </w:t>
      </w:r>
      <w:r w:rsidR="00144AF5" w:rsidRPr="008C04EC">
        <w:rPr>
          <w:rFonts w:ascii="Times New Roman" w:hAnsi="Times New Roman" w:cs="Times New Roman"/>
          <w:color w:val="000000" w:themeColor="text1"/>
          <w:sz w:val="24"/>
          <w:szCs w:val="24"/>
          <w:lang w:val="en-GB"/>
        </w:rPr>
        <w:t xml:space="preserve">open to taking risks foster an organisational setting where employees have the freedom to make, and learn from, mistakes </w:t>
      </w:r>
      <w:r w:rsidR="00144AF5" w:rsidRPr="008C04EC">
        <w:rPr>
          <w:rFonts w:ascii="Times New Roman" w:hAnsi="Times New Roman" w:cs="Times New Roman"/>
          <w:color w:val="000000" w:themeColor="text1"/>
          <w:sz w:val="24"/>
          <w:szCs w:val="24"/>
          <w:lang w:val="en-GB"/>
        </w:rPr>
        <w:fldChar w:fldCharType="begin">
          <w:fldData xml:space="preserve">PEVuZE5vdGU+PENpdGU+PEF1dGhvcj5IYW1lbDwvQXV0aG9yPjxZZWFyPjE5OTA8L1llYXI+PFJl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PEVuZE5vdGU+PENpdGU+PEF1dGhvcj5IYW1lbDwvQXV0aG9yPjxZZWFyPjE5OTA8L1llYXI+PFJl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00144AF5" w:rsidRPr="008C04EC">
        <w:rPr>
          <w:rFonts w:ascii="Times New Roman" w:hAnsi="Times New Roman" w:cs="Times New Roman"/>
          <w:color w:val="000000" w:themeColor="text1"/>
          <w:sz w:val="24"/>
          <w:szCs w:val="24"/>
          <w:lang w:val="en-GB"/>
        </w:rPr>
      </w:r>
      <w:r w:rsidR="00144AF5"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39" w:tooltip="Hamel, 1990 #446" w:history="1">
        <w:r w:rsidR="00641B32" w:rsidRPr="008C04EC">
          <w:rPr>
            <w:rFonts w:ascii="Times New Roman" w:hAnsi="Times New Roman" w:cs="Times New Roman"/>
            <w:noProof/>
            <w:color w:val="000000" w:themeColor="text1"/>
            <w:sz w:val="24"/>
            <w:szCs w:val="24"/>
            <w:lang w:val="en-GB"/>
          </w:rPr>
          <w:t>Hamel &amp; Prahalad, 1990</w:t>
        </w:r>
      </w:hyperlink>
      <w:r w:rsidR="00D30452" w:rsidRPr="008C04EC">
        <w:rPr>
          <w:rFonts w:ascii="Times New Roman" w:hAnsi="Times New Roman" w:cs="Times New Roman"/>
          <w:noProof/>
          <w:color w:val="000000" w:themeColor="text1"/>
          <w:sz w:val="24"/>
          <w:szCs w:val="24"/>
          <w:lang w:val="en-GB"/>
        </w:rPr>
        <w:t xml:space="preserve">; </w:t>
      </w:r>
      <w:hyperlink w:anchor="_ENREF_85" w:tooltip="Slater, 1995 #1111" w:history="1">
        <w:r w:rsidR="00641B32" w:rsidRPr="008C04EC">
          <w:rPr>
            <w:rFonts w:ascii="Times New Roman" w:hAnsi="Times New Roman" w:cs="Times New Roman"/>
            <w:noProof/>
            <w:color w:val="000000" w:themeColor="text1"/>
            <w:sz w:val="24"/>
            <w:szCs w:val="24"/>
            <w:lang w:val="en-GB"/>
          </w:rPr>
          <w:t>Slater &amp; Narver, 1995</w:t>
        </w:r>
      </w:hyperlink>
      <w:r w:rsidR="00D30452" w:rsidRPr="008C04EC">
        <w:rPr>
          <w:rFonts w:ascii="Times New Roman" w:hAnsi="Times New Roman" w:cs="Times New Roman"/>
          <w:noProof/>
          <w:color w:val="000000" w:themeColor="text1"/>
          <w:sz w:val="24"/>
          <w:szCs w:val="24"/>
          <w:lang w:val="en-GB"/>
        </w:rPr>
        <w:t xml:space="preserve">; </w:t>
      </w:r>
      <w:hyperlink w:anchor="_ENREF_95" w:tooltip="Wang, 2008 #1068" w:history="1">
        <w:r w:rsidR="00641B32" w:rsidRPr="008C04EC">
          <w:rPr>
            <w:rFonts w:ascii="Times New Roman" w:hAnsi="Times New Roman" w:cs="Times New Roman"/>
            <w:noProof/>
            <w:color w:val="000000" w:themeColor="text1"/>
            <w:sz w:val="24"/>
            <w:szCs w:val="24"/>
            <w:lang w:val="en-GB"/>
          </w:rPr>
          <w:t>Wang, 2008</w:t>
        </w:r>
      </w:hyperlink>
      <w:r w:rsidR="00D30452" w:rsidRPr="008C04EC">
        <w:rPr>
          <w:rFonts w:ascii="Times New Roman" w:hAnsi="Times New Roman" w:cs="Times New Roman"/>
          <w:noProof/>
          <w:color w:val="000000" w:themeColor="text1"/>
          <w:sz w:val="24"/>
          <w:szCs w:val="24"/>
          <w:lang w:val="en-GB"/>
        </w:rPr>
        <w:t>)</w:t>
      </w:r>
      <w:r w:rsidR="00144AF5" w:rsidRPr="008C04EC">
        <w:rPr>
          <w:rFonts w:ascii="Times New Roman" w:hAnsi="Times New Roman" w:cs="Times New Roman"/>
          <w:color w:val="000000" w:themeColor="text1"/>
          <w:sz w:val="24"/>
          <w:szCs w:val="24"/>
          <w:lang w:val="en-GB"/>
        </w:rPr>
        <w:fldChar w:fldCharType="end"/>
      </w:r>
      <w:r w:rsidR="00144AF5" w:rsidRPr="008C04EC">
        <w:rPr>
          <w:rFonts w:ascii="Times New Roman" w:hAnsi="Times New Roman" w:cs="Times New Roman"/>
          <w:color w:val="000000" w:themeColor="text1"/>
          <w:sz w:val="24"/>
          <w:szCs w:val="24"/>
          <w:lang w:val="en-GB"/>
        </w:rPr>
        <w:t xml:space="preserve">. Instead of avoiding risks altogether, proactive firms embrace risk by developing agile supply chain processes that enable a flexible response to </w:t>
      </w:r>
      <w:r w:rsidR="00C61D8C" w:rsidRPr="008C04EC">
        <w:rPr>
          <w:rFonts w:ascii="Times New Roman" w:hAnsi="Times New Roman" w:cs="Times New Roman"/>
          <w:color w:val="000000" w:themeColor="text1"/>
          <w:sz w:val="24"/>
          <w:szCs w:val="24"/>
          <w:lang w:val="en-GB"/>
        </w:rPr>
        <w:t>changing marketplace conditions</w:t>
      </w:r>
      <w:r w:rsidR="00144AF5" w:rsidRPr="008C04EC">
        <w:rPr>
          <w:rFonts w:ascii="Times New Roman" w:hAnsi="Times New Roman" w:cs="Times New Roman"/>
          <w:color w:val="000000" w:themeColor="text1"/>
          <w:sz w:val="24"/>
          <w:szCs w:val="24"/>
          <w:lang w:val="en-GB"/>
        </w:rPr>
        <w:t xml:space="preserve"> </w:t>
      </w:r>
      <w:r w:rsidR="00144AF5"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&lt;EndNote&gt;&lt;Cite&gt;&lt;Author&gt;Braunscheidel&lt;/Author&gt;&lt;Year&gt;2009&lt;/Year&gt;&lt;RecNum&gt;929&lt;/RecNum&gt;&lt;DisplayText&gt;(Braunscheidel &amp;amp; Suresh, 2009; Grötsch, Blome, &amp;amp; Schleper, 2013)&lt;/DisplayText&gt;&lt;record&gt;&lt;rec-number&gt;929&lt;/rec-number&gt;&lt;foreign-keys&gt;&lt;key app="EN" db-id="seavxzzzfrf2p7eddfnxx5ep2ar05z0ddwx9"&gt;929&lt;/key&gt;&lt;/foreign-keys&gt;&lt;ref-type name="Journal Article"&gt;17&lt;/ref-type&gt;&lt;contributors&gt;&lt;authors&gt;&lt;author&gt;Braunscheidel, Michael J&lt;/author&gt;&lt;author&gt;Suresh, Nallan C&lt;/author&gt;&lt;/authors&gt;&lt;/contributors&gt;&lt;titles&gt;&lt;title&gt;The organizational antecedents of a firm’s supply chain agility for risk mitigation and response&lt;/title&gt;&lt;secondary-title&gt;Journal of Operations Management&lt;/secondary-title&gt;&lt;/titles&gt;&lt;periodical&gt;&lt;full-title&gt;Journal of Operations Management&lt;/full-title&gt;&lt;/periodical&gt;&lt;pages&gt;119-140&lt;/pages&gt;&lt;volume&gt;27&lt;/volume&gt;&lt;number&gt;2&lt;/number&gt;&lt;dates&gt;&lt;year&gt;2009&lt;/year&gt;&lt;/dates&gt;&lt;publisher&gt;Elsevier&lt;/publisher&gt;&lt;isbn&gt;0272-6963&lt;/isbn&gt;&lt;urls&gt;&lt;/urls&gt;&lt;/record&gt;&lt;/Cite&gt;&lt;Cite&gt;&lt;Author&gt;Grötsch&lt;/Author&gt;&lt;Year&gt;2013&lt;/Year&gt;&lt;RecNum&gt;1116&lt;/RecNum&gt;&lt;record&gt;&lt;rec-number&gt;1116&lt;/rec-number&gt;&lt;foreign-keys&gt;&lt;key app="EN" db-id="seavxzzzfrf2p7eddfnxx5ep2ar05z0ddwx9"&gt;1116&lt;/key&gt;&lt;/foreign-keys&gt;&lt;ref-type name="Journal Article"&gt;17&lt;/ref-type&gt;&lt;contributors&gt;&lt;authors&gt;&lt;author&gt;Grötsch, Volker M&lt;/author&gt;&lt;author&gt;Blome, Constantin&lt;/author&gt;&lt;author&gt;Schleper, Martin C&lt;/author&gt;&lt;/authors&gt;&lt;/contributors&gt;&lt;titles&gt;&lt;title&gt;Antecedents of proactive supply chain risk management–a contingency theory perspective&lt;/title&gt;&lt;secondary-title&gt;International Journal of Production Research&lt;/secondary-title&gt;&lt;/titles&gt;&lt;periodical&gt;&lt;full-title&gt;International Journal of Production Research&lt;/full-title&gt;&lt;/periodical&gt;&lt;pages&gt;2842-2867&lt;/pages&gt;&lt;volume&gt;51&lt;/volume&gt;&lt;number&gt;10&lt;/number&gt;&lt;dates&gt;&lt;year&gt;2013&lt;/year&gt;&lt;/dates&gt;&lt;isbn&gt;0020-7543&lt;/isbn&gt;&lt;urls&gt;&lt;/urls&gt;&lt;/record&gt;&lt;/Cite&gt;&lt;/EndNote&gt;</w:instrText>
      </w:r>
      <w:r w:rsidR="00144AF5"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13" w:tooltip="Braunscheidel, 2009 #929" w:history="1">
        <w:r w:rsidR="00641B32" w:rsidRPr="008C04EC">
          <w:rPr>
            <w:rFonts w:ascii="Times New Roman" w:hAnsi="Times New Roman" w:cs="Times New Roman"/>
            <w:noProof/>
            <w:color w:val="000000" w:themeColor="text1"/>
            <w:sz w:val="24"/>
            <w:szCs w:val="24"/>
            <w:lang w:val="en-GB"/>
          </w:rPr>
          <w:t>Braunscheidel &amp; Suresh, 2009</w:t>
        </w:r>
      </w:hyperlink>
      <w:r w:rsidR="00D30452" w:rsidRPr="008C04EC">
        <w:rPr>
          <w:rFonts w:ascii="Times New Roman" w:hAnsi="Times New Roman" w:cs="Times New Roman"/>
          <w:noProof/>
          <w:color w:val="000000" w:themeColor="text1"/>
          <w:sz w:val="24"/>
          <w:szCs w:val="24"/>
          <w:lang w:val="en-GB"/>
        </w:rPr>
        <w:t xml:space="preserve">; </w:t>
      </w:r>
      <w:hyperlink w:anchor="_ENREF_34" w:tooltip="Grötsch, 2013 #1116" w:history="1">
        <w:r w:rsidR="00641B32" w:rsidRPr="008C04EC">
          <w:rPr>
            <w:rFonts w:ascii="Times New Roman" w:hAnsi="Times New Roman" w:cs="Times New Roman"/>
            <w:noProof/>
            <w:color w:val="000000" w:themeColor="text1"/>
            <w:sz w:val="24"/>
            <w:szCs w:val="24"/>
            <w:lang w:val="en-GB"/>
          </w:rPr>
          <w:t>Grötsch</w:t>
        </w:r>
        <w:r w:rsidR="003917C4">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2013</w:t>
        </w:r>
      </w:hyperlink>
      <w:r w:rsidR="00D30452" w:rsidRPr="008C04EC">
        <w:rPr>
          <w:rFonts w:ascii="Times New Roman" w:hAnsi="Times New Roman" w:cs="Times New Roman"/>
          <w:noProof/>
          <w:color w:val="000000" w:themeColor="text1"/>
          <w:sz w:val="24"/>
          <w:szCs w:val="24"/>
          <w:lang w:val="en-GB"/>
        </w:rPr>
        <w:t>)</w:t>
      </w:r>
      <w:r w:rsidR="00144AF5" w:rsidRPr="008C04EC">
        <w:rPr>
          <w:rFonts w:ascii="Times New Roman" w:hAnsi="Times New Roman" w:cs="Times New Roman"/>
          <w:color w:val="000000" w:themeColor="text1"/>
          <w:sz w:val="24"/>
          <w:szCs w:val="24"/>
          <w:lang w:val="en-GB"/>
        </w:rPr>
        <w:fldChar w:fldCharType="end"/>
      </w:r>
      <w:r w:rsidR="00144AF5" w:rsidRPr="008C04EC">
        <w:rPr>
          <w:rFonts w:ascii="Times New Roman" w:hAnsi="Times New Roman" w:cs="Times New Roman"/>
          <w:bCs/>
          <w:color w:val="000000" w:themeColor="text1"/>
          <w:sz w:val="24"/>
          <w:szCs w:val="24"/>
          <w:lang w:val="en-GB"/>
        </w:rPr>
        <w:t>.</w:t>
      </w:r>
    </w:p>
    <w:p w14:paraId="43DAAAD4" w14:textId="7FD4B22A" w:rsidR="00BB4A57" w:rsidRPr="008C04EC" w:rsidRDefault="009E4D7B" w:rsidP="00C37F90">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Entrepreneurial orientation </w:t>
      </w:r>
      <w:r w:rsidR="000F1737">
        <w:rPr>
          <w:rFonts w:ascii="Times New Roman" w:hAnsi="Times New Roman" w:cs="Times New Roman"/>
          <w:color w:val="000000" w:themeColor="text1"/>
          <w:sz w:val="24"/>
          <w:szCs w:val="24"/>
          <w:lang w:val="en-GB"/>
        </w:rPr>
        <w:t xml:space="preserve">can </w:t>
      </w:r>
      <w:r w:rsidR="00C37F90">
        <w:rPr>
          <w:rFonts w:ascii="Times New Roman" w:hAnsi="Times New Roman" w:cs="Times New Roman"/>
          <w:color w:val="000000" w:themeColor="text1"/>
          <w:sz w:val="24"/>
          <w:szCs w:val="24"/>
          <w:lang w:val="en-GB"/>
        </w:rPr>
        <w:t>therefore</w:t>
      </w:r>
      <w:r w:rsidR="000F1737">
        <w:rPr>
          <w:rFonts w:ascii="Times New Roman" w:hAnsi="Times New Roman" w:cs="Times New Roman"/>
          <w:color w:val="000000" w:themeColor="text1"/>
          <w:sz w:val="24"/>
          <w:szCs w:val="24"/>
          <w:lang w:val="en-GB"/>
        </w:rPr>
        <w:t xml:space="preserve"> be understood as</w:t>
      </w:r>
      <w:r w:rsidRPr="008C04EC">
        <w:rPr>
          <w:rFonts w:ascii="Times New Roman" w:hAnsi="Times New Roman" w:cs="Times New Roman"/>
          <w:color w:val="000000" w:themeColor="text1"/>
          <w:sz w:val="24"/>
          <w:szCs w:val="24"/>
          <w:lang w:val="en-GB"/>
        </w:rPr>
        <w:t xml:space="preserve"> a learning mind-set, where individuals are keen to acquire knowledge through R</w:t>
      </w:r>
      <w:r w:rsidR="00144AF5" w:rsidRPr="008C04EC">
        <w:rPr>
          <w:rFonts w:ascii="Times New Roman" w:hAnsi="Times New Roman" w:cs="Times New Roman"/>
          <w:color w:val="000000" w:themeColor="text1"/>
          <w:sz w:val="24"/>
          <w:szCs w:val="24"/>
          <w:lang w:val="en-GB"/>
        </w:rPr>
        <w:t>esearch and Development (R&amp;D)</w:t>
      </w:r>
      <w:r w:rsidR="006C53FE" w:rsidRPr="008C04EC">
        <w:rPr>
          <w:rFonts w:ascii="Times New Roman" w:hAnsi="Times New Roman" w:cs="Times New Roman"/>
          <w:color w:val="000000" w:themeColor="text1"/>
          <w:sz w:val="24"/>
          <w:szCs w:val="24"/>
          <w:lang w:val="en-GB"/>
        </w:rPr>
        <w:t xml:space="preserve"> activities</w:t>
      </w:r>
      <w:r w:rsidRPr="008C04EC">
        <w:rPr>
          <w:rFonts w:ascii="Times New Roman" w:hAnsi="Times New Roman" w:cs="Times New Roman"/>
          <w:color w:val="000000" w:themeColor="text1"/>
          <w:sz w:val="24"/>
          <w:szCs w:val="24"/>
          <w:lang w:val="en-GB"/>
        </w:rPr>
        <w:t xml:space="preserve"> and </w:t>
      </w:r>
      <w:r w:rsidR="000F1737">
        <w:rPr>
          <w:rFonts w:ascii="Times New Roman" w:hAnsi="Times New Roman" w:cs="Times New Roman"/>
          <w:color w:val="000000" w:themeColor="text1"/>
          <w:sz w:val="24"/>
          <w:szCs w:val="24"/>
          <w:lang w:val="en-GB"/>
        </w:rPr>
        <w:t xml:space="preserve">the co-development of </w:t>
      </w:r>
      <w:r w:rsidRPr="008C04EC">
        <w:rPr>
          <w:rFonts w:ascii="Times New Roman" w:hAnsi="Times New Roman" w:cs="Times New Roman"/>
          <w:color w:val="000000" w:themeColor="text1"/>
          <w:sz w:val="24"/>
          <w:szCs w:val="24"/>
          <w:lang w:val="en-GB"/>
        </w:rPr>
        <w:t xml:space="preserve">innovative technologies with suppliers. </w:t>
      </w:r>
      <w:r w:rsidR="00144AF5" w:rsidRPr="008C04EC">
        <w:rPr>
          <w:rFonts w:ascii="Times New Roman" w:hAnsi="Times New Roman" w:cs="Times New Roman"/>
          <w:color w:val="000000" w:themeColor="text1"/>
          <w:sz w:val="24"/>
          <w:szCs w:val="24"/>
          <w:lang w:val="en-GB"/>
        </w:rPr>
        <w:t>N</w:t>
      </w:r>
      <w:r w:rsidRPr="008C04EC">
        <w:rPr>
          <w:rFonts w:ascii="Times New Roman" w:hAnsi="Times New Roman" w:cs="Times New Roman"/>
          <w:color w:val="000000" w:themeColor="text1"/>
          <w:sz w:val="24"/>
          <w:szCs w:val="24"/>
          <w:lang w:val="en-GB"/>
        </w:rPr>
        <w:t xml:space="preserve">ewly acquired knowledge </w:t>
      </w:r>
      <w:r w:rsidR="006C53FE" w:rsidRPr="008C04EC">
        <w:rPr>
          <w:rFonts w:ascii="Times New Roman" w:hAnsi="Times New Roman" w:cs="Times New Roman"/>
          <w:color w:val="000000" w:themeColor="text1"/>
          <w:sz w:val="24"/>
          <w:szCs w:val="24"/>
          <w:lang w:val="en-GB"/>
        </w:rPr>
        <w:t>can be</w:t>
      </w:r>
      <w:r w:rsidRPr="008C04EC">
        <w:rPr>
          <w:rFonts w:ascii="Times New Roman" w:hAnsi="Times New Roman" w:cs="Times New Roman"/>
          <w:color w:val="000000" w:themeColor="text1"/>
          <w:sz w:val="24"/>
          <w:szCs w:val="24"/>
          <w:lang w:val="en-GB"/>
        </w:rPr>
        <w:t xml:space="preserve"> codified in standard operating procedures</w:t>
      </w:r>
      <w:r w:rsidR="00144AF5" w:rsidRPr="008C04EC">
        <w:rPr>
          <w:rFonts w:ascii="Times New Roman" w:hAnsi="Times New Roman" w:cs="Times New Roman"/>
          <w:color w:val="000000" w:themeColor="text1"/>
          <w:sz w:val="24"/>
          <w:szCs w:val="24"/>
          <w:lang w:val="en-GB"/>
        </w:rPr>
        <w:t xml:space="preserve"> and </w:t>
      </w:r>
      <w:r w:rsidRPr="008C04EC">
        <w:rPr>
          <w:rFonts w:ascii="Times New Roman" w:hAnsi="Times New Roman" w:cs="Times New Roman"/>
          <w:color w:val="000000" w:themeColor="text1"/>
          <w:sz w:val="24"/>
          <w:szCs w:val="24"/>
          <w:lang w:val="en-GB"/>
        </w:rPr>
        <w:t>trained out across the organisation and wider supply chain</w:t>
      </w:r>
      <w:r w:rsidR="00144AF5" w:rsidRPr="008C04EC">
        <w:rPr>
          <w:rFonts w:ascii="Times New Roman" w:hAnsi="Times New Roman" w:cs="Times New Roman"/>
          <w:color w:val="000000" w:themeColor="text1"/>
          <w:sz w:val="24"/>
          <w:szCs w:val="24"/>
          <w:lang w:val="en-GB"/>
        </w:rPr>
        <w:t xml:space="preserve"> </w:t>
      </w:r>
      <w:r w:rsidR="00144AF5" w:rsidRPr="008C04EC">
        <w:rPr>
          <w:rFonts w:ascii="Times New Roman" w:hAnsi="Times New Roman" w:cs="Times New Roman"/>
          <w:color w:val="000000" w:themeColor="text1"/>
          <w:sz w:val="24"/>
          <w:szCs w:val="24"/>
          <w:lang w:val="en-GB"/>
        </w:rPr>
        <w:fldChar w:fldCharType="begin"/>
      </w:r>
      <w:r w:rsidR="00144AF5" w:rsidRPr="008C04EC">
        <w:rPr>
          <w:rFonts w:ascii="Times New Roman" w:hAnsi="Times New Roman" w:cs="Times New Roman"/>
          <w:color w:val="000000" w:themeColor="text1"/>
          <w:sz w:val="24"/>
          <w:szCs w:val="24"/>
          <w:lang w:val="en-GB"/>
        </w:rPr>
        <w:instrText xml:space="preserve"> ADDIN ZOTERO_ITEM CSL_CITATION {"citationID":"o6igs6Wq","properties":{"formattedCitation":"(Cousins et al., 2011)","plainCitation":"(Cousins et al., 2011)","noteIndex":0},"citationItems":[{"id":200,"uris":["http://zotero.org/users/3209486/items/R2RSAHRJ"],"uri":["http://zotero.org/users/3209486/items/R2RSAHRJ"],"itemData":{"id":200,"type":"article-journal","title":"Breakthrough Scanning, Supplier Knowledge Exchange, and New Product Development Performance","container-title":"Journal of Product Innovation Management","page":"930-942","volume":"28","issue":"6","abstract":"The ability of a firm to scan its environment for breakthrough innovations and develop new products is increasingly central to business success. However, many firms struggle to develop breakthrough innovations alone, and rely increasingly on their supply base to provide input in processing uncertain and ambiguous technological knowledge. This paper develops a theoretical framework, based in information processing theory, to investigate the effects of breakthrough search behaviors by the buyer firm on their technical proficiency, reliance on supplementary processing capacity with suppliers, and subsequent new product development and financial performance. Using data provided by 111 procurement executives from the United Kingdom, we find support for our hypotheses. Increased breakthrough scanning results in higher firm-level technical proficiency, and also an increase in knowledge sharing with the firm's suppliers. A combination of a firm's technical capabilities and knowledge exchange with suppliers was found to result in improved new product development performance and financial performance. This study extends the supply relationship management and new product development literatures, and suggests implications for both research and practice. [ABSTRACT FROM AUTHOR]\nCopyright of Journal of Product Innovation Management is the property of Wiley-Blackwell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Abstracts.)","ISSN":"07376782","author":[{"family":"Cousins","given":"Paul D."},{"family":"Lawson","given":"Benn"},{"family":"Petersen","given":"Kenneth J."},{"family":"Handfield","given":"Robert B."}],"issued":{"date-parts":[["2011"]]}}}],"schema":"https://github.com/citation-style-language/schema/raw/master/csl-citation.json"} </w:instrText>
      </w:r>
      <w:r w:rsidR="00144AF5"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(Cousins et al., 2011)</w:t>
      </w:r>
      <w:r w:rsidR="00144AF5"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Over time, the pattern of continuous learning becomes routinised between supply chain partners, </w:t>
      </w:r>
      <w:r w:rsidR="006C53FE" w:rsidRPr="008C04EC">
        <w:rPr>
          <w:rFonts w:ascii="Times New Roman" w:hAnsi="Times New Roman" w:cs="Times New Roman"/>
          <w:color w:val="000000" w:themeColor="text1"/>
          <w:sz w:val="24"/>
          <w:szCs w:val="24"/>
          <w:lang w:val="en-GB"/>
        </w:rPr>
        <w:t xml:space="preserve">leading </w:t>
      </w:r>
      <w:r w:rsidRPr="008C04EC">
        <w:rPr>
          <w:rFonts w:ascii="Times New Roman" w:hAnsi="Times New Roman" w:cs="Times New Roman"/>
          <w:color w:val="000000" w:themeColor="text1"/>
          <w:sz w:val="24"/>
          <w:szCs w:val="24"/>
          <w:lang w:val="en-GB"/>
        </w:rPr>
        <w:t xml:space="preserve">to the emergence of ‘learning-to-learn’ dynamic capabilities </w:t>
      </w:r>
      <w:r w:rsidR="00C61D8C"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{"citationID":"ovYoVihC","properties":{"formattedCitation":"(Collis, 1994; Zollo et al., 2002; Zollo and Winter, 2002)","plainCitation":"(Collis, 1994; Zollo et al., 2002; Zollo and Winter, 2002)","dontUpdate":true,"noteIndex":0},"citationItems":[{"id":3970,"uris":["http://zotero.org/users/3209486/items/DYMQIPE5"],"uri":["http://zotero.org/users/3209486/items/DYMQIPE5"],"itemData":{"id":3970,"type":"article-journal","title":"Research Note: How Valuable Are Organizational Capabilities?","container-title":"Strategic Management Journal","page":"143-152","volume":"15","archive":"JSTOR","abstract":"[Organizational capabilities, appropriately defined, can meet the conditions, articulated by the resource-based view of the firm, for being a source of sustainable competitive advantage. However, this paper observes that there are limits to the extent of the importance of such capabilities. They are vulnerable to threats of erosion, substitution, and above all to being superseded by a higher-order capability of the `learning to learn' variety. This suggests that there can be an infinite regress in the explanation for, and prediction of, sustainable competitive advantage. The problem is resolved by arguing that the value of organizational capabilities is context dependent, and by recognizing that the strategy field will never find the ultimate source of sustainable competitive advantage.]","ISSN":"01432095, 10970266","author":[{"family":"Collis","given":"David J."}],"issued":{"date-parts":[["1994"]]}}},{"id":1375,"uris":["http://zotero.org/users/3209486/items/EK26DTSA"],"uri":["http://zotero.org/users/3209486/items/EK26DTSA"],"itemData":{"id":1375,"type":"article-journal","title":"Interorganizational Routines and Performance in Strategic Alliances","container-title":"Organization Science","page":"701-713","volume":"13","issue":"6","abstract":"This paper applies evolutionary economics reasoning to the strategic alliance context and examines whether and how routinization processes at the partnering-firm level influence the performance of the cooperative agreement. In doing so, it introduces the concept of interorganizational routines, defined as stable patterns of interaction among two firms developed and refined in the course of repeated collaborations, and suggests that partner-specific, technology-specific, and general experience accumulation at the partnering-firm level influence the extent to which alliances result in knowledge accumulation, create new growth opportunities, and enable partnering firms to achieve their strategic objectives. We also consider how governance design choices at the transaction level shape the effectiveness of interorganizational routizination processes. Based on a sample of 145 biotechnology alliances, we find that only partner-specific experience has a positive impact on alliance performance, and that this effect is stronger in the absence of equity-based governance mechanisms. We interpret these results to support the role of interfirm coordination and cooperation routines in enhancing the effectiveness of collaborative agreements.","DOI":"10.1287/orsc.13.6.701.503","ISSN":"1047-7039","journalAbbreviation":"Organization Science","author":[{"family":"Zollo","given":"Maurizio"},{"family":"Reuer","given":"Jeffrey J."},{"family":"Singh","given":"Harbir"}],"issued":{"date-parts":[["2002",12,1]]}}},{"id":690,"uris":["http://zotero.org/users/3209486/items/Z8P9V43E"],"uri":["http://zotero.org/users/3209486/items/Z8P9V43E"],"itemData":{"id":690,"type":"article-journal","title":"Deliberate Learning and the Evolution of Dynamic Capabilities.","container-title":"Organization Science","page":"339-351","volume":"13","issue":"3","source":"EBSCOhost","archive":"buh","abstract":"This paper investigates the mechanisms through which organizations develop dynamic capabilities, defined as routinized activities directed to the development and adaptation of operating routines. It addresses the role of (1) experience accumulation, (2) knowledge articulation, and (3) knowledge codification processes in the evolution of dynamic, as well as operational, routines. The argument is made that dynamic capabilities are shaped by the coevolution of these learning mechanisms. At any point in time, firms adopt a mix of learning behaviors constituted by a semiautomatic accumulation of experience and by deliberate investments in knowledge articulation and codification activities. The relative effectiveness of these capability-building mechanisms is analyzed here as contingent upon selected features of the task to be learned, such as its frequency, homogeneity, and degree of causal ambiguity. Testable hypotheses about these effects are derived. Somewhat counterintuitive implications of the analysis include the relatively superior effectiveness of highly deliberate learning processes such as knowledge codification at lower levels of frequency and homogeneity of the organizational task, in contrast with common managerial practice. [ABSTRACT FROM AUTHOR]","ISSN":"10477039","journalAbbreviation":"Organization Science","author":[{"family":"Zollo","given":"Maurizio"},{"family":"Winter","given":"Sidney G."}],"issued":{"date-parts":[["2002",6,5]]}}}],"schema":"https://github.com/citation-style-language/schema/raw/master/csl-citation.json"} </w:instrText>
      </w:r>
      <w:r w:rsidR="00C61D8C"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(Collis, 1994; Zollo et al., 2002; Zollo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Winter, 2002)</w:t>
      </w:r>
      <w:r w:rsidR="00C61D8C"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t>
      </w:r>
      <w:r w:rsidR="006C53FE" w:rsidRPr="008C04EC">
        <w:rPr>
          <w:rFonts w:ascii="Times New Roman" w:hAnsi="Times New Roman" w:cs="Times New Roman"/>
          <w:color w:val="000000" w:themeColor="text1"/>
          <w:sz w:val="24"/>
          <w:szCs w:val="24"/>
          <w:lang w:val="en-GB"/>
        </w:rPr>
        <w:t xml:space="preserve">Integrating with suppliers and co-developing an orientation </w:t>
      </w:r>
      <w:r w:rsidR="00C37F90">
        <w:rPr>
          <w:rFonts w:ascii="Times New Roman" w:hAnsi="Times New Roman" w:cs="Times New Roman"/>
          <w:color w:val="000000" w:themeColor="text1"/>
          <w:sz w:val="24"/>
          <w:szCs w:val="24"/>
          <w:lang w:val="en-GB"/>
        </w:rPr>
        <w:t>towards</w:t>
      </w:r>
      <w:r w:rsidR="006C53FE" w:rsidRPr="008C04EC">
        <w:rPr>
          <w:rFonts w:ascii="Times New Roman" w:hAnsi="Times New Roman" w:cs="Times New Roman"/>
          <w:color w:val="000000" w:themeColor="text1"/>
          <w:sz w:val="24"/>
          <w:szCs w:val="24"/>
          <w:lang w:val="en-GB"/>
        </w:rPr>
        <w:t xml:space="preserve"> continuous learning sets the foundation for dynamic, supply chain-level capabilities.</w:t>
      </w:r>
      <w:r w:rsidR="00C37F90">
        <w:rPr>
          <w:rFonts w:ascii="Times New Roman" w:hAnsi="Times New Roman" w:cs="Times New Roman"/>
          <w:color w:val="000000" w:themeColor="text1"/>
          <w:sz w:val="24"/>
          <w:szCs w:val="24"/>
          <w:lang w:val="en-GB"/>
        </w:rPr>
        <w:t xml:space="preserve"> DSCCs give supply chain partners </w:t>
      </w:r>
      <w:r w:rsidR="006C53FE" w:rsidRPr="008C04EC">
        <w:rPr>
          <w:rFonts w:ascii="Times New Roman" w:hAnsi="Times New Roman" w:cs="Times New Roman"/>
          <w:color w:val="000000" w:themeColor="text1"/>
          <w:sz w:val="24"/>
          <w:szCs w:val="24"/>
          <w:lang w:val="en-GB"/>
        </w:rPr>
        <w:t>greater capacity and scope to sense new market opportunities</w:t>
      </w:r>
      <w:r w:rsidR="00E05A99"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(market sensing</w:t>
      </w:r>
      <w:r w:rsidR="006C53FE" w:rsidRPr="008C04EC">
        <w:rPr>
          <w:rFonts w:ascii="Times New Roman" w:hAnsi="Times New Roman" w:cs="Times New Roman"/>
          <w:color w:val="000000" w:themeColor="text1"/>
          <w:sz w:val="24"/>
          <w:szCs w:val="24"/>
          <w:lang w:val="en-GB"/>
        </w:rPr>
        <w:t>)</w:t>
      </w:r>
      <w:r w:rsidR="00E05A99" w:rsidRPr="008C04EC">
        <w:rPr>
          <w:rFonts w:ascii="Times New Roman" w:hAnsi="Times New Roman" w:cs="Times New Roman"/>
          <w:color w:val="000000" w:themeColor="text1"/>
          <w:sz w:val="24"/>
          <w:szCs w:val="24"/>
          <w:lang w:val="en-GB"/>
        </w:rPr>
        <w:t xml:space="preserve">, </w:t>
      </w:r>
      <w:r w:rsidR="006C53FE" w:rsidRPr="008C04EC">
        <w:rPr>
          <w:rFonts w:ascii="Times New Roman" w:hAnsi="Times New Roman" w:cs="Times New Roman"/>
          <w:color w:val="000000" w:themeColor="text1"/>
          <w:sz w:val="24"/>
          <w:szCs w:val="24"/>
          <w:lang w:val="en-GB"/>
        </w:rPr>
        <w:t>to</w:t>
      </w:r>
      <w:r w:rsidRPr="008C04EC">
        <w:rPr>
          <w:rFonts w:ascii="Times New Roman" w:hAnsi="Times New Roman" w:cs="Times New Roman"/>
          <w:color w:val="000000" w:themeColor="text1"/>
          <w:sz w:val="24"/>
          <w:szCs w:val="24"/>
          <w:lang w:val="en-GB"/>
        </w:rPr>
        <w:t xml:space="preserve"> seiz</w:t>
      </w:r>
      <w:r w:rsidR="006C53FE" w:rsidRPr="008C04EC">
        <w:rPr>
          <w:rFonts w:ascii="Times New Roman" w:hAnsi="Times New Roman" w:cs="Times New Roman"/>
          <w:color w:val="000000" w:themeColor="text1"/>
          <w:sz w:val="24"/>
          <w:szCs w:val="24"/>
          <w:lang w:val="en-GB"/>
        </w:rPr>
        <w:t>e on</w:t>
      </w:r>
      <w:r w:rsidR="00E05A99"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new opportunities </w:t>
      </w:r>
      <w:r w:rsidR="006C53FE" w:rsidRPr="008C04EC">
        <w:rPr>
          <w:rFonts w:ascii="Times New Roman" w:hAnsi="Times New Roman" w:cs="Times New Roman"/>
          <w:color w:val="000000" w:themeColor="text1"/>
          <w:sz w:val="24"/>
          <w:szCs w:val="24"/>
          <w:lang w:val="en-GB"/>
        </w:rPr>
        <w:t xml:space="preserve">as they arise </w:t>
      </w:r>
      <w:r w:rsidRPr="008C04EC">
        <w:rPr>
          <w:rFonts w:ascii="Times New Roman" w:hAnsi="Times New Roman" w:cs="Times New Roman"/>
          <w:color w:val="000000" w:themeColor="text1"/>
          <w:sz w:val="24"/>
          <w:szCs w:val="24"/>
          <w:lang w:val="en-GB"/>
        </w:rPr>
        <w:t xml:space="preserve">(supply chain agility), </w:t>
      </w:r>
      <w:r w:rsidR="006C53FE" w:rsidRPr="008C04EC">
        <w:rPr>
          <w:rFonts w:ascii="Times New Roman" w:hAnsi="Times New Roman" w:cs="Times New Roman"/>
          <w:color w:val="000000" w:themeColor="text1"/>
          <w:sz w:val="24"/>
          <w:szCs w:val="24"/>
          <w:lang w:val="en-GB"/>
        </w:rPr>
        <w:t>and to collaborate to</w:t>
      </w:r>
      <w:r w:rsidR="00E05A99" w:rsidRPr="008C04EC">
        <w:rPr>
          <w:rFonts w:ascii="Times New Roman" w:hAnsi="Times New Roman" w:cs="Times New Roman"/>
          <w:color w:val="000000" w:themeColor="text1"/>
          <w:sz w:val="24"/>
          <w:szCs w:val="24"/>
          <w:lang w:val="en-GB"/>
        </w:rPr>
        <w:t xml:space="preserve"> </w:t>
      </w:r>
      <w:r w:rsidR="006C53FE" w:rsidRPr="008C04EC">
        <w:rPr>
          <w:rFonts w:ascii="Times New Roman" w:hAnsi="Times New Roman" w:cs="Times New Roman"/>
          <w:color w:val="000000" w:themeColor="text1"/>
          <w:sz w:val="24"/>
          <w:szCs w:val="24"/>
          <w:lang w:val="en-GB"/>
        </w:rPr>
        <w:t>transform supply chain design and infrastructure</w:t>
      </w:r>
      <w:r w:rsidRPr="008C04EC">
        <w:rPr>
          <w:rFonts w:ascii="Times New Roman" w:hAnsi="Times New Roman" w:cs="Times New Roman"/>
          <w:color w:val="000000" w:themeColor="text1"/>
          <w:sz w:val="24"/>
          <w:szCs w:val="24"/>
          <w:lang w:val="en-GB"/>
        </w:rPr>
        <w:t xml:space="preserve"> in response</w:t>
      </w:r>
      <w:r w:rsidR="00E05A99" w:rsidRPr="008C04EC">
        <w:rPr>
          <w:rFonts w:ascii="Times New Roman" w:hAnsi="Times New Roman" w:cs="Times New Roman"/>
          <w:color w:val="000000" w:themeColor="text1"/>
          <w:sz w:val="24"/>
          <w:szCs w:val="24"/>
          <w:lang w:val="en-GB"/>
        </w:rPr>
        <w:t xml:space="preserve"> to marketplace shifts</w:t>
      </w:r>
      <w:r w:rsidRPr="008C04EC">
        <w:rPr>
          <w:rFonts w:ascii="Times New Roman" w:hAnsi="Times New Roman" w:cs="Times New Roman"/>
          <w:color w:val="000000" w:themeColor="text1"/>
          <w:sz w:val="24"/>
          <w:szCs w:val="24"/>
          <w:lang w:val="en-GB"/>
        </w:rPr>
        <w:t xml:space="preserve"> (supply chain adaptability). Drawing together this line of reasoning, we </w:t>
      </w:r>
      <w:r w:rsidR="00C61D8C" w:rsidRPr="008C04EC">
        <w:rPr>
          <w:rFonts w:ascii="Times New Roman" w:hAnsi="Times New Roman" w:cs="Times New Roman"/>
          <w:color w:val="000000" w:themeColor="text1"/>
          <w:sz w:val="24"/>
          <w:szCs w:val="24"/>
          <w:lang w:val="en-GB"/>
        </w:rPr>
        <w:t>hypothesize</w:t>
      </w:r>
      <w:r w:rsidRPr="008C04EC">
        <w:rPr>
          <w:rFonts w:ascii="Times New Roman" w:hAnsi="Times New Roman" w:cs="Times New Roman"/>
          <w:color w:val="000000" w:themeColor="text1"/>
          <w:sz w:val="24"/>
          <w:szCs w:val="24"/>
          <w:lang w:val="en-GB"/>
        </w:rPr>
        <w:t xml:space="preserve"> that an entrepreneurial orientation will positively affect the </w:t>
      </w:r>
      <w:r w:rsidR="00C61D8C" w:rsidRPr="008C04EC">
        <w:rPr>
          <w:rFonts w:ascii="Times New Roman" w:hAnsi="Times New Roman" w:cs="Times New Roman"/>
          <w:color w:val="000000" w:themeColor="text1"/>
          <w:sz w:val="24"/>
          <w:szCs w:val="24"/>
          <w:lang w:val="en-GB"/>
        </w:rPr>
        <w:t>emergence</w:t>
      </w:r>
      <w:r w:rsidRPr="008C04EC">
        <w:rPr>
          <w:rFonts w:ascii="Times New Roman" w:hAnsi="Times New Roman" w:cs="Times New Roman"/>
          <w:color w:val="000000" w:themeColor="text1"/>
          <w:sz w:val="24"/>
          <w:szCs w:val="24"/>
          <w:lang w:val="en-GB"/>
        </w:rPr>
        <w:t xml:space="preserve"> of dyna</w:t>
      </w:r>
      <w:r w:rsidR="00C37F90">
        <w:rPr>
          <w:rFonts w:ascii="Times New Roman" w:hAnsi="Times New Roman" w:cs="Times New Roman"/>
          <w:color w:val="000000" w:themeColor="text1"/>
          <w:sz w:val="24"/>
          <w:szCs w:val="24"/>
          <w:lang w:val="en-GB"/>
        </w:rPr>
        <w:t>mic supply chain capabilities:</w:t>
      </w:r>
    </w:p>
    <w:p w14:paraId="04D1C6C9" w14:textId="0A3AD686" w:rsidR="00C61D8C" w:rsidRPr="008C04EC" w:rsidRDefault="00C61D8C" w:rsidP="00FE7F1C">
      <w:pPr>
        <w:autoSpaceDE w:val="0"/>
        <w:autoSpaceDN w:val="0"/>
        <w:adjustRightInd w:val="0"/>
        <w:spacing w:after="0" w:line="240" w:lineRule="auto"/>
        <w:ind w:left="567"/>
        <w:contextualSpacing/>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H1: </w:t>
      </w:r>
      <w:r w:rsidRPr="008C04EC">
        <w:rPr>
          <w:rFonts w:ascii="Times New Roman" w:hAnsi="Times New Roman" w:cs="Times New Roman"/>
          <w:i/>
          <w:color w:val="000000" w:themeColor="text1"/>
          <w:sz w:val="24"/>
          <w:szCs w:val="24"/>
          <w:lang w:val="en-GB"/>
        </w:rPr>
        <w:t xml:space="preserve">An entrepreneurial orientation </w:t>
      </w:r>
      <w:r w:rsidR="002F5508">
        <w:rPr>
          <w:rFonts w:ascii="Times New Roman" w:hAnsi="Times New Roman" w:cs="Times New Roman"/>
          <w:i/>
          <w:color w:val="000000" w:themeColor="text1"/>
          <w:sz w:val="24"/>
          <w:szCs w:val="24"/>
          <w:lang w:val="en-GB"/>
        </w:rPr>
        <w:t>will have a positive and direct influence on</w:t>
      </w:r>
      <w:r w:rsidRPr="008C04EC">
        <w:rPr>
          <w:rFonts w:ascii="Times New Roman" w:hAnsi="Times New Roman" w:cs="Times New Roman"/>
          <w:i/>
          <w:color w:val="000000" w:themeColor="text1"/>
          <w:sz w:val="24"/>
          <w:szCs w:val="24"/>
          <w:lang w:val="en-GB"/>
        </w:rPr>
        <w:t xml:space="preserve"> the emergence of dynamic supply chain capabilities</w:t>
      </w:r>
      <w:r w:rsidR="00D4006E">
        <w:rPr>
          <w:rFonts w:ascii="Times New Roman" w:hAnsi="Times New Roman" w:cs="Times New Roman"/>
          <w:i/>
          <w:color w:val="000000" w:themeColor="text1"/>
          <w:sz w:val="24"/>
          <w:szCs w:val="24"/>
          <w:lang w:val="en-GB"/>
        </w:rPr>
        <w:t>.</w:t>
      </w:r>
    </w:p>
    <w:p w14:paraId="790C20EC" w14:textId="28702D8D" w:rsidR="006C53FE" w:rsidRPr="008C04EC" w:rsidRDefault="006C53FE" w:rsidP="00F16B45">
      <w:pPr>
        <w:autoSpaceDE w:val="0"/>
        <w:autoSpaceDN w:val="0"/>
        <w:adjustRightInd w:val="0"/>
        <w:spacing w:after="0" w:line="480" w:lineRule="auto"/>
        <w:contextualSpacing/>
        <w:jc w:val="both"/>
        <w:rPr>
          <w:rFonts w:ascii="Times-Italic" w:eastAsiaTheme="minorHAnsi" w:hAnsi="Times-Italic" w:cs="Times-Italic"/>
          <w:i/>
          <w:iCs/>
          <w:color w:val="000000" w:themeColor="text1"/>
          <w:sz w:val="24"/>
          <w:szCs w:val="18"/>
          <w:lang w:val="en-GB"/>
        </w:rPr>
      </w:pPr>
    </w:p>
    <w:p w14:paraId="38072AF0" w14:textId="33C1242E" w:rsidR="00807243" w:rsidRPr="008C04EC" w:rsidRDefault="00807243" w:rsidP="00F16B45">
      <w:pPr>
        <w:autoSpaceDE w:val="0"/>
        <w:autoSpaceDN w:val="0"/>
        <w:adjustRightInd w:val="0"/>
        <w:spacing w:after="0" w:line="480" w:lineRule="auto"/>
        <w:contextualSpacing/>
        <w:jc w:val="both"/>
        <w:rPr>
          <w:rFonts w:ascii="Times-Italic" w:eastAsiaTheme="minorHAnsi" w:hAnsi="Times-Italic" w:cs="Times-Italic"/>
          <w:b/>
          <w:i/>
          <w:iCs/>
          <w:color w:val="000000" w:themeColor="text1"/>
          <w:sz w:val="24"/>
          <w:szCs w:val="18"/>
          <w:lang w:val="en-GB"/>
        </w:rPr>
      </w:pPr>
      <w:r w:rsidRPr="008C04EC">
        <w:rPr>
          <w:rFonts w:ascii="Times-Italic" w:eastAsiaTheme="minorHAnsi" w:hAnsi="Times-Italic" w:cs="Times-Italic"/>
          <w:b/>
          <w:i/>
          <w:iCs/>
          <w:color w:val="000000" w:themeColor="text1"/>
          <w:sz w:val="24"/>
          <w:szCs w:val="18"/>
          <w:lang w:val="en-GB"/>
        </w:rPr>
        <w:t>2.</w:t>
      </w:r>
      <w:r w:rsidR="000A5D29" w:rsidRPr="008C04EC">
        <w:rPr>
          <w:rFonts w:ascii="Times-Italic" w:eastAsiaTheme="minorHAnsi" w:hAnsi="Times-Italic" w:cs="Times-Italic"/>
          <w:b/>
          <w:i/>
          <w:iCs/>
          <w:color w:val="000000" w:themeColor="text1"/>
          <w:sz w:val="24"/>
          <w:szCs w:val="18"/>
          <w:lang w:val="en-GB"/>
        </w:rPr>
        <w:t>4</w:t>
      </w:r>
      <w:r w:rsidRPr="008C04EC">
        <w:rPr>
          <w:rFonts w:ascii="Times-Italic" w:eastAsiaTheme="minorHAnsi" w:hAnsi="Times-Italic" w:cs="Times-Italic"/>
          <w:b/>
          <w:i/>
          <w:iCs/>
          <w:color w:val="000000" w:themeColor="text1"/>
          <w:sz w:val="24"/>
          <w:szCs w:val="18"/>
          <w:lang w:val="en-GB"/>
        </w:rPr>
        <w:t xml:space="preserve"> Supply Chain Learning </w:t>
      </w:r>
      <w:r w:rsidR="00FE7F1C">
        <w:rPr>
          <w:rFonts w:ascii="Times-Italic" w:eastAsiaTheme="minorHAnsi" w:hAnsi="Times-Italic" w:cs="Times-Italic"/>
          <w:b/>
          <w:i/>
          <w:iCs/>
          <w:color w:val="000000" w:themeColor="text1"/>
          <w:sz w:val="24"/>
          <w:szCs w:val="18"/>
          <w:lang w:val="en-GB"/>
        </w:rPr>
        <w:t xml:space="preserve">Orientation </w:t>
      </w:r>
      <w:r w:rsidRPr="008C04EC">
        <w:rPr>
          <w:rFonts w:ascii="Times-Italic" w:eastAsiaTheme="minorHAnsi" w:hAnsi="Times-Italic" w:cs="Times-Italic"/>
          <w:b/>
          <w:i/>
          <w:iCs/>
          <w:color w:val="000000" w:themeColor="text1"/>
          <w:sz w:val="24"/>
          <w:szCs w:val="18"/>
          <w:lang w:val="en-GB"/>
        </w:rPr>
        <w:t>and Dynamic Supply Chain Capabilities</w:t>
      </w:r>
    </w:p>
    <w:p w14:paraId="06070518" w14:textId="24950EF2" w:rsidR="00E05A99" w:rsidRPr="008C04EC" w:rsidRDefault="00D97CCB" w:rsidP="00E05A99">
      <w:pPr>
        <w:spacing w:after="0" w:line="48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L</w:t>
      </w:r>
      <w:r w:rsidR="00427CE3" w:rsidRPr="008C04EC">
        <w:rPr>
          <w:rFonts w:ascii="Times New Roman" w:hAnsi="Times New Roman" w:cs="Times New Roman"/>
          <w:color w:val="000000" w:themeColor="text1"/>
          <w:sz w:val="24"/>
          <w:szCs w:val="24"/>
          <w:lang w:val="en-GB"/>
        </w:rPr>
        <w:t xml:space="preserve">earning is </w:t>
      </w:r>
      <w:r w:rsidR="00E05A99" w:rsidRPr="008C04EC">
        <w:rPr>
          <w:rFonts w:ascii="Times New Roman" w:hAnsi="Times New Roman" w:cs="Times New Roman"/>
          <w:color w:val="000000" w:themeColor="text1"/>
          <w:sz w:val="24"/>
          <w:szCs w:val="24"/>
          <w:lang w:val="en-GB"/>
        </w:rPr>
        <w:t xml:space="preserve">a </w:t>
      </w:r>
      <w:r w:rsidR="00427CE3" w:rsidRPr="008C04EC">
        <w:rPr>
          <w:rFonts w:ascii="Times New Roman" w:hAnsi="Times New Roman" w:cs="Times New Roman"/>
          <w:color w:val="000000" w:themeColor="text1"/>
          <w:sz w:val="24"/>
          <w:szCs w:val="24"/>
          <w:lang w:val="en-GB"/>
        </w:rPr>
        <w:t xml:space="preserve">strategic orientation </w:t>
      </w:r>
      <w:r w:rsidR="00E05A99" w:rsidRPr="008C04EC">
        <w:rPr>
          <w:rFonts w:ascii="Times New Roman" w:hAnsi="Times New Roman" w:cs="Times New Roman"/>
          <w:color w:val="000000" w:themeColor="text1"/>
          <w:sz w:val="24"/>
          <w:szCs w:val="24"/>
          <w:lang w:val="en-GB"/>
        </w:rPr>
        <w:t xml:space="preserve">that refers to the organization-wide activity of creating and using knowledge to enhance competitive advantage </w:t>
      </w:r>
      <w:r w:rsidR="00E05A99" w:rsidRPr="008C04EC">
        <w:rPr>
          <w:rFonts w:ascii="Times New Roman" w:hAnsi="Times New Roman" w:cs="Times New Roman"/>
          <w:color w:val="000000" w:themeColor="text1"/>
          <w:sz w:val="24"/>
          <w:szCs w:val="24"/>
          <w:lang w:val="en-GB"/>
        </w:rPr>
        <w:fldChar w:fldCharType="begin"/>
      </w:r>
      <w:r w:rsidR="005C1399" w:rsidRPr="008C04EC">
        <w:rPr>
          <w:rFonts w:ascii="Times New Roman" w:hAnsi="Times New Roman" w:cs="Times New Roman"/>
          <w:color w:val="000000" w:themeColor="text1"/>
          <w:sz w:val="24"/>
          <w:szCs w:val="24"/>
          <w:lang w:val="en-GB"/>
        </w:rPr>
        <w:instrText xml:space="preserve"> ADDIN ZOTERO_ITEM CSL_CITATION {"citationID":"xTROh2V6","properties":{"formattedCitation":"(Calantone et al., 2002; Hakala, 2011)","plainCitation":"(Calantone et al., 2002; Hakala, 2011)","noteIndex":0},"citationItems":[{"id":4287,"uris":["http://zotero.org/users/3209486/items/D4CCQS5J"],"uri":["http://zotero.org/users/3209486/items/D4CCQS5J"],"itemData":{"id":4287,"type":"article-journal","title":"Learning orientation, firm innovation capability, and firm performance","container-title":"Industrial Marketing Management","page":"515 - 524","volume":"31","issue":"6","abstract":"Contemporary organizations require a strong learning orientation to gain competitive advantage. Based on in-depth interviews with senior executives and a review of the literature, the present investigation delineates four components of learning orientation: commitment to learning, shared vision, open-mindedness, and intraorganizational knowledge sharing. A framework is tested using data from a broad spectrum of US industries. Learning orientation is conceptualized as a second-order construct. Its effect on firm innovativeness, which in turn affects firm performance, is examined. The results generally support theoretical predictions, and some interesting findings emerge.","DOI":"https://doi.org/10.1016/S0019-8501(01)00203-6","ISSN":"0019-8501","author":[{"family":"Calantone","given":"Roger J."},{"family":"Cavusgil","given":"S. Tamer"},{"family":"Zhao","given":"Yushan"}],"issued":{"date-parts":[["2002"]]}}},{"id":4285,"uris":["http://zotero.org/users/3209486/items/R64G6KQ4"],"uri":["http://zotero.org/users/3209486/items/R64G6KQ4"],"itemData":{"id":4285,"type":"article-journal","title":"Strategic Orientations in Management Literature: Three Approaches to Understanding the Interaction between Market, Technology, Entrepreneurial and Learning Orientations","container-title":"International Journal of Management Reviews","page":"199-217","volume":"13","issue":"2","abstract":"Market, technology, entrepreneurial and learning orientations have attracted major scholarly interest within their specific streams of literature for some decades. These strategic orientations are seen as principles that direct and influence the activities of a firm and generate the behaviours intended to ensure its viability and performance. Prior studies have argued that firms should develop and use multiple orientations, yet the relationship between different orientations has received only fragmented attention. This paper presents a systematic review of this literature, covering 67 scholarly articles published between 1987 and 2010 which investigate multiple orientations. The paper contributes first by summarizing the current state of knowledge on the interplay between these orientations. Many of these relationships have not been studied to any great degree, and there are research gaps in the information available on the relationships between entrepreneurial, technology and learning orientation in particular. Secondly, the paper contributes to further theoretical and empirical enquiry by synthesizing the empirical findings into a three-approach framework. The sequential, alternatives and complementary approaches to perceiving the relationship between orientations all suggest areas for further research. The sequential approach could further contribute by developing better constructs for explaining the orientation of the firm; while the alternatives approach could increase its relevance to management through the exploration of contingency settings and comparative studies. The complementary approach encourages discussion between researchers from the different streams of literature through the investigation of the relationships. It suggests focus on the investigation of both universal- and contingency-dependent-orientation configurations.","DOI":"10.1111/j.1468-2370.2010.00292.x","ISSN":"1460-8545","journalAbbreviation":"International Journal of Management Reviews","author":[{"family":"Hakala","given":"Henri"}],"issued":{"date-parts":[["2011",6,1]]}}}],"schema":"https://github.com/citation-style-language/schema/raw/master/csl-citation.json"}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(Calantone et al., 2002; Hakala, 2011)</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A learning orientation is evidenced when managers obtain and share information about customer </w:t>
      </w:r>
      <w:r w:rsidR="00E05A99" w:rsidRPr="008C04EC">
        <w:rPr>
          <w:rFonts w:ascii="Times New Roman" w:hAnsi="Times New Roman" w:cs="Times New Roman"/>
          <w:color w:val="000000" w:themeColor="text1"/>
          <w:sz w:val="24"/>
          <w:szCs w:val="24"/>
          <w:lang w:val="en-GB"/>
        </w:rPr>
        <w:lastRenderedPageBreak/>
        <w:t>needs and market changes as well as developing n</w:t>
      </w:r>
      <w:r w:rsidRPr="008C04EC">
        <w:rPr>
          <w:rFonts w:ascii="Times New Roman" w:hAnsi="Times New Roman" w:cs="Times New Roman"/>
          <w:color w:val="000000" w:themeColor="text1"/>
          <w:sz w:val="24"/>
          <w:szCs w:val="24"/>
          <w:lang w:val="en-GB"/>
        </w:rPr>
        <w:t xml:space="preserve">ovel </w:t>
      </w:r>
      <w:r w:rsidR="00E05A99" w:rsidRPr="008C04EC">
        <w:rPr>
          <w:rFonts w:ascii="Times New Roman" w:hAnsi="Times New Roman" w:cs="Times New Roman"/>
          <w:color w:val="000000" w:themeColor="text1"/>
          <w:sz w:val="24"/>
          <w:szCs w:val="24"/>
          <w:lang w:val="en-GB"/>
        </w:rPr>
        <w:t xml:space="preserve">technologies to create new products that are superior to the competition </w:t>
      </w:r>
      <w:r w:rsidR="00E05A99"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{"citationID":"XgiQwL2C","properties":{"formattedCitation":"(Baker and Sinkula, 1999; Hurley and Hult, 1998)","plainCitation":"(Baker and Sinkula, 1999; Hurley and Hult, 1998)","dontUpdate":true,"noteIndex":0},"citationItems":[{"id":4302,"uris":["http://zotero.org/users/3209486/items/2U7LID7U"],"uri":["http://zotero.org/users/3209486/items/2U7LID7U"],"itemData":{"id":4302,"type":"article-journal","title":"The synergistic effect of market orientation and learning orientation on organizational performance","container-title":"Journal of the Academy of Marketing Science","page":"411-427","volume":"27","issue":"4","archive":"PsycINFO","archive_location":"619425704; 1999-11859-002","abstract":"This article examines the distinction between market orientation and learning orientation and introduces a conceptual framework regarding their interplay with company performance. A series of hypotheses pertaining to this interplay was proposed and empirically tested. 411 questionnaires returned from a nationwide direct mail survey of sales firms were used to analyze the effect of market orientation and learning orientation on overall organizational performance, change in relative market share, and new product success. All main effects were significant and positive. The results provide empirical validation of S.F Slater and J. C. Narver's (1995) claim that as important as market orientation is, it must be complemented by an appropriate climate for learning. (PsycINFO Database Record (c) 2016 APA, all rights reserved)","DOI":"10.1177/0092070399274002","ISSN":"0092-0703, 0092-0703","language":"English","author":[{"family":"Baker","given":"William E."},{"family":"Sinkula","given":"James M."}],"issued":{"date-parts":[["1999"]]}}},{"id":4301,"uris":["http://zotero.org/users/3209486/items/W7X9JNCY"],"uri":["http://zotero.org/users/3209486/items/W7X9JNCY"],"itemData":{"id":4301,"type":"article-journal","title":"Innovation, Market Orientation, and Organizational Learning: An Integration and Empirical Examination","container-title":"Journal of Marketing","page":"42-54","volume":"62","issue":"3","archive":"JSTOR","abstract":"[Research on market orientation and organizational learning addresses how organizations adapt to their environments and develop competitive advantage. A significant void exists in current models of market orientation because none of the frameworks incorporates constructs related to innovation. The authors present a conceptual framework for incorporating constructs that pertain to innovation in market orientation research. Some of the critical relationships in this conceptual framework are tested among a sample of 9648 employees from 56 organizations in a large agency of the U. S. federal government. The results indicate that higher levels of innovativeness in the firms' culture are associated with a greater capacity for adaptation and innovation (number of innovations successfully implemented). In addition, higher levels of innovativeness are associated with cultures that emphasize learning, development, and participative decision making. The authors make recommendations for incorporating constructs related to innovation into research on market orientation and organizational learning.]","DOI":"10.2307/1251742","ISSN":"00222429","author":[{"family":"Hurley","given":"Robert F."},{"family":"Hult","given":"Tomas"}],"issued":{"date-parts":[["1998"]]}}}],"schema":"https://github.com/citation-style-language/schema/raw/master/csl-citation.json"}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(Baker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 xml:space="preserve">Sinkula, 1999; Hurley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Hult, 1998)</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A learning orientation supports the emergence of capabilities because it reflects an organization’s capacity to change its view of the world by unlearning obsolete perspectives, systems and procedures, and proactively replacing them wit</w:t>
      </w:r>
      <w:r w:rsidRPr="008C04EC">
        <w:rPr>
          <w:rFonts w:ascii="Times New Roman" w:hAnsi="Times New Roman" w:cs="Times New Roman"/>
          <w:color w:val="000000" w:themeColor="text1"/>
          <w:sz w:val="24"/>
          <w:szCs w:val="24"/>
          <w:lang w:val="en-GB"/>
        </w:rPr>
        <w:t>h approaches that are capable</w:t>
      </w:r>
      <w:r w:rsidR="00E05A99" w:rsidRPr="008C04EC">
        <w:rPr>
          <w:rFonts w:ascii="Times New Roman" w:hAnsi="Times New Roman" w:cs="Times New Roman"/>
          <w:color w:val="000000" w:themeColor="text1"/>
          <w:sz w:val="24"/>
          <w:szCs w:val="24"/>
          <w:lang w:val="en-GB"/>
        </w:rPr>
        <w:t xml:space="preserve"> of creating and maintaining competitive advantage </w:t>
      </w:r>
      <w:r w:rsidR="00E05A99"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{"citationID":"E3Fy39Uz","properties":{"formattedCitation":"(Baker and Sinkula, 1999; Day, 1994)","plainCitation":"(Baker and Sinkula, 1999; Day, 1994)","dontUpdate":true,"noteIndex":0},"citationItems":[{"id":4302,"uris":["http://zotero.org/users/3209486/items/2U7LID7U"],"uri":["http://zotero.org/users/3209486/items/2U7LID7U"],"itemData":{"id":4302,"type":"article-journal","title":"The synergistic effect of market orientation and learning orientation on organizational performance","container-title":"Journal of the Academy of Marketing Science","page":"411-427","volume":"27","issue":"4","archive":"PsycINFO","archive_location":"619425704; 1999-11859-002","abstract":"This article examines the distinction between market orientation and learning orientation and introduces a conceptual framework regarding their interplay with company performance. A series of hypotheses pertaining to this interplay was proposed and empirically tested. 411 questionnaires returned from a nationwide direct mail survey of sales firms were used to analyze the effect of market orientation and learning orientation on overall organizational performance, change in relative market share, and new product success. All main effects were significant and positive. The results provide empirical validation of S.F Slater and J. C. Narver's (1995) claim that as important as market orientation is, it must be complemented by an appropriate climate for learning. (PsycINFO Database Record (c) 2016 APA, all rights reserved)","DOI":"10.1177/0092070399274002","ISSN":"0092-0703, 0092-0703","language":"English","author":[{"family":"Baker","given":"William E."},{"family":"Sinkula","given":"James M."}],"issued":{"date-parts":[["1999"]]}}},{"id":959,"uris":["http://zotero.org/users/3209486/items/TAXBRSBD"],"uri":["http://zotero.org/users/3209486/items/TAXBRSBD"],"itemData":{"id":959,"type":"article-journal","title":"The Capabilities of Market-Driven Organizations","container-title":"Journal of Marketing","page":"37-52","volume":"58","issue":"4","abstract":"Considerable progress has been made in identifying market-driven businesses, understanding what they do, and measuring the bottom-line consequences of their orientation to their markets. The next challenge is to understand how this organizational orientation can be achieved and sustained. The emerging capabilities approach to strategic management, when coupled with total quality management, offers a rich array of ways to design change programs that will enhance a market orientation. The most distinctive features of market-driven organizations are their mastery of the market sensing and customer linking capabilities. A comprehensive change program aimed at enhancing these capabilities includes: (1) the diagnosis of current capabilities, (2) anticipation of future needs for capabilities, (3) bottom-up redesign of underlying processes, (4) top-down direction and commitment, (5) creative use of information technology, and (6) continuous monitoring of progress.","DOI":"10.2307/1251915","ISSN":"00222429","author":[{"family":"Day","given":"George S."}],"issued":{"date-parts":[["1994"]]}}}],"schema":"https://github.com/citation-style-language/schema/raw/master/csl-citation.json"}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(Baker </w:t>
      </w:r>
      <w:r w:rsidR="00F646FA">
        <w:rPr>
          <w:rFonts w:ascii="Times New Roman" w:hAnsi="Times New Roman" w:cs="Times New Roman"/>
          <w:color w:val="000000" w:themeColor="text1"/>
          <w:sz w:val="24"/>
        </w:rPr>
        <w:t>&amp;</w:t>
      </w:r>
      <w:r w:rsidR="00F646FA"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Sinkula, 1999; Day, 1994)</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w:t>
      </w:r>
      <w:r w:rsidR="00807243" w:rsidRPr="008C04EC">
        <w:rPr>
          <w:rFonts w:ascii="Times New Roman" w:hAnsi="Times New Roman" w:cs="Times New Roman"/>
          <w:color w:val="000000" w:themeColor="text1"/>
          <w:sz w:val="24"/>
          <w:szCs w:val="24"/>
          <w:lang w:val="en-GB"/>
        </w:rPr>
        <w:t xml:space="preserve">Learning is therefore a fundamental part of the capability development process; a process that operates at various levels of the firm, passing from individuals, to functions, to encompass the entirety of the supply chain </w:t>
      </w:r>
      <w:r w:rsidR="00807243"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&lt;EndNote&gt;&lt;Cite&gt;&lt;Author&gt;Gupta&lt;/Author&gt;&lt;Year&gt;2014&lt;/Year&gt;&lt;RecNum&gt;1060&lt;/RecNum&gt;&lt;DisplayText&gt;(Gupta, Dutta, &amp;amp; Chen, 2014)&lt;/DisplayText&gt;&lt;record&gt;&lt;rec-number&gt;1060&lt;/rec-number&gt;&lt;foreign-keys&gt;&lt;key app="EN" db-id="seavxzzzfrf2p7eddfnxx5ep2ar05z0ddwx9"&gt;1060&lt;/key&gt;&lt;/foreign-keys&gt;&lt;ref-type name="Journal Article"&gt;17&lt;/ref-type&gt;&lt;contributors&gt;&lt;authors&gt;&lt;author&gt;Gupta, Vishal K&lt;/author&gt;&lt;author&gt;Dutta, Dev K&lt;/author&gt;&lt;author&gt;Chen, Xiujian&lt;/author&gt;&lt;/authors&gt;&lt;/contributors&gt;&lt;titles&gt;&lt;title&gt;Entrepreneurial orientation capability and firm performance under conditions of organizational learning&lt;/title&gt;&lt;secondary-title&gt;Journal of Managerial Issues&lt;/secondary-title&gt;&lt;/titles&gt;&lt;periodical&gt;&lt;full-title&gt;Journal of Managerial Issues&lt;/full-title&gt;&lt;/periodical&gt;&lt;pages&gt;157&lt;/pages&gt;&lt;volume&gt;26&lt;/volume&gt;&lt;number&gt;2&lt;/number&gt;&lt;dates&gt;&lt;year&gt;2014&lt;/year&gt;&lt;/dates&gt;&lt;publisher&gt;Pittsburg State University, Department of Economics&lt;/publisher&gt;&lt;isbn&gt;1045-3695&lt;/isbn&gt;&lt;urls&gt;&lt;/urls&gt;&lt;/record&gt;&lt;/Cite&gt;&lt;/EndNote&gt;</w:instrText>
      </w:r>
      <w:r w:rsidR="00807243"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37" w:tooltip="Gupta, 2014 #1060" w:history="1">
        <w:r w:rsidR="00641B32" w:rsidRPr="008C04EC">
          <w:rPr>
            <w:rFonts w:ascii="Times New Roman" w:hAnsi="Times New Roman" w:cs="Times New Roman"/>
            <w:noProof/>
            <w:color w:val="000000" w:themeColor="text1"/>
            <w:sz w:val="24"/>
            <w:szCs w:val="24"/>
            <w:lang w:val="en-GB"/>
          </w:rPr>
          <w:t>Gupta</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2014</w:t>
        </w:r>
      </w:hyperlink>
      <w:r w:rsidR="00D30452" w:rsidRPr="008C04EC">
        <w:rPr>
          <w:rFonts w:ascii="Times New Roman" w:hAnsi="Times New Roman" w:cs="Times New Roman"/>
          <w:noProof/>
          <w:color w:val="000000" w:themeColor="text1"/>
          <w:sz w:val="24"/>
          <w:szCs w:val="24"/>
          <w:lang w:val="en-GB"/>
        </w:rPr>
        <w:t>)</w:t>
      </w:r>
      <w:r w:rsidR="00807243" w:rsidRPr="008C04EC">
        <w:rPr>
          <w:rFonts w:ascii="Times New Roman" w:hAnsi="Times New Roman" w:cs="Times New Roman"/>
          <w:color w:val="000000" w:themeColor="text1"/>
          <w:sz w:val="24"/>
          <w:szCs w:val="24"/>
          <w:lang w:val="en-GB"/>
        </w:rPr>
        <w:fldChar w:fldCharType="end"/>
      </w:r>
      <w:r w:rsidR="00807243" w:rsidRPr="008C04EC">
        <w:rPr>
          <w:rFonts w:ascii="Times New Roman" w:hAnsi="Times New Roman" w:cs="Times New Roman"/>
          <w:color w:val="000000" w:themeColor="text1"/>
          <w:sz w:val="24"/>
          <w:szCs w:val="24"/>
          <w:lang w:val="en-GB"/>
        </w:rPr>
        <w:t xml:space="preserve">. </w:t>
      </w:r>
    </w:p>
    <w:p w14:paraId="565B1D45" w14:textId="3EACAB2A" w:rsidR="00E05A99" w:rsidRPr="008C04EC" w:rsidRDefault="005133BB" w:rsidP="00605AC6">
      <w:pPr>
        <w:spacing w:after="0" w:line="480" w:lineRule="auto"/>
        <w:ind w:firstLine="567"/>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A s</w:t>
      </w:r>
      <w:r w:rsidR="00E05A99" w:rsidRPr="008C04EC">
        <w:rPr>
          <w:rFonts w:ascii="Times New Roman" w:hAnsi="Times New Roman" w:cs="Times New Roman"/>
          <w:color w:val="000000" w:themeColor="text1"/>
          <w:sz w:val="24"/>
          <w:szCs w:val="24"/>
          <w:lang w:val="en-GB"/>
        </w:rPr>
        <w:t xml:space="preserve">upply chain learning </w:t>
      </w:r>
      <w:r>
        <w:rPr>
          <w:rFonts w:ascii="Times New Roman" w:hAnsi="Times New Roman" w:cs="Times New Roman"/>
          <w:color w:val="000000" w:themeColor="text1"/>
          <w:sz w:val="24"/>
          <w:szCs w:val="24"/>
          <w:lang w:val="en-GB"/>
        </w:rPr>
        <w:t xml:space="preserve">orientation </w:t>
      </w:r>
      <w:r w:rsidR="00E05A99" w:rsidRPr="008C04EC">
        <w:rPr>
          <w:rFonts w:ascii="Times New Roman" w:hAnsi="Times New Roman" w:cs="Times New Roman"/>
          <w:color w:val="000000" w:themeColor="text1"/>
          <w:sz w:val="24"/>
          <w:szCs w:val="24"/>
          <w:lang w:val="en-GB"/>
        </w:rPr>
        <w:t xml:space="preserve">refers </w:t>
      </w:r>
      <w:r>
        <w:rPr>
          <w:rFonts w:ascii="Times New Roman" w:hAnsi="Times New Roman" w:cs="Times New Roman"/>
          <w:color w:val="000000" w:themeColor="text1"/>
          <w:sz w:val="24"/>
          <w:szCs w:val="24"/>
          <w:lang w:val="en-GB"/>
        </w:rPr>
        <w:t>to the mind-set of the</w:t>
      </w:r>
      <w:r w:rsidR="00E05A99" w:rsidRPr="008C04EC">
        <w:rPr>
          <w:rFonts w:ascii="Times New Roman" w:hAnsi="Times New Roman" w:cs="Times New Roman"/>
          <w:color w:val="000000" w:themeColor="text1"/>
          <w:sz w:val="24"/>
          <w:szCs w:val="24"/>
          <w:lang w:val="en-GB"/>
        </w:rPr>
        <w:t xml:space="preserve"> firm, its customers, and suppliers </w:t>
      </w:r>
      <w:r>
        <w:rPr>
          <w:rFonts w:ascii="Times New Roman" w:hAnsi="Times New Roman" w:cs="Times New Roman"/>
          <w:color w:val="000000" w:themeColor="text1"/>
          <w:sz w:val="24"/>
          <w:szCs w:val="24"/>
          <w:lang w:val="en-GB"/>
        </w:rPr>
        <w:t xml:space="preserve">in </w:t>
      </w:r>
      <w:r w:rsidR="00E05A99" w:rsidRPr="008C04EC">
        <w:rPr>
          <w:rFonts w:ascii="Times New Roman" w:hAnsi="Times New Roman" w:cs="Times New Roman"/>
          <w:color w:val="000000" w:themeColor="text1"/>
          <w:sz w:val="24"/>
          <w:szCs w:val="24"/>
          <w:lang w:val="en-GB"/>
        </w:rPr>
        <w:t>manag</w:t>
      </w:r>
      <w:r>
        <w:rPr>
          <w:rFonts w:ascii="Times New Roman" w:hAnsi="Times New Roman" w:cs="Times New Roman"/>
          <w:color w:val="000000" w:themeColor="text1"/>
          <w:sz w:val="24"/>
          <w:szCs w:val="24"/>
          <w:lang w:val="en-GB"/>
        </w:rPr>
        <w:t>ing</w:t>
      </w:r>
      <w:r w:rsidR="00E05A99" w:rsidRPr="008C04EC">
        <w:rPr>
          <w:rFonts w:ascii="Times New Roman" w:hAnsi="Times New Roman" w:cs="Times New Roman"/>
          <w:color w:val="000000" w:themeColor="text1"/>
          <w:sz w:val="24"/>
          <w:szCs w:val="24"/>
          <w:lang w:val="en-GB"/>
        </w:rPr>
        <w:t xml:space="preserve"> the learning process in relation to emergent supply chain issues </w:t>
      </w:r>
      <w:r w:rsidR="00E05A99"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&lt;EndNote&gt;&lt;Cite&gt;&lt;Author&gt;Flint&lt;/Author&gt;&lt;Year&gt;2008&lt;/Year&gt;&lt;RecNum&gt;461&lt;/RecNum&gt;&lt;DisplayText&gt;(Flint, Larsson, &amp;amp; Gammelgaard, 2008)&lt;/DisplayText&gt;&lt;record&gt;&lt;rec-number&gt;461&lt;/rec-number&gt;&lt;foreign-keys&gt;&lt;key app="EN" db-id="seavxzzzfrf2p7eddfnxx5ep2ar05z0ddwx9"&gt;461&lt;/key&gt;&lt;/foreign-keys&gt;&lt;ref-type name="Journal Article"&gt;17&lt;/ref-type&gt;&lt;contributors&gt;&lt;authors&gt;&lt;author&gt;Flint, Daniel J&lt;/author&gt;&lt;author&gt;Larsson, Everth&lt;/author&gt;&lt;author&gt;Gammelgaard, Britta&lt;/author&gt;&lt;/authors&gt;&lt;/contributors&gt;&lt;titles&gt;&lt;title&gt;Exploring processes for customer value insights, supply chain learning and innovation: an international study&lt;/title&gt;&lt;secondary-title&gt;Journal of Business Logistics&lt;/secondary-title&gt;&lt;/titles&gt;&lt;periodical&gt;&lt;full-title&gt;Journal of Business Logistics&lt;/full-title&gt;&lt;/periodical&gt;&lt;pages&gt;257-281&lt;/pages&gt;&lt;volume&gt;29&lt;/volume&gt;&lt;number&gt;1&lt;/number&gt;&lt;dates&gt;&lt;year&gt;2008&lt;/year&gt;&lt;/dates&gt;&lt;publisher&gt;Wiley Online Library&lt;/publisher&gt;&lt;isbn&gt;2158-1592&lt;/isbn&gt;&lt;urls&gt;&lt;/urls&gt;&lt;/record&gt;&lt;/Cite&gt;&lt;/EndNote&gt;</w:instrText>
      </w:r>
      <w:r w:rsidR="00E05A99"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r>
        <w:rPr>
          <w:rFonts w:ascii="Times New Roman" w:hAnsi="Times New Roman" w:cs="Times New Roman"/>
          <w:noProof/>
          <w:color w:val="000000" w:themeColor="text1"/>
          <w:sz w:val="24"/>
          <w:szCs w:val="24"/>
          <w:lang w:val="en-GB"/>
        </w:rPr>
        <w:t xml:space="preserve">c.f. </w:t>
      </w:r>
      <w:hyperlink w:anchor="_ENREF_30" w:tooltip="Flint, 2008 #461" w:history="1">
        <w:r w:rsidR="00641B32" w:rsidRPr="008C04EC">
          <w:rPr>
            <w:rFonts w:ascii="Times New Roman" w:hAnsi="Times New Roman" w:cs="Times New Roman"/>
            <w:noProof/>
            <w:color w:val="000000" w:themeColor="text1"/>
            <w:sz w:val="24"/>
            <w:szCs w:val="24"/>
            <w:lang w:val="en-GB"/>
          </w:rPr>
          <w:t>Flint</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2008</w:t>
        </w:r>
      </w:hyperlink>
      <w:r w:rsidR="00D30452" w:rsidRPr="008C04EC">
        <w:rPr>
          <w:rFonts w:ascii="Times New Roman" w:hAnsi="Times New Roman" w:cs="Times New Roman"/>
          <w:noProof/>
          <w:color w:val="000000" w:themeColor="text1"/>
          <w:sz w:val="24"/>
          <w:szCs w:val="24"/>
          <w:lang w:val="en-GB"/>
        </w:rPr>
        <w:t>)</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An inability or unwillingness to share knowledge between supply chain partners is cited as the primary barrier for achieving shared responsibility when satisfying changing customer requirements </w:t>
      </w:r>
      <w:r w:rsidR="00E05A99"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&lt;EndNote&gt;&lt;Cite&gt;&lt;Author&gt;Thomas&lt;/Author&gt;&lt;Year&gt;2011&lt;/Year&gt;&lt;RecNum&gt;1213&lt;/RecNum&gt;&lt;DisplayText&gt;(Thomas, Clifford Defee, Randall, &amp;amp; Williams, 2011)&lt;/DisplayText&gt;&lt;record&gt;&lt;rec-number&gt;1213&lt;/rec-number&gt;&lt;foreign-keys&gt;&lt;key app="EN" db-id="seavxzzzfrf2p7eddfnxx5ep2ar05z0ddwx9"&gt;1213&lt;/key&gt;&lt;/foreign-keys&gt;&lt;ref-type name="Journal Article"&gt;17&lt;/ref-type&gt;&lt;contributors&gt;&lt;authors&gt;&lt;author&gt;Thomas, Rodney W&lt;/author&gt;&lt;author&gt;Clifford Defee, C&lt;/author&gt;&lt;author&gt;Randall, Wesley S&lt;/author&gt;&lt;author&gt;Williams, Brent&lt;/author&gt;&lt;/authors&gt;&lt;/contributors&gt;&lt;titles&gt;&lt;title&gt;Assessing the managerial relevance of contemporary supply chain management research&lt;/title&gt;&lt;secondary-title&gt;International Journal of Physical Distribution &amp;amp; Logistics Management&lt;/secondary-title&gt;&lt;/titles&gt;&lt;periodical&gt;&lt;full-title&gt;International Journal of Physical Distribution &amp;amp; Logistics Management&lt;/full-title&gt;&lt;/periodical&gt;&lt;pages&gt;655-667&lt;/pages&gt;&lt;volume&gt;41&lt;/volume&gt;&lt;number&gt;7&lt;/number&gt;&lt;dates&gt;&lt;year&gt;2011&lt;/year&gt;&lt;/dates&gt;&lt;isbn&gt;0960-0035&lt;/isbn&gt;&lt;urls&gt;&lt;/urls&gt;&lt;/record&gt;&lt;/Cite&gt;&lt;/EndNote&gt;</w:instrText>
      </w:r>
      <w:r w:rsidR="00E05A99"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93" w:tooltip="Thomas, 2011 #1213" w:history="1">
        <w:r w:rsidR="00641B32" w:rsidRPr="008C04EC">
          <w:rPr>
            <w:rFonts w:ascii="Times New Roman" w:hAnsi="Times New Roman" w:cs="Times New Roman"/>
            <w:noProof/>
            <w:color w:val="000000" w:themeColor="text1"/>
            <w:sz w:val="24"/>
            <w:szCs w:val="24"/>
            <w:lang w:val="en-GB"/>
          </w:rPr>
          <w:t>Thomas</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2011</w:t>
        </w:r>
      </w:hyperlink>
      <w:r w:rsidR="00D30452" w:rsidRPr="008C04EC">
        <w:rPr>
          <w:rFonts w:ascii="Times New Roman" w:hAnsi="Times New Roman" w:cs="Times New Roman"/>
          <w:noProof/>
          <w:color w:val="000000" w:themeColor="text1"/>
          <w:sz w:val="24"/>
          <w:szCs w:val="24"/>
          <w:lang w:val="en-GB"/>
        </w:rPr>
        <w:t>)</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Common interests and interdependence </w:t>
      </w:r>
      <w:r w:rsidR="00605AC6" w:rsidRPr="008C04EC">
        <w:rPr>
          <w:rFonts w:ascii="Times New Roman" w:hAnsi="Times New Roman" w:cs="Times New Roman"/>
          <w:color w:val="000000" w:themeColor="text1"/>
          <w:sz w:val="24"/>
          <w:szCs w:val="24"/>
          <w:lang w:val="en-GB"/>
        </w:rPr>
        <w:t xml:space="preserve">between buyers and suppliers </w:t>
      </w:r>
      <w:r w:rsidR="00E05A99" w:rsidRPr="008C04EC">
        <w:rPr>
          <w:rFonts w:ascii="Times New Roman" w:hAnsi="Times New Roman" w:cs="Times New Roman"/>
          <w:color w:val="000000" w:themeColor="text1"/>
          <w:sz w:val="24"/>
          <w:szCs w:val="24"/>
          <w:lang w:val="en-GB"/>
        </w:rPr>
        <w:t>provide</w:t>
      </w:r>
      <w:r w:rsidR="00566A07" w:rsidRPr="008C04EC">
        <w:rPr>
          <w:rFonts w:ascii="Times New Roman" w:hAnsi="Times New Roman" w:cs="Times New Roman"/>
          <w:color w:val="000000" w:themeColor="text1"/>
          <w:sz w:val="24"/>
          <w:szCs w:val="24"/>
          <w:lang w:val="en-GB"/>
        </w:rPr>
        <w:t>s</w:t>
      </w:r>
      <w:r w:rsidR="00E05A99" w:rsidRPr="008C04EC">
        <w:rPr>
          <w:rFonts w:ascii="Times New Roman" w:hAnsi="Times New Roman" w:cs="Times New Roman"/>
          <w:color w:val="000000" w:themeColor="text1"/>
          <w:sz w:val="24"/>
          <w:szCs w:val="24"/>
          <w:lang w:val="en-GB"/>
        </w:rPr>
        <w:t xml:space="preserve"> the motivation for experience and knowledge sharing across the supply chain </w:t>
      </w:r>
      <w:r w:rsidR="00E05A99" w:rsidRPr="008C04EC">
        <w:rPr>
          <w:rFonts w:ascii="Times New Roman" w:hAnsi="Times New Roman" w:cs="Times New Roman"/>
          <w:color w:val="000000" w:themeColor="text1"/>
          <w:sz w:val="24"/>
          <w:szCs w:val="24"/>
          <w:lang w:val="en-GB"/>
        </w:rPr>
        <w:fldChar w:fldCharType="begin"/>
      </w:r>
      <w:r w:rsidR="00C84D0D">
        <w:rPr>
          <w:rFonts w:ascii="Times New Roman" w:hAnsi="Times New Roman" w:cs="Times New Roman"/>
          <w:color w:val="000000" w:themeColor="text1"/>
          <w:sz w:val="24"/>
          <w:szCs w:val="24"/>
          <w:lang w:val="en-GB"/>
        </w:rPr>
        <w:instrText xml:space="preserve"> ADDIN ZOTERO_ITEM CSL_CITATION {"citationID":"mB4fuLYZ","properties":{"formattedCitation":"(Bessant et al., 2003; Gong et al., 2018)","plainCitation":"(Bessant et al., 2003; Gong et al., 2018)","noteIndex":0},"citationItems":[{"id":1711,"uris":["http://zotero.org/users/3209486/items/SLNNVDZM"],"uri":["http://zotero.org/users/3209486/items/SLNNVDZM"],"itemData":{"id":1711,"type":"article-journal","title":"Putting supply chain learning into practice","container-title":"International Journal of Operations &amp; Production Management","page":"167-184","volume":"23","issue":"2","abstract":"As firms struggle to cope with an increasingly turbulent and uncertain economic environment there is widespread recognition of the importance of organisational learning. One option is to look at the potential of shared learning between firms, where common interests and interdependence provide motivation for experience sharing and other forms of synergy in learning. A particular version of inter?firm learning is the use of supply chains as a mechanism for upgrading and transferring ?appropriate practice? and this article reports on exploratory research on this theme. It draws on a literature survey and a detailed study of six UK supply chains at various stages of implementing supply chain learning.","DOI":"10.1108/01443570310458438","ISSN":"0144-3577","journalAbbreviation":"Int Jrnl of Op &amp; Prod Mnagemnt","author":[{"family":"Bessant","given":"John"},{"family":"Kaplinsky","given":"Raphael"},{"family":"Lamming","given":"Richard"}],"issued":{"date-parts":[["2003",2,1]]}}},{"id":4648,"uris":["http://zotero.org/users/3209486/items/VQQQA36Q"],"uri":["http://zotero.org/users/3209486/items/VQQQA36Q"],"itemData":{"id":4648,"type":"article-journal","title":"Supply chain learning of sustainability in multi-tier supply chains","container-title":"International Journal of Operations &amp; Production Management","page":"1061-1090","volume":"38","issue":"4","archive":"Business Premium Collection","archive_location":"2015818590","abstract":"PurposeThe purpose of this paper is to explore how multinational corporations (MNCs) orchestrate internal and external resources to help their multi-tier supply chains learn sustainability-related knowledge.Design/methodology/approachAn exploratory multiple case study approach was adopted and three MNCs’ sustainable initiatives in China were examined. The data were primarily collected through 43 semi-structured interviews with managers of focal companies and their multi-tier suppliers.FindingsThe authors found that in order to facilitate their supply chains to learn sustainability, MNCs tend to orchestrate in breadth by internally setting up new functional departments and externally working with third parties, and orchestrate in depth working directly with their extreme upstream suppliers adopting varied governance mechanisms on lower-tier suppliers along the project lifecycle. The resource orchestration in breadth and depth and along the project lifecycle results in changes of supply chain structure.Practical implicationsThe proposed conceptual model provides an overall framework for companies to design and implement their multi-tier sustainable initiatives. Companies could learn from the suggested learning stages and the best practices of case companies.Originality/valueThe authors extend and enrich resource orchestration perspective (ROP), which is internally focused, to a supply chain level, and answer a theoretical question of how MNCs orchestrate their internal and external resources to help their supply chains to learn sustainability. The extension of ROP refutes the resource dependence theory, which adopts a passive approach of relying on external suppliers and proposes that MNCs should proactively work with internal and external stakeholders to learn sustainability.","DOI":"10.1108/IJOPM-05-2017-0306","ISSN":"01443577","language":"English","author":[{"family":"Gong","given":"Yu"},{"literal":"Fu Jia"},{"family":"Brown","given":"Steve"},{"family":"Koh","given":"Lenny"}],"issued":{"date-parts":[["2018"]]}}}],"schema":"https://github.com/citation-style-language/schema/raw/master/csl-citation.json"}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C84D0D" w:rsidRPr="00C84D0D">
        <w:rPr>
          <w:rFonts w:ascii="Times New Roman" w:hAnsi="Times New Roman" w:cs="Times New Roman"/>
          <w:sz w:val="24"/>
        </w:rPr>
        <w:t>(Bessant et al., 2003; Gong et al., 2018)</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Learning from supply chain partners encourages firms to embrace new knowledge and integrate this information with its own intelligence </w:t>
      </w:r>
      <w:r w:rsidR="00E05A99"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&lt;EndNote&gt;&lt;Cite&gt;&lt;Author&gt;Flint&lt;/Author&gt;&lt;Year&gt;2008&lt;/Year&gt;&lt;RecNum&gt;461&lt;/RecNum&gt;&lt;DisplayText&gt;(Flint et al., 2008; Spekman, Spear, &amp;amp; Kamauff, 2002)&lt;/DisplayText&gt;&lt;record&gt;&lt;rec-number&gt;461&lt;/rec-number&gt;&lt;foreign-keys&gt;&lt;key app="EN" db-id="seavxzzzfrf2p7eddfnxx5ep2ar05z0ddwx9"&gt;461&lt;/key&gt;&lt;/foreign-keys&gt;&lt;ref-type name="Journal Article"&gt;17&lt;/ref-type&gt;&lt;contributors&gt;&lt;authors&gt;&lt;author&gt;Flint, Daniel J&lt;/author&gt;&lt;author&gt;Larsson, Everth&lt;/author&gt;&lt;author&gt;Gammelgaard, Britta&lt;/author&gt;&lt;/authors&gt;&lt;/contributors&gt;&lt;titles&gt;&lt;title&gt;Exploring processes for customer value insights, supply chain learning and innovation: an international study&lt;/title&gt;&lt;secondary-title&gt;Journal of Business Logistics&lt;/secondary-title&gt;&lt;/titles&gt;&lt;periodical&gt;&lt;full-title&gt;Journal of Business Logistics&lt;/full-title&gt;&lt;/periodical&gt;&lt;pages&gt;257-281&lt;/pages&gt;&lt;volume&gt;29&lt;/volume&gt;&lt;number&gt;1&lt;/number&gt;&lt;dates&gt;&lt;year&gt;2008&lt;/year&gt;&lt;/dates&gt;&lt;publisher&gt;Wiley Online Library&lt;/publisher&gt;&lt;isbn&gt;2158-1592&lt;/isbn&gt;&lt;urls&gt;&lt;/urls&gt;&lt;/record&gt;&lt;/Cite&gt;&lt;Cite&gt;&lt;Author&gt;Spekman&lt;/Author&gt;&lt;Year&gt;2002&lt;/Year&gt;&lt;RecNum&gt;460&lt;/RecNum&gt;&lt;record&gt;&lt;rec-number&gt;460&lt;/rec-number&gt;&lt;foreign-keys&gt;&lt;key app="EN" db-id="seavxzzzfrf2p7eddfnxx5ep2ar05z0ddwx9"&gt;460&lt;/key&gt;&lt;/foreign-keys&gt;&lt;ref-type name="Journal Article"&gt;17&lt;/ref-type&gt;&lt;contributors&gt;&lt;authors&gt;&lt;author&gt;Spekman, Robert E&lt;/author&gt;&lt;author&gt;Spear, Joseph&lt;/author&gt;&lt;author&gt;Kamauff, John&lt;/author&gt;&lt;/authors&gt;&lt;/contributors&gt;&lt;titles&gt;&lt;title&gt;Supply chain competency: learning as a key component&lt;/title&gt;&lt;secondary-title&gt;Supply Chain Management: An International Journal&lt;/secondary-title&gt;&lt;/titles&gt;&lt;periodical&gt;&lt;full-title&gt;Supply Chain Management: An International Journal&lt;/full-title&gt;&lt;/periodical&gt;&lt;pages&gt;41-55&lt;/pages&gt;&lt;volume&gt;7&lt;/volume&gt;&lt;number&gt;1&lt;/number&gt;&lt;dates&gt;&lt;year&gt;2002&lt;/year&gt;&lt;/dates&gt;&lt;publisher&gt;MCB UP Ltd&lt;/publisher&gt;&lt;isbn&gt;1359-8546&lt;/isbn&gt;&lt;urls&gt;&lt;/urls&gt;&lt;/record&gt;&lt;/Cite&gt;&lt;/EndNote&gt;</w:instrText>
      </w:r>
      <w:r w:rsidR="00E05A99"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30" w:tooltip="Flint, 2008 #461" w:history="1">
        <w:r w:rsidR="00641B32" w:rsidRPr="008C04EC">
          <w:rPr>
            <w:rFonts w:ascii="Times New Roman" w:hAnsi="Times New Roman" w:cs="Times New Roman"/>
            <w:noProof/>
            <w:color w:val="000000" w:themeColor="text1"/>
            <w:sz w:val="24"/>
            <w:szCs w:val="24"/>
            <w:lang w:val="en-GB"/>
          </w:rPr>
          <w:t>Flint et al., 2008</w:t>
        </w:r>
      </w:hyperlink>
      <w:r w:rsidR="00D30452" w:rsidRPr="008C04EC">
        <w:rPr>
          <w:rFonts w:ascii="Times New Roman" w:hAnsi="Times New Roman" w:cs="Times New Roman"/>
          <w:noProof/>
          <w:color w:val="000000" w:themeColor="text1"/>
          <w:sz w:val="24"/>
          <w:szCs w:val="24"/>
          <w:lang w:val="en-GB"/>
        </w:rPr>
        <w:t xml:space="preserve">; </w:t>
      </w:r>
      <w:hyperlink w:anchor="_ENREF_87" w:tooltip="Spekman, 2002 #460" w:history="1">
        <w:r w:rsidR="00641B32" w:rsidRPr="008C04EC">
          <w:rPr>
            <w:rFonts w:ascii="Times New Roman" w:hAnsi="Times New Roman" w:cs="Times New Roman"/>
            <w:noProof/>
            <w:color w:val="000000" w:themeColor="text1"/>
            <w:sz w:val="24"/>
            <w:szCs w:val="24"/>
            <w:lang w:val="en-GB"/>
          </w:rPr>
          <w:t>Spekman</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2002</w:t>
        </w:r>
      </w:hyperlink>
      <w:r w:rsidR="00D30452" w:rsidRPr="008C04EC">
        <w:rPr>
          <w:rFonts w:ascii="Times New Roman" w:hAnsi="Times New Roman" w:cs="Times New Roman"/>
          <w:noProof/>
          <w:color w:val="000000" w:themeColor="text1"/>
          <w:sz w:val="24"/>
          <w:szCs w:val="24"/>
          <w:lang w:val="en-GB"/>
        </w:rPr>
        <w:t>)</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As buyers and suppliers experiment with new technologies and learn by failing, new knowledge is gained </w:t>
      </w:r>
      <w:r w:rsidR="00E05A99" w:rsidRPr="008C04EC">
        <w:rPr>
          <w:rFonts w:ascii="Times New Roman" w:hAnsi="Times New Roman" w:cs="Times New Roman"/>
          <w:color w:val="000000" w:themeColor="text1"/>
          <w:sz w:val="24"/>
          <w:szCs w:val="24"/>
          <w:lang w:val="en-GB"/>
        </w:rPr>
        <w:fldChar w:fldCharType="begin"/>
      </w:r>
      <w:r w:rsidR="00E05A99" w:rsidRPr="008C04EC">
        <w:rPr>
          <w:rFonts w:ascii="Times New Roman" w:hAnsi="Times New Roman" w:cs="Times New Roman"/>
          <w:color w:val="000000" w:themeColor="text1"/>
          <w:sz w:val="24"/>
          <w:szCs w:val="24"/>
          <w:lang w:val="en-GB"/>
        </w:rPr>
        <w:instrText xml:space="preserve"> ADDIN ZOTERO_ITEM CSL_CITATION {"citationID":"DvfX62g0","properties":{"formattedCitation":"(Zollo et al., 2002)","plainCitation":"(Zollo et al., 2002)","noteIndex":0},"citationItems":[{"id":1375,"uris":["http://zotero.org/users/3209486/items/EK26DTSA"],"uri":["http://zotero.org/users/3209486/items/EK26DTSA"],"itemData":{"id":1375,"type":"article-journal","title":"Interorganizational Routines and Performance in Strategic Alliances","container-title":"Organization Science","page":"701-713","volume":"13","issue":"6","abstract":"This paper applies evolutionary economics reasoning to the strategic alliance context and examines whether and how routinization processes at the partnering-firm level influence the performance of the cooperative agreement. In doing so, it introduces the concept of interorganizational routines, defined as stable patterns of interaction among two firms developed and refined in the course of repeated collaborations, and suggests that partner-specific, technology-specific, and general experience accumulation at the partnering-firm level influence the extent to which alliances result in knowledge accumulation, create new growth opportunities, and enable partnering firms to achieve their strategic objectives. We also consider how governance design choices at the transaction level shape the effectiveness of interorganizational routizination processes. Based on a sample of 145 biotechnology alliances, we find that only partner-specific experience has a positive impact on alliance performance, and that this effect is stronger in the absence of equity-based governance mechanisms. We interpret these results to support the role of interfirm coordination and cooperation routines in enhancing the effectiveness of collaborative agreements.","DOI":"10.1287/orsc.13.6.701.503","ISSN":"1047-7039","journalAbbreviation":"Organization Science","author":[{"family":"Zollo","given":"Maurizio"},{"family":"Reuer","given":"Jeffrey J."},{"family":"Singh","given":"Harbir"}],"issued":{"date-parts":[["2002",12,1]]}}}],"schema":"https://github.com/citation-style-language/schema/raw/master/csl-citation.json"}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(Zollo et al., 2002)</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w:t>
      </w:r>
      <w:r w:rsidR="00605AC6" w:rsidRPr="008C04EC">
        <w:rPr>
          <w:rFonts w:ascii="Times New Roman" w:hAnsi="Times New Roman" w:cs="Times New Roman"/>
          <w:color w:val="000000" w:themeColor="text1"/>
          <w:sz w:val="24"/>
          <w:szCs w:val="24"/>
          <w:lang w:val="en-GB"/>
        </w:rPr>
        <w:t xml:space="preserve">Repetitive collaboration and cooperation between supply chain partners creates a learning orientation in the buyer-supplier team </w:t>
      </w:r>
      <w:r w:rsidR="00605AC6" w:rsidRPr="008C04EC">
        <w:rPr>
          <w:rFonts w:ascii="Times New Roman" w:hAnsi="Times New Roman" w:cs="Times New Roman"/>
          <w:color w:val="000000" w:themeColor="text1"/>
          <w:sz w:val="24"/>
          <w:szCs w:val="24"/>
          <w:lang w:val="en-GB"/>
        </w:rPr>
        <w:fldChar w:fldCharType="begin"/>
      </w:r>
      <w:r w:rsidR="00C84D0D">
        <w:rPr>
          <w:rFonts w:ascii="Times New Roman" w:hAnsi="Times New Roman" w:cs="Times New Roman"/>
          <w:color w:val="000000" w:themeColor="text1"/>
          <w:sz w:val="24"/>
          <w:szCs w:val="24"/>
          <w:lang w:val="en-GB"/>
        </w:rPr>
        <w:instrText xml:space="preserve"> ADDIN ZOTERO_ITEM CSL_CITATION {"citationID":"gjP34NOk","properties":{"formattedCitation":"(Hult et al., 2003; Rojo et al., 2018)","plainCitation":"(Hult et al., 2003; Rojo et al., 2018)","noteIndex":0},"citationItems":[{"id":700,"uris":["http://zotero.org/users/3209486/items/IKWIDJKH"],"uri":["http://zotero.org/users/3209486/items/IKWIDJKH"],"itemData":{"id":700,"type":"article-journal","title":"Organizational learning as a strategic resource in supply management","container-title":"Journal of Operations Management","page":"541-556","volume":"21","issue":"5","abstract":"This study considers the potential role of organizational learning as a strategic resource in supply management. A model of learning in supply management processes is examined using samples representing three nodes of one Fortune 500 organization’s supply chains (internal SBU customers, n=141; corporate buyers, n=115, and external suppliers, n=58). Organizational learning is viewed as a composite construct arising from four tangible indicators: team-, systems-, learning-, and memory-orientations (each of those orientations is measured with four to five items). The results indicate that learning has a positive effect on a set of learning consequences, supply management consequences, management consequences, and performance consequences.","DOI":"10.1016/j.jom.2003.02.001","ISSN":"0272-6963","journalAbbreviation":"Journal of Operations Management","author":[{"family":"Hult","given":"G.Tomas M"},{"family":"Ketchen Jr.","given":"David J"},{"family":"Nichols Jr.","given":"Ernest L"}],"issued":{"date-parts":[["2003",12]]}}},{"id":4653,"uris":["http://zotero.org/users/3209486/items/FIJH7WUJ"],"uri":["http://zotero.org/users/3209486/items/FIJH7WUJ"],"itemData":{"id":4653,"type":"article-journal","title":"Supply chain flexibility in dynamic environments","container-title":"International Journal of Operations &amp; Production Management","page":"636-666","volume":"38","issue":"3","archive":"Business Premium Collection","archive_location":"2013637587","abstract":"PurposeThe purpose of this paper is to analyse the relationship between environmental dynamism and supply chain flexibility (SCF) and to evaluate if two dynamic capabilities, i.e. operational absorptive capacity (OAC) and organisational learning (OL), are necessary competences for firms to develop such a responsive supply chain strategy as flexibility.Design/methodology/approachHypothesised relationships are tested with survey data from 302 Spanish manufacturing firms using structural equations modelling.FindingsEnvironmental dynamism is positively associated with both OAC and OL, and both dynamic capabilities enable SCF. The authors also find that the relationship between environmental dynamism and SCF is partially mediated by both dynamic capabilities.Research limitations/implicationsThe study contributes to the literature, for example, by determining when it is advantageous to develop SCF, by specifying what capabilities a firm needs to develop to align SCF with the environment, and by opening the black box that is the relationship between the environment and SCF.Practical implicationsManagers should develop SCF via OAC and OL when they detect a high degree of environmental dynamism. Knowing when this is necessary relies on a good understanding of the environment. OAC is found to be a stronger enabler of SCF than OL. The findings provide managers with an insight into why some firms are able to develop more effective responses to dynamic environments than others.Originality/valueThis study is one of only a limited number of studies that adopt a dynamic capabilities approach to supply chain management. Prior literature has shown that dynamic capabilities can aid in developing strategic, structural, and operational flexibility. The authors extend this literature by showing that OAC and OL have an effect on SCF.","DOI":"10.1108/IJOPM-08-2016-0450","ISSN":"01443577","language":"English","author":[{"family":"Rojo","given":"Araceli"},{"family":"Stevenson","given":"Mark"},{"family":"Lloréns Montes","given":"Francisco Javier"},{"literal":"Maria Nieves Perez-Arostegui"}],"issued":{"date-parts":[["2018"]]}}}],"schema":"https://github.com/citation-style-language/schema/raw/master/csl-citation.json"} </w:instrText>
      </w:r>
      <w:r w:rsidR="00605AC6" w:rsidRPr="008C04EC">
        <w:rPr>
          <w:rFonts w:ascii="Times New Roman" w:hAnsi="Times New Roman" w:cs="Times New Roman"/>
          <w:color w:val="000000" w:themeColor="text1"/>
          <w:sz w:val="24"/>
          <w:szCs w:val="24"/>
          <w:lang w:val="en-GB"/>
        </w:rPr>
        <w:fldChar w:fldCharType="separate"/>
      </w:r>
      <w:r w:rsidR="00C84D0D" w:rsidRPr="00C84D0D">
        <w:rPr>
          <w:rFonts w:ascii="Times New Roman" w:hAnsi="Times New Roman" w:cs="Times New Roman"/>
          <w:sz w:val="24"/>
        </w:rPr>
        <w:t>(Hult et al., 2003; Rojo et al., 2018)</w:t>
      </w:r>
      <w:r w:rsidR="00605AC6" w:rsidRPr="008C04EC">
        <w:rPr>
          <w:rFonts w:ascii="Times New Roman" w:hAnsi="Times New Roman" w:cs="Times New Roman"/>
          <w:color w:val="000000" w:themeColor="text1"/>
          <w:sz w:val="24"/>
          <w:szCs w:val="24"/>
          <w:lang w:val="en-GB"/>
        </w:rPr>
        <w:fldChar w:fldCharType="end"/>
      </w:r>
      <w:r w:rsidR="00605AC6" w:rsidRPr="008C04EC">
        <w:rPr>
          <w:rFonts w:ascii="Times New Roman" w:hAnsi="Times New Roman" w:cs="Times New Roman"/>
          <w:color w:val="000000" w:themeColor="text1"/>
          <w:sz w:val="24"/>
          <w:szCs w:val="24"/>
          <w:lang w:val="en-GB"/>
        </w:rPr>
        <w:t xml:space="preserve">. </w:t>
      </w:r>
      <w:r w:rsidR="00E05A99" w:rsidRPr="008C04EC">
        <w:rPr>
          <w:rFonts w:ascii="Times New Roman" w:hAnsi="Times New Roman" w:cs="Times New Roman"/>
          <w:color w:val="000000" w:themeColor="text1"/>
          <w:sz w:val="24"/>
          <w:szCs w:val="24"/>
          <w:lang w:val="en-GB"/>
        </w:rPr>
        <w:t xml:space="preserve">The experiential learning that occurs between supply chain partners can be stored in institutional memory to encourage a continuous cycle of knowledge accumulation </w:t>
      </w:r>
      <w:r w:rsidR="00E05A99"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&lt;EndNote&gt;&lt;Cite&gt;&lt;Author&gt;Ireland&lt;/Author&gt;&lt;Year&gt;2007&lt;/Year&gt;&lt;RecNum&gt;1215&lt;/RecNum&gt;&lt;DisplayText&gt;(Ireland &amp;amp; Webb, 2007; Ojha, Shockley, &amp;amp; Acharya, 2016)&lt;/DisplayText&gt;&lt;record&gt;&lt;rec-number&gt;1215&lt;/rec-number&gt;&lt;foreign-keys&gt;&lt;key app="EN" db-id="seavxzzzfrf2p7eddfnxx5ep2ar05z0ddwx9"&gt;1215&lt;/key&gt;&lt;/foreign-keys&gt;&lt;ref-type name="Journal Article"&gt;17&lt;/ref-type&gt;&lt;contributors&gt;&lt;authors&gt;&lt;author&gt;Ireland, R Duane&lt;/author&gt;&lt;author&gt;Webb, Justin W&lt;/author&gt;&lt;/authors&gt;&lt;/contributors&gt;&lt;titles&gt;&lt;title&gt;A multi-theoretic perspective on trust and power in strategic supply chains&lt;/title&gt;&lt;secondary-title&gt;Journal of Operations management&lt;/secondary-title&gt;&lt;/titles&gt;&lt;periodical&gt;&lt;full-title&gt;Journal of Operations Management&lt;/full-title&gt;&lt;/periodical&gt;&lt;pages&gt;482-497&lt;/pages&gt;&lt;volume&gt;25&lt;/volume&gt;&lt;number&gt;2&lt;/number&gt;&lt;dates&gt;&lt;year&gt;2007&lt;/year&gt;&lt;/dates&gt;&lt;isbn&gt;0272-6963&lt;/isbn&gt;&lt;urls&gt;&lt;/urls&gt;&lt;/record&gt;&lt;/Cite&gt;&lt;Cite&gt;&lt;Author&gt;Ojha&lt;/Author&gt;&lt;Year&gt;2016&lt;/Year&gt;&lt;RecNum&gt;1052&lt;/RecNum&gt;&lt;record&gt;&lt;rec-number&gt;1052&lt;/rec-number&gt;&lt;foreign-keys&gt;&lt;key app="EN" db-id="seavxzzzfrf2p7eddfnxx5ep2ar05z0ddwx9"&gt;1052&lt;/key&gt;&lt;/foreign-keys&gt;&lt;ref-type name="Journal Article"&gt;17&lt;/ref-type&gt;&lt;contributors&gt;&lt;authors&gt;&lt;author&gt;Ojha, Divesh&lt;/author&gt;&lt;author&gt;Shockley, Jeff&lt;/author&gt;&lt;author&gt;Acharya, Chandan&lt;/author&gt;&lt;/authors&gt;&lt;/contributors&gt;&lt;titles&gt;&lt;title&gt;Supply chain organizational infrastructure for promoting entrepreneurial emphasis and innovativeness: the role of trust and learning&lt;/title&gt;&lt;secondary-title&gt;International Journal of Production Economics&lt;/secondary-title&gt;&lt;/titles&gt;&lt;periodical&gt;&lt;full-title&gt;International Journal of Production Economics&lt;/full-title&gt;&lt;/periodical&gt;&lt;pages&gt;212-227&lt;/pages&gt;&lt;volume&gt;179&lt;/volume&gt;&lt;dates&gt;&lt;year&gt;2016&lt;/year&gt;&lt;/dates&gt;&lt;publisher&gt;Elsevier&lt;/publisher&gt;&lt;isbn&gt;0925-5273&lt;/isbn&gt;&lt;urls&gt;&lt;/urls&gt;&lt;/record&gt;&lt;/Cite&gt;&lt;/EndNote&gt;</w:instrText>
      </w:r>
      <w:r w:rsidR="00E05A99"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47" w:tooltip="Ireland, 2007 #1215" w:history="1">
        <w:r w:rsidR="00641B32" w:rsidRPr="008C04EC">
          <w:rPr>
            <w:rFonts w:ascii="Times New Roman" w:hAnsi="Times New Roman" w:cs="Times New Roman"/>
            <w:noProof/>
            <w:color w:val="000000" w:themeColor="text1"/>
            <w:sz w:val="24"/>
            <w:szCs w:val="24"/>
            <w:lang w:val="en-GB"/>
          </w:rPr>
          <w:t>Ireland &amp; Webb, 2007</w:t>
        </w:r>
      </w:hyperlink>
      <w:r w:rsidR="00D30452" w:rsidRPr="008C04EC">
        <w:rPr>
          <w:rFonts w:ascii="Times New Roman" w:hAnsi="Times New Roman" w:cs="Times New Roman"/>
          <w:noProof/>
          <w:color w:val="000000" w:themeColor="text1"/>
          <w:sz w:val="24"/>
          <w:szCs w:val="24"/>
          <w:lang w:val="en-GB"/>
        </w:rPr>
        <w:t xml:space="preserve">; </w:t>
      </w:r>
      <w:hyperlink w:anchor="_ENREF_71" w:tooltip="Ojha, 2016 #1052" w:history="1">
        <w:r w:rsidR="00641B32" w:rsidRPr="008C04EC">
          <w:rPr>
            <w:rFonts w:ascii="Times New Roman" w:hAnsi="Times New Roman" w:cs="Times New Roman"/>
            <w:noProof/>
            <w:color w:val="000000" w:themeColor="text1"/>
            <w:sz w:val="24"/>
            <w:szCs w:val="24"/>
            <w:lang w:val="en-GB"/>
          </w:rPr>
          <w:t>Ojha</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2016</w:t>
        </w:r>
      </w:hyperlink>
      <w:r w:rsidR="00D30452" w:rsidRPr="008C04EC">
        <w:rPr>
          <w:rFonts w:ascii="Times New Roman" w:hAnsi="Times New Roman" w:cs="Times New Roman"/>
          <w:noProof/>
          <w:color w:val="000000" w:themeColor="text1"/>
          <w:sz w:val="24"/>
          <w:szCs w:val="24"/>
          <w:lang w:val="en-GB"/>
        </w:rPr>
        <w:t>)</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w:t>
      </w:r>
    </w:p>
    <w:p w14:paraId="007EB8B6" w14:textId="21E85EBA" w:rsidR="00E05A99" w:rsidRPr="008C04EC" w:rsidRDefault="00807243" w:rsidP="005C1399">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lastRenderedPageBreak/>
        <w:t xml:space="preserve">Regular patterns of interaction </w:t>
      </w:r>
      <w:r w:rsidR="00E05A99" w:rsidRPr="008C04EC">
        <w:rPr>
          <w:rFonts w:ascii="Times New Roman" w:hAnsi="Times New Roman" w:cs="Times New Roman"/>
          <w:color w:val="000000" w:themeColor="text1"/>
          <w:sz w:val="24"/>
          <w:szCs w:val="24"/>
          <w:lang w:val="en-GB"/>
        </w:rPr>
        <w:t>between buyers and suppliers</w:t>
      </w:r>
      <w:r w:rsidRPr="008C04EC">
        <w:rPr>
          <w:rFonts w:ascii="Times New Roman" w:hAnsi="Times New Roman" w:cs="Times New Roman"/>
          <w:color w:val="000000" w:themeColor="text1"/>
          <w:sz w:val="24"/>
          <w:szCs w:val="24"/>
          <w:lang w:val="en-GB"/>
        </w:rPr>
        <w:t xml:space="preserve"> permit</w:t>
      </w:r>
      <w:r w:rsidR="00605AC6" w:rsidRPr="008C04EC">
        <w:rPr>
          <w:rFonts w:ascii="Times New Roman" w:hAnsi="Times New Roman" w:cs="Times New Roman"/>
          <w:color w:val="000000" w:themeColor="text1"/>
          <w:sz w:val="24"/>
          <w:szCs w:val="24"/>
          <w:lang w:val="en-GB"/>
        </w:rPr>
        <w:t>s</w:t>
      </w:r>
      <w:r w:rsidRPr="008C04EC">
        <w:rPr>
          <w:rFonts w:ascii="Times New Roman" w:hAnsi="Times New Roman" w:cs="Times New Roman"/>
          <w:color w:val="000000" w:themeColor="text1"/>
          <w:sz w:val="24"/>
          <w:szCs w:val="24"/>
          <w:lang w:val="en-GB"/>
        </w:rPr>
        <w:t xml:space="preserve"> the transfer, recombination and creation of specialised knowledge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&lt;EndNote&gt;&lt;Cite&gt;&lt;Author&gt;Dyer&lt;/Author&gt;&lt;Year&gt;2000&lt;/Year&gt;&lt;RecNum&gt;1216&lt;/RecNum&gt;&lt;DisplayText&gt;(Dyer &amp;amp; Nobeoka, 2000)&lt;/DisplayText&gt;&lt;record&gt;&lt;rec-number&gt;1216&lt;/rec-number&gt;&lt;foreign-keys&gt;&lt;key app="EN" db-id="seavxzzzfrf2p7eddfnxx5ep2ar05z0ddwx9"&gt;1216&lt;/key&gt;&lt;/foreign-keys&gt;&lt;ref-type name="Journal Article"&gt;17&lt;/ref-type&gt;&lt;contributors&gt;&lt;authors&gt;&lt;author&gt;Dyer, Jeffrey H&lt;/author&gt;&lt;author&gt;Nobeoka, Kentaro&lt;/author&gt;&lt;/authors&gt;&lt;/contributors&gt;&lt;titles&gt;&lt;title&gt;Creating and managing a high</w:instrText>
      </w:r>
      <w:r w:rsidR="00D30452" w:rsidRPr="008C04EC">
        <w:rPr>
          <w:rFonts w:ascii="Cambria Math" w:hAnsi="Cambria Math" w:cs="Cambria Math"/>
          <w:color w:val="000000" w:themeColor="text1"/>
          <w:sz w:val="24"/>
          <w:szCs w:val="24"/>
          <w:lang w:val="en-GB"/>
        </w:rPr>
        <w:instrText>‐</w:instrText>
      </w:r>
      <w:r w:rsidR="00D30452" w:rsidRPr="008C04EC">
        <w:rPr>
          <w:rFonts w:ascii="Times New Roman" w:hAnsi="Times New Roman" w:cs="Times New Roman"/>
          <w:color w:val="000000" w:themeColor="text1"/>
          <w:sz w:val="24"/>
          <w:szCs w:val="24"/>
          <w:lang w:val="en-GB"/>
        </w:rPr>
        <w:instrText>performance knowledge</w:instrText>
      </w:r>
      <w:r w:rsidR="00D30452" w:rsidRPr="008C04EC">
        <w:rPr>
          <w:rFonts w:ascii="Cambria Math" w:hAnsi="Cambria Math" w:cs="Cambria Math"/>
          <w:color w:val="000000" w:themeColor="text1"/>
          <w:sz w:val="24"/>
          <w:szCs w:val="24"/>
          <w:lang w:val="en-GB"/>
        </w:rPr>
        <w:instrText>‐</w:instrText>
      </w:r>
      <w:r w:rsidR="00D30452" w:rsidRPr="008C04EC">
        <w:rPr>
          <w:rFonts w:ascii="Times New Roman" w:hAnsi="Times New Roman" w:cs="Times New Roman"/>
          <w:color w:val="000000" w:themeColor="text1"/>
          <w:sz w:val="24"/>
          <w:szCs w:val="24"/>
          <w:lang w:val="en-GB"/>
        </w:rPr>
        <w:instrText>sharing network: the Toyota case&lt;/title&gt;&lt;secondary-title&gt;Strategic management journal&lt;/secondary-title&gt;&lt;/titles&gt;&lt;periodical&gt;&lt;full-title&gt;Strategic Management Journal&lt;/full-title&gt;&lt;/periodical&gt;&lt;pages&gt;345-367&lt;/pages&gt;&lt;volume&gt;21&lt;/volume&gt;&lt;number&gt;3&lt;/number&gt;&lt;dates&gt;&lt;year&gt;2000&lt;/year&gt;&lt;/dates&gt;&lt;isbn&gt;0143-2095&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28" w:tooltip="Dyer, 2000 #1216" w:history="1">
        <w:r w:rsidR="00641B32" w:rsidRPr="008C04EC">
          <w:rPr>
            <w:rFonts w:ascii="Times New Roman" w:hAnsi="Times New Roman" w:cs="Times New Roman"/>
            <w:noProof/>
            <w:color w:val="000000" w:themeColor="text1"/>
            <w:sz w:val="24"/>
            <w:szCs w:val="24"/>
            <w:lang w:val="en-GB"/>
          </w:rPr>
          <w:t>Dyer &amp; Nobeoka, 2000</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t>
      </w:r>
      <w:r w:rsidR="00E05A99" w:rsidRPr="008C04EC">
        <w:rPr>
          <w:rFonts w:ascii="Times New Roman" w:hAnsi="Times New Roman" w:cs="Times New Roman"/>
          <w:color w:val="000000" w:themeColor="text1"/>
          <w:sz w:val="24"/>
          <w:szCs w:val="24"/>
          <w:lang w:val="en-GB"/>
        </w:rPr>
        <w:t>Knowledge sharing between supply chain members promotes learning resources to be targeted toward the discover</w:t>
      </w:r>
      <w:r w:rsidR="00D83CA7" w:rsidRPr="008C04EC">
        <w:rPr>
          <w:rFonts w:ascii="Times New Roman" w:hAnsi="Times New Roman" w:cs="Times New Roman"/>
          <w:color w:val="000000" w:themeColor="text1"/>
          <w:sz w:val="24"/>
          <w:szCs w:val="24"/>
          <w:lang w:val="en-GB"/>
        </w:rPr>
        <w:t>y</w:t>
      </w:r>
      <w:r w:rsidR="00E05A99" w:rsidRPr="008C04EC">
        <w:rPr>
          <w:rFonts w:ascii="Times New Roman" w:hAnsi="Times New Roman" w:cs="Times New Roman"/>
          <w:color w:val="000000" w:themeColor="text1"/>
          <w:sz w:val="24"/>
          <w:szCs w:val="24"/>
          <w:lang w:val="en-GB"/>
        </w:rPr>
        <w:t xml:space="preserve"> of innovative, value-added capabilities </w:t>
      </w:r>
      <w:r w:rsidR="00E05A99" w:rsidRPr="008C04EC">
        <w:rPr>
          <w:rFonts w:ascii="Times New Roman" w:hAnsi="Times New Roman" w:cs="Times New Roman"/>
          <w:color w:val="000000" w:themeColor="text1"/>
          <w:sz w:val="24"/>
          <w:szCs w:val="24"/>
          <w:lang w:val="en-GB"/>
        </w:rPr>
        <w:fldChar w:fldCharType="begin"/>
      </w:r>
      <w:r w:rsidR="00E559B2">
        <w:rPr>
          <w:rFonts w:ascii="Times New Roman" w:hAnsi="Times New Roman" w:cs="Times New Roman"/>
          <w:color w:val="000000" w:themeColor="text1"/>
          <w:sz w:val="24"/>
          <w:szCs w:val="24"/>
          <w:lang w:val="en-GB"/>
        </w:rPr>
        <w:instrText xml:space="preserve"> ADDIN ZOTERO_ITEM CSL_CITATION {"citationID":"M87wtPi5","properties":{"formattedCitation":"(Defee and Fugate, 2010)","plainCitation":"(Defee and Fugate, 2010)","dontUpdate":true,"noteIndex":0},"citationItems":[{"id":185,"uris":["http://zotero.org/users/3209486/items/SF9GA4SV"],"uri":["http://zotero.org/users/3209486/items/SF9GA4SV"],"itemData":{"id":185,"type":"article-journal","title":"Changing perspective of capabilities in the dynamic supply chain era","container-title":"International Journal of Logistics Management","page":"180-206","volume":"21","issue":"2","abstract":"Purpose - A review of the literature reveals that previous research on capabilities has been limited to static capabilities and have largely been firm-centric, which neglect today's evolving supply chain environment. To address this shortcoming, this paper aims to explore dynamic supply chain capabilities (DSCCS) as a path to achieving sustainable competitive advantage. Design/methodology/approach - Logistics and supply chain literature is reviewed to provide a foundation for introducing a model of DSCCS driving competitive advantage. Propositions for future research are presented based upon the theoretical model. Findings - The need to continuously renew boundary spanning supply chain capabilities may be facilitated by the presence of a supply chain orientation and a learning orientation found across the multiple partners. Research limitations/implications - Supply chain organizations exist in a continually evolving environment with the best-performing firms often being characterized as agile and continually improving. The dynamic capabilities perspective provides a theoretical foundation that may be used to better understand and predict the success of supply chain firms. The work presented here is conceptual and empirical examination of the propositions should occur before any broad generalization can be drawn. Practical implications - Long-term organizational success may be facilitated by continuous renewal and creation of new static capabilities through the use of DSCCS. Originality/value - The paper demonstrates that dynamic capabilities may be extended beyond the traditional single-firm view to exist across the relationships developed by multiple organizations in a supply chain. [PUBLICATION ABSTRACT]","ISSN":"09574093","author":[{"family":"Defee","given":"C. Clifford"},{"family":"Fugate","given":"Brian S."}],"issued":{"date-parts":[["2010"]]}}}],"schema":"https://github.com/citation-style-language/schema/raw/master/csl-citation.json"}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 xml:space="preserve">(Defee </w:t>
      </w:r>
      <w:r w:rsidR="00D4006E">
        <w:rPr>
          <w:rFonts w:ascii="Times New Roman" w:hAnsi="Times New Roman" w:cs="Times New Roman"/>
          <w:color w:val="000000" w:themeColor="text1"/>
          <w:sz w:val="24"/>
        </w:rPr>
        <w:t>&amp;</w:t>
      </w:r>
      <w:r w:rsidR="00D4006E" w:rsidRPr="008C04EC">
        <w:rPr>
          <w:rFonts w:ascii="Times New Roman" w:hAnsi="Times New Roman" w:cs="Times New Roman"/>
          <w:color w:val="000000" w:themeColor="text1"/>
          <w:sz w:val="24"/>
        </w:rPr>
        <w:t xml:space="preserve"> </w:t>
      </w:r>
      <w:r w:rsidR="007061B5" w:rsidRPr="008C04EC">
        <w:rPr>
          <w:rFonts w:ascii="Times New Roman" w:hAnsi="Times New Roman" w:cs="Times New Roman"/>
          <w:color w:val="000000" w:themeColor="text1"/>
          <w:sz w:val="24"/>
        </w:rPr>
        <w:t>Fugate, 2010)</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Over time, the repetitive sharing of knowledge </w:t>
      </w:r>
      <w:r w:rsidR="00E05A99" w:rsidRPr="008C04EC">
        <w:rPr>
          <w:rFonts w:ascii="Times New Roman" w:hAnsi="Times New Roman" w:cs="Times New Roman"/>
          <w:color w:val="000000" w:themeColor="text1"/>
          <w:sz w:val="24"/>
          <w:szCs w:val="24"/>
          <w:lang w:val="en-GB"/>
        </w:rPr>
        <w:t xml:space="preserve">and integration </w:t>
      </w:r>
      <w:r w:rsidRPr="008C04EC">
        <w:rPr>
          <w:rFonts w:ascii="Times New Roman" w:hAnsi="Times New Roman" w:cs="Times New Roman"/>
          <w:color w:val="000000" w:themeColor="text1"/>
          <w:sz w:val="24"/>
          <w:szCs w:val="24"/>
          <w:lang w:val="en-GB"/>
        </w:rPr>
        <w:t xml:space="preserve">between supply chain partners leads to the emergence of ‘learning-to-learn’ capabilities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&lt;EndNote&gt;&lt;Cite&gt;&lt;Author&gt;Ojha&lt;/Author&gt;&lt;Year&gt;2018&lt;/Year&gt;&lt;RecNum&gt;1217&lt;/RecNum&gt;&lt;DisplayText&gt;(Ojha, Acharya, &amp;amp; Cooper, 2018; Ojha et al., 2016)&lt;/DisplayText&gt;&lt;record&gt;&lt;rec-number&gt;1217&lt;/rec-number&gt;&lt;foreign-keys&gt;&lt;key app="EN" db-id="seavxzzzfrf2p7eddfnxx5ep2ar05z0ddwx9"&gt;1217&lt;/key&gt;&lt;/foreign-keys&gt;&lt;ref-type name="Journal Article"&gt;17&lt;/ref-type&gt;&lt;contributors&gt;&lt;authors&gt;&lt;author&gt;Ojha, Divesh&lt;/author&gt;&lt;author&gt;Acharya, Chandan&lt;/author&gt;&lt;author&gt;Cooper, Danielle&lt;/author&gt;&lt;/authors&gt;&lt;/contributors&gt;&lt;titles&gt;&lt;title&gt;Transformational leadership and supply chain ambidexterity: Mediating role of supply chain organizational learning and moderating role of uncertainty&lt;/title&gt;&lt;secondary-title&gt;International Journal of Production Economics&lt;/secondary-title&gt;&lt;/titles&gt;&lt;periodical&gt;&lt;full-title&gt;International Journal of Production Economics&lt;/full-title&gt;&lt;/periodical&gt;&lt;pages&gt;215-231&lt;/pages&gt;&lt;volume&gt;197&lt;/volume&gt;&lt;dates&gt;&lt;year&gt;2018&lt;/year&gt;&lt;/dates&gt;&lt;isbn&gt;0925-5273&lt;/isbn&gt;&lt;urls&gt;&lt;/urls&gt;&lt;/record&gt;&lt;/Cite&gt;&lt;Cite&gt;&lt;Author&gt;Ojha&lt;/Author&gt;&lt;Year&gt;2016&lt;/Year&gt;&lt;RecNum&gt;1052&lt;/RecNum&gt;&lt;record&gt;&lt;rec-number&gt;1052&lt;/rec-number&gt;&lt;foreign-keys&gt;&lt;key app="EN" db-id="seavxzzzfrf2p7eddfnxx5ep2ar05z0ddwx9"&gt;1052&lt;/key&gt;&lt;/foreign-keys&gt;&lt;ref-type name="Journal Article"&gt;17&lt;/ref-type&gt;&lt;contributors&gt;&lt;authors&gt;&lt;author&gt;Ojha, Divesh&lt;/author&gt;&lt;author&gt;Shockley, Jeff&lt;/author&gt;&lt;author&gt;Acharya, Chandan&lt;/author&gt;&lt;/authors&gt;&lt;/contributors&gt;&lt;titles&gt;&lt;title&gt;Supply chain organizational infrastructure for promoting entrepreneurial emphasis and innovativeness: the role of trust and learning&lt;/title&gt;&lt;secondary-title&gt;International Journal of Production Economics&lt;/secondary-title&gt;&lt;/titles&gt;&lt;periodical&gt;&lt;full-title&gt;International Journal of Production Economics&lt;/full-title&gt;&lt;/periodical&gt;&lt;pages&gt;212-227&lt;/pages&gt;&lt;volume&gt;179&lt;/volume&gt;&lt;dates&gt;&lt;year&gt;2016&lt;/year&gt;&lt;/dates&gt;&lt;publisher&gt;Elsevier&lt;/publisher&gt;&lt;isbn&gt;0925-5273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70" w:tooltip="Ojha, 2018 #1231" w:history="1">
        <w:r w:rsidR="00641B32" w:rsidRPr="008C04EC">
          <w:rPr>
            <w:rFonts w:ascii="Times New Roman" w:hAnsi="Times New Roman" w:cs="Times New Roman"/>
            <w:noProof/>
            <w:color w:val="000000" w:themeColor="text1"/>
            <w:sz w:val="24"/>
            <w:szCs w:val="24"/>
            <w:lang w:val="en-GB"/>
          </w:rPr>
          <w:t>Ojha</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2018</w:t>
        </w:r>
      </w:hyperlink>
      <w:r w:rsidR="00D30452" w:rsidRPr="008C04EC">
        <w:rPr>
          <w:rFonts w:ascii="Times New Roman" w:hAnsi="Times New Roman" w:cs="Times New Roman"/>
          <w:noProof/>
          <w:color w:val="000000" w:themeColor="text1"/>
          <w:sz w:val="24"/>
          <w:szCs w:val="24"/>
          <w:lang w:val="en-GB"/>
        </w:rPr>
        <w:t xml:space="preserve">; </w:t>
      </w:r>
      <w:hyperlink w:anchor="_ENREF_71" w:tooltip="Ojha, 2016 #1052" w:history="1">
        <w:r w:rsidR="00641B32" w:rsidRPr="008C04EC">
          <w:rPr>
            <w:rFonts w:ascii="Times New Roman" w:hAnsi="Times New Roman" w:cs="Times New Roman"/>
            <w:noProof/>
            <w:color w:val="000000" w:themeColor="text1"/>
            <w:sz w:val="24"/>
            <w:szCs w:val="24"/>
            <w:lang w:val="en-GB"/>
          </w:rPr>
          <w:t>Ojha et al., 2016</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r w:rsidR="00E05A99" w:rsidRPr="008C04EC">
        <w:rPr>
          <w:rFonts w:ascii="Times New Roman" w:hAnsi="Times New Roman" w:cs="Times New Roman"/>
          <w:color w:val="000000" w:themeColor="text1"/>
          <w:sz w:val="24"/>
          <w:szCs w:val="24"/>
          <w:lang w:val="en-GB"/>
        </w:rPr>
        <w:t xml:space="preserve"> This process of continuous learning </w:t>
      </w:r>
      <w:r w:rsidR="00605AC6" w:rsidRPr="008C04EC">
        <w:rPr>
          <w:rFonts w:ascii="Times New Roman" w:hAnsi="Times New Roman" w:cs="Times New Roman"/>
          <w:color w:val="000000" w:themeColor="text1"/>
          <w:sz w:val="24"/>
          <w:szCs w:val="24"/>
          <w:lang w:val="en-GB"/>
        </w:rPr>
        <w:t xml:space="preserve">is facilitated by </w:t>
      </w:r>
      <w:r w:rsidR="00E05A99" w:rsidRPr="008C04EC">
        <w:rPr>
          <w:rFonts w:ascii="Times New Roman" w:hAnsi="Times New Roman" w:cs="Times New Roman"/>
          <w:color w:val="000000" w:themeColor="text1"/>
          <w:sz w:val="24"/>
          <w:szCs w:val="24"/>
          <w:lang w:val="en-GB"/>
        </w:rPr>
        <w:t xml:space="preserve">repetitive horizon scanning activities between supply chain partners </w:t>
      </w:r>
      <w:r w:rsidR="00E05A99" w:rsidRPr="008C04EC">
        <w:rPr>
          <w:rFonts w:ascii="Times New Roman" w:hAnsi="Times New Roman" w:cs="Times New Roman"/>
          <w:color w:val="000000" w:themeColor="text1"/>
          <w:sz w:val="24"/>
          <w:szCs w:val="24"/>
          <w:lang w:val="en-GB"/>
        </w:rPr>
        <w:fldChar w:fldCharType="begin"/>
      </w:r>
      <w:r w:rsidR="00E05A99" w:rsidRPr="008C04EC">
        <w:rPr>
          <w:rFonts w:ascii="Times New Roman" w:hAnsi="Times New Roman" w:cs="Times New Roman"/>
          <w:color w:val="000000" w:themeColor="text1"/>
          <w:sz w:val="24"/>
          <w:szCs w:val="24"/>
          <w:lang w:val="en-GB"/>
        </w:rPr>
        <w:instrText xml:space="preserve"> ADDIN ZOTERO_ITEM CSL_CITATION {"citationID":"snXFRqmz","properties":{"formattedCitation":"(Cousins et al., 2011)","plainCitation":"(Cousins et al., 2011)","noteIndex":0},"citationItems":[{"id":200,"uris":["http://zotero.org/users/3209486/items/R2RSAHRJ"],"uri":["http://zotero.org/users/3209486/items/R2RSAHRJ"],"itemData":{"id":200,"type":"article-journal","title":"Breakthrough Scanning, Supplier Knowledge Exchange, and New Product Development Performance","container-title":"Journal of Product Innovation Management","page":"930-942","volume":"28","issue":"6","abstract":"The ability of a firm to scan its environment for breakthrough innovations and develop new products is increasingly central to business success. However, many firms struggle to develop breakthrough innovations alone, and rely increasingly on their supply base to provide input in processing uncertain and ambiguous technological knowledge. This paper develops a theoretical framework, based in information processing theory, to investigate the effects of breakthrough search behaviors by the buyer firm on their technical proficiency, reliance on supplementary processing capacity with suppliers, and subsequent new product development and financial performance. Using data provided by 111 procurement executives from the United Kingdom, we find support for our hypotheses. Increased breakthrough scanning results in higher firm-level technical proficiency, and also an increase in knowledge sharing with the firm's suppliers. A combination of a firm's technical capabilities and knowledge exchange with suppliers was found to result in improved new product development performance and financial performance. This study extends the supply relationship management and new product development literatures, and suggests implications for both research and practice. [ABSTRACT FROM AUTHOR]\nCopyright of Journal of Product Innovation Management is the property of Wiley-Blackwell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Abstracts.)","ISSN":"07376782","author":[{"family":"Cousins","given":"Paul D."},{"family":"Lawson","given":"Benn"},{"family":"Petersen","given":"Kenneth J."},{"family":"Handfield","given":"Robert B."}],"issued":{"date-parts":[["2011"]]}}}],"schema":"https://github.com/citation-style-language/schema/raw/master/csl-citation.json"} </w:instrText>
      </w:r>
      <w:r w:rsidR="00E05A99"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(Cousins et al., 2011)</w:t>
      </w:r>
      <w:r w:rsidR="00E05A99" w:rsidRPr="008C04EC">
        <w:rPr>
          <w:rFonts w:ascii="Times New Roman" w:hAnsi="Times New Roman" w:cs="Times New Roman"/>
          <w:color w:val="000000" w:themeColor="text1"/>
          <w:sz w:val="24"/>
          <w:szCs w:val="24"/>
          <w:lang w:val="en-GB"/>
        </w:rPr>
        <w:fldChar w:fldCharType="end"/>
      </w:r>
      <w:r w:rsidR="00E05A99" w:rsidRPr="008C04EC">
        <w:rPr>
          <w:rFonts w:ascii="Times New Roman" w:hAnsi="Times New Roman" w:cs="Times New Roman"/>
          <w:color w:val="000000" w:themeColor="text1"/>
          <w:sz w:val="24"/>
          <w:szCs w:val="24"/>
          <w:lang w:val="en-GB"/>
        </w:rPr>
        <w:t xml:space="preserve">. </w:t>
      </w:r>
      <w:r w:rsidR="00605AC6" w:rsidRPr="008C04EC">
        <w:rPr>
          <w:rFonts w:ascii="Times New Roman" w:hAnsi="Times New Roman" w:cs="Times New Roman"/>
          <w:color w:val="000000" w:themeColor="text1"/>
          <w:sz w:val="24"/>
          <w:szCs w:val="24"/>
          <w:lang w:val="en-GB"/>
        </w:rPr>
        <w:t>By integrating the firm’s market sensing capability with suppliers,</w:t>
      </w:r>
      <w:r w:rsidR="00E05A99" w:rsidRPr="008C04EC">
        <w:rPr>
          <w:rFonts w:ascii="Times New Roman" w:hAnsi="Times New Roman" w:cs="Times New Roman"/>
          <w:color w:val="000000" w:themeColor="text1"/>
          <w:sz w:val="24"/>
          <w:szCs w:val="24"/>
          <w:lang w:val="en-GB"/>
        </w:rPr>
        <w:t xml:space="preserve"> new opportunities </w:t>
      </w:r>
      <w:r w:rsidR="00605AC6" w:rsidRPr="008C04EC">
        <w:rPr>
          <w:rFonts w:ascii="Times New Roman" w:hAnsi="Times New Roman" w:cs="Times New Roman"/>
          <w:color w:val="000000" w:themeColor="text1"/>
          <w:sz w:val="24"/>
          <w:szCs w:val="24"/>
          <w:lang w:val="en-GB"/>
        </w:rPr>
        <w:t xml:space="preserve">can </w:t>
      </w:r>
      <w:r w:rsidR="00E05A99" w:rsidRPr="008C04EC">
        <w:rPr>
          <w:rFonts w:ascii="Times New Roman" w:hAnsi="Times New Roman" w:cs="Times New Roman"/>
          <w:color w:val="000000" w:themeColor="text1"/>
          <w:sz w:val="24"/>
          <w:szCs w:val="24"/>
          <w:lang w:val="en-GB"/>
        </w:rPr>
        <w:t>be identified and seized in the short-term (supply chain agility</w:t>
      </w:r>
      <w:r w:rsidR="00605AC6" w:rsidRPr="008C04EC">
        <w:rPr>
          <w:rFonts w:ascii="Times New Roman" w:hAnsi="Times New Roman" w:cs="Times New Roman"/>
          <w:color w:val="000000" w:themeColor="text1"/>
          <w:sz w:val="24"/>
          <w:szCs w:val="24"/>
          <w:lang w:val="en-GB"/>
        </w:rPr>
        <w:t xml:space="preserve">). </w:t>
      </w:r>
      <w:r w:rsidR="00566A07" w:rsidRPr="008C04EC">
        <w:rPr>
          <w:rFonts w:ascii="Times New Roman" w:hAnsi="Times New Roman" w:cs="Times New Roman"/>
          <w:color w:val="000000" w:themeColor="text1"/>
          <w:sz w:val="24"/>
          <w:szCs w:val="24"/>
          <w:lang w:val="en-GB"/>
        </w:rPr>
        <w:t xml:space="preserve">In </w:t>
      </w:r>
      <w:r w:rsidR="00605AC6" w:rsidRPr="008C04EC">
        <w:rPr>
          <w:rFonts w:ascii="Times New Roman" w:hAnsi="Times New Roman" w:cs="Times New Roman"/>
          <w:color w:val="000000" w:themeColor="text1"/>
          <w:sz w:val="24"/>
          <w:szCs w:val="24"/>
          <w:lang w:val="en-GB"/>
        </w:rPr>
        <w:t xml:space="preserve">the longer-term, learning with supply chain partners </w:t>
      </w:r>
      <w:r w:rsidR="00E05A99" w:rsidRPr="008C04EC">
        <w:rPr>
          <w:rFonts w:ascii="Times New Roman" w:hAnsi="Times New Roman" w:cs="Times New Roman"/>
          <w:color w:val="000000" w:themeColor="text1"/>
          <w:sz w:val="24"/>
          <w:szCs w:val="24"/>
          <w:lang w:val="en-GB"/>
        </w:rPr>
        <w:t xml:space="preserve">facilitates the transformation of supply chain design and infrastructure </w:t>
      </w:r>
      <w:r w:rsidR="00605AC6" w:rsidRPr="008C04EC">
        <w:rPr>
          <w:rFonts w:ascii="Times New Roman" w:hAnsi="Times New Roman" w:cs="Times New Roman"/>
          <w:color w:val="000000" w:themeColor="text1"/>
          <w:sz w:val="24"/>
          <w:szCs w:val="24"/>
          <w:lang w:val="en-GB"/>
        </w:rPr>
        <w:t>to achieve alignment with shifting customer demand</w:t>
      </w:r>
      <w:r w:rsidR="00E05A99" w:rsidRPr="008C04EC">
        <w:rPr>
          <w:rFonts w:ascii="Times New Roman" w:hAnsi="Times New Roman" w:cs="Times New Roman"/>
          <w:color w:val="000000" w:themeColor="text1"/>
          <w:sz w:val="24"/>
          <w:szCs w:val="24"/>
          <w:lang w:val="en-GB"/>
        </w:rPr>
        <w:t xml:space="preserve"> (supply chain adaptability). We therefore hypothesize that a supply chain learning orientation will lead to the emergence of dynamic supply chain capabilities: </w:t>
      </w:r>
    </w:p>
    <w:p w14:paraId="1880CD06" w14:textId="77777777" w:rsidR="00E05A99" w:rsidRPr="008C04EC" w:rsidRDefault="00E05A99" w:rsidP="00E05A99">
      <w:pPr>
        <w:autoSpaceDE w:val="0"/>
        <w:autoSpaceDN w:val="0"/>
        <w:adjustRightInd w:val="0"/>
        <w:spacing w:after="0" w:line="480" w:lineRule="auto"/>
        <w:contextualSpacing/>
        <w:jc w:val="both"/>
        <w:rPr>
          <w:rFonts w:ascii="Times-Italic" w:eastAsiaTheme="minorHAnsi" w:hAnsi="Times-Italic" w:cs="Times-Italic"/>
          <w:iCs/>
          <w:color w:val="000000" w:themeColor="text1"/>
          <w:sz w:val="24"/>
          <w:szCs w:val="18"/>
          <w:lang w:val="en-GB"/>
        </w:rPr>
      </w:pPr>
    </w:p>
    <w:p w14:paraId="4AF3A84E" w14:textId="77777777" w:rsidR="002F5508" w:rsidRPr="00592661" w:rsidRDefault="002F5508" w:rsidP="002F5508">
      <w:pPr>
        <w:autoSpaceDE w:val="0"/>
        <w:autoSpaceDN w:val="0"/>
        <w:adjustRightInd w:val="0"/>
        <w:spacing w:after="0" w:line="240" w:lineRule="auto"/>
        <w:ind w:left="1134"/>
        <w:contextualSpacing/>
        <w:rPr>
          <w:rFonts w:ascii="Times New Roman" w:hAnsi="Times New Roman" w:cs="Times New Roman"/>
          <w:color w:val="000000" w:themeColor="text1"/>
          <w:sz w:val="24"/>
          <w:szCs w:val="24"/>
          <w:lang w:val="en-GB"/>
        </w:rPr>
      </w:pPr>
      <w:r w:rsidRPr="008C04EC">
        <w:rPr>
          <w:rFonts w:ascii="Times-Italic" w:eastAsiaTheme="minorHAnsi" w:hAnsi="Times-Italic" w:cs="Times-Italic"/>
          <w:iCs/>
          <w:color w:val="000000" w:themeColor="text1"/>
          <w:sz w:val="24"/>
          <w:szCs w:val="18"/>
          <w:lang w:val="en-GB"/>
        </w:rPr>
        <w:t xml:space="preserve">H2: </w:t>
      </w:r>
      <w:r w:rsidRPr="008C04EC">
        <w:rPr>
          <w:rFonts w:ascii="Times New Roman" w:hAnsi="Times New Roman" w:cs="Times New Roman"/>
          <w:i/>
          <w:color w:val="000000" w:themeColor="text1"/>
          <w:sz w:val="24"/>
          <w:szCs w:val="24"/>
          <w:lang w:val="en-GB"/>
        </w:rPr>
        <w:t xml:space="preserve">A supply chain learning orientation will </w:t>
      </w:r>
      <w:r>
        <w:rPr>
          <w:rFonts w:ascii="Times New Roman" w:hAnsi="Times New Roman" w:cs="Times New Roman"/>
          <w:i/>
          <w:color w:val="000000" w:themeColor="text1"/>
          <w:sz w:val="24"/>
          <w:szCs w:val="24"/>
        </w:rPr>
        <w:t>have a positive and direct influence on the</w:t>
      </w:r>
      <w:r w:rsidRPr="008C04EC">
        <w:rPr>
          <w:rFonts w:ascii="Times New Roman" w:hAnsi="Times New Roman" w:cs="Times New Roman"/>
          <w:i/>
          <w:color w:val="000000" w:themeColor="text1"/>
          <w:sz w:val="24"/>
          <w:szCs w:val="24"/>
          <w:lang w:val="en-GB"/>
        </w:rPr>
        <w:t xml:space="preserve"> emergence of dynamic supply chain capabilities</w:t>
      </w:r>
      <w:r>
        <w:rPr>
          <w:rFonts w:ascii="Times New Roman" w:hAnsi="Times New Roman" w:cs="Times New Roman"/>
          <w:i/>
          <w:color w:val="000000" w:themeColor="text1"/>
          <w:sz w:val="24"/>
          <w:szCs w:val="24"/>
          <w:lang w:val="en-GB"/>
        </w:rPr>
        <w:t>.</w:t>
      </w:r>
    </w:p>
    <w:p w14:paraId="3F572564" w14:textId="77777777" w:rsidR="00E05A99" w:rsidRPr="008C04EC" w:rsidRDefault="00E05A99" w:rsidP="00C61D8C">
      <w:pPr>
        <w:spacing w:after="0" w:line="480" w:lineRule="auto"/>
        <w:jc w:val="both"/>
        <w:rPr>
          <w:rFonts w:ascii="Times New Roman" w:hAnsi="Times New Roman" w:cs="Times New Roman"/>
          <w:color w:val="000000" w:themeColor="text1"/>
          <w:sz w:val="24"/>
          <w:szCs w:val="24"/>
          <w:lang w:val="en-GB"/>
        </w:rPr>
      </w:pPr>
    </w:p>
    <w:p w14:paraId="0D42335A" w14:textId="77777777" w:rsidR="00E05A99" w:rsidRPr="008C04EC" w:rsidRDefault="00E05A99" w:rsidP="00E05A99">
      <w:pPr>
        <w:spacing w:after="0" w:line="240" w:lineRule="auto"/>
        <w:jc w:val="both"/>
        <w:rPr>
          <w:rFonts w:ascii="Times New Roman" w:hAnsi="Times New Roman" w:cs="Times New Roman"/>
          <w:i/>
          <w:color w:val="000000" w:themeColor="text1"/>
          <w:sz w:val="24"/>
          <w:szCs w:val="24"/>
        </w:rPr>
      </w:pPr>
    </w:p>
    <w:p w14:paraId="3FB8C08A" w14:textId="7F460384" w:rsidR="00E05A99" w:rsidRPr="008C04EC" w:rsidRDefault="00E05A99" w:rsidP="00E05A99">
      <w:pPr>
        <w:spacing w:after="0" w:line="240" w:lineRule="auto"/>
        <w:jc w:val="both"/>
        <w:rPr>
          <w:rFonts w:ascii="Times New Roman" w:hAnsi="Times New Roman" w:cs="Times New Roman"/>
          <w:b/>
          <w:i/>
          <w:color w:val="000000" w:themeColor="text1"/>
          <w:sz w:val="24"/>
          <w:szCs w:val="24"/>
        </w:rPr>
      </w:pPr>
      <w:r w:rsidRPr="008C04EC">
        <w:rPr>
          <w:rFonts w:ascii="Times New Roman" w:hAnsi="Times New Roman" w:cs="Times New Roman"/>
          <w:b/>
          <w:i/>
          <w:color w:val="000000" w:themeColor="text1"/>
          <w:sz w:val="24"/>
          <w:szCs w:val="24"/>
        </w:rPr>
        <w:t>2.</w:t>
      </w:r>
      <w:r w:rsidR="000A5D29" w:rsidRPr="008C04EC">
        <w:rPr>
          <w:rFonts w:ascii="Times New Roman" w:hAnsi="Times New Roman" w:cs="Times New Roman"/>
          <w:b/>
          <w:i/>
          <w:color w:val="000000" w:themeColor="text1"/>
          <w:sz w:val="24"/>
          <w:szCs w:val="24"/>
        </w:rPr>
        <w:t>5</w:t>
      </w:r>
      <w:r w:rsidRPr="008C04EC">
        <w:rPr>
          <w:rFonts w:ascii="Times New Roman" w:hAnsi="Times New Roman" w:cs="Times New Roman"/>
          <w:b/>
          <w:i/>
          <w:color w:val="000000" w:themeColor="text1"/>
          <w:sz w:val="24"/>
          <w:szCs w:val="24"/>
        </w:rPr>
        <w:t xml:space="preserve">. </w:t>
      </w:r>
      <w:r w:rsidR="0018387A" w:rsidRPr="008C04EC">
        <w:rPr>
          <w:rFonts w:ascii="Times New Roman" w:hAnsi="Times New Roman" w:cs="Times New Roman"/>
          <w:b/>
          <w:i/>
          <w:color w:val="000000" w:themeColor="text1"/>
          <w:sz w:val="24"/>
          <w:szCs w:val="24"/>
        </w:rPr>
        <w:t>Entrepreneurial Orientation -</w:t>
      </w:r>
      <w:r w:rsidRPr="008C04EC">
        <w:rPr>
          <w:rFonts w:ascii="Times New Roman" w:hAnsi="Times New Roman" w:cs="Times New Roman"/>
          <w:b/>
          <w:i/>
          <w:color w:val="000000" w:themeColor="text1"/>
          <w:sz w:val="24"/>
          <w:szCs w:val="24"/>
        </w:rPr>
        <w:t xml:space="preserve"> </w:t>
      </w:r>
      <w:r w:rsidR="0018387A" w:rsidRPr="008C04EC">
        <w:rPr>
          <w:rFonts w:ascii="Times New Roman" w:hAnsi="Times New Roman" w:cs="Times New Roman"/>
          <w:b/>
          <w:i/>
          <w:color w:val="000000" w:themeColor="text1"/>
          <w:sz w:val="24"/>
          <w:szCs w:val="24"/>
        </w:rPr>
        <w:t>DSCCs</w:t>
      </w:r>
      <w:r w:rsidRPr="008C04EC">
        <w:rPr>
          <w:rFonts w:ascii="Times New Roman" w:hAnsi="Times New Roman" w:cs="Times New Roman"/>
          <w:b/>
          <w:i/>
          <w:color w:val="000000" w:themeColor="text1"/>
          <w:sz w:val="24"/>
          <w:szCs w:val="24"/>
        </w:rPr>
        <w:t xml:space="preserve"> and the mediating role of </w:t>
      </w:r>
      <w:r w:rsidR="00FE7F1C">
        <w:rPr>
          <w:rFonts w:ascii="Times New Roman" w:hAnsi="Times New Roman" w:cs="Times New Roman"/>
          <w:b/>
          <w:i/>
          <w:color w:val="000000" w:themeColor="text1"/>
          <w:sz w:val="24"/>
          <w:szCs w:val="24"/>
        </w:rPr>
        <w:t xml:space="preserve">a </w:t>
      </w:r>
      <w:r w:rsidRPr="008C04EC">
        <w:rPr>
          <w:rFonts w:ascii="Times New Roman" w:hAnsi="Times New Roman" w:cs="Times New Roman"/>
          <w:b/>
          <w:i/>
          <w:color w:val="000000" w:themeColor="text1"/>
          <w:sz w:val="24"/>
          <w:szCs w:val="24"/>
        </w:rPr>
        <w:t>Supply Chain Learning</w:t>
      </w:r>
      <w:r w:rsidR="00FE7F1C">
        <w:rPr>
          <w:rFonts w:ascii="Times New Roman" w:hAnsi="Times New Roman" w:cs="Times New Roman"/>
          <w:b/>
          <w:i/>
          <w:color w:val="000000" w:themeColor="text1"/>
          <w:sz w:val="24"/>
          <w:szCs w:val="24"/>
        </w:rPr>
        <w:t xml:space="preserve"> Orientation</w:t>
      </w:r>
    </w:p>
    <w:p w14:paraId="2DBF347E" w14:textId="77777777" w:rsidR="00E05A99" w:rsidRPr="008C04EC" w:rsidRDefault="00E05A99" w:rsidP="00E05A99">
      <w:pPr>
        <w:spacing w:after="0" w:line="480" w:lineRule="auto"/>
        <w:jc w:val="both"/>
        <w:rPr>
          <w:rFonts w:ascii="Times New Roman" w:hAnsi="Times New Roman" w:cs="Times New Roman"/>
          <w:b/>
          <w:i/>
          <w:color w:val="000000" w:themeColor="text1"/>
          <w:sz w:val="18"/>
          <w:szCs w:val="24"/>
          <w:lang w:val="en-GB"/>
        </w:rPr>
      </w:pPr>
    </w:p>
    <w:p w14:paraId="4FDDB6BE" w14:textId="214530C5" w:rsidR="00E05A99" w:rsidRPr="008C04EC" w:rsidRDefault="00E05A99" w:rsidP="00605AC6">
      <w:pPr>
        <w:spacing w:after="0" w:line="48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Previous studies have argued that an entrepreneurial orientation may be a necessary but insufficient condition in explaining how firms compete in turbulent environments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&lt;EndNote&gt;&lt;Cite&gt;&lt;Author&gt;Wang&lt;/Author&gt;&lt;Year&gt;2008&lt;/Year&gt;&lt;RecNum&gt;1068&lt;/RecNum&gt;&lt;DisplayText&gt;(Wang, 2008; Zhao, Li, Lee, &amp;amp; Chen, 2011)&lt;/DisplayText&gt;&lt;record&gt;&lt;rec-number&gt;1068&lt;/rec-number&gt;&lt;foreign-keys&gt;&lt;key app="EN" db-id="seavxzzzfrf2p7eddfnxx5ep2ar05z0ddwx9"&gt;1068&lt;/key&gt;&lt;/foreign-keys&gt;&lt;ref-type name="Journal Article"&gt;17&lt;/ref-type&gt;&lt;contributors&gt;&lt;authors&gt;&lt;author&gt;Wang, Catherine L&lt;/author&gt;&lt;/authors&gt;&lt;/contributors&gt;&lt;titles&gt;&lt;title&gt;Entrepreneurial orientation, learning orientation, and firm performance&lt;/title&gt;&lt;secondary-title&gt;Entrepreneurship Theory and Practice&lt;/secondary-title&gt;&lt;/titles&gt;&lt;periodical&gt;&lt;full-title&gt;Entrepreneurship Theory and Practice&lt;/full-title&gt;&lt;/periodical&gt;&lt;pages&gt;635-657&lt;/pages&gt;&lt;volume&gt;32&lt;/volume&gt;&lt;number&gt;4&lt;/number&gt;&lt;dates&gt;&lt;year&gt;2008&lt;/year&gt;&lt;/dates&gt;&lt;publisher&gt;Wiley Online Library&lt;/publisher&gt;&lt;isbn&gt;1540-6520&lt;/isbn&gt;&lt;urls&gt;&lt;/urls&gt;&lt;/record&gt;&lt;/Cite&gt;&lt;Cite&gt;&lt;Author&gt;Zhao&lt;/Author&gt;&lt;Year&gt;2011&lt;/Year&gt;&lt;RecNum&gt;1053&lt;/RecNum&gt;&lt;record&gt;&lt;rec-number&gt;1053&lt;/rec-number&gt;&lt;foreign-keys&gt;&lt;key app="EN" db-id="seavxzzzfrf2p7eddfnxx5ep2ar05z0ddwx9"&gt;1053&lt;/key&gt;&lt;/foreign-keys&gt;&lt;ref-type name="Journal Article"&gt;17&lt;/ref-type&gt;&lt;contributors&gt;&lt;authors&gt;&lt;author&gt;Zhao, Yongbin&lt;/author&gt;&lt;author&gt;Li, Yuan&lt;/author&gt;&lt;author&gt;Lee, Soo Hoon&lt;/author&gt;&lt;author&gt;Chen, Long Bo&lt;/author&gt;&lt;/authors&gt;&lt;/contributors&gt;&lt;titles&gt;&lt;title&gt;Entrepreneurial orientation, organizational learning, and performance: Evidence from China&lt;/title&gt;&lt;secondary-title&gt;Entrepreneurship Theory and Practice&lt;/secondary-title&gt;&lt;/titles&gt;&lt;periodical&gt;&lt;full-title&gt;Entrepreneurship Theory and Practice&lt;/full-title&gt;&lt;/periodical&gt;&lt;pages&gt;293-317&lt;/pages&gt;&lt;volume&gt;35&lt;/volume&gt;&lt;number&gt;2&lt;/number&gt;&lt;dates&gt;&lt;year&gt;2011&lt;/year&gt;&lt;/dates&gt;&lt;publisher&gt;Wiley Online Library&lt;/publisher&gt;&lt;isbn&gt;1540-6520&lt;/isbn&gt;&lt;urls&gt;&lt;/urls&gt;&lt;/record&gt;&lt;/Cite&gt;&lt;/EndNote&gt;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95" w:tooltip="Wang, 2008 #1068" w:history="1">
        <w:r w:rsidR="00641B32" w:rsidRPr="008C04EC">
          <w:rPr>
            <w:rFonts w:ascii="Times New Roman" w:hAnsi="Times New Roman" w:cs="Times New Roman"/>
            <w:noProof/>
            <w:color w:val="000000" w:themeColor="text1"/>
            <w:sz w:val="24"/>
            <w:szCs w:val="24"/>
            <w:lang w:val="en-GB"/>
          </w:rPr>
          <w:t>Wang, 2008</w:t>
        </w:r>
      </w:hyperlink>
      <w:r w:rsidR="00D30452" w:rsidRPr="008C04EC">
        <w:rPr>
          <w:rFonts w:ascii="Times New Roman" w:hAnsi="Times New Roman" w:cs="Times New Roman"/>
          <w:noProof/>
          <w:color w:val="000000" w:themeColor="text1"/>
          <w:sz w:val="24"/>
          <w:szCs w:val="24"/>
          <w:lang w:val="en-GB"/>
        </w:rPr>
        <w:t xml:space="preserve">; </w:t>
      </w:r>
      <w:hyperlink w:anchor="_ENREF_104" w:tooltip="Zhao, 2011 #1053" w:history="1">
        <w:r w:rsidR="00641B32" w:rsidRPr="008C04EC">
          <w:rPr>
            <w:rFonts w:ascii="Times New Roman" w:hAnsi="Times New Roman" w:cs="Times New Roman"/>
            <w:noProof/>
            <w:color w:val="000000" w:themeColor="text1"/>
            <w:sz w:val="24"/>
            <w:szCs w:val="24"/>
            <w:lang w:val="en-GB"/>
          </w:rPr>
          <w:t>Zhao</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2011</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lang w:val="en-GB"/>
        </w:rPr>
        <w:t xml:space="preserve">. For </w:t>
      </w:r>
      <w:r w:rsidRPr="008C04EC">
        <w:rPr>
          <w:rFonts w:ascii="Times New Roman" w:hAnsi="Times New Roman" w:cs="Times New Roman"/>
          <w:color w:val="000000" w:themeColor="text1"/>
          <w:sz w:val="24"/>
          <w:szCs w:val="24"/>
          <w:lang w:val="en-GB"/>
        </w:rPr>
        <w:t xml:space="preserve">example, some studies find that entrepreneurial orientation positively influences how firms function in relation to the competition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&lt;EndNote&gt;&lt;Cite&gt;&lt;Author&gt;Lumpkin&lt;/Author&gt;&lt;Year&gt;1996&lt;/Year&gt;&lt;RecNum&gt;1007&lt;/RecNum&gt;&lt;DisplayText&gt;(Lumpkin &amp;amp; Dess, 1996; Wiklund &amp;amp; Shepherd, 2005)&lt;/DisplayText&gt;&lt;record&gt;&lt;rec-number&gt;1007&lt;/rec-number&gt;&lt;foreign-keys&gt;&lt;key app="EN" db-id="seavxzzzfrf2p7eddfnxx5ep2ar05z0ddwx9"&gt;1007&lt;/key&gt;&lt;/foreign-keys&gt;&lt;ref-type name="Journal Article"&gt;17&lt;/ref-type&gt;&lt;contributors&gt;&lt;authors&gt;&lt;author&gt;Lumpkin, G Tom&lt;/author&gt;&lt;author&gt;Dess, Gregory G&lt;/author&gt;&lt;/authors&gt;&lt;/contributors&gt;&lt;titles&gt;&lt;title&gt;Clarifying the entrepreneurial orientation construct and linking it to performance&lt;/title&gt;&lt;secondary-title&gt;Academy of Management Review&lt;/secondary-title&gt;&lt;/titles&gt;&lt;periodical&gt;&lt;full-title&gt;Academy of management review&lt;/full-title&gt;&lt;/periodical&gt;&lt;pages&gt;135-172&lt;/pages&gt;&lt;volume&gt;21&lt;/volume&gt;&lt;number&gt;1&lt;/number&gt;&lt;dates&gt;&lt;year&gt;1996&lt;/year&gt;&lt;/dates&gt;&lt;publisher&gt;Academy of Management&lt;/publisher&gt;&lt;isbn&gt;0363-7425&lt;/isbn&gt;&lt;urls&gt;&lt;/urls&gt;&lt;/record&gt;&lt;/Cite&gt;&lt;Cite&gt;&lt;Author&gt;Wiklund&lt;/Author&gt;&lt;Year&gt;2005&lt;/Year&gt;&lt;RecNum&gt;1048&lt;/RecNum&gt;&lt;record&gt;&lt;rec-number&gt;1048&lt;/rec-number&gt;&lt;foreign-keys&gt;&lt;key app="EN" db-id="seavxzzzfrf2p7eddfnxx5ep2ar05z0ddwx9"&gt;1048&lt;/key&gt;&lt;/foreign-keys&gt;&lt;ref-type name="Journal Article"&gt;17&lt;/ref-type&gt;&lt;contributors&gt;&lt;authors&gt;&lt;author&gt;Wiklund, Johan&lt;/author&gt;&lt;author&gt;Shepherd, Dean&lt;/author&gt;&lt;/authors&gt;&lt;/contributors&gt;&lt;titles&gt;&lt;title&gt;Entrepreneurial orientation and small business performance: a configurational approach&lt;/title&gt;&lt;secondary-title&gt;Journal of Business Venturing&lt;/secondary-title&gt;&lt;/titles&gt;&lt;periodical&gt;&lt;full-title&gt;Journal of Business Venturing&lt;/full-title&gt;&lt;/periodical&gt;&lt;pages&gt;71-91&lt;/pages&gt;&lt;volume&gt;20&lt;/volume&gt;&lt;number&gt;1&lt;/number&gt;&lt;dates&gt;&lt;year&gt;2005&lt;/year&gt;&lt;/dates&gt;&lt;publisher&gt;Elsevier&lt;/publisher&gt;&lt;isbn&gt;0883-9026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62" w:tooltip="Lumpkin, 1996 #1007" w:history="1">
        <w:r w:rsidR="00641B32" w:rsidRPr="008C04EC">
          <w:rPr>
            <w:rFonts w:ascii="Times New Roman" w:hAnsi="Times New Roman" w:cs="Times New Roman"/>
            <w:noProof/>
            <w:color w:val="000000" w:themeColor="text1"/>
            <w:sz w:val="24"/>
            <w:szCs w:val="24"/>
            <w:lang w:val="en-GB"/>
          </w:rPr>
          <w:t>Lumpkin &amp; Dess, 1996</w:t>
        </w:r>
      </w:hyperlink>
      <w:r w:rsidR="00D30452" w:rsidRPr="008C04EC">
        <w:rPr>
          <w:rFonts w:ascii="Times New Roman" w:hAnsi="Times New Roman" w:cs="Times New Roman"/>
          <w:noProof/>
          <w:color w:val="000000" w:themeColor="text1"/>
          <w:sz w:val="24"/>
          <w:szCs w:val="24"/>
          <w:lang w:val="en-GB"/>
        </w:rPr>
        <w:t xml:space="preserve">; </w:t>
      </w:r>
      <w:hyperlink w:anchor="_ENREF_98" w:tooltip="Wiklund, 2005 #1048" w:history="1">
        <w:r w:rsidR="00641B32" w:rsidRPr="008C04EC">
          <w:rPr>
            <w:rFonts w:ascii="Times New Roman" w:hAnsi="Times New Roman" w:cs="Times New Roman"/>
            <w:noProof/>
            <w:color w:val="000000" w:themeColor="text1"/>
            <w:sz w:val="24"/>
            <w:szCs w:val="24"/>
            <w:lang w:val="en-GB"/>
          </w:rPr>
          <w:t>Wiklund &amp; Shepherd, 2005</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while other studies are unable to find a direct, and positive, correlation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&lt;EndNote&gt;&lt;Cite&gt;&lt;Author&gt;Tang&lt;/Author&gt;&lt;Year&gt;2008&lt;/Year&gt;&lt;RecNum&gt;1119&lt;/RecNum&gt;&lt;DisplayText&gt;(Smart &amp;amp; Conant, 1994; Tang, Tang, Marino, Zhang, &amp;amp; Li, 2008)&lt;/DisplayText&gt;&lt;record&gt;&lt;rec-number&gt;1119&lt;/rec-number&gt;&lt;foreign-keys&gt;&lt;key app="EN" db-id="seavxzzzfrf2p7eddfnxx5ep2ar05z0ddwx9"&gt;1119&lt;/key&gt;&lt;/foreign-keys&gt;&lt;ref-type name="Journal Article"&gt;17&lt;/ref-type&gt;&lt;contributors&gt;&lt;authors&gt;&lt;author&gt;Tang, Jintong&lt;/author&gt;&lt;author&gt;Tang, Zhi&lt;/author&gt;&lt;author&gt;Marino, Louis D&lt;/author&gt;&lt;author&gt;Zhang, Yuli&lt;/author&gt;&lt;author&gt;Li, Qianwen&lt;/author&gt;&lt;/authors&gt;&lt;/contributors&gt;&lt;titles&gt;&lt;title&gt;Exploring an inverted U</w:instrText>
      </w:r>
      <w:r w:rsidR="00D30452" w:rsidRPr="008C04EC">
        <w:rPr>
          <w:rFonts w:ascii="Cambria Math" w:hAnsi="Cambria Math" w:cs="Cambria Math"/>
          <w:color w:val="000000" w:themeColor="text1"/>
          <w:sz w:val="24"/>
          <w:szCs w:val="24"/>
          <w:lang w:val="en-GB"/>
        </w:rPr>
        <w:instrText>‐</w:instrText>
      </w:r>
      <w:r w:rsidR="00D30452" w:rsidRPr="008C04EC">
        <w:rPr>
          <w:rFonts w:ascii="Times New Roman" w:hAnsi="Times New Roman" w:cs="Times New Roman"/>
          <w:color w:val="000000" w:themeColor="text1"/>
          <w:sz w:val="24"/>
          <w:szCs w:val="24"/>
          <w:lang w:val="en-GB"/>
        </w:rPr>
        <w:instrText>Shape relationship between entrepreneurial orientation and performance in Chinese ventures&lt;/title&gt;&lt;secondary-title&gt;Entrepreneurship theory and practice&lt;/secondary-title&gt;&lt;/titles&gt;&lt;periodical&gt;&lt;full-title&gt;Entrepreneurship Theory and Practice&lt;/full-title&gt;&lt;/periodical&gt;&lt;pages&gt;219-239&lt;/pages&gt;&lt;volume&gt;32&lt;/volume&gt;&lt;number&gt;1&lt;/number&gt;&lt;dates&gt;&lt;year&gt;2008&lt;/year&gt;&lt;/dates&gt;&lt;isbn&gt;1540-6520&lt;/isbn&gt;&lt;urls&gt;&lt;/urls&gt;&lt;/record&gt;&lt;/Cite&gt;&lt;Cite&gt;&lt;Author&gt;Smart&lt;/Author&gt;&lt;Year&gt;1994&lt;/Year&gt;&lt;RecNum&gt;1108&lt;/RecNum&gt;&lt;record&gt;&lt;rec-number&gt;1108&lt;/rec-number&gt;&lt;foreign-keys&gt;&lt;key app="EN" db-id="seavxzzzfrf2p7eddfnxx5ep2ar05z0ddwx9"&gt;1108&lt;/key&gt;&lt;/foreign-keys&gt;&lt;ref-type name="Journal Article"&gt;17&lt;/ref-type&gt;&lt;contributors&gt;&lt;authors&gt;&lt;author&gt;Smart, Denise T&lt;/author&gt;&lt;author&gt;Conant, Jeffrey S&lt;/author&gt;&lt;/authors&gt;&lt;/contributors&gt;&lt;titles&gt;&lt;title&gt;Entrepreneurial orientation, distinctive marketing competencies and organizational performance&lt;/title&gt;&lt;secondary-title&gt;Journal of Applied Business Research&lt;/secondary-title&gt;&lt;/titles&gt;&lt;periodical&gt;&lt;full-title&gt;Journal of applied business research&lt;/full-title&gt;&lt;/periodical&gt;&lt;pages&gt;28&lt;/pages&gt;&lt;volume&gt;10&lt;/volume&gt;&lt;number&gt;3&lt;/number&gt;&lt;dates&gt;&lt;year&gt;1994&lt;/year&gt;&lt;/dates&gt;&lt;isbn&gt;0892-7626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86" w:tooltip="Smart, 1994 #1108" w:history="1">
        <w:r w:rsidR="00641B32" w:rsidRPr="008C04EC">
          <w:rPr>
            <w:rFonts w:ascii="Times New Roman" w:hAnsi="Times New Roman" w:cs="Times New Roman"/>
            <w:noProof/>
            <w:color w:val="000000" w:themeColor="text1"/>
            <w:sz w:val="24"/>
            <w:szCs w:val="24"/>
            <w:lang w:val="en-GB"/>
          </w:rPr>
          <w:t>Smart &amp; Conant, 1994</w:t>
        </w:r>
      </w:hyperlink>
      <w:r w:rsidR="00D30452" w:rsidRPr="008C04EC">
        <w:rPr>
          <w:rFonts w:ascii="Times New Roman" w:hAnsi="Times New Roman" w:cs="Times New Roman"/>
          <w:noProof/>
          <w:color w:val="000000" w:themeColor="text1"/>
          <w:sz w:val="24"/>
          <w:szCs w:val="24"/>
          <w:lang w:val="en-GB"/>
        </w:rPr>
        <w:t xml:space="preserve">; </w:t>
      </w:r>
      <w:hyperlink w:anchor="_ENREF_90" w:tooltip="Tang, 2008 #1119" w:history="1">
        <w:r w:rsidR="00641B32" w:rsidRPr="008C04EC">
          <w:rPr>
            <w:rFonts w:ascii="Times New Roman" w:hAnsi="Times New Roman" w:cs="Times New Roman"/>
            <w:noProof/>
            <w:color w:val="000000" w:themeColor="text1"/>
            <w:sz w:val="24"/>
            <w:szCs w:val="24"/>
            <w:lang w:val="en-GB"/>
          </w:rPr>
          <w:t>Tang</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2008</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One group of scholars suggests the reason for these differing accounts is the missing role of organisational learning in the </w:t>
      </w:r>
      <w:r w:rsidRPr="008C04EC">
        <w:rPr>
          <w:rFonts w:ascii="Times New Roman" w:hAnsi="Times New Roman" w:cs="Times New Roman"/>
          <w:color w:val="000000" w:themeColor="text1"/>
          <w:sz w:val="24"/>
          <w:szCs w:val="24"/>
          <w:lang w:val="en-GB"/>
        </w:rPr>
        <w:lastRenderedPageBreak/>
        <w:t xml:space="preserve">entrepreneurial orientation-competitive performance relationship </w:t>
      </w:r>
      <w:r w:rsidRPr="008C04EC">
        <w:rPr>
          <w:rFonts w:ascii="Times New Roman" w:hAnsi="Times New Roman" w:cs="Times New Roman"/>
          <w:color w:val="000000" w:themeColor="text1"/>
          <w:sz w:val="24"/>
          <w:szCs w:val="24"/>
          <w:lang w:val="en-GB"/>
        </w:rPr>
        <w:fldChar w:fldCharType="begin">
          <w:fldData xml:space="preserve">PEVuZE5vdGU+PENpdGU+PEF1dGhvcj5BbGVncmU8L0F1dGhvcj48WWVhcj4yMDEzPC9ZZWFyPjxS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=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PEVuZE5vdGU+PENpdGU+PEF1dGhvcj5BbGVncmU8L0F1dGhvcj48WWVhcj4yMDEzPC9ZZWFyPjxS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=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3" w:tooltip="Alegre, 2013 #1057" w:history="1">
        <w:r w:rsidR="00641B32" w:rsidRPr="008C04EC">
          <w:rPr>
            <w:rFonts w:ascii="Times New Roman" w:hAnsi="Times New Roman" w:cs="Times New Roman"/>
            <w:noProof/>
            <w:color w:val="000000" w:themeColor="text1"/>
            <w:sz w:val="24"/>
            <w:szCs w:val="24"/>
            <w:lang w:val="en-GB"/>
          </w:rPr>
          <w:t>Alegre &amp; Chiva, 2013</w:t>
        </w:r>
      </w:hyperlink>
      <w:r w:rsidR="00D30452" w:rsidRPr="008C04EC">
        <w:rPr>
          <w:rFonts w:ascii="Times New Roman" w:hAnsi="Times New Roman" w:cs="Times New Roman"/>
          <w:noProof/>
          <w:color w:val="000000" w:themeColor="text1"/>
          <w:sz w:val="24"/>
          <w:szCs w:val="24"/>
          <w:lang w:val="en-GB"/>
        </w:rPr>
        <w:t xml:space="preserve">; </w:t>
      </w:r>
      <w:hyperlink w:anchor="_ENREF_76" w:tooltip="Real, 2014 #1056" w:history="1">
        <w:r w:rsidR="00641B32" w:rsidRPr="008C04EC">
          <w:rPr>
            <w:rFonts w:ascii="Times New Roman" w:hAnsi="Times New Roman" w:cs="Times New Roman"/>
            <w:noProof/>
            <w:color w:val="000000" w:themeColor="text1"/>
            <w:sz w:val="24"/>
            <w:szCs w:val="24"/>
            <w:lang w:val="en-GB"/>
          </w:rPr>
          <w:t>Real</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2014</w:t>
        </w:r>
      </w:hyperlink>
      <w:r w:rsidR="00D30452" w:rsidRPr="008C04EC">
        <w:rPr>
          <w:rFonts w:ascii="Times New Roman" w:hAnsi="Times New Roman" w:cs="Times New Roman"/>
          <w:noProof/>
          <w:color w:val="000000" w:themeColor="text1"/>
          <w:sz w:val="24"/>
          <w:szCs w:val="24"/>
          <w:lang w:val="en-GB"/>
        </w:rPr>
        <w:t xml:space="preserve">; </w:t>
      </w:r>
      <w:hyperlink w:anchor="_ENREF_94" w:tooltip="Toutain, 2017 #1110" w:history="1">
        <w:r w:rsidR="00641B32" w:rsidRPr="008C04EC">
          <w:rPr>
            <w:rFonts w:ascii="Times New Roman" w:hAnsi="Times New Roman" w:cs="Times New Roman"/>
            <w:noProof/>
            <w:color w:val="000000" w:themeColor="text1"/>
            <w:sz w:val="24"/>
            <w:szCs w:val="24"/>
            <w:lang w:val="en-GB"/>
          </w:rPr>
          <w:t>Toutain</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2017</w:t>
        </w:r>
      </w:hyperlink>
      <w:r w:rsidR="00D30452" w:rsidRPr="008C04EC">
        <w:rPr>
          <w:rFonts w:ascii="Times New Roman" w:hAnsi="Times New Roman" w:cs="Times New Roman"/>
          <w:noProof/>
          <w:color w:val="000000" w:themeColor="text1"/>
          <w:sz w:val="24"/>
          <w:szCs w:val="24"/>
          <w:lang w:val="en-GB"/>
        </w:rPr>
        <w:t xml:space="preserve">; </w:t>
      </w:r>
      <w:hyperlink w:anchor="_ENREF_95" w:tooltip="Wang, 2008 #1068" w:history="1">
        <w:r w:rsidR="00641B32" w:rsidRPr="008C04EC">
          <w:rPr>
            <w:rFonts w:ascii="Times New Roman" w:hAnsi="Times New Roman" w:cs="Times New Roman"/>
            <w:noProof/>
            <w:color w:val="000000" w:themeColor="text1"/>
            <w:sz w:val="24"/>
            <w:szCs w:val="24"/>
            <w:lang w:val="en-GB"/>
          </w:rPr>
          <w:t>Wang, 2008</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An increasing number of studies have found that firms with a well-developed entrepreneurial orientation consider learning an important source of competitive advantage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&lt;EndNote&gt;&lt;Cite&gt;&lt;Author&gt;Zhao&lt;/Author&gt;&lt;Year&gt;2011&lt;/Year&gt;&lt;RecNum&gt;1053&lt;/RecNum&gt;&lt;DisplayText&gt;(Zhao et al., 2011)&lt;/DisplayText&gt;&lt;record&gt;&lt;rec-number&gt;1053&lt;/rec-number&gt;&lt;foreign-keys&gt;&lt;key app="EN" db-id="seavxzzzfrf2p7eddfnxx5ep2ar05z0ddwx9"&gt;1053&lt;/key&gt;&lt;/foreign-keys&gt;&lt;ref-type name="Journal Article"&gt;17&lt;/ref-type&gt;&lt;contributors&gt;&lt;authors&gt;&lt;author&gt;Zhao, Yongbin&lt;/author&gt;&lt;author&gt;Li, Yuan&lt;/author&gt;&lt;author&gt;Lee, Soo Hoon&lt;/author&gt;&lt;author&gt;Chen, Long Bo&lt;/author&gt;&lt;/authors&gt;&lt;/contributors&gt;&lt;titles&gt;&lt;title&gt;Entrepreneurial orientation, organizational learning, and performance: Evidence from China&lt;/title&gt;&lt;secondary-title&gt;Entrepreneurship Theory and Practice&lt;/secondary-title&gt;&lt;/titles&gt;&lt;periodical&gt;&lt;full-title&gt;Entrepreneurship Theory and Practice&lt;/full-title&gt;&lt;/periodical&gt;&lt;pages&gt;293-317&lt;/pages&gt;&lt;volume&gt;35&lt;/volume&gt;&lt;number&gt;2&lt;/number&gt;&lt;dates&gt;&lt;year&gt;2011&lt;/year&gt;&lt;/dates&gt;&lt;publisher&gt;Wiley Online Library&lt;/publisher&gt;&lt;isbn&gt;1540-6520&lt;/isbn&gt;&lt;urls&gt;&lt;/urls&gt;&lt;/record&gt;&lt;/Cite&gt;&lt;/EndNote&gt;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104" w:tooltip="Zhao, 2011 #1053" w:history="1">
        <w:r w:rsidR="00641B32" w:rsidRPr="008C04EC">
          <w:rPr>
            <w:rFonts w:ascii="Times New Roman" w:hAnsi="Times New Roman" w:cs="Times New Roman"/>
            <w:color w:val="000000" w:themeColor="text1"/>
            <w:sz w:val="24"/>
            <w:szCs w:val="24"/>
            <w:lang w:val="en-GB"/>
          </w:rPr>
          <w:t>Zhao et al., 2011</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For example, Miller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ZOTERO_ITEM CSL_CITATION {"citationID":"sfmI9ENP","properties":{"formattedCitation":"(1983)","plainCitation":"(1983)","noteIndex":0},"citationItems":[{"id":4296,"uris":["http://zotero.org/users/3209486/items/SPDBIXG6"],"uri":["http://zotero.org/users/3209486/items/SPDBIXG6"],"itemData":{"id":4296,"type":"article-journal","title":"The correlates of entrepreneurship in three types of firms","container-title":"Management Science","page":"770-791","volume":"29","author":[{"family":"Miller","given":"Daniel"}],"issued":{"date-parts":[["1983"]]}},"suppress-author":true}],"schema":"https://github.com/citation-style-language/schema/raw/master/csl-citation.json"} </w:instrText>
      </w:r>
      <w:r w:rsidRPr="008C04EC">
        <w:rPr>
          <w:rFonts w:ascii="Times New Roman" w:hAnsi="Times New Roman" w:cs="Times New Roman"/>
          <w:color w:val="000000" w:themeColor="text1"/>
          <w:sz w:val="24"/>
          <w:szCs w:val="24"/>
          <w:lang w:val="en-GB"/>
        </w:rPr>
        <w:fldChar w:fldCharType="separate"/>
      </w:r>
      <w:r w:rsidR="007061B5" w:rsidRPr="008C04EC">
        <w:rPr>
          <w:rFonts w:ascii="Times New Roman" w:hAnsi="Times New Roman" w:cs="Times New Roman"/>
          <w:color w:val="000000" w:themeColor="text1"/>
          <w:sz w:val="24"/>
        </w:rPr>
        <w:t>(1983)</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argued that an entrepreneurial posture shapes a firm’s learning competencies because it institutionalises the pursuit of innovation and learning, and minimises change resistance through openness in knowledge sharing </w:t>
      </w:r>
      <w:r w:rsidRPr="008C04EC">
        <w:rPr>
          <w:rFonts w:ascii="Times New Roman" w:eastAsia="Times New Roman" w:hAnsi="Times New Roman" w:cs="Times New Roman"/>
          <w:color w:val="000000" w:themeColor="text1"/>
          <w:sz w:val="24"/>
          <w:szCs w:val="24"/>
          <w:lang w:val="en-GB"/>
        </w:rPr>
        <w:fldChar w:fldCharType="begin"/>
      </w:r>
      <w:r w:rsidR="00D30452" w:rsidRPr="008C04EC">
        <w:rPr>
          <w:rFonts w:ascii="Times New Roman" w:eastAsia="Times New Roman" w:hAnsi="Times New Roman" w:cs="Times New Roman"/>
          <w:color w:val="000000" w:themeColor="text1"/>
          <w:sz w:val="24"/>
          <w:szCs w:val="24"/>
          <w:lang w:val="en-GB"/>
        </w:rPr>
        <w:instrText xml:space="preserve"> ADDIN EN.CITE &lt;EndNote&gt;&lt;Cite&gt;&lt;Author&gt;Bierly&lt;/Author&gt;&lt;Year&gt;2009&lt;/Year&gt;&lt;RecNum&gt;1055&lt;/RecNum&gt;&lt;DisplayText&gt;(Bierly, Damanpour, &amp;amp; Santoro, 2009)&lt;/DisplayText&gt;&lt;record&gt;&lt;rec-number&gt;1055&lt;/rec-number&gt;&lt;foreign-keys&gt;&lt;key app="EN" db-id="seavxzzzfrf2p7eddfnxx5ep2ar05z0ddwx9"&gt;1055&lt;/key&gt;&lt;/foreign-keys&gt;&lt;ref-type name="Journal Article"&gt;17&lt;/ref-type&gt;&lt;contributors&gt;&lt;authors&gt;&lt;author&gt;Bierly, Paul E&lt;/author&gt;&lt;author&gt;Damanpour, Fariborz&lt;/author&gt;&lt;author&gt;Santoro, Michael D&lt;/author&gt;&lt;/authors&gt;&lt;/contributors&gt;&lt;titles&gt;&lt;title&gt;The application of external knowledge: organizational conditions for exploration and exploitation&lt;/title&gt;&lt;secondary-title&gt;Journal of Management Studies&lt;/secondary-title&gt;&lt;/titles&gt;&lt;periodical&gt;&lt;full-title&gt;Journal of Management Studies&lt;/full-title&gt;&lt;/periodical&gt;&lt;pages&gt;481-509&lt;/pages&gt;&lt;volume&gt;46&lt;/volume&gt;&lt;number&gt;3&lt;/number&gt;&lt;dates&gt;&lt;year&gt;2009&lt;/year&gt;&lt;/dates&gt;&lt;publisher&gt;Wiley Online Library&lt;/publisher&gt;&lt;isbn&gt;1467-6486&lt;/isbn&gt;&lt;urls&gt;&lt;/urls&gt;&lt;/record&gt;&lt;/Cite&gt;&lt;/EndNote&gt;</w:instrText>
      </w:r>
      <w:r w:rsidRPr="008C04EC">
        <w:rPr>
          <w:rFonts w:ascii="Times New Roman" w:eastAsia="Times New Roman" w:hAnsi="Times New Roman" w:cs="Times New Roman"/>
          <w:color w:val="000000" w:themeColor="text1"/>
          <w:sz w:val="24"/>
          <w:szCs w:val="24"/>
          <w:lang w:val="en-GB"/>
        </w:rPr>
        <w:fldChar w:fldCharType="separate"/>
      </w:r>
      <w:r w:rsidR="00D30452" w:rsidRPr="008C04EC">
        <w:rPr>
          <w:rFonts w:ascii="Times New Roman" w:eastAsia="Times New Roman" w:hAnsi="Times New Roman" w:cs="Times New Roman"/>
          <w:noProof/>
          <w:color w:val="000000" w:themeColor="text1"/>
          <w:sz w:val="24"/>
          <w:szCs w:val="24"/>
          <w:lang w:val="en-GB"/>
        </w:rPr>
        <w:t>(</w:t>
      </w:r>
      <w:hyperlink w:anchor="_ENREF_11" w:tooltip="Bierly, 2009 #1055" w:history="1">
        <w:r w:rsidR="00641B32" w:rsidRPr="008C04EC">
          <w:rPr>
            <w:rFonts w:ascii="Times New Roman" w:eastAsia="Times New Roman" w:hAnsi="Times New Roman" w:cs="Times New Roman"/>
            <w:noProof/>
            <w:color w:val="000000" w:themeColor="text1"/>
            <w:sz w:val="24"/>
            <w:szCs w:val="24"/>
            <w:lang w:val="en-GB"/>
          </w:rPr>
          <w:t>Bierly</w:t>
        </w:r>
        <w:r w:rsidR="00F646FA">
          <w:rPr>
            <w:rFonts w:ascii="Times New Roman" w:eastAsia="Times New Roman" w:hAnsi="Times New Roman" w:cs="Times New Roman"/>
            <w:noProof/>
            <w:color w:val="000000" w:themeColor="text1"/>
            <w:sz w:val="24"/>
            <w:szCs w:val="24"/>
            <w:lang w:val="en-GB"/>
          </w:rPr>
          <w:t xml:space="preserve"> et al. </w:t>
        </w:r>
        <w:r w:rsidR="00641B32" w:rsidRPr="008C04EC">
          <w:rPr>
            <w:rFonts w:ascii="Times New Roman" w:eastAsia="Times New Roman" w:hAnsi="Times New Roman" w:cs="Times New Roman"/>
            <w:noProof/>
            <w:color w:val="000000" w:themeColor="text1"/>
            <w:sz w:val="24"/>
            <w:szCs w:val="24"/>
            <w:lang w:val="en-GB"/>
          </w:rPr>
          <w:t>2009</w:t>
        </w:r>
      </w:hyperlink>
      <w:r w:rsidR="00D30452" w:rsidRPr="008C04EC">
        <w:rPr>
          <w:rFonts w:ascii="Times New Roman" w:eastAsia="Times New Roman" w:hAnsi="Times New Roman" w:cs="Times New Roman"/>
          <w:noProof/>
          <w:color w:val="000000" w:themeColor="text1"/>
          <w:sz w:val="24"/>
          <w:szCs w:val="24"/>
          <w:lang w:val="en-GB"/>
        </w:rPr>
        <w:t>)</w:t>
      </w:r>
      <w:r w:rsidRPr="008C04EC">
        <w:rPr>
          <w:rFonts w:ascii="Times New Roman" w:eastAsia="Times New Roman" w:hAnsi="Times New Roman" w:cs="Times New Roman"/>
          <w:color w:val="000000" w:themeColor="text1"/>
          <w:sz w:val="24"/>
          <w:szCs w:val="24"/>
          <w:lang w:val="en-GB"/>
        </w:rPr>
        <w:fldChar w:fldCharType="end"/>
      </w:r>
      <w:r w:rsidRPr="008C04EC">
        <w:rPr>
          <w:rFonts w:ascii="Times New Roman" w:eastAsia="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A higher level of entrepreneurial orientation is said to correspond to a firm’s ability to learn about innovative ideas, introduce new products and services, and experiment with new resource combinations in pursuit of success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&lt;EndNote&gt;&lt;Cite&gt;&lt;Author&gt;Li&lt;/Author&gt;&lt;Year&gt;2011&lt;/Year&gt;&lt;RecNum&gt;1046&lt;/RecNum&gt;&lt;DisplayText&gt;(Li, Liu, &amp;amp; Liu, 2011)&lt;/DisplayText&gt;&lt;record&gt;&lt;rec-number&gt;1046&lt;/rec-number&gt;&lt;foreign-keys&gt;&lt;key app="EN" db-id="seavxzzzfrf2p7eddfnxx5ep2ar05z0ddwx9"&gt;1046&lt;/key&gt;&lt;/foreign-keys&gt;&lt;ref-type name="Journal Article"&gt;17&lt;/ref-type&gt;&lt;contributors&gt;&lt;authors&gt;&lt;author&gt;Li, Yuan&lt;/author&gt;&lt;author&gt;Liu, Yi&lt;/author&gt;&lt;author&gt;Liu, Heng&lt;/author&gt;&lt;/authors&gt;&lt;/contributors&gt;&lt;titles&gt;&lt;title&gt;Co-opetition, distributor&amp;apos;s entrepreneurial orientation and manufacturer&amp;apos;s knowledge acquisition: Evidence from China&lt;/title&gt;&lt;secondary-title&gt;Journal of Operations Management&lt;/secondary-title&gt;&lt;/titles&gt;&lt;periodical&gt;&lt;full-title&gt;Journal of Operations Management&lt;/full-title&gt;&lt;/periodical&gt;&lt;pages&gt;128-142&lt;/pages&gt;&lt;volume&gt;29&lt;/volume&gt;&lt;number&gt;1&lt;/number&gt;&lt;dates&gt;&lt;year&gt;2011&lt;/year&gt;&lt;/dates&gt;&lt;publisher&gt;Elsevier&lt;/publisher&gt;&lt;isbn&gt;0272-6963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60" w:tooltip="Li, 2011 #1046" w:history="1">
        <w:r w:rsidR="00641B32" w:rsidRPr="008C04EC">
          <w:rPr>
            <w:rFonts w:ascii="Times New Roman" w:hAnsi="Times New Roman" w:cs="Times New Roman"/>
            <w:noProof/>
            <w:color w:val="000000" w:themeColor="text1"/>
            <w:sz w:val="24"/>
            <w:szCs w:val="24"/>
            <w:lang w:val="en-GB"/>
          </w:rPr>
          <w:t>Li</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2011</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00605AC6" w:rsidRPr="008C04EC">
        <w:rPr>
          <w:rFonts w:ascii="Times New Roman" w:hAnsi="Times New Roman" w:cs="Times New Roman"/>
          <w:color w:val="000000" w:themeColor="text1"/>
          <w:sz w:val="24"/>
          <w:szCs w:val="24"/>
          <w:lang w:val="en-GB"/>
        </w:rPr>
        <w:t xml:space="preserve">. </w:t>
      </w:r>
    </w:p>
    <w:p w14:paraId="07B8840C" w14:textId="7DC41F7D" w:rsidR="005249CB" w:rsidRPr="008C04EC" w:rsidRDefault="005249CB" w:rsidP="005249CB">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Other studies have found that firms with high levels of entrepreneurial orientation have a higher propensity to acquire and utilise marketplace information </w:t>
      </w:r>
      <w:r w:rsidRPr="008C04EC">
        <w:rPr>
          <w:rFonts w:ascii="Times New Roman" w:hAnsi="Times New Roman" w:cs="Times New Roman"/>
          <w:color w:val="000000" w:themeColor="text1"/>
          <w:sz w:val="24"/>
          <w:szCs w:val="24"/>
          <w:lang w:val="en-GB"/>
        </w:rPr>
        <w:fldChar w:fldCharType="begin">
          <w:fldData xml:space="preserve">PEVuZE5vdGU+PENpdGU+PEF1dGhvcj5BbmRlcnNvbjwvQXV0aG9yPjxZZWFyPjIwMDk8L1llYXI+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PEVuZE5vdGU+PENpdGU+PEF1dGhvcj5BbmRlcnNvbjwvQXV0aG9yPjxZZWFyPjIwMDk8L1llYXI+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5" w:tooltip="Anderson, 2009 #1059" w:history="1">
        <w:r w:rsidR="00641B32" w:rsidRPr="008C04EC">
          <w:rPr>
            <w:rFonts w:ascii="Times New Roman" w:hAnsi="Times New Roman" w:cs="Times New Roman"/>
            <w:noProof/>
            <w:color w:val="000000" w:themeColor="text1"/>
            <w:sz w:val="24"/>
            <w:szCs w:val="24"/>
            <w:lang w:val="en-GB"/>
          </w:rPr>
          <w:t>Anderson</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2009</w:t>
        </w:r>
      </w:hyperlink>
      <w:r w:rsidR="00D30452" w:rsidRPr="008C04EC">
        <w:rPr>
          <w:rFonts w:ascii="Times New Roman" w:hAnsi="Times New Roman" w:cs="Times New Roman"/>
          <w:noProof/>
          <w:color w:val="000000" w:themeColor="text1"/>
          <w:sz w:val="24"/>
          <w:szCs w:val="24"/>
          <w:lang w:val="en-GB"/>
        </w:rPr>
        <w:t xml:space="preserve">; </w:t>
      </w:r>
      <w:hyperlink w:anchor="_ENREF_46" w:tooltip="Hughes, 2007 #1070" w:history="1">
        <w:r w:rsidR="00641B32" w:rsidRPr="008C04EC">
          <w:rPr>
            <w:rFonts w:ascii="Times New Roman" w:hAnsi="Times New Roman" w:cs="Times New Roman"/>
            <w:noProof/>
            <w:color w:val="000000" w:themeColor="text1"/>
            <w:sz w:val="24"/>
            <w:szCs w:val="24"/>
            <w:lang w:val="en-GB"/>
          </w:rPr>
          <w:t>Hughes</w:t>
        </w:r>
        <w:r w:rsidR="00F646FA">
          <w:rPr>
            <w:rFonts w:ascii="Times New Roman" w:hAnsi="Times New Roman" w:cs="Times New Roman"/>
            <w:noProof/>
            <w:color w:val="000000" w:themeColor="text1"/>
            <w:sz w:val="24"/>
            <w:szCs w:val="24"/>
            <w:lang w:val="en-GB"/>
          </w:rPr>
          <w:t xml:space="preserve"> et al., </w:t>
        </w:r>
        <w:r w:rsidR="00641B32" w:rsidRPr="008C04EC">
          <w:rPr>
            <w:rFonts w:ascii="Times New Roman" w:hAnsi="Times New Roman" w:cs="Times New Roman"/>
            <w:noProof/>
            <w:color w:val="000000" w:themeColor="text1"/>
            <w:sz w:val="24"/>
            <w:szCs w:val="24"/>
            <w:lang w:val="en-GB"/>
          </w:rPr>
          <w:t>2007</w:t>
        </w:r>
      </w:hyperlink>
      <w:r w:rsidR="00D30452" w:rsidRPr="008C04EC">
        <w:rPr>
          <w:rFonts w:ascii="Times New Roman" w:hAnsi="Times New Roman" w:cs="Times New Roman"/>
          <w:noProof/>
          <w:color w:val="000000" w:themeColor="text1"/>
          <w:sz w:val="24"/>
          <w:szCs w:val="24"/>
          <w:lang w:val="en-GB"/>
        </w:rPr>
        <w:t xml:space="preserve">; </w:t>
      </w:r>
      <w:hyperlink w:anchor="_ENREF_51" w:tooltip="Keh, 2007 #1061" w:history="1">
        <w:r w:rsidR="00641B32" w:rsidRPr="008C04EC">
          <w:rPr>
            <w:rFonts w:ascii="Times New Roman" w:hAnsi="Times New Roman" w:cs="Times New Roman"/>
            <w:noProof/>
            <w:color w:val="000000" w:themeColor="text1"/>
            <w:sz w:val="24"/>
            <w:szCs w:val="24"/>
            <w:lang w:val="en-GB"/>
          </w:rPr>
          <w:t>Keh</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2007</w:t>
        </w:r>
      </w:hyperlink>
      <w:r w:rsidR="00D30452" w:rsidRPr="008C04EC">
        <w:rPr>
          <w:rFonts w:ascii="Times New Roman" w:hAnsi="Times New Roman" w:cs="Times New Roman"/>
          <w:noProof/>
          <w:color w:val="000000" w:themeColor="text1"/>
          <w:sz w:val="24"/>
          <w:szCs w:val="24"/>
          <w:lang w:val="en-GB"/>
        </w:rPr>
        <w:t xml:space="preserve">; </w:t>
      </w:r>
      <w:hyperlink w:anchor="_ENREF_79" w:tooltip="Sapienza, 2005 #1221" w:history="1">
        <w:r w:rsidR="00641B32" w:rsidRPr="008C04EC">
          <w:rPr>
            <w:rFonts w:ascii="Times New Roman" w:hAnsi="Times New Roman" w:cs="Times New Roman"/>
            <w:noProof/>
            <w:color w:val="000000" w:themeColor="text1"/>
            <w:sz w:val="24"/>
            <w:szCs w:val="24"/>
            <w:lang w:val="en-GB"/>
          </w:rPr>
          <w:t>Sapienza</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2005</w:t>
        </w:r>
      </w:hyperlink>
      <w:r w:rsidR="00D30452" w:rsidRPr="008C04EC">
        <w:rPr>
          <w:rFonts w:ascii="Times New Roman" w:hAnsi="Times New Roman" w:cs="Times New Roman"/>
          <w:noProof/>
          <w:color w:val="000000" w:themeColor="text1"/>
          <w:sz w:val="24"/>
          <w:szCs w:val="24"/>
          <w:lang w:val="en-GB"/>
        </w:rPr>
        <w:t xml:space="preserve">; </w:t>
      </w:r>
      <w:hyperlink w:anchor="_ENREF_87" w:tooltip="Spekman, 2002 #460" w:history="1">
        <w:r w:rsidR="00641B32" w:rsidRPr="008C04EC">
          <w:rPr>
            <w:rFonts w:ascii="Times New Roman" w:hAnsi="Times New Roman" w:cs="Times New Roman"/>
            <w:noProof/>
            <w:color w:val="000000" w:themeColor="text1"/>
            <w:sz w:val="24"/>
            <w:szCs w:val="24"/>
            <w:lang w:val="en-GB"/>
          </w:rPr>
          <w:t>Spekman et al., 2002</w:t>
        </w:r>
      </w:hyperlink>
      <w:r w:rsidR="00D30452" w:rsidRPr="008C04EC">
        <w:rPr>
          <w:rFonts w:ascii="Times New Roman" w:hAnsi="Times New Roman" w:cs="Times New Roman"/>
          <w:noProof/>
          <w:color w:val="000000" w:themeColor="text1"/>
          <w:sz w:val="24"/>
          <w:szCs w:val="24"/>
          <w:lang w:val="en-GB"/>
        </w:rPr>
        <w:t xml:space="preserve">; </w:t>
      </w:r>
      <w:hyperlink w:anchor="_ENREF_104" w:tooltip="Zhao, 2011 #1053" w:history="1">
        <w:r w:rsidR="00641B32" w:rsidRPr="008C04EC">
          <w:rPr>
            <w:rFonts w:ascii="Times New Roman" w:hAnsi="Times New Roman" w:cs="Times New Roman"/>
            <w:noProof/>
            <w:color w:val="000000" w:themeColor="text1"/>
            <w:sz w:val="24"/>
            <w:szCs w:val="24"/>
            <w:lang w:val="en-GB"/>
          </w:rPr>
          <w:t>Zhao et al., 2011</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For example, an empirical study by </w:t>
      </w:r>
      <w:hyperlink w:anchor="_ENREF_79" w:tooltip="Sapienza, 2005 #1221" w:history="1">
        <w:r w:rsidR="00641B32" w:rsidRPr="008C04EC">
          <w:rPr>
            <w:rFonts w:ascii="Times New Roman" w:hAnsi="Times New Roman" w:cs="Times New Roman"/>
            <w:color w:val="000000" w:themeColor="text1"/>
            <w:sz w:val="24"/>
            <w:szCs w:val="24"/>
            <w:lang w:val="en-GB"/>
          </w:rPr>
          <w:fldChar w:fldCharType="begin"/>
        </w:r>
        <w:r w:rsidR="00641B32" w:rsidRPr="008C04EC">
          <w:rPr>
            <w:rFonts w:ascii="Times New Roman" w:hAnsi="Times New Roman" w:cs="Times New Roman"/>
            <w:color w:val="000000" w:themeColor="text1"/>
            <w:sz w:val="24"/>
            <w:szCs w:val="24"/>
            <w:lang w:val="en-GB"/>
          </w:rPr>
          <w:instrText xml:space="preserve"> ADDIN EN.CITE &lt;EndNote&gt;&lt;Cite AuthorYear="1"&gt;&lt;Author&gt;Sapienza&lt;/Author&gt;&lt;Year&gt;2005&lt;/Year&gt;&lt;RecNum&gt;1221&lt;/RecNum&gt;&lt;DisplayText&gt;Sapienza et al. (2005)&lt;/DisplayText&gt;&lt;record&gt;&lt;rec-number&gt;1221&lt;/rec-number&gt;&lt;foreign-keys&gt;&lt;key app="EN" db-id="seavxzzzfrf2p7eddfnxx5ep2ar05z0ddwx9"&gt;1221&lt;/key&gt;&lt;/foreign-keys&gt;&lt;ref-type name="Journal Article"&gt;17&lt;/ref-type&gt;&lt;contributors&gt;&lt;authors&gt;&lt;author&gt;Sapienza, Harry J&lt;/author&gt;&lt;author&gt;De Clercq, Dirk&lt;/author&gt;&lt;author&gt;Sandberg, William R&lt;/author&gt;&lt;/authors&gt;&lt;/contributors&gt;&lt;titles&gt;&lt;title&gt;Antecedents of international and domestic learning effort&lt;/title&gt;&lt;secondary-title&gt;Journal of Business Venturing&lt;/secondary-title&gt;&lt;/titles&gt;&lt;periodical&gt;&lt;full-title&gt;Journal of Business Venturing&lt;/full-title&gt;&lt;/periodical&gt;&lt;pages&gt;437-457&lt;/pages&gt;&lt;volume&gt;20&lt;/volume&gt;&lt;number&gt;4&lt;/number&gt;&lt;dates&gt;&lt;year&gt;2005&lt;/year&gt;&lt;/dates&gt;&lt;isbn&gt;0883-9026&lt;/isbn&gt;&lt;urls&gt;&lt;/urls&gt;&lt;/record&gt;&lt;/Cite&gt;&lt;/EndNote&gt;</w:instrText>
        </w:r>
        <w:r w:rsidR="00641B32" w:rsidRPr="008C04EC">
          <w:rPr>
            <w:rFonts w:ascii="Times New Roman" w:hAnsi="Times New Roman" w:cs="Times New Roman"/>
            <w:color w:val="000000" w:themeColor="text1"/>
            <w:sz w:val="24"/>
            <w:szCs w:val="24"/>
            <w:lang w:val="en-GB"/>
          </w:rPr>
          <w:fldChar w:fldCharType="separate"/>
        </w:r>
        <w:r w:rsidR="00641B32" w:rsidRPr="008C04EC">
          <w:rPr>
            <w:rFonts w:ascii="Times New Roman" w:hAnsi="Times New Roman" w:cs="Times New Roman"/>
            <w:color w:val="000000" w:themeColor="text1"/>
            <w:sz w:val="24"/>
            <w:szCs w:val="24"/>
            <w:lang w:val="en-GB"/>
          </w:rPr>
          <w:t>Sapienza et al. (2005)</w:t>
        </w:r>
        <w:r w:rsidR="00641B32" w:rsidRPr="008C04EC">
          <w:rPr>
            <w:rFonts w:ascii="Times New Roman" w:hAnsi="Times New Roman" w:cs="Times New Roman"/>
            <w:color w:val="000000" w:themeColor="text1"/>
            <w:sz w:val="24"/>
            <w:szCs w:val="24"/>
            <w:lang w:val="en-GB"/>
          </w:rPr>
          <w:fldChar w:fldCharType="end"/>
        </w:r>
      </w:hyperlink>
      <w:r w:rsidRPr="008C04EC">
        <w:rPr>
          <w:rFonts w:ascii="Times New Roman" w:hAnsi="Times New Roman" w:cs="Times New Roman"/>
          <w:color w:val="000000" w:themeColor="text1"/>
          <w:sz w:val="24"/>
          <w:szCs w:val="24"/>
          <w:lang w:val="en-GB"/>
        </w:rPr>
        <w:t xml:space="preserve"> concluded that entrepreneurial orientation is positively associated with an organisational culture that encourages learning efforts. In similar studies, Anderson et al. (2009) and Bierly et al.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ExcludeAuth="1"&gt;&lt;Author&gt;Bierly&lt;/Author&gt;&lt;Year&gt;2009&lt;/Year&gt;&lt;RecNum&gt;1055&lt;/RecNum&gt;&lt;DisplayText&gt;(2009)&lt;/DisplayText&gt;&lt;record&gt;&lt;rec-number&gt;1055&lt;/rec-number&gt;&lt;foreign-keys&gt;&lt;key app="EN" db-id="seavxzzzfrf2p7eddfnxx5ep2ar05z0ddwx9"&gt;1055&lt;/key&gt;&lt;/foreign-keys&gt;&lt;ref-type name="Journal Article"&gt;17&lt;/ref-type&gt;&lt;contributors&gt;&lt;authors&gt;&lt;author&gt;Bierly, Paul E&lt;/author&gt;&lt;author&gt;Damanpour, Fariborz&lt;/author&gt;&lt;author&gt;Santoro, Michael D&lt;/author&gt;&lt;/authors&gt;&lt;/contributors&gt;&lt;titles&gt;&lt;title&gt;The application of external knowledge: organizational conditions for exploration and exploitation&lt;/title&gt;&lt;secondary-title&gt;Journal of Management Studies&lt;/secondary-title&gt;&lt;/titles&gt;&lt;periodical&gt;&lt;full-title&gt;Journal of Management Studies&lt;/full-title&gt;&lt;/periodical&gt;&lt;pages&gt;481-509&lt;/pages&gt;&lt;volume&gt;46&lt;/volume&gt;&lt;number&gt;3&lt;/number&gt;&lt;dates&gt;&lt;year&gt;2009&lt;/year&gt;&lt;/dates&gt;&lt;publisher&gt;Wiley Online Library&lt;/publisher&gt;&lt;isbn&gt;1467-6486&lt;/isbn&gt;&lt;urls&gt;&lt;/urls&gt;&lt;/record&gt;&lt;/Cite&gt;&lt;/EndNote&gt;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11" w:tooltip="Bierly, 2009 #1055" w:history="1">
        <w:r w:rsidR="00641B32" w:rsidRPr="008C04EC">
          <w:rPr>
            <w:rFonts w:ascii="Times New Roman" w:hAnsi="Times New Roman" w:cs="Times New Roman"/>
            <w:color w:val="000000" w:themeColor="text1"/>
            <w:sz w:val="24"/>
            <w:szCs w:val="24"/>
            <w:lang w:val="en-GB"/>
          </w:rPr>
          <w:t>2009</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found that entrepreneurial orientation has a significant impact on the exploration element of knowledge acquisition. Kreiser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ExcludeAuth="1"&gt;&lt;Author&gt;Kreiser&lt;/Author&gt;&lt;Year&gt;2011&lt;/Year&gt;&lt;RecNum&gt;1054&lt;/RecNum&gt;&lt;DisplayText&gt;(2011)&lt;/DisplayText&gt;&lt;record&gt;&lt;rec-number&gt;1054&lt;/rec-number&gt;&lt;foreign-keys&gt;&lt;key app="EN" db-id="seavxzzzfrf2p7eddfnxx5ep2ar05z0ddwx9"&gt;1054&lt;/key&gt;&lt;/foreign-keys&gt;&lt;ref-type name="Journal Article"&gt;17&lt;/ref-type&gt;&lt;contributors&gt;&lt;authors&gt;&lt;author&gt;Kreiser, Patrick M&lt;/author&gt;&lt;/authors&gt;&lt;/contributors&gt;&lt;titles&gt;&lt;title&gt;Entrepreneurial orientation and organizational learning: The impact of network range and network closure&lt;/title&gt;&lt;secondary-title&gt;Entrepreneurship Theory and Practice&lt;/secondary-title&gt;&lt;/titles&gt;&lt;periodical&gt;&lt;full-title&gt;Entrepreneurship Theory and Practice&lt;/full-title&gt;&lt;/periodical&gt;&lt;pages&gt;1025-1050&lt;/pages&gt;&lt;volume&gt;35&lt;/volume&gt;&lt;number&gt;5&lt;/number&gt;&lt;dates&gt;&lt;year&gt;2011&lt;/year&gt;&lt;/dates&gt;&lt;publisher&gt;Wiley Online Library&lt;/publisher&gt;&lt;isbn&gt;1540-6520&lt;/isbn&gt;&lt;urls&gt;&lt;/urls&gt;&lt;/record&gt;&lt;/Cite&gt;&lt;/EndNote&gt;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55" w:tooltip="Kreiser, 2011 #1054" w:history="1">
        <w:r w:rsidR="00641B32" w:rsidRPr="008C04EC">
          <w:rPr>
            <w:rFonts w:ascii="Times New Roman" w:hAnsi="Times New Roman" w:cs="Times New Roman"/>
            <w:color w:val="000000" w:themeColor="text1"/>
            <w:sz w:val="24"/>
            <w:szCs w:val="24"/>
            <w:lang w:val="en-GB"/>
          </w:rPr>
          <w:t>2011</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summarised these arguments saying that all three dimensions of entrepreneurial orientation (innovation, risk-taking and pro-activeness) facilitate learning. Specifically, innovativeness makes a firm more receptive to new information, risk-taking enhances the willingness of managers to face uncertain situations, and pro-activeness</w:t>
      </w:r>
      <w:r w:rsidRPr="008C04EC">
        <w:rPr>
          <w:rFonts w:ascii="Times New Roman" w:hAnsi="Times New Roman" w:cs="Times New Roman"/>
          <w:i/>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encourages managers to acquire and integrate new information in the quest to develop and maintain a competitive edge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&lt;EndNote&gt;&lt;Cite&gt;&lt;Author&gt;Kreiser&lt;/Author&gt;&lt;Year&gt;2011&lt;/Year&gt;&lt;RecNum&gt;1054&lt;/RecNum&gt;&lt;DisplayText&gt;(Kreiser, 2011)&lt;/DisplayText&gt;&lt;record&gt;&lt;rec-number&gt;1054&lt;/rec-number&gt;&lt;foreign-keys&gt;&lt;key app="EN" db-id="seavxzzzfrf2p7eddfnxx5ep2ar05z0ddwx9"&gt;1054&lt;/key&gt;&lt;/foreign-keys&gt;&lt;ref-type name="Journal Article"&gt;17&lt;/ref-type&gt;&lt;contributors&gt;&lt;authors&gt;&lt;author&gt;Kreiser, Patrick M&lt;/author&gt;&lt;/authors&gt;&lt;/contributors&gt;&lt;titles&gt;&lt;title&gt;Entrepreneurial orientation and organizational learning: The impact of network range and network closure&lt;/title&gt;&lt;secondary-title&gt;Entrepreneurship Theory and Practice&lt;/secondary-title&gt;&lt;/titles&gt;&lt;periodical&gt;&lt;full-title&gt;Entrepreneurship Theory and Practice&lt;/full-title&gt;&lt;/periodical&gt;&lt;pages&gt;1025-1050&lt;/pages&gt;&lt;volume&gt;35&lt;/volume&gt;&lt;number&gt;5&lt;/number&gt;&lt;dates&gt;&lt;year&gt;2011&lt;/year&gt;&lt;/dates&gt;&lt;publisher&gt;Wiley Online Library&lt;/publisher&gt;&lt;isbn&gt;1540-6520&lt;/isbn&gt;&lt;urls&gt;&lt;/urls&gt;&lt;/record&gt;&lt;/Cite&gt;&lt;/EndNote&gt;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55" w:tooltip="Kreiser, 2011 #1054" w:history="1">
        <w:r w:rsidR="00641B32" w:rsidRPr="008C04EC">
          <w:rPr>
            <w:rFonts w:ascii="Times New Roman" w:hAnsi="Times New Roman" w:cs="Times New Roman"/>
            <w:color w:val="000000" w:themeColor="text1"/>
            <w:sz w:val="24"/>
            <w:szCs w:val="24"/>
            <w:lang w:val="en-GB"/>
          </w:rPr>
          <w:t>Kreiser, 2011</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p>
    <w:p w14:paraId="5D453767" w14:textId="549A2829" w:rsidR="005249CB" w:rsidRPr="008C04EC" w:rsidRDefault="005249CB" w:rsidP="00B46C26">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Importantly, an entrepreneurial orientation does not just encourage learning behaviour within the firm, but can stimulate learning amongst supply chain partners </w:t>
      </w:r>
      <w:r w:rsidRPr="008C04EC">
        <w:rPr>
          <w:rFonts w:ascii="Times New Roman" w:hAnsi="Times New Roman" w:cs="Times New Roman"/>
          <w:color w:val="000000" w:themeColor="text1"/>
          <w:sz w:val="24"/>
          <w:szCs w:val="24"/>
          <w:lang w:val="en-GB"/>
        </w:rPr>
        <w:fldChar w:fldCharType="begin">
          <w:fldData xml:space="preserve">PEVuZE5vdGU+PENpdGU+PEF1dGhvcj5IYW5kZmllbGQ8L0F1dGhvcj48WWVhcj4yMDA5PC9ZZWFy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PEVuZE5vdGU+PENpdGU+PEF1dGhvcj5IYW5kZmllbGQ8L0F1dGhvcj48WWVhcj4yMDA5PC9ZZWFy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40" w:tooltip="Handfield, 2009 #1047" w:history="1">
        <w:r w:rsidR="00641B32" w:rsidRPr="008C04EC">
          <w:rPr>
            <w:rFonts w:ascii="Times New Roman" w:hAnsi="Times New Roman" w:cs="Times New Roman"/>
            <w:noProof/>
            <w:color w:val="000000" w:themeColor="text1"/>
            <w:sz w:val="24"/>
            <w:szCs w:val="24"/>
            <w:lang w:val="en-GB"/>
          </w:rPr>
          <w:t>Handfield</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2009</w:t>
        </w:r>
      </w:hyperlink>
      <w:r w:rsidR="00D30452" w:rsidRPr="008C04EC">
        <w:rPr>
          <w:rFonts w:ascii="Times New Roman" w:hAnsi="Times New Roman" w:cs="Times New Roman"/>
          <w:noProof/>
          <w:color w:val="000000" w:themeColor="text1"/>
          <w:sz w:val="24"/>
          <w:szCs w:val="24"/>
          <w:lang w:val="en-GB"/>
        </w:rPr>
        <w:t xml:space="preserve">; </w:t>
      </w:r>
      <w:hyperlink w:anchor="_ENREF_66" w:tooltip="Marshall, 2015 #1041" w:history="1">
        <w:r w:rsidR="00641B32" w:rsidRPr="008C04EC">
          <w:rPr>
            <w:rFonts w:ascii="Times New Roman" w:hAnsi="Times New Roman" w:cs="Times New Roman"/>
            <w:noProof/>
            <w:color w:val="000000" w:themeColor="text1"/>
            <w:sz w:val="24"/>
            <w:szCs w:val="24"/>
            <w:lang w:val="en-GB"/>
          </w:rPr>
          <w:t>Marshall, McCarthy</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2015</w:t>
        </w:r>
      </w:hyperlink>
      <w:r w:rsidR="00D30452" w:rsidRPr="008C04EC">
        <w:rPr>
          <w:rFonts w:ascii="Times New Roman" w:hAnsi="Times New Roman" w:cs="Times New Roman"/>
          <w:noProof/>
          <w:color w:val="000000" w:themeColor="text1"/>
          <w:sz w:val="24"/>
          <w:szCs w:val="24"/>
          <w:lang w:val="en-GB"/>
        </w:rPr>
        <w:t xml:space="preserve">; </w:t>
      </w:r>
      <w:hyperlink w:anchor="_ENREF_71" w:tooltip="Ojha, 2016 #1052" w:history="1">
        <w:r w:rsidR="00641B32" w:rsidRPr="008C04EC">
          <w:rPr>
            <w:rFonts w:ascii="Times New Roman" w:hAnsi="Times New Roman" w:cs="Times New Roman"/>
            <w:noProof/>
            <w:color w:val="000000" w:themeColor="text1"/>
            <w:sz w:val="24"/>
            <w:szCs w:val="24"/>
            <w:lang w:val="en-GB"/>
          </w:rPr>
          <w:t>Ojha et al., 2016</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Entrepreneurially-oriented managers </w:t>
      </w:r>
      <w:r w:rsidRPr="008C04EC">
        <w:rPr>
          <w:rFonts w:ascii="Times New Roman" w:hAnsi="Times New Roman" w:cs="Times New Roman"/>
          <w:color w:val="000000" w:themeColor="text1"/>
          <w:sz w:val="24"/>
          <w:szCs w:val="24"/>
          <w:lang w:val="en-GB"/>
        </w:rPr>
        <w:lastRenderedPageBreak/>
        <w:t xml:space="preserve">engage in closer relationships with suppliers to sense and seize untapped opportunities, and then transform the supply chain in response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&lt;EndNote&gt;&lt;Cite&gt;&lt;Author&gt;Marshall&lt;/Author&gt;&lt;Year&gt;2015&lt;/Year&gt;&lt;RecNum&gt;1041&lt;/RecNum&gt;&lt;DisplayText&gt;(Marshall et al., 2015)&lt;/DisplayText&gt;&lt;record&gt;&lt;rec-number&gt;1041&lt;/rec-number&gt;&lt;foreign-keys&gt;&lt;key app="EN" db-id="seavxzzzfrf2p7eddfnxx5ep2ar05z0ddwx9"&gt;1041&lt;/key&gt;&lt;/foreign-keys&gt;&lt;ref-type name="Journal Article"&gt;17&lt;/ref-type&gt;&lt;contributors&gt;&lt;authors&gt;&lt;author&gt;Marshall, Donna&lt;/author&gt;&lt;author&gt;McCarthy, Lucy&lt;/author&gt;&lt;author&gt;McGrath, Paul&lt;/author&gt;&lt;author&gt;Claudy, Marius&lt;/author&gt;&lt;/authors&gt;&lt;/contributors&gt;&lt;titles&gt;&lt;title&gt;Going above and beyond: how sustainability culture and entrepreneurial orientation drive social sustainability supply chain practice adoption&lt;/title&gt;&lt;secondary-title&gt;Supply Chain Management: An International Journal&lt;/secondary-title&gt;&lt;/titles&gt;&lt;periodical&gt;&lt;full-title&gt;Supply Chain Management: An International Journal&lt;/full-title&gt;&lt;/periodical&gt;&lt;pages&gt;434-454&lt;/pages&gt;&lt;volume&gt;20&lt;/volume&gt;&lt;number&gt;4&lt;/number&gt;&lt;dates&gt;&lt;year&gt;2015&lt;/year&gt;&lt;/dates&gt;&lt;publisher&gt;Emerald Group Publishing Limited&lt;/publisher&gt;&lt;isbn&gt;1359-8546&lt;/isbn&gt;&lt;urls&gt;&lt;/urls&gt;&lt;/record&gt;&lt;/Cite&gt;&lt;/EndNote&gt;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66" w:tooltip="Marshall, 2015 #1041" w:history="1">
        <w:r w:rsidR="00641B32" w:rsidRPr="008C04EC">
          <w:rPr>
            <w:rFonts w:ascii="Times New Roman" w:hAnsi="Times New Roman" w:cs="Times New Roman"/>
            <w:color w:val="000000" w:themeColor="text1"/>
            <w:sz w:val="24"/>
            <w:szCs w:val="24"/>
            <w:lang w:val="en-GB"/>
          </w:rPr>
          <w:t>Marshall et al., 2015</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Moreover, entrepreneurial managers take proactive actions to learn about their supply chain partners in the quest to outperform their rivals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&lt;EndNote&gt;&lt;Cite&gt;&lt;Author&gt;Lumpkin&lt;/Author&gt;&lt;Year&gt;1996&lt;/Year&gt;&lt;RecNum&gt;1007&lt;/RecNum&gt;&lt;DisplayText&gt;(Lumpkin &amp;amp; Dess, 1996)&lt;/DisplayText&gt;&lt;record&gt;&lt;rec-number&gt;1007&lt;/rec-number&gt;&lt;foreign-keys&gt;&lt;key app="EN" db-id="seavxzzzfrf2p7eddfnxx5ep2ar05z0ddwx9"&gt;1007&lt;/key&gt;&lt;/foreign-keys&gt;&lt;ref-type name="Journal Article"&gt;17&lt;/ref-type&gt;&lt;contributors&gt;&lt;authors&gt;&lt;author&gt;Lumpkin, G Tom&lt;/author&gt;&lt;author&gt;Dess, Gregory G&lt;/author&gt;&lt;/authors&gt;&lt;/contributors&gt;&lt;titles&gt;&lt;title&gt;Clarifying the entrepreneurial orientation construct and linking it to performance&lt;/title&gt;&lt;secondary-title&gt;Academy of Management Review&lt;/secondary-title&gt;&lt;/titles&gt;&lt;periodical&gt;&lt;full-title&gt;Academy of management review&lt;/full-title&gt;&lt;/periodical&gt;&lt;pages&gt;135-172&lt;/pages&gt;&lt;volume&gt;21&lt;/volume&gt;&lt;number&gt;1&lt;/number&gt;&lt;dates&gt;&lt;year&gt;1996&lt;/year&gt;&lt;/dates&gt;&lt;publisher&gt;Academy of Management&lt;/publisher&gt;&lt;isbn&gt;0363-7425&lt;/isbn&gt;&lt;urls&gt;&lt;/urls&gt;&lt;/record&gt;&lt;/Cite&gt;&lt;/EndNote&gt;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62" w:tooltip="Lumpkin, 1996 #1007" w:history="1">
        <w:r w:rsidR="00641B32" w:rsidRPr="008C04EC">
          <w:rPr>
            <w:rFonts w:ascii="Times New Roman" w:hAnsi="Times New Roman" w:cs="Times New Roman"/>
            <w:noProof/>
            <w:color w:val="000000" w:themeColor="text1"/>
            <w:sz w:val="24"/>
            <w:szCs w:val="24"/>
            <w:lang w:val="en-GB"/>
          </w:rPr>
          <w:t>Lumpkin &amp; Dess, 1996</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An entrepreneurial orientation foster</w:t>
      </w:r>
      <w:r w:rsidR="00B46C26">
        <w:rPr>
          <w:rFonts w:ascii="Times New Roman" w:hAnsi="Times New Roman" w:cs="Times New Roman"/>
          <w:color w:val="000000" w:themeColor="text1"/>
          <w:sz w:val="24"/>
          <w:szCs w:val="24"/>
          <w:lang w:val="en-GB"/>
        </w:rPr>
        <w:t>s</w:t>
      </w:r>
      <w:r w:rsidRPr="008C04EC">
        <w:rPr>
          <w:rFonts w:ascii="Times New Roman" w:hAnsi="Times New Roman" w:cs="Times New Roman"/>
          <w:color w:val="000000" w:themeColor="text1"/>
          <w:sz w:val="24"/>
          <w:szCs w:val="24"/>
          <w:lang w:val="en-GB"/>
        </w:rPr>
        <w:t xml:space="preserve"> a culture of learning that allows supply chain partners to build dynamic capabilities and capitalise on market opportunities quicker than rivals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&lt;EndNote&gt;&lt;Cite&gt;&lt;Author&gt;Zhao&lt;/Author&gt;&lt;Year&gt;2011&lt;/Year&gt;&lt;RecNum&gt;1053&lt;/RecNum&gt;&lt;DisplayText&gt;(Zhao et al., 2011)&lt;/DisplayText&gt;&lt;record&gt;&lt;rec-number&gt;1053&lt;/rec-number&gt;&lt;foreign-keys&gt;&lt;key app="EN" db-id="seavxzzzfrf2p7eddfnxx5ep2ar05z0ddwx9"&gt;1053&lt;/key&gt;&lt;/foreign-keys&gt;&lt;ref-type name="Journal Article"&gt;17&lt;/ref-type&gt;&lt;contributors&gt;&lt;authors&gt;&lt;author&gt;Zhao, Yongbin&lt;/author&gt;&lt;author&gt;Li, Yuan&lt;/author&gt;&lt;author&gt;Lee, Soo Hoon&lt;/author&gt;&lt;author&gt;Chen, Long Bo&lt;/author&gt;&lt;/authors&gt;&lt;/contributors&gt;&lt;titles&gt;&lt;title&gt;Entrepreneurial orientation, organizational learning, and performance: Evidence from China&lt;/title&gt;&lt;secondary-title&gt;Entrepreneurship Theory and Practice&lt;/secondary-title&gt;&lt;/titles&gt;&lt;periodical&gt;&lt;full-title&gt;Entrepreneurship Theory and Practice&lt;/full-title&gt;&lt;/periodical&gt;&lt;pages&gt;293-317&lt;/pages&gt;&lt;volume&gt;35&lt;/volume&gt;&lt;number&gt;2&lt;/number&gt;&lt;dates&gt;&lt;year&gt;2011&lt;/year&gt;&lt;/dates&gt;&lt;publisher&gt;Wiley Online Library&lt;/publisher&gt;&lt;isbn&gt;1540-6520&lt;/isbn&gt;&lt;urls&gt;&lt;/urls&gt;&lt;/record&gt;&lt;/Cite&gt;&lt;/EndNote&gt;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104" w:tooltip="Zhao, 2011 #1053" w:history="1">
        <w:r w:rsidR="00641B32" w:rsidRPr="008C04EC">
          <w:rPr>
            <w:rFonts w:ascii="Times New Roman" w:hAnsi="Times New Roman" w:cs="Times New Roman"/>
            <w:color w:val="000000" w:themeColor="text1"/>
            <w:sz w:val="24"/>
            <w:szCs w:val="24"/>
            <w:lang w:val="en-GB"/>
          </w:rPr>
          <w:t>Zhao et al., 2011</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00B46C26">
        <w:rPr>
          <w:rFonts w:ascii="Times New Roman" w:hAnsi="Times New Roman" w:cs="Times New Roman"/>
          <w:color w:val="000000" w:themeColor="text1"/>
          <w:sz w:val="24"/>
          <w:szCs w:val="24"/>
          <w:lang w:val="en-GB"/>
        </w:rPr>
        <w:t>. Based on this line reasoning, we explore the mediating effect of a supply chain learning orientation on the relationship between entrepreneurial orientation and DSCCs:</w:t>
      </w:r>
    </w:p>
    <w:p w14:paraId="2FCC499C" w14:textId="77777777" w:rsidR="00B46C26" w:rsidRDefault="00B46C26" w:rsidP="00FE7F1C">
      <w:pPr>
        <w:spacing w:after="0" w:line="240" w:lineRule="auto"/>
        <w:ind w:left="567"/>
        <w:rPr>
          <w:rFonts w:ascii="Times New Roman" w:hAnsi="Times New Roman" w:cs="Times New Roman"/>
          <w:color w:val="000000" w:themeColor="text1"/>
          <w:sz w:val="24"/>
          <w:szCs w:val="24"/>
          <w:lang w:val="en-GB"/>
        </w:rPr>
      </w:pPr>
    </w:p>
    <w:p w14:paraId="0648BC97" w14:textId="750DDC60" w:rsidR="005249CB" w:rsidRPr="008C04EC" w:rsidRDefault="005249CB" w:rsidP="00FE7F1C">
      <w:pPr>
        <w:spacing w:after="0" w:line="240" w:lineRule="auto"/>
        <w:ind w:left="567"/>
        <w:rPr>
          <w:rFonts w:ascii="Times New Roman" w:hAnsi="Times New Roman" w:cs="Times New Roman"/>
          <w:i/>
          <w:color w:val="000000" w:themeColor="text1"/>
          <w:sz w:val="24"/>
          <w:szCs w:val="24"/>
          <w:lang w:val="en-GB"/>
        </w:rPr>
      </w:pPr>
      <w:r w:rsidRPr="008C04EC">
        <w:rPr>
          <w:rFonts w:ascii="Times New Roman" w:hAnsi="Times New Roman" w:cs="Times New Roman"/>
          <w:color w:val="000000" w:themeColor="text1"/>
          <w:sz w:val="24"/>
          <w:szCs w:val="24"/>
          <w:lang w:val="en-GB"/>
        </w:rPr>
        <w:t>H3</w:t>
      </w:r>
      <w:r w:rsidRPr="008C04EC">
        <w:rPr>
          <w:rFonts w:ascii="Times New Roman" w:hAnsi="Times New Roman" w:cs="Times New Roman"/>
          <w:i/>
          <w:color w:val="000000" w:themeColor="text1"/>
          <w:sz w:val="24"/>
          <w:szCs w:val="24"/>
          <w:lang w:val="en-GB"/>
        </w:rPr>
        <w:t xml:space="preserve">: </w:t>
      </w:r>
      <w:r w:rsidR="0009286C">
        <w:rPr>
          <w:rFonts w:ascii="Times New Roman" w:hAnsi="Times New Roman" w:cs="Times New Roman"/>
          <w:i/>
          <w:color w:val="000000" w:themeColor="text1"/>
          <w:sz w:val="24"/>
          <w:szCs w:val="24"/>
          <w:lang w:val="en-GB"/>
        </w:rPr>
        <w:t>A s</w:t>
      </w:r>
      <w:r w:rsidRPr="008C04EC">
        <w:rPr>
          <w:rFonts w:ascii="Times New Roman" w:hAnsi="Times New Roman" w:cs="Times New Roman"/>
          <w:i/>
          <w:color w:val="000000" w:themeColor="text1"/>
          <w:sz w:val="24"/>
          <w:szCs w:val="24"/>
          <w:lang w:val="en-GB"/>
        </w:rPr>
        <w:t>upply chain learning</w:t>
      </w:r>
      <w:r w:rsidR="0009286C">
        <w:rPr>
          <w:rFonts w:ascii="Times New Roman" w:hAnsi="Times New Roman" w:cs="Times New Roman"/>
          <w:i/>
          <w:color w:val="000000" w:themeColor="text1"/>
          <w:sz w:val="24"/>
          <w:szCs w:val="24"/>
          <w:lang w:val="en-GB"/>
        </w:rPr>
        <w:t xml:space="preserve"> orientation</w:t>
      </w:r>
      <w:r w:rsidRPr="008C04EC">
        <w:rPr>
          <w:rFonts w:ascii="Times New Roman" w:hAnsi="Times New Roman" w:cs="Times New Roman"/>
          <w:i/>
          <w:color w:val="000000" w:themeColor="text1"/>
          <w:sz w:val="24"/>
          <w:szCs w:val="24"/>
          <w:lang w:val="en-GB"/>
        </w:rPr>
        <w:t xml:space="preserve"> mediates the relationship between entrepreneurial orientation and dynamic supply chain capabilities</w:t>
      </w:r>
      <w:r w:rsidR="00D4006E">
        <w:rPr>
          <w:rFonts w:ascii="Times New Roman" w:hAnsi="Times New Roman" w:cs="Times New Roman"/>
          <w:i/>
          <w:color w:val="000000" w:themeColor="text1"/>
          <w:sz w:val="24"/>
          <w:szCs w:val="24"/>
          <w:lang w:val="en-GB"/>
        </w:rPr>
        <w:t>.</w:t>
      </w:r>
    </w:p>
    <w:p w14:paraId="2F77A5A7" w14:textId="77777777" w:rsidR="005249CB" w:rsidRPr="008C04EC" w:rsidRDefault="005249CB" w:rsidP="005249CB">
      <w:pPr>
        <w:spacing w:after="0" w:line="480" w:lineRule="auto"/>
        <w:jc w:val="center"/>
        <w:rPr>
          <w:rFonts w:ascii="Times New Roman" w:hAnsi="Times New Roman" w:cs="Times New Roman"/>
          <w:i/>
          <w:color w:val="000000" w:themeColor="text1"/>
          <w:sz w:val="24"/>
          <w:szCs w:val="24"/>
          <w:lang w:val="en-GB"/>
        </w:rPr>
      </w:pPr>
    </w:p>
    <w:p w14:paraId="063C224B" w14:textId="2070E315" w:rsidR="005249CB" w:rsidRPr="008C04EC" w:rsidRDefault="005249CB" w:rsidP="005249CB">
      <w:pPr>
        <w:spacing w:after="0" w:line="480" w:lineRule="auto"/>
        <w:rPr>
          <w:rFonts w:ascii="Times New Roman" w:hAnsi="Times New Roman" w:cs="Times New Roman"/>
          <w:b/>
          <w:color w:val="000000" w:themeColor="text1"/>
          <w:sz w:val="24"/>
          <w:szCs w:val="24"/>
          <w:lang w:val="en-GB"/>
        </w:rPr>
      </w:pPr>
      <w:r w:rsidRPr="008C04EC">
        <w:rPr>
          <w:rFonts w:ascii="Times New Roman" w:hAnsi="Times New Roman" w:cs="Times New Roman"/>
          <w:color w:val="000000" w:themeColor="text1"/>
          <w:sz w:val="24"/>
          <w:szCs w:val="24"/>
          <w:lang w:val="en-GB"/>
        </w:rPr>
        <w:t>Our hypothetical model (see Figure 1) depicts the relationship between the three hypotheses. In the next section</w:t>
      </w:r>
      <w:r w:rsidR="00D4006E">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t xml:space="preserve"> we provide a justification for the research design and the steps taken to test the hypothetical model (see Figure 1).</w:t>
      </w:r>
    </w:p>
    <w:p w14:paraId="4BFC5E0E" w14:textId="68B92250" w:rsidR="005249CB" w:rsidRPr="008C04EC" w:rsidRDefault="00C55353" w:rsidP="005249CB">
      <w:pPr>
        <w:spacing w:after="0" w:line="240" w:lineRule="auto"/>
        <w:rPr>
          <w:rFonts w:ascii="Times New Roman" w:hAnsi="Times New Roman" w:cs="Times New Roman"/>
          <w:b/>
          <w:color w:val="000000" w:themeColor="text1"/>
          <w:sz w:val="24"/>
          <w:szCs w:val="24"/>
          <w:lang w:val="en-GB"/>
        </w:rPr>
      </w:pPr>
      <w:r w:rsidRPr="008C04EC">
        <w:rPr>
          <w:rFonts w:ascii="Times New Roman" w:hAnsi="Times New Roman" w:cs="Times New Roman"/>
          <w:b/>
          <w:noProof/>
          <w:color w:val="000000" w:themeColor="text1"/>
          <w:sz w:val="24"/>
          <w:szCs w:val="24"/>
        </w:rPr>
        <mc:AlternateContent>
          <mc:Choice Requires="wpg">
            <w:drawing>
              <wp:anchor distT="0" distB="0" distL="114300" distR="114300" simplePos="0" relativeHeight="251659264" behindDoc="0" locked="0" layoutInCell="1" allowOverlap="1" wp14:anchorId="216651B9" wp14:editId="6D59E6F1">
                <wp:simplePos x="0" y="0"/>
                <wp:positionH relativeFrom="column">
                  <wp:posOffset>-86995</wp:posOffset>
                </wp:positionH>
                <wp:positionV relativeFrom="paragraph">
                  <wp:posOffset>134620</wp:posOffset>
                </wp:positionV>
                <wp:extent cx="6098650" cy="2886075"/>
                <wp:effectExtent l="0" t="0" r="16510" b="28575"/>
                <wp:wrapSquare wrapText="bothSides"/>
                <wp:docPr id="35" name="Group 34"/>
                <wp:cNvGraphicFramePr/>
                <a:graphic xmlns:a="http://schemas.openxmlformats.org/drawingml/2006/main">
                  <a:graphicData uri="http://schemas.microsoft.com/office/word/2010/wordprocessingGroup">
                    <wpg:wgp>
                      <wpg:cNvGrpSpPr/>
                      <wpg:grpSpPr>
                        <a:xfrm>
                          <a:off x="0" y="0"/>
                          <a:ext cx="6098650" cy="2886075"/>
                          <a:chOff x="0" y="0"/>
                          <a:chExt cx="7083912" cy="3962400"/>
                        </a:xfrm>
                      </wpg:grpSpPr>
                      <wpg:grpSp>
                        <wpg:cNvPr id="2" name="Group 2"/>
                        <wpg:cNvGrpSpPr/>
                        <wpg:grpSpPr>
                          <a:xfrm>
                            <a:off x="0" y="228600"/>
                            <a:ext cx="6779111" cy="3505200"/>
                            <a:chOff x="0" y="228600"/>
                            <a:chExt cx="6548085" cy="3505200"/>
                          </a:xfrm>
                        </wpg:grpSpPr>
                        <wps:wsp>
                          <wps:cNvPr id="6" name="Oval 6"/>
                          <wps:cNvSpPr/>
                          <wps:spPr>
                            <a:xfrm>
                              <a:off x="0" y="228600"/>
                              <a:ext cx="2007252" cy="990600"/>
                            </a:xfrm>
                            <a:prstGeom prst="ellipse">
                              <a:avLst/>
                            </a:prstGeom>
                          </wps:spPr>
                          <wps:style>
                            <a:lnRef idx="2">
                              <a:schemeClr val="dk1"/>
                            </a:lnRef>
                            <a:fillRef idx="1">
                              <a:schemeClr val="lt1"/>
                            </a:fillRef>
                            <a:effectRef idx="0">
                              <a:schemeClr val="dk1"/>
                            </a:effectRef>
                            <a:fontRef idx="minor">
                              <a:schemeClr val="dk1"/>
                            </a:fontRef>
                          </wps:style>
                          <wps:txbx>
                            <w:txbxContent>
                              <w:p w14:paraId="5FE3616A"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Entrepreneurial</w:t>
                                </w:r>
                              </w:p>
                              <w:p w14:paraId="311D0F87"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Orientation</w:t>
                                </w:r>
                              </w:p>
                            </w:txbxContent>
                          </wps:txbx>
                          <wps:bodyPr rtlCol="0" anchor="ctr"/>
                        </wps:wsp>
                        <wps:wsp>
                          <wps:cNvPr id="7" name="Oval 7"/>
                          <wps:cNvSpPr/>
                          <wps:spPr>
                            <a:xfrm>
                              <a:off x="0" y="2743200"/>
                              <a:ext cx="2007252" cy="990600"/>
                            </a:xfrm>
                            <a:prstGeom prst="ellipse">
                              <a:avLst/>
                            </a:prstGeom>
                            <a:ln>
                              <a:prstDash val="dash"/>
                            </a:ln>
                          </wps:spPr>
                          <wps:style>
                            <a:lnRef idx="2">
                              <a:schemeClr val="dk1"/>
                            </a:lnRef>
                            <a:fillRef idx="1">
                              <a:schemeClr val="lt1"/>
                            </a:fillRef>
                            <a:effectRef idx="0">
                              <a:schemeClr val="dk1"/>
                            </a:effectRef>
                            <a:fontRef idx="minor">
                              <a:schemeClr val="dk1"/>
                            </a:fontRef>
                          </wps:style>
                          <wps:txbx>
                            <w:txbxContent>
                              <w:p w14:paraId="117C7864"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Supply Chain Learning</w:t>
                                </w:r>
                              </w:p>
                            </w:txbxContent>
                          </wps:txbx>
                          <wps:bodyPr rtlCol="0" anchor="ctr"/>
                        </wps:wsp>
                        <wps:wsp>
                          <wps:cNvPr id="8" name="Oval 8"/>
                          <wps:cNvSpPr/>
                          <wps:spPr>
                            <a:xfrm>
                              <a:off x="4304505" y="1637763"/>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3AE7B495" w14:textId="77777777" w:rsidR="0059460E" w:rsidRDefault="0059460E" w:rsidP="00C55353">
                                <w:pPr>
                                  <w:pStyle w:val="NormalWeb"/>
                                  <w:spacing w:before="0" w:beforeAutospacing="0" w:after="0" w:afterAutospacing="0"/>
                                  <w:jc w:val="center"/>
                                </w:pPr>
                                <w:r>
                                  <w:rPr>
                                    <w:b/>
                                    <w:bCs/>
                                    <w:color w:val="000000" w:themeColor="dark1"/>
                                    <w:kern w:val="24"/>
                                  </w:rPr>
                                  <w:t>Supply Chain Agility</w:t>
                                </w:r>
                              </w:p>
                            </w:txbxContent>
                          </wps:txbx>
                          <wps:bodyPr rtlCol="0" anchor="ctr"/>
                        </wps:wsp>
                        <wps:wsp>
                          <wps:cNvPr id="9" name="Oval 9"/>
                          <wps:cNvSpPr/>
                          <wps:spPr>
                            <a:xfrm>
                              <a:off x="4304507" y="457200"/>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497DBF87" w14:textId="77777777" w:rsidR="0059460E" w:rsidRDefault="0059460E" w:rsidP="00C55353">
                                <w:pPr>
                                  <w:pStyle w:val="NormalWeb"/>
                                  <w:spacing w:before="0" w:beforeAutospacing="0" w:after="0" w:afterAutospacing="0"/>
                                  <w:jc w:val="center"/>
                                </w:pPr>
                                <w:r>
                                  <w:rPr>
                                    <w:b/>
                                    <w:bCs/>
                                    <w:color w:val="000000" w:themeColor="dark1"/>
                                    <w:kern w:val="24"/>
                                  </w:rPr>
                                  <w:t>Market Sensing</w:t>
                                </w:r>
                              </w:p>
                            </w:txbxContent>
                          </wps:txbx>
                          <wps:bodyPr rtlCol="0" anchor="ctr"/>
                        </wps:wsp>
                        <wps:wsp>
                          <wps:cNvPr id="10" name="Oval 10"/>
                          <wps:cNvSpPr/>
                          <wps:spPr>
                            <a:xfrm>
                              <a:off x="4291443" y="2819400"/>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694DB1C1" w14:textId="77777777" w:rsidR="0059460E" w:rsidRDefault="0059460E" w:rsidP="00C55353">
                                <w:pPr>
                                  <w:pStyle w:val="NormalWeb"/>
                                  <w:spacing w:before="0" w:beforeAutospacing="0" w:after="0" w:afterAutospacing="0"/>
                                  <w:jc w:val="center"/>
                                </w:pPr>
                                <w:r>
                                  <w:rPr>
                                    <w:b/>
                                    <w:bCs/>
                                    <w:color w:val="000000" w:themeColor="dark1"/>
                                    <w:kern w:val="24"/>
                                  </w:rPr>
                                  <w:t>Supply Chain Adaptability</w:t>
                                </w:r>
                              </w:p>
                            </w:txbxContent>
                          </wps:txbx>
                          <wps:bodyPr rtlCol="0" anchor="ctr"/>
                        </wps:wsp>
                        <wps:wsp>
                          <wps:cNvPr id="11" name="Straight Arrow Connector 11"/>
                          <wps:cNvCnPr>
                            <a:stCxn id="6" idx="6"/>
                          </wps:cNvCnPr>
                          <wps:spPr>
                            <a:xfrm>
                              <a:off x="2007252" y="723901"/>
                              <a:ext cx="1964653" cy="716569"/>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a:stCxn id="7" idx="7"/>
                          </wps:cNvCnPr>
                          <wps:spPr>
                            <a:xfrm flipV="1">
                              <a:off x="1713297" y="2404647"/>
                              <a:ext cx="2258606" cy="483623"/>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a:stCxn id="6" idx="4"/>
                            <a:endCxn id="7" idx="0"/>
                          </wps:cNvCnPr>
                          <wps:spPr>
                            <a:xfrm>
                              <a:off x="1003626" y="1219200"/>
                              <a:ext cx="0" cy="1523999"/>
                            </a:xfrm>
                            <a:prstGeom prst="straightConnector1">
                              <a:avLst/>
                            </a:prstGeom>
                            <a:ln w="28575">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14" name="TextBox 22"/>
                          <wps:cNvSpPr txBox="1"/>
                          <wps:spPr>
                            <a:xfrm>
                              <a:off x="2168974" y="1981200"/>
                              <a:ext cx="1066470" cy="401493"/>
                            </a:xfrm>
                            <a:prstGeom prst="rect">
                              <a:avLst/>
                            </a:prstGeom>
                            <a:noFill/>
                          </wps:spPr>
                          <wps:txbx>
                            <w:txbxContent>
                              <w:p w14:paraId="49D23811"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H3</w:t>
                                </w:r>
                              </w:p>
                            </w:txbxContent>
                          </wps:txbx>
                          <wps:bodyPr wrap="square" rtlCol="0">
                            <a:noAutofit/>
                          </wps:bodyPr>
                        </wps:wsp>
                        <wps:wsp>
                          <wps:cNvPr id="15" name="TextBox 23"/>
                          <wps:cNvSpPr txBox="1"/>
                          <wps:spPr>
                            <a:xfrm>
                              <a:off x="2159558" y="990387"/>
                              <a:ext cx="1067166" cy="401494"/>
                            </a:xfrm>
                            <a:prstGeom prst="rect">
                              <a:avLst/>
                            </a:prstGeom>
                            <a:noFill/>
                          </wps:spPr>
                          <wps:txbx>
                            <w:txbxContent>
                              <w:p w14:paraId="27D3CC49"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H1</w:t>
                                </w:r>
                              </w:p>
                            </w:txbxContent>
                          </wps:txbx>
                          <wps:bodyPr wrap="square" rtlCol="0">
                            <a:noAutofit/>
                          </wps:bodyPr>
                        </wps:wsp>
                        <wps:wsp>
                          <wps:cNvPr id="16" name="TextBox 24"/>
                          <wps:cNvSpPr txBox="1"/>
                          <wps:spPr>
                            <a:xfrm>
                              <a:off x="2192815" y="2861846"/>
                              <a:ext cx="1066470" cy="401493"/>
                            </a:xfrm>
                            <a:prstGeom prst="rect">
                              <a:avLst/>
                            </a:prstGeom>
                            <a:noFill/>
                          </wps:spPr>
                          <wps:txbx>
                            <w:txbxContent>
                              <w:p w14:paraId="4F074719"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H2</w:t>
                                </w:r>
                              </w:p>
                            </w:txbxContent>
                          </wps:txbx>
                          <wps:bodyPr wrap="square" rtlCol="0">
                            <a:noAutofit/>
                          </wps:bodyPr>
                        </wps:wsp>
                      </wpg:grpSp>
                      <wps:wsp>
                        <wps:cNvPr id="3" name="Rectangle 3"/>
                        <wps:cNvSpPr/>
                        <wps:spPr>
                          <a:xfrm>
                            <a:off x="4112112" y="0"/>
                            <a:ext cx="2971800" cy="396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65035C" w14:textId="77777777" w:rsidR="0059460E" w:rsidRDefault="0059460E" w:rsidP="00C55353">
                              <w:pPr>
                                <w:pStyle w:val="NormalWeb"/>
                                <w:spacing w:before="0" w:beforeAutospacing="0" w:after="0" w:afterAutospacing="0"/>
                                <w:jc w:val="center"/>
                              </w:pPr>
                              <w:r>
                                <w:rPr>
                                  <w:b/>
                                  <w:bCs/>
                                  <w:color w:val="000000" w:themeColor="text1"/>
                                  <w:kern w:val="24"/>
                                </w:rPr>
                                <w:t xml:space="preserve">Dynamic Supply Chain Capabilities </w:t>
                              </w:r>
                            </w:p>
                          </w:txbxContent>
                        </wps:txbx>
                        <wps:bodyPr rtlCol="0" anchor="t" anchorCtr="0"/>
                      </wps:wsp>
                      <wps:wsp>
                        <wps:cNvPr id="4" name="Oval 4"/>
                        <wps:cNvSpPr/>
                        <wps:spPr>
                          <a:xfrm>
                            <a:off x="152821" y="2861847"/>
                            <a:ext cx="1673291" cy="71955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 name="Straight Arrow Connector 5"/>
                        <wps:cNvCnPr>
                          <a:stCxn id="7" idx="0"/>
                        </wps:cNvCnPr>
                        <wps:spPr>
                          <a:xfrm flipV="1">
                            <a:off x="1039036" y="2133601"/>
                            <a:ext cx="3073002" cy="609598"/>
                          </a:xfrm>
                          <a:prstGeom prst="straightConnector1">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16651B9" id="Group 34" o:spid="_x0000_s1026" style="position:absolute;margin-left:-6.85pt;margin-top:10.6pt;width:480.2pt;height:227.25pt;z-index:251659264;mso-width-relative:margin;mso-height-relative:margin" coordsize="70839,396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">
                <v:group id="Group 2" o:spid="_x0000_s1027" style="position:absolute;top:2286;width:67791;height:35052" coordorigin=",2286" coordsize="65480,350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oval id="Oval 6" o:spid="_x0000_s1028" style="position:absolute;top:2286;width:20072;height:99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" fillcolor="white [3201]" strokecolor="black [3200]" strokeweight="1pt">
                    <v:stroke joinstyle="miter"/>
                    <v:textbox>
                      <w:txbxContent>
                        <w:p w14:paraId="5FE3616A"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Entrepreneurial</w:t>
                          </w:r>
                        </w:p>
                        <w:p w14:paraId="311D0F87"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Orientation</w:t>
                          </w:r>
                        </w:p>
                      </w:txbxContent>
                    </v:textbox>
                  </v:oval>
                  <v:oval id="Oval 7" o:spid="_x0000_s1029" style="position:absolute;top:27432;width:20072;height:99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" fillcolor="white [3201]" strokecolor="black [3200]" strokeweight="1pt">
                    <v:stroke dashstyle="dash" joinstyle="miter"/>
                    <v:textbox>
                      <w:txbxContent>
                        <w:p w14:paraId="117C7864" w14:textId="77777777" w:rsidR="0059460E" w:rsidRPr="007B1109" w:rsidRDefault="0059460E" w:rsidP="00C55353">
                          <w:pPr>
                            <w:pStyle w:val="NormalWeb"/>
                            <w:spacing w:before="0" w:beforeAutospacing="0" w:after="0" w:afterAutospacing="0"/>
                            <w:jc w:val="center"/>
                          </w:pPr>
                          <w:r w:rsidRPr="007B1109">
                            <w:rPr>
                              <w:b/>
                              <w:bCs/>
                              <w:color w:val="000000" w:themeColor="dark1"/>
                              <w:kern w:val="24"/>
                            </w:rPr>
                            <w:t>Supply Chain Learning</w:t>
                          </w:r>
                        </w:p>
                      </w:txbxContent>
                    </v:textbox>
                  </v:oval>
                  <v:oval id="Oval 8" o:spid="_x0000_s1030" style="position:absolute;left:43045;top:16377;width:22435;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" fillcolor="white [3201]" strokecolor="black [3200]" strokeweight="1pt">
                    <v:stroke joinstyle="miter"/>
                    <v:textbox>
                      <w:txbxContent>
                        <w:p w14:paraId="3AE7B495" w14:textId="77777777" w:rsidR="0059460E" w:rsidRDefault="0059460E" w:rsidP="00C55353">
                          <w:pPr>
                            <w:pStyle w:val="NormalWeb"/>
                            <w:spacing w:before="0" w:beforeAutospacing="0" w:after="0" w:afterAutospacing="0"/>
                            <w:jc w:val="center"/>
                          </w:pPr>
                          <w:r>
                            <w:rPr>
                              <w:b/>
                              <w:bCs/>
                              <w:color w:val="000000" w:themeColor="dark1"/>
                              <w:kern w:val="24"/>
                            </w:rPr>
                            <w:t>Supply Chain Agility</w:t>
                          </w:r>
                        </w:p>
                      </w:txbxContent>
                    </v:textbox>
                  </v:oval>
                  <v:oval id="Oval 9" o:spid="_x0000_s1031" style="position:absolute;left:43045;top:4572;width:22435;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" fillcolor="white [3201]" strokecolor="black [3200]" strokeweight="1pt">
                    <v:stroke joinstyle="miter"/>
                    <v:textbox>
                      <w:txbxContent>
                        <w:p w14:paraId="497DBF87" w14:textId="77777777" w:rsidR="0059460E" w:rsidRDefault="0059460E" w:rsidP="00C55353">
                          <w:pPr>
                            <w:pStyle w:val="NormalWeb"/>
                            <w:spacing w:before="0" w:beforeAutospacing="0" w:after="0" w:afterAutospacing="0"/>
                            <w:jc w:val="center"/>
                          </w:pPr>
                          <w:r>
                            <w:rPr>
                              <w:b/>
                              <w:bCs/>
                              <w:color w:val="000000" w:themeColor="dark1"/>
                              <w:kern w:val="24"/>
                            </w:rPr>
                            <w:t>Market Sensing</w:t>
                          </w:r>
                        </w:p>
                      </w:txbxContent>
                    </v:textbox>
                  </v:oval>
                  <v:oval id="Oval 10" o:spid="_x0000_s1032" style="position:absolute;left:42914;top:28194;width:22436;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" fillcolor="white [3201]" strokecolor="black [3200]" strokeweight="1pt">
                    <v:stroke joinstyle="miter"/>
                    <v:textbox>
                      <w:txbxContent>
                        <w:p w14:paraId="694DB1C1" w14:textId="77777777" w:rsidR="0059460E" w:rsidRDefault="0059460E" w:rsidP="00C55353">
                          <w:pPr>
                            <w:pStyle w:val="NormalWeb"/>
                            <w:spacing w:before="0" w:beforeAutospacing="0" w:after="0" w:afterAutospacing="0"/>
                            <w:jc w:val="center"/>
                          </w:pPr>
                          <w:r>
                            <w:rPr>
                              <w:b/>
                              <w:bCs/>
                              <w:color w:val="000000" w:themeColor="dark1"/>
                              <w:kern w:val="24"/>
                            </w:rPr>
                            <w:t>Supply Chain Adaptability</w:t>
                          </w:r>
                        </w:p>
                      </w:txbxContent>
                    </v:textbox>
                  </v:oval>
                  <v:shapetype id="_x0000_t32" coordsize="21600,21600" o:spt="32" o:oned="t" path="m,l21600,21600e" filled="f">
                    <v:path arrowok="t" fillok="f" o:connecttype="none"/>
                    <o:lock v:ext="edit" shapetype="t"/>
                  </v:shapetype>
                  <v:shape id="Straight Arrow Connector 11" o:spid="_x0000_s1033" type="#_x0000_t32" style="position:absolute;left:20072;top:7239;width:19647;height:716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" strokecolor="black [3213]" strokeweight="2.25pt">
                    <v:stroke endarrow="open" joinstyle="miter"/>
                  </v:shape>
                  <v:shape id="Straight Arrow Connector 12" o:spid="_x0000_s1034" type="#_x0000_t32" style="position:absolute;left:17132;top:24046;width:22587;height:483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" strokecolor="black [3213]" strokeweight="2.25pt">
                    <v:stroke endarrow="open" joinstyle="miter"/>
                  </v:shape>
                  <v:shape id="Straight Arrow Connector 13" o:spid="_x0000_s1035" type="#_x0000_t32" style="position:absolute;left:10036;top:12192;width:0;height:152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" strokecolor="black [3213]" strokeweight="2.25pt">
                    <v:stroke dashstyle="dash" endarrow="open" joinstyle="miter"/>
                  </v:shape>
                  <v:shapetype id="_x0000_t202" coordsize="21600,21600" o:spt="202" path="m,l,21600r21600,l21600,xe">
                    <v:stroke joinstyle="miter"/>
                    <v:path gradientshapeok="t" o:connecttype="rect"/>
                  </v:shapetype>
                  <v:shape id="TextBox 22" o:spid="_x0000_s1036" type="#_x0000_t202" style="position:absolute;left:21689;top:19812;width:10665;height:40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" filled="f" stroked="f">
                    <v:textbox>
                      <w:txbxContent>
                        <w:p w14:paraId="49D23811"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H3</w:t>
                          </w:r>
                        </w:p>
                      </w:txbxContent>
                    </v:textbox>
                  </v:shape>
                  <v:shape id="TextBox 23" o:spid="_x0000_s1037" type="#_x0000_t202" style="position:absolute;left:21595;top:9903;width:10672;height:4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" filled="f" stroked="f">
                    <v:textbox>
                      <w:txbxContent>
                        <w:p w14:paraId="27D3CC49"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H1</w:t>
                          </w:r>
                        </w:p>
                      </w:txbxContent>
                    </v:textbox>
                  </v:shape>
                  <v:shape id="TextBox 24" o:spid="_x0000_s1038" type="#_x0000_t202" style="position:absolute;left:21928;top:28618;width:10664;height:4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" filled="f" stroked="f">
                    <v:textbox>
                      <w:txbxContent>
                        <w:p w14:paraId="4F074719" w14:textId="77777777" w:rsidR="0059460E" w:rsidRPr="00D5066F" w:rsidRDefault="0059460E" w:rsidP="00C55353">
                          <w:pPr>
                            <w:pStyle w:val="NormalWeb"/>
                            <w:spacing w:before="0" w:beforeAutospacing="0" w:after="0" w:afterAutospacing="0"/>
                          </w:pPr>
                          <w:r w:rsidRPr="00D5066F">
                            <w:rPr>
                              <w:rFonts w:asciiTheme="minorHAnsi" w:hAnsi="Calibri" w:cstheme="minorBidi"/>
                              <w:b/>
                              <w:bCs/>
                              <w:color w:val="000000" w:themeColor="text1"/>
                              <w:kern w:val="24"/>
                            </w:rPr>
                            <w:t>H2</w:t>
                          </w:r>
                        </w:p>
                      </w:txbxContent>
                    </v:textbox>
                  </v:shape>
                </v:group>
                <v:rect id="Rectangle 3" o:spid="_x0000_s1039" style="position:absolute;left:41121;width:29718;height:39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" filled="f" strokecolor="black [3213]" strokeweight="1pt">
                  <v:textbox>
                    <w:txbxContent>
                      <w:p w14:paraId="4B65035C" w14:textId="77777777" w:rsidR="0059460E" w:rsidRDefault="0059460E" w:rsidP="00C55353">
                        <w:pPr>
                          <w:pStyle w:val="NormalWeb"/>
                          <w:spacing w:before="0" w:beforeAutospacing="0" w:after="0" w:afterAutospacing="0"/>
                          <w:jc w:val="center"/>
                        </w:pPr>
                        <w:r>
                          <w:rPr>
                            <w:b/>
                            <w:bCs/>
                            <w:color w:val="000000" w:themeColor="text1"/>
                            <w:kern w:val="24"/>
                          </w:rPr>
                          <w:t xml:space="preserve">Dynamic Supply Chain Capabilities </w:t>
                        </w:r>
                      </w:p>
                    </w:txbxContent>
                  </v:textbox>
                </v:rect>
                <v:oval id="Oval 4" o:spid="_x0000_s1040" style="position:absolute;left:1528;top:28618;width:16733;height:7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" filled="f" strokecolor="black [3213]" strokeweight="1pt">
                  <v:stroke joinstyle="miter"/>
                </v:oval>
                <v:shape id="Straight Arrow Connector 5" o:spid="_x0000_s1041" type="#_x0000_t32" style="position:absolute;left:10390;top:21336;width:30730;height:6095;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" strokecolor="black [3213]" strokeweight="2.25pt">
                  <v:stroke dashstyle="dash" endarrow="block" joinstyle="miter"/>
                </v:shape>
                <w10:wrap type="square"/>
              </v:group>
            </w:pict>
          </mc:Fallback>
        </mc:AlternateContent>
      </w:r>
    </w:p>
    <w:p w14:paraId="714014EC" w14:textId="77777777" w:rsidR="00C55353" w:rsidRPr="008C04EC" w:rsidRDefault="00C55353" w:rsidP="00C55353">
      <w:pPr>
        <w:spacing w:after="0" w:line="240" w:lineRule="auto"/>
        <w:jc w:val="center"/>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t>Figure 1: Hypothesised Model</w:t>
      </w:r>
    </w:p>
    <w:p w14:paraId="0B5992AA" w14:textId="77777777" w:rsidR="00C55353" w:rsidRPr="008C04EC" w:rsidRDefault="00C55353" w:rsidP="00C55353">
      <w:pPr>
        <w:spacing w:after="0" w:line="240" w:lineRule="auto"/>
        <w:jc w:val="center"/>
        <w:rPr>
          <w:rFonts w:ascii="Times New Roman" w:hAnsi="Times New Roman" w:cs="Times New Roman"/>
          <w:b/>
          <w:color w:val="000000" w:themeColor="text1"/>
          <w:sz w:val="24"/>
          <w:szCs w:val="24"/>
          <w:lang w:val="en-GB"/>
        </w:rPr>
      </w:pPr>
    </w:p>
    <w:p w14:paraId="065C2D0C" w14:textId="77777777" w:rsidR="00C55353" w:rsidRPr="008C04EC" w:rsidRDefault="00C55353" w:rsidP="00C55353">
      <w:pPr>
        <w:spacing w:after="0" w:line="240" w:lineRule="auto"/>
        <w:jc w:val="center"/>
        <w:rPr>
          <w:rFonts w:ascii="Times New Roman" w:hAnsi="Times New Roman" w:cs="Times New Roman"/>
          <w:b/>
          <w:color w:val="000000" w:themeColor="text1"/>
          <w:sz w:val="24"/>
          <w:szCs w:val="24"/>
          <w:lang w:val="en-GB"/>
        </w:rPr>
      </w:pPr>
    </w:p>
    <w:p w14:paraId="369A6C24" w14:textId="77777777" w:rsidR="005249CB" w:rsidRPr="008C04EC" w:rsidRDefault="005249CB" w:rsidP="005249CB">
      <w:pPr>
        <w:spacing w:after="0" w:line="240" w:lineRule="auto"/>
        <w:rPr>
          <w:rFonts w:ascii="Times New Roman" w:hAnsi="Times New Roman" w:cs="Times New Roman"/>
          <w:b/>
          <w:color w:val="000000" w:themeColor="text1"/>
          <w:sz w:val="24"/>
          <w:szCs w:val="24"/>
          <w:lang w:val="en-GB"/>
        </w:rPr>
      </w:pPr>
    </w:p>
    <w:p w14:paraId="121A25EC" w14:textId="77777777" w:rsidR="00566A07" w:rsidRPr="008C04EC" w:rsidRDefault="00566A07">
      <w:pPr>
        <w:spacing w:after="160" w:line="259" w:lineRule="auto"/>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br w:type="page"/>
      </w:r>
    </w:p>
    <w:p w14:paraId="5D33632A" w14:textId="58F38AA1" w:rsidR="005249CB" w:rsidRPr="008C04EC" w:rsidRDefault="005249CB" w:rsidP="005249CB">
      <w:pPr>
        <w:spacing w:after="0" w:line="240" w:lineRule="auto"/>
        <w:rPr>
          <w:rFonts w:ascii="Times New Roman" w:hAnsi="Times New Roman" w:cs="Times New Roman"/>
          <w:color w:val="000000" w:themeColor="text1"/>
          <w:sz w:val="24"/>
          <w:szCs w:val="24"/>
          <w:lang w:val="en-GB"/>
        </w:rPr>
      </w:pPr>
      <w:r w:rsidRPr="008C04EC">
        <w:rPr>
          <w:rFonts w:ascii="Times New Roman" w:hAnsi="Times New Roman" w:cs="Times New Roman"/>
          <w:b/>
          <w:color w:val="000000" w:themeColor="text1"/>
          <w:sz w:val="24"/>
          <w:szCs w:val="24"/>
          <w:lang w:val="en-GB"/>
        </w:rPr>
        <w:lastRenderedPageBreak/>
        <w:t>3. Research Design</w:t>
      </w:r>
    </w:p>
    <w:p w14:paraId="1770240B" w14:textId="77777777" w:rsidR="005249CB" w:rsidRPr="008C04EC" w:rsidRDefault="005249CB" w:rsidP="005249CB">
      <w:pPr>
        <w:spacing w:after="0" w:line="240" w:lineRule="auto"/>
        <w:rPr>
          <w:rFonts w:ascii="Times New Roman" w:hAnsi="Times New Roman" w:cs="Times New Roman"/>
          <w:color w:val="000000" w:themeColor="text1"/>
          <w:sz w:val="24"/>
          <w:szCs w:val="24"/>
          <w:lang w:val="en-GB"/>
        </w:rPr>
      </w:pPr>
    </w:p>
    <w:p w14:paraId="34496EAA" w14:textId="188B003E" w:rsidR="00BD7202" w:rsidRPr="008C04EC" w:rsidRDefault="005249CB" w:rsidP="005249CB">
      <w:pPr>
        <w:spacing w:after="0" w:line="48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We adopt a positivist ontology as we believe that the major constructs of this study (i.e. entrepreneurial orientation, supply chain learning</w:t>
      </w:r>
      <w:r w:rsidR="005133BB">
        <w:rPr>
          <w:rFonts w:ascii="Times New Roman" w:hAnsi="Times New Roman" w:cs="Times New Roman"/>
          <w:color w:val="000000" w:themeColor="text1"/>
          <w:sz w:val="24"/>
          <w:szCs w:val="24"/>
          <w:lang w:val="en-GB"/>
        </w:rPr>
        <w:t xml:space="preserve"> orientation</w:t>
      </w:r>
      <w:r w:rsidRPr="008C04EC">
        <w:rPr>
          <w:rFonts w:ascii="Times New Roman" w:hAnsi="Times New Roman" w:cs="Times New Roman"/>
          <w:color w:val="000000" w:themeColor="text1"/>
          <w:sz w:val="24"/>
          <w:szCs w:val="24"/>
          <w:lang w:val="en-GB"/>
        </w:rPr>
        <w:t xml:space="preserve">, DSCCs) are real and not subject to social construction. Our underlying epistemology is that these constructs can be quantitatively measured, and we do so </w:t>
      </w:r>
      <w:proofErr w:type="gramStart"/>
      <w:r w:rsidRPr="008C04EC">
        <w:rPr>
          <w:rFonts w:ascii="Times New Roman" w:hAnsi="Times New Roman" w:cs="Times New Roman"/>
          <w:color w:val="000000" w:themeColor="text1"/>
          <w:sz w:val="24"/>
          <w:szCs w:val="24"/>
          <w:lang w:val="en-GB"/>
        </w:rPr>
        <w:t>using</w:t>
      </w:r>
      <w:proofErr w:type="gramEnd"/>
      <w:r w:rsidRPr="008C04EC">
        <w:rPr>
          <w:rFonts w:ascii="Times New Roman" w:hAnsi="Times New Roman" w:cs="Times New Roman"/>
          <w:color w:val="000000" w:themeColor="text1"/>
          <w:sz w:val="24"/>
          <w:szCs w:val="24"/>
          <w:lang w:val="en-GB"/>
        </w:rPr>
        <w:t xml:space="preserve"> a survey design. As we are testing hypotheses that are informed by an existing theory (dynamic capabilities) we adopt a deductive research approach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&lt;EndNote&gt;&lt;Cite&gt;&lt;Author&gt;Reyes&lt;/Author&gt;&lt;Year&gt;2004&lt;/Year&gt;&lt;RecNum&gt;1120&lt;/RecNum&gt;&lt;DisplayText&gt;(Reyes, 2004)&lt;/DisplayText&gt;&lt;record&gt;&lt;rec-number&gt;1120&lt;/rec-number&gt;&lt;foreign-keys&gt;&lt;key app="EN" db-id="seavxzzzfrf2p7eddfnxx5ep2ar05z0ddwx9"&gt;1120&lt;/key&gt;&lt;/foreign-keys&gt;&lt;ref-type name="Book"&gt;6&lt;/ref-type&gt;&lt;contributors&gt;&lt;authors&gt;&lt;author&gt;Reyes, Milagros Z&lt;/author&gt;&lt;/authors&gt;&lt;/contributors&gt;&lt;titles&gt;&lt;title&gt;Social research: A deductive approach&lt;/title&gt;&lt;/titles&gt;&lt;dates&gt;&lt;year&gt;2004&lt;/year&gt;&lt;/dates&gt;&lt;publisher&gt;Rex Bookstore, Inc.&lt;/publisher&gt;&lt;isbn&gt;9712337731&lt;/isbn&gt;&lt;urls&gt;&lt;/urls&gt;&lt;/record&gt;&lt;/Cite&gt;&lt;/EndNote&gt;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77" w:tooltip="Reyes, 2004 #1120" w:history="1">
        <w:r w:rsidR="00641B32" w:rsidRPr="008C04EC">
          <w:rPr>
            <w:rFonts w:ascii="Times New Roman" w:hAnsi="Times New Roman" w:cs="Times New Roman"/>
            <w:color w:val="000000" w:themeColor="text1"/>
            <w:sz w:val="24"/>
            <w:szCs w:val="24"/>
            <w:lang w:val="en-GB"/>
          </w:rPr>
          <w:t>Reyes, 2004</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Previous studies on </w:t>
      </w:r>
      <w:r w:rsidR="00471DA2" w:rsidRPr="008C04EC">
        <w:rPr>
          <w:rFonts w:ascii="Times New Roman" w:hAnsi="Times New Roman" w:cs="Times New Roman"/>
          <w:color w:val="000000" w:themeColor="text1"/>
          <w:sz w:val="24"/>
          <w:szCs w:val="24"/>
          <w:lang w:val="en-GB"/>
        </w:rPr>
        <w:t>DSCCs</w:t>
      </w:r>
      <w:r w:rsidRPr="008C04EC">
        <w:rPr>
          <w:rFonts w:ascii="Times New Roman" w:hAnsi="Times New Roman" w:cs="Times New Roman"/>
          <w:color w:val="000000" w:themeColor="text1"/>
          <w:sz w:val="24"/>
          <w:szCs w:val="24"/>
          <w:lang w:val="en-GB"/>
        </w:rPr>
        <w:t xml:space="preserve"> have adopted a similar positivistic ontology and deductive approach to examine a set of theoretically informed hypotheses, which allowed for the generalisability of results </w:t>
      </w:r>
      <w:r w:rsidRPr="008C04EC">
        <w:rPr>
          <w:rFonts w:ascii="Times New Roman" w:hAnsi="Times New Roman" w:cs="Times New Roman"/>
          <w:color w:val="000000" w:themeColor="text1"/>
          <w:sz w:val="24"/>
          <w:szCs w:val="24"/>
          <w:lang w:val="en-GB"/>
        </w:rPr>
        <w:fldChar w:fldCharType="begin">
          <w:fldData xml:space="preserve">PEVuZE5vdGU+PENpdGU+PEF1dGhvcj5CbG9tZTwvQXV0aG9yPjxZZWFyPjIwMTM8L1llYXI+PFJl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==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PEVuZE5vdGU+PENpdGU+PEF1dGhvcj5CbG9tZTwvQXV0aG9yPjxZZWFyPjIwMTM8L1llYXI+PFJl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==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12" w:tooltip="Blome, 2013 #402" w:history="1">
        <w:r w:rsidR="00641B32" w:rsidRPr="008C04EC">
          <w:rPr>
            <w:rFonts w:ascii="Times New Roman" w:hAnsi="Times New Roman" w:cs="Times New Roman"/>
            <w:noProof/>
            <w:color w:val="000000" w:themeColor="text1"/>
            <w:sz w:val="24"/>
            <w:szCs w:val="24"/>
            <w:lang w:val="en-GB"/>
          </w:rPr>
          <w:t>Blome</w:t>
        </w:r>
        <w:r w:rsidR="00F646FA">
          <w:rPr>
            <w:rFonts w:ascii="Times New Roman" w:hAnsi="Times New Roman" w:cs="Times New Roman"/>
            <w:noProof/>
            <w:color w:val="000000" w:themeColor="text1"/>
            <w:sz w:val="24"/>
            <w:szCs w:val="24"/>
            <w:lang w:val="en-GB"/>
          </w:rPr>
          <w:t xml:space="preserve"> et al., </w:t>
        </w:r>
        <w:r w:rsidR="00641B32" w:rsidRPr="008C04EC">
          <w:rPr>
            <w:rFonts w:ascii="Times New Roman" w:hAnsi="Times New Roman" w:cs="Times New Roman"/>
            <w:noProof/>
            <w:color w:val="000000" w:themeColor="text1"/>
            <w:sz w:val="24"/>
            <w:szCs w:val="24"/>
            <w:lang w:val="en-GB"/>
          </w:rPr>
          <w:t>2013</w:t>
        </w:r>
      </w:hyperlink>
      <w:r w:rsidR="00D30452" w:rsidRPr="008C04EC">
        <w:rPr>
          <w:rFonts w:ascii="Times New Roman" w:hAnsi="Times New Roman" w:cs="Times New Roman"/>
          <w:noProof/>
          <w:color w:val="000000" w:themeColor="text1"/>
          <w:sz w:val="24"/>
          <w:szCs w:val="24"/>
          <w:lang w:val="en-GB"/>
        </w:rPr>
        <w:t xml:space="preserve">; </w:t>
      </w:r>
      <w:hyperlink w:anchor="_ENREF_29" w:tooltip="Eckstein, 2015 #452" w:history="1">
        <w:r w:rsidR="00641B32" w:rsidRPr="008C04EC">
          <w:rPr>
            <w:rFonts w:ascii="Times New Roman" w:hAnsi="Times New Roman" w:cs="Times New Roman"/>
            <w:noProof/>
            <w:color w:val="000000" w:themeColor="text1"/>
            <w:sz w:val="24"/>
            <w:szCs w:val="24"/>
            <w:lang w:val="en-GB"/>
          </w:rPr>
          <w:t>Eckstein</w:t>
        </w:r>
        <w:r w:rsidR="00F646FA">
          <w:rPr>
            <w:rFonts w:ascii="Times New Roman" w:hAnsi="Times New Roman" w:cs="Times New Roman"/>
            <w:noProof/>
            <w:color w:val="000000" w:themeColor="text1"/>
            <w:sz w:val="24"/>
            <w:szCs w:val="24"/>
            <w:lang w:val="en-GB"/>
          </w:rPr>
          <w:t xml:space="preserve"> et al., </w:t>
        </w:r>
        <w:r w:rsidR="00641B32" w:rsidRPr="008C04EC">
          <w:rPr>
            <w:rFonts w:ascii="Times New Roman" w:hAnsi="Times New Roman" w:cs="Times New Roman"/>
            <w:noProof/>
            <w:color w:val="000000" w:themeColor="text1"/>
            <w:sz w:val="24"/>
            <w:szCs w:val="24"/>
            <w:lang w:val="en-GB"/>
          </w:rPr>
          <w:t>2015</w:t>
        </w:r>
      </w:hyperlink>
      <w:r w:rsidR="00D30452" w:rsidRPr="008C04EC">
        <w:rPr>
          <w:rFonts w:ascii="Times New Roman" w:hAnsi="Times New Roman" w:cs="Times New Roman"/>
          <w:noProof/>
          <w:color w:val="000000" w:themeColor="text1"/>
          <w:sz w:val="24"/>
          <w:szCs w:val="24"/>
          <w:lang w:val="en-GB"/>
        </w:rPr>
        <w:t xml:space="preserve">; </w:t>
      </w:r>
      <w:hyperlink w:anchor="_ENREF_89" w:tooltip="Swafford, 2006 #475" w:history="1">
        <w:r w:rsidR="00641B32" w:rsidRPr="008C04EC">
          <w:rPr>
            <w:rFonts w:ascii="Times New Roman" w:hAnsi="Times New Roman" w:cs="Times New Roman"/>
            <w:noProof/>
            <w:color w:val="000000" w:themeColor="text1"/>
            <w:sz w:val="24"/>
            <w:szCs w:val="24"/>
            <w:lang w:val="en-GB"/>
          </w:rPr>
          <w:t>Swafford</w:t>
        </w:r>
        <w:r w:rsidR="00F646FA">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2006</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p>
    <w:p w14:paraId="507B092E" w14:textId="188E83CF" w:rsidR="006D3AD5" w:rsidRDefault="005249CB" w:rsidP="00BD7202">
      <w:pPr>
        <w:spacing w:after="0" w:line="480" w:lineRule="auto"/>
        <w:ind w:firstLine="720"/>
        <w:jc w:val="both"/>
        <w:rPr>
          <w:rFonts w:ascii="Times New Roman" w:eastAsia="Calibri" w:hAnsi="Times New Roman" w:cs="Times New Roman"/>
          <w:color w:val="000000" w:themeColor="text1"/>
          <w:sz w:val="24"/>
          <w:lang w:val="en-GB"/>
        </w:rPr>
      </w:pPr>
      <w:r w:rsidRPr="008C04EC">
        <w:rPr>
          <w:rFonts w:ascii="Times New Roman" w:hAnsi="Times New Roman" w:cs="Times New Roman"/>
          <w:color w:val="000000" w:themeColor="text1"/>
          <w:sz w:val="24"/>
          <w:szCs w:val="24"/>
          <w:lang w:val="en-GB"/>
        </w:rPr>
        <w:t xml:space="preserve">We adopt the firm as the unit of analysis and Pakistan’s manufacturing sector as the context of study. Pakistan proves a suitable context to study the antecedents of </w:t>
      </w:r>
      <w:r w:rsidR="00617AA3" w:rsidRPr="008C04EC">
        <w:rPr>
          <w:rFonts w:ascii="Times New Roman" w:hAnsi="Times New Roman" w:cs="Times New Roman"/>
          <w:color w:val="000000" w:themeColor="text1"/>
          <w:sz w:val="24"/>
          <w:szCs w:val="24"/>
          <w:lang w:val="en-GB"/>
        </w:rPr>
        <w:t xml:space="preserve">DSCCs </w:t>
      </w:r>
      <w:r w:rsidRPr="008C04EC">
        <w:rPr>
          <w:rFonts w:ascii="Times New Roman" w:hAnsi="Times New Roman" w:cs="Times New Roman"/>
          <w:color w:val="000000" w:themeColor="text1"/>
          <w:sz w:val="24"/>
          <w:szCs w:val="24"/>
          <w:lang w:val="en-GB"/>
        </w:rPr>
        <w:t xml:space="preserve">because businesses in this country are experiencing a turbulent period of economic growth and social change (World Bank, 2017). Over the next ten years, Pakistan’s gross domestic product (GDP) is expected to grow at a rate of 6% per year, far outperforming countries in Europe and North America </w:t>
      </w:r>
      <w:r w:rsidRPr="008C04EC">
        <w:rPr>
          <w:rStyle w:val="fontstyle01"/>
          <w:rFonts w:ascii="Times New Roman" w:hAnsi="Times New Roman" w:cs="Times New Roman"/>
          <w:color w:val="000000" w:themeColor="text1"/>
          <w:sz w:val="24"/>
          <w:szCs w:val="24"/>
          <w:lang w:val="en-GB"/>
        </w:rPr>
        <w:fldChar w:fldCharType="begin"/>
      </w:r>
      <w:r w:rsidRPr="008C04EC">
        <w:rPr>
          <w:rStyle w:val="fontstyle01"/>
          <w:rFonts w:ascii="Times New Roman" w:hAnsi="Times New Roman" w:cs="Times New Roman"/>
          <w:color w:val="000000" w:themeColor="text1"/>
          <w:sz w:val="24"/>
          <w:szCs w:val="24"/>
          <w:lang w:val="en-GB"/>
        </w:rPr>
        <w:instrText xml:space="preserve"> ADDIN EN.CITE &lt;EndNote&gt;&lt;Cite&gt;&lt;Author&gt;Zahid&lt;/Author&gt;&lt;Year&gt;2017&lt;/Year&gt;&lt;RecNum&gt;1034&lt;/RecNum&gt;&lt;DisplayText&gt;(Zahid, 2017)&lt;/DisplayText&gt;&lt;record&gt;&lt;rec-number&gt;1034&lt;/rec-number&gt;&lt;foreign-keys&gt;&lt;key app="EN" db-id="seavxzzzfrf2p7eddfnxx5ep2ar05z0ddwx9"&gt;1034&lt;/key&gt;&lt;/foreign-keys&gt;&lt;ref-type name="Newspaper Article"&gt;23&lt;/ref-type&gt;&lt;contributors&gt;&lt;authors&gt;&lt;author&gt;Wali Zahid&lt;/author&gt;&lt;/authors&gt;&lt;/contributors&gt;&lt;titles&gt;&lt;title&gt;Pakistan&amp;apos;s GDP growth rate is even higher than that of China: Harvard study&lt;/title&gt;&lt;secondary-title&gt;Tribune&lt;/secondary-title&gt;&lt;/titles&gt;&lt;num-vols&gt;Daily&lt;/num-vols&gt;&lt;dates&gt;&lt;year&gt;2017&lt;/year&gt;&lt;pub-dates&gt;&lt;date&gt;7th July&lt;/date&gt;&lt;/pub-dates&gt;&lt;/dates&gt;&lt;pub-location&gt;Pakistan&lt;/pub-location&gt;&lt;urls&gt;&lt;related-urls&gt;&lt;url&gt;https://tribune.com.pk/story/1452332/pakistans-gdp-growth-rate-even-higher-china-harvard-study/&lt;/url&gt;&lt;/related-urls&gt;&lt;/urls&gt;&lt;access-date&gt;21st August, 2017&lt;/access-date&gt;&lt;/record&gt;&lt;/Cite&gt;&lt;/EndNote&gt;</w:instrText>
      </w:r>
      <w:r w:rsidRPr="008C04EC">
        <w:rPr>
          <w:rStyle w:val="fontstyle01"/>
          <w:rFonts w:ascii="Times New Roman" w:hAnsi="Times New Roman" w:cs="Times New Roman"/>
          <w:color w:val="000000" w:themeColor="text1"/>
          <w:sz w:val="24"/>
          <w:szCs w:val="24"/>
          <w:lang w:val="en-GB"/>
        </w:rPr>
        <w:fldChar w:fldCharType="separate"/>
      </w:r>
      <w:r w:rsidRPr="008C04EC">
        <w:rPr>
          <w:rStyle w:val="fontstyle01"/>
          <w:rFonts w:ascii="Times New Roman" w:hAnsi="Times New Roman" w:cs="Times New Roman"/>
          <w:color w:val="000000" w:themeColor="text1"/>
          <w:sz w:val="24"/>
          <w:szCs w:val="24"/>
          <w:lang w:val="en-GB"/>
        </w:rPr>
        <w:t>(</w:t>
      </w:r>
      <w:hyperlink w:anchor="_ENREF_101" w:tooltip="Zahid, 2017 #1034" w:history="1">
        <w:r w:rsidR="00641B32" w:rsidRPr="008C04EC">
          <w:rPr>
            <w:rStyle w:val="fontstyle01"/>
            <w:rFonts w:ascii="Times New Roman" w:hAnsi="Times New Roman" w:cs="Times New Roman"/>
            <w:color w:val="000000" w:themeColor="text1"/>
            <w:sz w:val="24"/>
            <w:szCs w:val="24"/>
            <w:lang w:val="en-GB"/>
          </w:rPr>
          <w:t>Zahid, 2017</w:t>
        </w:r>
      </w:hyperlink>
      <w:r w:rsidRPr="008C04EC">
        <w:rPr>
          <w:rStyle w:val="fontstyle01"/>
          <w:rFonts w:ascii="Times New Roman" w:hAnsi="Times New Roman" w:cs="Times New Roman"/>
          <w:color w:val="000000" w:themeColor="text1"/>
          <w:sz w:val="24"/>
          <w:szCs w:val="24"/>
          <w:lang w:val="en-GB"/>
        </w:rPr>
        <w:t>)</w:t>
      </w:r>
      <w:r w:rsidRPr="008C04EC">
        <w:rPr>
          <w:rStyle w:val="fontstyle01"/>
          <w:rFonts w:ascii="Times New Roman" w:hAnsi="Times New Roman" w:cs="Times New Roman"/>
          <w:color w:val="000000" w:themeColor="text1"/>
          <w:sz w:val="24"/>
          <w:szCs w:val="24"/>
          <w:lang w:val="en-GB"/>
        </w:rPr>
        <w:fldChar w:fldCharType="end"/>
      </w:r>
      <w:r w:rsidRPr="008C04EC">
        <w:rPr>
          <w:rStyle w:val="fontstyle01"/>
          <w:rFonts w:ascii="Times New Roman" w:hAnsi="Times New Roman" w:cs="Times New Roman"/>
          <w:color w:val="000000" w:themeColor="text1"/>
          <w:sz w:val="24"/>
          <w:szCs w:val="24"/>
          <w:lang w:val="en-GB"/>
        </w:rPr>
        <w:t xml:space="preserve">. </w:t>
      </w:r>
      <w:r w:rsidRPr="008C04EC">
        <w:rPr>
          <w:rFonts w:ascii="Times New Roman" w:eastAsia="Calibri" w:hAnsi="Times New Roman" w:cs="Times New Roman"/>
          <w:color w:val="000000" w:themeColor="text1"/>
          <w:sz w:val="24"/>
          <w:lang w:val="en-GB"/>
        </w:rPr>
        <w:t xml:space="preserve">Furthermore, due to the establishment of the China-Pakistan Economic Corridor (CPEC), Pakistani businesses expect to see intensified competition from Chinese firms in the coming decade. These factors mean that businesses operating in Pakistan’s </w:t>
      </w:r>
      <w:proofErr w:type="gramStart"/>
      <w:r w:rsidRPr="008C04EC">
        <w:rPr>
          <w:rFonts w:ascii="Times New Roman" w:eastAsia="Calibri" w:hAnsi="Times New Roman" w:cs="Times New Roman"/>
          <w:color w:val="000000" w:themeColor="text1"/>
          <w:sz w:val="24"/>
          <w:lang w:val="en-GB"/>
        </w:rPr>
        <w:t>fast growing</w:t>
      </w:r>
      <w:proofErr w:type="gramEnd"/>
      <w:r w:rsidRPr="008C04EC">
        <w:rPr>
          <w:rFonts w:ascii="Times New Roman" w:eastAsia="Calibri" w:hAnsi="Times New Roman" w:cs="Times New Roman"/>
          <w:color w:val="000000" w:themeColor="text1"/>
          <w:sz w:val="24"/>
          <w:lang w:val="en-GB"/>
        </w:rPr>
        <w:t xml:space="preserve"> manufacturing sector are building dynamic supply chain capabilities to sense market changes, seize new opportunities, and continuously transform supply chain structures to adapt to marketplace shifts.</w:t>
      </w:r>
      <w:bookmarkStart w:id="0" w:name="_Toc468366351"/>
    </w:p>
    <w:p w14:paraId="2E635718" w14:textId="77777777" w:rsidR="00BD7202" w:rsidRPr="008C04EC" w:rsidRDefault="00BD7202" w:rsidP="00BD7202">
      <w:pPr>
        <w:spacing w:after="0" w:line="480" w:lineRule="auto"/>
        <w:ind w:firstLine="720"/>
        <w:jc w:val="both"/>
        <w:rPr>
          <w:rFonts w:ascii="Times New Roman" w:eastAsia="Calibri" w:hAnsi="Times New Roman" w:cs="Times New Roman"/>
          <w:color w:val="000000" w:themeColor="text1"/>
          <w:sz w:val="24"/>
          <w:lang w:val="en-GB"/>
        </w:rPr>
      </w:pPr>
    </w:p>
    <w:p w14:paraId="04627B3A" w14:textId="77777777" w:rsidR="005249CB" w:rsidRPr="008C04EC" w:rsidRDefault="005249CB" w:rsidP="005249CB">
      <w:pPr>
        <w:keepNext/>
        <w:keepLines/>
        <w:spacing w:after="0" w:line="480" w:lineRule="auto"/>
        <w:jc w:val="both"/>
        <w:outlineLvl w:val="1"/>
        <w:rPr>
          <w:rFonts w:ascii="Times New Roman" w:eastAsia="Times New Roman" w:hAnsi="Times New Roman" w:cs="Times New Roman"/>
          <w:b/>
          <w:bCs/>
          <w:i/>
          <w:color w:val="000000" w:themeColor="text1"/>
          <w:sz w:val="24"/>
          <w:szCs w:val="24"/>
          <w:lang w:val="en-GB"/>
        </w:rPr>
      </w:pPr>
      <w:r w:rsidRPr="008C04EC">
        <w:rPr>
          <w:rFonts w:ascii="Times New Roman" w:eastAsia="Times New Roman" w:hAnsi="Times New Roman" w:cs="Times New Roman"/>
          <w:b/>
          <w:bCs/>
          <w:i/>
          <w:color w:val="000000" w:themeColor="text1"/>
          <w:sz w:val="24"/>
          <w:szCs w:val="24"/>
          <w:lang w:val="en-GB"/>
        </w:rPr>
        <w:t>3.1. Data collection methods</w:t>
      </w:r>
    </w:p>
    <w:p w14:paraId="1A097AE3" w14:textId="35E70524" w:rsidR="003A1566" w:rsidRPr="008C04EC" w:rsidRDefault="005D0CF4" w:rsidP="005249CB">
      <w:pPr>
        <w:spacing w:after="0" w:line="480" w:lineRule="auto"/>
        <w:jc w:val="both"/>
        <w:rPr>
          <w:rFonts w:ascii="Times New Roman" w:eastAsia="Times New Roman" w:hAnsi="Times New Roman" w:cs="Times New Roman"/>
          <w:color w:val="000000" w:themeColor="text1"/>
          <w:sz w:val="24"/>
          <w:szCs w:val="24"/>
          <w:lang w:val="en-GB"/>
        </w:rPr>
      </w:pPr>
      <w:r w:rsidRPr="008C04EC">
        <w:rPr>
          <w:rFonts w:ascii="Times New Roman" w:eastAsia="Times New Roman" w:hAnsi="Times New Roman" w:cs="Times New Roman"/>
          <w:color w:val="000000" w:themeColor="text1"/>
          <w:sz w:val="24"/>
          <w:szCs w:val="24"/>
          <w:lang w:val="en-GB"/>
        </w:rPr>
        <w:t xml:space="preserve">Our study used </w:t>
      </w:r>
      <w:r w:rsidR="00566A07" w:rsidRPr="008C04EC">
        <w:rPr>
          <w:rFonts w:ascii="Times New Roman" w:eastAsia="Times New Roman" w:hAnsi="Times New Roman" w:cs="Times New Roman"/>
          <w:color w:val="000000" w:themeColor="text1"/>
          <w:sz w:val="24"/>
          <w:szCs w:val="24"/>
          <w:lang w:val="en-GB"/>
        </w:rPr>
        <w:t xml:space="preserve">a </w:t>
      </w:r>
      <w:r w:rsidRPr="008C04EC">
        <w:rPr>
          <w:rFonts w:ascii="Times New Roman" w:eastAsia="Times New Roman" w:hAnsi="Times New Roman" w:cs="Times New Roman"/>
          <w:color w:val="000000" w:themeColor="text1"/>
          <w:sz w:val="24"/>
          <w:szCs w:val="24"/>
          <w:lang w:val="en-GB"/>
        </w:rPr>
        <w:t>single respondent design.</w:t>
      </w:r>
      <w:r w:rsidR="00A24158" w:rsidRPr="008C04EC">
        <w:rPr>
          <w:rFonts w:ascii="Times New Roman" w:eastAsia="Times New Roman" w:hAnsi="Times New Roman" w:cs="Times New Roman"/>
          <w:color w:val="000000" w:themeColor="text1"/>
          <w:sz w:val="24"/>
          <w:szCs w:val="24"/>
          <w:lang w:val="en-GB"/>
        </w:rPr>
        <w:t xml:space="preserve"> Some r</w:t>
      </w:r>
      <w:r w:rsidRPr="008C04EC">
        <w:rPr>
          <w:rFonts w:ascii="Times New Roman" w:eastAsia="Times New Roman" w:hAnsi="Times New Roman" w:cs="Times New Roman"/>
          <w:color w:val="000000" w:themeColor="text1"/>
          <w:sz w:val="24"/>
          <w:szCs w:val="24"/>
          <w:lang w:val="en-GB"/>
        </w:rPr>
        <w:t xml:space="preserve">esearchers have raised concerns with the efficacy of this design </w:t>
      </w:r>
      <w:r w:rsidRPr="008C04EC">
        <w:rPr>
          <w:rFonts w:ascii="Times New Roman" w:eastAsia="Times New Roman" w:hAnsi="Times New Roman" w:cs="Times New Roman"/>
          <w:color w:val="000000" w:themeColor="text1"/>
          <w:sz w:val="24"/>
          <w:szCs w:val="24"/>
          <w:lang w:val="en-GB"/>
        </w:rPr>
        <w:fldChar w:fldCharType="begin"/>
      </w:r>
      <w:r w:rsidRPr="008C04EC">
        <w:rPr>
          <w:rFonts w:ascii="Times New Roman" w:eastAsia="Times New Roman" w:hAnsi="Times New Roman" w:cs="Times New Roman"/>
          <w:color w:val="000000" w:themeColor="text1"/>
          <w:sz w:val="24"/>
          <w:szCs w:val="24"/>
          <w:lang w:val="en-GB"/>
        </w:rPr>
        <w:instrText xml:space="preserve"> ADDIN EN.CITE &lt;EndNote&gt;&lt;Cite&gt;&lt;Author&gt;Flynn&lt;/Author&gt;&lt;Year&gt;2018&lt;/Year&gt;&lt;RecNum&gt;1229&lt;/RecNum&gt;&lt;Prefix&gt;e.g. &lt;/Prefix&gt;&lt;DisplayText&gt;(e.g. Flynn, Pagell, &amp;amp; Fugate, 2018)&lt;/DisplayText&gt;&lt;record&gt;&lt;rec-number&gt;1229&lt;/rec-number&gt;&lt;foreign-keys&gt;&lt;key app="EN" db-id="seavxzzzfrf2p7eddfnxx5ep2ar05z0ddwx9"&gt;1229&lt;/key&gt;&lt;/foreign-keys&gt;&lt;ref-type name="Journal Article"&gt;17&lt;/ref-type&gt;&lt;contributors&gt;&lt;authors&gt;&lt;author&gt;Flynn, Barbara&lt;/author&gt;&lt;author&gt;Pagell, Mark&lt;/author&gt;&lt;author&gt;Fugate, Brian&lt;/author&gt;&lt;/authors&gt;&lt;/contributors&gt;&lt;titles&gt;&lt;title&gt;Survey research design in supply chain management: the need for evolution in our expectations&lt;/title&gt;&lt;secondary-title&gt;Journal of Supply Chain Management&lt;/secondary-title&gt;&lt;/titles&gt;&lt;periodical&gt;&lt;full-title&gt;Journal of Supply Chain Management&lt;/full-title&gt;&lt;/periodical&gt;&lt;pages&gt;1-15&lt;/pages&gt;&lt;volume&gt;54&lt;/volume&gt;&lt;number&gt;1&lt;/number&gt;&lt;dates&gt;&lt;year&gt;2018&lt;/year&gt;&lt;/dates&gt;&lt;isbn&gt;1523-2409&lt;/isbn&gt;&lt;urls&gt;&lt;/urls&gt;&lt;/record&gt;&lt;/Cite&gt;&lt;/EndNote&gt;</w:instrText>
      </w:r>
      <w:r w:rsidRPr="008C04EC">
        <w:rPr>
          <w:rFonts w:ascii="Times New Roman" w:eastAsia="Times New Roman" w:hAnsi="Times New Roman" w:cs="Times New Roman"/>
          <w:color w:val="000000" w:themeColor="text1"/>
          <w:sz w:val="24"/>
          <w:szCs w:val="24"/>
          <w:lang w:val="en-GB"/>
        </w:rPr>
        <w:fldChar w:fldCharType="separate"/>
      </w:r>
      <w:r w:rsidRPr="008C04EC">
        <w:rPr>
          <w:rFonts w:ascii="Times New Roman" w:eastAsia="Times New Roman" w:hAnsi="Times New Roman" w:cs="Times New Roman"/>
          <w:noProof/>
          <w:color w:val="000000" w:themeColor="text1"/>
          <w:sz w:val="24"/>
          <w:szCs w:val="24"/>
          <w:lang w:val="en-GB"/>
        </w:rPr>
        <w:t>(</w:t>
      </w:r>
      <w:hyperlink w:anchor="_ENREF_31" w:tooltip="Flynn, 2018 #1229" w:history="1">
        <w:r w:rsidR="00641B32" w:rsidRPr="008C04EC">
          <w:rPr>
            <w:rFonts w:ascii="Times New Roman" w:eastAsia="Times New Roman" w:hAnsi="Times New Roman" w:cs="Times New Roman"/>
            <w:noProof/>
            <w:color w:val="000000" w:themeColor="text1"/>
            <w:sz w:val="24"/>
            <w:szCs w:val="24"/>
            <w:lang w:val="en-GB"/>
          </w:rPr>
          <w:t>e.g. Flynn</w:t>
        </w:r>
        <w:r w:rsidR="00F646FA">
          <w:rPr>
            <w:rFonts w:ascii="Times New Roman" w:eastAsia="Times New Roman" w:hAnsi="Times New Roman" w:cs="Times New Roman"/>
            <w:noProof/>
            <w:color w:val="000000" w:themeColor="text1"/>
            <w:sz w:val="24"/>
            <w:szCs w:val="24"/>
            <w:lang w:val="en-GB"/>
          </w:rPr>
          <w:t xml:space="preserve"> et al., </w:t>
        </w:r>
        <w:r w:rsidR="00641B32" w:rsidRPr="008C04EC">
          <w:rPr>
            <w:rFonts w:ascii="Times New Roman" w:eastAsia="Times New Roman" w:hAnsi="Times New Roman" w:cs="Times New Roman"/>
            <w:noProof/>
            <w:color w:val="000000" w:themeColor="text1"/>
            <w:sz w:val="24"/>
            <w:szCs w:val="24"/>
            <w:lang w:val="en-GB"/>
          </w:rPr>
          <w:t>2018</w:t>
        </w:r>
      </w:hyperlink>
      <w:r w:rsidRPr="008C04EC">
        <w:rPr>
          <w:rFonts w:ascii="Times New Roman" w:eastAsia="Times New Roman" w:hAnsi="Times New Roman" w:cs="Times New Roman"/>
          <w:noProof/>
          <w:color w:val="000000" w:themeColor="text1"/>
          <w:sz w:val="24"/>
          <w:szCs w:val="24"/>
          <w:lang w:val="en-GB"/>
        </w:rPr>
        <w:t>)</w:t>
      </w:r>
      <w:r w:rsidRPr="008C04EC">
        <w:rPr>
          <w:rFonts w:ascii="Times New Roman" w:eastAsia="Times New Roman" w:hAnsi="Times New Roman" w:cs="Times New Roman"/>
          <w:color w:val="000000" w:themeColor="text1"/>
          <w:sz w:val="24"/>
          <w:szCs w:val="24"/>
          <w:lang w:val="en-GB"/>
        </w:rPr>
        <w:fldChar w:fldCharType="end"/>
      </w:r>
      <w:r w:rsidRPr="008C04EC">
        <w:rPr>
          <w:rFonts w:ascii="Times New Roman" w:eastAsia="Times New Roman" w:hAnsi="Times New Roman" w:cs="Times New Roman"/>
          <w:color w:val="000000" w:themeColor="text1"/>
          <w:sz w:val="24"/>
          <w:szCs w:val="24"/>
          <w:lang w:val="en-GB"/>
        </w:rPr>
        <w:t xml:space="preserve">. However, </w:t>
      </w:r>
      <w:hyperlink w:anchor="_ENREF_68" w:tooltip="Montabon, 2018 #1230" w:history="1">
        <w:r w:rsidR="00641B32" w:rsidRPr="008C04EC">
          <w:rPr>
            <w:rFonts w:ascii="Times New Roman" w:eastAsia="Times New Roman" w:hAnsi="Times New Roman" w:cs="Times New Roman"/>
            <w:color w:val="000000" w:themeColor="text1"/>
            <w:sz w:val="24"/>
            <w:szCs w:val="24"/>
            <w:lang w:val="en-GB"/>
          </w:rPr>
          <w:fldChar w:fldCharType="begin"/>
        </w:r>
        <w:r w:rsidR="00641B32" w:rsidRPr="008C04EC">
          <w:rPr>
            <w:rFonts w:ascii="Times New Roman" w:eastAsia="Times New Roman" w:hAnsi="Times New Roman" w:cs="Times New Roman"/>
            <w:color w:val="000000" w:themeColor="text1"/>
            <w:sz w:val="24"/>
            <w:szCs w:val="24"/>
            <w:lang w:val="en-GB"/>
          </w:rPr>
          <w:instrText xml:space="preserve"> ADDIN EN.CITE &lt;EndNote&gt;&lt;Cite AuthorYear="1"&gt;&lt;Author&gt;Montabon&lt;/Author&gt;&lt;Year&gt;2018&lt;/Year&gt;&lt;RecNum&gt;1230&lt;/RecNum&gt;&lt;DisplayText&gt;Montabon, Daugherty, and Chen (2018)&lt;/DisplayText&gt;&lt;record&gt;&lt;rec-number&gt;1230&lt;/rec-number&gt;&lt;foreign-keys&gt;&lt;key app="EN" db-id="seavxzzzfrf2p7eddfnxx5ep2ar05z0ddwx9"&gt;1230&lt;/key&gt;&lt;/foreign-keys&gt;&lt;ref-type name="Journal Article"&gt;17&lt;/ref-type&gt;&lt;contributors&gt;&lt;authors&gt;&lt;author&gt;Montabon, Frank&lt;/author&gt;&lt;author&gt;Daugherty, Patricia J&lt;/author&gt;&lt;author&gt;Chen, Haozhe&lt;/author&gt;&lt;/authors&gt;&lt;/contributors&gt;&lt;titles&gt;&lt;title&gt;Setting standards for single respondent survey design&lt;/title&gt;&lt;secondary-title&gt;Journal of Supply Chain Management&lt;/secondary-title&gt;&lt;/titles&gt;&lt;periodical&gt;&lt;full-title&gt;Journal of Supply Chain Management&lt;/full-title&gt;&lt;/periodical&gt;&lt;pages&gt;35-41&lt;/pages&gt;&lt;volume&gt;54&lt;/volume&gt;&lt;number&gt;1&lt;/number&gt;&lt;dates&gt;&lt;year&gt;2018&lt;/year&gt;&lt;/dates&gt;&lt;isbn&gt;1523-2409&lt;/isbn&gt;&lt;urls&gt;&lt;/urls&gt;&lt;/record&gt;&lt;/Cite&gt;&lt;/EndNote&gt;</w:instrText>
        </w:r>
        <w:r w:rsidR="00641B32" w:rsidRPr="008C04EC">
          <w:rPr>
            <w:rFonts w:ascii="Times New Roman" w:eastAsia="Times New Roman" w:hAnsi="Times New Roman" w:cs="Times New Roman"/>
            <w:color w:val="000000" w:themeColor="text1"/>
            <w:sz w:val="24"/>
            <w:szCs w:val="24"/>
            <w:lang w:val="en-GB"/>
          </w:rPr>
          <w:fldChar w:fldCharType="separate"/>
        </w:r>
        <w:r w:rsidR="00641B32" w:rsidRPr="008C04EC">
          <w:rPr>
            <w:rFonts w:ascii="Times New Roman" w:eastAsia="Times New Roman" w:hAnsi="Times New Roman" w:cs="Times New Roman"/>
            <w:noProof/>
            <w:color w:val="000000" w:themeColor="text1"/>
            <w:sz w:val="24"/>
            <w:szCs w:val="24"/>
            <w:lang w:val="en-GB"/>
          </w:rPr>
          <w:t xml:space="preserve">Montabon, Daugherty, and Chen </w:t>
        </w:r>
        <w:r w:rsidR="00641B32" w:rsidRPr="008C04EC">
          <w:rPr>
            <w:rFonts w:ascii="Times New Roman" w:eastAsia="Times New Roman" w:hAnsi="Times New Roman" w:cs="Times New Roman"/>
            <w:noProof/>
            <w:color w:val="000000" w:themeColor="text1"/>
            <w:sz w:val="24"/>
            <w:szCs w:val="24"/>
            <w:lang w:val="en-GB"/>
          </w:rPr>
          <w:lastRenderedPageBreak/>
          <w:t>(2018)</w:t>
        </w:r>
        <w:r w:rsidR="00641B32" w:rsidRPr="008C04EC">
          <w:rPr>
            <w:rFonts w:ascii="Times New Roman" w:eastAsia="Times New Roman" w:hAnsi="Times New Roman" w:cs="Times New Roman"/>
            <w:color w:val="000000" w:themeColor="text1"/>
            <w:sz w:val="24"/>
            <w:szCs w:val="24"/>
            <w:lang w:val="en-GB"/>
          </w:rPr>
          <w:fldChar w:fldCharType="end"/>
        </w:r>
      </w:hyperlink>
      <w:r w:rsidR="003A1566" w:rsidRPr="008C04EC">
        <w:rPr>
          <w:rFonts w:ascii="Times New Roman" w:eastAsia="Times New Roman" w:hAnsi="Times New Roman" w:cs="Times New Roman"/>
          <w:color w:val="000000" w:themeColor="text1"/>
          <w:sz w:val="24"/>
          <w:szCs w:val="24"/>
          <w:lang w:val="en-GB"/>
        </w:rPr>
        <w:t xml:space="preserve"> suggest that single-informant surveys </w:t>
      </w:r>
      <w:r w:rsidR="00566A07" w:rsidRPr="008C04EC">
        <w:rPr>
          <w:rFonts w:ascii="Times New Roman" w:eastAsia="Times New Roman" w:hAnsi="Times New Roman" w:cs="Times New Roman"/>
          <w:color w:val="000000" w:themeColor="text1"/>
          <w:sz w:val="24"/>
          <w:szCs w:val="24"/>
          <w:lang w:val="en-GB"/>
        </w:rPr>
        <w:t>are still vital</w:t>
      </w:r>
      <w:r w:rsidR="003A1566" w:rsidRPr="008C04EC">
        <w:rPr>
          <w:rFonts w:ascii="Times New Roman" w:eastAsia="Times New Roman" w:hAnsi="Times New Roman" w:cs="Times New Roman"/>
          <w:color w:val="000000" w:themeColor="text1"/>
          <w:sz w:val="24"/>
          <w:szCs w:val="24"/>
          <w:lang w:val="en-GB"/>
        </w:rPr>
        <w:t xml:space="preserve"> in supply chain research. They suggest that it is </w:t>
      </w:r>
      <w:r w:rsidR="00566A07" w:rsidRPr="008C04EC">
        <w:rPr>
          <w:rFonts w:ascii="Times New Roman" w:eastAsia="Times New Roman" w:hAnsi="Times New Roman" w:cs="Times New Roman"/>
          <w:color w:val="000000" w:themeColor="text1"/>
          <w:sz w:val="24"/>
          <w:szCs w:val="24"/>
          <w:lang w:val="en-GB"/>
        </w:rPr>
        <w:t xml:space="preserve">more </w:t>
      </w:r>
      <w:r w:rsidR="003A1566" w:rsidRPr="008C04EC">
        <w:rPr>
          <w:rFonts w:ascii="Times New Roman" w:eastAsia="Times New Roman" w:hAnsi="Times New Roman" w:cs="Times New Roman"/>
          <w:color w:val="000000" w:themeColor="text1"/>
          <w:sz w:val="24"/>
          <w:szCs w:val="24"/>
          <w:lang w:val="en-GB"/>
        </w:rPr>
        <w:t xml:space="preserve">valuable to gather data from a single knowledgeable respondent than multiple respondents without relevant knowledge. Following their advice, we </w:t>
      </w:r>
      <w:proofErr w:type="gramStart"/>
      <w:r w:rsidR="003A1566" w:rsidRPr="008C04EC">
        <w:rPr>
          <w:rFonts w:ascii="Times New Roman" w:eastAsia="Times New Roman" w:hAnsi="Times New Roman" w:cs="Times New Roman"/>
          <w:color w:val="000000" w:themeColor="text1"/>
          <w:sz w:val="24"/>
          <w:szCs w:val="24"/>
          <w:lang w:val="en-GB"/>
        </w:rPr>
        <w:t xml:space="preserve">made </w:t>
      </w:r>
      <w:r w:rsidR="00566A07" w:rsidRPr="008C04EC">
        <w:rPr>
          <w:rFonts w:ascii="Times New Roman" w:eastAsia="Times New Roman" w:hAnsi="Times New Roman" w:cs="Times New Roman"/>
          <w:color w:val="000000" w:themeColor="text1"/>
          <w:sz w:val="24"/>
          <w:szCs w:val="24"/>
          <w:lang w:val="en-GB"/>
        </w:rPr>
        <w:t xml:space="preserve">an </w:t>
      </w:r>
      <w:r w:rsidR="003A1566" w:rsidRPr="008C04EC">
        <w:rPr>
          <w:rFonts w:ascii="Times New Roman" w:eastAsia="Times New Roman" w:hAnsi="Times New Roman" w:cs="Times New Roman"/>
          <w:color w:val="000000" w:themeColor="text1"/>
          <w:sz w:val="24"/>
          <w:szCs w:val="24"/>
          <w:lang w:val="en-GB"/>
        </w:rPr>
        <w:t>effort</w:t>
      </w:r>
      <w:proofErr w:type="gramEnd"/>
      <w:r w:rsidR="003A1566" w:rsidRPr="008C04EC">
        <w:rPr>
          <w:rFonts w:ascii="Times New Roman" w:eastAsia="Times New Roman" w:hAnsi="Times New Roman" w:cs="Times New Roman"/>
          <w:color w:val="000000" w:themeColor="text1"/>
          <w:sz w:val="24"/>
          <w:szCs w:val="24"/>
          <w:lang w:val="en-GB"/>
        </w:rPr>
        <w:t xml:space="preserve"> to increase the sample size to improve representativeness and generalizability.</w:t>
      </w:r>
      <w:r w:rsidR="00A34192" w:rsidRPr="008C04EC">
        <w:rPr>
          <w:rFonts w:ascii="Times New Roman" w:eastAsia="Times New Roman" w:hAnsi="Times New Roman" w:cs="Times New Roman"/>
          <w:color w:val="000000" w:themeColor="text1"/>
          <w:sz w:val="24"/>
          <w:szCs w:val="24"/>
          <w:lang w:val="en-GB"/>
        </w:rPr>
        <w:t xml:space="preserve"> </w:t>
      </w:r>
    </w:p>
    <w:p w14:paraId="511E083B" w14:textId="0F5F28FA" w:rsidR="005249CB" w:rsidRPr="008C04EC" w:rsidRDefault="005249CB" w:rsidP="00DE40D7">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 xml:space="preserve">Data were collected using a survey method. Invitations to complete the survey were sent to managers working in operations and supply chain management positions in Pakistan’s manufacturing sector. Hoskisson et al.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ExcludeAuth="1"&gt;&lt;Author&gt;Hoskisson&lt;/Author&gt;&lt;Year&gt;2000&lt;/Year&gt;&lt;RecNum&gt;867&lt;/RecNum&gt;&lt;DisplayText&gt;(2000)&lt;/DisplayText&gt;&lt;record&gt;&lt;rec-number&gt;867&lt;/rec-number&gt;&lt;foreign-keys&gt;&lt;key app="EN" db-id="seavxzzzfrf2p7eddfnxx5ep2ar05z0ddwx9"&gt;867&lt;/key&gt;&lt;/foreign-keys&gt;&lt;ref-type name="Journal Article"&gt;17&lt;/ref-type&gt;&lt;contributors&gt;&lt;authors&gt;&lt;author&gt;Hoskisson, Robert E&lt;/author&gt;&lt;author&gt;Eden, Lorraine&lt;/author&gt;&lt;author&gt;Lau, Chung Ming&lt;/author&gt;&lt;author&gt;Wright, Mike&lt;/author&gt;&lt;/authors&gt;&lt;/contributors&gt;&lt;titles&gt;&lt;title&gt;Strategy in emerging economies&lt;/title&gt;&lt;secondary-title&gt;Academy of Management Journal&lt;/secondary-title&gt;&lt;/titles&gt;&lt;periodical&gt;&lt;full-title&gt;Academy of Management Journal&lt;/full-title&gt;&lt;/periodical&gt;&lt;pages&gt;249-267&lt;/pages&gt;&lt;volume&gt;43&lt;/volume&gt;&lt;number&gt;3&lt;/number&gt;&lt;dates&gt;&lt;year&gt;2000&lt;/year&gt;&lt;/dates&gt;&lt;isbn&gt;0001-4273&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43" w:tooltip="Hoskisson, 2000 #867" w:history="1">
        <w:r w:rsidR="00641B32" w:rsidRPr="008C04EC">
          <w:rPr>
            <w:rFonts w:ascii="Times New Roman" w:eastAsia="Calibri" w:hAnsi="Times New Roman" w:cs="Times New Roman"/>
            <w:color w:val="000000" w:themeColor="text1"/>
            <w:sz w:val="24"/>
            <w:szCs w:val="24"/>
            <w:lang w:val="en-GB"/>
          </w:rPr>
          <w:t>2000</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identified a number of issues when collecting empirical data from emerging economies. These included: difficulty in collecting random and representative samples; (low) postal system reliability;</w:t>
      </w:r>
      <w:r w:rsidRPr="008C04EC">
        <w:rPr>
          <w:rFonts w:ascii="Times New Roman" w:hAnsi="Times New Roman" w:cs="Times New Roman"/>
          <w:color w:val="000000" w:themeColor="text1"/>
          <w:sz w:val="24"/>
          <w:szCs w:val="24"/>
          <w:lang w:val="en-GB"/>
        </w:rPr>
        <w:t xml:space="preserve"> lack of trust between the respondents and researcher; difficulty in gaining access to top management: and a lack of understanding of common management issues among practicing managers. Other </w:t>
      </w:r>
      <w:r w:rsidRPr="008C04EC">
        <w:rPr>
          <w:rFonts w:ascii="Times New Roman" w:eastAsia="Calibri" w:hAnsi="Times New Roman" w:cs="Times New Roman"/>
          <w:color w:val="000000" w:themeColor="text1"/>
          <w:sz w:val="24"/>
          <w:szCs w:val="24"/>
          <w:lang w:val="en-GB"/>
        </w:rPr>
        <w:t xml:space="preserve">studies conducted in emerging economies have reported similar issues </w:t>
      </w:r>
      <w:r w:rsidRPr="008C04EC">
        <w:rPr>
          <w:rFonts w:ascii="Times New Roman" w:eastAsia="Calibri"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QWhtYWQsIFVzbWFuIEF3YW4sIFJhb3VmLCAmYW1wOyBTcGFya3MsIDIwMDk7IEFsaSwgUGV0ZXJz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</w:fldData>
        </w:fldChar>
      </w:r>
      <w:r w:rsidR="00D30452" w:rsidRPr="008C04EC">
        <w:rPr>
          <w:rFonts w:ascii="Times New Roman" w:eastAsia="Calibri" w:hAnsi="Times New Roman" w:cs="Times New Roman"/>
          <w:color w:val="000000" w:themeColor="text1"/>
          <w:sz w:val="24"/>
          <w:szCs w:val="24"/>
          <w:lang w:val="en-GB"/>
        </w:rPr>
        <w:instrText xml:space="preserve"> ADDIN EN.CITE </w:instrText>
      </w:r>
      <w:r w:rsidR="00D30452" w:rsidRPr="008C04EC">
        <w:rPr>
          <w:rFonts w:ascii="Times New Roman" w:eastAsia="Calibri"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QWhtYWQsIFVzbWFuIEF3YW4sIFJhb3VmLCAmYW1wOyBTcGFya3MsIDIwMDk7IEFsaSwgUGV0ZXJz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</w:fldData>
        </w:fldChar>
      </w:r>
      <w:r w:rsidR="00D30452" w:rsidRPr="008C04EC">
        <w:rPr>
          <w:rFonts w:ascii="Times New Roman" w:eastAsia="Calibri" w:hAnsi="Times New Roman" w:cs="Times New Roman"/>
          <w:color w:val="000000" w:themeColor="text1"/>
          <w:sz w:val="24"/>
          <w:szCs w:val="24"/>
          <w:lang w:val="en-GB"/>
        </w:rPr>
        <w:instrText xml:space="preserve"> ADDIN EN.CITE.DATA </w:instrText>
      </w:r>
      <w:r w:rsidR="00D30452" w:rsidRPr="008C04EC">
        <w:rPr>
          <w:rFonts w:ascii="Times New Roman" w:eastAsia="Calibri" w:hAnsi="Times New Roman" w:cs="Times New Roman"/>
          <w:color w:val="000000" w:themeColor="text1"/>
          <w:sz w:val="24"/>
          <w:szCs w:val="24"/>
          <w:lang w:val="en-GB"/>
        </w:rPr>
      </w:r>
      <w:r w:rsidR="00D30452"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r>
      <w:r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 xml:space="preserve">(e.g. </w:t>
      </w:r>
      <w:hyperlink w:anchor="_ENREF_1" w:tooltip="Ahmad, 2009 #871" w:history="1">
        <w:r w:rsidR="00641B32" w:rsidRPr="008C04EC">
          <w:rPr>
            <w:rFonts w:ascii="Times New Roman" w:eastAsia="Calibri" w:hAnsi="Times New Roman" w:cs="Times New Roman"/>
            <w:noProof/>
            <w:color w:val="000000" w:themeColor="text1"/>
            <w:sz w:val="24"/>
            <w:szCs w:val="24"/>
            <w:lang w:val="en-GB"/>
          </w:rPr>
          <w:t>Ahmad</w:t>
        </w:r>
        <w:r w:rsidR="00F646FA">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2009</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4" w:tooltip="Ali, 2012 #367" w:history="1">
        <w:r w:rsidR="00641B32" w:rsidRPr="008C04EC">
          <w:rPr>
            <w:rFonts w:ascii="Times New Roman" w:eastAsia="Calibri" w:hAnsi="Times New Roman" w:cs="Times New Roman"/>
            <w:noProof/>
            <w:color w:val="000000" w:themeColor="text1"/>
            <w:sz w:val="24"/>
            <w:szCs w:val="24"/>
            <w:lang w:val="en-GB"/>
          </w:rPr>
          <w:t>Ali</w:t>
        </w:r>
        <w:r w:rsidR="00F646FA">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2012</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27" w:tooltip="Dubey, 2016 #873" w:history="1">
        <w:r w:rsidR="00641B32" w:rsidRPr="008C04EC">
          <w:rPr>
            <w:rFonts w:ascii="Times New Roman" w:eastAsia="Calibri" w:hAnsi="Times New Roman" w:cs="Times New Roman"/>
            <w:noProof/>
            <w:color w:val="000000" w:themeColor="text1"/>
            <w:sz w:val="24"/>
            <w:szCs w:val="24"/>
            <w:lang w:val="en-GB"/>
          </w:rPr>
          <w:t>Dubey &amp; Gunasekaran, 2016</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49" w:tooltip="Jeswani, 2008 #875" w:history="1">
        <w:r w:rsidR="00641B32" w:rsidRPr="008C04EC">
          <w:rPr>
            <w:rFonts w:ascii="Times New Roman" w:eastAsia="Calibri" w:hAnsi="Times New Roman" w:cs="Times New Roman"/>
            <w:noProof/>
            <w:color w:val="000000" w:themeColor="text1"/>
            <w:sz w:val="24"/>
            <w:szCs w:val="24"/>
            <w:lang w:val="en-GB"/>
          </w:rPr>
          <w:t>Jeswani</w:t>
        </w:r>
        <w:r w:rsidR="00D84388">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2008</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57" w:tooltip="Kureshi, 2010 #870" w:history="1">
        <w:r w:rsidR="00641B32" w:rsidRPr="008C04EC">
          <w:rPr>
            <w:rFonts w:ascii="Times New Roman" w:eastAsia="Calibri" w:hAnsi="Times New Roman" w:cs="Times New Roman"/>
            <w:noProof/>
            <w:color w:val="000000" w:themeColor="text1"/>
            <w:sz w:val="24"/>
            <w:szCs w:val="24"/>
            <w:lang w:val="en-GB"/>
          </w:rPr>
          <w:t>Kureshi</w:t>
        </w:r>
        <w:r w:rsidR="00D84388">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2010</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78" w:tooltip="Ryan, 2013 #869" w:history="1">
        <w:r w:rsidR="00641B32" w:rsidRPr="008C04EC">
          <w:rPr>
            <w:rFonts w:ascii="Times New Roman" w:eastAsia="Calibri" w:hAnsi="Times New Roman" w:cs="Times New Roman"/>
            <w:noProof/>
            <w:color w:val="000000" w:themeColor="text1"/>
            <w:sz w:val="24"/>
            <w:szCs w:val="24"/>
            <w:lang w:val="en-GB"/>
          </w:rPr>
          <w:t>Ryan &amp; Tipu, 2013</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83" w:tooltip="Singh, 2010 #872" w:history="1">
        <w:r w:rsidR="00641B32" w:rsidRPr="008C04EC">
          <w:rPr>
            <w:rFonts w:ascii="Times New Roman" w:eastAsia="Calibri" w:hAnsi="Times New Roman" w:cs="Times New Roman"/>
            <w:noProof/>
            <w:color w:val="000000" w:themeColor="text1"/>
            <w:sz w:val="24"/>
            <w:szCs w:val="24"/>
            <w:lang w:val="en-GB"/>
          </w:rPr>
          <w:t>Singh</w:t>
        </w:r>
        <w:r w:rsidR="00D84388">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2010</w:t>
        </w:r>
      </w:hyperlink>
      <w:r w:rsidR="00D30452" w:rsidRPr="008C04EC">
        <w:rPr>
          <w:rFonts w:ascii="Times New Roman" w:eastAsia="Calibri" w:hAnsi="Times New Roman" w:cs="Times New Roman"/>
          <w:noProof/>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 xml:space="preserve">For example, Malik and Kotabe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ExcludeAuth="1"&gt;&lt;Author&gt;Malik&lt;/Author&gt;&lt;Year&gt;2009&lt;/Year&gt;&lt;RecNum&gt;822&lt;/RecNum&gt;&lt;DisplayText&gt;(2009)&lt;/DisplayText&gt;&lt;record&gt;&lt;rec-number&gt;822&lt;/rec-number&gt;&lt;foreign-keys&gt;&lt;key app="EN" db-id="seavxzzzfrf2p7eddfnxx5ep2ar05z0ddwx9"&gt;822&lt;/key&gt;&lt;/foreign-keys&gt;&lt;ref-type name="Journal Article"&gt;17&lt;/ref-type&gt;&lt;contributors&gt;&lt;authors&gt;&lt;author&gt;Malik, Omar R&lt;/author&gt;&lt;author&gt;Kotabe, Masaaki&lt;/author&gt;&lt;/authors&gt;&lt;/contributors&gt;&lt;titles&gt;&lt;title&gt;Dynamic capabilities, government policies, and performance in firms from emerging economies: evidence from India and Pakistan&lt;/title&gt;&lt;secondary-title&gt;Journal of Management Studies&lt;/secondary-title&gt;&lt;/titles&gt;&lt;periodical&gt;&lt;full-title&gt;Journal of Management Studies&lt;/full-title&gt;&lt;/periodical&gt;&lt;pages&gt;421-450&lt;/pages&gt;&lt;volume&gt;46&lt;/volume&gt;&lt;number&gt;3&lt;/number&gt;&lt;dates&gt;&lt;year&gt;2009&lt;/year&gt;&lt;/dates&gt;&lt;publisher&gt;Wiley Online Library&lt;/publisher&gt;&lt;isbn&gt;1467-6486&lt;/isbn&gt;&lt;urls&gt;&lt;/urls&gt;&lt;/record&gt;&lt;/Cite&gt;&lt;/EndNote&gt;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65" w:tooltip="Malik, 2009 #822" w:history="1">
        <w:r w:rsidR="00641B32" w:rsidRPr="008C04EC">
          <w:rPr>
            <w:rFonts w:ascii="Times New Roman" w:hAnsi="Times New Roman" w:cs="Times New Roman"/>
            <w:color w:val="000000" w:themeColor="text1"/>
            <w:sz w:val="24"/>
            <w:szCs w:val="24"/>
            <w:lang w:val="en-GB"/>
          </w:rPr>
          <w:t>2009</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collected data from seven cities in India and Pakistan using convenience sampling, and could not find an up-to-date list of firms operating in each country. Other studies in India and Pakistan have not used probability sampling methods for similar reasons </w:t>
      </w:r>
      <w:r w:rsidRPr="008C04EC">
        <w:rPr>
          <w:rFonts w:ascii="Times New Roman"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QWxpIGV0IGFsLiwgMjAxMjsgSmVzd2FuaSBldCBhbC4sIDIwMDg7IFJ5YW4gJmFtcDsgVGlwdSwg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QWxpIGV0IGFsLiwgMjAxMjsgSmVzd2FuaSBldCBhbC4sIDIwMDg7IFJ5YW4gJmFtcDsgVGlwdSwg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 xml:space="preserve">(e.g. </w:t>
      </w:r>
      <w:hyperlink w:anchor="_ENREF_4" w:tooltip="Ali, 2012 #367" w:history="1">
        <w:r w:rsidR="00641B32" w:rsidRPr="008C04EC">
          <w:rPr>
            <w:rFonts w:ascii="Times New Roman" w:hAnsi="Times New Roman" w:cs="Times New Roman"/>
            <w:noProof/>
            <w:color w:val="000000" w:themeColor="text1"/>
            <w:sz w:val="24"/>
            <w:szCs w:val="24"/>
            <w:lang w:val="en-GB"/>
          </w:rPr>
          <w:t>Ali et al., 2012</w:t>
        </w:r>
      </w:hyperlink>
      <w:r w:rsidR="00D30452" w:rsidRPr="008C04EC">
        <w:rPr>
          <w:rFonts w:ascii="Times New Roman" w:hAnsi="Times New Roman" w:cs="Times New Roman"/>
          <w:noProof/>
          <w:color w:val="000000" w:themeColor="text1"/>
          <w:sz w:val="24"/>
          <w:szCs w:val="24"/>
          <w:lang w:val="en-GB"/>
        </w:rPr>
        <w:t xml:space="preserve">; </w:t>
      </w:r>
      <w:hyperlink w:anchor="_ENREF_49" w:tooltip="Jeswani, 2008 #875" w:history="1">
        <w:r w:rsidR="00641B32" w:rsidRPr="008C04EC">
          <w:rPr>
            <w:rFonts w:ascii="Times New Roman" w:hAnsi="Times New Roman" w:cs="Times New Roman"/>
            <w:noProof/>
            <w:color w:val="000000" w:themeColor="text1"/>
            <w:sz w:val="24"/>
            <w:szCs w:val="24"/>
            <w:lang w:val="en-GB"/>
          </w:rPr>
          <w:t>Jeswani et al., 2008</w:t>
        </w:r>
      </w:hyperlink>
      <w:r w:rsidR="00D30452" w:rsidRPr="008C04EC">
        <w:rPr>
          <w:rFonts w:ascii="Times New Roman" w:hAnsi="Times New Roman" w:cs="Times New Roman"/>
          <w:noProof/>
          <w:color w:val="000000" w:themeColor="text1"/>
          <w:sz w:val="24"/>
          <w:szCs w:val="24"/>
          <w:lang w:val="en-GB"/>
        </w:rPr>
        <w:t xml:space="preserve">; </w:t>
      </w:r>
      <w:hyperlink w:anchor="_ENREF_78" w:tooltip="Ryan, 2013 #869" w:history="1">
        <w:r w:rsidR="00641B32" w:rsidRPr="008C04EC">
          <w:rPr>
            <w:rFonts w:ascii="Times New Roman" w:hAnsi="Times New Roman" w:cs="Times New Roman"/>
            <w:noProof/>
            <w:color w:val="000000" w:themeColor="text1"/>
            <w:sz w:val="24"/>
            <w:szCs w:val="24"/>
            <w:lang w:val="en-GB"/>
          </w:rPr>
          <w:t>Ryan &amp; Tipu, 2013</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t>
      </w:r>
    </w:p>
    <w:p w14:paraId="082EA710" w14:textId="1AF1DC74" w:rsidR="005249CB" w:rsidRPr="008C04EC" w:rsidRDefault="005249CB" w:rsidP="005249CB">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 xml:space="preserve">Similar to these studies, we found data collection in Pakistan to be a challenging affair. For example, when preparing the survey instrument, we had difficulty locating a comprehensive database of companies operating in Pakistan’s manufacturing sector. To overcome this challenge, we compiled a list of manufacturing companies to be included in the sampling frame using Pakistan’s stock exchange, lists of managers’ names provided from the Quality and Productivity Society of Pakistan, the yellow pages, as well as websites of manufacturing trade associations. Where possible we included the names and e-mail address of supply chain and operations managers working in these companies in the list. We sent </w:t>
      </w:r>
      <w:r w:rsidRPr="008C04EC">
        <w:rPr>
          <w:rFonts w:ascii="Times New Roman" w:eastAsia="Calibri" w:hAnsi="Times New Roman" w:cs="Times New Roman"/>
          <w:color w:val="000000" w:themeColor="text1"/>
          <w:sz w:val="24"/>
          <w:szCs w:val="24"/>
          <w:lang w:val="en-GB"/>
        </w:rPr>
        <w:lastRenderedPageBreak/>
        <w:t>multiple waves of e-mails to these managers between February and July 2016. We attached the survey instrument and a cover letter to the email; these introduced the research and the importance of the respondent cooperating in the study. Discounting the e-mails that went undelivered due to incorrect or obsolete e-mail addresses, we sent out 3,375 e-mail surveys. In total, we received 275 usable responses (8.1% response rate), which is in line with similar studies in emerging economies</w:t>
      </w:r>
      <w:r w:rsidR="00471DA2" w:rsidRPr="008C04EC">
        <w:rPr>
          <w:rFonts w:ascii="Times New Roman" w:eastAsia="Calibri" w:hAnsi="Times New Roman" w:cs="Times New Roman"/>
          <w:color w:val="000000" w:themeColor="text1"/>
          <w:sz w:val="24"/>
          <w:szCs w:val="24"/>
          <w:lang w:val="en-GB"/>
        </w:rPr>
        <w:t xml:space="preserve"> </w:t>
      </w:r>
      <w:r w:rsidR="00471DA2" w:rsidRPr="008C04EC">
        <w:rPr>
          <w:rFonts w:ascii="Times New Roman"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QWxpIGV0IGFsLiwgMjAxMjsgSmVzd2FuaSBldCBhbC4sIDIwMDg7IFJ5YW4gJmFtcDsgVGlwdSwg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</w:fldData>
        </w:fldChar>
      </w:r>
      <w:r w:rsidR="00D30452" w:rsidRPr="008C04EC">
        <w:rPr>
          <w:rFonts w:ascii="Times New Roman" w:hAnsi="Times New Roman" w:cs="Times New Roman"/>
          <w:color w:val="000000" w:themeColor="text1"/>
          <w:sz w:val="24"/>
          <w:szCs w:val="24"/>
          <w:lang w:val="en-GB"/>
        </w:rPr>
        <w:instrText xml:space="preserve"> ADDIN EN.CITE </w:instrText>
      </w:r>
      <w:r w:rsidR="00D30452" w:rsidRPr="008C04EC">
        <w:rPr>
          <w:rFonts w:ascii="Times New Roman" w:hAnsi="Times New Roman" w:cs="Times New Roman"/>
          <w:color w:val="000000" w:themeColor="text1"/>
          <w:sz w:val="24"/>
          <w:szCs w:val="24"/>
          <w:lang w:val="en-GB"/>
        </w:rPr>
        <w:fldChar w:fldCharType="begin">
          <w:fldData xml:space="preserve">PEVuZE5vdGU+PENpdGU+PEF1dGhvcj5SeWFuPC9BdXRob3I+PFllYXI+MjAxMzwvWWVhcj48UmVj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</w:fldData>
        </w:fldChar>
      </w:r>
      <w:r w:rsidR="00D30452" w:rsidRPr="008C04EC">
        <w:rPr>
          <w:rFonts w:ascii="Times New Roman" w:hAnsi="Times New Roman" w:cs="Times New Roman"/>
          <w:color w:val="000000" w:themeColor="text1"/>
          <w:sz w:val="24"/>
          <w:szCs w:val="24"/>
          <w:lang w:val="en-GB"/>
        </w:rPr>
        <w:instrText xml:space="preserve"> ADDIN EN.CITE.DATA </w:instrText>
      </w:r>
      <w:r w:rsidR="00D30452" w:rsidRPr="008C04EC">
        <w:rPr>
          <w:rFonts w:ascii="Times New Roman" w:hAnsi="Times New Roman" w:cs="Times New Roman"/>
          <w:color w:val="000000" w:themeColor="text1"/>
          <w:sz w:val="24"/>
          <w:szCs w:val="24"/>
          <w:lang w:val="en-GB"/>
        </w:rPr>
      </w:r>
      <w:r w:rsidR="00D30452" w:rsidRPr="008C04EC">
        <w:rPr>
          <w:rFonts w:ascii="Times New Roman" w:hAnsi="Times New Roman" w:cs="Times New Roman"/>
          <w:color w:val="000000" w:themeColor="text1"/>
          <w:sz w:val="24"/>
          <w:szCs w:val="24"/>
          <w:lang w:val="en-GB"/>
        </w:rPr>
        <w:fldChar w:fldCharType="end"/>
      </w:r>
      <w:r w:rsidR="00471DA2" w:rsidRPr="008C04EC">
        <w:rPr>
          <w:rFonts w:ascii="Times New Roman" w:hAnsi="Times New Roman" w:cs="Times New Roman"/>
          <w:color w:val="000000" w:themeColor="text1"/>
          <w:sz w:val="24"/>
          <w:szCs w:val="24"/>
          <w:lang w:val="en-GB"/>
        </w:rPr>
      </w:r>
      <w:r w:rsidR="00471DA2"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 xml:space="preserve">(e.g. </w:t>
      </w:r>
      <w:hyperlink w:anchor="_ENREF_4" w:tooltip="Ali, 2012 #367" w:history="1">
        <w:r w:rsidR="00641B32" w:rsidRPr="008C04EC">
          <w:rPr>
            <w:rFonts w:ascii="Times New Roman" w:hAnsi="Times New Roman" w:cs="Times New Roman"/>
            <w:noProof/>
            <w:color w:val="000000" w:themeColor="text1"/>
            <w:sz w:val="24"/>
            <w:szCs w:val="24"/>
            <w:lang w:val="en-GB"/>
          </w:rPr>
          <w:t>Ali et al., 2012</w:t>
        </w:r>
      </w:hyperlink>
      <w:r w:rsidR="00D30452" w:rsidRPr="008C04EC">
        <w:rPr>
          <w:rFonts w:ascii="Times New Roman" w:hAnsi="Times New Roman" w:cs="Times New Roman"/>
          <w:noProof/>
          <w:color w:val="000000" w:themeColor="text1"/>
          <w:sz w:val="24"/>
          <w:szCs w:val="24"/>
          <w:lang w:val="en-GB"/>
        </w:rPr>
        <w:t xml:space="preserve">; </w:t>
      </w:r>
      <w:hyperlink w:anchor="_ENREF_49" w:tooltip="Jeswani, 2008 #875" w:history="1">
        <w:r w:rsidR="00641B32" w:rsidRPr="008C04EC">
          <w:rPr>
            <w:rFonts w:ascii="Times New Roman" w:hAnsi="Times New Roman" w:cs="Times New Roman"/>
            <w:noProof/>
            <w:color w:val="000000" w:themeColor="text1"/>
            <w:sz w:val="24"/>
            <w:szCs w:val="24"/>
            <w:lang w:val="en-GB"/>
          </w:rPr>
          <w:t>Jeswani et al., 2008</w:t>
        </w:r>
      </w:hyperlink>
      <w:r w:rsidR="00D30452" w:rsidRPr="008C04EC">
        <w:rPr>
          <w:rFonts w:ascii="Times New Roman" w:hAnsi="Times New Roman" w:cs="Times New Roman"/>
          <w:noProof/>
          <w:color w:val="000000" w:themeColor="text1"/>
          <w:sz w:val="24"/>
          <w:szCs w:val="24"/>
          <w:lang w:val="en-GB"/>
        </w:rPr>
        <w:t xml:space="preserve">; </w:t>
      </w:r>
      <w:hyperlink w:anchor="_ENREF_78" w:tooltip="Ryan, 2013 #869" w:history="1">
        <w:r w:rsidR="00641B32" w:rsidRPr="008C04EC">
          <w:rPr>
            <w:rFonts w:ascii="Times New Roman" w:hAnsi="Times New Roman" w:cs="Times New Roman"/>
            <w:noProof/>
            <w:color w:val="000000" w:themeColor="text1"/>
            <w:sz w:val="24"/>
            <w:szCs w:val="24"/>
            <w:lang w:val="en-GB"/>
          </w:rPr>
          <w:t>Ryan &amp; Tipu, 2013</w:t>
        </w:r>
      </w:hyperlink>
      <w:r w:rsidR="00D30452" w:rsidRPr="008C04EC">
        <w:rPr>
          <w:rFonts w:ascii="Times New Roman" w:hAnsi="Times New Roman" w:cs="Times New Roman"/>
          <w:noProof/>
          <w:color w:val="000000" w:themeColor="text1"/>
          <w:sz w:val="24"/>
          <w:szCs w:val="24"/>
          <w:lang w:val="en-GB"/>
        </w:rPr>
        <w:t>)</w:t>
      </w:r>
      <w:r w:rsidR="00471DA2"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however, the response rate does come with some non-response bias issues. </w:t>
      </w:r>
    </w:p>
    <w:p w14:paraId="00CBCC4F" w14:textId="37EC8BD0" w:rsidR="005249CB" w:rsidRPr="008C04EC" w:rsidRDefault="005249CB" w:rsidP="005249CB">
      <w:pPr>
        <w:spacing w:after="0" w:line="480" w:lineRule="auto"/>
        <w:ind w:firstLine="567"/>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 xml:space="preserve">We tested for non-response bias by using the method suggested by Armstrong and Overton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ExcludeAuth="1"&gt;&lt;Author&gt;Armstrong&lt;/Author&gt;&lt;Year&gt;1977&lt;/Year&gt;&lt;RecNum&gt;1037&lt;/RecNum&gt;&lt;DisplayText&gt;(1977)&lt;/DisplayText&gt;&lt;record&gt;&lt;rec-number&gt;1037&lt;/rec-number&gt;&lt;foreign-keys&gt;&lt;key app="EN" db-id="seavxzzzfrf2p7eddfnxx5ep2ar05z0ddwx9"&gt;1037&lt;/key&gt;&lt;/foreign-keys&gt;&lt;ref-type name="Journal Article"&gt;17&lt;/ref-type&gt;&lt;contributors&gt;&lt;authors&gt;&lt;author&gt;Armstrong, J Scott&lt;/author&gt;&lt;author&gt;Overton, Terry S&lt;/author&gt;&lt;/authors&gt;&lt;/contributors&gt;&lt;titles&gt;&lt;title&gt;Estimating nonresponse bias in mail surveys&lt;/title&gt;&lt;secondary-title&gt;Journal of Marketing Research&lt;/secondary-title&gt;&lt;/titles&gt;&lt;periodical&gt;&lt;full-title&gt;Journal of marketing research&lt;/full-title&gt;&lt;/periodical&gt;&lt;pages&gt;396-402&lt;/pages&gt;&lt;dates&gt;&lt;year&gt;1977&lt;/year&gt;&lt;/dates&gt;&lt;publisher&gt;JSTOR&lt;/publisher&gt;&lt;isbn&gt;0022-2437&lt;/isbn&gt;&lt;urls&gt;&lt;/urls&gt;&lt;/record&gt;&lt;/Cite&gt;&lt;/EndNote&gt;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7" w:tooltip="Armstrong, 1977 #1037" w:history="1">
        <w:r w:rsidR="00641B32" w:rsidRPr="008C04EC">
          <w:rPr>
            <w:rFonts w:ascii="Times New Roman" w:eastAsia="Calibri" w:hAnsi="Times New Roman" w:cs="Times New Roman"/>
            <w:color w:val="000000" w:themeColor="text1"/>
            <w:sz w:val="24"/>
            <w:szCs w:val="24"/>
            <w:lang w:val="en-GB"/>
          </w:rPr>
          <w:t>1977</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This method compares early and late respondents while using late respondents as a proxy for non-respondents </w:t>
      </w:r>
      <w:r w:rsidRPr="008C04EC">
        <w:rPr>
          <w:rFonts w:ascii="Times New Roman" w:eastAsia="Calibri" w:hAnsi="Times New Roman" w:cs="Times New Roman"/>
          <w:color w:val="000000" w:themeColor="text1"/>
          <w:sz w:val="24"/>
          <w:szCs w:val="24"/>
          <w:lang w:val="en-GB"/>
        </w:rPr>
        <w:fldChar w:fldCharType="begin">
          <w:fldData xml:space="preserve">PEVuZE5vdGU+PENpdGU+PEF1dGhvcj5CcmF1bnNjaGVpZGVsPC9BdXRob3I+PFllYXI+MjAwOTwv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</w:fldData>
        </w:fldChar>
      </w:r>
      <w:r w:rsidR="00D30452" w:rsidRPr="008C04EC">
        <w:rPr>
          <w:rFonts w:ascii="Times New Roman" w:eastAsia="Calibri" w:hAnsi="Times New Roman" w:cs="Times New Roman"/>
          <w:color w:val="000000" w:themeColor="text1"/>
          <w:sz w:val="24"/>
          <w:szCs w:val="24"/>
          <w:lang w:val="en-GB"/>
        </w:rPr>
        <w:instrText xml:space="preserve"> ADDIN EN.CITE </w:instrText>
      </w:r>
      <w:r w:rsidR="00D30452" w:rsidRPr="008C04EC">
        <w:rPr>
          <w:rFonts w:ascii="Times New Roman" w:eastAsia="Calibri" w:hAnsi="Times New Roman" w:cs="Times New Roman"/>
          <w:color w:val="000000" w:themeColor="text1"/>
          <w:sz w:val="24"/>
          <w:szCs w:val="24"/>
          <w:lang w:val="en-GB"/>
        </w:rPr>
        <w:fldChar w:fldCharType="begin">
          <w:fldData xml:space="preserve">PEVuZE5vdGU+PENpdGU+PEF1dGhvcj5CcmF1bnNjaGVpZGVsPC9BdXRob3I+PFllYXI+MjAwOTwv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</w:fldData>
        </w:fldChar>
      </w:r>
      <w:r w:rsidR="00D30452" w:rsidRPr="008C04EC">
        <w:rPr>
          <w:rFonts w:ascii="Times New Roman" w:eastAsia="Calibri" w:hAnsi="Times New Roman" w:cs="Times New Roman"/>
          <w:color w:val="000000" w:themeColor="text1"/>
          <w:sz w:val="24"/>
          <w:szCs w:val="24"/>
          <w:lang w:val="en-GB"/>
        </w:rPr>
        <w:instrText xml:space="preserve"> ADDIN EN.CITE.DATA </w:instrText>
      </w:r>
      <w:r w:rsidR="00D30452" w:rsidRPr="008C04EC">
        <w:rPr>
          <w:rFonts w:ascii="Times New Roman" w:eastAsia="Calibri" w:hAnsi="Times New Roman" w:cs="Times New Roman"/>
          <w:color w:val="000000" w:themeColor="text1"/>
          <w:sz w:val="24"/>
          <w:szCs w:val="24"/>
          <w:lang w:val="en-GB"/>
        </w:rPr>
      </w:r>
      <w:r w:rsidR="00D30452"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r>
      <w:r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w:t>
      </w:r>
      <w:hyperlink w:anchor="_ENREF_13" w:tooltip="Braunscheidel, 2009 #929" w:history="1">
        <w:r w:rsidR="00641B32" w:rsidRPr="008C04EC">
          <w:rPr>
            <w:rFonts w:ascii="Times New Roman" w:eastAsia="Calibri" w:hAnsi="Times New Roman" w:cs="Times New Roman"/>
            <w:noProof/>
            <w:color w:val="000000" w:themeColor="text1"/>
            <w:sz w:val="24"/>
            <w:szCs w:val="24"/>
            <w:lang w:val="en-GB"/>
          </w:rPr>
          <w:t>Braunscheidel &amp; Suresh, 2009</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14" w:tooltip="Brusset, 2016 #924" w:history="1">
        <w:r w:rsidR="00641B32" w:rsidRPr="008C04EC">
          <w:rPr>
            <w:rFonts w:ascii="Times New Roman" w:eastAsia="Calibri" w:hAnsi="Times New Roman" w:cs="Times New Roman"/>
            <w:noProof/>
            <w:color w:val="000000" w:themeColor="text1"/>
            <w:sz w:val="24"/>
            <w:szCs w:val="24"/>
            <w:lang w:val="en-GB"/>
          </w:rPr>
          <w:t>Brusset, 2016</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82" w:tooltip="Schoenherr, 2015 #934" w:history="1">
        <w:r w:rsidR="00641B32" w:rsidRPr="008C04EC">
          <w:rPr>
            <w:rFonts w:ascii="Times New Roman" w:eastAsia="Calibri" w:hAnsi="Times New Roman" w:cs="Times New Roman"/>
            <w:noProof/>
            <w:color w:val="000000" w:themeColor="text1"/>
            <w:sz w:val="24"/>
            <w:szCs w:val="24"/>
            <w:lang w:val="en-GB"/>
          </w:rPr>
          <w:t>Schoenherr &amp; Swink, 2015</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97" w:tooltip="Whitten, 2012 #479" w:history="1">
        <w:r w:rsidR="00641B32" w:rsidRPr="008C04EC">
          <w:rPr>
            <w:rFonts w:ascii="Times New Roman" w:eastAsia="Calibri" w:hAnsi="Times New Roman" w:cs="Times New Roman"/>
            <w:noProof/>
            <w:color w:val="000000" w:themeColor="text1"/>
            <w:sz w:val="24"/>
            <w:szCs w:val="24"/>
            <w:lang w:val="en-GB"/>
          </w:rPr>
          <w:t>Whitten</w:t>
        </w:r>
        <w:r w:rsidR="00D84388">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2012</w:t>
        </w:r>
      </w:hyperlink>
      <w:r w:rsidR="00D30452" w:rsidRPr="008C04EC">
        <w:rPr>
          <w:rFonts w:ascii="Times New Roman" w:eastAsia="Calibri" w:hAnsi="Times New Roman" w:cs="Times New Roman"/>
          <w:noProof/>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Comparisons between early and late respondents were made on the basis of three demographic variables: 1) the sales revenue of the respondent’s firm; 2) the number of years that the respondent’s firm had been in operation; and, 3) the experience of the respondent using independent sample t-tests. The results showed no significant difference between the two groups. The distribution of firms in the sample closely resembles the distribution of local industry according to the Pakistan Bureau of Statistics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&lt;EndNote&gt;&lt;Cite&gt;&lt;Author&gt;Pakistan Bureau of Statistics&lt;/Author&gt;&lt;Year&gt;2005-06&lt;/Year&gt;&lt;RecNum&gt;955&lt;/RecNum&gt;&lt;DisplayText&gt;(Pakistan Bureau of Statistics, 2005-06)&lt;/DisplayText&gt;&lt;record&gt;&lt;rec-number&gt;955&lt;/rec-number&gt;&lt;foreign-keys&gt;&lt;key app="EN" db-id="seavxzzzfrf2p7eddfnxx5ep2ar05z0ddwx9"&gt;955&lt;/key&gt;&lt;/foreign-keys&gt;&lt;ref-type name="Report"&gt;27&lt;/ref-type&gt;&lt;contributors&gt;&lt;authors&gt;&lt;author&gt;Pakistan Bureau of Statistics,&lt;/author&gt;&lt;/authors&gt;&lt;tertiary-authors&gt;&lt;author&gt;Pakistan Bureau of Statistics&lt;/author&gt;&lt;/tertiary-authors&gt;&lt;/contributors&gt;&lt;titles&gt;&lt;title&gt;Census of Manufacturing Industries &lt;/title&gt;&lt;/titles&gt;&lt;volume&gt;2005-06&lt;/volume&gt;&lt;dates&gt;&lt;year&gt;2005-06&lt;/year&gt;&lt;/dates&gt;&lt;pub-location&gt;Pakistan&lt;/pub-location&gt;&lt;publisher&gt;Pakistan Bureau of Statistics&lt;/publisher&gt;&lt;urls&gt;&lt;/urls&gt;&lt;/record&gt;&lt;/Cite&gt;&lt;/EndNote&gt;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72" w:tooltip="Pakistan Bureau of Statistics, 2005-06 #955" w:history="1">
        <w:r w:rsidR="00641B32" w:rsidRPr="008C04EC">
          <w:rPr>
            <w:rFonts w:ascii="Times New Roman" w:eastAsia="Calibri" w:hAnsi="Times New Roman" w:cs="Times New Roman"/>
            <w:color w:val="000000" w:themeColor="text1"/>
            <w:sz w:val="24"/>
            <w:szCs w:val="24"/>
            <w:lang w:val="en-GB"/>
          </w:rPr>
          <w:t>Pakistan Bureau of Statistics, 2005-06</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For example, 25.1% of the respondents belonged to the textile sector; a sector that contributed 26.2% to Pakistan’s GDP in 2018. Similarly, 17% of respondents were from the </w:t>
      </w:r>
      <w:proofErr w:type="gramStart"/>
      <w:r w:rsidRPr="008C04EC">
        <w:rPr>
          <w:rFonts w:ascii="Times New Roman" w:eastAsia="Calibri" w:hAnsi="Times New Roman" w:cs="Times New Roman"/>
          <w:color w:val="000000" w:themeColor="text1"/>
          <w:sz w:val="24"/>
          <w:szCs w:val="24"/>
          <w:lang w:val="en-GB"/>
        </w:rPr>
        <w:t>Fast Moving</w:t>
      </w:r>
      <w:proofErr w:type="gramEnd"/>
      <w:r w:rsidRPr="008C04EC">
        <w:rPr>
          <w:rFonts w:ascii="Times New Roman" w:eastAsia="Calibri" w:hAnsi="Times New Roman" w:cs="Times New Roman"/>
          <w:color w:val="000000" w:themeColor="text1"/>
          <w:sz w:val="24"/>
          <w:szCs w:val="24"/>
          <w:lang w:val="en-GB"/>
        </w:rPr>
        <w:t xml:space="preserve"> Consumer Goods </w:t>
      </w:r>
      <w:r w:rsidR="00D84388">
        <w:rPr>
          <w:rFonts w:ascii="Times New Roman" w:eastAsia="Calibri" w:hAnsi="Times New Roman" w:cs="Times New Roman"/>
          <w:color w:val="000000" w:themeColor="text1"/>
          <w:sz w:val="24"/>
          <w:szCs w:val="24"/>
          <w:lang w:val="en-GB"/>
        </w:rPr>
        <w:t>s</w:t>
      </w:r>
      <w:r w:rsidR="00D84388" w:rsidRPr="008C04EC">
        <w:rPr>
          <w:rFonts w:ascii="Times New Roman" w:eastAsia="Calibri" w:hAnsi="Times New Roman" w:cs="Times New Roman"/>
          <w:color w:val="000000" w:themeColor="text1"/>
          <w:sz w:val="24"/>
          <w:szCs w:val="24"/>
          <w:lang w:val="en-GB"/>
        </w:rPr>
        <w:t xml:space="preserve">ector </w:t>
      </w:r>
      <w:r w:rsidRPr="008C04EC">
        <w:rPr>
          <w:rFonts w:ascii="Times New Roman" w:eastAsia="Calibri" w:hAnsi="Times New Roman" w:cs="Times New Roman"/>
          <w:color w:val="000000" w:themeColor="text1"/>
          <w:sz w:val="24"/>
          <w:szCs w:val="24"/>
          <w:lang w:val="en-GB"/>
        </w:rPr>
        <w:t>(FMCG); an industry that contributed 16.5% to GDP; 4.3% of respondents were from auto and auto-part manufacturing, and contributed 5.4% to GDP; 10.8% of respondents belonged to chemical manufacturing, and contributed 12% to GDP; and 2.9% were from the electronics industry and contributed 1.8% to GDP. The industry and respondent profiles are provided in Tables 1 and 2.</w:t>
      </w:r>
    </w:p>
    <w:p w14:paraId="2569AEB8" w14:textId="25C46E61" w:rsidR="005249CB" w:rsidRPr="008C04EC" w:rsidRDefault="005249CB" w:rsidP="005249CB">
      <w:pPr>
        <w:spacing w:after="0" w:line="480" w:lineRule="auto"/>
        <w:jc w:val="center"/>
        <w:rPr>
          <w:rFonts w:ascii="Times New Roman" w:eastAsia="Calibri" w:hAnsi="Times New Roman" w:cs="Times New Roman"/>
          <w:b/>
          <w:color w:val="000000" w:themeColor="text1"/>
          <w:sz w:val="24"/>
          <w:szCs w:val="24"/>
          <w:lang w:val="en-GB"/>
        </w:rPr>
      </w:pPr>
      <w:r w:rsidRPr="008C04EC">
        <w:rPr>
          <w:rFonts w:ascii="Times New Roman" w:eastAsia="Calibri" w:hAnsi="Times New Roman" w:cs="Times New Roman"/>
          <w:b/>
          <w:color w:val="000000" w:themeColor="text1"/>
          <w:sz w:val="24"/>
          <w:szCs w:val="24"/>
          <w:lang w:val="en-GB"/>
        </w:rPr>
        <w:t xml:space="preserve">Insert Table 1 </w:t>
      </w:r>
      <w:r w:rsidR="00D4006E">
        <w:rPr>
          <w:rFonts w:ascii="Times New Roman" w:eastAsia="Calibri" w:hAnsi="Times New Roman" w:cs="Times New Roman"/>
          <w:b/>
          <w:color w:val="000000" w:themeColor="text1"/>
          <w:sz w:val="24"/>
          <w:szCs w:val="24"/>
          <w:lang w:val="en-GB"/>
        </w:rPr>
        <w:t xml:space="preserve">&amp; 2 </w:t>
      </w:r>
      <w:r w:rsidRPr="008C04EC">
        <w:rPr>
          <w:rFonts w:ascii="Times New Roman" w:eastAsia="Calibri" w:hAnsi="Times New Roman" w:cs="Times New Roman"/>
          <w:b/>
          <w:color w:val="000000" w:themeColor="text1"/>
          <w:sz w:val="24"/>
          <w:szCs w:val="24"/>
          <w:lang w:val="en-GB"/>
        </w:rPr>
        <w:t>about here</w:t>
      </w:r>
    </w:p>
    <w:p w14:paraId="2D65723F" w14:textId="77777777" w:rsidR="005249CB" w:rsidRPr="008C04EC" w:rsidRDefault="005249CB" w:rsidP="005249CB">
      <w:pPr>
        <w:spacing w:after="0" w:line="480" w:lineRule="auto"/>
        <w:jc w:val="center"/>
        <w:rPr>
          <w:rFonts w:ascii="Times New Roman" w:eastAsia="Calibri" w:hAnsi="Times New Roman" w:cs="Times New Roman"/>
          <w:b/>
          <w:color w:val="000000" w:themeColor="text1"/>
          <w:sz w:val="24"/>
          <w:szCs w:val="24"/>
          <w:lang w:val="en-GB"/>
        </w:rPr>
      </w:pPr>
    </w:p>
    <w:p w14:paraId="27DC95C8" w14:textId="77777777" w:rsidR="005249CB" w:rsidRPr="008C04EC" w:rsidRDefault="005249CB" w:rsidP="005249CB">
      <w:pPr>
        <w:keepNext/>
        <w:keepLines/>
        <w:spacing w:after="0" w:line="480" w:lineRule="auto"/>
        <w:jc w:val="both"/>
        <w:outlineLvl w:val="1"/>
        <w:rPr>
          <w:rFonts w:ascii="Times New Roman" w:eastAsia="Times New Roman" w:hAnsi="Times New Roman" w:cs="Times New Roman"/>
          <w:b/>
          <w:bCs/>
          <w:i/>
          <w:color w:val="000000" w:themeColor="text1"/>
          <w:sz w:val="24"/>
          <w:szCs w:val="24"/>
          <w:lang w:val="en-GB"/>
        </w:rPr>
      </w:pPr>
      <w:r w:rsidRPr="008C04EC">
        <w:rPr>
          <w:rFonts w:ascii="Times New Roman" w:eastAsia="Times New Roman" w:hAnsi="Times New Roman" w:cs="Times New Roman"/>
          <w:b/>
          <w:bCs/>
          <w:i/>
          <w:color w:val="000000" w:themeColor="text1"/>
          <w:sz w:val="24"/>
          <w:szCs w:val="24"/>
          <w:lang w:val="en-GB"/>
        </w:rPr>
        <w:lastRenderedPageBreak/>
        <w:t>3.2. Measures</w:t>
      </w:r>
      <w:bookmarkEnd w:id="0"/>
    </w:p>
    <w:p w14:paraId="6133CC13" w14:textId="3315A107" w:rsidR="00D4006E" w:rsidRPr="008C04EC" w:rsidRDefault="005249CB" w:rsidP="005249CB">
      <w:pPr>
        <w:spacing w:after="0" w:line="480" w:lineRule="auto"/>
        <w:jc w:val="both"/>
        <w:rPr>
          <w:rFonts w:cs="Times New Roman"/>
          <w:color w:val="000000" w:themeColor="text1"/>
          <w:szCs w:val="24"/>
          <w:lang w:val="en-GB"/>
        </w:rPr>
      </w:pPr>
      <w:r w:rsidRPr="008C04EC">
        <w:rPr>
          <w:rFonts w:ascii="Times New Roman" w:eastAsia="Calibri" w:hAnsi="Times New Roman" w:cs="Times New Roman"/>
          <w:color w:val="000000" w:themeColor="text1"/>
          <w:sz w:val="24"/>
          <w:szCs w:val="24"/>
          <w:lang w:val="en-GB"/>
        </w:rPr>
        <w:t xml:space="preserve">Following the advice of </w:t>
      </w:r>
      <w:hyperlink w:anchor="_ENREF_81" w:tooltip="Schminke, 2004 #950" w:history="1">
        <w:r w:rsidR="00641B32" w:rsidRPr="008C04EC">
          <w:rPr>
            <w:rFonts w:ascii="Times New Roman" w:eastAsia="Calibri" w:hAnsi="Times New Roman" w:cs="Times New Roman"/>
            <w:color w:val="000000" w:themeColor="text1"/>
            <w:sz w:val="24"/>
            <w:szCs w:val="24"/>
            <w:lang w:val="en-GB"/>
          </w:rPr>
          <w:fldChar w:fldCharType="begin"/>
        </w:r>
        <w:r w:rsidR="00641B32" w:rsidRPr="008C04EC">
          <w:rPr>
            <w:rFonts w:ascii="Times New Roman" w:eastAsia="Calibri" w:hAnsi="Times New Roman" w:cs="Times New Roman"/>
            <w:color w:val="000000" w:themeColor="text1"/>
            <w:sz w:val="24"/>
            <w:szCs w:val="24"/>
            <w:lang w:val="en-GB"/>
          </w:rPr>
          <w:instrText xml:space="preserve"> ADDIN EN.CITE &lt;EndNote&gt;&lt;Cite AuthorYear="1"&gt;&lt;Author&gt;Schminke&lt;/Author&gt;&lt;Year&gt;2004&lt;/Year&gt;&lt;RecNum&gt;950&lt;/RecNum&gt;&lt;DisplayText&gt;Schminke (2004)&lt;/DisplayText&gt;&lt;record&gt;&lt;rec-number&gt;950&lt;/rec-number&gt;&lt;foreign-keys&gt;&lt;key app="EN" db-id="seavxzzzfrf2p7eddfnxx5ep2ar05z0ddwx9"&gt;950&lt;/key&gt;&lt;/foreign-keys&gt;&lt;ref-type name="Journal Article"&gt;17&lt;/ref-type&gt;&lt;contributors&gt;&lt;authors&gt;&lt;author&gt;Schminke, Marshall&lt;/author&gt;&lt;/authors&gt;&lt;/contributors&gt;&lt;titles&gt;&lt;title&gt;From the editors raising the bamboo curtain&lt;/title&gt;&lt;secondary-title&gt;Academy of Management Journal&lt;/secondary-title&gt;&lt;/titles&gt;&lt;periodical&gt;&lt;full-title&gt;Academy of Management Journal&lt;/full-title&gt;&lt;/periodical&gt;&lt;pages&gt;310-314&lt;/pages&gt;&lt;volume&gt;47&lt;/volume&gt;&lt;number&gt;3&lt;/number&gt;&lt;dates&gt;&lt;year&gt;2004&lt;/year&gt;&lt;/dates&gt;&lt;publisher&gt;Academy of Management&lt;/publisher&gt;&lt;isbn&gt;0001-4273&lt;/isbn&gt;&lt;urls&gt;&lt;/urls&gt;&lt;/record&gt;&lt;/Cite&gt;&lt;/EndNote&gt;</w:instrText>
        </w:r>
        <w:r w:rsidR="00641B32" w:rsidRPr="008C04EC">
          <w:rPr>
            <w:rFonts w:ascii="Times New Roman" w:eastAsia="Calibri" w:hAnsi="Times New Roman" w:cs="Times New Roman"/>
            <w:color w:val="000000" w:themeColor="text1"/>
            <w:sz w:val="24"/>
            <w:szCs w:val="24"/>
            <w:lang w:val="en-GB"/>
          </w:rPr>
          <w:fldChar w:fldCharType="separate"/>
        </w:r>
        <w:r w:rsidR="00641B32" w:rsidRPr="008C04EC">
          <w:rPr>
            <w:rFonts w:ascii="Times New Roman" w:eastAsia="Calibri" w:hAnsi="Times New Roman" w:cs="Times New Roman"/>
            <w:color w:val="000000" w:themeColor="text1"/>
            <w:sz w:val="24"/>
            <w:szCs w:val="24"/>
            <w:lang w:val="en-GB"/>
          </w:rPr>
          <w:t>Schminke (2004)</w:t>
        </w:r>
        <w:r w:rsidR="00641B32" w:rsidRPr="008C04EC">
          <w:rPr>
            <w:rFonts w:ascii="Times New Roman" w:eastAsia="Calibri" w:hAnsi="Times New Roman" w:cs="Times New Roman"/>
            <w:color w:val="000000" w:themeColor="text1"/>
            <w:sz w:val="24"/>
            <w:szCs w:val="24"/>
            <w:lang w:val="en-GB"/>
          </w:rPr>
          <w:fldChar w:fldCharType="end"/>
        </w:r>
      </w:hyperlink>
      <w:r w:rsidRPr="008C04EC">
        <w:rPr>
          <w:rFonts w:ascii="Times New Roman" w:eastAsia="Calibri" w:hAnsi="Times New Roman" w:cs="Times New Roman"/>
          <w:color w:val="000000" w:themeColor="text1"/>
          <w:sz w:val="24"/>
          <w:szCs w:val="24"/>
          <w:lang w:val="en-GB"/>
        </w:rPr>
        <w:t xml:space="preserve">, we developed our scale measures based on scales from existing studies. To identify relevant scales, we conducted an in-depth literature review and found scales that demonstrated suitable reliability and validity. </w:t>
      </w:r>
      <w:r w:rsidRPr="008C04EC">
        <w:rPr>
          <w:rFonts w:ascii="Times New Roman" w:hAnsi="Times New Roman" w:cs="Times New Roman"/>
          <w:color w:val="000000" w:themeColor="text1"/>
          <w:sz w:val="24"/>
          <w:szCs w:val="24"/>
          <w:lang w:val="en-GB"/>
        </w:rPr>
        <w:t>As the variables of interest in this study (entrepreneurial orientation, supply chain learning</w:t>
      </w:r>
      <w:r w:rsidR="005133BB">
        <w:rPr>
          <w:rFonts w:ascii="Times New Roman" w:hAnsi="Times New Roman" w:cs="Times New Roman"/>
          <w:color w:val="000000" w:themeColor="text1"/>
          <w:sz w:val="24"/>
          <w:szCs w:val="24"/>
          <w:lang w:val="en-GB"/>
        </w:rPr>
        <w:t xml:space="preserve"> orientation</w:t>
      </w:r>
      <w:r w:rsidRPr="008C04EC">
        <w:rPr>
          <w:rFonts w:ascii="Times New Roman" w:hAnsi="Times New Roman" w:cs="Times New Roman"/>
          <w:color w:val="000000" w:themeColor="text1"/>
          <w:sz w:val="24"/>
          <w:szCs w:val="24"/>
          <w:lang w:val="en-GB"/>
        </w:rPr>
        <w:t>, dynamic supply chain capabilities) cannot be obtained from annual reports or financial statements, we instead used perceptual measures to collect data from respondents.</w:t>
      </w:r>
      <w:r w:rsidR="005B7A7A" w:rsidRPr="008C04EC">
        <w:rPr>
          <w:rFonts w:ascii="Times New Roman" w:hAnsi="Times New Roman" w:cs="Times New Roman"/>
          <w:color w:val="000000" w:themeColor="text1"/>
          <w:sz w:val="24"/>
          <w:szCs w:val="24"/>
          <w:lang w:val="en-GB"/>
        </w:rPr>
        <w:t xml:space="preserve"> </w:t>
      </w:r>
      <w:hyperlink w:anchor="_ENREF_53" w:tooltip="Ketokivi, 2004 #1227" w:history="1">
        <w:r w:rsidR="00641B32" w:rsidRPr="008C04EC">
          <w:rPr>
            <w:rFonts w:ascii="Times New Roman" w:eastAsia="Times New Roman" w:hAnsi="Times New Roman" w:cs="Times New Roman"/>
            <w:color w:val="000000" w:themeColor="text1"/>
            <w:sz w:val="24"/>
            <w:szCs w:val="24"/>
            <w:lang w:val="en-GB"/>
          </w:rPr>
          <w:fldChar w:fldCharType="begin"/>
        </w:r>
        <w:r w:rsidR="00641B32" w:rsidRPr="008C04EC">
          <w:rPr>
            <w:rFonts w:ascii="Times New Roman" w:eastAsia="Times New Roman" w:hAnsi="Times New Roman" w:cs="Times New Roman"/>
            <w:color w:val="000000" w:themeColor="text1"/>
            <w:sz w:val="24"/>
            <w:szCs w:val="24"/>
            <w:lang w:val="en-GB"/>
          </w:rPr>
          <w:instrText xml:space="preserve"> ADDIN EN.CITE &lt;EndNote&gt;&lt;Cite AuthorYear="1"&gt;&lt;Author&gt;Ketokivi&lt;/Author&gt;&lt;Year&gt;2004&lt;/Year&gt;&lt;RecNum&gt;1227&lt;/RecNum&gt;&lt;DisplayText&gt;Ketokivi and Schroeder (2004)&lt;/DisplayText&gt;&lt;record&gt;&lt;rec-number&gt;1227&lt;/rec-number&gt;&lt;foreign-keys&gt;&lt;key app="EN" db-id="seavxzzzfrf2p7eddfnxx5ep2ar05z0ddwx9"&gt;1227&lt;/key&gt;&lt;/foreign-keys&gt;&lt;ref-type name="Journal Article"&gt;17&lt;/ref-type&gt;&lt;contributors&gt;&lt;authors&gt;&lt;author&gt;Ketokivi, Mikko A&lt;/author&gt;&lt;author&gt;Schroeder, Roger G&lt;/author&gt;&lt;/authors&gt;&lt;/contributors&gt;&lt;titles&gt;&lt;title&gt;Perceptual measures of performance: fact or fiction?&lt;/title&gt;&lt;secondary-title&gt;Journal of Operations Management&lt;/secondary-title&gt;&lt;/titles&gt;&lt;periodical&gt;&lt;full-title&gt;Journal of Operations Management&lt;/full-title&gt;&lt;/periodical&gt;&lt;pages&gt;247-264&lt;/pages&gt;&lt;volume&gt;22&lt;/volume&gt;&lt;number&gt;3&lt;/number&gt;&lt;dates&gt;&lt;year&gt;2004&lt;/year&gt;&lt;/dates&gt;&lt;isbn&gt;0272-6963&lt;/isbn&gt;&lt;urls&gt;&lt;/urls&gt;&lt;/record&gt;&lt;/Cite&gt;&lt;/EndNote&gt;</w:instrText>
        </w:r>
        <w:r w:rsidR="00641B32" w:rsidRPr="008C04EC">
          <w:rPr>
            <w:rFonts w:ascii="Times New Roman" w:eastAsia="Times New Roman" w:hAnsi="Times New Roman" w:cs="Times New Roman"/>
            <w:color w:val="000000" w:themeColor="text1"/>
            <w:sz w:val="24"/>
            <w:szCs w:val="24"/>
            <w:lang w:val="en-GB"/>
          </w:rPr>
          <w:fldChar w:fldCharType="separate"/>
        </w:r>
        <w:r w:rsidR="00641B32" w:rsidRPr="008C04EC">
          <w:rPr>
            <w:rFonts w:ascii="Times New Roman" w:eastAsia="Times New Roman" w:hAnsi="Times New Roman" w:cs="Times New Roman"/>
            <w:noProof/>
            <w:color w:val="000000" w:themeColor="text1"/>
            <w:sz w:val="24"/>
            <w:szCs w:val="24"/>
            <w:lang w:val="en-GB"/>
          </w:rPr>
          <w:t>Ketokivi and Schroeder (2004)</w:t>
        </w:r>
        <w:r w:rsidR="00641B32" w:rsidRPr="008C04EC">
          <w:rPr>
            <w:rFonts w:ascii="Times New Roman" w:eastAsia="Times New Roman" w:hAnsi="Times New Roman" w:cs="Times New Roman"/>
            <w:color w:val="000000" w:themeColor="text1"/>
            <w:sz w:val="24"/>
            <w:szCs w:val="24"/>
            <w:lang w:val="en-GB"/>
          </w:rPr>
          <w:fldChar w:fldCharType="end"/>
        </w:r>
      </w:hyperlink>
      <w:r w:rsidR="005B7A7A" w:rsidRPr="008C04EC">
        <w:rPr>
          <w:rFonts w:ascii="Times New Roman" w:hAnsi="Times New Roman" w:cs="Times New Roman"/>
          <w:color w:val="000000" w:themeColor="text1"/>
          <w:sz w:val="24"/>
          <w:szCs w:val="24"/>
          <w:lang w:val="en-GB"/>
        </w:rPr>
        <w:t xml:space="preserve"> highlight the difficulty of drawing causal inferences based on perceptual measures for performance. They also detail the problems </w:t>
      </w:r>
      <w:r w:rsidR="004A34E1" w:rsidRPr="008C04EC">
        <w:rPr>
          <w:rFonts w:ascii="Times New Roman" w:hAnsi="Times New Roman" w:cs="Times New Roman"/>
          <w:color w:val="000000" w:themeColor="text1"/>
          <w:sz w:val="24"/>
          <w:szCs w:val="24"/>
          <w:lang w:val="en-GB"/>
        </w:rPr>
        <w:t>arising out of us</w:t>
      </w:r>
      <w:r w:rsidR="00AE3BAA" w:rsidRPr="008C04EC">
        <w:rPr>
          <w:rFonts w:ascii="Times New Roman" w:hAnsi="Times New Roman" w:cs="Times New Roman"/>
          <w:color w:val="000000" w:themeColor="text1"/>
          <w:sz w:val="24"/>
          <w:szCs w:val="24"/>
          <w:lang w:val="en-GB"/>
        </w:rPr>
        <w:t>ing</w:t>
      </w:r>
      <w:r w:rsidR="004A34E1" w:rsidRPr="008C04EC">
        <w:rPr>
          <w:rFonts w:ascii="Times New Roman" w:hAnsi="Times New Roman" w:cs="Times New Roman"/>
          <w:color w:val="000000" w:themeColor="text1"/>
          <w:sz w:val="24"/>
          <w:szCs w:val="24"/>
          <w:lang w:val="en-GB"/>
        </w:rPr>
        <w:t xml:space="preserve"> such measures in surveys. However, their</w:t>
      </w:r>
      <w:r w:rsidR="005B7A7A" w:rsidRPr="008C04EC">
        <w:rPr>
          <w:rFonts w:ascii="Times New Roman" w:hAnsi="Times New Roman" w:cs="Times New Roman"/>
          <w:color w:val="000000" w:themeColor="text1"/>
          <w:sz w:val="24"/>
          <w:szCs w:val="24"/>
          <w:lang w:val="en-GB"/>
        </w:rPr>
        <w:t xml:space="preserve"> empirical</w:t>
      </w:r>
      <w:r w:rsidR="004A34E1" w:rsidRPr="008C04EC">
        <w:rPr>
          <w:rFonts w:ascii="Times New Roman" w:hAnsi="Times New Roman" w:cs="Times New Roman"/>
          <w:color w:val="000000" w:themeColor="text1"/>
          <w:sz w:val="24"/>
          <w:szCs w:val="24"/>
          <w:lang w:val="en-GB"/>
        </w:rPr>
        <w:t xml:space="preserve"> results</w:t>
      </w:r>
      <w:r w:rsidR="005B7A7A" w:rsidRPr="008C04EC">
        <w:rPr>
          <w:rFonts w:ascii="Times New Roman" w:hAnsi="Times New Roman" w:cs="Times New Roman"/>
          <w:color w:val="000000" w:themeColor="text1"/>
          <w:sz w:val="24"/>
          <w:szCs w:val="24"/>
          <w:lang w:val="en-GB"/>
        </w:rPr>
        <w:t xml:space="preserve"> showed that use of perceptual measures is warranted in survey research. </w:t>
      </w:r>
      <w:r w:rsidRPr="008C04EC">
        <w:rPr>
          <w:rFonts w:ascii="Times New Roman" w:hAnsi="Times New Roman" w:cs="Times New Roman"/>
          <w:color w:val="000000" w:themeColor="text1"/>
          <w:sz w:val="24"/>
          <w:szCs w:val="24"/>
          <w:lang w:val="en-GB"/>
        </w:rPr>
        <w:t>The literature</w:t>
      </w:r>
      <w:r w:rsidR="005B7A7A" w:rsidRPr="008C04EC">
        <w:rPr>
          <w:rFonts w:ascii="Times New Roman" w:hAnsi="Times New Roman" w:cs="Times New Roman"/>
          <w:color w:val="000000" w:themeColor="text1"/>
          <w:sz w:val="24"/>
          <w:szCs w:val="24"/>
          <w:lang w:val="en-GB"/>
        </w:rPr>
        <w:t xml:space="preserve"> also</w:t>
      </w:r>
      <w:r w:rsidRPr="008C04EC">
        <w:rPr>
          <w:rFonts w:ascii="Times New Roman" w:hAnsi="Times New Roman" w:cs="Times New Roman"/>
          <w:color w:val="000000" w:themeColor="text1"/>
          <w:sz w:val="24"/>
          <w:szCs w:val="24"/>
          <w:lang w:val="en-GB"/>
        </w:rPr>
        <w:t xml:space="preserve"> indicates a high correlation between subjective and objective measures of variables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&lt;EndNote&gt;&lt;Cite&gt;&lt;Author&gt;Protogerou&lt;/Author&gt;&lt;Year&gt;2012&lt;/Year&gt;&lt;RecNum&gt;791&lt;/RecNum&gt;&lt;DisplayText&gt;(Protogerou, Caloghirou, &amp;amp; Lioukas, 2012)&lt;/DisplayText&gt;&lt;record&gt;&lt;rec-number&gt;791&lt;/rec-number&gt;&lt;foreign-keys&gt;&lt;key app="EN" db-id="seavxzzzfrf2p7eddfnxx5ep2ar05z0ddwx9"&gt;791&lt;/key&gt;&lt;/foreign-keys&gt;&lt;ref-type name="Journal Article"&gt;17&lt;/ref-type&gt;&lt;contributors&gt;&lt;authors&gt;&lt;author&gt;Protogerou, Aimilia&lt;/author&gt;&lt;author&gt;Caloghirou, Yannis&lt;/author&gt;&lt;author&gt;Lioukas, Spyros&lt;/author&gt;&lt;/authors&gt;&lt;/contributors&gt;&lt;titles&gt;&lt;title&gt;Dynamic capabilities and their indirect impact on firm performance&lt;/title&gt;&lt;secondary-title&gt;Industrial and Corporate Change&lt;/secondary-title&gt;&lt;/titles&gt;&lt;periodical&gt;&lt;full-title&gt;Industrial and Corporate Change&lt;/full-title&gt;&lt;/periodical&gt;&lt;pages&gt;615-647&lt;/pages&gt;&lt;volume&gt;21&lt;/volume&gt;&lt;number&gt;3&lt;/number&gt;&lt;dates&gt;&lt;year&gt;2012&lt;/year&gt;&lt;/dates&gt;&lt;publisher&gt;Oxford Univ Press&lt;/publisher&gt;&lt;isbn&gt;0960-6491&lt;/isbn&gt;&lt;urls&gt;&lt;/urls&gt;&lt;/record&gt;&lt;/Cite&gt;&lt;/EndNote&gt;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74" w:tooltip="Protogerou, 2012 #791" w:history="1">
        <w:r w:rsidR="00641B32" w:rsidRPr="008C04EC">
          <w:rPr>
            <w:rFonts w:ascii="Times New Roman" w:hAnsi="Times New Roman" w:cs="Times New Roman"/>
            <w:noProof/>
            <w:color w:val="000000" w:themeColor="text1"/>
            <w:sz w:val="24"/>
            <w:szCs w:val="24"/>
            <w:lang w:val="en-GB"/>
          </w:rPr>
          <w:t>Protogerou</w:t>
        </w:r>
        <w:r w:rsidR="00D84388">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2012</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suggesting that perceptual measures would be suitable for our purposes.</w:t>
      </w:r>
      <w:r w:rsidR="005B7A7A"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In the following section, we provide greater detail on the scales and measures used in the study.</w:t>
      </w:r>
      <w:r w:rsidRPr="008C04EC">
        <w:rPr>
          <w:rFonts w:cs="Times New Roman"/>
          <w:color w:val="000000" w:themeColor="text1"/>
          <w:szCs w:val="24"/>
          <w:lang w:val="en-GB"/>
        </w:rPr>
        <w:t xml:space="preserve"> </w:t>
      </w:r>
    </w:p>
    <w:p w14:paraId="65DEAF7D" w14:textId="5DF77D34" w:rsidR="005249CB" w:rsidRDefault="005249CB" w:rsidP="00D4006E">
      <w:pPr>
        <w:spacing w:after="0" w:line="480" w:lineRule="auto"/>
        <w:jc w:val="both"/>
        <w:rPr>
          <w:rFonts w:ascii="Times New Roman" w:eastAsia="Calibri" w:hAnsi="Times New Roman" w:cs="Times New Roman"/>
          <w:color w:val="000000" w:themeColor="text1"/>
          <w:sz w:val="24"/>
          <w:lang w:val="en-GB"/>
        </w:rPr>
      </w:pPr>
      <w:r w:rsidRPr="008C04EC">
        <w:rPr>
          <w:rFonts w:ascii="Times New Roman" w:eastAsia="Times New Roman" w:hAnsi="Times New Roman" w:cs="Times New Roman"/>
          <w:b/>
          <w:bCs/>
          <w:i/>
          <w:iCs/>
          <w:color w:val="000000" w:themeColor="text1"/>
          <w:sz w:val="24"/>
          <w:lang w:val="en-GB"/>
        </w:rPr>
        <w:t>Entrepreneurial Orientation (EO):</w:t>
      </w:r>
      <w:r w:rsidRPr="008C04EC">
        <w:rPr>
          <w:rFonts w:ascii="Times New Roman" w:eastAsia="Calibri" w:hAnsi="Times New Roman" w:cs="Times New Roman"/>
          <w:color w:val="000000" w:themeColor="text1"/>
          <w:sz w:val="24"/>
          <w:lang w:val="en-GB"/>
        </w:rPr>
        <w:t xml:space="preserve"> The EO scale was adopted from the study by Jantunen et al. </w:t>
      </w:r>
      <w:r w:rsidRPr="008C04EC">
        <w:rPr>
          <w:rFonts w:ascii="Times New Roman" w:eastAsia="Calibri" w:hAnsi="Times New Roman" w:cs="Times New Roman"/>
          <w:color w:val="000000" w:themeColor="text1"/>
          <w:sz w:val="24"/>
          <w:lang w:val="en-GB"/>
        </w:rPr>
        <w:fldChar w:fldCharType="begin"/>
      </w:r>
      <w:r w:rsidRPr="008C04EC">
        <w:rPr>
          <w:rFonts w:ascii="Times New Roman" w:eastAsia="Calibri" w:hAnsi="Times New Roman" w:cs="Times New Roman"/>
          <w:color w:val="000000" w:themeColor="text1"/>
          <w:sz w:val="24"/>
          <w:lang w:val="en-GB"/>
        </w:rPr>
        <w:instrText xml:space="preserve"> ADDIN EN.CITE &lt;EndNote&gt;&lt;Cite ExcludeAuth="1"&gt;&lt;Author&gt;Jantunen&lt;/Author&gt;&lt;Year&gt;2005&lt;/Year&gt;&lt;RecNum&gt;952&lt;/RecNum&gt;&lt;DisplayText&gt;(2005)&lt;/DisplayText&gt;&lt;record&gt;&lt;rec-number&gt;952&lt;/rec-number&gt;&lt;foreign-keys&gt;&lt;key app="EN" db-id="seavxzzzfrf2p7eddfnxx5ep2ar05z0ddwx9"&gt;952&lt;/key&gt;&lt;/foreign-keys&gt;&lt;ref-type name="Journal Article"&gt;17&lt;/ref-type&gt;&lt;contributors&gt;&lt;authors&gt;&lt;author&gt;Jantunen, Ari&lt;/author&gt;&lt;author&gt;Puumalainen, Kaisu&lt;/author&gt;&lt;author&gt;Saarenketo, Sami&lt;/author&gt;&lt;author&gt;Kyläheiko, Kalevi&lt;/author&gt;&lt;/authors&gt;&lt;/contributors&gt;&lt;titles&gt;&lt;title&gt;Entrepreneurial orientation, dynamic capabilities and international performance&lt;/title&gt;&lt;secondary-title&gt;Journal of International Entrepreneurship&lt;/secondary-title&gt;&lt;/titles&gt;&lt;periodical&gt;&lt;full-title&gt;Journal of International Entrepreneurship&lt;/full-title&gt;&lt;/periodical&gt;&lt;pages&gt;223-243&lt;/pages&gt;&lt;volume&gt;3&lt;/volume&gt;&lt;number&gt;3&lt;/number&gt;&lt;dates&gt;&lt;year&gt;2005&lt;/year&gt;&lt;/dates&gt;&lt;publisher&gt;Springer&lt;/publisher&gt;&lt;isbn&gt;1570-7385&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Pr="008C04EC">
        <w:rPr>
          <w:rFonts w:ascii="Times New Roman" w:eastAsia="Calibri" w:hAnsi="Times New Roman" w:cs="Times New Roman"/>
          <w:color w:val="000000" w:themeColor="text1"/>
          <w:sz w:val="24"/>
          <w:lang w:val="en-GB"/>
        </w:rPr>
        <w:t>(</w:t>
      </w:r>
      <w:hyperlink w:anchor="_ENREF_48" w:tooltip="Jantunen, 2005 #952" w:history="1">
        <w:r w:rsidR="00641B32" w:rsidRPr="008C04EC">
          <w:rPr>
            <w:rFonts w:ascii="Times New Roman" w:eastAsia="Calibri" w:hAnsi="Times New Roman" w:cs="Times New Roman"/>
            <w:color w:val="000000" w:themeColor="text1"/>
            <w:sz w:val="24"/>
            <w:lang w:val="en-GB"/>
          </w:rPr>
          <w:t>2005</w:t>
        </w:r>
      </w:hyperlink>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this study was based on pro-activeness, risk-taking, and innovativeness items developed in Covin and Slevin </w:t>
      </w:r>
      <w:r w:rsidRPr="008C04EC">
        <w:rPr>
          <w:rFonts w:ascii="Times New Roman" w:eastAsia="Calibri" w:hAnsi="Times New Roman" w:cs="Times New Roman"/>
          <w:color w:val="000000" w:themeColor="text1"/>
          <w:sz w:val="24"/>
          <w:lang w:val="en-GB"/>
        </w:rPr>
        <w:fldChar w:fldCharType="begin"/>
      </w:r>
      <w:r w:rsidRPr="008C04EC">
        <w:rPr>
          <w:rFonts w:ascii="Times New Roman" w:eastAsia="Calibri" w:hAnsi="Times New Roman" w:cs="Times New Roman"/>
          <w:color w:val="000000" w:themeColor="text1"/>
          <w:sz w:val="24"/>
          <w:lang w:val="en-GB"/>
        </w:rPr>
        <w:instrText xml:space="preserve"> ADDIN EN.CITE &lt;EndNote&gt;&lt;Cite ExcludeAuth="1"&gt;&lt;Author&gt;Covin&lt;/Author&gt;&lt;Year&gt;1988&lt;/Year&gt;&lt;RecNum&gt;1080&lt;/RecNum&gt;&lt;DisplayText&gt;(1988)&lt;/DisplayText&gt;&lt;record&gt;&lt;rec-number&gt;1080&lt;/rec-number&gt;&lt;foreign-keys&gt;&lt;key app="EN" db-id="seavxzzzfrf2p7eddfnxx5ep2ar05z0ddwx9"&gt;1080&lt;/key&gt;&lt;/foreign-keys&gt;&lt;ref-type name="Journal Article"&gt;17&lt;/ref-type&gt;&lt;contributors&gt;&lt;authors&gt;&lt;author&gt;Covin, Jeffrey G&lt;/author&gt;&lt;author&gt;Slevin, Dennis P&lt;/author&gt;&lt;/authors&gt;&lt;/contributors&gt;&lt;titles&gt;&lt;title&gt;The influence of organization structure on the utility of an entrepreneurial top management style&lt;/title&gt;&lt;secondary-title&gt;Journal of Management Studies&lt;/secondary-title&gt;&lt;/titles&gt;&lt;periodical&gt;&lt;full-title&gt;Journal of Management Studies&lt;/full-title&gt;&lt;/periodical&gt;&lt;pages&gt;217-234&lt;/pages&gt;&lt;volume&gt;25&lt;/volume&gt;&lt;number&gt;3&lt;/number&gt;&lt;dates&gt;&lt;year&gt;1988&lt;/year&gt;&lt;/dates&gt;&lt;publisher&gt;Wiley Online Library&lt;/publisher&gt;&lt;isbn&gt;1467-6486&lt;/isbn&gt;&lt;urls&gt;&lt;/urls&gt;&lt;/record&gt;&lt;/Cite&gt;&lt;/EndNote&gt;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Pr="008C04EC">
        <w:rPr>
          <w:rFonts w:ascii="Times New Roman" w:eastAsia="Calibri" w:hAnsi="Times New Roman" w:cs="Times New Roman"/>
          <w:color w:val="000000" w:themeColor="text1"/>
          <w:sz w:val="24"/>
          <w:lang w:val="en-GB"/>
        </w:rPr>
        <w:t>(</w:t>
      </w:r>
      <w:hyperlink w:anchor="_ENREF_17" w:tooltip="Covin, 1988 #1080" w:history="1">
        <w:r w:rsidR="00641B32" w:rsidRPr="008C04EC">
          <w:rPr>
            <w:rFonts w:ascii="Times New Roman" w:eastAsia="Calibri" w:hAnsi="Times New Roman" w:cs="Times New Roman"/>
            <w:color w:val="000000" w:themeColor="text1"/>
            <w:sz w:val="24"/>
            <w:lang w:val="en-GB"/>
          </w:rPr>
          <w:t>1988</w:t>
        </w:r>
      </w:hyperlink>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and Miller and Friesen </w:t>
      </w:r>
      <w:r w:rsidRPr="008C04EC">
        <w:rPr>
          <w:rFonts w:ascii="Times New Roman" w:eastAsia="Calibri" w:hAnsi="Times New Roman" w:cs="Times New Roman"/>
          <w:color w:val="000000" w:themeColor="text1"/>
          <w:sz w:val="24"/>
          <w:lang w:val="en-GB"/>
        </w:rPr>
        <w:fldChar w:fldCharType="begin"/>
      </w:r>
      <w:r w:rsidRPr="008C04EC">
        <w:rPr>
          <w:rFonts w:ascii="Times New Roman" w:eastAsia="Calibri" w:hAnsi="Times New Roman" w:cs="Times New Roman"/>
          <w:color w:val="000000" w:themeColor="text1"/>
          <w:sz w:val="24"/>
          <w:lang w:val="en-GB"/>
        </w:rPr>
        <w:instrText xml:space="preserve"> ADDIN EN.CITE &lt;EndNote&gt;&lt;Cite ExcludeAuth="1"&gt;&lt;Author&gt;Miller&lt;/Author&gt;&lt;Year&gt;1982&lt;/Year&gt;&lt;RecNum&gt;1081&lt;/RecNum&gt;&lt;DisplayText&gt;(1982)&lt;/DisplayText&gt;&lt;record&gt;&lt;rec-number&gt;1081&lt;/rec-number&gt;&lt;foreign-keys&gt;&lt;key app="EN" db-id="seavxzzzfrf2p7eddfnxx5ep2ar05z0ddwx9"&gt;1081&lt;/key&gt;&lt;/foreign-keys&gt;&lt;ref-type name="Journal Article"&gt;17&lt;/ref-type&gt;&lt;contributors&gt;&lt;authors&gt;&lt;author&gt;Miller, Danny&lt;/author&gt;&lt;author&gt;Friesen, Peter H.&lt;/author&gt;&lt;/authors&gt;&lt;/contributors&gt;&lt;titles&gt;&lt;title&gt;Innovation in conservative and entrepreneurial firms: two models of strategic momentum&lt;/title&gt;&lt;secondary-title&gt;Strategic Management Journal&lt;/secondary-title&gt;&lt;/titles&gt;&lt;periodical&gt;&lt;full-title&gt;Strategic Management Journal&lt;/full-title&gt;&lt;/periodical&gt;&lt;pages&gt;1-25&lt;/pages&gt;&lt;volume&gt;3&lt;/volume&gt;&lt;number&gt;1&lt;/number&gt;&lt;dates&gt;&lt;year&gt;1982&lt;/year&gt;&lt;/dates&gt;&lt;publisher&gt;Wiley&lt;/publisher&gt;&lt;isbn&gt;01432095, 10970266&lt;/isbn&gt;&lt;urls&gt;&lt;related-urls&gt;&lt;url&gt;http://www.jstor.org/stable/2485899&lt;/url&gt;&lt;/related-urls&gt;&lt;/urls&gt;&lt;custom1&gt;Full publication date: Jan. - Mar., 1982&lt;/custom1&gt;&lt;/record&gt;&lt;/Cite&gt;&lt;/EndNote&gt;</w:instrText>
      </w:r>
      <w:r w:rsidRPr="008C04EC">
        <w:rPr>
          <w:rFonts w:ascii="Times New Roman" w:eastAsia="Calibri" w:hAnsi="Times New Roman" w:cs="Times New Roman"/>
          <w:color w:val="000000" w:themeColor="text1"/>
          <w:sz w:val="24"/>
          <w:lang w:val="en-GB"/>
        </w:rPr>
        <w:fldChar w:fldCharType="separate"/>
      </w:r>
      <w:r w:rsidRPr="008C04EC">
        <w:rPr>
          <w:rFonts w:ascii="Times New Roman" w:eastAsia="Calibri" w:hAnsi="Times New Roman" w:cs="Times New Roman"/>
          <w:color w:val="000000" w:themeColor="text1"/>
          <w:sz w:val="24"/>
          <w:lang w:val="en-GB"/>
        </w:rPr>
        <w:t>(</w:t>
      </w:r>
      <w:hyperlink w:anchor="_ENREF_67" w:tooltip="Miller, 1982 #1081" w:history="1">
        <w:r w:rsidR="00641B32" w:rsidRPr="008C04EC">
          <w:rPr>
            <w:rFonts w:ascii="Times New Roman" w:eastAsia="Calibri" w:hAnsi="Times New Roman" w:cs="Times New Roman"/>
            <w:color w:val="000000" w:themeColor="text1"/>
            <w:sz w:val="24"/>
            <w:lang w:val="en-GB"/>
          </w:rPr>
          <w:t>1982</w:t>
        </w:r>
      </w:hyperlink>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All items were measured on a 7-point scale, with 1 representing “strongly disagree” and 7 representing “strongly agree”.</w:t>
      </w:r>
      <w:r w:rsidR="00D4006E">
        <w:rPr>
          <w:rFonts w:ascii="Times New Roman" w:eastAsia="Calibri" w:hAnsi="Times New Roman" w:cs="Times New Roman"/>
          <w:color w:val="000000" w:themeColor="text1"/>
          <w:sz w:val="24"/>
          <w:lang w:val="en-GB"/>
        </w:rPr>
        <w:br/>
      </w:r>
      <w:r w:rsidRPr="008C04EC">
        <w:rPr>
          <w:rFonts w:ascii="Times New Roman" w:eastAsia="Times New Roman" w:hAnsi="Times New Roman" w:cs="Times New Roman"/>
          <w:b/>
          <w:bCs/>
          <w:i/>
          <w:iCs/>
          <w:color w:val="000000" w:themeColor="text1"/>
          <w:sz w:val="24"/>
          <w:lang w:val="en-GB"/>
        </w:rPr>
        <w:t>Supply Chain Learning</w:t>
      </w:r>
      <w:r w:rsidR="0009286C">
        <w:rPr>
          <w:rFonts w:ascii="Times New Roman" w:eastAsia="Times New Roman" w:hAnsi="Times New Roman" w:cs="Times New Roman"/>
          <w:b/>
          <w:bCs/>
          <w:i/>
          <w:iCs/>
          <w:color w:val="000000" w:themeColor="text1"/>
          <w:sz w:val="24"/>
          <w:lang w:val="en-GB"/>
        </w:rPr>
        <w:t xml:space="preserve"> Orientation</w:t>
      </w:r>
      <w:r w:rsidRPr="008C04EC">
        <w:rPr>
          <w:rFonts w:ascii="Times New Roman" w:eastAsia="Times New Roman" w:hAnsi="Times New Roman" w:cs="Times New Roman"/>
          <w:b/>
          <w:bCs/>
          <w:i/>
          <w:iCs/>
          <w:color w:val="000000" w:themeColor="text1"/>
          <w:sz w:val="24"/>
          <w:lang w:val="en-GB"/>
        </w:rPr>
        <w:t xml:space="preserve"> (SCL</w:t>
      </w:r>
      <w:r w:rsidR="0009286C">
        <w:rPr>
          <w:rFonts w:ascii="Times New Roman" w:eastAsia="Times New Roman" w:hAnsi="Times New Roman" w:cs="Times New Roman"/>
          <w:b/>
          <w:bCs/>
          <w:i/>
          <w:iCs/>
          <w:color w:val="000000" w:themeColor="text1"/>
          <w:sz w:val="24"/>
          <w:lang w:val="en-GB"/>
        </w:rPr>
        <w:t>O</w:t>
      </w:r>
      <w:r w:rsidRPr="008C04EC">
        <w:rPr>
          <w:rFonts w:ascii="Times New Roman" w:eastAsia="Times New Roman" w:hAnsi="Times New Roman" w:cs="Times New Roman"/>
          <w:b/>
          <w:bCs/>
          <w:i/>
          <w:iCs/>
          <w:color w:val="000000" w:themeColor="text1"/>
          <w:sz w:val="24"/>
          <w:lang w:val="en-GB"/>
        </w:rPr>
        <w:t>):</w:t>
      </w:r>
      <w:r w:rsidRPr="008C04EC">
        <w:rPr>
          <w:rFonts w:ascii="Times New Roman" w:eastAsia="Calibri" w:hAnsi="Times New Roman" w:cs="Times New Roman"/>
          <w:color w:val="000000" w:themeColor="text1"/>
          <w:sz w:val="24"/>
          <w:lang w:val="en-GB"/>
        </w:rPr>
        <w:t xml:space="preserve"> The SCL</w:t>
      </w:r>
      <w:r w:rsidR="0009286C">
        <w:rPr>
          <w:rFonts w:ascii="Times New Roman" w:eastAsia="Calibri" w:hAnsi="Times New Roman" w:cs="Times New Roman"/>
          <w:color w:val="000000" w:themeColor="text1"/>
          <w:sz w:val="24"/>
          <w:lang w:val="en-GB"/>
        </w:rPr>
        <w:t>O</w:t>
      </w:r>
      <w:r w:rsidRPr="008C04EC">
        <w:rPr>
          <w:rFonts w:ascii="Times New Roman" w:eastAsia="Calibri" w:hAnsi="Times New Roman" w:cs="Times New Roman"/>
          <w:color w:val="000000" w:themeColor="text1"/>
          <w:sz w:val="24"/>
          <w:lang w:val="en-GB"/>
        </w:rPr>
        <w:t xml:space="preserve"> scale was adopted from Flint et al. </w:t>
      </w:r>
      <w:r w:rsidRPr="008C04EC">
        <w:rPr>
          <w:rFonts w:ascii="Times New Roman" w:eastAsia="Calibri" w:hAnsi="Times New Roman" w:cs="Times New Roman"/>
          <w:color w:val="000000" w:themeColor="text1"/>
          <w:sz w:val="24"/>
          <w:lang w:val="en-GB"/>
        </w:rPr>
        <w:fldChar w:fldCharType="begin"/>
      </w:r>
      <w:r w:rsidRPr="008C04EC">
        <w:rPr>
          <w:rFonts w:ascii="Times New Roman" w:eastAsia="Calibri" w:hAnsi="Times New Roman" w:cs="Times New Roman"/>
          <w:color w:val="000000" w:themeColor="text1"/>
          <w:sz w:val="24"/>
          <w:lang w:val="en-GB"/>
        </w:rPr>
        <w:instrText xml:space="preserve"> ADDIN EN.CITE &lt;EndNote&gt;&lt;Cite ExcludeAuth="1"&gt;&lt;Author&gt;Flint&lt;/Author&gt;&lt;Year&gt;2008&lt;/Year&gt;&lt;RecNum&gt;461&lt;/RecNum&gt;&lt;DisplayText&gt;(2008)&lt;/DisplayText&gt;&lt;record&gt;&lt;rec-number&gt;461&lt;/rec-number&gt;&lt;foreign-keys&gt;&lt;key app="EN" db-id="seavxzzzfrf2p7eddfnxx5ep2ar05z0ddwx9"&gt;461&lt;/key&gt;&lt;/foreign-keys&gt;&lt;ref-type name="Journal Article"&gt;17&lt;/ref-type&gt;&lt;contributors&gt;&lt;authors&gt;&lt;author&gt;Flint, Daniel J&lt;/author&gt;&lt;author&gt;Larsson, Everth&lt;/author&gt;&lt;author&gt;Gammelgaard, Britta&lt;/author&gt;&lt;/authors&gt;&lt;/contributors&gt;&lt;titles&gt;&lt;title&gt;Exploring processes for customer value insights, supply chain learning and innovation: an international study&lt;/title&gt;&lt;secondary-title&gt;Journal of Business Logistics&lt;/secondary-title&gt;&lt;/titles&gt;&lt;periodical&gt;&lt;full-title&gt;Journal of Business Logistics&lt;/full-title&gt;&lt;/periodical&gt;&lt;pages&gt;257-281&lt;/pages&gt;&lt;volume&gt;29&lt;/volume&gt;&lt;number&gt;1&lt;/number&gt;&lt;dates&gt;&lt;year&gt;2008&lt;/year&gt;&lt;/dates&gt;&lt;publisher&gt;Wiley Online Library&lt;/publisher&gt;&lt;isbn&gt;2158-1592&lt;/isbn&gt;&lt;urls&gt;&lt;/urls&gt;&lt;/record&gt;&lt;/Cite&gt;&lt;/EndNote&gt;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Pr="008C04EC">
        <w:rPr>
          <w:rFonts w:ascii="Times New Roman" w:eastAsia="Calibri" w:hAnsi="Times New Roman" w:cs="Times New Roman"/>
          <w:color w:val="000000" w:themeColor="text1"/>
          <w:sz w:val="24"/>
          <w:lang w:val="en-GB"/>
        </w:rPr>
        <w:t>(</w:t>
      </w:r>
      <w:hyperlink w:anchor="_ENREF_30" w:tooltip="Flint, 2008 #461" w:history="1">
        <w:r w:rsidR="00641B32" w:rsidRPr="008C04EC">
          <w:rPr>
            <w:rFonts w:ascii="Times New Roman" w:eastAsia="Calibri" w:hAnsi="Times New Roman" w:cs="Times New Roman"/>
            <w:color w:val="000000" w:themeColor="text1"/>
            <w:sz w:val="24"/>
            <w:lang w:val="en-GB"/>
          </w:rPr>
          <w:t>2008</w:t>
        </w:r>
      </w:hyperlink>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and consisted of six items measured on a scale of 1 (strongly disagree) to 7 (strongly agree). These items measured the orientation of managers towards learning with</w:t>
      </w:r>
      <w:r w:rsidR="005C4237" w:rsidRPr="008C04EC">
        <w:rPr>
          <w:rFonts w:ascii="Times New Roman" w:eastAsia="Calibri" w:hAnsi="Times New Roman" w:cs="Times New Roman"/>
          <w:color w:val="000000" w:themeColor="text1"/>
          <w:sz w:val="24"/>
          <w:lang w:val="en-GB"/>
        </w:rPr>
        <w:t>in the organization</w:t>
      </w:r>
      <w:r w:rsidR="00A7410C" w:rsidRPr="008C04EC">
        <w:rPr>
          <w:rFonts w:ascii="Times New Roman" w:eastAsia="Calibri" w:hAnsi="Times New Roman" w:cs="Times New Roman"/>
          <w:color w:val="000000" w:themeColor="text1"/>
          <w:sz w:val="24"/>
          <w:lang w:val="en-GB"/>
        </w:rPr>
        <w:t xml:space="preserve"> </w:t>
      </w:r>
      <w:r w:rsidR="00A7410C" w:rsidRPr="008C04EC">
        <w:rPr>
          <w:rFonts w:ascii="Times New Roman" w:eastAsia="Calibri" w:hAnsi="Times New Roman" w:cs="Times New Roman"/>
          <w:color w:val="000000" w:themeColor="text1"/>
          <w:sz w:val="24"/>
          <w:lang w:val="en-GB"/>
        </w:rPr>
        <w:fldChar w:fldCharType="begin">
          <w:fldData xml:space="preserve">PEVuZE5vdGU+PENpdGU+PEF1dGhvcj5PamhhPC9BdXRob3I+PFllYXI+MjAxODwvWWVhcj48UmVj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==
</w:fldData>
        </w:fldChar>
      </w:r>
      <w:r w:rsidR="00A7410C" w:rsidRPr="008C04EC">
        <w:rPr>
          <w:rFonts w:ascii="Times New Roman" w:eastAsia="Calibri" w:hAnsi="Times New Roman" w:cs="Times New Roman"/>
          <w:color w:val="000000" w:themeColor="text1"/>
          <w:sz w:val="24"/>
          <w:lang w:val="en-GB"/>
        </w:rPr>
        <w:instrText xml:space="preserve"> ADDIN EN.CITE </w:instrText>
      </w:r>
      <w:r w:rsidR="00A7410C" w:rsidRPr="008C04EC">
        <w:rPr>
          <w:rFonts w:ascii="Times New Roman" w:eastAsia="Calibri" w:hAnsi="Times New Roman" w:cs="Times New Roman"/>
          <w:color w:val="000000" w:themeColor="text1"/>
          <w:sz w:val="24"/>
          <w:lang w:val="en-GB"/>
        </w:rPr>
        <w:fldChar w:fldCharType="begin">
          <w:fldData xml:space="preserve">PEVuZE5vdGU+PENpdGU+PEF1dGhvcj5PamhhPC9BdXRob3I+PFllYXI+MjAxODwvWWVhcj48UmVj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==
</w:fldData>
        </w:fldChar>
      </w:r>
      <w:r w:rsidR="00A7410C" w:rsidRPr="008C04EC">
        <w:rPr>
          <w:rFonts w:ascii="Times New Roman" w:eastAsia="Calibri" w:hAnsi="Times New Roman" w:cs="Times New Roman"/>
          <w:color w:val="000000" w:themeColor="text1"/>
          <w:sz w:val="24"/>
          <w:lang w:val="en-GB"/>
        </w:rPr>
        <w:instrText xml:space="preserve"> ADDIN EN.CITE.DATA </w:instrText>
      </w:r>
      <w:r w:rsidR="00A7410C" w:rsidRPr="008C04EC">
        <w:rPr>
          <w:rFonts w:ascii="Times New Roman" w:eastAsia="Calibri" w:hAnsi="Times New Roman" w:cs="Times New Roman"/>
          <w:color w:val="000000" w:themeColor="text1"/>
          <w:sz w:val="24"/>
          <w:lang w:val="en-GB"/>
        </w:rPr>
      </w:r>
      <w:r w:rsidR="00A7410C" w:rsidRPr="008C04EC">
        <w:rPr>
          <w:rFonts w:ascii="Times New Roman" w:eastAsia="Calibri" w:hAnsi="Times New Roman" w:cs="Times New Roman"/>
          <w:color w:val="000000" w:themeColor="text1"/>
          <w:sz w:val="24"/>
          <w:lang w:val="en-GB"/>
        </w:rPr>
        <w:fldChar w:fldCharType="end"/>
      </w:r>
      <w:r w:rsidR="00A7410C" w:rsidRPr="008C04EC">
        <w:rPr>
          <w:rFonts w:ascii="Times New Roman" w:eastAsia="Calibri" w:hAnsi="Times New Roman" w:cs="Times New Roman"/>
          <w:color w:val="000000" w:themeColor="text1"/>
          <w:sz w:val="24"/>
          <w:lang w:val="en-GB"/>
        </w:rPr>
      </w:r>
      <w:r w:rsidR="00A7410C" w:rsidRPr="008C04EC">
        <w:rPr>
          <w:rFonts w:ascii="Times New Roman" w:eastAsia="Calibri" w:hAnsi="Times New Roman" w:cs="Times New Roman"/>
          <w:color w:val="000000" w:themeColor="text1"/>
          <w:sz w:val="24"/>
          <w:lang w:val="en-GB"/>
        </w:rPr>
        <w:fldChar w:fldCharType="separate"/>
      </w:r>
      <w:r w:rsidR="00A7410C" w:rsidRPr="008C04EC">
        <w:rPr>
          <w:rFonts w:ascii="Times New Roman" w:eastAsia="Calibri" w:hAnsi="Times New Roman" w:cs="Times New Roman"/>
          <w:noProof/>
          <w:color w:val="000000" w:themeColor="text1"/>
          <w:sz w:val="24"/>
          <w:lang w:val="en-GB"/>
        </w:rPr>
        <w:t>(</w:t>
      </w:r>
      <w:hyperlink w:anchor="_ENREF_30" w:tooltip="Flint, 2008 #461" w:history="1">
        <w:r w:rsidR="00641B32" w:rsidRPr="008C04EC">
          <w:rPr>
            <w:rFonts w:ascii="Times New Roman" w:eastAsia="Calibri" w:hAnsi="Times New Roman" w:cs="Times New Roman"/>
            <w:noProof/>
            <w:color w:val="000000" w:themeColor="text1"/>
            <w:sz w:val="24"/>
            <w:lang w:val="en-GB"/>
          </w:rPr>
          <w:t>Flint et al., 2008</w:t>
        </w:r>
      </w:hyperlink>
      <w:r w:rsidR="00A7410C" w:rsidRPr="008C04EC">
        <w:rPr>
          <w:rFonts w:ascii="Times New Roman" w:eastAsia="Calibri" w:hAnsi="Times New Roman" w:cs="Times New Roman"/>
          <w:noProof/>
          <w:color w:val="000000" w:themeColor="text1"/>
          <w:sz w:val="24"/>
          <w:lang w:val="en-GB"/>
        </w:rPr>
        <w:t xml:space="preserve">; </w:t>
      </w:r>
      <w:hyperlink w:anchor="_ENREF_70" w:tooltip="Ojha, 2018 #1231" w:history="1">
        <w:r w:rsidR="00641B32" w:rsidRPr="008C04EC">
          <w:rPr>
            <w:rFonts w:ascii="Times New Roman" w:eastAsia="Calibri" w:hAnsi="Times New Roman" w:cs="Times New Roman"/>
            <w:noProof/>
            <w:color w:val="000000" w:themeColor="text1"/>
            <w:sz w:val="24"/>
            <w:lang w:val="en-GB"/>
          </w:rPr>
          <w:t>Ojha et al., 2018</w:t>
        </w:r>
      </w:hyperlink>
      <w:r w:rsidR="00A7410C" w:rsidRPr="008C04EC">
        <w:rPr>
          <w:rFonts w:ascii="Times New Roman" w:eastAsia="Calibri" w:hAnsi="Times New Roman" w:cs="Times New Roman"/>
          <w:noProof/>
          <w:color w:val="000000" w:themeColor="text1"/>
          <w:sz w:val="24"/>
          <w:lang w:val="en-GB"/>
        </w:rPr>
        <w:t xml:space="preserve">; </w:t>
      </w:r>
      <w:hyperlink w:anchor="_ENREF_87" w:tooltip="Spekman, 2002 #460" w:history="1">
        <w:r w:rsidR="00641B32" w:rsidRPr="008C04EC">
          <w:rPr>
            <w:rFonts w:ascii="Times New Roman" w:eastAsia="Calibri" w:hAnsi="Times New Roman" w:cs="Times New Roman"/>
            <w:noProof/>
            <w:color w:val="000000" w:themeColor="text1"/>
            <w:sz w:val="24"/>
            <w:lang w:val="en-GB"/>
          </w:rPr>
          <w:t>Spekman et al., 2002</w:t>
        </w:r>
      </w:hyperlink>
      <w:r w:rsidR="00A7410C" w:rsidRPr="008C04EC">
        <w:rPr>
          <w:rFonts w:ascii="Times New Roman" w:eastAsia="Calibri" w:hAnsi="Times New Roman" w:cs="Times New Roman"/>
          <w:noProof/>
          <w:color w:val="000000" w:themeColor="text1"/>
          <w:sz w:val="24"/>
          <w:lang w:val="en-GB"/>
        </w:rPr>
        <w:t xml:space="preserve">; </w:t>
      </w:r>
      <w:hyperlink w:anchor="_ENREF_99" w:tooltip="Willis, 2016 #1232" w:history="1">
        <w:r w:rsidR="00641B32" w:rsidRPr="008C04EC">
          <w:rPr>
            <w:rFonts w:ascii="Times New Roman" w:eastAsia="Calibri" w:hAnsi="Times New Roman" w:cs="Times New Roman"/>
            <w:noProof/>
            <w:color w:val="000000" w:themeColor="text1"/>
            <w:sz w:val="24"/>
            <w:lang w:val="en-GB"/>
          </w:rPr>
          <w:t>Willis</w:t>
        </w:r>
        <w:r w:rsidR="00D84388">
          <w:rPr>
            <w:rFonts w:ascii="Times New Roman" w:eastAsia="Calibri" w:hAnsi="Times New Roman" w:cs="Times New Roman"/>
            <w:noProof/>
            <w:color w:val="000000" w:themeColor="text1"/>
            <w:sz w:val="24"/>
            <w:lang w:val="en-GB"/>
          </w:rPr>
          <w:t xml:space="preserve"> et al.</w:t>
        </w:r>
        <w:r w:rsidR="00641B32" w:rsidRPr="008C04EC">
          <w:rPr>
            <w:rFonts w:ascii="Times New Roman" w:eastAsia="Calibri" w:hAnsi="Times New Roman" w:cs="Times New Roman"/>
            <w:noProof/>
            <w:color w:val="000000" w:themeColor="text1"/>
            <w:sz w:val="24"/>
            <w:lang w:val="en-GB"/>
          </w:rPr>
          <w:t>, 2016</w:t>
        </w:r>
      </w:hyperlink>
      <w:r w:rsidR="00A7410C" w:rsidRPr="008C04EC">
        <w:rPr>
          <w:rFonts w:ascii="Times New Roman" w:eastAsia="Calibri" w:hAnsi="Times New Roman" w:cs="Times New Roman"/>
          <w:noProof/>
          <w:color w:val="000000" w:themeColor="text1"/>
          <w:sz w:val="24"/>
          <w:lang w:val="en-GB"/>
        </w:rPr>
        <w:t>)</w:t>
      </w:r>
      <w:r w:rsidR="00A7410C" w:rsidRPr="008C04EC">
        <w:rPr>
          <w:rFonts w:ascii="Times New Roman" w:eastAsia="Calibri" w:hAnsi="Times New Roman" w:cs="Times New Roman"/>
          <w:color w:val="000000" w:themeColor="text1"/>
          <w:sz w:val="24"/>
          <w:lang w:val="en-GB"/>
        </w:rPr>
        <w:fldChar w:fldCharType="end"/>
      </w:r>
      <w:r w:rsidR="005C4237" w:rsidRPr="008C04EC">
        <w:rPr>
          <w:rFonts w:ascii="Times New Roman" w:eastAsia="Calibri" w:hAnsi="Times New Roman" w:cs="Times New Roman"/>
          <w:color w:val="000000" w:themeColor="text1"/>
          <w:sz w:val="24"/>
          <w:lang w:val="en-GB"/>
        </w:rPr>
        <w:t xml:space="preserve"> as well as with</w:t>
      </w:r>
      <w:r w:rsidR="00A7410C" w:rsidRPr="008C04EC">
        <w:rPr>
          <w:rFonts w:ascii="Times New Roman" w:eastAsia="Calibri" w:hAnsi="Times New Roman" w:cs="Times New Roman"/>
          <w:color w:val="000000" w:themeColor="text1"/>
          <w:sz w:val="24"/>
          <w:lang w:val="en-GB"/>
        </w:rPr>
        <w:t xml:space="preserve"> suppliers </w:t>
      </w:r>
      <w:r w:rsidR="00A7410C" w:rsidRPr="008C04EC">
        <w:rPr>
          <w:rFonts w:ascii="Times New Roman" w:eastAsia="Calibri" w:hAnsi="Times New Roman" w:cs="Times New Roman"/>
          <w:color w:val="000000" w:themeColor="text1"/>
          <w:sz w:val="24"/>
          <w:lang w:val="en-GB"/>
        </w:rPr>
        <w:fldChar w:fldCharType="begin">
          <w:fldData xml:space="preserve">PEVuZE5vdGU+PENpdGU+PEF1dGhvcj5CZXNzYW50PC9BdXRob3I+PFllYXI+MjAwMzwvWWVhcj48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</w:fldData>
        </w:fldChar>
      </w:r>
      <w:r w:rsidR="00807627" w:rsidRPr="008C04EC">
        <w:rPr>
          <w:rFonts w:ascii="Times New Roman" w:eastAsia="Calibri" w:hAnsi="Times New Roman" w:cs="Times New Roman"/>
          <w:color w:val="000000" w:themeColor="text1"/>
          <w:sz w:val="24"/>
          <w:lang w:val="en-GB"/>
        </w:rPr>
        <w:instrText xml:space="preserve"> ADDIN EN.CITE </w:instrText>
      </w:r>
      <w:r w:rsidR="00807627" w:rsidRPr="008C04EC">
        <w:rPr>
          <w:rFonts w:ascii="Times New Roman" w:eastAsia="Calibri" w:hAnsi="Times New Roman" w:cs="Times New Roman"/>
          <w:color w:val="000000" w:themeColor="text1"/>
          <w:sz w:val="24"/>
          <w:lang w:val="en-GB"/>
        </w:rPr>
        <w:fldChar w:fldCharType="begin">
          <w:fldData xml:space="preserve">PEVuZE5vdGU+PENpdGU+PEF1dGhvcj5CZXNzYW50PC9BdXRob3I+PFllYXI+MjAwMzwvWWVhcj48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</w:fldData>
        </w:fldChar>
      </w:r>
      <w:r w:rsidR="00807627" w:rsidRPr="008C04EC">
        <w:rPr>
          <w:rFonts w:ascii="Times New Roman" w:eastAsia="Calibri" w:hAnsi="Times New Roman" w:cs="Times New Roman"/>
          <w:color w:val="000000" w:themeColor="text1"/>
          <w:sz w:val="24"/>
          <w:lang w:val="en-GB"/>
        </w:rPr>
        <w:instrText xml:space="preserve"> ADDIN EN.CITE.DATA </w:instrText>
      </w:r>
      <w:r w:rsidR="00807627" w:rsidRPr="008C04EC">
        <w:rPr>
          <w:rFonts w:ascii="Times New Roman" w:eastAsia="Calibri" w:hAnsi="Times New Roman" w:cs="Times New Roman"/>
          <w:color w:val="000000" w:themeColor="text1"/>
          <w:sz w:val="24"/>
          <w:lang w:val="en-GB"/>
        </w:rPr>
      </w:r>
      <w:r w:rsidR="00807627" w:rsidRPr="008C04EC">
        <w:rPr>
          <w:rFonts w:ascii="Times New Roman" w:eastAsia="Calibri" w:hAnsi="Times New Roman" w:cs="Times New Roman"/>
          <w:color w:val="000000" w:themeColor="text1"/>
          <w:sz w:val="24"/>
          <w:lang w:val="en-GB"/>
        </w:rPr>
        <w:fldChar w:fldCharType="end"/>
      </w:r>
      <w:r w:rsidR="00A7410C" w:rsidRPr="008C04EC">
        <w:rPr>
          <w:rFonts w:ascii="Times New Roman" w:eastAsia="Calibri" w:hAnsi="Times New Roman" w:cs="Times New Roman"/>
          <w:color w:val="000000" w:themeColor="text1"/>
          <w:sz w:val="24"/>
          <w:lang w:val="en-GB"/>
        </w:rPr>
      </w:r>
      <w:r w:rsidR="00A7410C" w:rsidRPr="008C04EC">
        <w:rPr>
          <w:rFonts w:ascii="Times New Roman" w:eastAsia="Calibri" w:hAnsi="Times New Roman" w:cs="Times New Roman"/>
          <w:color w:val="000000" w:themeColor="text1"/>
          <w:sz w:val="24"/>
          <w:lang w:val="en-GB"/>
        </w:rPr>
        <w:fldChar w:fldCharType="separate"/>
      </w:r>
      <w:r w:rsidR="00807627" w:rsidRPr="008C04EC">
        <w:rPr>
          <w:rFonts w:ascii="Times New Roman" w:eastAsia="Calibri" w:hAnsi="Times New Roman" w:cs="Times New Roman"/>
          <w:noProof/>
          <w:color w:val="000000" w:themeColor="text1"/>
          <w:sz w:val="24"/>
          <w:lang w:val="en-GB"/>
        </w:rPr>
        <w:t>(</w:t>
      </w:r>
      <w:hyperlink w:anchor="_ENREF_10" w:tooltip="Bessant, 2003 #459" w:history="1">
        <w:r w:rsidR="00641B32" w:rsidRPr="008C04EC">
          <w:rPr>
            <w:rFonts w:ascii="Times New Roman" w:eastAsia="Calibri" w:hAnsi="Times New Roman" w:cs="Times New Roman"/>
            <w:noProof/>
            <w:color w:val="000000" w:themeColor="text1"/>
            <w:sz w:val="24"/>
            <w:lang w:val="en-GB"/>
          </w:rPr>
          <w:t>Bessant</w:t>
        </w:r>
        <w:r w:rsidR="00D84388">
          <w:rPr>
            <w:rFonts w:ascii="Times New Roman" w:eastAsia="Calibri" w:hAnsi="Times New Roman" w:cs="Times New Roman"/>
            <w:noProof/>
            <w:color w:val="000000" w:themeColor="text1"/>
            <w:sz w:val="24"/>
            <w:lang w:val="en-GB"/>
          </w:rPr>
          <w:t xml:space="preserve"> et al.</w:t>
        </w:r>
        <w:r w:rsidR="00641B32" w:rsidRPr="008C04EC">
          <w:rPr>
            <w:rFonts w:ascii="Times New Roman" w:eastAsia="Calibri" w:hAnsi="Times New Roman" w:cs="Times New Roman"/>
            <w:noProof/>
            <w:color w:val="000000" w:themeColor="text1"/>
            <w:sz w:val="24"/>
            <w:lang w:val="en-GB"/>
          </w:rPr>
          <w:t>, 2003</w:t>
        </w:r>
      </w:hyperlink>
      <w:r w:rsidR="00807627" w:rsidRPr="008C04EC">
        <w:rPr>
          <w:rFonts w:ascii="Times New Roman" w:eastAsia="Calibri" w:hAnsi="Times New Roman" w:cs="Times New Roman"/>
          <w:noProof/>
          <w:color w:val="000000" w:themeColor="text1"/>
          <w:sz w:val="24"/>
          <w:lang w:val="en-GB"/>
        </w:rPr>
        <w:t xml:space="preserve">; </w:t>
      </w:r>
      <w:hyperlink w:anchor="_ENREF_30" w:tooltip="Flint, 2008 #461" w:history="1">
        <w:r w:rsidR="00641B32" w:rsidRPr="008C04EC">
          <w:rPr>
            <w:rFonts w:ascii="Times New Roman" w:eastAsia="Calibri" w:hAnsi="Times New Roman" w:cs="Times New Roman"/>
            <w:noProof/>
            <w:color w:val="000000" w:themeColor="text1"/>
            <w:sz w:val="24"/>
            <w:lang w:val="en-GB"/>
          </w:rPr>
          <w:t>Flint et al., 2008</w:t>
        </w:r>
      </w:hyperlink>
      <w:r w:rsidR="00807627" w:rsidRPr="008C04EC">
        <w:rPr>
          <w:rFonts w:ascii="Times New Roman" w:eastAsia="Calibri" w:hAnsi="Times New Roman" w:cs="Times New Roman"/>
          <w:noProof/>
          <w:color w:val="000000" w:themeColor="text1"/>
          <w:sz w:val="24"/>
          <w:lang w:val="en-GB"/>
        </w:rPr>
        <w:t xml:space="preserve">; </w:t>
      </w:r>
      <w:hyperlink w:anchor="_ENREF_99" w:tooltip="Willis, 2016 #1232" w:history="1">
        <w:r w:rsidR="00641B32" w:rsidRPr="008C04EC">
          <w:rPr>
            <w:rFonts w:ascii="Times New Roman" w:eastAsia="Calibri" w:hAnsi="Times New Roman" w:cs="Times New Roman"/>
            <w:noProof/>
            <w:color w:val="000000" w:themeColor="text1"/>
            <w:sz w:val="24"/>
            <w:lang w:val="en-GB"/>
          </w:rPr>
          <w:t>Willis et al., 2016</w:t>
        </w:r>
      </w:hyperlink>
      <w:r w:rsidR="00807627" w:rsidRPr="008C04EC">
        <w:rPr>
          <w:rFonts w:ascii="Times New Roman" w:eastAsia="Calibri" w:hAnsi="Times New Roman" w:cs="Times New Roman"/>
          <w:noProof/>
          <w:color w:val="000000" w:themeColor="text1"/>
          <w:sz w:val="24"/>
          <w:lang w:val="en-GB"/>
        </w:rPr>
        <w:t>)</w:t>
      </w:r>
      <w:r w:rsidR="00A7410C" w:rsidRPr="008C04EC">
        <w:rPr>
          <w:rFonts w:ascii="Times New Roman" w:eastAsia="Calibri" w:hAnsi="Times New Roman" w:cs="Times New Roman"/>
          <w:color w:val="000000" w:themeColor="text1"/>
          <w:sz w:val="24"/>
          <w:lang w:val="en-GB"/>
        </w:rPr>
        <w:fldChar w:fldCharType="end"/>
      </w:r>
      <w:r w:rsidR="00751DBD" w:rsidRPr="008C04EC">
        <w:rPr>
          <w:rFonts w:ascii="Times New Roman" w:eastAsia="Calibri" w:hAnsi="Times New Roman" w:cs="Times New Roman"/>
          <w:color w:val="000000" w:themeColor="text1"/>
          <w:sz w:val="24"/>
          <w:lang w:val="en-GB"/>
        </w:rPr>
        <w:t xml:space="preserve"> </w:t>
      </w:r>
      <w:r w:rsidR="00A7410C" w:rsidRPr="008C04EC">
        <w:rPr>
          <w:rFonts w:ascii="Times New Roman" w:eastAsia="Calibri" w:hAnsi="Times New Roman" w:cs="Times New Roman"/>
          <w:color w:val="000000" w:themeColor="text1"/>
          <w:sz w:val="24"/>
          <w:lang w:val="en-GB"/>
        </w:rPr>
        <w:t xml:space="preserve">and customers </w:t>
      </w:r>
      <w:r w:rsidR="00A7410C" w:rsidRPr="008C04EC">
        <w:rPr>
          <w:rFonts w:ascii="Times New Roman" w:eastAsia="Calibri" w:hAnsi="Times New Roman" w:cs="Times New Roman"/>
          <w:color w:val="000000" w:themeColor="text1"/>
          <w:sz w:val="24"/>
          <w:lang w:val="en-GB"/>
        </w:rPr>
        <w:fldChar w:fldCharType="begin"/>
      </w:r>
      <w:r w:rsidR="00807627" w:rsidRPr="008C04EC">
        <w:rPr>
          <w:rFonts w:ascii="Times New Roman" w:eastAsia="Calibri" w:hAnsi="Times New Roman" w:cs="Times New Roman"/>
          <w:color w:val="000000" w:themeColor="text1"/>
          <w:sz w:val="24"/>
          <w:lang w:val="en-GB"/>
        </w:rPr>
        <w:instrText xml:space="preserve"> ADDIN EN.CITE &lt;EndNote&gt;&lt;Cite&gt;&lt;Author&gt;Willis&lt;/Author&gt;&lt;Year&gt;2016&lt;/Year&gt;&lt;RecNum&gt;1232&lt;/RecNum&gt;&lt;DisplayText&gt;(Flint et al., 2008; Willis et al., 2016)&lt;/DisplayText&gt;&lt;record&gt;&lt;rec-number&gt;1232&lt;/rec-number&gt;&lt;foreign-keys&gt;&lt;key app="EN" db-id="seavxzzzfrf2p7eddfnxx5ep2ar05z0ddwx9"&gt;1232&lt;/key&gt;&lt;/foreign-keys&gt;&lt;ref-type name="Journal Article"&gt;17&lt;/ref-type&gt;&lt;contributors&gt;&lt;authors&gt;&lt;author&gt;Willis, Geoff&lt;/author&gt;&lt;author&gt;Genchev, Stefan E&lt;/author&gt;&lt;author&gt;Chen, Haozhe&lt;/author&gt;&lt;/authors&gt;&lt;/contributors&gt;&lt;titles&gt;&lt;title&gt;Supply chain learning, integration, and flexibility performance: an empirical study in India&lt;/title&gt;&lt;secondary-title&gt;The International Journal of Logistics Management&lt;/secondary-title&gt;&lt;/titles&gt;&lt;periodical&gt;&lt;full-title&gt;The International Journal of Logistics Management&lt;/full-title&gt;&lt;/periodical&gt;&lt;pages&gt;755-769&lt;/pages&gt;&lt;volume&gt;27&lt;/volume&gt;&lt;number&gt;3&lt;/number&gt;&lt;dates&gt;&lt;year&gt;2016&lt;/year&gt;&lt;/dates&gt;&lt;isbn&gt;0957-4093&lt;/isbn&gt;&lt;urls&gt;&lt;/urls&gt;&lt;/record&gt;&lt;/Cite&gt;&lt;Cite&gt;&lt;Author&gt;Flint&lt;/Author&gt;&lt;Year&gt;2008&lt;/Year&gt;&lt;RecNum&gt;461&lt;/RecNum&gt;&lt;record&gt;&lt;rec-number&gt;461&lt;/rec-number&gt;&lt;foreign-keys&gt;&lt;key app="EN" db-id="seavxzzzfrf2p7eddfnxx5ep2ar05z0ddwx9"&gt;461&lt;/key&gt;&lt;/foreign-keys&gt;&lt;ref-type name="Journal Article"&gt;17&lt;/ref-type&gt;&lt;contributors&gt;&lt;authors&gt;&lt;author&gt;Flint, Daniel J&lt;/author&gt;&lt;author&gt;Larsson, Everth&lt;/author&gt;&lt;author&gt;Gammelgaard, Britta&lt;/author&gt;&lt;/authors&gt;&lt;/contributors&gt;&lt;titles&gt;&lt;title&gt;Exploring processes for customer value insights, supply chain learning and innovation: an international study&lt;/title&gt;&lt;secondary-title&gt;Journal of Business Logistics&lt;/secondary-title&gt;&lt;/titles&gt;&lt;periodical&gt;&lt;full-title&gt;Journal of Business Logistics&lt;/full-title&gt;&lt;/periodical&gt;&lt;pages&gt;257-281&lt;/pages&gt;&lt;volume&gt;29&lt;/volume&gt;&lt;number&gt;1&lt;/number&gt;&lt;dates&gt;&lt;year&gt;2008&lt;/year&gt;&lt;/dates&gt;&lt;publisher&gt;Wiley Online Library&lt;/publisher&gt;&lt;isbn&gt;2158-1592&lt;/isbn&gt;&lt;urls&gt;&lt;/urls&gt;&lt;/record&gt;&lt;/Cite&gt;&lt;/EndNote&gt;</w:instrText>
      </w:r>
      <w:r w:rsidR="00A7410C" w:rsidRPr="008C04EC">
        <w:rPr>
          <w:rFonts w:ascii="Times New Roman" w:eastAsia="Calibri" w:hAnsi="Times New Roman" w:cs="Times New Roman"/>
          <w:color w:val="000000" w:themeColor="text1"/>
          <w:sz w:val="24"/>
          <w:lang w:val="en-GB"/>
        </w:rPr>
        <w:fldChar w:fldCharType="separate"/>
      </w:r>
      <w:r w:rsidR="00807627" w:rsidRPr="008C04EC">
        <w:rPr>
          <w:rFonts w:ascii="Times New Roman" w:eastAsia="Calibri" w:hAnsi="Times New Roman" w:cs="Times New Roman"/>
          <w:noProof/>
          <w:color w:val="000000" w:themeColor="text1"/>
          <w:sz w:val="24"/>
          <w:lang w:val="en-GB"/>
        </w:rPr>
        <w:t>(</w:t>
      </w:r>
      <w:hyperlink w:anchor="_ENREF_30" w:tooltip="Flint, 2008 #461" w:history="1">
        <w:r w:rsidR="00641B32" w:rsidRPr="008C04EC">
          <w:rPr>
            <w:rFonts w:ascii="Times New Roman" w:eastAsia="Calibri" w:hAnsi="Times New Roman" w:cs="Times New Roman"/>
            <w:noProof/>
            <w:color w:val="000000" w:themeColor="text1"/>
            <w:sz w:val="24"/>
            <w:lang w:val="en-GB"/>
          </w:rPr>
          <w:t>Flint et al., 2008</w:t>
        </w:r>
      </w:hyperlink>
      <w:r w:rsidR="00807627" w:rsidRPr="008C04EC">
        <w:rPr>
          <w:rFonts w:ascii="Times New Roman" w:eastAsia="Calibri" w:hAnsi="Times New Roman" w:cs="Times New Roman"/>
          <w:noProof/>
          <w:color w:val="000000" w:themeColor="text1"/>
          <w:sz w:val="24"/>
          <w:lang w:val="en-GB"/>
        </w:rPr>
        <w:t xml:space="preserve">; </w:t>
      </w:r>
      <w:hyperlink w:anchor="_ENREF_99" w:tooltip="Willis, 2016 #1232" w:history="1">
        <w:r w:rsidR="00641B32" w:rsidRPr="008C04EC">
          <w:rPr>
            <w:rFonts w:ascii="Times New Roman" w:eastAsia="Calibri" w:hAnsi="Times New Roman" w:cs="Times New Roman"/>
            <w:noProof/>
            <w:color w:val="000000" w:themeColor="text1"/>
            <w:sz w:val="24"/>
            <w:lang w:val="en-GB"/>
          </w:rPr>
          <w:t>Willis et al., 2016</w:t>
        </w:r>
      </w:hyperlink>
      <w:r w:rsidR="00807627" w:rsidRPr="008C04EC">
        <w:rPr>
          <w:rFonts w:ascii="Times New Roman" w:eastAsia="Calibri" w:hAnsi="Times New Roman" w:cs="Times New Roman"/>
          <w:noProof/>
          <w:color w:val="000000" w:themeColor="text1"/>
          <w:sz w:val="24"/>
          <w:lang w:val="en-GB"/>
        </w:rPr>
        <w:t>)</w:t>
      </w:r>
      <w:r w:rsidR="00A7410C"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w:t>
      </w:r>
    </w:p>
    <w:p w14:paraId="2AFF3D28" w14:textId="55A9EF6F" w:rsidR="005249CB" w:rsidRPr="008C04EC" w:rsidRDefault="005249CB" w:rsidP="005249CB">
      <w:pPr>
        <w:spacing w:after="0" w:line="480" w:lineRule="auto"/>
        <w:jc w:val="both"/>
        <w:rPr>
          <w:rFonts w:ascii="Times New Roman" w:eastAsia="Calibri" w:hAnsi="Times New Roman" w:cs="Times New Roman"/>
          <w:color w:val="000000" w:themeColor="text1"/>
          <w:sz w:val="24"/>
          <w:lang w:val="en-GB"/>
        </w:rPr>
      </w:pPr>
      <w:r w:rsidRPr="008C04EC">
        <w:rPr>
          <w:rFonts w:ascii="Times New Roman" w:eastAsia="Times New Roman" w:hAnsi="Times New Roman" w:cs="Times New Roman"/>
          <w:b/>
          <w:bCs/>
          <w:i/>
          <w:iCs/>
          <w:color w:val="000000" w:themeColor="text1"/>
          <w:sz w:val="24"/>
          <w:lang w:val="en-GB"/>
        </w:rPr>
        <w:lastRenderedPageBreak/>
        <w:t>Dynamic Supply Chain Capabilities (DSCC):</w:t>
      </w:r>
      <w:r w:rsidRPr="008C04EC">
        <w:rPr>
          <w:rFonts w:ascii="Times New Roman" w:eastAsia="Calibri" w:hAnsi="Times New Roman" w:cs="Times New Roman"/>
          <w:color w:val="000000" w:themeColor="text1"/>
          <w:sz w:val="24"/>
          <w:lang w:val="en-GB"/>
        </w:rPr>
        <w:t xml:space="preserve"> DSCCs in this study were measured as a second-order reflective construct consisting of sensing, seizing and transforming capabilities. In accordance with Aslam et al. (2018), we consider market sensing to be a sensing capability, supply chain agility to be a seizing capability, and supply chain adaptability to be a transforming capability. In combination, these three capabilities form a cohesive bundle of dynamic supply chain capabilities </w:t>
      </w:r>
      <w:r w:rsidRPr="008C04EC">
        <w:rPr>
          <w:rFonts w:ascii="Times New Roman" w:eastAsia="Calibri" w:hAnsi="Times New Roman" w:cs="Times New Roman"/>
          <w:color w:val="000000" w:themeColor="text1"/>
          <w:sz w:val="24"/>
          <w:lang w:val="en-GB"/>
        </w:rPr>
        <w:fldChar w:fldCharType="begin"/>
      </w:r>
      <w:r w:rsidRPr="008C04EC">
        <w:rPr>
          <w:rFonts w:ascii="Times New Roman" w:eastAsia="Calibri" w:hAnsi="Times New Roman" w:cs="Times New Roman"/>
          <w:color w:val="000000" w:themeColor="text1"/>
          <w:sz w:val="24"/>
          <w:lang w:val="en-GB"/>
        </w:rPr>
        <w:instrText xml:space="preserve"> ADDIN EN.CITE &lt;EndNote&gt;&lt;Cite&gt;&lt;Author&gt;Aslam&lt;/Author&gt;&lt;Year&gt;2018&lt;/Year&gt;&lt;RecNum&gt;1211&lt;/RecNum&gt;&lt;DisplayText&gt;(Aslam et al., 2018)&lt;/DisplayText&gt;&lt;record&gt;&lt;rec-number&gt;1211&lt;/rec-number&gt;&lt;foreign-keys&gt;&lt;key app="EN" db-id="seavxzzzfrf2p7eddfnxx5ep2ar05z0ddwx9"&gt;1211&lt;/key&gt;&lt;/foreign-keys&gt;&lt;ref-type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Pr="008C04EC">
        <w:rPr>
          <w:rFonts w:ascii="Times New Roman" w:eastAsia="Calibri" w:hAnsi="Times New Roman" w:cs="Times New Roman"/>
          <w:color w:val="000000" w:themeColor="text1"/>
          <w:sz w:val="24"/>
          <w:lang w:val="en-GB"/>
        </w:rPr>
        <w:t>(</w:t>
      </w:r>
      <w:hyperlink w:anchor="_ENREF_8" w:tooltip="Aslam, 2018 #1211" w:history="1">
        <w:r w:rsidR="00641B32" w:rsidRPr="008C04EC">
          <w:rPr>
            <w:rFonts w:ascii="Times New Roman" w:eastAsia="Calibri" w:hAnsi="Times New Roman" w:cs="Times New Roman"/>
            <w:color w:val="000000" w:themeColor="text1"/>
            <w:sz w:val="24"/>
            <w:lang w:val="en-GB"/>
          </w:rPr>
          <w:t>Aslam et al., 2018</w:t>
        </w:r>
      </w:hyperlink>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This is in line with previous empirical studies that have tested relationships about dynamic capabilities </w:t>
      </w:r>
      <w:r w:rsidRPr="008C04EC">
        <w:rPr>
          <w:rFonts w:ascii="Times New Roman" w:eastAsia="Calibri" w:hAnsi="Times New Roman" w:cs="Times New Roman"/>
          <w:color w:val="000000" w:themeColor="text1"/>
          <w:sz w:val="24"/>
          <w:lang w:val="en-GB"/>
        </w:rPr>
        <w:fldChar w:fldCharType="begin"/>
      </w:r>
      <w:r w:rsidR="00D30452" w:rsidRPr="008C04EC">
        <w:rPr>
          <w:rFonts w:ascii="Times New Roman" w:eastAsia="Calibri" w:hAnsi="Times New Roman" w:cs="Times New Roman"/>
          <w:color w:val="000000" w:themeColor="text1"/>
          <w:sz w:val="24"/>
          <w:lang w:val="en-GB"/>
        </w:rPr>
        <w:instrText xml:space="preserve"> ADDIN EN.CITE &lt;EndNote&gt;&lt;Cite&gt;&lt;Author&gt;Protogerou&lt;/Author&gt;&lt;Year&gt;2012&lt;/Year&gt;&lt;RecNum&gt;791&lt;/RecNum&gt;&lt;DisplayText&gt;(Protogerou et al., 2012; Wang, Senaratne, &amp;amp; Rafiq, 2015)&lt;/DisplayText&gt;&lt;record&gt;&lt;rec-number&gt;791&lt;/rec-number&gt;&lt;foreign-keys&gt;&lt;key app="EN" db-id="seavxzzzfrf2p7eddfnxx5ep2ar05z0ddwx9"&gt;791&lt;/key&gt;&lt;/foreign-keys&gt;&lt;ref-type name="Journal Article"&gt;17&lt;/ref-type&gt;&lt;contributors&gt;&lt;authors&gt;&lt;author&gt;Protogerou, Aimilia&lt;/author&gt;&lt;author&gt;Caloghirou, Yannis&lt;/author&gt;&lt;author&gt;Lioukas, Spyros&lt;/author&gt;&lt;/authors&gt;&lt;/contributors&gt;&lt;titles&gt;&lt;title&gt;Dynamic capabilities and their indirect impact on firm performance&lt;/title&gt;&lt;secondary-title&gt;Industrial and Corporate Change&lt;/secondary-title&gt;&lt;/titles&gt;&lt;periodical&gt;&lt;full-title&gt;Industrial and Corporate Change&lt;/full-title&gt;&lt;/periodical&gt;&lt;pages&gt;615-647&lt;/pages&gt;&lt;volume&gt;21&lt;/volume&gt;&lt;number&gt;3&lt;/number&gt;&lt;dates&gt;&lt;year&gt;2012&lt;/year&gt;&lt;/dates&gt;&lt;publisher&gt;Oxford Univ Press&lt;/publisher&gt;&lt;isbn&gt;0960-6491&lt;/isbn&gt;&lt;urls&gt;&lt;/urls&gt;&lt;/record&gt;&lt;/Cite&gt;&lt;Cite&gt;&lt;Author&gt;Wang&lt;/Author&gt;&lt;Year&gt;2015&lt;/Year&gt;&lt;RecNum&gt;833&lt;/RecNum&gt;&lt;record&gt;&lt;rec-number&gt;833&lt;/rec-number&gt;&lt;foreign-keys&gt;&lt;key app="EN" db-id="seavxzzzfrf2p7eddfnxx5ep2ar05z0ddwx9"&gt;833&lt;/key&gt;&lt;/foreign-keys&gt;&lt;ref-type name="Journal Article"&gt;17&lt;/ref-type&gt;&lt;contributors&gt;&lt;authors&gt;&lt;author&gt;Wang, Catherine L&lt;/author&gt;&lt;author&gt;Senaratne, Chaminda&lt;/author&gt;&lt;author&gt;Rafiq, Mohammed&lt;/author&gt;&lt;/authors&gt;&lt;/contributors&gt;&lt;titles&gt;&lt;title&gt;Success traps, dynamic capabilities and firm performance&lt;/title&gt;&lt;secondary-title&gt;British Journal of Management&lt;/secondary-title&gt;&lt;/titles&gt;&lt;periodical&gt;&lt;full-title&gt;British Journal of Management&lt;/full-title&gt;&lt;/periodical&gt;&lt;pages&gt;26-44&lt;/pages&gt;&lt;volume&gt;26&lt;/volume&gt;&lt;number&gt;1&lt;/number&gt;&lt;dates&gt;&lt;year&gt;2015&lt;/year&gt;&lt;/dates&gt;&lt;publisher&gt;Wiley Online Library&lt;/publisher&gt;&lt;isbn&gt;1467-8551&lt;/isbn&gt;&lt;urls&gt;&lt;/urls&gt;&lt;/record&gt;&lt;/Cite&gt;&lt;/EndNote&gt;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00D30452" w:rsidRPr="008C04EC">
        <w:rPr>
          <w:rFonts w:ascii="Times New Roman" w:eastAsia="Calibri" w:hAnsi="Times New Roman" w:cs="Times New Roman"/>
          <w:noProof/>
          <w:color w:val="000000" w:themeColor="text1"/>
          <w:sz w:val="24"/>
          <w:lang w:val="en-GB"/>
        </w:rPr>
        <w:t>(</w:t>
      </w:r>
      <w:hyperlink w:anchor="_ENREF_74" w:tooltip="Protogerou, 2012 #791" w:history="1">
        <w:r w:rsidR="00641B32" w:rsidRPr="008C04EC">
          <w:rPr>
            <w:rFonts w:ascii="Times New Roman" w:eastAsia="Calibri" w:hAnsi="Times New Roman" w:cs="Times New Roman"/>
            <w:noProof/>
            <w:color w:val="000000" w:themeColor="text1"/>
            <w:sz w:val="24"/>
            <w:lang w:val="en-GB"/>
          </w:rPr>
          <w:t xml:space="preserve">Protogerou et al., </w:t>
        </w:r>
        <w:r w:rsidR="0059460E">
          <w:rPr>
            <w:rFonts w:ascii="Times New Roman" w:eastAsia="Calibri" w:hAnsi="Times New Roman" w:cs="Times New Roman"/>
            <w:noProof/>
            <w:color w:val="000000" w:themeColor="text1"/>
            <w:sz w:val="24"/>
            <w:lang w:val="en-GB"/>
          </w:rPr>
          <w:fldChar w:fldCharType="begin"/>
        </w:r>
        <w:r w:rsidR="0059460E">
          <w:rPr>
            <w:rFonts w:ascii="Times New Roman" w:eastAsia="Calibri" w:hAnsi="Times New Roman" w:cs="Times New Roman"/>
            <w:noProof/>
            <w:color w:val="000000" w:themeColor="text1"/>
            <w:sz w:val="24"/>
            <w:lang w:val="en-GB"/>
          </w:rPr>
          <w:instrText xml:space="preserve"> ADDIN ZOTERO_ITEM CSL_CITATION {"citationID":"EtfudojS","properties":{"formattedCitation":"(Brandon-Jones and Knoppen, 2018)","plainCitation":"(Brandon-Jones and Knoppen, 2018)","noteIndex":0},"citationItems":[{"id":4641,"uris":["http://zotero.org/users/3209486/items/424UHHNV"],"uri":["http://zotero.org/users/3209486/items/424UHHNV"],"itemData":{"id":4641,"type":"article-journal","title":"The role of strategic purchasing in dynamic capability development and deployment","container-title":"International Journal of Operations &amp; Production Management","page":"446-473","volume":"38","issue":"2","archive":"Business Premium Collection","archive_location":"2015327516","abstract":"PurposeThe purpose of this paper is to report on research into the impact of two sequential dimensions of strategic purchasing – purchasing recognition and purchasing involvement – on the development and deployment of dynamic capabilities. The authors also examine how such dynamic capabilities impact on both cost and innovation performance, and how their effects differ for service as opposed to manufacturing firms.Design/methodology/approachThe authors test hypotheses using structural equation modeling of survey data from 309 manufacturing and service firms.FindingsFrom a dynamic capability perspective, the analysis supports the positive relationships between purchasing recognition, purchasing involvement, and dynamic capability in the form of knowledge scanning. The authors also find support for the positive impact of knowledge scanning on both cost and innovation performance. From a contingency perspective, data supports hypothesized differences caused by industry, whereby service-based firms experience stronger positive linkages in our model than manufacturing-based firms. Finally, emerging from the data, the authors explore a re-enforcing effect from cost performance to purchasing involvement, something that is in line with the dynamic capabilities perspective but not typically addressed in operations management (OM) research.Originality/valueThe research offers a number of theoretical and managerial contributions, including being one of a relative few examples of empirical assessment of dynamic capability development and deployment; examining the enablers of dynamic capability in addition to the more commonly addressed performance effect; assessing the contingency effect of firm type for dynamic capabilities; and uncovering a return (re-enforcing) effect between performance and enablers of dynamic capabilities.","DOI":"10.1108/IJOPM-10-2015-0656","ISSN":"01443577","language":"English","author":[{"family":"Brandon-Jones","given":"Alistair"},{"family":"Knoppen","given":"Desiree"}],"issued":{"date-parts":[["2018"]]}}}],"schema":"https://github.com/citation-style-language/schema/raw/master/csl-citation.json"} </w:instrText>
        </w:r>
        <w:r w:rsidR="0059460E">
          <w:rPr>
            <w:rFonts w:ascii="Times New Roman" w:eastAsia="Calibri" w:hAnsi="Times New Roman" w:cs="Times New Roman"/>
            <w:noProof/>
            <w:color w:val="000000" w:themeColor="text1"/>
            <w:sz w:val="24"/>
            <w:lang w:val="en-GB"/>
          </w:rPr>
          <w:fldChar w:fldCharType="separate"/>
        </w:r>
        <w:r w:rsidR="0059460E" w:rsidRPr="0059460E">
          <w:rPr>
            <w:rFonts w:ascii="Times New Roman" w:hAnsi="Times New Roman" w:cs="Times New Roman"/>
            <w:sz w:val="24"/>
          </w:rPr>
          <w:t>(Brandon-Jones and Knoppen, 2018)</w:t>
        </w:r>
        <w:r w:rsidR="0059460E">
          <w:rPr>
            <w:rFonts w:ascii="Times New Roman" w:eastAsia="Calibri" w:hAnsi="Times New Roman" w:cs="Times New Roman"/>
            <w:noProof/>
            <w:color w:val="000000" w:themeColor="text1"/>
            <w:sz w:val="24"/>
            <w:lang w:val="en-GB"/>
          </w:rPr>
          <w:fldChar w:fldCharType="end"/>
        </w:r>
        <w:r w:rsidR="00641B32" w:rsidRPr="008C04EC">
          <w:rPr>
            <w:rFonts w:ascii="Times New Roman" w:eastAsia="Calibri" w:hAnsi="Times New Roman" w:cs="Times New Roman"/>
            <w:noProof/>
            <w:color w:val="000000" w:themeColor="text1"/>
            <w:sz w:val="24"/>
            <w:lang w:val="en-GB"/>
          </w:rPr>
          <w:t>2012</w:t>
        </w:r>
      </w:hyperlink>
      <w:r w:rsidR="00D30452" w:rsidRPr="008C04EC">
        <w:rPr>
          <w:rFonts w:ascii="Times New Roman" w:eastAsia="Calibri" w:hAnsi="Times New Roman" w:cs="Times New Roman"/>
          <w:noProof/>
          <w:color w:val="000000" w:themeColor="text1"/>
          <w:sz w:val="24"/>
          <w:lang w:val="en-GB"/>
        </w:rPr>
        <w:t xml:space="preserve">; </w:t>
      </w:r>
      <w:hyperlink w:anchor="_ENREF_96" w:tooltip="Wang, 2015 #833" w:history="1">
        <w:r w:rsidR="00641B32" w:rsidRPr="008C04EC">
          <w:rPr>
            <w:rFonts w:ascii="Times New Roman" w:eastAsia="Calibri" w:hAnsi="Times New Roman" w:cs="Times New Roman"/>
            <w:noProof/>
            <w:color w:val="000000" w:themeColor="text1"/>
            <w:sz w:val="24"/>
            <w:lang w:val="en-GB"/>
          </w:rPr>
          <w:t>Wang</w:t>
        </w:r>
        <w:r w:rsidR="00D84388">
          <w:rPr>
            <w:rFonts w:ascii="Times New Roman" w:eastAsia="Calibri" w:hAnsi="Times New Roman" w:cs="Times New Roman"/>
            <w:noProof/>
            <w:color w:val="000000" w:themeColor="text1"/>
            <w:sz w:val="24"/>
            <w:lang w:val="en-GB"/>
          </w:rPr>
          <w:t xml:space="preserve"> et al.</w:t>
        </w:r>
        <w:r w:rsidR="00641B32" w:rsidRPr="008C04EC">
          <w:rPr>
            <w:rFonts w:ascii="Times New Roman" w:eastAsia="Calibri" w:hAnsi="Times New Roman" w:cs="Times New Roman"/>
            <w:noProof/>
            <w:color w:val="000000" w:themeColor="text1"/>
            <w:sz w:val="24"/>
            <w:lang w:val="en-GB"/>
          </w:rPr>
          <w:t>, 2015</w:t>
        </w:r>
      </w:hyperlink>
      <w:r w:rsidR="00D30452" w:rsidRPr="008C04EC">
        <w:rPr>
          <w:rFonts w:ascii="Times New Roman" w:eastAsia="Calibri" w:hAnsi="Times New Roman" w:cs="Times New Roman"/>
          <w:noProof/>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Details of the scales for each component of DSCCs are as follows: </w:t>
      </w:r>
    </w:p>
    <w:p w14:paraId="1CD9ECD8" w14:textId="6310BB98" w:rsidR="005249CB" w:rsidRPr="008C04EC" w:rsidRDefault="005249CB" w:rsidP="005249CB">
      <w:pPr>
        <w:pStyle w:val="ListParagraph"/>
        <w:numPr>
          <w:ilvl w:val="0"/>
          <w:numId w:val="2"/>
        </w:numPr>
        <w:spacing w:after="0" w:line="480" w:lineRule="auto"/>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b/>
          <w:i/>
          <w:color w:val="000000" w:themeColor="text1"/>
          <w:sz w:val="24"/>
          <w:szCs w:val="24"/>
          <w:lang w:val="en-GB"/>
        </w:rPr>
        <w:t>Market Sensing Capability (MSC):</w:t>
      </w:r>
      <w:r w:rsidRPr="008C04EC">
        <w:rPr>
          <w:rFonts w:ascii="Times New Roman" w:eastAsia="Calibri" w:hAnsi="Times New Roman" w:cs="Times New Roman"/>
          <w:color w:val="000000" w:themeColor="text1"/>
          <w:sz w:val="24"/>
          <w:szCs w:val="24"/>
          <w:lang w:val="en-GB"/>
        </w:rPr>
        <w:t xml:space="preserve"> The MSC scale is adopted from Morgan et al.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ExcludeAuth="1"&gt;&lt;Author&gt;Morgan&lt;/Author&gt;&lt;Year&gt;2009&lt;/Year&gt;&lt;RecNum&gt;104&lt;/RecNum&gt;&lt;DisplayText&gt;(2009)&lt;/DisplayText&gt;&lt;record&gt;&lt;rec-number&gt;104&lt;/rec-number&gt;&lt;foreign-keys&gt;&lt;key app="EN" db-id="seavxzzzfrf2p7eddfnxx5ep2ar05z0ddwx9"&gt;104&lt;/key&gt;&lt;/foreign-keys&gt;&lt;ref-type name="Journal Article"&gt;17&lt;/ref-type&gt;&lt;contributors&gt;&lt;authors&gt;&lt;author&gt;Neil Morgan&lt;/author&gt;&lt;author&gt;Douglas Vorhies&lt;/author&gt;&lt;author&gt;Charlotte Mason&lt;/author&gt;&lt;/authors&gt;&lt;/contributors&gt;&lt;titles&gt;&lt;title&gt;Market orientation, marketing capabilities, and firm performance&lt;/title&gt;&lt;secondary-title&gt;Strategic Management Journal&lt;/secondary-title&gt;&lt;/titles&gt;&lt;periodical&gt;&lt;full-title&gt;Strategic Management Journal&lt;/full-title&gt;&lt;/periodical&gt;&lt;pages&gt;909-920&lt;/pages&gt;&lt;volume&gt;30&lt;/volume&gt;&lt;number&gt;8&lt;/number&gt;&lt;dates&gt;&lt;year&gt;2009&lt;/year&gt;&lt;/dates&gt;&lt;publisher&gt;Wiley Online Library&lt;/publisher&gt;&lt;isbn&gt;1097-0266&lt;/isbn&gt;&lt;urls&gt;&lt;/urls&gt;&lt;/record&gt;&lt;/Cite&gt;&lt;/EndNote&gt;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69" w:tooltip="Morgan, 2009 #104" w:history="1">
        <w:r w:rsidR="00641B32" w:rsidRPr="008C04EC">
          <w:rPr>
            <w:rFonts w:ascii="Times New Roman" w:eastAsia="Calibri" w:hAnsi="Times New Roman" w:cs="Times New Roman"/>
            <w:color w:val="000000" w:themeColor="text1"/>
            <w:sz w:val="24"/>
            <w:szCs w:val="24"/>
            <w:lang w:val="en-GB"/>
          </w:rPr>
          <w:t>2009</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and consists of five items measured on a scale of 1 (strongly disagree) to 7 (strongly agree). The scale elicited data on the efforts of the firm aimed at learning about customer needs, competitor strategies, distribution channels, market trends, and the broader market environment. </w:t>
      </w:r>
      <w:r w:rsidR="00E21AA7" w:rsidRPr="008C04EC">
        <w:rPr>
          <w:rFonts w:ascii="Times New Roman" w:hAnsi="Times New Roman" w:cs="Times New Roman"/>
          <w:color w:val="000000" w:themeColor="text1"/>
          <w:sz w:val="24"/>
          <w:szCs w:val="24"/>
        </w:rPr>
        <w:t>The scale was selected because it elicited data on the efforts of the firm aimed at learning about customer needs, competitor strategies, distribution channels, market trends, and the broader market environment</w:t>
      </w:r>
      <w:r w:rsidR="007963B4" w:rsidRPr="008C04EC">
        <w:rPr>
          <w:rFonts w:ascii="Times New Roman" w:hAnsi="Times New Roman" w:cs="Times New Roman"/>
          <w:color w:val="000000" w:themeColor="text1"/>
          <w:sz w:val="24"/>
          <w:szCs w:val="24"/>
        </w:rPr>
        <w:t xml:space="preserve"> </w:t>
      </w:r>
      <w:r w:rsidR="007963B4" w:rsidRPr="008C04EC">
        <w:rPr>
          <w:rFonts w:ascii="Times New Roman" w:hAnsi="Times New Roman" w:cs="Times New Roman"/>
          <w:color w:val="000000" w:themeColor="text1"/>
          <w:sz w:val="24"/>
          <w:szCs w:val="24"/>
        </w:rPr>
        <w:fldChar w:fldCharType="begin"/>
      </w:r>
      <w:r w:rsidR="007963B4" w:rsidRPr="008C04EC">
        <w:rPr>
          <w:rFonts w:ascii="Times New Roman" w:hAnsi="Times New Roman" w:cs="Times New Roman"/>
          <w:color w:val="000000" w:themeColor="text1"/>
          <w:sz w:val="24"/>
          <w:szCs w:val="24"/>
        </w:rPr>
        <w:instrText xml:space="preserve"> ADDIN EN.CITE &lt;EndNote&gt;&lt;Cite&gt;&lt;Author&gt;Day&lt;/Author&gt;&lt;Year&gt;1994&lt;/Year&gt;&lt;RecNum&gt;467&lt;/RecNum&gt;&lt;DisplayText&gt;(Day, 1994; Teece, 2007)&lt;/DisplayText&gt;&lt;record&gt;&lt;rec-number&gt;467&lt;/rec-number&gt;&lt;foreign-keys&gt;&lt;key app="EN" db-id="seavxzzzfrf2p7eddfnxx5ep2ar05z0ddwx9"&gt;467&lt;/key&gt;&lt;/foreign-keys&gt;&lt;ref-type name="Journal Article"&gt;17&lt;/ref-type&gt;&lt;contributors&gt;&lt;authors&gt;&lt;author&gt;Day, George S&lt;/author&gt;&lt;/authors&gt;&lt;/contributors&gt;&lt;titles&gt;&lt;title&gt;The capabilities of market-driven organizations&lt;/title&gt;&lt;secondary-title&gt;The Journal of Marketing&lt;/secondary-title&gt;&lt;/titles&gt;&lt;periodical&gt;&lt;full-title&gt;The Journal of Marketing&lt;/full-title&gt;&lt;/periodical&gt;&lt;pages&gt;37-52&lt;/pages&gt;&lt;dates&gt;&lt;year&gt;1994&lt;/year&gt;&lt;/dates&gt;&lt;publisher&gt;JSTOR&lt;/publisher&gt;&lt;isbn&gt;0022-2429&lt;/isbn&gt;&lt;urls&gt;&lt;/urls&gt;&lt;/record&gt;&lt;/Cite&gt;&lt;Cite&gt;&lt;Author&gt;Teece&lt;/Author&gt;&lt;Year&gt;2007&lt;/Year&gt;&lt;RecNum&gt;24&lt;/RecNum&gt;&lt;record&gt;&lt;rec-number&gt;24&lt;/rec-number&gt;&lt;foreign-keys&gt;&lt;key app="EN" db-id="seavxzzzfrf2p7eddfnxx5ep2ar05z0ddwx9"&gt;24&lt;/key&gt;&lt;/foreign-keys&gt;&lt;ref-type name="Journal Article"&gt;17&lt;/ref-type&gt;&lt;contributors&gt;&lt;authors&gt;&lt;author&gt;Teece, David J&lt;/author&gt;&lt;/authors&gt;&lt;/contributors&gt;&lt;titles&gt;&lt;title&gt;Explicating dynamic capabilities: the nature and microfoundations of (sustainable) enterprise performance&lt;/title&gt;&lt;secondary-title&gt;Strategic Management Journal&lt;/secondary-title&gt;&lt;/titles&gt;&lt;periodical&gt;&lt;full-title&gt;Strategic Management Journal&lt;/full-title&gt;&lt;/periodical&gt;&lt;pages&gt;1319-1350&lt;/pages&gt;&lt;volume&gt;28&lt;/volume&gt;&lt;number&gt;13&lt;/number&gt;&lt;dates&gt;&lt;year&gt;2007&lt;/year&gt;&lt;/dates&gt;&lt;publisher&gt;Wiley Online Library&lt;/publisher&gt;&lt;isbn&gt;1097-0266&lt;/isbn&gt;&lt;urls&gt;&lt;/urls&gt;&lt;/record&gt;&lt;/Cite&gt;&lt;/EndNote&gt;</w:instrText>
      </w:r>
      <w:r w:rsidR="007963B4" w:rsidRPr="008C04EC">
        <w:rPr>
          <w:rFonts w:ascii="Times New Roman" w:hAnsi="Times New Roman" w:cs="Times New Roman"/>
          <w:color w:val="000000" w:themeColor="text1"/>
          <w:sz w:val="24"/>
          <w:szCs w:val="24"/>
        </w:rPr>
        <w:fldChar w:fldCharType="separate"/>
      </w:r>
      <w:r w:rsidR="007963B4" w:rsidRPr="008C04EC">
        <w:rPr>
          <w:rFonts w:ascii="Times New Roman" w:hAnsi="Times New Roman" w:cs="Times New Roman"/>
          <w:noProof/>
          <w:color w:val="000000" w:themeColor="text1"/>
          <w:sz w:val="24"/>
          <w:szCs w:val="24"/>
        </w:rPr>
        <w:t>(</w:t>
      </w:r>
      <w:hyperlink w:anchor="_ENREF_21" w:tooltip="Day, 1994 #467" w:history="1">
        <w:r w:rsidR="00641B32" w:rsidRPr="008C04EC">
          <w:rPr>
            <w:rFonts w:ascii="Times New Roman" w:hAnsi="Times New Roman" w:cs="Times New Roman"/>
            <w:noProof/>
            <w:color w:val="000000" w:themeColor="text1"/>
            <w:sz w:val="24"/>
            <w:szCs w:val="24"/>
          </w:rPr>
          <w:t>Day, 1994</w:t>
        </w:r>
      </w:hyperlink>
      <w:r w:rsidR="007963B4" w:rsidRPr="008C04EC">
        <w:rPr>
          <w:rFonts w:ascii="Times New Roman" w:hAnsi="Times New Roman" w:cs="Times New Roman"/>
          <w:noProof/>
          <w:color w:val="000000" w:themeColor="text1"/>
          <w:sz w:val="24"/>
          <w:szCs w:val="24"/>
        </w:rPr>
        <w:t xml:space="preserve">; </w:t>
      </w:r>
      <w:hyperlink w:anchor="_ENREF_91" w:tooltip="Teece, 2007 #24" w:history="1">
        <w:r w:rsidR="00641B32" w:rsidRPr="008C04EC">
          <w:rPr>
            <w:rFonts w:ascii="Times New Roman" w:hAnsi="Times New Roman" w:cs="Times New Roman"/>
            <w:noProof/>
            <w:color w:val="000000" w:themeColor="text1"/>
            <w:sz w:val="24"/>
            <w:szCs w:val="24"/>
          </w:rPr>
          <w:t>Teece, 2007</w:t>
        </w:r>
      </w:hyperlink>
      <w:r w:rsidR="007963B4" w:rsidRPr="008C04EC">
        <w:rPr>
          <w:rFonts w:ascii="Times New Roman" w:hAnsi="Times New Roman" w:cs="Times New Roman"/>
          <w:noProof/>
          <w:color w:val="000000" w:themeColor="text1"/>
          <w:sz w:val="24"/>
          <w:szCs w:val="24"/>
        </w:rPr>
        <w:t>)</w:t>
      </w:r>
      <w:r w:rsidR="007963B4" w:rsidRPr="008C04EC">
        <w:rPr>
          <w:rFonts w:ascii="Times New Roman" w:hAnsi="Times New Roman" w:cs="Times New Roman"/>
          <w:color w:val="000000" w:themeColor="text1"/>
          <w:sz w:val="24"/>
          <w:szCs w:val="24"/>
        </w:rPr>
        <w:fldChar w:fldCharType="end"/>
      </w:r>
      <w:r w:rsidR="00E21AA7" w:rsidRPr="008C04EC">
        <w:rPr>
          <w:rFonts w:ascii="Times New Roman" w:hAnsi="Times New Roman" w:cs="Times New Roman"/>
          <w:color w:val="000000" w:themeColor="text1"/>
          <w:sz w:val="24"/>
          <w:szCs w:val="24"/>
        </w:rPr>
        <w:t>.</w:t>
      </w:r>
    </w:p>
    <w:p w14:paraId="6F5FCE9E" w14:textId="6CEDB30B" w:rsidR="005249CB" w:rsidRPr="008C04EC" w:rsidRDefault="005249CB" w:rsidP="005249CB">
      <w:pPr>
        <w:pStyle w:val="ListParagraph"/>
        <w:numPr>
          <w:ilvl w:val="0"/>
          <w:numId w:val="2"/>
        </w:numPr>
        <w:spacing w:after="0" w:line="480" w:lineRule="auto"/>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b/>
          <w:i/>
          <w:color w:val="000000" w:themeColor="text1"/>
          <w:sz w:val="24"/>
          <w:szCs w:val="24"/>
          <w:lang w:val="en-GB"/>
        </w:rPr>
        <w:t xml:space="preserve">Supply Chain Agility (SAG): </w:t>
      </w:r>
      <w:r w:rsidRPr="008C04EC">
        <w:rPr>
          <w:rFonts w:ascii="Times New Roman" w:eastAsia="Calibri" w:hAnsi="Times New Roman" w:cs="Times New Roman"/>
          <w:color w:val="000000" w:themeColor="text1"/>
          <w:sz w:val="24"/>
          <w:szCs w:val="24"/>
          <w:lang w:val="en-GB"/>
        </w:rPr>
        <w:t xml:space="preserve">The SAG scale is based on the study by Blome et al.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ExcludeAuth="1"&gt;&lt;Author&gt;Blome&lt;/Author&gt;&lt;Year&gt;2013&lt;/Year&gt;&lt;RecNum&gt;402&lt;/RecNum&gt;&lt;DisplayText&gt;(2013)&lt;/DisplayText&gt;&lt;record&gt;&lt;rec-number&gt;402&lt;/rec-number&gt;&lt;foreign-keys&gt;&lt;key app="EN" db-id="seavxzzzfrf2p7eddfnxx5ep2ar05z0ddwx9"&gt;402&lt;/key&gt;&lt;/foreign-keys&gt;&lt;ref-type name="Journal Article"&gt;17&lt;/ref-type&gt;&lt;contributors&gt;&lt;authors&gt;&lt;author&gt;Blome, Constantin&lt;/author&gt;&lt;author&gt;Schoenherr, Tobias&lt;/author&gt;&lt;author&gt;Rexhausen, Daniel&lt;/author&gt;&lt;/authors&gt;&lt;/contributors&gt;&lt;titles&gt;&lt;title&gt;Antecedents and enablers of supply chain agility and its effect on performance: a dynamic capabilities perspective&lt;/title&gt;&lt;secondary-title&gt;International Journal of Production Research&lt;/secondary-title&gt;&lt;/titles&gt;&lt;periodical&gt;&lt;full-title&gt;International Journal of Production Research&lt;/full-title&gt;&lt;/periodical&gt;&lt;pages&gt;1295-1318&lt;/pages&gt;&lt;volume&gt;51&lt;/volume&gt;&lt;number&gt;4&lt;/number&gt;&lt;dates&gt;&lt;year&gt;2013&lt;/year&gt;&lt;/dates&gt;&lt;publisher&gt;Taylor &amp;amp; Francis&lt;/publisher&gt;&lt;isbn&gt;0020-7543&lt;/isbn&gt;&lt;urls&gt;&lt;/urls&gt;&lt;/record&gt;&lt;/Cite&gt;&lt;/EndNote&gt;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12" w:tooltip="Blome, 2013 #402" w:history="1">
        <w:r w:rsidR="00641B32" w:rsidRPr="008C04EC">
          <w:rPr>
            <w:rFonts w:ascii="Times New Roman" w:eastAsia="Calibri" w:hAnsi="Times New Roman" w:cs="Times New Roman"/>
            <w:color w:val="000000" w:themeColor="text1"/>
            <w:sz w:val="24"/>
            <w:szCs w:val="24"/>
            <w:lang w:val="en-GB"/>
          </w:rPr>
          <w:t>2013</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It consisted of five items</w:t>
      </w:r>
      <w:r w:rsidR="00807627" w:rsidRPr="008C04EC">
        <w:rPr>
          <w:rFonts w:ascii="Times New Roman" w:eastAsia="Calibri" w:hAnsi="Times New Roman" w:cs="Times New Roman"/>
          <w:color w:val="000000" w:themeColor="text1"/>
          <w:sz w:val="24"/>
          <w:szCs w:val="24"/>
          <w:lang w:val="en-GB"/>
        </w:rPr>
        <w:t xml:space="preserve"> measured on a scale of 1 (strongly disagree) to 7 (strongly agree). </w:t>
      </w:r>
      <w:r w:rsidR="004765E3" w:rsidRPr="008C04EC">
        <w:rPr>
          <w:rFonts w:ascii="Times New Roman" w:eastAsia="Calibri" w:hAnsi="Times New Roman" w:cs="Times New Roman"/>
          <w:color w:val="000000" w:themeColor="text1"/>
          <w:sz w:val="24"/>
          <w:szCs w:val="24"/>
          <w:lang w:val="en-GB"/>
        </w:rPr>
        <w:t>In line with the research in area of SAG</w:t>
      </w:r>
      <w:r w:rsidR="008915AF" w:rsidRPr="008C04EC">
        <w:rPr>
          <w:rFonts w:ascii="Times New Roman" w:eastAsia="Calibri" w:hAnsi="Times New Roman" w:cs="Times New Roman"/>
          <w:color w:val="000000" w:themeColor="text1"/>
          <w:sz w:val="24"/>
          <w:szCs w:val="24"/>
          <w:lang w:val="en-GB"/>
        </w:rPr>
        <w:t xml:space="preserve"> </w:t>
      </w:r>
      <w:r w:rsidR="008915AF" w:rsidRPr="008C04EC">
        <w:rPr>
          <w:rFonts w:ascii="Times New Roman" w:eastAsia="Calibri" w:hAnsi="Times New Roman" w:cs="Times New Roman"/>
          <w:color w:val="000000" w:themeColor="text1"/>
          <w:sz w:val="24"/>
          <w:szCs w:val="24"/>
          <w:lang w:val="en-GB"/>
        </w:rPr>
        <w:fldChar w:fldCharType="begin">
          <w:fldData xml:space="preserve">PEVuZE5vdGU+PENpdGU+PEF1dGhvcj5BbC1TaGJvdWw8L0F1dGhvcj48WWVhcj4yMDE3PC9ZZWFy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</w:fldData>
        </w:fldChar>
      </w:r>
      <w:r w:rsidR="009D4B53" w:rsidRPr="008C04EC">
        <w:rPr>
          <w:rFonts w:ascii="Times New Roman" w:eastAsia="Calibri" w:hAnsi="Times New Roman" w:cs="Times New Roman"/>
          <w:color w:val="000000" w:themeColor="text1"/>
          <w:sz w:val="24"/>
          <w:szCs w:val="24"/>
          <w:lang w:val="en-GB"/>
        </w:rPr>
        <w:instrText xml:space="preserve"> ADDIN EN.CITE </w:instrText>
      </w:r>
      <w:r w:rsidR="009D4B53" w:rsidRPr="008C04EC">
        <w:rPr>
          <w:rFonts w:ascii="Times New Roman" w:eastAsia="Calibri" w:hAnsi="Times New Roman" w:cs="Times New Roman"/>
          <w:color w:val="000000" w:themeColor="text1"/>
          <w:sz w:val="24"/>
          <w:szCs w:val="24"/>
          <w:lang w:val="en-GB"/>
        </w:rPr>
        <w:fldChar w:fldCharType="begin">
          <w:fldData xml:space="preserve">PEVuZE5vdGU+PENpdGU+PEF1dGhvcj5BbC1TaGJvdWw8L0F1dGhvcj48WWVhcj4yMDE3PC9ZZWFy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</w:fldData>
        </w:fldChar>
      </w:r>
      <w:r w:rsidR="009D4B53" w:rsidRPr="008C04EC">
        <w:rPr>
          <w:rFonts w:ascii="Times New Roman" w:eastAsia="Calibri" w:hAnsi="Times New Roman" w:cs="Times New Roman"/>
          <w:color w:val="000000" w:themeColor="text1"/>
          <w:sz w:val="24"/>
          <w:szCs w:val="24"/>
          <w:lang w:val="en-GB"/>
        </w:rPr>
        <w:instrText xml:space="preserve"> ADDIN EN.CITE.DATA </w:instrText>
      </w:r>
      <w:r w:rsidR="009D4B53" w:rsidRPr="008C04EC">
        <w:rPr>
          <w:rFonts w:ascii="Times New Roman" w:eastAsia="Calibri" w:hAnsi="Times New Roman" w:cs="Times New Roman"/>
          <w:color w:val="000000" w:themeColor="text1"/>
          <w:sz w:val="24"/>
          <w:szCs w:val="24"/>
          <w:lang w:val="en-GB"/>
        </w:rPr>
      </w:r>
      <w:r w:rsidR="009D4B53" w:rsidRPr="008C04EC">
        <w:rPr>
          <w:rFonts w:ascii="Times New Roman" w:eastAsia="Calibri" w:hAnsi="Times New Roman" w:cs="Times New Roman"/>
          <w:color w:val="000000" w:themeColor="text1"/>
          <w:sz w:val="24"/>
          <w:szCs w:val="24"/>
          <w:lang w:val="en-GB"/>
        </w:rPr>
        <w:fldChar w:fldCharType="end"/>
      </w:r>
      <w:r w:rsidR="008915AF" w:rsidRPr="008C04EC">
        <w:rPr>
          <w:rFonts w:ascii="Times New Roman" w:eastAsia="Calibri" w:hAnsi="Times New Roman" w:cs="Times New Roman"/>
          <w:color w:val="000000" w:themeColor="text1"/>
          <w:sz w:val="24"/>
          <w:szCs w:val="24"/>
          <w:lang w:val="en-GB"/>
        </w:rPr>
      </w:r>
      <w:r w:rsidR="008915AF" w:rsidRPr="008C04EC">
        <w:rPr>
          <w:rFonts w:ascii="Times New Roman" w:eastAsia="Calibri" w:hAnsi="Times New Roman" w:cs="Times New Roman"/>
          <w:color w:val="000000" w:themeColor="text1"/>
          <w:sz w:val="24"/>
          <w:szCs w:val="24"/>
          <w:lang w:val="en-GB"/>
        </w:rPr>
        <w:fldChar w:fldCharType="separate"/>
      </w:r>
      <w:r w:rsidR="009D4B53" w:rsidRPr="008C04EC">
        <w:rPr>
          <w:rFonts w:ascii="Times New Roman" w:eastAsia="Calibri" w:hAnsi="Times New Roman" w:cs="Times New Roman"/>
          <w:noProof/>
          <w:color w:val="000000" w:themeColor="text1"/>
          <w:sz w:val="24"/>
          <w:szCs w:val="24"/>
          <w:lang w:val="en-GB"/>
        </w:rPr>
        <w:t>(</w:t>
      </w:r>
      <w:hyperlink w:anchor="_ENREF_2" w:tooltip="Al-Shboul, 2017 #1233" w:history="1">
        <w:r w:rsidR="00641B32" w:rsidRPr="008C04EC">
          <w:rPr>
            <w:rFonts w:ascii="Times New Roman" w:eastAsia="Calibri" w:hAnsi="Times New Roman" w:cs="Times New Roman"/>
            <w:noProof/>
            <w:color w:val="000000" w:themeColor="text1"/>
            <w:sz w:val="24"/>
            <w:szCs w:val="24"/>
            <w:lang w:val="en-GB"/>
          </w:rPr>
          <w:t>Al-Shboul, 2017</w:t>
        </w:r>
      </w:hyperlink>
      <w:r w:rsidR="009D4B53" w:rsidRPr="008C04EC">
        <w:rPr>
          <w:rFonts w:ascii="Times New Roman" w:eastAsia="Calibri" w:hAnsi="Times New Roman" w:cs="Times New Roman"/>
          <w:noProof/>
          <w:color w:val="000000" w:themeColor="text1"/>
          <w:sz w:val="24"/>
          <w:szCs w:val="24"/>
          <w:lang w:val="en-GB"/>
        </w:rPr>
        <w:t xml:space="preserve">; </w:t>
      </w:r>
      <w:hyperlink w:anchor="_ENREF_26" w:tooltip="Dubey, 2018 #1099" w:history="1">
        <w:r w:rsidR="00641B32" w:rsidRPr="008C04EC">
          <w:rPr>
            <w:rFonts w:ascii="Times New Roman" w:eastAsia="Calibri" w:hAnsi="Times New Roman" w:cs="Times New Roman"/>
            <w:noProof/>
            <w:color w:val="000000" w:themeColor="text1"/>
            <w:sz w:val="24"/>
            <w:szCs w:val="24"/>
            <w:lang w:val="en-GB"/>
          </w:rPr>
          <w:t>Dubey et al., 2018</w:t>
        </w:r>
      </w:hyperlink>
      <w:r w:rsidR="009D4B53" w:rsidRPr="008C04EC">
        <w:rPr>
          <w:rFonts w:ascii="Times New Roman" w:eastAsia="Calibri" w:hAnsi="Times New Roman" w:cs="Times New Roman"/>
          <w:noProof/>
          <w:color w:val="000000" w:themeColor="text1"/>
          <w:sz w:val="24"/>
          <w:szCs w:val="24"/>
          <w:lang w:val="en-GB"/>
        </w:rPr>
        <w:t xml:space="preserve">; </w:t>
      </w:r>
      <w:hyperlink w:anchor="_ENREF_75" w:tooltip="Qrunfleh, 2013 #405" w:history="1">
        <w:r w:rsidR="00641B32" w:rsidRPr="008C04EC">
          <w:rPr>
            <w:rFonts w:ascii="Times New Roman" w:eastAsia="Calibri" w:hAnsi="Times New Roman" w:cs="Times New Roman"/>
            <w:noProof/>
            <w:color w:val="000000" w:themeColor="text1"/>
            <w:sz w:val="24"/>
            <w:szCs w:val="24"/>
            <w:lang w:val="en-GB"/>
          </w:rPr>
          <w:t>Qrunfleh &amp; Tarafdar, 2013</w:t>
        </w:r>
      </w:hyperlink>
      <w:r w:rsidR="000A1726">
        <w:rPr>
          <w:rFonts w:ascii="Times New Roman" w:eastAsia="Calibri" w:hAnsi="Times New Roman" w:cs="Times New Roman"/>
          <w:noProof/>
          <w:color w:val="000000" w:themeColor="text1"/>
          <w:sz w:val="24"/>
          <w:szCs w:val="24"/>
          <w:lang w:val="en-GB"/>
        </w:rPr>
        <w:t xml:space="preserve">; </w:t>
      </w:r>
      <w:r w:rsidR="000A1726">
        <w:rPr>
          <w:rFonts w:ascii="Times New Roman" w:eastAsia="Calibri" w:hAnsi="Times New Roman" w:cs="Times New Roman"/>
          <w:noProof/>
          <w:color w:val="000000" w:themeColor="text1"/>
          <w:sz w:val="24"/>
          <w:szCs w:val="24"/>
          <w:lang w:val="en-GB"/>
        </w:rPr>
        <w:fldChar w:fldCharType="begin"/>
      </w:r>
      <w:r w:rsidR="000A1726">
        <w:rPr>
          <w:rFonts w:ascii="Times New Roman" w:eastAsia="Calibri" w:hAnsi="Times New Roman" w:cs="Times New Roman"/>
          <w:noProof/>
          <w:color w:val="000000" w:themeColor="text1"/>
          <w:sz w:val="24"/>
          <w:szCs w:val="24"/>
          <w:lang w:val="en-GB"/>
        </w:rPr>
        <w:instrText xml:space="preserve"> ADDIN ZOTERO_ITEM CSL_CITATION {"citationID":"0Phe1iJb","properties":{"formattedCitation":"(Fosso Wamba and Akter, 2019)","plainCitation":"(Fosso Wamba and Akter, 2019)","noteIndex":0},"citationItems":[{"id":4645,"uris":["http://zotero.org/users/3209486/items/LHBAZ63A"],"uri":["http://zotero.org/users/3209486/items/LHBAZ63A"],"itemData":{"id":4645,"type":"article-journal","title":"Understanding supply chain analytics capabilities and agility for data-rich environments","container-title":"International Journal of Operations and Production Management","page":"887-912","volume":"39","issue":"6/7/8","author":[{"family":"Fosso Wamba","given":"Samuel"},{"family":"Akter","given":"Shahriar"}],"issued":{"date-parts":[["2019",12]]}}}],"schema":"https://github.com/citation-style-language/schema/raw/master/csl-citation.json"} </w:instrText>
      </w:r>
      <w:r w:rsidR="000A1726">
        <w:rPr>
          <w:rFonts w:ascii="Times New Roman" w:eastAsia="Calibri" w:hAnsi="Times New Roman" w:cs="Times New Roman"/>
          <w:noProof/>
          <w:color w:val="000000" w:themeColor="text1"/>
          <w:sz w:val="24"/>
          <w:szCs w:val="24"/>
          <w:lang w:val="en-GB"/>
        </w:rPr>
        <w:fldChar w:fldCharType="separate"/>
      </w:r>
      <w:r w:rsidR="000A1726" w:rsidRPr="000A1726">
        <w:rPr>
          <w:rFonts w:ascii="Times New Roman" w:hAnsi="Times New Roman" w:cs="Times New Roman"/>
          <w:sz w:val="24"/>
        </w:rPr>
        <w:t>Fosso Wamba and Akter, 2019)</w:t>
      </w:r>
      <w:r w:rsidR="000A1726">
        <w:rPr>
          <w:rFonts w:ascii="Times New Roman" w:eastAsia="Calibri" w:hAnsi="Times New Roman" w:cs="Times New Roman"/>
          <w:noProof/>
          <w:color w:val="000000" w:themeColor="text1"/>
          <w:sz w:val="24"/>
          <w:szCs w:val="24"/>
          <w:lang w:val="en-GB"/>
        </w:rPr>
        <w:fldChar w:fldCharType="end"/>
      </w:r>
      <w:r w:rsidR="008915AF" w:rsidRPr="008C04EC">
        <w:rPr>
          <w:rFonts w:ascii="Times New Roman" w:eastAsia="Calibri" w:hAnsi="Times New Roman" w:cs="Times New Roman"/>
          <w:color w:val="000000" w:themeColor="text1"/>
          <w:sz w:val="24"/>
          <w:szCs w:val="24"/>
          <w:lang w:val="en-GB"/>
        </w:rPr>
        <w:fldChar w:fldCharType="end"/>
      </w:r>
      <w:r w:rsidR="004765E3" w:rsidRPr="008C04EC">
        <w:rPr>
          <w:rFonts w:ascii="Times New Roman" w:eastAsia="Calibri" w:hAnsi="Times New Roman" w:cs="Times New Roman"/>
          <w:color w:val="000000" w:themeColor="text1"/>
          <w:sz w:val="24"/>
          <w:szCs w:val="24"/>
          <w:lang w:val="en-GB"/>
        </w:rPr>
        <w:t xml:space="preserve"> t</w:t>
      </w:r>
      <w:r w:rsidR="00807627" w:rsidRPr="008C04EC">
        <w:rPr>
          <w:rFonts w:ascii="Times New Roman" w:eastAsia="Calibri" w:hAnsi="Times New Roman" w:cs="Times New Roman"/>
          <w:color w:val="000000" w:themeColor="text1"/>
          <w:sz w:val="24"/>
          <w:szCs w:val="24"/>
          <w:lang w:val="en-GB"/>
        </w:rPr>
        <w:t xml:space="preserve">he items </w:t>
      </w:r>
      <w:r w:rsidR="004765E3" w:rsidRPr="008C04EC">
        <w:rPr>
          <w:rFonts w:ascii="Times New Roman" w:eastAsia="Calibri" w:hAnsi="Times New Roman" w:cs="Times New Roman"/>
          <w:color w:val="000000" w:themeColor="text1"/>
          <w:sz w:val="24"/>
          <w:szCs w:val="24"/>
          <w:lang w:val="en-GB"/>
        </w:rPr>
        <w:t>of this scale measure</w:t>
      </w:r>
      <w:r w:rsidR="00807627" w:rsidRPr="008C04EC">
        <w:rPr>
          <w:rFonts w:ascii="Times New Roman" w:eastAsia="Calibri" w:hAnsi="Times New Roman" w:cs="Times New Roman"/>
          <w:color w:val="000000" w:themeColor="text1"/>
          <w:sz w:val="24"/>
          <w:szCs w:val="24"/>
          <w:lang w:val="en-GB"/>
        </w:rPr>
        <w:t xml:space="preserve"> the ability </w:t>
      </w:r>
      <w:r w:rsidR="004765E3" w:rsidRPr="008C04EC">
        <w:rPr>
          <w:rFonts w:ascii="Times New Roman" w:eastAsia="Calibri" w:hAnsi="Times New Roman" w:cs="Times New Roman"/>
          <w:color w:val="000000" w:themeColor="text1"/>
          <w:sz w:val="24"/>
          <w:szCs w:val="24"/>
          <w:lang w:val="en-GB"/>
        </w:rPr>
        <w:t xml:space="preserve">of </w:t>
      </w:r>
      <w:r w:rsidRPr="008C04EC">
        <w:rPr>
          <w:rFonts w:ascii="Times New Roman" w:eastAsia="Calibri" w:hAnsi="Times New Roman" w:cs="Times New Roman"/>
          <w:color w:val="000000" w:themeColor="text1"/>
          <w:sz w:val="24"/>
          <w:szCs w:val="24"/>
          <w:lang w:val="en-GB"/>
        </w:rPr>
        <w:t>the firm to handle demand-side and supply-side changes in a timely manner</w:t>
      </w:r>
      <w:r w:rsidR="004765E3"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t xml:space="preserve"> </w:t>
      </w:r>
    </w:p>
    <w:p w14:paraId="49866D6C" w14:textId="56FE206C" w:rsidR="005249CB" w:rsidRPr="008C04EC" w:rsidRDefault="005249CB" w:rsidP="005249CB">
      <w:pPr>
        <w:pStyle w:val="ListParagraph"/>
        <w:numPr>
          <w:ilvl w:val="0"/>
          <w:numId w:val="2"/>
        </w:numPr>
        <w:spacing w:after="0" w:line="480" w:lineRule="auto"/>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b/>
          <w:i/>
          <w:color w:val="000000" w:themeColor="text1"/>
          <w:sz w:val="24"/>
          <w:szCs w:val="24"/>
          <w:lang w:val="en-GB"/>
        </w:rPr>
        <w:t xml:space="preserve">Supply Chain Adaptability (SAD): </w:t>
      </w:r>
      <w:r w:rsidRPr="008C04EC">
        <w:rPr>
          <w:rFonts w:ascii="Times New Roman" w:eastAsia="Calibri" w:hAnsi="Times New Roman" w:cs="Times New Roman"/>
          <w:color w:val="000000" w:themeColor="text1"/>
          <w:sz w:val="24"/>
          <w:szCs w:val="24"/>
          <w:lang w:val="en-GB"/>
        </w:rPr>
        <w:t xml:space="preserve">The SAD scale is based on the supply chain adaptability construct from Lee’s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ExcludeAuth="1"&gt;&lt;Author&gt;Lee&lt;/Author&gt;&lt;Year&gt;2004&lt;/Year&gt;&lt;RecNum&gt;474&lt;/RecNum&gt;&lt;DisplayText&gt;(2004)&lt;/DisplayText&gt;&lt;record&gt;&lt;rec-number&gt;474&lt;/rec-number&gt;&lt;foreign-keys&gt;&lt;key app="EN" db-id="seavxzzzfrf2p7eddfnxx5ep2ar05z0ddwx9"&gt;474&lt;/key&gt;&lt;/foreign-keys&gt;&lt;ref-type name="Journal Article"&gt;17&lt;/ref-type&gt;&lt;contributors&gt;&lt;authors&gt;&lt;author&gt;Lee, Hau L&lt;/author&gt;&lt;/authors&gt;&lt;/contributors&gt;&lt;titles&gt;&lt;title&gt;The triple-A supply chain&lt;/title&gt;&lt;secondary-title&gt;Harvard Business Review&lt;/secondary-title&gt;&lt;/titles&gt;&lt;periodical&gt;&lt;full-title&gt;Harvard business review&lt;/full-title&gt;&lt;/periodical&gt;&lt;pages&gt;102-113&lt;/pages&gt;&lt;volume&gt;82&lt;/volume&gt;&lt;number&gt;10&lt;/number&gt;&lt;dates&gt;&lt;year&gt;2004&lt;/year&gt;&lt;/dates&gt;&lt;isbn&gt;0017-8012&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58" w:tooltip="Lee, 2004 #474" w:history="1">
        <w:r w:rsidR="00641B32" w:rsidRPr="008C04EC">
          <w:rPr>
            <w:rFonts w:ascii="Times New Roman" w:eastAsia="Calibri" w:hAnsi="Times New Roman" w:cs="Times New Roman"/>
            <w:color w:val="000000" w:themeColor="text1"/>
            <w:sz w:val="24"/>
            <w:szCs w:val="24"/>
            <w:lang w:val="en-GB"/>
          </w:rPr>
          <w:t>2004</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Triple-A supply chain. It consists of a five </w:t>
      </w:r>
      <w:r w:rsidRPr="008C04EC">
        <w:rPr>
          <w:rFonts w:ascii="Times New Roman" w:eastAsia="Calibri" w:hAnsi="Times New Roman" w:cs="Times New Roman"/>
          <w:color w:val="000000" w:themeColor="text1"/>
          <w:sz w:val="24"/>
          <w:szCs w:val="24"/>
          <w:lang w:val="en-GB"/>
        </w:rPr>
        <w:lastRenderedPageBreak/>
        <w:t xml:space="preserve">item scale developed in the Whitten et al.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ExcludeAuth="1"&gt;&lt;Author&gt;Whitten&lt;/Author&gt;&lt;Year&gt;2012&lt;/Year&gt;&lt;RecNum&gt;479&lt;/RecNum&gt;&lt;DisplayText&gt;(2012)&lt;/DisplayText&gt;&lt;record&gt;&lt;rec-number&gt;479&lt;/rec-number&gt;&lt;foreign-keys&gt;&lt;key app="EN" db-id="seavxzzzfrf2p7eddfnxx5ep2ar05z0ddwx9"&gt;479&lt;/key&gt;&lt;/foreign-keys&gt;&lt;ref-type name="Journal Article"&gt;17&lt;/ref-type&gt;&lt;contributors&gt;&lt;authors&gt;&lt;author&gt;Whitten, Dwayne&lt;/author&gt;&lt;author&gt;Green Jr, Kenneth W&lt;/author&gt;&lt;author&gt;Zelbst, Pamela J&lt;/author&gt;&lt;/authors&gt;&lt;/contributors&gt;&lt;titles&gt;&lt;title&gt;Triple-A supply chain performance&lt;/title&gt;&lt;secondary-title&gt;International Journal of Operations &amp;amp; Production Management&lt;/secondary-title&gt;&lt;/titles&gt;&lt;periodical&gt;&lt;full-title&gt;International Journal of Operations &amp;amp; Production Management&lt;/full-title&gt;&lt;/periodical&gt;&lt;pages&gt;28-48&lt;/pages&gt;&lt;volume&gt;32&lt;/volume&gt;&lt;number&gt;1&lt;/number&gt;&lt;dates&gt;&lt;year&gt;2012&lt;/year&gt;&lt;/dates&gt;&lt;publisher&gt;Emerald Group Publishing Limited&lt;/publisher&gt;&lt;isbn&gt;0144-3577&lt;/isbn&gt;&lt;urls&gt;&lt;/urls&gt;&lt;/record&gt;&lt;/Cite&gt;&lt;/EndNote&gt;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97" w:tooltip="Whitten, 2012 #479" w:history="1">
        <w:r w:rsidR="00641B32" w:rsidRPr="008C04EC">
          <w:rPr>
            <w:rFonts w:ascii="Times New Roman" w:eastAsia="Calibri" w:hAnsi="Times New Roman" w:cs="Times New Roman"/>
            <w:color w:val="000000" w:themeColor="text1"/>
            <w:sz w:val="24"/>
            <w:szCs w:val="24"/>
            <w:lang w:val="en-GB"/>
          </w:rPr>
          <w:t>2012</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study</w:t>
      </w:r>
      <w:r w:rsidR="00260080" w:rsidRPr="008C04EC">
        <w:rPr>
          <w:rFonts w:ascii="Times New Roman" w:eastAsia="Calibri" w:hAnsi="Times New Roman" w:cs="Times New Roman"/>
          <w:color w:val="000000" w:themeColor="text1"/>
          <w:sz w:val="24"/>
          <w:szCs w:val="24"/>
          <w:lang w:val="en-GB"/>
        </w:rPr>
        <w:t xml:space="preserve"> and further validated in </w:t>
      </w:r>
      <w:hyperlink w:anchor="_ENREF_8" w:tooltip="Aslam, 2018 #1211" w:history="1">
        <w:r w:rsidR="00641B32" w:rsidRPr="008C04EC">
          <w:rPr>
            <w:rFonts w:ascii="Times New Roman" w:eastAsia="Calibri" w:hAnsi="Times New Roman" w:cs="Times New Roman"/>
            <w:color w:val="000000" w:themeColor="text1"/>
            <w:sz w:val="24"/>
            <w:szCs w:val="24"/>
            <w:lang w:val="en-GB"/>
          </w:rPr>
          <w:fldChar w:fldCharType="begin"/>
        </w:r>
        <w:r w:rsidR="00641B32" w:rsidRPr="008C04EC">
          <w:rPr>
            <w:rFonts w:ascii="Times New Roman" w:eastAsia="Calibri" w:hAnsi="Times New Roman" w:cs="Times New Roman"/>
            <w:color w:val="000000" w:themeColor="text1"/>
            <w:sz w:val="24"/>
            <w:szCs w:val="24"/>
            <w:lang w:val="en-GB"/>
          </w:rPr>
          <w:instrText xml:space="preserve"> ADDIN EN.CITE &lt;EndNote&gt;&lt;Cite AuthorYear="1"&gt;&lt;Author&gt;Aslam&lt;/Author&gt;&lt;Year&gt;2018&lt;/Year&gt;&lt;RecNum&gt;1211&lt;/RecNum&gt;&lt;DisplayText&gt;Aslam et al. (2018)&lt;/DisplayText&gt;&lt;record&gt;&lt;rec-number&gt;1211&lt;/rec-number&gt;&lt;foreign-keys&gt;&lt;key app="EN" db-id="seavxzzzfrf2p7eddfnxx5ep2ar05z0ddwx9"&gt;1211&lt;/key&gt;&lt;/foreign-keys&gt;&lt;ref-type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sidR="00641B32" w:rsidRPr="008C04EC">
          <w:rPr>
            <w:rFonts w:ascii="Times New Roman" w:eastAsia="Calibri" w:hAnsi="Times New Roman" w:cs="Times New Roman"/>
            <w:color w:val="000000" w:themeColor="text1"/>
            <w:sz w:val="24"/>
            <w:szCs w:val="24"/>
            <w:lang w:val="en-GB"/>
          </w:rPr>
          <w:fldChar w:fldCharType="separate"/>
        </w:r>
        <w:r w:rsidR="00641B32" w:rsidRPr="008C04EC">
          <w:rPr>
            <w:rFonts w:ascii="Times New Roman" w:eastAsia="Calibri" w:hAnsi="Times New Roman" w:cs="Times New Roman"/>
            <w:noProof/>
            <w:color w:val="000000" w:themeColor="text1"/>
            <w:sz w:val="24"/>
            <w:szCs w:val="24"/>
            <w:lang w:val="en-GB"/>
          </w:rPr>
          <w:t>Aslam et al. (2018)</w:t>
        </w:r>
        <w:r w:rsidR="00641B32" w:rsidRPr="008C04EC">
          <w:rPr>
            <w:rFonts w:ascii="Times New Roman" w:eastAsia="Calibri" w:hAnsi="Times New Roman" w:cs="Times New Roman"/>
            <w:color w:val="000000" w:themeColor="text1"/>
            <w:sz w:val="24"/>
            <w:szCs w:val="24"/>
            <w:lang w:val="en-GB"/>
          </w:rPr>
          <w:fldChar w:fldCharType="end"/>
        </w:r>
      </w:hyperlink>
      <w:r w:rsidR="00260080" w:rsidRPr="008C04EC">
        <w:rPr>
          <w:rFonts w:ascii="Times New Roman" w:eastAsia="Calibri" w:hAnsi="Times New Roman" w:cs="Times New Roman"/>
          <w:color w:val="000000" w:themeColor="text1"/>
          <w:sz w:val="24"/>
          <w:szCs w:val="24"/>
          <w:lang w:val="en-GB"/>
        </w:rPr>
        <w:t xml:space="preserve"> and </w:t>
      </w:r>
      <w:hyperlink w:anchor="_ENREF_26" w:tooltip="Dubey, 2018 #1099" w:history="1">
        <w:r w:rsidR="00641B32" w:rsidRPr="008C04EC">
          <w:rPr>
            <w:rFonts w:ascii="Times New Roman" w:eastAsia="Calibri" w:hAnsi="Times New Roman" w:cs="Times New Roman"/>
            <w:color w:val="000000" w:themeColor="text1"/>
            <w:sz w:val="24"/>
            <w:szCs w:val="24"/>
            <w:lang w:val="en-GB"/>
          </w:rPr>
          <w:fldChar w:fldCharType="begin"/>
        </w:r>
        <w:r w:rsidR="00641B32" w:rsidRPr="008C04EC">
          <w:rPr>
            <w:rFonts w:ascii="Times New Roman" w:eastAsia="Calibri" w:hAnsi="Times New Roman" w:cs="Times New Roman"/>
            <w:color w:val="000000" w:themeColor="text1"/>
            <w:sz w:val="24"/>
            <w:szCs w:val="24"/>
            <w:lang w:val="en-GB"/>
          </w:rPr>
          <w:instrText xml:space="preserve"> ADDIN EN.CITE &lt;EndNote&gt;&lt;Cite AuthorYear="1"&gt;&lt;Author&gt;Dubey&lt;/Author&gt;&lt;Year&gt;2018&lt;/Year&gt;&lt;RecNum&gt;1099&lt;/RecNum&gt;&lt;DisplayText&gt;Dubey et al. (2018)&lt;/DisplayText&gt;&lt;record&gt;&lt;rec-number&gt;1099&lt;/rec-number&gt;&lt;foreign-keys&gt;&lt;key app="EN" db-id="seavxzzzfrf2p7eddfnxx5ep2ar05z0ddwx9"&gt;1099&lt;/key&gt;&lt;/foreign-keys&gt;&lt;ref-type name="Journal Article"&gt;17&lt;/ref-type&gt;&lt;contributors&gt;&lt;authors&gt;&lt;author&gt;Dubey, Rameshwar&lt;/author&gt;&lt;author&gt;Altay, Nezih&lt;/author&gt;&lt;author&gt;Gunasekaran, Angappa&lt;/author&gt;&lt;author&gt;Blome, Constantin&lt;/author&gt;&lt;author&gt;Papadopoulos, Thanos&lt;/author&gt;&lt;author&gt;Childe, Stephen J&lt;/author&gt;&lt;/authors&gt;&lt;/contributors&gt;&lt;titles&gt;&lt;title&gt;Supply chain agility, adaptability and alignment: empirical evidence from the Indian auto components industry&lt;/title&gt;&lt;secondary-title&gt;International Journal of Operations &amp;amp; Production Management&lt;/secondary-title&gt;&lt;/titles&gt;&lt;periodical&gt;&lt;full-title&gt;International Journal of Operations &amp;amp; Production Management&lt;/full-title&gt;&lt;/periodical&gt;&lt;pages&gt;129-148&lt;/pages&gt;&lt;volume&gt;38&lt;/volume&gt;&lt;number&gt;1&lt;/number&gt;&lt;dates&gt;&lt;year&gt;2018&lt;/year&gt;&lt;/dates&gt;&lt;isbn&gt;0144-3577&lt;/isbn&gt;&lt;urls&gt;&lt;/urls&gt;&lt;/record&gt;&lt;/Cite&gt;&lt;/EndNote&gt;</w:instrText>
        </w:r>
        <w:r w:rsidR="00641B32" w:rsidRPr="008C04EC">
          <w:rPr>
            <w:rFonts w:ascii="Times New Roman" w:eastAsia="Calibri" w:hAnsi="Times New Roman" w:cs="Times New Roman"/>
            <w:color w:val="000000" w:themeColor="text1"/>
            <w:sz w:val="24"/>
            <w:szCs w:val="24"/>
            <w:lang w:val="en-GB"/>
          </w:rPr>
          <w:fldChar w:fldCharType="separate"/>
        </w:r>
        <w:r w:rsidR="00641B32" w:rsidRPr="008C04EC">
          <w:rPr>
            <w:rFonts w:ascii="Times New Roman" w:eastAsia="Calibri" w:hAnsi="Times New Roman" w:cs="Times New Roman"/>
            <w:noProof/>
            <w:color w:val="000000" w:themeColor="text1"/>
            <w:sz w:val="24"/>
            <w:szCs w:val="24"/>
            <w:lang w:val="en-GB"/>
          </w:rPr>
          <w:t>Dubey et al. (2018)</w:t>
        </w:r>
        <w:r w:rsidR="00641B32" w:rsidRPr="008C04EC">
          <w:rPr>
            <w:rFonts w:ascii="Times New Roman" w:eastAsia="Calibri" w:hAnsi="Times New Roman" w:cs="Times New Roman"/>
            <w:color w:val="000000" w:themeColor="text1"/>
            <w:sz w:val="24"/>
            <w:szCs w:val="24"/>
            <w:lang w:val="en-GB"/>
          </w:rPr>
          <w:fldChar w:fldCharType="end"/>
        </w:r>
      </w:hyperlink>
      <w:r w:rsidRPr="008C04EC">
        <w:rPr>
          <w:rFonts w:ascii="Times New Roman" w:eastAsia="Calibri" w:hAnsi="Times New Roman" w:cs="Times New Roman"/>
          <w:color w:val="000000" w:themeColor="text1"/>
          <w:sz w:val="24"/>
          <w:szCs w:val="24"/>
          <w:lang w:val="en-GB"/>
        </w:rPr>
        <w:t>, and is measured on a scale of 1 (strongly disagree) to 7 (strongly agree).</w:t>
      </w:r>
    </w:p>
    <w:p w14:paraId="4520A2F9" w14:textId="77777777" w:rsidR="005249CB" w:rsidRPr="008C04EC" w:rsidRDefault="005249CB" w:rsidP="005249CB">
      <w:pPr>
        <w:keepNext/>
        <w:keepLines/>
        <w:spacing w:after="0" w:line="480" w:lineRule="auto"/>
        <w:jc w:val="both"/>
        <w:outlineLvl w:val="1"/>
        <w:rPr>
          <w:rFonts w:ascii="Times New Roman" w:eastAsia="Times New Roman" w:hAnsi="Times New Roman" w:cs="Times New Roman"/>
          <w:b/>
          <w:bCs/>
          <w:i/>
          <w:color w:val="000000" w:themeColor="text1"/>
          <w:sz w:val="24"/>
          <w:szCs w:val="24"/>
          <w:lang w:val="en-GB"/>
        </w:rPr>
      </w:pPr>
      <w:bookmarkStart w:id="1" w:name="_Toc305859469"/>
      <w:bookmarkStart w:id="2" w:name="_Toc305859639"/>
      <w:bookmarkStart w:id="3" w:name="_Toc309900487"/>
      <w:bookmarkStart w:id="4" w:name="_Toc444675635"/>
      <w:bookmarkStart w:id="5" w:name="_Toc468366352"/>
    </w:p>
    <w:p w14:paraId="10190307" w14:textId="77777777" w:rsidR="005249CB" w:rsidRPr="008C04EC" w:rsidRDefault="005249CB" w:rsidP="005249CB">
      <w:pPr>
        <w:keepNext/>
        <w:keepLines/>
        <w:spacing w:after="0" w:line="480" w:lineRule="auto"/>
        <w:jc w:val="both"/>
        <w:outlineLvl w:val="1"/>
        <w:rPr>
          <w:rFonts w:ascii="Times New Roman" w:eastAsia="Times New Roman" w:hAnsi="Times New Roman" w:cs="Times New Roman"/>
          <w:b/>
          <w:bCs/>
          <w:i/>
          <w:color w:val="000000" w:themeColor="text1"/>
          <w:sz w:val="24"/>
          <w:szCs w:val="24"/>
          <w:lang w:val="en-GB"/>
        </w:rPr>
      </w:pPr>
      <w:r w:rsidRPr="008C04EC">
        <w:rPr>
          <w:rFonts w:ascii="Times New Roman" w:eastAsia="Times New Roman" w:hAnsi="Times New Roman" w:cs="Times New Roman"/>
          <w:b/>
          <w:bCs/>
          <w:i/>
          <w:color w:val="000000" w:themeColor="text1"/>
          <w:sz w:val="24"/>
          <w:szCs w:val="24"/>
          <w:lang w:val="en-GB"/>
        </w:rPr>
        <w:t xml:space="preserve">3.3. </w:t>
      </w:r>
      <w:bookmarkStart w:id="6" w:name="_Toc468366353"/>
      <w:r w:rsidRPr="008C04EC">
        <w:rPr>
          <w:rFonts w:ascii="Times New Roman" w:eastAsia="Times New Roman" w:hAnsi="Times New Roman" w:cs="Times New Roman"/>
          <w:b/>
          <w:bCs/>
          <w:i/>
          <w:color w:val="000000" w:themeColor="text1"/>
          <w:sz w:val="24"/>
          <w:szCs w:val="24"/>
          <w:lang w:val="en-GB"/>
        </w:rPr>
        <w:t>Common Method Bias</w:t>
      </w:r>
      <w:bookmarkEnd w:id="6"/>
    </w:p>
    <w:p w14:paraId="2A95CB7B" w14:textId="529E69BC" w:rsidR="005249CB" w:rsidRPr="008C04EC" w:rsidRDefault="005249CB" w:rsidP="005249CB">
      <w:pPr>
        <w:spacing w:after="0" w:line="480" w:lineRule="auto"/>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 xml:space="preserve">We took pre-emptive procedural remedies to avoid common method bias. Common method bias occurs when a similarity in measurement technique results in biased estimates for reliability and validity; it can result in imprecise estimations of relationships between variables of interest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&lt;EndNote&gt;&lt;Cite&gt;&lt;Author&gt;Green&lt;/Author&gt;&lt;Year&gt;2016&lt;/Year&gt;&lt;RecNum&gt;856&lt;/RecNum&gt;&lt;DisplayText&gt;(Green, Tonidandel, &amp;amp; Cortina, 2016)&lt;/DisplayText&gt;&lt;record&gt;&lt;rec-number&gt;856&lt;/rec-number&gt;&lt;foreign-keys&gt;&lt;key app="EN" db-id="seavxzzzfrf2p7eddfnxx5ep2ar05z0ddwx9"&gt;856&lt;/key&gt;&lt;/foreign-keys&gt;&lt;ref-type name="Journal Article"&gt;17&lt;/ref-type&gt;&lt;contributors&gt;&lt;authors&gt;&lt;author&gt;Green, Jennifer P&lt;/author&gt;&lt;author&gt;Tonidandel, Scott&lt;/author&gt;&lt;author&gt;Cortina, Jose M&lt;/author&gt;&lt;/authors&gt;&lt;/contributors&gt;&lt;titles&gt;&lt;title&gt;Getting through the gate: statistical and methodological issues raised in the reviewing process&lt;/title&gt;&lt;secondary-title&gt;Organizational Research Methods&lt;/secondary-title&gt;&lt;/titles&gt;&lt;periodical&gt;&lt;full-title&gt;Organizational research methods&lt;/full-title&gt;&lt;/periodical&gt;&lt;pages&gt;402-432&lt;/pages&gt;&lt;volume&gt;19&lt;/volume&gt;&lt;number&gt;3&lt;/number&gt;&lt;dates&gt;&lt;year&gt;2016&lt;/year&gt;&lt;/dates&gt;&lt;publisher&gt;SAGE Publications&lt;/publisher&gt;&lt;isbn&gt;1094-4281&lt;/isbn&gt;&lt;urls&gt;&lt;/urls&gt;&lt;/record&gt;&lt;/Cite&gt;&lt;/EndNote&gt;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33" w:tooltip="Green, 2016 #856" w:history="1">
        <w:r w:rsidR="00641B32" w:rsidRPr="008C04EC">
          <w:rPr>
            <w:rFonts w:ascii="Times New Roman" w:hAnsi="Times New Roman" w:cs="Times New Roman"/>
            <w:noProof/>
            <w:color w:val="000000" w:themeColor="text1"/>
            <w:sz w:val="24"/>
            <w:szCs w:val="24"/>
            <w:lang w:val="en-GB"/>
          </w:rPr>
          <w:t>Green</w:t>
        </w:r>
        <w:r w:rsidR="00D84388">
          <w:rPr>
            <w:rFonts w:ascii="Times New Roman" w:hAnsi="Times New Roman" w:cs="Times New Roman"/>
            <w:noProof/>
            <w:color w:val="000000" w:themeColor="text1"/>
            <w:sz w:val="24"/>
            <w:szCs w:val="24"/>
            <w:lang w:val="en-GB"/>
          </w:rPr>
          <w:t xml:space="preserve"> et al.</w:t>
        </w:r>
        <w:r w:rsidR="00641B32" w:rsidRPr="008C04EC">
          <w:rPr>
            <w:rFonts w:ascii="Times New Roman" w:hAnsi="Times New Roman" w:cs="Times New Roman"/>
            <w:noProof/>
            <w:color w:val="000000" w:themeColor="text1"/>
            <w:sz w:val="24"/>
            <w:szCs w:val="24"/>
            <w:lang w:val="en-GB"/>
          </w:rPr>
          <w:t>, 2016</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t xml:space="preserve"> To address common method bias, we followed the guidelines suggested by Conway and Lance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ExcludeAuth="1"&gt;&lt;Author&gt;Conway&lt;/Author&gt;&lt;Year&gt;2010&lt;/Year&gt;&lt;RecNum&gt;851&lt;/RecNum&gt;&lt;DisplayText&gt;(2010)&lt;/DisplayText&gt;&lt;record&gt;&lt;rec-number&gt;851&lt;/rec-number&gt;&lt;foreign-keys&gt;&lt;key app="EN" db-id="seavxzzzfrf2p7eddfnxx5ep2ar05z0ddwx9"&gt;851&lt;/key&gt;&lt;/foreign-keys&gt;&lt;ref-type name="Journal Article"&gt;17&lt;/ref-type&gt;&lt;contributors&gt;&lt;authors&gt;&lt;author&gt;Conway, James M&lt;/author&gt;&lt;author&gt;Lance, Charles E&lt;/author&gt;&lt;/authors&gt;&lt;/contributors&gt;&lt;titles&gt;&lt;title&gt;What reviewers should expect from authors regarding common method bias in organizational research&lt;/title&gt;&lt;secondary-title&gt;Journal of Business and Psychology&lt;/secondary-title&gt;&lt;/titles&gt;&lt;periodical&gt;&lt;full-title&gt;Journal of Business and Psychology&lt;/full-title&gt;&lt;/periodical&gt;&lt;pages&gt;325-334&lt;/pages&gt;&lt;volume&gt;25&lt;/volume&gt;&lt;number&gt;3&lt;/number&gt;&lt;dates&gt;&lt;year&gt;2010&lt;/year&gt;&lt;/dates&gt;&lt;publisher&gt;Springer&lt;/publisher&gt;&lt;isbn&gt;0889-3268&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16" w:tooltip="Conway, 2010 #851" w:history="1">
        <w:r w:rsidR="00641B32" w:rsidRPr="008C04EC">
          <w:rPr>
            <w:rFonts w:ascii="Times New Roman" w:eastAsia="Calibri" w:hAnsi="Times New Roman" w:cs="Times New Roman"/>
            <w:color w:val="000000" w:themeColor="text1"/>
            <w:sz w:val="24"/>
            <w:szCs w:val="24"/>
            <w:lang w:val="en-GB"/>
          </w:rPr>
          <w:t>2010</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and Podsakoff et al. </w:t>
      </w:r>
      <w:r w:rsidRPr="008C04EC">
        <w:rPr>
          <w:rFonts w:ascii="Times New Roman" w:eastAsia="Calibri" w:hAnsi="Times New Roman" w:cs="Times New Roman"/>
          <w:color w:val="000000" w:themeColor="text1"/>
          <w:sz w:val="24"/>
          <w:szCs w:val="24"/>
          <w:lang w:val="en-GB"/>
        </w:rPr>
        <w:fldChar w:fldCharType="begin"/>
      </w:r>
      <w:r w:rsidRPr="008C04EC">
        <w:rPr>
          <w:rFonts w:ascii="Times New Roman" w:eastAsia="Calibri" w:hAnsi="Times New Roman" w:cs="Times New Roman"/>
          <w:color w:val="000000" w:themeColor="text1"/>
          <w:sz w:val="24"/>
          <w:szCs w:val="24"/>
          <w:lang w:val="en-GB"/>
        </w:rPr>
        <w:instrText xml:space="preserve"> ADDIN EN.CITE &lt;EndNote&gt;&lt;Cite ExcludeAuth="1"&gt;&lt;Author&gt;Podsakoff&lt;/Author&gt;&lt;Year&gt;2003&lt;/Year&gt;&lt;RecNum&gt;850&lt;/RecNum&gt;&lt;DisplayText&gt;(2003)&lt;/DisplayText&gt;&lt;record&gt;&lt;rec-number&gt;850&lt;/rec-number&gt;&lt;foreign-keys&gt;&lt;key app="EN" db-id="seavxzzzfrf2p7eddfnxx5ep2ar05z0ddwx9"&gt;850&lt;/key&gt;&lt;/foreign-keys&gt;&lt;ref-type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psychology&lt;/full-title&gt;&lt;/periodical&gt;&lt;pages&gt;879&lt;/pages&gt;&lt;volume&gt;88&lt;/volume&gt;&lt;number&gt;5&lt;/number&gt;&lt;dates&gt;&lt;year&gt;2003&lt;/year&gt;&lt;/dates&gt;&lt;publisher&gt;American Psychological Association&lt;/publisher&gt;&lt;isbn&gt;1939-1854&lt;/isbn&gt;&lt;urls&gt;&lt;/urls&gt;&lt;/record&gt;&lt;/Cite&gt;&lt;/EndNote&gt;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Pr="008C04EC">
        <w:rPr>
          <w:rFonts w:ascii="Times New Roman" w:eastAsia="Calibri" w:hAnsi="Times New Roman" w:cs="Times New Roman"/>
          <w:color w:val="000000" w:themeColor="text1"/>
          <w:sz w:val="24"/>
          <w:szCs w:val="24"/>
          <w:lang w:val="en-GB"/>
        </w:rPr>
        <w:t>(</w:t>
      </w:r>
      <w:hyperlink w:anchor="_ENREF_73" w:tooltip="Podsakoff, 2003 #850" w:history="1">
        <w:r w:rsidR="00641B32" w:rsidRPr="008C04EC">
          <w:rPr>
            <w:rFonts w:ascii="Times New Roman" w:eastAsia="Calibri" w:hAnsi="Times New Roman" w:cs="Times New Roman"/>
            <w:color w:val="000000" w:themeColor="text1"/>
            <w:sz w:val="24"/>
            <w:szCs w:val="24"/>
            <w:lang w:val="en-GB"/>
          </w:rPr>
          <w:t>2003</w:t>
        </w:r>
      </w:hyperlink>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We placed dependent and independent variables in different sections of the survey and with different Likert-type scales; for example, strongly disagree-strongly agree versus far better-far worse. </w:t>
      </w:r>
      <w:bookmarkEnd w:id="1"/>
      <w:bookmarkEnd w:id="2"/>
      <w:bookmarkEnd w:id="3"/>
      <w:bookmarkEnd w:id="4"/>
      <w:bookmarkEnd w:id="5"/>
      <w:r w:rsidRPr="008C04EC">
        <w:rPr>
          <w:rFonts w:ascii="Times New Roman" w:eastAsia="Calibri" w:hAnsi="Times New Roman" w:cs="Times New Roman"/>
          <w:color w:val="000000" w:themeColor="text1"/>
          <w:sz w:val="24"/>
          <w:szCs w:val="24"/>
          <w:lang w:val="en-GB"/>
        </w:rPr>
        <w:t>Furthermore, we reassured the respondents about confidentiality and anonymity, and gave them the option to submit the response without filling in their name or their company’s name. The survey instrument was refined using two rounds of pilot surveys and qualitative expert opinions to remove any ambiguities that could possibly bias the respondents.</w:t>
      </w:r>
    </w:p>
    <w:p w14:paraId="4FAC0067" w14:textId="33C1C607" w:rsidR="005249CB" w:rsidRDefault="005249CB" w:rsidP="005249CB">
      <w:pPr>
        <w:spacing w:after="0" w:line="480" w:lineRule="auto"/>
        <w:ind w:firstLine="567"/>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 xml:space="preserve">To statistically test for common method bias, we used a common latent factor approach </w:t>
      </w:r>
      <w:r w:rsidRPr="008C04EC">
        <w:rPr>
          <w:rFonts w:ascii="Times New Roman" w:eastAsia="Calibri" w:hAnsi="Times New Roman" w:cs="Times New Roman"/>
          <w:color w:val="000000" w:themeColor="text1"/>
          <w:sz w:val="24"/>
          <w:szCs w:val="24"/>
          <w:lang w:val="en-GB"/>
        </w:rPr>
        <w:fldChar w:fldCharType="begin"/>
      </w:r>
      <w:r w:rsidR="00D30452" w:rsidRPr="008C04EC">
        <w:rPr>
          <w:rFonts w:ascii="Times New Roman" w:eastAsia="Calibri" w:hAnsi="Times New Roman" w:cs="Times New Roman"/>
          <w:color w:val="000000" w:themeColor="text1"/>
          <w:sz w:val="24"/>
          <w:szCs w:val="24"/>
          <w:lang w:val="en-GB"/>
        </w:rPr>
        <w:instrText xml:space="preserve"> ADDIN EN.CITE &lt;EndNote&gt;&lt;Cite&gt;&lt;Author&gt;MacKenzie&lt;/Author&gt;&lt;Year&gt;2012&lt;/Year&gt;&lt;RecNum&gt;1082&lt;/RecNum&gt;&lt;DisplayText&gt;(MacKenzie &amp;amp; Podsakoff, 2012)&lt;/DisplayText&gt;&lt;record&gt;&lt;rec-number&gt;1082&lt;/rec-number&gt;&lt;foreign-keys&gt;&lt;key app="EN" db-id="seavxzzzfrf2p7eddfnxx5ep2ar05z0ddwx9"&gt;1082&lt;/key&gt;&lt;/foreign-keys&gt;&lt;ref-type name="Journal Article"&gt;17&lt;/ref-type&gt;&lt;contributors&gt;&lt;authors&gt;&lt;author&gt;MacKenzie, Scott B.&lt;/author&gt;&lt;author&gt;Podsakoff, Philip M.&lt;/author&gt;&lt;/authors&gt;&lt;/contributors&gt;&lt;titles&gt;&lt;title&gt;Common Method Bias in Marketing: Causes, Mechanisms, and Procedural Remedies&lt;/title&gt;&lt;secondary-title&gt;Journal of Retailing&lt;/secondary-title&gt;&lt;/titles&gt;&lt;periodical&gt;&lt;full-title&gt;Journal of Retailing&lt;/full-title&gt;&lt;/periodical&gt;&lt;pages&gt;542-555&lt;/pages&gt;&lt;volume&gt;88&lt;/volume&gt;&lt;number&gt;4&lt;/number&gt;&lt;keywords&gt;&lt;keyword&gt;“Research Dialog” on common method bias&lt;/keyword&gt;&lt;keyword&gt;Research methods in retailing&lt;/keyword&gt;&lt;/keywords&gt;&lt;dates&gt;&lt;year&gt;2012&lt;/year&gt;&lt;pub-dates&gt;&lt;date&gt;2012/12/01/&lt;/date&gt;&lt;/pub-dates&gt;&lt;/dates&gt;&lt;isbn&gt;0022-4359&lt;/isbn&gt;&lt;urls&gt;&lt;related-urls&gt;&lt;url&gt;http://www.sciencedirect.com/science/article/pii/S0022435912000681&lt;/url&gt;&lt;/related-urls&gt;&lt;/urls&gt;&lt;electronic-resource-num&gt;https://doi.org/10.1016/j.jretai.2012.08.001&lt;/electronic-resource-num&gt;&lt;/record&gt;&lt;/Cite&gt;&lt;/EndNote&gt;</w:instrText>
      </w:r>
      <w:r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w:t>
      </w:r>
      <w:hyperlink w:anchor="_ENREF_64" w:tooltip="MacKenzie, 2012 #1082" w:history="1">
        <w:r w:rsidR="00641B32" w:rsidRPr="008C04EC">
          <w:rPr>
            <w:rFonts w:ascii="Times New Roman" w:eastAsia="Calibri" w:hAnsi="Times New Roman" w:cs="Times New Roman"/>
            <w:noProof/>
            <w:color w:val="000000" w:themeColor="text1"/>
            <w:sz w:val="24"/>
            <w:szCs w:val="24"/>
            <w:lang w:val="en-GB"/>
          </w:rPr>
          <w:t>MacKenzie &amp; Podsakoff, 2012</w:t>
        </w:r>
      </w:hyperlink>
      <w:r w:rsidR="00D30452" w:rsidRPr="008C04EC">
        <w:rPr>
          <w:rFonts w:ascii="Times New Roman" w:eastAsia="Calibri" w:hAnsi="Times New Roman" w:cs="Times New Roman"/>
          <w:noProof/>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According to this approach, a common factor was linked to all the variables in the final research model to account for variation due to common method</w:t>
      </w:r>
      <w:r w:rsidR="00D30452" w:rsidRPr="008C04EC">
        <w:rPr>
          <w:rFonts w:ascii="Times New Roman" w:eastAsia="Calibri" w:hAnsi="Times New Roman" w:cs="Times New Roman"/>
          <w:color w:val="000000" w:themeColor="text1"/>
          <w:sz w:val="24"/>
          <w:szCs w:val="24"/>
          <w:lang w:val="en-GB"/>
        </w:rPr>
        <w:t xml:space="preserve"> </w:t>
      </w:r>
      <w:r w:rsidR="00D30452" w:rsidRPr="008C04EC">
        <w:rPr>
          <w:rFonts w:ascii="Times New Roman" w:eastAsia="Calibri" w:hAnsi="Times New Roman" w:cs="Times New Roman"/>
          <w:color w:val="000000" w:themeColor="text1"/>
          <w:sz w:val="24"/>
          <w:szCs w:val="24"/>
          <w:lang w:val="en-GB"/>
        </w:rPr>
        <w:fldChar w:fldCharType="begin"/>
      </w:r>
      <w:r w:rsidR="00D30452" w:rsidRPr="008C04EC">
        <w:rPr>
          <w:rFonts w:ascii="Times New Roman" w:eastAsia="Calibri" w:hAnsi="Times New Roman" w:cs="Times New Roman"/>
          <w:color w:val="000000" w:themeColor="text1"/>
          <w:sz w:val="24"/>
          <w:szCs w:val="24"/>
          <w:lang w:val="en-GB"/>
        </w:rPr>
        <w:instrText xml:space="preserve"> ADDIN EN.CITE &lt;EndNote&gt;&lt;Cite&gt;&lt;Author&gt;Kortmann&lt;/Author&gt;&lt;Year&gt;2014&lt;/Year&gt;&lt;RecNum&gt;881&lt;/RecNum&gt;&lt;DisplayText&gt;(Kortmann, Gelhard, Zimmermann, &amp;amp; Piller, 2014)&lt;/DisplayText&gt;&lt;record&gt;&lt;rec-number&gt;881&lt;/rec-number&gt;&lt;foreign-keys&gt;&lt;key app="EN" db-id="seavxzzzfrf2p7eddfnxx5ep2ar05z0ddwx9"&gt;881&lt;/key&gt;&lt;/foreign-keys&gt;&lt;ref-type name="Journal Article"&gt;17&lt;/ref-type&gt;&lt;contributors&gt;&lt;authors&gt;&lt;author&gt;Kortmann, Sebastian&lt;/author&gt;&lt;author&gt;Gelhard, Carsten&lt;/author&gt;&lt;author&gt;Zimmermann, Carsten&lt;/author&gt;&lt;author&gt;Piller, Frank T&lt;/author&gt;&lt;/authors&gt;&lt;/contributors&gt;&lt;titles&gt;&lt;title&gt;Linking strategic flexibility and operational efficiency: the mediating role of ambidextrous operational capabilities&lt;/title&gt;&lt;secondary-title&gt;Journal of Operations Management&lt;/secondary-title&gt;&lt;/titles&gt;&lt;periodical&gt;&lt;full-title&gt;Journal of Operations Management&lt;/full-title&gt;&lt;/periodical&gt;&lt;pages&gt;475-490&lt;/pages&gt;&lt;volume&gt;32&lt;/volume&gt;&lt;number&gt;7&lt;/number&gt;&lt;dates&gt;&lt;year&gt;2014&lt;/year&gt;&lt;/dates&gt;&lt;publisher&gt;Elsevier&lt;/publisher&gt;&lt;isbn&gt;0272-6963&lt;/isbn&gt;&lt;urls&gt;&lt;/urls&gt;&lt;/record&gt;&lt;/Cite&gt;&lt;/EndNote&gt;</w:instrText>
      </w:r>
      <w:r w:rsidR="00D30452"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w:t>
      </w:r>
      <w:hyperlink w:anchor="_ENREF_54" w:tooltip="Kortmann, 2014 #881" w:history="1">
        <w:r w:rsidR="00641B32" w:rsidRPr="008C04EC">
          <w:rPr>
            <w:rFonts w:ascii="Times New Roman" w:eastAsia="Calibri" w:hAnsi="Times New Roman" w:cs="Times New Roman"/>
            <w:noProof/>
            <w:color w:val="000000" w:themeColor="text1"/>
            <w:sz w:val="24"/>
            <w:szCs w:val="24"/>
            <w:lang w:val="en-GB"/>
          </w:rPr>
          <w:t>Kortmann</w:t>
        </w:r>
        <w:r w:rsidR="00D84388">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2014</w:t>
        </w:r>
      </w:hyperlink>
      <w:r w:rsidR="00D30452" w:rsidRPr="008C04EC">
        <w:rPr>
          <w:rFonts w:ascii="Times New Roman" w:eastAsia="Calibri" w:hAnsi="Times New Roman" w:cs="Times New Roman"/>
          <w:noProof/>
          <w:color w:val="000000" w:themeColor="text1"/>
          <w:sz w:val="24"/>
          <w:szCs w:val="24"/>
          <w:lang w:val="en-GB"/>
        </w:rPr>
        <w:t>)</w:t>
      </w:r>
      <w:r w:rsidR="00D30452"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A difference in the goodness of fit (GOF) measures would indicate the existence of method bias. The results showed the GOF measures improved slightly (</w:t>
      </w:r>
      <w:r w:rsidRPr="008C04EC">
        <w:rPr>
          <w:rFonts w:ascii="Times New Roman" w:eastAsia="Calibri" w:hAnsi="Times New Roman" w:cs="Times New Roman"/>
          <w:i/>
          <w:color w:val="000000" w:themeColor="text1"/>
          <w:sz w:val="24"/>
          <w:szCs w:val="24"/>
          <w:lang w:val="en-GB"/>
        </w:rPr>
        <w:t>χ</w:t>
      </w:r>
      <w:r w:rsidRPr="008C04EC">
        <w:rPr>
          <w:rFonts w:ascii="Times New Roman" w:eastAsia="Calibri" w:hAnsi="Times New Roman" w:cs="Times New Roman"/>
          <w:i/>
          <w:color w:val="000000" w:themeColor="text1"/>
          <w:sz w:val="24"/>
          <w:szCs w:val="24"/>
          <w:vertAlign w:val="superscript"/>
          <w:lang w:val="en-GB"/>
        </w:rPr>
        <w:t xml:space="preserve">2 </w:t>
      </w:r>
      <w:r w:rsidRPr="008C04EC">
        <w:rPr>
          <w:rFonts w:ascii="Times New Roman" w:eastAsia="Calibri" w:hAnsi="Times New Roman" w:cs="Times New Roman"/>
          <w:color w:val="000000" w:themeColor="text1"/>
          <w:sz w:val="24"/>
          <w:szCs w:val="24"/>
          <w:lang w:val="en-GB"/>
        </w:rPr>
        <w:t>= -0.16, CFI = 0.013, RMSEA = -0.007)</w:t>
      </w:r>
      <w:r w:rsidR="00D30452" w:rsidRPr="008C04EC">
        <w:rPr>
          <w:rFonts w:ascii="Times New Roman" w:eastAsia="Calibri" w:hAnsi="Times New Roman" w:cs="Times New Roman"/>
          <w:color w:val="000000" w:themeColor="text1"/>
          <w:sz w:val="24"/>
          <w:szCs w:val="24"/>
          <w:lang w:val="en-GB"/>
        </w:rPr>
        <w:t xml:space="preserve"> with statistically significant chi-square difference</w:t>
      </w:r>
      <w:r w:rsidRPr="008C04EC">
        <w:rPr>
          <w:rFonts w:ascii="Times New Roman" w:eastAsia="Calibri" w:hAnsi="Times New Roman" w:cs="Times New Roman"/>
          <w:color w:val="000000" w:themeColor="text1"/>
          <w:sz w:val="24"/>
          <w:szCs w:val="24"/>
          <w:lang w:val="en-GB"/>
        </w:rPr>
        <w:t xml:space="preserve">. Based on this evidence, the remaining analysis was performed while keeping the method factor to account for common method bias. </w:t>
      </w:r>
    </w:p>
    <w:p w14:paraId="24DE775F" w14:textId="1F38DC2D" w:rsidR="00DF3F6D" w:rsidRDefault="00DF3F6D" w:rsidP="006D3AD5">
      <w:pPr>
        <w:spacing w:after="0" w:line="480" w:lineRule="auto"/>
        <w:jc w:val="both"/>
        <w:rPr>
          <w:rFonts w:ascii="Times New Roman" w:eastAsia="Calibri" w:hAnsi="Times New Roman" w:cs="Times New Roman"/>
          <w:color w:val="000000" w:themeColor="text1"/>
          <w:sz w:val="24"/>
          <w:szCs w:val="24"/>
          <w:lang w:val="en-GB"/>
        </w:rPr>
      </w:pPr>
    </w:p>
    <w:p w14:paraId="769BE758" w14:textId="77777777" w:rsidR="009E0DB0" w:rsidRPr="008C04EC" w:rsidRDefault="009E0DB0" w:rsidP="009E0DB0">
      <w:pPr>
        <w:spacing w:after="0" w:line="480" w:lineRule="auto"/>
        <w:jc w:val="both"/>
        <w:rPr>
          <w:rFonts w:ascii="Times New Roman" w:eastAsia="Calibri" w:hAnsi="Times New Roman" w:cs="Times New Roman"/>
          <w:b/>
          <w:i/>
          <w:color w:val="000000" w:themeColor="text1"/>
          <w:sz w:val="24"/>
          <w:szCs w:val="24"/>
          <w:lang w:val="en-GB"/>
        </w:rPr>
      </w:pPr>
      <w:r w:rsidRPr="008C04EC">
        <w:rPr>
          <w:rFonts w:ascii="Times New Roman" w:eastAsia="Calibri" w:hAnsi="Times New Roman" w:cs="Times New Roman"/>
          <w:b/>
          <w:i/>
          <w:color w:val="000000" w:themeColor="text1"/>
          <w:sz w:val="24"/>
          <w:szCs w:val="24"/>
          <w:lang w:val="en-GB"/>
        </w:rPr>
        <w:lastRenderedPageBreak/>
        <w:t xml:space="preserve">3.4. Endogeneity </w:t>
      </w:r>
    </w:p>
    <w:p w14:paraId="45482844" w14:textId="211F5653" w:rsidR="00641B32" w:rsidRPr="008C04EC" w:rsidRDefault="00641B32" w:rsidP="00641B32">
      <w:pPr>
        <w:spacing w:line="480" w:lineRule="auto"/>
        <w:jc w:val="both"/>
        <w:rPr>
          <w:rFonts w:ascii="Times New Roman" w:hAnsi="Times New Roman" w:cs="Times New Roman"/>
          <w:color w:val="000000" w:themeColor="text1"/>
          <w:sz w:val="24"/>
          <w:szCs w:val="24"/>
        </w:rPr>
      </w:pPr>
      <w:r w:rsidRPr="008C04EC">
        <w:rPr>
          <w:rFonts w:ascii="Times New Roman" w:hAnsi="Times New Roman" w:cs="Times New Roman"/>
          <w:color w:val="000000" w:themeColor="text1"/>
          <w:sz w:val="24"/>
          <w:szCs w:val="24"/>
        </w:rPr>
        <w:t xml:space="preserve">Before testing the hypothesized model, we tested for endogeneity of the exogenous variable </w:t>
      </w:r>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EN.CITE &lt;EndNote&gt;&lt;Cite&gt;&lt;Author&gt;Ketokivi&lt;/Author&gt;&lt;Year&gt;2017&lt;/Year&gt;&lt;RecNum&gt;1224&lt;/RecNum&gt;&lt;DisplayText&gt;(Ketokivi &amp;amp; McIntosh, 2017)&lt;/DisplayText&gt;&lt;record&gt;&lt;rec-number&gt;1224&lt;/rec-number&gt;&lt;foreign-keys&gt;&lt;key app="EN" db-id="seavxzzzfrf2p7eddfnxx5ep2ar05z0ddwx9"&gt;1224&lt;/key&gt;&lt;/foreign-keys&gt;&lt;ref-type name="Journal Article"&gt;17&lt;/ref-type&gt;&lt;contributors&gt;&lt;authors&gt;&lt;author&gt;Ketokivi, Mikko&lt;/author&gt;&lt;author&gt;McIntosh, Cameron N&lt;/author&gt;&lt;/authors&gt;&lt;/contributors&gt;&lt;titles&gt;&lt;title&gt;Addressing the endogeneity dilemma in operations management research: Theoretical, empirical, and pragmatic considerations&lt;/title&gt;&lt;secondary-title&gt;Journal of Operations Management&lt;/secondary-title&gt;&lt;/titles&gt;&lt;periodical&gt;&lt;full-title&gt;Journal of Operations Management&lt;/full-title&gt;&lt;/periodical&gt;&lt;pages&gt;1-14&lt;/pages&gt;&lt;volume&gt;52&lt;/volume&gt;&lt;dates&gt;&lt;year&gt;2017&lt;/year&gt;&lt;/dates&gt;&lt;isbn&gt;0272-6963&lt;/isbn&gt;&lt;urls&gt;&lt;/urls&gt;&lt;/record&gt;&lt;/Cite&gt;&lt;/EndNote&gt;</w:instrText>
      </w:r>
      <w:r w:rsidRPr="008C04EC">
        <w:rPr>
          <w:rFonts w:ascii="Times New Roman" w:hAnsi="Times New Roman" w:cs="Times New Roman"/>
          <w:color w:val="000000" w:themeColor="text1"/>
          <w:sz w:val="24"/>
          <w:szCs w:val="24"/>
        </w:rPr>
        <w:fldChar w:fldCharType="separate"/>
      </w:r>
      <w:r w:rsidRPr="008C04EC">
        <w:rPr>
          <w:rFonts w:ascii="Times New Roman" w:hAnsi="Times New Roman" w:cs="Times New Roman"/>
          <w:noProof/>
          <w:color w:val="000000" w:themeColor="text1"/>
          <w:sz w:val="24"/>
          <w:szCs w:val="24"/>
        </w:rPr>
        <w:t>(</w:t>
      </w:r>
      <w:hyperlink w:anchor="_ENREF_52" w:tooltip="Ketokivi, 2017 #1224" w:history="1">
        <w:r w:rsidRPr="008C04EC">
          <w:rPr>
            <w:rFonts w:ascii="Times New Roman" w:hAnsi="Times New Roman" w:cs="Times New Roman"/>
            <w:noProof/>
            <w:color w:val="000000" w:themeColor="text1"/>
            <w:sz w:val="24"/>
            <w:szCs w:val="24"/>
          </w:rPr>
          <w:t>Ketokivi &amp; McIntosh, 2017</w:t>
        </w:r>
      </w:hyperlink>
      <w:r w:rsidRPr="008C04EC">
        <w:rPr>
          <w:rFonts w:ascii="Times New Roman" w:hAnsi="Times New Roman" w:cs="Times New Roman"/>
          <w:noProof/>
          <w:color w:val="000000" w:themeColor="text1"/>
          <w:sz w:val="24"/>
          <w:szCs w:val="24"/>
        </w:rPr>
        <w:t>)</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In our research model, </w:t>
      </w:r>
      <w:r w:rsidR="00D014B7">
        <w:rPr>
          <w:rFonts w:ascii="Times New Roman" w:hAnsi="Times New Roman" w:cs="Times New Roman"/>
          <w:color w:val="000000" w:themeColor="text1"/>
          <w:sz w:val="24"/>
          <w:szCs w:val="24"/>
        </w:rPr>
        <w:t>entrepreneurial</w:t>
      </w:r>
      <w:r w:rsidR="00A82C41" w:rsidRPr="008C04EC">
        <w:rPr>
          <w:rFonts w:ascii="Times New Roman" w:hAnsi="Times New Roman" w:cs="Times New Roman"/>
          <w:color w:val="000000" w:themeColor="text1"/>
          <w:sz w:val="24"/>
          <w:szCs w:val="24"/>
        </w:rPr>
        <w:t xml:space="preserve"> orientation </w:t>
      </w:r>
      <w:r w:rsidRPr="008C04EC">
        <w:rPr>
          <w:rFonts w:ascii="Times New Roman" w:hAnsi="Times New Roman" w:cs="Times New Roman"/>
          <w:color w:val="000000" w:themeColor="text1"/>
          <w:sz w:val="24"/>
          <w:szCs w:val="24"/>
        </w:rPr>
        <w:t xml:space="preserve">is conceived as a variable exogenous to DSCCs in the sense that </w:t>
      </w:r>
      <w:r w:rsidR="00D014B7">
        <w:rPr>
          <w:rFonts w:ascii="Times New Roman" w:hAnsi="Times New Roman" w:cs="Times New Roman"/>
          <w:color w:val="000000" w:themeColor="text1"/>
          <w:sz w:val="24"/>
          <w:szCs w:val="24"/>
        </w:rPr>
        <w:t>entrepreneurial</w:t>
      </w:r>
      <w:r w:rsidR="00A82C41" w:rsidRPr="008C04EC">
        <w:rPr>
          <w:rFonts w:ascii="Times New Roman" w:hAnsi="Times New Roman" w:cs="Times New Roman"/>
          <w:color w:val="000000" w:themeColor="text1"/>
          <w:sz w:val="24"/>
          <w:szCs w:val="24"/>
        </w:rPr>
        <w:t xml:space="preserve"> orientation </w:t>
      </w:r>
      <w:r w:rsidRPr="008C04EC">
        <w:rPr>
          <w:rFonts w:ascii="Times New Roman" w:hAnsi="Times New Roman" w:cs="Times New Roman"/>
          <w:color w:val="000000" w:themeColor="text1"/>
          <w:sz w:val="24"/>
          <w:szCs w:val="24"/>
        </w:rPr>
        <w:t xml:space="preserve">shapes DSCCs but it is not true the other way around </w:t>
      </w:r>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EN.CITE &lt;EndNote&gt;&lt;Cite&gt;&lt;Author&gt;Zahra&lt;/Author&gt;&lt;Year&gt;2006&lt;/Year&gt;&lt;RecNum&gt;154&lt;/RecNum&gt;&lt;DisplayText&gt;(Zahra, Sapienza, &amp;amp; Davidsson, 2006)&lt;/DisplayText&gt;&lt;record&gt;&lt;rec-number&gt;154&lt;/rec-number&gt;&lt;foreign-keys&gt;&lt;key app="EN" db-id="seavxzzzfrf2p7eddfnxx5ep2ar05z0ddwx9"&gt;154&lt;/key&gt;&lt;/foreign-keys&gt;&lt;ref-type name="Journal Article"&gt;17&lt;/ref-type&gt;&lt;contributors&gt;&lt;authors&gt;&lt;author&gt;Zahra, Shaker A&lt;/author&gt;&lt;author&gt;Sapienza, Harry J&lt;/author&gt;&lt;author&gt;Davidsson, Per&lt;/author&gt;&lt;/authors&gt;&lt;/contributors&gt;&lt;titles&gt;&lt;title&gt;Entrepreneurship and dynamic capabilities: a review, model and research agenda&lt;/title&gt;&lt;secondary-title&gt;Journal of Management Studies&lt;/secondary-title&gt;&lt;/titles&gt;&lt;periodical&gt;&lt;full-title&gt;Journal of Management Studies&lt;/full-title&gt;&lt;/periodical&gt;&lt;pages&gt;917-955&lt;/pages&gt;&lt;volume&gt;43&lt;/volume&gt;&lt;number&gt;4&lt;/number&gt;&lt;dates&gt;&lt;year&gt;2006&lt;/year&gt;&lt;/dates&gt;&lt;publisher&gt;Wiley Online Library&lt;/publisher&gt;&lt;isbn&gt;1467-6486&lt;/isbn&gt;&lt;urls&gt;&lt;/urls&gt;&lt;/record&gt;&lt;/Cite&gt;&lt;/EndNote&gt;</w:instrText>
      </w:r>
      <w:r w:rsidRPr="008C04EC">
        <w:rPr>
          <w:rFonts w:ascii="Times New Roman" w:hAnsi="Times New Roman" w:cs="Times New Roman"/>
          <w:color w:val="000000" w:themeColor="text1"/>
          <w:sz w:val="24"/>
          <w:szCs w:val="24"/>
        </w:rPr>
        <w:fldChar w:fldCharType="separate"/>
      </w:r>
      <w:r w:rsidRPr="008C04EC">
        <w:rPr>
          <w:rFonts w:ascii="Times New Roman" w:hAnsi="Times New Roman" w:cs="Times New Roman"/>
          <w:noProof/>
          <w:color w:val="000000" w:themeColor="text1"/>
          <w:sz w:val="24"/>
          <w:szCs w:val="24"/>
        </w:rPr>
        <w:t>(</w:t>
      </w:r>
      <w:hyperlink w:anchor="_ENREF_103" w:tooltip="Zahra, 2006 #154" w:history="1">
        <w:r w:rsidRPr="008C04EC">
          <w:rPr>
            <w:rFonts w:ascii="Times New Roman" w:hAnsi="Times New Roman" w:cs="Times New Roman"/>
            <w:noProof/>
            <w:color w:val="000000" w:themeColor="text1"/>
            <w:sz w:val="24"/>
            <w:szCs w:val="24"/>
          </w:rPr>
          <w:t>Zahra</w:t>
        </w:r>
        <w:r w:rsidR="00D84388">
          <w:rPr>
            <w:rFonts w:ascii="Times New Roman" w:hAnsi="Times New Roman" w:cs="Times New Roman"/>
            <w:noProof/>
            <w:color w:val="000000" w:themeColor="text1"/>
            <w:sz w:val="24"/>
            <w:szCs w:val="24"/>
          </w:rPr>
          <w:t xml:space="preserve"> et al.</w:t>
        </w:r>
        <w:r w:rsidRPr="008C04EC">
          <w:rPr>
            <w:rFonts w:ascii="Times New Roman" w:hAnsi="Times New Roman" w:cs="Times New Roman"/>
            <w:noProof/>
            <w:color w:val="000000" w:themeColor="text1"/>
            <w:sz w:val="24"/>
            <w:szCs w:val="24"/>
          </w:rPr>
          <w:t>, 2006</w:t>
        </w:r>
      </w:hyperlink>
      <w:r w:rsidRPr="008C04EC">
        <w:rPr>
          <w:rFonts w:ascii="Times New Roman" w:hAnsi="Times New Roman" w:cs="Times New Roman"/>
          <w:noProof/>
          <w:color w:val="000000" w:themeColor="text1"/>
          <w:sz w:val="24"/>
          <w:szCs w:val="24"/>
        </w:rPr>
        <w:t>)</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Therefore, endogeneity is not expected to be a concern in this context. However, in order to empirically rule out the possibility of endogeneity, we applied</w:t>
      </w:r>
      <w:r w:rsidR="00A82C41" w:rsidRPr="008C04EC">
        <w:rPr>
          <w:rFonts w:ascii="Times New Roman" w:hAnsi="Times New Roman" w:cs="Times New Roman"/>
          <w:color w:val="000000" w:themeColor="text1"/>
          <w:sz w:val="24"/>
          <w:szCs w:val="24"/>
        </w:rPr>
        <w:t xml:space="preserve"> the</w:t>
      </w:r>
      <w:r w:rsidRPr="008C04EC">
        <w:rPr>
          <w:rFonts w:ascii="Times New Roman" w:hAnsi="Times New Roman" w:cs="Times New Roman"/>
          <w:color w:val="000000" w:themeColor="text1"/>
          <w:sz w:val="24"/>
          <w:szCs w:val="24"/>
        </w:rPr>
        <w:t xml:space="preserve"> Durbin-Wu-Hausman test </w:t>
      </w:r>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EN.CITE &lt;EndNote&gt;&lt;Cite&gt;&lt;Author&gt;Davidson&lt;/Author&gt;&lt;Year&gt;1993&lt;/Year&gt;&lt;RecNum&gt;1225&lt;/RecNum&gt;&lt;DisplayText&gt;(Davidson &amp;amp; MacKinnon, 1993)&lt;/DisplayText&gt;&lt;record&gt;&lt;rec-number&gt;1225&lt;/rec-number&gt;&lt;foreign-keys&gt;&lt;key app="EN" db-id="seavxzzzfrf2p7eddfnxx5ep2ar05z0ddwx9"&gt;1225&lt;/key&gt;&lt;/foreign-keys&gt;&lt;ref-type name="Book"&gt;6&lt;/ref-type&gt;&lt;contributors&gt;&lt;authors&gt;&lt;author&gt;Russell Davidson&lt;/author&gt;&lt;author&gt;James MacKinnon&lt;/author&gt;&lt;/authors&gt;&lt;/contributors&gt;&lt;titles&gt;&lt;title&gt;Estimation and Inference in Econometrics&lt;/title&gt;&lt;/titles&gt;&lt;dates&gt;&lt;year&gt;1993&lt;/year&gt;&lt;/dates&gt;&lt;pub-location&gt;New York&lt;/pub-location&gt;&lt;publisher&gt;Oxford University Press&lt;/publisher&gt;&lt;urls&gt;&lt;/urls&gt;&lt;/record&gt;&lt;/Cite&gt;&lt;/EndNote&gt;</w:instrText>
      </w:r>
      <w:r w:rsidRPr="008C04EC">
        <w:rPr>
          <w:rFonts w:ascii="Times New Roman" w:hAnsi="Times New Roman" w:cs="Times New Roman"/>
          <w:color w:val="000000" w:themeColor="text1"/>
          <w:sz w:val="24"/>
          <w:szCs w:val="24"/>
        </w:rPr>
        <w:fldChar w:fldCharType="separate"/>
      </w:r>
      <w:r w:rsidRPr="008C04EC">
        <w:rPr>
          <w:rFonts w:ascii="Times New Roman" w:hAnsi="Times New Roman" w:cs="Times New Roman"/>
          <w:noProof/>
          <w:color w:val="000000" w:themeColor="text1"/>
          <w:sz w:val="24"/>
          <w:szCs w:val="24"/>
        </w:rPr>
        <w:t>(</w:t>
      </w:r>
      <w:hyperlink w:anchor="_ENREF_20" w:tooltip="Davidson, 1993 #1225" w:history="1">
        <w:r w:rsidRPr="008C04EC">
          <w:rPr>
            <w:rFonts w:ascii="Times New Roman" w:hAnsi="Times New Roman" w:cs="Times New Roman"/>
            <w:noProof/>
            <w:color w:val="000000" w:themeColor="text1"/>
            <w:sz w:val="24"/>
            <w:szCs w:val="24"/>
          </w:rPr>
          <w:t>Davidson &amp; MacKinnon, 1993</w:t>
        </w:r>
      </w:hyperlink>
      <w:r w:rsidRPr="008C04EC">
        <w:rPr>
          <w:rFonts w:ascii="Times New Roman" w:hAnsi="Times New Roman" w:cs="Times New Roman"/>
          <w:noProof/>
          <w:color w:val="000000" w:themeColor="text1"/>
          <w:sz w:val="24"/>
          <w:szCs w:val="24"/>
        </w:rPr>
        <w:t>)</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xml:space="preserve">. We used the methodology suggested by </w:t>
      </w:r>
      <w:hyperlink w:anchor="_ENREF_25" w:tooltip="Dong, 2016 #1226" w:history="1">
        <w:r w:rsidRPr="008C04EC">
          <w:rPr>
            <w:rFonts w:ascii="Times New Roman" w:hAnsi="Times New Roman" w:cs="Times New Roman"/>
            <w:color w:val="000000" w:themeColor="text1"/>
            <w:sz w:val="24"/>
            <w:szCs w:val="24"/>
          </w:rPr>
          <w:fldChar w:fldCharType="begin"/>
        </w:r>
        <w:r w:rsidRPr="008C04EC">
          <w:rPr>
            <w:rFonts w:ascii="Times New Roman" w:hAnsi="Times New Roman" w:cs="Times New Roman"/>
            <w:color w:val="000000" w:themeColor="text1"/>
            <w:sz w:val="24"/>
            <w:szCs w:val="24"/>
          </w:rPr>
          <w:instrText xml:space="preserve"> ADDIN EN.CITE &lt;EndNote&gt;&lt;Cite AuthorYear="1"&gt;&lt;Author&gt;Dong&lt;/Author&gt;&lt;Year&gt;2016&lt;/Year&gt;&lt;RecNum&gt;1226&lt;/RecNum&gt;&lt;DisplayText&gt;Dong, Ju, and Fang (2016)&lt;/DisplayText&gt;&lt;record&gt;&lt;rec-number&gt;1226&lt;/rec-number&gt;&lt;foreign-keys&gt;&lt;key app="EN" db-id="seavxzzzfrf2p7eddfnxx5ep2ar05z0ddwx9"&gt;1226&lt;/key&gt;&lt;/foreign-keys&gt;&lt;ref-type name="Journal Article"&gt;17&lt;/ref-type&gt;&lt;contributors&gt;&lt;authors&gt;&lt;author&gt;Dong, Maggie Chuoyan&lt;/author&gt;&lt;author&gt;Ju, Min&lt;/author&gt;&lt;author&gt;Fang, Yulin&lt;/author&gt;&lt;/authors&gt;&lt;/contributors&gt;&lt;titles&gt;&lt;title&gt;Role hazard between supply chain partners in an institutionally fragmented market&lt;/title&gt;&lt;secondary-title&gt;Journal of Operations Management&lt;/secondary-title&gt;&lt;/titles&gt;&lt;periodical&gt;&lt;full-title&gt;Journal of Operations Management&lt;/full-title&gt;&lt;/periodical&gt;&lt;pages&gt;5-18&lt;/pages&gt;&lt;volume&gt;46&lt;/volume&gt;&lt;keywords&gt;&lt;keyword&gt;Role hazard&lt;/keyword&gt;&lt;keyword&gt;Sub-national institutional distance&lt;/keyword&gt;&lt;keyword&gt;Buyer–supplier relationship&lt;/keyword&gt;&lt;keyword&gt;Relational coordination&lt;/keyword&gt;&lt;keyword&gt;Action alignment mechanism&lt;/keyword&gt;&lt;keyword&gt;Emerging markets&lt;/keyword&gt;&lt;/keywords&gt;&lt;dates&gt;&lt;year&gt;2016&lt;/year&gt;&lt;pub-dates&gt;&lt;date&gt;2016/09/01/&lt;/date&gt;&lt;/pub-dates&gt;&lt;/dates&gt;&lt;isbn&gt;0272-6963&lt;/isbn&gt;&lt;urls&gt;&lt;related-urls&gt;&lt;url&gt;http://www.sciencedirect.com/science/article/pii/S0272696316300663&lt;/url&gt;&lt;/related-urls&gt;&lt;/urls&gt;&lt;electronic-resource-num&gt;https://doi.org/10.1016/j.jom.2016.07.006&lt;/electronic-resource-num&gt;&lt;/record&gt;&lt;/Cite&gt;&lt;/EndNote&gt;</w:instrText>
        </w:r>
        <w:r w:rsidRPr="008C04EC">
          <w:rPr>
            <w:rFonts w:ascii="Times New Roman" w:hAnsi="Times New Roman" w:cs="Times New Roman"/>
            <w:color w:val="000000" w:themeColor="text1"/>
            <w:sz w:val="24"/>
            <w:szCs w:val="24"/>
          </w:rPr>
          <w:fldChar w:fldCharType="separate"/>
        </w:r>
        <w:r w:rsidRPr="008C04EC">
          <w:rPr>
            <w:rFonts w:ascii="Times New Roman" w:hAnsi="Times New Roman" w:cs="Times New Roman"/>
            <w:noProof/>
            <w:color w:val="000000" w:themeColor="text1"/>
            <w:sz w:val="24"/>
            <w:szCs w:val="24"/>
          </w:rPr>
          <w:t>Dong, Ju, and Fang (2016)</w:t>
        </w:r>
        <w:r w:rsidRPr="008C04EC">
          <w:rPr>
            <w:rFonts w:ascii="Times New Roman" w:hAnsi="Times New Roman" w:cs="Times New Roman"/>
            <w:color w:val="000000" w:themeColor="text1"/>
            <w:sz w:val="24"/>
            <w:szCs w:val="24"/>
          </w:rPr>
          <w:fldChar w:fldCharType="end"/>
        </w:r>
      </w:hyperlink>
      <w:r w:rsidR="00A82C41" w:rsidRPr="008C04EC">
        <w:rPr>
          <w:rFonts w:ascii="Times New Roman" w:hAnsi="Times New Roman" w:cs="Times New Roman"/>
          <w:color w:val="000000" w:themeColor="text1"/>
          <w:sz w:val="24"/>
          <w:szCs w:val="24"/>
        </w:rPr>
        <w:t xml:space="preserve"> in the Journal of Operations Management</w:t>
      </w:r>
      <w:r w:rsidRPr="008C04EC">
        <w:rPr>
          <w:rFonts w:ascii="Times New Roman" w:hAnsi="Times New Roman" w:cs="Times New Roman"/>
          <w:color w:val="000000" w:themeColor="text1"/>
          <w:sz w:val="24"/>
          <w:szCs w:val="24"/>
        </w:rPr>
        <w:t xml:space="preserve">. We first regressed </w:t>
      </w:r>
      <w:r w:rsidR="00D014B7">
        <w:rPr>
          <w:rFonts w:ascii="Times New Roman" w:hAnsi="Times New Roman" w:cs="Times New Roman"/>
          <w:color w:val="000000" w:themeColor="text1"/>
          <w:sz w:val="24"/>
          <w:szCs w:val="24"/>
        </w:rPr>
        <w:t>entrepreneurial</w:t>
      </w:r>
      <w:r w:rsidR="00A82C41" w:rsidRPr="008C04EC">
        <w:rPr>
          <w:rFonts w:ascii="Times New Roman" w:hAnsi="Times New Roman" w:cs="Times New Roman"/>
          <w:color w:val="000000" w:themeColor="text1"/>
          <w:sz w:val="24"/>
          <w:szCs w:val="24"/>
        </w:rPr>
        <w:t xml:space="preserve"> orientation </w:t>
      </w:r>
      <w:r w:rsidRPr="008C04EC">
        <w:rPr>
          <w:rFonts w:ascii="Times New Roman" w:hAnsi="Times New Roman" w:cs="Times New Roman"/>
          <w:color w:val="000000" w:themeColor="text1"/>
          <w:sz w:val="24"/>
          <w:szCs w:val="24"/>
        </w:rPr>
        <w:t xml:space="preserve">on the control variables and then considered the residual of this regression as an additional regressor in our hypothesized model. The estimate for the residual was not significant in our model, indicating that </w:t>
      </w:r>
      <w:r w:rsidR="00D014B7">
        <w:rPr>
          <w:rFonts w:ascii="Times New Roman" w:hAnsi="Times New Roman" w:cs="Times New Roman"/>
          <w:color w:val="000000" w:themeColor="text1"/>
          <w:sz w:val="24"/>
          <w:szCs w:val="24"/>
        </w:rPr>
        <w:t>entrepreneurial</w:t>
      </w:r>
      <w:r w:rsidR="00A82C41" w:rsidRPr="008C04EC">
        <w:rPr>
          <w:rFonts w:ascii="Times New Roman" w:hAnsi="Times New Roman" w:cs="Times New Roman"/>
          <w:color w:val="000000" w:themeColor="text1"/>
          <w:sz w:val="24"/>
          <w:szCs w:val="24"/>
        </w:rPr>
        <w:t xml:space="preserve"> orientation</w:t>
      </w:r>
      <w:r w:rsidRPr="008C04EC">
        <w:rPr>
          <w:rFonts w:ascii="Times New Roman" w:hAnsi="Times New Roman" w:cs="Times New Roman"/>
          <w:color w:val="000000" w:themeColor="text1"/>
          <w:sz w:val="24"/>
          <w:szCs w:val="24"/>
        </w:rPr>
        <w:t xml:space="preserve"> was not endogenous in our model. </w:t>
      </w:r>
    </w:p>
    <w:p w14:paraId="14985DA4" w14:textId="04A2D826" w:rsidR="005249CB" w:rsidRPr="008C04EC" w:rsidRDefault="005249CB" w:rsidP="005249CB">
      <w:pPr>
        <w:spacing w:after="0" w:line="480" w:lineRule="auto"/>
        <w:jc w:val="both"/>
        <w:rPr>
          <w:rFonts w:ascii="Times New Roman" w:eastAsia="Calibri" w:hAnsi="Times New Roman" w:cs="Times New Roman"/>
          <w:b/>
          <w:i/>
          <w:color w:val="000000" w:themeColor="text1"/>
          <w:sz w:val="24"/>
          <w:szCs w:val="24"/>
          <w:lang w:val="en-GB"/>
        </w:rPr>
      </w:pPr>
      <w:r w:rsidRPr="008C04EC">
        <w:rPr>
          <w:rFonts w:ascii="Times New Roman" w:eastAsia="Calibri" w:hAnsi="Times New Roman" w:cs="Times New Roman"/>
          <w:b/>
          <w:i/>
          <w:color w:val="000000" w:themeColor="text1"/>
          <w:sz w:val="24"/>
          <w:szCs w:val="24"/>
          <w:lang w:val="en-GB"/>
        </w:rPr>
        <w:t>3.</w:t>
      </w:r>
      <w:r w:rsidR="00641B32" w:rsidRPr="008C04EC">
        <w:rPr>
          <w:rFonts w:ascii="Times New Roman" w:eastAsia="Calibri" w:hAnsi="Times New Roman" w:cs="Times New Roman"/>
          <w:b/>
          <w:i/>
          <w:color w:val="000000" w:themeColor="text1"/>
          <w:sz w:val="24"/>
          <w:szCs w:val="24"/>
          <w:lang w:val="en-GB"/>
        </w:rPr>
        <w:t>5</w:t>
      </w:r>
      <w:r w:rsidRPr="008C04EC">
        <w:rPr>
          <w:rFonts w:ascii="Times New Roman" w:eastAsia="Calibri" w:hAnsi="Times New Roman" w:cs="Times New Roman"/>
          <w:b/>
          <w:i/>
          <w:color w:val="000000" w:themeColor="text1"/>
          <w:sz w:val="24"/>
          <w:szCs w:val="24"/>
          <w:lang w:val="en-GB"/>
        </w:rPr>
        <w:t xml:space="preserve">. Assessment of Psychometric Properties </w:t>
      </w:r>
    </w:p>
    <w:p w14:paraId="344D1779" w14:textId="5CDFB32F" w:rsidR="005249CB" w:rsidRPr="008C04EC" w:rsidRDefault="005249CB" w:rsidP="005249CB">
      <w:pPr>
        <w:tabs>
          <w:tab w:val="left" w:pos="2268"/>
        </w:tabs>
        <w:spacing w:after="0" w:line="480" w:lineRule="auto"/>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In order to validate the measurement model, confirmatory factor analysis (CFA) was run based on all first-order factors. Model fit indices (</w:t>
      </w:r>
      <w:r w:rsidRPr="008C04EC">
        <w:rPr>
          <w:rFonts w:ascii="Times New Roman" w:eastAsia="Calibri" w:hAnsi="Times New Roman" w:cs="Times New Roman"/>
          <w:i/>
          <w:color w:val="000000" w:themeColor="text1"/>
          <w:sz w:val="24"/>
          <w:szCs w:val="24"/>
          <w:lang w:val="en-GB"/>
        </w:rPr>
        <w:t>χ</w:t>
      </w:r>
      <w:r w:rsidRPr="008C04EC">
        <w:rPr>
          <w:rFonts w:ascii="Times New Roman" w:eastAsia="Calibri" w:hAnsi="Times New Roman" w:cs="Times New Roman"/>
          <w:i/>
          <w:color w:val="000000" w:themeColor="text1"/>
          <w:sz w:val="24"/>
          <w:szCs w:val="24"/>
          <w:vertAlign w:val="superscript"/>
          <w:lang w:val="en-GB"/>
        </w:rPr>
        <w:t xml:space="preserve">2 </w:t>
      </w:r>
      <w:r w:rsidRPr="008C04EC">
        <w:rPr>
          <w:rFonts w:ascii="Times New Roman" w:eastAsia="Calibri" w:hAnsi="Times New Roman" w:cs="Times New Roman"/>
          <w:color w:val="000000" w:themeColor="text1"/>
          <w:sz w:val="24"/>
          <w:szCs w:val="24"/>
          <w:lang w:val="en-GB"/>
        </w:rPr>
        <w:t xml:space="preserve">= 1.62, </w:t>
      </w:r>
      <w:r w:rsidRPr="008C04EC">
        <w:rPr>
          <w:rFonts w:ascii="Times New Roman" w:eastAsia="Calibri" w:hAnsi="Times New Roman" w:cs="Times New Roman"/>
          <w:i/>
          <w:color w:val="000000" w:themeColor="text1"/>
          <w:sz w:val="24"/>
          <w:szCs w:val="24"/>
          <w:lang w:val="en-GB"/>
        </w:rPr>
        <w:t xml:space="preserve">p </w:t>
      </w:r>
      <w:r w:rsidRPr="008C04EC">
        <w:rPr>
          <w:rFonts w:ascii="Times New Roman" w:eastAsia="Calibri" w:hAnsi="Times New Roman" w:cs="Times New Roman"/>
          <w:color w:val="000000" w:themeColor="text1"/>
          <w:sz w:val="24"/>
          <w:szCs w:val="24"/>
          <w:lang w:val="en-GB"/>
        </w:rPr>
        <w:t xml:space="preserve">&gt; 0.05, GFI = 0.90, CFI = 0.96 and RMSEA = 0.047) showed a good fit </w:t>
      </w:r>
      <w:r w:rsidRPr="008C04EC">
        <w:rPr>
          <w:rFonts w:ascii="Times New Roman" w:eastAsia="Calibri" w:hAnsi="Times New Roman" w:cs="Times New Roman"/>
          <w:color w:val="000000" w:themeColor="text1"/>
          <w:sz w:val="24"/>
          <w:szCs w:val="24"/>
          <w:lang w:val="en-GB"/>
        </w:rPr>
        <w:fldChar w:fldCharType="begin"/>
      </w:r>
      <w:r w:rsidR="00D30452" w:rsidRPr="008C04EC">
        <w:rPr>
          <w:rFonts w:ascii="Times New Roman" w:eastAsia="Calibri" w:hAnsi="Times New Roman" w:cs="Times New Roman"/>
          <w:color w:val="000000" w:themeColor="text1"/>
          <w:sz w:val="24"/>
          <w:szCs w:val="24"/>
          <w:lang w:val="en-GB"/>
        </w:rPr>
        <w:instrText xml:space="preserve"> ADDIN EN.CITE &lt;EndNote&gt;&lt;Cite&gt;&lt;Author&gt;Hu&lt;/Author&gt;&lt;Year&gt;1999&lt;/Year&gt;&lt;RecNum&gt;956&lt;/RecNum&gt;&lt;DisplayText&gt;(Hu &amp;amp; Bentler, 1999)&lt;/DisplayText&gt;&lt;record&gt;&lt;rec-number&gt;956&lt;/rec-number&gt;&lt;foreign-keys&gt;&lt;key app="EN" db-id="seavxzzzfrf2p7eddfnxx5ep2ar05z0ddwx9"&gt;956&lt;/key&gt;&lt;/foreign-keys&gt;&lt;ref-type name="Journal Article"&gt;17&lt;/ref-type&gt;&lt;contributors&gt;&lt;authors&gt;&lt;author&gt;Hu, Li</w:instrText>
      </w:r>
      <w:r w:rsidR="00D30452" w:rsidRPr="008C04EC">
        <w:rPr>
          <w:rFonts w:ascii="Cambria Math" w:eastAsia="Calibri" w:hAnsi="Cambria Math" w:cs="Cambria Math"/>
          <w:color w:val="000000" w:themeColor="text1"/>
          <w:sz w:val="24"/>
          <w:szCs w:val="24"/>
          <w:lang w:val="en-GB"/>
        </w:rPr>
        <w:instrText>‐</w:instrText>
      </w:r>
      <w:r w:rsidR="00D30452" w:rsidRPr="008C04EC">
        <w:rPr>
          <w:rFonts w:ascii="Times New Roman" w:eastAsia="Calibri" w:hAnsi="Times New Roman" w:cs="Times New Roman"/>
          <w:color w:val="000000" w:themeColor="text1"/>
          <w:sz w:val="24"/>
          <w:szCs w:val="24"/>
          <w:lang w:val="en-GB"/>
        </w:rPr>
        <w:instrText>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w:t>
      </w:r>
      <w:hyperlink w:anchor="_ENREF_44" w:tooltip="Hu, 1999 #956" w:history="1">
        <w:r w:rsidR="00641B32" w:rsidRPr="008C04EC">
          <w:rPr>
            <w:rFonts w:ascii="Times New Roman" w:eastAsia="Calibri" w:hAnsi="Times New Roman" w:cs="Times New Roman"/>
            <w:noProof/>
            <w:color w:val="000000" w:themeColor="text1"/>
            <w:sz w:val="24"/>
            <w:szCs w:val="24"/>
            <w:lang w:val="en-GB"/>
          </w:rPr>
          <w:t>Hu &amp; Bentler, 1999</w:t>
        </w:r>
      </w:hyperlink>
      <w:r w:rsidR="00D30452" w:rsidRPr="008C04EC">
        <w:rPr>
          <w:rFonts w:ascii="Times New Roman" w:eastAsia="Calibri" w:hAnsi="Times New Roman" w:cs="Times New Roman"/>
          <w:noProof/>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 xml:space="preserve">. Factor loadings for all the constructs were either close to or above 0.7, and average variance extracted (AVE) for each construct was higher than 0.5 </w:t>
      </w:r>
      <w:r w:rsidRPr="008C04EC">
        <w:rPr>
          <w:rFonts w:ascii="Times New Roman" w:eastAsia="Calibri" w:hAnsi="Times New Roman" w:cs="Times New Roman"/>
          <w:color w:val="000000" w:themeColor="text1"/>
          <w:sz w:val="24"/>
          <w:lang w:val="en-GB"/>
        </w:rPr>
        <w:fldChar w:fldCharType="begin"/>
      </w:r>
      <w:r w:rsidR="00D30452" w:rsidRPr="008C04EC">
        <w:rPr>
          <w:rFonts w:ascii="Times New Roman" w:eastAsia="Calibri" w:hAnsi="Times New Roman" w:cs="Times New Roman"/>
          <w:color w:val="000000" w:themeColor="text1"/>
          <w:sz w:val="24"/>
          <w:lang w:val="en-GB"/>
        </w:rPr>
        <w:instrText xml:space="preserve"> ADDIN EN.CITE &lt;EndNote&gt;&lt;Cite&gt;&lt;Author&gt;Fornell&lt;/Author&gt;&lt;Year&gt;1981&lt;/Year&gt;&lt;RecNum&gt;968&lt;/RecNum&gt;&lt;DisplayText&gt;(Fornell &amp;amp; Larcker, 1981)&lt;/DisplayText&gt;&lt;record&gt;&lt;rec-number&gt;968&lt;/rec-number&gt;&lt;foreign-keys&gt;&lt;key app="EN" db-id="seavxzzzfrf2p7eddfnxx5ep2ar05z0ddwx9"&gt;968&lt;/key&gt;&lt;/foreign-keys&gt;&lt;ref-type name="Journal Article"&gt;17&lt;/ref-type&gt;&lt;contributors&gt;&lt;authors&gt;&lt;author&gt;Fornell, Claes&lt;/author&gt;&lt;author&gt;Larcker, David F&lt;/author&gt;&lt;/authors&gt;&lt;/contributors&gt;&lt;titles&gt;&lt;title&gt;Evaluating structural equation models with unobservable variables and measurement error&lt;/title&gt;&lt;secondary-title&gt;Journal of Marketing Research&lt;/secondary-title&gt;&lt;/titles&gt;&lt;periodical&gt;&lt;full-title&gt;Journal of marketing research&lt;/full-title&gt;&lt;/periodical&gt;&lt;pages&gt;39-50&lt;/pages&gt;&lt;volume&gt;18&lt;/volume&gt;&lt;number&gt;1&lt;/number&gt;&lt;dates&gt;&lt;year&gt;1981&lt;/year&gt;&lt;/dates&gt;&lt;publisher&gt;JSTOR&lt;/publisher&gt;&lt;isbn&gt;0022-2437&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00D30452" w:rsidRPr="008C04EC">
        <w:rPr>
          <w:rFonts w:ascii="Times New Roman" w:eastAsia="Calibri" w:hAnsi="Times New Roman" w:cs="Times New Roman"/>
          <w:noProof/>
          <w:color w:val="000000" w:themeColor="text1"/>
          <w:sz w:val="24"/>
          <w:lang w:val="en-GB"/>
        </w:rPr>
        <w:t>(</w:t>
      </w:r>
      <w:hyperlink w:anchor="_ENREF_32" w:tooltip="Fornell, 1981 #968" w:history="1">
        <w:r w:rsidR="00641B32" w:rsidRPr="008C04EC">
          <w:rPr>
            <w:rFonts w:ascii="Times New Roman" w:eastAsia="Calibri" w:hAnsi="Times New Roman" w:cs="Times New Roman"/>
            <w:noProof/>
            <w:color w:val="000000" w:themeColor="text1"/>
            <w:sz w:val="24"/>
            <w:lang w:val="en-GB"/>
          </w:rPr>
          <w:t>Fornell &amp; Larcker, 1981</w:t>
        </w:r>
      </w:hyperlink>
      <w:r w:rsidR="00D30452" w:rsidRPr="008C04EC">
        <w:rPr>
          <w:rFonts w:ascii="Times New Roman" w:eastAsia="Calibri" w:hAnsi="Times New Roman" w:cs="Times New Roman"/>
          <w:noProof/>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szCs w:val="24"/>
          <w:lang w:val="en-GB"/>
        </w:rPr>
        <w:t xml:space="preserve">. In combination with significant p-values, this indicates a suitable level of convergent validity. </w:t>
      </w:r>
    </w:p>
    <w:p w14:paraId="0C8A4DF5" w14:textId="44192750" w:rsidR="005249CB" w:rsidRPr="008C04EC" w:rsidRDefault="005249CB" w:rsidP="005249CB">
      <w:pPr>
        <w:tabs>
          <w:tab w:val="left" w:pos="2268"/>
        </w:tabs>
        <w:spacing w:after="0" w:line="480" w:lineRule="auto"/>
        <w:ind w:firstLine="567"/>
        <w:jc w:val="both"/>
        <w:rPr>
          <w:rFonts w:ascii="Times New Roman" w:eastAsia="Calibri" w:hAnsi="Times New Roman" w:cs="Times New Roman"/>
          <w:color w:val="000000" w:themeColor="text1"/>
          <w:sz w:val="24"/>
          <w:lang w:val="en-GB"/>
        </w:rPr>
      </w:pPr>
      <w:r w:rsidRPr="008C04EC">
        <w:rPr>
          <w:rFonts w:ascii="Times New Roman" w:eastAsia="Calibri" w:hAnsi="Times New Roman" w:cs="Times New Roman"/>
          <w:color w:val="000000" w:themeColor="text1"/>
          <w:sz w:val="24"/>
          <w:lang w:val="en-GB"/>
        </w:rPr>
        <w:t xml:space="preserve">Discriminant validity was established by comparing the AVE </w:t>
      </w:r>
      <w:r w:rsidRPr="008C04EC">
        <w:rPr>
          <w:rFonts w:ascii="Times New Roman" w:eastAsia="Calibri" w:hAnsi="Times New Roman" w:cs="Times New Roman"/>
          <w:color w:val="000000" w:themeColor="text1"/>
          <w:sz w:val="24"/>
          <w:szCs w:val="24"/>
          <w:lang w:val="en-GB"/>
        </w:rPr>
        <w:t>with maximum shared variance (MSV) for each construct</w:t>
      </w:r>
      <w:r w:rsidRPr="008C04EC">
        <w:rPr>
          <w:rFonts w:ascii="Times New Roman" w:eastAsia="Calibri" w:hAnsi="Times New Roman" w:cs="Times New Roman"/>
          <w:color w:val="000000" w:themeColor="text1"/>
          <w:sz w:val="24"/>
          <w:lang w:val="en-GB"/>
        </w:rPr>
        <w:t xml:space="preserve">. MSVs of the constructs </w:t>
      </w:r>
      <w:r w:rsidRPr="008C04EC">
        <w:rPr>
          <w:rFonts w:ascii="Times New Roman" w:eastAsia="Calibri" w:hAnsi="Times New Roman" w:cs="Times New Roman"/>
          <w:color w:val="000000" w:themeColor="text1"/>
          <w:sz w:val="24"/>
          <w:szCs w:val="24"/>
          <w:lang w:val="en-GB"/>
        </w:rPr>
        <w:t xml:space="preserve">were less than AVEs, providing evidence of discriminant validity </w:t>
      </w:r>
      <w:r w:rsidRPr="008C04EC">
        <w:rPr>
          <w:rFonts w:ascii="Times New Roman" w:eastAsia="Calibri" w:hAnsi="Times New Roman" w:cs="Times New Roman"/>
          <w:color w:val="000000" w:themeColor="text1"/>
          <w:sz w:val="24"/>
          <w:szCs w:val="24"/>
          <w:lang w:val="en-GB"/>
        </w:rPr>
        <w:fldChar w:fldCharType="begin"/>
      </w:r>
      <w:r w:rsidR="00D30452" w:rsidRPr="008C04EC">
        <w:rPr>
          <w:rFonts w:ascii="Times New Roman" w:eastAsia="Calibri" w:hAnsi="Times New Roman" w:cs="Times New Roman"/>
          <w:color w:val="000000" w:themeColor="text1"/>
          <w:sz w:val="24"/>
          <w:szCs w:val="24"/>
          <w:lang w:val="en-GB"/>
        </w:rPr>
        <w:instrText xml:space="preserve"> ADDIN EN.CITE &lt;EndNote&gt;&lt;Cite&gt;&lt;Author&gt;Liu&lt;/Author&gt;&lt;Year&gt;2018&lt;/Year&gt;&lt;RecNum&gt;1222&lt;/RecNum&gt;&lt;DisplayText&gt;(Kumar et al., 2018; Liu, Blome, Sanderson, &amp;amp; Paulraj, 2018)&lt;/DisplayText&gt;&lt;record&gt;&lt;rec-number&gt;1222&lt;/rec-number&gt;&lt;foreign-keys&gt;&lt;key app="EN" db-id="seavxzzzfrf2p7eddfnxx5ep2ar05z0ddwx9"&gt;1222&lt;/key&gt;&lt;/foreign-keys&gt;&lt;ref-type name="Journal Article"&gt;17&lt;/ref-type&gt;&lt;contributors&gt;&lt;authors&gt;&lt;author&gt;Liu, Yang&lt;/author&gt;&lt;author&gt;Blome, Constantin&lt;/author&gt;&lt;author&gt;Sanderson, Joe&lt;/author&gt;&lt;author&gt;Paulraj, Antony&lt;/author&gt;&lt;/authors&gt;&lt;/contributors&gt;&lt;titles&gt;&lt;title&gt;Supply chain integration capabilities, green design strategy and performance: a comparative study in the auto industry&lt;/title&gt;&lt;secondary-title&gt;Supply Chain Management: An International Journal&lt;/secondary-title&gt;&lt;/titles&gt;&lt;periodical&gt;&lt;full-title&gt;Supply Chain Management: An International Journal&lt;/full-title&gt;&lt;/periodical&gt;&lt;pages&gt;431-443&lt;/pages&gt;&lt;volume&gt;23&lt;/volume&gt;&lt;number&gt;5&lt;/number&gt;&lt;dates&gt;&lt;year&gt;2018&lt;/year&gt;&lt;/dates&gt;&lt;isbn&gt;1359-8546&lt;/isbn&gt;&lt;urls&gt;&lt;/urls&gt;&lt;/record&gt;&lt;/Cite&gt;&lt;Cite&gt;&lt;Author&gt;Kumar&lt;/Author&gt;&lt;Year&gt;2018&lt;/Year&gt;&lt;RecNum&gt;1223&lt;/RecNum&gt;&lt;record&gt;&lt;rec-number&gt;1223&lt;/rec-number&gt;&lt;foreign-keys&gt;&lt;key app="EN" db-id="seavxzzzfrf2p7eddfnxx5ep2ar05z0ddwx9"&gt;1223&lt;/key&gt;&lt;/foreign-keys&gt;&lt;ref-type name="Journal Article"&gt;17&lt;/ref-type&gt;&lt;contributors&gt;&lt;authors&gt;&lt;author&gt;Kumar, Vikas&lt;/author&gt;&lt;author&gt;Bak, Ozlem&lt;/author&gt;&lt;author&gt;Guo, Ruizhi&lt;/author&gt;&lt;author&gt;Shaw, Sarah Louise&lt;/author&gt;&lt;author&gt;Colicchia, Claudia&lt;/author&gt;&lt;author&gt;Garza-Reyes, Jose Arturo&lt;/author&gt;&lt;author&gt;Kumari, Archana&lt;/author&gt;&lt;/authors&gt;&lt;/contributors&gt;&lt;titles&gt;&lt;title&gt;An empirical analysis of supply and manufacturing risk and business performance: A Chinese manufacturing supply chain perspective&lt;/title&gt;&lt;secondary-title&gt;Supply Chain Management: An International Journal&lt;/secondary-title&gt;&lt;/titles&gt;&lt;periodical&gt;&lt;full-title&gt;Supply Chain Management: An International Journal&lt;/full-title&gt;&lt;/periodical&gt;&lt;pages&gt;461-479&lt;/pages&gt;&lt;volume&gt;23&lt;/volume&gt;&lt;number&gt;6&lt;/number&gt;&lt;dates&gt;&lt;year&gt;2018&lt;/year&gt;&lt;/dates&gt;&lt;isbn&gt;1359-8546&lt;/isbn&gt;&lt;urls&gt;&lt;/urls&gt;&lt;/record&gt;&lt;/Cite&gt;&lt;/EndNote&gt;</w:instrText>
      </w:r>
      <w:r w:rsidRPr="008C04EC">
        <w:rPr>
          <w:rFonts w:ascii="Times New Roman" w:eastAsia="Calibri" w:hAnsi="Times New Roman" w:cs="Times New Roman"/>
          <w:color w:val="000000" w:themeColor="text1"/>
          <w:sz w:val="24"/>
          <w:szCs w:val="24"/>
          <w:lang w:val="en-GB"/>
        </w:rPr>
        <w:fldChar w:fldCharType="separate"/>
      </w:r>
      <w:r w:rsidR="00D30452" w:rsidRPr="008C04EC">
        <w:rPr>
          <w:rFonts w:ascii="Times New Roman" w:eastAsia="Calibri" w:hAnsi="Times New Roman" w:cs="Times New Roman"/>
          <w:noProof/>
          <w:color w:val="000000" w:themeColor="text1"/>
          <w:sz w:val="24"/>
          <w:szCs w:val="24"/>
          <w:lang w:val="en-GB"/>
        </w:rPr>
        <w:t>(</w:t>
      </w:r>
      <w:hyperlink w:anchor="_ENREF_56" w:tooltip="Kumar, 2018 #1223" w:history="1">
        <w:r w:rsidR="00641B32" w:rsidRPr="008C04EC">
          <w:rPr>
            <w:rFonts w:ascii="Times New Roman" w:eastAsia="Calibri" w:hAnsi="Times New Roman" w:cs="Times New Roman"/>
            <w:noProof/>
            <w:color w:val="000000" w:themeColor="text1"/>
            <w:sz w:val="24"/>
            <w:szCs w:val="24"/>
            <w:lang w:val="en-GB"/>
          </w:rPr>
          <w:t>Kumar et al., 2018</w:t>
        </w:r>
      </w:hyperlink>
      <w:r w:rsidR="00D30452" w:rsidRPr="008C04EC">
        <w:rPr>
          <w:rFonts w:ascii="Times New Roman" w:eastAsia="Calibri" w:hAnsi="Times New Roman" w:cs="Times New Roman"/>
          <w:noProof/>
          <w:color w:val="000000" w:themeColor="text1"/>
          <w:sz w:val="24"/>
          <w:szCs w:val="24"/>
          <w:lang w:val="en-GB"/>
        </w:rPr>
        <w:t xml:space="preserve">; </w:t>
      </w:r>
      <w:hyperlink w:anchor="_ENREF_61" w:tooltip="Liu, 2018 #1222" w:history="1">
        <w:r w:rsidR="00641B32" w:rsidRPr="008C04EC">
          <w:rPr>
            <w:rFonts w:ascii="Times New Roman" w:eastAsia="Calibri" w:hAnsi="Times New Roman" w:cs="Times New Roman"/>
            <w:noProof/>
            <w:color w:val="000000" w:themeColor="text1"/>
            <w:sz w:val="24"/>
            <w:szCs w:val="24"/>
            <w:lang w:val="en-GB"/>
          </w:rPr>
          <w:t>Liu</w:t>
        </w:r>
        <w:r w:rsidR="00E91433">
          <w:rPr>
            <w:rFonts w:ascii="Times New Roman" w:eastAsia="Calibri" w:hAnsi="Times New Roman" w:cs="Times New Roman"/>
            <w:noProof/>
            <w:color w:val="000000" w:themeColor="text1"/>
            <w:sz w:val="24"/>
            <w:szCs w:val="24"/>
            <w:lang w:val="en-GB"/>
          </w:rPr>
          <w:t xml:space="preserve"> et al.</w:t>
        </w:r>
        <w:r w:rsidR="00641B32" w:rsidRPr="008C04EC">
          <w:rPr>
            <w:rFonts w:ascii="Times New Roman" w:eastAsia="Calibri" w:hAnsi="Times New Roman" w:cs="Times New Roman"/>
            <w:noProof/>
            <w:color w:val="000000" w:themeColor="text1"/>
            <w:sz w:val="24"/>
            <w:szCs w:val="24"/>
            <w:lang w:val="en-GB"/>
          </w:rPr>
          <w:t>, 2018</w:t>
        </w:r>
      </w:hyperlink>
      <w:r w:rsidR="00D30452" w:rsidRPr="008C04EC">
        <w:rPr>
          <w:rFonts w:ascii="Times New Roman" w:eastAsia="Calibri" w:hAnsi="Times New Roman" w:cs="Times New Roman"/>
          <w:noProof/>
          <w:color w:val="000000" w:themeColor="text1"/>
          <w:sz w:val="24"/>
          <w:szCs w:val="24"/>
          <w:lang w:val="en-GB"/>
        </w:rPr>
        <w:t>)</w:t>
      </w:r>
      <w:r w:rsidRPr="008C04EC">
        <w:rPr>
          <w:rFonts w:ascii="Times New Roman" w:eastAsia="Calibri" w:hAnsi="Times New Roman" w:cs="Times New Roman"/>
          <w:color w:val="000000" w:themeColor="text1"/>
          <w:sz w:val="24"/>
          <w:szCs w:val="24"/>
          <w:lang w:val="en-GB"/>
        </w:rPr>
        <w:fldChar w:fldCharType="end"/>
      </w:r>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color w:val="000000" w:themeColor="text1"/>
          <w:sz w:val="24"/>
          <w:lang w:val="en-GB"/>
        </w:rPr>
        <w:t xml:space="preserve"> Furthermore, bi-variate correlations were compared with the square root of AVE </w:t>
      </w:r>
      <w:r w:rsidRPr="008C04EC">
        <w:rPr>
          <w:rFonts w:ascii="Times New Roman" w:eastAsia="Calibri" w:hAnsi="Times New Roman" w:cs="Times New Roman"/>
          <w:color w:val="000000" w:themeColor="text1"/>
          <w:sz w:val="24"/>
          <w:lang w:val="en-GB"/>
        </w:rPr>
        <w:fldChar w:fldCharType="begin"/>
      </w:r>
      <w:r w:rsidR="00D30452" w:rsidRPr="008C04EC">
        <w:rPr>
          <w:rFonts w:ascii="Times New Roman" w:eastAsia="Calibri" w:hAnsi="Times New Roman" w:cs="Times New Roman"/>
          <w:color w:val="000000" w:themeColor="text1"/>
          <w:sz w:val="24"/>
          <w:lang w:val="en-GB"/>
        </w:rPr>
        <w:instrText xml:space="preserve"> ADDIN EN.CITE &lt;EndNote&gt;&lt;Cite&gt;&lt;Author&gt;Fornell&lt;/Author&gt;&lt;Year&gt;1981&lt;/Year&gt;&lt;RecNum&gt;968&lt;/RecNum&gt;&lt;DisplayText&gt;(Fornell &amp;amp; Larcker, 1981)&lt;/DisplayText&gt;&lt;record&gt;&lt;rec-number&gt;968&lt;/rec-number&gt;&lt;foreign-keys&gt;&lt;key app="EN" db-id="seavxzzzfrf2p7eddfnxx5ep2ar05z0ddwx9"&gt;968&lt;/key&gt;&lt;/foreign-keys&gt;&lt;ref-type name="Journal Article"&gt;17&lt;/ref-type&gt;&lt;contributors&gt;&lt;authors&gt;&lt;author&gt;Fornell, Claes&lt;/author&gt;&lt;author&gt;Larcker, David F&lt;/author&gt;&lt;/authors&gt;&lt;/contributors&gt;&lt;titles&gt;&lt;title&gt;Evaluating structural equation models with unobservable variables and measurement error&lt;/title&gt;&lt;secondary-title&gt;Journal of Marketing Research&lt;/secondary-title&gt;&lt;/titles&gt;&lt;periodical&gt;&lt;full-title&gt;Journal of marketing research&lt;/full-title&gt;&lt;/periodical&gt;&lt;pages&gt;39-50&lt;/pages&gt;&lt;volume&gt;18&lt;/volume&gt;&lt;number&gt;1&lt;/number&gt;&lt;dates&gt;&lt;year&gt;1981&lt;/year&gt;&lt;/dates&gt;&lt;publisher&gt;JSTOR&lt;/publisher&gt;&lt;isbn&gt;0022-2437&lt;/isbn&gt;&lt;urls&gt;&lt;/urls&gt;&lt;/record&gt;&lt;/Cite&gt;&lt;/EndNote&gt;</w:instrText>
      </w:r>
      <w:r w:rsidRPr="008C04EC">
        <w:rPr>
          <w:rFonts w:ascii="Times New Roman" w:eastAsia="Calibri" w:hAnsi="Times New Roman" w:cs="Times New Roman"/>
          <w:color w:val="000000" w:themeColor="text1"/>
          <w:sz w:val="24"/>
          <w:lang w:val="en-GB"/>
        </w:rPr>
        <w:fldChar w:fldCharType="separate"/>
      </w:r>
      <w:r w:rsidR="00D30452" w:rsidRPr="008C04EC">
        <w:rPr>
          <w:rFonts w:ascii="Times New Roman" w:eastAsia="Calibri" w:hAnsi="Times New Roman" w:cs="Times New Roman"/>
          <w:noProof/>
          <w:color w:val="000000" w:themeColor="text1"/>
          <w:sz w:val="24"/>
          <w:lang w:val="en-GB"/>
        </w:rPr>
        <w:t>(</w:t>
      </w:r>
      <w:hyperlink w:anchor="_ENREF_32" w:tooltip="Fornell, 1981 #968" w:history="1">
        <w:r w:rsidR="00641B32" w:rsidRPr="008C04EC">
          <w:rPr>
            <w:rFonts w:ascii="Times New Roman" w:eastAsia="Calibri" w:hAnsi="Times New Roman" w:cs="Times New Roman"/>
            <w:noProof/>
            <w:color w:val="000000" w:themeColor="text1"/>
            <w:sz w:val="24"/>
            <w:lang w:val="en-GB"/>
          </w:rPr>
          <w:t>Fornell &amp; Larcker, 1981</w:t>
        </w:r>
      </w:hyperlink>
      <w:r w:rsidR="00D30452" w:rsidRPr="008C04EC">
        <w:rPr>
          <w:rFonts w:ascii="Times New Roman" w:eastAsia="Calibri" w:hAnsi="Times New Roman" w:cs="Times New Roman"/>
          <w:noProof/>
          <w:color w:val="000000" w:themeColor="text1"/>
          <w:sz w:val="24"/>
          <w:lang w:val="en-GB"/>
        </w:rPr>
        <w:t>)</w:t>
      </w:r>
      <w:r w:rsidRPr="008C04EC">
        <w:rPr>
          <w:rFonts w:ascii="Times New Roman" w:eastAsia="Calibri" w:hAnsi="Times New Roman" w:cs="Times New Roman"/>
          <w:color w:val="000000" w:themeColor="text1"/>
          <w:sz w:val="24"/>
          <w:lang w:val="en-GB"/>
        </w:rPr>
        <w:fldChar w:fldCharType="end"/>
      </w:r>
      <w:r w:rsidRPr="008C04EC">
        <w:rPr>
          <w:rFonts w:ascii="Times New Roman" w:eastAsia="Calibri" w:hAnsi="Times New Roman" w:cs="Times New Roman"/>
          <w:color w:val="000000" w:themeColor="text1"/>
          <w:sz w:val="24"/>
          <w:lang w:val="en-GB"/>
        </w:rPr>
        <w:t xml:space="preserve">. According to this criterion, if the correlation between a pair of constructs is less than AVE, discriminant validity is established. Table 3 provides AVEs and MSVs for all the constructs. Table 4 shows </w:t>
      </w:r>
      <w:r w:rsidRPr="008C04EC">
        <w:rPr>
          <w:rFonts w:ascii="Times New Roman" w:eastAsia="Calibri" w:hAnsi="Times New Roman" w:cs="Times New Roman"/>
          <w:color w:val="000000" w:themeColor="text1"/>
          <w:sz w:val="24"/>
          <w:lang w:val="en-GB"/>
        </w:rPr>
        <w:lastRenderedPageBreak/>
        <w:t xml:space="preserve">that correlations between all pairs of constructs are less than the associated square-roots of AVEs, indicating discriminant validity. Table 4 also provides means and standard deviations (SD) for the constructs in the study. </w:t>
      </w:r>
    </w:p>
    <w:p w14:paraId="30DD710B" w14:textId="77777777" w:rsidR="005249CB" w:rsidRPr="008C04EC" w:rsidRDefault="005249CB" w:rsidP="005249CB">
      <w:pPr>
        <w:tabs>
          <w:tab w:val="left" w:pos="2268"/>
        </w:tabs>
        <w:spacing w:after="0" w:line="480" w:lineRule="auto"/>
        <w:ind w:firstLine="567"/>
        <w:jc w:val="both"/>
        <w:rPr>
          <w:rFonts w:ascii="Times New Roman" w:eastAsia="Calibri" w:hAnsi="Times New Roman" w:cs="Times New Roman"/>
          <w:color w:val="000000" w:themeColor="text1"/>
          <w:sz w:val="24"/>
          <w:szCs w:val="24"/>
          <w:lang w:val="en-GB"/>
        </w:rPr>
      </w:pPr>
      <w:r w:rsidRPr="008C04EC">
        <w:rPr>
          <w:rFonts w:ascii="Times New Roman" w:eastAsia="Calibri" w:hAnsi="Times New Roman" w:cs="Times New Roman"/>
          <w:color w:val="000000" w:themeColor="text1"/>
          <w:sz w:val="24"/>
          <w:szCs w:val="24"/>
          <w:lang w:val="en-GB"/>
        </w:rPr>
        <w:t>Cronbach’s alpha coefficient was used to estimate the reliability of the constructs. Alpha coefficients for all the constructs were greater than 0.7, indicating reliability of the constructs. After validating the first-order factor model, a second-order factor model was created for the dynamic supply chain capabilities. It did not show any deterioration in the GOF measures, indicating the suitability of the second-order factor. Table 3 provides the information about factor loadings (first-order and second-order factor), AVE, and reliability measures for the constructs in the study.</w:t>
      </w:r>
    </w:p>
    <w:p w14:paraId="578DF9B4" w14:textId="71452680" w:rsidR="00E05A99" w:rsidRPr="008C04EC" w:rsidRDefault="005249CB" w:rsidP="0009286C">
      <w:pPr>
        <w:spacing w:after="0" w:line="480" w:lineRule="auto"/>
        <w:jc w:val="center"/>
        <w:rPr>
          <w:rFonts w:ascii="Times New Roman" w:hAnsi="Times New Roman" w:cs="Times New Roman"/>
          <w:color w:val="000000" w:themeColor="text1"/>
          <w:sz w:val="24"/>
          <w:szCs w:val="24"/>
          <w:lang w:val="en-GB"/>
        </w:rPr>
      </w:pPr>
      <w:r w:rsidRPr="008C04EC">
        <w:rPr>
          <w:rFonts w:ascii="Times New Roman" w:eastAsia="Calibri" w:hAnsi="Times New Roman" w:cs="Times New Roman"/>
          <w:b/>
          <w:color w:val="000000" w:themeColor="text1"/>
          <w:sz w:val="24"/>
          <w:lang w:val="en-GB"/>
        </w:rPr>
        <w:t xml:space="preserve">Insert Table 3 </w:t>
      </w:r>
      <w:r w:rsidR="00D4006E">
        <w:rPr>
          <w:rFonts w:ascii="Times New Roman" w:eastAsia="Calibri" w:hAnsi="Times New Roman" w:cs="Times New Roman"/>
          <w:b/>
          <w:color w:val="000000" w:themeColor="text1"/>
          <w:sz w:val="24"/>
          <w:lang w:val="en-GB"/>
        </w:rPr>
        <w:t xml:space="preserve">&amp; 4 </w:t>
      </w:r>
      <w:r w:rsidRPr="008C04EC">
        <w:rPr>
          <w:rFonts w:ascii="Times New Roman" w:eastAsia="Calibri" w:hAnsi="Times New Roman" w:cs="Times New Roman"/>
          <w:b/>
          <w:color w:val="000000" w:themeColor="text1"/>
          <w:sz w:val="24"/>
          <w:lang w:val="en-GB"/>
        </w:rPr>
        <w:t>about here</w:t>
      </w:r>
    </w:p>
    <w:p w14:paraId="1312C260" w14:textId="377474B4" w:rsidR="00D84388" w:rsidRDefault="00D84388" w:rsidP="0009286C">
      <w:pPr>
        <w:spacing w:after="160" w:line="259" w:lineRule="auto"/>
        <w:rPr>
          <w:rFonts w:ascii="Times New Roman" w:eastAsia="Calibri" w:hAnsi="Times New Roman" w:cs="Times New Roman"/>
          <w:b/>
          <w:color w:val="000000" w:themeColor="text1"/>
          <w:sz w:val="24"/>
          <w:lang w:val="en-GB"/>
        </w:rPr>
      </w:pPr>
    </w:p>
    <w:p w14:paraId="3FC09894" w14:textId="7A873C18" w:rsidR="00486AD4" w:rsidRPr="00DE17D5" w:rsidRDefault="00486AD4" w:rsidP="00DE17D5">
      <w:pPr>
        <w:spacing w:after="0" w:line="480" w:lineRule="auto"/>
        <w:jc w:val="both"/>
        <w:rPr>
          <w:rFonts w:ascii="Times New Roman" w:eastAsia="Calibri" w:hAnsi="Times New Roman" w:cs="Times New Roman"/>
          <w:color w:val="000000" w:themeColor="text1"/>
          <w:sz w:val="24"/>
          <w:lang w:val="en-GB"/>
        </w:rPr>
      </w:pPr>
      <w:r w:rsidRPr="008C04EC">
        <w:rPr>
          <w:rFonts w:ascii="Times New Roman" w:hAnsi="Times New Roman" w:cs="Times New Roman"/>
          <w:color w:val="000000" w:themeColor="text1"/>
          <w:sz w:val="24"/>
          <w:szCs w:val="24"/>
          <w:lang w:val="en-GB"/>
        </w:rPr>
        <w:t xml:space="preserve">Before testing our hypotheses through structural equation modelling, we tested the assumptions of normality, linearity, constant variance, and existence of outliers. Normality assumption was tested through residual plots by predicted values, </w:t>
      </w:r>
      <w:r>
        <w:rPr>
          <w:rFonts w:ascii="Times New Roman" w:hAnsi="Times New Roman" w:cs="Times New Roman"/>
          <w:color w:val="000000" w:themeColor="text1"/>
          <w:sz w:val="24"/>
          <w:szCs w:val="24"/>
          <w:lang w:val="en-GB"/>
        </w:rPr>
        <w:t>R</w:t>
      </w:r>
      <w:r w:rsidRPr="008C04EC">
        <w:rPr>
          <w:rFonts w:ascii="Times New Roman" w:hAnsi="Times New Roman" w:cs="Times New Roman"/>
          <w:color w:val="000000" w:themeColor="text1"/>
          <w:sz w:val="24"/>
          <w:szCs w:val="24"/>
          <w:lang w:val="en-GB"/>
        </w:rPr>
        <w:t xml:space="preserve">ankit plots of residuals, and univariate statistics of skewness and kurtosis. Mahalanobis distances were used to estimate the multivariate outliers. The maximum absolute values of skewness and kurtosis were well within the acceptable limits (0.61 and 0.90 respectively)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&lt;EndNote&gt;&lt;Cite&gt;&lt;Author&gt;Curran&lt;/Author&gt;&lt;Year&gt;1996&lt;/Year&gt;&lt;RecNum&gt;1105&lt;/RecNum&gt;&lt;DisplayText&gt;(Curran, West, &amp;amp; Finch, 1996)&lt;/DisplayText&gt;&lt;record&gt;&lt;rec-number&gt;1105&lt;/rec-number&gt;&lt;foreign-keys&gt;&lt;key app="EN" db-id="seavxzzzfrf2p7eddfnxx5ep2ar05z0ddwx9"&gt;1105&lt;/key&gt;&lt;/foreign-keys&gt;&lt;ref-type name="Journal Article"&gt;17&lt;/ref-type&gt;&lt;contributors&gt;&lt;authors&gt;&lt;author&gt;Curran, Patrick J&lt;/author&gt;&lt;author&gt;West, Stephen G&lt;/author&gt;&lt;author&gt;Finch, John F&lt;/author&gt;&lt;/authors&gt;&lt;/contributors&gt;&lt;titles&gt;&lt;title&gt;The robustness of test statistics to nonnormality and specification error in confirmatory factor analysis&lt;/title&gt;&lt;secondary-title&gt;Psychological methods&lt;/secondary-title&gt;&lt;/titles&gt;&lt;periodical&gt;&lt;full-title&gt;Psychological methods&lt;/full-title&gt;&lt;/periodical&gt;&lt;pages&gt;16&lt;/pages&gt;&lt;volume&gt;1&lt;/volume&gt;&lt;number&gt;1&lt;/number&gt;&lt;dates&gt;&lt;year&gt;1996&lt;/year&gt;&lt;/dates&gt;&lt;isbn&gt;1939-1463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18" w:tooltip="Curran, 1996 #1105" w:history="1">
        <w:r w:rsidRPr="008C04EC">
          <w:rPr>
            <w:rFonts w:ascii="Times New Roman" w:hAnsi="Times New Roman" w:cs="Times New Roman"/>
            <w:noProof/>
            <w:color w:val="000000" w:themeColor="text1"/>
            <w:sz w:val="24"/>
            <w:szCs w:val="24"/>
            <w:lang w:val="en-GB"/>
          </w:rPr>
          <w:t>Curran</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1996</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Furthermore, the plots did not point towards any significant cause for concern in terms of deviations from normality and homoscedasticity. We tested multi-collinearity through variance inflation factors (VIFs) of the independent variables. Since the VIFs were below 4, which is well below the recommended threshold of 10, we concluded that multicollinearity was not a problem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&lt;EndNote&gt;&lt;Cite&gt;&lt;Author&gt;Hair&lt;/Author&gt;&lt;Year&gt;2014&lt;/Year&gt;&lt;RecNum&gt;840&lt;/RecNum&gt;&lt;DisplayText&gt;(Hair, Black, Babin, &amp;amp; Anderson, 2014)&lt;/DisplayText&gt;&lt;record&gt;&lt;rec-number&gt;840&lt;/rec-number&gt;&lt;foreign-keys&gt;&lt;key app="EN" db-id="seavxzzzfrf2p7eddfnxx5ep2ar05z0ddwx9"&gt;840&lt;/key&gt;&lt;/foreign-keys&gt;&lt;ref-type name="Book"&gt;6&lt;/ref-type&gt;&lt;contributors&gt;&lt;authors&gt;&lt;author&gt;Hair, Joseph F&lt;/author&gt;&lt;author&gt;William C. Black&lt;/author&gt;&lt;author&gt;Barry J. Babin &lt;/author&gt;&lt;author&gt;Rolph E. Anderson&lt;/author&gt;&lt;/authors&gt;&lt;/contributors&gt;&lt;titles&gt;&lt;title&gt;Multivariate Data Analysis&lt;/title&gt;&lt;/titles&gt;&lt;dates&gt;&lt;year&gt;2014&lt;/year&gt;&lt;/dates&gt;&lt;pub-location&gt;UK&lt;/pub-location&gt;&lt;publisher&gt;Pearson Education Limited&lt;/publisher&gt;&lt;isbn&gt;978-1-292-02190-4&lt;/isbn&gt;&lt;urls&gt;&lt;/urls&gt;&lt;/record&gt;&lt;/Cite&gt;&lt;/EndNote&gt;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38" w:tooltip="Hair, 2014 #840" w:history="1">
        <w:r w:rsidRPr="008C04EC">
          <w:rPr>
            <w:rFonts w:ascii="Times New Roman" w:hAnsi="Times New Roman" w:cs="Times New Roman"/>
            <w:noProof/>
            <w:color w:val="000000" w:themeColor="text1"/>
            <w:sz w:val="24"/>
            <w:szCs w:val="24"/>
            <w:lang w:val="en-GB"/>
          </w:rPr>
          <w:t>Hair</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2014</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Finally, the scatter plots between independent and dependent variables indicated a strong linear relationship, hence the linearity assumption was also met.</w:t>
      </w:r>
      <w:r>
        <w:rPr>
          <w:rFonts w:ascii="Times New Roman" w:eastAsia="Calibri" w:hAnsi="Times New Roman" w:cs="Times New Roman"/>
          <w:b/>
          <w:color w:val="000000" w:themeColor="text1"/>
          <w:sz w:val="24"/>
          <w:lang w:val="en-GB"/>
        </w:rPr>
        <w:br w:type="page"/>
      </w:r>
    </w:p>
    <w:p w14:paraId="588AF603" w14:textId="1FBA45B1" w:rsidR="005A257D" w:rsidRPr="008C04EC" w:rsidRDefault="005A257D" w:rsidP="0009286C">
      <w:pPr>
        <w:spacing w:after="160" w:line="259" w:lineRule="auto"/>
        <w:rPr>
          <w:rFonts w:ascii="Times New Roman" w:eastAsia="Calibri" w:hAnsi="Times New Roman" w:cs="Times New Roman"/>
          <w:b/>
          <w:color w:val="000000" w:themeColor="text1"/>
          <w:sz w:val="24"/>
          <w:lang w:val="en-GB"/>
        </w:rPr>
      </w:pPr>
      <w:r w:rsidRPr="008C04EC">
        <w:rPr>
          <w:rFonts w:ascii="Times New Roman" w:eastAsia="Calibri" w:hAnsi="Times New Roman" w:cs="Times New Roman"/>
          <w:b/>
          <w:color w:val="000000" w:themeColor="text1"/>
          <w:sz w:val="24"/>
          <w:lang w:val="en-GB"/>
        </w:rPr>
        <w:lastRenderedPageBreak/>
        <w:t>4. Findings</w:t>
      </w:r>
      <w:r w:rsidR="004A2B91">
        <w:rPr>
          <w:rFonts w:ascii="Times New Roman" w:eastAsia="Calibri" w:hAnsi="Times New Roman" w:cs="Times New Roman"/>
          <w:b/>
          <w:color w:val="000000" w:themeColor="text1"/>
          <w:sz w:val="24"/>
          <w:lang w:val="en-GB"/>
        </w:rPr>
        <w:t xml:space="preserve"> and Discussion</w:t>
      </w:r>
    </w:p>
    <w:p w14:paraId="0448F49B" w14:textId="0D623FA5" w:rsidR="00800A71" w:rsidRPr="00486AD4" w:rsidRDefault="005A257D" w:rsidP="00486AD4">
      <w:pPr>
        <w:spacing w:after="0" w:line="480" w:lineRule="auto"/>
        <w:jc w:val="both"/>
        <w:rPr>
          <w:rFonts w:ascii="Times New Roman" w:eastAsia="Calibri" w:hAnsi="Times New Roman" w:cs="Times New Roman"/>
          <w:color w:val="000000" w:themeColor="text1"/>
          <w:sz w:val="24"/>
          <w:lang w:val="en-GB"/>
        </w:rPr>
      </w:pPr>
      <w:r w:rsidRPr="008C04EC">
        <w:rPr>
          <w:rFonts w:ascii="Times New Roman" w:eastAsia="Calibri" w:hAnsi="Times New Roman" w:cs="Times New Roman"/>
          <w:color w:val="000000" w:themeColor="text1"/>
          <w:sz w:val="24"/>
          <w:lang w:val="en-GB"/>
        </w:rPr>
        <w:t xml:space="preserve">In this paper, we set out to </w:t>
      </w:r>
      <w:r w:rsidR="00DE40D7">
        <w:rPr>
          <w:rFonts w:ascii="Times New Roman" w:eastAsia="Calibri" w:hAnsi="Times New Roman" w:cs="Times New Roman"/>
          <w:color w:val="000000" w:themeColor="text1"/>
          <w:sz w:val="24"/>
          <w:lang w:val="en-GB"/>
        </w:rPr>
        <w:t xml:space="preserve">test </w:t>
      </w:r>
      <w:r w:rsidRPr="008C04EC">
        <w:rPr>
          <w:rFonts w:ascii="Times New Roman" w:eastAsia="Calibri" w:hAnsi="Times New Roman" w:cs="Times New Roman"/>
          <w:color w:val="000000" w:themeColor="text1"/>
          <w:sz w:val="24"/>
          <w:lang w:val="en-GB"/>
        </w:rPr>
        <w:t xml:space="preserve">how </w:t>
      </w:r>
      <w:r w:rsidR="00CF1C5D" w:rsidRPr="008C04EC">
        <w:rPr>
          <w:rFonts w:ascii="Times New Roman" w:eastAsia="Calibri" w:hAnsi="Times New Roman" w:cs="Times New Roman"/>
          <w:color w:val="000000" w:themeColor="text1"/>
          <w:sz w:val="24"/>
          <w:lang w:val="en-GB"/>
        </w:rPr>
        <w:t>an</w:t>
      </w:r>
      <w:r w:rsidRPr="008C04EC">
        <w:rPr>
          <w:rFonts w:ascii="Times New Roman" w:eastAsia="Calibri" w:hAnsi="Times New Roman" w:cs="Times New Roman"/>
          <w:color w:val="000000" w:themeColor="text1"/>
          <w:sz w:val="24"/>
          <w:lang w:val="en-GB"/>
        </w:rPr>
        <w:t xml:space="preserve"> entre</w:t>
      </w:r>
      <w:r w:rsidR="00CF1C5D" w:rsidRPr="008C04EC">
        <w:rPr>
          <w:rFonts w:ascii="Times New Roman" w:eastAsia="Calibri" w:hAnsi="Times New Roman" w:cs="Times New Roman"/>
          <w:color w:val="000000" w:themeColor="text1"/>
          <w:sz w:val="24"/>
          <w:lang w:val="en-GB"/>
        </w:rPr>
        <w:t>preneurial</w:t>
      </w:r>
      <w:r w:rsidR="005133BB">
        <w:rPr>
          <w:rFonts w:ascii="Times New Roman" w:eastAsia="Calibri" w:hAnsi="Times New Roman" w:cs="Times New Roman"/>
          <w:color w:val="000000" w:themeColor="text1"/>
          <w:sz w:val="24"/>
          <w:lang w:val="en-GB"/>
        </w:rPr>
        <w:t xml:space="preserve"> orientation</w:t>
      </w:r>
      <w:r w:rsidRPr="008C04EC">
        <w:rPr>
          <w:rFonts w:ascii="Times New Roman" w:eastAsia="Calibri" w:hAnsi="Times New Roman" w:cs="Times New Roman"/>
          <w:color w:val="000000" w:themeColor="text1"/>
          <w:sz w:val="24"/>
          <w:lang w:val="en-GB"/>
        </w:rPr>
        <w:t xml:space="preserve"> and supply chain learning </w:t>
      </w:r>
      <w:r w:rsidR="00CF1C5D" w:rsidRPr="008C04EC">
        <w:rPr>
          <w:rFonts w:ascii="Times New Roman" w:eastAsia="Calibri" w:hAnsi="Times New Roman" w:cs="Times New Roman"/>
          <w:color w:val="000000" w:themeColor="text1"/>
          <w:sz w:val="24"/>
          <w:lang w:val="en-GB"/>
        </w:rPr>
        <w:t xml:space="preserve">orientation </w:t>
      </w:r>
      <w:r w:rsidRPr="008C04EC">
        <w:rPr>
          <w:rFonts w:ascii="Times New Roman" w:eastAsia="Calibri" w:hAnsi="Times New Roman" w:cs="Times New Roman"/>
          <w:color w:val="000000" w:themeColor="text1"/>
          <w:sz w:val="24"/>
          <w:lang w:val="en-GB"/>
        </w:rPr>
        <w:t>affect the emergence of DSCCs. We hypothesised that entrepreneurial orientation (H1) and supply chain learning</w:t>
      </w:r>
      <w:r w:rsidR="0009286C">
        <w:rPr>
          <w:rFonts w:ascii="Times New Roman" w:eastAsia="Calibri" w:hAnsi="Times New Roman" w:cs="Times New Roman"/>
          <w:color w:val="000000" w:themeColor="text1"/>
          <w:sz w:val="24"/>
          <w:lang w:val="en-GB"/>
        </w:rPr>
        <w:t xml:space="preserve"> orientation</w:t>
      </w:r>
      <w:r w:rsidRPr="008C04EC">
        <w:rPr>
          <w:rFonts w:ascii="Times New Roman" w:eastAsia="Calibri" w:hAnsi="Times New Roman" w:cs="Times New Roman"/>
          <w:color w:val="000000" w:themeColor="text1"/>
          <w:sz w:val="24"/>
          <w:lang w:val="en-GB"/>
        </w:rPr>
        <w:t xml:space="preserve"> (H2) positively affect the eme</w:t>
      </w:r>
      <w:r w:rsidR="00CF1C5D" w:rsidRPr="008C04EC">
        <w:rPr>
          <w:rFonts w:ascii="Times New Roman" w:eastAsia="Calibri" w:hAnsi="Times New Roman" w:cs="Times New Roman"/>
          <w:color w:val="000000" w:themeColor="text1"/>
          <w:sz w:val="24"/>
          <w:lang w:val="en-GB"/>
        </w:rPr>
        <w:t>r</w:t>
      </w:r>
      <w:r w:rsidRPr="008C04EC">
        <w:rPr>
          <w:rFonts w:ascii="Times New Roman" w:eastAsia="Calibri" w:hAnsi="Times New Roman" w:cs="Times New Roman"/>
          <w:color w:val="000000" w:themeColor="text1"/>
          <w:sz w:val="24"/>
          <w:lang w:val="en-GB"/>
        </w:rPr>
        <w:t xml:space="preserve">gence of DSCCs. We also studied the mediating role of supply chain learning on the relationship between entrepreneurial orientation and DSCCs (H3). We used structural equation modelling (SEM) to test the hypotheses. Figure 2 provides the results of the SEM analysis. Model fit was found to be adequate </w:t>
      </w:r>
      <w:r w:rsidRPr="008C04EC">
        <w:rPr>
          <w:rFonts w:ascii="Times New Roman" w:eastAsia="Calibri" w:hAnsi="Times New Roman" w:cs="Times New Roman"/>
          <w:color w:val="000000" w:themeColor="text1"/>
          <w:sz w:val="24"/>
          <w:szCs w:val="24"/>
          <w:lang w:val="en-GB"/>
        </w:rPr>
        <w:t>(</w:t>
      </w:r>
      <w:r w:rsidRPr="008C04EC">
        <w:rPr>
          <w:rFonts w:ascii="Times New Roman" w:eastAsia="Calibri" w:hAnsi="Times New Roman" w:cs="Times New Roman"/>
          <w:i/>
          <w:color w:val="000000" w:themeColor="text1"/>
          <w:sz w:val="24"/>
          <w:szCs w:val="24"/>
          <w:lang w:val="en-GB"/>
        </w:rPr>
        <w:t>χ</w:t>
      </w:r>
      <w:r w:rsidRPr="008C04EC">
        <w:rPr>
          <w:rFonts w:ascii="Times New Roman" w:eastAsia="Calibri" w:hAnsi="Times New Roman" w:cs="Times New Roman"/>
          <w:i/>
          <w:color w:val="000000" w:themeColor="text1"/>
          <w:sz w:val="24"/>
          <w:szCs w:val="24"/>
          <w:vertAlign w:val="superscript"/>
          <w:lang w:val="en-GB"/>
        </w:rPr>
        <w:t xml:space="preserve">2 </w:t>
      </w:r>
      <w:r w:rsidRPr="008C04EC">
        <w:rPr>
          <w:rFonts w:ascii="Times New Roman" w:eastAsia="Calibri" w:hAnsi="Times New Roman" w:cs="Times New Roman"/>
          <w:color w:val="000000" w:themeColor="text1"/>
          <w:sz w:val="24"/>
          <w:szCs w:val="24"/>
          <w:lang w:val="en-GB"/>
        </w:rPr>
        <w:t xml:space="preserve">= 1.46, </w:t>
      </w:r>
      <w:r w:rsidRPr="008C04EC">
        <w:rPr>
          <w:rFonts w:ascii="Times New Roman" w:eastAsia="Calibri" w:hAnsi="Times New Roman" w:cs="Times New Roman"/>
          <w:i/>
          <w:color w:val="000000" w:themeColor="text1"/>
          <w:sz w:val="24"/>
          <w:szCs w:val="24"/>
          <w:lang w:val="en-GB"/>
        </w:rPr>
        <w:t xml:space="preserve">p </w:t>
      </w:r>
      <w:r w:rsidRPr="008C04EC">
        <w:rPr>
          <w:rFonts w:ascii="Times New Roman" w:eastAsia="Calibri" w:hAnsi="Times New Roman" w:cs="Times New Roman"/>
          <w:color w:val="000000" w:themeColor="text1"/>
          <w:sz w:val="24"/>
          <w:szCs w:val="24"/>
          <w:lang w:val="en-GB"/>
        </w:rPr>
        <w:t>&gt; 0.05, GFI = 0.92, CFI = 0.97 and RMSEA = 0.041).</w:t>
      </w:r>
      <w:r w:rsidRPr="008C04EC">
        <w:rPr>
          <w:rFonts w:ascii="Times New Roman" w:eastAsia="Calibri" w:hAnsi="Times New Roman" w:cs="Times New Roman"/>
          <w:color w:val="000000" w:themeColor="text1"/>
          <w:sz w:val="24"/>
          <w:lang w:val="en-GB"/>
        </w:rPr>
        <w:t xml:space="preserve"> The results show that entrepreneurial orientation has a significant impact on dynamic supply chain capabilities (</w:t>
      </w:r>
      <w:r w:rsidRPr="008C04EC">
        <w:rPr>
          <w:rFonts w:ascii="Times New Roman" w:eastAsia="Calibri" w:hAnsi="Times New Roman" w:cs="Times New Roman"/>
          <w:i/>
          <w:color w:val="000000" w:themeColor="text1"/>
          <w:sz w:val="24"/>
          <w:lang w:val="en-GB"/>
        </w:rPr>
        <w:t xml:space="preserve">β </w:t>
      </w:r>
      <w:r w:rsidRPr="008C04EC">
        <w:rPr>
          <w:rFonts w:ascii="Times New Roman" w:eastAsia="Calibri" w:hAnsi="Times New Roman" w:cs="Times New Roman"/>
          <w:color w:val="000000" w:themeColor="text1"/>
          <w:sz w:val="24"/>
          <w:lang w:val="en-GB"/>
        </w:rPr>
        <w:t xml:space="preserve">= 0.349, </w:t>
      </w:r>
      <w:r w:rsidRPr="008C04EC">
        <w:rPr>
          <w:rFonts w:ascii="Times New Roman" w:eastAsia="Calibri" w:hAnsi="Times New Roman" w:cs="Times New Roman"/>
          <w:i/>
          <w:color w:val="000000" w:themeColor="text1"/>
          <w:sz w:val="24"/>
          <w:lang w:val="en-GB"/>
        </w:rPr>
        <w:t xml:space="preserve">p </w:t>
      </w:r>
      <w:r w:rsidRPr="008C04EC">
        <w:rPr>
          <w:rFonts w:ascii="Times New Roman" w:eastAsia="Calibri" w:hAnsi="Times New Roman" w:cs="Times New Roman"/>
          <w:color w:val="000000" w:themeColor="text1"/>
          <w:sz w:val="24"/>
          <w:lang w:val="en-GB"/>
        </w:rPr>
        <w:t>&lt; 0.01). Thus, H1 is supported. Furthermore, the relationship between supply chain learning and dynamic supply chain capabilities is also significant (</w:t>
      </w:r>
      <w:r w:rsidRPr="008C04EC">
        <w:rPr>
          <w:rFonts w:ascii="Times New Roman" w:eastAsia="Calibri" w:hAnsi="Times New Roman" w:cs="Times New Roman"/>
          <w:i/>
          <w:color w:val="000000" w:themeColor="text1"/>
          <w:sz w:val="24"/>
          <w:lang w:val="en-GB"/>
        </w:rPr>
        <w:t xml:space="preserve">β </w:t>
      </w:r>
      <w:r w:rsidRPr="008C04EC">
        <w:rPr>
          <w:rFonts w:ascii="Times New Roman" w:eastAsia="Calibri" w:hAnsi="Times New Roman" w:cs="Times New Roman"/>
          <w:color w:val="000000" w:themeColor="text1"/>
          <w:sz w:val="24"/>
          <w:lang w:val="en-GB"/>
        </w:rPr>
        <w:t xml:space="preserve">= 0.432, </w:t>
      </w:r>
      <w:r w:rsidRPr="008C04EC">
        <w:rPr>
          <w:rFonts w:ascii="Times New Roman" w:eastAsia="Calibri" w:hAnsi="Times New Roman" w:cs="Times New Roman"/>
          <w:i/>
          <w:color w:val="000000" w:themeColor="text1"/>
          <w:sz w:val="24"/>
          <w:lang w:val="en-GB"/>
        </w:rPr>
        <w:t xml:space="preserve">p </w:t>
      </w:r>
      <w:r w:rsidRPr="008C04EC">
        <w:rPr>
          <w:rFonts w:ascii="Times New Roman" w:eastAsia="Calibri" w:hAnsi="Times New Roman" w:cs="Times New Roman"/>
          <w:color w:val="000000" w:themeColor="text1"/>
          <w:sz w:val="24"/>
          <w:lang w:val="en-GB"/>
        </w:rPr>
        <w:t xml:space="preserve">&lt; 0.01). Therefore, H2 is also supported. In order to test the mediation hypothesis (H3), imputed variables from the structural analysis were used. We used a </w:t>
      </w:r>
      <w:r w:rsidRPr="008C04EC">
        <w:rPr>
          <w:rFonts w:ascii="Times New Roman" w:hAnsi="Times New Roman" w:cs="Times New Roman"/>
          <w:color w:val="000000" w:themeColor="text1"/>
          <w:sz w:val="24"/>
          <w:szCs w:val="24"/>
          <w:lang w:val="en-GB"/>
        </w:rPr>
        <w:t xml:space="preserve">bootstrapping technique </w:t>
      </w:r>
      <w:r w:rsidRPr="008C04EC">
        <w:rPr>
          <w:rFonts w:ascii="Times New Roman" w:hAnsi="Times New Roman" w:cs="Times New Roman"/>
          <w:color w:val="000000" w:themeColor="text1"/>
          <w:sz w:val="24"/>
          <w:szCs w:val="24"/>
          <w:lang w:val="en-GB"/>
        </w:rPr>
        <w:fldChar w:fldCharType="begin"/>
      </w:r>
      <w:r w:rsidR="00D30452" w:rsidRPr="008C04EC">
        <w:rPr>
          <w:rFonts w:ascii="Times New Roman" w:hAnsi="Times New Roman" w:cs="Times New Roman"/>
          <w:color w:val="000000" w:themeColor="text1"/>
          <w:sz w:val="24"/>
          <w:szCs w:val="24"/>
          <w:lang w:val="en-GB"/>
        </w:rPr>
        <w:instrText xml:space="preserve"> ADDIN EN.CITE &lt;EndNote&gt;&lt;Cite&gt;&lt;Author&gt;Hayes&lt;/Author&gt;&lt;Year&gt;2009&lt;/Year&gt;&lt;RecNum&gt;957&lt;/RecNum&gt;&lt;DisplayText&gt;(Hayes, 2009, 2013)&lt;/DisplayText&gt;&lt;record&gt;&lt;rec-number&gt;957&lt;/rec-number&gt;&lt;foreign-keys&gt;&lt;key app="EN" db-id="seavxzzzfrf2p7eddfnxx5ep2ar05z0ddwx9"&gt;957&lt;/key&gt;&lt;/foreign-keys&gt;&lt;ref-type name="Journal Article"&gt;17&lt;/ref-type&gt;&lt;contributors&gt;&lt;authors&gt;&lt;author&gt;Hayes, Andrew F&lt;/author&gt;&lt;/authors&gt;&lt;/contributors&gt;&lt;titles&gt;&lt;title&gt;Beyond Baron and Kenny: statistical mediation analysis in the new millennium&lt;/title&gt;&lt;secondary-title&gt;Communication Monographs&lt;/secondary-title&gt;&lt;/titles&gt;&lt;periodical&gt;&lt;full-title&gt;Communication monographs&lt;/full-title&gt;&lt;/periodical&gt;&lt;pages&gt;408-420&lt;/pages&gt;&lt;volume&gt;76&lt;/volume&gt;&lt;number&gt;4&lt;/number&gt;&lt;dates&gt;&lt;year&gt;2009&lt;/year&gt;&lt;/dates&gt;&lt;isbn&gt;0363-7751&lt;/isbn&gt;&lt;urls&gt;&lt;/urls&gt;&lt;/record&gt;&lt;/Cite&gt;&lt;Cite&gt;&lt;Author&gt;Hayes&lt;/Author&gt;&lt;Year&gt;2013&lt;/Year&gt;&lt;RecNum&gt;958&lt;/RecNum&gt;&lt;record&gt;&lt;rec-number&gt;958&lt;/rec-number&gt;&lt;foreign-keys&gt;&lt;key app="EN" db-id="seavxzzzfrf2p7eddfnxx5ep2ar05z0ddwx9"&gt;958&lt;/key&gt;&lt;/foreign-keys&gt;&lt;ref-type name="Book"&gt;6&lt;/ref-type&gt;&lt;contributors&gt;&lt;authors&gt;&lt;author&gt;Hayes, Andrew F&lt;/author&gt;&lt;/authors&gt;&lt;/contributors&gt;&lt;titles&gt;&lt;title&gt;Introduction to Mediation, Moderation, and Conditional Process Analysis: A Regression-Based Approach&lt;/title&gt;&lt;/titles&gt;&lt;dates&gt;&lt;year&gt;2013&lt;/year&gt;&lt;/dates&gt;&lt;publisher&gt;Guilford Press&lt;/publisher&gt;&lt;isbn&gt;1609182308&lt;/isbn&gt;&lt;urls&gt;&lt;/urls&gt;&lt;/record&gt;&lt;/Cite&gt;&lt;/EndNote&gt;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00D30452" w:rsidRPr="008C04EC">
        <w:rPr>
          <w:rFonts w:ascii="Times New Roman" w:hAnsi="Times New Roman" w:cs="Times New Roman"/>
          <w:noProof/>
          <w:color w:val="000000" w:themeColor="text1"/>
          <w:sz w:val="24"/>
          <w:szCs w:val="24"/>
          <w:lang w:val="en-GB"/>
        </w:rPr>
        <w:t>(</w:t>
      </w:r>
      <w:hyperlink w:anchor="_ENREF_41" w:tooltip="Hayes, 2009 #957" w:history="1">
        <w:r w:rsidR="00641B32" w:rsidRPr="008C04EC">
          <w:rPr>
            <w:rFonts w:ascii="Times New Roman" w:hAnsi="Times New Roman" w:cs="Times New Roman"/>
            <w:noProof/>
            <w:color w:val="000000" w:themeColor="text1"/>
            <w:sz w:val="24"/>
            <w:szCs w:val="24"/>
            <w:lang w:val="en-GB"/>
          </w:rPr>
          <w:t>Hayes, 2009</w:t>
        </w:r>
      </w:hyperlink>
      <w:r w:rsidR="00D30452" w:rsidRPr="008C04EC">
        <w:rPr>
          <w:rFonts w:ascii="Times New Roman" w:hAnsi="Times New Roman" w:cs="Times New Roman"/>
          <w:noProof/>
          <w:color w:val="000000" w:themeColor="text1"/>
          <w:sz w:val="24"/>
          <w:szCs w:val="24"/>
          <w:lang w:val="en-GB"/>
        </w:rPr>
        <w:t xml:space="preserve">, </w:t>
      </w:r>
      <w:hyperlink w:anchor="_ENREF_42" w:tooltip="Hayes, 2013 #958" w:history="1">
        <w:r w:rsidR="00641B32" w:rsidRPr="008C04EC">
          <w:rPr>
            <w:rFonts w:ascii="Times New Roman" w:hAnsi="Times New Roman" w:cs="Times New Roman"/>
            <w:noProof/>
            <w:color w:val="000000" w:themeColor="text1"/>
            <w:sz w:val="24"/>
            <w:szCs w:val="24"/>
            <w:lang w:val="en-GB"/>
          </w:rPr>
          <w:t>2013</w:t>
        </w:r>
      </w:hyperlink>
      <w:r w:rsidR="00D30452"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with 5,000 bootstrap samples with 95% bootstrap confidence interval to test the significance of indirect effect. </w:t>
      </w:r>
      <w:r w:rsidR="00386B2F" w:rsidRPr="008C04EC">
        <w:rPr>
          <w:rFonts w:ascii="Times New Roman" w:hAnsi="Times New Roman" w:cs="Times New Roman"/>
          <w:color w:val="000000" w:themeColor="text1"/>
          <w:sz w:val="24"/>
          <w:szCs w:val="24"/>
          <w:lang w:val="en-GB"/>
        </w:rPr>
        <w:t>Results showed that supply chain learning</w:t>
      </w:r>
      <w:r w:rsidRPr="008C04EC">
        <w:rPr>
          <w:rFonts w:ascii="Times New Roman" w:hAnsi="Times New Roman" w:cs="Times New Roman"/>
          <w:color w:val="000000" w:themeColor="text1"/>
          <w:sz w:val="24"/>
          <w:szCs w:val="24"/>
          <w:lang w:val="en-GB"/>
        </w:rPr>
        <w:t xml:space="preserve"> significantly mediates the relationship between </w:t>
      </w:r>
      <w:r w:rsidR="00386B2F" w:rsidRPr="008C04EC">
        <w:rPr>
          <w:rFonts w:ascii="Times New Roman" w:hAnsi="Times New Roman" w:cs="Times New Roman"/>
          <w:color w:val="000000" w:themeColor="text1"/>
          <w:sz w:val="24"/>
          <w:szCs w:val="24"/>
          <w:lang w:val="en-GB"/>
        </w:rPr>
        <w:t>an entrepreneurial orientation</w:t>
      </w:r>
      <w:r w:rsidRPr="008C04EC">
        <w:rPr>
          <w:rFonts w:ascii="Times New Roman" w:hAnsi="Times New Roman" w:cs="Times New Roman"/>
          <w:color w:val="000000" w:themeColor="text1"/>
          <w:sz w:val="24"/>
          <w:szCs w:val="24"/>
          <w:lang w:val="en-GB"/>
        </w:rPr>
        <w:t xml:space="preserve"> and DSCCs </w:t>
      </w:r>
      <w:r w:rsidRPr="008C04EC">
        <w:rPr>
          <w:rFonts w:ascii="Times New Roman" w:eastAsia="Calibri" w:hAnsi="Times New Roman" w:cs="Times New Roman"/>
          <w:color w:val="000000" w:themeColor="text1"/>
          <w:sz w:val="24"/>
          <w:lang w:val="en-GB"/>
        </w:rPr>
        <w:t>(</w:t>
      </w:r>
      <w:r w:rsidRPr="008C04EC">
        <w:rPr>
          <w:rFonts w:ascii="Times New Roman" w:eastAsia="Calibri" w:hAnsi="Times New Roman" w:cs="Times New Roman"/>
          <w:i/>
          <w:color w:val="000000" w:themeColor="text1"/>
          <w:sz w:val="24"/>
          <w:lang w:val="en-GB"/>
        </w:rPr>
        <w:t xml:space="preserve">β </w:t>
      </w:r>
      <w:r w:rsidRPr="008C04EC">
        <w:rPr>
          <w:rFonts w:ascii="Times New Roman" w:eastAsia="Calibri" w:hAnsi="Times New Roman" w:cs="Times New Roman"/>
          <w:color w:val="000000" w:themeColor="text1"/>
          <w:sz w:val="24"/>
          <w:lang w:val="en-GB"/>
        </w:rPr>
        <w:t xml:space="preserve">= 0.468, lower confidence limit = 0.360, upper confidence limit = 0.568, </w:t>
      </w:r>
      <w:r w:rsidRPr="008C04EC">
        <w:rPr>
          <w:rFonts w:ascii="Times New Roman" w:eastAsia="Calibri" w:hAnsi="Times New Roman" w:cs="Times New Roman"/>
          <w:i/>
          <w:color w:val="000000" w:themeColor="text1"/>
          <w:sz w:val="24"/>
          <w:lang w:val="en-GB"/>
        </w:rPr>
        <w:t>p &lt; 0.</w:t>
      </w:r>
      <w:r w:rsidRPr="008C04EC">
        <w:rPr>
          <w:rFonts w:ascii="Times New Roman" w:eastAsia="Calibri" w:hAnsi="Times New Roman" w:cs="Times New Roman"/>
          <w:color w:val="000000" w:themeColor="text1"/>
          <w:sz w:val="24"/>
          <w:lang w:val="en-GB"/>
        </w:rPr>
        <w:t>01)</w:t>
      </w:r>
      <w:r w:rsidRPr="008C04EC">
        <w:rPr>
          <w:rFonts w:ascii="Times New Roman" w:hAnsi="Times New Roman" w:cs="Times New Roman"/>
          <w:color w:val="000000" w:themeColor="text1"/>
          <w:sz w:val="24"/>
          <w:szCs w:val="24"/>
          <w:lang w:val="en-GB"/>
        </w:rPr>
        <w:t xml:space="preserve">. Thus, H3 was also supported. </w:t>
      </w:r>
    </w:p>
    <w:p w14:paraId="5E186A90" w14:textId="77777777" w:rsidR="00E91433" w:rsidRDefault="00E91433" w:rsidP="00800A71">
      <w:pPr>
        <w:spacing w:after="0" w:line="480" w:lineRule="auto"/>
        <w:ind w:firstLine="426"/>
        <w:jc w:val="both"/>
        <w:rPr>
          <w:rFonts w:ascii="Times New Roman" w:hAnsi="Times New Roman" w:cs="Times New Roman"/>
          <w:color w:val="000000" w:themeColor="text1"/>
          <w:sz w:val="24"/>
          <w:szCs w:val="24"/>
          <w:lang w:val="en-GB"/>
        </w:rPr>
      </w:pPr>
    </w:p>
    <w:p w14:paraId="5DBCED69" w14:textId="77777777" w:rsidR="00E91433" w:rsidRPr="008C04EC" w:rsidRDefault="00E91433" w:rsidP="00800A71">
      <w:pPr>
        <w:spacing w:after="0" w:line="480" w:lineRule="auto"/>
        <w:ind w:firstLine="426"/>
        <w:jc w:val="both"/>
        <w:rPr>
          <w:rFonts w:ascii="Times New Roman" w:hAnsi="Times New Roman" w:cs="Times New Roman"/>
          <w:color w:val="000000" w:themeColor="text1"/>
          <w:sz w:val="24"/>
          <w:szCs w:val="24"/>
          <w:lang w:val="en-GB"/>
        </w:rPr>
      </w:pPr>
    </w:p>
    <w:p w14:paraId="22117F03" w14:textId="56DF991D" w:rsidR="00800A71" w:rsidRPr="008C04EC" w:rsidRDefault="005F5DB0" w:rsidP="005F5DB0">
      <w:pPr>
        <w:spacing w:after="0" w:line="480" w:lineRule="auto"/>
        <w:jc w:val="both"/>
        <w:rPr>
          <w:rFonts w:ascii="Times New Roman" w:hAnsi="Times New Roman" w:cs="Times New Roman"/>
          <w:b/>
          <w:color w:val="000000" w:themeColor="text1"/>
          <w:sz w:val="24"/>
          <w:szCs w:val="24"/>
          <w:lang w:val="en-GB"/>
        </w:rPr>
      </w:pPr>
      <w:r w:rsidRPr="008C04EC">
        <w:rPr>
          <w:rFonts w:ascii="Times New Roman" w:hAnsi="Times New Roman" w:cs="Times New Roman"/>
          <w:b/>
          <w:noProof/>
          <w:color w:val="000000" w:themeColor="text1"/>
          <w:sz w:val="24"/>
          <w:szCs w:val="24"/>
        </w:rPr>
        <w:lastRenderedPageBreak/>
        <mc:AlternateContent>
          <mc:Choice Requires="wpg">
            <w:drawing>
              <wp:anchor distT="0" distB="0" distL="114300" distR="114300" simplePos="0" relativeHeight="251661312" behindDoc="0" locked="0" layoutInCell="1" allowOverlap="1" wp14:anchorId="3FD75587" wp14:editId="42F8F848">
                <wp:simplePos x="0" y="0"/>
                <wp:positionH relativeFrom="column">
                  <wp:posOffset>0</wp:posOffset>
                </wp:positionH>
                <wp:positionV relativeFrom="paragraph">
                  <wp:posOffset>347345</wp:posOffset>
                </wp:positionV>
                <wp:extent cx="6098650" cy="2886075"/>
                <wp:effectExtent l="0" t="0" r="16510" b="28575"/>
                <wp:wrapSquare wrapText="bothSides"/>
                <wp:docPr id="17" name="Group 34"/>
                <wp:cNvGraphicFramePr/>
                <a:graphic xmlns:a="http://schemas.openxmlformats.org/drawingml/2006/main">
                  <a:graphicData uri="http://schemas.microsoft.com/office/word/2010/wordprocessingGroup">
                    <wpg:wgp>
                      <wpg:cNvGrpSpPr/>
                      <wpg:grpSpPr>
                        <a:xfrm>
                          <a:off x="0" y="0"/>
                          <a:ext cx="6098650" cy="2886075"/>
                          <a:chOff x="0" y="0"/>
                          <a:chExt cx="7083912" cy="3962400"/>
                        </a:xfrm>
                      </wpg:grpSpPr>
                      <wpg:grpSp>
                        <wpg:cNvPr id="18" name="Group 18"/>
                        <wpg:cNvGrpSpPr/>
                        <wpg:grpSpPr>
                          <a:xfrm>
                            <a:off x="0" y="228600"/>
                            <a:ext cx="6779111" cy="3505200"/>
                            <a:chOff x="0" y="228600"/>
                            <a:chExt cx="6548085" cy="3505200"/>
                          </a:xfrm>
                        </wpg:grpSpPr>
                        <wps:wsp>
                          <wps:cNvPr id="19" name="Oval 19"/>
                          <wps:cNvSpPr/>
                          <wps:spPr>
                            <a:xfrm>
                              <a:off x="0" y="228600"/>
                              <a:ext cx="2007252" cy="990600"/>
                            </a:xfrm>
                            <a:prstGeom prst="ellipse">
                              <a:avLst/>
                            </a:prstGeom>
                          </wps:spPr>
                          <wps:style>
                            <a:lnRef idx="2">
                              <a:schemeClr val="dk1"/>
                            </a:lnRef>
                            <a:fillRef idx="1">
                              <a:schemeClr val="lt1"/>
                            </a:fillRef>
                            <a:effectRef idx="0">
                              <a:schemeClr val="dk1"/>
                            </a:effectRef>
                            <a:fontRef idx="minor">
                              <a:schemeClr val="dk1"/>
                            </a:fontRef>
                          </wps:style>
                          <wps:txbx>
                            <w:txbxContent>
                              <w:p w14:paraId="7631DB61"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Entrepreneurial</w:t>
                                </w:r>
                              </w:p>
                              <w:p w14:paraId="71BA1285"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Orientation</w:t>
                                </w:r>
                              </w:p>
                            </w:txbxContent>
                          </wps:txbx>
                          <wps:bodyPr rtlCol="0" anchor="ctr"/>
                        </wps:wsp>
                        <wps:wsp>
                          <wps:cNvPr id="20" name="Oval 20"/>
                          <wps:cNvSpPr/>
                          <wps:spPr>
                            <a:xfrm>
                              <a:off x="0" y="2743200"/>
                              <a:ext cx="2007252" cy="990600"/>
                            </a:xfrm>
                            <a:prstGeom prst="ellipse">
                              <a:avLst/>
                            </a:prstGeom>
                            <a:ln>
                              <a:prstDash val="dash"/>
                            </a:ln>
                          </wps:spPr>
                          <wps:style>
                            <a:lnRef idx="2">
                              <a:schemeClr val="dk1"/>
                            </a:lnRef>
                            <a:fillRef idx="1">
                              <a:schemeClr val="lt1"/>
                            </a:fillRef>
                            <a:effectRef idx="0">
                              <a:schemeClr val="dk1"/>
                            </a:effectRef>
                            <a:fontRef idx="minor">
                              <a:schemeClr val="dk1"/>
                            </a:fontRef>
                          </wps:style>
                          <wps:txbx>
                            <w:txbxContent>
                              <w:p w14:paraId="6E917D4E"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Supply Chain Learning</w:t>
                                </w:r>
                              </w:p>
                            </w:txbxContent>
                          </wps:txbx>
                          <wps:bodyPr rtlCol="0" anchor="ctr"/>
                        </wps:wsp>
                        <wps:wsp>
                          <wps:cNvPr id="21" name="Oval 21"/>
                          <wps:cNvSpPr/>
                          <wps:spPr>
                            <a:xfrm>
                              <a:off x="4304505" y="1637763"/>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1A5BADD8" w14:textId="77777777" w:rsidR="0059460E" w:rsidRDefault="0059460E" w:rsidP="005F5DB0">
                                <w:pPr>
                                  <w:pStyle w:val="NormalWeb"/>
                                  <w:spacing w:before="0" w:beforeAutospacing="0" w:after="0" w:afterAutospacing="0"/>
                                  <w:jc w:val="center"/>
                                </w:pPr>
                                <w:r>
                                  <w:rPr>
                                    <w:b/>
                                    <w:bCs/>
                                    <w:color w:val="000000" w:themeColor="dark1"/>
                                    <w:kern w:val="24"/>
                                  </w:rPr>
                                  <w:t>Supply Chain Agility</w:t>
                                </w:r>
                              </w:p>
                            </w:txbxContent>
                          </wps:txbx>
                          <wps:bodyPr rtlCol="0" anchor="ctr"/>
                        </wps:wsp>
                        <wps:wsp>
                          <wps:cNvPr id="22" name="Oval 22"/>
                          <wps:cNvSpPr/>
                          <wps:spPr>
                            <a:xfrm>
                              <a:off x="4304507" y="457200"/>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21569A3B" w14:textId="77777777" w:rsidR="0059460E" w:rsidRDefault="0059460E" w:rsidP="005F5DB0">
                                <w:pPr>
                                  <w:pStyle w:val="NormalWeb"/>
                                  <w:spacing w:before="0" w:beforeAutospacing="0" w:after="0" w:afterAutospacing="0"/>
                                  <w:jc w:val="center"/>
                                </w:pPr>
                                <w:r>
                                  <w:rPr>
                                    <w:b/>
                                    <w:bCs/>
                                    <w:color w:val="000000" w:themeColor="dark1"/>
                                    <w:kern w:val="24"/>
                                  </w:rPr>
                                  <w:t>Market Sensing</w:t>
                                </w:r>
                              </w:p>
                            </w:txbxContent>
                          </wps:txbx>
                          <wps:bodyPr rtlCol="0" anchor="ctr"/>
                        </wps:wsp>
                        <wps:wsp>
                          <wps:cNvPr id="23" name="Oval 23"/>
                          <wps:cNvSpPr/>
                          <wps:spPr>
                            <a:xfrm>
                              <a:off x="4291443" y="2819400"/>
                              <a:ext cx="2243578"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2AA8005B" w14:textId="77777777" w:rsidR="0059460E" w:rsidRDefault="0059460E" w:rsidP="005F5DB0">
                                <w:pPr>
                                  <w:pStyle w:val="NormalWeb"/>
                                  <w:spacing w:before="0" w:beforeAutospacing="0" w:after="0" w:afterAutospacing="0"/>
                                  <w:jc w:val="center"/>
                                </w:pPr>
                                <w:r>
                                  <w:rPr>
                                    <w:b/>
                                    <w:bCs/>
                                    <w:color w:val="000000" w:themeColor="dark1"/>
                                    <w:kern w:val="24"/>
                                  </w:rPr>
                                  <w:t>Supply Chain Adaptability</w:t>
                                </w:r>
                              </w:p>
                            </w:txbxContent>
                          </wps:txbx>
                          <wps:bodyPr rtlCol="0" anchor="ctr"/>
                        </wps:wsp>
                        <wps:wsp>
                          <wps:cNvPr id="24" name="Straight Arrow Connector 24"/>
                          <wps:cNvCnPr/>
                          <wps:spPr>
                            <a:xfrm>
                              <a:off x="2007252" y="723901"/>
                              <a:ext cx="1964653" cy="716569"/>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flipV="1">
                              <a:off x="1713297" y="2404647"/>
                              <a:ext cx="2258606" cy="483623"/>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1003626" y="1219200"/>
                              <a:ext cx="0" cy="1523999"/>
                            </a:xfrm>
                            <a:prstGeom prst="straightConnector1">
                              <a:avLst/>
                            </a:prstGeom>
                            <a:ln w="28575">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27" name="TextBox 22"/>
                          <wps:cNvSpPr txBox="1"/>
                          <wps:spPr>
                            <a:xfrm>
                              <a:off x="2168974" y="1981200"/>
                              <a:ext cx="1066470" cy="401493"/>
                            </a:xfrm>
                            <a:prstGeom prst="rect">
                              <a:avLst/>
                            </a:prstGeom>
                            <a:noFill/>
                          </wps:spPr>
                          <wps:txbx>
                            <w:txbxContent>
                              <w:p w14:paraId="66F082CE"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0.468***</w:t>
                                </w:r>
                              </w:p>
                            </w:txbxContent>
                          </wps:txbx>
                          <wps:bodyPr wrap="square" rtlCol="0">
                            <a:noAutofit/>
                          </wps:bodyPr>
                        </wps:wsp>
                        <wps:wsp>
                          <wps:cNvPr id="28" name="TextBox 23"/>
                          <wps:cNvSpPr txBox="1"/>
                          <wps:spPr>
                            <a:xfrm>
                              <a:off x="2159558" y="990387"/>
                              <a:ext cx="1067166" cy="401494"/>
                            </a:xfrm>
                            <a:prstGeom prst="rect">
                              <a:avLst/>
                            </a:prstGeom>
                            <a:noFill/>
                          </wps:spPr>
                          <wps:txbx>
                            <w:txbxContent>
                              <w:p w14:paraId="59B276CD"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0.349***</w:t>
                                </w:r>
                              </w:p>
                            </w:txbxContent>
                          </wps:txbx>
                          <wps:bodyPr wrap="square" rtlCol="0">
                            <a:noAutofit/>
                          </wps:bodyPr>
                        </wps:wsp>
                        <wps:wsp>
                          <wps:cNvPr id="29" name="TextBox 24"/>
                          <wps:cNvSpPr txBox="1"/>
                          <wps:spPr>
                            <a:xfrm>
                              <a:off x="2192815" y="2861846"/>
                              <a:ext cx="1066470" cy="401493"/>
                            </a:xfrm>
                            <a:prstGeom prst="rect">
                              <a:avLst/>
                            </a:prstGeom>
                            <a:noFill/>
                          </wps:spPr>
                          <wps:txbx>
                            <w:txbxContent>
                              <w:p w14:paraId="2B650CC2"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0.432***</w:t>
                                </w:r>
                              </w:p>
                            </w:txbxContent>
                          </wps:txbx>
                          <wps:bodyPr wrap="square" rtlCol="0">
                            <a:noAutofit/>
                          </wps:bodyPr>
                        </wps:wsp>
                      </wpg:grpSp>
                      <wps:wsp>
                        <wps:cNvPr id="30" name="Rectangle 30"/>
                        <wps:cNvSpPr/>
                        <wps:spPr>
                          <a:xfrm>
                            <a:off x="4112112" y="0"/>
                            <a:ext cx="2971800" cy="396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E17959" w14:textId="77777777" w:rsidR="0059460E" w:rsidRDefault="0059460E" w:rsidP="005F5DB0">
                              <w:pPr>
                                <w:pStyle w:val="NormalWeb"/>
                                <w:spacing w:before="0" w:beforeAutospacing="0" w:after="0" w:afterAutospacing="0"/>
                                <w:jc w:val="center"/>
                              </w:pPr>
                              <w:r>
                                <w:rPr>
                                  <w:b/>
                                  <w:bCs/>
                                  <w:color w:val="000000" w:themeColor="text1"/>
                                  <w:kern w:val="24"/>
                                </w:rPr>
                                <w:t xml:space="preserve">Dynamic Supply Chain Capabilities </w:t>
                              </w:r>
                            </w:p>
                          </w:txbxContent>
                        </wps:txbx>
                        <wps:bodyPr rtlCol="0" anchor="t" anchorCtr="0"/>
                      </wps:wsp>
                      <wps:wsp>
                        <wps:cNvPr id="31" name="Oval 31"/>
                        <wps:cNvSpPr/>
                        <wps:spPr>
                          <a:xfrm>
                            <a:off x="152821" y="2861847"/>
                            <a:ext cx="1673291" cy="71955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Straight Arrow Connector 32"/>
                        <wps:cNvCnPr/>
                        <wps:spPr>
                          <a:xfrm flipV="1">
                            <a:off x="1039036" y="2133601"/>
                            <a:ext cx="3073002" cy="609598"/>
                          </a:xfrm>
                          <a:prstGeom prst="straightConnector1">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FD75587" id="_x0000_s1042" style="position:absolute;left:0;text-align:left;margin-left:0;margin-top:27.35pt;width:480.2pt;height:227.25pt;z-index:251661312;mso-width-relative:margin;mso-height-relative:margin" coordsize="70839,396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">
                <v:group id="Group 18" o:spid="_x0000_s1043" style="position:absolute;top:2286;width:67791;height:35052" coordorigin=",2286" coordsize="65480,350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oval id="Oval 19" o:spid="_x0000_s1044" style="position:absolute;top:2286;width:20072;height:99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" fillcolor="white [3201]" strokecolor="black [3200]" strokeweight="1pt">
                    <v:stroke joinstyle="miter"/>
                    <v:textbox>
                      <w:txbxContent>
                        <w:p w14:paraId="7631DB61"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Entrepreneurial</w:t>
                          </w:r>
                        </w:p>
                        <w:p w14:paraId="71BA1285"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Orientation</w:t>
                          </w:r>
                        </w:p>
                      </w:txbxContent>
                    </v:textbox>
                  </v:oval>
                  <v:oval id="Oval 20" o:spid="_x0000_s1045" style="position:absolute;top:27432;width:20072;height:99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" fillcolor="white [3201]" strokecolor="black [3200]" strokeweight="1pt">
                    <v:stroke dashstyle="dash" joinstyle="miter"/>
                    <v:textbox>
                      <w:txbxContent>
                        <w:p w14:paraId="6E917D4E" w14:textId="77777777" w:rsidR="0059460E" w:rsidRPr="007B1109" w:rsidRDefault="0059460E" w:rsidP="005F5DB0">
                          <w:pPr>
                            <w:pStyle w:val="NormalWeb"/>
                            <w:spacing w:before="0" w:beforeAutospacing="0" w:after="0" w:afterAutospacing="0"/>
                            <w:jc w:val="center"/>
                          </w:pPr>
                          <w:r w:rsidRPr="007B1109">
                            <w:rPr>
                              <w:b/>
                              <w:bCs/>
                              <w:color w:val="000000" w:themeColor="dark1"/>
                              <w:kern w:val="24"/>
                            </w:rPr>
                            <w:t>Supply Chain Learning</w:t>
                          </w:r>
                        </w:p>
                      </w:txbxContent>
                    </v:textbox>
                  </v:oval>
                  <v:oval id="Oval 21" o:spid="_x0000_s1046" style="position:absolute;left:43045;top:16377;width:22435;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" fillcolor="white [3201]" strokecolor="black [3200]" strokeweight="1pt">
                    <v:stroke joinstyle="miter"/>
                    <v:textbox>
                      <w:txbxContent>
                        <w:p w14:paraId="1A5BADD8" w14:textId="77777777" w:rsidR="0059460E" w:rsidRDefault="0059460E" w:rsidP="005F5DB0">
                          <w:pPr>
                            <w:pStyle w:val="NormalWeb"/>
                            <w:spacing w:before="0" w:beforeAutospacing="0" w:after="0" w:afterAutospacing="0"/>
                            <w:jc w:val="center"/>
                          </w:pPr>
                          <w:r>
                            <w:rPr>
                              <w:b/>
                              <w:bCs/>
                              <w:color w:val="000000" w:themeColor="dark1"/>
                              <w:kern w:val="24"/>
                            </w:rPr>
                            <w:t>Supply Chain Agility</w:t>
                          </w:r>
                        </w:p>
                      </w:txbxContent>
                    </v:textbox>
                  </v:oval>
                  <v:oval id="Oval 22" o:spid="_x0000_s1047" style="position:absolute;left:43045;top:4572;width:22435;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" fillcolor="white [3201]" strokecolor="black [3200]" strokeweight="1pt">
                    <v:stroke joinstyle="miter"/>
                    <v:textbox>
                      <w:txbxContent>
                        <w:p w14:paraId="21569A3B" w14:textId="77777777" w:rsidR="0059460E" w:rsidRDefault="0059460E" w:rsidP="005F5DB0">
                          <w:pPr>
                            <w:pStyle w:val="NormalWeb"/>
                            <w:spacing w:before="0" w:beforeAutospacing="0" w:after="0" w:afterAutospacing="0"/>
                            <w:jc w:val="center"/>
                          </w:pPr>
                          <w:r>
                            <w:rPr>
                              <w:b/>
                              <w:bCs/>
                              <w:color w:val="000000" w:themeColor="dark1"/>
                              <w:kern w:val="24"/>
                            </w:rPr>
                            <w:t>Market Sensing</w:t>
                          </w:r>
                        </w:p>
                      </w:txbxContent>
                    </v:textbox>
                  </v:oval>
                  <v:oval id="Oval 23" o:spid="_x0000_s1048" style="position:absolute;left:42914;top:28194;width:22436;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" fillcolor="white [3201]" strokecolor="black [3200]" strokeweight="1pt">
                    <v:stroke joinstyle="miter"/>
                    <v:textbox>
                      <w:txbxContent>
                        <w:p w14:paraId="2AA8005B" w14:textId="77777777" w:rsidR="0059460E" w:rsidRDefault="0059460E" w:rsidP="005F5DB0">
                          <w:pPr>
                            <w:pStyle w:val="NormalWeb"/>
                            <w:spacing w:before="0" w:beforeAutospacing="0" w:after="0" w:afterAutospacing="0"/>
                            <w:jc w:val="center"/>
                          </w:pPr>
                          <w:r>
                            <w:rPr>
                              <w:b/>
                              <w:bCs/>
                              <w:color w:val="000000" w:themeColor="dark1"/>
                              <w:kern w:val="24"/>
                            </w:rPr>
                            <w:t>Supply Chain Adaptability</w:t>
                          </w:r>
                        </w:p>
                      </w:txbxContent>
                    </v:textbox>
                  </v:oval>
                  <v:shape id="Straight Arrow Connector 24" o:spid="_x0000_s1049" type="#_x0000_t32" style="position:absolute;left:20072;top:7239;width:19647;height:716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" strokecolor="black [3213]" strokeweight="2.25pt">
                    <v:stroke endarrow="open" joinstyle="miter"/>
                  </v:shape>
                  <v:shape id="Straight Arrow Connector 25" o:spid="_x0000_s1050" type="#_x0000_t32" style="position:absolute;left:17132;top:24046;width:22587;height:483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" strokecolor="black [3213]" strokeweight="2.25pt">
                    <v:stroke endarrow="open" joinstyle="miter"/>
                  </v:shape>
                  <v:shape id="Straight Arrow Connector 26" o:spid="_x0000_s1051" type="#_x0000_t32" style="position:absolute;left:10036;top:12192;width:0;height:152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" strokecolor="black [3213]" strokeweight="2.25pt">
                    <v:stroke dashstyle="dash" endarrow="open" joinstyle="miter"/>
                  </v:shape>
                  <v:shape id="TextBox 22" o:spid="_x0000_s1052" type="#_x0000_t202" style="position:absolute;left:21689;top:19812;width:10665;height:40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" filled="f" stroked="f">
                    <v:textbox>
                      <w:txbxContent>
                        <w:p w14:paraId="66F082CE"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0.468***</w:t>
                          </w:r>
                        </w:p>
                      </w:txbxContent>
                    </v:textbox>
                  </v:shape>
                  <v:shape id="TextBox 23" o:spid="_x0000_s1053" type="#_x0000_t202" style="position:absolute;left:21595;top:9903;width:10672;height:4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" filled="f" stroked="f">
                    <v:textbox>
                      <w:txbxContent>
                        <w:p w14:paraId="59B276CD"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0.349***</w:t>
                          </w:r>
                        </w:p>
                      </w:txbxContent>
                    </v:textbox>
                  </v:shape>
                  <v:shape id="TextBox 24" o:spid="_x0000_s1054" type="#_x0000_t202" style="position:absolute;left:21928;top:28618;width:10664;height:4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" filled="f" stroked="f">
                    <v:textbox>
                      <w:txbxContent>
                        <w:p w14:paraId="2B650CC2" w14:textId="77777777" w:rsidR="0059460E" w:rsidRPr="00D5066F" w:rsidRDefault="0059460E" w:rsidP="005F5DB0">
                          <w:pPr>
                            <w:pStyle w:val="NormalWeb"/>
                            <w:spacing w:before="0" w:beforeAutospacing="0" w:after="0" w:afterAutospacing="0"/>
                          </w:pPr>
                          <w:r>
                            <w:rPr>
                              <w:rFonts w:asciiTheme="minorHAnsi" w:hAnsi="Calibri" w:cstheme="minorBidi"/>
                              <w:b/>
                              <w:bCs/>
                              <w:color w:val="000000" w:themeColor="text1"/>
                              <w:kern w:val="24"/>
                            </w:rPr>
                            <w:t>0.432***</w:t>
                          </w:r>
                        </w:p>
                      </w:txbxContent>
                    </v:textbox>
                  </v:shape>
                </v:group>
                <v:rect id="Rectangle 30" o:spid="_x0000_s1055" style="position:absolute;left:41121;width:29718;height:39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" filled="f" strokecolor="black [3213]" strokeweight="1pt">
                  <v:textbox>
                    <w:txbxContent>
                      <w:p w14:paraId="52E17959" w14:textId="77777777" w:rsidR="0059460E" w:rsidRDefault="0059460E" w:rsidP="005F5DB0">
                        <w:pPr>
                          <w:pStyle w:val="NormalWeb"/>
                          <w:spacing w:before="0" w:beforeAutospacing="0" w:after="0" w:afterAutospacing="0"/>
                          <w:jc w:val="center"/>
                        </w:pPr>
                        <w:r>
                          <w:rPr>
                            <w:b/>
                            <w:bCs/>
                            <w:color w:val="000000" w:themeColor="text1"/>
                            <w:kern w:val="24"/>
                          </w:rPr>
                          <w:t xml:space="preserve">Dynamic Supply Chain Capabilities </w:t>
                        </w:r>
                      </w:p>
                    </w:txbxContent>
                  </v:textbox>
                </v:rect>
                <v:oval id="Oval 31" o:spid="_x0000_s1056" style="position:absolute;left:1528;top:28618;width:16733;height:7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" filled="f" strokecolor="black [3213]" strokeweight="1pt">
                  <v:stroke joinstyle="miter"/>
                </v:oval>
                <v:shape id="Straight Arrow Connector 32" o:spid="_x0000_s1057" type="#_x0000_t32" style="position:absolute;left:10390;top:21336;width:30730;height:6095;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" strokecolor="black [3213]" strokeweight="2.25pt">
                  <v:stroke dashstyle="dash" endarrow="block" joinstyle="miter"/>
                </v:shape>
                <w10:wrap type="square"/>
              </v:group>
            </w:pict>
          </mc:Fallback>
        </mc:AlternateContent>
      </w:r>
    </w:p>
    <w:p w14:paraId="29DDE604" w14:textId="77777777" w:rsidR="005F5DB0" w:rsidRPr="008C04EC" w:rsidRDefault="005F5DB0" w:rsidP="005F5DB0">
      <w:pPr>
        <w:spacing w:after="0" w:line="480" w:lineRule="auto"/>
        <w:jc w:val="both"/>
        <w:rPr>
          <w:rFonts w:ascii="Times New Roman" w:eastAsia="Calibri" w:hAnsi="Times New Roman" w:cs="Times New Roman"/>
          <w:color w:val="000000" w:themeColor="text1"/>
          <w:sz w:val="20"/>
          <w:lang w:val="en-GB"/>
        </w:rPr>
      </w:pPr>
      <w:r w:rsidRPr="008C04EC">
        <w:rPr>
          <w:rFonts w:ascii="Times New Roman" w:eastAsia="Calibri" w:hAnsi="Times New Roman" w:cs="Times New Roman"/>
          <w:color w:val="000000" w:themeColor="text1"/>
          <w:sz w:val="20"/>
          <w:lang w:val="en-GB"/>
        </w:rPr>
        <w:t>*** p&lt;0.01</w:t>
      </w:r>
    </w:p>
    <w:p w14:paraId="40CDEC3D" w14:textId="77777777" w:rsidR="005F5DB0" w:rsidRPr="008C04EC" w:rsidRDefault="005F5DB0" w:rsidP="005F5DB0">
      <w:pPr>
        <w:jc w:val="center"/>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t>Figure 2: Structural Model</w:t>
      </w:r>
    </w:p>
    <w:p w14:paraId="4E745CB3" w14:textId="77777777" w:rsidR="00800A71" w:rsidRPr="008C04EC" w:rsidRDefault="00800A71" w:rsidP="00800A71">
      <w:pPr>
        <w:spacing w:after="0" w:line="480" w:lineRule="auto"/>
        <w:jc w:val="both"/>
        <w:rPr>
          <w:rFonts w:ascii="Times New Roman" w:hAnsi="Times New Roman" w:cs="Times New Roman"/>
          <w:color w:val="000000" w:themeColor="text1"/>
          <w:sz w:val="24"/>
          <w:szCs w:val="24"/>
          <w:lang w:val="en-GB"/>
        </w:rPr>
      </w:pPr>
    </w:p>
    <w:p w14:paraId="1A6582C7" w14:textId="77777777" w:rsidR="00947610" w:rsidRDefault="00800A71" w:rsidP="00844396">
      <w:pPr>
        <w:spacing w:after="0" w:line="48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The results of the SEM presented in Figure 2 suggest that </w:t>
      </w:r>
      <w:r w:rsidRPr="008C04EC">
        <w:rPr>
          <w:rFonts w:ascii="Times New Roman" w:eastAsia="Calibri" w:hAnsi="Times New Roman" w:cs="Times New Roman"/>
          <w:color w:val="000000" w:themeColor="text1"/>
          <w:sz w:val="24"/>
          <w:lang w:val="en-GB"/>
        </w:rPr>
        <w:t>entrepreneurial orientation</w:t>
      </w:r>
      <w:r w:rsidRPr="008C04EC">
        <w:rPr>
          <w:rFonts w:ascii="Times New Roman" w:hAnsi="Times New Roman" w:cs="Times New Roman"/>
          <w:color w:val="000000" w:themeColor="text1"/>
          <w:sz w:val="24"/>
          <w:szCs w:val="24"/>
          <w:lang w:val="en-GB"/>
        </w:rPr>
        <w:t xml:space="preserve"> positively affects the emergence of DSCCs. However, the weaker direct effect we found, in comparison to the indirect effects, suggests that entrepreneurial orientation may be a necessary but insufficient condition in the emergence of DSCCs. This suggests that the relationship between entrepreneurial orientation and DSCCs is mediated by </w:t>
      </w:r>
      <w:r w:rsidR="0009286C">
        <w:rPr>
          <w:rFonts w:ascii="Times New Roman" w:hAnsi="Times New Roman" w:cs="Times New Roman"/>
          <w:color w:val="000000" w:themeColor="text1"/>
          <w:sz w:val="24"/>
          <w:szCs w:val="24"/>
          <w:lang w:val="en-GB"/>
        </w:rPr>
        <w:t xml:space="preserve">a </w:t>
      </w:r>
      <w:r w:rsidRPr="008C04EC">
        <w:rPr>
          <w:rFonts w:ascii="Times New Roman" w:hAnsi="Times New Roman" w:cs="Times New Roman"/>
          <w:color w:val="000000" w:themeColor="text1"/>
          <w:sz w:val="24"/>
          <w:szCs w:val="24"/>
          <w:lang w:val="en-GB"/>
        </w:rPr>
        <w:t>supply chain learning</w:t>
      </w:r>
      <w:r w:rsidR="0009286C">
        <w:rPr>
          <w:rFonts w:ascii="Times New Roman" w:hAnsi="Times New Roman" w:cs="Times New Roman"/>
          <w:color w:val="000000" w:themeColor="text1"/>
          <w:sz w:val="24"/>
          <w:szCs w:val="24"/>
          <w:lang w:val="en-GB"/>
        </w:rPr>
        <w:t xml:space="preserve"> orientation</w:t>
      </w:r>
      <w:r w:rsidRPr="008C04EC">
        <w:rPr>
          <w:rFonts w:ascii="Times New Roman" w:hAnsi="Times New Roman" w:cs="Times New Roman"/>
          <w:color w:val="000000" w:themeColor="text1"/>
          <w:sz w:val="24"/>
          <w:szCs w:val="24"/>
          <w:lang w:val="en-GB"/>
        </w:rPr>
        <w:t xml:space="preserve">. Our results conform to the conclusions of previous studies that show how entrepreneurial orientation utilises learning in knowledge creation and, in combination, learning and entrepreneurial orientation lay the foundation for new capabilities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&lt;EndNote&gt;&lt;Cite&gt;&lt;Author&gt;Real&lt;/Author&gt;&lt;Year&gt;2014&lt;/Year&gt;&lt;RecNum&gt;1056&lt;/RecNum&gt;&lt;DisplayText&gt;(Real et al., 2014)&lt;/DisplayText&gt;&lt;record&gt;&lt;rec-number&gt;1056&lt;/rec-number&gt;&lt;foreign-keys&gt;&lt;key app="EN" db-id="seavxzzzfrf2p7eddfnxx5ep2ar05z0ddwx9"&gt;1056&lt;/key&gt;&lt;/foreign-keys&gt;&lt;ref-type name="Journal Article"&gt;17&lt;/ref-type&gt;&lt;contributors&gt;&lt;authors&gt;&lt;author&gt;Real, Juan C&lt;/author&gt;&lt;author&gt;Roldán, José L&lt;/author&gt;&lt;author&gt;Leal, Antonio&lt;/author&gt;&lt;/authors&gt;&lt;/contributors&gt;&lt;titles&gt;&lt;title&gt;From entrepreneurial orientation and learning orientation to business performance: analysing the mediating role of organizational learning and the moderating effects of organizational size&lt;/title&gt;&lt;secondary-title&gt;British Journal of Management&lt;/secondary-title&gt;&lt;/titles&gt;&lt;periodical&gt;&lt;full-title&gt;British Journal of Management&lt;/full-title&gt;&lt;/periodical&gt;&lt;pages&gt;186-208&lt;/pages&gt;&lt;volume&gt;25&lt;/volume&gt;&lt;number&gt;2&lt;/number&gt;&lt;dates&gt;&lt;year&gt;2014&lt;/year&gt;&lt;/dates&gt;&lt;publisher&gt;Wiley Online Library&lt;/publisher&gt;&lt;isbn&gt;1467-8551&lt;/isbn&gt;&lt;urls&gt;&lt;/urls&gt;&lt;/record&gt;&lt;/Cite&gt;&lt;/EndNote&gt;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76" w:tooltip="Real, 2014 #1056" w:history="1">
        <w:r w:rsidR="00641B32" w:rsidRPr="008C04EC">
          <w:rPr>
            <w:rFonts w:ascii="Times New Roman" w:hAnsi="Times New Roman" w:cs="Times New Roman"/>
            <w:color w:val="000000" w:themeColor="text1"/>
            <w:sz w:val="24"/>
            <w:szCs w:val="24"/>
            <w:lang w:val="en-GB"/>
          </w:rPr>
          <w:t>Real et al., 2014</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Our data suggest that the pro-active and innovative nature of a firm’s </w:t>
      </w:r>
      <w:r w:rsidRPr="008C04EC">
        <w:rPr>
          <w:rFonts w:ascii="Times New Roman" w:eastAsia="Calibri" w:hAnsi="Times New Roman" w:cs="Times New Roman"/>
          <w:color w:val="000000" w:themeColor="text1"/>
          <w:sz w:val="24"/>
          <w:lang w:val="en-GB"/>
        </w:rPr>
        <w:t>entrepreneurial orientation encourages</w:t>
      </w:r>
      <w:r w:rsidRPr="008C04EC">
        <w:rPr>
          <w:rFonts w:ascii="Times New Roman" w:hAnsi="Times New Roman" w:cs="Times New Roman"/>
          <w:color w:val="000000" w:themeColor="text1"/>
          <w:sz w:val="24"/>
          <w:szCs w:val="24"/>
          <w:lang w:val="en-GB"/>
        </w:rPr>
        <w:t xml:space="preserve"> learning through the sharing of knowledge between supply chain partners, allowing the supply chain to better sense and seize new market opportunities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&lt;EndNote&gt;&lt;Cite&gt;&lt;Author&gt;Anderson&lt;/Author&gt;&lt;Year&gt;2009&lt;/Year&gt;&lt;RecNum&gt;1059&lt;/RecNum&gt;&lt;DisplayText&gt;(Anderson et al., 2009)&lt;/DisplayText&gt;&lt;record&gt;&lt;rec-number&gt;1059&lt;/rec-number&gt;&lt;foreign-keys&gt;&lt;key app="EN" db-id="seavxzzzfrf2p7eddfnxx5ep2ar05z0ddwx9"&gt;1059&lt;/key&gt;&lt;/foreign-keys&gt;&lt;ref-type name="Journal Article"&gt;17&lt;/ref-type&gt;&lt;contributors&gt;&lt;authors&gt;&lt;author&gt;Anderson, Brian S&lt;/author&gt;&lt;author&gt;Covin, Jeffrey G&lt;/author&gt;&lt;author&gt;Slevin, Dennis P&lt;/author&gt;&lt;/authors&gt;&lt;/contributors&gt;&lt;titles&gt;&lt;title&gt;Understanding the relationship between entrepreneurial orientation and strategic learning capability: an empirical investigation&lt;/title&gt;&lt;secondary-title&gt;Strategic Entrepreneurship Journal&lt;/secondary-title&gt;&lt;/titles&gt;&lt;periodical&gt;&lt;full-title&gt;Strategic Entrepreneurship Journal&lt;/full-title&gt;&lt;/periodical&gt;&lt;pages&gt;218-240&lt;/pages&gt;&lt;volume&gt;3&lt;/volume&gt;&lt;number&gt;3&lt;/number&gt;&lt;dates&gt;&lt;year&gt;2009&lt;/year&gt;&lt;/dates&gt;&lt;publisher&gt;Wiley Online Library&lt;/publisher&gt;&lt;isbn&gt;1932-443X&lt;/isbn&gt;&lt;urls&gt;&lt;/urls&gt;&lt;/record&gt;&lt;/Cite&gt;&lt;/EndNote&gt;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5" w:tooltip="Anderson, 2009 #1059" w:history="1">
        <w:r w:rsidR="00641B32" w:rsidRPr="008C04EC">
          <w:rPr>
            <w:rFonts w:ascii="Times New Roman" w:hAnsi="Times New Roman" w:cs="Times New Roman"/>
            <w:color w:val="000000" w:themeColor="text1"/>
            <w:sz w:val="24"/>
            <w:szCs w:val="24"/>
            <w:lang w:val="en-GB"/>
          </w:rPr>
          <w:t>Anderson et al., 2009</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w:t>
      </w:r>
      <w:r w:rsidR="00947610" w:rsidRPr="00947610">
        <w:rPr>
          <w:rFonts w:ascii="Times New Roman" w:hAnsi="Times New Roman" w:cs="Times New Roman"/>
          <w:color w:val="000000" w:themeColor="text1"/>
          <w:sz w:val="24"/>
          <w:szCs w:val="24"/>
          <w:lang w:val="en-GB"/>
        </w:rPr>
        <w:t xml:space="preserve"> </w:t>
      </w:r>
    </w:p>
    <w:p w14:paraId="02E4BC1A" w14:textId="4CC7EC30" w:rsidR="000F73F8" w:rsidRDefault="00947610" w:rsidP="00947610">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 xml:space="preserve">In identifying </w:t>
      </w:r>
      <w:r>
        <w:rPr>
          <w:rFonts w:ascii="Times New Roman" w:hAnsi="Times New Roman" w:cs="Times New Roman"/>
          <w:color w:val="000000" w:themeColor="text1"/>
          <w:sz w:val="24"/>
          <w:szCs w:val="24"/>
          <w:lang w:val="en-GB"/>
        </w:rPr>
        <w:t xml:space="preserve">a </w:t>
      </w:r>
      <w:r w:rsidRPr="008C04EC">
        <w:rPr>
          <w:rFonts w:ascii="Times New Roman" w:hAnsi="Times New Roman" w:cs="Times New Roman"/>
          <w:color w:val="000000" w:themeColor="text1"/>
          <w:sz w:val="24"/>
          <w:szCs w:val="24"/>
          <w:lang w:val="en-GB"/>
        </w:rPr>
        <w:t xml:space="preserve">supply chain learning </w:t>
      </w:r>
      <w:r>
        <w:rPr>
          <w:rFonts w:ascii="Times New Roman" w:hAnsi="Times New Roman" w:cs="Times New Roman"/>
          <w:color w:val="000000" w:themeColor="text1"/>
          <w:sz w:val="24"/>
          <w:szCs w:val="24"/>
          <w:lang w:val="en-GB"/>
        </w:rPr>
        <w:t xml:space="preserve">orientation </w:t>
      </w:r>
      <w:r w:rsidRPr="008C04EC">
        <w:rPr>
          <w:rFonts w:ascii="Times New Roman" w:hAnsi="Times New Roman" w:cs="Times New Roman"/>
          <w:color w:val="000000" w:themeColor="text1"/>
          <w:sz w:val="24"/>
          <w:szCs w:val="24"/>
          <w:lang w:val="en-GB"/>
        </w:rPr>
        <w:t xml:space="preserve">as an outcome of entrepreneurial orientation, we answer the call of Dess et al.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ExcludeAuth="1"&gt;&lt;Author&gt;Dess&lt;/Author&gt;&lt;Year&gt;2003&lt;/Year&gt;&lt;RecNum&gt;1084&lt;/RecNum&gt;&lt;DisplayText&gt;(2003)&lt;/DisplayText&gt;&lt;record&gt;&lt;rec-number&gt;1084&lt;/rec-number&gt;&lt;foreign-keys&gt;&lt;key app="EN" db-id="seavxzzzfrf2p7eddfnxx5ep2ar05z0ddwx9"&gt;1084&lt;/key&gt;&lt;/foreign-keys&gt;&lt;ref-type name="Journal Article"&gt;17&lt;/ref-type&gt;&lt;contributors&gt;&lt;authors&gt;&lt;author&gt;Dess, Gregory G&lt;/author&gt;&lt;author&gt;Ireland, R Duane&lt;/author&gt;&lt;author&gt;Zahra, Shaker A&lt;/author&gt;&lt;author&gt;Floyd, Steven W&lt;/author&gt;&lt;author&gt;Janney, Jay J&lt;/author&gt;&lt;author&gt;Lane, Peter J&lt;/author&gt;&lt;/authors&gt;&lt;/contributors&gt;&lt;titles&gt;&lt;title&gt;Emerging issues in corporate entrepreneurship&lt;/title&gt;&lt;secondary-title&gt;Journal of Management&lt;/secondary-title&gt;&lt;/titles&gt;&lt;periodical&gt;&lt;full-title&gt;Journal of management&lt;/full-title&gt;&lt;/periodical&gt;&lt;pages&gt;351-378&lt;/pages&gt;&lt;volume&gt;29&lt;/volume&gt;&lt;number&gt;3&lt;/number&gt;&lt;dates&gt;&lt;year&gt;2003&lt;/year&gt;&lt;/dates&gt;&lt;publisher&gt;Sage Publications Sage CA: Thousand Oaks, CA&lt;/publisher&gt;&lt;isbn&gt;0149-2063&lt;/isbn&gt;&lt;urls&gt;&lt;/urls&gt;&lt;/record&gt;&lt;/Cite&gt;&lt;/EndNote&gt;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23" w:tooltip="Dess, 2003 #1084" w:history="1">
        <w:r w:rsidRPr="008C04EC">
          <w:rPr>
            <w:rFonts w:ascii="Times New Roman" w:hAnsi="Times New Roman" w:cs="Times New Roman"/>
            <w:color w:val="000000" w:themeColor="text1"/>
            <w:sz w:val="24"/>
            <w:szCs w:val="24"/>
            <w:lang w:val="en-GB"/>
          </w:rPr>
          <w:t>2003</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and Zahra et al.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ExcludeAuth="1"&gt;&lt;Author&gt;Zahra&lt;/Author&gt;&lt;Year&gt;1999&lt;/Year&gt;&lt;RecNum&gt;1049&lt;/RecNum&gt;&lt;DisplayText&gt;(1999)&lt;/DisplayText&gt;&lt;record&gt;&lt;rec-number&gt;1049&lt;/rec-number&gt;&lt;foreign-keys&gt;&lt;key app="EN" db-id="seavxzzzfrf2p7eddfnxx5ep2ar05z0ddwx9"&gt;1049&lt;/key&gt;&lt;/foreign-keys&gt;&lt;ref-type name="Journal Article"&gt;17&lt;/ref-type&gt;&lt;contributors&gt;&lt;authors&gt;&lt;author&gt;Zahra, Shaker A&lt;/author&gt;&lt;author&gt;Nielsen, Anders P&lt;/author&gt;&lt;author&gt;Bogner, William C&lt;/author&gt;&lt;/authors&gt;&lt;/contributors&gt;&lt;titles&gt;&lt;title&gt;Corporate entrepreneurship, knowledge, and competence development&lt;/title&gt;&lt;secondary-title&gt;Entrepreneurship: Theory and Practice&lt;/secondary-title&gt;&lt;/titles&gt;&lt;periodical&gt;&lt;full-title&gt;Entrepreneurship: Theory and Practice&lt;/full-title&gt;&lt;/periodical&gt;&lt;pages&gt;169-169&lt;/pages&gt;&lt;volume&gt;23&lt;/volume&gt;&lt;number&gt;3&lt;/number&gt;&lt;dates&gt;&lt;year&gt;1999&lt;/year&gt;&lt;/dates&gt;&lt;publisher&gt;Sage Publications, Inc.&lt;/publisher&gt;&lt;isbn&gt;1042-2587&lt;/isbn&gt;&lt;urls&gt;&lt;/urls&gt;&lt;/record&gt;&lt;/Cite&gt;&lt;/EndNote&gt;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w:t>
      </w:r>
      <w:hyperlink w:anchor="_ENREF_102" w:tooltip="Zahra, 1999 #1049" w:history="1">
        <w:r w:rsidRPr="008C04EC">
          <w:rPr>
            <w:rFonts w:ascii="Times New Roman" w:hAnsi="Times New Roman" w:cs="Times New Roman"/>
            <w:color w:val="000000" w:themeColor="text1"/>
            <w:sz w:val="24"/>
            <w:szCs w:val="24"/>
            <w:lang w:val="en-GB"/>
          </w:rPr>
          <w:t>1999</w:t>
        </w:r>
      </w:hyperlink>
      <w:r w:rsidRPr="008C04EC">
        <w:rPr>
          <w:rFonts w:ascii="Times New Roman" w:hAnsi="Times New Roman" w:cs="Times New Roman"/>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to gather empirical </w:t>
      </w:r>
      <w:r w:rsidRPr="008C04EC">
        <w:rPr>
          <w:rFonts w:ascii="Times New Roman" w:hAnsi="Times New Roman" w:cs="Times New Roman"/>
          <w:color w:val="000000" w:themeColor="text1"/>
          <w:sz w:val="24"/>
          <w:szCs w:val="24"/>
          <w:lang w:val="en-GB"/>
        </w:rPr>
        <w:lastRenderedPageBreak/>
        <w:t xml:space="preserve">data on the outcomes of entrepreneurial orientation above and beyond firm performance. By determining how </w:t>
      </w:r>
      <w:r w:rsidR="005133BB">
        <w:rPr>
          <w:rFonts w:ascii="Times New Roman" w:hAnsi="Times New Roman" w:cs="Times New Roman"/>
          <w:color w:val="000000" w:themeColor="text1"/>
          <w:sz w:val="24"/>
          <w:szCs w:val="24"/>
          <w:lang w:val="en-GB"/>
        </w:rPr>
        <w:t xml:space="preserve">a </w:t>
      </w:r>
      <w:r w:rsidRPr="008C04EC">
        <w:rPr>
          <w:rFonts w:ascii="Times New Roman" w:hAnsi="Times New Roman" w:cs="Times New Roman"/>
          <w:color w:val="000000" w:themeColor="text1"/>
          <w:sz w:val="24"/>
          <w:szCs w:val="24"/>
          <w:lang w:val="en-GB"/>
        </w:rPr>
        <w:t>supply chain learning</w:t>
      </w:r>
      <w:r w:rsidR="005133BB">
        <w:rPr>
          <w:rFonts w:ascii="Times New Roman" w:hAnsi="Times New Roman" w:cs="Times New Roman"/>
          <w:color w:val="000000" w:themeColor="text1"/>
          <w:sz w:val="24"/>
          <w:szCs w:val="24"/>
          <w:lang w:val="en-GB"/>
        </w:rPr>
        <w:t xml:space="preserve"> orientation</w:t>
      </w:r>
      <w:r w:rsidRPr="008C04EC">
        <w:rPr>
          <w:rFonts w:ascii="Times New Roman" w:hAnsi="Times New Roman" w:cs="Times New Roman"/>
          <w:color w:val="000000" w:themeColor="text1"/>
          <w:sz w:val="24"/>
          <w:szCs w:val="24"/>
          <w:lang w:val="en-GB"/>
        </w:rPr>
        <w:t xml:space="preserve"> enables capability building, we also respond to </w:t>
      </w:r>
      <w:hyperlink w:anchor="_ENREF_6" w:tooltip="Argote, 2012 #1085" w:history="1">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 AuthorYear="1"&gt;&lt;Author&gt;Argote&lt;/Author&gt;&lt;Year&gt;2012&lt;/Year&gt;&lt;RecNum&gt;1085&lt;/RecNum&gt;&lt;DisplayText&gt;Argote (2012)&lt;/DisplayText&gt;&lt;record&gt;&lt;rec-number&gt;1085&lt;/rec-number&gt;&lt;foreign-keys&gt;&lt;key app="EN" db-id="seavxzzzfrf2p7eddfnxx5ep2ar05z0ddwx9"&gt;1085&lt;/key&gt;&lt;/foreign-keys&gt;&lt;ref-type name="Book"&gt;6&lt;/ref-type&gt;&lt;contributors&gt;&lt;authors&gt;&lt;author&gt;Argote, Linda&lt;/author&gt;&lt;/authors&gt;&lt;/contributors&gt;&lt;titles&gt;&lt;title&gt;Organizational Learning: Creating, Retaining and Transferring Knowledge&lt;/title&gt;&lt;/titles&gt;&lt;dates&gt;&lt;year&gt;2012&lt;/year&gt;&lt;/dates&gt;&lt;publisher&gt;Springer Science &amp;amp; Business Media&lt;/publisher&gt;&lt;isbn&gt;1461452511&lt;/isbn&gt;&lt;urls&gt;&lt;/urls&gt;&lt;/record&gt;&lt;/Cite&gt;&lt;/EndNote&gt;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color w:val="000000" w:themeColor="text1"/>
            <w:sz w:val="24"/>
            <w:szCs w:val="24"/>
            <w:lang w:val="en-GB"/>
          </w:rPr>
          <w:t>Argote (2012)</w:t>
        </w:r>
        <w:r w:rsidRPr="008C04EC">
          <w:rPr>
            <w:rFonts w:ascii="Times New Roman" w:hAnsi="Times New Roman" w:cs="Times New Roman"/>
            <w:color w:val="000000" w:themeColor="text1"/>
            <w:sz w:val="24"/>
            <w:szCs w:val="24"/>
            <w:lang w:val="en-GB"/>
          </w:rPr>
          <w:fldChar w:fldCharType="end"/>
        </w:r>
      </w:hyperlink>
      <w:r w:rsidRPr="008C04EC">
        <w:rPr>
          <w:rFonts w:ascii="Times New Roman" w:hAnsi="Times New Roman" w:cs="Times New Roman"/>
          <w:color w:val="000000" w:themeColor="text1"/>
          <w:sz w:val="24"/>
          <w:szCs w:val="24"/>
          <w:lang w:val="en-GB"/>
        </w:rPr>
        <w:t xml:space="preserve"> who called for the identification of different learning outcomes outside of enhanced firm performance. Moreover, our findings lend empirical support to previous studies that have suggested that learning is an antecedent to the success of dynamic capabilities </w:t>
      </w:r>
      <w:r w:rsidRPr="008C04EC">
        <w:rPr>
          <w:rFonts w:ascii="Times New Roman" w:hAnsi="Times New Roman" w:cs="Times New Roman"/>
          <w:color w:val="000000" w:themeColor="text1"/>
          <w:sz w:val="24"/>
          <w:szCs w:val="24"/>
          <w:lang w:val="en-GB"/>
        </w:rPr>
        <w:fldChar w:fldCharType="begin">
          <w:fldData xml:space="preserve">PEVuZE5vdGU+PENpdGU+PEF1dGhvcj5TY2hpbGtlPC9BdXRob3I+PFllYXI+MjAxNDwvWWVhcj48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</w:fldData>
        </w:fldChar>
      </w:r>
      <w:r w:rsidRPr="008C04EC">
        <w:rPr>
          <w:rFonts w:ascii="Times New Roman" w:hAnsi="Times New Roman" w:cs="Times New Roman"/>
          <w:color w:val="000000" w:themeColor="text1"/>
          <w:sz w:val="24"/>
          <w:szCs w:val="24"/>
          <w:lang w:val="en-GB"/>
        </w:rPr>
        <w:instrText xml:space="preserve"> ADDIN EN.CITE </w:instrText>
      </w:r>
      <w:r w:rsidRPr="008C04EC">
        <w:rPr>
          <w:rFonts w:ascii="Times New Roman" w:hAnsi="Times New Roman" w:cs="Times New Roman"/>
          <w:color w:val="000000" w:themeColor="text1"/>
          <w:sz w:val="24"/>
          <w:szCs w:val="24"/>
          <w:lang w:val="en-GB"/>
        </w:rPr>
        <w:fldChar w:fldCharType="begin">
          <w:fldData xml:space="preserve">PEVuZE5vdGU+PENpdGU+PEF1dGhvcj5TY2hpbGtlPC9BdXRob3I+PFllYXI+MjAxNDwvWWVhcj48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</w:fldData>
        </w:fldChar>
      </w:r>
      <w:r w:rsidRPr="008C04EC">
        <w:rPr>
          <w:rFonts w:ascii="Times New Roman" w:hAnsi="Times New Roman" w:cs="Times New Roman"/>
          <w:color w:val="000000" w:themeColor="text1"/>
          <w:sz w:val="24"/>
          <w:szCs w:val="24"/>
          <w:lang w:val="en-GB"/>
        </w:rPr>
        <w:instrText xml:space="preserve"> ADDIN EN.CITE.DATA </w:instrText>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50" w:tooltip="Kale, 2007 #420" w:history="1">
        <w:r w:rsidRPr="008C04EC">
          <w:rPr>
            <w:rFonts w:ascii="Times New Roman" w:hAnsi="Times New Roman" w:cs="Times New Roman"/>
            <w:noProof/>
            <w:color w:val="000000" w:themeColor="text1"/>
            <w:sz w:val="24"/>
            <w:szCs w:val="24"/>
            <w:lang w:val="en-GB"/>
          </w:rPr>
          <w:t>Kale &amp; Singh, 2007</w:t>
        </w:r>
      </w:hyperlink>
      <w:r w:rsidRPr="008C04EC">
        <w:rPr>
          <w:rFonts w:ascii="Times New Roman" w:hAnsi="Times New Roman" w:cs="Times New Roman"/>
          <w:noProof/>
          <w:color w:val="000000" w:themeColor="text1"/>
          <w:sz w:val="24"/>
          <w:szCs w:val="24"/>
          <w:lang w:val="en-GB"/>
        </w:rPr>
        <w:t xml:space="preserve">; </w:t>
      </w:r>
      <w:hyperlink w:anchor="_ENREF_59" w:tooltip="Lei, 1996 #944" w:history="1">
        <w:r w:rsidRPr="008C04EC">
          <w:rPr>
            <w:rFonts w:ascii="Times New Roman" w:hAnsi="Times New Roman" w:cs="Times New Roman"/>
            <w:noProof/>
            <w:color w:val="000000" w:themeColor="text1"/>
            <w:sz w:val="24"/>
            <w:szCs w:val="24"/>
            <w:lang w:val="en-GB"/>
          </w:rPr>
          <w:t>Lei</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1996</w:t>
        </w:r>
      </w:hyperlink>
      <w:r w:rsidRPr="008C04EC">
        <w:rPr>
          <w:rFonts w:ascii="Times New Roman" w:hAnsi="Times New Roman" w:cs="Times New Roman"/>
          <w:noProof/>
          <w:color w:val="000000" w:themeColor="text1"/>
          <w:sz w:val="24"/>
          <w:szCs w:val="24"/>
          <w:lang w:val="en-GB"/>
        </w:rPr>
        <w:t xml:space="preserve">; </w:t>
      </w:r>
      <w:hyperlink w:anchor="_ENREF_80" w:tooltip="Schilke, 2014 #830" w:history="1">
        <w:r w:rsidRPr="008C04EC">
          <w:rPr>
            <w:rFonts w:ascii="Times New Roman" w:hAnsi="Times New Roman" w:cs="Times New Roman"/>
            <w:noProof/>
            <w:color w:val="000000" w:themeColor="text1"/>
            <w:sz w:val="24"/>
            <w:szCs w:val="24"/>
            <w:lang w:val="en-GB"/>
          </w:rPr>
          <w:t>Schilke, 2014</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and that dynamic capabilities are formed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&lt;EndNote&gt;&lt;Cite&gt;&lt;Author&gt;Zollo&lt;/Author&gt;&lt;Year&gt;2002&lt;/Year&gt;&lt;RecNum&gt;642&lt;/RecNum&gt;&lt;DisplayText&gt;(Zollo, Reuer, &amp;amp; Singh, 2002)&lt;/DisplayText&gt;&lt;record&gt;&lt;rec-number&gt;642&lt;/rec-number&gt;&lt;foreign-keys&gt;&lt;key app="EN" db-id="seavxzzzfrf2p7eddfnxx5ep2ar05z0ddwx9"&gt;642&lt;/key&gt;&lt;/foreign-keys&gt;&lt;ref-type name="Journal Article"&gt;17&lt;/ref-type&gt;&lt;contributors&gt;&lt;authors&gt;&lt;author&gt;Zollo, Maurizio&lt;/author&gt;&lt;author&gt;Reuer, Jeffrey J&lt;/author&gt;&lt;author&gt;Singh, Harbir&lt;/author&gt;&lt;/authors&gt;&lt;/contributors&gt;&lt;titles&gt;&lt;title&gt;Interorganizational routines and performance in strategic alliances&lt;/title&gt;&lt;secondary-title&gt;Organization Science&lt;/secondary-title&gt;&lt;/titles&gt;&lt;periodical&gt;&lt;full-title&gt;Organization science&lt;/full-title&gt;&lt;/periodical&gt;&lt;pages&gt;701-713&lt;/pages&gt;&lt;volume&gt;13&lt;/volume&gt;&lt;number&gt;6&lt;/number&gt;&lt;dates&gt;&lt;year&gt;2002&lt;/year&gt;&lt;/dates&gt;&lt;publisher&gt;INFORMS&lt;/publisher&gt;&lt;isbn&gt;1047-7039&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105" w:tooltip="Zollo, 2002 #642" w:history="1">
        <w:r w:rsidRPr="008C04EC">
          <w:rPr>
            <w:rFonts w:ascii="Times New Roman" w:hAnsi="Times New Roman" w:cs="Times New Roman"/>
            <w:noProof/>
            <w:color w:val="000000" w:themeColor="text1"/>
            <w:sz w:val="24"/>
            <w:szCs w:val="24"/>
            <w:lang w:val="en-GB"/>
          </w:rPr>
          <w:t>Zollo</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2002</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and improved </w:t>
      </w:r>
      <w:r w:rsidRPr="008C04EC">
        <w:rPr>
          <w:rFonts w:ascii="Times New Roman" w:hAnsi="Times New Roman" w:cs="Times New Roman"/>
          <w:color w:val="000000" w:themeColor="text1"/>
          <w:sz w:val="24"/>
          <w:szCs w:val="24"/>
          <w:lang w:val="en-GB"/>
        </w:rPr>
        <w:fldChar w:fldCharType="begin"/>
      </w:r>
      <w:r w:rsidRPr="008C04EC">
        <w:rPr>
          <w:rFonts w:ascii="Times New Roman" w:hAnsi="Times New Roman" w:cs="Times New Roman"/>
          <w:color w:val="000000" w:themeColor="text1"/>
          <w:sz w:val="24"/>
          <w:szCs w:val="24"/>
          <w:lang w:val="en-GB"/>
        </w:rPr>
        <w:instrText xml:space="preserve"> ADDIN EN.CITE &lt;EndNote&gt;&lt;Cite&gt;&lt;Author&gt;Huang&lt;/Author&gt;&lt;Year&gt;2013&lt;/Year&gt;&lt;RecNum&gt;945&lt;/RecNum&gt;&lt;DisplayText&gt;(Huang, Chen, Stewart, &amp;amp; Panuwatwanich, 2013)&lt;/DisplayText&gt;&lt;record&gt;&lt;rec-number&gt;945&lt;/rec-number&gt;&lt;foreign-keys&gt;&lt;key app="EN" db-id="seavxzzzfrf2p7eddfnxx5ep2ar05z0ddwx9"&gt;945&lt;/key&gt;&lt;/foreign-keys&gt;&lt;ref-type name="Journal Article"&gt;17&lt;/ref-type&gt;&lt;contributors&gt;&lt;authors&gt;&lt;author&gt;Tsu-Te (Andrew) Huang&lt;/author&gt;&lt;author&gt;Chen, Le&lt;/author&gt;&lt;author&gt;Stewart, Rodney A&lt;/author&gt;&lt;author&gt;Panuwatwanich, Kriengsak&lt;/author&gt;&lt;/authors&gt;&lt;/contributors&gt;&lt;titles&gt;&lt;title&gt;Leveraging power of learning capability upon manufacturing operations&lt;/title&gt;&lt;secondary-title&gt;International Journal of Production Economics&lt;/secondary-title&gt;&lt;/titles&gt;&lt;periodical&gt;&lt;full-title&gt;International Journal of Production Economics&lt;/full-title&gt;&lt;/periodical&gt;&lt;pages&gt;233-252&lt;/pages&gt;&lt;volume&gt;145&lt;/volume&gt;&lt;number&gt;1&lt;/number&gt;&lt;dates&gt;&lt;year&gt;2013&lt;/year&gt;&lt;/dates&gt;&lt;publisher&gt;Elsevier&lt;/publisher&gt;&lt;isbn&gt;0925-5273&lt;/isbn&gt;&lt;urls&gt;&lt;/urls&gt;&lt;/record&gt;&lt;/Cite&gt;&lt;/EndNote&gt;</w:instrText>
      </w:r>
      <w:r w:rsidRPr="008C04EC">
        <w:rPr>
          <w:rFonts w:ascii="Times New Roman" w:hAnsi="Times New Roman" w:cs="Times New Roman"/>
          <w:color w:val="000000" w:themeColor="text1"/>
          <w:sz w:val="24"/>
          <w:szCs w:val="24"/>
          <w:lang w:val="en-GB"/>
        </w:rPr>
        <w:fldChar w:fldCharType="separate"/>
      </w:r>
      <w:r w:rsidRPr="008C04EC">
        <w:rPr>
          <w:rFonts w:ascii="Times New Roman" w:hAnsi="Times New Roman" w:cs="Times New Roman"/>
          <w:noProof/>
          <w:color w:val="000000" w:themeColor="text1"/>
          <w:sz w:val="24"/>
          <w:szCs w:val="24"/>
          <w:lang w:val="en-GB"/>
        </w:rPr>
        <w:t>(</w:t>
      </w:r>
      <w:hyperlink w:anchor="_ENREF_45" w:tooltip="Huang, 2013 #945" w:history="1">
        <w:r w:rsidRPr="008C04EC">
          <w:rPr>
            <w:rFonts w:ascii="Times New Roman" w:hAnsi="Times New Roman" w:cs="Times New Roman"/>
            <w:noProof/>
            <w:color w:val="000000" w:themeColor="text1"/>
            <w:sz w:val="24"/>
            <w:szCs w:val="24"/>
            <w:lang w:val="en-GB"/>
          </w:rPr>
          <w:t>Huang</w:t>
        </w:r>
        <w:r>
          <w:rPr>
            <w:rFonts w:ascii="Times New Roman" w:hAnsi="Times New Roman" w:cs="Times New Roman"/>
            <w:noProof/>
            <w:color w:val="000000" w:themeColor="text1"/>
            <w:sz w:val="24"/>
            <w:szCs w:val="24"/>
            <w:lang w:val="en-GB"/>
          </w:rPr>
          <w:t xml:space="preserve"> et al.</w:t>
        </w:r>
        <w:r w:rsidRPr="008C04EC">
          <w:rPr>
            <w:rFonts w:ascii="Times New Roman" w:hAnsi="Times New Roman" w:cs="Times New Roman"/>
            <w:noProof/>
            <w:color w:val="000000" w:themeColor="text1"/>
            <w:sz w:val="24"/>
            <w:szCs w:val="24"/>
            <w:lang w:val="en-GB"/>
          </w:rPr>
          <w:t>, 2013</w:t>
        </w:r>
      </w:hyperlink>
      <w:r w:rsidRPr="008C04EC">
        <w:rPr>
          <w:rFonts w:ascii="Times New Roman" w:hAnsi="Times New Roman" w:cs="Times New Roman"/>
          <w:noProof/>
          <w:color w:val="000000" w:themeColor="text1"/>
          <w:sz w:val="24"/>
          <w:szCs w:val="24"/>
          <w:lang w:val="en-GB"/>
        </w:rPr>
        <w:t>)</w:t>
      </w:r>
      <w:r w:rsidRPr="008C04EC">
        <w:rPr>
          <w:rFonts w:ascii="Times New Roman" w:hAnsi="Times New Roman" w:cs="Times New Roman"/>
          <w:color w:val="000000" w:themeColor="text1"/>
          <w:sz w:val="24"/>
          <w:szCs w:val="24"/>
          <w:lang w:val="en-GB"/>
        </w:rPr>
        <w:fldChar w:fldCharType="end"/>
      </w:r>
      <w:r w:rsidRPr="008C04EC">
        <w:rPr>
          <w:rFonts w:ascii="Times New Roman" w:hAnsi="Times New Roman" w:cs="Times New Roman"/>
          <w:color w:val="000000" w:themeColor="text1"/>
          <w:sz w:val="24"/>
          <w:szCs w:val="24"/>
          <w:lang w:val="en-GB"/>
        </w:rPr>
        <w:t xml:space="preserve"> through learning orientations</w:t>
      </w:r>
      <w:r>
        <w:rPr>
          <w:rFonts w:ascii="Times New Roman" w:hAnsi="Times New Roman" w:cs="Times New Roman"/>
          <w:color w:val="000000" w:themeColor="text1"/>
          <w:sz w:val="24"/>
          <w:szCs w:val="24"/>
          <w:lang w:val="en-GB"/>
        </w:rPr>
        <w:t xml:space="preserve">. </w:t>
      </w:r>
    </w:p>
    <w:p w14:paraId="14425EA0" w14:textId="4386691C" w:rsidR="00800A71" w:rsidRDefault="00947610" w:rsidP="000F73F8">
      <w:pPr>
        <w:spacing w:after="0" w:line="480" w:lineRule="auto"/>
        <w:ind w:firstLine="567"/>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Our</w:t>
      </w:r>
      <w:r w:rsidR="000F73F8">
        <w:rPr>
          <w:rFonts w:ascii="Times New Roman" w:hAnsi="Times New Roman" w:cs="Times New Roman"/>
          <w:color w:val="000000" w:themeColor="text1"/>
          <w:sz w:val="24"/>
          <w:szCs w:val="24"/>
          <w:lang w:val="en-GB"/>
        </w:rPr>
        <w:t xml:space="preserve"> findings extend the work of Defee and Fugate (2010) who suggested that</w:t>
      </w:r>
      <w:r w:rsidR="004742CF">
        <w:rPr>
          <w:rFonts w:ascii="Times New Roman" w:hAnsi="Times New Roman" w:cs="Times New Roman"/>
          <w:color w:val="000000" w:themeColor="text1"/>
          <w:sz w:val="24"/>
          <w:szCs w:val="24"/>
          <w:lang w:val="en-GB"/>
        </w:rPr>
        <w:t xml:space="preserve"> the antecedents of</w:t>
      </w:r>
      <w:r w:rsidR="000F73F8">
        <w:rPr>
          <w:rFonts w:ascii="Times New Roman" w:hAnsi="Times New Roman" w:cs="Times New Roman"/>
          <w:color w:val="000000" w:themeColor="text1"/>
          <w:sz w:val="24"/>
          <w:szCs w:val="24"/>
          <w:lang w:val="en-GB"/>
        </w:rPr>
        <w:t xml:space="preserve"> DSCCs are a supply chain orientation and learning orientation. Their notion of supply chain orientation calls on a focal firm and its supplier to undertake cooperative efforts to synchronize intra- and inter-f</w:t>
      </w:r>
      <w:r w:rsidR="004742CF">
        <w:rPr>
          <w:rFonts w:ascii="Times New Roman" w:hAnsi="Times New Roman" w:cs="Times New Roman"/>
          <w:color w:val="000000" w:themeColor="text1"/>
          <w:sz w:val="24"/>
          <w:szCs w:val="24"/>
          <w:lang w:val="en-GB"/>
        </w:rPr>
        <w:t xml:space="preserve">irm </w:t>
      </w:r>
      <w:r w:rsidR="000F73F8">
        <w:rPr>
          <w:rFonts w:ascii="Times New Roman" w:hAnsi="Times New Roman" w:cs="Times New Roman"/>
          <w:color w:val="000000" w:themeColor="text1"/>
          <w:sz w:val="24"/>
          <w:szCs w:val="24"/>
          <w:lang w:val="en-GB"/>
        </w:rPr>
        <w:t xml:space="preserve">capabilities, while adopting a systems approach </w:t>
      </w:r>
      <w:r w:rsidR="00E07F60">
        <w:rPr>
          <w:rFonts w:ascii="Times New Roman" w:hAnsi="Times New Roman" w:cs="Times New Roman"/>
          <w:color w:val="000000" w:themeColor="text1"/>
          <w:sz w:val="24"/>
          <w:szCs w:val="24"/>
          <w:lang w:val="en-GB"/>
        </w:rPr>
        <w:t>to view</w:t>
      </w:r>
      <w:r w:rsidR="000F73F8">
        <w:rPr>
          <w:rFonts w:ascii="Times New Roman" w:hAnsi="Times New Roman" w:cs="Times New Roman"/>
          <w:color w:val="000000" w:themeColor="text1"/>
          <w:sz w:val="24"/>
          <w:szCs w:val="24"/>
          <w:lang w:val="en-GB"/>
        </w:rPr>
        <w:t xml:space="preserve"> the supply chain holistica</w:t>
      </w:r>
      <w:r w:rsidR="004742CF">
        <w:rPr>
          <w:rFonts w:ascii="Times New Roman" w:hAnsi="Times New Roman" w:cs="Times New Roman"/>
          <w:color w:val="000000" w:themeColor="text1"/>
          <w:sz w:val="24"/>
          <w:szCs w:val="24"/>
          <w:lang w:val="en-GB"/>
        </w:rPr>
        <w:t xml:space="preserve">lly. </w:t>
      </w:r>
      <w:r w:rsidR="00E07F60">
        <w:rPr>
          <w:rFonts w:ascii="Times New Roman" w:hAnsi="Times New Roman" w:cs="Times New Roman"/>
          <w:color w:val="000000" w:themeColor="text1"/>
          <w:sz w:val="24"/>
          <w:szCs w:val="24"/>
          <w:lang w:val="en-GB"/>
        </w:rPr>
        <w:t>Our suggestion is</w:t>
      </w:r>
      <w:r w:rsidR="004742CF">
        <w:rPr>
          <w:rFonts w:ascii="Times New Roman" w:hAnsi="Times New Roman" w:cs="Times New Roman"/>
          <w:color w:val="000000" w:themeColor="text1"/>
          <w:sz w:val="24"/>
          <w:szCs w:val="24"/>
          <w:lang w:val="en-GB"/>
        </w:rPr>
        <w:t xml:space="preserve"> that a supply chain orientation and a learning orientation sh</w:t>
      </w:r>
      <w:r w:rsidR="00844396">
        <w:rPr>
          <w:rFonts w:ascii="Times New Roman" w:hAnsi="Times New Roman" w:cs="Times New Roman"/>
          <w:color w:val="000000" w:themeColor="text1"/>
          <w:sz w:val="24"/>
          <w:szCs w:val="24"/>
          <w:lang w:val="en-GB"/>
        </w:rPr>
        <w:t>ould not be treated separately; s</w:t>
      </w:r>
      <w:r w:rsidR="000F73F8">
        <w:rPr>
          <w:rFonts w:ascii="Times New Roman" w:hAnsi="Times New Roman" w:cs="Times New Roman"/>
          <w:color w:val="000000" w:themeColor="text1"/>
          <w:sz w:val="24"/>
          <w:szCs w:val="24"/>
          <w:lang w:val="en-GB"/>
        </w:rPr>
        <w:t xml:space="preserve">ynchronizing capabilities between supply chain partners is a </w:t>
      </w:r>
      <w:r w:rsidR="00844396">
        <w:rPr>
          <w:rFonts w:ascii="Times New Roman" w:hAnsi="Times New Roman" w:cs="Times New Roman"/>
          <w:color w:val="000000" w:themeColor="text1"/>
          <w:sz w:val="24"/>
          <w:szCs w:val="24"/>
          <w:lang w:val="en-GB"/>
        </w:rPr>
        <w:t xml:space="preserve">learning activity in itself, </w:t>
      </w:r>
      <w:r w:rsidR="000F73F8">
        <w:rPr>
          <w:rFonts w:ascii="Times New Roman" w:hAnsi="Times New Roman" w:cs="Times New Roman"/>
          <w:color w:val="000000" w:themeColor="text1"/>
          <w:sz w:val="24"/>
          <w:szCs w:val="24"/>
          <w:lang w:val="en-GB"/>
        </w:rPr>
        <w:t>requiring managers with similar mind-sets to share knowledge</w:t>
      </w:r>
      <w:r w:rsidR="00E07F60">
        <w:rPr>
          <w:rFonts w:ascii="Times New Roman" w:hAnsi="Times New Roman" w:cs="Times New Roman"/>
          <w:color w:val="000000" w:themeColor="text1"/>
          <w:sz w:val="24"/>
          <w:szCs w:val="24"/>
          <w:lang w:val="en-GB"/>
        </w:rPr>
        <w:t xml:space="preserve"> about supply chain issues. </w:t>
      </w:r>
      <w:r w:rsidR="004742CF">
        <w:rPr>
          <w:rFonts w:ascii="Times New Roman" w:hAnsi="Times New Roman" w:cs="Times New Roman"/>
          <w:color w:val="000000" w:themeColor="text1"/>
          <w:sz w:val="24"/>
          <w:szCs w:val="24"/>
          <w:lang w:val="en-GB"/>
        </w:rPr>
        <w:t xml:space="preserve">We therefore </w:t>
      </w:r>
      <w:r w:rsidR="00E07F60">
        <w:rPr>
          <w:rFonts w:ascii="Times New Roman" w:hAnsi="Times New Roman" w:cs="Times New Roman"/>
          <w:color w:val="000000" w:themeColor="text1"/>
          <w:sz w:val="24"/>
          <w:szCs w:val="24"/>
          <w:lang w:val="en-GB"/>
        </w:rPr>
        <w:t>suggest that</w:t>
      </w:r>
      <w:r w:rsidR="004742CF">
        <w:rPr>
          <w:rFonts w:ascii="Times New Roman" w:hAnsi="Times New Roman" w:cs="Times New Roman"/>
          <w:color w:val="000000" w:themeColor="text1"/>
          <w:sz w:val="24"/>
          <w:szCs w:val="24"/>
          <w:lang w:val="en-GB"/>
        </w:rPr>
        <w:t xml:space="preserve"> a supply chain orientation </w:t>
      </w:r>
      <w:r w:rsidR="00E07F60">
        <w:rPr>
          <w:rFonts w:ascii="Times New Roman" w:hAnsi="Times New Roman" w:cs="Times New Roman"/>
          <w:color w:val="000000" w:themeColor="text1"/>
          <w:sz w:val="24"/>
          <w:szCs w:val="24"/>
          <w:lang w:val="en-GB"/>
        </w:rPr>
        <w:t>should be combined with a learning orientation</w:t>
      </w:r>
      <w:r w:rsidR="004742CF">
        <w:rPr>
          <w:rFonts w:ascii="Times New Roman" w:hAnsi="Times New Roman" w:cs="Times New Roman"/>
          <w:color w:val="000000" w:themeColor="text1"/>
          <w:sz w:val="24"/>
          <w:szCs w:val="24"/>
          <w:lang w:val="en-GB"/>
        </w:rPr>
        <w:t>; allowing us to position a sup</w:t>
      </w:r>
      <w:r w:rsidR="00E07F60">
        <w:rPr>
          <w:rFonts w:ascii="Times New Roman" w:hAnsi="Times New Roman" w:cs="Times New Roman"/>
          <w:color w:val="000000" w:themeColor="text1"/>
          <w:sz w:val="24"/>
          <w:szCs w:val="24"/>
          <w:lang w:val="en-GB"/>
        </w:rPr>
        <w:t>ply chain learning orientation as a key antecedent</w:t>
      </w:r>
      <w:r w:rsidR="00DF5DD9">
        <w:rPr>
          <w:rFonts w:ascii="Times New Roman" w:hAnsi="Times New Roman" w:cs="Times New Roman"/>
          <w:color w:val="000000" w:themeColor="text1"/>
          <w:sz w:val="24"/>
          <w:szCs w:val="24"/>
          <w:lang w:val="en-GB"/>
        </w:rPr>
        <w:t xml:space="preserve"> of DSCCs</w:t>
      </w:r>
      <w:r w:rsidR="004742CF">
        <w:rPr>
          <w:rFonts w:ascii="Times New Roman" w:hAnsi="Times New Roman" w:cs="Times New Roman"/>
          <w:color w:val="000000" w:themeColor="text1"/>
          <w:sz w:val="24"/>
          <w:szCs w:val="24"/>
          <w:lang w:val="en-GB"/>
        </w:rPr>
        <w:t xml:space="preserve">.  </w:t>
      </w:r>
    </w:p>
    <w:p w14:paraId="71A997FF" w14:textId="10560348" w:rsidR="00800A71" w:rsidRDefault="004742CF" w:rsidP="00844396">
      <w:pPr>
        <w:spacing w:after="0" w:line="480" w:lineRule="auto"/>
        <w:ind w:firstLine="567"/>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Our findings also challenge Defee and Fugate’s (2010) assertion that knowledge accessing and co-evolving are the constituent constructs of DSCCs. </w:t>
      </w:r>
      <w:r w:rsidR="009C4FC8">
        <w:rPr>
          <w:rFonts w:ascii="Times New Roman" w:hAnsi="Times New Roman" w:cs="Times New Roman"/>
          <w:color w:val="000000" w:themeColor="text1"/>
          <w:sz w:val="24"/>
          <w:szCs w:val="24"/>
          <w:lang w:val="en-GB"/>
        </w:rPr>
        <w:t>They suggest that k</w:t>
      </w:r>
      <w:r>
        <w:rPr>
          <w:rFonts w:ascii="Times New Roman" w:hAnsi="Times New Roman" w:cs="Times New Roman"/>
          <w:color w:val="000000" w:themeColor="text1"/>
          <w:sz w:val="24"/>
          <w:szCs w:val="24"/>
          <w:lang w:val="en-GB"/>
        </w:rPr>
        <w:t>nowledge accessing allow</w:t>
      </w:r>
      <w:r w:rsidR="009C4FC8">
        <w:rPr>
          <w:rFonts w:ascii="Times New Roman" w:hAnsi="Times New Roman" w:cs="Times New Roman"/>
          <w:color w:val="000000" w:themeColor="text1"/>
          <w:sz w:val="24"/>
          <w:szCs w:val="24"/>
          <w:lang w:val="en-GB"/>
        </w:rPr>
        <w:t>s</w:t>
      </w:r>
      <w:r>
        <w:rPr>
          <w:rFonts w:ascii="Times New Roman" w:hAnsi="Times New Roman" w:cs="Times New Roman"/>
          <w:color w:val="000000" w:themeColor="text1"/>
          <w:sz w:val="24"/>
          <w:szCs w:val="24"/>
          <w:lang w:val="en-GB"/>
        </w:rPr>
        <w:t xml:space="preserve"> each organisation to quickly understand what partner organizations are capable of ac</w:t>
      </w:r>
      <w:r w:rsidR="009C4FC8">
        <w:rPr>
          <w:rFonts w:ascii="Times New Roman" w:hAnsi="Times New Roman" w:cs="Times New Roman"/>
          <w:color w:val="000000" w:themeColor="text1"/>
          <w:sz w:val="24"/>
          <w:szCs w:val="24"/>
          <w:lang w:val="en-GB"/>
        </w:rPr>
        <w:t>complishing, while co-evolving allows supply chain partners to realize cross-business synergies (Defee a</w:t>
      </w:r>
      <w:r w:rsidR="001226F7">
        <w:rPr>
          <w:rFonts w:ascii="Times New Roman" w:hAnsi="Times New Roman" w:cs="Times New Roman"/>
          <w:color w:val="000000" w:themeColor="text1"/>
          <w:sz w:val="24"/>
          <w:szCs w:val="24"/>
          <w:lang w:val="en-GB"/>
        </w:rPr>
        <w:t xml:space="preserve">nd Fugate, 2010). </w:t>
      </w:r>
      <w:r w:rsidR="009C4FC8">
        <w:rPr>
          <w:rFonts w:ascii="Times New Roman" w:hAnsi="Times New Roman" w:cs="Times New Roman"/>
          <w:color w:val="000000" w:themeColor="text1"/>
          <w:sz w:val="24"/>
          <w:szCs w:val="24"/>
          <w:lang w:val="en-GB"/>
        </w:rPr>
        <w:t xml:space="preserve">We argue that accessing </w:t>
      </w:r>
      <w:r w:rsidR="001226F7">
        <w:rPr>
          <w:rFonts w:ascii="Times New Roman" w:hAnsi="Times New Roman" w:cs="Times New Roman"/>
          <w:color w:val="000000" w:themeColor="text1"/>
          <w:sz w:val="24"/>
          <w:szCs w:val="24"/>
          <w:lang w:val="en-GB"/>
        </w:rPr>
        <w:t xml:space="preserve">supplier </w:t>
      </w:r>
      <w:r w:rsidR="009C4FC8">
        <w:rPr>
          <w:rFonts w:ascii="Times New Roman" w:hAnsi="Times New Roman" w:cs="Times New Roman"/>
          <w:color w:val="000000" w:themeColor="text1"/>
          <w:sz w:val="24"/>
          <w:szCs w:val="24"/>
          <w:lang w:val="en-GB"/>
        </w:rPr>
        <w:t>knowledge and capitalizing on synergies is actually part of the learning process</w:t>
      </w:r>
      <w:r w:rsidR="00E07F60">
        <w:rPr>
          <w:rFonts w:ascii="Times New Roman" w:hAnsi="Times New Roman" w:cs="Times New Roman"/>
          <w:color w:val="000000" w:themeColor="text1"/>
          <w:sz w:val="24"/>
          <w:szCs w:val="24"/>
          <w:lang w:val="en-GB"/>
        </w:rPr>
        <w:t>;</w:t>
      </w:r>
      <w:r w:rsidR="009C4FC8">
        <w:rPr>
          <w:rFonts w:ascii="Times New Roman" w:hAnsi="Times New Roman" w:cs="Times New Roman"/>
          <w:color w:val="000000" w:themeColor="text1"/>
          <w:sz w:val="24"/>
          <w:szCs w:val="24"/>
          <w:lang w:val="en-GB"/>
        </w:rPr>
        <w:t xml:space="preserve"> a process that antecedes the emergence of DSCCs. </w:t>
      </w:r>
      <w:r w:rsidR="00844396">
        <w:rPr>
          <w:rFonts w:ascii="Times New Roman" w:hAnsi="Times New Roman" w:cs="Times New Roman"/>
          <w:color w:val="000000" w:themeColor="text1"/>
          <w:sz w:val="24"/>
          <w:szCs w:val="24"/>
          <w:lang w:val="en-GB"/>
        </w:rPr>
        <w:t>Accessing</w:t>
      </w:r>
      <w:r w:rsidR="009C4FC8">
        <w:rPr>
          <w:rFonts w:ascii="Times New Roman" w:hAnsi="Times New Roman" w:cs="Times New Roman"/>
          <w:color w:val="000000" w:themeColor="text1"/>
          <w:sz w:val="24"/>
          <w:szCs w:val="24"/>
          <w:lang w:val="en-GB"/>
        </w:rPr>
        <w:t xml:space="preserve"> </w:t>
      </w:r>
      <w:r w:rsidR="001226F7">
        <w:rPr>
          <w:rFonts w:ascii="Times New Roman" w:hAnsi="Times New Roman" w:cs="Times New Roman"/>
          <w:color w:val="000000" w:themeColor="text1"/>
          <w:sz w:val="24"/>
          <w:szCs w:val="24"/>
          <w:lang w:val="en-GB"/>
        </w:rPr>
        <w:t xml:space="preserve">supplier </w:t>
      </w:r>
      <w:r w:rsidR="009C4FC8">
        <w:rPr>
          <w:rFonts w:ascii="Times New Roman" w:hAnsi="Times New Roman" w:cs="Times New Roman"/>
          <w:color w:val="000000" w:themeColor="text1"/>
          <w:sz w:val="24"/>
          <w:szCs w:val="24"/>
          <w:lang w:val="en-GB"/>
        </w:rPr>
        <w:t xml:space="preserve">knowledge </w:t>
      </w:r>
      <w:r w:rsidR="001226F7">
        <w:rPr>
          <w:rFonts w:ascii="Times New Roman" w:hAnsi="Times New Roman" w:cs="Times New Roman"/>
          <w:color w:val="000000" w:themeColor="text1"/>
          <w:sz w:val="24"/>
          <w:szCs w:val="24"/>
          <w:lang w:val="en-GB"/>
        </w:rPr>
        <w:t>implies that knowledge is shared</w:t>
      </w:r>
      <w:r w:rsidR="00947610">
        <w:rPr>
          <w:rFonts w:ascii="Times New Roman" w:hAnsi="Times New Roman" w:cs="Times New Roman"/>
          <w:color w:val="000000" w:themeColor="text1"/>
          <w:sz w:val="24"/>
          <w:szCs w:val="24"/>
          <w:lang w:val="en-GB"/>
        </w:rPr>
        <w:t>,</w:t>
      </w:r>
      <w:r w:rsidR="001226F7">
        <w:rPr>
          <w:rFonts w:ascii="Times New Roman" w:hAnsi="Times New Roman" w:cs="Times New Roman"/>
          <w:color w:val="000000" w:themeColor="text1"/>
          <w:sz w:val="24"/>
          <w:szCs w:val="24"/>
          <w:lang w:val="en-GB"/>
        </w:rPr>
        <w:t xml:space="preserve"> and it is through </w:t>
      </w:r>
      <w:r w:rsidR="00947610">
        <w:rPr>
          <w:rFonts w:ascii="Times New Roman" w:hAnsi="Times New Roman" w:cs="Times New Roman"/>
          <w:color w:val="000000" w:themeColor="text1"/>
          <w:sz w:val="24"/>
          <w:szCs w:val="24"/>
          <w:lang w:val="en-GB"/>
        </w:rPr>
        <w:t xml:space="preserve">the </w:t>
      </w:r>
      <w:r w:rsidR="001226F7">
        <w:rPr>
          <w:rFonts w:ascii="Times New Roman" w:hAnsi="Times New Roman" w:cs="Times New Roman"/>
          <w:color w:val="000000" w:themeColor="text1"/>
          <w:sz w:val="24"/>
          <w:szCs w:val="24"/>
          <w:lang w:val="en-GB"/>
        </w:rPr>
        <w:t>sharing</w:t>
      </w:r>
      <w:r w:rsidR="00947610">
        <w:rPr>
          <w:rFonts w:ascii="Times New Roman" w:hAnsi="Times New Roman" w:cs="Times New Roman"/>
          <w:color w:val="000000" w:themeColor="text1"/>
          <w:sz w:val="24"/>
          <w:szCs w:val="24"/>
          <w:lang w:val="en-GB"/>
        </w:rPr>
        <w:t xml:space="preserve"> of</w:t>
      </w:r>
      <w:r w:rsidR="001226F7">
        <w:rPr>
          <w:rFonts w:ascii="Times New Roman" w:hAnsi="Times New Roman" w:cs="Times New Roman"/>
          <w:color w:val="000000" w:themeColor="text1"/>
          <w:sz w:val="24"/>
          <w:szCs w:val="24"/>
          <w:lang w:val="en-GB"/>
        </w:rPr>
        <w:t xml:space="preserve"> ideas that synergies are </w:t>
      </w:r>
      <w:r w:rsidR="00947610">
        <w:rPr>
          <w:rFonts w:ascii="Times New Roman" w:hAnsi="Times New Roman" w:cs="Times New Roman"/>
          <w:color w:val="000000" w:themeColor="text1"/>
          <w:sz w:val="24"/>
          <w:szCs w:val="24"/>
          <w:lang w:val="en-GB"/>
        </w:rPr>
        <w:t>identified</w:t>
      </w:r>
      <w:r w:rsidR="001226F7">
        <w:rPr>
          <w:rFonts w:ascii="Times New Roman" w:hAnsi="Times New Roman" w:cs="Times New Roman"/>
          <w:color w:val="000000" w:themeColor="text1"/>
          <w:sz w:val="24"/>
          <w:szCs w:val="24"/>
          <w:lang w:val="en-GB"/>
        </w:rPr>
        <w:t xml:space="preserve">. </w:t>
      </w:r>
      <w:r w:rsidR="00844396">
        <w:rPr>
          <w:rFonts w:ascii="Times New Roman" w:hAnsi="Times New Roman" w:cs="Times New Roman"/>
          <w:color w:val="000000" w:themeColor="text1"/>
          <w:sz w:val="24"/>
          <w:szCs w:val="24"/>
          <w:lang w:val="en-GB"/>
        </w:rPr>
        <w:t>It is t</w:t>
      </w:r>
      <w:r w:rsidR="00947610">
        <w:rPr>
          <w:rFonts w:ascii="Times New Roman" w:hAnsi="Times New Roman" w:cs="Times New Roman"/>
          <w:color w:val="000000" w:themeColor="text1"/>
          <w:sz w:val="24"/>
          <w:szCs w:val="24"/>
          <w:lang w:val="en-GB"/>
        </w:rPr>
        <w:t>hrough</w:t>
      </w:r>
      <w:r w:rsidR="001226F7">
        <w:rPr>
          <w:rFonts w:ascii="Times New Roman" w:hAnsi="Times New Roman" w:cs="Times New Roman"/>
          <w:color w:val="000000" w:themeColor="text1"/>
          <w:sz w:val="24"/>
          <w:szCs w:val="24"/>
          <w:lang w:val="en-GB"/>
        </w:rPr>
        <w:t xml:space="preserve"> this </w:t>
      </w:r>
      <w:r w:rsidR="00E07F60">
        <w:rPr>
          <w:rFonts w:ascii="Times New Roman" w:hAnsi="Times New Roman" w:cs="Times New Roman"/>
          <w:color w:val="000000" w:themeColor="text1"/>
          <w:sz w:val="24"/>
          <w:szCs w:val="24"/>
          <w:lang w:val="en-GB"/>
        </w:rPr>
        <w:lastRenderedPageBreak/>
        <w:t>learning</w:t>
      </w:r>
      <w:r w:rsidR="00844396">
        <w:rPr>
          <w:rFonts w:ascii="Times New Roman" w:hAnsi="Times New Roman" w:cs="Times New Roman"/>
          <w:color w:val="000000" w:themeColor="text1"/>
          <w:sz w:val="24"/>
          <w:szCs w:val="24"/>
          <w:lang w:val="en-GB"/>
        </w:rPr>
        <w:t xml:space="preserve"> process that</w:t>
      </w:r>
      <w:r w:rsidR="00947610">
        <w:rPr>
          <w:rFonts w:ascii="Times New Roman" w:hAnsi="Times New Roman" w:cs="Times New Roman"/>
          <w:color w:val="000000" w:themeColor="text1"/>
          <w:sz w:val="24"/>
          <w:szCs w:val="24"/>
          <w:lang w:val="en-GB"/>
        </w:rPr>
        <w:t xml:space="preserve"> the ideas of</w:t>
      </w:r>
      <w:r w:rsidR="001226F7">
        <w:rPr>
          <w:rFonts w:ascii="Times New Roman" w:hAnsi="Times New Roman" w:cs="Times New Roman"/>
          <w:color w:val="000000" w:themeColor="text1"/>
          <w:sz w:val="24"/>
          <w:szCs w:val="24"/>
          <w:lang w:val="en-GB"/>
        </w:rPr>
        <w:t xml:space="preserve"> buyers and suppliers co-evolve</w:t>
      </w:r>
      <w:r w:rsidR="00E07F60">
        <w:rPr>
          <w:rFonts w:ascii="Times New Roman" w:hAnsi="Times New Roman" w:cs="Times New Roman"/>
          <w:color w:val="000000" w:themeColor="text1"/>
          <w:sz w:val="24"/>
          <w:szCs w:val="24"/>
          <w:lang w:val="en-GB"/>
        </w:rPr>
        <w:t>,</w:t>
      </w:r>
      <w:r w:rsidR="001226F7">
        <w:rPr>
          <w:rFonts w:ascii="Times New Roman" w:hAnsi="Times New Roman" w:cs="Times New Roman"/>
          <w:color w:val="000000" w:themeColor="text1"/>
          <w:sz w:val="24"/>
          <w:szCs w:val="24"/>
          <w:lang w:val="en-GB"/>
        </w:rPr>
        <w:t xml:space="preserve"> </w:t>
      </w:r>
      <w:r w:rsidR="00947610">
        <w:rPr>
          <w:rFonts w:ascii="Times New Roman" w:hAnsi="Times New Roman" w:cs="Times New Roman"/>
          <w:color w:val="000000" w:themeColor="text1"/>
          <w:sz w:val="24"/>
          <w:szCs w:val="24"/>
          <w:lang w:val="en-GB"/>
        </w:rPr>
        <w:t xml:space="preserve">leading to new supply chain configurations. We therefore suggest that knowledge accessing and co-evolving are not actually DSCCs </w:t>
      </w:r>
      <w:r w:rsidR="00844396">
        <w:rPr>
          <w:rFonts w:ascii="Times New Roman" w:hAnsi="Times New Roman" w:cs="Times New Roman"/>
          <w:color w:val="000000" w:themeColor="text1"/>
          <w:sz w:val="24"/>
          <w:szCs w:val="24"/>
          <w:lang w:val="en-GB"/>
        </w:rPr>
        <w:t xml:space="preserve">in themselves </w:t>
      </w:r>
      <w:r w:rsidR="00947610">
        <w:rPr>
          <w:rFonts w:ascii="Times New Roman" w:hAnsi="Times New Roman" w:cs="Times New Roman"/>
          <w:color w:val="000000" w:themeColor="text1"/>
          <w:sz w:val="24"/>
          <w:szCs w:val="24"/>
          <w:lang w:val="en-GB"/>
        </w:rPr>
        <w:t xml:space="preserve">but form part of a supply chain learning orientation. We side with more recent writings (Aslam et al. 2018; Eckstein </w:t>
      </w:r>
      <w:r w:rsidR="00B744ED">
        <w:rPr>
          <w:rFonts w:ascii="Times New Roman" w:hAnsi="Times New Roman" w:cs="Times New Roman"/>
          <w:color w:val="000000" w:themeColor="text1"/>
          <w:sz w:val="24"/>
          <w:szCs w:val="24"/>
          <w:lang w:val="en-GB"/>
        </w:rPr>
        <w:t xml:space="preserve">et al. 2015; Dubey et al. 2018), and </w:t>
      </w:r>
      <w:r w:rsidR="00947610">
        <w:rPr>
          <w:rFonts w:ascii="Times New Roman" w:hAnsi="Times New Roman" w:cs="Times New Roman"/>
          <w:color w:val="000000" w:themeColor="text1"/>
          <w:sz w:val="24"/>
          <w:szCs w:val="24"/>
          <w:lang w:val="en-GB"/>
        </w:rPr>
        <w:t>position market sensing, supply chain agility and supply chain adaptability as a cohesive cluster of DSCCs</w:t>
      </w:r>
      <w:r w:rsidR="00844396">
        <w:rPr>
          <w:rFonts w:ascii="Times New Roman" w:hAnsi="Times New Roman" w:cs="Times New Roman"/>
          <w:color w:val="000000" w:themeColor="text1"/>
          <w:sz w:val="24"/>
          <w:szCs w:val="24"/>
          <w:lang w:val="en-GB"/>
        </w:rPr>
        <w:t>.</w:t>
      </w:r>
    </w:p>
    <w:p w14:paraId="51B029B8" w14:textId="77777777" w:rsidR="00844396" w:rsidRPr="008C04EC" w:rsidRDefault="00844396" w:rsidP="00844396">
      <w:pPr>
        <w:spacing w:after="0" w:line="480" w:lineRule="auto"/>
        <w:ind w:firstLine="567"/>
        <w:jc w:val="both"/>
        <w:rPr>
          <w:rFonts w:ascii="Times New Roman" w:hAnsi="Times New Roman" w:cs="Times New Roman"/>
          <w:color w:val="000000" w:themeColor="text1"/>
          <w:sz w:val="24"/>
          <w:szCs w:val="24"/>
          <w:lang w:val="en-GB"/>
        </w:rPr>
      </w:pPr>
    </w:p>
    <w:p w14:paraId="1238FC6A" w14:textId="77777777" w:rsidR="00800A71" w:rsidRPr="008C04EC" w:rsidRDefault="00800A71" w:rsidP="00800A71">
      <w:pPr>
        <w:rPr>
          <w:rFonts w:ascii="Times New Roman" w:hAnsi="Times New Roman" w:cs="Times New Roman"/>
          <w:b/>
          <w:color w:val="000000" w:themeColor="text1"/>
          <w:sz w:val="24"/>
          <w:szCs w:val="24"/>
          <w:lang w:val="en-GB"/>
        </w:rPr>
      </w:pPr>
      <w:r w:rsidRPr="008C04EC">
        <w:rPr>
          <w:rFonts w:ascii="Times New Roman" w:hAnsi="Times New Roman" w:cs="Times New Roman"/>
          <w:b/>
          <w:color w:val="000000" w:themeColor="text1"/>
          <w:sz w:val="24"/>
          <w:szCs w:val="24"/>
          <w:lang w:val="en-GB"/>
        </w:rPr>
        <w:t>5. Contribution, Limitations and Future Research Directions</w:t>
      </w:r>
    </w:p>
    <w:p w14:paraId="33D50AD4" w14:textId="5B055EAD" w:rsidR="00750BD9" w:rsidRPr="008C04EC" w:rsidRDefault="00800A71" w:rsidP="00750BD9">
      <w:pPr>
        <w:spacing w:after="0" w:line="480" w:lineRule="auto"/>
        <w:jc w:val="both"/>
        <w:rPr>
          <w:rFonts w:ascii="Times New Roman" w:hAnsi="Times New Roman" w:cs="Times New Roman"/>
          <w:b/>
          <w:i/>
          <w:color w:val="000000" w:themeColor="text1"/>
          <w:sz w:val="24"/>
          <w:szCs w:val="24"/>
          <w:lang w:val="en-GB"/>
        </w:rPr>
      </w:pPr>
      <w:r w:rsidRPr="008C04EC">
        <w:rPr>
          <w:rFonts w:ascii="Times New Roman" w:hAnsi="Times New Roman" w:cs="Times New Roman"/>
          <w:b/>
          <w:i/>
          <w:color w:val="000000" w:themeColor="text1"/>
          <w:sz w:val="24"/>
          <w:szCs w:val="24"/>
          <w:lang w:val="en-GB"/>
        </w:rPr>
        <w:t>5</w:t>
      </w:r>
      <w:r w:rsidR="00750BD9" w:rsidRPr="008C04EC">
        <w:rPr>
          <w:rFonts w:ascii="Times New Roman" w:hAnsi="Times New Roman" w:cs="Times New Roman"/>
          <w:b/>
          <w:i/>
          <w:color w:val="000000" w:themeColor="text1"/>
          <w:sz w:val="24"/>
          <w:szCs w:val="24"/>
          <w:lang w:val="en-GB"/>
        </w:rPr>
        <w:t>.1 Theoretical Contribution</w:t>
      </w:r>
    </w:p>
    <w:p w14:paraId="0448797F" w14:textId="46DF5E7F" w:rsidR="004A35BE" w:rsidRPr="008C04EC" w:rsidRDefault="00376FAF" w:rsidP="004A35BE">
      <w:pPr>
        <w:spacing w:after="0" w:line="480" w:lineRule="auto"/>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lang w:eastAsia="en-GB"/>
        </w:rPr>
        <w:t>Scholars have shown that</w:t>
      </w:r>
      <w:r w:rsidRPr="001524A2">
        <w:rPr>
          <w:rFonts w:ascii="Times New Roman" w:eastAsia="Times New Roman" w:hAnsi="Times New Roman" w:cs="Times New Roman"/>
          <w:sz w:val="24"/>
          <w:szCs w:val="24"/>
          <w:lang w:eastAsia="en-GB"/>
        </w:rPr>
        <w:t xml:space="preserve"> dynamic c</w:t>
      </w:r>
      <w:r>
        <w:rPr>
          <w:rFonts w:ascii="Times New Roman" w:eastAsia="Times New Roman" w:hAnsi="Times New Roman" w:cs="Times New Roman"/>
          <w:sz w:val="24"/>
          <w:szCs w:val="24"/>
          <w:lang w:eastAsia="en-GB"/>
        </w:rPr>
        <w:t xml:space="preserve">apabilities </w:t>
      </w:r>
      <w:r w:rsidRPr="001524A2">
        <w:rPr>
          <w:rFonts w:ascii="Times New Roman" w:eastAsia="Times New Roman" w:hAnsi="Times New Roman" w:cs="Times New Roman"/>
          <w:sz w:val="24"/>
          <w:szCs w:val="24"/>
          <w:lang w:eastAsia="en-GB"/>
        </w:rPr>
        <w:t>allow firms to compete in today's volatile marketplace</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fldChar w:fldCharType="begin"/>
      </w:r>
      <w:r>
        <w:rPr>
          <w:rFonts w:ascii="Times New Roman" w:eastAsia="Times New Roman" w:hAnsi="Times New Roman" w:cs="Times New Roman"/>
          <w:sz w:val="24"/>
          <w:szCs w:val="24"/>
          <w:lang w:eastAsia="en-GB"/>
        </w:rPr>
        <w:instrText xml:space="preserve"> ADDIN ZOTERO_ITEM CSL_CITATION {"citationID":"TiCvJaI2","properties":{"formattedCitation":"(Barreto, 2009; Helfat and Winter, 2011)","plainCitation":"(Barreto, 2009; Helfat and Winter, 2011)","noteIndex":0},"citationItems":[{"id":973,"uris":["http://zotero.org/users/3209486/items/BUGR6FEJ"],"uri":["http://zotero.org/users/3209486/items/BUGR6FEJ"],"itemData":{"id":973,"type":"article-journal","title":"Dynamic Capabilities: A Review of Past Research and an Agenda for the Future","container-title":"Journal of Management","page":"256-280","volume":"36","issue":"1","abstract":"The dynamic capabilities view, by addressing the question of how firms can cope with changing environments, has gained increasing attention in the management literature in recent years, not only in the concept?s original domain (strategic management) but also in many other areas within business administration. However, such remarkable growth has been associated with a proliferation of definitions of the focal construct as well as the emergence of a complex and disconnected body of research. In addition, the approach has also received some recurring criticisms. In this study, the author reviews the diverse research streams on dynamic capabilities, identifies main limitations and challenges, suggests a new conceptualization of dynamic capability as an aggregate multidimensional construct, and provides guidance about promising avenues for future research.","DOI":"10.1177/0149206309350776","ISSN":"0149-2063","journalAbbreviation":"Journal of Management","author":[{"family":"Barreto","given":"Ilídio"}],"issued":{"date-parts":[["2009",12,28]]}}},{"id":1538,"uris":["http://zotero.org/users/3209486/items/FISBNJZ3"],"uri":["http://zotero.org/users/3209486/items/FISBNJZ3"],"itemData":{"id":1538,"type":"article-journal","title":"Untangling Dynamic and Operational Capabilities: Strategy for the (N)ever-Changing World","container-title":"Strategic Management Journal","page":"1243-1250","volume":"32","issue":"11","abstract":"Abstract We explain why the line between dynamic and operational (or ordinary) capabilities is unavoidably blurry, draw implications for capabilities that promote economically important but seemingly gradual change, and provide recommendations for future research that takes these issues into account. Copyright ? 2011 John Wiley &amp; Sons, Ltd.","DOI":"10.1002/smj.955","ISSN":"0143-2095","journalAbbreviation":"Strategic Management Journal","author":[{"family":"Helfat","given":"Constance E."},{"family":"Winter","given":"Sidney G."}],"issued":{"date-parts":[["2011",8,11]]}}}],"schema":"https://github.com/citation-style-language/schema/raw/master/csl-citation.json"} </w:instrText>
      </w:r>
      <w:r>
        <w:rPr>
          <w:rFonts w:ascii="Times New Roman" w:eastAsia="Times New Roman" w:hAnsi="Times New Roman" w:cs="Times New Roman"/>
          <w:sz w:val="24"/>
          <w:szCs w:val="24"/>
          <w:lang w:eastAsia="en-GB"/>
        </w:rPr>
        <w:fldChar w:fldCharType="separate"/>
      </w:r>
      <w:r w:rsidRPr="00376FAF">
        <w:rPr>
          <w:rFonts w:ascii="Times New Roman" w:hAnsi="Times New Roman" w:cs="Times New Roman"/>
          <w:sz w:val="24"/>
        </w:rPr>
        <w:t>(Barreto, 2009; Helfat and Winter, 2011)</w:t>
      </w:r>
      <w:r>
        <w:rPr>
          <w:rFonts w:ascii="Times New Roman" w:eastAsia="Times New Roman" w:hAnsi="Times New Roman" w:cs="Times New Roman"/>
          <w:sz w:val="24"/>
          <w:szCs w:val="24"/>
          <w:lang w:eastAsia="en-GB"/>
        </w:rPr>
        <w:fldChar w:fldCharType="end"/>
      </w:r>
      <w:r>
        <w:rPr>
          <w:rFonts w:ascii="Times New Roman" w:eastAsia="Times New Roman" w:hAnsi="Times New Roman" w:cs="Times New Roman"/>
          <w:sz w:val="24"/>
          <w:szCs w:val="24"/>
          <w:lang w:eastAsia="en-GB"/>
        </w:rPr>
        <w:t xml:space="preserve">. </w:t>
      </w:r>
      <w:r w:rsidRPr="001524A2">
        <w:rPr>
          <w:rFonts w:ascii="Times New Roman" w:eastAsia="Times New Roman" w:hAnsi="Times New Roman" w:cs="Times New Roman"/>
          <w:sz w:val="24"/>
          <w:szCs w:val="24"/>
          <w:lang w:eastAsia="en-GB"/>
        </w:rPr>
        <w:t>And, a number of studies have ide</w:t>
      </w:r>
      <w:r w:rsidR="003F09CD">
        <w:rPr>
          <w:rFonts w:ascii="Times New Roman" w:eastAsia="Times New Roman" w:hAnsi="Times New Roman" w:cs="Times New Roman"/>
          <w:sz w:val="24"/>
          <w:szCs w:val="24"/>
          <w:lang w:eastAsia="en-GB"/>
        </w:rPr>
        <w:t>ntified the antecedents of firm-</w:t>
      </w:r>
      <w:r w:rsidRPr="001524A2">
        <w:rPr>
          <w:rFonts w:ascii="Times New Roman" w:eastAsia="Times New Roman" w:hAnsi="Times New Roman" w:cs="Times New Roman"/>
          <w:sz w:val="24"/>
          <w:szCs w:val="24"/>
          <w:lang w:eastAsia="en-GB"/>
        </w:rPr>
        <w:t>level dynamic capabilities</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fldChar w:fldCharType="begin"/>
      </w:r>
      <w:r>
        <w:rPr>
          <w:rFonts w:ascii="Times New Roman" w:eastAsia="Times New Roman" w:hAnsi="Times New Roman" w:cs="Times New Roman"/>
          <w:sz w:val="24"/>
          <w:szCs w:val="24"/>
          <w:lang w:eastAsia="en-GB"/>
        </w:rPr>
        <w:instrText xml:space="preserve"> ADDIN ZOTERO_ITEM CSL_CITATION {"citationID":"m9iOuu0I","properties":{"formattedCitation":"(Rothaermel and Hess, 2007)","plainCitation":"(Rothaermel and Hess, 2007)","noteIndex":0},"citationItems":[{"id":335,"uris":["http://zotero.org/users/3209486/items/Z9DN8V6D"],"uri":["http://zotero.org/users/3209486/items/Z9DN8V6D"],"itemData":{"id":335,"type":"article-journal","title":"Building dynamic capabilities: Innovation driven by individual-, firm-, and network-level effects","container-title":"Organization Science","page":"898-921","volume":"18","issue":"6","ISSN":"1047-7039","author":[{"family":"Rothaermel","given":"F.T."},{"family":"Hess","given":"A.M."}],"issued":{"date-parts":[["2007"]]}}}],"schema":"https://github.com/citation-style-language/schema/raw/master/csl-citation.json"} </w:instrText>
      </w:r>
      <w:r>
        <w:rPr>
          <w:rFonts w:ascii="Times New Roman" w:eastAsia="Times New Roman" w:hAnsi="Times New Roman" w:cs="Times New Roman"/>
          <w:sz w:val="24"/>
          <w:szCs w:val="24"/>
          <w:lang w:eastAsia="en-GB"/>
        </w:rPr>
        <w:fldChar w:fldCharType="separate"/>
      </w:r>
      <w:r w:rsidRPr="00376FAF">
        <w:rPr>
          <w:rFonts w:ascii="Times New Roman" w:hAnsi="Times New Roman" w:cs="Times New Roman"/>
          <w:sz w:val="24"/>
        </w:rPr>
        <w:t>(Rothaermel and Hess, 2007)</w:t>
      </w:r>
      <w:r>
        <w:rPr>
          <w:rFonts w:ascii="Times New Roman" w:eastAsia="Times New Roman" w:hAnsi="Times New Roman" w:cs="Times New Roman"/>
          <w:sz w:val="24"/>
          <w:szCs w:val="24"/>
          <w:lang w:eastAsia="en-GB"/>
        </w:rPr>
        <w:fldChar w:fldCharType="end"/>
      </w:r>
      <w:r w:rsidRPr="001524A2">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Pr="001524A2">
        <w:rPr>
          <w:rFonts w:ascii="Times New Roman" w:eastAsia="Times New Roman" w:hAnsi="Times New Roman" w:cs="Times New Roman"/>
          <w:sz w:val="24"/>
          <w:szCs w:val="24"/>
          <w:lang w:eastAsia="en-GB"/>
        </w:rPr>
        <w:t>Yet,</w:t>
      </w:r>
      <w:r w:rsidR="001149E1">
        <w:rPr>
          <w:rFonts w:ascii="Times New Roman" w:eastAsia="Times New Roman" w:hAnsi="Times New Roman" w:cs="Times New Roman"/>
          <w:sz w:val="24"/>
          <w:szCs w:val="24"/>
          <w:lang w:eastAsia="en-GB"/>
        </w:rPr>
        <w:t xml:space="preserve"> the literature on the theore</w:t>
      </w:r>
      <w:r w:rsidR="00DE17D5">
        <w:rPr>
          <w:rFonts w:ascii="Times New Roman" w:eastAsia="Times New Roman" w:hAnsi="Times New Roman" w:cs="Times New Roman"/>
          <w:sz w:val="24"/>
          <w:szCs w:val="24"/>
          <w:lang w:eastAsia="en-GB"/>
        </w:rPr>
        <w:t xml:space="preserve">tical underpinnings of dynamic supply chain </w:t>
      </w:r>
      <w:r w:rsidR="001149E1">
        <w:rPr>
          <w:rFonts w:ascii="Times New Roman" w:eastAsia="Times New Roman" w:hAnsi="Times New Roman" w:cs="Times New Roman"/>
          <w:sz w:val="24"/>
          <w:szCs w:val="24"/>
          <w:lang w:eastAsia="en-GB"/>
        </w:rPr>
        <w:t>capabilities</w:t>
      </w:r>
      <w:r w:rsidR="00BD7202">
        <w:rPr>
          <w:rFonts w:ascii="Times New Roman" w:eastAsia="Times New Roman" w:hAnsi="Times New Roman" w:cs="Times New Roman"/>
          <w:sz w:val="24"/>
          <w:szCs w:val="24"/>
          <w:lang w:eastAsia="en-GB"/>
        </w:rPr>
        <w:t>,</w:t>
      </w:r>
      <w:r w:rsidR="001149E1">
        <w:rPr>
          <w:rFonts w:ascii="Times New Roman" w:eastAsia="Times New Roman" w:hAnsi="Times New Roman" w:cs="Times New Roman"/>
          <w:sz w:val="24"/>
          <w:szCs w:val="24"/>
          <w:lang w:eastAsia="en-GB"/>
        </w:rPr>
        <w:t xml:space="preserve"> in particular its antecedents, is still in the </w:t>
      </w:r>
      <w:r w:rsidR="00DE17D5">
        <w:rPr>
          <w:rFonts w:ascii="Times New Roman" w:eastAsia="Times New Roman" w:hAnsi="Times New Roman" w:cs="Times New Roman"/>
          <w:sz w:val="24"/>
          <w:szCs w:val="24"/>
          <w:lang w:eastAsia="en-GB"/>
        </w:rPr>
        <w:t>nascent</w:t>
      </w:r>
      <w:r w:rsidR="001149E1">
        <w:rPr>
          <w:rFonts w:ascii="Times New Roman" w:eastAsia="Times New Roman" w:hAnsi="Times New Roman" w:cs="Times New Roman"/>
          <w:sz w:val="24"/>
          <w:szCs w:val="24"/>
          <w:lang w:eastAsia="en-GB"/>
        </w:rPr>
        <w:t xml:space="preserve"> stages. </w:t>
      </w:r>
      <w:r w:rsidRPr="001524A2">
        <w:rPr>
          <w:rFonts w:ascii="Times New Roman" w:eastAsia="Times New Roman" w:hAnsi="Times New Roman" w:cs="Times New Roman"/>
          <w:sz w:val="24"/>
          <w:szCs w:val="24"/>
          <w:lang w:eastAsia="en-GB"/>
        </w:rPr>
        <w:t xml:space="preserve">The theoretical </w:t>
      </w:r>
      <w:r>
        <w:rPr>
          <w:rFonts w:ascii="Times New Roman" w:eastAsia="Times New Roman" w:hAnsi="Times New Roman" w:cs="Times New Roman"/>
          <w:sz w:val="24"/>
          <w:szCs w:val="24"/>
          <w:lang w:eastAsia="en-GB"/>
        </w:rPr>
        <w:t xml:space="preserve">contribution </w:t>
      </w:r>
      <w:r w:rsidRPr="001524A2">
        <w:rPr>
          <w:rFonts w:ascii="Times New Roman" w:eastAsia="Times New Roman" w:hAnsi="Times New Roman" w:cs="Times New Roman"/>
          <w:sz w:val="24"/>
          <w:szCs w:val="24"/>
          <w:lang w:eastAsia="en-GB"/>
        </w:rPr>
        <w:t xml:space="preserve">of this paper </w:t>
      </w:r>
      <w:r w:rsidR="009A3007">
        <w:rPr>
          <w:rFonts w:ascii="Times New Roman" w:eastAsia="Times New Roman" w:hAnsi="Times New Roman" w:cs="Times New Roman"/>
          <w:sz w:val="24"/>
          <w:szCs w:val="24"/>
          <w:lang w:eastAsia="en-GB"/>
        </w:rPr>
        <w:t>is</w:t>
      </w:r>
      <w:r w:rsidR="001149E1">
        <w:rPr>
          <w:rFonts w:ascii="Times New Roman" w:eastAsia="Times New Roman" w:hAnsi="Times New Roman" w:cs="Times New Roman"/>
          <w:sz w:val="24"/>
          <w:szCs w:val="24"/>
          <w:lang w:eastAsia="en-GB"/>
        </w:rPr>
        <w:t xml:space="preserve"> the provision of</w:t>
      </w:r>
      <w:r w:rsidR="009A3007">
        <w:rPr>
          <w:rFonts w:ascii="Times New Roman" w:eastAsia="Times New Roman" w:hAnsi="Times New Roman" w:cs="Times New Roman"/>
          <w:sz w:val="24"/>
          <w:szCs w:val="24"/>
          <w:lang w:eastAsia="en-GB"/>
        </w:rPr>
        <w:t xml:space="preserve"> </w:t>
      </w:r>
      <w:r w:rsidRPr="001524A2">
        <w:rPr>
          <w:rFonts w:ascii="Times New Roman" w:eastAsia="Times New Roman" w:hAnsi="Times New Roman" w:cs="Times New Roman"/>
          <w:sz w:val="24"/>
          <w:szCs w:val="24"/>
          <w:lang w:eastAsia="en-GB"/>
        </w:rPr>
        <w:t>a r</w:t>
      </w:r>
      <w:r w:rsidR="00DE17D5">
        <w:rPr>
          <w:rFonts w:ascii="Times New Roman" w:eastAsia="Times New Roman" w:hAnsi="Times New Roman" w:cs="Times New Roman"/>
          <w:sz w:val="24"/>
          <w:szCs w:val="24"/>
          <w:lang w:eastAsia="en-GB"/>
        </w:rPr>
        <w:t>oadmap on how to build DSCCs</w:t>
      </w:r>
      <w:r w:rsidR="001149E1">
        <w:rPr>
          <w:rFonts w:ascii="Times New Roman" w:eastAsia="Times New Roman" w:hAnsi="Times New Roman" w:cs="Times New Roman"/>
          <w:sz w:val="24"/>
          <w:szCs w:val="24"/>
          <w:lang w:eastAsia="en-GB"/>
        </w:rPr>
        <w:t xml:space="preserve"> by determining the key antecedents. </w:t>
      </w:r>
      <w:r w:rsidR="009A3007">
        <w:rPr>
          <w:rFonts w:ascii="Times New Roman" w:eastAsia="Times New Roman" w:hAnsi="Times New Roman" w:cs="Times New Roman"/>
          <w:sz w:val="24"/>
          <w:szCs w:val="24"/>
          <w:lang w:eastAsia="en-GB"/>
        </w:rPr>
        <w:t>Gaining such an understanding is vitally important in an era where supply chains compete for market dominance.</w:t>
      </w:r>
      <w:r w:rsidRPr="001524A2">
        <w:rPr>
          <w:rFonts w:ascii="Times New Roman" w:eastAsia="Times New Roman" w:hAnsi="Times New Roman" w:cs="Times New Roman"/>
          <w:sz w:val="24"/>
          <w:szCs w:val="24"/>
          <w:lang w:eastAsia="en-GB"/>
        </w:rPr>
        <w:t xml:space="preserve"> </w:t>
      </w:r>
      <w:r w:rsidRPr="008C04EC">
        <w:rPr>
          <w:rFonts w:ascii="Times New Roman" w:hAnsi="Times New Roman" w:cs="Times New Roman"/>
          <w:color w:val="000000" w:themeColor="text1"/>
          <w:sz w:val="24"/>
          <w:szCs w:val="24"/>
        </w:rPr>
        <w:t xml:space="preserve">Our contribution rests on identifying that dynamic, supply chain-level capabilities emerge when entrepreneurially oriented managers match the knowledge assets of suppliers with a firm’s internal knowledge resources through a process of supply chain learning. Our findings suggest that supply chain partners learn through trial-and-error experimentation, such as during the development of new products, and gain experience by taking risks during the process </w:t>
      </w:r>
      <w:r w:rsidRPr="008C04EC">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ZOTERO_ITEM CSL_CITATION {"citationID":"z2CPHyzm","properties":{"formattedCitation":"(Gavetti and Levinthal, 2000; Lumpkin and Dess, 1996)","plainCitation":"(Gavetti and Levinthal, 2000; Lumpkin and Dess, 1996)","dontUpdate":true,"noteIndex":0},"citationItems":[{"id":12,"uris":["http://zotero.org/users/3209486/items/2AIM6M54"],"uri":["http://zotero.org/users/3209486/items/2AIM6M54"],"itemData":{"id":12,"type":"article-journal","title":"Looking Forward and Looking Backward: Cognitive and Experiential Search","container-title":"Administrative Science Quarterly","page":"113-137","volume":"45","issue":"1","abstract":"We used computer simulations to examine the role and interrelationship between search processes that are forward-looking, based on actors' cognitive map of action-outcome linkages, and those that are backward-looking, or experience based. Cognition was modeled as a simple, low-dimensional representation of a more complex, higher dimensional fitness landscape. Results show that, although crude, these representations still act as a powerful guide to initial search efforts and usefully constrain the direction of subsequent experiential search. Changing a cognitive representation itself can act as an important mode of adaptation, effectively resulting in the sequential allocation of attention to different facets of the environment. This virtue of shifting cognitive representation, however, may be offset by the loss of tacit knowledge associated with the prior cognition.","DOI":"10.2307/2666981","ISSN":"00018392","author":[{"family":"Gavetti","given":"Giovanni"},{"family":"Levinthal","given":"Daniel"}],"issued":{"date-parts":[["2000"]]}}},{"id":4299,"uris":["http://zotero.org/users/3209486/items/V2JFWDHE"],"uri":["http://zotero.org/users/3209486/items/V2JFWDHE"],"itemData":{"id":4299,"type":"article-journal","title":"Clarifying the Entrepreneurial Orientation Construct and Linking It to Performance","container-title":"The Academy of Management Review","page":"135-172","volume":"21","issue":"1","abstract":"The primary purpose of this article is to clarify the nature of the entrepreneurial orientation (EO) construct and to propose a contingency framework for investigating the relationship between EO and firm performance. We first explore and refine the dimensions of EO and discuss the usefulness of viewing a firm's EO as a multidimensional construct. Then, drawing on examples from the EO-related contingencies literature, we suggest alternative models (moderating effects, mediating effects, independent effects, interaction effects) for testing the EO-performance relationship.","DOI":"10.2307/258632","ISSN":"03637425","author":[{"family":"Lumpkin","given":"G. T."},{"family":"Dess","given":"Gregory G."}],"issued":{"date-parts":[["1996"]]}}}],"schema":"https://github.com/citation-style-language/schema/raw/master/csl-citation.json"}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Pr="008C04EC">
        <w:rPr>
          <w:rFonts w:ascii="Times New Roman" w:hAnsi="Times New Roman" w:cs="Times New Roman"/>
          <w:color w:val="000000" w:themeColor="text1"/>
          <w:sz w:val="24"/>
        </w:rPr>
        <w:t xml:space="preserve">(Gavetti </w:t>
      </w:r>
      <w:r>
        <w:rPr>
          <w:rFonts w:ascii="Times New Roman" w:hAnsi="Times New Roman" w:cs="Times New Roman"/>
          <w:color w:val="000000" w:themeColor="text1"/>
          <w:sz w:val="24"/>
        </w:rPr>
        <w:t>&amp;</w:t>
      </w:r>
      <w:r w:rsidRPr="008C04EC">
        <w:rPr>
          <w:rFonts w:ascii="Times New Roman" w:hAnsi="Times New Roman" w:cs="Times New Roman"/>
          <w:color w:val="000000" w:themeColor="text1"/>
          <w:sz w:val="24"/>
        </w:rPr>
        <w:t xml:space="preserve"> Levinthal, 2000; Lumpkin </w:t>
      </w:r>
      <w:r>
        <w:rPr>
          <w:rFonts w:ascii="Times New Roman" w:hAnsi="Times New Roman" w:cs="Times New Roman"/>
          <w:color w:val="000000" w:themeColor="text1"/>
          <w:sz w:val="24"/>
        </w:rPr>
        <w:t>&amp;</w:t>
      </w:r>
      <w:r w:rsidRPr="008C04EC">
        <w:rPr>
          <w:rFonts w:ascii="Times New Roman" w:hAnsi="Times New Roman" w:cs="Times New Roman"/>
          <w:color w:val="000000" w:themeColor="text1"/>
          <w:sz w:val="24"/>
        </w:rPr>
        <w:t xml:space="preserve"> Dess, 1996)</w:t>
      </w:r>
      <w:r w:rsidRPr="008C04EC">
        <w:rPr>
          <w:rFonts w:ascii="Times New Roman" w:hAnsi="Times New Roman" w:cs="Times New Roman"/>
          <w:color w:val="000000" w:themeColor="text1"/>
          <w:sz w:val="24"/>
          <w:szCs w:val="24"/>
        </w:rPr>
        <w:fldChar w:fldCharType="end"/>
      </w:r>
      <w:r w:rsidRPr="008C04EC">
        <w:rPr>
          <w:rFonts w:ascii="Times New Roman" w:hAnsi="Times New Roman" w:cs="Times New Roman"/>
          <w:color w:val="000000" w:themeColor="text1"/>
          <w:sz w:val="24"/>
          <w:szCs w:val="24"/>
        </w:rPr>
        <w:t>. Over time, this process of continuous learning allows for new market opportunities to be sensed and for</w:t>
      </w:r>
      <w:r w:rsidRPr="00376FAF">
        <w:rPr>
          <w:rFonts w:ascii="Times New Roman" w:hAnsi="Times New Roman" w:cs="Times New Roman"/>
          <w:color w:val="000000" w:themeColor="text1"/>
          <w:sz w:val="24"/>
          <w:szCs w:val="24"/>
        </w:rPr>
        <w:t xml:space="preserve"> </w:t>
      </w:r>
      <w:r w:rsidRPr="008C04EC">
        <w:rPr>
          <w:rFonts w:ascii="Times New Roman" w:hAnsi="Times New Roman" w:cs="Times New Roman"/>
          <w:color w:val="000000" w:themeColor="text1"/>
          <w:sz w:val="24"/>
          <w:szCs w:val="24"/>
        </w:rPr>
        <w:t>supply chain assets to be reconfigured and transformed to seize on new market opportunities.</w:t>
      </w:r>
      <w:r w:rsidRPr="001524A2">
        <w:rPr>
          <w:rFonts w:ascii="Times New Roman" w:eastAsia="Times New Roman" w:hAnsi="Times New Roman" w:cs="Times New Roman"/>
          <w:sz w:val="24"/>
          <w:szCs w:val="24"/>
          <w:lang w:eastAsia="en-GB"/>
        </w:rPr>
        <w:t xml:space="preserve"> This paper </w:t>
      </w:r>
      <w:r w:rsidRPr="001524A2">
        <w:rPr>
          <w:rFonts w:ascii="Times New Roman" w:eastAsia="Times New Roman" w:hAnsi="Times New Roman" w:cs="Times New Roman"/>
          <w:sz w:val="24"/>
          <w:szCs w:val="24"/>
          <w:lang w:eastAsia="en-GB"/>
        </w:rPr>
        <w:lastRenderedPageBreak/>
        <w:t xml:space="preserve">therefore </w:t>
      </w:r>
      <w:r>
        <w:rPr>
          <w:rFonts w:ascii="Times New Roman" w:eastAsia="Times New Roman" w:hAnsi="Times New Roman" w:cs="Times New Roman"/>
          <w:sz w:val="24"/>
          <w:szCs w:val="24"/>
          <w:lang w:eastAsia="en-GB"/>
        </w:rPr>
        <w:t xml:space="preserve">contributes to literature development by opening up a new research domain on the relationship between strategic orientations and dynamic, supply chain-level capabilities. </w:t>
      </w:r>
    </w:p>
    <w:p w14:paraId="75E6C430" w14:textId="3420BB4A" w:rsidR="00D84388" w:rsidRPr="00AB6438" w:rsidRDefault="00750BD9" w:rsidP="00AB6438">
      <w:pPr>
        <w:spacing w:after="0" w:line="480" w:lineRule="auto"/>
        <w:ind w:firstLine="567"/>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rPr>
        <w:t>S</w:t>
      </w:r>
      <w:r w:rsidR="00437460" w:rsidRPr="008C04EC">
        <w:rPr>
          <w:rFonts w:ascii="Times New Roman" w:hAnsi="Times New Roman" w:cs="Times New Roman"/>
          <w:color w:val="000000" w:themeColor="text1"/>
          <w:sz w:val="24"/>
          <w:szCs w:val="24"/>
        </w:rPr>
        <w:t>c</w:t>
      </w:r>
      <w:r w:rsidRPr="008C04EC">
        <w:rPr>
          <w:rFonts w:ascii="Times New Roman" w:hAnsi="Times New Roman" w:cs="Times New Roman"/>
          <w:color w:val="000000" w:themeColor="text1"/>
          <w:sz w:val="24"/>
          <w:szCs w:val="24"/>
        </w:rPr>
        <w:t xml:space="preserve">hilke et al. </w:t>
      </w:r>
      <w:r w:rsidRPr="008C04EC">
        <w:rPr>
          <w:rFonts w:ascii="Times New Roman" w:hAnsi="Times New Roman" w:cs="Times New Roman"/>
          <w:color w:val="000000" w:themeColor="text1"/>
          <w:sz w:val="24"/>
          <w:szCs w:val="24"/>
        </w:rPr>
        <w:fldChar w:fldCharType="begin"/>
      </w:r>
      <w:r w:rsidR="00D83CA7" w:rsidRPr="008C04EC">
        <w:rPr>
          <w:rFonts w:ascii="Times New Roman" w:hAnsi="Times New Roman" w:cs="Times New Roman"/>
          <w:color w:val="000000" w:themeColor="text1"/>
          <w:sz w:val="24"/>
          <w:szCs w:val="24"/>
        </w:rPr>
        <w:instrText xml:space="preserve"> ADDIN ZOTERO_ITEM CSL_CITATION {"citationID":"sIMCgPuK","properties":{"formattedCitation":"(2017)","plainCitation":"(2017)","noteIndex":0},"citationItems":[{"id":4277,"uris":["http://zotero.org/users/3209486/items/9Y5BQT3K"],"uri":["http://zotero.org/users/3209486/items/9Y5BQT3K"],"itemData":{"id":4277,"type":"article-journal","title":"Quo Vadis, Dynamic Capabilities? A Content-Analytic Review of the Current State of Knowledge and Recommendations for Future Research","container-title":"Academy of Management Annals","page":"390-439","volume":"12","issue":"1","abstract":"Although the dynamic capabilities perspective has become one of the most frequently used theoretical lenses in management research, critics have repeatedly voiced their frustration with this literature, particularly bemoaning the lack of empirical knowledge and the underspecification of the construct of dynamic capabilities. But research on dynamic capabilities has advanced considerably since its early years, in which most contributions to this literature were purely conceptual. A plethora of empirical studies as well as further theoretical elaborations have shed substantial light on a variety of specific, measurable factors connected to dynamic capabilities. Our article starts out by analyzing these studies to develop a meta-framework that specifies antecedents, dimensions, mechanisms, moderators, and outcomes of dynamic capabilities identified in the literature to date. This framework provides a comprehensive and systematic synthesis of the dynamic capabilities perspective that reflects the richness of the research while at the same time unifying it into a cohesive, overarching model. Such an analysis has not yet been undertaken; no comprehensive framework with this level of detail has previously been presented for dynamic capabilities. Our analysis shows where research has made the most progress and where gaps and unresolved tensions remain. Based on this analysis, we propose a forward-looking research agenda that outlines directions for future research.","DOI":"10.5465/annals.2016.0014","ISSN":"1941-6520","journalAbbreviation":"ANNALS","author":[{"family":"Schilke","given":"Oliver"},{"family":"Hu","given":"Songcui"},{"family":"Helfat","given":"Constance E."}],"issued":{"date-parts":[["2017",11,9]]}},"suppress-author":true}],"schema":"https://github.com/citation-style-language/schema/raw/master/csl-citation.json"} </w:instrText>
      </w:r>
      <w:r w:rsidRPr="008C04EC">
        <w:rPr>
          <w:rFonts w:ascii="Times New Roman" w:hAnsi="Times New Roman" w:cs="Times New Roman"/>
          <w:color w:val="000000" w:themeColor="text1"/>
          <w:sz w:val="24"/>
          <w:szCs w:val="24"/>
        </w:rPr>
        <w:fldChar w:fldCharType="separate"/>
      </w:r>
      <w:r w:rsidR="007061B5" w:rsidRPr="008C04EC">
        <w:rPr>
          <w:rFonts w:ascii="Times New Roman" w:hAnsi="Times New Roman" w:cs="Times New Roman"/>
          <w:color w:val="000000" w:themeColor="text1"/>
          <w:sz w:val="24"/>
        </w:rPr>
        <w:t>(2017)</w:t>
      </w:r>
      <w:r w:rsidRPr="008C04EC">
        <w:rPr>
          <w:rFonts w:ascii="Times New Roman" w:hAnsi="Times New Roman" w:cs="Times New Roman"/>
          <w:color w:val="000000" w:themeColor="text1"/>
          <w:sz w:val="24"/>
          <w:szCs w:val="24"/>
        </w:rPr>
        <w:fldChar w:fldCharType="end"/>
      </w:r>
      <w:r w:rsidR="004A35BE" w:rsidRPr="008C04EC">
        <w:rPr>
          <w:rFonts w:ascii="Times New Roman" w:hAnsi="Times New Roman" w:cs="Times New Roman"/>
          <w:color w:val="000000" w:themeColor="text1"/>
          <w:sz w:val="24"/>
          <w:szCs w:val="24"/>
        </w:rPr>
        <w:t xml:space="preserve"> </w:t>
      </w:r>
      <w:r w:rsidR="0009286C">
        <w:rPr>
          <w:rFonts w:ascii="Times New Roman" w:hAnsi="Times New Roman" w:cs="Times New Roman"/>
          <w:color w:val="000000" w:themeColor="text1"/>
          <w:sz w:val="24"/>
          <w:szCs w:val="24"/>
        </w:rPr>
        <w:t>identified</w:t>
      </w:r>
      <w:r w:rsidR="004A35BE" w:rsidRPr="008C04EC">
        <w:rPr>
          <w:rFonts w:ascii="Times New Roman" w:hAnsi="Times New Roman" w:cs="Times New Roman"/>
          <w:color w:val="000000" w:themeColor="text1"/>
          <w:sz w:val="24"/>
          <w:szCs w:val="24"/>
        </w:rPr>
        <w:t xml:space="preserve"> </w:t>
      </w:r>
      <w:r w:rsidRPr="008C04EC">
        <w:rPr>
          <w:rFonts w:ascii="Times New Roman" w:hAnsi="Times New Roman" w:cs="Times New Roman"/>
          <w:color w:val="000000" w:themeColor="text1"/>
          <w:sz w:val="24"/>
          <w:szCs w:val="24"/>
        </w:rPr>
        <w:t xml:space="preserve">that the current literature has not examined in sufficient depth the additional mechanisms (i.e. mediators) that explain the proposed relationships between dynamic capabilities and other variables. </w:t>
      </w:r>
      <w:r w:rsidR="00100BD0" w:rsidRPr="008C04EC">
        <w:rPr>
          <w:rFonts w:ascii="Times New Roman" w:hAnsi="Times New Roman" w:cs="Times New Roman"/>
          <w:color w:val="000000" w:themeColor="text1"/>
          <w:sz w:val="24"/>
          <w:szCs w:val="24"/>
          <w:lang w:val="en-GB"/>
        </w:rPr>
        <w:t xml:space="preserve">While we hypothesised that entrepreneurial orientation positively, and directly, affects first-order DSCCs, our data indicate that </w:t>
      </w:r>
      <w:r w:rsidR="0009286C">
        <w:rPr>
          <w:rFonts w:ascii="Times New Roman" w:hAnsi="Times New Roman" w:cs="Times New Roman"/>
          <w:color w:val="000000" w:themeColor="text1"/>
          <w:sz w:val="24"/>
          <w:szCs w:val="24"/>
          <w:lang w:val="en-GB"/>
        </w:rPr>
        <w:t xml:space="preserve">a </w:t>
      </w:r>
      <w:r w:rsidR="00100BD0" w:rsidRPr="008C04EC">
        <w:rPr>
          <w:rFonts w:ascii="Times New Roman" w:hAnsi="Times New Roman" w:cs="Times New Roman"/>
          <w:color w:val="000000" w:themeColor="text1"/>
          <w:sz w:val="24"/>
          <w:szCs w:val="24"/>
          <w:lang w:val="en-GB"/>
        </w:rPr>
        <w:t xml:space="preserve">supply chain learning </w:t>
      </w:r>
      <w:r w:rsidR="0009286C">
        <w:rPr>
          <w:rFonts w:ascii="Times New Roman" w:hAnsi="Times New Roman" w:cs="Times New Roman"/>
          <w:color w:val="000000" w:themeColor="text1"/>
          <w:sz w:val="24"/>
          <w:szCs w:val="24"/>
          <w:lang w:val="en-GB"/>
        </w:rPr>
        <w:t xml:space="preserve">orientation </w:t>
      </w:r>
      <w:r w:rsidR="00100BD0" w:rsidRPr="008C04EC">
        <w:rPr>
          <w:rFonts w:ascii="Times New Roman" w:hAnsi="Times New Roman" w:cs="Times New Roman"/>
          <w:color w:val="000000" w:themeColor="text1"/>
          <w:sz w:val="24"/>
          <w:szCs w:val="24"/>
          <w:lang w:val="en-GB"/>
        </w:rPr>
        <w:t xml:space="preserve">mediates this relationship. This suggests that an entrepreneurial orientation is needed in the first instance </w:t>
      </w:r>
      <w:r w:rsidR="00F032C6" w:rsidRPr="008C04EC">
        <w:rPr>
          <w:rFonts w:ascii="Times New Roman" w:hAnsi="Times New Roman" w:cs="Times New Roman"/>
          <w:color w:val="000000" w:themeColor="text1"/>
          <w:sz w:val="24"/>
          <w:szCs w:val="24"/>
          <w:lang w:val="en-GB"/>
        </w:rPr>
        <w:t>in order to encourage</w:t>
      </w:r>
      <w:r w:rsidR="00100BD0" w:rsidRPr="008C04EC">
        <w:rPr>
          <w:rFonts w:ascii="Times New Roman" w:hAnsi="Times New Roman" w:cs="Times New Roman"/>
          <w:color w:val="000000" w:themeColor="text1"/>
          <w:sz w:val="24"/>
          <w:szCs w:val="24"/>
          <w:lang w:val="en-GB"/>
        </w:rPr>
        <w:t xml:space="preserve"> knowledge sharing between supply chain partners. Therefore, our study makes an important theoretical contribution because it identifies</w:t>
      </w:r>
      <w:r w:rsidR="002B0EB6">
        <w:rPr>
          <w:rFonts w:ascii="Times New Roman" w:hAnsi="Times New Roman" w:cs="Times New Roman"/>
          <w:color w:val="000000" w:themeColor="text1"/>
          <w:sz w:val="24"/>
          <w:szCs w:val="24"/>
          <w:lang w:val="en-GB"/>
        </w:rPr>
        <w:t xml:space="preserve"> a</w:t>
      </w:r>
      <w:r w:rsidR="00AB6438" w:rsidRPr="00AB6438">
        <w:rPr>
          <w:rFonts w:ascii="Times New Roman" w:hAnsi="Times New Roman" w:cs="Times New Roman"/>
          <w:sz w:val="24"/>
          <w:szCs w:val="24"/>
        </w:rPr>
        <w:t xml:space="preserve"> </w:t>
      </w:r>
      <w:r w:rsidR="00AB6438">
        <w:rPr>
          <w:rFonts w:ascii="Times New Roman" w:hAnsi="Times New Roman" w:cs="Times New Roman"/>
          <w:sz w:val="24"/>
          <w:szCs w:val="24"/>
        </w:rPr>
        <w:t>supply chain learning orientation as a mediating variable on the relationship between entrepreneurial orientation and the emergence of DSCCs</w:t>
      </w:r>
      <w:r w:rsidR="00AB6438">
        <w:rPr>
          <w:rFonts w:ascii="Times New Roman" w:hAnsi="Times New Roman" w:cs="Times New Roman"/>
          <w:color w:val="000000" w:themeColor="text1"/>
          <w:sz w:val="24"/>
          <w:szCs w:val="24"/>
          <w:lang w:val="en-GB"/>
        </w:rPr>
        <w:t xml:space="preserve">. </w:t>
      </w:r>
      <w:r w:rsidR="00100BD0" w:rsidRPr="008C04EC">
        <w:rPr>
          <w:rFonts w:ascii="Times New Roman" w:hAnsi="Times New Roman" w:cs="Times New Roman"/>
          <w:color w:val="000000" w:themeColor="text1"/>
          <w:sz w:val="24"/>
          <w:szCs w:val="24"/>
          <w:lang w:val="en-GB"/>
        </w:rPr>
        <w:t>Our findings suggest that entrepreneurial</w:t>
      </w:r>
      <w:r w:rsidR="0009286C">
        <w:rPr>
          <w:rFonts w:ascii="Times New Roman" w:hAnsi="Times New Roman" w:cs="Times New Roman"/>
          <w:color w:val="000000" w:themeColor="text1"/>
          <w:sz w:val="24"/>
          <w:szCs w:val="24"/>
          <w:lang w:val="en-GB"/>
        </w:rPr>
        <w:t xml:space="preserve">ly oriented </w:t>
      </w:r>
      <w:r w:rsidR="00100BD0" w:rsidRPr="008C04EC">
        <w:rPr>
          <w:rFonts w:ascii="Times New Roman" w:hAnsi="Times New Roman" w:cs="Times New Roman"/>
          <w:color w:val="000000" w:themeColor="text1"/>
          <w:sz w:val="24"/>
          <w:szCs w:val="24"/>
          <w:lang w:val="en-GB"/>
        </w:rPr>
        <w:t xml:space="preserve">managers will </w:t>
      </w:r>
      <w:r w:rsidR="006B6A5F">
        <w:rPr>
          <w:rFonts w:ascii="Times New Roman" w:hAnsi="Times New Roman" w:cs="Times New Roman"/>
          <w:color w:val="000000" w:themeColor="text1"/>
          <w:sz w:val="24"/>
          <w:szCs w:val="24"/>
          <w:lang w:val="en-GB"/>
        </w:rPr>
        <w:t>require a mind-set of learning with</w:t>
      </w:r>
      <w:r w:rsidR="00100BD0" w:rsidRPr="008C04EC">
        <w:rPr>
          <w:rFonts w:ascii="Times New Roman" w:hAnsi="Times New Roman" w:cs="Times New Roman"/>
          <w:color w:val="000000" w:themeColor="text1"/>
          <w:sz w:val="24"/>
          <w:szCs w:val="24"/>
          <w:lang w:val="en-GB"/>
        </w:rPr>
        <w:t xml:space="preserve"> supply chain partners to sense and seize market opportunities, and reconfigure the supply chain</w:t>
      </w:r>
      <w:r w:rsidR="006B0D13" w:rsidRPr="008C04EC">
        <w:rPr>
          <w:rFonts w:ascii="Times New Roman" w:hAnsi="Times New Roman" w:cs="Times New Roman"/>
          <w:color w:val="000000" w:themeColor="text1"/>
          <w:sz w:val="24"/>
          <w:szCs w:val="24"/>
          <w:lang w:val="en-GB"/>
        </w:rPr>
        <w:t xml:space="preserve"> resource base</w:t>
      </w:r>
      <w:r w:rsidR="00100BD0" w:rsidRPr="008C04EC">
        <w:rPr>
          <w:rFonts w:ascii="Times New Roman" w:hAnsi="Times New Roman" w:cs="Times New Roman"/>
          <w:color w:val="000000" w:themeColor="text1"/>
          <w:sz w:val="24"/>
          <w:szCs w:val="24"/>
          <w:lang w:val="en-GB"/>
        </w:rPr>
        <w:t xml:space="preserve"> in response. </w:t>
      </w:r>
    </w:p>
    <w:p w14:paraId="4AB25F47" w14:textId="62DA60FF" w:rsidR="00A82C41" w:rsidRPr="008C04EC" w:rsidRDefault="00A82C41" w:rsidP="006B6A5F">
      <w:pPr>
        <w:spacing w:after="0" w:line="480" w:lineRule="auto"/>
        <w:ind w:firstLine="567"/>
        <w:jc w:val="both"/>
        <w:rPr>
          <w:rFonts w:ascii="Times New Roman" w:hAnsi="Times New Roman" w:cs="Times New Roman"/>
          <w:b/>
          <w:i/>
          <w:color w:val="000000" w:themeColor="text1"/>
          <w:sz w:val="24"/>
          <w:szCs w:val="24"/>
          <w:lang w:val="en-GB"/>
        </w:rPr>
      </w:pPr>
    </w:p>
    <w:p w14:paraId="6C57EEB5" w14:textId="53F3CAA8" w:rsidR="00B802FB" w:rsidRPr="008C04EC" w:rsidRDefault="00B802FB" w:rsidP="00B802FB">
      <w:pPr>
        <w:spacing w:after="0" w:line="480" w:lineRule="auto"/>
        <w:jc w:val="both"/>
        <w:rPr>
          <w:rFonts w:ascii="Times New Roman" w:hAnsi="Times New Roman" w:cs="Times New Roman"/>
          <w:b/>
          <w:i/>
          <w:color w:val="000000" w:themeColor="text1"/>
          <w:sz w:val="24"/>
          <w:szCs w:val="24"/>
          <w:lang w:val="en-GB"/>
        </w:rPr>
      </w:pPr>
      <w:r w:rsidRPr="008C04EC">
        <w:rPr>
          <w:rFonts w:ascii="Times New Roman" w:hAnsi="Times New Roman" w:cs="Times New Roman"/>
          <w:b/>
          <w:i/>
          <w:color w:val="000000" w:themeColor="text1"/>
          <w:sz w:val="24"/>
          <w:szCs w:val="24"/>
          <w:lang w:val="en-GB"/>
        </w:rPr>
        <w:t>5.2 Managerial Contribution</w:t>
      </w:r>
    </w:p>
    <w:p w14:paraId="4E509BD1" w14:textId="08DC3254" w:rsidR="005A257D" w:rsidRPr="008C04EC" w:rsidRDefault="00B802FB" w:rsidP="00A958F1">
      <w:pPr>
        <w:spacing w:after="0" w:line="480" w:lineRule="auto"/>
        <w:jc w:val="both"/>
        <w:rPr>
          <w:rFonts w:ascii="Times New Roman" w:hAnsi="Times New Roman" w:cs="Times New Roman"/>
          <w:color w:val="000000" w:themeColor="text1"/>
          <w:sz w:val="24"/>
          <w:szCs w:val="24"/>
          <w:lang w:val="en-GB"/>
        </w:rPr>
      </w:pPr>
      <w:r w:rsidRPr="008C04EC">
        <w:rPr>
          <w:rFonts w:ascii="Times New Roman" w:hAnsi="Times New Roman" w:cs="Times New Roman"/>
          <w:color w:val="000000" w:themeColor="text1"/>
          <w:sz w:val="24"/>
          <w:szCs w:val="24"/>
          <w:lang w:val="en-GB"/>
        </w:rPr>
        <w:t>In an era of increasing market turbulence, managers</w:t>
      </w:r>
      <w:r w:rsidR="006B0D13" w:rsidRPr="008C04EC">
        <w:rPr>
          <w:rFonts w:ascii="Times New Roman" w:hAnsi="Times New Roman" w:cs="Times New Roman"/>
          <w:color w:val="000000" w:themeColor="text1"/>
          <w:sz w:val="24"/>
          <w:szCs w:val="24"/>
          <w:lang w:val="en-GB"/>
        </w:rPr>
        <w:t xml:space="preserve"> need</w:t>
      </w:r>
      <w:r w:rsidRPr="008C04EC">
        <w:rPr>
          <w:rFonts w:ascii="Times New Roman" w:hAnsi="Times New Roman" w:cs="Times New Roman"/>
          <w:color w:val="000000" w:themeColor="text1"/>
          <w:sz w:val="24"/>
          <w:szCs w:val="24"/>
          <w:lang w:val="en-GB"/>
        </w:rPr>
        <w:t xml:space="preserve"> </w:t>
      </w:r>
      <w:r w:rsidR="006B0D13" w:rsidRPr="008C04EC">
        <w:rPr>
          <w:rFonts w:ascii="Times New Roman" w:hAnsi="Times New Roman" w:cs="Times New Roman"/>
          <w:color w:val="000000" w:themeColor="text1"/>
          <w:sz w:val="24"/>
          <w:szCs w:val="24"/>
          <w:lang w:val="en-GB"/>
        </w:rPr>
        <w:t>instruction on</w:t>
      </w:r>
      <w:r w:rsidRPr="008C04EC">
        <w:rPr>
          <w:rFonts w:ascii="Times New Roman" w:hAnsi="Times New Roman" w:cs="Times New Roman"/>
          <w:color w:val="000000" w:themeColor="text1"/>
          <w:sz w:val="24"/>
          <w:szCs w:val="24"/>
          <w:lang w:val="en-GB"/>
        </w:rPr>
        <w:t xml:space="preserve"> how to build dynamic supply chain capabilities in order to remain competitive. This research is important because it gives managers a roadmap showing how to build DSCCs, starting with fostering an entrepreneurially-oriented mind-set in the company and then learning with supply chain partners. We find that an entrepreneurial orientation encourages manager to take risks, and co-develop innovative ideas with supply chain partners as part of the learning process. Proactively searching the supply chain for innovative supply chain partners allows managers to keep abreast of the latest technologies and process approaches. A continuous loop of learning-to-learn allows supply chain partners to gain experience and share this experience in order to </w:t>
      </w:r>
      <w:r w:rsidRPr="008C04EC">
        <w:rPr>
          <w:rFonts w:ascii="Times New Roman" w:hAnsi="Times New Roman" w:cs="Times New Roman"/>
          <w:color w:val="000000" w:themeColor="text1"/>
          <w:sz w:val="24"/>
          <w:szCs w:val="24"/>
          <w:lang w:val="en-GB"/>
        </w:rPr>
        <w:lastRenderedPageBreak/>
        <w:t>tackle difficult supply chain problems as they arise.</w:t>
      </w:r>
      <w:r w:rsidR="006B0D13" w:rsidRPr="008C04EC">
        <w:rPr>
          <w:rFonts w:ascii="Times New Roman" w:hAnsi="Times New Roman" w:cs="Times New Roman"/>
          <w:color w:val="000000" w:themeColor="text1"/>
          <w:sz w:val="24"/>
          <w:szCs w:val="24"/>
          <w:lang w:val="en-GB"/>
        </w:rPr>
        <w:t xml:space="preserve"> Importantly, managers should acknowledge that solely concentrating on knowledge acquisition within the boundaries of their firm can lead to a power imbalance, putting suppliers at a disadvantage (see Defee </w:t>
      </w:r>
      <w:r w:rsidR="00D84388">
        <w:rPr>
          <w:rFonts w:ascii="Times New Roman" w:hAnsi="Times New Roman" w:cs="Times New Roman"/>
          <w:color w:val="000000" w:themeColor="text1"/>
          <w:sz w:val="24"/>
          <w:szCs w:val="24"/>
          <w:lang w:val="en-GB"/>
        </w:rPr>
        <w:t>&amp;</w:t>
      </w:r>
      <w:r w:rsidR="00D84388" w:rsidRPr="008C04EC">
        <w:rPr>
          <w:rFonts w:ascii="Times New Roman" w:hAnsi="Times New Roman" w:cs="Times New Roman"/>
          <w:color w:val="000000" w:themeColor="text1"/>
          <w:sz w:val="24"/>
          <w:szCs w:val="24"/>
          <w:lang w:val="en-GB"/>
        </w:rPr>
        <w:t xml:space="preserve"> </w:t>
      </w:r>
      <w:r w:rsidR="006B0D13" w:rsidRPr="008C04EC">
        <w:rPr>
          <w:rFonts w:ascii="Times New Roman" w:hAnsi="Times New Roman" w:cs="Times New Roman"/>
          <w:color w:val="000000" w:themeColor="text1"/>
          <w:sz w:val="24"/>
          <w:szCs w:val="24"/>
          <w:lang w:val="en-GB"/>
        </w:rPr>
        <w:t>Fugate, 2010)</w:t>
      </w:r>
      <w:r w:rsidR="00D84388">
        <w:rPr>
          <w:rFonts w:ascii="Times New Roman" w:hAnsi="Times New Roman" w:cs="Times New Roman"/>
          <w:color w:val="000000" w:themeColor="text1"/>
          <w:sz w:val="24"/>
          <w:szCs w:val="24"/>
          <w:lang w:val="en-GB"/>
        </w:rPr>
        <w:t>.</w:t>
      </w:r>
    </w:p>
    <w:p w14:paraId="30035092" w14:textId="77777777" w:rsidR="006B0D13" w:rsidRPr="008C04EC" w:rsidRDefault="006B0D13" w:rsidP="00A958F1">
      <w:pPr>
        <w:spacing w:after="0" w:line="480" w:lineRule="auto"/>
        <w:jc w:val="both"/>
        <w:rPr>
          <w:rFonts w:ascii="Times New Roman" w:hAnsi="Times New Roman" w:cs="Times New Roman"/>
          <w:color w:val="000000" w:themeColor="text1"/>
          <w:sz w:val="24"/>
          <w:szCs w:val="24"/>
        </w:rPr>
      </w:pPr>
    </w:p>
    <w:p w14:paraId="7A80CFD1" w14:textId="77777777" w:rsidR="00A958F1" w:rsidRPr="008C04EC" w:rsidRDefault="00A958F1" w:rsidP="00A958F1">
      <w:pPr>
        <w:spacing w:after="0" w:line="480" w:lineRule="auto"/>
        <w:jc w:val="both"/>
        <w:rPr>
          <w:rFonts w:ascii="Times New Roman" w:hAnsi="Times New Roman" w:cs="Times New Roman"/>
          <w:b/>
          <w:i/>
          <w:color w:val="000000" w:themeColor="text1"/>
          <w:sz w:val="24"/>
          <w:szCs w:val="24"/>
          <w:lang w:val="en-GB"/>
        </w:rPr>
      </w:pPr>
      <w:r w:rsidRPr="008C04EC">
        <w:rPr>
          <w:rFonts w:ascii="Times New Roman" w:hAnsi="Times New Roman" w:cs="Times New Roman"/>
          <w:b/>
          <w:i/>
          <w:color w:val="000000" w:themeColor="text1"/>
          <w:sz w:val="24"/>
          <w:szCs w:val="24"/>
          <w:lang w:val="en-GB"/>
        </w:rPr>
        <w:t>5.3 Research Limitations and Future Research Directions</w:t>
      </w:r>
    </w:p>
    <w:p w14:paraId="658F2770" w14:textId="0EF6E346" w:rsidR="00A22BE0" w:rsidRPr="008C04EC" w:rsidRDefault="00A958F1" w:rsidP="00A958F1">
      <w:pPr>
        <w:spacing w:after="0" w:line="480" w:lineRule="auto"/>
        <w:jc w:val="both"/>
        <w:rPr>
          <w:rFonts w:ascii="Times New Roman" w:eastAsia="Times New Roman" w:hAnsi="Times New Roman" w:cs="Times New Roman"/>
          <w:color w:val="000000" w:themeColor="text1"/>
          <w:sz w:val="24"/>
          <w:szCs w:val="24"/>
          <w:lang w:val="en-GB"/>
        </w:rPr>
      </w:pPr>
      <w:r w:rsidRPr="008C04EC">
        <w:rPr>
          <w:rFonts w:ascii="Times New Roman" w:eastAsia="Times New Roman" w:hAnsi="Times New Roman" w:cs="Times New Roman"/>
          <w:color w:val="000000" w:themeColor="text1"/>
          <w:sz w:val="24"/>
          <w:szCs w:val="24"/>
          <w:lang w:val="en-GB"/>
        </w:rPr>
        <w:t>The results of this study may be interpreted in light of its limitations: these limitations may also open up some avenues for future research. Although we propose causal relationships in the research model, the cross-sectional nature of our data limits the causal inference. Therefore, although our results point towards the causal logic of the relationships, these cannot be taken as conclusive evidence of causal relationships. For conclusive evidence, longitudinal studies should be conducted in future.</w:t>
      </w:r>
      <w:r w:rsidR="005D0CF4" w:rsidRPr="008C04EC">
        <w:rPr>
          <w:rFonts w:ascii="Times New Roman" w:eastAsia="Times New Roman" w:hAnsi="Times New Roman" w:cs="Times New Roman"/>
          <w:color w:val="000000" w:themeColor="text1"/>
          <w:sz w:val="24"/>
          <w:szCs w:val="24"/>
          <w:lang w:val="en-GB"/>
        </w:rPr>
        <w:t xml:space="preserve"> </w:t>
      </w:r>
      <w:r w:rsidRPr="008C04EC">
        <w:rPr>
          <w:rFonts w:ascii="Times New Roman" w:eastAsia="Times New Roman" w:hAnsi="Times New Roman" w:cs="Times New Roman"/>
          <w:color w:val="000000" w:themeColor="text1"/>
          <w:sz w:val="24"/>
          <w:szCs w:val="24"/>
          <w:lang w:val="en-GB"/>
        </w:rPr>
        <w:t>Another limitation that is an integral part of most social science research (and this study as well) is the use of perceptual measures to operationalise constructs. This was mainly due to the unavailability of objective information related to research variables.</w:t>
      </w:r>
      <w:r w:rsidR="00A22BE0" w:rsidRPr="008C04EC">
        <w:rPr>
          <w:rFonts w:ascii="Times New Roman" w:eastAsia="Times New Roman" w:hAnsi="Times New Roman" w:cs="Times New Roman"/>
          <w:color w:val="000000" w:themeColor="text1"/>
          <w:sz w:val="24"/>
          <w:szCs w:val="24"/>
          <w:lang w:val="en-GB"/>
        </w:rPr>
        <w:t xml:space="preserve"> </w:t>
      </w:r>
      <w:r w:rsidR="00DE17D5">
        <w:rPr>
          <w:rFonts w:ascii="Times New Roman" w:eastAsia="Times New Roman" w:hAnsi="Times New Roman" w:cs="Times New Roman"/>
          <w:color w:val="000000" w:themeColor="text1"/>
          <w:sz w:val="24"/>
          <w:szCs w:val="24"/>
          <w:lang w:val="en-GB"/>
        </w:rPr>
        <w:t xml:space="preserve">Although we </w:t>
      </w:r>
      <w:r w:rsidR="008F0A8C" w:rsidRPr="008C04EC">
        <w:rPr>
          <w:rFonts w:ascii="Times New Roman" w:eastAsia="Times New Roman" w:hAnsi="Times New Roman" w:cs="Times New Roman"/>
          <w:color w:val="000000" w:themeColor="text1"/>
          <w:sz w:val="24"/>
          <w:szCs w:val="24"/>
          <w:lang w:val="en-GB"/>
        </w:rPr>
        <w:t>took great care during the design phase of the study and also adjusted for the common method bias in the results, we recognise that we cannot claim our study to be total</w:t>
      </w:r>
      <w:r w:rsidR="00692005" w:rsidRPr="008C04EC">
        <w:rPr>
          <w:rFonts w:ascii="Times New Roman" w:eastAsia="Times New Roman" w:hAnsi="Times New Roman" w:cs="Times New Roman"/>
          <w:color w:val="000000" w:themeColor="text1"/>
          <w:sz w:val="24"/>
          <w:szCs w:val="24"/>
          <w:lang w:val="en-GB"/>
        </w:rPr>
        <w:t xml:space="preserve">ly free from common method bias. As suggested by </w:t>
      </w:r>
      <w:hyperlink w:anchor="_ENREF_53" w:tooltip="Ketokivi, 2004 #1227" w:history="1">
        <w:r w:rsidR="00641B32" w:rsidRPr="008C04EC">
          <w:rPr>
            <w:rFonts w:ascii="Times New Roman" w:eastAsia="Times New Roman" w:hAnsi="Times New Roman" w:cs="Times New Roman"/>
            <w:color w:val="000000" w:themeColor="text1"/>
            <w:sz w:val="24"/>
            <w:szCs w:val="24"/>
            <w:lang w:val="en-GB"/>
          </w:rPr>
          <w:fldChar w:fldCharType="begin"/>
        </w:r>
        <w:r w:rsidR="00641B32" w:rsidRPr="008C04EC">
          <w:rPr>
            <w:rFonts w:ascii="Times New Roman" w:eastAsia="Times New Roman" w:hAnsi="Times New Roman" w:cs="Times New Roman"/>
            <w:color w:val="000000" w:themeColor="text1"/>
            <w:sz w:val="24"/>
            <w:szCs w:val="24"/>
            <w:lang w:val="en-GB"/>
          </w:rPr>
          <w:instrText xml:space="preserve"> ADDIN EN.CITE &lt;EndNote&gt;&lt;Cite AuthorYear="1"&gt;&lt;Author&gt;Ketokivi&lt;/Author&gt;&lt;Year&gt;2004&lt;/Year&gt;&lt;RecNum&gt;1227&lt;/RecNum&gt;&lt;DisplayText&gt;Ketokivi and Schroeder (2004)&lt;/DisplayText&gt;&lt;record&gt;&lt;rec-number&gt;1227&lt;/rec-number&gt;&lt;foreign-keys&gt;&lt;key app="EN" db-id="seavxzzzfrf2p7eddfnxx5ep2ar05z0ddwx9"&gt;1227&lt;/key&gt;&lt;/foreign-keys&gt;&lt;ref-type name="Journal Article"&gt;17&lt;/ref-type&gt;&lt;contributors&gt;&lt;authors&gt;&lt;author&gt;Ketokivi, Mikko A&lt;/author&gt;&lt;author&gt;Schroeder, Roger G&lt;/author&gt;&lt;/authors&gt;&lt;/contributors&gt;&lt;titles&gt;&lt;title&gt;Perceptual measures of performance: fact or fiction?&lt;/title&gt;&lt;secondary-title&gt;Journal of Operations Management&lt;/secondary-title&gt;&lt;/titles&gt;&lt;periodical&gt;&lt;full-title&gt;Journal of Operations Management&lt;/full-title&gt;&lt;/periodical&gt;&lt;pages&gt;247-264&lt;/pages&gt;&lt;volume&gt;22&lt;/volume&gt;&lt;number&gt;3&lt;/number&gt;&lt;dates&gt;&lt;year&gt;2004&lt;/year&gt;&lt;/dates&gt;&lt;isbn&gt;0272-6963&lt;/isbn&gt;&lt;urls&gt;&lt;/urls&gt;&lt;/record&gt;&lt;/Cite&gt;&lt;/EndNote&gt;</w:instrText>
        </w:r>
        <w:r w:rsidR="00641B32" w:rsidRPr="008C04EC">
          <w:rPr>
            <w:rFonts w:ascii="Times New Roman" w:eastAsia="Times New Roman" w:hAnsi="Times New Roman" w:cs="Times New Roman"/>
            <w:color w:val="000000" w:themeColor="text1"/>
            <w:sz w:val="24"/>
            <w:szCs w:val="24"/>
            <w:lang w:val="en-GB"/>
          </w:rPr>
          <w:fldChar w:fldCharType="separate"/>
        </w:r>
        <w:r w:rsidR="00641B32" w:rsidRPr="008C04EC">
          <w:rPr>
            <w:rFonts w:ascii="Times New Roman" w:eastAsia="Times New Roman" w:hAnsi="Times New Roman" w:cs="Times New Roman"/>
            <w:noProof/>
            <w:color w:val="000000" w:themeColor="text1"/>
            <w:sz w:val="24"/>
            <w:szCs w:val="24"/>
            <w:lang w:val="en-GB"/>
          </w:rPr>
          <w:t>Ketokivi and Schroeder (2004)</w:t>
        </w:r>
        <w:r w:rsidR="00641B32" w:rsidRPr="008C04EC">
          <w:rPr>
            <w:rFonts w:ascii="Times New Roman" w:eastAsia="Times New Roman" w:hAnsi="Times New Roman" w:cs="Times New Roman"/>
            <w:color w:val="000000" w:themeColor="text1"/>
            <w:sz w:val="24"/>
            <w:szCs w:val="24"/>
            <w:lang w:val="en-GB"/>
          </w:rPr>
          <w:fldChar w:fldCharType="end"/>
        </w:r>
      </w:hyperlink>
      <w:r w:rsidR="00933B46" w:rsidRPr="008C04EC">
        <w:rPr>
          <w:rFonts w:ascii="Times New Roman" w:eastAsia="Times New Roman" w:hAnsi="Times New Roman" w:cs="Times New Roman"/>
          <w:color w:val="000000" w:themeColor="text1"/>
          <w:sz w:val="24"/>
          <w:szCs w:val="24"/>
          <w:lang w:val="en-GB"/>
        </w:rPr>
        <w:t xml:space="preserve"> and </w:t>
      </w:r>
      <w:hyperlink w:anchor="_ENREF_36" w:tooltip="Guide Jr, 2015 #1228" w:history="1">
        <w:r w:rsidR="00641B32" w:rsidRPr="008C04EC">
          <w:rPr>
            <w:rFonts w:ascii="Times New Roman" w:eastAsia="Times New Roman" w:hAnsi="Times New Roman" w:cs="Times New Roman"/>
            <w:color w:val="000000" w:themeColor="text1"/>
            <w:sz w:val="24"/>
            <w:szCs w:val="24"/>
            <w:lang w:val="en-GB"/>
          </w:rPr>
          <w:fldChar w:fldCharType="begin"/>
        </w:r>
        <w:r w:rsidR="00641B32" w:rsidRPr="008C04EC">
          <w:rPr>
            <w:rFonts w:ascii="Times New Roman" w:eastAsia="Times New Roman" w:hAnsi="Times New Roman" w:cs="Times New Roman"/>
            <w:color w:val="000000" w:themeColor="text1"/>
            <w:sz w:val="24"/>
            <w:szCs w:val="24"/>
            <w:lang w:val="en-GB"/>
          </w:rPr>
          <w:instrText xml:space="preserve"> ADDIN EN.CITE &lt;EndNote&gt;&lt;Cite AuthorYear="1"&gt;&lt;Author&gt;Guide Jr&lt;/Author&gt;&lt;Year&gt;2015&lt;/Year&gt;&lt;RecNum&gt;1228&lt;/RecNum&gt;&lt;DisplayText&gt;Guide Jr and Ketokivi (2015)&lt;/DisplayText&gt;&lt;record&gt;&lt;rec-number&gt;1228&lt;/rec-number&gt;&lt;foreign-keys&gt;&lt;key app="EN" db-id="seavxzzzfrf2p7eddfnxx5ep2ar05z0ddwx9"&gt;1228&lt;/key&gt;&lt;/foreign-keys&gt;&lt;ref-type name="Journal Article"&gt;17&lt;/ref-type&gt;&lt;contributors&gt;&lt;authors&gt;&lt;author&gt;Guide Jr, Daniel&lt;/author&gt;&lt;author&gt;Ketokivi, Mikko&lt;/author&gt;&lt;/authors&gt;&lt;/contributors&gt;&lt;titles&gt;&lt;title&gt;Notes from the Editors: Redefining some methodological criteria for the journal</w:instrText>
        </w:r>
        <w:r w:rsidR="00641B32" w:rsidRPr="008C04EC">
          <w:rPr>
            <w:rFonts w:ascii="Cambria Math" w:eastAsia="Times New Roman" w:hAnsi="Cambria Math" w:cs="Cambria Math"/>
            <w:color w:val="000000" w:themeColor="text1"/>
            <w:sz w:val="24"/>
            <w:szCs w:val="24"/>
            <w:lang w:val="en-GB"/>
          </w:rPr>
          <w:instrText>⋆</w:instrText>
        </w:r>
        <w:r w:rsidR="00641B32" w:rsidRPr="008C04EC">
          <w:rPr>
            <w:rFonts w:ascii="Times New Roman" w:eastAsia="Times New Roman" w:hAnsi="Times New Roman" w:cs="Times New Roman"/>
            <w:color w:val="000000" w:themeColor="text1"/>
            <w:sz w:val="24"/>
            <w:szCs w:val="24"/>
            <w:lang w:val="en-GB"/>
          </w:rPr>
          <w:instrText>&lt;/title&gt;&lt;secondary-title&gt;Journal of Operations Management&lt;/secondary-title&gt;&lt;/titles&gt;&lt;periodical&gt;&lt;full-title&gt;Journal of Operations Management&lt;/full-title&gt;&lt;/periodical&gt;&lt;pages&gt;v-viii&lt;/pages&gt;&lt;volume&gt;37&lt;/volume&gt;&lt;number&gt;1&lt;/number&gt;&lt;dates&gt;&lt;year&gt;2015&lt;/year&gt;&lt;/dates&gt;&lt;isbn&gt;0272-6963&lt;/isbn&gt;&lt;urls&gt;&lt;/urls&gt;&lt;/record&gt;&lt;/Cite&gt;&lt;/EndNote&gt;</w:instrText>
        </w:r>
        <w:r w:rsidR="00641B32" w:rsidRPr="008C04EC">
          <w:rPr>
            <w:rFonts w:ascii="Times New Roman" w:eastAsia="Times New Roman" w:hAnsi="Times New Roman" w:cs="Times New Roman"/>
            <w:color w:val="000000" w:themeColor="text1"/>
            <w:sz w:val="24"/>
            <w:szCs w:val="24"/>
            <w:lang w:val="en-GB"/>
          </w:rPr>
          <w:fldChar w:fldCharType="separate"/>
        </w:r>
        <w:r w:rsidR="00641B32" w:rsidRPr="008C04EC">
          <w:rPr>
            <w:rFonts w:ascii="Times New Roman" w:eastAsia="Times New Roman" w:hAnsi="Times New Roman" w:cs="Times New Roman"/>
            <w:noProof/>
            <w:color w:val="000000" w:themeColor="text1"/>
            <w:sz w:val="24"/>
            <w:szCs w:val="24"/>
            <w:lang w:val="en-GB"/>
          </w:rPr>
          <w:t>Guide and Ketokivi (2015)</w:t>
        </w:r>
        <w:r w:rsidR="00641B32" w:rsidRPr="008C04EC">
          <w:rPr>
            <w:rFonts w:ascii="Times New Roman" w:eastAsia="Times New Roman" w:hAnsi="Times New Roman" w:cs="Times New Roman"/>
            <w:color w:val="000000" w:themeColor="text1"/>
            <w:sz w:val="24"/>
            <w:szCs w:val="24"/>
            <w:lang w:val="en-GB"/>
          </w:rPr>
          <w:fldChar w:fldCharType="end"/>
        </w:r>
      </w:hyperlink>
      <w:r w:rsidR="00692005" w:rsidRPr="008C04EC">
        <w:rPr>
          <w:rFonts w:ascii="Times New Roman" w:eastAsia="Times New Roman" w:hAnsi="Times New Roman" w:cs="Times New Roman"/>
          <w:color w:val="000000" w:themeColor="text1"/>
          <w:sz w:val="24"/>
          <w:szCs w:val="24"/>
          <w:lang w:val="en-GB"/>
        </w:rPr>
        <w:t>, such a claim cannot be true in a single-key informant based survey research</w:t>
      </w:r>
      <w:r w:rsidR="00933B46" w:rsidRPr="008C04EC">
        <w:rPr>
          <w:rFonts w:ascii="Times New Roman" w:eastAsia="Times New Roman" w:hAnsi="Times New Roman" w:cs="Times New Roman"/>
          <w:color w:val="000000" w:themeColor="text1"/>
          <w:sz w:val="24"/>
          <w:szCs w:val="24"/>
          <w:lang w:val="en-GB"/>
        </w:rPr>
        <w:t xml:space="preserve"> </w:t>
      </w:r>
      <w:r w:rsidR="00692005" w:rsidRPr="008C04EC">
        <w:rPr>
          <w:rFonts w:ascii="Times New Roman" w:eastAsia="Times New Roman" w:hAnsi="Times New Roman" w:cs="Times New Roman"/>
          <w:color w:val="000000" w:themeColor="text1"/>
          <w:sz w:val="24"/>
          <w:szCs w:val="24"/>
          <w:lang w:val="en-GB"/>
        </w:rPr>
        <w:t>.</w:t>
      </w:r>
      <w:r w:rsidRPr="008C04EC">
        <w:rPr>
          <w:rFonts w:ascii="Times New Roman" w:eastAsia="Times New Roman" w:hAnsi="Times New Roman" w:cs="Times New Roman"/>
          <w:color w:val="000000" w:themeColor="text1"/>
          <w:sz w:val="24"/>
          <w:szCs w:val="24"/>
          <w:lang w:val="en-GB"/>
        </w:rPr>
        <w:t xml:space="preserve"> </w:t>
      </w:r>
    </w:p>
    <w:p w14:paraId="453A220F" w14:textId="7DBF6BDD" w:rsidR="00782DC2" w:rsidRPr="00782DC2" w:rsidRDefault="006B0D13" w:rsidP="00782DC2">
      <w:pPr>
        <w:spacing w:after="0" w:line="480" w:lineRule="auto"/>
        <w:ind w:firstLine="720"/>
        <w:jc w:val="both"/>
        <w:rPr>
          <w:rFonts w:ascii="Times New Roman" w:hAnsi="Times New Roman" w:cs="Times New Roman"/>
          <w:sz w:val="24"/>
          <w:szCs w:val="24"/>
        </w:rPr>
      </w:pPr>
      <w:r w:rsidRPr="008C04EC">
        <w:rPr>
          <w:rFonts w:ascii="Times New Roman" w:eastAsia="Times New Roman" w:hAnsi="Times New Roman" w:cs="Times New Roman"/>
          <w:color w:val="000000" w:themeColor="text1"/>
          <w:sz w:val="24"/>
          <w:szCs w:val="24"/>
          <w:lang w:val="en-GB"/>
        </w:rPr>
        <w:t>We also acknowledge that this</w:t>
      </w:r>
      <w:r w:rsidR="00A958F1" w:rsidRPr="008C04EC">
        <w:rPr>
          <w:rFonts w:ascii="Times New Roman" w:hAnsi="Times New Roman" w:cs="Times New Roman"/>
          <w:color w:val="000000" w:themeColor="text1"/>
          <w:sz w:val="24"/>
          <w:szCs w:val="24"/>
          <w:lang w:val="en-GB"/>
        </w:rPr>
        <w:t xml:space="preserve"> study used a firm-level description of entrepreneurial orientation. Future researchers should look to extend our understanding of entrepreneurial orien</w:t>
      </w:r>
      <w:r w:rsidRPr="008C04EC">
        <w:rPr>
          <w:rFonts w:ascii="Times New Roman" w:hAnsi="Times New Roman" w:cs="Times New Roman"/>
          <w:color w:val="000000" w:themeColor="text1"/>
          <w:sz w:val="24"/>
          <w:szCs w:val="24"/>
          <w:lang w:val="en-GB"/>
        </w:rPr>
        <w:t>tation to the supply chain</w:t>
      </w:r>
      <w:r w:rsidR="00A958F1" w:rsidRPr="008C04EC">
        <w:rPr>
          <w:rFonts w:ascii="Times New Roman" w:hAnsi="Times New Roman" w:cs="Times New Roman"/>
          <w:color w:val="000000" w:themeColor="text1"/>
          <w:sz w:val="24"/>
          <w:szCs w:val="24"/>
          <w:lang w:val="en-GB"/>
        </w:rPr>
        <w:t xml:space="preserve"> to better understand </w:t>
      </w:r>
      <w:r w:rsidRPr="008C04EC">
        <w:rPr>
          <w:rFonts w:ascii="Times New Roman" w:hAnsi="Times New Roman" w:cs="Times New Roman"/>
          <w:color w:val="000000" w:themeColor="text1"/>
          <w:sz w:val="24"/>
          <w:szCs w:val="24"/>
          <w:lang w:val="en-GB"/>
        </w:rPr>
        <w:t>the foundations of</w:t>
      </w:r>
      <w:r w:rsidR="00A958F1" w:rsidRPr="008C04EC">
        <w:rPr>
          <w:rFonts w:ascii="Times New Roman" w:hAnsi="Times New Roman" w:cs="Times New Roman"/>
          <w:color w:val="000000" w:themeColor="text1"/>
          <w:sz w:val="24"/>
          <w:szCs w:val="24"/>
          <w:lang w:val="en-GB"/>
        </w:rPr>
        <w:t xml:space="preserve"> dynamic supply chain capabilities.</w:t>
      </w:r>
      <w:r w:rsidR="002A7823" w:rsidRPr="008C04EC">
        <w:rPr>
          <w:rFonts w:ascii="Times New Roman" w:hAnsi="Times New Roman" w:cs="Times New Roman"/>
          <w:color w:val="000000" w:themeColor="text1"/>
          <w:sz w:val="24"/>
          <w:szCs w:val="24"/>
          <w:lang w:val="en-GB"/>
        </w:rPr>
        <w:t xml:space="preserve"> </w:t>
      </w:r>
      <w:r w:rsidRPr="008C04EC">
        <w:rPr>
          <w:rFonts w:ascii="Times New Roman" w:hAnsi="Times New Roman" w:cs="Times New Roman"/>
          <w:color w:val="000000" w:themeColor="text1"/>
          <w:sz w:val="24"/>
          <w:szCs w:val="24"/>
          <w:lang w:val="en-GB"/>
        </w:rPr>
        <w:t>F</w:t>
      </w:r>
      <w:r w:rsidR="002A7823" w:rsidRPr="008C04EC">
        <w:rPr>
          <w:rFonts w:ascii="Times New Roman" w:hAnsi="Times New Roman" w:cs="Times New Roman"/>
          <w:color w:val="000000" w:themeColor="text1"/>
          <w:sz w:val="24"/>
          <w:szCs w:val="24"/>
          <w:lang w:val="en-GB"/>
        </w:rPr>
        <w:t xml:space="preserve">uture researchers could </w:t>
      </w:r>
      <w:r w:rsidR="00613F0B" w:rsidRPr="008C04EC">
        <w:rPr>
          <w:rFonts w:ascii="Times New Roman" w:hAnsi="Times New Roman" w:cs="Times New Roman"/>
          <w:color w:val="000000" w:themeColor="text1"/>
          <w:sz w:val="24"/>
          <w:szCs w:val="24"/>
          <w:lang w:val="en-GB"/>
        </w:rPr>
        <w:t xml:space="preserve">extend our study </w:t>
      </w:r>
      <w:r w:rsidRPr="008C04EC">
        <w:rPr>
          <w:rFonts w:ascii="Times New Roman" w:hAnsi="Times New Roman" w:cs="Times New Roman"/>
          <w:color w:val="000000" w:themeColor="text1"/>
          <w:sz w:val="24"/>
          <w:szCs w:val="24"/>
          <w:lang w:val="en-GB"/>
        </w:rPr>
        <w:t xml:space="preserve">by </w:t>
      </w:r>
      <w:r w:rsidR="00613F0B" w:rsidRPr="008C04EC">
        <w:rPr>
          <w:rFonts w:ascii="Times New Roman" w:hAnsi="Times New Roman" w:cs="Times New Roman"/>
          <w:color w:val="000000" w:themeColor="text1"/>
          <w:sz w:val="24"/>
          <w:szCs w:val="24"/>
          <w:lang w:val="en-GB"/>
        </w:rPr>
        <w:t>gather</w:t>
      </w:r>
      <w:r w:rsidRPr="008C04EC">
        <w:rPr>
          <w:rFonts w:ascii="Times New Roman" w:hAnsi="Times New Roman" w:cs="Times New Roman"/>
          <w:color w:val="000000" w:themeColor="text1"/>
          <w:sz w:val="24"/>
          <w:szCs w:val="24"/>
          <w:lang w:val="en-GB"/>
        </w:rPr>
        <w:t>ing</w:t>
      </w:r>
      <w:r w:rsidR="00613F0B" w:rsidRPr="008C04EC">
        <w:rPr>
          <w:rFonts w:ascii="Times New Roman" w:hAnsi="Times New Roman" w:cs="Times New Roman"/>
          <w:color w:val="000000" w:themeColor="text1"/>
          <w:sz w:val="24"/>
          <w:szCs w:val="24"/>
          <w:lang w:val="en-GB"/>
        </w:rPr>
        <w:t xml:space="preserve"> empirical data on the role of </w:t>
      </w:r>
      <w:r w:rsidR="003B0156">
        <w:rPr>
          <w:rFonts w:ascii="Times New Roman" w:hAnsi="Times New Roman" w:cs="Times New Roman"/>
          <w:color w:val="000000" w:themeColor="text1"/>
          <w:sz w:val="24"/>
          <w:szCs w:val="24"/>
          <w:lang w:val="en-GB"/>
        </w:rPr>
        <w:t>DSCCs</w:t>
      </w:r>
      <w:r w:rsidR="00613F0B" w:rsidRPr="008C04EC">
        <w:rPr>
          <w:rFonts w:ascii="Times New Roman" w:hAnsi="Times New Roman" w:cs="Times New Roman"/>
          <w:color w:val="000000" w:themeColor="text1"/>
          <w:sz w:val="24"/>
          <w:szCs w:val="24"/>
          <w:lang w:val="en-GB"/>
        </w:rPr>
        <w:t xml:space="preserve"> in shaping the external business environment. Topics of interest may include how DSCCs allow supply chain members to sense and respond to supply chain disruptions including </w:t>
      </w:r>
      <w:r w:rsidR="00613F0B" w:rsidRPr="008C04EC">
        <w:rPr>
          <w:rFonts w:ascii="Times New Roman" w:hAnsi="Times New Roman" w:cs="Times New Roman"/>
          <w:color w:val="000000" w:themeColor="text1"/>
          <w:sz w:val="24"/>
          <w:szCs w:val="24"/>
          <w:lang w:val="en-GB"/>
        </w:rPr>
        <w:lastRenderedPageBreak/>
        <w:t>natural disasters, political upheavals and environmental catastrophes. Future researches may also want to examine how DSCCs allow supply chain members to enter new markets and launch innovative products to influence consumer demand</w:t>
      </w:r>
      <w:r w:rsidR="005E0110" w:rsidRPr="008C04EC">
        <w:rPr>
          <w:rFonts w:ascii="Times New Roman" w:hAnsi="Times New Roman" w:cs="Times New Roman"/>
          <w:color w:val="000000" w:themeColor="text1"/>
          <w:sz w:val="24"/>
          <w:szCs w:val="24"/>
          <w:lang w:val="en-GB"/>
        </w:rPr>
        <w:t xml:space="preserve"> and alter external market conditions</w:t>
      </w:r>
      <w:r w:rsidR="00613F0B" w:rsidRPr="008C04EC">
        <w:rPr>
          <w:rFonts w:ascii="Times New Roman" w:hAnsi="Times New Roman" w:cs="Times New Roman"/>
          <w:color w:val="000000" w:themeColor="text1"/>
          <w:sz w:val="24"/>
          <w:szCs w:val="24"/>
          <w:lang w:val="en-GB"/>
        </w:rPr>
        <w:t>.</w:t>
      </w:r>
      <w:r w:rsidR="00300251">
        <w:rPr>
          <w:rFonts w:ascii="Times New Roman" w:hAnsi="Times New Roman" w:cs="Times New Roman"/>
          <w:color w:val="000000" w:themeColor="text1"/>
          <w:sz w:val="24"/>
          <w:szCs w:val="24"/>
          <w:lang w:val="en-GB"/>
        </w:rPr>
        <w:t xml:space="preserve"> </w:t>
      </w:r>
      <w:r w:rsidR="00782DC2">
        <w:rPr>
          <w:rFonts w:ascii="Times New Roman" w:hAnsi="Times New Roman" w:cs="Times New Roman"/>
          <w:sz w:val="24"/>
          <w:szCs w:val="24"/>
        </w:rPr>
        <w:t xml:space="preserve">Finally, this study has identified supply chain learning as one mediating variable in the relationship between entrepreneurial orientation and DSCCs. </w:t>
      </w:r>
      <w:r w:rsidR="002B0EB6">
        <w:rPr>
          <w:rFonts w:ascii="Times New Roman" w:hAnsi="Times New Roman" w:cs="Times New Roman"/>
          <w:sz w:val="24"/>
          <w:szCs w:val="24"/>
        </w:rPr>
        <w:t>We call on future researchers to</w:t>
      </w:r>
      <w:r w:rsidR="00782DC2">
        <w:rPr>
          <w:rFonts w:ascii="Times New Roman" w:hAnsi="Times New Roman" w:cs="Times New Roman"/>
          <w:sz w:val="24"/>
          <w:szCs w:val="24"/>
        </w:rPr>
        <w:t xml:space="preserve"> investigate the effects of other variables such as supply chain orientation </w:t>
      </w:r>
      <w:r w:rsidR="00782DC2">
        <w:rPr>
          <w:rFonts w:ascii="Times New Roman" w:hAnsi="Times New Roman" w:cs="Times New Roman"/>
          <w:sz w:val="24"/>
          <w:szCs w:val="24"/>
        </w:rPr>
        <w:fldChar w:fldCharType="begin"/>
      </w:r>
      <w:r w:rsidR="00782DC2">
        <w:rPr>
          <w:rFonts w:ascii="Times New Roman" w:hAnsi="Times New Roman" w:cs="Times New Roman"/>
          <w:sz w:val="24"/>
          <w:szCs w:val="24"/>
        </w:rPr>
        <w:instrText xml:space="preserve"> ADDIN ZOTERO_ITEM CSL_CITATION {"citationID":"4vgjKKj5","properties":{"formattedCitation":"(Defee and Fugate, 2010)","plainCitation":"(Defee and Fugate, 2010)","noteIndex":0},"citationItems":[{"id":185,"uris":["http://zotero.org/users/3209486/items/SF9GA4SV"],"uri":["http://zotero.org/users/3209486/items/SF9GA4SV"],"itemData":{"id":185,"type":"article-journal","title":"Changing perspective of capabilities in the dynamic supply chain era","container-title":"International Journal of Logistics Management","page":"180-206","volume":"21","issue":"2","abstract":"Purpose - A review of the literature reveals that previous research on capabilities has been limited to static capabilities and have largely been firm-centric, which neglect today's evolving supply chain environment. To address this shortcoming, this paper aims to explore dynamic supply chain capabilities (DSCCS) as a path to achieving sustainable competitive advantage. Design/methodology/approach - Logistics and supply chain literature is reviewed to provide a foundation for introducing a model of DSCCS driving competitive advantage. Propositions for future research are presented based upon the theoretical model. Findings - The need to continuously renew boundary spanning supply chain capabilities may be facilitated by the presence of a supply chain orientation and a learning orientation found across the multiple partners. Research limitations/implications - Supply chain organizations exist in a continually evolving environment with the best-performing firms often being characterized as agile and continually improving. The dynamic capabilities perspective provides a theoretical foundation that may be used to better understand and predict the success of supply chain firms. The work presented here is conceptual and empirical examination of the propositions should occur before any broad generalization can be drawn. Practical implications - Long-term organizational success may be facilitated by continuous renewal and creation of new static capabilities through the use of DSCCS. Originality/value - The paper demonstrates that dynamic capabilities may be extended beyond the traditional single-firm view to exist across the relationships developed by multiple organizations in a supply chain. [PUBLICATION ABSTRACT]","ISSN":"09574093","author":[{"family":"Defee","given":"C. Clifford"},{"family":"Fugate","given":"Brian S."}],"issued":{"date-parts":[["2010"]]}}}],"schema":"https://github.com/citation-style-language/schema/raw/master/csl-citation.json"} </w:instrText>
      </w:r>
      <w:r w:rsidR="00782DC2">
        <w:rPr>
          <w:rFonts w:ascii="Times New Roman" w:hAnsi="Times New Roman" w:cs="Times New Roman"/>
          <w:sz w:val="24"/>
          <w:szCs w:val="24"/>
        </w:rPr>
        <w:fldChar w:fldCharType="separate"/>
      </w:r>
      <w:r w:rsidR="00782DC2" w:rsidRPr="00782DC2">
        <w:rPr>
          <w:rFonts w:ascii="Times New Roman" w:hAnsi="Times New Roman" w:cs="Times New Roman"/>
          <w:sz w:val="24"/>
        </w:rPr>
        <w:t>(Defee and Fugate, 2010)</w:t>
      </w:r>
      <w:r w:rsidR="00782DC2">
        <w:rPr>
          <w:rFonts w:ascii="Times New Roman" w:hAnsi="Times New Roman" w:cs="Times New Roman"/>
          <w:sz w:val="24"/>
          <w:szCs w:val="24"/>
        </w:rPr>
        <w:fldChar w:fldCharType="end"/>
      </w:r>
      <w:r w:rsidR="00782DC2">
        <w:rPr>
          <w:rFonts w:ascii="Times New Roman" w:hAnsi="Times New Roman" w:cs="Times New Roman"/>
          <w:sz w:val="24"/>
          <w:szCs w:val="24"/>
        </w:rPr>
        <w:t xml:space="preserve">, innovation orientation </w:t>
      </w:r>
      <w:r w:rsidR="00782DC2">
        <w:rPr>
          <w:rFonts w:ascii="Times New Roman" w:hAnsi="Times New Roman" w:cs="Times New Roman"/>
          <w:sz w:val="24"/>
          <w:szCs w:val="24"/>
        </w:rPr>
        <w:fldChar w:fldCharType="begin"/>
      </w:r>
      <w:r w:rsidR="00782DC2">
        <w:rPr>
          <w:rFonts w:ascii="Times New Roman" w:hAnsi="Times New Roman" w:cs="Times New Roman"/>
          <w:sz w:val="24"/>
          <w:szCs w:val="24"/>
        </w:rPr>
        <w:instrText xml:space="preserve"> ADDIN ZOTERO_ITEM CSL_CITATION {"citationID":"cwN1630w","properties":{"formattedCitation":"(Stock and Zacharias, 2011)","plainCitation":"(Stock and Zacharias, 2011)","noteIndex":0},"citationItems":[{"id":4427,"uris":["http://zotero.org/users/3209486/items/WYT8W8ID"],"uri":["http://zotero.org/users/3209486/items/WYT8W8ID"],"itemData":{"id":4427,"type":"article-journal","title":"Patterns and performance outcomes of innovation orientation","container-title":"Journal of the Academy of Marketing Science","page":"870-888","volume":"39","issue":"6","abstract":"Extant research has identified a broad set of antecedents of innovativeness, with the assumption that maximizing as many of them as possible leads to sustained innovativeness. However, companies usually face resource constraints and therefore must strive to identify and combine the most important drivers of superior innovativeness effectively. This research addresses this practical challenge by identifying typical patterns of innovation orientation and their associated performance outcomes. Drawing on configuration and boundary theory, the authors develop a framework and hypotheses, then use data from marketing managers, R&amp;D managers, and customers to identify four patterns: integrated innovators, internally driven preservers, proactive customer-oriented innovators, and top-down innovators. The empirical results reveal performance differences across these patterns. An integrated approach leads to the highest innovativeness scores, but proactive customer-oriented innovators and top-down innovators enjoy the greatest financial success.","DOI":"10.1007/s11747-010-0225-2","ISSN":"1552-7824","journalAbbreviation":"Journal of the Academy of Marketing Science","author":[{"family":"Stock","given":"Ruth Maria"},{"family":"Zacharias","given":"Nicolas Andy"}],"issued":{"date-parts":[["2011",12,1]]}}}],"schema":"https://github.com/citation-style-language/schema/raw/master/csl-citation.json"} </w:instrText>
      </w:r>
      <w:r w:rsidR="00782DC2">
        <w:rPr>
          <w:rFonts w:ascii="Times New Roman" w:hAnsi="Times New Roman" w:cs="Times New Roman"/>
          <w:sz w:val="24"/>
          <w:szCs w:val="24"/>
        </w:rPr>
        <w:fldChar w:fldCharType="separate"/>
      </w:r>
      <w:r w:rsidR="00782DC2" w:rsidRPr="00782DC2">
        <w:rPr>
          <w:rFonts w:ascii="Times New Roman" w:hAnsi="Times New Roman" w:cs="Times New Roman"/>
          <w:sz w:val="24"/>
        </w:rPr>
        <w:t>(Stock and Zacharias, 2011)</w:t>
      </w:r>
      <w:r w:rsidR="00782DC2">
        <w:rPr>
          <w:rFonts w:ascii="Times New Roman" w:hAnsi="Times New Roman" w:cs="Times New Roman"/>
          <w:sz w:val="24"/>
          <w:szCs w:val="24"/>
        </w:rPr>
        <w:fldChar w:fldCharType="end"/>
      </w:r>
      <w:r w:rsidR="00782DC2">
        <w:rPr>
          <w:rFonts w:ascii="Times New Roman" w:hAnsi="Times New Roman" w:cs="Times New Roman"/>
          <w:sz w:val="24"/>
          <w:szCs w:val="24"/>
        </w:rPr>
        <w:t xml:space="preserve"> and technological innovation </w:t>
      </w:r>
      <w:r w:rsidR="00782DC2">
        <w:rPr>
          <w:rFonts w:ascii="Times New Roman" w:hAnsi="Times New Roman" w:cs="Times New Roman"/>
          <w:sz w:val="24"/>
          <w:szCs w:val="24"/>
        </w:rPr>
        <w:fldChar w:fldCharType="begin"/>
      </w:r>
      <w:r w:rsidR="00782DC2">
        <w:rPr>
          <w:rFonts w:ascii="Times New Roman" w:hAnsi="Times New Roman" w:cs="Times New Roman"/>
          <w:sz w:val="24"/>
          <w:szCs w:val="24"/>
        </w:rPr>
        <w:instrText xml:space="preserve"> ADDIN ZOTERO_ITEM CSL_CITATION {"citationID":"YkJjROtG","properties":{"formattedCitation":"(Ju et al., 2016)","plainCitation":"(Ju et al., 2016)","noteIndex":0},"citationItems":[{"id":4425,"uris":["http://zotero.org/users/3209486/items/23D9H5AU"],"uri":["http://zotero.org/users/3209486/items/23D9H5AU"],"itemData":{"id":4425,"type":"article-journal","title":"Causal Relationship between Supply Chain Dynamic Capabilities, Technological Innovation, and Operational Performance","container-title":"Management and Production Engineering Review","page":"6-15","volume":"7","issue":"4","DOI":"10.1515/mper-2016-0031","journalAbbreviation":"Management and Production Engineering Review","language":"English","author":[{"family":"Ju","given":"Ki-Jung"},{"family":"Park","given":"Byeonghwa"},{"family":"Kim","given":"Taikyoo"}],"issued":{"date-parts":[["2016"]]}}}],"schema":"https://github.com/citation-style-language/schema/raw/master/csl-citation.json"} </w:instrText>
      </w:r>
      <w:r w:rsidR="00782DC2">
        <w:rPr>
          <w:rFonts w:ascii="Times New Roman" w:hAnsi="Times New Roman" w:cs="Times New Roman"/>
          <w:sz w:val="24"/>
          <w:szCs w:val="24"/>
        </w:rPr>
        <w:fldChar w:fldCharType="separate"/>
      </w:r>
      <w:r w:rsidR="00782DC2" w:rsidRPr="00782DC2">
        <w:rPr>
          <w:rFonts w:ascii="Times New Roman" w:hAnsi="Times New Roman" w:cs="Times New Roman"/>
          <w:sz w:val="24"/>
        </w:rPr>
        <w:t>(Ju et al., 2016)</w:t>
      </w:r>
      <w:r w:rsidR="00782DC2">
        <w:rPr>
          <w:rFonts w:ascii="Times New Roman" w:hAnsi="Times New Roman" w:cs="Times New Roman"/>
          <w:sz w:val="24"/>
          <w:szCs w:val="24"/>
        </w:rPr>
        <w:fldChar w:fldCharType="end"/>
      </w:r>
      <w:r w:rsidR="002B0EB6">
        <w:rPr>
          <w:rFonts w:ascii="Times New Roman" w:hAnsi="Times New Roman" w:cs="Times New Roman"/>
          <w:sz w:val="24"/>
          <w:szCs w:val="24"/>
        </w:rPr>
        <w:t xml:space="preserve"> on the emergence of DSCCs.</w:t>
      </w:r>
    </w:p>
    <w:p w14:paraId="0B370E8D" w14:textId="4299CBC6" w:rsidR="0038311F" w:rsidRPr="008C04EC" w:rsidRDefault="0038311F" w:rsidP="006B0D13">
      <w:pPr>
        <w:spacing w:after="0" w:line="480" w:lineRule="auto"/>
        <w:ind w:firstLine="720"/>
        <w:jc w:val="both"/>
        <w:rPr>
          <w:rFonts w:ascii="Times New Roman" w:hAnsi="Times New Roman" w:cs="Times New Roman"/>
          <w:color w:val="000000" w:themeColor="text1"/>
          <w:sz w:val="24"/>
          <w:szCs w:val="24"/>
          <w:lang w:val="en-GB"/>
        </w:rPr>
      </w:pPr>
    </w:p>
    <w:p w14:paraId="212B3C14" w14:textId="358A23EE" w:rsidR="0038311F" w:rsidRPr="008C04EC" w:rsidRDefault="0038311F" w:rsidP="006B0D13">
      <w:pPr>
        <w:spacing w:after="0" w:line="480" w:lineRule="auto"/>
        <w:ind w:firstLine="720"/>
        <w:jc w:val="both"/>
        <w:rPr>
          <w:rFonts w:ascii="Times New Roman" w:hAnsi="Times New Roman" w:cs="Times New Roman"/>
          <w:color w:val="000000" w:themeColor="text1"/>
          <w:sz w:val="24"/>
          <w:szCs w:val="24"/>
          <w:lang w:val="en-GB"/>
        </w:rPr>
      </w:pPr>
    </w:p>
    <w:p w14:paraId="0F911FBB" w14:textId="178C3DEC" w:rsidR="0038311F" w:rsidRPr="008C04EC" w:rsidRDefault="0038311F" w:rsidP="006B0D13">
      <w:pPr>
        <w:spacing w:after="0" w:line="480" w:lineRule="auto"/>
        <w:ind w:firstLine="720"/>
        <w:jc w:val="both"/>
        <w:rPr>
          <w:rFonts w:ascii="Times New Roman" w:hAnsi="Times New Roman" w:cs="Times New Roman"/>
          <w:color w:val="000000" w:themeColor="text1"/>
          <w:sz w:val="24"/>
          <w:szCs w:val="24"/>
          <w:lang w:val="en-GB"/>
        </w:rPr>
      </w:pPr>
    </w:p>
    <w:p w14:paraId="7A304A04" w14:textId="21038950" w:rsidR="0038311F" w:rsidRPr="008C04EC" w:rsidRDefault="0038311F" w:rsidP="006B0D13">
      <w:pPr>
        <w:spacing w:after="0" w:line="480" w:lineRule="auto"/>
        <w:ind w:firstLine="720"/>
        <w:jc w:val="both"/>
        <w:rPr>
          <w:rFonts w:ascii="Times New Roman" w:hAnsi="Times New Roman" w:cs="Times New Roman"/>
          <w:color w:val="000000" w:themeColor="text1"/>
          <w:sz w:val="24"/>
          <w:szCs w:val="24"/>
          <w:lang w:val="en-GB"/>
        </w:rPr>
      </w:pPr>
    </w:p>
    <w:p w14:paraId="1FB77B89" w14:textId="292D6785" w:rsidR="0038311F" w:rsidRPr="008C04EC" w:rsidRDefault="0038311F" w:rsidP="006B0D13">
      <w:pPr>
        <w:spacing w:after="0" w:line="480" w:lineRule="auto"/>
        <w:ind w:firstLine="720"/>
        <w:jc w:val="both"/>
        <w:rPr>
          <w:rFonts w:ascii="Times New Roman" w:hAnsi="Times New Roman" w:cs="Times New Roman"/>
          <w:color w:val="000000" w:themeColor="text1"/>
          <w:sz w:val="24"/>
          <w:szCs w:val="24"/>
          <w:lang w:val="en-GB"/>
        </w:rPr>
      </w:pPr>
    </w:p>
    <w:p w14:paraId="0A2BBA07" w14:textId="77777777" w:rsidR="006B6A5F" w:rsidRDefault="006B6A5F">
      <w:pPr>
        <w:spacing w:after="160" w:line="259" w:lineRule="auto"/>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br w:type="page"/>
      </w:r>
    </w:p>
    <w:p w14:paraId="54DBC075" w14:textId="43395982" w:rsidR="00D30452" w:rsidRPr="008C04EC" w:rsidRDefault="0081602D" w:rsidP="0081602D">
      <w:pPr>
        <w:spacing w:after="0" w:line="480" w:lineRule="auto"/>
        <w:jc w:val="both"/>
        <w:rPr>
          <w:rFonts w:eastAsiaTheme="minorHAnsi" w:cstheme="minorHAnsi"/>
          <w:color w:val="000000" w:themeColor="text1"/>
          <w:lang w:val="en-GB"/>
        </w:rPr>
      </w:pPr>
      <w:r w:rsidRPr="008C04EC">
        <w:rPr>
          <w:rFonts w:ascii="Times New Roman" w:hAnsi="Times New Roman" w:cs="Times New Roman"/>
          <w:b/>
          <w:color w:val="000000" w:themeColor="text1"/>
          <w:sz w:val="24"/>
          <w:szCs w:val="24"/>
          <w:lang w:val="en-GB"/>
        </w:rPr>
        <w:lastRenderedPageBreak/>
        <w:t>References</w:t>
      </w:r>
    </w:p>
    <w:p w14:paraId="7E53D823"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eastAsiaTheme="minorHAnsi" w:hAnsi="Times New Roman" w:cs="Times New Roman"/>
          <w:color w:val="000000" w:themeColor="text1"/>
          <w:sz w:val="24"/>
          <w:szCs w:val="24"/>
          <w:lang w:val="en-GB"/>
        </w:rPr>
        <w:fldChar w:fldCharType="begin"/>
      </w:r>
      <w:r w:rsidRPr="00563E26">
        <w:rPr>
          <w:rFonts w:ascii="Times New Roman" w:eastAsiaTheme="minorHAnsi" w:hAnsi="Times New Roman" w:cs="Times New Roman"/>
          <w:color w:val="000000" w:themeColor="text1"/>
          <w:sz w:val="24"/>
          <w:szCs w:val="24"/>
          <w:lang w:val="en-GB"/>
        </w:rPr>
        <w:instrText xml:space="preserve"> ADDIN EN.REFLIST </w:instrText>
      </w:r>
      <w:r w:rsidRPr="00563E26">
        <w:rPr>
          <w:rFonts w:ascii="Times New Roman" w:eastAsiaTheme="minorHAnsi" w:hAnsi="Times New Roman" w:cs="Times New Roman"/>
          <w:color w:val="000000" w:themeColor="text1"/>
          <w:sz w:val="24"/>
          <w:szCs w:val="24"/>
          <w:lang w:val="en-GB"/>
        </w:rPr>
        <w:fldChar w:fldCharType="separate"/>
      </w:r>
      <w:bookmarkStart w:id="7" w:name="_ENREF_1"/>
      <w:r w:rsidRPr="00563E26">
        <w:rPr>
          <w:rFonts w:ascii="Times New Roman" w:hAnsi="Times New Roman" w:cs="Times New Roman"/>
          <w:color w:val="000000" w:themeColor="text1"/>
          <w:sz w:val="24"/>
          <w:szCs w:val="24"/>
        </w:rPr>
        <w:t xml:space="preserve">Ahmad, N., Usman Awan, M., Raouf, A., &amp; Sparks, L. (2009). Development of a service quality scale for pharmaceutical supply chains. </w:t>
      </w:r>
      <w:r w:rsidRPr="00563E26">
        <w:rPr>
          <w:rFonts w:ascii="Times New Roman" w:hAnsi="Times New Roman" w:cs="Times New Roman"/>
          <w:i/>
          <w:color w:val="000000" w:themeColor="text1"/>
          <w:sz w:val="24"/>
          <w:szCs w:val="24"/>
        </w:rPr>
        <w:t xml:space="preserve">International </w:t>
      </w:r>
      <w:r>
        <w:rPr>
          <w:rFonts w:ascii="Times New Roman" w:hAnsi="Times New Roman" w:cs="Times New Roman"/>
          <w:i/>
          <w:color w:val="000000" w:themeColor="text1"/>
          <w:sz w:val="24"/>
          <w:szCs w:val="24"/>
        </w:rPr>
        <w:t>J</w:t>
      </w:r>
      <w:r w:rsidRPr="00563E26">
        <w:rPr>
          <w:rFonts w:ascii="Times New Roman" w:hAnsi="Times New Roman" w:cs="Times New Roman"/>
          <w:i/>
          <w:color w:val="000000" w:themeColor="text1"/>
          <w:sz w:val="24"/>
          <w:szCs w:val="24"/>
        </w:rPr>
        <w:t xml:space="preserve">ournal of </w:t>
      </w:r>
      <w:r>
        <w:rPr>
          <w:rFonts w:ascii="Times New Roman" w:hAnsi="Times New Roman" w:cs="Times New Roman"/>
          <w:i/>
          <w:color w:val="000000" w:themeColor="text1"/>
          <w:sz w:val="24"/>
          <w:szCs w:val="24"/>
        </w:rPr>
        <w:t>P</w:t>
      </w:r>
      <w:r w:rsidRPr="00563E26">
        <w:rPr>
          <w:rFonts w:ascii="Times New Roman" w:hAnsi="Times New Roman" w:cs="Times New Roman"/>
          <w:i/>
          <w:color w:val="000000" w:themeColor="text1"/>
          <w:sz w:val="24"/>
          <w:szCs w:val="24"/>
        </w:rPr>
        <w:t xml:space="preserve">harmaceutical and </w:t>
      </w:r>
      <w:r>
        <w:rPr>
          <w:rFonts w:ascii="Times New Roman" w:hAnsi="Times New Roman" w:cs="Times New Roman"/>
          <w:i/>
          <w:color w:val="000000" w:themeColor="text1"/>
          <w:sz w:val="24"/>
          <w:szCs w:val="24"/>
        </w:rPr>
        <w:t>H</w:t>
      </w:r>
      <w:r w:rsidRPr="00563E26">
        <w:rPr>
          <w:rFonts w:ascii="Times New Roman" w:hAnsi="Times New Roman" w:cs="Times New Roman"/>
          <w:i/>
          <w:color w:val="000000" w:themeColor="text1"/>
          <w:sz w:val="24"/>
          <w:szCs w:val="24"/>
        </w:rPr>
        <w:t xml:space="preserve">ealthcare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arketing, 3</w:t>
      </w:r>
      <w:r w:rsidRPr="00563E26">
        <w:rPr>
          <w:rFonts w:ascii="Times New Roman" w:hAnsi="Times New Roman" w:cs="Times New Roman"/>
          <w:color w:val="000000" w:themeColor="text1"/>
          <w:sz w:val="24"/>
          <w:szCs w:val="24"/>
        </w:rPr>
        <w:t xml:space="preserve">(1), 26-45. </w:t>
      </w:r>
      <w:bookmarkEnd w:id="7"/>
    </w:p>
    <w:p w14:paraId="7197B5A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 w:name="_ENREF_2"/>
      <w:r w:rsidRPr="00563E26">
        <w:rPr>
          <w:rFonts w:ascii="Times New Roman" w:hAnsi="Times New Roman" w:cs="Times New Roman"/>
          <w:color w:val="000000" w:themeColor="text1"/>
          <w:sz w:val="24"/>
          <w:szCs w:val="24"/>
        </w:rPr>
        <w:t xml:space="preserve">Al-Shboul, M. d. A. (2017). Infrastructure framework and manufacturing supply chain agility: the role of delivery dependability and time to market. </w:t>
      </w:r>
      <w:r w:rsidRPr="00563E26">
        <w:rPr>
          <w:rFonts w:ascii="Times New Roman" w:hAnsi="Times New Roman" w:cs="Times New Roman"/>
          <w:i/>
          <w:color w:val="000000" w:themeColor="text1"/>
          <w:sz w:val="24"/>
          <w:szCs w:val="24"/>
        </w:rPr>
        <w:t>Supply Chain Management: An International Journal, 22</w:t>
      </w:r>
      <w:r w:rsidRPr="00563E26">
        <w:rPr>
          <w:rFonts w:ascii="Times New Roman" w:hAnsi="Times New Roman" w:cs="Times New Roman"/>
          <w:color w:val="000000" w:themeColor="text1"/>
          <w:sz w:val="24"/>
          <w:szCs w:val="24"/>
        </w:rPr>
        <w:t xml:space="preserve">(2), 172-185. </w:t>
      </w:r>
      <w:bookmarkEnd w:id="8"/>
    </w:p>
    <w:p w14:paraId="6420496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 w:name="_ENREF_3"/>
      <w:r w:rsidRPr="00563E26">
        <w:rPr>
          <w:rFonts w:ascii="Times New Roman" w:hAnsi="Times New Roman" w:cs="Times New Roman"/>
          <w:color w:val="000000" w:themeColor="text1"/>
          <w:sz w:val="24"/>
          <w:szCs w:val="24"/>
        </w:rPr>
        <w:t xml:space="preserve">Alegre, J., &amp; Chiva, R. (2013). Linking entrepreneurial orientation and firm performance: the role of organizational learning capability and innovation performance. </w:t>
      </w:r>
      <w:r w:rsidRPr="00563E26">
        <w:rPr>
          <w:rFonts w:ascii="Times New Roman" w:hAnsi="Times New Roman" w:cs="Times New Roman"/>
          <w:i/>
          <w:color w:val="000000" w:themeColor="text1"/>
          <w:sz w:val="24"/>
          <w:szCs w:val="24"/>
        </w:rPr>
        <w:t>Journal of Small Business Management, 51</w:t>
      </w:r>
      <w:r w:rsidRPr="00563E26">
        <w:rPr>
          <w:rFonts w:ascii="Times New Roman" w:hAnsi="Times New Roman" w:cs="Times New Roman"/>
          <w:color w:val="000000" w:themeColor="text1"/>
          <w:sz w:val="24"/>
          <w:szCs w:val="24"/>
        </w:rPr>
        <w:t xml:space="preserve">(4), 491-507. </w:t>
      </w:r>
      <w:bookmarkEnd w:id="9"/>
    </w:p>
    <w:p w14:paraId="45AC620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 w:name="_ENREF_4"/>
      <w:r w:rsidRPr="00563E26">
        <w:rPr>
          <w:rFonts w:ascii="Times New Roman" w:hAnsi="Times New Roman" w:cs="Times New Roman"/>
          <w:color w:val="000000" w:themeColor="text1"/>
          <w:sz w:val="24"/>
          <w:szCs w:val="24"/>
        </w:rPr>
        <w:t xml:space="preserve">Ali, S., Peters, L. D., &amp; Lettice, F. (2012). An organizational learning perspective on conceptualizing dynamic and substantive capabilities. </w:t>
      </w:r>
      <w:r w:rsidRPr="00563E26">
        <w:rPr>
          <w:rFonts w:ascii="Times New Roman" w:hAnsi="Times New Roman" w:cs="Times New Roman"/>
          <w:i/>
          <w:color w:val="000000" w:themeColor="text1"/>
          <w:sz w:val="24"/>
          <w:szCs w:val="24"/>
        </w:rPr>
        <w:t>Journal of Strategic Marketing, 20</w:t>
      </w:r>
      <w:r w:rsidRPr="00563E26">
        <w:rPr>
          <w:rFonts w:ascii="Times New Roman" w:hAnsi="Times New Roman" w:cs="Times New Roman"/>
          <w:color w:val="000000" w:themeColor="text1"/>
          <w:sz w:val="24"/>
          <w:szCs w:val="24"/>
        </w:rPr>
        <w:t xml:space="preserve">(7), 589-607. </w:t>
      </w:r>
      <w:bookmarkEnd w:id="10"/>
    </w:p>
    <w:p w14:paraId="013AC66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1" w:name="_ENREF_5"/>
      <w:r w:rsidRPr="00563E26">
        <w:rPr>
          <w:rFonts w:ascii="Times New Roman" w:hAnsi="Times New Roman" w:cs="Times New Roman"/>
          <w:color w:val="000000" w:themeColor="text1"/>
          <w:sz w:val="24"/>
          <w:szCs w:val="24"/>
        </w:rPr>
        <w:t xml:space="preserve">Anderson, B. S., Covin, J. G., &amp; Slevin, D. P. (2009). Understanding the relationship between entrepreneurial orientation and strategic learning capability: an empirical investigation. </w:t>
      </w:r>
      <w:r w:rsidRPr="00563E26">
        <w:rPr>
          <w:rFonts w:ascii="Times New Roman" w:hAnsi="Times New Roman" w:cs="Times New Roman"/>
          <w:i/>
          <w:color w:val="000000" w:themeColor="text1"/>
          <w:sz w:val="24"/>
          <w:szCs w:val="24"/>
        </w:rPr>
        <w:t>Strategic Entrepreneurship Journal, 3</w:t>
      </w:r>
      <w:r w:rsidRPr="00563E26">
        <w:rPr>
          <w:rFonts w:ascii="Times New Roman" w:hAnsi="Times New Roman" w:cs="Times New Roman"/>
          <w:color w:val="000000" w:themeColor="text1"/>
          <w:sz w:val="24"/>
          <w:szCs w:val="24"/>
        </w:rPr>
        <w:t xml:space="preserve">(3), 218-240. </w:t>
      </w:r>
      <w:bookmarkEnd w:id="11"/>
    </w:p>
    <w:p w14:paraId="46D9EE9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2" w:name="_ENREF_6"/>
      <w:r w:rsidRPr="00563E26">
        <w:rPr>
          <w:rFonts w:ascii="Times New Roman" w:hAnsi="Times New Roman" w:cs="Times New Roman"/>
          <w:color w:val="000000" w:themeColor="text1"/>
          <w:sz w:val="24"/>
          <w:szCs w:val="24"/>
        </w:rPr>
        <w:t xml:space="preserve">Argote, L. (2012). </w:t>
      </w:r>
      <w:r w:rsidRPr="00563E26">
        <w:rPr>
          <w:rFonts w:ascii="Times New Roman" w:hAnsi="Times New Roman" w:cs="Times New Roman"/>
          <w:i/>
          <w:color w:val="000000" w:themeColor="text1"/>
          <w:sz w:val="24"/>
          <w:szCs w:val="24"/>
        </w:rPr>
        <w:t>Organizational Learning: Creating, Retaining and Transferring Knowledge</w:t>
      </w:r>
      <w:r w:rsidRPr="00563E26">
        <w:rPr>
          <w:rFonts w:ascii="Times New Roman" w:hAnsi="Times New Roman" w:cs="Times New Roman"/>
          <w:color w:val="000000" w:themeColor="text1"/>
          <w:sz w:val="24"/>
          <w:szCs w:val="24"/>
        </w:rPr>
        <w:t>: Springer Science &amp; Business Media.</w:t>
      </w:r>
      <w:bookmarkEnd w:id="12"/>
    </w:p>
    <w:p w14:paraId="31A26E1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3" w:name="_ENREF_7"/>
      <w:r w:rsidRPr="00563E26">
        <w:rPr>
          <w:rFonts w:ascii="Times New Roman" w:hAnsi="Times New Roman" w:cs="Times New Roman"/>
          <w:color w:val="000000" w:themeColor="text1"/>
          <w:sz w:val="24"/>
          <w:szCs w:val="24"/>
        </w:rPr>
        <w:t xml:space="preserve">Armstrong, J. S., &amp; Overton, T. S. (1977). Estimating nonresponse bias in mail surveys.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 xml:space="preserve">arketing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esearch</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14(3), </w:t>
      </w:r>
      <w:r w:rsidRPr="00563E26">
        <w:rPr>
          <w:rFonts w:ascii="Times New Roman" w:hAnsi="Times New Roman" w:cs="Times New Roman"/>
          <w:color w:val="000000" w:themeColor="text1"/>
          <w:sz w:val="24"/>
          <w:szCs w:val="24"/>
        </w:rPr>
        <w:t xml:space="preserve">396-402. </w:t>
      </w:r>
      <w:bookmarkEnd w:id="13"/>
    </w:p>
    <w:p w14:paraId="3F667B37"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4" w:name="_ENREF_8"/>
      <w:r w:rsidRPr="00563E26">
        <w:rPr>
          <w:rFonts w:ascii="Times New Roman" w:hAnsi="Times New Roman" w:cs="Times New Roman"/>
          <w:color w:val="000000" w:themeColor="text1"/>
          <w:sz w:val="24"/>
          <w:szCs w:val="24"/>
        </w:rPr>
        <w:t xml:space="preserve">Aslam, H., Blome, C., Roscoe, S., &amp; Azhar, T. M. (2018). Dynamic supply chain capabilities: How market sensing, supply chain agility and adaptability affect supply chain ambidexterity. </w:t>
      </w:r>
      <w:r w:rsidRPr="00563E26">
        <w:rPr>
          <w:rFonts w:ascii="Times New Roman" w:hAnsi="Times New Roman" w:cs="Times New Roman"/>
          <w:i/>
          <w:color w:val="000000" w:themeColor="text1"/>
          <w:sz w:val="24"/>
          <w:szCs w:val="24"/>
        </w:rPr>
        <w:t>International Journal of Operations &amp; Production Management, 38</w:t>
      </w:r>
      <w:r w:rsidRPr="00563E26">
        <w:rPr>
          <w:rFonts w:ascii="Times New Roman" w:hAnsi="Times New Roman" w:cs="Times New Roman"/>
          <w:color w:val="000000" w:themeColor="text1"/>
          <w:sz w:val="24"/>
          <w:szCs w:val="24"/>
        </w:rPr>
        <w:t xml:space="preserve">(12), 2266-2285. </w:t>
      </w:r>
      <w:bookmarkEnd w:id="14"/>
    </w:p>
    <w:p w14:paraId="5991C76B"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Baker, W.E.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Sinkula, J.M. (1999),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The synergistic effect of market orientation and learning orientation on organizational performance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the Academy of Marketing Science</w:t>
      </w:r>
      <w:r w:rsidRPr="00563E26">
        <w:rPr>
          <w:rFonts w:ascii="Times New Roman" w:hAnsi="Times New Roman" w:cs="Times New Roman"/>
          <w:color w:val="000000" w:themeColor="text1"/>
          <w:sz w:val="24"/>
          <w:szCs w:val="24"/>
        </w:rPr>
        <w:t>, 27</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411–427.</w:t>
      </w:r>
    </w:p>
    <w:p w14:paraId="489C36E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5" w:name="_ENREF_9"/>
      <w:r w:rsidRPr="00563E26">
        <w:rPr>
          <w:rFonts w:ascii="Times New Roman" w:hAnsi="Times New Roman" w:cs="Times New Roman"/>
          <w:color w:val="000000" w:themeColor="text1"/>
          <w:sz w:val="24"/>
          <w:szCs w:val="24"/>
        </w:rPr>
        <w:t xml:space="preserve">Barney, J. (1991). Firm resources and sustained competitive advantage.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anagement, 17</w:t>
      </w:r>
      <w:r w:rsidRPr="00563E26">
        <w:rPr>
          <w:rFonts w:ascii="Times New Roman" w:hAnsi="Times New Roman" w:cs="Times New Roman"/>
          <w:color w:val="000000" w:themeColor="text1"/>
          <w:sz w:val="24"/>
          <w:szCs w:val="24"/>
        </w:rPr>
        <w:t xml:space="preserve">(1), 99-120. </w:t>
      </w:r>
      <w:bookmarkEnd w:id="15"/>
    </w:p>
    <w:p w14:paraId="6BF1E12F" w14:textId="77777777" w:rsidR="00247719"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6" w:name="_ENREF_10"/>
      <w:r w:rsidRPr="00563E26">
        <w:rPr>
          <w:rFonts w:ascii="Times New Roman" w:hAnsi="Times New Roman" w:cs="Times New Roman"/>
          <w:color w:val="000000" w:themeColor="text1"/>
          <w:sz w:val="24"/>
          <w:szCs w:val="24"/>
        </w:rPr>
        <w:t xml:space="preserve">Bessant, J., Kaplinsky, R., &amp; Lamming, R. (2003). Putting supply chain learning into practice. </w:t>
      </w:r>
      <w:r w:rsidRPr="00563E26">
        <w:rPr>
          <w:rFonts w:ascii="Times New Roman" w:hAnsi="Times New Roman" w:cs="Times New Roman"/>
          <w:i/>
          <w:color w:val="000000" w:themeColor="text1"/>
          <w:sz w:val="24"/>
          <w:szCs w:val="24"/>
        </w:rPr>
        <w:t>International Journal of Operations &amp; Production Management, 23</w:t>
      </w:r>
      <w:r w:rsidRPr="00563E26">
        <w:rPr>
          <w:rFonts w:ascii="Times New Roman" w:hAnsi="Times New Roman" w:cs="Times New Roman"/>
          <w:color w:val="000000" w:themeColor="text1"/>
          <w:sz w:val="24"/>
          <w:szCs w:val="24"/>
        </w:rPr>
        <w:t xml:space="preserve">(2), 167-184. </w:t>
      </w:r>
      <w:bookmarkEnd w:id="16"/>
    </w:p>
    <w:p w14:paraId="0A8EB042" w14:textId="77777777" w:rsidR="00247719" w:rsidRDefault="00247719" w:rsidP="00247719">
      <w:pPr>
        <w:pStyle w:val="EndNoteBibliography"/>
        <w:spacing w:after="0"/>
        <w:ind w:left="720" w:hanging="720"/>
        <w:rPr>
          <w:rFonts w:ascii="Times New Roman" w:hAnsi="Times New Roman" w:cs="Times New Roman"/>
          <w:sz w:val="24"/>
        </w:rPr>
      </w:pPr>
      <w:r w:rsidRPr="00E439ED">
        <w:rPr>
          <w:rFonts w:ascii="Times New Roman" w:hAnsi="Times New Roman" w:cs="Times New Roman"/>
          <w:sz w:val="24"/>
        </w:rPr>
        <w:t>Beske, P., 2012. Dynamic capabilities and sustainable supply chain management. International Journal of Physical Distribution &amp; Logistics Management 42, 372–387.</w:t>
      </w:r>
    </w:p>
    <w:p w14:paraId="5899A3EE" w14:textId="34B86560"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E439ED">
        <w:rPr>
          <w:rFonts w:ascii="Times New Roman" w:hAnsi="Times New Roman" w:cs="Times New Roman"/>
          <w:sz w:val="24"/>
        </w:rPr>
        <w:t>Beske, P., Land, A., Seuring, S., 2014. Sustainable supply chain management practices and dynamic capabilities in the food industry: A critical analysis of the literature. International Journal of Production Economics 152, 131–143. https://doi.org/10.1016/j.ijpe.2013.12.026</w:t>
      </w:r>
    </w:p>
    <w:p w14:paraId="4AD2AF53"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Bharadwaj, N.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Dong, Y. (2013)</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Toward Further Understanding the Market</w:t>
      </w:r>
      <w:r w:rsidRPr="00563E26">
        <w:rPr>
          <w:rFonts w:ascii="Cambria Math" w:hAnsi="Cambria Math" w:cs="Cambria Math"/>
          <w:color w:val="000000" w:themeColor="text1"/>
          <w:sz w:val="24"/>
          <w:szCs w:val="24"/>
        </w:rPr>
        <w:t>‐</w:t>
      </w:r>
      <w:r w:rsidRPr="00563E26">
        <w:rPr>
          <w:rFonts w:ascii="Times New Roman" w:hAnsi="Times New Roman" w:cs="Times New Roman"/>
          <w:color w:val="000000" w:themeColor="text1"/>
          <w:sz w:val="24"/>
          <w:szCs w:val="24"/>
        </w:rPr>
        <w:t>sensing Capability–Value Creation Relationship</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Product Innovation Management</w:t>
      </w:r>
      <w:r w:rsidRPr="00563E26">
        <w:rPr>
          <w:rFonts w:ascii="Times New Roman" w:hAnsi="Times New Roman" w:cs="Times New Roman"/>
          <w:color w:val="000000" w:themeColor="text1"/>
          <w:sz w:val="24"/>
          <w:szCs w:val="24"/>
        </w:rPr>
        <w:t>, 31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799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813.</w:t>
      </w:r>
    </w:p>
    <w:p w14:paraId="0F9CD919"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Bidault, F., Despres, C.</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Butler, C. (1998)</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The drivers of cooperation between buyers and suppliers for product innovation</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Research Policy</w:t>
      </w:r>
      <w:r w:rsidRPr="00563E26">
        <w:rPr>
          <w:rFonts w:ascii="Times New Roman" w:hAnsi="Times New Roman" w:cs="Times New Roman"/>
          <w:color w:val="000000" w:themeColor="text1"/>
          <w:sz w:val="24"/>
          <w:szCs w:val="24"/>
        </w:rPr>
        <w:t>, 26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719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732.</w:t>
      </w:r>
    </w:p>
    <w:p w14:paraId="0F4154AC"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7" w:name="_ENREF_11"/>
      <w:r w:rsidRPr="00563E26">
        <w:rPr>
          <w:rFonts w:ascii="Times New Roman" w:hAnsi="Times New Roman" w:cs="Times New Roman"/>
          <w:color w:val="000000" w:themeColor="text1"/>
          <w:sz w:val="24"/>
          <w:szCs w:val="24"/>
        </w:rPr>
        <w:t xml:space="preserve">Bierly, P. E., Damanpour, F., &amp; Santoro, M. D. (2009). The application of external knowledge: organizational conditions for exploration and exploitation. </w:t>
      </w:r>
      <w:r w:rsidRPr="00563E26">
        <w:rPr>
          <w:rFonts w:ascii="Times New Roman" w:hAnsi="Times New Roman" w:cs="Times New Roman"/>
          <w:i/>
          <w:color w:val="000000" w:themeColor="text1"/>
          <w:sz w:val="24"/>
          <w:szCs w:val="24"/>
        </w:rPr>
        <w:t>Journal of Management Studies, 46</w:t>
      </w:r>
      <w:r w:rsidRPr="00563E26">
        <w:rPr>
          <w:rFonts w:ascii="Times New Roman" w:hAnsi="Times New Roman" w:cs="Times New Roman"/>
          <w:color w:val="000000" w:themeColor="text1"/>
          <w:sz w:val="24"/>
          <w:szCs w:val="24"/>
        </w:rPr>
        <w:t xml:space="preserve">(3), 481-509. </w:t>
      </w:r>
      <w:bookmarkEnd w:id="17"/>
    </w:p>
    <w:p w14:paraId="585A13FD" w14:textId="0EF42007" w:rsidR="00247719"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8" w:name="_ENREF_12"/>
      <w:r w:rsidRPr="00563E26">
        <w:rPr>
          <w:rFonts w:ascii="Times New Roman" w:hAnsi="Times New Roman" w:cs="Times New Roman"/>
          <w:color w:val="000000" w:themeColor="text1"/>
          <w:sz w:val="24"/>
          <w:szCs w:val="24"/>
        </w:rPr>
        <w:t xml:space="preserve">Blome, C., Schoenherr, T., &amp; Rexhausen, D. (2013). Antecedents and enablers of supply chain agility and its effect on performance: a dynamic capabilities perspective. </w:t>
      </w:r>
      <w:r w:rsidRPr="00563E26">
        <w:rPr>
          <w:rFonts w:ascii="Times New Roman" w:hAnsi="Times New Roman" w:cs="Times New Roman"/>
          <w:i/>
          <w:color w:val="000000" w:themeColor="text1"/>
          <w:sz w:val="24"/>
          <w:szCs w:val="24"/>
        </w:rPr>
        <w:t>International Journal of Production Research, 51</w:t>
      </w:r>
      <w:r w:rsidRPr="00563E26">
        <w:rPr>
          <w:rFonts w:ascii="Times New Roman" w:hAnsi="Times New Roman" w:cs="Times New Roman"/>
          <w:color w:val="000000" w:themeColor="text1"/>
          <w:sz w:val="24"/>
          <w:szCs w:val="24"/>
        </w:rPr>
        <w:t xml:space="preserve">(4), 1295-1318. </w:t>
      </w:r>
      <w:bookmarkEnd w:id="18"/>
    </w:p>
    <w:p w14:paraId="58F7458B" w14:textId="77777777" w:rsidR="0059460E" w:rsidRPr="00D30358"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lastRenderedPageBreak/>
        <w:t xml:space="preserve">Brandon-Jones, A. and Knoppen, D. (2018), “The role of strategic purchasing in dynamic capability development and deployment”, </w:t>
      </w:r>
      <w:r w:rsidRPr="00D30358">
        <w:rPr>
          <w:rFonts w:ascii="Times New Roman" w:hAnsi="Times New Roman" w:cs="Times New Roman"/>
          <w:i/>
          <w:iCs/>
          <w:sz w:val="24"/>
        </w:rPr>
        <w:t>International Journal of Operations &amp; Production Management</w:t>
      </w:r>
      <w:r w:rsidRPr="00D30358">
        <w:rPr>
          <w:rFonts w:ascii="Times New Roman" w:hAnsi="Times New Roman" w:cs="Times New Roman"/>
          <w:sz w:val="24"/>
        </w:rPr>
        <w:t>, Vol. 38 No. 2, pp. 446–473.</w:t>
      </w:r>
    </w:p>
    <w:p w14:paraId="12BDB205"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9" w:name="_ENREF_13"/>
      <w:r w:rsidRPr="00563E26">
        <w:rPr>
          <w:rFonts w:ascii="Times New Roman" w:hAnsi="Times New Roman" w:cs="Times New Roman"/>
          <w:color w:val="000000" w:themeColor="text1"/>
          <w:sz w:val="24"/>
          <w:szCs w:val="24"/>
        </w:rPr>
        <w:t xml:space="preserve">Braunscheidel, M. J., &amp; Suresh, N. C. (2009). The organizational antecedents of a firm’s supply chain agility for risk mitigation and response. </w:t>
      </w:r>
      <w:r w:rsidRPr="00563E26">
        <w:rPr>
          <w:rFonts w:ascii="Times New Roman" w:hAnsi="Times New Roman" w:cs="Times New Roman"/>
          <w:i/>
          <w:color w:val="000000" w:themeColor="text1"/>
          <w:sz w:val="24"/>
          <w:szCs w:val="24"/>
        </w:rPr>
        <w:t>Journal of Operations Management, 27</w:t>
      </w:r>
      <w:r w:rsidRPr="00563E26">
        <w:rPr>
          <w:rFonts w:ascii="Times New Roman" w:hAnsi="Times New Roman" w:cs="Times New Roman"/>
          <w:color w:val="000000" w:themeColor="text1"/>
          <w:sz w:val="24"/>
          <w:szCs w:val="24"/>
        </w:rPr>
        <w:t xml:space="preserve">(2), 119-140. </w:t>
      </w:r>
      <w:bookmarkEnd w:id="19"/>
    </w:p>
    <w:p w14:paraId="12632CE1"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Braziotis, C., Bourlakis, M., Rogers, H.</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Tannock, J. (2013)</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Supply chains and supply networks: distinctions and overlaps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Supply Chain Management: An International Journal</w:t>
      </w:r>
      <w:r w:rsidRPr="00563E26">
        <w:rPr>
          <w:rFonts w:ascii="Times New Roman" w:hAnsi="Times New Roman" w:cs="Times New Roman"/>
          <w:color w:val="000000" w:themeColor="text1"/>
          <w:sz w:val="24"/>
          <w:szCs w:val="24"/>
        </w:rPr>
        <w:t>, 18</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644-652</w:t>
      </w:r>
      <w:r w:rsidRPr="00563E26">
        <w:rPr>
          <w:rFonts w:ascii="Times New Roman" w:hAnsi="Times New Roman" w:cs="Times New Roman"/>
          <w:color w:val="000000" w:themeColor="text1"/>
          <w:sz w:val="24"/>
          <w:szCs w:val="24"/>
        </w:rPr>
        <w:t>.</w:t>
      </w:r>
    </w:p>
    <w:p w14:paraId="01BD7D0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0" w:name="_ENREF_14"/>
      <w:r w:rsidRPr="00563E26">
        <w:rPr>
          <w:rFonts w:ascii="Times New Roman" w:hAnsi="Times New Roman" w:cs="Times New Roman"/>
          <w:color w:val="000000" w:themeColor="text1"/>
          <w:sz w:val="24"/>
          <w:szCs w:val="24"/>
        </w:rPr>
        <w:t xml:space="preserve">Brusset, X. (2016). Does supply chain visibility enhance agility? </w:t>
      </w:r>
      <w:r w:rsidRPr="00563E26">
        <w:rPr>
          <w:rFonts w:ascii="Times New Roman" w:hAnsi="Times New Roman" w:cs="Times New Roman"/>
          <w:i/>
          <w:color w:val="000000" w:themeColor="text1"/>
          <w:sz w:val="24"/>
          <w:szCs w:val="24"/>
        </w:rPr>
        <w:t>International Journal of Production Economics, 171</w:t>
      </w:r>
      <w:r w:rsidRPr="00563E26">
        <w:rPr>
          <w:rFonts w:ascii="Times New Roman" w:hAnsi="Times New Roman" w:cs="Times New Roman"/>
          <w:color w:val="000000" w:themeColor="text1"/>
          <w:sz w:val="24"/>
          <w:szCs w:val="24"/>
        </w:rPr>
        <w:t xml:space="preserve">, 46-59. </w:t>
      </w:r>
      <w:bookmarkEnd w:id="20"/>
    </w:p>
    <w:p w14:paraId="5D71F504"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Calantone, R.J., Cavusgil, S.T.</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Zhao, Y. (2002)</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Learning orientation, firm innovation capability, and firm performance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Industrial Marketing Management</w:t>
      </w:r>
      <w:r w:rsidRPr="00563E26">
        <w:rPr>
          <w:rFonts w:ascii="Times New Roman" w:hAnsi="Times New Roman" w:cs="Times New Roman"/>
          <w:color w:val="000000" w:themeColor="text1"/>
          <w:sz w:val="24"/>
          <w:szCs w:val="24"/>
        </w:rPr>
        <w:t>, 31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515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24.</w:t>
      </w:r>
    </w:p>
    <w:p w14:paraId="77D1903D"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Choi, T.Y., Dooley, K.J.</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Rungtusanatham, M. (2001)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Supply networks and complex adaptive systems: control versus emergence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Operations Management</w:t>
      </w:r>
      <w:r w:rsidRPr="00563E26">
        <w:rPr>
          <w:rFonts w:ascii="Times New Roman" w:hAnsi="Times New Roman" w:cs="Times New Roman"/>
          <w:color w:val="000000" w:themeColor="text1"/>
          <w:sz w:val="24"/>
          <w:szCs w:val="24"/>
        </w:rPr>
        <w:t xml:space="preserve">, 19 </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351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366.</w:t>
      </w:r>
    </w:p>
    <w:p w14:paraId="3D9779AF"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Chopra, S.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Sodhi, M.S. (2004)</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Managing Risk to avoid supply-chain break down</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MIT Sloan Management Review</w:t>
      </w:r>
      <w:r w:rsidRPr="00563E26">
        <w:rPr>
          <w:rFonts w:ascii="Times New Roman" w:hAnsi="Times New Roman" w:cs="Times New Roman"/>
          <w:color w:val="000000" w:themeColor="text1"/>
          <w:sz w:val="24"/>
          <w:szCs w:val="24"/>
        </w:rPr>
        <w:t>, 46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53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61.</w:t>
      </w:r>
    </w:p>
    <w:p w14:paraId="7723FC6C"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Christopher, M. (2000)</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The Agile Supply Chain: Competing in Volatile Markets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Industrial Marketing Management</w:t>
      </w:r>
      <w:r w:rsidRPr="00563E26">
        <w:rPr>
          <w:rFonts w:ascii="Times New Roman" w:hAnsi="Times New Roman" w:cs="Times New Roman"/>
          <w:color w:val="000000" w:themeColor="text1"/>
          <w:sz w:val="24"/>
          <w:szCs w:val="24"/>
        </w:rPr>
        <w:t>, 29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37</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44.</w:t>
      </w:r>
    </w:p>
    <w:p w14:paraId="3A97B0DF"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Christopher, M.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Holweg, M. (2011)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‘Supply Chain 2.0’: managing supply chains in the era of turbulence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International Journal of Physical Distribution &amp; Logistics Management</w:t>
      </w:r>
      <w:r w:rsidRPr="00563E26">
        <w:rPr>
          <w:rFonts w:ascii="Times New Roman" w:hAnsi="Times New Roman" w:cs="Times New Roman"/>
          <w:color w:val="000000" w:themeColor="text1"/>
          <w:sz w:val="24"/>
          <w:szCs w:val="24"/>
        </w:rPr>
        <w:t>, 41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63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82.</w:t>
      </w:r>
    </w:p>
    <w:p w14:paraId="68693BBE"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Christopher, M.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Towill, D.R. (2000)</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Supply chain migration from lean and functional to agile and customised</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Supply Chain Management: An International Journal</w:t>
      </w:r>
      <w:r w:rsidRPr="00563E26">
        <w:rPr>
          <w:rFonts w:ascii="Times New Roman" w:hAnsi="Times New Roman" w:cs="Times New Roman"/>
          <w:color w:val="000000" w:themeColor="text1"/>
          <w:sz w:val="24"/>
          <w:szCs w:val="24"/>
        </w:rPr>
        <w:t>, 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206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213.</w:t>
      </w:r>
    </w:p>
    <w:p w14:paraId="2825D4F9"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Clark, K.B. and Fujimoto, T. (1991), </w:t>
      </w:r>
      <w:r w:rsidRPr="00563E26">
        <w:rPr>
          <w:rFonts w:ascii="Times New Roman" w:hAnsi="Times New Roman" w:cs="Times New Roman"/>
          <w:i/>
          <w:iCs/>
          <w:color w:val="000000" w:themeColor="text1"/>
          <w:sz w:val="24"/>
          <w:szCs w:val="24"/>
        </w:rPr>
        <w:t>Product Development Performance: Strategy, Organization, and Management in the World Auto Industry</w:t>
      </w:r>
      <w:r w:rsidRPr="00563E26">
        <w:rPr>
          <w:rFonts w:ascii="Times New Roman" w:hAnsi="Times New Roman" w:cs="Times New Roman"/>
          <w:color w:val="000000" w:themeColor="text1"/>
          <w:sz w:val="24"/>
          <w:szCs w:val="24"/>
        </w:rPr>
        <w:t>, Harvard Business Press.</w:t>
      </w:r>
    </w:p>
    <w:p w14:paraId="4E680BFA"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Cousins, P.D., Lawson, B., Petersen, K.J.</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Handfield, R.B. (2011)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Breakthrough Scanning, Supplier Knowledge Exchange, and New Product Development Performance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Product Innovation Management</w:t>
      </w:r>
      <w:r w:rsidRPr="00563E26">
        <w:rPr>
          <w:rFonts w:ascii="Times New Roman" w:hAnsi="Times New Roman" w:cs="Times New Roman"/>
          <w:color w:val="000000" w:themeColor="text1"/>
          <w:sz w:val="24"/>
          <w:szCs w:val="24"/>
        </w:rPr>
        <w:t>, 28</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930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942.</w:t>
      </w:r>
    </w:p>
    <w:p w14:paraId="08A06684"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Covin, J.G.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Slevin, D.P. (1989)</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Strategic Management of Small Firms in Hostile and Benign Environments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Strategic Management Journal</w:t>
      </w:r>
      <w:r w:rsidRPr="00563E26">
        <w:rPr>
          <w:rFonts w:ascii="Times New Roman" w:hAnsi="Times New Roman" w:cs="Times New Roman"/>
          <w:color w:val="000000" w:themeColor="text1"/>
          <w:sz w:val="24"/>
          <w:szCs w:val="24"/>
        </w:rPr>
        <w:t>, 10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75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87.</w:t>
      </w:r>
    </w:p>
    <w:p w14:paraId="0C8990A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1" w:name="_ENREF_15"/>
      <w:r w:rsidRPr="00563E26">
        <w:rPr>
          <w:rFonts w:ascii="Times New Roman" w:hAnsi="Times New Roman" w:cs="Times New Roman"/>
          <w:color w:val="000000" w:themeColor="text1"/>
          <w:sz w:val="24"/>
          <w:szCs w:val="24"/>
        </w:rPr>
        <w:t xml:space="preserve">Collis, D. J. (1994). Research note: how valuable are organizational capabilities? </w:t>
      </w:r>
      <w:r w:rsidRPr="00563E26">
        <w:rPr>
          <w:rFonts w:ascii="Times New Roman" w:hAnsi="Times New Roman" w:cs="Times New Roman"/>
          <w:i/>
          <w:color w:val="000000" w:themeColor="text1"/>
          <w:sz w:val="24"/>
          <w:szCs w:val="24"/>
        </w:rPr>
        <w:t>Strategic Management Journal, 15</w:t>
      </w:r>
      <w:r w:rsidRPr="00563E26">
        <w:rPr>
          <w:rFonts w:ascii="Times New Roman" w:hAnsi="Times New Roman" w:cs="Times New Roman"/>
          <w:color w:val="000000" w:themeColor="text1"/>
          <w:sz w:val="24"/>
          <w:szCs w:val="24"/>
        </w:rPr>
        <w:t xml:space="preserve">(S1), 143-152. </w:t>
      </w:r>
      <w:bookmarkEnd w:id="21"/>
    </w:p>
    <w:p w14:paraId="147E063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2" w:name="_ENREF_16"/>
      <w:r w:rsidRPr="00563E26">
        <w:rPr>
          <w:rFonts w:ascii="Times New Roman" w:hAnsi="Times New Roman" w:cs="Times New Roman"/>
          <w:color w:val="000000" w:themeColor="text1"/>
          <w:sz w:val="24"/>
          <w:szCs w:val="24"/>
        </w:rPr>
        <w:t xml:space="preserve">Conway, J. M., &amp; Lance, C. E. (2010). What reviewers should expect from authors regarding common method bias in organizational research. </w:t>
      </w:r>
      <w:r w:rsidRPr="00563E26">
        <w:rPr>
          <w:rFonts w:ascii="Times New Roman" w:hAnsi="Times New Roman" w:cs="Times New Roman"/>
          <w:i/>
          <w:color w:val="000000" w:themeColor="text1"/>
          <w:sz w:val="24"/>
          <w:szCs w:val="24"/>
        </w:rPr>
        <w:t>Journal of Business and Psychology, 25</w:t>
      </w:r>
      <w:r w:rsidRPr="00563E26">
        <w:rPr>
          <w:rFonts w:ascii="Times New Roman" w:hAnsi="Times New Roman" w:cs="Times New Roman"/>
          <w:color w:val="000000" w:themeColor="text1"/>
          <w:sz w:val="24"/>
          <w:szCs w:val="24"/>
        </w:rPr>
        <w:t xml:space="preserve">(3), 325-334. </w:t>
      </w:r>
      <w:bookmarkEnd w:id="22"/>
    </w:p>
    <w:p w14:paraId="41C15FB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3" w:name="_ENREF_17"/>
      <w:r w:rsidRPr="00563E26">
        <w:rPr>
          <w:rFonts w:ascii="Times New Roman" w:hAnsi="Times New Roman" w:cs="Times New Roman"/>
          <w:color w:val="000000" w:themeColor="text1"/>
          <w:sz w:val="24"/>
          <w:szCs w:val="24"/>
        </w:rPr>
        <w:t xml:space="preserve">Covin, J. G., &amp; Slevin, D. P. (1988). The influence of organization structure on the utility of an entrepreneurial top management style. </w:t>
      </w:r>
      <w:r w:rsidRPr="00563E26">
        <w:rPr>
          <w:rFonts w:ascii="Times New Roman" w:hAnsi="Times New Roman" w:cs="Times New Roman"/>
          <w:i/>
          <w:color w:val="000000" w:themeColor="text1"/>
          <w:sz w:val="24"/>
          <w:szCs w:val="24"/>
        </w:rPr>
        <w:t>Journal of Management Studies, 25</w:t>
      </w:r>
      <w:r w:rsidRPr="00563E26">
        <w:rPr>
          <w:rFonts w:ascii="Times New Roman" w:hAnsi="Times New Roman" w:cs="Times New Roman"/>
          <w:color w:val="000000" w:themeColor="text1"/>
          <w:sz w:val="24"/>
          <w:szCs w:val="24"/>
        </w:rPr>
        <w:t xml:space="preserve">(3), 217-234. </w:t>
      </w:r>
      <w:bookmarkEnd w:id="23"/>
    </w:p>
    <w:p w14:paraId="3282EE37"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4" w:name="_ENREF_18"/>
      <w:r w:rsidRPr="00563E26">
        <w:rPr>
          <w:rFonts w:ascii="Times New Roman" w:hAnsi="Times New Roman" w:cs="Times New Roman"/>
          <w:color w:val="000000" w:themeColor="text1"/>
          <w:sz w:val="24"/>
          <w:szCs w:val="24"/>
        </w:rPr>
        <w:t xml:space="preserve">Curran, P. J., West, S. G., &amp; Finch, J. F. (1996). The robustness of test statistics to nonnormality and specification error in confirmatory factor analysis. </w:t>
      </w:r>
      <w:r w:rsidRPr="00563E26">
        <w:rPr>
          <w:rFonts w:ascii="Times New Roman" w:hAnsi="Times New Roman" w:cs="Times New Roman"/>
          <w:i/>
          <w:color w:val="000000" w:themeColor="text1"/>
          <w:sz w:val="24"/>
          <w:szCs w:val="24"/>
        </w:rPr>
        <w:t xml:space="preserve">Psychological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ethods, 1</w:t>
      </w:r>
      <w:r w:rsidRPr="00563E26">
        <w:rPr>
          <w:rFonts w:ascii="Times New Roman" w:hAnsi="Times New Roman" w:cs="Times New Roman"/>
          <w:color w:val="000000" w:themeColor="text1"/>
          <w:sz w:val="24"/>
          <w:szCs w:val="24"/>
        </w:rPr>
        <w:t xml:space="preserve">(1), 16. </w:t>
      </w:r>
      <w:bookmarkEnd w:id="24"/>
    </w:p>
    <w:p w14:paraId="63F986E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5" w:name="_ENREF_19"/>
      <w:r w:rsidRPr="00563E26">
        <w:rPr>
          <w:rFonts w:ascii="Times New Roman" w:hAnsi="Times New Roman" w:cs="Times New Roman"/>
          <w:color w:val="000000" w:themeColor="text1"/>
          <w:sz w:val="24"/>
          <w:szCs w:val="24"/>
        </w:rPr>
        <w:t>Dai, Y., Roundy, P. T., Chok, J. I., Ding, F., &amp; Byun, G. (2016). ‘Who Knows What?’in New Venture Teams: Transactive Memory Systems as a Micro</w:t>
      </w:r>
      <w:r w:rsidRPr="00563E26">
        <w:rPr>
          <w:rFonts w:ascii="Cambria Math" w:hAnsi="Cambria Math" w:cs="Cambria Math"/>
          <w:color w:val="000000" w:themeColor="text1"/>
          <w:sz w:val="24"/>
          <w:szCs w:val="24"/>
        </w:rPr>
        <w:t>‐</w:t>
      </w:r>
      <w:r w:rsidRPr="00563E26">
        <w:rPr>
          <w:rFonts w:ascii="Times New Roman" w:hAnsi="Times New Roman" w:cs="Times New Roman"/>
          <w:color w:val="000000" w:themeColor="text1"/>
          <w:sz w:val="24"/>
          <w:szCs w:val="24"/>
        </w:rPr>
        <w:t xml:space="preserve">Foundation of Entrepreneurial Orientation. </w:t>
      </w:r>
      <w:r w:rsidRPr="00563E26">
        <w:rPr>
          <w:rFonts w:ascii="Times New Roman" w:hAnsi="Times New Roman" w:cs="Times New Roman"/>
          <w:i/>
          <w:color w:val="000000" w:themeColor="text1"/>
          <w:sz w:val="24"/>
          <w:szCs w:val="24"/>
        </w:rPr>
        <w:t>Journal of Management Studies, 53</w:t>
      </w:r>
      <w:r w:rsidRPr="00563E26">
        <w:rPr>
          <w:rFonts w:ascii="Times New Roman" w:hAnsi="Times New Roman" w:cs="Times New Roman"/>
          <w:color w:val="000000" w:themeColor="text1"/>
          <w:sz w:val="24"/>
          <w:szCs w:val="24"/>
        </w:rPr>
        <w:t xml:space="preserve">(8), 1320-1347. </w:t>
      </w:r>
      <w:bookmarkEnd w:id="25"/>
    </w:p>
    <w:p w14:paraId="76BA0ED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6" w:name="_ENREF_20"/>
      <w:r w:rsidRPr="00563E26">
        <w:rPr>
          <w:rFonts w:ascii="Times New Roman" w:hAnsi="Times New Roman" w:cs="Times New Roman"/>
          <w:color w:val="000000" w:themeColor="text1"/>
          <w:sz w:val="24"/>
          <w:szCs w:val="24"/>
        </w:rPr>
        <w:t xml:space="preserve">Davidson, R., &amp; MacKinnon, J. (1993). </w:t>
      </w:r>
      <w:r w:rsidRPr="00563E26">
        <w:rPr>
          <w:rFonts w:ascii="Times New Roman" w:hAnsi="Times New Roman" w:cs="Times New Roman"/>
          <w:i/>
          <w:color w:val="000000" w:themeColor="text1"/>
          <w:sz w:val="24"/>
          <w:szCs w:val="24"/>
        </w:rPr>
        <w:t>Estimation and Inference in Econometrics</w:t>
      </w:r>
      <w:r w:rsidRPr="00563E26">
        <w:rPr>
          <w:rFonts w:ascii="Times New Roman" w:hAnsi="Times New Roman" w:cs="Times New Roman"/>
          <w:color w:val="000000" w:themeColor="text1"/>
          <w:sz w:val="24"/>
          <w:szCs w:val="24"/>
        </w:rPr>
        <w:t>. New York: Oxford University Press.</w:t>
      </w:r>
      <w:bookmarkEnd w:id="26"/>
    </w:p>
    <w:p w14:paraId="5AD8E2D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7" w:name="_ENREF_21"/>
      <w:r w:rsidRPr="00563E26">
        <w:rPr>
          <w:rFonts w:ascii="Times New Roman" w:hAnsi="Times New Roman" w:cs="Times New Roman"/>
          <w:color w:val="000000" w:themeColor="text1"/>
          <w:sz w:val="24"/>
          <w:szCs w:val="24"/>
        </w:rPr>
        <w:lastRenderedPageBreak/>
        <w:t xml:space="preserve">Day, G. S. (1994). The capabilities of market-driven organizations. </w:t>
      </w:r>
      <w:r w:rsidRPr="00563E26">
        <w:rPr>
          <w:rFonts w:ascii="Times New Roman" w:hAnsi="Times New Roman" w:cs="Times New Roman"/>
          <w:i/>
          <w:color w:val="000000" w:themeColor="text1"/>
          <w:sz w:val="24"/>
          <w:szCs w:val="24"/>
        </w:rPr>
        <w:t>The Journal of Marketing</w:t>
      </w:r>
      <w:r w:rsidRPr="00563E26">
        <w:rPr>
          <w:rFonts w:ascii="Times New Roman" w:hAnsi="Times New Roman" w:cs="Times New Roman"/>
          <w:color w:val="000000" w:themeColor="text1"/>
          <w:sz w:val="24"/>
          <w:szCs w:val="24"/>
        </w:rPr>
        <w:t xml:space="preserve">, 37-52. </w:t>
      </w:r>
      <w:bookmarkEnd w:id="27"/>
    </w:p>
    <w:p w14:paraId="4D823E1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8" w:name="_ENREF_22"/>
      <w:r w:rsidRPr="00563E26">
        <w:rPr>
          <w:rFonts w:ascii="Times New Roman" w:hAnsi="Times New Roman" w:cs="Times New Roman"/>
          <w:color w:val="000000" w:themeColor="text1"/>
          <w:sz w:val="24"/>
          <w:szCs w:val="24"/>
        </w:rPr>
        <w:t xml:space="preserve">Defee, C. C., &amp; Fugate, B. S. (2010). Changing perspective of capabilities in the dynamic supply chain era. </w:t>
      </w:r>
      <w:r w:rsidRPr="00563E26">
        <w:rPr>
          <w:rFonts w:ascii="Times New Roman" w:hAnsi="Times New Roman" w:cs="Times New Roman"/>
          <w:i/>
          <w:color w:val="000000" w:themeColor="text1"/>
          <w:sz w:val="24"/>
          <w:szCs w:val="24"/>
        </w:rPr>
        <w:t>International Journal of Logistics Management, 21</w:t>
      </w:r>
      <w:r w:rsidRPr="00563E26">
        <w:rPr>
          <w:rFonts w:ascii="Times New Roman" w:hAnsi="Times New Roman" w:cs="Times New Roman"/>
          <w:color w:val="000000" w:themeColor="text1"/>
          <w:sz w:val="24"/>
          <w:szCs w:val="24"/>
        </w:rPr>
        <w:t xml:space="preserve">(2), 180-206. </w:t>
      </w:r>
      <w:bookmarkEnd w:id="28"/>
    </w:p>
    <w:p w14:paraId="18960F1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29" w:name="_ENREF_23"/>
      <w:r w:rsidRPr="00563E26">
        <w:rPr>
          <w:rFonts w:ascii="Times New Roman" w:hAnsi="Times New Roman" w:cs="Times New Roman"/>
          <w:color w:val="000000" w:themeColor="text1"/>
          <w:sz w:val="24"/>
          <w:szCs w:val="24"/>
        </w:rPr>
        <w:t xml:space="preserve">Dess, G. G., Ireland, R. D., Zahra, S. A., Floyd, S. W., Janney, J. J., &amp; Lane, P. J. (2003). Emerging issues in corporate entrepreneurship.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anagement, 29</w:t>
      </w:r>
      <w:r w:rsidRPr="00563E26">
        <w:rPr>
          <w:rFonts w:ascii="Times New Roman" w:hAnsi="Times New Roman" w:cs="Times New Roman"/>
          <w:color w:val="000000" w:themeColor="text1"/>
          <w:sz w:val="24"/>
          <w:szCs w:val="24"/>
        </w:rPr>
        <w:t xml:space="preserve">(3), 351-378. </w:t>
      </w:r>
      <w:bookmarkEnd w:id="29"/>
    </w:p>
    <w:p w14:paraId="4FCCD6E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0" w:name="_ENREF_24"/>
      <w:r w:rsidRPr="00563E26">
        <w:rPr>
          <w:rFonts w:ascii="Times New Roman" w:hAnsi="Times New Roman" w:cs="Times New Roman"/>
          <w:color w:val="000000" w:themeColor="text1"/>
          <w:sz w:val="24"/>
          <w:szCs w:val="24"/>
        </w:rPr>
        <w:t xml:space="preserve">Dess, G. G., &amp; Lumpkin, G. T. (2005). The role of entrepreneurial orientation in stimulating effective corporate entrepreneurship. </w:t>
      </w:r>
      <w:r w:rsidRPr="00563E26">
        <w:rPr>
          <w:rFonts w:ascii="Times New Roman" w:hAnsi="Times New Roman" w:cs="Times New Roman"/>
          <w:i/>
          <w:color w:val="000000" w:themeColor="text1"/>
          <w:sz w:val="24"/>
          <w:szCs w:val="24"/>
        </w:rPr>
        <w:t>The Academy of Management Executive, 19</w:t>
      </w:r>
      <w:r w:rsidRPr="00563E26">
        <w:rPr>
          <w:rFonts w:ascii="Times New Roman" w:hAnsi="Times New Roman" w:cs="Times New Roman"/>
          <w:color w:val="000000" w:themeColor="text1"/>
          <w:sz w:val="24"/>
          <w:szCs w:val="24"/>
        </w:rPr>
        <w:t xml:space="preserve">(1), 147-156. </w:t>
      </w:r>
      <w:bookmarkEnd w:id="30"/>
    </w:p>
    <w:p w14:paraId="005DC3C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1" w:name="_ENREF_25"/>
      <w:r w:rsidRPr="00563E26">
        <w:rPr>
          <w:rFonts w:ascii="Times New Roman" w:hAnsi="Times New Roman" w:cs="Times New Roman"/>
          <w:color w:val="000000" w:themeColor="text1"/>
          <w:sz w:val="24"/>
          <w:szCs w:val="24"/>
        </w:rPr>
        <w:t xml:space="preserve">Dong, M. C., Ju, M., &amp; Fang, Y. (2016). Role hazard between supply chain partners in an institutionally fragmented market. </w:t>
      </w:r>
      <w:r w:rsidRPr="00563E26">
        <w:rPr>
          <w:rFonts w:ascii="Times New Roman" w:hAnsi="Times New Roman" w:cs="Times New Roman"/>
          <w:i/>
          <w:color w:val="000000" w:themeColor="text1"/>
          <w:sz w:val="24"/>
          <w:szCs w:val="24"/>
        </w:rPr>
        <w:t>Journal of Operations Management, 46</w:t>
      </w:r>
      <w:r w:rsidRPr="00563E26">
        <w:rPr>
          <w:rFonts w:ascii="Times New Roman" w:hAnsi="Times New Roman" w:cs="Times New Roman"/>
          <w:color w:val="000000" w:themeColor="text1"/>
          <w:sz w:val="24"/>
          <w:szCs w:val="24"/>
        </w:rPr>
        <w:t>, 5-18.</w:t>
      </w:r>
      <w:bookmarkEnd w:id="31"/>
    </w:p>
    <w:p w14:paraId="282B501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2" w:name="_ENREF_26"/>
      <w:r w:rsidRPr="00563E26">
        <w:rPr>
          <w:rFonts w:ascii="Times New Roman" w:hAnsi="Times New Roman" w:cs="Times New Roman"/>
          <w:color w:val="000000" w:themeColor="text1"/>
          <w:sz w:val="24"/>
          <w:szCs w:val="24"/>
        </w:rPr>
        <w:t xml:space="preserve">Dubey, R., Altay, N., Gunasekaran, A., Blome, C., Papadopoulos, T., &amp; Childe, S. J. (2018). Supply chain agility, adaptability and alignment: empirical evidence from the Indian auto components industry. </w:t>
      </w:r>
      <w:r w:rsidRPr="00563E26">
        <w:rPr>
          <w:rFonts w:ascii="Times New Roman" w:hAnsi="Times New Roman" w:cs="Times New Roman"/>
          <w:i/>
          <w:color w:val="000000" w:themeColor="text1"/>
          <w:sz w:val="24"/>
          <w:szCs w:val="24"/>
        </w:rPr>
        <w:t>International Journal of Operations &amp; Production Management, 38</w:t>
      </w:r>
      <w:r w:rsidRPr="00563E26">
        <w:rPr>
          <w:rFonts w:ascii="Times New Roman" w:hAnsi="Times New Roman" w:cs="Times New Roman"/>
          <w:color w:val="000000" w:themeColor="text1"/>
          <w:sz w:val="24"/>
          <w:szCs w:val="24"/>
        </w:rPr>
        <w:t xml:space="preserve">(1), 129-148. </w:t>
      </w:r>
      <w:bookmarkEnd w:id="32"/>
    </w:p>
    <w:p w14:paraId="20ABD301"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3" w:name="_ENREF_27"/>
      <w:r w:rsidRPr="00563E26">
        <w:rPr>
          <w:rFonts w:ascii="Times New Roman" w:hAnsi="Times New Roman" w:cs="Times New Roman"/>
          <w:color w:val="000000" w:themeColor="text1"/>
          <w:sz w:val="24"/>
          <w:szCs w:val="24"/>
        </w:rPr>
        <w:t xml:space="preserve">Dubey, R., &amp; Gunasekaran, A. (2016). The sustainable humanitarian supply chain design: agility, adaptability and alignment. </w:t>
      </w:r>
      <w:r w:rsidRPr="00563E26">
        <w:rPr>
          <w:rFonts w:ascii="Times New Roman" w:hAnsi="Times New Roman" w:cs="Times New Roman"/>
          <w:i/>
          <w:color w:val="000000" w:themeColor="text1"/>
          <w:sz w:val="24"/>
          <w:szCs w:val="24"/>
        </w:rPr>
        <w:t>International Journal of Logistics Research and Applications, 19</w:t>
      </w:r>
      <w:r w:rsidRPr="00563E26">
        <w:rPr>
          <w:rFonts w:ascii="Times New Roman" w:hAnsi="Times New Roman" w:cs="Times New Roman"/>
          <w:color w:val="000000" w:themeColor="text1"/>
          <w:sz w:val="24"/>
          <w:szCs w:val="24"/>
        </w:rPr>
        <w:t xml:space="preserve">(1), 62-82. </w:t>
      </w:r>
      <w:bookmarkEnd w:id="33"/>
    </w:p>
    <w:p w14:paraId="7ACA970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4" w:name="_ENREF_28"/>
      <w:r w:rsidRPr="00563E26">
        <w:rPr>
          <w:rFonts w:ascii="Times New Roman" w:hAnsi="Times New Roman" w:cs="Times New Roman"/>
          <w:color w:val="000000" w:themeColor="text1"/>
          <w:sz w:val="24"/>
          <w:szCs w:val="24"/>
        </w:rPr>
        <w:t>Dyer, J. H., &amp; Nobeoka, K. (2000). Creating and managing a high</w:t>
      </w:r>
      <w:r w:rsidRPr="00563E26">
        <w:rPr>
          <w:rFonts w:ascii="Cambria Math" w:hAnsi="Cambria Math" w:cs="Cambria Math"/>
          <w:color w:val="000000" w:themeColor="text1"/>
          <w:sz w:val="24"/>
          <w:szCs w:val="24"/>
        </w:rPr>
        <w:t>‐</w:t>
      </w:r>
      <w:r w:rsidRPr="00563E26">
        <w:rPr>
          <w:rFonts w:ascii="Times New Roman" w:hAnsi="Times New Roman" w:cs="Times New Roman"/>
          <w:color w:val="000000" w:themeColor="text1"/>
          <w:sz w:val="24"/>
          <w:szCs w:val="24"/>
        </w:rPr>
        <w:t>performance knowledge</w:t>
      </w:r>
      <w:r w:rsidRPr="00563E26">
        <w:rPr>
          <w:rFonts w:ascii="Cambria Math" w:hAnsi="Cambria Math" w:cs="Cambria Math"/>
          <w:color w:val="000000" w:themeColor="text1"/>
          <w:sz w:val="24"/>
          <w:szCs w:val="24"/>
        </w:rPr>
        <w:t>‐</w:t>
      </w:r>
      <w:r w:rsidRPr="00563E26">
        <w:rPr>
          <w:rFonts w:ascii="Times New Roman" w:hAnsi="Times New Roman" w:cs="Times New Roman"/>
          <w:color w:val="000000" w:themeColor="text1"/>
          <w:sz w:val="24"/>
          <w:szCs w:val="24"/>
        </w:rPr>
        <w:t xml:space="preserve">sharing network: the Toyota case. </w:t>
      </w:r>
      <w:r w:rsidRPr="00563E26">
        <w:rPr>
          <w:rFonts w:ascii="Times New Roman" w:hAnsi="Times New Roman" w:cs="Times New Roman"/>
          <w:i/>
          <w:color w:val="000000" w:themeColor="text1"/>
          <w:sz w:val="24"/>
          <w:szCs w:val="24"/>
        </w:rPr>
        <w:t>Strategic Management Journal, 21</w:t>
      </w:r>
      <w:r w:rsidRPr="00563E26">
        <w:rPr>
          <w:rFonts w:ascii="Times New Roman" w:hAnsi="Times New Roman" w:cs="Times New Roman"/>
          <w:color w:val="000000" w:themeColor="text1"/>
          <w:sz w:val="24"/>
          <w:szCs w:val="24"/>
        </w:rPr>
        <w:t xml:space="preserve">(3), 345-367. </w:t>
      </w:r>
      <w:bookmarkEnd w:id="34"/>
    </w:p>
    <w:p w14:paraId="4910637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5" w:name="_ENREF_29"/>
      <w:r w:rsidRPr="00563E26">
        <w:rPr>
          <w:rFonts w:ascii="Times New Roman" w:hAnsi="Times New Roman" w:cs="Times New Roman"/>
          <w:color w:val="000000" w:themeColor="text1"/>
          <w:sz w:val="24"/>
          <w:szCs w:val="24"/>
        </w:rPr>
        <w:t xml:space="preserve">Eckstein, D., Goellner, M., Blome, C., &amp; Henke, M. (2015). The performance impact of supply chain agility and supply chain adaptability: the moderating effect of product complexity. </w:t>
      </w:r>
      <w:r w:rsidRPr="00563E26">
        <w:rPr>
          <w:rFonts w:ascii="Times New Roman" w:hAnsi="Times New Roman" w:cs="Times New Roman"/>
          <w:i/>
          <w:color w:val="000000" w:themeColor="text1"/>
          <w:sz w:val="24"/>
          <w:szCs w:val="24"/>
        </w:rPr>
        <w:t>International Journal of Production Research, 53</w:t>
      </w:r>
      <w:r w:rsidRPr="00563E26">
        <w:rPr>
          <w:rFonts w:ascii="Times New Roman" w:hAnsi="Times New Roman" w:cs="Times New Roman"/>
          <w:color w:val="000000" w:themeColor="text1"/>
          <w:sz w:val="24"/>
          <w:szCs w:val="24"/>
        </w:rPr>
        <w:t xml:space="preserve">(10), 3028-3046. </w:t>
      </w:r>
      <w:bookmarkEnd w:id="35"/>
    </w:p>
    <w:p w14:paraId="14C5E079"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Fiol, C.M.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Lyles, M.A. (1985)</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Organizational Learning</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Academy of Management Review</w:t>
      </w:r>
      <w:r w:rsidRPr="00563E26">
        <w:rPr>
          <w:rFonts w:ascii="Times New Roman" w:hAnsi="Times New Roman" w:cs="Times New Roman"/>
          <w:color w:val="000000" w:themeColor="text1"/>
          <w:sz w:val="24"/>
          <w:szCs w:val="24"/>
        </w:rPr>
        <w:t>, 10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803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813.</w:t>
      </w:r>
    </w:p>
    <w:p w14:paraId="0641339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6" w:name="_ENREF_30"/>
      <w:r w:rsidRPr="00563E26">
        <w:rPr>
          <w:rFonts w:ascii="Times New Roman" w:hAnsi="Times New Roman" w:cs="Times New Roman"/>
          <w:color w:val="000000" w:themeColor="text1"/>
          <w:sz w:val="24"/>
          <w:szCs w:val="24"/>
        </w:rPr>
        <w:t xml:space="preserve">Flint, D. J., Larsson, E., &amp; Gammelgaard, B. (2008). Exploring processes for customer value insights, supply chain learning and innovation: an international study. </w:t>
      </w:r>
      <w:r w:rsidRPr="00563E26">
        <w:rPr>
          <w:rFonts w:ascii="Times New Roman" w:hAnsi="Times New Roman" w:cs="Times New Roman"/>
          <w:i/>
          <w:color w:val="000000" w:themeColor="text1"/>
          <w:sz w:val="24"/>
          <w:szCs w:val="24"/>
        </w:rPr>
        <w:t>Journal of Business Logistics, 29</w:t>
      </w:r>
      <w:r w:rsidRPr="00563E26">
        <w:rPr>
          <w:rFonts w:ascii="Times New Roman" w:hAnsi="Times New Roman" w:cs="Times New Roman"/>
          <w:color w:val="000000" w:themeColor="text1"/>
          <w:sz w:val="24"/>
          <w:szCs w:val="24"/>
        </w:rPr>
        <w:t xml:space="preserve">(1), 257-281. </w:t>
      </w:r>
      <w:bookmarkEnd w:id="36"/>
    </w:p>
    <w:p w14:paraId="0E63D83C"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7" w:name="_ENREF_31"/>
      <w:r w:rsidRPr="00563E26">
        <w:rPr>
          <w:rFonts w:ascii="Times New Roman" w:hAnsi="Times New Roman" w:cs="Times New Roman"/>
          <w:color w:val="000000" w:themeColor="text1"/>
          <w:sz w:val="24"/>
          <w:szCs w:val="24"/>
        </w:rPr>
        <w:t xml:space="preserve">Flynn, B., Pagell, M., &amp; Fugate, B. (2018). Survey research design in supply chain management: the need for evolution in our expectations. </w:t>
      </w:r>
      <w:r w:rsidRPr="00563E26">
        <w:rPr>
          <w:rFonts w:ascii="Times New Roman" w:hAnsi="Times New Roman" w:cs="Times New Roman"/>
          <w:i/>
          <w:color w:val="000000" w:themeColor="text1"/>
          <w:sz w:val="24"/>
          <w:szCs w:val="24"/>
        </w:rPr>
        <w:t>Journal of Supply Chain Management, 54</w:t>
      </w:r>
      <w:r w:rsidRPr="00563E26">
        <w:rPr>
          <w:rFonts w:ascii="Times New Roman" w:hAnsi="Times New Roman" w:cs="Times New Roman"/>
          <w:color w:val="000000" w:themeColor="text1"/>
          <w:sz w:val="24"/>
          <w:szCs w:val="24"/>
        </w:rPr>
        <w:t xml:space="preserve">(1), 1-15. </w:t>
      </w:r>
      <w:bookmarkEnd w:id="37"/>
    </w:p>
    <w:p w14:paraId="276B1CC3" w14:textId="3C83D367" w:rsidR="00247719"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8" w:name="_ENREF_32"/>
      <w:r w:rsidRPr="00563E26">
        <w:rPr>
          <w:rFonts w:ascii="Times New Roman" w:hAnsi="Times New Roman" w:cs="Times New Roman"/>
          <w:color w:val="000000" w:themeColor="text1"/>
          <w:sz w:val="24"/>
          <w:szCs w:val="24"/>
        </w:rPr>
        <w:t xml:space="preserve">Fornell, C., &amp; Larcker, D. F. (1981). Evaluating structural equation models with unobservable variables and measurement error.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 xml:space="preserve">arketing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esearch, 18</w:t>
      </w:r>
      <w:r w:rsidRPr="00563E26">
        <w:rPr>
          <w:rFonts w:ascii="Times New Roman" w:hAnsi="Times New Roman" w:cs="Times New Roman"/>
          <w:color w:val="000000" w:themeColor="text1"/>
          <w:sz w:val="24"/>
          <w:szCs w:val="24"/>
        </w:rPr>
        <w:t xml:space="preserve">(1), 39-50. </w:t>
      </w:r>
      <w:bookmarkEnd w:id="38"/>
    </w:p>
    <w:p w14:paraId="2D6AE58B" w14:textId="77777777" w:rsidR="0059460E" w:rsidRPr="00D30358"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t xml:space="preserve">Fosso Wamba, S. and Akter, S. (2019), “Understanding supply chain analytics capabilities and agility for data-rich environments”, </w:t>
      </w:r>
      <w:r w:rsidRPr="00D30358">
        <w:rPr>
          <w:rFonts w:ascii="Times New Roman" w:hAnsi="Times New Roman" w:cs="Times New Roman"/>
          <w:i/>
          <w:iCs/>
          <w:sz w:val="24"/>
        </w:rPr>
        <w:t>International Journal of Operations and Production Management</w:t>
      </w:r>
      <w:r w:rsidRPr="00D30358">
        <w:rPr>
          <w:rFonts w:ascii="Times New Roman" w:hAnsi="Times New Roman" w:cs="Times New Roman"/>
          <w:sz w:val="24"/>
        </w:rPr>
        <w:t>, Vol. 39 No. 6/7/8, pp. 887–912.</w:t>
      </w:r>
    </w:p>
    <w:p w14:paraId="28440509" w14:textId="77777777" w:rsidR="0059460E" w:rsidRPr="00563E26" w:rsidRDefault="0059460E" w:rsidP="0059460E">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Gavetti, G.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Levinthal, D. (2000)</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Looking Forward and Looking Backward: Cognitive and Experiential Search</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Administrative Science Quarterly</w:t>
      </w:r>
      <w:r w:rsidRPr="00563E26">
        <w:rPr>
          <w:rFonts w:ascii="Times New Roman" w:hAnsi="Times New Roman" w:cs="Times New Roman"/>
          <w:color w:val="000000" w:themeColor="text1"/>
          <w:sz w:val="24"/>
          <w:szCs w:val="24"/>
        </w:rPr>
        <w:t>, 45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113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137.</w:t>
      </w:r>
    </w:p>
    <w:p w14:paraId="533B29B3" w14:textId="783D6239" w:rsidR="00247719"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Gligor, D.M.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Holcomb, M.C. (2012)</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Antecedents and Consequences of Supply Chain Agility: Establishing the Link to Firm Performance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Business Logistics</w:t>
      </w:r>
      <w:r w:rsidRPr="00563E26">
        <w:rPr>
          <w:rFonts w:ascii="Times New Roman" w:hAnsi="Times New Roman" w:cs="Times New Roman"/>
          <w:color w:val="000000" w:themeColor="text1"/>
          <w:sz w:val="24"/>
          <w:szCs w:val="24"/>
        </w:rPr>
        <w:t xml:space="preserve">, 33 </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295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308.</w:t>
      </w:r>
    </w:p>
    <w:p w14:paraId="351D374E" w14:textId="77777777" w:rsidR="0059460E" w:rsidRPr="00D30358"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t xml:space="preserve">Gong, Y., Fu Jia, Brown, S. and Koh, L. (2018), “Supply chain learning of sustainability in multi-tier supply chains”, </w:t>
      </w:r>
      <w:r w:rsidRPr="00D30358">
        <w:rPr>
          <w:rFonts w:ascii="Times New Roman" w:hAnsi="Times New Roman" w:cs="Times New Roman"/>
          <w:i/>
          <w:iCs/>
          <w:sz w:val="24"/>
        </w:rPr>
        <w:t>International Journal of Operations &amp; Production Management</w:t>
      </w:r>
      <w:r w:rsidRPr="00D30358">
        <w:rPr>
          <w:rFonts w:ascii="Times New Roman" w:hAnsi="Times New Roman" w:cs="Times New Roman"/>
          <w:sz w:val="24"/>
        </w:rPr>
        <w:t>, Vol. 38 No. 4, pp. 1061–1090.</w:t>
      </w:r>
    </w:p>
    <w:p w14:paraId="1FBB8F19" w14:textId="47876B99" w:rsidR="00247719"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Gupta, V.K., Dutta, D.K.</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Xiujian Chen. (2014)</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 xml:space="preserve">Entrepreneurial Orientation Capability and Firm Performance under Conditions of Organizational Learning. </w:t>
      </w:r>
      <w:r w:rsidRPr="00563E26">
        <w:rPr>
          <w:rFonts w:ascii="Times New Roman" w:hAnsi="Times New Roman" w:cs="Times New Roman"/>
          <w:i/>
          <w:iCs/>
          <w:color w:val="000000" w:themeColor="text1"/>
          <w:sz w:val="24"/>
          <w:szCs w:val="24"/>
        </w:rPr>
        <w:t>Journal of Managerial Issues</w:t>
      </w:r>
      <w:r w:rsidRPr="00563E26">
        <w:rPr>
          <w:rFonts w:ascii="Times New Roman" w:hAnsi="Times New Roman" w:cs="Times New Roman"/>
          <w:color w:val="000000" w:themeColor="text1"/>
          <w:sz w:val="24"/>
          <w:szCs w:val="24"/>
        </w:rPr>
        <w:t>, 26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157</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173.</w:t>
      </w:r>
    </w:p>
    <w:p w14:paraId="3137B795" w14:textId="6A8D20F7" w:rsidR="0059460E" w:rsidRPr="0059460E"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lastRenderedPageBreak/>
        <w:t xml:space="preserve">Gutierrez-Gutierrez, L.J., Barrales-Molina, V. and Hale Kaynak. (2018), “The role of human resource-related quality management practices in new product development”, </w:t>
      </w:r>
      <w:r w:rsidRPr="00D30358">
        <w:rPr>
          <w:rFonts w:ascii="Times New Roman" w:hAnsi="Times New Roman" w:cs="Times New Roman"/>
          <w:i/>
          <w:iCs/>
          <w:sz w:val="24"/>
        </w:rPr>
        <w:t>International Journal of Operations &amp; Production Management</w:t>
      </w:r>
      <w:r w:rsidRPr="00D30358">
        <w:rPr>
          <w:rFonts w:ascii="Times New Roman" w:hAnsi="Times New Roman" w:cs="Times New Roman"/>
          <w:sz w:val="24"/>
        </w:rPr>
        <w:t>, Vol. 38 No. 1, pp. 43–66.</w:t>
      </w:r>
    </w:p>
    <w:p w14:paraId="753FAC3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39" w:name="_ENREF_33"/>
      <w:r w:rsidRPr="00563E26">
        <w:rPr>
          <w:rFonts w:ascii="Times New Roman" w:hAnsi="Times New Roman" w:cs="Times New Roman"/>
          <w:color w:val="000000" w:themeColor="text1"/>
          <w:sz w:val="24"/>
          <w:szCs w:val="24"/>
        </w:rPr>
        <w:t xml:space="preserve">Green, J. P., Tonidandel, S., &amp; Cortina, J. M. (2016). Getting through the gate: statistical and methodological issues raised in the reviewing process. </w:t>
      </w:r>
      <w:r w:rsidRPr="00563E26">
        <w:rPr>
          <w:rFonts w:ascii="Times New Roman" w:hAnsi="Times New Roman" w:cs="Times New Roman"/>
          <w:i/>
          <w:color w:val="000000" w:themeColor="text1"/>
          <w:sz w:val="24"/>
          <w:szCs w:val="24"/>
        </w:rPr>
        <w:t xml:space="preserve">Organizational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 xml:space="preserve">esearch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ethods, 19</w:t>
      </w:r>
      <w:r w:rsidRPr="00563E26">
        <w:rPr>
          <w:rFonts w:ascii="Times New Roman" w:hAnsi="Times New Roman" w:cs="Times New Roman"/>
          <w:color w:val="000000" w:themeColor="text1"/>
          <w:sz w:val="24"/>
          <w:szCs w:val="24"/>
        </w:rPr>
        <w:t xml:space="preserve">(3), 402-432. </w:t>
      </w:r>
      <w:bookmarkEnd w:id="39"/>
    </w:p>
    <w:p w14:paraId="26BEED7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0" w:name="_ENREF_34"/>
      <w:r w:rsidRPr="00563E26">
        <w:rPr>
          <w:rFonts w:ascii="Times New Roman" w:hAnsi="Times New Roman" w:cs="Times New Roman"/>
          <w:color w:val="000000" w:themeColor="text1"/>
          <w:sz w:val="24"/>
          <w:szCs w:val="24"/>
        </w:rPr>
        <w:t xml:space="preserve">Grötsch, V. M., Blome, C., &amp; Schleper, M. C. (2013). Antecedents of proactive supply chain risk management–a contingency theory perspective. </w:t>
      </w:r>
      <w:r w:rsidRPr="00563E26">
        <w:rPr>
          <w:rFonts w:ascii="Times New Roman" w:hAnsi="Times New Roman" w:cs="Times New Roman"/>
          <w:i/>
          <w:color w:val="000000" w:themeColor="text1"/>
          <w:sz w:val="24"/>
          <w:szCs w:val="24"/>
        </w:rPr>
        <w:t>International Journal of Production Research, 51</w:t>
      </w:r>
      <w:r w:rsidRPr="00563E26">
        <w:rPr>
          <w:rFonts w:ascii="Times New Roman" w:hAnsi="Times New Roman" w:cs="Times New Roman"/>
          <w:color w:val="000000" w:themeColor="text1"/>
          <w:sz w:val="24"/>
          <w:szCs w:val="24"/>
        </w:rPr>
        <w:t xml:space="preserve">(10), 2842-2867. </w:t>
      </w:r>
      <w:bookmarkEnd w:id="40"/>
    </w:p>
    <w:p w14:paraId="05A7965E"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1" w:name="_ENREF_35"/>
      <w:r w:rsidRPr="00563E26">
        <w:rPr>
          <w:rFonts w:ascii="Times New Roman" w:hAnsi="Times New Roman" w:cs="Times New Roman"/>
          <w:color w:val="000000" w:themeColor="text1"/>
          <w:sz w:val="24"/>
          <w:szCs w:val="24"/>
        </w:rPr>
        <w:t xml:space="preserve">Grühn, B., Strese, S., Flatten, T. C., Jaeger, N. A., &amp; Brettel, M. (2017). Temporal Change Patterns of Entrepreneurial Orientation: A Longitudinal Investigation of CEO Successions. </w:t>
      </w:r>
      <w:r w:rsidRPr="00563E26">
        <w:rPr>
          <w:rFonts w:ascii="Times New Roman" w:hAnsi="Times New Roman" w:cs="Times New Roman"/>
          <w:i/>
          <w:color w:val="000000" w:themeColor="text1"/>
          <w:sz w:val="24"/>
          <w:szCs w:val="24"/>
        </w:rPr>
        <w:t>Entrepreneurship Theory and Practice, 41</w:t>
      </w:r>
      <w:r w:rsidRPr="00563E26">
        <w:rPr>
          <w:rFonts w:ascii="Times New Roman" w:hAnsi="Times New Roman" w:cs="Times New Roman"/>
          <w:color w:val="000000" w:themeColor="text1"/>
          <w:sz w:val="24"/>
          <w:szCs w:val="24"/>
        </w:rPr>
        <w:t xml:space="preserve">(4), 591-619. </w:t>
      </w:r>
      <w:bookmarkEnd w:id="41"/>
    </w:p>
    <w:p w14:paraId="09403BD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2" w:name="_ENREF_36"/>
      <w:r w:rsidRPr="00563E26">
        <w:rPr>
          <w:rFonts w:ascii="Times New Roman" w:hAnsi="Times New Roman" w:cs="Times New Roman"/>
          <w:color w:val="000000" w:themeColor="text1"/>
          <w:sz w:val="24"/>
          <w:szCs w:val="24"/>
        </w:rPr>
        <w:t xml:space="preserve">Guide Jr, D., &amp; Ketokivi, M. (2015). Notes from the Editors: Redefining some methodological criteria for the journal. </w:t>
      </w:r>
      <w:r w:rsidRPr="00563E26">
        <w:rPr>
          <w:rFonts w:ascii="Times New Roman" w:hAnsi="Times New Roman" w:cs="Times New Roman"/>
          <w:i/>
          <w:color w:val="000000" w:themeColor="text1"/>
          <w:sz w:val="24"/>
          <w:szCs w:val="24"/>
        </w:rPr>
        <w:t>Journal of Operations Management, 37</w:t>
      </w:r>
      <w:r w:rsidRPr="00563E26">
        <w:rPr>
          <w:rFonts w:ascii="Times New Roman" w:hAnsi="Times New Roman" w:cs="Times New Roman"/>
          <w:color w:val="000000" w:themeColor="text1"/>
          <w:sz w:val="24"/>
          <w:szCs w:val="24"/>
        </w:rPr>
        <w:t xml:space="preserve">(1), v-viii. </w:t>
      </w:r>
      <w:bookmarkEnd w:id="42"/>
    </w:p>
    <w:p w14:paraId="00454B1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3" w:name="_ENREF_37"/>
      <w:r w:rsidRPr="00563E26">
        <w:rPr>
          <w:rFonts w:ascii="Times New Roman" w:hAnsi="Times New Roman" w:cs="Times New Roman"/>
          <w:color w:val="000000" w:themeColor="text1"/>
          <w:sz w:val="24"/>
          <w:szCs w:val="24"/>
        </w:rPr>
        <w:t xml:space="preserve">Gupta, V. K., Dutta, D. K., &amp; Chen, X. (2014). Entrepreneurial orientation capability and firm performance under conditions of organizational learning. </w:t>
      </w:r>
      <w:r w:rsidRPr="00563E26">
        <w:rPr>
          <w:rFonts w:ascii="Times New Roman" w:hAnsi="Times New Roman" w:cs="Times New Roman"/>
          <w:i/>
          <w:color w:val="000000" w:themeColor="text1"/>
          <w:sz w:val="24"/>
          <w:szCs w:val="24"/>
        </w:rPr>
        <w:t>Journal of Managerial Issues, 26</w:t>
      </w:r>
      <w:r w:rsidRPr="00563E26">
        <w:rPr>
          <w:rFonts w:ascii="Times New Roman" w:hAnsi="Times New Roman" w:cs="Times New Roman"/>
          <w:color w:val="000000" w:themeColor="text1"/>
          <w:sz w:val="24"/>
          <w:szCs w:val="24"/>
        </w:rPr>
        <w:t xml:space="preserve">(2), 157. </w:t>
      </w:r>
      <w:bookmarkEnd w:id="43"/>
    </w:p>
    <w:p w14:paraId="7D5EF8A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4" w:name="_ENREF_38"/>
      <w:r w:rsidRPr="00563E26">
        <w:rPr>
          <w:rFonts w:ascii="Times New Roman" w:hAnsi="Times New Roman" w:cs="Times New Roman"/>
          <w:color w:val="000000" w:themeColor="text1"/>
          <w:sz w:val="24"/>
          <w:szCs w:val="24"/>
        </w:rPr>
        <w:t xml:space="preserve">Hair, J. F., Black, W. C., Babin, B. J., &amp; Anderson, R. E. (2014). </w:t>
      </w:r>
      <w:r w:rsidRPr="00563E26">
        <w:rPr>
          <w:rFonts w:ascii="Times New Roman" w:hAnsi="Times New Roman" w:cs="Times New Roman"/>
          <w:i/>
          <w:color w:val="000000" w:themeColor="text1"/>
          <w:sz w:val="24"/>
          <w:szCs w:val="24"/>
        </w:rPr>
        <w:t>Multivariate Data Analysis</w:t>
      </w:r>
      <w:r w:rsidRPr="00563E26">
        <w:rPr>
          <w:rFonts w:ascii="Times New Roman" w:hAnsi="Times New Roman" w:cs="Times New Roman"/>
          <w:color w:val="000000" w:themeColor="text1"/>
          <w:sz w:val="24"/>
          <w:szCs w:val="24"/>
        </w:rPr>
        <w:t>. UK: Pearson Education Limited.</w:t>
      </w:r>
      <w:bookmarkEnd w:id="44"/>
    </w:p>
    <w:p w14:paraId="3F7671E5"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Hakala, H. (2011)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“Strategic Orientations in Management Literature: Three Approaches to Understanding the Interaction between Market, Technology, Entrepreneurial and Learning Orientations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International Journal of Management Reviews</w:t>
      </w:r>
      <w:r w:rsidRPr="00563E26">
        <w:rPr>
          <w:rFonts w:ascii="Times New Roman" w:hAnsi="Times New Roman" w:cs="Times New Roman"/>
          <w:color w:val="000000" w:themeColor="text1"/>
          <w:sz w:val="24"/>
          <w:szCs w:val="24"/>
        </w:rPr>
        <w:t>, 13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199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217.</w:t>
      </w:r>
    </w:p>
    <w:p w14:paraId="3DFC21DA"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Handfield, R.B., Ragatz, G.L., Petersen, K.J.</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Monczka, R.M. (1999)</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Involving Suppliers in New Product Development</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California Management Review</w:t>
      </w:r>
      <w:r w:rsidRPr="00563E26">
        <w:rPr>
          <w:rFonts w:ascii="Times New Roman" w:hAnsi="Times New Roman" w:cs="Times New Roman"/>
          <w:color w:val="000000" w:themeColor="text1"/>
          <w:sz w:val="24"/>
          <w:szCs w:val="24"/>
        </w:rPr>
        <w:t>, 42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59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82. </w:t>
      </w:r>
    </w:p>
    <w:p w14:paraId="0CAB82D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Hamel, G., &amp; Prahalad, C. K. (1990). The core competence of the corporation. </w:t>
      </w:r>
      <w:r w:rsidRPr="00563E26">
        <w:rPr>
          <w:rFonts w:ascii="Times New Roman" w:hAnsi="Times New Roman" w:cs="Times New Roman"/>
          <w:i/>
          <w:color w:val="000000" w:themeColor="text1"/>
          <w:sz w:val="24"/>
          <w:szCs w:val="24"/>
        </w:rPr>
        <w:t xml:space="preserve">Harvard </w:t>
      </w:r>
      <w:r>
        <w:rPr>
          <w:rFonts w:ascii="Times New Roman" w:hAnsi="Times New Roman" w:cs="Times New Roman"/>
          <w:i/>
          <w:color w:val="000000" w:themeColor="text1"/>
          <w:sz w:val="24"/>
          <w:szCs w:val="24"/>
        </w:rPr>
        <w:t>B</w:t>
      </w:r>
      <w:r w:rsidRPr="00563E26">
        <w:rPr>
          <w:rFonts w:ascii="Times New Roman" w:hAnsi="Times New Roman" w:cs="Times New Roman"/>
          <w:i/>
          <w:color w:val="000000" w:themeColor="text1"/>
          <w:sz w:val="24"/>
          <w:szCs w:val="24"/>
        </w:rPr>
        <w:t xml:space="preserve">usiness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eview, 68</w:t>
      </w:r>
      <w:r w:rsidRPr="00563E26">
        <w:rPr>
          <w:rFonts w:ascii="Times New Roman" w:hAnsi="Times New Roman" w:cs="Times New Roman"/>
          <w:color w:val="000000" w:themeColor="text1"/>
          <w:sz w:val="24"/>
          <w:szCs w:val="24"/>
        </w:rPr>
        <w:t xml:space="preserve">(3), 79-91. </w:t>
      </w:r>
    </w:p>
    <w:p w14:paraId="2AC80385"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Handfield, R., Petersen, K., Cousins, P., &amp; Lawson, B. (2009). An organizational entrepreneurship model of supply management integration and performance outcomes. </w:t>
      </w:r>
      <w:r w:rsidRPr="00563E26">
        <w:rPr>
          <w:rFonts w:ascii="Times New Roman" w:hAnsi="Times New Roman" w:cs="Times New Roman"/>
          <w:i/>
          <w:color w:val="000000" w:themeColor="text1"/>
          <w:sz w:val="24"/>
          <w:szCs w:val="24"/>
        </w:rPr>
        <w:t>International Journal of Operations &amp; Production Management, 29</w:t>
      </w:r>
      <w:r w:rsidRPr="00563E26">
        <w:rPr>
          <w:rFonts w:ascii="Times New Roman" w:hAnsi="Times New Roman" w:cs="Times New Roman"/>
          <w:color w:val="000000" w:themeColor="text1"/>
          <w:sz w:val="24"/>
          <w:szCs w:val="24"/>
        </w:rPr>
        <w:t xml:space="preserve">(2), 100-126. </w:t>
      </w:r>
    </w:p>
    <w:p w14:paraId="563BD7B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Hayes, A. F. (2009). Beyond Baron and Kenny: statistical mediation analysis in the new millennium. </w:t>
      </w:r>
      <w:r w:rsidRPr="00563E26">
        <w:rPr>
          <w:rFonts w:ascii="Times New Roman" w:hAnsi="Times New Roman" w:cs="Times New Roman"/>
          <w:i/>
          <w:color w:val="000000" w:themeColor="text1"/>
          <w:sz w:val="24"/>
          <w:szCs w:val="24"/>
        </w:rPr>
        <w:t>Communication monographs, 76</w:t>
      </w:r>
      <w:r w:rsidRPr="00563E26">
        <w:rPr>
          <w:rFonts w:ascii="Times New Roman" w:hAnsi="Times New Roman" w:cs="Times New Roman"/>
          <w:color w:val="000000" w:themeColor="text1"/>
          <w:sz w:val="24"/>
          <w:szCs w:val="24"/>
        </w:rPr>
        <w:t xml:space="preserve">(4), 408-420. </w:t>
      </w:r>
    </w:p>
    <w:p w14:paraId="50D04001"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Hayes, A. F. (2013). </w:t>
      </w:r>
      <w:r w:rsidRPr="00563E26">
        <w:rPr>
          <w:rFonts w:ascii="Times New Roman" w:hAnsi="Times New Roman" w:cs="Times New Roman"/>
          <w:i/>
          <w:color w:val="000000" w:themeColor="text1"/>
          <w:sz w:val="24"/>
          <w:szCs w:val="24"/>
        </w:rPr>
        <w:t>Introduction to Mediation, Moderation, and Conditional Process Analysis: A Regression-Based Approach</w:t>
      </w:r>
      <w:r w:rsidRPr="00563E26">
        <w:rPr>
          <w:rFonts w:ascii="Times New Roman" w:hAnsi="Times New Roman" w:cs="Times New Roman"/>
          <w:color w:val="000000" w:themeColor="text1"/>
          <w:sz w:val="24"/>
          <w:szCs w:val="24"/>
        </w:rPr>
        <w:t>: Guilford Press.</w:t>
      </w:r>
    </w:p>
    <w:p w14:paraId="6034581A"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Helfat, C.E.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Winter, S.G. (2011)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Untangling Dynamic and Operational Capabilities: Strategy for the (N)ever-Changing World</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Strategic Management Journal</w:t>
      </w:r>
      <w:r w:rsidRPr="00563E26">
        <w:rPr>
          <w:rFonts w:ascii="Times New Roman" w:hAnsi="Times New Roman" w:cs="Times New Roman"/>
          <w:color w:val="000000" w:themeColor="text1"/>
          <w:sz w:val="24"/>
          <w:szCs w:val="24"/>
        </w:rPr>
        <w:t>, 32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1243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1250.</w:t>
      </w:r>
    </w:p>
    <w:p w14:paraId="5872D05F" w14:textId="77777777" w:rsidR="00247719"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Hoskisson, R. E., Eden, L., Lau, C. M., &amp; Wright, M. (2000). Strategy in emerging economies. </w:t>
      </w:r>
      <w:r w:rsidRPr="00563E26">
        <w:rPr>
          <w:rFonts w:ascii="Times New Roman" w:hAnsi="Times New Roman" w:cs="Times New Roman"/>
          <w:i/>
          <w:color w:val="000000" w:themeColor="text1"/>
          <w:sz w:val="24"/>
          <w:szCs w:val="24"/>
        </w:rPr>
        <w:t>Academy of Management Journal, 43</w:t>
      </w:r>
      <w:r w:rsidRPr="00563E26">
        <w:rPr>
          <w:rFonts w:ascii="Times New Roman" w:hAnsi="Times New Roman" w:cs="Times New Roman"/>
          <w:color w:val="000000" w:themeColor="text1"/>
          <w:sz w:val="24"/>
          <w:szCs w:val="24"/>
        </w:rPr>
        <w:t xml:space="preserve">(3), 249-267. </w:t>
      </w:r>
    </w:p>
    <w:p w14:paraId="1DBDBD2D" w14:textId="69F5EA64"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E439ED">
        <w:rPr>
          <w:rFonts w:ascii="Times New Roman" w:hAnsi="Times New Roman" w:cs="Times New Roman"/>
          <w:sz w:val="24"/>
        </w:rPr>
        <w:t>Hong, J., Zhang, Y., Ding, M., 2018. Sustainable supply chain management practices, supply chain dynamic capabilities, and enterprise performance. Journal of Cleaner Production 172, 3508–3519. https://doi.org/10.1016/j.jclepro.2017.06.093</w:t>
      </w:r>
    </w:p>
    <w:p w14:paraId="46CB4CD3"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Hult, G.T.M., Ketchen Jr., D.J.</w:t>
      </w:r>
      <w:r>
        <w:rPr>
          <w:rFonts w:ascii="Times New Roman" w:hAnsi="Times New Roman" w:cs="Times New Roman"/>
          <w:color w:val="000000" w:themeColor="text1"/>
          <w:sz w:val="24"/>
          <w:szCs w:val="24"/>
        </w:rPr>
        <w:t>, &amp;</w:t>
      </w:r>
      <w:r w:rsidRPr="00563E26">
        <w:rPr>
          <w:rFonts w:ascii="Times New Roman" w:hAnsi="Times New Roman" w:cs="Times New Roman"/>
          <w:color w:val="000000" w:themeColor="text1"/>
          <w:sz w:val="24"/>
          <w:szCs w:val="24"/>
        </w:rPr>
        <w:t xml:space="preserve"> Nichols Jr., E.L. (2003)</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Organizational learning as a strategic resource in supply management</w:t>
      </w:r>
      <w:r>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Operations Management</w:t>
      </w:r>
      <w:r w:rsidRPr="00563E26">
        <w:rPr>
          <w:rFonts w:ascii="Times New Roman" w:hAnsi="Times New Roman" w:cs="Times New Roman"/>
          <w:color w:val="000000" w:themeColor="text1"/>
          <w:sz w:val="24"/>
          <w:szCs w:val="24"/>
        </w:rPr>
        <w:t>, 21</w:t>
      </w:r>
      <w:r>
        <w:rPr>
          <w:rFonts w:ascii="Times New Roman" w:hAnsi="Times New Roman" w:cs="Times New Roman"/>
          <w:color w:val="000000" w:themeColor="text1"/>
          <w:sz w:val="24"/>
          <w:szCs w:val="24"/>
        </w:rPr>
        <w:t xml:space="preserve">(5), </w:t>
      </w:r>
      <w:r w:rsidRPr="00563E26">
        <w:rPr>
          <w:rFonts w:ascii="Times New Roman" w:hAnsi="Times New Roman" w:cs="Times New Roman"/>
          <w:color w:val="000000" w:themeColor="text1"/>
          <w:sz w:val="24"/>
          <w:szCs w:val="24"/>
        </w:rPr>
        <w:t>541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556.</w:t>
      </w:r>
    </w:p>
    <w:p w14:paraId="004F0D4D"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lastRenderedPageBreak/>
        <w:t xml:space="preserve">Hurley, R.F.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Hult, T. (1998)</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Innovation, Market Orientation, and Organizational Learning: An Integration and Empirical Examination</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Marketing</w:t>
      </w:r>
      <w:r w:rsidRPr="00563E26">
        <w:rPr>
          <w:rFonts w:ascii="Times New Roman" w:hAnsi="Times New Roman" w:cs="Times New Roman"/>
          <w:color w:val="000000" w:themeColor="text1"/>
          <w:sz w:val="24"/>
          <w:szCs w:val="24"/>
        </w:rPr>
        <w:t>, 62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42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54.</w:t>
      </w:r>
    </w:p>
    <w:p w14:paraId="73BE03DC"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5" w:name="_ENREF_44"/>
      <w:r w:rsidRPr="00563E26">
        <w:rPr>
          <w:rFonts w:ascii="Times New Roman" w:hAnsi="Times New Roman" w:cs="Times New Roman"/>
          <w:color w:val="000000" w:themeColor="text1"/>
          <w:sz w:val="24"/>
          <w:szCs w:val="24"/>
        </w:rPr>
        <w:t xml:space="preserve">Hu, L. </w:t>
      </w:r>
      <w:r>
        <w:rPr>
          <w:rFonts w:ascii="Times New Roman" w:hAnsi="Times New Roman" w:cs="Times New Roman"/>
          <w:color w:val="000000" w:themeColor="text1"/>
          <w:sz w:val="24"/>
          <w:szCs w:val="24"/>
        </w:rPr>
        <w:t>T</w:t>
      </w:r>
      <w:r w:rsidRPr="00563E26">
        <w:rPr>
          <w:rFonts w:ascii="Times New Roman" w:hAnsi="Times New Roman" w:cs="Times New Roman"/>
          <w:color w:val="000000" w:themeColor="text1"/>
          <w:sz w:val="24"/>
          <w:szCs w:val="24"/>
        </w:rPr>
        <w:t xml:space="preserve">., &amp; Bentler, P. M. (1999). Cutoff criteria for fit indexes in covariance structure analysis: conventional criteria versus new alternatives. </w:t>
      </w:r>
      <w:r w:rsidRPr="00563E26">
        <w:rPr>
          <w:rFonts w:ascii="Times New Roman" w:hAnsi="Times New Roman" w:cs="Times New Roman"/>
          <w:i/>
          <w:color w:val="000000" w:themeColor="text1"/>
          <w:sz w:val="24"/>
          <w:szCs w:val="24"/>
        </w:rPr>
        <w:t>Structural equation modeling: a multidisciplinary journal, 6</w:t>
      </w:r>
      <w:r w:rsidRPr="00563E26">
        <w:rPr>
          <w:rFonts w:ascii="Times New Roman" w:hAnsi="Times New Roman" w:cs="Times New Roman"/>
          <w:color w:val="000000" w:themeColor="text1"/>
          <w:sz w:val="24"/>
          <w:szCs w:val="24"/>
        </w:rPr>
        <w:t xml:space="preserve">(1), 1-55. </w:t>
      </w:r>
      <w:bookmarkEnd w:id="45"/>
    </w:p>
    <w:p w14:paraId="5BA6F44D"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6" w:name="_ENREF_45"/>
      <w:r w:rsidRPr="00563E26">
        <w:rPr>
          <w:rFonts w:ascii="Times New Roman" w:hAnsi="Times New Roman" w:cs="Times New Roman"/>
          <w:color w:val="000000" w:themeColor="text1"/>
          <w:sz w:val="24"/>
          <w:szCs w:val="24"/>
        </w:rPr>
        <w:t xml:space="preserve">Huang, T.-T. A., Chen, L., Stewart, R. A., &amp; Panuwatwanich, K. (2013). Leveraging power of learning capability upon manufacturing operations. </w:t>
      </w:r>
      <w:r w:rsidRPr="00563E26">
        <w:rPr>
          <w:rFonts w:ascii="Times New Roman" w:hAnsi="Times New Roman" w:cs="Times New Roman"/>
          <w:i/>
          <w:color w:val="000000" w:themeColor="text1"/>
          <w:sz w:val="24"/>
          <w:szCs w:val="24"/>
        </w:rPr>
        <w:t>International Journal of Production Economics, 145</w:t>
      </w:r>
      <w:r w:rsidRPr="00563E26">
        <w:rPr>
          <w:rFonts w:ascii="Times New Roman" w:hAnsi="Times New Roman" w:cs="Times New Roman"/>
          <w:color w:val="000000" w:themeColor="text1"/>
          <w:sz w:val="24"/>
          <w:szCs w:val="24"/>
        </w:rPr>
        <w:t xml:space="preserve">(1), 233-252. </w:t>
      </w:r>
      <w:bookmarkEnd w:id="46"/>
    </w:p>
    <w:p w14:paraId="2EF70D0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7" w:name="_ENREF_46"/>
      <w:r w:rsidRPr="00563E26">
        <w:rPr>
          <w:rFonts w:ascii="Times New Roman" w:hAnsi="Times New Roman" w:cs="Times New Roman"/>
          <w:color w:val="000000" w:themeColor="text1"/>
          <w:sz w:val="24"/>
          <w:szCs w:val="24"/>
        </w:rPr>
        <w:t xml:space="preserve">Hughes, M., Hughes, P., &amp; Morgan, R. E. (2007). Exploitative learning and entrepreneurial orientation alignment in emerging young firms: Implications for market and response performance. </w:t>
      </w:r>
      <w:r w:rsidRPr="00563E26">
        <w:rPr>
          <w:rFonts w:ascii="Times New Roman" w:hAnsi="Times New Roman" w:cs="Times New Roman"/>
          <w:i/>
          <w:color w:val="000000" w:themeColor="text1"/>
          <w:sz w:val="24"/>
          <w:szCs w:val="24"/>
        </w:rPr>
        <w:t>British Journal of Management, 18</w:t>
      </w:r>
      <w:r w:rsidRPr="00563E26">
        <w:rPr>
          <w:rFonts w:ascii="Times New Roman" w:hAnsi="Times New Roman" w:cs="Times New Roman"/>
          <w:color w:val="000000" w:themeColor="text1"/>
          <w:sz w:val="24"/>
          <w:szCs w:val="24"/>
        </w:rPr>
        <w:t xml:space="preserve">(4), 359-375. </w:t>
      </w:r>
      <w:bookmarkEnd w:id="47"/>
    </w:p>
    <w:p w14:paraId="56BCBF2E"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8" w:name="_ENREF_47"/>
      <w:r w:rsidRPr="00563E26">
        <w:rPr>
          <w:rFonts w:ascii="Times New Roman" w:hAnsi="Times New Roman" w:cs="Times New Roman"/>
          <w:color w:val="000000" w:themeColor="text1"/>
          <w:sz w:val="24"/>
          <w:szCs w:val="24"/>
        </w:rPr>
        <w:t xml:space="preserve">Ireland, R. D., &amp; Webb, J. W. (2007). A multi-theoretic perspective on trust and power in strategic supply chains. </w:t>
      </w:r>
      <w:r w:rsidRPr="00563E26">
        <w:rPr>
          <w:rFonts w:ascii="Times New Roman" w:hAnsi="Times New Roman" w:cs="Times New Roman"/>
          <w:i/>
          <w:color w:val="000000" w:themeColor="text1"/>
          <w:sz w:val="24"/>
          <w:szCs w:val="24"/>
        </w:rPr>
        <w:t>Journal of Operations Management, 25</w:t>
      </w:r>
      <w:r w:rsidRPr="00563E26">
        <w:rPr>
          <w:rFonts w:ascii="Times New Roman" w:hAnsi="Times New Roman" w:cs="Times New Roman"/>
          <w:color w:val="000000" w:themeColor="text1"/>
          <w:sz w:val="24"/>
          <w:szCs w:val="24"/>
        </w:rPr>
        <w:t xml:space="preserve">(2), 482-497. </w:t>
      </w:r>
      <w:bookmarkEnd w:id="48"/>
    </w:p>
    <w:p w14:paraId="21FF338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49" w:name="_ENREF_48"/>
      <w:r w:rsidRPr="00563E26">
        <w:rPr>
          <w:rFonts w:ascii="Times New Roman" w:hAnsi="Times New Roman" w:cs="Times New Roman"/>
          <w:color w:val="000000" w:themeColor="text1"/>
          <w:sz w:val="24"/>
          <w:szCs w:val="24"/>
        </w:rPr>
        <w:t xml:space="preserve">Jantunen, A., Puumalainen, K., Saarenketo, S., &amp; Kyläheiko, K. (2005). Entrepreneurial orientation, dynamic capabilities and international performance. </w:t>
      </w:r>
      <w:r w:rsidRPr="00563E26">
        <w:rPr>
          <w:rFonts w:ascii="Times New Roman" w:hAnsi="Times New Roman" w:cs="Times New Roman"/>
          <w:i/>
          <w:color w:val="000000" w:themeColor="text1"/>
          <w:sz w:val="24"/>
          <w:szCs w:val="24"/>
        </w:rPr>
        <w:t>Journal of International Entrepreneurship, 3</w:t>
      </w:r>
      <w:r w:rsidRPr="00563E26">
        <w:rPr>
          <w:rFonts w:ascii="Times New Roman" w:hAnsi="Times New Roman" w:cs="Times New Roman"/>
          <w:color w:val="000000" w:themeColor="text1"/>
          <w:sz w:val="24"/>
          <w:szCs w:val="24"/>
        </w:rPr>
        <w:t xml:space="preserve">(3), 223-243. </w:t>
      </w:r>
      <w:bookmarkEnd w:id="49"/>
    </w:p>
    <w:p w14:paraId="49B0F617" w14:textId="77777777" w:rsidR="00247719"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0" w:name="_ENREF_49"/>
      <w:r w:rsidRPr="00563E26">
        <w:rPr>
          <w:rFonts w:ascii="Times New Roman" w:hAnsi="Times New Roman" w:cs="Times New Roman"/>
          <w:color w:val="000000" w:themeColor="text1"/>
          <w:sz w:val="24"/>
          <w:szCs w:val="24"/>
        </w:rPr>
        <w:t xml:space="preserve">Jeswani, H. K., Wehrmeyer, W., &amp; Mulugetta, Y. (2008). How warm is the corporate response to climate change? evidence from Pakistan and the UK. </w:t>
      </w:r>
      <w:r w:rsidRPr="00563E26">
        <w:rPr>
          <w:rFonts w:ascii="Times New Roman" w:hAnsi="Times New Roman" w:cs="Times New Roman"/>
          <w:i/>
          <w:color w:val="000000" w:themeColor="text1"/>
          <w:sz w:val="24"/>
          <w:szCs w:val="24"/>
        </w:rPr>
        <w:t>Business Strategy and the Environment, 17</w:t>
      </w:r>
      <w:r w:rsidRPr="00563E26">
        <w:rPr>
          <w:rFonts w:ascii="Times New Roman" w:hAnsi="Times New Roman" w:cs="Times New Roman"/>
          <w:color w:val="000000" w:themeColor="text1"/>
          <w:sz w:val="24"/>
          <w:szCs w:val="24"/>
        </w:rPr>
        <w:t xml:space="preserve">(1), 46-60. </w:t>
      </w:r>
      <w:bookmarkEnd w:id="50"/>
    </w:p>
    <w:p w14:paraId="759BC84D" w14:textId="2039B51F"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E439ED">
        <w:rPr>
          <w:rFonts w:ascii="Times New Roman" w:hAnsi="Times New Roman" w:cs="Times New Roman"/>
          <w:sz w:val="24"/>
        </w:rPr>
        <w:t>Ju, K.-J., Park, B., Kim, T., 2016. Causal Relationship between Supply Chain Dynamic Capabilities, Technological Innovation, and Operational Performance. Management and Production Engineering Review 7, 6–15. https://doi.org/10.1515/mper-2016-0031</w:t>
      </w:r>
    </w:p>
    <w:p w14:paraId="0E21435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1" w:name="_ENREF_50"/>
      <w:r w:rsidRPr="00563E26">
        <w:rPr>
          <w:rFonts w:ascii="Times New Roman" w:hAnsi="Times New Roman" w:cs="Times New Roman"/>
          <w:color w:val="000000" w:themeColor="text1"/>
          <w:sz w:val="24"/>
          <w:szCs w:val="24"/>
        </w:rPr>
        <w:t xml:space="preserve">Kale, P., &amp; Singh, H. (2007). Building firm capabilities through learning: the role of the alliance learning process in alliance capability and firm-level alliance success. </w:t>
      </w:r>
      <w:r w:rsidRPr="00563E26">
        <w:rPr>
          <w:rFonts w:ascii="Times New Roman" w:hAnsi="Times New Roman" w:cs="Times New Roman"/>
          <w:i/>
          <w:color w:val="000000" w:themeColor="text1"/>
          <w:sz w:val="24"/>
          <w:szCs w:val="24"/>
        </w:rPr>
        <w:t>Strategic Management Journal, 28</w:t>
      </w:r>
      <w:r w:rsidRPr="00563E26">
        <w:rPr>
          <w:rFonts w:ascii="Times New Roman" w:hAnsi="Times New Roman" w:cs="Times New Roman"/>
          <w:color w:val="000000" w:themeColor="text1"/>
          <w:sz w:val="24"/>
          <w:szCs w:val="24"/>
        </w:rPr>
        <w:t xml:space="preserve">(10), 981-1000. </w:t>
      </w:r>
      <w:bookmarkEnd w:id="51"/>
    </w:p>
    <w:p w14:paraId="2D213C05"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2" w:name="_ENREF_51"/>
      <w:r w:rsidRPr="00563E26">
        <w:rPr>
          <w:rFonts w:ascii="Times New Roman" w:hAnsi="Times New Roman" w:cs="Times New Roman"/>
          <w:color w:val="000000" w:themeColor="text1"/>
          <w:sz w:val="24"/>
          <w:szCs w:val="24"/>
        </w:rPr>
        <w:t xml:space="preserve">Keh, H. T., Nguyen, T. T. M., &amp; Ng, H. P. (2007). The effects of entrepreneurial orientation and marketing information on the performance of SMEs. </w:t>
      </w:r>
      <w:r w:rsidRPr="00563E26">
        <w:rPr>
          <w:rFonts w:ascii="Times New Roman" w:hAnsi="Times New Roman" w:cs="Times New Roman"/>
          <w:i/>
          <w:color w:val="000000" w:themeColor="text1"/>
          <w:sz w:val="24"/>
          <w:szCs w:val="24"/>
        </w:rPr>
        <w:t>Journal of Business Venturing, 22</w:t>
      </w:r>
      <w:r w:rsidRPr="00563E26">
        <w:rPr>
          <w:rFonts w:ascii="Times New Roman" w:hAnsi="Times New Roman" w:cs="Times New Roman"/>
          <w:color w:val="000000" w:themeColor="text1"/>
          <w:sz w:val="24"/>
          <w:szCs w:val="24"/>
        </w:rPr>
        <w:t xml:space="preserve">(4), 592-611. </w:t>
      </w:r>
      <w:bookmarkEnd w:id="52"/>
    </w:p>
    <w:p w14:paraId="6F08565E"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Ketchen, D.J.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Hult, G.T.M. (2007)</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Bridging organization theory and supply chain management: The case of best value supply chains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 xml:space="preserve">Journal of Operations </w:t>
      </w:r>
      <w:r w:rsidRPr="00563E26">
        <w:rPr>
          <w:rFonts w:ascii="Times New Roman" w:hAnsi="Times New Roman" w:cs="Times New Roman"/>
          <w:i/>
          <w:iCs/>
          <w:color w:val="000000" w:themeColor="text1"/>
          <w:sz w:val="24"/>
          <w:szCs w:val="24"/>
        </w:rPr>
        <w:t>Management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r w:rsidRPr="00563E26">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573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580.</w:t>
      </w:r>
    </w:p>
    <w:p w14:paraId="2DE64A1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3" w:name="_ENREF_52"/>
      <w:r w:rsidRPr="00563E26">
        <w:rPr>
          <w:rFonts w:ascii="Times New Roman" w:hAnsi="Times New Roman" w:cs="Times New Roman"/>
          <w:color w:val="000000" w:themeColor="text1"/>
          <w:sz w:val="24"/>
          <w:szCs w:val="24"/>
        </w:rPr>
        <w:t xml:space="preserve">Ketokivi, M., &amp; McIntosh, C. N. (2017). Addressing the endogeneity dilemma in operations management research: Theoretical, empirical, and pragmatic considerations. </w:t>
      </w:r>
      <w:r w:rsidRPr="00563E26">
        <w:rPr>
          <w:rFonts w:ascii="Times New Roman" w:hAnsi="Times New Roman" w:cs="Times New Roman"/>
          <w:i/>
          <w:color w:val="000000" w:themeColor="text1"/>
          <w:sz w:val="24"/>
          <w:szCs w:val="24"/>
        </w:rPr>
        <w:t>Journal of Operations Management, 52</w:t>
      </w:r>
      <w:r w:rsidRPr="00563E26">
        <w:rPr>
          <w:rFonts w:ascii="Times New Roman" w:hAnsi="Times New Roman" w:cs="Times New Roman"/>
          <w:color w:val="000000" w:themeColor="text1"/>
          <w:sz w:val="24"/>
          <w:szCs w:val="24"/>
        </w:rPr>
        <w:t xml:space="preserve">, 1-14. </w:t>
      </w:r>
      <w:bookmarkEnd w:id="53"/>
    </w:p>
    <w:p w14:paraId="76B5043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4" w:name="_ENREF_53"/>
      <w:r w:rsidRPr="00563E26">
        <w:rPr>
          <w:rFonts w:ascii="Times New Roman" w:hAnsi="Times New Roman" w:cs="Times New Roman"/>
          <w:color w:val="000000" w:themeColor="text1"/>
          <w:sz w:val="24"/>
          <w:szCs w:val="24"/>
        </w:rPr>
        <w:t xml:space="preserve">Ketokivi, M. A., &amp; Schroeder, R. G. (2004). Perceptual measures of performance: fact or fiction? </w:t>
      </w:r>
      <w:r w:rsidRPr="00563E26">
        <w:rPr>
          <w:rFonts w:ascii="Times New Roman" w:hAnsi="Times New Roman" w:cs="Times New Roman"/>
          <w:i/>
          <w:color w:val="000000" w:themeColor="text1"/>
          <w:sz w:val="24"/>
          <w:szCs w:val="24"/>
        </w:rPr>
        <w:t>Journal of Operations Management, 22</w:t>
      </w:r>
      <w:r w:rsidRPr="00563E26">
        <w:rPr>
          <w:rFonts w:ascii="Times New Roman" w:hAnsi="Times New Roman" w:cs="Times New Roman"/>
          <w:color w:val="000000" w:themeColor="text1"/>
          <w:sz w:val="24"/>
          <w:szCs w:val="24"/>
        </w:rPr>
        <w:t xml:space="preserve">(3), 247-264. </w:t>
      </w:r>
      <w:bookmarkEnd w:id="54"/>
    </w:p>
    <w:p w14:paraId="19704E43"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5" w:name="_ENREF_54"/>
      <w:r w:rsidRPr="00563E26">
        <w:rPr>
          <w:rFonts w:ascii="Times New Roman" w:hAnsi="Times New Roman" w:cs="Times New Roman"/>
          <w:color w:val="000000" w:themeColor="text1"/>
          <w:sz w:val="24"/>
          <w:szCs w:val="24"/>
        </w:rPr>
        <w:t xml:space="preserve">Kortmann, S., Gelhard, C., Zimmermann, C., &amp; Piller, F. T. (2014). Linking strategic flexibility and operational efficiency: the mediating role of ambidextrous operational capabilities. </w:t>
      </w:r>
      <w:r w:rsidRPr="00563E26">
        <w:rPr>
          <w:rFonts w:ascii="Times New Roman" w:hAnsi="Times New Roman" w:cs="Times New Roman"/>
          <w:i/>
          <w:color w:val="000000" w:themeColor="text1"/>
          <w:sz w:val="24"/>
          <w:szCs w:val="24"/>
        </w:rPr>
        <w:t>Journal of Operations Management, 32</w:t>
      </w:r>
      <w:r w:rsidRPr="00563E26">
        <w:rPr>
          <w:rFonts w:ascii="Times New Roman" w:hAnsi="Times New Roman" w:cs="Times New Roman"/>
          <w:color w:val="000000" w:themeColor="text1"/>
          <w:sz w:val="24"/>
          <w:szCs w:val="24"/>
        </w:rPr>
        <w:t xml:space="preserve">(7), 475-490. </w:t>
      </w:r>
      <w:bookmarkEnd w:id="55"/>
    </w:p>
    <w:p w14:paraId="0477198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6" w:name="_ENREF_55"/>
      <w:r w:rsidRPr="00563E26">
        <w:rPr>
          <w:rFonts w:ascii="Times New Roman" w:hAnsi="Times New Roman" w:cs="Times New Roman"/>
          <w:color w:val="000000" w:themeColor="text1"/>
          <w:sz w:val="24"/>
          <w:szCs w:val="24"/>
        </w:rPr>
        <w:t xml:space="preserve">Kreiser, P. M. (2011). Entrepreneurial orientation and organizational learning: The impact of network range and network closure. </w:t>
      </w:r>
      <w:r w:rsidRPr="00563E26">
        <w:rPr>
          <w:rFonts w:ascii="Times New Roman" w:hAnsi="Times New Roman" w:cs="Times New Roman"/>
          <w:i/>
          <w:color w:val="000000" w:themeColor="text1"/>
          <w:sz w:val="24"/>
          <w:szCs w:val="24"/>
        </w:rPr>
        <w:t>Entrepreneurship Theory and Practice, 35</w:t>
      </w:r>
      <w:r w:rsidRPr="00563E26">
        <w:rPr>
          <w:rFonts w:ascii="Times New Roman" w:hAnsi="Times New Roman" w:cs="Times New Roman"/>
          <w:color w:val="000000" w:themeColor="text1"/>
          <w:sz w:val="24"/>
          <w:szCs w:val="24"/>
        </w:rPr>
        <w:t xml:space="preserve">(5), 1025-1050. </w:t>
      </w:r>
      <w:bookmarkEnd w:id="56"/>
    </w:p>
    <w:p w14:paraId="681A80C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7" w:name="_ENREF_56"/>
      <w:r w:rsidRPr="00563E26">
        <w:rPr>
          <w:rFonts w:ascii="Times New Roman" w:hAnsi="Times New Roman" w:cs="Times New Roman"/>
          <w:color w:val="000000" w:themeColor="text1"/>
          <w:sz w:val="24"/>
          <w:szCs w:val="24"/>
        </w:rPr>
        <w:t xml:space="preserve">Kumar, V., Bak, O., Guo, R., Shaw, S. L., Colicchia, C., Garza-Reyes, J. A., &amp; Kumari, A. (2018). An empirical analysis of supply and manufacturing risk and business performance: A Chinese manufacturing supply chain perspective. </w:t>
      </w:r>
      <w:r w:rsidRPr="00563E26">
        <w:rPr>
          <w:rFonts w:ascii="Times New Roman" w:hAnsi="Times New Roman" w:cs="Times New Roman"/>
          <w:i/>
          <w:color w:val="000000" w:themeColor="text1"/>
          <w:sz w:val="24"/>
          <w:szCs w:val="24"/>
        </w:rPr>
        <w:t>Supply Chain Management: An International Journal, 23</w:t>
      </w:r>
      <w:r w:rsidRPr="00563E26">
        <w:rPr>
          <w:rFonts w:ascii="Times New Roman" w:hAnsi="Times New Roman" w:cs="Times New Roman"/>
          <w:color w:val="000000" w:themeColor="text1"/>
          <w:sz w:val="24"/>
          <w:szCs w:val="24"/>
        </w:rPr>
        <w:t xml:space="preserve">(6), 461-479. </w:t>
      </w:r>
      <w:bookmarkEnd w:id="57"/>
    </w:p>
    <w:p w14:paraId="5BCAD8A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8" w:name="_ENREF_57"/>
      <w:r w:rsidRPr="00563E26">
        <w:rPr>
          <w:rFonts w:ascii="Times New Roman" w:hAnsi="Times New Roman" w:cs="Times New Roman"/>
          <w:color w:val="000000" w:themeColor="text1"/>
          <w:sz w:val="24"/>
          <w:szCs w:val="24"/>
        </w:rPr>
        <w:t xml:space="preserve">Kureshi, N., Qureshi, F., &amp; Sajid, A. (2010). Current health of quality management practices in service sector SME: a case study of Pakistan. </w:t>
      </w:r>
      <w:r w:rsidRPr="00563E26">
        <w:rPr>
          <w:rFonts w:ascii="Times New Roman" w:hAnsi="Times New Roman" w:cs="Times New Roman"/>
          <w:i/>
          <w:color w:val="000000" w:themeColor="text1"/>
          <w:sz w:val="24"/>
          <w:szCs w:val="24"/>
        </w:rPr>
        <w:t>The TQM Journal, 22</w:t>
      </w:r>
      <w:r w:rsidRPr="00563E26">
        <w:rPr>
          <w:rFonts w:ascii="Times New Roman" w:hAnsi="Times New Roman" w:cs="Times New Roman"/>
          <w:color w:val="000000" w:themeColor="text1"/>
          <w:sz w:val="24"/>
          <w:szCs w:val="24"/>
        </w:rPr>
        <w:t xml:space="preserve">(3), 317-329. </w:t>
      </w:r>
      <w:bookmarkEnd w:id="58"/>
    </w:p>
    <w:p w14:paraId="0FE6B61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59" w:name="_ENREF_58"/>
      <w:r w:rsidRPr="00563E26">
        <w:rPr>
          <w:rFonts w:ascii="Times New Roman" w:hAnsi="Times New Roman" w:cs="Times New Roman"/>
          <w:color w:val="000000" w:themeColor="text1"/>
          <w:sz w:val="24"/>
          <w:szCs w:val="24"/>
        </w:rPr>
        <w:t xml:space="preserve">Lee, H. L. (2004). The triple-A supply chain. </w:t>
      </w:r>
      <w:r w:rsidRPr="00563E26">
        <w:rPr>
          <w:rFonts w:ascii="Times New Roman" w:hAnsi="Times New Roman" w:cs="Times New Roman"/>
          <w:i/>
          <w:color w:val="000000" w:themeColor="text1"/>
          <w:sz w:val="24"/>
          <w:szCs w:val="24"/>
        </w:rPr>
        <w:t xml:space="preserve">Harvard </w:t>
      </w:r>
      <w:r>
        <w:rPr>
          <w:rFonts w:ascii="Times New Roman" w:hAnsi="Times New Roman" w:cs="Times New Roman"/>
          <w:i/>
          <w:color w:val="000000" w:themeColor="text1"/>
          <w:sz w:val="24"/>
          <w:szCs w:val="24"/>
        </w:rPr>
        <w:t>B</w:t>
      </w:r>
      <w:r w:rsidRPr="00563E26">
        <w:rPr>
          <w:rFonts w:ascii="Times New Roman" w:hAnsi="Times New Roman" w:cs="Times New Roman"/>
          <w:i/>
          <w:color w:val="000000" w:themeColor="text1"/>
          <w:sz w:val="24"/>
          <w:szCs w:val="24"/>
        </w:rPr>
        <w:t xml:space="preserve">usiness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eview, 82</w:t>
      </w:r>
      <w:r w:rsidRPr="00563E26">
        <w:rPr>
          <w:rFonts w:ascii="Times New Roman" w:hAnsi="Times New Roman" w:cs="Times New Roman"/>
          <w:color w:val="000000" w:themeColor="text1"/>
          <w:sz w:val="24"/>
          <w:szCs w:val="24"/>
        </w:rPr>
        <w:t xml:space="preserve">(10), 102-113. </w:t>
      </w:r>
      <w:bookmarkEnd w:id="59"/>
    </w:p>
    <w:p w14:paraId="20E4835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0" w:name="_ENREF_59"/>
      <w:r w:rsidRPr="00563E26">
        <w:rPr>
          <w:rFonts w:ascii="Times New Roman" w:hAnsi="Times New Roman" w:cs="Times New Roman"/>
          <w:color w:val="000000" w:themeColor="text1"/>
          <w:sz w:val="24"/>
          <w:szCs w:val="24"/>
        </w:rPr>
        <w:lastRenderedPageBreak/>
        <w:t xml:space="preserve">Lei, D., Hitt, M. A., &amp; Bettis, R. (1996). Dynamic core competences through meta-learning and strategic context.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anagement, 22</w:t>
      </w:r>
      <w:r w:rsidRPr="00563E26">
        <w:rPr>
          <w:rFonts w:ascii="Times New Roman" w:hAnsi="Times New Roman" w:cs="Times New Roman"/>
          <w:color w:val="000000" w:themeColor="text1"/>
          <w:sz w:val="24"/>
          <w:szCs w:val="24"/>
        </w:rPr>
        <w:t xml:space="preserve">(4), 549-569. </w:t>
      </w:r>
      <w:bookmarkEnd w:id="60"/>
    </w:p>
    <w:p w14:paraId="7990A661"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1" w:name="_ENREF_60"/>
      <w:r w:rsidRPr="00563E26">
        <w:rPr>
          <w:rFonts w:ascii="Times New Roman" w:hAnsi="Times New Roman" w:cs="Times New Roman"/>
          <w:color w:val="000000" w:themeColor="text1"/>
          <w:sz w:val="24"/>
          <w:szCs w:val="24"/>
        </w:rPr>
        <w:t xml:space="preserve">Li, Y., Liu, Y., &amp; Liu, H. (2011). Co-opetition, distributor's entrepreneurial orientation and manufacturer's knowledge acquisition: Evidence from China. </w:t>
      </w:r>
      <w:r w:rsidRPr="00563E26">
        <w:rPr>
          <w:rFonts w:ascii="Times New Roman" w:hAnsi="Times New Roman" w:cs="Times New Roman"/>
          <w:i/>
          <w:color w:val="000000" w:themeColor="text1"/>
          <w:sz w:val="24"/>
          <w:szCs w:val="24"/>
        </w:rPr>
        <w:t>Journal of Operations Management, 29</w:t>
      </w:r>
      <w:r w:rsidRPr="00563E26">
        <w:rPr>
          <w:rFonts w:ascii="Times New Roman" w:hAnsi="Times New Roman" w:cs="Times New Roman"/>
          <w:color w:val="000000" w:themeColor="text1"/>
          <w:sz w:val="24"/>
          <w:szCs w:val="24"/>
        </w:rPr>
        <w:t xml:space="preserve">(1), 128-142. </w:t>
      </w:r>
      <w:bookmarkEnd w:id="61"/>
    </w:p>
    <w:p w14:paraId="3D4BD365"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bookmarkStart w:id="62" w:name="_ENREF_61"/>
      <w:r w:rsidRPr="00563E26">
        <w:rPr>
          <w:rFonts w:ascii="Times New Roman" w:hAnsi="Times New Roman" w:cs="Times New Roman"/>
          <w:color w:val="000000" w:themeColor="text1"/>
          <w:sz w:val="24"/>
          <w:szCs w:val="24"/>
        </w:rPr>
        <w:t xml:space="preserve">Lieberman, M.B.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Montgomery, D.B. (1988)</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First-Mover Advantages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Strategic Management Journal</w:t>
      </w:r>
      <w:r w:rsidRPr="00563E26">
        <w:rPr>
          <w:rFonts w:ascii="Times New Roman" w:hAnsi="Times New Roman" w:cs="Times New Roman"/>
          <w:color w:val="000000" w:themeColor="text1"/>
          <w:sz w:val="24"/>
          <w:szCs w:val="24"/>
        </w:rPr>
        <w:t>, 9, 41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58.</w:t>
      </w:r>
    </w:p>
    <w:p w14:paraId="20F9A2C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Liu, Y., Blome, C., Sanderson, J., &amp; Paulraj, A. (2018). Supply chain integration capabilities, green design strategy and performance: a comparative study in the auto industry. </w:t>
      </w:r>
      <w:r w:rsidRPr="00563E26">
        <w:rPr>
          <w:rFonts w:ascii="Times New Roman" w:hAnsi="Times New Roman" w:cs="Times New Roman"/>
          <w:i/>
          <w:color w:val="000000" w:themeColor="text1"/>
          <w:sz w:val="24"/>
          <w:szCs w:val="24"/>
        </w:rPr>
        <w:t>Supply Chain Management: An International Journal, 23</w:t>
      </w:r>
      <w:r w:rsidRPr="00563E26">
        <w:rPr>
          <w:rFonts w:ascii="Times New Roman" w:hAnsi="Times New Roman" w:cs="Times New Roman"/>
          <w:color w:val="000000" w:themeColor="text1"/>
          <w:sz w:val="24"/>
          <w:szCs w:val="24"/>
        </w:rPr>
        <w:t xml:space="preserve">(5), 431-443. </w:t>
      </w:r>
      <w:bookmarkEnd w:id="62"/>
    </w:p>
    <w:p w14:paraId="23E6AB6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3" w:name="_ENREF_62"/>
      <w:r w:rsidRPr="00563E26">
        <w:rPr>
          <w:rFonts w:ascii="Times New Roman" w:hAnsi="Times New Roman" w:cs="Times New Roman"/>
          <w:color w:val="000000" w:themeColor="text1"/>
          <w:sz w:val="24"/>
          <w:szCs w:val="24"/>
        </w:rPr>
        <w:t xml:space="preserve">Lumpkin, G. T., &amp; Dess, G. G. (1996). Clarifying the entrepreneurial orientation construct and linking it to performance. </w:t>
      </w:r>
      <w:r w:rsidRPr="00563E26">
        <w:rPr>
          <w:rFonts w:ascii="Times New Roman" w:hAnsi="Times New Roman" w:cs="Times New Roman"/>
          <w:i/>
          <w:color w:val="000000" w:themeColor="text1"/>
          <w:sz w:val="24"/>
          <w:szCs w:val="24"/>
        </w:rPr>
        <w:t xml:space="preserve">Academy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 xml:space="preserve">anagement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eview, 21</w:t>
      </w:r>
      <w:r w:rsidRPr="00563E26">
        <w:rPr>
          <w:rFonts w:ascii="Times New Roman" w:hAnsi="Times New Roman" w:cs="Times New Roman"/>
          <w:color w:val="000000" w:themeColor="text1"/>
          <w:sz w:val="24"/>
          <w:szCs w:val="24"/>
        </w:rPr>
        <w:t xml:space="preserve">(1), 135-172. </w:t>
      </w:r>
      <w:bookmarkEnd w:id="63"/>
    </w:p>
    <w:p w14:paraId="634937B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4" w:name="_ENREF_63"/>
      <w:r w:rsidRPr="00563E26">
        <w:rPr>
          <w:rFonts w:ascii="Times New Roman" w:hAnsi="Times New Roman" w:cs="Times New Roman"/>
          <w:color w:val="000000" w:themeColor="text1"/>
          <w:sz w:val="24"/>
          <w:szCs w:val="24"/>
        </w:rPr>
        <w:t xml:space="preserve">Lyon, D. W., Lumpkin, G. T., &amp; Dess, G. G. (2000). Enhancing entrepreneurial orientation research: Operationalizing and measuring a key strategic decision making process.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M</w:t>
      </w:r>
      <w:r w:rsidRPr="00563E26">
        <w:rPr>
          <w:rFonts w:ascii="Times New Roman" w:hAnsi="Times New Roman" w:cs="Times New Roman"/>
          <w:i/>
          <w:color w:val="000000" w:themeColor="text1"/>
          <w:sz w:val="24"/>
          <w:szCs w:val="24"/>
        </w:rPr>
        <w:t>anagement, 26</w:t>
      </w:r>
      <w:r w:rsidRPr="00563E26">
        <w:rPr>
          <w:rFonts w:ascii="Times New Roman" w:hAnsi="Times New Roman" w:cs="Times New Roman"/>
          <w:color w:val="000000" w:themeColor="text1"/>
          <w:sz w:val="24"/>
          <w:szCs w:val="24"/>
        </w:rPr>
        <w:t xml:space="preserve">(5), 1055-1085. </w:t>
      </w:r>
      <w:bookmarkEnd w:id="64"/>
    </w:p>
    <w:p w14:paraId="0AEC8B3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5" w:name="_ENREF_64"/>
      <w:r w:rsidRPr="00563E26">
        <w:rPr>
          <w:rFonts w:ascii="Times New Roman" w:hAnsi="Times New Roman" w:cs="Times New Roman"/>
          <w:color w:val="000000" w:themeColor="text1"/>
          <w:sz w:val="24"/>
          <w:szCs w:val="24"/>
        </w:rPr>
        <w:t xml:space="preserve">MacKenzie, S. B., &amp; Podsakoff, P. M. (2012). Common Method Bias in Marketing: Causes, Mechanisms, and Procedural Remedies. </w:t>
      </w:r>
      <w:r w:rsidRPr="00563E26">
        <w:rPr>
          <w:rFonts w:ascii="Times New Roman" w:hAnsi="Times New Roman" w:cs="Times New Roman"/>
          <w:i/>
          <w:color w:val="000000" w:themeColor="text1"/>
          <w:sz w:val="24"/>
          <w:szCs w:val="24"/>
        </w:rPr>
        <w:t>Journal of Retailing, 88</w:t>
      </w:r>
      <w:r w:rsidRPr="00563E26">
        <w:rPr>
          <w:rFonts w:ascii="Times New Roman" w:hAnsi="Times New Roman" w:cs="Times New Roman"/>
          <w:color w:val="000000" w:themeColor="text1"/>
          <w:sz w:val="24"/>
          <w:szCs w:val="24"/>
        </w:rPr>
        <w:t xml:space="preserve">(4), 542-555. </w:t>
      </w:r>
      <w:bookmarkEnd w:id="65"/>
    </w:p>
    <w:p w14:paraId="2FA61F0A"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6" w:name="_ENREF_65"/>
      <w:r w:rsidRPr="00563E26">
        <w:rPr>
          <w:rFonts w:ascii="Times New Roman" w:hAnsi="Times New Roman" w:cs="Times New Roman"/>
          <w:color w:val="000000" w:themeColor="text1"/>
          <w:sz w:val="24"/>
          <w:szCs w:val="24"/>
        </w:rPr>
        <w:t xml:space="preserve">Malik, O. R., &amp; Kotabe, M. (2009). Dynamic capabilities, government policies, and performance in firms from emerging economies: evidence from India and Pakistan. </w:t>
      </w:r>
      <w:r w:rsidRPr="00563E26">
        <w:rPr>
          <w:rFonts w:ascii="Times New Roman" w:hAnsi="Times New Roman" w:cs="Times New Roman"/>
          <w:i/>
          <w:color w:val="000000" w:themeColor="text1"/>
          <w:sz w:val="24"/>
          <w:szCs w:val="24"/>
        </w:rPr>
        <w:t>Journal of Management Studies, 46</w:t>
      </w:r>
      <w:r w:rsidRPr="00563E26">
        <w:rPr>
          <w:rFonts w:ascii="Times New Roman" w:hAnsi="Times New Roman" w:cs="Times New Roman"/>
          <w:color w:val="000000" w:themeColor="text1"/>
          <w:sz w:val="24"/>
          <w:szCs w:val="24"/>
        </w:rPr>
        <w:t xml:space="preserve">(3), 421-450. </w:t>
      </w:r>
      <w:bookmarkEnd w:id="66"/>
    </w:p>
    <w:p w14:paraId="13019CD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7" w:name="_ENREF_66"/>
      <w:r w:rsidRPr="00563E26">
        <w:rPr>
          <w:rFonts w:ascii="Times New Roman" w:hAnsi="Times New Roman" w:cs="Times New Roman"/>
          <w:color w:val="000000" w:themeColor="text1"/>
          <w:sz w:val="24"/>
          <w:szCs w:val="24"/>
        </w:rPr>
        <w:t xml:space="preserve">Marshall, D., McCarthy, L., McGrath, P., &amp; Claudy, M. (2015). Going above and beyond: how sustainability culture and entrepreneurial orientation drive social sustainability supply chain practice adoption. </w:t>
      </w:r>
      <w:r w:rsidRPr="00563E26">
        <w:rPr>
          <w:rFonts w:ascii="Times New Roman" w:hAnsi="Times New Roman" w:cs="Times New Roman"/>
          <w:i/>
          <w:color w:val="000000" w:themeColor="text1"/>
          <w:sz w:val="24"/>
          <w:szCs w:val="24"/>
        </w:rPr>
        <w:t>Supply Chain Management: An International Journal, 20</w:t>
      </w:r>
      <w:r w:rsidRPr="00563E26">
        <w:rPr>
          <w:rFonts w:ascii="Times New Roman" w:hAnsi="Times New Roman" w:cs="Times New Roman"/>
          <w:color w:val="000000" w:themeColor="text1"/>
          <w:sz w:val="24"/>
          <w:szCs w:val="24"/>
        </w:rPr>
        <w:t xml:space="preserve">(4), 434-454. </w:t>
      </w:r>
      <w:bookmarkEnd w:id="67"/>
    </w:p>
    <w:p w14:paraId="3FEAFEFC"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8" w:name="_ENREF_67"/>
      <w:r w:rsidRPr="00563E26">
        <w:rPr>
          <w:rFonts w:ascii="Times New Roman" w:hAnsi="Times New Roman" w:cs="Times New Roman"/>
          <w:color w:val="000000" w:themeColor="text1"/>
          <w:sz w:val="24"/>
          <w:szCs w:val="24"/>
        </w:rPr>
        <w:t xml:space="preserve">Miller, D., &amp; Friesen, P. H. (1982). Innovation in conservative and entrepreneurial firms: two models of strategic momentum. </w:t>
      </w:r>
      <w:r w:rsidRPr="00563E26">
        <w:rPr>
          <w:rFonts w:ascii="Times New Roman" w:hAnsi="Times New Roman" w:cs="Times New Roman"/>
          <w:i/>
          <w:color w:val="000000" w:themeColor="text1"/>
          <w:sz w:val="24"/>
          <w:szCs w:val="24"/>
        </w:rPr>
        <w:t>Strategic Management Journal, 3</w:t>
      </w:r>
      <w:r w:rsidRPr="00563E26">
        <w:rPr>
          <w:rFonts w:ascii="Times New Roman" w:hAnsi="Times New Roman" w:cs="Times New Roman"/>
          <w:color w:val="000000" w:themeColor="text1"/>
          <w:sz w:val="24"/>
          <w:szCs w:val="24"/>
        </w:rPr>
        <w:t xml:space="preserve">(1), 1-25. </w:t>
      </w:r>
      <w:bookmarkEnd w:id="68"/>
    </w:p>
    <w:p w14:paraId="3544CE55"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Miller, D. (1983)</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The correlates of entrepreneurship in three types of firms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Management Science</w:t>
      </w:r>
      <w:r w:rsidRPr="00563E26">
        <w:rPr>
          <w:rFonts w:ascii="Times New Roman" w:hAnsi="Times New Roman" w:cs="Times New Roman"/>
          <w:color w:val="000000" w:themeColor="text1"/>
          <w:sz w:val="24"/>
          <w:szCs w:val="24"/>
        </w:rPr>
        <w:t>, 29, 770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791.</w:t>
      </w:r>
    </w:p>
    <w:p w14:paraId="2BAC62F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69" w:name="_ENREF_68"/>
      <w:r w:rsidRPr="00563E26">
        <w:rPr>
          <w:rFonts w:ascii="Times New Roman" w:hAnsi="Times New Roman" w:cs="Times New Roman"/>
          <w:color w:val="000000" w:themeColor="text1"/>
          <w:sz w:val="24"/>
          <w:szCs w:val="24"/>
        </w:rPr>
        <w:t xml:space="preserve">Montabon, F., Daugherty, P. J., &amp; Chen, H. (2018). Setting standards for single respondent survey design. </w:t>
      </w:r>
      <w:r w:rsidRPr="00563E26">
        <w:rPr>
          <w:rFonts w:ascii="Times New Roman" w:hAnsi="Times New Roman" w:cs="Times New Roman"/>
          <w:i/>
          <w:color w:val="000000" w:themeColor="text1"/>
          <w:sz w:val="24"/>
          <w:szCs w:val="24"/>
        </w:rPr>
        <w:t>Journal of Supply Chain Management, 54</w:t>
      </w:r>
      <w:r w:rsidRPr="00563E26">
        <w:rPr>
          <w:rFonts w:ascii="Times New Roman" w:hAnsi="Times New Roman" w:cs="Times New Roman"/>
          <w:color w:val="000000" w:themeColor="text1"/>
          <w:sz w:val="24"/>
          <w:szCs w:val="24"/>
        </w:rPr>
        <w:t xml:space="preserve">(1), 35-41. </w:t>
      </w:r>
      <w:bookmarkEnd w:id="69"/>
    </w:p>
    <w:p w14:paraId="0F5DF155"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0" w:name="_ENREF_69"/>
      <w:r w:rsidRPr="00563E26">
        <w:rPr>
          <w:rFonts w:ascii="Times New Roman" w:hAnsi="Times New Roman" w:cs="Times New Roman"/>
          <w:color w:val="000000" w:themeColor="text1"/>
          <w:sz w:val="24"/>
          <w:szCs w:val="24"/>
        </w:rPr>
        <w:t xml:space="preserve">Morgan, N., Vorhies, D., &amp; Mason, C. (2009). Market orientation, marketing capabilities, and firm performance. </w:t>
      </w:r>
      <w:r w:rsidRPr="00563E26">
        <w:rPr>
          <w:rFonts w:ascii="Times New Roman" w:hAnsi="Times New Roman" w:cs="Times New Roman"/>
          <w:i/>
          <w:color w:val="000000" w:themeColor="text1"/>
          <w:sz w:val="24"/>
          <w:szCs w:val="24"/>
        </w:rPr>
        <w:t>Strategic Management Journal, 30</w:t>
      </w:r>
      <w:r w:rsidRPr="00563E26">
        <w:rPr>
          <w:rFonts w:ascii="Times New Roman" w:hAnsi="Times New Roman" w:cs="Times New Roman"/>
          <w:color w:val="000000" w:themeColor="text1"/>
          <w:sz w:val="24"/>
          <w:szCs w:val="24"/>
        </w:rPr>
        <w:t xml:space="preserve">(8), 909-920. </w:t>
      </w:r>
      <w:bookmarkEnd w:id="70"/>
    </w:p>
    <w:p w14:paraId="21FFFB8F"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bookmarkStart w:id="71" w:name="_ENREF_70"/>
      <w:r w:rsidRPr="00563E26">
        <w:rPr>
          <w:rFonts w:ascii="Times New Roman" w:hAnsi="Times New Roman" w:cs="Times New Roman"/>
          <w:color w:val="000000" w:themeColor="text1"/>
          <w:sz w:val="24"/>
          <w:szCs w:val="24"/>
        </w:rPr>
        <w:t>Morgan, N.A. (2012)</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Marketing and business performance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the Academy of Marketing Science</w:t>
      </w:r>
      <w:r w:rsidRPr="00563E26">
        <w:rPr>
          <w:rFonts w:ascii="Times New Roman" w:hAnsi="Times New Roman" w:cs="Times New Roman"/>
          <w:color w:val="000000" w:themeColor="text1"/>
          <w:sz w:val="24"/>
          <w:szCs w:val="24"/>
        </w:rPr>
        <w:t>, 40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102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119.</w:t>
      </w:r>
    </w:p>
    <w:p w14:paraId="746260D5"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Ngai, E.W.T., Chau, D.C.K.</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Chan, T.L.A. (2011)</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Information technology, operational, and management competencies for supply chain agility: Findings from case studies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The Journal of Strategic Information Systems</w:t>
      </w:r>
      <w:r w:rsidRPr="00563E26">
        <w:rPr>
          <w:rFonts w:ascii="Times New Roman" w:hAnsi="Times New Roman" w:cs="Times New Roman"/>
          <w:color w:val="000000" w:themeColor="text1"/>
          <w:sz w:val="24"/>
          <w:szCs w:val="24"/>
        </w:rPr>
        <w:t>, 20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232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249.</w:t>
      </w:r>
    </w:p>
    <w:p w14:paraId="7D29BAF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Ojha, D., Acharya, C., &amp; Cooper, D. (2018). Transformational leadership and supply chain ambidexterity: Mediating role of supply chain organizational learning and moderating role of uncertainty. </w:t>
      </w:r>
      <w:r w:rsidRPr="00563E26">
        <w:rPr>
          <w:rFonts w:ascii="Times New Roman" w:hAnsi="Times New Roman" w:cs="Times New Roman"/>
          <w:i/>
          <w:color w:val="000000" w:themeColor="text1"/>
          <w:sz w:val="24"/>
          <w:szCs w:val="24"/>
        </w:rPr>
        <w:t>International Journal of Production Economics, 197</w:t>
      </w:r>
      <w:r w:rsidRPr="00563E26">
        <w:rPr>
          <w:rFonts w:ascii="Times New Roman" w:hAnsi="Times New Roman" w:cs="Times New Roman"/>
          <w:color w:val="000000" w:themeColor="text1"/>
          <w:sz w:val="24"/>
          <w:szCs w:val="24"/>
        </w:rPr>
        <w:t xml:space="preserve">, 215-231. </w:t>
      </w:r>
      <w:bookmarkEnd w:id="71"/>
    </w:p>
    <w:p w14:paraId="44F5C19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2" w:name="_ENREF_71"/>
      <w:r w:rsidRPr="00563E26">
        <w:rPr>
          <w:rFonts w:ascii="Times New Roman" w:hAnsi="Times New Roman" w:cs="Times New Roman"/>
          <w:color w:val="000000" w:themeColor="text1"/>
          <w:sz w:val="24"/>
          <w:szCs w:val="24"/>
        </w:rPr>
        <w:t xml:space="preserve">Ojha, D., Shockley, J., &amp; Acharya, C. (2016). Supply chain organizational infrastructure for promoting entrepreneurial emphasis and innovativeness: the role of trust and learning. </w:t>
      </w:r>
      <w:r w:rsidRPr="00563E26">
        <w:rPr>
          <w:rFonts w:ascii="Times New Roman" w:hAnsi="Times New Roman" w:cs="Times New Roman"/>
          <w:i/>
          <w:color w:val="000000" w:themeColor="text1"/>
          <w:sz w:val="24"/>
          <w:szCs w:val="24"/>
        </w:rPr>
        <w:t>International Journal of Production Economics, 179</w:t>
      </w:r>
      <w:r w:rsidRPr="00563E26">
        <w:rPr>
          <w:rFonts w:ascii="Times New Roman" w:hAnsi="Times New Roman" w:cs="Times New Roman"/>
          <w:color w:val="000000" w:themeColor="text1"/>
          <w:sz w:val="24"/>
          <w:szCs w:val="24"/>
        </w:rPr>
        <w:t xml:space="preserve">, 212-227. </w:t>
      </w:r>
      <w:bookmarkEnd w:id="72"/>
    </w:p>
    <w:p w14:paraId="23107215"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3" w:name="_ENREF_72"/>
      <w:r w:rsidRPr="00563E26">
        <w:rPr>
          <w:rFonts w:ascii="Times New Roman" w:hAnsi="Times New Roman" w:cs="Times New Roman"/>
          <w:color w:val="000000" w:themeColor="text1"/>
          <w:sz w:val="24"/>
          <w:szCs w:val="24"/>
        </w:rPr>
        <w:t>Pakistan Bureau of Statistics (2005-06). Census of Manufacturing Industries (Vol. 2005-06). Pakistan: Pakistan Bureau of Statistics.</w:t>
      </w:r>
      <w:bookmarkEnd w:id="73"/>
    </w:p>
    <w:p w14:paraId="48F55A4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4" w:name="_ENREF_73"/>
      <w:r w:rsidRPr="00563E26">
        <w:rPr>
          <w:rFonts w:ascii="Times New Roman" w:hAnsi="Times New Roman" w:cs="Times New Roman"/>
          <w:color w:val="000000" w:themeColor="text1"/>
          <w:sz w:val="24"/>
          <w:szCs w:val="24"/>
        </w:rPr>
        <w:t xml:space="preserve">Podsakoff, P. M., MacKenzie, S. B., Lee, J.-Y., &amp; Podsakoff, N. P. (2003). Common method biases in behavioral research: a critical review of the literature and recommended remedies.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A</w:t>
      </w:r>
      <w:r w:rsidRPr="00563E26">
        <w:rPr>
          <w:rFonts w:ascii="Times New Roman" w:hAnsi="Times New Roman" w:cs="Times New Roman"/>
          <w:i/>
          <w:color w:val="000000" w:themeColor="text1"/>
          <w:sz w:val="24"/>
          <w:szCs w:val="24"/>
        </w:rPr>
        <w:t xml:space="preserve">pplied </w:t>
      </w:r>
      <w:r>
        <w:rPr>
          <w:rFonts w:ascii="Times New Roman" w:hAnsi="Times New Roman" w:cs="Times New Roman"/>
          <w:i/>
          <w:color w:val="000000" w:themeColor="text1"/>
          <w:sz w:val="24"/>
          <w:szCs w:val="24"/>
        </w:rPr>
        <w:t>P</w:t>
      </w:r>
      <w:r w:rsidRPr="00563E26">
        <w:rPr>
          <w:rFonts w:ascii="Times New Roman" w:hAnsi="Times New Roman" w:cs="Times New Roman"/>
          <w:i/>
          <w:color w:val="000000" w:themeColor="text1"/>
          <w:sz w:val="24"/>
          <w:szCs w:val="24"/>
        </w:rPr>
        <w:t>sychology, 88</w:t>
      </w:r>
      <w:r w:rsidRPr="00563E26">
        <w:rPr>
          <w:rFonts w:ascii="Times New Roman" w:hAnsi="Times New Roman" w:cs="Times New Roman"/>
          <w:color w:val="000000" w:themeColor="text1"/>
          <w:sz w:val="24"/>
          <w:szCs w:val="24"/>
        </w:rPr>
        <w:t>(5), 879</w:t>
      </w:r>
      <w:r>
        <w:rPr>
          <w:rFonts w:ascii="Times New Roman" w:hAnsi="Times New Roman" w:cs="Times New Roman"/>
          <w:color w:val="000000" w:themeColor="text1"/>
          <w:sz w:val="24"/>
          <w:szCs w:val="24"/>
        </w:rPr>
        <w:t>-903</w:t>
      </w:r>
      <w:r w:rsidRPr="00563E26">
        <w:rPr>
          <w:rFonts w:ascii="Times New Roman" w:hAnsi="Times New Roman" w:cs="Times New Roman"/>
          <w:color w:val="000000" w:themeColor="text1"/>
          <w:sz w:val="24"/>
          <w:szCs w:val="24"/>
        </w:rPr>
        <w:t xml:space="preserve">. </w:t>
      </w:r>
      <w:bookmarkEnd w:id="74"/>
    </w:p>
    <w:p w14:paraId="07946C86"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lastRenderedPageBreak/>
        <w:t>Powell, W.W.; K., Kenneth W.;. Smith-Doerr, Laurel, Koput, K.W.</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Smith-Doerr, L. (1996)</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Interorganizational Collaboration and the Locus of Innovation: Networks of Learning in Biotechnology</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Administrative Science Quarterly</w:t>
      </w:r>
      <w:r w:rsidRPr="00563E26">
        <w:rPr>
          <w:rFonts w:ascii="Times New Roman" w:hAnsi="Times New Roman" w:cs="Times New Roman"/>
          <w:color w:val="000000" w:themeColor="text1"/>
          <w:sz w:val="24"/>
          <w:szCs w:val="24"/>
        </w:rPr>
        <w:t>, 41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116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145.</w:t>
      </w:r>
    </w:p>
    <w:p w14:paraId="6413FC4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5" w:name="_ENREF_74"/>
      <w:r w:rsidRPr="00563E26">
        <w:rPr>
          <w:rFonts w:ascii="Times New Roman" w:hAnsi="Times New Roman" w:cs="Times New Roman"/>
          <w:color w:val="000000" w:themeColor="text1"/>
          <w:sz w:val="24"/>
          <w:szCs w:val="24"/>
        </w:rPr>
        <w:t xml:space="preserve">Protogerou, A., Caloghirou, Y., &amp; Lioukas, S. (2012). Dynamic capabilities and their indirect impact on firm performance. </w:t>
      </w:r>
      <w:r w:rsidRPr="00563E26">
        <w:rPr>
          <w:rFonts w:ascii="Times New Roman" w:hAnsi="Times New Roman" w:cs="Times New Roman"/>
          <w:i/>
          <w:color w:val="000000" w:themeColor="text1"/>
          <w:sz w:val="24"/>
          <w:szCs w:val="24"/>
        </w:rPr>
        <w:t>Industrial and Corporate Change, 21</w:t>
      </w:r>
      <w:r w:rsidRPr="00563E26">
        <w:rPr>
          <w:rFonts w:ascii="Times New Roman" w:hAnsi="Times New Roman" w:cs="Times New Roman"/>
          <w:color w:val="000000" w:themeColor="text1"/>
          <w:sz w:val="24"/>
          <w:szCs w:val="24"/>
        </w:rPr>
        <w:t xml:space="preserve">(3), 615-647. </w:t>
      </w:r>
      <w:bookmarkEnd w:id="75"/>
    </w:p>
    <w:p w14:paraId="6DC271C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6" w:name="_ENREF_75"/>
      <w:r w:rsidRPr="00563E26">
        <w:rPr>
          <w:rFonts w:ascii="Times New Roman" w:hAnsi="Times New Roman" w:cs="Times New Roman"/>
          <w:color w:val="000000" w:themeColor="text1"/>
          <w:sz w:val="24"/>
          <w:szCs w:val="24"/>
        </w:rPr>
        <w:t xml:space="preserve">Qrunfleh, S., &amp; Tarafdar, M. (2013). Lean and agile supply chain strategies and supply chain responsiveness: the role of strategic supplier partnership and postponement. </w:t>
      </w:r>
      <w:r w:rsidRPr="00563E26">
        <w:rPr>
          <w:rFonts w:ascii="Times New Roman" w:hAnsi="Times New Roman" w:cs="Times New Roman"/>
          <w:i/>
          <w:color w:val="000000" w:themeColor="text1"/>
          <w:sz w:val="24"/>
          <w:szCs w:val="24"/>
        </w:rPr>
        <w:t>Supply Chain Management: An International Journal, 18</w:t>
      </w:r>
      <w:r w:rsidRPr="00563E26">
        <w:rPr>
          <w:rFonts w:ascii="Times New Roman" w:hAnsi="Times New Roman" w:cs="Times New Roman"/>
          <w:color w:val="000000" w:themeColor="text1"/>
          <w:sz w:val="24"/>
          <w:szCs w:val="24"/>
        </w:rPr>
        <w:t xml:space="preserve">(6), 571-582. </w:t>
      </w:r>
      <w:bookmarkEnd w:id="76"/>
    </w:p>
    <w:p w14:paraId="5793E9C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77" w:name="_ENREF_76"/>
      <w:r w:rsidRPr="00563E26">
        <w:rPr>
          <w:rFonts w:ascii="Times New Roman" w:hAnsi="Times New Roman" w:cs="Times New Roman"/>
          <w:color w:val="000000" w:themeColor="text1"/>
          <w:sz w:val="24"/>
          <w:szCs w:val="24"/>
        </w:rPr>
        <w:t xml:space="preserve">Real, J. C., Roldán, J. L., &amp; Leal, A. (2014). From entrepreneurial orientation and learning orientation to business performance: analysing the mediating role of organizational learning and the moderating effects of organizational size. </w:t>
      </w:r>
      <w:r w:rsidRPr="00563E26">
        <w:rPr>
          <w:rFonts w:ascii="Times New Roman" w:hAnsi="Times New Roman" w:cs="Times New Roman"/>
          <w:i/>
          <w:color w:val="000000" w:themeColor="text1"/>
          <w:sz w:val="24"/>
          <w:szCs w:val="24"/>
        </w:rPr>
        <w:t>British Journal of Management, 25</w:t>
      </w:r>
      <w:r w:rsidRPr="00563E26">
        <w:rPr>
          <w:rFonts w:ascii="Times New Roman" w:hAnsi="Times New Roman" w:cs="Times New Roman"/>
          <w:color w:val="000000" w:themeColor="text1"/>
          <w:sz w:val="24"/>
          <w:szCs w:val="24"/>
        </w:rPr>
        <w:t xml:space="preserve">(2), 186-208. </w:t>
      </w:r>
      <w:bookmarkEnd w:id="77"/>
    </w:p>
    <w:p w14:paraId="607BAB17"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bookmarkStart w:id="78" w:name="_ENREF_77"/>
      <w:r w:rsidRPr="00563E26">
        <w:rPr>
          <w:rFonts w:ascii="Times New Roman" w:hAnsi="Times New Roman" w:cs="Times New Roman"/>
          <w:color w:val="000000" w:themeColor="text1"/>
          <w:sz w:val="24"/>
          <w:szCs w:val="24"/>
        </w:rPr>
        <w:t>Renko, M., Carsrud, A.</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Brännback, M. (2009)</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The Effect of a Market Orientation, Entrepreneurial Orientation, and Technological Capability on Innovativeness: A Study of Young Biotechnology Ventures in the United States and in Scandinavia</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Journal of Small Business Management</w:t>
      </w:r>
      <w:r w:rsidRPr="00563E26">
        <w:rPr>
          <w:rFonts w:ascii="Times New Roman" w:hAnsi="Times New Roman" w:cs="Times New Roman"/>
          <w:color w:val="000000" w:themeColor="text1"/>
          <w:sz w:val="24"/>
          <w:szCs w:val="24"/>
        </w:rPr>
        <w:t>, 47</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331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369.</w:t>
      </w:r>
    </w:p>
    <w:p w14:paraId="035F759D" w14:textId="358F8955" w:rsidR="00247719"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Reyes, M. Z. (2004). </w:t>
      </w:r>
      <w:r w:rsidRPr="00563E26">
        <w:rPr>
          <w:rFonts w:ascii="Times New Roman" w:hAnsi="Times New Roman" w:cs="Times New Roman"/>
          <w:i/>
          <w:color w:val="000000" w:themeColor="text1"/>
          <w:sz w:val="24"/>
          <w:szCs w:val="24"/>
        </w:rPr>
        <w:t>Social research: A deductive approach</w:t>
      </w:r>
      <w:r w:rsidRPr="00563E26">
        <w:rPr>
          <w:rFonts w:ascii="Times New Roman" w:hAnsi="Times New Roman" w:cs="Times New Roman"/>
          <w:color w:val="000000" w:themeColor="text1"/>
          <w:sz w:val="24"/>
          <w:szCs w:val="24"/>
        </w:rPr>
        <w:t>: Rex Bookstore, Inc.</w:t>
      </w:r>
      <w:bookmarkEnd w:id="78"/>
    </w:p>
    <w:p w14:paraId="73B39178" w14:textId="77777777" w:rsidR="0059460E" w:rsidRPr="00D30358"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t xml:space="preserve">Rojo, A., Stevenson, M., Lloréns Montes, F.J. and Maria Nieves Perez-Arostegui. (2018), “Supply chain flexibility in dynamic environments”, </w:t>
      </w:r>
      <w:r w:rsidRPr="00D30358">
        <w:rPr>
          <w:rFonts w:ascii="Times New Roman" w:hAnsi="Times New Roman" w:cs="Times New Roman"/>
          <w:i/>
          <w:iCs/>
          <w:sz w:val="24"/>
        </w:rPr>
        <w:t>International Journal of Operations &amp; Production Management</w:t>
      </w:r>
      <w:r w:rsidRPr="00D30358">
        <w:rPr>
          <w:rFonts w:ascii="Times New Roman" w:hAnsi="Times New Roman" w:cs="Times New Roman"/>
          <w:sz w:val="24"/>
        </w:rPr>
        <w:t>, Vol. 38 No. 3, pp. 636–666.</w:t>
      </w:r>
    </w:p>
    <w:p w14:paraId="002FBCDD" w14:textId="65C6E92F" w:rsidR="00247719" w:rsidRDefault="00247719" w:rsidP="00247719">
      <w:pPr>
        <w:pStyle w:val="Bibliography"/>
        <w:spacing w:line="240" w:lineRule="auto"/>
        <w:rPr>
          <w:rFonts w:ascii="Times New Roman" w:hAnsi="Times New Roman" w:cs="Times New Roman"/>
          <w:color w:val="000000" w:themeColor="text1"/>
          <w:sz w:val="24"/>
          <w:szCs w:val="24"/>
        </w:rPr>
      </w:pPr>
      <w:bookmarkStart w:id="79" w:name="_ENREF_78"/>
      <w:r w:rsidRPr="00563E26">
        <w:rPr>
          <w:rFonts w:ascii="Times New Roman" w:hAnsi="Times New Roman" w:cs="Times New Roman"/>
          <w:color w:val="000000" w:themeColor="text1"/>
          <w:sz w:val="24"/>
          <w:szCs w:val="24"/>
        </w:rPr>
        <w:t xml:space="preserve">Ryan, J. C., &amp; Tipu, S. A. (2013). Leadership effects on innovation propensity: a two-factor full range leadership model. </w:t>
      </w:r>
      <w:r w:rsidRPr="00563E26">
        <w:rPr>
          <w:rFonts w:ascii="Times New Roman" w:hAnsi="Times New Roman" w:cs="Times New Roman"/>
          <w:i/>
          <w:color w:val="000000" w:themeColor="text1"/>
          <w:sz w:val="24"/>
          <w:szCs w:val="24"/>
        </w:rPr>
        <w:t>Journal of Business Research, 66</w:t>
      </w:r>
      <w:r w:rsidRPr="00563E26">
        <w:rPr>
          <w:rFonts w:ascii="Times New Roman" w:hAnsi="Times New Roman" w:cs="Times New Roman"/>
          <w:color w:val="000000" w:themeColor="text1"/>
          <w:sz w:val="24"/>
          <w:szCs w:val="24"/>
        </w:rPr>
        <w:t>(10), 2116-2129</w:t>
      </w:r>
    </w:p>
    <w:p w14:paraId="1AEC9E85" w14:textId="4A14AB69" w:rsidR="0059460E" w:rsidRPr="0059460E"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t xml:space="preserve">Sahi, G.K., Gupta, M., Cheng, T.C.E. and Lionel, S. (2019), “Relating entrepreneurial orientation with operational responsiveness”, </w:t>
      </w:r>
      <w:r w:rsidRPr="00D30358">
        <w:rPr>
          <w:rFonts w:ascii="Times New Roman" w:hAnsi="Times New Roman" w:cs="Times New Roman"/>
          <w:i/>
          <w:iCs/>
          <w:sz w:val="24"/>
        </w:rPr>
        <w:t>International Journal of Production and Operations Management</w:t>
      </w:r>
      <w:r w:rsidRPr="00D30358">
        <w:rPr>
          <w:rFonts w:ascii="Times New Roman" w:hAnsi="Times New Roman" w:cs="Times New Roman"/>
          <w:sz w:val="24"/>
        </w:rPr>
        <w:t>, Vol. 39 No. 5, pp. 739–766.</w:t>
      </w:r>
    </w:p>
    <w:p w14:paraId="426D1FEF"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Sauer, P.C.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Seuring, S. (2018)</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A three-dimensional framework for multi-tier sustainable supply chain management</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Supply Chain Management: An International Journal</w:t>
      </w:r>
      <w:r w:rsidRPr="00563E26">
        <w:rPr>
          <w:rFonts w:ascii="Times New Roman" w:hAnsi="Times New Roman" w:cs="Times New Roman"/>
          <w:color w:val="000000" w:themeColor="text1"/>
          <w:sz w:val="24"/>
          <w:szCs w:val="24"/>
        </w:rPr>
        <w:t>, 23</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560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572.</w:t>
      </w:r>
    </w:p>
    <w:p w14:paraId="6F6EEFC3"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0" w:name="_ENREF_79"/>
      <w:bookmarkEnd w:id="79"/>
      <w:r w:rsidRPr="00563E26">
        <w:rPr>
          <w:rFonts w:ascii="Times New Roman" w:hAnsi="Times New Roman" w:cs="Times New Roman"/>
          <w:color w:val="000000" w:themeColor="text1"/>
          <w:sz w:val="24"/>
          <w:szCs w:val="24"/>
        </w:rPr>
        <w:t xml:space="preserve">Sapienza, H. J., De Clercq, D., &amp; Sandberg, W. R. (2005). Antecedents of international and domestic learning effort. </w:t>
      </w:r>
      <w:r w:rsidRPr="00563E26">
        <w:rPr>
          <w:rFonts w:ascii="Times New Roman" w:hAnsi="Times New Roman" w:cs="Times New Roman"/>
          <w:i/>
          <w:color w:val="000000" w:themeColor="text1"/>
          <w:sz w:val="24"/>
          <w:szCs w:val="24"/>
        </w:rPr>
        <w:t>Journal of Business Venturing, 20</w:t>
      </w:r>
      <w:r w:rsidRPr="00563E26">
        <w:rPr>
          <w:rFonts w:ascii="Times New Roman" w:hAnsi="Times New Roman" w:cs="Times New Roman"/>
          <w:color w:val="000000" w:themeColor="text1"/>
          <w:sz w:val="24"/>
          <w:szCs w:val="24"/>
        </w:rPr>
        <w:t xml:space="preserve">(4), 437-457. </w:t>
      </w:r>
      <w:bookmarkEnd w:id="80"/>
    </w:p>
    <w:p w14:paraId="0DF0EF33"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1" w:name="_ENREF_80"/>
      <w:r w:rsidRPr="00563E26">
        <w:rPr>
          <w:rFonts w:ascii="Times New Roman" w:hAnsi="Times New Roman" w:cs="Times New Roman"/>
          <w:color w:val="000000" w:themeColor="text1"/>
          <w:sz w:val="24"/>
          <w:szCs w:val="24"/>
        </w:rPr>
        <w:t xml:space="preserve">Schilke, O. (2014). Second-order dynamic capabilities: how do they matter? </w:t>
      </w:r>
      <w:r w:rsidRPr="00563E26">
        <w:rPr>
          <w:rFonts w:ascii="Times New Roman" w:hAnsi="Times New Roman" w:cs="Times New Roman"/>
          <w:i/>
          <w:color w:val="000000" w:themeColor="text1"/>
          <w:sz w:val="24"/>
          <w:szCs w:val="24"/>
        </w:rPr>
        <w:t>The Academy of Management Perspectives, 28</w:t>
      </w:r>
      <w:r w:rsidRPr="00563E26">
        <w:rPr>
          <w:rFonts w:ascii="Times New Roman" w:hAnsi="Times New Roman" w:cs="Times New Roman"/>
          <w:color w:val="000000" w:themeColor="text1"/>
          <w:sz w:val="24"/>
          <w:szCs w:val="24"/>
        </w:rPr>
        <w:t xml:space="preserve">(4), 368-380. </w:t>
      </w:r>
      <w:bookmarkEnd w:id="81"/>
    </w:p>
    <w:p w14:paraId="6F15259B"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bookmarkStart w:id="82" w:name="_ENREF_81"/>
      <w:r w:rsidRPr="00563E26">
        <w:rPr>
          <w:rFonts w:ascii="Times New Roman" w:hAnsi="Times New Roman" w:cs="Times New Roman"/>
          <w:color w:val="000000" w:themeColor="text1"/>
          <w:sz w:val="24"/>
          <w:szCs w:val="24"/>
        </w:rPr>
        <w:t>Schilke, O., Hu, 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Helfat, C.E. (2017)</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Quo Vadis, Dynamic Capabilities? A Content-Analytic Review of the Current State of Knowledge and Recommendations for Future Research</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Academy of Management Annals</w:t>
      </w:r>
      <w:r w:rsidRPr="00563E26">
        <w:rPr>
          <w:rFonts w:ascii="Times New Roman" w:hAnsi="Times New Roman" w:cs="Times New Roman"/>
          <w:color w:val="000000" w:themeColor="text1"/>
          <w:sz w:val="24"/>
          <w:szCs w:val="24"/>
        </w:rPr>
        <w:t>, 12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390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439.</w:t>
      </w:r>
    </w:p>
    <w:p w14:paraId="1950A059"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Schminke, M. (2004). From the editors raising the bamboo curtain. </w:t>
      </w:r>
      <w:r w:rsidRPr="00563E26">
        <w:rPr>
          <w:rFonts w:ascii="Times New Roman" w:hAnsi="Times New Roman" w:cs="Times New Roman"/>
          <w:i/>
          <w:color w:val="000000" w:themeColor="text1"/>
          <w:sz w:val="24"/>
          <w:szCs w:val="24"/>
        </w:rPr>
        <w:t>Academy of Management Journal, 47</w:t>
      </w:r>
      <w:r w:rsidRPr="00563E26">
        <w:rPr>
          <w:rFonts w:ascii="Times New Roman" w:hAnsi="Times New Roman" w:cs="Times New Roman"/>
          <w:color w:val="000000" w:themeColor="text1"/>
          <w:sz w:val="24"/>
          <w:szCs w:val="24"/>
        </w:rPr>
        <w:t xml:space="preserve">(3), 310-314. </w:t>
      </w:r>
      <w:bookmarkEnd w:id="82"/>
    </w:p>
    <w:p w14:paraId="452445AE"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3" w:name="_ENREF_82"/>
      <w:r w:rsidRPr="00563E26">
        <w:rPr>
          <w:rFonts w:ascii="Times New Roman" w:hAnsi="Times New Roman" w:cs="Times New Roman"/>
          <w:color w:val="000000" w:themeColor="text1"/>
          <w:sz w:val="24"/>
          <w:szCs w:val="24"/>
        </w:rPr>
        <w:t xml:space="preserve">Schoenherr, T., &amp; Swink, M. (2015). The roles of supply chain intelligence and adaptability in new product launch success. </w:t>
      </w:r>
      <w:r w:rsidRPr="00563E26">
        <w:rPr>
          <w:rFonts w:ascii="Times New Roman" w:hAnsi="Times New Roman" w:cs="Times New Roman"/>
          <w:i/>
          <w:color w:val="000000" w:themeColor="text1"/>
          <w:sz w:val="24"/>
          <w:szCs w:val="24"/>
        </w:rPr>
        <w:t>Decision Sciences, 46</w:t>
      </w:r>
      <w:r w:rsidRPr="00563E26">
        <w:rPr>
          <w:rFonts w:ascii="Times New Roman" w:hAnsi="Times New Roman" w:cs="Times New Roman"/>
          <w:color w:val="000000" w:themeColor="text1"/>
          <w:sz w:val="24"/>
          <w:szCs w:val="24"/>
        </w:rPr>
        <w:t xml:space="preserve">(5), 901-936. </w:t>
      </w:r>
      <w:bookmarkEnd w:id="83"/>
    </w:p>
    <w:p w14:paraId="1B920BC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4" w:name="_ENREF_83"/>
      <w:r w:rsidRPr="00563E26">
        <w:rPr>
          <w:rFonts w:ascii="Times New Roman" w:hAnsi="Times New Roman" w:cs="Times New Roman"/>
          <w:color w:val="000000" w:themeColor="text1"/>
          <w:sz w:val="24"/>
          <w:szCs w:val="24"/>
        </w:rPr>
        <w:t xml:space="preserve">Singh, R. K., Garg, S. K., &amp; Deshmukh, S. (2010). Strategy development by small scale industries in India. </w:t>
      </w:r>
      <w:r w:rsidRPr="00563E26">
        <w:rPr>
          <w:rFonts w:ascii="Times New Roman" w:hAnsi="Times New Roman" w:cs="Times New Roman"/>
          <w:i/>
          <w:color w:val="000000" w:themeColor="text1"/>
          <w:sz w:val="24"/>
          <w:szCs w:val="24"/>
        </w:rPr>
        <w:t>Industrial Management &amp; Data Systems, 110</w:t>
      </w:r>
      <w:r w:rsidRPr="00563E26">
        <w:rPr>
          <w:rFonts w:ascii="Times New Roman" w:hAnsi="Times New Roman" w:cs="Times New Roman"/>
          <w:color w:val="000000" w:themeColor="text1"/>
          <w:sz w:val="24"/>
          <w:szCs w:val="24"/>
        </w:rPr>
        <w:t xml:space="preserve">(7), 1073-1093. </w:t>
      </w:r>
      <w:bookmarkEnd w:id="84"/>
    </w:p>
    <w:p w14:paraId="4CDA12BA"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5" w:name="_ENREF_84"/>
      <w:r w:rsidRPr="00563E26">
        <w:rPr>
          <w:rFonts w:ascii="Times New Roman" w:hAnsi="Times New Roman" w:cs="Times New Roman"/>
          <w:color w:val="000000" w:themeColor="text1"/>
          <w:sz w:val="24"/>
          <w:szCs w:val="24"/>
        </w:rPr>
        <w:t xml:space="preserve">Sinkula, J. M. (1994). Market information processing and organizational learning. </w:t>
      </w:r>
      <w:r w:rsidRPr="00563E26">
        <w:rPr>
          <w:rFonts w:ascii="Times New Roman" w:hAnsi="Times New Roman" w:cs="Times New Roman"/>
          <w:i/>
          <w:color w:val="000000" w:themeColor="text1"/>
          <w:sz w:val="24"/>
          <w:szCs w:val="24"/>
        </w:rPr>
        <w:t>Journal of Marketing</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58(1), </w:t>
      </w:r>
      <w:r w:rsidRPr="00563E26">
        <w:rPr>
          <w:rFonts w:ascii="Times New Roman" w:hAnsi="Times New Roman" w:cs="Times New Roman"/>
          <w:color w:val="000000" w:themeColor="text1"/>
          <w:sz w:val="24"/>
          <w:szCs w:val="24"/>
        </w:rPr>
        <w:t xml:space="preserve">35-45. </w:t>
      </w:r>
      <w:bookmarkEnd w:id="85"/>
    </w:p>
    <w:p w14:paraId="650D501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6" w:name="_ENREF_85"/>
      <w:r w:rsidRPr="00563E26">
        <w:rPr>
          <w:rFonts w:ascii="Times New Roman" w:hAnsi="Times New Roman" w:cs="Times New Roman"/>
          <w:color w:val="000000" w:themeColor="text1"/>
          <w:sz w:val="24"/>
          <w:szCs w:val="24"/>
        </w:rPr>
        <w:t xml:space="preserve">Slater, S. F., &amp; Narver, J. C. (1995). Market orientation and the learning organization. </w:t>
      </w:r>
      <w:r w:rsidRPr="00563E26">
        <w:rPr>
          <w:rFonts w:ascii="Times New Roman" w:hAnsi="Times New Roman" w:cs="Times New Roman"/>
          <w:i/>
          <w:color w:val="000000" w:themeColor="text1"/>
          <w:sz w:val="24"/>
          <w:szCs w:val="24"/>
        </w:rPr>
        <w:t>Journal of Marketing, 59</w:t>
      </w:r>
      <w:r w:rsidRPr="00563E26">
        <w:rPr>
          <w:rFonts w:ascii="Times New Roman" w:hAnsi="Times New Roman" w:cs="Times New Roman"/>
          <w:color w:val="000000" w:themeColor="text1"/>
          <w:sz w:val="24"/>
          <w:szCs w:val="24"/>
        </w:rPr>
        <w:t xml:space="preserve">(3), 63-74. </w:t>
      </w:r>
      <w:bookmarkEnd w:id="86"/>
    </w:p>
    <w:p w14:paraId="4AC5AEF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7" w:name="_ENREF_86"/>
      <w:r w:rsidRPr="00563E26">
        <w:rPr>
          <w:rFonts w:ascii="Times New Roman" w:hAnsi="Times New Roman" w:cs="Times New Roman"/>
          <w:color w:val="000000" w:themeColor="text1"/>
          <w:sz w:val="24"/>
          <w:szCs w:val="24"/>
        </w:rPr>
        <w:t xml:space="preserve">Smart, D. T., &amp; Conant, J. S. (1994). Entrepreneurial orientation, distinctive marketing competencies and organizational performance. </w:t>
      </w:r>
      <w:r w:rsidRPr="00563E26">
        <w:rPr>
          <w:rFonts w:ascii="Times New Roman" w:hAnsi="Times New Roman" w:cs="Times New Roman"/>
          <w:i/>
          <w:color w:val="000000" w:themeColor="text1"/>
          <w:sz w:val="24"/>
          <w:szCs w:val="24"/>
        </w:rPr>
        <w:t xml:space="preserve">Journal of </w:t>
      </w:r>
      <w:r>
        <w:rPr>
          <w:rFonts w:ascii="Times New Roman" w:hAnsi="Times New Roman" w:cs="Times New Roman"/>
          <w:i/>
          <w:color w:val="000000" w:themeColor="text1"/>
          <w:sz w:val="24"/>
          <w:szCs w:val="24"/>
        </w:rPr>
        <w:t>A</w:t>
      </w:r>
      <w:r w:rsidRPr="00563E26">
        <w:rPr>
          <w:rFonts w:ascii="Times New Roman" w:hAnsi="Times New Roman" w:cs="Times New Roman"/>
          <w:i/>
          <w:color w:val="000000" w:themeColor="text1"/>
          <w:sz w:val="24"/>
          <w:szCs w:val="24"/>
        </w:rPr>
        <w:t xml:space="preserve">pplied </w:t>
      </w:r>
      <w:r>
        <w:rPr>
          <w:rFonts w:ascii="Times New Roman" w:hAnsi="Times New Roman" w:cs="Times New Roman"/>
          <w:i/>
          <w:color w:val="000000" w:themeColor="text1"/>
          <w:sz w:val="24"/>
          <w:szCs w:val="24"/>
        </w:rPr>
        <w:t>B</w:t>
      </w:r>
      <w:r w:rsidRPr="00563E26">
        <w:rPr>
          <w:rFonts w:ascii="Times New Roman" w:hAnsi="Times New Roman" w:cs="Times New Roman"/>
          <w:i/>
          <w:color w:val="000000" w:themeColor="text1"/>
          <w:sz w:val="24"/>
          <w:szCs w:val="24"/>
        </w:rPr>
        <w:t xml:space="preserve">usiness </w:t>
      </w:r>
      <w:r>
        <w:rPr>
          <w:rFonts w:ascii="Times New Roman" w:hAnsi="Times New Roman" w:cs="Times New Roman"/>
          <w:i/>
          <w:color w:val="000000" w:themeColor="text1"/>
          <w:sz w:val="24"/>
          <w:szCs w:val="24"/>
        </w:rPr>
        <w:t>R</w:t>
      </w:r>
      <w:r w:rsidRPr="00563E26">
        <w:rPr>
          <w:rFonts w:ascii="Times New Roman" w:hAnsi="Times New Roman" w:cs="Times New Roman"/>
          <w:i/>
          <w:color w:val="000000" w:themeColor="text1"/>
          <w:sz w:val="24"/>
          <w:szCs w:val="24"/>
        </w:rPr>
        <w:t>esearch, 10</w:t>
      </w:r>
      <w:r w:rsidRPr="00563E26">
        <w:rPr>
          <w:rFonts w:ascii="Times New Roman" w:hAnsi="Times New Roman" w:cs="Times New Roman"/>
          <w:color w:val="000000" w:themeColor="text1"/>
          <w:sz w:val="24"/>
          <w:szCs w:val="24"/>
        </w:rPr>
        <w:t xml:space="preserve">(3), 28. </w:t>
      </w:r>
      <w:bookmarkEnd w:id="87"/>
    </w:p>
    <w:p w14:paraId="1CD5E6D7"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8" w:name="_ENREF_87"/>
      <w:r w:rsidRPr="00563E26">
        <w:rPr>
          <w:rFonts w:ascii="Times New Roman" w:hAnsi="Times New Roman" w:cs="Times New Roman"/>
          <w:color w:val="000000" w:themeColor="text1"/>
          <w:sz w:val="24"/>
          <w:szCs w:val="24"/>
        </w:rPr>
        <w:t xml:space="preserve">Spekman, R. E., Spear, J., &amp; Kamauff, J. (2002). Supply chain competency: learning as a key component. </w:t>
      </w:r>
      <w:r w:rsidRPr="00563E26">
        <w:rPr>
          <w:rFonts w:ascii="Times New Roman" w:hAnsi="Times New Roman" w:cs="Times New Roman"/>
          <w:i/>
          <w:color w:val="000000" w:themeColor="text1"/>
          <w:sz w:val="24"/>
          <w:szCs w:val="24"/>
        </w:rPr>
        <w:t>Supply Chain Management: An International Journal, 7</w:t>
      </w:r>
      <w:r w:rsidRPr="00563E26">
        <w:rPr>
          <w:rFonts w:ascii="Times New Roman" w:hAnsi="Times New Roman" w:cs="Times New Roman"/>
          <w:color w:val="000000" w:themeColor="text1"/>
          <w:sz w:val="24"/>
          <w:szCs w:val="24"/>
        </w:rPr>
        <w:t xml:space="preserve">(1), 41-55. </w:t>
      </w:r>
      <w:bookmarkEnd w:id="88"/>
    </w:p>
    <w:p w14:paraId="550586E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89" w:name="_ENREF_88"/>
      <w:r w:rsidRPr="00563E26">
        <w:rPr>
          <w:rFonts w:ascii="Times New Roman" w:hAnsi="Times New Roman" w:cs="Times New Roman"/>
          <w:color w:val="000000" w:themeColor="text1"/>
          <w:sz w:val="24"/>
          <w:szCs w:val="24"/>
        </w:rPr>
        <w:lastRenderedPageBreak/>
        <w:t xml:space="preserve">Stam, W., &amp; Elfring, T. (2008). Entrepreneurial orientation and new venture performance: The moderating role of intra-and extraindustry social capital. </w:t>
      </w:r>
      <w:r w:rsidRPr="00563E26">
        <w:rPr>
          <w:rFonts w:ascii="Times New Roman" w:hAnsi="Times New Roman" w:cs="Times New Roman"/>
          <w:i/>
          <w:color w:val="000000" w:themeColor="text1"/>
          <w:sz w:val="24"/>
          <w:szCs w:val="24"/>
        </w:rPr>
        <w:t>Academy of Management Journal, 51</w:t>
      </w:r>
      <w:r w:rsidRPr="00563E26">
        <w:rPr>
          <w:rFonts w:ascii="Times New Roman" w:hAnsi="Times New Roman" w:cs="Times New Roman"/>
          <w:color w:val="000000" w:themeColor="text1"/>
          <w:sz w:val="24"/>
          <w:szCs w:val="24"/>
        </w:rPr>
        <w:t xml:space="preserve">(1), 97-111. </w:t>
      </w:r>
      <w:bookmarkEnd w:id="89"/>
    </w:p>
    <w:p w14:paraId="5015C3C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0" w:name="_ENREF_89"/>
      <w:r w:rsidRPr="00563E26">
        <w:rPr>
          <w:rFonts w:ascii="Times New Roman" w:hAnsi="Times New Roman" w:cs="Times New Roman"/>
          <w:color w:val="000000" w:themeColor="text1"/>
          <w:sz w:val="24"/>
          <w:szCs w:val="24"/>
        </w:rPr>
        <w:t xml:space="preserve">Swafford, P. M., Ghosh, S., &amp; Murthy, N. (2006). The antecedents of supply chain agility of a firm: scale development and model testing. </w:t>
      </w:r>
      <w:r w:rsidRPr="00563E26">
        <w:rPr>
          <w:rFonts w:ascii="Times New Roman" w:hAnsi="Times New Roman" w:cs="Times New Roman"/>
          <w:i/>
          <w:color w:val="000000" w:themeColor="text1"/>
          <w:sz w:val="24"/>
          <w:szCs w:val="24"/>
        </w:rPr>
        <w:t>Journal of Operations Management, 24</w:t>
      </w:r>
      <w:r w:rsidRPr="00563E26">
        <w:rPr>
          <w:rFonts w:ascii="Times New Roman" w:hAnsi="Times New Roman" w:cs="Times New Roman"/>
          <w:color w:val="000000" w:themeColor="text1"/>
          <w:sz w:val="24"/>
          <w:szCs w:val="24"/>
        </w:rPr>
        <w:t xml:space="preserve">(2), 170-188. </w:t>
      </w:r>
      <w:bookmarkEnd w:id="90"/>
    </w:p>
    <w:p w14:paraId="6E04A466"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1" w:name="_ENREF_90"/>
      <w:r w:rsidRPr="00563E26">
        <w:rPr>
          <w:rFonts w:ascii="Times New Roman" w:hAnsi="Times New Roman" w:cs="Times New Roman"/>
          <w:color w:val="000000" w:themeColor="text1"/>
          <w:sz w:val="24"/>
          <w:szCs w:val="24"/>
        </w:rPr>
        <w:t>Tang, J., Tang, Z., Marino, L. D., Zhang, Y., &amp; Li, Q. (2008). Exploring an inverted U</w:t>
      </w:r>
      <w:r w:rsidRPr="00563E26">
        <w:rPr>
          <w:rFonts w:ascii="Cambria Math" w:hAnsi="Cambria Math" w:cs="Cambria Math"/>
          <w:color w:val="000000" w:themeColor="text1"/>
          <w:sz w:val="24"/>
          <w:szCs w:val="24"/>
        </w:rPr>
        <w:t>‐</w:t>
      </w:r>
      <w:r w:rsidRPr="00563E26">
        <w:rPr>
          <w:rFonts w:ascii="Times New Roman" w:hAnsi="Times New Roman" w:cs="Times New Roman"/>
          <w:color w:val="000000" w:themeColor="text1"/>
          <w:sz w:val="24"/>
          <w:szCs w:val="24"/>
        </w:rPr>
        <w:t xml:space="preserve">Shape relationship between entrepreneurial orientation and performance in Chinese ventures. </w:t>
      </w:r>
      <w:r w:rsidRPr="00563E26">
        <w:rPr>
          <w:rFonts w:ascii="Times New Roman" w:hAnsi="Times New Roman" w:cs="Times New Roman"/>
          <w:i/>
          <w:color w:val="000000" w:themeColor="text1"/>
          <w:sz w:val="24"/>
          <w:szCs w:val="24"/>
        </w:rPr>
        <w:t>Entrepreneurship Theory and Practice, 32</w:t>
      </w:r>
      <w:r w:rsidRPr="00563E26">
        <w:rPr>
          <w:rFonts w:ascii="Times New Roman" w:hAnsi="Times New Roman" w:cs="Times New Roman"/>
          <w:color w:val="000000" w:themeColor="text1"/>
          <w:sz w:val="24"/>
          <w:szCs w:val="24"/>
        </w:rPr>
        <w:t xml:space="preserve">(1), 219-239. </w:t>
      </w:r>
      <w:bookmarkEnd w:id="91"/>
    </w:p>
    <w:p w14:paraId="4323C79A"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2" w:name="_ENREF_91"/>
      <w:r w:rsidRPr="00563E26">
        <w:rPr>
          <w:rFonts w:ascii="Times New Roman" w:hAnsi="Times New Roman" w:cs="Times New Roman"/>
          <w:color w:val="000000" w:themeColor="text1"/>
          <w:sz w:val="24"/>
          <w:szCs w:val="24"/>
        </w:rPr>
        <w:t xml:space="preserve">Teece, D. J. (2007). Explicating dynamic capabilities: the nature and microfoundations of (sustainable) enterprise performance. </w:t>
      </w:r>
      <w:r w:rsidRPr="00563E26">
        <w:rPr>
          <w:rFonts w:ascii="Times New Roman" w:hAnsi="Times New Roman" w:cs="Times New Roman"/>
          <w:i/>
          <w:color w:val="000000" w:themeColor="text1"/>
          <w:sz w:val="24"/>
          <w:szCs w:val="24"/>
        </w:rPr>
        <w:t>Strategic Management Journal, 28</w:t>
      </w:r>
      <w:r w:rsidRPr="00563E26">
        <w:rPr>
          <w:rFonts w:ascii="Times New Roman" w:hAnsi="Times New Roman" w:cs="Times New Roman"/>
          <w:color w:val="000000" w:themeColor="text1"/>
          <w:sz w:val="24"/>
          <w:szCs w:val="24"/>
        </w:rPr>
        <w:t xml:space="preserve">(13), 1319-1350. </w:t>
      </w:r>
      <w:bookmarkEnd w:id="92"/>
    </w:p>
    <w:p w14:paraId="4EAD442C"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3" w:name="_ENREF_92"/>
      <w:r w:rsidRPr="00563E26">
        <w:rPr>
          <w:rFonts w:ascii="Times New Roman" w:hAnsi="Times New Roman" w:cs="Times New Roman"/>
          <w:color w:val="000000" w:themeColor="text1"/>
          <w:sz w:val="24"/>
          <w:szCs w:val="24"/>
        </w:rPr>
        <w:t xml:space="preserve">Teece, D. J., Pisano, G., &amp; Shuen, A. (1997). Dynamic capabilities and strategic management. </w:t>
      </w:r>
      <w:r w:rsidRPr="00563E26">
        <w:rPr>
          <w:rFonts w:ascii="Times New Roman" w:hAnsi="Times New Roman" w:cs="Times New Roman"/>
          <w:i/>
          <w:color w:val="000000" w:themeColor="text1"/>
          <w:sz w:val="24"/>
          <w:szCs w:val="24"/>
        </w:rPr>
        <w:t>Strategic Management Journal, 18</w:t>
      </w:r>
      <w:r w:rsidRPr="00563E26">
        <w:rPr>
          <w:rFonts w:ascii="Times New Roman" w:hAnsi="Times New Roman" w:cs="Times New Roman"/>
          <w:color w:val="000000" w:themeColor="text1"/>
          <w:sz w:val="24"/>
          <w:szCs w:val="24"/>
        </w:rPr>
        <w:t xml:space="preserve">(7), 509-533. </w:t>
      </w:r>
      <w:bookmarkEnd w:id="93"/>
    </w:p>
    <w:p w14:paraId="681D350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4" w:name="_ENREF_93"/>
      <w:r w:rsidRPr="00563E26">
        <w:rPr>
          <w:rFonts w:ascii="Times New Roman" w:hAnsi="Times New Roman" w:cs="Times New Roman"/>
          <w:color w:val="000000" w:themeColor="text1"/>
          <w:sz w:val="24"/>
          <w:szCs w:val="24"/>
        </w:rPr>
        <w:t xml:space="preserve">Thomas, R. W., Clifford Defee, C., Randall, W. S., &amp; Williams, B. (2011). Assessing the managerial relevance of contemporary supply chain management research. </w:t>
      </w:r>
      <w:r w:rsidRPr="00563E26">
        <w:rPr>
          <w:rFonts w:ascii="Times New Roman" w:hAnsi="Times New Roman" w:cs="Times New Roman"/>
          <w:i/>
          <w:color w:val="000000" w:themeColor="text1"/>
          <w:sz w:val="24"/>
          <w:szCs w:val="24"/>
        </w:rPr>
        <w:t>International Journal of Physical Distribution &amp; Logistics Management, 41</w:t>
      </w:r>
      <w:r w:rsidRPr="00563E26">
        <w:rPr>
          <w:rFonts w:ascii="Times New Roman" w:hAnsi="Times New Roman" w:cs="Times New Roman"/>
          <w:color w:val="000000" w:themeColor="text1"/>
          <w:sz w:val="24"/>
          <w:szCs w:val="24"/>
        </w:rPr>
        <w:t xml:space="preserve">(7), 655-667. </w:t>
      </w:r>
      <w:bookmarkEnd w:id="94"/>
    </w:p>
    <w:p w14:paraId="43886712"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Tse, Y.K., Zhang, M., Akhtar, P.</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MacBryde, J. (2016)</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Embracing supply chain agility: an investigation in the electronics industry</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Supply Chain Management: An International Journal</w:t>
      </w:r>
      <w:r w:rsidRPr="00563E26">
        <w:rPr>
          <w:rFonts w:ascii="Times New Roman" w:hAnsi="Times New Roman" w:cs="Times New Roman"/>
          <w:color w:val="000000" w:themeColor="text1"/>
          <w:sz w:val="24"/>
          <w:szCs w:val="24"/>
        </w:rPr>
        <w:t>, 21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140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156.</w:t>
      </w:r>
    </w:p>
    <w:p w14:paraId="62E6FE58"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5" w:name="_ENREF_94"/>
      <w:r w:rsidRPr="00563E26">
        <w:rPr>
          <w:rFonts w:ascii="Times New Roman" w:hAnsi="Times New Roman" w:cs="Times New Roman"/>
          <w:color w:val="000000" w:themeColor="text1"/>
          <w:sz w:val="24"/>
          <w:szCs w:val="24"/>
        </w:rPr>
        <w:t xml:space="preserve">Toutain, O., Fayolle, A., Pittaway, L., &amp; Politis, D. (2017). Role and impact of the environment on entrepreneurial learning. </w:t>
      </w:r>
      <w:r w:rsidRPr="00563E26">
        <w:rPr>
          <w:rFonts w:ascii="Times New Roman" w:hAnsi="Times New Roman" w:cs="Times New Roman"/>
          <w:i/>
          <w:color w:val="000000" w:themeColor="text1"/>
          <w:sz w:val="24"/>
          <w:szCs w:val="24"/>
        </w:rPr>
        <w:t>Entrepreneurship &amp; Regional Development, 29</w:t>
      </w:r>
      <w:r w:rsidRPr="00563E26">
        <w:rPr>
          <w:rFonts w:ascii="Times New Roman" w:hAnsi="Times New Roman" w:cs="Times New Roman"/>
          <w:color w:val="000000" w:themeColor="text1"/>
          <w:sz w:val="24"/>
          <w:szCs w:val="24"/>
        </w:rPr>
        <w:t xml:space="preserve">(9-10), 869-888. </w:t>
      </w:r>
      <w:bookmarkEnd w:id="95"/>
    </w:p>
    <w:p w14:paraId="52B869E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6" w:name="_ENREF_95"/>
      <w:r w:rsidRPr="00563E26">
        <w:rPr>
          <w:rFonts w:ascii="Times New Roman" w:hAnsi="Times New Roman" w:cs="Times New Roman"/>
          <w:color w:val="000000" w:themeColor="text1"/>
          <w:sz w:val="24"/>
          <w:szCs w:val="24"/>
        </w:rPr>
        <w:t xml:space="preserve">Wang, C. L. (2008). Entrepreneurial orientation, learning orientation, and firm performance. </w:t>
      </w:r>
      <w:r w:rsidRPr="00563E26">
        <w:rPr>
          <w:rFonts w:ascii="Times New Roman" w:hAnsi="Times New Roman" w:cs="Times New Roman"/>
          <w:i/>
          <w:color w:val="000000" w:themeColor="text1"/>
          <w:sz w:val="24"/>
          <w:szCs w:val="24"/>
        </w:rPr>
        <w:t>Entrepreneurship Theory and Practice, 32</w:t>
      </w:r>
      <w:r w:rsidRPr="00563E26">
        <w:rPr>
          <w:rFonts w:ascii="Times New Roman" w:hAnsi="Times New Roman" w:cs="Times New Roman"/>
          <w:color w:val="000000" w:themeColor="text1"/>
          <w:sz w:val="24"/>
          <w:szCs w:val="24"/>
        </w:rPr>
        <w:t xml:space="preserve">(4), 635-657. </w:t>
      </w:r>
      <w:bookmarkEnd w:id="96"/>
    </w:p>
    <w:p w14:paraId="07C2DCDF"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7" w:name="_ENREF_96"/>
      <w:r w:rsidRPr="00563E26">
        <w:rPr>
          <w:rFonts w:ascii="Times New Roman" w:hAnsi="Times New Roman" w:cs="Times New Roman"/>
          <w:color w:val="000000" w:themeColor="text1"/>
          <w:sz w:val="24"/>
          <w:szCs w:val="24"/>
        </w:rPr>
        <w:t xml:space="preserve">Wang, C. L., Senaratne, C., &amp; Rafiq, M. (2015). Success traps, dynamic capabilities and firm performance. </w:t>
      </w:r>
      <w:r w:rsidRPr="00563E26">
        <w:rPr>
          <w:rFonts w:ascii="Times New Roman" w:hAnsi="Times New Roman" w:cs="Times New Roman"/>
          <w:i/>
          <w:color w:val="000000" w:themeColor="text1"/>
          <w:sz w:val="24"/>
          <w:szCs w:val="24"/>
        </w:rPr>
        <w:t>British Journal of Management, 26</w:t>
      </w:r>
      <w:r w:rsidRPr="00563E26">
        <w:rPr>
          <w:rFonts w:ascii="Times New Roman" w:hAnsi="Times New Roman" w:cs="Times New Roman"/>
          <w:color w:val="000000" w:themeColor="text1"/>
          <w:sz w:val="24"/>
          <w:szCs w:val="24"/>
        </w:rPr>
        <w:t xml:space="preserve">(1), 26-44. </w:t>
      </w:r>
      <w:bookmarkEnd w:id="97"/>
    </w:p>
    <w:p w14:paraId="599FFB5A"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8" w:name="_ENREF_97"/>
      <w:r w:rsidRPr="00563E26">
        <w:rPr>
          <w:rFonts w:ascii="Times New Roman" w:hAnsi="Times New Roman" w:cs="Times New Roman"/>
          <w:color w:val="000000" w:themeColor="text1"/>
          <w:sz w:val="24"/>
          <w:szCs w:val="24"/>
        </w:rPr>
        <w:t xml:space="preserve">Whitten, D., Green Jr, K. W., &amp; Zelbst, P. J. (2012). Triple-A supply chain performance. </w:t>
      </w:r>
      <w:r w:rsidRPr="00563E26">
        <w:rPr>
          <w:rFonts w:ascii="Times New Roman" w:hAnsi="Times New Roman" w:cs="Times New Roman"/>
          <w:i/>
          <w:color w:val="000000" w:themeColor="text1"/>
          <w:sz w:val="24"/>
          <w:szCs w:val="24"/>
        </w:rPr>
        <w:t>International Journal of Operations &amp; Production Management, 32</w:t>
      </w:r>
      <w:r w:rsidRPr="00563E26">
        <w:rPr>
          <w:rFonts w:ascii="Times New Roman" w:hAnsi="Times New Roman" w:cs="Times New Roman"/>
          <w:color w:val="000000" w:themeColor="text1"/>
          <w:sz w:val="24"/>
          <w:szCs w:val="24"/>
        </w:rPr>
        <w:t xml:space="preserve">(1), 28-48. </w:t>
      </w:r>
      <w:bookmarkEnd w:id="98"/>
    </w:p>
    <w:p w14:paraId="697A8934"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99" w:name="_ENREF_98"/>
      <w:r w:rsidRPr="00563E26">
        <w:rPr>
          <w:rFonts w:ascii="Times New Roman" w:hAnsi="Times New Roman" w:cs="Times New Roman"/>
          <w:color w:val="000000" w:themeColor="text1"/>
          <w:sz w:val="24"/>
          <w:szCs w:val="24"/>
        </w:rPr>
        <w:t xml:space="preserve">Wiklund, J., &amp; Shepherd, D. (2005). Entrepreneurial orientation and small business performance: a configurational approach. </w:t>
      </w:r>
      <w:r w:rsidRPr="00563E26">
        <w:rPr>
          <w:rFonts w:ascii="Times New Roman" w:hAnsi="Times New Roman" w:cs="Times New Roman"/>
          <w:i/>
          <w:color w:val="000000" w:themeColor="text1"/>
          <w:sz w:val="24"/>
          <w:szCs w:val="24"/>
        </w:rPr>
        <w:t>Journal of Business Venturing, 20</w:t>
      </w:r>
      <w:r w:rsidRPr="00563E26">
        <w:rPr>
          <w:rFonts w:ascii="Times New Roman" w:hAnsi="Times New Roman" w:cs="Times New Roman"/>
          <w:color w:val="000000" w:themeColor="text1"/>
          <w:sz w:val="24"/>
          <w:szCs w:val="24"/>
        </w:rPr>
        <w:t xml:space="preserve">(1), 71-91. </w:t>
      </w:r>
      <w:bookmarkEnd w:id="99"/>
    </w:p>
    <w:p w14:paraId="1CEE841B"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0" w:name="_ENREF_99"/>
      <w:r w:rsidRPr="00563E26">
        <w:rPr>
          <w:rFonts w:ascii="Times New Roman" w:hAnsi="Times New Roman" w:cs="Times New Roman"/>
          <w:color w:val="000000" w:themeColor="text1"/>
          <w:sz w:val="24"/>
          <w:szCs w:val="24"/>
        </w:rPr>
        <w:t xml:space="preserve">Willis, G., Genchev, S. E., &amp; Chen, H. (2016). Supply chain learning, integration, and flexibility performance: an empirical study in India. </w:t>
      </w:r>
      <w:r w:rsidRPr="00563E26">
        <w:rPr>
          <w:rFonts w:ascii="Times New Roman" w:hAnsi="Times New Roman" w:cs="Times New Roman"/>
          <w:i/>
          <w:color w:val="000000" w:themeColor="text1"/>
          <w:sz w:val="24"/>
          <w:szCs w:val="24"/>
        </w:rPr>
        <w:t>The International Journal of Logistics Management, 27</w:t>
      </w:r>
      <w:r w:rsidRPr="00563E26">
        <w:rPr>
          <w:rFonts w:ascii="Times New Roman" w:hAnsi="Times New Roman" w:cs="Times New Roman"/>
          <w:color w:val="000000" w:themeColor="text1"/>
          <w:sz w:val="24"/>
          <w:szCs w:val="24"/>
        </w:rPr>
        <w:t xml:space="preserve">(3), 755-769. </w:t>
      </w:r>
      <w:bookmarkEnd w:id="100"/>
    </w:p>
    <w:p w14:paraId="054ECF16"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bookmarkStart w:id="101" w:name="_ENREF_100"/>
      <w:r w:rsidRPr="00563E26">
        <w:rPr>
          <w:rFonts w:ascii="Times New Roman" w:hAnsi="Times New Roman" w:cs="Times New Roman"/>
          <w:color w:val="000000" w:themeColor="text1"/>
          <w:sz w:val="24"/>
          <w:szCs w:val="24"/>
        </w:rPr>
        <w:t>Winter, S.G. (2003)</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Understanding dynamic capabilities</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Strategic Management Journal</w:t>
      </w:r>
      <w:r w:rsidRPr="00563E26">
        <w:rPr>
          <w:rFonts w:ascii="Times New Roman" w:hAnsi="Times New Roman" w:cs="Times New Roman"/>
          <w:color w:val="000000" w:themeColor="text1"/>
          <w:sz w:val="24"/>
          <w:szCs w:val="24"/>
        </w:rPr>
        <w:t>, 24</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991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995.</w:t>
      </w:r>
    </w:p>
    <w:p w14:paraId="3B6B3936" w14:textId="77777777" w:rsidR="00247719" w:rsidRPr="00563E26" w:rsidRDefault="00247719" w:rsidP="00247719">
      <w:pPr>
        <w:pStyle w:val="Bibliography"/>
        <w:spacing w:line="240" w:lineRule="auto"/>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Wu, S.J. </w:t>
      </w:r>
      <w:r>
        <w:rPr>
          <w:rFonts w:ascii="Times New Roman" w:hAnsi="Times New Roman" w:cs="Times New Roman"/>
          <w:color w:val="000000" w:themeColor="text1"/>
          <w:sz w:val="24"/>
          <w:szCs w:val="24"/>
        </w:rPr>
        <w:t>&amp;</w:t>
      </w:r>
      <w:r w:rsidRPr="00563E26">
        <w:rPr>
          <w:rFonts w:ascii="Times New Roman" w:hAnsi="Times New Roman" w:cs="Times New Roman"/>
          <w:color w:val="000000" w:themeColor="text1"/>
          <w:sz w:val="24"/>
          <w:szCs w:val="24"/>
        </w:rPr>
        <w:t xml:space="preserve"> Ragatz, G.L. (2009)</w:t>
      </w:r>
      <w:r>
        <w:rPr>
          <w:rFonts w:ascii="Times New Roman" w:hAnsi="Times New Roman" w:cs="Times New Roman"/>
          <w:color w:val="000000" w:themeColor="text1"/>
          <w:sz w:val="24"/>
          <w:szCs w:val="24"/>
        </w:rPr>
        <w:t xml:space="preserve">. </w:t>
      </w:r>
      <w:r w:rsidRPr="00563E26">
        <w:rPr>
          <w:rFonts w:ascii="Times New Roman" w:hAnsi="Times New Roman" w:cs="Times New Roman"/>
          <w:color w:val="000000" w:themeColor="text1"/>
          <w:sz w:val="24"/>
          <w:szCs w:val="24"/>
        </w:rPr>
        <w:t>The role of integrative capabilities in involving suppliers in New Product Development: a knowledge integration perspective</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xml:space="preserve"> </w:t>
      </w:r>
      <w:r w:rsidRPr="00563E26">
        <w:rPr>
          <w:rFonts w:ascii="Times New Roman" w:hAnsi="Times New Roman" w:cs="Times New Roman"/>
          <w:i/>
          <w:iCs/>
          <w:color w:val="000000" w:themeColor="text1"/>
          <w:sz w:val="24"/>
          <w:szCs w:val="24"/>
        </w:rPr>
        <w:t>International Journal of Manufacturing Technology and Management</w:t>
      </w:r>
      <w:r w:rsidRPr="00563E26">
        <w:rPr>
          <w:rFonts w:ascii="Times New Roman" w:hAnsi="Times New Roman" w:cs="Times New Roman"/>
          <w:color w:val="000000" w:themeColor="text1"/>
          <w:sz w:val="24"/>
          <w:szCs w:val="24"/>
        </w:rPr>
        <w:t>, 19</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 82</w:t>
      </w:r>
      <w:r>
        <w:rPr>
          <w:rFonts w:ascii="Times New Roman" w:hAnsi="Times New Roman" w:cs="Times New Roman"/>
          <w:color w:val="000000" w:themeColor="text1"/>
          <w:sz w:val="24"/>
          <w:szCs w:val="24"/>
        </w:rPr>
        <w:t>-</w:t>
      </w:r>
      <w:r w:rsidRPr="00563E26">
        <w:rPr>
          <w:rFonts w:ascii="Times New Roman" w:hAnsi="Times New Roman" w:cs="Times New Roman"/>
          <w:color w:val="000000" w:themeColor="text1"/>
          <w:sz w:val="24"/>
          <w:szCs w:val="24"/>
        </w:rPr>
        <w:t>101.</w:t>
      </w:r>
    </w:p>
    <w:p w14:paraId="1B7EABA1"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r w:rsidRPr="00563E26">
        <w:rPr>
          <w:rFonts w:ascii="Times New Roman" w:hAnsi="Times New Roman" w:cs="Times New Roman"/>
          <w:color w:val="000000" w:themeColor="text1"/>
          <w:sz w:val="24"/>
          <w:szCs w:val="24"/>
        </w:rPr>
        <w:t xml:space="preserve">World Bank (2017). Pakistan to record highest growth rate in nine years. Retrieved 21 August, 2017, from </w:t>
      </w:r>
      <w:hyperlink r:id="rId8" w:history="1">
        <w:r w:rsidRPr="00563E26">
          <w:rPr>
            <w:rStyle w:val="Hyperlink"/>
            <w:rFonts w:ascii="Times New Roman" w:hAnsi="Times New Roman" w:cs="Times New Roman"/>
            <w:color w:val="000000" w:themeColor="text1"/>
            <w:sz w:val="24"/>
            <w:szCs w:val="24"/>
          </w:rPr>
          <w:t>http://www.worldbank.org/en/news/press-release/2017/05/19/pakistan-to-record-highest-growth-rate-in-nine-years-wb-report</w:t>
        </w:r>
        <w:bookmarkEnd w:id="101"/>
      </w:hyperlink>
    </w:p>
    <w:p w14:paraId="658AFF4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2" w:name="_ENREF_101"/>
      <w:r w:rsidRPr="00563E26">
        <w:rPr>
          <w:rFonts w:ascii="Times New Roman" w:hAnsi="Times New Roman" w:cs="Times New Roman"/>
          <w:color w:val="000000" w:themeColor="text1"/>
          <w:sz w:val="24"/>
          <w:szCs w:val="24"/>
        </w:rPr>
        <w:t>Zahid, W. (2017). Pakistan's GDP growth rate is even higher than that of China: Harvard study,</w:t>
      </w:r>
      <w:r w:rsidRPr="00563E26">
        <w:rPr>
          <w:rFonts w:ascii="Times New Roman" w:hAnsi="Times New Roman" w:cs="Times New Roman"/>
          <w:i/>
          <w:color w:val="000000" w:themeColor="text1"/>
          <w:sz w:val="24"/>
          <w:szCs w:val="24"/>
        </w:rPr>
        <w:t xml:space="preserve"> Tribune</w:t>
      </w:r>
      <w:r w:rsidRPr="00563E26">
        <w:rPr>
          <w:rFonts w:ascii="Times New Roman" w:hAnsi="Times New Roman" w:cs="Times New Roman"/>
          <w:color w:val="000000" w:themeColor="text1"/>
          <w:sz w:val="24"/>
          <w:szCs w:val="24"/>
        </w:rPr>
        <w:t>. Retrieved from https://tribune.com.pk/story/1452332/pakistans-gdp-growth-rate-even-higher-china-harvard-study/</w:t>
      </w:r>
      <w:bookmarkEnd w:id="102"/>
    </w:p>
    <w:p w14:paraId="206F2A32"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3" w:name="_ENREF_102"/>
      <w:r w:rsidRPr="00563E26">
        <w:rPr>
          <w:rFonts w:ascii="Times New Roman" w:hAnsi="Times New Roman" w:cs="Times New Roman"/>
          <w:color w:val="000000" w:themeColor="text1"/>
          <w:sz w:val="24"/>
          <w:szCs w:val="24"/>
        </w:rPr>
        <w:t xml:space="preserve">Zahra, S. A., Nielsen, A. P., &amp; Bogner, W. C. (1999). Corporate entrepreneurship, knowledge, and competence development. </w:t>
      </w:r>
      <w:r w:rsidRPr="00563E26">
        <w:rPr>
          <w:rFonts w:ascii="Times New Roman" w:hAnsi="Times New Roman" w:cs="Times New Roman"/>
          <w:i/>
          <w:color w:val="000000" w:themeColor="text1"/>
          <w:sz w:val="24"/>
          <w:szCs w:val="24"/>
        </w:rPr>
        <w:t>Entrepreneurship: Theory and Practice, 23</w:t>
      </w:r>
      <w:r w:rsidRPr="00563E26">
        <w:rPr>
          <w:rFonts w:ascii="Times New Roman" w:hAnsi="Times New Roman" w:cs="Times New Roman"/>
          <w:color w:val="000000" w:themeColor="text1"/>
          <w:sz w:val="24"/>
          <w:szCs w:val="24"/>
        </w:rPr>
        <w:t xml:space="preserve">(3), 169-169. </w:t>
      </w:r>
      <w:bookmarkEnd w:id="103"/>
    </w:p>
    <w:p w14:paraId="63B281E0" w14:textId="77777777" w:rsidR="00247719" w:rsidRPr="00563E26"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4" w:name="_ENREF_103"/>
      <w:r w:rsidRPr="00563E26">
        <w:rPr>
          <w:rFonts w:ascii="Times New Roman" w:hAnsi="Times New Roman" w:cs="Times New Roman"/>
          <w:color w:val="000000" w:themeColor="text1"/>
          <w:sz w:val="24"/>
          <w:szCs w:val="24"/>
        </w:rPr>
        <w:lastRenderedPageBreak/>
        <w:t xml:space="preserve">Zahra, S. A., Sapienza, H. J., &amp; Davidsson, P. (2006). Entrepreneurship and dynamic capabilities: a review, model and research agenda. </w:t>
      </w:r>
      <w:r w:rsidRPr="00563E26">
        <w:rPr>
          <w:rFonts w:ascii="Times New Roman" w:hAnsi="Times New Roman" w:cs="Times New Roman"/>
          <w:i/>
          <w:color w:val="000000" w:themeColor="text1"/>
          <w:sz w:val="24"/>
          <w:szCs w:val="24"/>
        </w:rPr>
        <w:t>Journal of Management Studies, 43</w:t>
      </w:r>
      <w:r w:rsidRPr="00563E26">
        <w:rPr>
          <w:rFonts w:ascii="Times New Roman" w:hAnsi="Times New Roman" w:cs="Times New Roman"/>
          <w:color w:val="000000" w:themeColor="text1"/>
          <w:sz w:val="24"/>
          <w:szCs w:val="24"/>
        </w:rPr>
        <w:t xml:space="preserve">(4), 917-955. </w:t>
      </w:r>
      <w:bookmarkEnd w:id="104"/>
    </w:p>
    <w:p w14:paraId="522D53AD" w14:textId="6387CBF4" w:rsidR="00247719" w:rsidRDefault="00247719" w:rsidP="00247719">
      <w:pPr>
        <w:pStyle w:val="EndNoteBibliography"/>
        <w:spacing w:after="0"/>
        <w:ind w:left="720" w:hanging="720"/>
        <w:rPr>
          <w:rFonts w:ascii="Times New Roman" w:hAnsi="Times New Roman" w:cs="Times New Roman"/>
          <w:color w:val="000000" w:themeColor="text1"/>
          <w:sz w:val="24"/>
          <w:szCs w:val="24"/>
        </w:rPr>
      </w:pPr>
      <w:bookmarkStart w:id="105" w:name="_ENREF_104"/>
      <w:r w:rsidRPr="00563E26">
        <w:rPr>
          <w:rFonts w:ascii="Times New Roman" w:hAnsi="Times New Roman" w:cs="Times New Roman"/>
          <w:color w:val="000000" w:themeColor="text1"/>
          <w:sz w:val="24"/>
          <w:szCs w:val="24"/>
        </w:rPr>
        <w:t xml:space="preserve">Zhao, Y., Li, Y., Lee, S. H., &amp; Chen, L. B. (2011). Entrepreneurial orientation, organizational learning, and performance: Evidence from China. </w:t>
      </w:r>
      <w:r w:rsidRPr="00563E26">
        <w:rPr>
          <w:rFonts w:ascii="Times New Roman" w:hAnsi="Times New Roman" w:cs="Times New Roman"/>
          <w:i/>
          <w:color w:val="000000" w:themeColor="text1"/>
          <w:sz w:val="24"/>
          <w:szCs w:val="24"/>
        </w:rPr>
        <w:t>Entrepreneurship Theory and Practice, 35</w:t>
      </w:r>
      <w:r w:rsidRPr="00563E26">
        <w:rPr>
          <w:rFonts w:ascii="Times New Roman" w:hAnsi="Times New Roman" w:cs="Times New Roman"/>
          <w:color w:val="000000" w:themeColor="text1"/>
          <w:sz w:val="24"/>
          <w:szCs w:val="24"/>
        </w:rPr>
        <w:t xml:space="preserve">(2), 293-317. </w:t>
      </w:r>
      <w:bookmarkEnd w:id="105"/>
    </w:p>
    <w:p w14:paraId="13EA333D" w14:textId="77777777" w:rsidR="0059460E" w:rsidRPr="00D30358" w:rsidRDefault="0059460E" w:rsidP="0059460E">
      <w:pPr>
        <w:pStyle w:val="Bibliography"/>
        <w:spacing w:line="240" w:lineRule="auto"/>
        <w:rPr>
          <w:rFonts w:ascii="Times New Roman" w:hAnsi="Times New Roman" w:cs="Times New Roman"/>
          <w:sz w:val="24"/>
        </w:rPr>
      </w:pPr>
      <w:r w:rsidRPr="00D30358">
        <w:rPr>
          <w:rFonts w:ascii="Times New Roman" w:hAnsi="Times New Roman" w:cs="Times New Roman"/>
          <w:sz w:val="24"/>
        </w:rPr>
        <w:fldChar w:fldCharType="begin"/>
      </w:r>
      <w:r w:rsidRPr="00D30358">
        <w:rPr>
          <w:rFonts w:ascii="Times New Roman" w:hAnsi="Times New Roman" w:cs="Times New Roman"/>
          <w:sz w:val="24"/>
        </w:rPr>
        <w:instrText xml:space="preserve"> ADDIN ZOTERO_BIBL {"uncited":[],"omitted":[],"custom":[]} CSL_BIBLIOGRAPHY </w:instrText>
      </w:r>
      <w:r w:rsidRPr="00D30358">
        <w:rPr>
          <w:rFonts w:ascii="Times New Roman" w:hAnsi="Times New Roman" w:cs="Times New Roman"/>
          <w:sz w:val="24"/>
        </w:rPr>
        <w:fldChar w:fldCharType="separate"/>
      </w:r>
      <w:r w:rsidRPr="00D30358">
        <w:rPr>
          <w:rFonts w:ascii="Times New Roman" w:hAnsi="Times New Roman" w:cs="Times New Roman"/>
          <w:sz w:val="24"/>
        </w:rPr>
        <w:t xml:space="preserve">Zhu, Q., Krikke, H. and Caniëls, M.C. (2018), “Supply chain integration: value creation through managing inter-organizational learning”, </w:t>
      </w:r>
      <w:r w:rsidRPr="00D30358">
        <w:rPr>
          <w:rFonts w:ascii="Times New Roman" w:hAnsi="Times New Roman" w:cs="Times New Roman"/>
          <w:i/>
          <w:iCs/>
          <w:sz w:val="24"/>
        </w:rPr>
        <w:t>International Journal of Operations &amp; Production Management</w:t>
      </w:r>
      <w:r w:rsidRPr="00D30358">
        <w:rPr>
          <w:rFonts w:ascii="Times New Roman" w:hAnsi="Times New Roman" w:cs="Times New Roman"/>
          <w:sz w:val="24"/>
        </w:rPr>
        <w:t>, Vol. 38 No. 1, pp. 211–229.</w:t>
      </w:r>
    </w:p>
    <w:p w14:paraId="2FF003DE" w14:textId="646B87C4" w:rsidR="00247719" w:rsidRPr="00563E26" w:rsidRDefault="0059460E" w:rsidP="00247719">
      <w:pPr>
        <w:pStyle w:val="EndNoteBibliography"/>
        <w:spacing w:after="0"/>
        <w:ind w:left="720" w:hanging="720"/>
        <w:rPr>
          <w:rFonts w:ascii="Times New Roman" w:hAnsi="Times New Roman" w:cs="Times New Roman"/>
          <w:color w:val="000000" w:themeColor="text1"/>
          <w:sz w:val="24"/>
          <w:szCs w:val="24"/>
        </w:rPr>
      </w:pPr>
      <w:r w:rsidRPr="00D30358">
        <w:rPr>
          <w:rFonts w:ascii="Times New Roman" w:hAnsi="Times New Roman" w:cs="Times New Roman"/>
          <w:sz w:val="24"/>
        </w:rPr>
        <w:fldChar w:fldCharType="end"/>
      </w:r>
      <w:bookmarkStart w:id="106" w:name="_ENREF_105"/>
      <w:r w:rsidR="00247719" w:rsidRPr="00563E26">
        <w:rPr>
          <w:rFonts w:ascii="Times New Roman" w:hAnsi="Times New Roman" w:cs="Times New Roman"/>
          <w:color w:val="000000" w:themeColor="text1"/>
          <w:sz w:val="24"/>
          <w:szCs w:val="24"/>
        </w:rPr>
        <w:t xml:space="preserve">Zollo, M., Reuer, J. J., &amp; Singh, H. (2002). Interorganizational routines and performance in strategic alliances. </w:t>
      </w:r>
      <w:r w:rsidR="00247719" w:rsidRPr="00563E26">
        <w:rPr>
          <w:rFonts w:ascii="Times New Roman" w:hAnsi="Times New Roman" w:cs="Times New Roman"/>
          <w:i/>
          <w:color w:val="000000" w:themeColor="text1"/>
          <w:sz w:val="24"/>
          <w:szCs w:val="24"/>
        </w:rPr>
        <w:t xml:space="preserve">Organization </w:t>
      </w:r>
      <w:r w:rsidR="00247719">
        <w:rPr>
          <w:rFonts w:ascii="Times New Roman" w:hAnsi="Times New Roman" w:cs="Times New Roman"/>
          <w:i/>
          <w:color w:val="000000" w:themeColor="text1"/>
          <w:sz w:val="24"/>
          <w:szCs w:val="24"/>
        </w:rPr>
        <w:t>S</w:t>
      </w:r>
      <w:r w:rsidR="00247719" w:rsidRPr="00563E26">
        <w:rPr>
          <w:rFonts w:ascii="Times New Roman" w:hAnsi="Times New Roman" w:cs="Times New Roman"/>
          <w:i/>
          <w:color w:val="000000" w:themeColor="text1"/>
          <w:sz w:val="24"/>
          <w:szCs w:val="24"/>
        </w:rPr>
        <w:t>cience, 13</w:t>
      </w:r>
      <w:r w:rsidR="00247719" w:rsidRPr="00563E26">
        <w:rPr>
          <w:rFonts w:ascii="Times New Roman" w:hAnsi="Times New Roman" w:cs="Times New Roman"/>
          <w:color w:val="000000" w:themeColor="text1"/>
          <w:sz w:val="24"/>
          <w:szCs w:val="24"/>
        </w:rPr>
        <w:t xml:space="preserve">(6), 701-713. </w:t>
      </w:r>
      <w:bookmarkEnd w:id="106"/>
    </w:p>
    <w:p w14:paraId="25D12455" w14:textId="77777777" w:rsidR="00247719" w:rsidRPr="00563E26" w:rsidRDefault="00247719" w:rsidP="00247719">
      <w:pPr>
        <w:pStyle w:val="EndNoteBibliography"/>
        <w:ind w:left="720" w:hanging="720"/>
        <w:rPr>
          <w:rFonts w:ascii="Times New Roman" w:hAnsi="Times New Roman" w:cs="Times New Roman"/>
          <w:color w:val="000000" w:themeColor="text1"/>
          <w:sz w:val="24"/>
          <w:szCs w:val="24"/>
        </w:rPr>
      </w:pPr>
      <w:bookmarkStart w:id="107" w:name="_ENREF_106"/>
      <w:r w:rsidRPr="00563E26">
        <w:rPr>
          <w:rFonts w:ascii="Times New Roman" w:hAnsi="Times New Roman" w:cs="Times New Roman"/>
          <w:color w:val="000000" w:themeColor="text1"/>
          <w:sz w:val="24"/>
          <w:szCs w:val="24"/>
        </w:rPr>
        <w:t xml:space="preserve">Zollo, M., &amp; Winter, S. G. (2002). Deliberate learning and the evolution of dynamic capabilities. </w:t>
      </w:r>
      <w:r w:rsidRPr="00563E26">
        <w:rPr>
          <w:rFonts w:ascii="Times New Roman" w:hAnsi="Times New Roman" w:cs="Times New Roman"/>
          <w:i/>
          <w:color w:val="000000" w:themeColor="text1"/>
          <w:sz w:val="24"/>
          <w:szCs w:val="24"/>
        </w:rPr>
        <w:t xml:space="preserve">Organization </w:t>
      </w:r>
      <w:r>
        <w:rPr>
          <w:rFonts w:ascii="Times New Roman" w:hAnsi="Times New Roman" w:cs="Times New Roman"/>
          <w:i/>
          <w:color w:val="000000" w:themeColor="text1"/>
          <w:sz w:val="24"/>
          <w:szCs w:val="24"/>
        </w:rPr>
        <w:t>S</w:t>
      </w:r>
      <w:r w:rsidRPr="00563E26">
        <w:rPr>
          <w:rFonts w:ascii="Times New Roman" w:hAnsi="Times New Roman" w:cs="Times New Roman"/>
          <w:i/>
          <w:color w:val="000000" w:themeColor="text1"/>
          <w:sz w:val="24"/>
          <w:szCs w:val="24"/>
        </w:rPr>
        <w:t>cience, 13</w:t>
      </w:r>
      <w:r w:rsidRPr="00563E26">
        <w:rPr>
          <w:rFonts w:ascii="Times New Roman" w:hAnsi="Times New Roman" w:cs="Times New Roman"/>
          <w:color w:val="000000" w:themeColor="text1"/>
          <w:sz w:val="24"/>
          <w:szCs w:val="24"/>
        </w:rPr>
        <w:t xml:space="preserve">(3), 339-351. </w:t>
      </w:r>
      <w:bookmarkEnd w:id="107"/>
    </w:p>
    <w:p w14:paraId="0B8F2708" w14:textId="40FDAD05" w:rsidR="00563E26" w:rsidRDefault="00247719"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r w:rsidRPr="00563E26">
        <w:rPr>
          <w:rFonts w:ascii="Times New Roman" w:eastAsiaTheme="minorHAnsi" w:hAnsi="Times New Roman" w:cs="Times New Roman"/>
          <w:color w:val="000000" w:themeColor="text1"/>
          <w:sz w:val="24"/>
          <w:szCs w:val="24"/>
          <w:lang w:val="en-GB"/>
        </w:rPr>
        <w:fldChar w:fldCharType="end"/>
      </w:r>
    </w:p>
    <w:p w14:paraId="5EE37221" w14:textId="569E499B"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117AB58C" w14:textId="2B938777"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55C09E45" w14:textId="5984A631"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50E87992" w14:textId="018CB2BB"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0DB15780" w14:textId="67767961"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71B6634" w14:textId="012CA087"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8170109" w14:textId="158F6D45"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3A5FBB7B" w14:textId="05A843DA"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33FBC0B" w14:textId="5F1DAE29"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10AF55A1" w14:textId="3174C932"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6857567B" w14:textId="799DAC49"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30E7532C" w14:textId="356E9321"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6E0F3227" w14:textId="5803E1DA"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7FC4063" w14:textId="133EE7CA"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6F4EF158" w14:textId="428DA951"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FA55514" w14:textId="14BDB324"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C8E1B82" w14:textId="02C2233F"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6CCED345" w14:textId="558BDE6D"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71E0DCC7" w14:textId="5A82AEAF"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62745B18" w14:textId="24D79AA9"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7E55114B" w14:textId="20856A87"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39546F52" w14:textId="773F720E"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5807780C" w14:textId="31955308"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89F183F" w14:textId="1A720786"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39762F8" w14:textId="01BC7BEB"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36EAA636" w14:textId="62F7362A"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0E5E437" w14:textId="4E70EE97"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5D7E042D" w14:textId="46730CB6"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6BB7E34" w14:textId="21E573CC"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7A9829F4" w14:textId="3A8E7578"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063D51F1" w14:textId="797D39C1"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541D8B96" w14:textId="0C80D7AE"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5DEEE0D" w14:textId="145F3946"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424F006" w14:textId="3818D57F"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2BC32F45" w14:textId="79F94480" w:rsidR="00B26CDC" w:rsidRDefault="00B26CDC" w:rsidP="00247719">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p>
    <w:p w14:paraId="45F8754E" w14:textId="77777777" w:rsidR="00B26CDC" w:rsidRDefault="00B26CDC" w:rsidP="00B26CDC">
      <w:pPr>
        <w:spacing w:after="0" w:line="240" w:lineRule="auto"/>
        <w:jc w:val="both"/>
        <w:rPr>
          <w:rFonts w:ascii="Times New Roman" w:eastAsia="Calibri" w:hAnsi="Times New Roman" w:cs="Times New Roman"/>
          <w:b/>
          <w:color w:val="000000"/>
          <w:sz w:val="24"/>
          <w:szCs w:val="24"/>
          <w:lang w:val="en-GB"/>
        </w:rPr>
      </w:pPr>
      <w:r w:rsidRPr="00D61B88">
        <w:rPr>
          <w:rFonts w:ascii="Times New Roman" w:eastAsia="Calibri" w:hAnsi="Times New Roman" w:cs="Times New Roman"/>
          <w:b/>
          <w:color w:val="000000"/>
          <w:sz w:val="24"/>
          <w:szCs w:val="24"/>
          <w:lang w:val="en-GB"/>
        </w:rPr>
        <w:lastRenderedPageBreak/>
        <w:t>Table 1: Industries Represented in the Sample</w:t>
      </w:r>
    </w:p>
    <w:tbl>
      <w:tblPr>
        <w:tblW w:w="6579" w:type="dxa"/>
        <w:tblLook w:val="04A0" w:firstRow="1" w:lastRow="0" w:firstColumn="1" w:lastColumn="0" w:noHBand="0" w:noVBand="1"/>
      </w:tblPr>
      <w:tblGrid>
        <w:gridCol w:w="3609"/>
        <w:gridCol w:w="1530"/>
        <w:gridCol w:w="1440"/>
      </w:tblGrid>
      <w:tr w:rsidR="00B26CDC" w:rsidRPr="0094678B" w14:paraId="2D132A14" w14:textId="77777777" w:rsidTr="00FF7971">
        <w:trPr>
          <w:trHeight w:val="286"/>
        </w:trPr>
        <w:tc>
          <w:tcPr>
            <w:tcW w:w="3609" w:type="dxa"/>
            <w:tcBorders>
              <w:top w:val="single" w:sz="4" w:space="0" w:color="auto"/>
              <w:bottom w:val="single" w:sz="4" w:space="0" w:color="auto"/>
            </w:tcBorders>
            <w:shd w:val="clear" w:color="auto" w:fill="auto"/>
            <w:vAlign w:val="bottom"/>
            <w:hideMark/>
          </w:tcPr>
          <w:p w14:paraId="67B91091" w14:textId="77777777" w:rsidR="00B26CDC" w:rsidRPr="0094678B" w:rsidRDefault="00B26CDC" w:rsidP="00FF7971">
            <w:pPr>
              <w:spacing w:after="0" w:line="240" w:lineRule="auto"/>
              <w:rPr>
                <w:rFonts w:ascii="Times New Roman" w:eastAsia="Times New Roman" w:hAnsi="Times New Roman" w:cs="Times New Roman"/>
                <w:b/>
                <w:color w:val="000000"/>
                <w:szCs w:val="24"/>
              </w:rPr>
            </w:pPr>
            <w:r w:rsidRPr="0094678B">
              <w:rPr>
                <w:rFonts w:ascii="Times New Roman" w:eastAsia="Times New Roman" w:hAnsi="Times New Roman" w:cs="Times New Roman"/>
                <w:b/>
                <w:bCs/>
                <w:color w:val="000000"/>
                <w:szCs w:val="24"/>
              </w:rPr>
              <w:t>Industry</w:t>
            </w:r>
          </w:p>
        </w:tc>
        <w:tc>
          <w:tcPr>
            <w:tcW w:w="1530" w:type="dxa"/>
            <w:tcBorders>
              <w:top w:val="single" w:sz="4" w:space="0" w:color="auto"/>
              <w:bottom w:val="single" w:sz="4" w:space="0" w:color="auto"/>
            </w:tcBorders>
            <w:shd w:val="clear" w:color="auto" w:fill="auto"/>
            <w:vAlign w:val="bottom"/>
            <w:hideMark/>
          </w:tcPr>
          <w:p w14:paraId="41BD85B5" w14:textId="77777777" w:rsidR="00B26CDC" w:rsidRPr="0094678B" w:rsidRDefault="00B26CDC" w:rsidP="00FF7971">
            <w:pPr>
              <w:spacing w:after="0" w:line="240" w:lineRule="auto"/>
              <w:jc w:val="center"/>
              <w:rPr>
                <w:rFonts w:ascii="Times New Roman" w:eastAsia="Times New Roman" w:hAnsi="Times New Roman" w:cs="Times New Roman"/>
                <w:b/>
                <w:color w:val="000000"/>
                <w:szCs w:val="24"/>
              </w:rPr>
            </w:pPr>
            <w:r w:rsidRPr="0094678B">
              <w:rPr>
                <w:rFonts w:ascii="Times New Roman" w:eastAsia="Times New Roman" w:hAnsi="Times New Roman" w:cs="Times New Roman"/>
                <w:b/>
                <w:color w:val="000000"/>
                <w:szCs w:val="24"/>
              </w:rPr>
              <w:t>Frequency</w:t>
            </w:r>
          </w:p>
        </w:tc>
        <w:tc>
          <w:tcPr>
            <w:tcW w:w="1440" w:type="dxa"/>
            <w:tcBorders>
              <w:top w:val="single" w:sz="4" w:space="0" w:color="auto"/>
              <w:bottom w:val="single" w:sz="4" w:space="0" w:color="auto"/>
            </w:tcBorders>
            <w:shd w:val="clear" w:color="auto" w:fill="auto"/>
            <w:vAlign w:val="bottom"/>
            <w:hideMark/>
          </w:tcPr>
          <w:p w14:paraId="1EBF5456" w14:textId="77777777" w:rsidR="00B26CDC" w:rsidRPr="0094678B" w:rsidRDefault="00B26CDC" w:rsidP="00FF7971">
            <w:pPr>
              <w:spacing w:after="0" w:line="240" w:lineRule="auto"/>
              <w:jc w:val="center"/>
              <w:rPr>
                <w:rFonts w:ascii="Times New Roman" w:eastAsia="Times New Roman" w:hAnsi="Times New Roman" w:cs="Times New Roman"/>
                <w:b/>
                <w:color w:val="000000"/>
                <w:szCs w:val="24"/>
              </w:rPr>
            </w:pPr>
            <w:r w:rsidRPr="0094678B">
              <w:rPr>
                <w:rFonts w:ascii="Times New Roman" w:eastAsia="Times New Roman" w:hAnsi="Times New Roman" w:cs="Times New Roman"/>
                <w:b/>
                <w:color w:val="000000"/>
                <w:szCs w:val="24"/>
              </w:rPr>
              <w:t>Percent</w:t>
            </w:r>
          </w:p>
        </w:tc>
      </w:tr>
      <w:tr w:rsidR="00B26CDC" w:rsidRPr="0094678B" w14:paraId="5E799D8F" w14:textId="77777777" w:rsidTr="00FF7971">
        <w:trPr>
          <w:trHeight w:val="314"/>
        </w:trPr>
        <w:tc>
          <w:tcPr>
            <w:tcW w:w="3609" w:type="dxa"/>
            <w:tcBorders>
              <w:top w:val="single" w:sz="4" w:space="0" w:color="auto"/>
            </w:tcBorders>
            <w:shd w:val="clear" w:color="auto" w:fill="auto"/>
            <w:hideMark/>
          </w:tcPr>
          <w:p w14:paraId="53421C01"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Textile</w:t>
            </w:r>
          </w:p>
        </w:tc>
        <w:tc>
          <w:tcPr>
            <w:tcW w:w="1530" w:type="dxa"/>
            <w:tcBorders>
              <w:top w:val="single" w:sz="4" w:space="0" w:color="auto"/>
            </w:tcBorders>
            <w:shd w:val="clear" w:color="auto" w:fill="auto"/>
            <w:noWrap/>
            <w:vAlign w:val="center"/>
            <w:hideMark/>
          </w:tcPr>
          <w:p w14:paraId="2A392AEE"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71</w:t>
            </w:r>
          </w:p>
        </w:tc>
        <w:tc>
          <w:tcPr>
            <w:tcW w:w="1440" w:type="dxa"/>
            <w:tcBorders>
              <w:top w:val="single" w:sz="4" w:space="0" w:color="auto"/>
            </w:tcBorders>
            <w:shd w:val="clear" w:color="auto" w:fill="auto"/>
            <w:noWrap/>
            <w:vAlign w:val="center"/>
            <w:hideMark/>
          </w:tcPr>
          <w:p w14:paraId="6E30BAC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25.6</w:t>
            </w:r>
          </w:p>
        </w:tc>
      </w:tr>
      <w:tr w:rsidR="00B26CDC" w:rsidRPr="0094678B" w14:paraId="79FB9670" w14:textId="77777777" w:rsidTr="00FF7971">
        <w:trPr>
          <w:trHeight w:val="314"/>
        </w:trPr>
        <w:tc>
          <w:tcPr>
            <w:tcW w:w="3609" w:type="dxa"/>
            <w:shd w:val="clear" w:color="auto" w:fill="auto"/>
            <w:hideMark/>
          </w:tcPr>
          <w:p w14:paraId="7A9E652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FMCG</w:t>
            </w:r>
          </w:p>
        </w:tc>
        <w:tc>
          <w:tcPr>
            <w:tcW w:w="1530" w:type="dxa"/>
            <w:shd w:val="clear" w:color="auto" w:fill="auto"/>
            <w:noWrap/>
            <w:vAlign w:val="center"/>
            <w:hideMark/>
          </w:tcPr>
          <w:p w14:paraId="299C03E1"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47</w:t>
            </w:r>
          </w:p>
        </w:tc>
        <w:tc>
          <w:tcPr>
            <w:tcW w:w="1440" w:type="dxa"/>
            <w:shd w:val="clear" w:color="auto" w:fill="auto"/>
            <w:noWrap/>
            <w:vAlign w:val="center"/>
            <w:hideMark/>
          </w:tcPr>
          <w:p w14:paraId="614D9FE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17.0</w:t>
            </w:r>
          </w:p>
        </w:tc>
      </w:tr>
      <w:tr w:rsidR="00B26CDC" w:rsidRPr="0094678B" w14:paraId="4295CEC4" w14:textId="77777777" w:rsidTr="00FF7971">
        <w:trPr>
          <w:trHeight w:val="314"/>
        </w:trPr>
        <w:tc>
          <w:tcPr>
            <w:tcW w:w="3609" w:type="dxa"/>
            <w:shd w:val="clear" w:color="auto" w:fill="auto"/>
            <w:hideMark/>
          </w:tcPr>
          <w:p w14:paraId="43C731C3"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Surgical instruments</w:t>
            </w:r>
          </w:p>
        </w:tc>
        <w:tc>
          <w:tcPr>
            <w:tcW w:w="1530" w:type="dxa"/>
            <w:shd w:val="clear" w:color="auto" w:fill="auto"/>
            <w:noWrap/>
            <w:vAlign w:val="center"/>
            <w:hideMark/>
          </w:tcPr>
          <w:p w14:paraId="4BCCCF0B"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25</w:t>
            </w:r>
          </w:p>
        </w:tc>
        <w:tc>
          <w:tcPr>
            <w:tcW w:w="1440" w:type="dxa"/>
            <w:shd w:val="clear" w:color="auto" w:fill="auto"/>
            <w:noWrap/>
            <w:vAlign w:val="center"/>
            <w:hideMark/>
          </w:tcPr>
          <w:p w14:paraId="0B2FC499"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9.0</w:t>
            </w:r>
          </w:p>
        </w:tc>
      </w:tr>
      <w:tr w:rsidR="00B26CDC" w:rsidRPr="0094678B" w14:paraId="29F99DF3" w14:textId="77777777" w:rsidTr="00FF7971">
        <w:trPr>
          <w:trHeight w:val="314"/>
        </w:trPr>
        <w:tc>
          <w:tcPr>
            <w:tcW w:w="3609" w:type="dxa"/>
            <w:shd w:val="clear" w:color="auto" w:fill="auto"/>
            <w:hideMark/>
          </w:tcPr>
          <w:p w14:paraId="0829FCFD"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Packaging</w:t>
            </w:r>
          </w:p>
        </w:tc>
        <w:tc>
          <w:tcPr>
            <w:tcW w:w="1530" w:type="dxa"/>
            <w:shd w:val="clear" w:color="auto" w:fill="auto"/>
            <w:noWrap/>
            <w:vAlign w:val="center"/>
            <w:hideMark/>
          </w:tcPr>
          <w:p w14:paraId="4DDB29D6"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16</w:t>
            </w:r>
          </w:p>
        </w:tc>
        <w:tc>
          <w:tcPr>
            <w:tcW w:w="1440" w:type="dxa"/>
            <w:shd w:val="clear" w:color="auto" w:fill="auto"/>
            <w:noWrap/>
            <w:vAlign w:val="center"/>
            <w:hideMark/>
          </w:tcPr>
          <w:p w14:paraId="6BE0CBDC"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5.8</w:t>
            </w:r>
          </w:p>
        </w:tc>
      </w:tr>
      <w:tr w:rsidR="00B26CDC" w:rsidRPr="0094678B" w14:paraId="2212540C" w14:textId="77777777" w:rsidTr="00FF7971">
        <w:trPr>
          <w:trHeight w:val="314"/>
        </w:trPr>
        <w:tc>
          <w:tcPr>
            <w:tcW w:w="3609" w:type="dxa"/>
            <w:shd w:val="clear" w:color="auto" w:fill="auto"/>
            <w:hideMark/>
          </w:tcPr>
          <w:p w14:paraId="682D43D3"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Sports Goods</w:t>
            </w:r>
          </w:p>
        </w:tc>
        <w:tc>
          <w:tcPr>
            <w:tcW w:w="1530" w:type="dxa"/>
            <w:shd w:val="clear" w:color="auto" w:fill="auto"/>
            <w:noWrap/>
            <w:vAlign w:val="center"/>
            <w:hideMark/>
          </w:tcPr>
          <w:p w14:paraId="2B8FD99C"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13</w:t>
            </w:r>
          </w:p>
        </w:tc>
        <w:tc>
          <w:tcPr>
            <w:tcW w:w="1440" w:type="dxa"/>
            <w:shd w:val="clear" w:color="auto" w:fill="auto"/>
            <w:noWrap/>
            <w:vAlign w:val="center"/>
            <w:hideMark/>
          </w:tcPr>
          <w:p w14:paraId="489BF4FC"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4.7</w:t>
            </w:r>
          </w:p>
        </w:tc>
      </w:tr>
      <w:tr w:rsidR="00B26CDC" w:rsidRPr="0094678B" w14:paraId="61DC0066" w14:textId="77777777" w:rsidTr="00FF7971">
        <w:trPr>
          <w:trHeight w:val="254"/>
        </w:trPr>
        <w:tc>
          <w:tcPr>
            <w:tcW w:w="3609" w:type="dxa"/>
            <w:shd w:val="clear" w:color="auto" w:fill="auto"/>
            <w:hideMark/>
          </w:tcPr>
          <w:p w14:paraId="342F047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Auto and parts manufacturing</w:t>
            </w:r>
          </w:p>
        </w:tc>
        <w:tc>
          <w:tcPr>
            <w:tcW w:w="1530" w:type="dxa"/>
            <w:shd w:val="clear" w:color="auto" w:fill="auto"/>
            <w:noWrap/>
            <w:vAlign w:val="center"/>
            <w:hideMark/>
          </w:tcPr>
          <w:p w14:paraId="0AC9F96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12</w:t>
            </w:r>
          </w:p>
        </w:tc>
        <w:tc>
          <w:tcPr>
            <w:tcW w:w="1440" w:type="dxa"/>
            <w:shd w:val="clear" w:color="auto" w:fill="auto"/>
            <w:noWrap/>
            <w:vAlign w:val="center"/>
            <w:hideMark/>
          </w:tcPr>
          <w:p w14:paraId="0170DD07"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4.3</w:t>
            </w:r>
          </w:p>
        </w:tc>
      </w:tr>
      <w:tr w:rsidR="00B26CDC" w:rsidRPr="0094678B" w14:paraId="158D389F" w14:textId="77777777" w:rsidTr="00FF7971">
        <w:trPr>
          <w:trHeight w:val="284"/>
        </w:trPr>
        <w:tc>
          <w:tcPr>
            <w:tcW w:w="3609" w:type="dxa"/>
            <w:shd w:val="clear" w:color="auto" w:fill="auto"/>
            <w:hideMark/>
          </w:tcPr>
          <w:p w14:paraId="5008455C"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Chemical and chemical products</w:t>
            </w:r>
          </w:p>
        </w:tc>
        <w:tc>
          <w:tcPr>
            <w:tcW w:w="1530" w:type="dxa"/>
            <w:shd w:val="clear" w:color="auto" w:fill="auto"/>
            <w:noWrap/>
            <w:vAlign w:val="center"/>
            <w:hideMark/>
          </w:tcPr>
          <w:p w14:paraId="6859CCD6"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30</w:t>
            </w:r>
          </w:p>
        </w:tc>
        <w:tc>
          <w:tcPr>
            <w:tcW w:w="1440" w:type="dxa"/>
            <w:shd w:val="clear" w:color="auto" w:fill="auto"/>
            <w:noWrap/>
            <w:vAlign w:val="center"/>
            <w:hideMark/>
          </w:tcPr>
          <w:p w14:paraId="58141597"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10.8</w:t>
            </w:r>
          </w:p>
        </w:tc>
      </w:tr>
      <w:tr w:rsidR="00B26CDC" w:rsidRPr="0094678B" w14:paraId="7C714572" w14:textId="77777777" w:rsidTr="00FF7971">
        <w:trPr>
          <w:trHeight w:val="314"/>
        </w:trPr>
        <w:tc>
          <w:tcPr>
            <w:tcW w:w="3609" w:type="dxa"/>
            <w:shd w:val="clear" w:color="auto" w:fill="auto"/>
            <w:hideMark/>
          </w:tcPr>
          <w:p w14:paraId="65C1DB6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Leather garments</w:t>
            </w:r>
          </w:p>
        </w:tc>
        <w:tc>
          <w:tcPr>
            <w:tcW w:w="1530" w:type="dxa"/>
            <w:shd w:val="clear" w:color="auto" w:fill="auto"/>
            <w:noWrap/>
            <w:vAlign w:val="center"/>
            <w:hideMark/>
          </w:tcPr>
          <w:p w14:paraId="590B5F6D"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9</w:t>
            </w:r>
          </w:p>
        </w:tc>
        <w:tc>
          <w:tcPr>
            <w:tcW w:w="1440" w:type="dxa"/>
            <w:shd w:val="clear" w:color="auto" w:fill="auto"/>
            <w:noWrap/>
            <w:vAlign w:val="center"/>
            <w:hideMark/>
          </w:tcPr>
          <w:p w14:paraId="2458C459"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3.2</w:t>
            </w:r>
          </w:p>
        </w:tc>
      </w:tr>
      <w:tr w:rsidR="00B26CDC" w:rsidRPr="0094678B" w14:paraId="761BDD54" w14:textId="77777777" w:rsidTr="00FF7971">
        <w:trPr>
          <w:trHeight w:val="314"/>
        </w:trPr>
        <w:tc>
          <w:tcPr>
            <w:tcW w:w="3609" w:type="dxa"/>
            <w:shd w:val="clear" w:color="auto" w:fill="auto"/>
            <w:hideMark/>
          </w:tcPr>
          <w:p w14:paraId="208232AF"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Electronics</w:t>
            </w:r>
          </w:p>
        </w:tc>
        <w:tc>
          <w:tcPr>
            <w:tcW w:w="1530" w:type="dxa"/>
            <w:shd w:val="clear" w:color="auto" w:fill="auto"/>
            <w:noWrap/>
            <w:vAlign w:val="center"/>
            <w:hideMark/>
          </w:tcPr>
          <w:p w14:paraId="3DDF1840"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8</w:t>
            </w:r>
          </w:p>
        </w:tc>
        <w:tc>
          <w:tcPr>
            <w:tcW w:w="1440" w:type="dxa"/>
            <w:shd w:val="clear" w:color="auto" w:fill="auto"/>
            <w:noWrap/>
            <w:vAlign w:val="center"/>
            <w:hideMark/>
          </w:tcPr>
          <w:p w14:paraId="32B21D54"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2.9</w:t>
            </w:r>
          </w:p>
        </w:tc>
      </w:tr>
      <w:tr w:rsidR="00B26CDC" w:rsidRPr="0094678B" w14:paraId="0063DB24" w14:textId="77777777" w:rsidTr="00FF7971">
        <w:trPr>
          <w:trHeight w:val="314"/>
        </w:trPr>
        <w:tc>
          <w:tcPr>
            <w:tcW w:w="3609" w:type="dxa"/>
            <w:shd w:val="clear" w:color="auto" w:fill="auto"/>
            <w:hideMark/>
          </w:tcPr>
          <w:p w14:paraId="2606DA1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Other</w:t>
            </w:r>
          </w:p>
        </w:tc>
        <w:tc>
          <w:tcPr>
            <w:tcW w:w="1530" w:type="dxa"/>
            <w:shd w:val="clear" w:color="auto" w:fill="auto"/>
            <w:noWrap/>
            <w:vAlign w:val="center"/>
            <w:hideMark/>
          </w:tcPr>
          <w:p w14:paraId="6FE9D136"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35</w:t>
            </w:r>
          </w:p>
        </w:tc>
        <w:tc>
          <w:tcPr>
            <w:tcW w:w="1440" w:type="dxa"/>
            <w:shd w:val="clear" w:color="auto" w:fill="auto"/>
            <w:noWrap/>
            <w:vAlign w:val="center"/>
            <w:hideMark/>
          </w:tcPr>
          <w:p w14:paraId="780C068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12.6</w:t>
            </w:r>
          </w:p>
        </w:tc>
      </w:tr>
      <w:tr w:rsidR="00B26CDC" w:rsidRPr="0094678B" w14:paraId="00A7D46A" w14:textId="77777777" w:rsidTr="00FF7971">
        <w:trPr>
          <w:trHeight w:val="314"/>
        </w:trPr>
        <w:tc>
          <w:tcPr>
            <w:tcW w:w="3609" w:type="dxa"/>
            <w:tcBorders>
              <w:bottom w:val="single" w:sz="4" w:space="0" w:color="auto"/>
            </w:tcBorders>
            <w:shd w:val="clear" w:color="auto" w:fill="auto"/>
            <w:hideMark/>
          </w:tcPr>
          <w:p w14:paraId="11DAA31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Not Provided</w:t>
            </w:r>
          </w:p>
        </w:tc>
        <w:tc>
          <w:tcPr>
            <w:tcW w:w="1530" w:type="dxa"/>
            <w:tcBorders>
              <w:bottom w:val="single" w:sz="4" w:space="0" w:color="auto"/>
            </w:tcBorders>
            <w:shd w:val="clear" w:color="auto" w:fill="auto"/>
            <w:noWrap/>
            <w:vAlign w:val="center"/>
            <w:hideMark/>
          </w:tcPr>
          <w:p w14:paraId="0BAE4C06"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11</w:t>
            </w:r>
          </w:p>
        </w:tc>
        <w:tc>
          <w:tcPr>
            <w:tcW w:w="1440" w:type="dxa"/>
            <w:tcBorders>
              <w:bottom w:val="single" w:sz="4" w:space="0" w:color="auto"/>
            </w:tcBorders>
            <w:shd w:val="clear" w:color="auto" w:fill="auto"/>
            <w:noWrap/>
            <w:vAlign w:val="center"/>
            <w:hideMark/>
          </w:tcPr>
          <w:p w14:paraId="38A72E4B"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4.0</w:t>
            </w:r>
          </w:p>
        </w:tc>
      </w:tr>
      <w:tr w:rsidR="00B26CDC" w:rsidRPr="0094678B" w14:paraId="48CB77EE" w14:textId="77777777" w:rsidTr="00FF7971">
        <w:trPr>
          <w:trHeight w:val="314"/>
        </w:trPr>
        <w:tc>
          <w:tcPr>
            <w:tcW w:w="6579" w:type="dxa"/>
            <w:gridSpan w:val="3"/>
            <w:tcBorders>
              <w:top w:val="single" w:sz="4" w:space="0" w:color="auto"/>
              <w:bottom w:val="single" w:sz="4" w:space="0" w:color="auto"/>
            </w:tcBorders>
            <w:shd w:val="clear" w:color="auto" w:fill="auto"/>
            <w:vAlign w:val="center"/>
            <w:hideMark/>
          </w:tcPr>
          <w:p w14:paraId="418C920B" w14:textId="77777777" w:rsidR="00B26CDC" w:rsidRPr="0094678B" w:rsidRDefault="00B26CDC" w:rsidP="00FF7971">
            <w:pPr>
              <w:spacing w:after="0" w:line="240" w:lineRule="auto"/>
              <w:rPr>
                <w:rFonts w:ascii="Times New Roman" w:eastAsia="Times New Roman" w:hAnsi="Times New Roman" w:cs="Times New Roman"/>
                <w:b/>
                <w:bCs/>
                <w:color w:val="000000"/>
                <w:szCs w:val="24"/>
              </w:rPr>
            </w:pPr>
            <w:r w:rsidRPr="0094678B">
              <w:rPr>
                <w:rFonts w:ascii="Times New Roman" w:eastAsia="Times New Roman" w:hAnsi="Times New Roman" w:cs="Times New Roman"/>
                <w:b/>
                <w:bCs/>
                <w:color w:val="000000"/>
                <w:szCs w:val="24"/>
              </w:rPr>
              <w:t>Organisation History</w:t>
            </w:r>
          </w:p>
        </w:tc>
      </w:tr>
      <w:tr w:rsidR="00B26CDC" w:rsidRPr="0094678B" w14:paraId="7127CE3D" w14:textId="77777777" w:rsidTr="00FF7971">
        <w:trPr>
          <w:trHeight w:val="314"/>
        </w:trPr>
        <w:tc>
          <w:tcPr>
            <w:tcW w:w="3609" w:type="dxa"/>
            <w:tcBorders>
              <w:top w:val="single" w:sz="4" w:space="0" w:color="auto"/>
            </w:tcBorders>
            <w:shd w:val="clear" w:color="auto" w:fill="auto"/>
            <w:hideMark/>
          </w:tcPr>
          <w:p w14:paraId="40C4B2C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Less than 5 years</w:t>
            </w:r>
          </w:p>
        </w:tc>
        <w:tc>
          <w:tcPr>
            <w:tcW w:w="1530" w:type="dxa"/>
            <w:tcBorders>
              <w:top w:val="single" w:sz="4" w:space="0" w:color="auto"/>
            </w:tcBorders>
            <w:shd w:val="clear" w:color="auto" w:fill="auto"/>
            <w:noWrap/>
            <w:vAlign w:val="center"/>
            <w:hideMark/>
          </w:tcPr>
          <w:p w14:paraId="550BB43E"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44</w:t>
            </w:r>
          </w:p>
        </w:tc>
        <w:tc>
          <w:tcPr>
            <w:tcW w:w="1440" w:type="dxa"/>
            <w:tcBorders>
              <w:top w:val="single" w:sz="4" w:space="0" w:color="auto"/>
            </w:tcBorders>
            <w:shd w:val="clear" w:color="auto" w:fill="auto"/>
            <w:noWrap/>
            <w:vAlign w:val="center"/>
            <w:hideMark/>
          </w:tcPr>
          <w:p w14:paraId="3D0E8597"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15.9</w:t>
            </w:r>
          </w:p>
        </w:tc>
      </w:tr>
      <w:tr w:rsidR="00B26CDC" w:rsidRPr="0094678B" w14:paraId="6562D390" w14:textId="77777777" w:rsidTr="00FF7971">
        <w:trPr>
          <w:trHeight w:val="314"/>
        </w:trPr>
        <w:tc>
          <w:tcPr>
            <w:tcW w:w="3609" w:type="dxa"/>
            <w:shd w:val="clear" w:color="auto" w:fill="auto"/>
            <w:hideMark/>
          </w:tcPr>
          <w:p w14:paraId="1F1FF8F1"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 to 10 years</w:t>
            </w:r>
          </w:p>
        </w:tc>
        <w:tc>
          <w:tcPr>
            <w:tcW w:w="1530" w:type="dxa"/>
            <w:shd w:val="clear" w:color="auto" w:fill="auto"/>
            <w:noWrap/>
            <w:vAlign w:val="center"/>
            <w:hideMark/>
          </w:tcPr>
          <w:p w14:paraId="289DF5E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49</w:t>
            </w:r>
          </w:p>
        </w:tc>
        <w:tc>
          <w:tcPr>
            <w:tcW w:w="1440" w:type="dxa"/>
            <w:shd w:val="clear" w:color="auto" w:fill="auto"/>
            <w:noWrap/>
            <w:vAlign w:val="center"/>
            <w:hideMark/>
          </w:tcPr>
          <w:p w14:paraId="4EEFECF8"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17.7</w:t>
            </w:r>
          </w:p>
        </w:tc>
      </w:tr>
      <w:tr w:rsidR="00B26CDC" w:rsidRPr="0094678B" w14:paraId="4728947F" w14:textId="77777777" w:rsidTr="00FF7971">
        <w:trPr>
          <w:trHeight w:val="314"/>
        </w:trPr>
        <w:tc>
          <w:tcPr>
            <w:tcW w:w="3609" w:type="dxa"/>
            <w:shd w:val="clear" w:color="auto" w:fill="auto"/>
            <w:hideMark/>
          </w:tcPr>
          <w:p w14:paraId="1B5B239E"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11 to 20 years</w:t>
            </w:r>
          </w:p>
        </w:tc>
        <w:tc>
          <w:tcPr>
            <w:tcW w:w="1530" w:type="dxa"/>
            <w:shd w:val="clear" w:color="auto" w:fill="auto"/>
            <w:noWrap/>
            <w:vAlign w:val="center"/>
            <w:hideMark/>
          </w:tcPr>
          <w:p w14:paraId="127211E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58</w:t>
            </w:r>
          </w:p>
        </w:tc>
        <w:tc>
          <w:tcPr>
            <w:tcW w:w="1440" w:type="dxa"/>
            <w:shd w:val="clear" w:color="auto" w:fill="auto"/>
            <w:noWrap/>
            <w:vAlign w:val="center"/>
            <w:hideMark/>
          </w:tcPr>
          <w:p w14:paraId="3D24C865"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20.9</w:t>
            </w:r>
          </w:p>
        </w:tc>
      </w:tr>
      <w:tr w:rsidR="00B26CDC" w:rsidRPr="0094678B" w14:paraId="1D4430B6" w14:textId="77777777" w:rsidTr="00FF7971">
        <w:trPr>
          <w:trHeight w:val="314"/>
        </w:trPr>
        <w:tc>
          <w:tcPr>
            <w:tcW w:w="3609" w:type="dxa"/>
            <w:tcBorders>
              <w:bottom w:val="single" w:sz="4" w:space="0" w:color="auto"/>
            </w:tcBorders>
            <w:shd w:val="clear" w:color="auto" w:fill="auto"/>
            <w:hideMark/>
          </w:tcPr>
          <w:p w14:paraId="7AD5A2C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More than 20 years</w:t>
            </w:r>
          </w:p>
        </w:tc>
        <w:tc>
          <w:tcPr>
            <w:tcW w:w="1530" w:type="dxa"/>
            <w:tcBorders>
              <w:bottom w:val="single" w:sz="4" w:space="0" w:color="auto"/>
            </w:tcBorders>
            <w:shd w:val="clear" w:color="auto" w:fill="auto"/>
            <w:noWrap/>
            <w:vAlign w:val="center"/>
            <w:hideMark/>
          </w:tcPr>
          <w:p w14:paraId="70D19F0D"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126</w:t>
            </w:r>
          </w:p>
        </w:tc>
        <w:tc>
          <w:tcPr>
            <w:tcW w:w="1440" w:type="dxa"/>
            <w:tcBorders>
              <w:bottom w:val="single" w:sz="4" w:space="0" w:color="auto"/>
            </w:tcBorders>
            <w:shd w:val="clear" w:color="auto" w:fill="auto"/>
            <w:noWrap/>
            <w:vAlign w:val="center"/>
            <w:hideMark/>
          </w:tcPr>
          <w:p w14:paraId="34CFA6F1"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45.5</w:t>
            </w:r>
          </w:p>
        </w:tc>
      </w:tr>
      <w:tr w:rsidR="00B26CDC" w:rsidRPr="0094678B" w14:paraId="0D5BB292" w14:textId="77777777" w:rsidTr="00FF7971">
        <w:trPr>
          <w:trHeight w:val="314"/>
        </w:trPr>
        <w:tc>
          <w:tcPr>
            <w:tcW w:w="6579" w:type="dxa"/>
            <w:gridSpan w:val="3"/>
            <w:tcBorders>
              <w:top w:val="single" w:sz="4" w:space="0" w:color="auto"/>
              <w:bottom w:val="single" w:sz="4" w:space="0" w:color="auto"/>
            </w:tcBorders>
            <w:shd w:val="clear" w:color="auto" w:fill="auto"/>
            <w:vAlign w:val="center"/>
            <w:hideMark/>
          </w:tcPr>
          <w:p w14:paraId="5C0D82B1" w14:textId="77777777" w:rsidR="00B26CDC" w:rsidRPr="0094678B" w:rsidRDefault="00B26CDC" w:rsidP="00FF7971">
            <w:pPr>
              <w:spacing w:after="0" w:line="240" w:lineRule="auto"/>
              <w:rPr>
                <w:rFonts w:ascii="Times New Roman" w:eastAsia="Times New Roman" w:hAnsi="Times New Roman" w:cs="Times New Roman"/>
                <w:b/>
                <w:bCs/>
                <w:color w:val="000000"/>
                <w:szCs w:val="24"/>
              </w:rPr>
            </w:pPr>
            <w:r w:rsidRPr="0094678B">
              <w:rPr>
                <w:rFonts w:ascii="Times New Roman" w:eastAsia="Times New Roman" w:hAnsi="Times New Roman" w:cs="Times New Roman"/>
                <w:b/>
                <w:bCs/>
                <w:color w:val="000000"/>
                <w:szCs w:val="24"/>
              </w:rPr>
              <w:t>Sales (In Pak Rupees)</w:t>
            </w:r>
          </w:p>
        </w:tc>
      </w:tr>
      <w:tr w:rsidR="00B26CDC" w:rsidRPr="0094678B" w14:paraId="0A73E462" w14:textId="77777777" w:rsidTr="00FF7971">
        <w:trPr>
          <w:trHeight w:val="314"/>
        </w:trPr>
        <w:tc>
          <w:tcPr>
            <w:tcW w:w="3609" w:type="dxa"/>
            <w:tcBorders>
              <w:top w:val="single" w:sz="4" w:space="0" w:color="auto"/>
            </w:tcBorders>
            <w:shd w:val="clear" w:color="auto" w:fill="auto"/>
            <w:hideMark/>
          </w:tcPr>
          <w:p w14:paraId="11DE3E9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Less than 10m</w:t>
            </w:r>
          </w:p>
        </w:tc>
        <w:tc>
          <w:tcPr>
            <w:tcW w:w="1530" w:type="dxa"/>
            <w:tcBorders>
              <w:top w:val="single" w:sz="4" w:space="0" w:color="auto"/>
            </w:tcBorders>
            <w:shd w:val="clear" w:color="auto" w:fill="auto"/>
            <w:noWrap/>
            <w:vAlign w:val="center"/>
            <w:hideMark/>
          </w:tcPr>
          <w:p w14:paraId="1613FF80"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6</w:t>
            </w:r>
          </w:p>
        </w:tc>
        <w:tc>
          <w:tcPr>
            <w:tcW w:w="1440" w:type="dxa"/>
            <w:tcBorders>
              <w:top w:val="single" w:sz="4" w:space="0" w:color="auto"/>
            </w:tcBorders>
            <w:shd w:val="clear" w:color="auto" w:fill="auto"/>
            <w:noWrap/>
            <w:vAlign w:val="center"/>
            <w:hideMark/>
          </w:tcPr>
          <w:p w14:paraId="183D8068"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2.2</w:t>
            </w:r>
          </w:p>
        </w:tc>
      </w:tr>
      <w:tr w:rsidR="00B26CDC" w:rsidRPr="0094678B" w14:paraId="1785B729" w14:textId="77777777" w:rsidTr="00FF7971">
        <w:trPr>
          <w:trHeight w:val="314"/>
        </w:trPr>
        <w:tc>
          <w:tcPr>
            <w:tcW w:w="3609" w:type="dxa"/>
            <w:shd w:val="clear" w:color="auto" w:fill="auto"/>
            <w:hideMark/>
          </w:tcPr>
          <w:p w14:paraId="1B0D4BD6"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10m to 50m</w:t>
            </w:r>
          </w:p>
        </w:tc>
        <w:tc>
          <w:tcPr>
            <w:tcW w:w="1530" w:type="dxa"/>
            <w:shd w:val="clear" w:color="auto" w:fill="auto"/>
            <w:noWrap/>
            <w:vAlign w:val="center"/>
            <w:hideMark/>
          </w:tcPr>
          <w:p w14:paraId="6823081D"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34</w:t>
            </w:r>
          </w:p>
        </w:tc>
        <w:tc>
          <w:tcPr>
            <w:tcW w:w="1440" w:type="dxa"/>
            <w:shd w:val="clear" w:color="auto" w:fill="auto"/>
            <w:noWrap/>
            <w:vAlign w:val="center"/>
            <w:hideMark/>
          </w:tcPr>
          <w:p w14:paraId="22FB234B"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12.3</w:t>
            </w:r>
          </w:p>
        </w:tc>
      </w:tr>
      <w:tr w:rsidR="00B26CDC" w:rsidRPr="0094678B" w14:paraId="1BFDD9B2" w14:textId="77777777" w:rsidTr="00FF7971">
        <w:trPr>
          <w:trHeight w:val="314"/>
        </w:trPr>
        <w:tc>
          <w:tcPr>
            <w:tcW w:w="3609" w:type="dxa"/>
            <w:shd w:val="clear" w:color="auto" w:fill="auto"/>
            <w:hideMark/>
          </w:tcPr>
          <w:p w14:paraId="7FD05B3C"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51m to 100m</w:t>
            </w:r>
          </w:p>
        </w:tc>
        <w:tc>
          <w:tcPr>
            <w:tcW w:w="1530" w:type="dxa"/>
            <w:shd w:val="clear" w:color="auto" w:fill="auto"/>
            <w:noWrap/>
            <w:vAlign w:val="center"/>
            <w:hideMark/>
          </w:tcPr>
          <w:p w14:paraId="7749079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29</w:t>
            </w:r>
          </w:p>
        </w:tc>
        <w:tc>
          <w:tcPr>
            <w:tcW w:w="1440" w:type="dxa"/>
            <w:shd w:val="clear" w:color="auto" w:fill="auto"/>
            <w:noWrap/>
            <w:vAlign w:val="center"/>
            <w:hideMark/>
          </w:tcPr>
          <w:p w14:paraId="47B5940F"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10.5</w:t>
            </w:r>
          </w:p>
        </w:tc>
      </w:tr>
      <w:tr w:rsidR="00B26CDC" w:rsidRPr="0094678B" w14:paraId="1EB93C46" w14:textId="77777777" w:rsidTr="00FF7971">
        <w:trPr>
          <w:trHeight w:val="314"/>
        </w:trPr>
        <w:tc>
          <w:tcPr>
            <w:tcW w:w="3609" w:type="dxa"/>
            <w:shd w:val="clear" w:color="auto" w:fill="auto"/>
            <w:hideMark/>
          </w:tcPr>
          <w:p w14:paraId="749537C2"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101m to 200m</w:t>
            </w:r>
          </w:p>
        </w:tc>
        <w:tc>
          <w:tcPr>
            <w:tcW w:w="1530" w:type="dxa"/>
            <w:shd w:val="clear" w:color="auto" w:fill="auto"/>
            <w:noWrap/>
            <w:vAlign w:val="center"/>
            <w:hideMark/>
          </w:tcPr>
          <w:p w14:paraId="1B89133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21</w:t>
            </w:r>
          </w:p>
        </w:tc>
        <w:tc>
          <w:tcPr>
            <w:tcW w:w="1440" w:type="dxa"/>
            <w:shd w:val="clear" w:color="auto" w:fill="auto"/>
            <w:noWrap/>
            <w:vAlign w:val="center"/>
            <w:hideMark/>
          </w:tcPr>
          <w:p w14:paraId="74B3546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7.6</w:t>
            </w:r>
          </w:p>
        </w:tc>
      </w:tr>
      <w:tr w:rsidR="00B26CDC" w:rsidRPr="0094678B" w14:paraId="571E8C93" w14:textId="77777777" w:rsidTr="00FF7971">
        <w:trPr>
          <w:trHeight w:val="314"/>
        </w:trPr>
        <w:tc>
          <w:tcPr>
            <w:tcW w:w="3609" w:type="dxa"/>
            <w:shd w:val="clear" w:color="auto" w:fill="auto"/>
            <w:hideMark/>
          </w:tcPr>
          <w:p w14:paraId="434A08E5"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Greater than 200m</w:t>
            </w:r>
          </w:p>
        </w:tc>
        <w:tc>
          <w:tcPr>
            <w:tcW w:w="1530" w:type="dxa"/>
            <w:shd w:val="clear" w:color="auto" w:fill="auto"/>
            <w:noWrap/>
            <w:vAlign w:val="center"/>
            <w:hideMark/>
          </w:tcPr>
          <w:p w14:paraId="0A440D44"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87</w:t>
            </w:r>
          </w:p>
        </w:tc>
        <w:tc>
          <w:tcPr>
            <w:tcW w:w="1440" w:type="dxa"/>
            <w:shd w:val="clear" w:color="auto" w:fill="auto"/>
            <w:noWrap/>
            <w:vAlign w:val="center"/>
            <w:hideMark/>
          </w:tcPr>
          <w:p w14:paraId="6FBD9589"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31.4</w:t>
            </w:r>
          </w:p>
        </w:tc>
      </w:tr>
      <w:tr w:rsidR="00B26CDC" w:rsidRPr="0094678B" w14:paraId="39D99822" w14:textId="77777777" w:rsidTr="00FF7971">
        <w:trPr>
          <w:trHeight w:val="314"/>
        </w:trPr>
        <w:tc>
          <w:tcPr>
            <w:tcW w:w="3609" w:type="dxa"/>
            <w:tcBorders>
              <w:bottom w:val="single" w:sz="4" w:space="0" w:color="auto"/>
            </w:tcBorders>
            <w:shd w:val="clear" w:color="auto" w:fill="auto"/>
            <w:hideMark/>
          </w:tcPr>
          <w:p w14:paraId="4A03BB25"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Not provided</w:t>
            </w:r>
          </w:p>
        </w:tc>
        <w:tc>
          <w:tcPr>
            <w:tcW w:w="1530" w:type="dxa"/>
            <w:tcBorders>
              <w:bottom w:val="single" w:sz="4" w:space="0" w:color="auto"/>
            </w:tcBorders>
            <w:shd w:val="clear" w:color="auto" w:fill="auto"/>
            <w:noWrap/>
            <w:vAlign w:val="center"/>
            <w:hideMark/>
          </w:tcPr>
          <w:p w14:paraId="0C2F48D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100</w:t>
            </w:r>
          </w:p>
        </w:tc>
        <w:tc>
          <w:tcPr>
            <w:tcW w:w="1440" w:type="dxa"/>
            <w:tcBorders>
              <w:bottom w:val="single" w:sz="4" w:space="0" w:color="auto"/>
            </w:tcBorders>
            <w:shd w:val="clear" w:color="auto" w:fill="auto"/>
            <w:noWrap/>
            <w:vAlign w:val="center"/>
            <w:hideMark/>
          </w:tcPr>
          <w:p w14:paraId="0D09539E"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36.1</w:t>
            </w:r>
          </w:p>
        </w:tc>
      </w:tr>
    </w:tbl>
    <w:p w14:paraId="6BAE31FB" w14:textId="77777777" w:rsidR="00B26CDC" w:rsidRPr="007135C8" w:rsidRDefault="00B26CDC" w:rsidP="00B26CDC">
      <w:pPr>
        <w:spacing w:after="0" w:line="240" w:lineRule="auto"/>
        <w:rPr>
          <w:rFonts w:ascii="Times New Roman" w:eastAsia="Calibri" w:hAnsi="Times New Roman" w:cs="Times New Roman"/>
          <w:b/>
          <w:sz w:val="8"/>
          <w:lang w:val="en-GB"/>
        </w:rPr>
      </w:pPr>
    </w:p>
    <w:p w14:paraId="14C05E07" w14:textId="77777777" w:rsidR="00B26CDC" w:rsidRDefault="00B26CDC" w:rsidP="00B26CDC">
      <w:pPr>
        <w:spacing w:after="0" w:line="240" w:lineRule="auto"/>
        <w:rPr>
          <w:rFonts w:ascii="Times New Roman" w:eastAsia="Calibri" w:hAnsi="Times New Roman" w:cs="Times New Roman"/>
          <w:b/>
          <w:sz w:val="24"/>
          <w:lang w:val="en-GB"/>
        </w:rPr>
      </w:pPr>
    </w:p>
    <w:p w14:paraId="32E3DF20" w14:textId="77777777" w:rsidR="00B26CDC" w:rsidRPr="002E29AB" w:rsidRDefault="00B26CDC" w:rsidP="00B26CDC">
      <w:pPr>
        <w:spacing w:after="0" w:line="240" w:lineRule="auto"/>
        <w:rPr>
          <w:rFonts w:ascii="Times New Roman" w:eastAsia="Calibri" w:hAnsi="Times New Roman" w:cs="Times New Roman"/>
          <w:b/>
          <w:sz w:val="24"/>
          <w:lang w:val="en-GB"/>
        </w:rPr>
      </w:pPr>
      <w:r w:rsidRPr="002E29AB">
        <w:rPr>
          <w:rFonts w:ascii="Times New Roman" w:eastAsia="Calibri" w:hAnsi="Times New Roman" w:cs="Times New Roman"/>
          <w:b/>
          <w:sz w:val="24"/>
          <w:lang w:val="en-GB"/>
        </w:rPr>
        <w:t>Table 2: Respondent Profile</w:t>
      </w:r>
    </w:p>
    <w:tbl>
      <w:tblPr>
        <w:tblW w:w="4800" w:type="dxa"/>
        <w:tblInd w:w="99" w:type="dxa"/>
        <w:tblLook w:val="04A0" w:firstRow="1" w:lastRow="0" w:firstColumn="1" w:lastColumn="0" w:noHBand="0" w:noVBand="1"/>
      </w:tblPr>
      <w:tblGrid>
        <w:gridCol w:w="2620"/>
        <w:gridCol w:w="1229"/>
        <w:gridCol w:w="951"/>
      </w:tblGrid>
      <w:tr w:rsidR="00B26CDC" w:rsidRPr="0094678B" w14:paraId="374495B4" w14:textId="77777777" w:rsidTr="00FF7971">
        <w:trPr>
          <w:trHeight w:val="315"/>
        </w:trPr>
        <w:tc>
          <w:tcPr>
            <w:tcW w:w="2620" w:type="dxa"/>
            <w:tcBorders>
              <w:top w:val="single" w:sz="4" w:space="0" w:color="auto"/>
              <w:bottom w:val="single" w:sz="4" w:space="0" w:color="auto"/>
            </w:tcBorders>
            <w:shd w:val="clear" w:color="auto" w:fill="auto"/>
            <w:hideMark/>
          </w:tcPr>
          <w:p w14:paraId="6AF3AB62" w14:textId="77777777" w:rsidR="00B26CDC" w:rsidRPr="0094678B" w:rsidRDefault="00B26CDC" w:rsidP="00FF7971">
            <w:pPr>
              <w:spacing w:after="0" w:line="240" w:lineRule="auto"/>
              <w:rPr>
                <w:rFonts w:ascii="Times New Roman" w:eastAsia="Times New Roman" w:hAnsi="Times New Roman" w:cs="Times New Roman"/>
                <w:b/>
                <w:color w:val="000000"/>
                <w:szCs w:val="24"/>
              </w:rPr>
            </w:pPr>
            <w:r w:rsidRPr="0094678B">
              <w:rPr>
                <w:rFonts w:ascii="Times New Roman" w:eastAsia="Times New Roman" w:hAnsi="Times New Roman" w:cs="Times New Roman"/>
                <w:b/>
                <w:bCs/>
                <w:color w:val="000000"/>
                <w:szCs w:val="24"/>
              </w:rPr>
              <w:t>Designation</w:t>
            </w:r>
          </w:p>
        </w:tc>
        <w:tc>
          <w:tcPr>
            <w:tcW w:w="1229" w:type="dxa"/>
            <w:tcBorders>
              <w:top w:val="single" w:sz="4" w:space="0" w:color="auto"/>
              <w:bottom w:val="single" w:sz="4" w:space="0" w:color="auto"/>
            </w:tcBorders>
            <w:shd w:val="clear" w:color="auto" w:fill="auto"/>
            <w:noWrap/>
            <w:vAlign w:val="bottom"/>
            <w:hideMark/>
          </w:tcPr>
          <w:p w14:paraId="2102C9DC" w14:textId="77777777" w:rsidR="00B26CDC" w:rsidRPr="0094678B" w:rsidRDefault="00B26CDC" w:rsidP="00FF7971">
            <w:pPr>
              <w:spacing w:after="0" w:line="240" w:lineRule="auto"/>
              <w:jc w:val="center"/>
              <w:rPr>
                <w:rFonts w:ascii="Times New Roman" w:eastAsia="Times New Roman" w:hAnsi="Times New Roman" w:cs="Times New Roman"/>
                <w:b/>
                <w:color w:val="000000"/>
                <w:szCs w:val="24"/>
              </w:rPr>
            </w:pPr>
            <w:r w:rsidRPr="0094678B">
              <w:rPr>
                <w:rFonts w:ascii="Times New Roman" w:eastAsia="Times New Roman" w:hAnsi="Times New Roman" w:cs="Times New Roman"/>
                <w:b/>
                <w:color w:val="000000"/>
                <w:szCs w:val="24"/>
              </w:rPr>
              <w:t>Frequency</w:t>
            </w:r>
          </w:p>
        </w:tc>
        <w:tc>
          <w:tcPr>
            <w:tcW w:w="951" w:type="dxa"/>
            <w:tcBorders>
              <w:top w:val="single" w:sz="4" w:space="0" w:color="auto"/>
              <w:bottom w:val="single" w:sz="4" w:space="0" w:color="auto"/>
            </w:tcBorders>
            <w:shd w:val="clear" w:color="auto" w:fill="auto"/>
            <w:noWrap/>
            <w:vAlign w:val="bottom"/>
            <w:hideMark/>
          </w:tcPr>
          <w:p w14:paraId="0306CF1F" w14:textId="77777777" w:rsidR="00B26CDC" w:rsidRPr="0094678B" w:rsidRDefault="00B26CDC" w:rsidP="00FF7971">
            <w:pPr>
              <w:spacing w:after="0" w:line="240" w:lineRule="auto"/>
              <w:rPr>
                <w:rFonts w:ascii="Times New Roman" w:eastAsia="Times New Roman" w:hAnsi="Times New Roman" w:cs="Times New Roman"/>
                <w:b/>
                <w:color w:val="000000"/>
                <w:szCs w:val="24"/>
              </w:rPr>
            </w:pPr>
            <w:r w:rsidRPr="0094678B">
              <w:rPr>
                <w:rFonts w:ascii="Times New Roman" w:eastAsia="Times New Roman" w:hAnsi="Times New Roman" w:cs="Times New Roman"/>
                <w:b/>
                <w:color w:val="000000"/>
                <w:szCs w:val="24"/>
              </w:rPr>
              <w:t>Percent</w:t>
            </w:r>
          </w:p>
        </w:tc>
      </w:tr>
      <w:tr w:rsidR="00B26CDC" w:rsidRPr="0094678B" w14:paraId="11A44F83" w14:textId="77777777" w:rsidTr="00FF7971">
        <w:trPr>
          <w:trHeight w:val="315"/>
        </w:trPr>
        <w:tc>
          <w:tcPr>
            <w:tcW w:w="2620" w:type="dxa"/>
            <w:shd w:val="clear" w:color="auto" w:fill="auto"/>
            <w:hideMark/>
          </w:tcPr>
          <w:p w14:paraId="5D2FF222"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CEO/General Manager</w:t>
            </w:r>
          </w:p>
        </w:tc>
        <w:tc>
          <w:tcPr>
            <w:tcW w:w="1229" w:type="dxa"/>
            <w:shd w:val="clear" w:color="auto" w:fill="auto"/>
            <w:noWrap/>
            <w:vAlign w:val="center"/>
            <w:hideMark/>
          </w:tcPr>
          <w:p w14:paraId="1368E7BC"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14</w:t>
            </w:r>
          </w:p>
        </w:tc>
        <w:tc>
          <w:tcPr>
            <w:tcW w:w="951" w:type="dxa"/>
            <w:shd w:val="clear" w:color="auto" w:fill="auto"/>
            <w:noWrap/>
            <w:vAlign w:val="center"/>
            <w:hideMark/>
          </w:tcPr>
          <w:p w14:paraId="3A8EC18F"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5.1</w:t>
            </w:r>
          </w:p>
        </w:tc>
      </w:tr>
      <w:tr w:rsidR="00B26CDC" w:rsidRPr="0094678B" w14:paraId="3FE8F0D1" w14:textId="77777777" w:rsidTr="00FF7971">
        <w:trPr>
          <w:trHeight w:val="315"/>
        </w:trPr>
        <w:tc>
          <w:tcPr>
            <w:tcW w:w="2620" w:type="dxa"/>
            <w:shd w:val="clear" w:color="auto" w:fill="auto"/>
            <w:hideMark/>
          </w:tcPr>
          <w:p w14:paraId="678B0FC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Functional head</w:t>
            </w:r>
          </w:p>
        </w:tc>
        <w:tc>
          <w:tcPr>
            <w:tcW w:w="1229" w:type="dxa"/>
            <w:shd w:val="clear" w:color="auto" w:fill="auto"/>
            <w:noWrap/>
            <w:vAlign w:val="center"/>
            <w:hideMark/>
          </w:tcPr>
          <w:p w14:paraId="5CE95887"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10</w:t>
            </w:r>
            <w:r>
              <w:rPr>
                <w:rFonts w:ascii="Times New Roman" w:eastAsia="Times New Roman" w:hAnsi="Times New Roman" w:cs="Times New Roman"/>
                <w:color w:val="000000"/>
                <w:szCs w:val="24"/>
              </w:rPr>
              <w:t>7</w:t>
            </w:r>
          </w:p>
        </w:tc>
        <w:tc>
          <w:tcPr>
            <w:tcW w:w="951" w:type="dxa"/>
            <w:shd w:val="clear" w:color="auto" w:fill="auto"/>
            <w:noWrap/>
            <w:vAlign w:val="center"/>
            <w:hideMark/>
          </w:tcPr>
          <w:p w14:paraId="7EF609F5"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39.0</w:t>
            </w:r>
          </w:p>
        </w:tc>
      </w:tr>
      <w:tr w:rsidR="00B26CDC" w:rsidRPr="0094678B" w14:paraId="37EFF915" w14:textId="77777777" w:rsidTr="00FF7971">
        <w:trPr>
          <w:trHeight w:val="315"/>
        </w:trPr>
        <w:tc>
          <w:tcPr>
            <w:tcW w:w="2620" w:type="dxa"/>
            <w:shd w:val="clear" w:color="auto" w:fill="auto"/>
            <w:hideMark/>
          </w:tcPr>
          <w:p w14:paraId="666B62A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Executive</w:t>
            </w:r>
          </w:p>
        </w:tc>
        <w:tc>
          <w:tcPr>
            <w:tcW w:w="1229" w:type="dxa"/>
            <w:shd w:val="clear" w:color="auto" w:fill="auto"/>
            <w:noWrap/>
            <w:vAlign w:val="center"/>
            <w:hideMark/>
          </w:tcPr>
          <w:p w14:paraId="40B4B3F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w:t>
            </w:r>
            <w:r>
              <w:rPr>
                <w:rFonts w:ascii="Times New Roman" w:eastAsia="Times New Roman" w:hAnsi="Times New Roman" w:cs="Times New Roman"/>
                <w:color w:val="000000"/>
                <w:szCs w:val="24"/>
              </w:rPr>
              <w:t>7</w:t>
            </w:r>
          </w:p>
        </w:tc>
        <w:tc>
          <w:tcPr>
            <w:tcW w:w="951" w:type="dxa"/>
            <w:shd w:val="clear" w:color="auto" w:fill="auto"/>
            <w:noWrap/>
            <w:vAlign w:val="center"/>
            <w:hideMark/>
          </w:tcPr>
          <w:p w14:paraId="6F695BB4"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13.7</w:t>
            </w:r>
          </w:p>
        </w:tc>
      </w:tr>
      <w:tr w:rsidR="00B26CDC" w:rsidRPr="0094678B" w14:paraId="21B25569" w14:textId="77777777" w:rsidTr="00FF7971">
        <w:trPr>
          <w:trHeight w:val="315"/>
        </w:trPr>
        <w:tc>
          <w:tcPr>
            <w:tcW w:w="2620" w:type="dxa"/>
            <w:shd w:val="clear" w:color="auto" w:fill="auto"/>
            <w:hideMark/>
          </w:tcPr>
          <w:p w14:paraId="0C337BA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Middle manager</w:t>
            </w:r>
          </w:p>
        </w:tc>
        <w:tc>
          <w:tcPr>
            <w:tcW w:w="1229" w:type="dxa"/>
            <w:shd w:val="clear" w:color="auto" w:fill="auto"/>
            <w:noWrap/>
            <w:vAlign w:val="center"/>
            <w:hideMark/>
          </w:tcPr>
          <w:p w14:paraId="2E1BE4D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52</w:t>
            </w:r>
          </w:p>
        </w:tc>
        <w:tc>
          <w:tcPr>
            <w:tcW w:w="951" w:type="dxa"/>
            <w:shd w:val="clear" w:color="auto" w:fill="auto"/>
            <w:noWrap/>
            <w:vAlign w:val="center"/>
            <w:hideMark/>
          </w:tcPr>
          <w:p w14:paraId="7F274C9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18.8</w:t>
            </w:r>
          </w:p>
        </w:tc>
      </w:tr>
      <w:tr w:rsidR="00B26CDC" w:rsidRPr="0094678B" w14:paraId="54FA9BDE" w14:textId="77777777" w:rsidTr="00FF7971">
        <w:trPr>
          <w:trHeight w:val="315"/>
        </w:trPr>
        <w:tc>
          <w:tcPr>
            <w:tcW w:w="2620" w:type="dxa"/>
            <w:shd w:val="clear" w:color="auto" w:fill="auto"/>
            <w:hideMark/>
          </w:tcPr>
          <w:p w14:paraId="51837017"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Owner/Partner</w:t>
            </w:r>
          </w:p>
        </w:tc>
        <w:tc>
          <w:tcPr>
            <w:tcW w:w="1229" w:type="dxa"/>
            <w:shd w:val="clear" w:color="auto" w:fill="auto"/>
            <w:noWrap/>
            <w:vAlign w:val="center"/>
            <w:hideMark/>
          </w:tcPr>
          <w:p w14:paraId="3A6FFF1E"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35</w:t>
            </w:r>
          </w:p>
        </w:tc>
        <w:tc>
          <w:tcPr>
            <w:tcW w:w="951" w:type="dxa"/>
            <w:shd w:val="clear" w:color="auto" w:fill="auto"/>
            <w:noWrap/>
            <w:vAlign w:val="center"/>
            <w:hideMark/>
          </w:tcPr>
          <w:p w14:paraId="759AF6CA"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12.6</w:t>
            </w:r>
          </w:p>
        </w:tc>
      </w:tr>
      <w:tr w:rsidR="00B26CDC" w:rsidRPr="0094678B" w14:paraId="7BCE8F26" w14:textId="77777777" w:rsidTr="00FF7971">
        <w:trPr>
          <w:trHeight w:val="315"/>
        </w:trPr>
        <w:tc>
          <w:tcPr>
            <w:tcW w:w="2620" w:type="dxa"/>
            <w:shd w:val="clear" w:color="auto" w:fill="auto"/>
            <w:hideMark/>
          </w:tcPr>
          <w:p w14:paraId="2D3A707C"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Engineer</w:t>
            </w:r>
          </w:p>
        </w:tc>
        <w:tc>
          <w:tcPr>
            <w:tcW w:w="1229" w:type="dxa"/>
            <w:shd w:val="clear" w:color="auto" w:fill="auto"/>
            <w:noWrap/>
            <w:vAlign w:val="center"/>
            <w:hideMark/>
          </w:tcPr>
          <w:p w14:paraId="35FA20E9"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w:t>
            </w:r>
          </w:p>
        </w:tc>
        <w:tc>
          <w:tcPr>
            <w:tcW w:w="951" w:type="dxa"/>
            <w:shd w:val="clear" w:color="auto" w:fill="auto"/>
            <w:noWrap/>
            <w:vAlign w:val="center"/>
            <w:hideMark/>
          </w:tcPr>
          <w:p w14:paraId="57CD58A5"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1.1</w:t>
            </w:r>
          </w:p>
        </w:tc>
      </w:tr>
      <w:tr w:rsidR="00B26CDC" w:rsidRPr="0094678B" w14:paraId="03BE2A7B" w14:textId="77777777" w:rsidTr="00FF7971">
        <w:trPr>
          <w:trHeight w:val="315"/>
        </w:trPr>
        <w:tc>
          <w:tcPr>
            <w:tcW w:w="2620" w:type="dxa"/>
            <w:tcBorders>
              <w:bottom w:val="single" w:sz="4" w:space="0" w:color="auto"/>
            </w:tcBorders>
            <w:shd w:val="clear" w:color="auto" w:fill="auto"/>
            <w:hideMark/>
          </w:tcPr>
          <w:p w14:paraId="3E56A382"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Not provided</w:t>
            </w:r>
          </w:p>
        </w:tc>
        <w:tc>
          <w:tcPr>
            <w:tcW w:w="1229" w:type="dxa"/>
            <w:tcBorders>
              <w:bottom w:val="single" w:sz="4" w:space="0" w:color="auto"/>
            </w:tcBorders>
            <w:shd w:val="clear" w:color="auto" w:fill="auto"/>
            <w:noWrap/>
            <w:vAlign w:val="center"/>
            <w:hideMark/>
          </w:tcPr>
          <w:p w14:paraId="1CCB9210"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27</w:t>
            </w:r>
          </w:p>
        </w:tc>
        <w:tc>
          <w:tcPr>
            <w:tcW w:w="951" w:type="dxa"/>
            <w:tcBorders>
              <w:bottom w:val="single" w:sz="4" w:space="0" w:color="auto"/>
            </w:tcBorders>
            <w:shd w:val="clear" w:color="auto" w:fill="auto"/>
            <w:noWrap/>
            <w:vAlign w:val="center"/>
            <w:hideMark/>
          </w:tcPr>
          <w:p w14:paraId="48AF2F8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9.7</w:t>
            </w:r>
          </w:p>
        </w:tc>
      </w:tr>
      <w:tr w:rsidR="00B26CDC" w:rsidRPr="0094678B" w14:paraId="3CBFCD19" w14:textId="77777777" w:rsidTr="00FF7971">
        <w:trPr>
          <w:trHeight w:val="315"/>
        </w:trPr>
        <w:tc>
          <w:tcPr>
            <w:tcW w:w="4800" w:type="dxa"/>
            <w:gridSpan w:val="3"/>
            <w:tcBorders>
              <w:top w:val="single" w:sz="4" w:space="0" w:color="auto"/>
              <w:bottom w:val="single" w:sz="4" w:space="0" w:color="auto"/>
            </w:tcBorders>
            <w:shd w:val="clear" w:color="auto" w:fill="auto"/>
            <w:vAlign w:val="center"/>
            <w:hideMark/>
          </w:tcPr>
          <w:p w14:paraId="31705028" w14:textId="77777777" w:rsidR="00B26CDC" w:rsidRPr="0094678B" w:rsidRDefault="00B26CDC" w:rsidP="00FF7971">
            <w:pPr>
              <w:spacing w:after="0" w:line="240" w:lineRule="auto"/>
              <w:rPr>
                <w:rFonts w:ascii="Times New Roman" w:eastAsia="Times New Roman" w:hAnsi="Times New Roman" w:cs="Times New Roman"/>
                <w:b/>
                <w:bCs/>
                <w:color w:val="000000"/>
                <w:szCs w:val="24"/>
              </w:rPr>
            </w:pPr>
            <w:r w:rsidRPr="0094678B">
              <w:rPr>
                <w:rFonts w:ascii="Times New Roman" w:eastAsia="Times New Roman" w:hAnsi="Times New Roman" w:cs="Times New Roman"/>
                <w:b/>
                <w:bCs/>
                <w:color w:val="000000"/>
                <w:szCs w:val="24"/>
              </w:rPr>
              <w:t>Experience</w:t>
            </w:r>
          </w:p>
        </w:tc>
      </w:tr>
      <w:tr w:rsidR="00B26CDC" w:rsidRPr="0094678B" w14:paraId="262D02F2" w14:textId="77777777" w:rsidTr="00FF7971">
        <w:trPr>
          <w:trHeight w:val="315"/>
        </w:trPr>
        <w:tc>
          <w:tcPr>
            <w:tcW w:w="2620" w:type="dxa"/>
            <w:tcBorders>
              <w:top w:val="single" w:sz="4" w:space="0" w:color="auto"/>
            </w:tcBorders>
            <w:shd w:val="clear" w:color="auto" w:fill="auto"/>
            <w:hideMark/>
          </w:tcPr>
          <w:p w14:paraId="252C0543"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Less than 1 year</w:t>
            </w:r>
          </w:p>
        </w:tc>
        <w:tc>
          <w:tcPr>
            <w:tcW w:w="1229" w:type="dxa"/>
            <w:tcBorders>
              <w:top w:val="single" w:sz="4" w:space="0" w:color="auto"/>
            </w:tcBorders>
            <w:shd w:val="clear" w:color="auto" w:fill="auto"/>
            <w:noWrap/>
            <w:vAlign w:val="center"/>
            <w:hideMark/>
          </w:tcPr>
          <w:p w14:paraId="24D29244"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9</w:t>
            </w:r>
          </w:p>
        </w:tc>
        <w:tc>
          <w:tcPr>
            <w:tcW w:w="951" w:type="dxa"/>
            <w:tcBorders>
              <w:top w:val="single" w:sz="4" w:space="0" w:color="auto"/>
            </w:tcBorders>
            <w:shd w:val="clear" w:color="auto" w:fill="auto"/>
            <w:noWrap/>
            <w:vAlign w:val="center"/>
            <w:hideMark/>
          </w:tcPr>
          <w:p w14:paraId="3D41F3A6"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3.2</w:t>
            </w:r>
          </w:p>
        </w:tc>
      </w:tr>
      <w:tr w:rsidR="00B26CDC" w:rsidRPr="0094678B" w14:paraId="34BC51C3" w14:textId="77777777" w:rsidTr="00FF7971">
        <w:trPr>
          <w:trHeight w:val="315"/>
        </w:trPr>
        <w:tc>
          <w:tcPr>
            <w:tcW w:w="2620" w:type="dxa"/>
            <w:shd w:val="clear" w:color="auto" w:fill="auto"/>
            <w:hideMark/>
          </w:tcPr>
          <w:p w14:paraId="27D6B703"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 to 5 years</w:t>
            </w:r>
          </w:p>
        </w:tc>
        <w:tc>
          <w:tcPr>
            <w:tcW w:w="1229" w:type="dxa"/>
            <w:shd w:val="clear" w:color="auto" w:fill="auto"/>
            <w:noWrap/>
            <w:vAlign w:val="center"/>
            <w:hideMark/>
          </w:tcPr>
          <w:p w14:paraId="7337B14C"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6</w:t>
            </w:r>
            <w:r>
              <w:rPr>
                <w:rFonts w:ascii="Times New Roman" w:eastAsia="Times New Roman" w:hAnsi="Times New Roman" w:cs="Times New Roman"/>
                <w:color w:val="000000"/>
                <w:szCs w:val="24"/>
              </w:rPr>
              <w:t>2</w:t>
            </w:r>
          </w:p>
        </w:tc>
        <w:tc>
          <w:tcPr>
            <w:tcW w:w="951" w:type="dxa"/>
            <w:shd w:val="clear" w:color="auto" w:fill="auto"/>
            <w:noWrap/>
            <w:vAlign w:val="center"/>
            <w:hideMark/>
          </w:tcPr>
          <w:p w14:paraId="3A99AE31"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22.7</w:t>
            </w:r>
          </w:p>
        </w:tc>
      </w:tr>
      <w:tr w:rsidR="00B26CDC" w:rsidRPr="0094678B" w14:paraId="12E23FD8" w14:textId="77777777" w:rsidTr="00FF7971">
        <w:trPr>
          <w:trHeight w:val="315"/>
        </w:trPr>
        <w:tc>
          <w:tcPr>
            <w:tcW w:w="2620" w:type="dxa"/>
            <w:shd w:val="clear" w:color="auto" w:fill="auto"/>
            <w:hideMark/>
          </w:tcPr>
          <w:p w14:paraId="37997604"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6 to 10 years</w:t>
            </w:r>
          </w:p>
        </w:tc>
        <w:tc>
          <w:tcPr>
            <w:tcW w:w="1229" w:type="dxa"/>
            <w:shd w:val="clear" w:color="auto" w:fill="auto"/>
            <w:noWrap/>
            <w:vAlign w:val="center"/>
            <w:hideMark/>
          </w:tcPr>
          <w:p w14:paraId="15513892"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7</w:t>
            </w:r>
            <w:r>
              <w:rPr>
                <w:rFonts w:ascii="Times New Roman" w:eastAsia="Times New Roman" w:hAnsi="Times New Roman" w:cs="Times New Roman"/>
                <w:color w:val="000000"/>
                <w:szCs w:val="24"/>
              </w:rPr>
              <w:t>8</w:t>
            </w:r>
          </w:p>
        </w:tc>
        <w:tc>
          <w:tcPr>
            <w:tcW w:w="951" w:type="dxa"/>
            <w:shd w:val="clear" w:color="auto" w:fill="auto"/>
            <w:noWrap/>
            <w:vAlign w:val="center"/>
            <w:hideMark/>
          </w:tcPr>
          <w:p w14:paraId="67F3E69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28.5</w:t>
            </w:r>
          </w:p>
        </w:tc>
      </w:tr>
      <w:tr w:rsidR="00B26CDC" w:rsidRPr="0094678B" w14:paraId="2A08359A" w14:textId="77777777" w:rsidTr="00FF7971">
        <w:trPr>
          <w:trHeight w:val="315"/>
        </w:trPr>
        <w:tc>
          <w:tcPr>
            <w:tcW w:w="2620" w:type="dxa"/>
            <w:shd w:val="clear" w:color="auto" w:fill="auto"/>
            <w:hideMark/>
          </w:tcPr>
          <w:p w14:paraId="0CB80728"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11 to 20 years</w:t>
            </w:r>
          </w:p>
        </w:tc>
        <w:tc>
          <w:tcPr>
            <w:tcW w:w="1229" w:type="dxa"/>
            <w:shd w:val="clear" w:color="auto" w:fill="auto"/>
            <w:noWrap/>
            <w:vAlign w:val="center"/>
            <w:hideMark/>
          </w:tcPr>
          <w:p w14:paraId="0AF73A2A"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78</w:t>
            </w:r>
          </w:p>
        </w:tc>
        <w:tc>
          <w:tcPr>
            <w:tcW w:w="951" w:type="dxa"/>
            <w:shd w:val="clear" w:color="auto" w:fill="auto"/>
            <w:noWrap/>
            <w:vAlign w:val="center"/>
            <w:hideMark/>
          </w:tcPr>
          <w:p w14:paraId="497F0C5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28.2</w:t>
            </w:r>
          </w:p>
        </w:tc>
      </w:tr>
      <w:tr w:rsidR="00B26CDC" w:rsidRPr="0094678B" w14:paraId="247F1793" w14:textId="77777777" w:rsidTr="00FF7971">
        <w:trPr>
          <w:trHeight w:val="315"/>
        </w:trPr>
        <w:tc>
          <w:tcPr>
            <w:tcW w:w="2620" w:type="dxa"/>
            <w:shd w:val="clear" w:color="auto" w:fill="auto"/>
            <w:hideMark/>
          </w:tcPr>
          <w:p w14:paraId="17FD14F0"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Greater than 20 years</w:t>
            </w:r>
          </w:p>
        </w:tc>
        <w:tc>
          <w:tcPr>
            <w:tcW w:w="1229" w:type="dxa"/>
            <w:shd w:val="clear" w:color="auto" w:fill="auto"/>
            <w:noWrap/>
            <w:vAlign w:val="center"/>
            <w:hideMark/>
          </w:tcPr>
          <w:p w14:paraId="6318F34F"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16</w:t>
            </w:r>
          </w:p>
        </w:tc>
        <w:tc>
          <w:tcPr>
            <w:tcW w:w="951" w:type="dxa"/>
            <w:shd w:val="clear" w:color="auto" w:fill="auto"/>
            <w:noWrap/>
            <w:vAlign w:val="center"/>
            <w:hideMark/>
          </w:tcPr>
          <w:p w14:paraId="4F3AF969"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5.8</w:t>
            </w:r>
          </w:p>
        </w:tc>
      </w:tr>
      <w:tr w:rsidR="00B26CDC" w:rsidRPr="0094678B" w14:paraId="6085006C" w14:textId="77777777" w:rsidTr="00FF7971">
        <w:trPr>
          <w:trHeight w:val="360"/>
        </w:trPr>
        <w:tc>
          <w:tcPr>
            <w:tcW w:w="2620" w:type="dxa"/>
            <w:tcBorders>
              <w:bottom w:val="single" w:sz="4" w:space="0" w:color="auto"/>
            </w:tcBorders>
            <w:shd w:val="clear" w:color="auto" w:fill="auto"/>
            <w:hideMark/>
          </w:tcPr>
          <w:p w14:paraId="3AB8217E"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Not provided</w:t>
            </w:r>
          </w:p>
        </w:tc>
        <w:tc>
          <w:tcPr>
            <w:tcW w:w="1229" w:type="dxa"/>
            <w:tcBorders>
              <w:bottom w:val="single" w:sz="4" w:space="0" w:color="auto"/>
            </w:tcBorders>
            <w:shd w:val="clear" w:color="auto" w:fill="auto"/>
            <w:noWrap/>
            <w:vAlign w:val="center"/>
            <w:hideMark/>
          </w:tcPr>
          <w:p w14:paraId="44E9B65D" w14:textId="77777777" w:rsidR="00B26CDC" w:rsidRPr="0094678B" w:rsidRDefault="00B26CDC" w:rsidP="00FF7971">
            <w:pPr>
              <w:spacing w:after="0" w:line="240" w:lineRule="auto"/>
              <w:jc w:val="center"/>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32</w:t>
            </w:r>
          </w:p>
        </w:tc>
        <w:tc>
          <w:tcPr>
            <w:tcW w:w="951" w:type="dxa"/>
            <w:tcBorders>
              <w:bottom w:val="single" w:sz="4" w:space="0" w:color="auto"/>
            </w:tcBorders>
            <w:shd w:val="clear" w:color="auto" w:fill="auto"/>
            <w:noWrap/>
            <w:vAlign w:val="center"/>
            <w:hideMark/>
          </w:tcPr>
          <w:p w14:paraId="5505F496" w14:textId="77777777" w:rsidR="00B26CDC" w:rsidRPr="0094678B" w:rsidRDefault="00B26CDC" w:rsidP="00FF7971">
            <w:pPr>
              <w:spacing w:after="0" w:line="240" w:lineRule="auto"/>
              <w:rPr>
                <w:rFonts w:ascii="Times New Roman" w:eastAsia="Times New Roman" w:hAnsi="Times New Roman" w:cs="Times New Roman"/>
                <w:color w:val="000000"/>
                <w:szCs w:val="24"/>
              </w:rPr>
            </w:pPr>
            <w:r w:rsidRPr="0094678B">
              <w:rPr>
                <w:rFonts w:ascii="Times New Roman" w:eastAsia="Times New Roman" w:hAnsi="Times New Roman" w:cs="Times New Roman"/>
                <w:color w:val="000000"/>
                <w:szCs w:val="24"/>
              </w:rPr>
              <w:t>11.6</w:t>
            </w:r>
          </w:p>
        </w:tc>
      </w:tr>
    </w:tbl>
    <w:p w14:paraId="696E1895" w14:textId="77777777" w:rsidR="00B26CDC" w:rsidRDefault="00B26CDC" w:rsidP="00B26CDC">
      <w:pPr>
        <w:spacing w:after="0" w:line="240" w:lineRule="auto"/>
      </w:pPr>
    </w:p>
    <w:p w14:paraId="3FB1F4CE" w14:textId="77777777" w:rsidR="00B26CDC" w:rsidRDefault="00B26CDC" w:rsidP="00B26CDC">
      <w:pPr>
        <w:spacing w:after="0" w:line="240" w:lineRule="auto"/>
      </w:pPr>
    </w:p>
    <w:p w14:paraId="29095329" w14:textId="77777777" w:rsidR="00B26CDC" w:rsidRPr="00583E01" w:rsidRDefault="00B26CDC" w:rsidP="00B26CDC">
      <w:pPr>
        <w:spacing w:after="0" w:line="240" w:lineRule="auto"/>
        <w:jc w:val="both"/>
        <w:rPr>
          <w:rFonts w:ascii="Times New Roman" w:eastAsia="Calibri" w:hAnsi="Times New Roman" w:cs="Times New Roman"/>
          <w:b/>
          <w:color w:val="000000"/>
          <w:sz w:val="24"/>
          <w:szCs w:val="24"/>
          <w:lang w:val="en-GB"/>
        </w:rPr>
      </w:pPr>
      <w:r w:rsidRPr="00583E01">
        <w:rPr>
          <w:rFonts w:ascii="Times New Roman" w:eastAsia="Calibri" w:hAnsi="Times New Roman" w:cs="Times New Roman"/>
          <w:b/>
          <w:color w:val="000000"/>
          <w:sz w:val="24"/>
          <w:szCs w:val="24"/>
          <w:lang w:val="en-GB"/>
        </w:rPr>
        <w:lastRenderedPageBreak/>
        <w:t>Table 3: Measurement Model Validation-Reliability and Convergent Validity</w:t>
      </w:r>
    </w:p>
    <w:tbl>
      <w:tblPr>
        <w:tblStyle w:val="TableGrid1"/>
        <w:tblW w:w="0" w:type="auto"/>
        <w:tblLook w:val="04A0" w:firstRow="1" w:lastRow="0" w:firstColumn="1" w:lastColumn="0" w:noHBand="0" w:noVBand="1"/>
      </w:tblPr>
      <w:tblGrid>
        <w:gridCol w:w="6588"/>
        <w:gridCol w:w="1800"/>
      </w:tblGrid>
      <w:tr w:rsidR="00B26CDC" w:rsidRPr="002D3C05" w14:paraId="3F97BB13" w14:textId="77777777" w:rsidTr="00FF7971">
        <w:trPr>
          <w:trHeight w:val="550"/>
        </w:trPr>
        <w:tc>
          <w:tcPr>
            <w:tcW w:w="6588" w:type="dxa"/>
            <w:tcBorders>
              <w:top w:val="single" w:sz="4" w:space="0" w:color="auto"/>
              <w:left w:val="nil"/>
              <w:bottom w:val="single" w:sz="4" w:space="0" w:color="auto"/>
              <w:right w:val="nil"/>
            </w:tcBorders>
            <w:vAlign w:val="center"/>
          </w:tcPr>
          <w:p w14:paraId="65C81AF1" w14:textId="77777777" w:rsidR="00B26CDC" w:rsidRPr="002610CF" w:rsidRDefault="00B26CDC" w:rsidP="00FF7971">
            <w:pPr>
              <w:spacing w:after="0" w:line="240" w:lineRule="auto"/>
              <w:rPr>
                <w:rFonts w:ascii="Times New Roman" w:hAnsi="Times New Roman" w:cs="Times New Roman"/>
                <w:b/>
                <w:sz w:val="2"/>
                <w:szCs w:val="24"/>
              </w:rPr>
            </w:pPr>
          </w:p>
          <w:p w14:paraId="48BE8197" w14:textId="77777777" w:rsidR="00B26CDC" w:rsidRPr="002610CF" w:rsidRDefault="00B26CDC" w:rsidP="00FF7971">
            <w:pPr>
              <w:spacing w:after="0" w:line="240" w:lineRule="auto"/>
              <w:rPr>
                <w:rFonts w:ascii="Times New Roman" w:hAnsi="Times New Roman" w:cs="Times New Roman"/>
                <w:b/>
                <w:sz w:val="20"/>
                <w:szCs w:val="24"/>
              </w:rPr>
            </w:pPr>
            <w:r w:rsidRPr="002610CF">
              <w:rPr>
                <w:rFonts w:ascii="Times New Roman" w:hAnsi="Times New Roman" w:cs="Times New Roman"/>
                <w:b/>
                <w:sz w:val="20"/>
                <w:szCs w:val="24"/>
              </w:rPr>
              <w:t xml:space="preserve">Indicator </w:t>
            </w:r>
            <w:r w:rsidRPr="002610CF">
              <w:rPr>
                <w:rFonts w:ascii="Times New Roman" w:hAnsi="Times New Roman" w:cs="Times New Roman"/>
                <w:b/>
                <w:i/>
                <w:sz w:val="20"/>
                <w:szCs w:val="24"/>
              </w:rPr>
              <w:t>(C</w:t>
            </w:r>
            <w:r>
              <w:rPr>
                <w:rFonts w:ascii="Times New Roman" w:hAnsi="Times New Roman" w:cs="Times New Roman"/>
                <w:b/>
                <w:i/>
                <w:sz w:val="20"/>
                <w:szCs w:val="24"/>
              </w:rPr>
              <w:t>omposite Reliability</w:t>
            </w:r>
            <w:r w:rsidRPr="002610CF">
              <w:rPr>
                <w:rFonts w:ascii="Times New Roman" w:hAnsi="Times New Roman" w:cs="Times New Roman"/>
                <w:b/>
                <w:i/>
                <w:sz w:val="20"/>
                <w:szCs w:val="24"/>
              </w:rPr>
              <w:t>, Average variance extracted,</w:t>
            </w:r>
            <w:r>
              <w:rPr>
                <w:rFonts w:ascii="Times New Roman" w:hAnsi="Times New Roman" w:cs="Times New Roman"/>
                <w:b/>
                <w:i/>
                <w:sz w:val="20"/>
                <w:szCs w:val="24"/>
              </w:rPr>
              <w:t xml:space="preserve"> Maximum Shared Variance,</w:t>
            </w:r>
            <w:r w:rsidRPr="002610CF">
              <w:rPr>
                <w:rFonts w:ascii="Times New Roman" w:hAnsi="Times New Roman" w:cs="Times New Roman"/>
                <w:b/>
                <w:i/>
                <w:sz w:val="20"/>
                <w:szCs w:val="24"/>
              </w:rPr>
              <w:t xml:space="preserve"> Second Order Loading)</w:t>
            </w:r>
          </w:p>
        </w:tc>
        <w:tc>
          <w:tcPr>
            <w:tcW w:w="1800" w:type="dxa"/>
            <w:tcBorders>
              <w:top w:val="single" w:sz="4" w:space="0" w:color="auto"/>
              <w:left w:val="nil"/>
              <w:bottom w:val="single" w:sz="4" w:space="0" w:color="auto"/>
              <w:right w:val="nil"/>
            </w:tcBorders>
          </w:tcPr>
          <w:p w14:paraId="4F7E693A" w14:textId="77777777" w:rsidR="00B26CDC" w:rsidRPr="002610CF" w:rsidRDefault="00B26CDC" w:rsidP="00FF7971">
            <w:pPr>
              <w:spacing w:after="0" w:line="240" w:lineRule="auto"/>
              <w:jc w:val="center"/>
              <w:rPr>
                <w:rFonts w:ascii="Times New Roman" w:hAnsi="Times New Roman" w:cs="Times New Roman"/>
                <w:b/>
                <w:sz w:val="20"/>
                <w:szCs w:val="24"/>
              </w:rPr>
            </w:pPr>
            <w:r w:rsidRPr="002610CF">
              <w:rPr>
                <w:rFonts w:ascii="Times New Roman" w:hAnsi="Times New Roman" w:cs="Times New Roman"/>
                <w:b/>
                <w:sz w:val="20"/>
                <w:szCs w:val="24"/>
              </w:rPr>
              <w:t>Standardized Loading</w:t>
            </w:r>
          </w:p>
        </w:tc>
      </w:tr>
      <w:tr w:rsidR="00B26CDC" w:rsidRPr="002D3C05" w14:paraId="6A07615C" w14:textId="77777777" w:rsidTr="00FF7971">
        <w:trPr>
          <w:trHeight w:val="422"/>
        </w:trPr>
        <w:tc>
          <w:tcPr>
            <w:tcW w:w="6588" w:type="dxa"/>
            <w:tcBorders>
              <w:top w:val="single" w:sz="4" w:space="0" w:color="auto"/>
              <w:left w:val="nil"/>
              <w:bottom w:val="nil"/>
              <w:right w:val="nil"/>
            </w:tcBorders>
            <w:vAlign w:val="center"/>
          </w:tcPr>
          <w:p w14:paraId="3AF09C0C" w14:textId="77777777" w:rsidR="00B26CDC" w:rsidRPr="002D3C05" w:rsidRDefault="00B26CDC" w:rsidP="00FF7971">
            <w:pPr>
              <w:spacing w:after="0" w:line="240" w:lineRule="auto"/>
              <w:rPr>
                <w:rFonts w:ascii="Times New Roman" w:hAnsi="Times New Roman" w:cs="Times New Roman"/>
                <w:i/>
                <w:sz w:val="20"/>
                <w:szCs w:val="24"/>
              </w:rPr>
            </w:pPr>
            <w:r>
              <w:rPr>
                <w:rFonts w:ascii="Times New Roman" w:hAnsi="Times New Roman" w:cs="Times New Roman"/>
                <w:b/>
                <w:i/>
                <w:sz w:val="20"/>
                <w:szCs w:val="24"/>
              </w:rPr>
              <w:t>Entrepreneurial Orientation</w:t>
            </w:r>
            <w:r w:rsidRPr="002D3C05">
              <w:rPr>
                <w:rFonts w:ascii="Times New Roman" w:hAnsi="Times New Roman" w:cs="Times New Roman"/>
                <w:i/>
                <w:sz w:val="20"/>
                <w:szCs w:val="24"/>
              </w:rPr>
              <w:t xml:space="preserve"> </w:t>
            </w:r>
            <w:r w:rsidRPr="000B4EE7">
              <w:rPr>
                <w:rFonts w:ascii="Times New Roman" w:hAnsi="Times New Roman" w:cs="Times New Roman"/>
                <w:i/>
                <w:sz w:val="20"/>
                <w:szCs w:val="24"/>
              </w:rPr>
              <w:t>(</w:t>
            </w:r>
            <w:r>
              <w:rPr>
                <w:rFonts w:ascii="Times New Roman" w:hAnsi="Times New Roman" w:cs="Times New Roman"/>
                <w:i/>
                <w:sz w:val="20"/>
                <w:szCs w:val="24"/>
              </w:rPr>
              <w:t>CR</w:t>
            </w:r>
            <w:r w:rsidRPr="000B4EE7">
              <w:rPr>
                <w:rFonts w:ascii="Times New Roman" w:hAnsi="Times New Roman" w:cs="Times New Roman"/>
                <w:i/>
                <w:sz w:val="20"/>
                <w:szCs w:val="24"/>
              </w:rPr>
              <w:t>=0.8</w:t>
            </w:r>
            <w:r>
              <w:rPr>
                <w:rFonts w:ascii="Times New Roman" w:hAnsi="Times New Roman" w:cs="Times New Roman"/>
                <w:i/>
                <w:sz w:val="20"/>
                <w:szCs w:val="24"/>
              </w:rPr>
              <w:t>4</w:t>
            </w:r>
            <w:r w:rsidRPr="000B4EE7">
              <w:rPr>
                <w:rFonts w:ascii="Times New Roman" w:hAnsi="Times New Roman" w:cs="Times New Roman"/>
                <w:i/>
                <w:sz w:val="20"/>
                <w:szCs w:val="24"/>
              </w:rPr>
              <w:t>, AVE=0.5</w:t>
            </w:r>
            <w:r>
              <w:rPr>
                <w:rFonts w:ascii="Times New Roman" w:hAnsi="Times New Roman" w:cs="Times New Roman"/>
                <w:i/>
                <w:sz w:val="20"/>
                <w:szCs w:val="24"/>
              </w:rPr>
              <w:t>3, MSV=0.48</w:t>
            </w:r>
            <w:r w:rsidRPr="000B4EE7">
              <w:rPr>
                <w:rFonts w:ascii="Times New Roman" w:hAnsi="Times New Roman" w:cs="Times New Roman"/>
                <w:i/>
                <w:sz w:val="20"/>
                <w:szCs w:val="24"/>
              </w:rPr>
              <w:t>)</w:t>
            </w:r>
          </w:p>
        </w:tc>
        <w:tc>
          <w:tcPr>
            <w:tcW w:w="1800" w:type="dxa"/>
            <w:tcBorders>
              <w:top w:val="single" w:sz="4" w:space="0" w:color="auto"/>
              <w:left w:val="nil"/>
              <w:bottom w:val="nil"/>
              <w:right w:val="nil"/>
            </w:tcBorders>
          </w:tcPr>
          <w:p w14:paraId="3B9F5186" w14:textId="77777777" w:rsidR="00B26CDC" w:rsidRPr="002D3C05" w:rsidRDefault="00B26CDC" w:rsidP="00FF7971">
            <w:pPr>
              <w:spacing w:after="0" w:line="240" w:lineRule="auto"/>
              <w:jc w:val="center"/>
              <w:rPr>
                <w:rFonts w:ascii="Times New Roman" w:hAnsi="Times New Roman" w:cs="Times New Roman"/>
                <w:sz w:val="20"/>
                <w:szCs w:val="24"/>
              </w:rPr>
            </w:pPr>
          </w:p>
        </w:tc>
      </w:tr>
      <w:tr w:rsidR="00B26CDC" w:rsidRPr="002D3C05" w14:paraId="53B15D03" w14:textId="77777777" w:rsidTr="00FF7971">
        <w:trPr>
          <w:trHeight w:val="171"/>
        </w:trPr>
        <w:tc>
          <w:tcPr>
            <w:tcW w:w="6588" w:type="dxa"/>
            <w:tcBorders>
              <w:top w:val="nil"/>
              <w:left w:val="nil"/>
              <w:bottom w:val="nil"/>
              <w:right w:val="nil"/>
            </w:tcBorders>
            <w:vAlign w:val="center"/>
          </w:tcPr>
          <w:p w14:paraId="382F04E7"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szCs w:val="24"/>
              </w:rPr>
              <w:t>A</w:t>
            </w:r>
            <w:r w:rsidRPr="0013505F">
              <w:rPr>
                <w:rFonts w:ascii="Times New Roman" w:hAnsi="Times New Roman" w:cs="Times New Roman"/>
                <w:color w:val="000000" w:themeColor="text1"/>
                <w:sz w:val="20"/>
                <w:szCs w:val="24"/>
              </w:rPr>
              <w:t>ctively observ</w:t>
            </w:r>
            <w:r>
              <w:rPr>
                <w:rFonts w:ascii="Times New Roman" w:hAnsi="Times New Roman" w:cs="Times New Roman"/>
                <w:color w:val="000000" w:themeColor="text1"/>
                <w:sz w:val="20"/>
                <w:szCs w:val="24"/>
              </w:rPr>
              <w:t>ing</w:t>
            </w:r>
            <w:r w:rsidRPr="0013505F">
              <w:rPr>
                <w:rFonts w:ascii="Times New Roman" w:hAnsi="Times New Roman" w:cs="Times New Roman"/>
                <w:color w:val="000000" w:themeColor="text1"/>
                <w:sz w:val="20"/>
                <w:szCs w:val="24"/>
              </w:rPr>
              <w:t xml:space="preserve"> and adopt</w:t>
            </w:r>
            <w:r>
              <w:rPr>
                <w:rFonts w:ascii="Times New Roman" w:hAnsi="Times New Roman" w:cs="Times New Roman"/>
                <w:color w:val="000000" w:themeColor="text1"/>
                <w:sz w:val="20"/>
                <w:szCs w:val="24"/>
              </w:rPr>
              <w:t>ing</w:t>
            </w:r>
            <w:r w:rsidRPr="0013505F">
              <w:rPr>
                <w:rFonts w:ascii="Times New Roman" w:hAnsi="Times New Roman" w:cs="Times New Roman"/>
                <w:color w:val="000000" w:themeColor="text1"/>
                <w:sz w:val="20"/>
                <w:szCs w:val="24"/>
              </w:rPr>
              <w:t xml:space="preserve"> the best practices </w:t>
            </w:r>
            <w:r>
              <w:rPr>
                <w:rFonts w:ascii="Times New Roman" w:hAnsi="Times New Roman" w:cs="Times New Roman"/>
                <w:color w:val="000000" w:themeColor="text1"/>
                <w:sz w:val="20"/>
                <w:szCs w:val="24"/>
              </w:rPr>
              <w:t>of the</w:t>
            </w:r>
            <w:r w:rsidRPr="0013505F">
              <w:rPr>
                <w:rFonts w:ascii="Times New Roman" w:hAnsi="Times New Roman" w:cs="Times New Roman"/>
                <w:color w:val="000000" w:themeColor="text1"/>
                <w:sz w:val="20"/>
                <w:szCs w:val="24"/>
              </w:rPr>
              <w:t xml:space="preserve"> sector</w:t>
            </w:r>
          </w:p>
        </w:tc>
        <w:tc>
          <w:tcPr>
            <w:tcW w:w="1800" w:type="dxa"/>
            <w:tcBorders>
              <w:top w:val="nil"/>
              <w:left w:val="nil"/>
              <w:bottom w:val="nil"/>
              <w:right w:val="nil"/>
            </w:tcBorders>
            <w:vAlign w:val="bottom"/>
          </w:tcPr>
          <w:p w14:paraId="7EDBDCC5"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0.75</w:t>
            </w:r>
          </w:p>
        </w:tc>
      </w:tr>
      <w:tr w:rsidR="00B26CDC" w:rsidRPr="002D3C05" w14:paraId="65DF6810" w14:textId="77777777" w:rsidTr="00FF7971">
        <w:trPr>
          <w:trHeight w:val="171"/>
        </w:trPr>
        <w:tc>
          <w:tcPr>
            <w:tcW w:w="6588" w:type="dxa"/>
            <w:tcBorders>
              <w:top w:val="nil"/>
              <w:left w:val="nil"/>
              <w:bottom w:val="nil"/>
              <w:right w:val="nil"/>
            </w:tcBorders>
            <w:vAlign w:val="center"/>
          </w:tcPr>
          <w:p w14:paraId="564A2836"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szCs w:val="24"/>
              </w:rPr>
              <w:t>A</w:t>
            </w:r>
            <w:r w:rsidRPr="0013505F">
              <w:rPr>
                <w:rFonts w:ascii="Times New Roman" w:hAnsi="Times New Roman" w:cs="Times New Roman"/>
                <w:color w:val="000000" w:themeColor="text1"/>
                <w:sz w:val="20"/>
                <w:szCs w:val="24"/>
              </w:rPr>
              <w:t>ctively observ</w:t>
            </w:r>
            <w:r>
              <w:rPr>
                <w:rFonts w:ascii="Times New Roman" w:hAnsi="Times New Roman" w:cs="Times New Roman"/>
                <w:color w:val="000000" w:themeColor="text1"/>
                <w:sz w:val="20"/>
                <w:szCs w:val="24"/>
              </w:rPr>
              <w:t>ing</w:t>
            </w:r>
            <w:r w:rsidRPr="0013505F">
              <w:rPr>
                <w:rFonts w:ascii="Times New Roman" w:hAnsi="Times New Roman" w:cs="Times New Roman"/>
                <w:color w:val="000000" w:themeColor="text1"/>
                <w:sz w:val="20"/>
                <w:szCs w:val="24"/>
              </w:rPr>
              <w:t xml:space="preserve"> and adopt</w:t>
            </w:r>
            <w:r>
              <w:rPr>
                <w:rFonts w:ascii="Times New Roman" w:hAnsi="Times New Roman" w:cs="Times New Roman"/>
                <w:color w:val="000000" w:themeColor="text1"/>
                <w:sz w:val="20"/>
                <w:szCs w:val="24"/>
              </w:rPr>
              <w:t>ing</w:t>
            </w:r>
            <w:r w:rsidRPr="0013505F">
              <w:rPr>
                <w:rFonts w:ascii="Times New Roman" w:hAnsi="Times New Roman" w:cs="Times New Roman"/>
                <w:color w:val="000000" w:themeColor="text1"/>
                <w:sz w:val="20"/>
                <w:szCs w:val="24"/>
              </w:rPr>
              <w:t xml:space="preserve"> the best practices </w:t>
            </w:r>
            <w:r>
              <w:rPr>
                <w:rFonts w:ascii="Times New Roman" w:hAnsi="Times New Roman" w:cs="Times New Roman"/>
                <w:color w:val="000000" w:themeColor="text1"/>
                <w:sz w:val="20"/>
                <w:szCs w:val="24"/>
              </w:rPr>
              <w:t>of other</w:t>
            </w:r>
            <w:r w:rsidRPr="0013505F">
              <w:rPr>
                <w:rFonts w:ascii="Times New Roman" w:hAnsi="Times New Roman" w:cs="Times New Roman"/>
                <w:color w:val="000000" w:themeColor="text1"/>
                <w:sz w:val="20"/>
                <w:szCs w:val="24"/>
              </w:rPr>
              <w:t xml:space="preserve"> sector</w:t>
            </w:r>
            <w:r>
              <w:rPr>
                <w:rFonts w:ascii="Times New Roman" w:hAnsi="Times New Roman" w:cs="Times New Roman"/>
                <w:color w:val="000000" w:themeColor="text1"/>
                <w:sz w:val="20"/>
                <w:szCs w:val="24"/>
              </w:rPr>
              <w:t>s</w:t>
            </w:r>
          </w:p>
        </w:tc>
        <w:tc>
          <w:tcPr>
            <w:tcW w:w="1800" w:type="dxa"/>
            <w:tcBorders>
              <w:top w:val="nil"/>
              <w:left w:val="nil"/>
              <w:bottom w:val="nil"/>
              <w:right w:val="nil"/>
            </w:tcBorders>
            <w:vAlign w:val="bottom"/>
          </w:tcPr>
          <w:p w14:paraId="75F57D93"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0.70</w:t>
            </w:r>
          </w:p>
        </w:tc>
      </w:tr>
      <w:tr w:rsidR="00B26CDC" w:rsidRPr="002D3C05" w14:paraId="6D8F3966" w14:textId="77777777" w:rsidTr="00FF7971">
        <w:trPr>
          <w:trHeight w:val="270"/>
        </w:trPr>
        <w:tc>
          <w:tcPr>
            <w:tcW w:w="6588" w:type="dxa"/>
            <w:tcBorders>
              <w:top w:val="nil"/>
              <w:left w:val="nil"/>
              <w:bottom w:val="nil"/>
              <w:right w:val="nil"/>
            </w:tcBorders>
            <w:vAlign w:val="center"/>
          </w:tcPr>
          <w:p w14:paraId="46A80ACC"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szCs w:val="24"/>
              </w:rPr>
              <w:t>R</w:t>
            </w:r>
            <w:r w:rsidRPr="0013505F">
              <w:rPr>
                <w:rFonts w:ascii="Times New Roman" w:hAnsi="Times New Roman" w:cs="Times New Roman"/>
                <w:color w:val="000000" w:themeColor="text1"/>
                <w:sz w:val="20"/>
                <w:szCs w:val="24"/>
              </w:rPr>
              <w:t>ecogniz</w:t>
            </w:r>
            <w:r>
              <w:rPr>
                <w:rFonts w:ascii="Times New Roman" w:hAnsi="Times New Roman" w:cs="Times New Roman"/>
                <w:color w:val="000000" w:themeColor="text1"/>
                <w:sz w:val="20"/>
                <w:szCs w:val="24"/>
              </w:rPr>
              <w:t>ing</w:t>
            </w:r>
            <w:r w:rsidRPr="0013505F">
              <w:rPr>
                <w:rFonts w:ascii="Times New Roman" w:hAnsi="Times New Roman" w:cs="Times New Roman"/>
                <w:color w:val="000000" w:themeColor="text1"/>
                <w:sz w:val="20"/>
                <w:szCs w:val="24"/>
              </w:rPr>
              <w:t xml:space="preserve"> the technological changes that may have an effect business</w:t>
            </w:r>
          </w:p>
        </w:tc>
        <w:tc>
          <w:tcPr>
            <w:tcW w:w="1800" w:type="dxa"/>
            <w:tcBorders>
              <w:top w:val="nil"/>
              <w:left w:val="nil"/>
              <w:bottom w:val="nil"/>
              <w:right w:val="nil"/>
            </w:tcBorders>
            <w:vAlign w:val="bottom"/>
          </w:tcPr>
          <w:p w14:paraId="37B31DE9"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0.80</w:t>
            </w:r>
          </w:p>
        </w:tc>
      </w:tr>
      <w:tr w:rsidR="00B26CDC" w:rsidRPr="002D3C05" w14:paraId="27D8686C" w14:textId="77777777" w:rsidTr="00FF7971">
        <w:trPr>
          <w:trHeight w:val="180"/>
        </w:trPr>
        <w:tc>
          <w:tcPr>
            <w:tcW w:w="6588" w:type="dxa"/>
            <w:tcBorders>
              <w:top w:val="nil"/>
              <w:left w:val="nil"/>
              <w:bottom w:val="nil"/>
              <w:right w:val="nil"/>
            </w:tcBorders>
            <w:vAlign w:val="center"/>
          </w:tcPr>
          <w:p w14:paraId="2A9A0261" w14:textId="77777777" w:rsidR="00B26CDC" w:rsidRPr="002D3C05" w:rsidRDefault="00B26CDC" w:rsidP="00FF7971">
            <w:pPr>
              <w:autoSpaceDE w:val="0"/>
              <w:autoSpaceDN w:val="0"/>
              <w:adjustRightInd w:val="0"/>
              <w:spacing w:after="0" w:line="240" w:lineRule="auto"/>
              <w:rPr>
                <w:rFonts w:cs="Times New Roman"/>
                <w:color w:val="000000"/>
                <w:sz w:val="20"/>
                <w:szCs w:val="24"/>
              </w:rPr>
            </w:pPr>
            <w:r>
              <w:rPr>
                <w:rFonts w:ascii="Times New Roman" w:hAnsi="Times New Roman" w:cs="Times New Roman"/>
                <w:color w:val="000000" w:themeColor="text1"/>
                <w:sz w:val="20"/>
                <w:szCs w:val="24"/>
              </w:rPr>
              <w:t xml:space="preserve">Continuous </w:t>
            </w:r>
            <w:r w:rsidRPr="0013505F">
              <w:rPr>
                <w:rFonts w:ascii="Times New Roman" w:hAnsi="Times New Roman" w:cs="Times New Roman"/>
                <w:color w:val="000000" w:themeColor="text1"/>
                <w:sz w:val="20"/>
                <w:szCs w:val="24"/>
              </w:rPr>
              <w:t>search for new practices</w:t>
            </w:r>
          </w:p>
        </w:tc>
        <w:tc>
          <w:tcPr>
            <w:tcW w:w="1800" w:type="dxa"/>
            <w:tcBorders>
              <w:top w:val="nil"/>
              <w:left w:val="nil"/>
              <w:bottom w:val="nil"/>
              <w:right w:val="nil"/>
            </w:tcBorders>
            <w:vAlign w:val="bottom"/>
          </w:tcPr>
          <w:p w14:paraId="715A14AF"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0.7</w:t>
            </w:r>
            <w:r>
              <w:rPr>
                <w:rFonts w:ascii="Times New Roman" w:hAnsi="Times New Roman" w:cs="Times New Roman"/>
                <w:color w:val="000000"/>
                <w:sz w:val="20"/>
                <w:szCs w:val="20"/>
              </w:rPr>
              <w:t>1</w:t>
            </w:r>
          </w:p>
        </w:tc>
      </w:tr>
      <w:tr w:rsidR="00B26CDC" w:rsidRPr="002D3C05" w14:paraId="6F47B27A" w14:textId="77777777" w:rsidTr="00FF7971">
        <w:trPr>
          <w:trHeight w:val="189"/>
        </w:trPr>
        <w:tc>
          <w:tcPr>
            <w:tcW w:w="6588" w:type="dxa"/>
            <w:tcBorders>
              <w:top w:val="nil"/>
              <w:left w:val="nil"/>
              <w:bottom w:val="nil"/>
              <w:right w:val="nil"/>
            </w:tcBorders>
            <w:vAlign w:val="center"/>
          </w:tcPr>
          <w:p w14:paraId="342AD1F9" w14:textId="77777777" w:rsidR="00B26CDC" w:rsidRPr="0013505F" w:rsidRDefault="00B26CDC" w:rsidP="00FF7971">
            <w:pPr>
              <w:autoSpaceDE w:val="0"/>
              <w:autoSpaceDN w:val="0"/>
              <w:adjustRightInd w:val="0"/>
              <w:spacing w:after="0" w:line="240" w:lineRule="auto"/>
              <w:rPr>
                <w:rFonts w:ascii="Times New Roman" w:hAnsi="Times New Roman" w:cs="Times New Roman"/>
                <w:color w:val="000000" w:themeColor="text1"/>
                <w:sz w:val="20"/>
                <w:szCs w:val="24"/>
              </w:rPr>
            </w:pPr>
            <w:r>
              <w:rPr>
                <w:rFonts w:ascii="Times New Roman" w:hAnsi="Times New Roman" w:cs="Times New Roman"/>
                <w:color w:val="000000" w:themeColor="text1"/>
                <w:sz w:val="20"/>
                <w:szCs w:val="24"/>
              </w:rPr>
              <w:t xml:space="preserve">Preference for bold decisions to </w:t>
            </w:r>
            <w:r w:rsidRPr="0013505F">
              <w:rPr>
                <w:rFonts w:ascii="Times New Roman" w:hAnsi="Times New Roman" w:cs="Times New Roman"/>
                <w:color w:val="000000" w:themeColor="text1"/>
                <w:sz w:val="20"/>
                <w:szCs w:val="24"/>
              </w:rPr>
              <w:t>make sure that possibilities are exploited</w:t>
            </w:r>
          </w:p>
        </w:tc>
        <w:tc>
          <w:tcPr>
            <w:tcW w:w="1800" w:type="dxa"/>
            <w:tcBorders>
              <w:top w:val="nil"/>
              <w:left w:val="nil"/>
              <w:bottom w:val="nil"/>
              <w:right w:val="nil"/>
            </w:tcBorders>
            <w:vAlign w:val="bottom"/>
          </w:tcPr>
          <w:p w14:paraId="69C61605"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0.62</w:t>
            </w:r>
          </w:p>
        </w:tc>
      </w:tr>
      <w:tr w:rsidR="00B26CDC" w:rsidRPr="002D3C05" w14:paraId="6D3E9A78" w14:textId="77777777" w:rsidTr="00FF7971">
        <w:trPr>
          <w:trHeight w:val="198"/>
        </w:trPr>
        <w:tc>
          <w:tcPr>
            <w:tcW w:w="6588" w:type="dxa"/>
            <w:tcBorders>
              <w:top w:val="nil"/>
              <w:left w:val="nil"/>
              <w:bottom w:val="single" w:sz="4" w:space="0" w:color="auto"/>
              <w:right w:val="nil"/>
            </w:tcBorders>
            <w:vAlign w:val="center"/>
          </w:tcPr>
          <w:p w14:paraId="2C96EB68"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szCs w:val="24"/>
              </w:rPr>
              <w:t>A</w:t>
            </w:r>
            <w:r w:rsidRPr="0013505F">
              <w:rPr>
                <w:rFonts w:ascii="Times New Roman" w:hAnsi="Times New Roman" w:cs="Times New Roman"/>
                <w:color w:val="000000" w:themeColor="text1"/>
                <w:sz w:val="20"/>
                <w:szCs w:val="24"/>
              </w:rPr>
              <w:t>llocat</w:t>
            </w:r>
            <w:r>
              <w:rPr>
                <w:rFonts w:ascii="Times New Roman" w:hAnsi="Times New Roman" w:cs="Times New Roman"/>
                <w:color w:val="000000" w:themeColor="text1"/>
                <w:sz w:val="20"/>
                <w:szCs w:val="24"/>
              </w:rPr>
              <w:t xml:space="preserve">ion of </w:t>
            </w:r>
            <w:r w:rsidRPr="0013505F">
              <w:rPr>
                <w:rFonts w:ascii="Times New Roman" w:hAnsi="Times New Roman" w:cs="Times New Roman"/>
                <w:color w:val="000000" w:themeColor="text1"/>
                <w:sz w:val="20"/>
                <w:szCs w:val="24"/>
              </w:rPr>
              <w:t>resources to new promising operational areas</w:t>
            </w:r>
          </w:p>
        </w:tc>
        <w:tc>
          <w:tcPr>
            <w:tcW w:w="1800" w:type="dxa"/>
            <w:tcBorders>
              <w:top w:val="nil"/>
              <w:left w:val="nil"/>
              <w:bottom w:val="single" w:sz="4" w:space="0" w:color="auto"/>
              <w:right w:val="nil"/>
            </w:tcBorders>
            <w:vAlign w:val="bottom"/>
          </w:tcPr>
          <w:p w14:paraId="34D1BCA3" w14:textId="77777777" w:rsidR="00B26CDC" w:rsidRPr="009636E8" w:rsidRDefault="00B26CDC" w:rsidP="00FF7971">
            <w:pPr>
              <w:spacing w:after="0" w:line="240" w:lineRule="auto"/>
              <w:ind w:firstLineChars="100" w:firstLine="200"/>
              <w:jc w:val="center"/>
              <w:rPr>
                <w:rFonts w:ascii="Times New Roman" w:hAnsi="Times New Roman" w:cs="Times New Roman"/>
                <w:color w:val="000000"/>
                <w:sz w:val="20"/>
                <w:szCs w:val="20"/>
              </w:rPr>
            </w:pPr>
            <w:r w:rsidRPr="009636E8">
              <w:rPr>
                <w:rFonts w:ascii="Times New Roman" w:hAnsi="Times New Roman" w:cs="Times New Roman"/>
                <w:color w:val="000000"/>
                <w:sz w:val="20"/>
                <w:szCs w:val="20"/>
              </w:rPr>
              <w:t>0.7</w:t>
            </w:r>
            <w:r>
              <w:rPr>
                <w:rFonts w:ascii="Times New Roman" w:hAnsi="Times New Roman" w:cs="Times New Roman"/>
                <w:color w:val="000000"/>
                <w:sz w:val="20"/>
                <w:szCs w:val="20"/>
              </w:rPr>
              <w:t>5</w:t>
            </w:r>
          </w:p>
        </w:tc>
      </w:tr>
      <w:tr w:rsidR="00B26CDC" w:rsidRPr="002D3C05" w14:paraId="7E58EED1" w14:textId="77777777" w:rsidTr="00FF7971">
        <w:trPr>
          <w:trHeight w:val="377"/>
        </w:trPr>
        <w:tc>
          <w:tcPr>
            <w:tcW w:w="6588" w:type="dxa"/>
            <w:tcBorders>
              <w:top w:val="single" w:sz="4" w:space="0" w:color="auto"/>
              <w:left w:val="nil"/>
              <w:bottom w:val="nil"/>
              <w:right w:val="nil"/>
            </w:tcBorders>
            <w:vAlign w:val="center"/>
          </w:tcPr>
          <w:p w14:paraId="15B8E4F5" w14:textId="77777777" w:rsidR="00B26CDC" w:rsidRPr="002D3C05" w:rsidRDefault="00B26CDC" w:rsidP="00FF7971">
            <w:pPr>
              <w:spacing w:after="0" w:line="240" w:lineRule="auto"/>
              <w:rPr>
                <w:rFonts w:ascii="Times New Roman" w:hAnsi="Times New Roman" w:cs="Times New Roman"/>
                <w:i/>
                <w:sz w:val="20"/>
                <w:szCs w:val="24"/>
              </w:rPr>
            </w:pPr>
            <w:r>
              <w:rPr>
                <w:rFonts w:ascii="Times New Roman" w:hAnsi="Times New Roman" w:cs="Times New Roman"/>
                <w:b/>
                <w:i/>
                <w:sz w:val="20"/>
                <w:szCs w:val="24"/>
              </w:rPr>
              <w:t>Supply Chain Learning</w:t>
            </w:r>
            <w:r w:rsidRPr="002D3C05">
              <w:rPr>
                <w:rFonts w:ascii="Times New Roman" w:hAnsi="Times New Roman" w:cs="Times New Roman"/>
                <w:i/>
                <w:sz w:val="20"/>
                <w:szCs w:val="24"/>
              </w:rPr>
              <w:t xml:space="preserve"> </w:t>
            </w:r>
            <w:r w:rsidRPr="00383224">
              <w:rPr>
                <w:rFonts w:ascii="Times New Roman" w:hAnsi="Times New Roman" w:cs="Times New Roman"/>
                <w:i/>
                <w:sz w:val="20"/>
                <w:szCs w:val="24"/>
              </w:rPr>
              <w:t>(</w:t>
            </w:r>
            <w:r>
              <w:rPr>
                <w:rFonts w:ascii="Times New Roman" w:hAnsi="Times New Roman" w:cs="Times New Roman"/>
                <w:i/>
                <w:sz w:val="20"/>
                <w:szCs w:val="24"/>
              </w:rPr>
              <w:t>CR</w:t>
            </w:r>
            <w:r w:rsidRPr="00383224">
              <w:rPr>
                <w:rFonts w:ascii="Times New Roman" w:hAnsi="Times New Roman" w:cs="Times New Roman"/>
                <w:i/>
                <w:sz w:val="20"/>
                <w:szCs w:val="24"/>
              </w:rPr>
              <w:t>=0.87, AVE=0.5</w:t>
            </w:r>
            <w:r>
              <w:rPr>
                <w:rFonts w:ascii="Times New Roman" w:hAnsi="Times New Roman" w:cs="Times New Roman"/>
                <w:i/>
                <w:sz w:val="20"/>
                <w:szCs w:val="24"/>
              </w:rPr>
              <w:t>2, MSV=0.48</w:t>
            </w:r>
            <w:r w:rsidRPr="00383224">
              <w:rPr>
                <w:rFonts w:ascii="Times New Roman" w:hAnsi="Times New Roman" w:cs="Times New Roman"/>
                <w:i/>
                <w:sz w:val="20"/>
                <w:szCs w:val="24"/>
              </w:rPr>
              <w:t>)</w:t>
            </w:r>
          </w:p>
        </w:tc>
        <w:tc>
          <w:tcPr>
            <w:tcW w:w="1800" w:type="dxa"/>
            <w:tcBorders>
              <w:top w:val="single" w:sz="4" w:space="0" w:color="auto"/>
              <w:left w:val="nil"/>
              <w:bottom w:val="nil"/>
              <w:right w:val="nil"/>
            </w:tcBorders>
          </w:tcPr>
          <w:p w14:paraId="71344C1D" w14:textId="77777777" w:rsidR="00B26CDC" w:rsidRPr="002D3C05" w:rsidRDefault="00B26CDC" w:rsidP="00FF7971">
            <w:pPr>
              <w:spacing w:after="0" w:line="240" w:lineRule="auto"/>
              <w:jc w:val="center"/>
              <w:rPr>
                <w:rFonts w:ascii="Times New Roman" w:hAnsi="Times New Roman" w:cs="Times New Roman"/>
                <w:sz w:val="20"/>
                <w:szCs w:val="24"/>
              </w:rPr>
            </w:pPr>
          </w:p>
        </w:tc>
      </w:tr>
      <w:tr w:rsidR="00B26CDC" w:rsidRPr="002D3C05" w14:paraId="5C5ACB24" w14:textId="77777777" w:rsidTr="00FF7971">
        <w:trPr>
          <w:trHeight w:val="333"/>
        </w:trPr>
        <w:tc>
          <w:tcPr>
            <w:tcW w:w="6588" w:type="dxa"/>
            <w:tcBorders>
              <w:top w:val="nil"/>
              <w:left w:val="nil"/>
              <w:bottom w:val="nil"/>
              <w:right w:val="nil"/>
            </w:tcBorders>
            <w:vAlign w:val="center"/>
          </w:tcPr>
          <w:p w14:paraId="34CEB28D"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rPr>
              <w:t>C</w:t>
            </w:r>
            <w:r w:rsidRPr="00583E01">
              <w:rPr>
                <w:rFonts w:ascii="Times New Roman" w:hAnsi="Times New Roman" w:cs="Times New Roman"/>
                <w:color w:val="000000" w:themeColor="text1"/>
                <w:sz w:val="20"/>
              </w:rPr>
              <w:t>onstantly learning about better ways to serve customers</w:t>
            </w:r>
          </w:p>
        </w:tc>
        <w:tc>
          <w:tcPr>
            <w:tcW w:w="1800" w:type="dxa"/>
            <w:tcBorders>
              <w:top w:val="nil"/>
              <w:left w:val="nil"/>
              <w:bottom w:val="nil"/>
              <w:right w:val="nil"/>
            </w:tcBorders>
            <w:vAlign w:val="bottom"/>
          </w:tcPr>
          <w:p w14:paraId="78A490FA"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0.8</w:t>
            </w:r>
            <w:r>
              <w:rPr>
                <w:rFonts w:ascii="Times New Roman" w:hAnsi="Times New Roman" w:cs="Times New Roman"/>
                <w:color w:val="000000"/>
                <w:sz w:val="20"/>
                <w:szCs w:val="20"/>
              </w:rPr>
              <w:t>4</w:t>
            </w:r>
          </w:p>
        </w:tc>
      </w:tr>
      <w:tr w:rsidR="00B26CDC" w:rsidRPr="002D3C05" w14:paraId="7353DDA6" w14:textId="77777777" w:rsidTr="00FF7971">
        <w:trPr>
          <w:trHeight w:val="333"/>
        </w:trPr>
        <w:tc>
          <w:tcPr>
            <w:tcW w:w="6588" w:type="dxa"/>
            <w:tcBorders>
              <w:top w:val="nil"/>
              <w:left w:val="nil"/>
              <w:bottom w:val="nil"/>
              <w:right w:val="nil"/>
            </w:tcBorders>
            <w:vAlign w:val="center"/>
          </w:tcPr>
          <w:p w14:paraId="22301BE4" w14:textId="77777777" w:rsidR="00B26CDC" w:rsidRPr="00583E01" w:rsidRDefault="00B26CDC" w:rsidP="00FF7971">
            <w:pPr>
              <w:spacing w:after="0" w:line="240" w:lineRule="auto"/>
              <w:rPr>
                <w:rFonts w:ascii="Times New Roman" w:hAnsi="Times New Roman" w:cs="Times New Roman"/>
                <w:color w:val="000000" w:themeColor="text1"/>
                <w:sz w:val="20"/>
              </w:rPr>
            </w:pPr>
            <w:r>
              <w:rPr>
                <w:rFonts w:ascii="Times New Roman" w:hAnsi="Times New Roman" w:cs="Times New Roman"/>
                <w:color w:val="000000" w:themeColor="text1"/>
                <w:sz w:val="20"/>
              </w:rPr>
              <w:t>M</w:t>
            </w:r>
            <w:r w:rsidRPr="00583E01">
              <w:rPr>
                <w:rFonts w:ascii="Times New Roman" w:hAnsi="Times New Roman" w:cs="Times New Roman"/>
                <w:color w:val="000000" w:themeColor="text1"/>
                <w:sz w:val="20"/>
              </w:rPr>
              <w:t xml:space="preserve">anagers in supplier organizations are learning better ways to operate and serve </w:t>
            </w:r>
            <w:r>
              <w:rPr>
                <w:rFonts w:ascii="Times New Roman" w:hAnsi="Times New Roman" w:cs="Times New Roman"/>
                <w:color w:val="000000" w:themeColor="text1"/>
                <w:sz w:val="20"/>
              </w:rPr>
              <w:t>the focal firm</w:t>
            </w:r>
          </w:p>
        </w:tc>
        <w:tc>
          <w:tcPr>
            <w:tcW w:w="1800" w:type="dxa"/>
            <w:tcBorders>
              <w:top w:val="nil"/>
              <w:left w:val="nil"/>
              <w:bottom w:val="nil"/>
              <w:right w:val="nil"/>
            </w:tcBorders>
            <w:vAlign w:val="bottom"/>
          </w:tcPr>
          <w:p w14:paraId="2AAABE50"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0.67</w:t>
            </w:r>
          </w:p>
        </w:tc>
      </w:tr>
      <w:tr w:rsidR="00B26CDC" w:rsidRPr="002D3C05" w14:paraId="22C52637" w14:textId="77777777" w:rsidTr="00FF7971">
        <w:trPr>
          <w:trHeight w:val="333"/>
        </w:trPr>
        <w:tc>
          <w:tcPr>
            <w:tcW w:w="6588" w:type="dxa"/>
            <w:tcBorders>
              <w:top w:val="nil"/>
              <w:left w:val="nil"/>
              <w:bottom w:val="nil"/>
              <w:right w:val="nil"/>
            </w:tcBorders>
            <w:vAlign w:val="center"/>
          </w:tcPr>
          <w:p w14:paraId="736B1A4B" w14:textId="77777777" w:rsidR="00B26CDC" w:rsidRDefault="00B26CDC" w:rsidP="00FF7971">
            <w:pPr>
              <w:spacing w:after="0" w:line="240" w:lineRule="auto"/>
              <w:rPr>
                <w:rFonts w:ascii="Times New Roman" w:hAnsi="Times New Roman" w:cs="Times New Roman"/>
                <w:color w:val="000000" w:themeColor="text1"/>
                <w:sz w:val="20"/>
              </w:rPr>
            </w:pPr>
            <w:r>
              <w:rPr>
                <w:rFonts w:ascii="Times New Roman" w:hAnsi="Times New Roman" w:cs="Times New Roman"/>
                <w:color w:val="000000" w:themeColor="text1"/>
                <w:sz w:val="20"/>
              </w:rPr>
              <w:t>E</w:t>
            </w:r>
            <w:r w:rsidRPr="00583E01">
              <w:rPr>
                <w:rFonts w:ascii="Times New Roman" w:hAnsi="Times New Roman" w:cs="Times New Roman"/>
                <w:color w:val="000000" w:themeColor="text1"/>
                <w:sz w:val="20"/>
              </w:rPr>
              <w:t>nsur</w:t>
            </w:r>
            <w:r>
              <w:rPr>
                <w:rFonts w:ascii="Times New Roman" w:hAnsi="Times New Roman" w:cs="Times New Roman"/>
                <w:color w:val="000000" w:themeColor="text1"/>
                <w:sz w:val="20"/>
              </w:rPr>
              <w:t>ing</w:t>
            </w:r>
            <w:r w:rsidRPr="00583E01">
              <w:rPr>
                <w:rFonts w:ascii="Times New Roman" w:hAnsi="Times New Roman" w:cs="Times New Roman"/>
                <w:color w:val="000000" w:themeColor="text1"/>
                <w:sz w:val="20"/>
              </w:rPr>
              <w:t xml:space="preserve"> that managers in customer organizations learn better ways to manage their business and work with </w:t>
            </w:r>
            <w:r>
              <w:rPr>
                <w:rFonts w:ascii="Times New Roman" w:hAnsi="Times New Roman" w:cs="Times New Roman"/>
                <w:color w:val="000000" w:themeColor="text1"/>
                <w:sz w:val="20"/>
              </w:rPr>
              <w:t>the focal firm</w:t>
            </w:r>
          </w:p>
        </w:tc>
        <w:tc>
          <w:tcPr>
            <w:tcW w:w="1800" w:type="dxa"/>
            <w:tcBorders>
              <w:top w:val="nil"/>
              <w:left w:val="nil"/>
              <w:bottom w:val="nil"/>
              <w:right w:val="nil"/>
            </w:tcBorders>
            <w:vAlign w:val="bottom"/>
          </w:tcPr>
          <w:p w14:paraId="6EDCAC26"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0.74</w:t>
            </w:r>
          </w:p>
        </w:tc>
      </w:tr>
      <w:tr w:rsidR="00B26CDC" w:rsidRPr="002D3C05" w14:paraId="2AE48672" w14:textId="77777777" w:rsidTr="00FF7971">
        <w:trPr>
          <w:trHeight w:val="333"/>
        </w:trPr>
        <w:tc>
          <w:tcPr>
            <w:tcW w:w="6588" w:type="dxa"/>
            <w:tcBorders>
              <w:top w:val="nil"/>
              <w:left w:val="nil"/>
              <w:bottom w:val="nil"/>
              <w:right w:val="nil"/>
            </w:tcBorders>
            <w:vAlign w:val="center"/>
          </w:tcPr>
          <w:p w14:paraId="0057E1ED"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Pr>
                <w:rFonts w:ascii="Times New Roman" w:hAnsi="Times New Roman" w:cs="Times New Roman"/>
                <w:color w:val="000000" w:themeColor="text1"/>
                <w:sz w:val="20"/>
              </w:rPr>
              <w:t xml:space="preserve">Sharing </w:t>
            </w:r>
            <w:r w:rsidRPr="00583E01">
              <w:rPr>
                <w:rFonts w:ascii="Times New Roman" w:hAnsi="Times New Roman" w:cs="Times New Roman"/>
                <w:color w:val="000000" w:themeColor="text1"/>
                <w:sz w:val="20"/>
              </w:rPr>
              <w:t xml:space="preserve">market and customer learning across </w:t>
            </w:r>
            <w:r>
              <w:rPr>
                <w:rFonts w:ascii="Times New Roman" w:hAnsi="Times New Roman" w:cs="Times New Roman"/>
                <w:color w:val="000000" w:themeColor="text1"/>
                <w:sz w:val="20"/>
              </w:rPr>
              <w:t>the</w:t>
            </w:r>
            <w:r w:rsidRPr="00583E01">
              <w:rPr>
                <w:rFonts w:ascii="Times New Roman" w:hAnsi="Times New Roman" w:cs="Times New Roman"/>
                <w:color w:val="000000" w:themeColor="text1"/>
                <w:sz w:val="20"/>
              </w:rPr>
              <w:t xml:space="preserve"> supply chain</w:t>
            </w:r>
          </w:p>
        </w:tc>
        <w:tc>
          <w:tcPr>
            <w:tcW w:w="1800" w:type="dxa"/>
            <w:tcBorders>
              <w:top w:val="nil"/>
              <w:left w:val="nil"/>
              <w:bottom w:val="nil"/>
              <w:right w:val="nil"/>
            </w:tcBorders>
            <w:vAlign w:val="bottom"/>
          </w:tcPr>
          <w:p w14:paraId="468301B0"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0.6</w:t>
            </w:r>
            <w:r>
              <w:rPr>
                <w:rFonts w:ascii="Times New Roman" w:hAnsi="Times New Roman" w:cs="Times New Roman"/>
                <w:color w:val="000000"/>
                <w:sz w:val="20"/>
                <w:szCs w:val="20"/>
              </w:rPr>
              <w:t>1</w:t>
            </w:r>
          </w:p>
        </w:tc>
      </w:tr>
      <w:tr w:rsidR="00B26CDC" w:rsidRPr="002D3C05" w14:paraId="4247C44B" w14:textId="77777777" w:rsidTr="00FF7971">
        <w:trPr>
          <w:trHeight w:val="153"/>
        </w:trPr>
        <w:tc>
          <w:tcPr>
            <w:tcW w:w="6588" w:type="dxa"/>
            <w:tcBorders>
              <w:top w:val="nil"/>
              <w:left w:val="nil"/>
              <w:bottom w:val="nil"/>
              <w:right w:val="nil"/>
            </w:tcBorders>
            <w:vAlign w:val="center"/>
          </w:tcPr>
          <w:p w14:paraId="1C068C8C" w14:textId="77777777" w:rsidR="00B26CDC" w:rsidRPr="00583E01" w:rsidRDefault="00B26CDC" w:rsidP="00FF7971">
            <w:pPr>
              <w:spacing w:after="0" w:line="240" w:lineRule="auto"/>
              <w:rPr>
                <w:rFonts w:ascii="Times New Roman" w:hAnsi="Times New Roman" w:cs="Times New Roman"/>
                <w:color w:val="000000" w:themeColor="text1"/>
                <w:sz w:val="20"/>
              </w:rPr>
            </w:pPr>
            <w:r>
              <w:rPr>
                <w:rFonts w:ascii="Times New Roman" w:hAnsi="Times New Roman" w:cs="Times New Roman"/>
                <w:color w:val="000000" w:themeColor="text1"/>
                <w:sz w:val="20"/>
              </w:rPr>
              <w:t>C</w:t>
            </w:r>
            <w:r w:rsidRPr="00583E01">
              <w:rPr>
                <w:rFonts w:ascii="Times New Roman" w:hAnsi="Times New Roman" w:cs="Times New Roman"/>
                <w:color w:val="000000" w:themeColor="text1"/>
                <w:sz w:val="20"/>
              </w:rPr>
              <w:t>hang</w:t>
            </w:r>
            <w:r>
              <w:rPr>
                <w:rFonts w:ascii="Times New Roman" w:hAnsi="Times New Roman" w:cs="Times New Roman"/>
                <w:color w:val="000000" w:themeColor="text1"/>
                <w:sz w:val="20"/>
              </w:rPr>
              <w:t>ing the</w:t>
            </w:r>
            <w:r w:rsidRPr="00583E01">
              <w:rPr>
                <w:rFonts w:ascii="Times New Roman" w:hAnsi="Times New Roman" w:cs="Times New Roman"/>
                <w:color w:val="000000" w:themeColor="text1"/>
                <w:sz w:val="20"/>
              </w:rPr>
              <w:t xml:space="preserve"> behaviors and processes appropriately as a result of new knowledge about customers</w:t>
            </w:r>
          </w:p>
        </w:tc>
        <w:tc>
          <w:tcPr>
            <w:tcW w:w="1800" w:type="dxa"/>
            <w:tcBorders>
              <w:top w:val="nil"/>
              <w:left w:val="nil"/>
              <w:bottom w:val="nil"/>
              <w:right w:val="nil"/>
            </w:tcBorders>
            <w:vAlign w:val="bottom"/>
          </w:tcPr>
          <w:p w14:paraId="424A9520"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0.6</w:t>
            </w:r>
            <w:r>
              <w:rPr>
                <w:rFonts w:ascii="Times New Roman" w:hAnsi="Times New Roman" w:cs="Times New Roman"/>
                <w:color w:val="000000"/>
                <w:sz w:val="20"/>
                <w:szCs w:val="20"/>
              </w:rPr>
              <w:t>8</w:t>
            </w:r>
          </w:p>
        </w:tc>
      </w:tr>
      <w:tr w:rsidR="00B26CDC" w:rsidRPr="002D3C05" w14:paraId="7D10FE0A" w14:textId="77777777" w:rsidTr="00FF7971">
        <w:trPr>
          <w:trHeight w:val="153"/>
        </w:trPr>
        <w:tc>
          <w:tcPr>
            <w:tcW w:w="6588" w:type="dxa"/>
            <w:tcBorders>
              <w:top w:val="nil"/>
              <w:left w:val="nil"/>
              <w:bottom w:val="nil"/>
              <w:right w:val="nil"/>
            </w:tcBorders>
            <w:vAlign w:val="center"/>
          </w:tcPr>
          <w:p w14:paraId="564238A7" w14:textId="77777777" w:rsidR="00B26CDC" w:rsidRDefault="00B26CDC" w:rsidP="00FF7971">
            <w:pPr>
              <w:spacing w:after="0" w:line="240" w:lineRule="auto"/>
              <w:rPr>
                <w:rFonts w:ascii="Times New Roman" w:hAnsi="Times New Roman" w:cs="Times New Roman"/>
                <w:color w:val="000000" w:themeColor="text1"/>
                <w:sz w:val="20"/>
              </w:rPr>
            </w:pPr>
            <w:r>
              <w:rPr>
                <w:rFonts w:ascii="Times New Roman" w:hAnsi="Times New Roman" w:cs="Times New Roman"/>
                <w:color w:val="000000" w:themeColor="text1"/>
                <w:sz w:val="20"/>
              </w:rPr>
              <w:t>Changing attitudes in the light of new knowledge gained about the customers</w:t>
            </w:r>
          </w:p>
        </w:tc>
        <w:tc>
          <w:tcPr>
            <w:tcW w:w="1800" w:type="dxa"/>
            <w:tcBorders>
              <w:top w:val="nil"/>
              <w:left w:val="nil"/>
              <w:bottom w:val="nil"/>
              <w:right w:val="nil"/>
            </w:tcBorders>
            <w:vAlign w:val="bottom"/>
          </w:tcPr>
          <w:p w14:paraId="45843C7A"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Pr>
                <w:rFonts w:ascii="Times New Roman" w:hAnsi="Times New Roman" w:cs="Times New Roman"/>
                <w:color w:val="000000"/>
                <w:sz w:val="20"/>
                <w:szCs w:val="20"/>
              </w:rPr>
              <w:t>0.75</w:t>
            </w:r>
          </w:p>
        </w:tc>
      </w:tr>
      <w:tr w:rsidR="00B26CDC" w:rsidRPr="002D3C05" w14:paraId="74951520" w14:textId="77777777" w:rsidTr="00FF7971">
        <w:trPr>
          <w:trHeight w:val="422"/>
        </w:trPr>
        <w:tc>
          <w:tcPr>
            <w:tcW w:w="6588" w:type="dxa"/>
            <w:tcBorders>
              <w:top w:val="single" w:sz="4" w:space="0" w:color="auto"/>
              <w:left w:val="nil"/>
              <w:bottom w:val="nil"/>
              <w:right w:val="nil"/>
            </w:tcBorders>
            <w:vAlign w:val="center"/>
          </w:tcPr>
          <w:p w14:paraId="0FEED127" w14:textId="77777777" w:rsidR="00B26CDC" w:rsidRPr="002D3C05" w:rsidRDefault="00B26CDC" w:rsidP="00FF7971">
            <w:pPr>
              <w:spacing w:after="0" w:line="240" w:lineRule="auto"/>
              <w:rPr>
                <w:rFonts w:ascii="Times New Roman" w:hAnsi="Times New Roman" w:cs="Times New Roman"/>
                <w:i/>
                <w:sz w:val="20"/>
                <w:szCs w:val="24"/>
              </w:rPr>
            </w:pPr>
            <w:r w:rsidRPr="002D3C05">
              <w:rPr>
                <w:rFonts w:ascii="Times New Roman" w:hAnsi="Times New Roman" w:cs="Times New Roman"/>
                <w:b/>
                <w:i/>
                <w:sz w:val="20"/>
                <w:szCs w:val="24"/>
              </w:rPr>
              <w:t>Market Sensing Capability</w:t>
            </w:r>
            <w:r w:rsidRPr="002D3C05">
              <w:rPr>
                <w:rFonts w:ascii="Times New Roman" w:hAnsi="Times New Roman" w:cs="Times New Roman"/>
                <w:i/>
                <w:sz w:val="20"/>
                <w:szCs w:val="24"/>
              </w:rPr>
              <w:t xml:space="preserve"> </w:t>
            </w:r>
            <w:r w:rsidRPr="00570DF2">
              <w:rPr>
                <w:rFonts w:ascii="Times New Roman" w:hAnsi="Times New Roman" w:cs="Times New Roman"/>
                <w:i/>
                <w:sz w:val="20"/>
                <w:szCs w:val="24"/>
              </w:rPr>
              <w:t>(</w:t>
            </w:r>
            <w:r>
              <w:rPr>
                <w:rFonts w:ascii="Times New Roman" w:hAnsi="Times New Roman" w:cs="Times New Roman"/>
                <w:i/>
                <w:sz w:val="20"/>
                <w:szCs w:val="24"/>
              </w:rPr>
              <w:t>CR</w:t>
            </w:r>
            <w:r w:rsidRPr="00570DF2">
              <w:rPr>
                <w:rFonts w:ascii="Times New Roman" w:hAnsi="Times New Roman" w:cs="Times New Roman"/>
                <w:i/>
                <w:sz w:val="20"/>
                <w:szCs w:val="24"/>
              </w:rPr>
              <w:t>=0.8</w:t>
            </w:r>
            <w:r>
              <w:rPr>
                <w:rFonts w:ascii="Times New Roman" w:hAnsi="Times New Roman" w:cs="Times New Roman"/>
                <w:i/>
                <w:sz w:val="20"/>
                <w:szCs w:val="24"/>
              </w:rPr>
              <w:t>7</w:t>
            </w:r>
            <w:r w:rsidRPr="00570DF2">
              <w:rPr>
                <w:rFonts w:ascii="Times New Roman" w:hAnsi="Times New Roman" w:cs="Times New Roman"/>
                <w:i/>
                <w:sz w:val="20"/>
                <w:szCs w:val="24"/>
              </w:rPr>
              <w:t>, AVE=0.56</w:t>
            </w:r>
            <w:r>
              <w:rPr>
                <w:rFonts w:ascii="Times New Roman" w:hAnsi="Times New Roman" w:cs="Times New Roman"/>
                <w:i/>
                <w:sz w:val="20"/>
                <w:szCs w:val="24"/>
              </w:rPr>
              <w:t>, MSV=0.45, SOL=0.88</w:t>
            </w:r>
            <w:r w:rsidRPr="00570DF2">
              <w:rPr>
                <w:rFonts w:ascii="Times New Roman" w:hAnsi="Times New Roman" w:cs="Times New Roman"/>
                <w:i/>
                <w:sz w:val="20"/>
                <w:szCs w:val="24"/>
              </w:rPr>
              <w:t>)</w:t>
            </w:r>
          </w:p>
        </w:tc>
        <w:tc>
          <w:tcPr>
            <w:tcW w:w="1800" w:type="dxa"/>
            <w:tcBorders>
              <w:top w:val="single" w:sz="4" w:space="0" w:color="auto"/>
              <w:left w:val="nil"/>
              <w:bottom w:val="nil"/>
              <w:right w:val="nil"/>
            </w:tcBorders>
          </w:tcPr>
          <w:p w14:paraId="57DA8109" w14:textId="77777777" w:rsidR="00B26CDC" w:rsidRPr="0058449E" w:rsidRDefault="00B26CDC" w:rsidP="00FF7971">
            <w:pPr>
              <w:spacing w:after="0" w:line="240" w:lineRule="auto"/>
              <w:jc w:val="center"/>
              <w:rPr>
                <w:rFonts w:ascii="Times New Roman" w:hAnsi="Times New Roman" w:cs="Times New Roman"/>
                <w:sz w:val="20"/>
                <w:szCs w:val="20"/>
              </w:rPr>
            </w:pPr>
          </w:p>
        </w:tc>
      </w:tr>
      <w:tr w:rsidR="00B26CDC" w:rsidRPr="002D3C05" w14:paraId="05BC499B" w14:textId="77777777" w:rsidTr="00FF7971">
        <w:trPr>
          <w:trHeight w:val="189"/>
        </w:trPr>
        <w:tc>
          <w:tcPr>
            <w:tcW w:w="6588" w:type="dxa"/>
            <w:tcBorders>
              <w:top w:val="nil"/>
              <w:left w:val="nil"/>
              <w:bottom w:val="nil"/>
              <w:right w:val="nil"/>
            </w:tcBorders>
            <w:vAlign w:val="center"/>
          </w:tcPr>
          <w:p w14:paraId="16586B2F"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Learning about customer needs and requirements</w:t>
            </w:r>
          </w:p>
        </w:tc>
        <w:tc>
          <w:tcPr>
            <w:tcW w:w="1800" w:type="dxa"/>
            <w:tcBorders>
              <w:top w:val="nil"/>
              <w:left w:val="nil"/>
              <w:bottom w:val="nil"/>
              <w:right w:val="nil"/>
            </w:tcBorders>
            <w:vAlign w:val="bottom"/>
          </w:tcPr>
          <w:p w14:paraId="5914959B"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0.77</w:t>
            </w:r>
          </w:p>
        </w:tc>
      </w:tr>
      <w:tr w:rsidR="00B26CDC" w:rsidRPr="002D3C05" w14:paraId="17137CB3" w14:textId="77777777" w:rsidTr="00FF7971">
        <w:trPr>
          <w:trHeight w:val="288"/>
        </w:trPr>
        <w:tc>
          <w:tcPr>
            <w:tcW w:w="6588" w:type="dxa"/>
            <w:tcBorders>
              <w:top w:val="nil"/>
              <w:left w:val="nil"/>
              <w:bottom w:val="nil"/>
              <w:right w:val="nil"/>
            </w:tcBorders>
            <w:vAlign w:val="center"/>
          </w:tcPr>
          <w:p w14:paraId="2360812C"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Discovering competitor strategies and tactics</w:t>
            </w:r>
          </w:p>
        </w:tc>
        <w:tc>
          <w:tcPr>
            <w:tcW w:w="1800" w:type="dxa"/>
            <w:tcBorders>
              <w:top w:val="nil"/>
              <w:left w:val="nil"/>
              <w:bottom w:val="nil"/>
              <w:right w:val="nil"/>
            </w:tcBorders>
            <w:vAlign w:val="bottom"/>
          </w:tcPr>
          <w:p w14:paraId="484841DC"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0.6</w:t>
            </w:r>
            <w:r>
              <w:rPr>
                <w:rFonts w:ascii="Times New Roman" w:hAnsi="Times New Roman" w:cs="Times New Roman"/>
                <w:color w:val="000000"/>
                <w:sz w:val="20"/>
                <w:szCs w:val="20"/>
              </w:rPr>
              <w:t>8</w:t>
            </w:r>
          </w:p>
        </w:tc>
      </w:tr>
      <w:tr w:rsidR="00B26CDC" w:rsidRPr="002D3C05" w14:paraId="4C42031F" w14:textId="77777777" w:rsidTr="00FF7971">
        <w:trPr>
          <w:trHeight w:val="180"/>
        </w:trPr>
        <w:tc>
          <w:tcPr>
            <w:tcW w:w="6588" w:type="dxa"/>
            <w:tcBorders>
              <w:top w:val="nil"/>
              <w:left w:val="nil"/>
              <w:bottom w:val="nil"/>
              <w:right w:val="nil"/>
            </w:tcBorders>
            <w:vAlign w:val="center"/>
          </w:tcPr>
          <w:p w14:paraId="61A3A875"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Gaining insights about the distribution channel</w:t>
            </w:r>
          </w:p>
        </w:tc>
        <w:tc>
          <w:tcPr>
            <w:tcW w:w="1800" w:type="dxa"/>
            <w:tcBorders>
              <w:top w:val="nil"/>
              <w:left w:val="nil"/>
              <w:bottom w:val="nil"/>
              <w:right w:val="nil"/>
            </w:tcBorders>
            <w:vAlign w:val="bottom"/>
          </w:tcPr>
          <w:p w14:paraId="5E826AA4"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w:t>
            </w:r>
            <w:r>
              <w:rPr>
                <w:rFonts w:ascii="Times New Roman" w:hAnsi="Times New Roman" w:cs="Times New Roman"/>
                <w:color w:val="000000"/>
                <w:sz w:val="20"/>
                <w:szCs w:val="20"/>
              </w:rPr>
              <w:t>1</w:t>
            </w:r>
          </w:p>
        </w:tc>
      </w:tr>
      <w:tr w:rsidR="00B26CDC" w:rsidRPr="002D3C05" w14:paraId="1319E605" w14:textId="77777777" w:rsidTr="00FF7971">
        <w:trPr>
          <w:trHeight w:val="180"/>
        </w:trPr>
        <w:tc>
          <w:tcPr>
            <w:tcW w:w="6588" w:type="dxa"/>
            <w:tcBorders>
              <w:top w:val="nil"/>
              <w:left w:val="nil"/>
              <w:bottom w:val="nil"/>
              <w:right w:val="nil"/>
            </w:tcBorders>
            <w:vAlign w:val="center"/>
          </w:tcPr>
          <w:p w14:paraId="1B7EAB88"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Identifying and understanding market trends</w:t>
            </w:r>
          </w:p>
        </w:tc>
        <w:tc>
          <w:tcPr>
            <w:tcW w:w="1800" w:type="dxa"/>
            <w:tcBorders>
              <w:top w:val="nil"/>
              <w:left w:val="nil"/>
              <w:bottom w:val="nil"/>
              <w:right w:val="nil"/>
            </w:tcBorders>
            <w:vAlign w:val="bottom"/>
          </w:tcPr>
          <w:p w14:paraId="65875021"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0.76</w:t>
            </w:r>
          </w:p>
        </w:tc>
      </w:tr>
      <w:tr w:rsidR="00B26CDC" w:rsidRPr="002D3C05" w14:paraId="49B2C251" w14:textId="77777777" w:rsidTr="00FF7971">
        <w:trPr>
          <w:trHeight w:val="189"/>
        </w:trPr>
        <w:tc>
          <w:tcPr>
            <w:tcW w:w="6588" w:type="dxa"/>
            <w:tcBorders>
              <w:top w:val="nil"/>
              <w:left w:val="nil"/>
              <w:bottom w:val="single" w:sz="4" w:space="0" w:color="auto"/>
              <w:right w:val="nil"/>
            </w:tcBorders>
            <w:vAlign w:val="center"/>
          </w:tcPr>
          <w:p w14:paraId="639A1419"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Learning about the broad market environment</w:t>
            </w:r>
          </w:p>
        </w:tc>
        <w:tc>
          <w:tcPr>
            <w:tcW w:w="1800" w:type="dxa"/>
            <w:tcBorders>
              <w:top w:val="nil"/>
              <w:left w:val="nil"/>
              <w:bottom w:val="single" w:sz="4" w:space="0" w:color="auto"/>
              <w:right w:val="nil"/>
            </w:tcBorders>
            <w:vAlign w:val="bottom"/>
          </w:tcPr>
          <w:p w14:paraId="2901EB75"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0.81</w:t>
            </w:r>
          </w:p>
        </w:tc>
      </w:tr>
      <w:tr w:rsidR="00B26CDC" w:rsidRPr="002D3C05" w14:paraId="141FD4F5" w14:textId="77777777" w:rsidTr="00FF7971">
        <w:trPr>
          <w:trHeight w:val="413"/>
        </w:trPr>
        <w:tc>
          <w:tcPr>
            <w:tcW w:w="6588" w:type="dxa"/>
            <w:tcBorders>
              <w:top w:val="single" w:sz="4" w:space="0" w:color="auto"/>
              <w:left w:val="nil"/>
              <w:bottom w:val="nil"/>
              <w:right w:val="nil"/>
            </w:tcBorders>
            <w:vAlign w:val="center"/>
          </w:tcPr>
          <w:p w14:paraId="69D57CF5" w14:textId="77777777" w:rsidR="00B26CDC" w:rsidRPr="002D3C05" w:rsidRDefault="00B26CDC" w:rsidP="00FF7971">
            <w:pPr>
              <w:spacing w:after="0" w:line="240" w:lineRule="auto"/>
              <w:rPr>
                <w:rFonts w:ascii="Times New Roman" w:hAnsi="Times New Roman" w:cs="Times New Roman"/>
                <w:i/>
                <w:sz w:val="20"/>
                <w:szCs w:val="24"/>
              </w:rPr>
            </w:pPr>
            <w:r w:rsidRPr="002D3C05">
              <w:rPr>
                <w:rFonts w:ascii="Times New Roman" w:hAnsi="Times New Roman" w:cs="Times New Roman"/>
                <w:b/>
                <w:i/>
                <w:sz w:val="20"/>
                <w:szCs w:val="24"/>
              </w:rPr>
              <w:t>Supply Chain Agility</w:t>
            </w:r>
            <w:r w:rsidRPr="002D3C05">
              <w:rPr>
                <w:rFonts w:ascii="Times New Roman" w:hAnsi="Times New Roman" w:cs="Times New Roman"/>
                <w:i/>
                <w:sz w:val="20"/>
                <w:szCs w:val="24"/>
              </w:rPr>
              <w:t xml:space="preserve"> </w:t>
            </w:r>
            <w:r w:rsidRPr="00570DF2">
              <w:rPr>
                <w:rFonts w:ascii="Times New Roman" w:hAnsi="Times New Roman" w:cs="Times New Roman"/>
                <w:i/>
                <w:sz w:val="20"/>
                <w:szCs w:val="24"/>
              </w:rPr>
              <w:t>(</w:t>
            </w:r>
            <w:r>
              <w:rPr>
                <w:rFonts w:ascii="Times New Roman" w:hAnsi="Times New Roman" w:cs="Times New Roman"/>
                <w:i/>
                <w:sz w:val="20"/>
                <w:szCs w:val="24"/>
              </w:rPr>
              <w:t>CR</w:t>
            </w:r>
            <w:r w:rsidRPr="00570DF2">
              <w:rPr>
                <w:rFonts w:ascii="Times New Roman" w:hAnsi="Times New Roman" w:cs="Times New Roman"/>
                <w:i/>
                <w:sz w:val="20"/>
                <w:szCs w:val="24"/>
              </w:rPr>
              <w:t>=0.8</w:t>
            </w:r>
            <w:r>
              <w:rPr>
                <w:rFonts w:ascii="Times New Roman" w:hAnsi="Times New Roman" w:cs="Times New Roman"/>
                <w:i/>
                <w:sz w:val="20"/>
                <w:szCs w:val="24"/>
              </w:rPr>
              <w:t>6</w:t>
            </w:r>
            <w:r w:rsidRPr="00570DF2">
              <w:rPr>
                <w:rFonts w:ascii="Times New Roman" w:hAnsi="Times New Roman" w:cs="Times New Roman"/>
                <w:i/>
                <w:sz w:val="20"/>
                <w:szCs w:val="24"/>
              </w:rPr>
              <w:t>, AVE=0.5</w:t>
            </w:r>
            <w:r>
              <w:rPr>
                <w:rFonts w:ascii="Times New Roman" w:hAnsi="Times New Roman" w:cs="Times New Roman"/>
                <w:i/>
                <w:sz w:val="20"/>
                <w:szCs w:val="24"/>
              </w:rPr>
              <w:t>6, MSV=0.</w:t>
            </w:r>
            <w:proofErr w:type="gramStart"/>
            <w:r>
              <w:rPr>
                <w:rFonts w:ascii="Times New Roman" w:hAnsi="Times New Roman" w:cs="Times New Roman"/>
                <w:i/>
                <w:sz w:val="20"/>
                <w:szCs w:val="24"/>
              </w:rPr>
              <w:t>50,  SOL</w:t>
            </w:r>
            <w:proofErr w:type="gramEnd"/>
            <w:r>
              <w:rPr>
                <w:rFonts w:ascii="Times New Roman" w:hAnsi="Times New Roman" w:cs="Times New Roman"/>
                <w:i/>
                <w:sz w:val="20"/>
                <w:szCs w:val="24"/>
              </w:rPr>
              <w:t>=0.93</w:t>
            </w:r>
            <w:r w:rsidRPr="00570DF2">
              <w:rPr>
                <w:rFonts w:ascii="Times New Roman" w:hAnsi="Times New Roman" w:cs="Times New Roman"/>
                <w:i/>
                <w:sz w:val="20"/>
                <w:szCs w:val="24"/>
              </w:rPr>
              <w:t>)</w:t>
            </w:r>
          </w:p>
        </w:tc>
        <w:tc>
          <w:tcPr>
            <w:tcW w:w="1800" w:type="dxa"/>
            <w:tcBorders>
              <w:top w:val="single" w:sz="4" w:space="0" w:color="auto"/>
              <w:left w:val="nil"/>
              <w:bottom w:val="nil"/>
              <w:right w:val="nil"/>
            </w:tcBorders>
          </w:tcPr>
          <w:p w14:paraId="3E27B38C" w14:textId="77777777" w:rsidR="00B26CDC" w:rsidRPr="0058449E" w:rsidRDefault="00B26CDC" w:rsidP="00FF7971">
            <w:pPr>
              <w:spacing w:after="0" w:line="240" w:lineRule="auto"/>
              <w:jc w:val="center"/>
              <w:rPr>
                <w:rFonts w:ascii="Times New Roman" w:hAnsi="Times New Roman" w:cs="Times New Roman"/>
                <w:sz w:val="20"/>
                <w:szCs w:val="20"/>
              </w:rPr>
            </w:pPr>
          </w:p>
        </w:tc>
      </w:tr>
      <w:tr w:rsidR="00B26CDC" w:rsidRPr="002D3C05" w14:paraId="6E252BD8" w14:textId="77777777" w:rsidTr="00FF7971">
        <w:tc>
          <w:tcPr>
            <w:tcW w:w="6588" w:type="dxa"/>
            <w:tcBorders>
              <w:top w:val="nil"/>
              <w:left w:val="nil"/>
              <w:bottom w:val="nil"/>
              <w:right w:val="nil"/>
            </w:tcBorders>
            <w:vAlign w:val="center"/>
          </w:tcPr>
          <w:p w14:paraId="24397F57"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Adapting services and/or products to new customer requirements quickly</w:t>
            </w:r>
          </w:p>
        </w:tc>
        <w:tc>
          <w:tcPr>
            <w:tcW w:w="1800" w:type="dxa"/>
            <w:tcBorders>
              <w:top w:val="nil"/>
              <w:left w:val="nil"/>
              <w:bottom w:val="nil"/>
              <w:right w:val="nil"/>
            </w:tcBorders>
            <w:vAlign w:val="bottom"/>
          </w:tcPr>
          <w:p w14:paraId="4CD6F942"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w:t>
            </w:r>
            <w:r>
              <w:rPr>
                <w:rFonts w:ascii="Times New Roman" w:hAnsi="Times New Roman" w:cs="Times New Roman"/>
                <w:color w:val="000000"/>
                <w:sz w:val="20"/>
                <w:szCs w:val="20"/>
              </w:rPr>
              <w:t>2</w:t>
            </w:r>
          </w:p>
        </w:tc>
      </w:tr>
      <w:tr w:rsidR="00B26CDC" w:rsidRPr="002D3C05" w14:paraId="08273EB3" w14:textId="77777777" w:rsidTr="00FF7971">
        <w:tc>
          <w:tcPr>
            <w:tcW w:w="6588" w:type="dxa"/>
            <w:tcBorders>
              <w:top w:val="nil"/>
              <w:left w:val="nil"/>
              <w:bottom w:val="nil"/>
              <w:right w:val="nil"/>
            </w:tcBorders>
            <w:vAlign w:val="center"/>
          </w:tcPr>
          <w:p w14:paraId="230FF9A1"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 xml:space="preserve">Reacting to new market developments quickly </w:t>
            </w:r>
          </w:p>
        </w:tc>
        <w:tc>
          <w:tcPr>
            <w:tcW w:w="1800" w:type="dxa"/>
            <w:tcBorders>
              <w:top w:val="nil"/>
              <w:left w:val="nil"/>
              <w:bottom w:val="nil"/>
              <w:right w:val="nil"/>
            </w:tcBorders>
            <w:vAlign w:val="bottom"/>
          </w:tcPr>
          <w:p w14:paraId="36E84837"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w:t>
            </w:r>
            <w:r>
              <w:rPr>
                <w:rFonts w:ascii="Times New Roman" w:hAnsi="Times New Roman" w:cs="Times New Roman"/>
                <w:color w:val="000000"/>
                <w:sz w:val="20"/>
                <w:szCs w:val="20"/>
              </w:rPr>
              <w:t>9</w:t>
            </w:r>
          </w:p>
        </w:tc>
      </w:tr>
      <w:tr w:rsidR="00B26CDC" w:rsidRPr="002D3C05" w14:paraId="696AD7A8" w14:textId="77777777" w:rsidTr="00FF7971">
        <w:tc>
          <w:tcPr>
            <w:tcW w:w="6588" w:type="dxa"/>
            <w:tcBorders>
              <w:top w:val="nil"/>
              <w:left w:val="nil"/>
              <w:bottom w:val="nil"/>
              <w:right w:val="nil"/>
            </w:tcBorders>
            <w:vAlign w:val="center"/>
          </w:tcPr>
          <w:p w14:paraId="649D0EE6"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 xml:space="preserve">Reacting to significant increases and decreases in demand quickly </w:t>
            </w:r>
          </w:p>
        </w:tc>
        <w:tc>
          <w:tcPr>
            <w:tcW w:w="1800" w:type="dxa"/>
            <w:tcBorders>
              <w:top w:val="nil"/>
              <w:left w:val="nil"/>
              <w:bottom w:val="nil"/>
              <w:right w:val="nil"/>
            </w:tcBorders>
            <w:vAlign w:val="bottom"/>
          </w:tcPr>
          <w:p w14:paraId="78517E65"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0.78</w:t>
            </w:r>
          </w:p>
        </w:tc>
      </w:tr>
      <w:tr w:rsidR="00B26CDC" w:rsidRPr="002D3C05" w14:paraId="13AC0B55" w14:textId="77777777" w:rsidTr="00FF7971">
        <w:tc>
          <w:tcPr>
            <w:tcW w:w="6588" w:type="dxa"/>
            <w:tcBorders>
              <w:top w:val="nil"/>
              <w:left w:val="nil"/>
              <w:bottom w:val="single" w:sz="4" w:space="0" w:color="auto"/>
              <w:right w:val="nil"/>
            </w:tcBorders>
            <w:vAlign w:val="center"/>
          </w:tcPr>
          <w:p w14:paraId="42E048AF"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Adjusting product portfolio as per market requirement</w:t>
            </w:r>
          </w:p>
        </w:tc>
        <w:tc>
          <w:tcPr>
            <w:tcW w:w="1800" w:type="dxa"/>
            <w:tcBorders>
              <w:top w:val="nil"/>
              <w:left w:val="nil"/>
              <w:bottom w:val="single" w:sz="4" w:space="0" w:color="auto"/>
              <w:right w:val="nil"/>
            </w:tcBorders>
            <w:vAlign w:val="bottom"/>
          </w:tcPr>
          <w:p w14:paraId="315136B2"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w:t>
            </w:r>
            <w:r>
              <w:rPr>
                <w:rFonts w:ascii="Times New Roman" w:hAnsi="Times New Roman" w:cs="Times New Roman"/>
                <w:color w:val="000000"/>
                <w:sz w:val="20"/>
                <w:szCs w:val="20"/>
              </w:rPr>
              <w:t>2</w:t>
            </w:r>
          </w:p>
        </w:tc>
      </w:tr>
      <w:tr w:rsidR="00B26CDC" w:rsidRPr="002D3C05" w14:paraId="033875FF" w14:textId="77777777" w:rsidTr="00FF7971">
        <w:trPr>
          <w:trHeight w:val="440"/>
        </w:trPr>
        <w:tc>
          <w:tcPr>
            <w:tcW w:w="6588" w:type="dxa"/>
            <w:tcBorders>
              <w:top w:val="single" w:sz="4" w:space="0" w:color="auto"/>
              <w:left w:val="nil"/>
              <w:bottom w:val="nil"/>
              <w:right w:val="nil"/>
            </w:tcBorders>
            <w:vAlign w:val="center"/>
          </w:tcPr>
          <w:p w14:paraId="4A3B65FD" w14:textId="77777777" w:rsidR="00B26CDC" w:rsidRPr="002D3C05" w:rsidRDefault="00B26CDC" w:rsidP="00FF7971">
            <w:pPr>
              <w:spacing w:after="0" w:line="240" w:lineRule="auto"/>
              <w:rPr>
                <w:rFonts w:ascii="Times New Roman" w:hAnsi="Times New Roman" w:cs="Times New Roman"/>
                <w:b/>
                <w:i/>
                <w:sz w:val="20"/>
                <w:szCs w:val="24"/>
              </w:rPr>
            </w:pPr>
            <w:r w:rsidRPr="002D3C05">
              <w:rPr>
                <w:rFonts w:ascii="Times New Roman" w:hAnsi="Times New Roman" w:cs="Times New Roman"/>
                <w:b/>
                <w:i/>
                <w:sz w:val="20"/>
                <w:szCs w:val="24"/>
              </w:rPr>
              <w:t>Supply Chain Adaptability</w:t>
            </w:r>
            <w:r w:rsidRPr="002D3C05">
              <w:rPr>
                <w:rFonts w:ascii="Times New Roman" w:hAnsi="Times New Roman" w:cs="Times New Roman"/>
                <w:i/>
                <w:sz w:val="20"/>
                <w:szCs w:val="24"/>
              </w:rPr>
              <w:t xml:space="preserve"> </w:t>
            </w:r>
            <w:r w:rsidRPr="00C30F10">
              <w:rPr>
                <w:rFonts w:ascii="Times New Roman" w:hAnsi="Times New Roman" w:cs="Times New Roman"/>
                <w:i/>
                <w:sz w:val="20"/>
                <w:szCs w:val="24"/>
              </w:rPr>
              <w:t>(</w:t>
            </w:r>
            <w:r>
              <w:rPr>
                <w:rFonts w:ascii="Times New Roman" w:hAnsi="Times New Roman" w:cs="Times New Roman"/>
                <w:i/>
                <w:sz w:val="20"/>
                <w:szCs w:val="24"/>
              </w:rPr>
              <w:t>CR</w:t>
            </w:r>
            <w:r w:rsidRPr="00C30F10">
              <w:rPr>
                <w:rFonts w:ascii="Times New Roman" w:hAnsi="Times New Roman" w:cs="Times New Roman"/>
                <w:i/>
                <w:sz w:val="20"/>
                <w:szCs w:val="24"/>
              </w:rPr>
              <w:t>=0.</w:t>
            </w:r>
            <w:r>
              <w:rPr>
                <w:rFonts w:ascii="Times New Roman" w:hAnsi="Times New Roman" w:cs="Times New Roman"/>
                <w:i/>
                <w:sz w:val="20"/>
                <w:szCs w:val="24"/>
              </w:rPr>
              <w:t>80</w:t>
            </w:r>
            <w:r w:rsidRPr="00C30F10">
              <w:rPr>
                <w:rFonts w:ascii="Times New Roman" w:hAnsi="Times New Roman" w:cs="Times New Roman"/>
                <w:i/>
                <w:sz w:val="20"/>
                <w:szCs w:val="24"/>
              </w:rPr>
              <w:t>, AVE=0.5</w:t>
            </w:r>
            <w:r>
              <w:rPr>
                <w:rFonts w:ascii="Times New Roman" w:hAnsi="Times New Roman" w:cs="Times New Roman"/>
                <w:i/>
                <w:sz w:val="20"/>
                <w:szCs w:val="24"/>
              </w:rPr>
              <w:t>7, MSV=0.50, SOL=0.90</w:t>
            </w:r>
            <w:r w:rsidRPr="00C30F10">
              <w:rPr>
                <w:rFonts w:ascii="Times New Roman" w:hAnsi="Times New Roman" w:cs="Times New Roman"/>
                <w:i/>
                <w:sz w:val="20"/>
                <w:szCs w:val="24"/>
              </w:rPr>
              <w:t>)</w:t>
            </w:r>
          </w:p>
        </w:tc>
        <w:tc>
          <w:tcPr>
            <w:tcW w:w="1800" w:type="dxa"/>
            <w:tcBorders>
              <w:top w:val="single" w:sz="4" w:space="0" w:color="auto"/>
              <w:left w:val="nil"/>
              <w:bottom w:val="nil"/>
              <w:right w:val="nil"/>
            </w:tcBorders>
          </w:tcPr>
          <w:p w14:paraId="63C477E5" w14:textId="77777777" w:rsidR="00B26CDC" w:rsidRPr="0058449E" w:rsidRDefault="00B26CDC" w:rsidP="00FF7971">
            <w:pPr>
              <w:spacing w:after="0" w:line="240" w:lineRule="auto"/>
              <w:jc w:val="center"/>
              <w:rPr>
                <w:rFonts w:ascii="Times New Roman" w:hAnsi="Times New Roman" w:cs="Times New Roman"/>
                <w:sz w:val="20"/>
                <w:szCs w:val="20"/>
              </w:rPr>
            </w:pPr>
          </w:p>
        </w:tc>
      </w:tr>
      <w:tr w:rsidR="00B26CDC" w:rsidRPr="002D3C05" w14:paraId="2D144BF3" w14:textId="77777777" w:rsidTr="00FF7971">
        <w:tc>
          <w:tcPr>
            <w:tcW w:w="6588" w:type="dxa"/>
            <w:tcBorders>
              <w:top w:val="nil"/>
              <w:left w:val="nil"/>
              <w:bottom w:val="nil"/>
              <w:right w:val="nil"/>
            </w:tcBorders>
            <w:vAlign w:val="center"/>
          </w:tcPr>
          <w:p w14:paraId="28135709"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Spot new supply bases and markets all over the world</w:t>
            </w:r>
          </w:p>
        </w:tc>
        <w:tc>
          <w:tcPr>
            <w:tcW w:w="1800" w:type="dxa"/>
            <w:tcBorders>
              <w:top w:val="nil"/>
              <w:left w:val="nil"/>
              <w:bottom w:val="nil"/>
              <w:right w:val="nil"/>
            </w:tcBorders>
            <w:vAlign w:val="bottom"/>
          </w:tcPr>
          <w:p w14:paraId="08FEABDF"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0.76</w:t>
            </w:r>
          </w:p>
        </w:tc>
      </w:tr>
      <w:tr w:rsidR="00B26CDC" w:rsidRPr="002D3C05" w14:paraId="0E2B8E54" w14:textId="77777777" w:rsidTr="00FF7971">
        <w:trPr>
          <w:trHeight w:val="225"/>
        </w:trPr>
        <w:tc>
          <w:tcPr>
            <w:tcW w:w="6588" w:type="dxa"/>
            <w:tcBorders>
              <w:top w:val="nil"/>
              <w:left w:val="nil"/>
              <w:bottom w:val="nil"/>
              <w:right w:val="nil"/>
            </w:tcBorders>
            <w:vAlign w:val="center"/>
          </w:tcPr>
          <w:p w14:paraId="7EB27D1E"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Evaluating ultimate consumer</w:t>
            </w:r>
            <w:r>
              <w:rPr>
                <w:rFonts w:ascii="Times New Roman" w:hAnsi="Times New Roman" w:cs="Times New Roman"/>
                <w:color w:val="000000"/>
                <w:sz w:val="20"/>
                <w:szCs w:val="24"/>
              </w:rPr>
              <w:t>’</w:t>
            </w:r>
            <w:r w:rsidRPr="002D3C05">
              <w:rPr>
                <w:rFonts w:ascii="Times New Roman" w:hAnsi="Times New Roman" w:cs="Times New Roman"/>
                <w:color w:val="000000"/>
                <w:sz w:val="20"/>
                <w:szCs w:val="24"/>
              </w:rPr>
              <w:t>s needs</w:t>
            </w:r>
          </w:p>
        </w:tc>
        <w:tc>
          <w:tcPr>
            <w:tcW w:w="1800" w:type="dxa"/>
            <w:tcBorders>
              <w:top w:val="nil"/>
              <w:left w:val="nil"/>
              <w:bottom w:val="nil"/>
              <w:right w:val="nil"/>
            </w:tcBorders>
            <w:vAlign w:val="bottom"/>
          </w:tcPr>
          <w:p w14:paraId="2076F1EB"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w:t>
            </w:r>
            <w:r>
              <w:rPr>
                <w:rFonts w:ascii="Times New Roman" w:hAnsi="Times New Roman" w:cs="Times New Roman"/>
                <w:color w:val="000000"/>
                <w:sz w:val="20"/>
                <w:szCs w:val="20"/>
              </w:rPr>
              <w:t>7</w:t>
            </w:r>
          </w:p>
        </w:tc>
      </w:tr>
      <w:tr w:rsidR="00B26CDC" w:rsidRPr="002D3C05" w14:paraId="63F117AB" w14:textId="77777777" w:rsidTr="00FF7971">
        <w:trPr>
          <w:trHeight w:val="387"/>
        </w:trPr>
        <w:tc>
          <w:tcPr>
            <w:tcW w:w="6588" w:type="dxa"/>
            <w:tcBorders>
              <w:top w:val="nil"/>
              <w:left w:val="nil"/>
              <w:bottom w:val="single" w:sz="4" w:space="0" w:color="auto"/>
              <w:right w:val="nil"/>
            </w:tcBorders>
            <w:vAlign w:val="center"/>
          </w:tcPr>
          <w:p w14:paraId="37FFEAB5" w14:textId="77777777" w:rsidR="00B26CDC" w:rsidRPr="002D3C05" w:rsidRDefault="00B26CDC" w:rsidP="00FF7971">
            <w:pPr>
              <w:autoSpaceDE w:val="0"/>
              <w:autoSpaceDN w:val="0"/>
              <w:adjustRightInd w:val="0"/>
              <w:spacing w:after="0" w:line="240" w:lineRule="auto"/>
              <w:rPr>
                <w:rFonts w:ascii="Times New Roman" w:hAnsi="Times New Roman" w:cs="Times New Roman"/>
                <w:color w:val="000000"/>
                <w:sz w:val="20"/>
                <w:szCs w:val="24"/>
              </w:rPr>
            </w:pPr>
            <w:r w:rsidRPr="002D3C05">
              <w:rPr>
                <w:rFonts w:ascii="Times New Roman" w:hAnsi="Times New Roman" w:cs="Times New Roman"/>
                <w:color w:val="000000"/>
                <w:sz w:val="20"/>
                <w:szCs w:val="24"/>
              </w:rPr>
              <w:t>Determining the standing of companies’ products in terms of technology cycles and product life cycles</w:t>
            </w:r>
          </w:p>
        </w:tc>
        <w:tc>
          <w:tcPr>
            <w:tcW w:w="1800" w:type="dxa"/>
            <w:tcBorders>
              <w:top w:val="nil"/>
              <w:left w:val="nil"/>
              <w:bottom w:val="single" w:sz="4" w:space="0" w:color="auto"/>
              <w:right w:val="nil"/>
            </w:tcBorders>
            <w:vAlign w:val="bottom"/>
          </w:tcPr>
          <w:p w14:paraId="6FDBF273" w14:textId="77777777" w:rsidR="00B26CDC" w:rsidRPr="0058449E" w:rsidRDefault="00B26CDC" w:rsidP="00FF7971">
            <w:pPr>
              <w:spacing w:after="0" w:line="240" w:lineRule="auto"/>
              <w:ind w:firstLineChars="100" w:firstLine="200"/>
              <w:jc w:val="center"/>
              <w:rPr>
                <w:rFonts w:ascii="Times New Roman" w:hAnsi="Times New Roman" w:cs="Times New Roman"/>
                <w:color w:val="000000"/>
                <w:sz w:val="20"/>
                <w:szCs w:val="20"/>
              </w:rPr>
            </w:pPr>
            <w:r w:rsidRPr="0058449E">
              <w:rPr>
                <w:rFonts w:ascii="Times New Roman" w:hAnsi="Times New Roman" w:cs="Times New Roman"/>
                <w:color w:val="000000"/>
                <w:sz w:val="20"/>
                <w:szCs w:val="20"/>
              </w:rPr>
              <w:t>0.73</w:t>
            </w:r>
          </w:p>
        </w:tc>
      </w:tr>
    </w:tbl>
    <w:p w14:paraId="3325D88F" w14:textId="77777777" w:rsidR="00B26CDC" w:rsidRDefault="00B26CDC" w:rsidP="00B26CDC">
      <w:pPr>
        <w:spacing w:after="0" w:line="240" w:lineRule="auto"/>
        <w:rPr>
          <w:rFonts w:ascii="Times New Roman" w:eastAsia="Calibri" w:hAnsi="Times New Roman" w:cs="Times New Roman"/>
          <w:b/>
          <w:sz w:val="24"/>
          <w:lang w:val="en-GB"/>
        </w:rPr>
      </w:pPr>
    </w:p>
    <w:p w14:paraId="4DF1ACD5" w14:textId="77777777" w:rsidR="00B26CDC" w:rsidRDefault="00B26CDC" w:rsidP="00B26CDC">
      <w:pPr>
        <w:spacing w:after="0" w:line="240" w:lineRule="auto"/>
        <w:rPr>
          <w:rFonts w:ascii="Times New Roman" w:eastAsia="Calibri" w:hAnsi="Times New Roman" w:cs="Times New Roman"/>
          <w:b/>
          <w:sz w:val="24"/>
          <w:lang w:val="en-GB"/>
        </w:rPr>
      </w:pPr>
    </w:p>
    <w:p w14:paraId="4B803AC6" w14:textId="77777777" w:rsidR="00B26CDC" w:rsidRDefault="00B26CDC" w:rsidP="00B26CDC">
      <w:pPr>
        <w:spacing w:after="0" w:line="240" w:lineRule="auto"/>
        <w:rPr>
          <w:rFonts w:ascii="Times New Roman" w:eastAsia="Calibri" w:hAnsi="Times New Roman" w:cs="Times New Roman"/>
          <w:b/>
          <w:sz w:val="24"/>
          <w:lang w:val="en-GB"/>
        </w:rPr>
      </w:pPr>
    </w:p>
    <w:p w14:paraId="115B9E24" w14:textId="77777777" w:rsidR="00B26CDC" w:rsidRDefault="00B26CDC" w:rsidP="00B26CDC">
      <w:pPr>
        <w:spacing w:after="0" w:line="240" w:lineRule="auto"/>
        <w:rPr>
          <w:rFonts w:ascii="Times New Roman" w:eastAsia="Calibri" w:hAnsi="Times New Roman" w:cs="Times New Roman"/>
          <w:b/>
          <w:sz w:val="24"/>
          <w:lang w:val="en-GB"/>
        </w:rPr>
      </w:pPr>
    </w:p>
    <w:p w14:paraId="02CE8740" w14:textId="77777777" w:rsidR="00B26CDC" w:rsidRDefault="00B26CDC" w:rsidP="00B26CDC">
      <w:pPr>
        <w:spacing w:after="0" w:line="240" w:lineRule="auto"/>
        <w:rPr>
          <w:rFonts w:ascii="Times New Roman" w:eastAsia="Calibri" w:hAnsi="Times New Roman" w:cs="Times New Roman"/>
          <w:b/>
          <w:sz w:val="24"/>
          <w:lang w:val="en-GB"/>
        </w:rPr>
      </w:pPr>
    </w:p>
    <w:p w14:paraId="273EBBB0" w14:textId="77777777" w:rsidR="00B26CDC" w:rsidRDefault="00B26CDC" w:rsidP="00B26CDC">
      <w:pPr>
        <w:spacing w:after="0" w:line="240" w:lineRule="auto"/>
        <w:rPr>
          <w:rFonts w:ascii="Times New Roman" w:eastAsia="Calibri" w:hAnsi="Times New Roman" w:cs="Times New Roman"/>
          <w:b/>
          <w:sz w:val="24"/>
          <w:lang w:val="en-GB"/>
        </w:rPr>
      </w:pPr>
    </w:p>
    <w:p w14:paraId="2CB312E6" w14:textId="77777777" w:rsidR="00B26CDC" w:rsidRDefault="00B26CDC" w:rsidP="00B26CDC">
      <w:pPr>
        <w:spacing w:after="0" w:line="240" w:lineRule="auto"/>
        <w:rPr>
          <w:rFonts w:ascii="Times New Roman" w:eastAsia="Calibri" w:hAnsi="Times New Roman" w:cs="Times New Roman"/>
          <w:b/>
          <w:sz w:val="24"/>
          <w:lang w:val="en-GB"/>
        </w:rPr>
      </w:pPr>
    </w:p>
    <w:p w14:paraId="6CE8D1BA" w14:textId="77777777" w:rsidR="00B26CDC" w:rsidRPr="002C7CD5" w:rsidRDefault="00B26CDC" w:rsidP="00B26CDC">
      <w:pPr>
        <w:spacing w:after="0" w:line="240" w:lineRule="auto"/>
        <w:rPr>
          <w:rFonts w:ascii="Times New Roman" w:eastAsia="Calibri" w:hAnsi="Times New Roman" w:cs="Times New Roman"/>
          <w:b/>
          <w:sz w:val="24"/>
          <w:lang w:val="en-GB"/>
        </w:rPr>
      </w:pPr>
      <w:r w:rsidRPr="002C7CD5">
        <w:rPr>
          <w:rFonts w:ascii="Times New Roman" w:eastAsia="Calibri" w:hAnsi="Times New Roman" w:cs="Times New Roman"/>
          <w:b/>
          <w:sz w:val="24"/>
          <w:lang w:val="en-GB"/>
        </w:rPr>
        <w:t xml:space="preserve">Table 4: </w:t>
      </w:r>
      <w:r w:rsidRPr="002C7CD5">
        <w:rPr>
          <w:rFonts w:ascii="Times New Roman" w:eastAsia="Calibri" w:hAnsi="Times New Roman" w:cs="Times New Roman"/>
          <w:b/>
          <w:color w:val="000000"/>
          <w:sz w:val="24"/>
          <w:szCs w:val="24"/>
          <w:lang w:val="en-GB"/>
        </w:rPr>
        <w:t>Correlations, Means, and Standard Deviations</w:t>
      </w:r>
    </w:p>
    <w:tbl>
      <w:tblPr>
        <w:tblW w:w="7680" w:type="dxa"/>
        <w:tblInd w:w="96" w:type="dxa"/>
        <w:tblLook w:val="04A0" w:firstRow="1" w:lastRow="0" w:firstColumn="1" w:lastColumn="0" w:noHBand="0" w:noVBand="1"/>
      </w:tblPr>
      <w:tblGrid>
        <w:gridCol w:w="960"/>
        <w:gridCol w:w="960"/>
        <w:gridCol w:w="960"/>
        <w:gridCol w:w="960"/>
        <w:gridCol w:w="960"/>
        <w:gridCol w:w="960"/>
        <w:gridCol w:w="960"/>
        <w:gridCol w:w="960"/>
      </w:tblGrid>
      <w:tr w:rsidR="00B26CDC" w:rsidRPr="00556379" w14:paraId="3BC35A6D" w14:textId="77777777" w:rsidTr="00FF7971">
        <w:trPr>
          <w:trHeight w:val="300"/>
        </w:trPr>
        <w:tc>
          <w:tcPr>
            <w:tcW w:w="960" w:type="dxa"/>
            <w:tcBorders>
              <w:top w:val="single" w:sz="4" w:space="0" w:color="auto"/>
              <w:left w:val="nil"/>
              <w:bottom w:val="single" w:sz="4" w:space="0" w:color="auto"/>
              <w:right w:val="nil"/>
            </w:tcBorders>
            <w:shd w:val="clear" w:color="auto" w:fill="auto"/>
            <w:noWrap/>
            <w:vAlign w:val="bottom"/>
            <w:hideMark/>
          </w:tcPr>
          <w:p w14:paraId="3AC2B40C"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p>
        </w:tc>
        <w:tc>
          <w:tcPr>
            <w:tcW w:w="960" w:type="dxa"/>
            <w:tcBorders>
              <w:top w:val="single" w:sz="4" w:space="0" w:color="auto"/>
              <w:left w:val="nil"/>
              <w:bottom w:val="single" w:sz="4" w:space="0" w:color="auto"/>
              <w:right w:val="nil"/>
            </w:tcBorders>
            <w:vAlign w:val="center"/>
          </w:tcPr>
          <w:p w14:paraId="5A82045A"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Mean</w:t>
            </w:r>
          </w:p>
        </w:tc>
        <w:tc>
          <w:tcPr>
            <w:tcW w:w="960" w:type="dxa"/>
            <w:tcBorders>
              <w:top w:val="single" w:sz="4" w:space="0" w:color="auto"/>
              <w:left w:val="nil"/>
              <w:bottom w:val="single" w:sz="4" w:space="0" w:color="auto"/>
              <w:right w:val="nil"/>
            </w:tcBorders>
            <w:vAlign w:val="center"/>
          </w:tcPr>
          <w:p w14:paraId="48EDE249"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SD</w:t>
            </w:r>
          </w:p>
        </w:tc>
        <w:tc>
          <w:tcPr>
            <w:tcW w:w="960" w:type="dxa"/>
            <w:tcBorders>
              <w:top w:val="single" w:sz="4" w:space="0" w:color="auto"/>
              <w:left w:val="nil"/>
              <w:bottom w:val="single" w:sz="4" w:space="0" w:color="auto"/>
              <w:right w:val="nil"/>
            </w:tcBorders>
            <w:shd w:val="clear" w:color="auto" w:fill="auto"/>
            <w:noWrap/>
            <w:vAlign w:val="bottom"/>
            <w:hideMark/>
          </w:tcPr>
          <w:p w14:paraId="690EF271"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EO</w:t>
            </w:r>
          </w:p>
        </w:tc>
        <w:tc>
          <w:tcPr>
            <w:tcW w:w="960" w:type="dxa"/>
            <w:tcBorders>
              <w:top w:val="single" w:sz="4" w:space="0" w:color="auto"/>
              <w:left w:val="nil"/>
              <w:bottom w:val="single" w:sz="4" w:space="0" w:color="auto"/>
              <w:right w:val="nil"/>
            </w:tcBorders>
            <w:shd w:val="clear" w:color="auto" w:fill="auto"/>
            <w:noWrap/>
            <w:vAlign w:val="bottom"/>
            <w:hideMark/>
          </w:tcPr>
          <w:p w14:paraId="7D77D6C7"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SCL</w:t>
            </w:r>
          </w:p>
        </w:tc>
        <w:tc>
          <w:tcPr>
            <w:tcW w:w="960" w:type="dxa"/>
            <w:tcBorders>
              <w:top w:val="single" w:sz="4" w:space="0" w:color="auto"/>
              <w:left w:val="nil"/>
              <w:bottom w:val="single" w:sz="4" w:space="0" w:color="auto"/>
              <w:right w:val="nil"/>
            </w:tcBorders>
            <w:shd w:val="clear" w:color="auto" w:fill="auto"/>
            <w:noWrap/>
            <w:vAlign w:val="bottom"/>
            <w:hideMark/>
          </w:tcPr>
          <w:p w14:paraId="7977888D"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MSC</w:t>
            </w:r>
          </w:p>
        </w:tc>
        <w:tc>
          <w:tcPr>
            <w:tcW w:w="960" w:type="dxa"/>
            <w:tcBorders>
              <w:top w:val="single" w:sz="4" w:space="0" w:color="auto"/>
              <w:left w:val="nil"/>
              <w:bottom w:val="single" w:sz="4" w:space="0" w:color="auto"/>
              <w:right w:val="nil"/>
            </w:tcBorders>
            <w:shd w:val="clear" w:color="auto" w:fill="auto"/>
            <w:noWrap/>
            <w:vAlign w:val="bottom"/>
            <w:hideMark/>
          </w:tcPr>
          <w:p w14:paraId="79BE7797"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SA</w:t>
            </w:r>
            <w:r>
              <w:rPr>
                <w:rFonts w:ascii="Times New Roman" w:eastAsia="Times New Roman" w:hAnsi="Times New Roman" w:cs="Times New Roman"/>
                <w:b/>
                <w:bCs/>
                <w:color w:val="000000"/>
                <w:sz w:val="20"/>
                <w:szCs w:val="20"/>
              </w:rPr>
              <w:t>G</w:t>
            </w:r>
          </w:p>
        </w:tc>
        <w:tc>
          <w:tcPr>
            <w:tcW w:w="960" w:type="dxa"/>
            <w:tcBorders>
              <w:top w:val="single" w:sz="4" w:space="0" w:color="auto"/>
              <w:left w:val="nil"/>
              <w:bottom w:val="single" w:sz="4" w:space="0" w:color="auto"/>
              <w:right w:val="nil"/>
            </w:tcBorders>
            <w:shd w:val="clear" w:color="auto" w:fill="auto"/>
            <w:noWrap/>
            <w:vAlign w:val="bottom"/>
            <w:hideMark/>
          </w:tcPr>
          <w:p w14:paraId="1AFECB20"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SA</w:t>
            </w:r>
            <w:r>
              <w:rPr>
                <w:rFonts w:ascii="Times New Roman" w:eastAsia="Times New Roman" w:hAnsi="Times New Roman" w:cs="Times New Roman"/>
                <w:b/>
                <w:bCs/>
                <w:color w:val="000000"/>
                <w:sz w:val="20"/>
                <w:szCs w:val="20"/>
              </w:rPr>
              <w:t>D</w:t>
            </w:r>
          </w:p>
        </w:tc>
      </w:tr>
      <w:tr w:rsidR="00B26CDC" w:rsidRPr="00556379" w14:paraId="02EDFF84" w14:textId="77777777" w:rsidTr="00FF7971">
        <w:trPr>
          <w:trHeight w:val="300"/>
        </w:trPr>
        <w:tc>
          <w:tcPr>
            <w:tcW w:w="960" w:type="dxa"/>
            <w:tcBorders>
              <w:top w:val="nil"/>
              <w:left w:val="nil"/>
              <w:bottom w:val="nil"/>
              <w:right w:val="nil"/>
            </w:tcBorders>
            <w:shd w:val="clear" w:color="auto" w:fill="auto"/>
            <w:noWrap/>
            <w:vAlign w:val="bottom"/>
            <w:hideMark/>
          </w:tcPr>
          <w:p w14:paraId="5070CC3B"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EO</w:t>
            </w:r>
          </w:p>
        </w:tc>
        <w:tc>
          <w:tcPr>
            <w:tcW w:w="960" w:type="dxa"/>
            <w:tcBorders>
              <w:top w:val="nil"/>
              <w:left w:val="nil"/>
              <w:bottom w:val="nil"/>
              <w:right w:val="nil"/>
            </w:tcBorders>
            <w:vAlign w:val="center"/>
          </w:tcPr>
          <w:p w14:paraId="1257DBF6" w14:textId="77777777" w:rsidR="00B26CDC" w:rsidRPr="004B3764" w:rsidRDefault="00B26CDC" w:rsidP="00FF7971">
            <w:pPr>
              <w:spacing w:after="0" w:line="240" w:lineRule="auto"/>
              <w:jc w:val="center"/>
              <w:rPr>
                <w:rFonts w:ascii="Times New Roman" w:eastAsia="Times New Roman" w:hAnsi="Times New Roman" w:cs="Times New Roman"/>
                <w:bCs/>
                <w:color w:val="000000"/>
                <w:sz w:val="20"/>
                <w:szCs w:val="20"/>
              </w:rPr>
            </w:pPr>
            <w:r w:rsidRPr="004B3764">
              <w:rPr>
                <w:rFonts w:ascii="Times New Roman" w:eastAsia="Times New Roman" w:hAnsi="Times New Roman" w:cs="Times New Roman"/>
                <w:bCs/>
                <w:color w:val="000000"/>
                <w:sz w:val="20"/>
                <w:szCs w:val="20"/>
              </w:rPr>
              <w:t>5.01</w:t>
            </w:r>
          </w:p>
        </w:tc>
        <w:tc>
          <w:tcPr>
            <w:tcW w:w="960" w:type="dxa"/>
            <w:tcBorders>
              <w:top w:val="nil"/>
              <w:left w:val="nil"/>
              <w:bottom w:val="nil"/>
              <w:right w:val="nil"/>
            </w:tcBorders>
            <w:vAlign w:val="center"/>
          </w:tcPr>
          <w:p w14:paraId="4F9E2EC1" w14:textId="77777777" w:rsidR="00B26CDC" w:rsidRPr="004B3764" w:rsidRDefault="00B26CDC" w:rsidP="00FF7971">
            <w:pPr>
              <w:spacing w:after="0" w:line="240" w:lineRule="auto"/>
              <w:jc w:val="center"/>
              <w:rPr>
                <w:rFonts w:ascii="Times New Roman" w:eastAsia="Times New Roman" w:hAnsi="Times New Roman" w:cs="Times New Roman"/>
                <w:bCs/>
                <w:color w:val="000000"/>
                <w:sz w:val="20"/>
                <w:szCs w:val="20"/>
              </w:rPr>
            </w:pPr>
            <w:r w:rsidRPr="004B3764">
              <w:rPr>
                <w:rFonts w:ascii="Times New Roman" w:eastAsia="Times New Roman" w:hAnsi="Times New Roman" w:cs="Times New Roman"/>
                <w:bCs/>
                <w:color w:val="000000"/>
                <w:sz w:val="20"/>
                <w:szCs w:val="20"/>
              </w:rPr>
              <w:t>1.03</w:t>
            </w:r>
          </w:p>
        </w:tc>
        <w:tc>
          <w:tcPr>
            <w:tcW w:w="960" w:type="dxa"/>
            <w:tcBorders>
              <w:top w:val="nil"/>
              <w:left w:val="nil"/>
              <w:bottom w:val="nil"/>
              <w:right w:val="nil"/>
            </w:tcBorders>
            <w:shd w:val="clear" w:color="auto" w:fill="auto"/>
            <w:noWrap/>
            <w:vAlign w:val="bottom"/>
            <w:hideMark/>
          </w:tcPr>
          <w:p w14:paraId="02747969"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0.7</w:t>
            </w:r>
            <w:r>
              <w:rPr>
                <w:rFonts w:ascii="Times New Roman" w:eastAsia="Times New Roman" w:hAnsi="Times New Roman" w:cs="Times New Roman"/>
                <w:b/>
                <w:bCs/>
                <w:color w:val="000000"/>
                <w:sz w:val="20"/>
                <w:szCs w:val="20"/>
              </w:rPr>
              <w:t>3</w:t>
            </w:r>
          </w:p>
        </w:tc>
        <w:tc>
          <w:tcPr>
            <w:tcW w:w="960" w:type="dxa"/>
            <w:tcBorders>
              <w:top w:val="nil"/>
              <w:left w:val="nil"/>
              <w:bottom w:val="nil"/>
              <w:right w:val="nil"/>
            </w:tcBorders>
            <w:shd w:val="clear" w:color="auto" w:fill="auto"/>
            <w:noWrap/>
            <w:vAlign w:val="bottom"/>
            <w:hideMark/>
          </w:tcPr>
          <w:p w14:paraId="496255B6"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5C7EF32C"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0D43B77A"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79E28AA6"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r>
      <w:tr w:rsidR="00B26CDC" w:rsidRPr="00556379" w14:paraId="4C71B44A" w14:textId="77777777" w:rsidTr="00FF7971">
        <w:trPr>
          <w:trHeight w:val="300"/>
        </w:trPr>
        <w:tc>
          <w:tcPr>
            <w:tcW w:w="960" w:type="dxa"/>
            <w:tcBorders>
              <w:top w:val="nil"/>
              <w:left w:val="nil"/>
              <w:bottom w:val="nil"/>
              <w:right w:val="nil"/>
            </w:tcBorders>
            <w:shd w:val="clear" w:color="auto" w:fill="auto"/>
            <w:noWrap/>
            <w:vAlign w:val="bottom"/>
            <w:hideMark/>
          </w:tcPr>
          <w:p w14:paraId="7F700C25"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SCL</w:t>
            </w:r>
          </w:p>
        </w:tc>
        <w:tc>
          <w:tcPr>
            <w:tcW w:w="960" w:type="dxa"/>
            <w:tcBorders>
              <w:top w:val="nil"/>
              <w:left w:val="nil"/>
              <w:bottom w:val="nil"/>
              <w:right w:val="nil"/>
            </w:tcBorders>
            <w:vAlign w:val="center"/>
          </w:tcPr>
          <w:p w14:paraId="088ED332"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5.04</w:t>
            </w:r>
          </w:p>
        </w:tc>
        <w:tc>
          <w:tcPr>
            <w:tcW w:w="960" w:type="dxa"/>
            <w:tcBorders>
              <w:top w:val="nil"/>
              <w:left w:val="nil"/>
              <w:bottom w:val="nil"/>
              <w:right w:val="nil"/>
            </w:tcBorders>
            <w:vAlign w:val="center"/>
          </w:tcPr>
          <w:p w14:paraId="6A48D0FF"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1.02</w:t>
            </w:r>
          </w:p>
        </w:tc>
        <w:tc>
          <w:tcPr>
            <w:tcW w:w="960" w:type="dxa"/>
            <w:tcBorders>
              <w:top w:val="nil"/>
              <w:left w:val="nil"/>
              <w:bottom w:val="nil"/>
              <w:right w:val="nil"/>
            </w:tcBorders>
            <w:shd w:val="clear" w:color="auto" w:fill="auto"/>
            <w:noWrap/>
            <w:vAlign w:val="bottom"/>
            <w:hideMark/>
          </w:tcPr>
          <w:p w14:paraId="0686AA72"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0.69</w:t>
            </w:r>
          </w:p>
        </w:tc>
        <w:tc>
          <w:tcPr>
            <w:tcW w:w="960" w:type="dxa"/>
            <w:tcBorders>
              <w:top w:val="nil"/>
              <w:left w:val="nil"/>
              <w:bottom w:val="nil"/>
              <w:right w:val="nil"/>
            </w:tcBorders>
            <w:shd w:val="clear" w:color="auto" w:fill="auto"/>
            <w:noWrap/>
            <w:vAlign w:val="bottom"/>
            <w:hideMark/>
          </w:tcPr>
          <w:p w14:paraId="774588CA"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0.7</w:t>
            </w:r>
            <w:r>
              <w:rPr>
                <w:rFonts w:ascii="Times New Roman" w:eastAsia="Times New Roman" w:hAnsi="Times New Roman" w:cs="Times New Roman"/>
                <w:b/>
                <w:bCs/>
                <w:color w:val="000000"/>
                <w:sz w:val="20"/>
                <w:szCs w:val="20"/>
              </w:rPr>
              <w:t>2</w:t>
            </w:r>
          </w:p>
        </w:tc>
        <w:tc>
          <w:tcPr>
            <w:tcW w:w="960" w:type="dxa"/>
            <w:tcBorders>
              <w:top w:val="nil"/>
              <w:left w:val="nil"/>
              <w:bottom w:val="nil"/>
              <w:right w:val="nil"/>
            </w:tcBorders>
            <w:shd w:val="clear" w:color="auto" w:fill="auto"/>
            <w:noWrap/>
            <w:vAlign w:val="bottom"/>
            <w:hideMark/>
          </w:tcPr>
          <w:p w14:paraId="419DA21F"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5761591A"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4CA40C1E"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r>
      <w:tr w:rsidR="00B26CDC" w:rsidRPr="00556379" w14:paraId="14AC021D" w14:textId="77777777" w:rsidTr="00FF7971">
        <w:trPr>
          <w:trHeight w:val="300"/>
        </w:trPr>
        <w:tc>
          <w:tcPr>
            <w:tcW w:w="960" w:type="dxa"/>
            <w:tcBorders>
              <w:top w:val="nil"/>
              <w:left w:val="nil"/>
              <w:bottom w:val="nil"/>
              <w:right w:val="nil"/>
            </w:tcBorders>
            <w:shd w:val="clear" w:color="auto" w:fill="auto"/>
            <w:noWrap/>
            <w:vAlign w:val="bottom"/>
            <w:hideMark/>
          </w:tcPr>
          <w:p w14:paraId="411E491C"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MSC</w:t>
            </w:r>
          </w:p>
        </w:tc>
        <w:tc>
          <w:tcPr>
            <w:tcW w:w="960" w:type="dxa"/>
            <w:tcBorders>
              <w:top w:val="nil"/>
              <w:left w:val="nil"/>
              <w:bottom w:val="nil"/>
              <w:right w:val="nil"/>
            </w:tcBorders>
            <w:vAlign w:val="center"/>
          </w:tcPr>
          <w:p w14:paraId="41E782ED"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5.39</w:t>
            </w:r>
          </w:p>
        </w:tc>
        <w:tc>
          <w:tcPr>
            <w:tcW w:w="960" w:type="dxa"/>
            <w:tcBorders>
              <w:top w:val="nil"/>
              <w:left w:val="nil"/>
              <w:bottom w:val="nil"/>
              <w:right w:val="nil"/>
            </w:tcBorders>
            <w:vAlign w:val="center"/>
          </w:tcPr>
          <w:p w14:paraId="69968A13"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1.06</w:t>
            </w:r>
          </w:p>
        </w:tc>
        <w:tc>
          <w:tcPr>
            <w:tcW w:w="960" w:type="dxa"/>
            <w:tcBorders>
              <w:top w:val="nil"/>
              <w:left w:val="nil"/>
              <w:bottom w:val="nil"/>
              <w:right w:val="nil"/>
            </w:tcBorders>
            <w:shd w:val="clear" w:color="auto" w:fill="auto"/>
            <w:noWrap/>
            <w:vAlign w:val="bottom"/>
            <w:hideMark/>
          </w:tcPr>
          <w:p w14:paraId="4F3BDBC9"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0.58</w:t>
            </w:r>
          </w:p>
        </w:tc>
        <w:tc>
          <w:tcPr>
            <w:tcW w:w="960" w:type="dxa"/>
            <w:tcBorders>
              <w:top w:val="nil"/>
              <w:left w:val="nil"/>
              <w:bottom w:val="nil"/>
              <w:right w:val="nil"/>
            </w:tcBorders>
            <w:shd w:val="clear" w:color="auto" w:fill="auto"/>
            <w:noWrap/>
            <w:vAlign w:val="bottom"/>
            <w:hideMark/>
          </w:tcPr>
          <w:p w14:paraId="466B828A"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0.67</w:t>
            </w:r>
          </w:p>
        </w:tc>
        <w:tc>
          <w:tcPr>
            <w:tcW w:w="960" w:type="dxa"/>
            <w:tcBorders>
              <w:top w:val="nil"/>
              <w:left w:val="nil"/>
              <w:bottom w:val="nil"/>
              <w:right w:val="nil"/>
            </w:tcBorders>
            <w:shd w:val="clear" w:color="auto" w:fill="auto"/>
            <w:noWrap/>
            <w:vAlign w:val="bottom"/>
            <w:hideMark/>
          </w:tcPr>
          <w:p w14:paraId="257BBDC7"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0.75</w:t>
            </w:r>
          </w:p>
        </w:tc>
        <w:tc>
          <w:tcPr>
            <w:tcW w:w="960" w:type="dxa"/>
            <w:tcBorders>
              <w:top w:val="nil"/>
              <w:left w:val="nil"/>
              <w:bottom w:val="nil"/>
              <w:right w:val="nil"/>
            </w:tcBorders>
            <w:shd w:val="clear" w:color="auto" w:fill="auto"/>
            <w:noWrap/>
            <w:vAlign w:val="bottom"/>
            <w:hideMark/>
          </w:tcPr>
          <w:p w14:paraId="172C4660"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18948481"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r>
      <w:tr w:rsidR="00B26CDC" w:rsidRPr="00556379" w14:paraId="2505B3C4" w14:textId="77777777" w:rsidTr="00FF7971">
        <w:trPr>
          <w:trHeight w:val="300"/>
        </w:trPr>
        <w:tc>
          <w:tcPr>
            <w:tcW w:w="960" w:type="dxa"/>
            <w:tcBorders>
              <w:top w:val="nil"/>
              <w:left w:val="nil"/>
              <w:bottom w:val="nil"/>
              <w:right w:val="nil"/>
            </w:tcBorders>
            <w:shd w:val="clear" w:color="auto" w:fill="auto"/>
            <w:noWrap/>
            <w:vAlign w:val="bottom"/>
            <w:hideMark/>
          </w:tcPr>
          <w:p w14:paraId="25D9BD52"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SAG</w:t>
            </w:r>
          </w:p>
        </w:tc>
        <w:tc>
          <w:tcPr>
            <w:tcW w:w="960" w:type="dxa"/>
            <w:tcBorders>
              <w:top w:val="nil"/>
              <w:left w:val="nil"/>
              <w:bottom w:val="nil"/>
              <w:right w:val="nil"/>
            </w:tcBorders>
            <w:vAlign w:val="center"/>
          </w:tcPr>
          <w:p w14:paraId="2D40C1C4"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c>
          <w:tcPr>
            <w:tcW w:w="960" w:type="dxa"/>
            <w:tcBorders>
              <w:top w:val="nil"/>
              <w:left w:val="nil"/>
              <w:bottom w:val="nil"/>
              <w:right w:val="nil"/>
            </w:tcBorders>
            <w:vAlign w:val="center"/>
          </w:tcPr>
          <w:p w14:paraId="285640EA"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1.06</w:t>
            </w:r>
          </w:p>
        </w:tc>
        <w:tc>
          <w:tcPr>
            <w:tcW w:w="960" w:type="dxa"/>
            <w:tcBorders>
              <w:top w:val="nil"/>
              <w:left w:val="nil"/>
              <w:bottom w:val="nil"/>
              <w:right w:val="nil"/>
            </w:tcBorders>
            <w:shd w:val="clear" w:color="auto" w:fill="auto"/>
            <w:noWrap/>
            <w:vAlign w:val="bottom"/>
            <w:hideMark/>
          </w:tcPr>
          <w:p w14:paraId="10051A24"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0.64</w:t>
            </w:r>
          </w:p>
        </w:tc>
        <w:tc>
          <w:tcPr>
            <w:tcW w:w="960" w:type="dxa"/>
            <w:tcBorders>
              <w:top w:val="nil"/>
              <w:left w:val="nil"/>
              <w:bottom w:val="nil"/>
              <w:right w:val="nil"/>
            </w:tcBorders>
            <w:shd w:val="clear" w:color="auto" w:fill="auto"/>
            <w:noWrap/>
            <w:vAlign w:val="bottom"/>
            <w:hideMark/>
          </w:tcPr>
          <w:p w14:paraId="2EC89558"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0.63</w:t>
            </w:r>
          </w:p>
        </w:tc>
        <w:tc>
          <w:tcPr>
            <w:tcW w:w="960" w:type="dxa"/>
            <w:tcBorders>
              <w:top w:val="nil"/>
              <w:left w:val="nil"/>
              <w:bottom w:val="nil"/>
              <w:right w:val="nil"/>
            </w:tcBorders>
            <w:shd w:val="clear" w:color="auto" w:fill="auto"/>
            <w:noWrap/>
            <w:vAlign w:val="bottom"/>
            <w:hideMark/>
          </w:tcPr>
          <w:p w14:paraId="601628A2"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0.67</w:t>
            </w:r>
          </w:p>
        </w:tc>
        <w:tc>
          <w:tcPr>
            <w:tcW w:w="960" w:type="dxa"/>
            <w:tcBorders>
              <w:top w:val="nil"/>
              <w:left w:val="nil"/>
              <w:bottom w:val="nil"/>
              <w:right w:val="nil"/>
            </w:tcBorders>
            <w:shd w:val="clear" w:color="auto" w:fill="auto"/>
            <w:noWrap/>
            <w:vAlign w:val="bottom"/>
            <w:hideMark/>
          </w:tcPr>
          <w:p w14:paraId="4D21BC9F"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0.75</w:t>
            </w:r>
          </w:p>
        </w:tc>
        <w:tc>
          <w:tcPr>
            <w:tcW w:w="960" w:type="dxa"/>
            <w:tcBorders>
              <w:top w:val="nil"/>
              <w:left w:val="nil"/>
              <w:bottom w:val="nil"/>
              <w:right w:val="nil"/>
            </w:tcBorders>
            <w:shd w:val="clear" w:color="auto" w:fill="auto"/>
            <w:noWrap/>
            <w:vAlign w:val="bottom"/>
            <w:hideMark/>
          </w:tcPr>
          <w:p w14:paraId="224DFD93"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p>
        </w:tc>
      </w:tr>
      <w:tr w:rsidR="00B26CDC" w:rsidRPr="00556379" w14:paraId="599D4653" w14:textId="77777777" w:rsidTr="00FF7971">
        <w:trPr>
          <w:trHeight w:val="300"/>
        </w:trPr>
        <w:tc>
          <w:tcPr>
            <w:tcW w:w="960" w:type="dxa"/>
            <w:tcBorders>
              <w:top w:val="nil"/>
              <w:left w:val="nil"/>
              <w:bottom w:val="single" w:sz="4" w:space="0" w:color="auto"/>
              <w:right w:val="nil"/>
            </w:tcBorders>
            <w:shd w:val="clear" w:color="auto" w:fill="auto"/>
            <w:noWrap/>
            <w:vAlign w:val="bottom"/>
            <w:hideMark/>
          </w:tcPr>
          <w:p w14:paraId="66CE24FE" w14:textId="77777777" w:rsidR="00B26CDC" w:rsidRPr="00556379" w:rsidRDefault="00B26CDC" w:rsidP="00FF7971">
            <w:pPr>
              <w:spacing w:after="0" w:line="240" w:lineRule="auto"/>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SAD</w:t>
            </w:r>
          </w:p>
        </w:tc>
        <w:tc>
          <w:tcPr>
            <w:tcW w:w="960" w:type="dxa"/>
            <w:tcBorders>
              <w:top w:val="nil"/>
              <w:left w:val="nil"/>
              <w:bottom w:val="single" w:sz="4" w:space="0" w:color="auto"/>
              <w:right w:val="nil"/>
            </w:tcBorders>
            <w:vAlign w:val="center"/>
          </w:tcPr>
          <w:p w14:paraId="0D6E065C"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4.85</w:t>
            </w:r>
          </w:p>
        </w:tc>
        <w:tc>
          <w:tcPr>
            <w:tcW w:w="960" w:type="dxa"/>
            <w:tcBorders>
              <w:top w:val="nil"/>
              <w:left w:val="nil"/>
              <w:bottom w:val="single" w:sz="4" w:space="0" w:color="auto"/>
              <w:right w:val="nil"/>
            </w:tcBorders>
            <w:vAlign w:val="center"/>
          </w:tcPr>
          <w:p w14:paraId="50F6A1FB"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c>
          <w:tcPr>
            <w:tcW w:w="960" w:type="dxa"/>
            <w:tcBorders>
              <w:top w:val="nil"/>
              <w:left w:val="nil"/>
              <w:bottom w:val="single" w:sz="4" w:space="0" w:color="auto"/>
              <w:right w:val="nil"/>
            </w:tcBorders>
            <w:shd w:val="clear" w:color="auto" w:fill="auto"/>
            <w:noWrap/>
            <w:vAlign w:val="bottom"/>
            <w:hideMark/>
          </w:tcPr>
          <w:p w14:paraId="20B0FA9E"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0.62</w:t>
            </w:r>
          </w:p>
        </w:tc>
        <w:tc>
          <w:tcPr>
            <w:tcW w:w="960" w:type="dxa"/>
            <w:tcBorders>
              <w:top w:val="nil"/>
              <w:left w:val="nil"/>
              <w:bottom w:val="single" w:sz="4" w:space="0" w:color="auto"/>
              <w:right w:val="nil"/>
            </w:tcBorders>
            <w:shd w:val="clear" w:color="auto" w:fill="auto"/>
            <w:noWrap/>
            <w:vAlign w:val="bottom"/>
            <w:hideMark/>
          </w:tcPr>
          <w:p w14:paraId="408B5079"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0.60</w:t>
            </w:r>
          </w:p>
        </w:tc>
        <w:tc>
          <w:tcPr>
            <w:tcW w:w="960" w:type="dxa"/>
            <w:tcBorders>
              <w:top w:val="nil"/>
              <w:left w:val="nil"/>
              <w:bottom w:val="single" w:sz="4" w:space="0" w:color="auto"/>
              <w:right w:val="nil"/>
            </w:tcBorders>
            <w:shd w:val="clear" w:color="auto" w:fill="auto"/>
            <w:noWrap/>
            <w:vAlign w:val="bottom"/>
            <w:hideMark/>
          </w:tcPr>
          <w:p w14:paraId="3B9AF9F7"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0.66</w:t>
            </w:r>
          </w:p>
        </w:tc>
        <w:tc>
          <w:tcPr>
            <w:tcW w:w="960" w:type="dxa"/>
            <w:tcBorders>
              <w:top w:val="nil"/>
              <w:left w:val="nil"/>
              <w:bottom w:val="single" w:sz="4" w:space="0" w:color="auto"/>
              <w:right w:val="nil"/>
            </w:tcBorders>
            <w:shd w:val="clear" w:color="auto" w:fill="auto"/>
            <w:noWrap/>
            <w:vAlign w:val="bottom"/>
            <w:hideMark/>
          </w:tcPr>
          <w:p w14:paraId="43744190" w14:textId="77777777" w:rsidR="00B26CDC" w:rsidRPr="00556379" w:rsidRDefault="00B26CDC" w:rsidP="00FF7971">
            <w:pPr>
              <w:spacing w:after="0" w:line="240" w:lineRule="auto"/>
              <w:jc w:val="center"/>
              <w:rPr>
                <w:rFonts w:ascii="Times New Roman" w:eastAsia="Times New Roman" w:hAnsi="Times New Roman" w:cs="Times New Roman"/>
                <w:color w:val="000000"/>
                <w:sz w:val="20"/>
                <w:szCs w:val="20"/>
              </w:rPr>
            </w:pPr>
            <w:r w:rsidRPr="00556379">
              <w:rPr>
                <w:rFonts w:ascii="Times New Roman" w:eastAsia="Times New Roman" w:hAnsi="Times New Roman" w:cs="Times New Roman"/>
                <w:color w:val="000000"/>
                <w:sz w:val="20"/>
                <w:szCs w:val="20"/>
              </w:rPr>
              <w:t>0.71</w:t>
            </w:r>
          </w:p>
        </w:tc>
        <w:tc>
          <w:tcPr>
            <w:tcW w:w="960" w:type="dxa"/>
            <w:tcBorders>
              <w:top w:val="nil"/>
              <w:left w:val="nil"/>
              <w:bottom w:val="single" w:sz="4" w:space="0" w:color="auto"/>
              <w:right w:val="nil"/>
            </w:tcBorders>
            <w:shd w:val="clear" w:color="auto" w:fill="auto"/>
            <w:noWrap/>
            <w:vAlign w:val="bottom"/>
            <w:hideMark/>
          </w:tcPr>
          <w:p w14:paraId="5E03FA11" w14:textId="77777777" w:rsidR="00B26CDC" w:rsidRPr="00556379" w:rsidRDefault="00B26CDC" w:rsidP="00FF7971">
            <w:pPr>
              <w:spacing w:after="0" w:line="240" w:lineRule="auto"/>
              <w:jc w:val="center"/>
              <w:rPr>
                <w:rFonts w:ascii="Times New Roman" w:eastAsia="Times New Roman" w:hAnsi="Times New Roman" w:cs="Times New Roman"/>
                <w:b/>
                <w:bCs/>
                <w:color w:val="000000"/>
                <w:sz w:val="20"/>
                <w:szCs w:val="20"/>
              </w:rPr>
            </w:pPr>
            <w:r w:rsidRPr="00556379">
              <w:rPr>
                <w:rFonts w:ascii="Times New Roman" w:eastAsia="Times New Roman" w:hAnsi="Times New Roman" w:cs="Times New Roman"/>
                <w:b/>
                <w:bCs/>
                <w:color w:val="000000"/>
                <w:sz w:val="20"/>
                <w:szCs w:val="20"/>
              </w:rPr>
              <w:t>0.73</w:t>
            </w:r>
          </w:p>
        </w:tc>
      </w:tr>
    </w:tbl>
    <w:p w14:paraId="285878AC" w14:textId="4D67C337" w:rsidR="0059460E" w:rsidRPr="00563E26" w:rsidRDefault="0059460E" w:rsidP="00B26CDC">
      <w:pPr>
        <w:autoSpaceDE w:val="0"/>
        <w:autoSpaceDN w:val="0"/>
        <w:adjustRightInd w:val="0"/>
        <w:spacing w:after="0" w:line="240" w:lineRule="auto"/>
        <w:rPr>
          <w:rFonts w:ascii="Times New Roman" w:eastAsiaTheme="minorHAnsi" w:hAnsi="Times New Roman" w:cs="Times New Roman"/>
          <w:color w:val="000000" w:themeColor="text1"/>
          <w:sz w:val="24"/>
          <w:szCs w:val="24"/>
          <w:lang w:val="en-GB"/>
        </w:rPr>
      </w:pPr>
      <w:bookmarkStart w:id="108" w:name="_GoBack"/>
      <w:bookmarkEnd w:id="108"/>
    </w:p>
    <w:sectPr w:rsidR="0059460E" w:rsidRPr="00563E2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D885F" w14:textId="77777777" w:rsidR="006C0A02" w:rsidRDefault="006C0A02" w:rsidP="000A5D29">
      <w:pPr>
        <w:spacing w:after="0" w:line="240" w:lineRule="auto"/>
      </w:pPr>
      <w:r>
        <w:separator/>
      </w:r>
    </w:p>
  </w:endnote>
  <w:endnote w:type="continuationSeparator" w:id="0">
    <w:p w14:paraId="0A9CB2F3" w14:textId="77777777" w:rsidR="006C0A02" w:rsidRDefault="006C0A02" w:rsidP="000A5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dvTT9c26d28d+fb">
    <w:altName w:val="Times New Roman"/>
    <w:panose1 w:val="020B0604020202020204"/>
    <w:charset w:val="00"/>
    <w:family w:val="roman"/>
    <w:notTrueType/>
    <w:pitch w:val="default"/>
  </w:font>
  <w:font w:name="Segoe UI">
    <w:altName w:val="Courier New"/>
    <w:panose1 w:val="020B0604020202020204"/>
    <w:charset w:val="00"/>
    <w:family w:val="swiss"/>
    <w:pitch w:val="variable"/>
    <w:sig w:usb0="E10022FF" w:usb1="C000E47F" w:usb2="00000029" w:usb3="00000000" w:csb0="000001DF" w:csb1="00000000"/>
  </w:font>
  <w:font w:name="TimesNewRomanPSMT">
    <w:altName w:val="Times New Roman"/>
    <w:panose1 w:val="02020603050405020304"/>
    <w:charset w:val="00"/>
    <w:family w:val="roman"/>
    <w:pitch w:val="variable"/>
    <w:sig w:usb0="E0002AEF" w:usb1="C0007841" w:usb2="00000009" w:usb3="00000000" w:csb0="000001FF" w:csb1="00000000"/>
  </w:font>
  <w:font w:name="Times-Italic">
    <w:altName w:val="Times New Roman"/>
    <w:panose1 w:val="0000050000000009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405994"/>
      <w:docPartObj>
        <w:docPartGallery w:val="Page Numbers (Bottom of Page)"/>
        <w:docPartUnique/>
      </w:docPartObj>
    </w:sdtPr>
    <w:sdtEndPr>
      <w:rPr>
        <w:rFonts w:ascii="Times New Roman" w:hAnsi="Times New Roman" w:cs="Times New Roman"/>
        <w:noProof/>
      </w:rPr>
    </w:sdtEndPr>
    <w:sdtContent>
      <w:p w14:paraId="65CCBBB1" w14:textId="189238E8" w:rsidR="0059460E" w:rsidRPr="002C4FD0" w:rsidRDefault="0059460E">
        <w:pPr>
          <w:pStyle w:val="Footer"/>
          <w:jc w:val="center"/>
          <w:rPr>
            <w:rFonts w:ascii="Times New Roman" w:hAnsi="Times New Roman" w:cs="Times New Roman"/>
          </w:rPr>
        </w:pPr>
        <w:r w:rsidRPr="002C4FD0">
          <w:rPr>
            <w:rFonts w:ascii="Times New Roman" w:hAnsi="Times New Roman" w:cs="Times New Roman"/>
          </w:rPr>
          <w:fldChar w:fldCharType="begin"/>
        </w:r>
        <w:r w:rsidRPr="002C4FD0">
          <w:rPr>
            <w:rFonts w:ascii="Times New Roman" w:hAnsi="Times New Roman" w:cs="Times New Roman"/>
          </w:rPr>
          <w:instrText xml:space="preserve"> PAGE   \* MERGEFORMAT </w:instrText>
        </w:r>
        <w:r w:rsidRPr="002C4FD0">
          <w:rPr>
            <w:rFonts w:ascii="Times New Roman" w:hAnsi="Times New Roman" w:cs="Times New Roman"/>
          </w:rPr>
          <w:fldChar w:fldCharType="separate"/>
        </w:r>
        <w:r w:rsidR="00871CE4">
          <w:rPr>
            <w:rFonts w:ascii="Times New Roman" w:hAnsi="Times New Roman" w:cs="Times New Roman"/>
            <w:noProof/>
          </w:rPr>
          <w:t>20</w:t>
        </w:r>
        <w:r w:rsidRPr="002C4FD0">
          <w:rPr>
            <w:rFonts w:ascii="Times New Roman" w:hAnsi="Times New Roman" w:cs="Times New Roman"/>
            <w:noProof/>
          </w:rPr>
          <w:fldChar w:fldCharType="end"/>
        </w:r>
      </w:p>
    </w:sdtContent>
  </w:sdt>
  <w:p w14:paraId="40048FF2" w14:textId="77777777" w:rsidR="0059460E" w:rsidRDefault="00594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C9A1F" w14:textId="77777777" w:rsidR="006C0A02" w:rsidRDefault="006C0A02" w:rsidP="000A5D29">
      <w:pPr>
        <w:spacing w:after="0" w:line="240" w:lineRule="auto"/>
      </w:pPr>
      <w:r>
        <w:separator/>
      </w:r>
    </w:p>
  </w:footnote>
  <w:footnote w:type="continuationSeparator" w:id="0">
    <w:p w14:paraId="7B51BCC2" w14:textId="77777777" w:rsidR="006C0A02" w:rsidRDefault="006C0A02" w:rsidP="000A5D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725E"/>
    <w:multiLevelType w:val="hybridMultilevel"/>
    <w:tmpl w:val="B0B23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5D20FC"/>
    <w:multiLevelType w:val="hybridMultilevel"/>
    <w:tmpl w:val="3D5E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NTY1MjMyMTQzszRU0lEKTi0uzszPAykwrgUARBGfFi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eavxzzzfrf2p7eddfnxx5ep2ar05z0ddwx9&quot;&gt;My EndNote Library-Saved&lt;record-ids&gt;&lt;item&gt;24&lt;/item&gt;&lt;item&gt;103&lt;/item&gt;&lt;item&gt;104&lt;/item&gt;&lt;item&gt;114&lt;/item&gt;&lt;item&gt;139&lt;/item&gt;&lt;item&gt;154&lt;/item&gt;&lt;item&gt;316&lt;/item&gt;&lt;item&gt;367&lt;/item&gt;&lt;item&gt;402&lt;/item&gt;&lt;item&gt;405&lt;/item&gt;&lt;item&gt;420&lt;/item&gt;&lt;item&gt;440&lt;/item&gt;&lt;item&gt;446&lt;/item&gt;&lt;item&gt;452&lt;/item&gt;&lt;item&gt;459&lt;/item&gt;&lt;item&gt;460&lt;/item&gt;&lt;item&gt;461&lt;/item&gt;&lt;item&gt;467&lt;/item&gt;&lt;item&gt;474&lt;/item&gt;&lt;item&gt;475&lt;/item&gt;&lt;item&gt;479&lt;/item&gt;&lt;item&gt;642&lt;/item&gt;&lt;item&gt;791&lt;/item&gt;&lt;item&gt;822&lt;/item&gt;&lt;item&gt;830&lt;/item&gt;&lt;item&gt;833&lt;/item&gt;&lt;item&gt;840&lt;/item&gt;&lt;item&gt;850&lt;/item&gt;&lt;item&gt;851&lt;/item&gt;&lt;item&gt;856&lt;/item&gt;&lt;item&gt;867&lt;/item&gt;&lt;item&gt;869&lt;/item&gt;&lt;item&gt;870&lt;/item&gt;&lt;item&gt;871&lt;/item&gt;&lt;item&gt;872&lt;/item&gt;&lt;item&gt;873&lt;/item&gt;&lt;item&gt;875&lt;/item&gt;&lt;item&gt;881&lt;/item&gt;&lt;item&gt;924&lt;/item&gt;&lt;item&gt;927&lt;/item&gt;&lt;item&gt;929&lt;/item&gt;&lt;item&gt;934&lt;/item&gt;&lt;item&gt;944&lt;/item&gt;&lt;item&gt;945&lt;/item&gt;&lt;item&gt;950&lt;/item&gt;&lt;item&gt;952&lt;/item&gt;&lt;item&gt;955&lt;/item&gt;&lt;item&gt;956&lt;/item&gt;&lt;item&gt;957&lt;/item&gt;&lt;item&gt;958&lt;/item&gt;&lt;item&gt;968&lt;/item&gt;&lt;item&gt;1007&lt;/item&gt;&lt;item&gt;1008&lt;/item&gt;&lt;item&gt;1011&lt;/item&gt;&lt;item&gt;1020&lt;/item&gt;&lt;item&gt;1034&lt;/item&gt;&lt;item&gt;1035&lt;/item&gt;&lt;item&gt;1037&lt;/item&gt;&lt;item&gt;1041&lt;/item&gt;&lt;item&gt;1046&lt;/item&gt;&lt;item&gt;1047&lt;/item&gt;&lt;item&gt;1048&lt;/item&gt;&lt;item&gt;1049&lt;/item&gt;&lt;item&gt;1052&lt;/item&gt;&lt;item&gt;1053&lt;/item&gt;&lt;item&gt;1054&lt;/item&gt;&lt;item&gt;1055&lt;/item&gt;&lt;item&gt;1056&lt;/item&gt;&lt;item&gt;1057&lt;/item&gt;&lt;item&gt;1059&lt;/item&gt;&lt;item&gt;1060&lt;/item&gt;&lt;item&gt;1061&lt;/item&gt;&lt;item&gt;1068&lt;/item&gt;&lt;item&gt;1070&lt;/item&gt;&lt;item&gt;1077&lt;/item&gt;&lt;item&gt;1080&lt;/item&gt;&lt;item&gt;1081&lt;/item&gt;&lt;item&gt;1082&lt;/item&gt;&lt;item&gt;1084&lt;/item&gt;&lt;item&gt;1085&lt;/item&gt;&lt;item&gt;1099&lt;/item&gt;&lt;item&gt;1105&lt;/item&gt;&lt;item&gt;1108&lt;/item&gt;&lt;item&gt;1110&lt;/item&gt;&lt;item&gt;1111&lt;/item&gt;&lt;item&gt;1112&lt;/item&gt;&lt;item&gt;1116&lt;/item&gt;&lt;item&gt;1119&lt;/item&gt;&lt;item&gt;1120&lt;/item&gt;&lt;item&gt;1211&lt;/item&gt;&lt;item&gt;1213&lt;/item&gt;&lt;item&gt;1215&lt;/item&gt;&lt;item&gt;1216&lt;/item&gt;&lt;item&gt;1217&lt;/item&gt;&lt;item&gt;1221&lt;/item&gt;&lt;item&gt;1222&lt;/item&gt;&lt;item&gt;1223&lt;/item&gt;&lt;item&gt;1224&lt;/item&gt;&lt;item&gt;1225&lt;/item&gt;&lt;item&gt;1226&lt;/item&gt;&lt;item&gt;1227&lt;/item&gt;&lt;item&gt;1228&lt;/item&gt;&lt;item&gt;1229&lt;/item&gt;&lt;item&gt;1230&lt;/item&gt;&lt;item&gt;1231&lt;/item&gt;&lt;item&gt;1232&lt;/item&gt;&lt;item&gt;1233&lt;/item&gt;&lt;/record-ids&gt;&lt;/item&gt;&lt;/Libraries&gt;"/>
  </w:docVars>
  <w:rsids>
    <w:rsidRoot w:val="002B4B47"/>
    <w:rsid w:val="000018A1"/>
    <w:rsid w:val="000130A3"/>
    <w:rsid w:val="0002795D"/>
    <w:rsid w:val="000334A5"/>
    <w:rsid w:val="0005288D"/>
    <w:rsid w:val="000638A1"/>
    <w:rsid w:val="00071431"/>
    <w:rsid w:val="00072725"/>
    <w:rsid w:val="00080D04"/>
    <w:rsid w:val="000813A0"/>
    <w:rsid w:val="000848B4"/>
    <w:rsid w:val="0009286C"/>
    <w:rsid w:val="000A1726"/>
    <w:rsid w:val="000A1B14"/>
    <w:rsid w:val="000A5D29"/>
    <w:rsid w:val="000B266B"/>
    <w:rsid w:val="000D6A7C"/>
    <w:rsid w:val="000E0C65"/>
    <w:rsid w:val="000F1737"/>
    <w:rsid w:val="000F53E9"/>
    <w:rsid w:val="000F73F8"/>
    <w:rsid w:val="00100BD0"/>
    <w:rsid w:val="0010418C"/>
    <w:rsid w:val="00105B7E"/>
    <w:rsid w:val="00110689"/>
    <w:rsid w:val="001149E1"/>
    <w:rsid w:val="001226F7"/>
    <w:rsid w:val="001439FE"/>
    <w:rsid w:val="00144AF5"/>
    <w:rsid w:val="00145B43"/>
    <w:rsid w:val="00173EE3"/>
    <w:rsid w:val="0018155E"/>
    <w:rsid w:val="001817EC"/>
    <w:rsid w:val="0018387A"/>
    <w:rsid w:val="00192008"/>
    <w:rsid w:val="00196048"/>
    <w:rsid w:val="0019689D"/>
    <w:rsid w:val="001C0574"/>
    <w:rsid w:val="001E217E"/>
    <w:rsid w:val="001E614F"/>
    <w:rsid w:val="001F2210"/>
    <w:rsid w:val="0021652B"/>
    <w:rsid w:val="002173C2"/>
    <w:rsid w:val="00222E82"/>
    <w:rsid w:val="002230E3"/>
    <w:rsid w:val="00230B9A"/>
    <w:rsid w:val="00243459"/>
    <w:rsid w:val="0024551F"/>
    <w:rsid w:val="00247719"/>
    <w:rsid w:val="00252C82"/>
    <w:rsid w:val="00260080"/>
    <w:rsid w:val="00262043"/>
    <w:rsid w:val="002645E4"/>
    <w:rsid w:val="00286CBD"/>
    <w:rsid w:val="002A5748"/>
    <w:rsid w:val="002A57BC"/>
    <w:rsid w:val="002A7823"/>
    <w:rsid w:val="002B0EB6"/>
    <w:rsid w:val="002B1C9B"/>
    <w:rsid w:val="002B4B47"/>
    <w:rsid w:val="002B74F4"/>
    <w:rsid w:val="002C05B8"/>
    <w:rsid w:val="002C18FD"/>
    <w:rsid w:val="002C4FD0"/>
    <w:rsid w:val="002C628D"/>
    <w:rsid w:val="002E4282"/>
    <w:rsid w:val="002F5508"/>
    <w:rsid w:val="00300251"/>
    <w:rsid w:val="00303D95"/>
    <w:rsid w:val="00305C07"/>
    <w:rsid w:val="00305DD8"/>
    <w:rsid w:val="0033273B"/>
    <w:rsid w:val="00342284"/>
    <w:rsid w:val="00347F45"/>
    <w:rsid w:val="00363922"/>
    <w:rsid w:val="00363BB0"/>
    <w:rsid w:val="00363F1E"/>
    <w:rsid w:val="00376FAF"/>
    <w:rsid w:val="0038311F"/>
    <w:rsid w:val="003853E6"/>
    <w:rsid w:val="00386B2F"/>
    <w:rsid w:val="003917C4"/>
    <w:rsid w:val="00396D92"/>
    <w:rsid w:val="003A1566"/>
    <w:rsid w:val="003B0156"/>
    <w:rsid w:val="003B3A40"/>
    <w:rsid w:val="003C64C4"/>
    <w:rsid w:val="003C752B"/>
    <w:rsid w:val="003E79CF"/>
    <w:rsid w:val="003F09CD"/>
    <w:rsid w:val="00404F25"/>
    <w:rsid w:val="00427CE3"/>
    <w:rsid w:val="004322F8"/>
    <w:rsid w:val="00437460"/>
    <w:rsid w:val="00440A05"/>
    <w:rsid w:val="004507B9"/>
    <w:rsid w:val="00454DAC"/>
    <w:rsid w:val="00456969"/>
    <w:rsid w:val="0046065C"/>
    <w:rsid w:val="00471DA2"/>
    <w:rsid w:val="004742CF"/>
    <w:rsid w:val="00474F26"/>
    <w:rsid w:val="004765E3"/>
    <w:rsid w:val="00486AD4"/>
    <w:rsid w:val="004A1ED6"/>
    <w:rsid w:val="004A2B91"/>
    <w:rsid w:val="004A34E1"/>
    <w:rsid w:val="004A35BE"/>
    <w:rsid w:val="004B6A28"/>
    <w:rsid w:val="004B6DA6"/>
    <w:rsid w:val="004C67A8"/>
    <w:rsid w:val="005129AF"/>
    <w:rsid w:val="005133BB"/>
    <w:rsid w:val="005249CB"/>
    <w:rsid w:val="00536586"/>
    <w:rsid w:val="00557086"/>
    <w:rsid w:val="00563E26"/>
    <w:rsid w:val="00566A07"/>
    <w:rsid w:val="005701BD"/>
    <w:rsid w:val="00581FE7"/>
    <w:rsid w:val="00582F59"/>
    <w:rsid w:val="0059460E"/>
    <w:rsid w:val="00596972"/>
    <w:rsid w:val="005969D5"/>
    <w:rsid w:val="005A257D"/>
    <w:rsid w:val="005B4DF7"/>
    <w:rsid w:val="005B7A7A"/>
    <w:rsid w:val="005C1399"/>
    <w:rsid w:val="005C4237"/>
    <w:rsid w:val="005D0CF4"/>
    <w:rsid w:val="005D3253"/>
    <w:rsid w:val="005E0110"/>
    <w:rsid w:val="005E79E9"/>
    <w:rsid w:val="005F180C"/>
    <w:rsid w:val="005F2C42"/>
    <w:rsid w:val="005F5DB0"/>
    <w:rsid w:val="00605AC6"/>
    <w:rsid w:val="006069EB"/>
    <w:rsid w:val="00613F0B"/>
    <w:rsid w:val="00617AA3"/>
    <w:rsid w:val="0062158A"/>
    <w:rsid w:val="00622767"/>
    <w:rsid w:val="00624CA4"/>
    <w:rsid w:val="006334A4"/>
    <w:rsid w:val="00637932"/>
    <w:rsid w:val="00637A7E"/>
    <w:rsid w:val="0064070C"/>
    <w:rsid w:val="00641B32"/>
    <w:rsid w:val="006575F8"/>
    <w:rsid w:val="00681FA9"/>
    <w:rsid w:val="00690597"/>
    <w:rsid w:val="00692005"/>
    <w:rsid w:val="00696DCF"/>
    <w:rsid w:val="006B0D13"/>
    <w:rsid w:val="006B2E05"/>
    <w:rsid w:val="006B6A5F"/>
    <w:rsid w:val="006C0A02"/>
    <w:rsid w:val="006C53FE"/>
    <w:rsid w:val="006C7F49"/>
    <w:rsid w:val="006D3AD5"/>
    <w:rsid w:val="006D7407"/>
    <w:rsid w:val="006E7E6E"/>
    <w:rsid w:val="006F034D"/>
    <w:rsid w:val="006F4148"/>
    <w:rsid w:val="007061B5"/>
    <w:rsid w:val="00712C63"/>
    <w:rsid w:val="00726843"/>
    <w:rsid w:val="00734E67"/>
    <w:rsid w:val="0074013B"/>
    <w:rsid w:val="00750BD9"/>
    <w:rsid w:val="00751DBD"/>
    <w:rsid w:val="00762200"/>
    <w:rsid w:val="0078214B"/>
    <w:rsid w:val="00782DC2"/>
    <w:rsid w:val="00785B2F"/>
    <w:rsid w:val="007963B4"/>
    <w:rsid w:val="007A736D"/>
    <w:rsid w:val="007B0258"/>
    <w:rsid w:val="00800A71"/>
    <w:rsid w:val="00806AC0"/>
    <w:rsid w:val="00807243"/>
    <w:rsid w:val="00807627"/>
    <w:rsid w:val="0081407C"/>
    <w:rsid w:val="0081602D"/>
    <w:rsid w:val="00820457"/>
    <w:rsid w:val="00823702"/>
    <w:rsid w:val="008240C2"/>
    <w:rsid w:val="00825486"/>
    <w:rsid w:val="00835609"/>
    <w:rsid w:val="00844396"/>
    <w:rsid w:val="00846831"/>
    <w:rsid w:val="00860AC9"/>
    <w:rsid w:val="008716AF"/>
    <w:rsid w:val="00871CE4"/>
    <w:rsid w:val="0087771B"/>
    <w:rsid w:val="0088195D"/>
    <w:rsid w:val="008915AF"/>
    <w:rsid w:val="008A0C3B"/>
    <w:rsid w:val="008A3255"/>
    <w:rsid w:val="008A6DF5"/>
    <w:rsid w:val="008B06DF"/>
    <w:rsid w:val="008B0FCC"/>
    <w:rsid w:val="008B64A3"/>
    <w:rsid w:val="008C04EC"/>
    <w:rsid w:val="008F0A8C"/>
    <w:rsid w:val="008F29FE"/>
    <w:rsid w:val="00912D54"/>
    <w:rsid w:val="009269C1"/>
    <w:rsid w:val="009330EA"/>
    <w:rsid w:val="00933B46"/>
    <w:rsid w:val="00947610"/>
    <w:rsid w:val="0097058A"/>
    <w:rsid w:val="00970918"/>
    <w:rsid w:val="009918CF"/>
    <w:rsid w:val="0099222E"/>
    <w:rsid w:val="009946A7"/>
    <w:rsid w:val="009A3007"/>
    <w:rsid w:val="009C23F3"/>
    <w:rsid w:val="009C464C"/>
    <w:rsid w:val="009C4FC8"/>
    <w:rsid w:val="009D4B53"/>
    <w:rsid w:val="009D5F49"/>
    <w:rsid w:val="009E0DB0"/>
    <w:rsid w:val="009E4D7B"/>
    <w:rsid w:val="009F1CBF"/>
    <w:rsid w:val="009F7141"/>
    <w:rsid w:val="00A04F37"/>
    <w:rsid w:val="00A111F3"/>
    <w:rsid w:val="00A1503D"/>
    <w:rsid w:val="00A22BE0"/>
    <w:rsid w:val="00A24158"/>
    <w:rsid w:val="00A305AE"/>
    <w:rsid w:val="00A336FA"/>
    <w:rsid w:val="00A34192"/>
    <w:rsid w:val="00A7410C"/>
    <w:rsid w:val="00A82C41"/>
    <w:rsid w:val="00A82C66"/>
    <w:rsid w:val="00A958F1"/>
    <w:rsid w:val="00AB6438"/>
    <w:rsid w:val="00AC772C"/>
    <w:rsid w:val="00AD1214"/>
    <w:rsid w:val="00AD6ED7"/>
    <w:rsid w:val="00AE3BAA"/>
    <w:rsid w:val="00B26CDC"/>
    <w:rsid w:val="00B40CB5"/>
    <w:rsid w:val="00B410AD"/>
    <w:rsid w:val="00B441EF"/>
    <w:rsid w:val="00B448F8"/>
    <w:rsid w:val="00B46C26"/>
    <w:rsid w:val="00B744ED"/>
    <w:rsid w:val="00B7541D"/>
    <w:rsid w:val="00B802FB"/>
    <w:rsid w:val="00B856F9"/>
    <w:rsid w:val="00BA0E9C"/>
    <w:rsid w:val="00BA1DDA"/>
    <w:rsid w:val="00BB387B"/>
    <w:rsid w:val="00BB4A57"/>
    <w:rsid w:val="00BB4DF7"/>
    <w:rsid w:val="00BB5488"/>
    <w:rsid w:val="00BD7202"/>
    <w:rsid w:val="00BF1E9F"/>
    <w:rsid w:val="00C17363"/>
    <w:rsid w:val="00C22449"/>
    <w:rsid w:val="00C25B70"/>
    <w:rsid w:val="00C35F22"/>
    <w:rsid w:val="00C37F90"/>
    <w:rsid w:val="00C432D8"/>
    <w:rsid w:val="00C55353"/>
    <w:rsid w:val="00C55759"/>
    <w:rsid w:val="00C61D8C"/>
    <w:rsid w:val="00C70EDA"/>
    <w:rsid w:val="00C716DC"/>
    <w:rsid w:val="00C84D0D"/>
    <w:rsid w:val="00C867A9"/>
    <w:rsid w:val="00C97645"/>
    <w:rsid w:val="00CB0F57"/>
    <w:rsid w:val="00CD29EF"/>
    <w:rsid w:val="00CD749C"/>
    <w:rsid w:val="00CF1C5D"/>
    <w:rsid w:val="00CF6051"/>
    <w:rsid w:val="00D014B7"/>
    <w:rsid w:val="00D257E0"/>
    <w:rsid w:val="00D30452"/>
    <w:rsid w:val="00D4006E"/>
    <w:rsid w:val="00D56EEA"/>
    <w:rsid w:val="00D577E8"/>
    <w:rsid w:val="00D61A0A"/>
    <w:rsid w:val="00D625DC"/>
    <w:rsid w:val="00D83CA7"/>
    <w:rsid w:val="00D84388"/>
    <w:rsid w:val="00D90704"/>
    <w:rsid w:val="00D97CCB"/>
    <w:rsid w:val="00DA1011"/>
    <w:rsid w:val="00DA60B8"/>
    <w:rsid w:val="00DC4548"/>
    <w:rsid w:val="00DE17D5"/>
    <w:rsid w:val="00DE40D7"/>
    <w:rsid w:val="00DF3F6D"/>
    <w:rsid w:val="00DF4DFC"/>
    <w:rsid w:val="00DF5DD9"/>
    <w:rsid w:val="00E043D9"/>
    <w:rsid w:val="00E05A99"/>
    <w:rsid w:val="00E07F60"/>
    <w:rsid w:val="00E15687"/>
    <w:rsid w:val="00E17BCD"/>
    <w:rsid w:val="00E21AA7"/>
    <w:rsid w:val="00E234E1"/>
    <w:rsid w:val="00E357FB"/>
    <w:rsid w:val="00E54641"/>
    <w:rsid w:val="00E54AE0"/>
    <w:rsid w:val="00E559B2"/>
    <w:rsid w:val="00E72B77"/>
    <w:rsid w:val="00E91433"/>
    <w:rsid w:val="00EA0171"/>
    <w:rsid w:val="00EA5344"/>
    <w:rsid w:val="00ED1005"/>
    <w:rsid w:val="00ED1B4A"/>
    <w:rsid w:val="00EE3116"/>
    <w:rsid w:val="00EF3541"/>
    <w:rsid w:val="00EF4AEA"/>
    <w:rsid w:val="00F032C6"/>
    <w:rsid w:val="00F03E69"/>
    <w:rsid w:val="00F149EB"/>
    <w:rsid w:val="00F16B45"/>
    <w:rsid w:val="00F3115B"/>
    <w:rsid w:val="00F34E18"/>
    <w:rsid w:val="00F375D6"/>
    <w:rsid w:val="00F4146E"/>
    <w:rsid w:val="00F62222"/>
    <w:rsid w:val="00F646FA"/>
    <w:rsid w:val="00F70113"/>
    <w:rsid w:val="00F741F7"/>
    <w:rsid w:val="00FA4B15"/>
    <w:rsid w:val="00FA5D0B"/>
    <w:rsid w:val="00FB2691"/>
    <w:rsid w:val="00FC5B9B"/>
    <w:rsid w:val="00FE7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A06FC"/>
  <w15:chartTrackingRefBased/>
  <w15:docId w15:val="{485EE953-24F4-4575-94E9-6B8387E1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00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1">
    <w:name w:val="fontstyle21"/>
    <w:basedOn w:val="DefaultParagraphFont"/>
    <w:rsid w:val="00192008"/>
    <w:rPr>
      <w:rFonts w:ascii="AdvTT9c26d28d+fb" w:hAnsi="AdvTT9c26d28d+fb" w:hint="default"/>
      <w:b w:val="0"/>
      <w:bCs w:val="0"/>
      <w:i w:val="0"/>
      <w:iCs w:val="0"/>
      <w:color w:val="231F20"/>
      <w:sz w:val="16"/>
      <w:szCs w:val="16"/>
    </w:rPr>
  </w:style>
  <w:style w:type="character" w:customStyle="1" w:styleId="normaltextrun">
    <w:name w:val="normaltextrun"/>
    <w:basedOn w:val="DefaultParagraphFont"/>
    <w:rsid w:val="00192008"/>
  </w:style>
  <w:style w:type="paragraph" w:styleId="ListParagraph">
    <w:name w:val="List Paragraph"/>
    <w:basedOn w:val="Normal"/>
    <w:uiPriority w:val="34"/>
    <w:qFormat/>
    <w:rsid w:val="00252C82"/>
    <w:pPr>
      <w:ind w:left="720"/>
      <w:contextualSpacing/>
    </w:pPr>
  </w:style>
  <w:style w:type="character" w:styleId="CommentReference">
    <w:name w:val="annotation reference"/>
    <w:basedOn w:val="DefaultParagraphFont"/>
    <w:uiPriority w:val="99"/>
    <w:semiHidden/>
    <w:unhideWhenUsed/>
    <w:rsid w:val="00D257E0"/>
    <w:rPr>
      <w:sz w:val="16"/>
      <w:szCs w:val="16"/>
    </w:rPr>
  </w:style>
  <w:style w:type="paragraph" w:styleId="CommentText">
    <w:name w:val="annotation text"/>
    <w:basedOn w:val="Normal"/>
    <w:link w:val="CommentTextChar"/>
    <w:uiPriority w:val="99"/>
    <w:semiHidden/>
    <w:unhideWhenUsed/>
    <w:rsid w:val="00D257E0"/>
    <w:pPr>
      <w:spacing w:line="240" w:lineRule="auto"/>
    </w:pPr>
    <w:rPr>
      <w:sz w:val="20"/>
      <w:szCs w:val="20"/>
    </w:rPr>
  </w:style>
  <w:style w:type="character" w:customStyle="1" w:styleId="CommentTextChar">
    <w:name w:val="Comment Text Char"/>
    <w:basedOn w:val="DefaultParagraphFont"/>
    <w:link w:val="CommentText"/>
    <w:uiPriority w:val="99"/>
    <w:semiHidden/>
    <w:rsid w:val="00D257E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257E0"/>
    <w:rPr>
      <w:b/>
      <w:bCs/>
    </w:rPr>
  </w:style>
  <w:style w:type="character" w:customStyle="1" w:styleId="CommentSubjectChar">
    <w:name w:val="Comment Subject Char"/>
    <w:basedOn w:val="CommentTextChar"/>
    <w:link w:val="CommentSubject"/>
    <w:uiPriority w:val="99"/>
    <w:semiHidden/>
    <w:rsid w:val="00D257E0"/>
    <w:rPr>
      <w:rFonts w:eastAsiaTheme="minorEastAsia"/>
      <w:b/>
      <w:bCs/>
      <w:sz w:val="20"/>
      <w:szCs w:val="20"/>
      <w:lang w:val="en-US"/>
    </w:rPr>
  </w:style>
  <w:style w:type="paragraph" w:styleId="BalloonText">
    <w:name w:val="Balloon Text"/>
    <w:basedOn w:val="Normal"/>
    <w:link w:val="BalloonTextChar"/>
    <w:uiPriority w:val="99"/>
    <w:semiHidden/>
    <w:unhideWhenUsed/>
    <w:rsid w:val="00D257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7E0"/>
    <w:rPr>
      <w:rFonts w:ascii="Segoe UI" w:eastAsiaTheme="minorEastAsia" w:hAnsi="Segoe UI" w:cs="Segoe UI"/>
      <w:sz w:val="18"/>
      <w:szCs w:val="18"/>
      <w:lang w:val="en-US"/>
    </w:rPr>
  </w:style>
  <w:style w:type="character" w:customStyle="1" w:styleId="fontstyle01">
    <w:name w:val="fontstyle01"/>
    <w:basedOn w:val="DefaultParagraphFont"/>
    <w:rsid w:val="00696DCF"/>
    <w:rPr>
      <w:rFonts w:ascii="TimesNewRomanPSMT" w:hAnsi="TimesNewRomanPSMT" w:hint="default"/>
      <w:b w:val="0"/>
      <w:bCs w:val="0"/>
      <w:i w:val="0"/>
      <w:iCs w:val="0"/>
      <w:color w:val="231F20"/>
      <w:sz w:val="20"/>
      <w:szCs w:val="20"/>
    </w:rPr>
  </w:style>
  <w:style w:type="paragraph" w:styleId="Header">
    <w:name w:val="header"/>
    <w:basedOn w:val="Normal"/>
    <w:link w:val="HeaderChar"/>
    <w:uiPriority w:val="99"/>
    <w:unhideWhenUsed/>
    <w:rsid w:val="000A5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29"/>
    <w:rPr>
      <w:rFonts w:eastAsiaTheme="minorEastAsia"/>
      <w:lang w:val="en-US"/>
    </w:rPr>
  </w:style>
  <w:style w:type="paragraph" w:styleId="Footer">
    <w:name w:val="footer"/>
    <w:basedOn w:val="Normal"/>
    <w:link w:val="FooterChar"/>
    <w:uiPriority w:val="99"/>
    <w:unhideWhenUsed/>
    <w:rsid w:val="000A5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29"/>
    <w:rPr>
      <w:rFonts w:eastAsiaTheme="minorEastAsia"/>
      <w:lang w:val="en-US"/>
    </w:rPr>
  </w:style>
  <w:style w:type="paragraph" w:styleId="Bibliography">
    <w:name w:val="Bibliography"/>
    <w:basedOn w:val="Normal"/>
    <w:next w:val="Normal"/>
    <w:uiPriority w:val="37"/>
    <w:unhideWhenUsed/>
    <w:rsid w:val="002A57BC"/>
    <w:pPr>
      <w:spacing w:after="0" w:line="480" w:lineRule="auto"/>
      <w:ind w:left="720" w:hanging="720"/>
    </w:pPr>
  </w:style>
  <w:style w:type="paragraph" w:styleId="NormalWeb">
    <w:name w:val="Normal (Web)"/>
    <w:basedOn w:val="Normal"/>
    <w:uiPriority w:val="99"/>
    <w:semiHidden/>
    <w:unhideWhenUsed/>
    <w:rsid w:val="00C55353"/>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EndNoteBibliographyTitle">
    <w:name w:val="EndNote Bibliography Title"/>
    <w:basedOn w:val="Normal"/>
    <w:link w:val="EndNoteBibliographyTitleChar"/>
    <w:rsid w:val="00D3045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30452"/>
    <w:rPr>
      <w:rFonts w:ascii="Calibri" w:eastAsiaTheme="minorEastAsia" w:hAnsi="Calibri" w:cs="Calibri"/>
      <w:noProof/>
      <w:lang w:val="en-US"/>
    </w:rPr>
  </w:style>
  <w:style w:type="paragraph" w:customStyle="1" w:styleId="EndNoteBibliography">
    <w:name w:val="EndNote Bibliography"/>
    <w:basedOn w:val="Normal"/>
    <w:link w:val="EndNoteBibliographyChar"/>
    <w:rsid w:val="00D3045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30452"/>
    <w:rPr>
      <w:rFonts w:ascii="Calibri" w:eastAsiaTheme="minorEastAsia" w:hAnsi="Calibri" w:cs="Calibri"/>
      <w:noProof/>
      <w:lang w:val="en-US"/>
    </w:rPr>
  </w:style>
  <w:style w:type="character" w:styleId="Hyperlink">
    <w:name w:val="Hyperlink"/>
    <w:basedOn w:val="DefaultParagraphFont"/>
    <w:uiPriority w:val="99"/>
    <w:unhideWhenUsed/>
    <w:rsid w:val="00D30452"/>
    <w:rPr>
      <w:color w:val="0563C1" w:themeColor="hyperlink"/>
      <w:u w:val="single"/>
    </w:rPr>
  </w:style>
  <w:style w:type="table" w:customStyle="1" w:styleId="TableGrid1">
    <w:name w:val="Table Grid1"/>
    <w:basedOn w:val="TableNormal"/>
    <w:next w:val="TableGrid"/>
    <w:uiPriority w:val="59"/>
    <w:rsid w:val="00B26CDC"/>
    <w:pPr>
      <w:spacing w:after="0" w:line="240" w:lineRule="auto"/>
    </w:pPr>
    <w:rPr>
      <w:rFonts w:ascii="Calibri" w:eastAsia="Times New Roman"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B26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bank.org/en/news/press-release/2017/05/19/pakistan-to-record-highest-growth-rate-in-nine-years-wb-repor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C138-1381-0C4D-96E4-68659A723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70094</Words>
  <Characters>399540</Characters>
  <Application>Microsoft Office Word</Application>
  <DocSecurity>0</DocSecurity>
  <Lines>3329</Lines>
  <Paragraphs>937</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468697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Roscoe</dc:creator>
  <cp:keywords/>
  <dc:description/>
  <cp:lastModifiedBy>Microsoft Office User</cp:lastModifiedBy>
  <cp:revision>2</cp:revision>
  <dcterms:created xsi:type="dcterms:W3CDTF">2020-01-12T09:21:00Z</dcterms:created>
  <dcterms:modified xsi:type="dcterms:W3CDTF">2020-01-12T09:21:00Z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zotero-version="5.0.76"&gt;&lt;session id="GqvYtMZS"/&gt;&lt;style id="http://www.zotero.org/styles/emerald-harvard" hasBibliography="1" bibliographyStyleHasBeenSet="1"/&gt;&lt;prefs&gt;&lt;pref name="fieldType" value="Field"/&gt;&lt;/prefs&gt;&lt;/data&gt;</vt:lpwstr>
  </property>
</Properties>
</file>