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6C8C0D" w14:textId="77777777" w:rsidR="00292284" w:rsidRDefault="00292284" w:rsidP="00292284">
      <w:pPr>
        <w:spacing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DE3BF0">
        <w:rPr>
          <w:rFonts w:ascii="Times New Roman" w:hAnsi="Times New Roman" w:cs="Times New Roman"/>
          <w:sz w:val="28"/>
          <w:szCs w:val="28"/>
        </w:rPr>
        <w:t xml:space="preserve">Des </w:t>
      </w:r>
      <w:r w:rsidRPr="00DE3BF0">
        <w:rPr>
          <w:rFonts w:ascii="Times New Roman" w:hAnsi="Times New Roman" w:cs="Times New Roman"/>
          <w:i/>
          <w:iCs/>
          <w:sz w:val="28"/>
          <w:szCs w:val="28"/>
        </w:rPr>
        <w:t>Bandeaux d’or</w:t>
      </w:r>
      <w:r w:rsidRPr="00DE3BF0">
        <w:rPr>
          <w:rFonts w:ascii="Times New Roman" w:hAnsi="Times New Roman" w:cs="Times New Roman"/>
          <w:sz w:val="28"/>
          <w:szCs w:val="28"/>
        </w:rPr>
        <w:t xml:space="preserve"> à la postface de </w:t>
      </w:r>
      <w:r w:rsidRPr="00DE3BF0">
        <w:rPr>
          <w:rFonts w:ascii="Times New Roman" w:hAnsi="Times New Roman" w:cs="Times New Roman"/>
          <w:i/>
          <w:iCs/>
          <w:sz w:val="28"/>
          <w:szCs w:val="28"/>
        </w:rPr>
        <w:t>Noces</w:t>
      </w:r>
    </w:p>
    <w:p w14:paraId="084598E8" w14:textId="77777777" w:rsidR="00292284" w:rsidRPr="002B7A3C" w:rsidRDefault="00292284" w:rsidP="0029228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B7A3C">
        <w:rPr>
          <w:rFonts w:ascii="Times New Roman" w:hAnsi="Times New Roman" w:cs="Times New Roman"/>
          <w:sz w:val="28"/>
          <w:szCs w:val="28"/>
        </w:rPr>
        <w:t xml:space="preserve">La </w:t>
      </w:r>
      <w:proofErr w:type="spellStart"/>
      <w:r w:rsidRPr="002B7A3C">
        <w:rPr>
          <w:rFonts w:ascii="Times New Roman" w:hAnsi="Times New Roman" w:cs="Times New Roman"/>
          <w:i/>
          <w:iCs/>
          <w:sz w:val="28"/>
          <w:szCs w:val="28"/>
        </w:rPr>
        <w:t>vita</w:t>
      </w:r>
      <w:proofErr w:type="spellEnd"/>
      <w:r w:rsidRPr="002B7A3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2B7A3C">
        <w:rPr>
          <w:rFonts w:ascii="Times New Roman" w:hAnsi="Times New Roman" w:cs="Times New Roman"/>
          <w:i/>
          <w:iCs/>
          <w:sz w:val="28"/>
          <w:szCs w:val="28"/>
        </w:rPr>
        <w:t>nuova</w:t>
      </w:r>
      <w:proofErr w:type="spellEnd"/>
      <w:r w:rsidRPr="002B7A3C">
        <w:rPr>
          <w:rFonts w:ascii="Times New Roman" w:hAnsi="Times New Roman" w:cs="Times New Roman"/>
          <w:sz w:val="28"/>
          <w:szCs w:val="28"/>
        </w:rPr>
        <w:t xml:space="preserve"> de Pierre Je</w:t>
      </w:r>
      <w:r>
        <w:rPr>
          <w:rFonts w:ascii="Times New Roman" w:hAnsi="Times New Roman" w:cs="Times New Roman"/>
          <w:sz w:val="28"/>
          <w:szCs w:val="28"/>
        </w:rPr>
        <w:t>an Jouve : vers un imaginaire de l’imprésentable ?</w:t>
      </w:r>
    </w:p>
    <w:p w14:paraId="7107A903" w14:textId="77777777" w:rsidR="00292284" w:rsidRPr="00143448" w:rsidRDefault="00292284" w:rsidP="00292284">
      <w:pPr>
        <w:spacing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r w:rsidRPr="00143448">
        <w:rPr>
          <w:rFonts w:ascii="Times New Roman" w:hAnsi="Times New Roman" w:cs="Times New Roman"/>
          <w:sz w:val="24"/>
          <w:szCs w:val="24"/>
        </w:rPr>
        <w:t>Maxime Deblander</w:t>
      </w:r>
    </w:p>
    <w:p w14:paraId="05320028" w14:textId="5DCD8BE4" w:rsidR="00292284" w:rsidRPr="00292284" w:rsidRDefault="00292284" w:rsidP="00292284">
      <w:pPr>
        <w:spacing w:line="360" w:lineRule="auto"/>
        <w:ind w:firstLine="567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F27D9E">
        <w:rPr>
          <w:rFonts w:ascii="Times New Roman" w:hAnsi="Times New Roman" w:cs="Times New Roman"/>
          <w:sz w:val="24"/>
          <w:szCs w:val="24"/>
        </w:rPr>
        <w:t>UCLouvain</w:t>
      </w:r>
      <w:proofErr w:type="spellEnd"/>
    </w:p>
    <w:p w14:paraId="212F054A" w14:textId="2DFADB4B" w:rsidR="00D5587E" w:rsidRPr="00D5587E" w:rsidRDefault="00292284" w:rsidP="00913D41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Résumé</w:t>
      </w:r>
    </w:p>
    <w:p w14:paraId="5EEDEEE5" w14:textId="4C21719F" w:rsidR="00D5587E" w:rsidRDefault="007058CE" w:rsidP="00913D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Située en 1925, la rupture qui apparait dans </w:t>
      </w:r>
      <w:r w:rsidR="007669B6">
        <w:rPr>
          <w:rFonts w:ascii="Times New Roman" w:hAnsi="Times New Roman" w:cs="Times New Roman"/>
          <w:sz w:val="24"/>
          <w:szCs w:val="24"/>
        </w:rPr>
        <w:t>la carrière</w:t>
      </w:r>
      <w:r>
        <w:rPr>
          <w:rFonts w:ascii="Times New Roman" w:hAnsi="Times New Roman" w:cs="Times New Roman"/>
          <w:sz w:val="24"/>
          <w:szCs w:val="24"/>
        </w:rPr>
        <w:t xml:space="preserve"> de Pierre Jean Jouve </w:t>
      </w:r>
      <w:r w:rsidR="00DE05BD">
        <w:rPr>
          <w:rFonts w:ascii="Times New Roman" w:hAnsi="Times New Roman" w:cs="Times New Roman"/>
          <w:sz w:val="24"/>
          <w:szCs w:val="24"/>
        </w:rPr>
        <w:t xml:space="preserve">amène </w:t>
      </w:r>
      <w:r>
        <w:rPr>
          <w:rFonts w:ascii="Times New Roman" w:hAnsi="Times New Roman" w:cs="Times New Roman"/>
          <w:sz w:val="24"/>
          <w:szCs w:val="24"/>
        </w:rPr>
        <w:t xml:space="preserve">l’écrivain </w:t>
      </w:r>
      <w:r w:rsidR="00DE05BD">
        <w:rPr>
          <w:rFonts w:ascii="Times New Roman" w:hAnsi="Times New Roman" w:cs="Times New Roman"/>
          <w:sz w:val="24"/>
          <w:szCs w:val="24"/>
        </w:rPr>
        <w:t xml:space="preserve">à scinder son œuvre </w:t>
      </w:r>
      <w:r w:rsidR="00913D41">
        <w:rPr>
          <w:rFonts w:ascii="Times New Roman" w:hAnsi="Times New Roman" w:cs="Times New Roman"/>
          <w:sz w:val="24"/>
          <w:szCs w:val="24"/>
        </w:rPr>
        <w:t>en deux versants</w:t>
      </w:r>
      <w:r w:rsidR="001B7DC3">
        <w:rPr>
          <w:rFonts w:ascii="Times New Roman" w:hAnsi="Times New Roman" w:cs="Times New Roman"/>
          <w:sz w:val="24"/>
          <w:szCs w:val="24"/>
        </w:rPr>
        <w:t> </w:t>
      </w:r>
      <w:r w:rsidR="00DC4A2D">
        <w:rPr>
          <w:rFonts w:ascii="Times New Roman" w:hAnsi="Times New Roman" w:cs="Times New Roman"/>
          <w:sz w:val="24"/>
          <w:szCs w:val="24"/>
        </w:rPr>
        <w:t>dont le premier est renié.</w:t>
      </w:r>
      <w:r w:rsidR="00743948">
        <w:rPr>
          <w:rFonts w:ascii="Times New Roman" w:hAnsi="Times New Roman" w:cs="Times New Roman"/>
          <w:sz w:val="24"/>
          <w:szCs w:val="24"/>
        </w:rPr>
        <w:t xml:space="preserve"> Par le biais d’une analyse de l’œuvre littéraire de Jouve, mais aussi de ses commentaires réflexifs au premier chef desquels se trouvent la postface de </w:t>
      </w:r>
      <w:r w:rsidR="00743948" w:rsidRPr="007058CE">
        <w:rPr>
          <w:rFonts w:ascii="Times New Roman" w:hAnsi="Times New Roman" w:cs="Times New Roman"/>
          <w:i/>
          <w:iCs/>
          <w:sz w:val="24"/>
          <w:szCs w:val="24"/>
        </w:rPr>
        <w:t>Noces</w:t>
      </w:r>
      <w:r w:rsidR="00743948">
        <w:rPr>
          <w:rFonts w:ascii="Times New Roman" w:hAnsi="Times New Roman" w:cs="Times New Roman"/>
          <w:sz w:val="24"/>
          <w:szCs w:val="24"/>
        </w:rPr>
        <w:t xml:space="preserve"> (1928)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743948">
        <w:rPr>
          <w:rFonts w:ascii="Times New Roman" w:hAnsi="Times New Roman" w:cs="Times New Roman"/>
          <w:sz w:val="24"/>
          <w:szCs w:val="24"/>
        </w:rPr>
        <w:t>cette étude</w:t>
      </w:r>
      <w:r w:rsidR="00DC4A2D">
        <w:rPr>
          <w:rFonts w:ascii="Times New Roman" w:hAnsi="Times New Roman" w:cs="Times New Roman"/>
          <w:sz w:val="24"/>
          <w:szCs w:val="24"/>
        </w:rPr>
        <w:t xml:space="preserve"> a pour ambition de </w:t>
      </w:r>
      <w:r w:rsidR="007F233C">
        <w:rPr>
          <w:rFonts w:ascii="Times New Roman" w:hAnsi="Times New Roman" w:cs="Times New Roman"/>
          <w:sz w:val="24"/>
          <w:szCs w:val="24"/>
        </w:rPr>
        <w:t>mieux comprendre la rupture déclarée par Pierre Jean Jouve en situant l’émergence d’</w:t>
      </w:r>
      <w:r w:rsidR="00DC4A2D">
        <w:rPr>
          <w:rFonts w:ascii="Times New Roman" w:hAnsi="Times New Roman" w:cs="Times New Roman"/>
          <w:sz w:val="24"/>
          <w:szCs w:val="24"/>
        </w:rPr>
        <w:t>un motif de l’imprésentable</w:t>
      </w:r>
      <w:r w:rsidR="007F233C">
        <w:rPr>
          <w:rFonts w:ascii="Times New Roman" w:hAnsi="Times New Roman" w:cs="Times New Roman"/>
          <w:sz w:val="24"/>
          <w:szCs w:val="24"/>
        </w:rPr>
        <w:t xml:space="preserve"> dans son œuvre. </w:t>
      </w:r>
      <w:r w:rsidR="00743948">
        <w:rPr>
          <w:rFonts w:ascii="Times New Roman" w:hAnsi="Times New Roman" w:cs="Times New Roman"/>
          <w:sz w:val="24"/>
          <w:szCs w:val="24"/>
        </w:rPr>
        <w:t xml:space="preserve">Dès lors qu’il faut entendre </w:t>
      </w:r>
      <w:r w:rsidR="007F233C">
        <w:rPr>
          <w:rFonts w:ascii="Times New Roman" w:hAnsi="Times New Roman" w:cs="Times New Roman"/>
          <w:sz w:val="24"/>
          <w:szCs w:val="24"/>
        </w:rPr>
        <w:t>l’imprésentable</w:t>
      </w:r>
      <w:r w:rsidR="00743948">
        <w:rPr>
          <w:rFonts w:ascii="Times New Roman" w:hAnsi="Times New Roman" w:cs="Times New Roman"/>
          <w:sz w:val="24"/>
          <w:szCs w:val="24"/>
        </w:rPr>
        <w:t xml:space="preserve"> au sens d’un indéterminé, d’une réalité qui échappe à la faculté de représentation, </w:t>
      </w:r>
      <w:r w:rsidR="007F233C">
        <w:rPr>
          <w:rFonts w:ascii="Times New Roman" w:hAnsi="Times New Roman" w:cs="Times New Roman"/>
          <w:sz w:val="24"/>
          <w:szCs w:val="24"/>
        </w:rPr>
        <w:t xml:space="preserve">nous </w:t>
      </w:r>
      <w:r w:rsidR="00304864">
        <w:rPr>
          <w:rFonts w:ascii="Times New Roman" w:hAnsi="Times New Roman" w:cs="Times New Roman"/>
          <w:sz w:val="24"/>
          <w:szCs w:val="24"/>
        </w:rPr>
        <w:t xml:space="preserve">nous </w:t>
      </w:r>
      <w:r w:rsidR="007F233C">
        <w:rPr>
          <w:rFonts w:ascii="Times New Roman" w:hAnsi="Times New Roman" w:cs="Times New Roman"/>
          <w:sz w:val="24"/>
          <w:szCs w:val="24"/>
        </w:rPr>
        <w:t>focaliserons</w:t>
      </w:r>
      <w:r w:rsidR="00743948">
        <w:rPr>
          <w:rFonts w:ascii="Times New Roman" w:hAnsi="Times New Roman" w:cs="Times New Roman"/>
          <w:sz w:val="24"/>
          <w:szCs w:val="24"/>
        </w:rPr>
        <w:t xml:space="preserve"> sur les opacités qui émaillent la production de Jouve. </w:t>
      </w:r>
      <w:r w:rsidR="00514957">
        <w:rPr>
          <w:rFonts w:ascii="Times New Roman" w:hAnsi="Times New Roman" w:cs="Times New Roman"/>
          <w:sz w:val="24"/>
          <w:szCs w:val="24"/>
        </w:rPr>
        <w:t>Ainsi, o</w:t>
      </w:r>
      <w:r w:rsidR="00743948">
        <w:rPr>
          <w:rFonts w:ascii="Times New Roman" w:hAnsi="Times New Roman" w:cs="Times New Roman"/>
          <w:sz w:val="24"/>
          <w:szCs w:val="24"/>
        </w:rPr>
        <w:t xml:space="preserve">n interrogera, dans la production postérieure à 1925, le vocabulaire religieux en posant l’hypothèse qu’il suggère la présence </w:t>
      </w:r>
      <w:r>
        <w:rPr>
          <w:rFonts w:ascii="Times New Roman" w:hAnsi="Times New Roman" w:cs="Times New Roman"/>
          <w:sz w:val="24"/>
          <w:szCs w:val="24"/>
        </w:rPr>
        <w:t>d’un l’</w:t>
      </w:r>
      <w:r w:rsidR="00743948">
        <w:rPr>
          <w:rFonts w:ascii="Times New Roman" w:hAnsi="Times New Roman" w:cs="Times New Roman"/>
          <w:sz w:val="24"/>
          <w:szCs w:val="24"/>
        </w:rPr>
        <w:t>imprésentable dans l’œuvre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F233C">
        <w:rPr>
          <w:rFonts w:ascii="Times New Roman" w:hAnsi="Times New Roman" w:cs="Times New Roman"/>
          <w:sz w:val="24"/>
          <w:szCs w:val="24"/>
        </w:rPr>
        <w:t>D’une part, o</w:t>
      </w:r>
      <w:r>
        <w:rPr>
          <w:rFonts w:ascii="Times New Roman" w:hAnsi="Times New Roman" w:cs="Times New Roman"/>
          <w:sz w:val="24"/>
          <w:szCs w:val="24"/>
        </w:rPr>
        <w:t>n verra alors</w:t>
      </w:r>
      <w:r w:rsidR="008C543E">
        <w:rPr>
          <w:rFonts w:ascii="Times New Roman" w:hAnsi="Times New Roman" w:cs="Times New Roman"/>
          <w:sz w:val="24"/>
          <w:szCs w:val="24"/>
        </w:rPr>
        <w:t xml:space="preserve"> que </w:t>
      </w:r>
      <w:r w:rsidR="007F233C">
        <w:rPr>
          <w:rFonts w:ascii="Times New Roman" w:hAnsi="Times New Roman" w:cs="Times New Roman"/>
          <w:sz w:val="24"/>
          <w:szCs w:val="24"/>
        </w:rPr>
        <w:t>cette présence</w:t>
      </w:r>
      <w:r w:rsidR="008C543E">
        <w:rPr>
          <w:rFonts w:ascii="Times New Roman" w:hAnsi="Times New Roman" w:cs="Times New Roman"/>
          <w:sz w:val="24"/>
          <w:szCs w:val="24"/>
        </w:rPr>
        <w:t xml:space="preserve"> s’organise en</w:t>
      </w:r>
      <w:r>
        <w:rPr>
          <w:rFonts w:ascii="Times New Roman" w:hAnsi="Times New Roman" w:cs="Times New Roman"/>
          <w:sz w:val="24"/>
          <w:szCs w:val="24"/>
        </w:rPr>
        <w:t xml:space="preserve"> un imaginaire </w:t>
      </w:r>
      <w:r w:rsidR="008C543E">
        <w:rPr>
          <w:rFonts w:ascii="Times New Roman" w:hAnsi="Times New Roman" w:cs="Times New Roman"/>
          <w:sz w:val="24"/>
          <w:szCs w:val="24"/>
        </w:rPr>
        <w:t xml:space="preserve">que l’on pourra </w:t>
      </w:r>
      <w:r>
        <w:rPr>
          <w:rFonts w:ascii="Times New Roman" w:hAnsi="Times New Roman" w:cs="Times New Roman"/>
          <w:sz w:val="24"/>
          <w:szCs w:val="24"/>
        </w:rPr>
        <w:t>identifi</w:t>
      </w:r>
      <w:r w:rsidR="008C543E">
        <w:rPr>
          <w:rFonts w:ascii="Times New Roman" w:hAnsi="Times New Roman" w:cs="Times New Roman"/>
          <w:sz w:val="24"/>
          <w:szCs w:val="24"/>
        </w:rPr>
        <w:t>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4957">
        <w:rPr>
          <w:rFonts w:ascii="Times New Roman" w:hAnsi="Times New Roman" w:cs="Times New Roman"/>
          <w:sz w:val="24"/>
          <w:szCs w:val="24"/>
        </w:rPr>
        <w:t>à des troubles formels 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4957">
        <w:rPr>
          <w:rFonts w:ascii="Times New Roman" w:hAnsi="Times New Roman" w:cs="Times New Roman"/>
          <w:sz w:val="24"/>
          <w:szCs w:val="24"/>
        </w:rPr>
        <w:t>à de</w:t>
      </w:r>
      <w:r>
        <w:rPr>
          <w:rFonts w:ascii="Times New Roman" w:hAnsi="Times New Roman" w:cs="Times New Roman"/>
          <w:sz w:val="24"/>
          <w:szCs w:val="24"/>
        </w:rPr>
        <w:t>s</w:t>
      </w:r>
      <w:r w:rsidR="00514957">
        <w:rPr>
          <w:rFonts w:ascii="Times New Roman" w:hAnsi="Times New Roman" w:cs="Times New Roman"/>
          <w:sz w:val="24"/>
          <w:szCs w:val="24"/>
        </w:rPr>
        <w:t xml:space="preserve"> références mystique</w:t>
      </w:r>
      <w:r w:rsidR="008C543E">
        <w:rPr>
          <w:rFonts w:ascii="Times New Roman" w:hAnsi="Times New Roman" w:cs="Times New Roman"/>
          <w:sz w:val="24"/>
          <w:szCs w:val="24"/>
        </w:rPr>
        <w:t>s et</w:t>
      </w:r>
      <w:r w:rsidR="00514957">
        <w:rPr>
          <w:rFonts w:ascii="Times New Roman" w:hAnsi="Times New Roman" w:cs="Times New Roman"/>
          <w:sz w:val="24"/>
          <w:szCs w:val="24"/>
        </w:rPr>
        <w:t xml:space="preserve"> psychanaly</w:t>
      </w:r>
      <w:r w:rsidR="008C543E">
        <w:rPr>
          <w:rFonts w:ascii="Times New Roman" w:hAnsi="Times New Roman" w:cs="Times New Roman"/>
          <w:sz w:val="24"/>
          <w:szCs w:val="24"/>
        </w:rPr>
        <w:t>tiques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14957">
        <w:rPr>
          <w:rFonts w:ascii="Times New Roman" w:hAnsi="Times New Roman" w:cs="Times New Roman"/>
          <w:sz w:val="24"/>
          <w:szCs w:val="24"/>
        </w:rPr>
        <w:t xml:space="preserve">deux discours </w:t>
      </w:r>
      <w:r>
        <w:rPr>
          <w:rFonts w:ascii="Times New Roman" w:hAnsi="Times New Roman" w:cs="Times New Roman"/>
          <w:sz w:val="24"/>
          <w:szCs w:val="24"/>
        </w:rPr>
        <w:t xml:space="preserve">qui </w:t>
      </w:r>
      <w:r w:rsidR="00514957">
        <w:rPr>
          <w:rFonts w:ascii="Times New Roman" w:hAnsi="Times New Roman" w:cs="Times New Roman"/>
          <w:sz w:val="24"/>
          <w:szCs w:val="24"/>
        </w:rPr>
        <w:t>ont</w:t>
      </w:r>
      <w:r w:rsidR="00304864">
        <w:rPr>
          <w:rFonts w:ascii="Times New Roman" w:hAnsi="Times New Roman" w:cs="Times New Roman"/>
          <w:sz w:val="24"/>
          <w:szCs w:val="24"/>
        </w:rPr>
        <w:t xml:space="preserve"> ceci</w:t>
      </w:r>
      <w:r w:rsidR="00514957">
        <w:rPr>
          <w:rFonts w:ascii="Times New Roman" w:hAnsi="Times New Roman" w:cs="Times New Roman"/>
          <w:sz w:val="24"/>
          <w:szCs w:val="24"/>
        </w:rPr>
        <w:t xml:space="preserve"> en commun d’élaborer une forme d’expression de ce qui échappe </w:t>
      </w:r>
      <w:r>
        <w:rPr>
          <w:rFonts w:ascii="Times New Roman" w:hAnsi="Times New Roman" w:cs="Times New Roman"/>
          <w:sz w:val="24"/>
          <w:szCs w:val="24"/>
        </w:rPr>
        <w:t>au langage</w:t>
      </w:r>
      <w:r w:rsidR="0051495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F233C">
        <w:rPr>
          <w:rFonts w:ascii="Times New Roman" w:hAnsi="Times New Roman" w:cs="Times New Roman"/>
          <w:sz w:val="24"/>
          <w:szCs w:val="24"/>
        </w:rPr>
        <w:t>D’autre part, il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4957">
        <w:rPr>
          <w:rFonts w:ascii="Times New Roman" w:hAnsi="Times New Roman" w:cs="Times New Roman"/>
          <w:sz w:val="24"/>
          <w:szCs w:val="24"/>
        </w:rPr>
        <w:t>faudra</w:t>
      </w:r>
      <w:r w:rsidR="008C543E">
        <w:rPr>
          <w:rFonts w:ascii="Times New Roman" w:hAnsi="Times New Roman" w:cs="Times New Roman"/>
          <w:sz w:val="24"/>
          <w:szCs w:val="24"/>
        </w:rPr>
        <w:t xml:space="preserve"> </w:t>
      </w:r>
      <w:r w:rsidR="00514957">
        <w:rPr>
          <w:rFonts w:ascii="Times New Roman" w:hAnsi="Times New Roman" w:cs="Times New Roman"/>
          <w:sz w:val="24"/>
          <w:szCs w:val="24"/>
        </w:rPr>
        <w:t xml:space="preserve">s’intéresser à l’œuvre reniée de Jouve </w:t>
      </w:r>
      <w:r w:rsidR="007F233C">
        <w:rPr>
          <w:rFonts w:ascii="Times New Roman" w:hAnsi="Times New Roman" w:cs="Times New Roman"/>
          <w:sz w:val="24"/>
          <w:szCs w:val="24"/>
        </w:rPr>
        <w:t xml:space="preserve">en supposant </w:t>
      </w:r>
      <w:r w:rsidR="008C543E">
        <w:rPr>
          <w:rFonts w:ascii="Times New Roman" w:hAnsi="Times New Roman" w:cs="Times New Roman"/>
          <w:sz w:val="24"/>
          <w:szCs w:val="24"/>
        </w:rPr>
        <w:t xml:space="preserve">qu’un motif de l’imprésentable s’y esquisse déjà, </w:t>
      </w:r>
      <w:r w:rsidR="00514957">
        <w:rPr>
          <w:rFonts w:ascii="Times New Roman" w:hAnsi="Times New Roman" w:cs="Times New Roman"/>
          <w:sz w:val="24"/>
          <w:szCs w:val="24"/>
        </w:rPr>
        <w:t>mais sous une forme que l’écrivain ne</w:t>
      </w:r>
      <w:r w:rsidR="008C543E">
        <w:rPr>
          <w:rFonts w:ascii="Times New Roman" w:hAnsi="Times New Roman" w:cs="Times New Roman"/>
          <w:sz w:val="24"/>
          <w:szCs w:val="24"/>
        </w:rPr>
        <w:t xml:space="preserve"> retiendra pas. </w:t>
      </w:r>
      <w:r w:rsidR="007F233C">
        <w:rPr>
          <w:rFonts w:ascii="Times New Roman" w:hAnsi="Times New Roman" w:cs="Times New Roman"/>
          <w:sz w:val="24"/>
          <w:szCs w:val="24"/>
        </w:rPr>
        <w:t>L’objectif  de</w:t>
      </w:r>
      <w:r w:rsidR="008C543E">
        <w:rPr>
          <w:rFonts w:ascii="Times New Roman" w:hAnsi="Times New Roman" w:cs="Times New Roman"/>
          <w:sz w:val="24"/>
          <w:szCs w:val="24"/>
        </w:rPr>
        <w:t xml:space="preserve"> cette recherche est ainsi</w:t>
      </w:r>
      <w:r w:rsidR="00514957">
        <w:rPr>
          <w:rFonts w:ascii="Times New Roman" w:hAnsi="Times New Roman" w:cs="Times New Roman"/>
          <w:sz w:val="24"/>
          <w:szCs w:val="24"/>
        </w:rPr>
        <w:t xml:space="preserve"> de </w:t>
      </w:r>
      <w:r w:rsidR="007F233C">
        <w:rPr>
          <w:rFonts w:ascii="Times New Roman" w:hAnsi="Times New Roman" w:cs="Times New Roman"/>
          <w:sz w:val="24"/>
          <w:szCs w:val="24"/>
        </w:rPr>
        <w:t>mettre en lumièr</w:t>
      </w:r>
      <w:r w:rsidR="00304864">
        <w:rPr>
          <w:rFonts w:ascii="Times New Roman" w:hAnsi="Times New Roman" w:cs="Times New Roman"/>
          <w:sz w:val="24"/>
          <w:szCs w:val="24"/>
        </w:rPr>
        <w:t>e</w:t>
      </w:r>
      <w:r w:rsidR="00514957">
        <w:rPr>
          <w:rFonts w:ascii="Times New Roman" w:hAnsi="Times New Roman" w:cs="Times New Roman"/>
          <w:sz w:val="24"/>
          <w:szCs w:val="24"/>
        </w:rPr>
        <w:t xml:space="preserve"> l</w:t>
      </w:r>
      <w:r w:rsidR="008C543E">
        <w:rPr>
          <w:rFonts w:ascii="Times New Roman" w:hAnsi="Times New Roman" w:cs="Times New Roman"/>
          <w:sz w:val="24"/>
          <w:szCs w:val="24"/>
        </w:rPr>
        <w:t>es modalités de la</w:t>
      </w:r>
      <w:r w:rsidR="00514957">
        <w:rPr>
          <w:rFonts w:ascii="Times New Roman" w:hAnsi="Times New Roman" w:cs="Times New Roman"/>
          <w:sz w:val="24"/>
          <w:szCs w:val="24"/>
        </w:rPr>
        <w:t xml:space="preserve"> rupture </w:t>
      </w:r>
      <w:r w:rsidR="008C543E">
        <w:rPr>
          <w:rFonts w:ascii="Times New Roman" w:hAnsi="Times New Roman" w:cs="Times New Roman"/>
          <w:sz w:val="24"/>
          <w:szCs w:val="24"/>
        </w:rPr>
        <w:t>chez</w:t>
      </w:r>
      <w:r w:rsidR="00514957">
        <w:rPr>
          <w:rFonts w:ascii="Times New Roman" w:hAnsi="Times New Roman" w:cs="Times New Roman"/>
          <w:sz w:val="24"/>
          <w:szCs w:val="24"/>
        </w:rPr>
        <w:t xml:space="preserve"> Jouv</w:t>
      </w:r>
      <w:r>
        <w:rPr>
          <w:rFonts w:ascii="Times New Roman" w:hAnsi="Times New Roman" w:cs="Times New Roman"/>
          <w:sz w:val="24"/>
          <w:szCs w:val="24"/>
        </w:rPr>
        <w:t>e</w:t>
      </w:r>
      <w:r w:rsidR="00514957">
        <w:rPr>
          <w:rFonts w:ascii="Times New Roman" w:hAnsi="Times New Roman" w:cs="Times New Roman"/>
          <w:sz w:val="24"/>
          <w:szCs w:val="24"/>
        </w:rPr>
        <w:t>,</w:t>
      </w:r>
      <w:r w:rsidR="008C543E">
        <w:rPr>
          <w:rFonts w:ascii="Times New Roman" w:hAnsi="Times New Roman" w:cs="Times New Roman"/>
          <w:sz w:val="24"/>
          <w:szCs w:val="24"/>
        </w:rPr>
        <w:t xml:space="preserve"> </w:t>
      </w:r>
      <w:r w:rsidR="00514957">
        <w:rPr>
          <w:rFonts w:ascii="Times New Roman" w:hAnsi="Times New Roman" w:cs="Times New Roman"/>
          <w:sz w:val="24"/>
          <w:szCs w:val="24"/>
        </w:rPr>
        <w:t>e</w:t>
      </w:r>
      <w:r w:rsidR="008C543E">
        <w:rPr>
          <w:rFonts w:ascii="Times New Roman" w:hAnsi="Times New Roman" w:cs="Times New Roman"/>
          <w:sz w:val="24"/>
          <w:szCs w:val="24"/>
        </w:rPr>
        <w:t>n considérant qu’elles attestent</w:t>
      </w:r>
      <w:r w:rsidR="00514957">
        <w:rPr>
          <w:rFonts w:ascii="Times New Roman" w:hAnsi="Times New Roman" w:cs="Times New Roman"/>
          <w:sz w:val="24"/>
          <w:szCs w:val="24"/>
        </w:rPr>
        <w:t xml:space="preserve"> moins </w:t>
      </w:r>
      <w:r w:rsidR="008C543E">
        <w:rPr>
          <w:rFonts w:ascii="Times New Roman" w:hAnsi="Times New Roman" w:cs="Times New Roman"/>
          <w:sz w:val="24"/>
          <w:szCs w:val="24"/>
        </w:rPr>
        <w:t>d’</w:t>
      </w:r>
      <w:r w:rsidR="00514957">
        <w:rPr>
          <w:rFonts w:ascii="Times New Roman" w:hAnsi="Times New Roman" w:cs="Times New Roman"/>
          <w:sz w:val="24"/>
          <w:szCs w:val="24"/>
        </w:rPr>
        <w:t xml:space="preserve">une conversion à l’imprésentable que </w:t>
      </w:r>
      <w:r w:rsidR="008C543E">
        <w:rPr>
          <w:rFonts w:ascii="Times New Roman" w:hAnsi="Times New Roman" w:cs="Times New Roman"/>
          <w:sz w:val="24"/>
          <w:szCs w:val="24"/>
        </w:rPr>
        <w:t>d’</w:t>
      </w:r>
      <w:r w:rsidR="00514957">
        <w:rPr>
          <w:rFonts w:ascii="Times New Roman" w:hAnsi="Times New Roman" w:cs="Times New Roman"/>
          <w:sz w:val="24"/>
          <w:szCs w:val="24"/>
        </w:rPr>
        <w:t xml:space="preserve">une nouvelle manière de l’écrire.  </w:t>
      </w:r>
    </w:p>
    <w:p w14:paraId="692177B2" w14:textId="0564A306" w:rsidR="008B7C70" w:rsidRPr="00747E0C" w:rsidRDefault="008B7C70" w:rsidP="00913D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</w:p>
    <w:sectPr w:rsidR="008B7C70" w:rsidRPr="00747E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3D41"/>
    <w:rsid w:val="000003CF"/>
    <w:rsid w:val="000C2D4C"/>
    <w:rsid w:val="000E0215"/>
    <w:rsid w:val="00164926"/>
    <w:rsid w:val="00186249"/>
    <w:rsid w:val="001A1001"/>
    <w:rsid w:val="001B7DC3"/>
    <w:rsid w:val="002105CF"/>
    <w:rsid w:val="00264376"/>
    <w:rsid w:val="00292284"/>
    <w:rsid w:val="00304864"/>
    <w:rsid w:val="0034291B"/>
    <w:rsid w:val="00514957"/>
    <w:rsid w:val="006E758E"/>
    <w:rsid w:val="007053B4"/>
    <w:rsid w:val="007058CE"/>
    <w:rsid w:val="00743948"/>
    <w:rsid w:val="00747E0C"/>
    <w:rsid w:val="007669B6"/>
    <w:rsid w:val="007E6EF3"/>
    <w:rsid w:val="007F233C"/>
    <w:rsid w:val="00810DE9"/>
    <w:rsid w:val="00834DAD"/>
    <w:rsid w:val="008B7C70"/>
    <w:rsid w:val="008C543E"/>
    <w:rsid w:val="00913D41"/>
    <w:rsid w:val="009E55EE"/>
    <w:rsid w:val="00A919A2"/>
    <w:rsid w:val="00AA2695"/>
    <w:rsid w:val="00B97CFD"/>
    <w:rsid w:val="00D5587E"/>
    <w:rsid w:val="00DC4A2D"/>
    <w:rsid w:val="00DE05BD"/>
    <w:rsid w:val="00E90035"/>
    <w:rsid w:val="00EF6D9F"/>
    <w:rsid w:val="00F755B1"/>
    <w:rsid w:val="00FA2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92AB4"/>
  <w15:chartTrackingRefBased/>
  <w15:docId w15:val="{181FE7E8-0D89-46BF-B803-CF66E14A6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E90035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90035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90035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90035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90035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900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900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C4FCB6-F25B-4A83-BB84-DD6D47663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259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maxime deblander</dc:creator>
  <cp:keywords/>
  <dc:description/>
  <cp:lastModifiedBy>Maxime Deblander</cp:lastModifiedBy>
  <cp:revision>6</cp:revision>
  <dcterms:created xsi:type="dcterms:W3CDTF">2021-01-03T20:39:00Z</dcterms:created>
  <dcterms:modified xsi:type="dcterms:W3CDTF">2022-11-06T17:11:00Z</dcterms:modified>
</cp:coreProperties>
</file>