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8C50" w14:textId="4D413A8C" w:rsidR="004F3F47" w:rsidRPr="004F26E2" w:rsidRDefault="00C10565" w:rsidP="004F26E2">
      <w:pPr>
        <w:spacing w:line="360" w:lineRule="auto"/>
        <w:jc w:val="both"/>
        <w:rPr>
          <w:rFonts w:ascii="Times New Roman" w:hAnsi="Times New Roman"/>
          <w:b/>
          <w:sz w:val="28"/>
          <w:szCs w:val="28"/>
        </w:rPr>
      </w:pPr>
      <w:r w:rsidRPr="00F359F6">
        <w:rPr>
          <w:rFonts w:ascii="Times New Roman" w:hAnsi="Times New Roman"/>
          <w:b/>
          <w:sz w:val="28"/>
          <w:szCs w:val="28"/>
        </w:rPr>
        <w:t>La pierre Brunehaut d’</w:t>
      </w:r>
      <w:proofErr w:type="spellStart"/>
      <w:r w:rsidRPr="00F359F6">
        <w:rPr>
          <w:rFonts w:ascii="Times New Roman" w:hAnsi="Times New Roman"/>
          <w:b/>
          <w:sz w:val="28"/>
          <w:szCs w:val="28"/>
        </w:rPr>
        <w:t>Hollain</w:t>
      </w:r>
      <w:proofErr w:type="spellEnd"/>
      <w:r w:rsidRPr="00F359F6">
        <w:rPr>
          <w:rFonts w:ascii="Times New Roman" w:hAnsi="Times New Roman"/>
          <w:b/>
          <w:sz w:val="28"/>
          <w:szCs w:val="28"/>
        </w:rPr>
        <w:t xml:space="preserve"> vue par les antiquaires et cartographes modernes </w:t>
      </w:r>
      <w:r w:rsidR="00861436">
        <w:rPr>
          <w:rFonts w:ascii="Times New Roman" w:hAnsi="Times New Roman"/>
          <w:b/>
          <w:sz w:val="28"/>
          <w:szCs w:val="28"/>
        </w:rPr>
        <w:t>: impact paysager et</w:t>
      </w:r>
      <w:r w:rsidRPr="00F359F6">
        <w:rPr>
          <w:rFonts w:ascii="Times New Roman" w:hAnsi="Times New Roman"/>
          <w:b/>
          <w:sz w:val="28"/>
          <w:szCs w:val="28"/>
        </w:rPr>
        <w:t xml:space="preserve"> recherches érudites</w:t>
      </w:r>
      <w:r w:rsidR="009D5EEE">
        <w:rPr>
          <w:rFonts w:ascii="Times New Roman" w:hAnsi="Times New Roman"/>
          <w:b/>
          <w:sz w:val="28"/>
          <w:szCs w:val="28"/>
        </w:rPr>
        <w:t xml:space="preserve"> </w:t>
      </w:r>
      <w:r w:rsidR="009D5EEE" w:rsidRPr="00F359F6">
        <w:rPr>
          <w:rFonts w:ascii="Times New Roman" w:hAnsi="Times New Roman"/>
          <w:b/>
          <w:sz w:val="28"/>
          <w:szCs w:val="28"/>
        </w:rPr>
        <w:t>(1600-1800)</w:t>
      </w:r>
      <w:r w:rsidR="00986A0C">
        <w:rPr>
          <w:rStyle w:val="Appelnotedebasdep"/>
          <w:rFonts w:ascii="Times New Roman" w:hAnsi="Times New Roman"/>
          <w:b/>
          <w:sz w:val="28"/>
          <w:szCs w:val="28"/>
        </w:rPr>
        <w:footnoteReference w:id="1"/>
      </w:r>
    </w:p>
    <w:p w14:paraId="73ABC09C" w14:textId="77777777" w:rsidR="00C10565" w:rsidRDefault="00C10565" w:rsidP="00C10565">
      <w:pPr>
        <w:spacing w:line="360" w:lineRule="auto"/>
      </w:pPr>
    </w:p>
    <w:p w14:paraId="3C674150" w14:textId="2F2CB5C3" w:rsidR="005D3CF4" w:rsidRDefault="00C10565" w:rsidP="00BD36A3">
      <w:pPr>
        <w:spacing w:line="360" w:lineRule="auto"/>
        <w:jc w:val="both"/>
      </w:pPr>
      <w:r>
        <w:tab/>
        <w:t xml:space="preserve">Depuis </w:t>
      </w:r>
      <w:r w:rsidR="008C207C">
        <w:t>plusieurs</w:t>
      </w:r>
      <w:r>
        <w:t xml:space="preserve"> millénaires, un </w:t>
      </w:r>
      <w:r w:rsidR="00063A79">
        <w:t xml:space="preserve">mystérieux </w:t>
      </w:r>
      <w:r>
        <w:t xml:space="preserve">monolithe </w:t>
      </w:r>
      <w:r w:rsidR="009D5EEE">
        <w:t xml:space="preserve">haut de près de quatre mètres et demi </w:t>
      </w:r>
      <w:r>
        <w:t>se dresse à une petite dizaine de kilomètres de Tournai, à proximité du village d’</w:t>
      </w:r>
      <w:proofErr w:type="spellStart"/>
      <w:r>
        <w:t>Hollain</w:t>
      </w:r>
      <w:proofErr w:type="spellEnd"/>
      <w:r>
        <w:t>, dans l’actuelle commune de Brunehaut</w:t>
      </w:r>
      <w:r w:rsidR="009D5EEE">
        <w:t xml:space="preserve"> (fig. 1)</w:t>
      </w:r>
      <w:r>
        <w:t>. Ce mégalithe</w:t>
      </w:r>
      <w:r w:rsidR="009D5EEE">
        <w:t>, généralement daté du néolithique récent ou du bronze ancien (vers 2000 av. J.-C.)</w:t>
      </w:r>
      <w:r w:rsidR="009D5EEE">
        <w:rPr>
          <w:rStyle w:val="Appelnotedebasdep"/>
        </w:rPr>
        <w:footnoteReference w:id="2"/>
      </w:r>
      <w:r w:rsidR="009D5EEE">
        <w:t xml:space="preserve">, est localement </w:t>
      </w:r>
      <w:r>
        <w:t>connu sous le nom de « Pierre Brunehaut »</w:t>
      </w:r>
      <w:r w:rsidR="009A1C6E">
        <w:t>. Il</w:t>
      </w:r>
      <w:r>
        <w:t xml:space="preserve"> a </w:t>
      </w:r>
      <w:r w:rsidR="005D3CF4">
        <w:t xml:space="preserve">profondément </w:t>
      </w:r>
      <w:r>
        <w:t xml:space="preserve">marqué de son empreinte le paysage </w:t>
      </w:r>
      <w:r w:rsidR="008C207C">
        <w:t>local</w:t>
      </w:r>
      <w:r w:rsidR="005D3CF4">
        <w:t xml:space="preserve"> </w:t>
      </w:r>
      <w:r w:rsidR="009A1C6E">
        <w:t xml:space="preserve">ainsi </w:t>
      </w:r>
      <w:r w:rsidR="009D5EEE">
        <w:t xml:space="preserve">que </w:t>
      </w:r>
      <w:r w:rsidR="005D3CF4">
        <w:t>l’imagination des érudits et des populations environnantes</w:t>
      </w:r>
      <w:r>
        <w:t>.</w:t>
      </w:r>
      <w:r w:rsidR="00BD36A3">
        <w:t xml:space="preserve"> </w:t>
      </w:r>
      <w:r>
        <w:t xml:space="preserve">Cette </w:t>
      </w:r>
      <w:r w:rsidR="009D5EEE">
        <w:t>contribution</w:t>
      </w:r>
      <w:r>
        <w:t xml:space="preserve"> </w:t>
      </w:r>
      <w:r w:rsidR="005D3CF4">
        <w:t>vise à étudier l</w:t>
      </w:r>
      <w:r w:rsidR="009D5EEE">
        <w:t>’évolution de la</w:t>
      </w:r>
      <w:r w:rsidR="005D3CF4">
        <w:t xml:space="preserve"> perception de ce monument aux XVII</w:t>
      </w:r>
      <w:r w:rsidR="005D3CF4" w:rsidRPr="005D3CF4">
        <w:rPr>
          <w:vertAlign w:val="superscript"/>
        </w:rPr>
        <w:t>e</w:t>
      </w:r>
      <w:r w:rsidR="005D3CF4">
        <w:t xml:space="preserve"> et XVIII</w:t>
      </w:r>
      <w:r w:rsidR="005D3CF4" w:rsidRPr="005D3CF4">
        <w:rPr>
          <w:vertAlign w:val="superscript"/>
        </w:rPr>
        <w:t xml:space="preserve">e </w:t>
      </w:r>
      <w:r w:rsidR="005D3CF4">
        <w:t>siècles, période</w:t>
      </w:r>
      <w:r w:rsidR="009D5EEE">
        <w:t xml:space="preserve"> charnière</w:t>
      </w:r>
      <w:r w:rsidR="005D3CF4">
        <w:t xml:space="preserve"> </w:t>
      </w:r>
      <w:r w:rsidR="009D5EEE">
        <w:t>qui voit</w:t>
      </w:r>
      <w:r w:rsidR="00C14402">
        <w:t xml:space="preserve"> l’émergence de</w:t>
      </w:r>
      <w:r w:rsidR="006B14D7">
        <w:t>s</w:t>
      </w:r>
      <w:r w:rsidR="00C14402">
        <w:t xml:space="preserve"> premières recherches savantes sur </w:t>
      </w:r>
      <w:r w:rsidR="005D3CF4">
        <w:t>l</w:t>
      </w:r>
      <w:r w:rsidR="00BD36A3">
        <w:t>es vestiges matériels du passé.</w:t>
      </w:r>
    </w:p>
    <w:p w14:paraId="60416716" w14:textId="77777777" w:rsidR="00C10565" w:rsidRDefault="00C10565" w:rsidP="00EF24C6">
      <w:pPr>
        <w:spacing w:line="360" w:lineRule="auto"/>
        <w:jc w:val="both"/>
      </w:pPr>
    </w:p>
    <w:p w14:paraId="481CACB4" w14:textId="77777777" w:rsidR="00EF24C6" w:rsidRDefault="00EF24C6" w:rsidP="00EF24C6">
      <w:pPr>
        <w:spacing w:line="360" w:lineRule="auto"/>
        <w:jc w:val="both"/>
        <w:rPr>
          <w:b/>
        </w:rPr>
      </w:pPr>
      <w:r w:rsidRPr="00EF24C6">
        <w:rPr>
          <w:b/>
        </w:rPr>
        <w:t xml:space="preserve">La pierre </w:t>
      </w:r>
      <w:r w:rsidR="00DB3932">
        <w:rPr>
          <w:b/>
        </w:rPr>
        <w:t>Brunehau</w:t>
      </w:r>
      <w:r w:rsidRPr="00EF24C6">
        <w:rPr>
          <w:b/>
        </w:rPr>
        <w:t xml:space="preserve">t </w:t>
      </w:r>
      <w:r w:rsidR="004F26E2">
        <w:rPr>
          <w:b/>
        </w:rPr>
        <w:t>en tant que</w:t>
      </w:r>
      <w:r w:rsidRPr="00EF24C6">
        <w:rPr>
          <w:b/>
        </w:rPr>
        <w:t xml:space="preserve"> marqueur paysager</w:t>
      </w:r>
    </w:p>
    <w:p w14:paraId="0F1A5CF2" w14:textId="77777777" w:rsidR="00EF24C6" w:rsidRDefault="00EF24C6" w:rsidP="00EF24C6">
      <w:pPr>
        <w:spacing w:line="360" w:lineRule="auto"/>
        <w:jc w:val="both"/>
        <w:rPr>
          <w:b/>
        </w:rPr>
      </w:pPr>
    </w:p>
    <w:p w14:paraId="016C6471" w14:textId="513B8A66" w:rsidR="00EF24C6" w:rsidRPr="001176A7" w:rsidRDefault="00BD73F6" w:rsidP="00EF24C6">
      <w:pPr>
        <w:spacing w:line="360" w:lineRule="auto"/>
        <w:jc w:val="both"/>
      </w:pPr>
      <w:r>
        <w:tab/>
      </w:r>
      <w:r w:rsidR="008C207C">
        <w:t>Durant l’époque moderne</w:t>
      </w:r>
      <w:r>
        <w:t>,</w:t>
      </w:r>
      <w:r w:rsidRPr="00BD73F6">
        <w:t xml:space="preserve"> </w:t>
      </w:r>
      <w:r>
        <w:t>le monolithe constitue</w:t>
      </w:r>
      <w:r w:rsidR="008C207C">
        <w:t xml:space="preserve"> avant tout</w:t>
      </w:r>
      <w:r>
        <w:t xml:space="preserve"> un point de repère </w:t>
      </w:r>
      <w:r w:rsidR="006B14D7">
        <w:t xml:space="preserve">utile </w:t>
      </w:r>
      <w:r>
        <w:t>au sein du paysage</w:t>
      </w:r>
      <w:r w:rsidR="008C207C">
        <w:t xml:space="preserve"> environnant</w:t>
      </w:r>
      <w:r>
        <w:t xml:space="preserve">. Situé au milieu des champs, dans une campagne </w:t>
      </w:r>
      <w:r w:rsidR="006B14D7">
        <w:t>au faible relief</w:t>
      </w:r>
      <w:r>
        <w:t xml:space="preserve">, il </w:t>
      </w:r>
      <w:r w:rsidR="0089578D">
        <w:t>est</w:t>
      </w:r>
      <w:r>
        <w:t xml:space="preserve"> utilisé dès le Moyen Âge comme marqueur paysager servant </w:t>
      </w:r>
      <w:r w:rsidR="003C33E2">
        <w:t xml:space="preserve">de borne pour la collecte de la dîme. </w:t>
      </w:r>
      <w:r w:rsidR="00BD3C99">
        <w:t>Corneil</w:t>
      </w:r>
      <w:r w:rsidR="004217F4">
        <w:t>le-François de Nelis</w:t>
      </w:r>
      <w:r w:rsidR="00BD3C99">
        <w:rPr>
          <w:rStyle w:val="Appelnotedebasdep"/>
        </w:rPr>
        <w:footnoteReference w:id="3"/>
      </w:r>
      <w:r w:rsidR="00BD3C99">
        <w:t xml:space="preserve">, qui consacre un travail de recherche à son sujet en 1773, indique ainsi que le « </w:t>
      </w:r>
      <w:r w:rsidR="00BD3C99" w:rsidRPr="003C33E2">
        <w:rPr>
          <w:i/>
        </w:rPr>
        <w:t>Curé d’</w:t>
      </w:r>
      <w:proofErr w:type="spellStart"/>
      <w:r w:rsidR="00BD3C99" w:rsidRPr="003C33E2">
        <w:rPr>
          <w:i/>
        </w:rPr>
        <w:t>Hollain</w:t>
      </w:r>
      <w:proofErr w:type="spellEnd"/>
      <w:r w:rsidR="00BD3C99" w:rsidRPr="003C33E2">
        <w:rPr>
          <w:i/>
        </w:rPr>
        <w:t xml:space="preserve">, dans la paroisse de qui se trouve cette pierre, m'a dit, d'avoir vu dans d'anciennes notes de ses prédécesseurs, qu'avant le </w:t>
      </w:r>
      <w:proofErr w:type="spellStart"/>
      <w:r w:rsidR="00BD3C99" w:rsidRPr="003C33E2">
        <w:rPr>
          <w:i/>
        </w:rPr>
        <w:t>quatorzieme</w:t>
      </w:r>
      <w:proofErr w:type="spellEnd"/>
      <w:r w:rsidR="00BD3C99" w:rsidRPr="003C33E2">
        <w:rPr>
          <w:i/>
        </w:rPr>
        <w:t xml:space="preserve"> ou </w:t>
      </w:r>
      <w:proofErr w:type="spellStart"/>
      <w:r w:rsidR="00BD3C99" w:rsidRPr="003C33E2">
        <w:rPr>
          <w:i/>
        </w:rPr>
        <w:t>quinzieme</w:t>
      </w:r>
      <w:proofErr w:type="spellEnd"/>
      <w:r w:rsidR="00BD3C99" w:rsidRPr="003C33E2">
        <w:rPr>
          <w:i/>
        </w:rPr>
        <w:t xml:space="preserve"> </w:t>
      </w:r>
      <w:proofErr w:type="spellStart"/>
      <w:r w:rsidR="00BD3C99" w:rsidRPr="003C33E2">
        <w:rPr>
          <w:i/>
        </w:rPr>
        <w:t>siecle</w:t>
      </w:r>
      <w:proofErr w:type="spellEnd"/>
      <w:r w:rsidR="00BD3C99" w:rsidRPr="003C33E2">
        <w:rPr>
          <w:i/>
        </w:rPr>
        <w:t xml:space="preserve"> cette pierr</w:t>
      </w:r>
      <w:r w:rsidR="00BD3C99">
        <w:rPr>
          <w:i/>
        </w:rPr>
        <w:t>e s'</w:t>
      </w:r>
      <w:proofErr w:type="spellStart"/>
      <w:r w:rsidR="00BD3C99">
        <w:rPr>
          <w:i/>
        </w:rPr>
        <w:t>appelloit</w:t>
      </w:r>
      <w:proofErr w:type="spellEnd"/>
      <w:r w:rsidR="00BD3C99">
        <w:rPr>
          <w:i/>
        </w:rPr>
        <w:t xml:space="preserve"> la brune pierre, &amp;</w:t>
      </w:r>
      <w:r w:rsidR="00BD3C99" w:rsidRPr="003C33E2">
        <w:rPr>
          <w:i/>
        </w:rPr>
        <w:t xml:space="preserve"> que ç'a été sous ce nom qu'elle </w:t>
      </w:r>
      <w:proofErr w:type="spellStart"/>
      <w:r w:rsidR="00BD3C99" w:rsidRPr="003C33E2">
        <w:rPr>
          <w:i/>
        </w:rPr>
        <w:t>servoit</w:t>
      </w:r>
      <w:proofErr w:type="spellEnd"/>
      <w:r w:rsidR="00BD3C99" w:rsidRPr="003C33E2">
        <w:rPr>
          <w:i/>
        </w:rPr>
        <w:t xml:space="preserve"> de limite ou de borne à quelques portions de sa dîme</w:t>
      </w:r>
      <w:r w:rsidR="00BD3C99">
        <w:t> »</w:t>
      </w:r>
      <w:r w:rsidR="00BD3C99">
        <w:rPr>
          <w:rStyle w:val="Appelnotedebasdep"/>
        </w:rPr>
        <w:footnoteReference w:id="4"/>
      </w:r>
      <w:r w:rsidR="00BD3C99">
        <w:t>.</w:t>
      </w:r>
      <w:r w:rsidR="00BD3C99" w:rsidRPr="00BD3C99">
        <w:rPr>
          <w:color w:val="FF0000"/>
        </w:rPr>
        <w:t xml:space="preserve"> </w:t>
      </w:r>
      <w:r w:rsidR="00BD3C99" w:rsidRPr="00BD3C99">
        <w:t xml:space="preserve">La pratique de la réutilisation de vestiges en tant que marqueurs paysagers est assez fréquente au cours des </w:t>
      </w:r>
      <w:r w:rsidR="0089578D">
        <w:t>époques</w:t>
      </w:r>
      <w:r w:rsidR="00BD3C99" w:rsidRPr="00BD3C99">
        <w:t xml:space="preserve"> médiévale et moderne</w:t>
      </w:r>
      <w:r w:rsidR="000C6247">
        <w:t xml:space="preserve">. Elle </w:t>
      </w:r>
      <w:r w:rsidR="00BD3C99" w:rsidRPr="00BD3C99">
        <w:t>s’explique par leur apparence</w:t>
      </w:r>
      <w:r w:rsidR="006B14D7">
        <w:t xml:space="preserve"> distincte</w:t>
      </w:r>
      <w:r w:rsidR="00BD3C99" w:rsidRPr="00BD3C99">
        <w:t xml:space="preserve">, souvent inhabituelle aux yeux des témoins de ces périodes, qui permettait de les identifier facilement, au même titre que les </w:t>
      </w:r>
      <w:r w:rsidR="00BD3C99" w:rsidRPr="00BD3C99">
        <w:lastRenderedPageBreak/>
        <w:t>éléments de relief ou les arbres exceptionnels</w:t>
      </w:r>
      <w:r w:rsidR="001176A7" w:rsidRPr="001176A7">
        <w:rPr>
          <w:rStyle w:val="Appelnotedebasdep"/>
        </w:rPr>
        <w:footnoteReference w:id="5"/>
      </w:r>
      <w:r w:rsidR="00BD3C99" w:rsidRPr="001176A7">
        <w:t>.</w:t>
      </w:r>
      <w:r w:rsidR="001176A7">
        <w:t xml:space="preserve"> Ce phénomène </w:t>
      </w:r>
      <w:r w:rsidR="006B14D7">
        <w:t>s’observe en particulier</w:t>
      </w:r>
      <w:r w:rsidR="001176A7">
        <w:t xml:space="preserve"> </w:t>
      </w:r>
      <w:r w:rsidR="008C207C" w:rsidRPr="001176A7">
        <w:t>dans les régions faiblement urbanisées et peu boisées, comme l’étaient les campagnes du Tournaisis.</w:t>
      </w:r>
    </w:p>
    <w:p w14:paraId="36560331" w14:textId="682FD2A3" w:rsidR="008C207C" w:rsidRPr="003E28BA" w:rsidRDefault="006B1D31" w:rsidP="00EF24C6">
      <w:pPr>
        <w:spacing w:line="360" w:lineRule="auto"/>
        <w:jc w:val="both"/>
      </w:pPr>
      <w:r w:rsidRPr="009D7CE6">
        <w:rPr>
          <w:color w:val="FF0000"/>
        </w:rPr>
        <w:tab/>
      </w:r>
      <w:r w:rsidRPr="001176A7">
        <w:t xml:space="preserve">L’utilisation de la </w:t>
      </w:r>
      <w:r w:rsidR="00134A96" w:rsidRPr="001176A7">
        <w:t>pierre Brunehau</w:t>
      </w:r>
      <w:r w:rsidRPr="001176A7">
        <w:t>t en tant que point de repère est confirmée par les t</w:t>
      </w:r>
      <w:r w:rsidR="008C207C" w:rsidRPr="001176A7">
        <w:t xml:space="preserve">ravaux cartographiques réalisés au cours de la période moderne. </w:t>
      </w:r>
      <w:r w:rsidR="008B7C18" w:rsidRPr="001176A7">
        <w:t>Dès la fin du XVI</w:t>
      </w:r>
      <w:r w:rsidR="008B7C18" w:rsidRPr="001176A7">
        <w:rPr>
          <w:vertAlign w:val="superscript"/>
        </w:rPr>
        <w:t>e</w:t>
      </w:r>
      <w:r w:rsidR="008B7C18" w:rsidRPr="001176A7">
        <w:t xml:space="preserve"> siècle et le début du XVII</w:t>
      </w:r>
      <w:r w:rsidR="008B7C18" w:rsidRPr="001176A7">
        <w:rPr>
          <w:vertAlign w:val="superscript"/>
        </w:rPr>
        <w:t>e</w:t>
      </w:r>
      <w:r w:rsidR="008B7C18" w:rsidRPr="001176A7">
        <w:t xml:space="preserve"> siècle, l</w:t>
      </w:r>
      <w:r w:rsidR="008C207C" w:rsidRPr="001176A7">
        <w:t>e mégalithe apparaît</w:t>
      </w:r>
      <w:r w:rsidR="001176A7" w:rsidRPr="001176A7">
        <w:t xml:space="preserve"> en effet, sous la forme d’un simple point,</w:t>
      </w:r>
      <w:r w:rsidR="008C207C" w:rsidRPr="001176A7">
        <w:t xml:space="preserve"> </w:t>
      </w:r>
      <w:r w:rsidR="009C6BE7" w:rsidRPr="001176A7">
        <w:t>sur une carte</w:t>
      </w:r>
      <w:r w:rsidR="008C207C" w:rsidRPr="001176A7">
        <w:t xml:space="preserve"> de Gérard Mercator</w:t>
      </w:r>
      <w:r w:rsidR="008B7C18" w:rsidRPr="001176A7">
        <w:t>.</w:t>
      </w:r>
      <w:r w:rsidR="00243928" w:rsidRPr="001176A7">
        <w:t xml:space="preserve"> Les cartes de cette époque ne présentent généralement que l’emplacement des villes et des cours d’eau ainsi que, plus rarement, celui des axes routiers majeurs et des principales forêts. Il est donc particulièrement significatif que le menhir d’</w:t>
      </w:r>
      <w:proofErr w:type="spellStart"/>
      <w:r w:rsidR="00243928" w:rsidRPr="001176A7">
        <w:t>Hollain</w:t>
      </w:r>
      <w:proofErr w:type="spellEnd"/>
      <w:r w:rsidR="00243928" w:rsidRPr="001176A7">
        <w:t xml:space="preserve"> y </w:t>
      </w:r>
      <w:r w:rsidR="001176A7" w:rsidRPr="001176A7">
        <w:t>figure</w:t>
      </w:r>
      <w:r w:rsidR="00243928" w:rsidRPr="001176A7">
        <w:t> : il s’agit visiblement d’un «</w:t>
      </w:r>
      <w:r w:rsidR="0089578D">
        <w:t> </w:t>
      </w:r>
      <w:r w:rsidR="00243928" w:rsidRPr="001176A7">
        <w:t xml:space="preserve">monument » </w:t>
      </w:r>
      <w:r w:rsidR="0089578D">
        <w:t>à ce point</w:t>
      </w:r>
      <w:r w:rsidR="00243928" w:rsidRPr="001176A7">
        <w:t xml:space="preserve"> important à l’échelle locale qu’on l’a jugé digne d</w:t>
      </w:r>
      <w:r w:rsidR="0083638B">
        <w:t>’y</w:t>
      </w:r>
      <w:r w:rsidR="00243928" w:rsidRPr="001176A7">
        <w:t xml:space="preserve"> figurer</w:t>
      </w:r>
      <w:r w:rsidR="008C207C" w:rsidRPr="001176A7">
        <w:rPr>
          <w:rStyle w:val="Appelnotedebasdep"/>
        </w:rPr>
        <w:footnoteReference w:id="6"/>
      </w:r>
      <w:r w:rsidR="001176A7" w:rsidRPr="001176A7">
        <w:t>.</w:t>
      </w:r>
      <w:r w:rsidR="00861436">
        <w:t xml:space="preserve"> La pierre apparaît ensuite presque systématiquement sur les cartes dressées à la fin du </w:t>
      </w:r>
      <w:r w:rsidR="00861436" w:rsidRPr="00C3133B">
        <w:t>XVII</w:t>
      </w:r>
      <w:r w:rsidR="00861436" w:rsidRPr="00C3133B">
        <w:rPr>
          <w:vertAlign w:val="superscript"/>
        </w:rPr>
        <w:t>e</w:t>
      </w:r>
      <w:r w:rsidR="00861436" w:rsidRPr="00C3133B">
        <w:t xml:space="preserve"> siècle par les cartographes militaires français qui accompagnent les armées de Louis XIV</w:t>
      </w:r>
      <w:r w:rsidR="00C3133B" w:rsidRPr="00C3133B">
        <w:rPr>
          <w:rStyle w:val="Appelnotedebasdep"/>
        </w:rPr>
        <w:footnoteReference w:id="7"/>
      </w:r>
      <w:r w:rsidR="00861436" w:rsidRPr="00C3133B">
        <w:t xml:space="preserve">, </w:t>
      </w:r>
      <w:r w:rsidR="003F6025">
        <w:t>puis</w:t>
      </w:r>
      <w:r w:rsidR="00861436" w:rsidRPr="00C3133B">
        <w:t xml:space="preserve"> tout au long du XVIII</w:t>
      </w:r>
      <w:r w:rsidR="00861436" w:rsidRPr="00C3133B">
        <w:rPr>
          <w:vertAlign w:val="superscript"/>
        </w:rPr>
        <w:t>e</w:t>
      </w:r>
      <w:r w:rsidR="00861436" w:rsidRPr="00C3133B">
        <w:t xml:space="preserve"> siècle</w:t>
      </w:r>
      <w:r w:rsidR="00C3133B" w:rsidRPr="00C3133B">
        <w:t xml:space="preserve"> (</w:t>
      </w:r>
      <w:r w:rsidR="00C3133B">
        <w:t>notamment</w:t>
      </w:r>
      <w:r w:rsidR="0083638B">
        <w:t xml:space="preserve"> sous la main</w:t>
      </w:r>
      <w:r w:rsidR="00C3133B">
        <w:t xml:space="preserve"> </w:t>
      </w:r>
      <w:r w:rsidR="0083638B">
        <w:t>d’</w:t>
      </w:r>
      <w:r w:rsidR="00C3133B" w:rsidRPr="00C3133B">
        <w:t xml:space="preserve">Alexis-Hubert et </w:t>
      </w:r>
      <w:r w:rsidR="0083638B">
        <w:t xml:space="preserve">de </w:t>
      </w:r>
      <w:r w:rsidR="00C3133B" w:rsidRPr="00C3133B">
        <w:t xml:space="preserve">Bernard-Antoine </w:t>
      </w:r>
      <w:proofErr w:type="spellStart"/>
      <w:r w:rsidR="00C3133B" w:rsidRPr="00C3133B">
        <w:t>Jaillot</w:t>
      </w:r>
      <w:proofErr w:type="spellEnd"/>
      <w:r w:rsidR="00C3133B" w:rsidRPr="00C3133B">
        <w:t xml:space="preserve">, </w:t>
      </w:r>
      <w:r w:rsidR="0083638B">
        <w:t xml:space="preserve">de </w:t>
      </w:r>
      <w:r w:rsidR="00C3133B" w:rsidRPr="00C3133B">
        <w:t xml:space="preserve">Gaspard Bailleul, </w:t>
      </w:r>
      <w:r w:rsidR="0083638B">
        <w:t>d’</w:t>
      </w:r>
      <w:r w:rsidR="00C3133B" w:rsidRPr="00C3133B">
        <w:t xml:space="preserve">Eugène Henri </w:t>
      </w:r>
      <w:proofErr w:type="spellStart"/>
      <w:r w:rsidR="00C3133B" w:rsidRPr="00C3133B">
        <w:t>Fricx</w:t>
      </w:r>
      <w:proofErr w:type="spellEnd"/>
      <w:r w:rsidR="00C3133B" w:rsidRPr="00C3133B">
        <w:t xml:space="preserve">, </w:t>
      </w:r>
      <w:r w:rsidR="0083638B">
        <w:t xml:space="preserve">de </w:t>
      </w:r>
      <w:proofErr w:type="spellStart"/>
      <w:r w:rsidR="00C3133B" w:rsidRPr="00C3133B">
        <w:t>Matthäus</w:t>
      </w:r>
      <w:proofErr w:type="spellEnd"/>
      <w:r w:rsidR="00C3133B" w:rsidRPr="00C3133B">
        <w:t xml:space="preserve"> </w:t>
      </w:r>
      <w:proofErr w:type="spellStart"/>
      <w:r w:rsidR="00C3133B" w:rsidRPr="00C3133B">
        <w:t>Seutter</w:t>
      </w:r>
      <w:proofErr w:type="spellEnd"/>
      <w:r w:rsidR="00C3133B" w:rsidRPr="00C3133B">
        <w:t xml:space="preserve">, </w:t>
      </w:r>
      <w:r w:rsidR="0083638B">
        <w:t xml:space="preserve">de </w:t>
      </w:r>
      <w:proofErr w:type="spellStart"/>
      <w:r w:rsidR="00C3133B" w:rsidRPr="00C3133B">
        <w:t>Ferraris</w:t>
      </w:r>
      <w:proofErr w:type="spellEnd"/>
      <w:r w:rsidR="00C3133B" w:rsidRPr="00C3133B">
        <w:t>...)</w:t>
      </w:r>
      <w:r w:rsidR="00C3133B" w:rsidRPr="00C3133B">
        <w:rPr>
          <w:rStyle w:val="Appelnotedebasdep"/>
        </w:rPr>
        <w:footnoteReference w:id="8"/>
      </w:r>
      <w:r w:rsidR="00861436" w:rsidRPr="00C3133B">
        <w:t>.</w:t>
      </w:r>
      <w:r w:rsidR="00C3133B">
        <w:t xml:space="preserve"> Identifiée en tant que « </w:t>
      </w:r>
      <w:r w:rsidR="00C3133B" w:rsidRPr="003E28BA">
        <w:t>pierre de Brunehaut »</w:t>
      </w:r>
      <w:r w:rsidR="00C3133B" w:rsidRPr="003E28BA">
        <w:rPr>
          <w:rStyle w:val="Appelnotedebasdep"/>
        </w:rPr>
        <w:footnoteReference w:id="9"/>
      </w:r>
      <w:r w:rsidR="00C3133B" w:rsidRPr="003E28BA">
        <w:t xml:space="preserve">, elle est symbolisée soit par un petit monticule évoquant </w:t>
      </w:r>
      <w:r w:rsidR="003F6025">
        <w:t xml:space="preserve">son </w:t>
      </w:r>
      <w:r w:rsidR="00C3133B" w:rsidRPr="003E28BA">
        <w:t>apparence, soit par un simple carré ou rectangle renseignant son emplacement (fig. 2)</w:t>
      </w:r>
      <w:r w:rsidR="003E28BA" w:rsidRPr="003E28BA">
        <w:t>.</w:t>
      </w:r>
      <w:r w:rsidR="003E28BA">
        <w:t xml:space="preserve"> </w:t>
      </w:r>
      <w:r w:rsidR="008B7C18" w:rsidRPr="003E28BA">
        <w:t xml:space="preserve">Cette présence récurrente </w:t>
      </w:r>
      <w:r w:rsidR="00262A3D" w:rsidRPr="003E28BA">
        <w:t>témoigne de l’importante</w:t>
      </w:r>
      <w:r w:rsidR="00461E98" w:rsidRPr="003E28BA">
        <w:t xml:space="preserve"> réputation du </w:t>
      </w:r>
      <w:r w:rsidR="00262A3D" w:rsidRPr="003E28BA">
        <w:t>mégalithe</w:t>
      </w:r>
      <w:r w:rsidR="00461E98" w:rsidRPr="003E28BA">
        <w:t xml:space="preserve"> </w:t>
      </w:r>
      <w:r w:rsidR="0083638B">
        <w:t xml:space="preserve">dans la région, </w:t>
      </w:r>
      <w:r w:rsidR="00461E98" w:rsidRPr="003E28BA">
        <w:t>certainement</w:t>
      </w:r>
      <w:r w:rsidR="0083638B">
        <w:t xml:space="preserve"> en raison</w:t>
      </w:r>
      <w:r w:rsidR="00461E98" w:rsidRPr="003E28BA">
        <w:t xml:space="preserve"> </w:t>
      </w:r>
      <w:r w:rsidR="00262A3D" w:rsidRPr="003E28BA">
        <w:t>de sa fonction point de repère</w:t>
      </w:r>
      <w:r w:rsidR="0083638B">
        <w:t>, mais</w:t>
      </w:r>
      <w:r w:rsidR="00461E98" w:rsidRPr="003E28BA">
        <w:t xml:space="preserve"> peut-être aussi </w:t>
      </w:r>
      <w:r w:rsidR="00262A3D" w:rsidRPr="003E28BA">
        <w:t>de la curiosité dont il a</w:t>
      </w:r>
      <w:r w:rsidR="00131BC9">
        <w:t xml:space="preserve"> </w:t>
      </w:r>
      <w:r w:rsidR="00262A3D" w:rsidRPr="003E28BA">
        <w:t>fai</w:t>
      </w:r>
      <w:r w:rsidR="00131BC9">
        <w:t>t</w:t>
      </w:r>
      <w:r w:rsidR="00262A3D" w:rsidRPr="003E28BA">
        <w:t xml:space="preserve"> l’objet. Ses origines vont en effet </w:t>
      </w:r>
      <w:r w:rsidR="003E28BA" w:rsidRPr="003E28BA">
        <w:t>susciter</w:t>
      </w:r>
      <w:r w:rsidR="00262A3D" w:rsidRPr="003E28BA">
        <w:t xml:space="preserve"> diverses théories tout </w:t>
      </w:r>
      <w:r w:rsidR="00BB3522" w:rsidRPr="003E28BA">
        <w:t>au long de la période moderne.</w:t>
      </w:r>
    </w:p>
    <w:p w14:paraId="0EB6B6C3" w14:textId="77777777" w:rsidR="003F6025" w:rsidRDefault="003F6025" w:rsidP="00EF24C6">
      <w:pPr>
        <w:spacing w:line="360" w:lineRule="auto"/>
        <w:jc w:val="both"/>
      </w:pPr>
    </w:p>
    <w:p w14:paraId="5489BADB" w14:textId="77777777" w:rsidR="00262A3D" w:rsidRDefault="00262A3D" w:rsidP="00262A3D">
      <w:pPr>
        <w:spacing w:line="360" w:lineRule="auto"/>
        <w:jc w:val="both"/>
        <w:rPr>
          <w:b/>
        </w:rPr>
      </w:pPr>
      <w:r>
        <w:rPr>
          <w:b/>
        </w:rPr>
        <w:t>Un monolithe lié à la figure de Brunehaut</w:t>
      </w:r>
    </w:p>
    <w:p w14:paraId="42D242B8" w14:textId="77777777" w:rsidR="00DB3932" w:rsidRDefault="00DB3932" w:rsidP="00EF24C6">
      <w:pPr>
        <w:spacing w:line="360" w:lineRule="auto"/>
        <w:jc w:val="both"/>
      </w:pPr>
    </w:p>
    <w:p w14:paraId="6054244A" w14:textId="3EF82EB0" w:rsidR="003E28BA" w:rsidRDefault="00D03EC0" w:rsidP="00EF24C6">
      <w:pPr>
        <w:spacing w:line="360" w:lineRule="auto"/>
        <w:jc w:val="both"/>
      </w:pPr>
      <w:r>
        <w:tab/>
        <w:t xml:space="preserve">Comme le laisse présager son nom, </w:t>
      </w:r>
      <w:r w:rsidR="00B51550">
        <w:t>la tradition locale associe</w:t>
      </w:r>
      <w:r w:rsidR="003E28BA">
        <w:t xml:space="preserve"> </w:t>
      </w:r>
      <w:r>
        <w:t>la pierre Brunehaut</w:t>
      </w:r>
      <w:r w:rsidR="003E28BA">
        <w:t xml:space="preserve">, à l’instar de nombreux autres vestiges remontant à un passé lointain, </w:t>
      </w:r>
      <w:r>
        <w:t xml:space="preserve">à la figure de la reine franque </w:t>
      </w:r>
      <w:r>
        <w:lastRenderedPageBreak/>
        <w:t>Brunehaut</w:t>
      </w:r>
      <w:r w:rsidR="0083638B">
        <w:rPr>
          <w:rStyle w:val="Appelnotedebasdep"/>
        </w:rPr>
        <w:footnoteReference w:id="10"/>
      </w:r>
      <w:r>
        <w:t xml:space="preserve">. </w:t>
      </w:r>
      <w:r w:rsidR="003E28BA">
        <w:t>De nombreuses voies romaines traversant les Pays-Bas méridionaux</w:t>
      </w:r>
      <w:r>
        <w:t xml:space="preserve"> </w:t>
      </w:r>
      <w:r w:rsidR="00B51550">
        <w:t>sont</w:t>
      </w:r>
      <w:r w:rsidR="003E28BA">
        <w:t xml:space="preserve"> alors </w:t>
      </w:r>
      <w:r>
        <w:t>connues sous le nom de « chaussées de Brune</w:t>
      </w:r>
      <w:r w:rsidR="003E28BA">
        <w:t xml:space="preserve">haut » et leur construction </w:t>
      </w:r>
      <w:r>
        <w:t xml:space="preserve">attribuée à cette </w:t>
      </w:r>
      <w:r w:rsidR="00C90D66">
        <w:t>souveraine</w:t>
      </w:r>
      <w:r w:rsidR="0020704D">
        <w:rPr>
          <w:rStyle w:val="Appelnotedebasdep"/>
        </w:rPr>
        <w:footnoteReference w:id="11"/>
      </w:r>
      <w:r>
        <w:t xml:space="preserve">. </w:t>
      </w:r>
      <w:r w:rsidR="00E822DF">
        <w:t xml:space="preserve">Les origines de ces traditions </w:t>
      </w:r>
      <w:r w:rsidR="003E28BA">
        <w:t>locales, attestées à partir du XIV</w:t>
      </w:r>
      <w:r w:rsidR="003E28BA" w:rsidRPr="00E822DF">
        <w:rPr>
          <w:vertAlign w:val="superscript"/>
        </w:rPr>
        <w:t xml:space="preserve">e </w:t>
      </w:r>
      <w:r w:rsidR="003E28BA">
        <w:t>siècle,</w:t>
      </w:r>
      <w:r w:rsidR="00E822DF">
        <w:t xml:space="preserve"> restent mal connues. </w:t>
      </w:r>
      <w:r w:rsidR="003E28BA">
        <w:t xml:space="preserve">Certaines d’entre elles présentent </w:t>
      </w:r>
      <w:r w:rsidR="00E822DF">
        <w:t xml:space="preserve">Brunehaut comme une magicienne usant de ses pouvoirs pour </w:t>
      </w:r>
      <w:r w:rsidR="0091468F">
        <w:t>ériger</w:t>
      </w:r>
      <w:r w:rsidR="00E822DF">
        <w:t xml:space="preserve"> des monuments hors du commun</w:t>
      </w:r>
      <w:r w:rsidR="00E822DF">
        <w:rPr>
          <w:rStyle w:val="Appelnotedebasdep"/>
        </w:rPr>
        <w:footnoteReference w:id="12"/>
      </w:r>
      <w:r w:rsidR="003E28BA">
        <w:t xml:space="preserve">. </w:t>
      </w:r>
    </w:p>
    <w:p w14:paraId="384A95FB" w14:textId="59635901" w:rsidR="00547B22" w:rsidRDefault="003E28BA" w:rsidP="00547B22">
      <w:pPr>
        <w:spacing w:line="360" w:lineRule="auto"/>
        <w:ind w:firstLine="708"/>
        <w:jc w:val="both"/>
      </w:pPr>
      <w:r>
        <w:t xml:space="preserve">L’attribution de l’érection du monolithe à Brunehaut s’explique </w:t>
      </w:r>
      <w:r w:rsidR="00A50953">
        <w:t>probablement par sa forte visibilité et surtout par le caractère inhabituel de son apparence. Durant les époques médiévale et moderne, il n’</w:t>
      </w:r>
      <w:r w:rsidR="00B51550">
        <w:t>es</w:t>
      </w:r>
      <w:r w:rsidR="00A50953">
        <w:t xml:space="preserve">t en effet pas rare que les populations locales </w:t>
      </w:r>
      <w:r w:rsidR="00C90D66">
        <w:t>imputent à l’action du</w:t>
      </w:r>
      <w:r w:rsidR="00A50953">
        <w:t xml:space="preserve"> Diable ou à la magie tout monument dont elles </w:t>
      </w:r>
      <w:r w:rsidR="00B51550">
        <w:t>sont</w:t>
      </w:r>
      <w:r w:rsidR="00A50953">
        <w:t xml:space="preserve"> incapables de déterminer les origines</w:t>
      </w:r>
      <w:r w:rsidR="00A50953">
        <w:rPr>
          <w:rStyle w:val="Appelnotedebasdep"/>
        </w:rPr>
        <w:footnoteReference w:id="13"/>
      </w:r>
      <w:r w:rsidR="00A50953">
        <w:t xml:space="preserve">. C’est ainsi qu’un dolmen situé à Jambes </w:t>
      </w:r>
      <w:r w:rsidR="00B51550">
        <w:t>est</w:t>
      </w:r>
      <w:r w:rsidR="00547B22">
        <w:t xml:space="preserve"> lui aussi</w:t>
      </w:r>
      <w:r w:rsidR="00A50953">
        <w:t xml:space="preserve"> connu localement, à la même époque, sous le nom de « pierre Brunehaut » ou « pierre du Diable »</w:t>
      </w:r>
      <w:r w:rsidR="00A50953">
        <w:rPr>
          <w:rStyle w:val="Appelnotedebasdep"/>
        </w:rPr>
        <w:footnoteReference w:id="14"/>
      </w:r>
      <w:r w:rsidR="00A50953">
        <w:t>. L’association de la pierre d’</w:t>
      </w:r>
      <w:proofErr w:type="spellStart"/>
      <w:r w:rsidR="00A50953">
        <w:t>Hollain</w:t>
      </w:r>
      <w:proofErr w:type="spellEnd"/>
      <w:r w:rsidR="00A50953">
        <w:t xml:space="preserve"> à Brunehaut a pu</w:t>
      </w:r>
      <w:r w:rsidR="00547B22">
        <w:t xml:space="preserve"> également</w:t>
      </w:r>
      <w:r w:rsidR="00A50953">
        <w:t xml:space="preserve"> être renforcée par sa proximité (30 mètres) avec la voie romaine reliant Bavay à Cassel via Tournai</w:t>
      </w:r>
      <w:r w:rsidR="00A50953">
        <w:rPr>
          <w:rStyle w:val="Appelnotedebasdep"/>
        </w:rPr>
        <w:footnoteReference w:id="15"/>
      </w:r>
      <w:r w:rsidR="00547B22">
        <w:t>. C’est en effet probablement pour cette raison que, suivant un processus similaire, le voyageur</w:t>
      </w:r>
      <w:r w:rsidR="004217F4">
        <w:t xml:space="preserve"> tournaisien Philippe de </w:t>
      </w:r>
      <w:proofErr w:type="spellStart"/>
      <w:r w:rsidR="004217F4">
        <w:t>Hurges</w:t>
      </w:r>
      <w:proofErr w:type="spellEnd"/>
      <w:r w:rsidR="00547B22" w:rsidRPr="00DA1B82">
        <w:rPr>
          <w:rStyle w:val="Appelnotedebasdep"/>
        </w:rPr>
        <w:footnoteReference w:id="16"/>
      </w:r>
      <w:r w:rsidR="00547B22">
        <w:t xml:space="preserve"> estime que les </w:t>
      </w:r>
      <w:r w:rsidR="00EC1ED8">
        <w:t>tumuli</w:t>
      </w:r>
      <w:r w:rsidR="00547B22">
        <w:t xml:space="preserve"> </w:t>
      </w:r>
      <w:r w:rsidR="00EC1ED8">
        <w:t>(</w:t>
      </w:r>
      <w:r w:rsidR="00547B22">
        <w:t>romains</w:t>
      </w:r>
      <w:r w:rsidR="00EC1ED8">
        <w:t>)</w:t>
      </w:r>
      <w:r w:rsidR="00547B22">
        <w:t xml:space="preserve"> qui bordent la voie Bavay-</w:t>
      </w:r>
      <w:proofErr w:type="spellStart"/>
      <w:r w:rsidR="00547B22">
        <w:t>Tonges</w:t>
      </w:r>
      <w:proofErr w:type="spellEnd"/>
      <w:r w:rsidR="00547B22">
        <w:t xml:space="preserve">, </w:t>
      </w:r>
      <w:r w:rsidR="00EC1ED8">
        <w:t>associée</w:t>
      </w:r>
      <w:r w:rsidR="00547B22">
        <w:t xml:space="preserve"> à Brunehaut, </w:t>
      </w:r>
      <w:r w:rsidR="00EC1ED8">
        <w:t>doivent</w:t>
      </w:r>
      <w:r w:rsidR="00547B22">
        <w:t xml:space="preserve"> également </w:t>
      </w:r>
      <w:r w:rsidR="00EC1ED8">
        <w:t>lui être attribués</w:t>
      </w:r>
      <w:r w:rsidR="00547B22">
        <w:t xml:space="preserve">. L’auteur considère </w:t>
      </w:r>
      <w:r w:rsidR="00EC1ED8">
        <w:t xml:space="preserve">les tertres </w:t>
      </w:r>
      <w:r w:rsidR="00547B22">
        <w:t>comme des points de repère destinés aux voyageurs qui emprunt</w:t>
      </w:r>
      <w:r w:rsidR="00762704">
        <w:t>e</w:t>
      </w:r>
      <w:r w:rsidR="00547B22">
        <w:t xml:space="preserve">nt la route </w:t>
      </w:r>
      <w:r w:rsidR="00EC1ED8">
        <w:t>supposément érigée par la reine franque</w:t>
      </w:r>
      <w:r w:rsidR="00547B22">
        <w:rPr>
          <w:rStyle w:val="Appelnotedebasdep"/>
        </w:rPr>
        <w:footnoteReference w:id="17"/>
      </w:r>
      <w:r w:rsidR="00547B22">
        <w:t>.</w:t>
      </w:r>
    </w:p>
    <w:p w14:paraId="317C5CFD" w14:textId="174D701B" w:rsidR="00B722FB" w:rsidRPr="00B722FB" w:rsidRDefault="00E822DF" w:rsidP="00B722FB">
      <w:pPr>
        <w:spacing w:line="360" w:lineRule="auto"/>
        <w:jc w:val="both"/>
      </w:pPr>
      <w:r>
        <w:tab/>
      </w:r>
      <w:r w:rsidR="00EC1ED8">
        <w:t>Bien qu’</w:t>
      </w:r>
      <w:r w:rsidR="00EC1ED8">
        <w:t xml:space="preserve">elles </w:t>
      </w:r>
      <w:r w:rsidR="00EC1ED8">
        <w:t>aient été</w:t>
      </w:r>
      <w:r w:rsidR="00EC1ED8">
        <w:t xml:space="preserve"> régulièrement mises en doute par les érudits</w:t>
      </w:r>
      <w:r w:rsidR="00EC1ED8">
        <w:t xml:space="preserve"> modernes</w:t>
      </w:r>
      <w:r w:rsidR="00EC1ED8">
        <w:rPr>
          <w:rStyle w:val="Appelnotedebasdep"/>
        </w:rPr>
        <w:footnoteReference w:id="18"/>
      </w:r>
      <w:r w:rsidR="00EC1ED8">
        <w:t>,</w:t>
      </w:r>
      <w:r w:rsidR="00EC1ED8">
        <w:t xml:space="preserve"> </w:t>
      </w:r>
      <w:r w:rsidR="00EC1ED8">
        <w:t>ces</w:t>
      </w:r>
      <w:r w:rsidR="00B722FB">
        <w:t xml:space="preserve"> traditions perdurent</w:t>
      </w:r>
      <w:r w:rsidR="00EC1ED8">
        <w:t xml:space="preserve"> encore</w:t>
      </w:r>
      <w:r w:rsidR="00B722FB">
        <w:t xml:space="preserve"> </w:t>
      </w:r>
      <w:r w:rsidR="00EC1ED8">
        <w:t>a</w:t>
      </w:r>
      <w:r w:rsidR="00B722FB">
        <w:t>u milieu du XVIII</w:t>
      </w:r>
      <w:r w:rsidR="00B722FB" w:rsidRPr="00B722FB">
        <w:rPr>
          <w:vertAlign w:val="superscript"/>
        </w:rPr>
        <w:t>e</w:t>
      </w:r>
      <w:r w:rsidR="00547B22">
        <w:t xml:space="preserve"> siècle</w:t>
      </w:r>
      <w:r w:rsidR="00EC1ED8">
        <w:t xml:space="preserve">. </w:t>
      </w:r>
      <w:r w:rsidR="00B722FB">
        <w:t>J</w:t>
      </w:r>
      <w:r w:rsidR="00C3217F">
        <w:t>oseph-</w:t>
      </w:r>
      <w:r w:rsidR="00B722FB">
        <w:t>A</w:t>
      </w:r>
      <w:r w:rsidR="00C3217F">
        <w:t xml:space="preserve">lexis </w:t>
      </w:r>
      <w:proofErr w:type="spellStart"/>
      <w:r w:rsidR="004217F4">
        <w:t>Poutrain</w:t>
      </w:r>
      <w:proofErr w:type="spellEnd"/>
      <w:r w:rsidR="00B722FB">
        <w:rPr>
          <w:rStyle w:val="Appelnotedebasdep"/>
        </w:rPr>
        <w:footnoteReference w:id="19"/>
      </w:r>
      <w:r w:rsidR="00B722FB">
        <w:t xml:space="preserve"> les présente</w:t>
      </w:r>
      <w:r w:rsidR="00547B22">
        <w:t xml:space="preserve"> </w:t>
      </w:r>
      <w:r w:rsidR="00B722FB">
        <w:t>comme l’hypothèse la plus probable concernant l’origine de la pierre d’</w:t>
      </w:r>
      <w:proofErr w:type="spellStart"/>
      <w:r w:rsidR="00B722FB">
        <w:t>Hollain</w:t>
      </w:r>
      <w:proofErr w:type="spellEnd"/>
      <w:r w:rsidR="00B722FB">
        <w:t> : « </w:t>
      </w:r>
      <w:r w:rsidR="00B722FB" w:rsidRPr="00B722FB">
        <w:rPr>
          <w:i/>
          <w:lang w:val="x-none"/>
        </w:rPr>
        <w:t xml:space="preserve">A en juger par le nom, sous lequel les tems nous l'ont conservée, il semble qu'on doive plutôt l'attribuer à une Reine de ce nom, Femme de </w:t>
      </w:r>
      <w:proofErr w:type="spellStart"/>
      <w:r w:rsidR="00B722FB" w:rsidRPr="00B722FB">
        <w:rPr>
          <w:i/>
          <w:lang w:val="x-none"/>
        </w:rPr>
        <w:t>Sigébert</w:t>
      </w:r>
      <w:proofErr w:type="spellEnd"/>
      <w:r w:rsidR="00B722FB" w:rsidRPr="00B722FB">
        <w:rPr>
          <w:i/>
          <w:lang w:val="x-none"/>
        </w:rPr>
        <w:t xml:space="preserve">, un des Rois de France de la première race, comme une marque de la réparation, qu'elle a faite, des </w:t>
      </w:r>
      <w:r w:rsidR="00B722FB" w:rsidRPr="00B722FB">
        <w:rPr>
          <w:i/>
          <w:lang w:val="x-none"/>
        </w:rPr>
        <w:lastRenderedPageBreak/>
        <w:t xml:space="preserve">chemins militaires des Romains, qu'à César, qui eut érigé en ce lieu ce monument de la Victoire, qu'il y </w:t>
      </w:r>
      <w:proofErr w:type="spellStart"/>
      <w:r w:rsidR="00B722FB" w:rsidRPr="00B722FB">
        <w:rPr>
          <w:i/>
          <w:lang w:val="x-none"/>
        </w:rPr>
        <w:t>avoit</w:t>
      </w:r>
      <w:proofErr w:type="spellEnd"/>
      <w:r w:rsidR="00B722FB" w:rsidRPr="00B722FB">
        <w:rPr>
          <w:i/>
          <w:lang w:val="x-none"/>
        </w:rPr>
        <w:t xml:space="preserve"> remportée sur les Nerviens, comme quelques Tournésiens lettrés le font entendre</w:t>
      </w:r>
      <w:r w:rsidR="00B722FB">
        <w:rPr>
          <w:i/>
        </w:rPr>
        <w:t xml:space="preserve"> </w:t>
      </w:r>
      <w:r w:rsidR="00B722FB" w:rsidRPr="00B722FB">
        <w:rPr>
          <w:lang w:val="x-none"/>
        </w:rPr>
        <w:t>»</w:t>
      </w:r>
      <w:r w:rsidR="00B722FB">
        <w:rPr>
          <w:rStyle w:val="Appelnotedebasdep"/>
          <w:lang w:val="x-none"/>
        </w:rPr>
        <w:footnoteReference w:id="20"/>
      </w:r>
      <w:r w:rsidR="00B722FB" w:rsidRPr="00B722FB">
        <w:t xml:space="preserve">. </w:t>
      </w:r>
      <w:r w:rsidR="00B722FB">
        <w:t>L’auteur fait ici référence à l’émergence d’une deuxième hypothèse (qu’il ne rejette pas complètement), au début du XVII</w:t>
      </w:r>
      <w:r w:rsidR="00B722FB" w:rsidRPr="002676A3">
        <w:rPr>
          <w:vertAlign w:val="superscript"/>
        </w:rPr>
        <w:t>e</w:t>
      </w:r>
      <w:r w:rsidR="00B722FB">
        <w:t xml:space="preserve"> siècle, présentant le monolithe comme un vestige romain.</w:t>
      </w:r>
    </w:p>
    <w:p w14:paraId="0B08342C" w14:textId="77777777" w:rsidR="00EF24C6" w:rsidRDefault="00EF24C6" w:rsidP="00EF24C6">
      <w:pPr>
        <w:spacing w:line="360" w:lineRule="auto"/>
        <w:jc w:val="both"/>
        <w:rPr>
          <w:b/>
        </w:rPr>
      </w:pPr>
    </w:p>
    <w:p w14:paraId="54C642CA" w14:textId="1154EC0D" w:rsidR="00EF24C6" w:rsidRPr="00117C92" w:rsidRDefault="00117C92" w:rsidP="00EF24C6">
      <w:pPr>
        <w:spacing w:line="360" w:lineRule="auto"/>
        <w:jc w:val="both"/>
        <w:rPr>
          <w:b/>
        </w:rPr>
      </w:pPr>
      <w:r>
        <w:rPr>
          <w:b/>
        </w:rPr>
        <w:t>Une</w:t>
      </w:r>
      <w:r w:rsidR="00EF24C6" w:rsidRPr="00117C92">
        <w:rPr>
          <w:b/>
        </w:rPr>
        <w:t xml:space="preserve"> pierre </w:t>
      </w:r>
      <w:r>
        <w:rPr>
          <w:b/>
        </w:rPr>
        <w:t xml:space="preserve">prouvant le </w:t>
      </w:r>
      <w:r w:rsidR="00EF24C6" w:rsidRPr="00117C92">
        <w:rPr>
          <w:b/>
        </w:rPr>
        <w:t>passé romain de Tournai</w:t>
      </w:r>
    </w:p>
    <w:p w14:paraId="54FD322C" w14:textId="77777777" w:rsidR="00EF24C6" w:rsidRPr="000223CD" w:rsidRDefault="00EF24C6" w:rsidP="00EF24C6">
      <w:pPr>
        <w:spacing w:line="360" w:lineRule="auto"/>
        <w:jc w:val="both"/>
        <w:rPr>
          <w:b/>
          <w:color w:val="FF0000"/>
        </w:rPr>
      </w:pPr>
    </w:p>
    <w:p w14:paraId="584C6BEE" w14:textId="49E47232" w:rsidR="00117C92" w:rsidRDefault="00B14268" w:rsidP="00EF24C6">
      <w:pPr>
        <w:spacing w:line="360" w:lineRule="auto"/>
        <w:jc w:val="both"/>
        <w:rPr>
          <w:rFonts w:eastAsia="NotDefSpecial"/>
          <w:color w:val="FF0000"/>
          <w:lang w:eastAsia="fr-FR"/>
        </w:rPr>
      </w:pPr>
      <w:r w:rsidRPr="000223CD">
        <w:rPr>
          <w:b/>
          <w:color w:val="FF0000"/>
        </w:rPr>
        <w:tab/>
      </w:r>
      <w:r w:rsidRPr="00117C92">
        <w:rPr>
          <w:bCs/>
        </w:rPr>
        <w:t xml:space="preserve">La thèse d’une origine romaine est défendue par le chanoine tournaisien </w:t>
      </w:r>
      <w:r w:rsidR="004217F4">
        <w:rPr>
          <w:rFonts w:eastAsia="Times New Roman"/>
          <w:bCs/>
          <w:lang w:val="fr-FR" w:eastAsia="ar-SA"/>
        </w:rPr>
        <w:t>Jean Cousin</w:t>
      </w:r>
      <w:r w:rsidRPr="00117C92">
        <w:rPr>
          <w:rStyle w:val="Appelnotedebasdep"/>
          <w:rFonts w:eastAsia="Times New Roman"/>
          <w:bCs/>
          <w:lang w:val="fr-FR" w:eastAsia="ar-SA"/>
        </w:rPr>
        <w:footnoteReference w:id="21"/>
      </w:r>
      <w:r w:rsidRPr="00117C92">
        <w:rPr>
          <w:rFonts w:eastAsia="Times New Roman"/>
          <w:bCs/>
          <w:lang w:val="fr-FR" w:eastAsia="ar-SA"/>
        </w:rPr>
        <w:t xml:space="preserve"> dans son </w:t>
      </w:r>
      <w:r w:rsidRPr="00117C92">
        <w:rPr>
          <w:rFonts w:eastAsia="NotDefSpecial"/>
          <w:i/>
          <w:lang w:eastAsia="fr-FR"/>
        </w:rPr>
        <w:t>Histoire de Tournay</w:t>
      </w:r>
      <w:r w:rsidRPr="00117C92">
        <w:rPr>
          <w:rFonts w:eastAsia="NotDefSpecial"/>
          <w:iCs/>
          <w:lang w:eastAsia="fr-FR"/>
        </w:rPr>
        <w:t xml:space="preserve"> </w:t>
      </w:r>
      <w:r w:rsidRPr="00117C92">
        <w:rPr>
          <w:rFonts w:eastAsia="NotDefSpecial"/>
          <w:lang w:eastAsia="fr-FR"/>
        </w:rPr>
        <w:t xml:space="preserve">parue en 1619. </w:t>
      </w:r>
      <w:r w:rsidR="00582759" w:rsidRPr="00117C92">
        <w:rPr>
          <w:rFonts w:eastAsia="NotDefSpecial"/>
          <w:lang w:eastAsia="fr-FR"/>
        </w:rPr>
        <w:t xml:space="preserve">Elle s’inscrit dans un vaste argumentaire visant à </w:t>
      </w:r>
      <w:r w:rsidR="00117C92" w:rsidRPr="00117C92">
        <w:rPr>
          <w:rFonts w:eastAsia="NotDefSpecial"/>
          <w:lang w:eastAsia="fr-FR"/>
        </w:rPr>
        <w:t>réaffirmer</w:t>
      </w:r>
      <w:r w:rsidR="00582759" w:rsidRPr="00117C92">
        <w:rPr>
          <w:rFonts w:eastAsia="NotDefSpecial"/>
          <w:lang w:eastAsia="fr-FR"/>
        </w:rPr>
        <w:t xml:space="preserve"> les origines antiques de la ville. </w:t>
      </w:r>
    </w:p>
    <w:p w14:paraId="4002CA8B" w14:textId="7D910E35" w:rsidR="00E054CC" w:rsidRDefault="00582759" w:rsidP="00E054CC">
      <w:pPr>
        <w:spacing w:line="360" w:lineRule="auto"/>
        <w:ind w:firstLine="708"/>
        <w:jc w:val="both"/>
      </w:pPr>
      <w:r w:rsidRPr="004217F4">
        <w:rPr>
          <w:rFonts w:eastAsia="NotDefSpecial"/>
          <w:lang w:eastAsia="fr-FR"/>
        </w:rPr>
        <w:t>Tout au long du Moyen Âge et jusqu’à la fin du XVI</w:t>
      </w:r>
      <w:r w:rsidRPr="004217F4">
        <w:rPr>
          <w:rFonts w:eastAsia="NotDefSpecial"/>
          <w:vertAlign w:val="superscript"/>
          <w:lang w:eastAsia="fr-FR"/>
        </w:rPr>
        <w:t>e</w:t>
      </w:r>
      <w:r w:rsidRPr="004217F4">
        <w:rPr>
          <w:rFonts w:eastAsia="NotDefSpecial"/>
          <w:lang w:eastAsia="fr-FR"/>
        </w:rPr>
        <w:t xml:space="preserve"> siècle, </w:t>
      </w:r>
      <w:r w:rsidR="00B51550" w:rsidRPr="004217F4">
        <w:rPr>
          <w:rFonts w:eastAsia="NotDefSpecial"/>
          <w:lang w:eastAsia="fr-FR"/>
        </w:rPr>
        <w:t>la tradition locale présente</w:t>
      </w:r>
      <w:r w:rsidR="00117C92" w:rsidRPr="004217F4">
        <w:rPr>
          <w:rFonts w:eastAsia="NotDefSpecial"/>
          <w:lang w:eastAsia="fr-FR"/>
        </w:rPr>
        <w:t xml:space="preserve"> les Tournaisiens </w:t>
      </w:r>
      <w:r w:rsidRPr="004217F4">
        <w:rPr>
          <w:rFonts w:eastAsia="NotDefSpecial"/>
          <w:lang w:eastAsia="fr-FR"/>
        </w:rPr>
        <w:t>comme l</w:t>
      </w:r>
      <w:r w:rsidR="00117C92" w:rsidRPr="004217F4">
        <w:rPr>
          <w:rFonts w:eastAsia="NotDefSpecial"/>
          <w:lang w:eastAsia="fr-FR"/>
        </w:rPr>
        <w:t>es « descendants » des Nerviens</w:t>
      </w:r>
      <w:r w:rsidR="00B51550" w:rsidRPr="004217F4">
        <w:rPr>
          <w:rFonts w:eastAsia="NotDefSpecial"/>
          <w:lang w:eastAsia="fr-FR"/>
        </w:rPr>
        <w:t> et Tournai comme leur « antique capitale »</w:t>
      </w:r>
      <w:r w:rsidRPr="004217F4">
        <w:rPr>
          <w:rStyle w:val="Appelnotedebasdep"/>
          <w:rFonts w:eastAsia="NotDefSpecial"/>
          <w:lang w:eastAsia="fr-FR"/>
        </w:rPr>
        <w:footnoteReference w:id="22"/>
      </w:r>
      <w:r w:rsidRPr="004217F4">
        <w:rPr>
          <w:rFonts w:eastAsia="NotDefSpecial"/>
          <w:lang w:eastAsia="fr-FR"/>
        </w:rPr>
        <w:t xml:space="preserve">. </w:t>
      </w:r>
      <w:r w:rsidR="00117C92" w:rsidRPr="004217F4">
        <w:rPr>
          <w:rFonts w:eastAsia="NotDefSpecial"/>
          <w:lang w:eastAsia="fr-FR"/>
        </w:rPr>
        <w:t xml:space="preserve">Différents </w:t>
      </w:r>
      <w:r w:rsidR="00B51550" w:rsidRPr="004217F4">
        <w:rPr>
          <w:rFonts w:eastAsia="NotDefSpecial"/>
          <w:lang w:eastAsia="fr-FR"/>
        </w:rPr>
        <w:t>érudits</w:t>
      </w:r>
      <w:r w:rsidR="00117C92" w:rsidRPr="004217F4">
        <w:rPr>
          <w:rFonts w:eastAsia="NotDefSpecial"/>
          <w:lang w:eastAsia="fr-FR"/>
        </w:rPr>
        <w:t xml:space="preserve"> de la fin du XVI</w:t>
      </w:r>
      <w:r w:rsidR="00117C92" w:rsidRPr="004217F4">
        <w:rPr>
          <w:rFonts w:eastAsia="NotDefSpecial"/>
          <w:vertAlign w:val="superscript"/>
          <w:lang w:eastAsia="fr-FR"/>
        </w:rPr>
        <w:t>e</w:t>
      </w:r>
      <w:r w:rsidR="00117C92" w:rsidRPr="004217F4">
        <w:rPr>
          <w:rFonts w:eastAsia="NotDefSpecial"/>
          <w:lang w:eastAsia="fr-FR"/>
        </w:rPr>
        <w:t xml:space="preserve"> siècle et du début du XVII</w:t>
      </w:r>
      <w:r w:rsidR="00117C92" w:rsidRPr="004217F4">
        <w:rPr>
          <w:rFonts w:eastAsia="NotDefSpecial"/>
          <w:vertAlign w:val="superscript"/>
          <w:lang w:eastAsia="fr-FR"/>
        </w:rPr>
        <w:t>e</w:t>
      </w:r>
      <w:r w:rsidR="00117C92" w:rsidRPr="004217F4">
        <w:rPr>
          <w:rFonts w:eastAsia="NotDefSpecial"/>
          <w:lang w:eastAsia="fr-FR"/>
        </w:rPr>
        <w:t xml:space="preserve"> siècle remettent cependant en</w:t>
      </w:r>
      <w:r w:rsidR="00B51550" w:rsidRPr="004217F4">
        <w:rPr>
          <w:rFonts w:eastAsia="NotDefSpecial"/>
          <w:lang w:eastAsia="fr-FR"/>
        </w:rPr>
        <w:t xml:space="preserve"> question</w:t>
      </w:r>
      <w:r w:rsidR="00117C92" w:rsidRPr="004217F4">
        <w:rPr>
          <w:rFonts w:eastAsia="NotDefSpecial"/>
          <w:lang w:eastAsia="fr-FR"/>
        </w:rPr>
        <w:t xml:space="preserve"> cette affirmation</w:t>
      </w:r>
      <w:r w:rsidR="00E054CC" w:rsidRPr="004217F4">
        <w:rPr>
          <w:rFonts w:eastAsia="NotDefSpecial"/>
          <w:lang w:eastAsia="fr-FR"/>
        </w:rPr>
        <w:t>,</w:t>
      </w:r>
      <w:r w:rsidR="00117C92" w:rsidRPr="004217F4">
        <w:rPr>
          <w:rFonts w:eastAsia="NotDefSpecial"/>
          <w:lang w:eastAsia="fr-FR"/>
        </w:rPr>
        <w:t xml:space="preserve"> </w:t>
      </w:r>
      <w:r w:rsidR="00E054CC" w:rsidRPr="004217F4">
        <w:rPr>
          <w:rFonts w:eastAsia="NotDefSpecial"/>
          <w:lang w:eastAsia="fr-FR"/>
        </w:rPr>
        <w:t xml:space="preserve">dans un premier temps </w:t>
      </w:r>
      <w:r w:rsidR="00117C92" w:rsidRPr="004217F4">
        <w:rPr>
          <w:rFonts w:eastAsia="NotDefSpecial"/>
          <w:lang w:eastAsia="fr-FR"/>
        </w:rPr>
        <w:t xml:space="preserve">à l’aide de sources telles que </w:t>
      </w:r>
      <w:r w:rsidR="00117C92" w:rsidRPr="00CC1E01">
        <w:rPr>
          <w:rFonts w:eastAsia="NotDefSpecial"/>
          <w:lang w:eastAsia="fr-FR"/>
        </w:rPr>
        <w:t>l’</w:t>
      </w:r>
      <w:r w:rsidR="00117C92" w:rsidRPr="00C90D66">
        <w:rPr>
          <w:rFonts w:eastAsia="NotDefSpecial"/>
          <w:i/>
          <w:iCs/>
          <w:lang w:eastAsia="fr-FR"/>
        </w:rPr>
        <w:t>Itinéraire d’Antonin</w:t>
      </w:r>
      <w:r w:rsidR="00117C92" w:rsidRPr="004217F4">
        <w:rPr>
          <w:rFonts w:eastAsia="NotDefSpecial"/>
          <w:lang w:eastAsia="fr-FR"/>
        </w:rPr>
        <w:t xml:space="preserve"> et la </w:t>
      </w:r>
      <w:r w:rsidR="00117C92" w:rsidRPr="00C90D66">
        <w:rPr>
          <w:rFonts w:eastAsia="NotDefSpecial"/>
          <w:i/>
          <w:iCs/>
          <w:lang w:eastAsia="fr-FR"/>
        </w:rPr>
        <w:t>Table de Peutinger</w:t>
      </w:r>
      <w:r w:rsidR="00117C92" w:rsidRPr="004217F4">
        <w:rPr>
          <w:rFonts w:eastAsia="NotDefSpecial"/>
          <w:lang w:eastAsia="fr-FR"/>
        </w:rPr>
        <w:t xml:space="preserve">. La redécouverte de ces sources permet en effet d’attester l’existence d’une localité nommée </w:t>
      </w:r>
      <w:r w:rsidRPr="004217F4">
        <w:rPr>
          <w:rFonts w:eastAsia="NotDefSpecial"/>
          <w:i/>
          <w:iCs/>
          <w:lang w:eastAsia="fr-FR"/>
        </w:rPr>
        <w:t xml:space="preserve">Bagacum </w:t>
      </w:r>
      <w:proofErr w:type="spellStart"/>
      <w:r w:rsidRPr="004217F4">
        <w:rPr>
          <w:rFonts w:eastAsia="NotDefSpecial"/>
          <w:i/>
          <w:iCs/>
          <w:lang w:eastAsia="fr-FR"/>
        </w:rPr>
        <w:t>Nerviorum</w:t>
      </w:r>
      <w:proofErr w:type="spellEnd"/>
      <w:r w:rsidR="00EC0B31" w:rsidRPr="004217F4">
        <w:rPr>
          <w:rFonts w:eastAsia="NotDefSpecial"/>
          <w:lang w:eastAsia="fr-FR"/>
        </w:rPr>
        <w:t>,</w:t>
      </w:r>
      <w:r w:rsidRPr="004217F4">
        <w:rPr>
          <w:rFonts w:eastAsia="NotDefSpecial"/>
          <w:lang w:eastAsia="fr-FR"/>
        </w:rPr>
        <w:t xml:space="preserve"> </w:t>
      </w:r>
      <w:r w:rsidR="00117C92" w:rsidRPr="004217F4">
        <w:rPr>
          <w:rFonts w:eastAsia="NotDefSpecial"/>
          <w:lang w:eastAsia="fr-FR"/>
        </w:rPr>
        <w:t xml:space="preserve">dont le nom évoque clairement les Nerviens et le site de Bavay. </w:t>
      </w:r>
      <w:r w:rsidR="00B51550" w:rsidRPr="004217F4">
        <w:rPr>
          <w:rFonts w:eastAsia="NotDefSpecial"/>
          <w:lang w:eastAsia="fr-FR"/>
        </w:rPr>
        <w:t>D</w:t>
      </w:r>
      <w:r w:rsidR="00E054CC" w:rsidRPr="004217F4">
        <w:rPr>
          <w:rFonts w:eastAsia="NotDefSpecial"/>
          <w:lang w:eastAsia="fr-FR"/>
        </w:rPr>
        <w:t>ans un second temps, les vestiges matériels viennent confirmer ces premières intuitions</w:t>
      </w:r>
      <w:r w:rsidR="00C17686">
        <w:rPr>
          <w:rFonts w:eastAsia="NotDefSpecial"/>
          <w:lang w:eastAsia="fr-FR"/>
        </w:rPr>
        <w:t>. Q</w:t>
      </w:r>
      <w:r w:rsidR="00E054CC" w:rsidRPr="004217F4">
        <w:rPr>
          <w:rFonts w:eastAsia="NotDefSpecial"/>
          <w:lang w:eastAsia="fr-FR"/>
        </w:rPr>
        <w:t>uelques auteurs, à l’image d’</w:t>
      </w:r>
      <w:r w:rsidR="004217F4">
        <w:t>Aubert Le Mire</w:t>
      </w:r>
      <w:r w:rsidR="00E054CC" w:rsidRPr="004217F4">
        <w:rPr>
          <w:rStyle w:val="Appelnotedebasdep"/>
        </w:rPr>
        <w:footnoteReference w:id="23"/>
      </w:r>
      <w:r w:rsidR="00E054CC" w:rsidRPr="004217F4">
        <w:t xml:space="preserve"> et de </w:t>
      </w:r>
      <w:r w:rsidR="004217F4">
        <w:t>Gilles Bouchier</w:t>
      </w:r>
      <w:r w:rsidR="00E054CC" w:rsidRPr="004217F4">
        <w:rPr>
          <w:rStyle w:val="Appelnotedebasdep"/>
        </w:rPr>
        <w:footnoteReference w:id="24"/>
      </w:r>
      <w:r w:rsidR="00E054CC" w:rsidRPr="004217F4">
        <w:t>,</w:t>
      </w:r>
      <w:r w:rsidR="00E054CC" w:rsidRPr="004217F4">
        <w:rPr>
          <w:rFonts w:eastAsia="NotDefSpecial"/>
          <w:lang w:eastAsia="fr-FR"/>
        </w:rPr>
        <w:t xml:space="preserve"> </w:t>
      </w:r>
      <w:r w:rsidR="00E054CC" w:rsidRPr="004217F4">
        <w:t>se rendent à Bavay et y observent personnellement les « monuments » qui y sont alors visibles (aqueduc, voies romaines, « cirque », etc.)</w:t>
      </w:r>
      <w:r w:rsidR="00E054CC" w:rsidRPr="004217F4">
        <w:rPr>
          <w:rStyle w:val="Appelnotedebasdep"/>
        </w:rPr>
        <w:footnoteReference w:id="25"/>
      </w:r>
      <w:r w:rsidR="00E054CC" w:rsidRPr="004217F4">
        <w:t>. Mobilisant conjointement le texte et les vestiges matériels, à l’image des antiquaires modernes</w:t>
      </w:r>
      <w:r w:rsidR="00E054CC" w:rsidRPr="004217F4">
        <w:rPr>
          <w:vertAlign w:val="superscript"/>
        </w:rPr>
        <w:footnoteReference w:id="26"/>
      </w:r>
      <w:r w:rsidR="00E054CC" w:rsidRPr="004217F4">
        <w:t xml:space="preserve">, ils soutiennent à juste titre </w:t>
      </w:r>
      <w:r w:rsidR="004217F4" w:rsidRPr="004217F4">
        <w:t>que le chef-lieu</w:t>
      </w:r>
      <w:r w:rsidR="00CC1E01">
        <w:t xml:space="preserve"> de la cité</w:t>
      </w:r>
      <w:r w:rsidR="004217F4" w:rsidRPr="004217F4">
        <w:t xml:space="preserve"> des Nerviens se trouvait à Bavay et ne pouvait être situé à Tournai.</w:t>
      </w:r>
    </w:p>
    <w:p w14:paraId="12F3FB1D" w14:textId="3C317CB6" w:rsidR="00EF24C6" w:rsidRPr="00CC1E01" w:rsidRDefault="004217F4" w:rsidP="00CC1E01">
      <w:pPr>
        <w:spacing w:line="360" w:lineRule="auto"/>
        <w:ind w:firstLine="708"/>
        <w:jc w:val="both"/>
        <w:rPr>
          <w:rFonts w:eastAsia="NotDefSpecial"/>
          <w:lang w:eastAsia="fr-FR"/>
        </w:rPr>
      </w:pPr>
      <w:r>
        <w:lastRenderedPageBreak/>
        <w:t>C’est dans ce</w:t>
      </w:r>
      <w:r>
        <w:rPr>
          <w:rFonts w:eastAsia="NotDefSpecial"/>
          <w:lang w:eastAsia="fr-FR"/>
        </w:rPr>
        <w:t xml:space="preserve"> </w:t>
      </w:r>
      <w:r w:rsidR="004F3F47" w:rsidRPr="004217F4">
        <w:rPr>
          <w:rFonts w:eastAsia="NotDefSpecial"/>
          <w:lang w:eastAsia="fr-FR"/>
        </w:rPr>
        <w:t>contexte que J</w:t>
      </w:r>
      <w:r w:rsidR="00C84DF5" w:rsidRPr="004217F4">
        <w:rPr>
          <w:rFonts w:eastAsia="NotDefSpecial"/>
          <w:lang w:eastAsia="fr-FR"/>
        </w:rPr>
        <w:t>ean Cousin en</w:t>
      </w:r>
      <w:r w:rsidRPr="004217F4">
        <w:rPr>
          <w:rFonts w:eastAsia="NotDefSpecial"/>
          <w:lang w:eastAsia="fr-FR"/>
        </w:rPr>
        <w:t xml:space="preserve">tend défendre les origines </w:t>
      </w:r>
      <w:r w:rsidR="00C17686">
        <w:rPr>
          <w:rFonts w:eastAsia="NotDefSpecial"/>
          <w:lang w:eastAsia="fr-FR"/>
        </w:rPr>
        <w:t>anciennes de sa ville.</w:t>
      </w:r>
      <w:r w:rsidR="00C84DF5" w:rsidRPr="004217F4">
        <w:rPr>
          <w:rFonts w:eastAsia="NotDefSpecial"/>
          <w:lang w:eastAsia="fr-FR"/>
        </w:rPr>
        <w:t xml:space="preserve"> </w:t>
      </w:r>
      <w:r w:rsidR="00C17686">
        <w:rPr>
          <w:rFonts w:eastAsia="NotDefSpecial"/>
          <w:lang w:eastAsia="fr-FR"/>
        </w:rPr>
        <w:t>L</w:t>
      </w:r>
      <w:r w:rsidR="00654E63" w:rsidRPr="004217F4">
        <w:rPr>
          <w:rFonts w:eastAsia="NotDefSpecial"/>
          <w:lang w:eastAsia="fr-FR"/>
        </w:rPr>
        <w:t>’enjeu est important</w:t>
      </w:r>
      <w:r w:rsidR="006F59FD" w:rsidRPr="004217F4">
        <w:rPr>
          <w:rFonts w:eastAsia="NotDefSpecial"/>
          <w:lang w:eastAsia="fr-FR"/>
        </w:rPr>
        <w:t xml:space="preserve"> car</w:t>
      </w:r>
      <w:r w:rsidR="00CC1E01">
        <w:rPr>
          <w:rFonts w:eastAsia="NotDefSpecial"/>
          <w:lang w:eastAsia="fr-FR"/>
        </w:rPr>
        <w:t>,</w:t>
      </w:r>
      <w:r w:rsidR="00654E63" w:rsidRPr="004217F4">
        <w:rPr>
          <w:rFonts w:eastAsia="NotDefSpecial"/>
          <w:lang w:eastAsia="fr-FR"/>
        </w:rPr>
        <w:t xml:space="preserve"> </w:t>
      </w:r>
      <w:r w:rsidRPr="004217F4">
        <w:rPr>
          <w:rFonts w:eastAsia="NotDefSpecial"/>
          <w:lang w:eastAsia="fr-FR"/>
        </w:rPr>
        <w:t>à cette époque</w:t>
      </w:r>
      <w:r w:rsidR="00CC1E01">
        <w:rPr>
          <w:rFonts w:eastAsia="NotDefSpecial"/>
          <w:lang w:eastAsia="fr-FR"/>
        </w:rPr>
        <w:t>,</w:t>
      </w:r>
      <w:r w:rsidRPr="004217F4">
        <w:rPr>
          <w:rFonts w:eastAsia="NotDefSpecial"/>
          <w:lang w:eastAsia="fr-FR"/>
        </w:rPr>
        <w:t xml:space="preserve"> </w:t>
      </w:r>
      <w:r w:rsidR="00654E63" w:rsidRPr="004217F4">
        <w:rPr>
          <w:rFonts w:eastAsia="NotDefSpecial"/>
          <w:lang w:eastAsia="fr-FR"/>
        </w:rPr>
        <w:t>l’ancie</w:t>
      </w:r>
      <w:r w:rsidRPr="004217F4">
        <w:rPr>
          <w:rFonts w:eastAsia="NotDefSpecial"/>
          <w:lang w:eastAsia="fr-FR"/>
        </w:rPr>
        <w:t xml:space="preserve">nneté d’une ville est synonyme de prestige et de </w:t>
      </w:r>
      <w:r w:rsidR="00654E63" w:rsidRPr="004217F4">
        <w:rPr>
          <w:rFonts w:eastAsia="NotDefSpecial"/>
          <w:lang w:eastAsia="fr-FR"/>
        </w:rPr>
        <w:t>prééminence vis-à-vis de ses voisines</w:t>
      </w:r>
      <w:r w:rsidR="00654E63" w:rsidRPr="004217F4">
        <w:rPr>
          <w:rStyle w:val="Appelnotedebasdep"/>
          <w:rFonts w:eastAsia="NotDefSpecial"/>
          <w:lang w:eastAsia="fr-FR"/>
        </w:rPr>
        <w:footnoteReference w:id="27"/>
      </w:r>
      <w:r w:rsidRPr="004217F4">
        <w:rPr>
          <w:rFonts w:eastAsia="NotDefSpecial"/>
          <w:lang w:eastAsia="fr-FR"/>
        </w:rPr>
        <w:t xml:space="preserve">. </w:t>
      </w:r>
      <w:r>
        <w:rPr>
          <w:rFonts w:eastAsia="NotDefSpecial"/>
          <w:lang w:eastAsia="fr-FR"/>
        </w:rPr>
        <w:t xml:space="preserve">La question est particulièrement sensible à Tournai qui est le siège d’un </w:t>
      </w:r>
      <w:r w:rsidR="00CC1E01">
        <w:rPr>
          <w:rFonts w:eastAsia="NotDefSpecial"/>
          <w:lang w:eastAsia="fr-FR"/>
        </w:rPr>
        <w:t>évêché</w:t>
      </w:r>
      <w:r>
        <w:rPr>
          <w:rFonts w:eastAsia="NotDefSpecial"/>
          <w:lang w:eastAsia="fr-FR"/>
        </w:rPr>
        <w:t xml:space="preserve"> : la plupart des diocèses primitifs ayant calqué </w:t>
      </w:r>
      <w:r w:rsidRPr="004217F4">
        <w:rPr>
          <w:rFonts w:eastAsia="NotDefSpecial"/>
          <w:lang w:eastAsia="fr-FR"/>
        </w:rPr>
        <w:t>leur chef-lieu et leurs limites sur ceux des cités romaines, contester que la ville aux cinq clochers ait été la « capitale » des Nerviens p</w:t>
      </w:r>
      <w:r w:rsidR="00CC1E01">
        <w:rPr>
          <w:rFonts w:eastAsia="NotDefSpecial"/>
          <w:lang w:eastAsia="fr-FR"/>
        </w:rPr>
        <w:t>ouvai</w:t>
      </w:r>
      <w:r w:rsidRPr="004217F4">
        <w:rPr>
          <w:rFonts w:eastAsia="NotDefSpecial"/>
          <w:lang w:eastAsia="fr-FR"/>
        </w:rPr>
        <w:t xml:space="preserve">t conduire à </w:t>
      </w:r>
      <w:r w:rsidR="00CC1E01">
        <w:rPr>
          <w:rFonts w:eastAsia="NotDefSpecial"/>
          <w:lang w:eastAsia="fr-FR"/>
        </w:rPr>
        <w:t>réviser</w:t>
      </w:r>
      <w:r w:rsidRPr="004217F4">
        <w:rPr>
          <w:rFonts w:eastAsia="NotDefSpecial"/>
          <w:lang w:eastAsia="fr-FR"/>
        </w:rPr>
        <w:t xml:space="preserve"> considérablement l’histoire ancienne du diocèse tournaisien</w:t>
      </w:r>
      <w:r w:rsidRPr="004217F4">
        <w:rPr>
          <w:rStyle w:val="Appelnotedebasdep"/>
          <w:rFonts w:eastAsia="NotDefSpecial"/>
          <w:lang w:eastAsia="fr-FR"/>
        </w:rPr>
        <w:footnoteReference w:id="28"/>
      </w:r>
      <w:r w:rsidRPr="004217F4">
        <w:rPr>
          <w:rFonts w:eastAsia="NotDefSpecial"/>
          <w:lang w:eastAsia="fr-FR"/>
        </w:rPr>
        <w:t>, ce qu</w:t>
      </w:r>
      <w:r w:rsidR="00CC1E01">
        <w:rPr>
          <w:rFonts w:eastAsia="NotDefSpecial"/>
          <w:lang w:eastAsia="fr-FR"/>
        </w:rPr>
        <w:t>i</w:t>
      </w:r>
      <w:r w:rsidRPr="004217F4">
        <w:rPr>
          <w:rFonts w:eastAsia="NotDefSpecial"/>
          <w:lang w:eastAsia="fr-FR"/>
        </w:rPr>
        <w:t xml:space="preserve"> </w:t>
      </w:r>
      <w:r w:rsidR="00CC1E01">
        <w:rPr>
          <w:rFonts w:eastAsia="NotDefSpecial"/>
          <w:lang w:eastAsia="fr-FR"/>
        </w:rPr>
        <w:t>était difficilement tolérable pour</w:t>
      </w:r>
      <w:r w:rsidRPr="004217F4">
        <w:rPr>
          <w:rFonts w:eastAsia="NotDefSpecial"/>
          <w:lang w:eastAsia="fr-FR"/>
        </w:rPr>
        <w:t xml:space="preserve"> un chanoine tel que Cousin.</w:t>
      </w:r>
      <w:r w:rsidR="00C17686">
        <w:rPr>
          <w:rFonts w:eastAsia="NotDefSpecial"/>
          <w:lang w:eastAsia="fr-FR"/>
        </w:rPr>
        <w:t xml:space="preserve"> Celui-ci </w:t>
      </w:r>
      <w:r w:rsidR="00C84DF5" w:rsidRPr="00C17686">
        <w:t>semble</w:t>
      </w:r>
      <w:r w:rsidR="00EC0B31" w:rsidRPr="00C17686">
        <w:t xml:space="preserve"> </w:t>
      </w:r>
      <w:r w:rsidR="00C84DF5" w:rsidRPr="00C17686">
        <w:t xml:space="preserve">être le premier à interpréter </w:t>
      </w:r>
      <w:r w:rsidR="00CC1E01">
        <w:t>la pierre</w:t>
      </w:r>
      <w:r w:rsidR="00C17686" w:rsidRPr="00C17686">
        <w:t xml:space="preserve"> d’</w:t>
      </w:r>
      <w:proofErr w:type="spellStart"/>
      <w:r w:rsidR="00C17686" w:rsidRPr="00C17686">
        <w:t>Hollain</w:t>
      </w:r>
      <w:proofErr w:type="spellEnd"/>
      <w:r w:rsidR="00C17686" w:rsidRPr="00C17686">
        <w:t xml:space="preserve"> comme un possible monument immortalisant une</w:t>
      </w:r>
      <w:r w:rsidR="00C84DF5" w:rsidRPr="00C17686">
        <w:t xml:space="preserve"> vic</w:t>
      </w:r>
      <w:r w:rsidR="00C17686" w:rsidRPr="00C17686">
        <w:t>toire de César sur les Nerviens</w:t>
      </w:r>
      <w:r w:rsidR="00EC0B31" w:rsidRPr="00C17686">
        <w:rPr>
          <w:rStyle w:val="Appelnotedebasdep"/>
        </w:rPr>
        <w:footnoteReference w:id="29"/>
      </w:r>
      <w:r w:rsidR="00EC0B31" w:rsidRPr="00C17686">
        <w:t xml:space="preserve">. La présence du monolithe à proximité de Tournai démontre, aux yeux de l’auteur, </w:t>
      </w:r>
      <w:r w:rsidR="00C84DF5" w:rsidRPr="00C17686">
        <w:t>que le site était déjà occupé avant la conquête romaine</w:t>
      </w:r>
      <w:r w:rsidR="00EC0B31" w:rsidRPr="00C17686">
        <w:t xml:space="preserve"> et qu’il était dès cette époque la capitale des Nerviens</w:t>
      </w:r>
      <w:r w:rsidR="002676A3" w:rsidRPr="00C17686">
        <w:rPr>
          <w:rStyle w:val="Appelnotedebasdep"/>
        </w:rPr>
        <w:footnoteReference w:id="30"/>
      </w:r>
      <w:r w:rsidR="00EC0B31" w:rsidRPr="00C17686">
        <w:t xml:space="preserve">. </w:t>
      </w:r>
      <w:r w:rsidR="00CC1E01">
        <w:t>Cousin</w:t>
      </w:r>
      <w:r w:rsidR="00EC0B31" w:rsidRPr="00C17686">
        <w:t xml:space="preserve"> fait néanmoins preuve de prudence et tempère son hypothèse, en déclarant : « </w:t>
      </w:r>
      <w:r w:rsidR="00C84DF5" w:rsidRPr="00C17686">
        <w:rPr>
          <w:i/>
          <w:iCs/>
        </w:rPr>
        <w:t xml:space="preserve">je n’en veux rien </w:t>
      </w:r>
      <w:proofErr w:type="spellStart"/>
      <w:r w:rsidR="00C84DF5" w:rsidRPr="00C17686">
        <w:rPr>
          <w:i/>
          <w:iCs/>
        </w:rPr>
        <w:t>asseurer</w:t>
      </w:r>
      <w:proofErr w:type="spellEnd"/>
      <w:r w:rsidR="00C84DF5" w:rsidRPr="00C17686">
        <w:rPr>
          <w:i/>
          <w:iCs/>
        </w:rPr>
        <w:t xml:space="preserve"> si est ce qu’on </w:t>
      </w:r>
      <w:proofErr w:type="spellStart"/>
      <w:r w:rsidR="00C84DF5" w:rsidRPr="00C17686">
        <w:rPr>
          <w:i/>
          <w:iCs/>
        </w:rPr>
        <w:t>sçait</w:t>
      </w:r>
      <w:proofErr w:type="spellEnd"/>
      <w:r w:rsidR="00C84DF5" w:rsidRPr="00C17686">
        <w:rPr>
          <w:i/>
          <w:iCs/>
        </w:rPr>
        <w:t xml:space="preserve"> bien que les Romains ont fort convoite d’immortaliser leurs victoires</w:t>
      </w:r>
      <w:r w:rsidR="00EC0B31" w:rsidRPr="00C17686">
        <w:t> »</w:t>
      </w:r>
      <w:r w:rsidR="00C84DF5" w:rsidRPr="00C17686">
        <w:rPr>
          <w:rStyle w:val="Appelnotedebasdep"/>
        </w:rPr>
        <w:footnoteReference w:id="31"/>
      </w:r>
      <w:r w:rsidR="00C84DF5" w:rsidRPr="00C17686">
        <w:t>.</w:t>
      </w:r>
      <w:r w:rsidR="00C17686">
        <w:t xml:space="preserve"> </w:t>
      </w:r>
      <w:r w:rsidR="00CC1E01">
        <w:t xml:space="preserve">Cette </w:t>
      </w:r>
      <w:r w:rsidR="00C17686">
        <w:t xml:space="preserve">hypothèse est reprise, en 1652, par un second chanoine tournaisien soucieux de démontrer l’ancienneté de sa ville. </w:t>
      </w:r>
      <w:r w:rsidR="00C17686" w:rsidRPr="003C1F84">
        <w:t xml:space="preserve">Dans son </w:t>
      </w:r>
      <w:proofErr w:type="spellStart"/>
      <w:r w:rsidR="00C17686" w:rsidRPr="003C1F84">
        <w:rPr>
          <w:i/>
          <w:iCs/>
        </w:rPr>
        <w:t>Tornacum</w:t>
      </w:r>
      <w:proofErr w:type="spellEnd"/>
      <w:r w:rsidR="00C17686" w:rsidRPr="003C1F84">
        <w:rPr>
          <w:i/>
          <w:iCs/>
        </w:rPr>
        <w:t xml:space="preserve"> </w:t>
      </w:r>
      <w:proofErr w:type="spellStart"/>
      <w:r w:rsidR="00C17686" w:rsidRPr="003C1F84">
        <w:rPr>
          <w:i/>
          <w:iCs/>
        </w:rPr>
        <w:t>Nerviorum</w:t>
      </w:r>
      <w:proofErr w:type="spellEnd"/>
      <w:r w:rsidR="00C17686" w:rsidRPr="003C1F84">
        <w:t>, André Catulle</w:t>
      </w:r>
      <w:r w:rsidR="00C17686" w:rsidRPr="003C1F84">
        <w:rPr>
          <w:rStyle w:val="Appelnotedebasdep"/>
          <w:rFonts w:eastAsia="Times New Roman"/>
          <w:lang w:val="fr-FR" w:eastAsia="ar-SA"/>
        </w:rPr>
        <w:footnoteReference w:id="32"/>
      </w:r>
      <w:r w:rsidR="00C17686" w:rsidRPr="003C1F84">
        <w:t xml:space="preserve"> se montre plus </w:t>
      </w:r>
      <w:r w:rsidR="003C1F84" w:rsidRPr="003C1F84">
        <w:t>affirmatif lorsqu’il explique que la pierre ne peut être en réalité qu</w:t>
      </w:r>
      <w:r w:rsidR="00DC09B6" w:rsidRPr="003C1F84">
        <w:t>’un trophée érigé par les Romains pour commémorer leur victoire sur les Nerviens (</w:t>
      </w:r>
      <w:r w:rsidR="00DC09B6" w:rsidRPr="003C1F84">
        <w:rPr>
          <w:i/>
          <w:iCs/>
        </w:rPr>
        <w:t xml:space="preserve">Quid ni </w:t>
      </w:r>
      <w:proofErr w:type="spellStart"/>
      <w:r w:rsidR="00DC09B6" w:rsidRPr="003C1F84">
        <w:rPr>
          <w:i/>
          <w:iCs/>
        </w:rPr>
        <w:t>divinare</w:t>
      </w:r>
      <w:proofErr w:type="spellEnd"/>
      <w:r w:rsidR="00DC09B6" w:rsidRPr="003C1F84">
        <w:rPr>
          <w:i/>
          <w:iCs/>
        </w:rPr>
        <w:t xml:space="preserve"> </w:t>
      </w:r>
      <w:proofErr w:type="spellStart"/>
      <w:r w:rsidR="00DC09B6" w:rsidRPr="003C1F84">
        <w:rPr>
          <w:i/>
          <w:iCs/>
        </w:rPr>
        <w:t>etiam</w:t>
      </w:r>
      <w:proofErr w:type="spellEnd"/>
      <w:r w:rsidR="00DC09B6" w:rsidRPr="003C1F84">
        <w:rPr>
          <w:i/>
          <w:iCs/>
        </w:rPr>
        <w:t xml:space="preserve"> </w:t>
      </w:r>
      <w:proofErr w:type="spellStart"/>
      <w:r w:rsidR="00DC09B6" w:rsidRPr="003C1F84">
        <w:rPr>
          <w:i/>
          <w:iCs/>
        </w:rPr>
        <w:t>liceat</w:t>
      </w:r>
      <w:proofErr w:type="spellEnd"/>
      <w:r w:rsidR="00DC09B6" w:rsidRPr="003C1F84">
        <w:rPr>
          <w:i/>
          <w:iCs/>
        </w:rPr>
        <w:t xml:space="preserve"> </w:t>
      </w:r>
      <w:proofErr w:type="spellStart"/>
      <w:r w:rsidR="00DC09B6" w:rsidRPr="003C1F84">
        <w:rPr>
          <w:i/>
          <w:iCs/>
        </w:rPr>
        <w:t>victoriæ</w:t>
      </w:r>
      <w:proofErr w:type="spellEnd"/>
      <w:r w:rsidR="00DC09B6" w:rsidRPr="003C1F84">
        <w:rPr>
          <w:i/>
          <w:iCs/>
        </w:rPr>
        <w:t xml:space="preserve"> </w:t>
      </w:r>
      <w:proofErr w:type="spellStart"/>
      <w:r w:rsidR="00DC09B6" w:rsidRPr="003C1F84">
        <w:rPr>
          <w:i/>
          <w:iCs/>
        </w:rPr>
        <w:t>illius</w:t>
      </w:r>
      <w:proofErr w:type="spellEnd"/>
      <w:r w:rsidR="00DC09B6" w:rsidRPr="003C1F84">
        <w:rPr>
          <w:i/>
          <w:iCs/>
        </w:rPr>
        <w:t xml:space="preserve"> esse </w:t>
      </w:r>
      <w:proofErr w:type="spellStart"/>
      <w:r w:rsidR="00DC09B6" w:rsidRPr="003C1F84">
        <w:rPr>
          <w:i/>
          <w:iCs/>
        </w:rPr>
        <w:t>trophæum</w:t>
      </w:r>
      <w:proofErr w:type="spellEnd"/>
      <w:r w:rsidR="0004686C">
        <w:rPr>
          <w:i/>
          <w:iCs/>
        </w:rPr>
        <w:t> </w:t>
      </w:r>
      <w:r w:rsidR="00DC09B6" w:rsidRPr="003C1F84">
        <w:rPr>
          <w:i/>
          <w:iCs/>
        </w:rPr>
        <w:t>?</w:t>
      </w:r>
      <w:r w:rsidR="00DC09B6" w:rsidRPr="003C1F84">
        <w:t>)</w:t>
      </w:r>
      <w:r w:rsidR="00DC09B6" w:rsidRPr="003C1F84">
        <w:rPr>
          <w:rStyle w:val="Appelnotedebasdep"/>
        </w:rPr>
        <w:footnoteReference w:id="33"/>
      </w:r>
      <w:r w:rsidR="00DC09B6" w:rsidRPr="003C1F84">
        <w:t>.</w:t>
      </w:r>
      <w:r w:rsidR="002676A3" w:rsidRPr="003C1F84">
        <w:t xml:space="preserve"> </w:t>
      </w:r>
      <w:r w:rsidR="00FC6092" w:rsidRPr="003C1F84">
        <w:t>Contrairement aux partisans de Bavay</w:t>
      </w:r>
      <w:r w:rsidR="003C1F84" w:rsidRPr="003C1F84">
        <w:t xml:space="preserve"> qui décrivent les vestiges qu’ils observent sur le site, les deux chanoines </w:t>
      </w:r>
      <w:r w:rsidR="00CC1E01">
        <w:t>se préoccupent assez</w:t>
      </w:r>
      <w:r w:rsidR="003C1F84" w:rsidRPr="003C1F84">
        <w:t xml:space="preserve"> peu </w:t>
      </w:r>
      <w:r w:rsidR="00CC1E01">
        <w:t>de</w:t>
      </w:r>
      <w:r w:rsidR="003C1F84" w:rsidRPr="003C1F84">
        <w:t xml:space="preserve"> l’apparence de leur « monolithe romain »</w:t>
      </w:r>
      <w:r w:rsidR="00E16233">
        <w:t>. Il</w:t>
      </w:r>
      <w:r w:rsidR="003C1F84" w:rsidRPr="003C1F84">
        <w:t xml:space="preserve"> ne les intéresse</w:t>
      </w:r>
      <w:r w:rsidR="00E16233">
        <w:t xml:space="preserve"> </w:t>
      </w:r>
      <w:r w:rsidR="003C1F84" w:rsidRPr="003C1F84">
        <w:t xml:space="preserve">pas en tant qu’objet d’étude à part entière, mais </w:t>
      </w:r>
      <w:r w:rsidR="00E16233">
        <w:t>plutôt</w:t>
      </w:r>
      <w:r w:rsidR="003C1F84" w:rsidRPr="003C1F84">
        <w:t xml:space="preserve"> en tant que monument dont l’apparence ancienne peut servir à appuyer leur point de vue sur les origines de leur ville et de leur région. </w:t>
      </w:r>
    </w:p>
    <w:p w14:paraId="2C4E18A1" w14:textId="2CEAFFE6" w:rsidR="003C1F84" w:rsidRDefault="003C1F84" w:rsidP="003C1F84">
      <w:pPr>
        <w:spacing w:line="360" w:lineRule="auto"/>
        <w:ind w:firstLine="708"/>
        <w:jc w:val="both"/>
      </w:pPr>
    </w:p>
    <w:p w14:paraId="4E67EE2D" w14:textId="0429031A" w:rsidR="00E16233" w:rsidRDefault="00E16233" w:rsidP="003C1F84">
      <w:pPr>
        <w:spacing w:line="360" w:lineRule="auto"/>
        <w:ind w:firstLine="708"/>
        <w:jc w:val="both"/>
      </w:pPr>
    </w:p>
    <w:p w14:paraId="3468AC40" w14:textId="2EA4E8BF" w:rsidR="00E16233" w:rsidRDefault="00E16233" w:rsidP="003C1F84">
      <w:pPr>
        <w:spacing w:line="360" w:lineRule="auto"/>
        <w:ind w:firstLine="708"/>
        <w:jc w:val="both"/>
      </w:pPr>
    </w:p>
    <w:p w14:paraId="0781A488" w14:textId="77777777" w:rsidR="00E16233" w:rsidRPr="003C1F84" w:rsidRDefault="00E16233" w:rsidP="003C1F84">
      <w:pPr>
        <w:spacing w:line="360" w:lineRule="auto"/>
        <w:ind w:firstLine="708"/>
        <w:jc w:val="both"/>
      </w:pPr>
    </w:p>
    <w:p w14:paraId="34F5329F" w14:textId="77777777" w:rsidR="00EF24C6" w:rsidRPr="003C1F84" w:rsidRDefault="008F7F32" w:rsidP="00EF24C6">
      <w:pPr>
        <w:spacing w:line="360" w:lineRule="auto"/>
        <w:jc w:val="both"/>
        <w:rPr>
          <w:b/>
        </w:rPr>
      </w:pPr>
      <w:r w:rsidRPr="003C1F84">
        <w:rPr>
          <w:b/>
        </w:rPr>
        <w:lastRenderedPageBreak/>
        <w:t>« A</w:t>
      </w:r>
      <w:r w:rsidR="00EF24C6" w:rsidRPr="003C1F84">
        <w:rPr>
          <w:b/>
        </w:rPr>
        <w:t>utopsie</w:t>
      </w:r>
      <w:r w:rsidRPr="003C1F84">
        <w:rPr>
          <w:b/>
        </w:rPr>
        <w:t> »</w:t>
      </w:r>
      <w:r w:rsidR="00EF24C6" w:rsidRPr="003C1F84">
        <w:rPr>
          <w:b/>
        </w:rPr>
        <w:t xml:space="preserve"> et comparaison</w:t>
      </w:r>
      <w:r w:rsidRPr="003C1F84">
        <w:rPr>
          <w:b/>
        </w:rPr>
        <w:t> : l’approche de Corneille-François de Nelis</w:t>
      </w:r>
    </w:p>
    <w:p w14:paraId="3DA3C23F" w14:textId="77777777" w:rsidR="008F7F32" w:rsidRPr="000223CD" w:rsidRDefault="008F7F32" w:rsidP="00EF24C6">
      <w:pPr>
        <w:spacing w:line="360" w:lineRule="auto"/>
        <w:jc w:val="both"/>
        <w:rPr>
          <w:b/>
          <w:color w:val="FF0000"/>
        </w:rPr>
      </w:pPr>
    </w:p>
    <w:p w14:paraId="456E3A21" w14:textId="7899B784" w:rsidR="00E869FC" w:rsidRDefault="008F7F32" w:rsidP="00116F75">
      <w:pPr>
        <w:spacing w:line="360" w:lineRule="auto"/>
        <w:jc w:val="both"/>
        <w:rPr>
          <w:bCs/>
        </w:rPr>
      </w:pPr>
      <w:r w:rsidRPr="000223CD">
        <w:rPr>
          <w:bCs/>
          <w:color w:val="FF0000"/>
        </w:rPr>
        <w:tab/>
      </w:r>
      <w:r w:rsidR="0091755B" w:rsidRPr="003A7AE6">
        <w:rPr>
          <w:bCs/>
        </w:rPr>
        <w:t>À la fin du XVIII</w:t>
      </w:r>
      <w:r w:rsidR="0091755B" w:rsidRPr="003A7AE6">
        <w:rPr>
          <w:bCs/>
          <w:vertAlign w:val="superscript"/>
        </w:rPr>
        <w:t>e</w:t>
      </w:r>
      <w:r w:rsidR="0091755B" w:rsidRPr="003A7AE6">
        <w:rPr>
          <w:bCs/>
        </w:rPr>
        <w:t xml:space="preserve"> siècle, Corneille-François de Nelis</w:t>
      </w:r>
      <w:r w:rsidR="003A7AE6" w:rsidRPr="003A7AE6">
        <w:rPr>
          <w:rStyle w:val="Appelnotedebasdep"/>
          <w:bCs/>
        </w:rPr>
        <w:footnoteReference w:id="34"/>
      </w:r>
      <w:r w:rsidR="0091755B" w:rsidRPr="003A7AE6">
        <w:rPr>
          <w:bCs/>
        </w:rPr>
        <w:t xml:space="preserve"> </w:t>
      </w:r>
      <w:r w:rsidR="003A7AE6" w:rsidRPr="003A7AE6">
        <w:rPr>
          <w:bCs/>
        </w:rPr>
        <w:t>étudie</w:t>
      </w:r>
      <w:r w:rsidR="005E1DFF">
        <w:rPr>
          <w:bCs/>
        </w:rPr>
        <w:t xml:space="preserve"> le mystérieux monolithe en</w:t>
      </w:r>
      <w:r w:rsidR="003A7AE6" w:rsidRPr="003A7AE6">
        <w:rPr>
          <w:bCs/>
        </w:rPr>
        <w:t xml:space="preserve"> </w:t>
      </w:r>
      <w:r w:rsidR="005E1DFF">
        <w:rPr>
          <w:bCs/>
        </w:rPr>
        <w:t>adoptant</w:t>
      </w:r>
      <w:r w:rsidR="003A7AE6" w:rsidRPr="003A7AE6">
        <w:rPr>
          <w:bCs/>
        </w:rPr>
        <w:t xml:space="preserve"> une approche radicalement différente de celle de ses prédécesseurs.</w:t>
      </w:r>
      <w:r w:rsidR="00634A93" w:rsidRPr="003A7AE6">
        <w:rPr>
          <w:bCs/>
        </w:rPr>
        <w:t xml:space="preserve"> </w:t>
      </w:r>
      <w:r w:rsidR="003A7AE6">
        <w:rPr>
          <w:bCs/>
        </w:rPr>
        <w:t xml:space="preserve">Cet auteur est un intellectuel de premier ordre qui contribue à la création de </w:t>
      </w:r>
      <w:r w:rsidR="003A7AE6" w:rsidRPr="003A7AE6">
        <w:rPr>
          <w:bCs/>
        </w:rPr>
        <w:t>l’Académie impériale et royale des sciences et Belles-Lettres de Bruxelles</w:t>
      </w:r>
      <w:r w:rsidR="003A7AE6">
        <w:rPr>
          <w:bCs/>
        </w:rPr>
        <w:t xml:space="preserve"> en 1772. Cette institution vise à </w:t>
      </w:r>
      <w:r w:rsidR="003A7AE6" w:rsidRPr="003A7AE6">
        <w:rPr>
          <w:bCs/>
        </w:rPr>
        <w:t xml:space="preserve">promouvoir </w:t>
      </w:r>
      <w:r w:rsidR="003A7AE6">
        <w:rPr>
          <w:bCs/>
        </w:rPr>
        <w:t>les travaux</w:t>
      </w:r>
      <w:r w:rsidR="003A7AE6" w:rsidRPr="003A7AE6">
        <w:rPr>
          <w:bCs/>
        </w:rPr>
        <w:t xml:space="preserve"> scientifique</w:t>
      </w:r>
      <w:r w:rsidR="003A7AE6">
        <w:rPr>
          <w:bCs/>
        </w:rPr>
        <w:t xml:space="preserve">s et se montre particulièrement active dans le domaine de </w:t>
      </w:r>
      <w:r w:rsidR="003A7AE6" w:rsidRPr="003A7AE6">
        <w:rPr>
          <w:bCs/>
        </w:rPr>
        <w:t>la recherche historique</w:t>
      </w:r>
      <w:r w:rsidR="003A7AE6" w:rsidRPr="003A7AE6">
        <w:rPr>
          <w:rStyle w:val="Appelnotedebasdep"/>
          <w:bCs/>
        </w:rPr>
        <w:footnoteReference w:id="35"/>
      </w:r>
      <w:r w:rsidR="003A7AE6">
        <w:rPr>
          <w:bCs/>
        </w:rPr>
        <w:t xml:space="preserve">. C’est en son sein que de Nelis présente, le 5 novembre 1773, </w:t>
      </w:r>
      <w:r w:rsidR="006E4B73" w:rsidRPr="003A7AE6">
        <w:rPr>
          <w:bCs/>
        </w:rPr>
        <w:t xml:space="preserve">ses </w:t>
      </w:r>
      <w:r w:rsidR="006E4B73" w:rsidRPr="003A7AE6">
        <w:rPr>
          <w:bCs/>
          <w:i/>
          <w:iCs/>
        </w:rPr>
        <w:t>Réflexions sur un ancien monument du Tournaisis, appelé vulgairement la Pierre Brunehaut</w:t>
      </w:r>
      <w:r w:rsidR="003A7AE6" w:rsidRPr="003A7AE6">
        <w:rPr>
          <w:bCs/>
        </w:rPr>
        <w:t>.</w:t>
      </w:r>
      <w:r w:rsidR="003A7AE6">
        <w:rPr>
          <w:bCs/>
        </w:rPr>
        <w:t xml:space="preserve"> </w:t>
      </w:r>
    </w:p>
    <w:p w14:paraId="44A787C6" w14:textId="63199F09" w:rsidR="005E1DFF" w:rsidRDefault="003A7AE6" w:rsidP="005E1DFF">
      <w:pPr>
        <w:spacing w:line="360" w:lineRule="auto"/>
        <w:ind w:firstLine="708"/>
        <w:jc w:val="both"/>
      </w:pPr>
      <w:r>
        <w:rPr>
          <w:bCs/>
        </w:rPr>
        <w:t>Il s’agit de la</w:t>
      </w:r>
      <w:r w:rsidRPr="003A7AE6">
        <w:rPr>
          <w:bCs/>
        </w:rPr>
        <w:t xml:space="preserve"> </w:t>
      </w:r>
      <w:r w:rsidR="006E4B73" w:rsidRPr="003A7AE6">
        <w:rPr>
          <w:bCs/>
        </w:rPr>
        <w:t xml:space="preserve">première enquête portant spécifiquement sur le </w:t>
      </w:r>
      <w:r w:rsidR="00634A93" w:rsidRPr="003A7AE6">
        <w:rPr>
          <w:bCs/>
        </w:rPr>
        <w:t>monolithe</w:t>
      </w:r>
      <w:r w:rsidRPr="003A7AE6">
        <w:rPr>
          <w:bCs/>
        </w:rPr>
        <w:t xml:space="preserve"> et son auteur </w:t>
      </w:r>
      <w:r w:rsidR="006E4B73" w:rsidRPr="003A7AE6">
        <w:rPr>
          <w:bCs/>
        </w:rPr>
        <w:t xml:space="preserve">se démarque </w:t>
      </w:r>
      <w:r w:rsidRPr="003A7AE6">
        <w:rPr>
          <w:bCs/>
        </w:rPr>
        <w:t>d’emblée des travaux de ses prédécesseur</w:t>
      </w:r>
      <w:r>
        <w:rPr>
          <w:bCs/>
        </w:rPr>
        <w:t>s</w:t>
      </w:r>
      <w:r w:rsidR="006E4B73" w:rsidRPr="003A7AE6">
        <w:rPr>
          <w:bCs/>
        </w:rPr>
        <w:t xml:space="preserve"> qu’il juge médiocres et superficiels</w:t>
      </w:r>
      <w:r w:rsidRPr="003A7AE6">
        <w:rPr>
          <w:bCs/>
        </w:rPr>
        <w:t>.</w:t>
      </w:r>
      <w:r w:rsidR="00E869FC">
        <w:rPr>
          <w:bCs/>
        </w:rPr>
        <w:t xml:space="preserve"> Dans la lignée des enquêtes menées par les antiquaires, l</w:t>
      </w:r>
      <w:r>
        <w:rPr>
          <w:bCs/>
        </w:rPr>
        <w:t xml:space="preserve">’académicien </w:t>
      </w:r>
      <w:r w:rsidR="00E869FC">
        <w:rPr>
          <w:bCs/>
        </w:rPr>
        <w:t>développe</w:t>
      </w:r>
      <w:r w:rsidR="00A22492">
        <w:rPr>
          <w:bCs/>
        </w:rPr>
        <w:t xml:space="preserve"> </w:t>
      </w:r>
      <w:r w:rsidR="00E869FC">
        <w:rPr>
          <w:bCs/>
        </w:rPr>
        <w:t xml:space="preserve">une démarche reposant sur l’observation directe (autopsie) du vestige. Il se rend ainsi au moins à deux reprises à </w:t>
      </w:r>
      <w:proofErr w:type="spellStart"/>
      <w:r w:rsidR="00E869FC" w:rsidRPr="00E869FC">
        <w:rPr>
          <w:bCs/>
        </w:rPr>
        <w:t>Hollain</w:t>
      </w:r>
      <w:proofErr w:type="spellEnd"/>
      <w:r w:rsidR="00E869FC">
        <w:rPr>
          <w:bCs/>
        </w:rPr>
        <w:t>, en 1768 et vers 1772-1773</w:t>
      </w:r>
      <w:r w:rsidR="00E869FC" w:rsidRPr="00E869FC">
        <w:rPr>
          <w:bCs/>
          <w:vertAlign w:val="superscript"/>
        </w:rPr>
        <w:footnoteReference w:id="36"/>
      </w:r>
      <w:r w:rsidR="00B1671B" w:rsidRPr="00E869FC">
        <w:rPr>
          <w:bCs/>
        </w:rPr>
        <w:t xml:space="preserve">, pour </w:t>
      </w:r>
      <w:r w:rsidR="00E869FC" w:rsidRPr="00E869FC">
        <w:rPr>
          <w:bCs/>
        </w:rPr>
        <w:t>l</w:t>
      </w:r>
      <w:r w:rsidR="00A22492">
        <w:rPr>
          <w:bCs/>
        </w:rPr>
        <w:t>e scruter</w:t>
      </w:r>
      <w:r w:rsidR="00E869FC" w:rsidRPr="00E869FC">
        <w:rPr>
          <w:bCs/>
        </w:rPr>
        <w:t xml:space="preserve"> </w:t>
      </w:r>
      <w:r w:rsidR="00E869FC" w:rsidRPr="00E869FC">
        <w:rPr>
          <w:bCs/>
          <w:i/>
        </w:rPr>
        <w:t>in situ</w:t>
      </w:r>
      <w:r w:rsidR="00B1671B" w:rsidRPr="00E869FC">
        <w:rPr>
          <w:bCs/>
        </w:rPr>
        <w:t xml:space="preserve">. </w:t>
      </w:r>
      <w:r w:rsidR="00E869FC">
        <w:rPr>
          <w:bCs/>
        </w:rPr>
        <w:t xml:space="preserve">Il </w:t>
      </w:r>
      <w:r w:rsidR="005E1DFF">
        <w:rPr>
          <w:bCs/>
        </w:rPr>
        <w:t>le</w:t>
      </w:r>
      <w:r w:rsidR="00E869FC">
        <w:rPr>
          <w:bCs/>
        </w:rPr>
        <w:t xml:space="preserve"> décrit comme</w:t>
      </w:r>
      <w:r w:rsidR="00E869FC" w:rsidRPr="000223CD">
        <w:rPr>
          <w:bCs/>
          <w:color w:val="FF0000"/>
        </w:rPr>
        <w:t xml:space="preserve"> </w:t>
      </w:r>
      <w:r w:rsidR="00E869FC" w:rsidRPr="00E869FC">
        <w:rPr>
          <w:bCs/>
        </w:rPr>
        <w:t>« </w:t>
      </w:r>
      <w:r w:rsidR="00E869FC" w:rsidRPr="00E869FC">
        <w:rPr>
          <w:bCs/>
          <w:i/>
        </w:rPr>
        <w:t>une pierre informe &amp; brute, haute d’environ quinze pieds, large de dix, &amp; épaisse de deux.</w:t>
      </w:r>
      <w:r w:rsidR="00E869FC" w:rsidRPr="00E869FC">
        <w:rPr>
          <w:bCs/>
        </w:rPr>
        <w:t xml:space="preserve"> (…) </w:t>
      </w:r>
      <w:r w:rsidR="00E869FC" w:rsidRPr="00E869FC">
        <w:rPr>
          <w:bCs/>
          <w:i/>
        </w:rPr>
        <w:t xml:space="preserve">Elle est un peu échancrée par le haut, &amp; inclinée </w:t>
      </w:r>
      <w:r w:rsidR="00E869FC" w:rsidRPr="00E869FC">
        <w:rPr>
          <w:bCs/>
        </w:rPr>
        <w:t>»</w:t>
      </w:r>
      <w:r w:rsidR="00A22492">
        <w:rPr>
          <w:bCs/>
        </w:rPr>
        <w:t>. Il</w:t>
      </w:r>
      <w:r w:rsidR="005E1DFF">
        <w:rPr>
          <w:bCs/>
        </w:rPr>
        <w:t xml:space="preserve"> en fournit un dessin qui accompagne son étude</w:t>
      </w:r>
      <w:r w:rsidR="00E869FC" w:rsidRPr="00E869FC">
        <w:rPr>
          <w:bCs/>
        </w:rPr>
        <w:t>.</w:t>
      </w:r>
      <w:r w:rsidR="005E1DFF">
        <w:rPr>
          <w:bCs/>
        </w:rPr>
        <w:t xml:space="preserve"> </w:t>
      </w:r>
      <w:r w:rsidR="00A22492">
        <w:rPr>
          <w:bCs/>
        </w:rPr>
        <w:t>L’auteur</w:t>
      </w:r>
      <w:r w:rsidR="005E1DFF">
        <w:rPr>
          <w:bCs/>
        </w:rPr>
        <w:t xml:space="preserve"> précise également que la pierre</w:t>
      </w:r>
      <w:r w:rsidR="00116F75" w:rsidRPr="00E869FC">
        <w:rPr>
          <w:bCs/>
        </w:rPr>
        <w:t xml:space="preserve"> ne « </w:t>
      </w:r>
      <w:r w:rsidR="00116F75" w:rsidRPr="00E869FC">
        <w:rPr>
          <w:bCs/>
          <w:i/>
        </w:rPr>
        <w:t>présente aucune marque, même effacée, de son origine : sans figure, sans inscription, sans aucune trace du temps passé ni de la main des hommes</w:t>
      </w:r>
      <w:r w:rsidR="00116F75" w:rsidRPr="00E869FC">
        <w:rPr>
          <w:bCs/>
        </w:rPr>
        <w:t> »</w:t>
      </w:r>
      <w:r w:rsidR="00116F75" w:rsidRPr="00E869FC">
        <w:rPr>
          <w:bCs/>
          <w:vertAlign w:val="superscript"/>
        </w:rPr>
        <w:footnoteReference w:id="37"/>
      </w:r>
      <w:r w:rsidR="00116F75" w:rsidRPr="00E869FC">
        <w:rPr>
          <w:bCs/>
        </w:rPr>
        <w:t xml:space="preserve">. </w:t>
      </w:r>
      <w:r w:rsidR="005E1DFF">
        <w:rPr>
          <w:bCs/>
        </w:rPr>
        <w:t xml:space="preserve">À l’instar de certains de ses prédécesseurs, l’érudit relève également </w:t>
      </w:r>
      <w:r w:rsidR="00116F75" w:rsidRPr="00E869FC">
        <w:rPr>
          <w:bCs/>
        </w:rPr>
        <w:t>q</w:t>
      </w:r>
      <w:r w:rsidR="005E1DFF">
        <w:rPr>
          <w:bCs/>
        </w:rPr>
        <w:t>u’elle était constituée</w:t>
      </w:r>
      <w:r w:rsidR="00116F75" w:rsidRPr="00E869FC">
        <w:rPr>
          <w:bCs/>
        </w:rPr>
        <w:t xml:space="preserve"> de grès</w:t>
      </w:r>
      <w:r w:rsidR="005E1DFF">
        <w:rPr>
          <w:bCs/>
        </w:rPr>
        <w:t xml:space="preserve">, mais il conteste </w:t>
      </w:r>
      <w:r w:rsidR="002326DE" w:rsidRPr="00E869FC">
        <w:rPr>
          <w:bCs/>
        </w:rPr>
        <w:t xml:space="preserve">les déclarations de Joseph-Alexis </w:t>
      </w:r>
      <w:proofErr w:type="spellStart"/>
      <w:r w:rsidR="002326DE" w:rsidRPr="00E869FC">
        <w:rPr>
          <w:bCs/>
        </w:rPr>
        <w:t>Poutrain</w:t>
      </w:r>
      <w:proofErr w:type="spellEnd"/>
      <w:r w:rsidR="002326DE" w:rsidRPr="00E869FC">
        <w:rPr>
          <w:bCs/>
        </w:rPr>
        <w:t xml:space="preserve"> qui </w:t>
      </w:r>
      <w:r w:rsidR="00A22492">
        <w:rPr>
          <w:bCs/>
        </w:rPr>
        <w:t xml:space="preserve">avait indiqué </w:t>
      </w:r>
      <w:r w:rsidR="002326DE" w:rsidRPr="00E869FC">
        <w:rPr>
          <w:bCs/>
        </w:rPr>
        <w:t xml:space="preserve">que </w:t>
      </w:r>
      <w:r w:rsidR="005E1DFF">
        <w:rPr>
          <w:bCs/>
        </w:rPr>
        <w:t>ce matériau était rare dans le Tournaisis et que le monolithe</w:t>
      </w:r>
      <w:r w:rsidR="002326DE" w:rsidRPr="00E869FC">
        <w:rPr>
          <w:bCs/>
        </w:rPr>
        <w:t xml:space="preserve"> a</w:t>
      </w:r>
      <w:r w:rsidR="005E1DFF">
        <w:rPr>
          <w:bCs/>
        </w:rPr>
        <w:t>vait probablement été transporté</w:t>
      </w:r>
      <w:r w:rsidR="002326DE" w:rsidRPr="00E869FC">
        <w:rPr>
          <w:bCs/>
        </w:rPr>
        <w:t xml:space="preserve"> depuis une autre région </w:t>
      </w:r>
      <w:r w:rsidR="009F7E61">
        <w:rPr>
          <w:bCs/>
        </w:rPr>
        <w:t>afin de</w:t>
      </w:r>
      <w:r w:rsidR="002326DE" w:rsidRPr="00E869FC">
        <w:rPr>
          <w:bCs/>
        </w:rPr>
        <w:t xml:space="preserve"> commémorer un haut-fait. </w:t>
      </w:r>
      <w:r w:rsidR="005E1DFF">
        <w:rPr>
          <w:bCs/>
        </w:rPr>
        <w:t>Les observations de de Nelis lui permettent d’affirmer le contraire et il en conclut que la pierre a une origine locale</w:t>
      </w:r>
      <w:r w:rsidR="005E1DFF" w:rsidRPr="00E869FC">
        <w:rPr>
          <w:bCs/>
          <w:vertAlign w:val="superscript"/>
        </w:rPr>
        <w:footnoteReference w:id="38"/>
      </w:r>
      <w:r w:rsidR="005E1DFF">
        <w:rPr>
          <w:bCs/>
        </w:rPr>
        <w:t xml:space="preserve">. </w:t>
      </w:r>
      <w:r w:rsidR="002326DE" w:rsidRPr="00E869FC">
        <w:t xml:space="preserve">Comme les antiquaires de son temps, il cherche par ailleurs à comparer </w:t>
      </w:r>
      <w:r w:rsidR="00DF042C" w:rsidRPr="00E869FC">
        <w:t xml:space="preserve">le </w:t>
      </w:r>
      <w:r w:rsidR="005E1DFF">
        <w:t>monument étudié</w:t>
      </w:r>
      <w:r w:rsidR="00DF042C" w:rsidRPr="00E869FC">
        <w:t xml:space="preserve"> à des vestiges similaires afin de l’interpréter</w:t>
      </w:r>
      <w:r w:rsidR="005E1DFF">
        <w:t xml:space="preserve"> finement</w:t>
      </w:r>
      <w:r w:rsidR="00DF042C" w:rsidRPr="00E869FC">
        <w:t xml:space="preserve">. Il relève </w:t>
      </w:r>
      <w:r w:rsidR="005E1DFF">
        <w:t xml:space="preserve">notamment </w:t>
      </w:r>
      <w:r w:rsidR="00DF042C" w:rsidRPr="00E869FC">
        <w:t>l’ex</w:t>
      </w:r>
      <w:r w:rsidR="005E1DFF">
        <w:t>istence d’un mégalithe semblable</w:t>
      </w:r>
      <w:r w:rsidR="00DF042C" w:rsidRPr="00E869FC">
        <w:t xml:space="preserve"> à Bray, près de Binche,</w:t>
      </w:r>
      <w:r w:rsidR="005E1DFF">
        <w:t xml:space="preserve"> mais celui-ci avait</w:t>
      </w:r>
      <w:r w:rsidR="00DF042C" w:rsidRPr="00E869FC">
        <w:t xml:space="preserve"> </w:t>
      </w:r>
      <w:r w:rsidR="005E1DFF">
        <w:t xml:space="preserve">malheureusement été </w:t>
      </w:r>
      <w:r w:rsidR="00DF042C" w:rsidRPr="00E869FC">
        <w:t>détruit en 1753</w:t>
      </w:r>
      <w:r w:rsidR="005E1DFF">
        <w:t xml:space="preserve"> et de Nelis </w:t>
      </w:r>
      <w:r w:rsidR="00DF042C" w:rsidRPr="00E869FC">
        <w:t>ne peut en fournir qu’une brève description</w:t>
      </w:r>
      <w:r w:rsidR="00DF042C" w:rsidRPr="00E869FC">
        <w:rPr>
          <w:rStyle w:val="Appelnotedebasdep"/>
        </w:rPr>
        <w:footnoteReference w:id="39"/>
      </w:r>
      <w:r w:rsidR="00DF042C" w:rsidRPr="00E869FC">
        <w:t xml:space="preserve">. </w:t>
      </w:r>
    </w:p>
    <w:p w14:paraId="4B332A3D" w14:textId="46ECB03F" w:rsidR="006C46CC" w:rsidRDefault="005C0FA2" w:rsidP="002E758B">
      <w:pPr>
        <w:spacing w:line="360" w:lineRule="auto"/>
        <w:ind w:firstLine="708"/>
        <w:jc w:val="both"/>
        <w:rPr>
          <w:bCs/>
        </w:rPr>
      </w:pPr>
      <w:r>
        <w:lastRenderedPageBreak/>
        <w:t>Après ce</w:t>
      </w:r>
      <w:r w:rsidR="00DF042C" w:rsidRPr="00E869FC">
        <w:t xml:space="preserve">s observations </w:t>
      </w:r>
      <w:r w:rsidR="005E1DFF">
        <w:t>préliminaires, l’auteur</w:t>
      </w:r>
      <w:r w:rsidR="00DF042C" w:rsidRPr="00E869FC">
        <w:t xml:space="preserve"> </w:t>
      </w:r>
      <w:r w:rsidR="00396A4E" w:rsidRPr="00E869FC">
        <w:t>s</w:t>
      </w:r>
      <w:r w:rsidR="00DF042C" w:rsidRPr="00E869FC">
        <w:t xml:space="preserve">e livre à un véritable </w:t>
      </w:r>
      <w:r w:rsidR="005E1DFF">
        <w:t>« </w:t>
      </w:r>
      <w:r w:rsidR="00DF042C" w:rsidRPr="00E869FC">
        <w:t>examen critique</w:t>
      </w:r>
      <w:r w:rsidR="005E1DFF">
        <w:t> »</w:t>
      </w:r>
      <w:r w:rsidR="005E1DFF" w:rsidRPr="00E869FC">
        <w:rPr>
          <w:bCs/>
          <w:vertAlign w:val="superscript"/>
        </w:rPr>
        <w:footnoteReference w:id="40"/>
      </w:r>
      <w:r w:rsidR="00DF042C" w:rsidRPr="00E869FC">
        <w:t xml:space="preserve"> des </w:t>
      </w:r>
      <w:r w:rsidR="00396A4E" w:rsidRPr="00E869FC">
        <w:t xml:space="preserve">différentes propositions </w:t>
      </w:r>
      <w:r>
        <w:t>formulées par</w:t>
      </w:r>
      <w:r w:rsidR="00396A4E" w:rsidRPr="00E869FC">
        <w:t xml:space="preserve"> ses prédécesseurs</w:t>
      </w:r>
      <w:r w:rsidR="00DF042C" w:rsidRPr="00E869FC">
        <w:t>.</w:t>
      </w:r>
      <w:r w:rsidR="005E1DFF">
        <w:t xml:space="preserve"> Il </w:t>
      </w:r>
      <w:r w:rsidR="006C46CC" w:rsidRPr="002E758B">
        <w:rPr>
          <w:bCs/>
        </w:rPr>
        <w:t>infirme</w:t>
      </w:r>
      <w:r w:rsidR="00396A4E" w:rsidRPr="002E758B">
        <w:rPr>
          <w:bCs/>
        </w:rPr>
        <w:t xml:space="preserve"> </w:t>
      </w:r>
      <w:r w:rsidR="005E1DFF" w:rsidRPr="002E758B">
        <w:rPr>
          <w:bCs/>
        </w:rPr>
        <w:t>tout d’abord</w:t>
      </w:r>
      <w:r w:rsidR="006C46CC" w:rsidRPr="002E758B">
        <w:rPr>
          <w:bCs/>
        </w:rPr>
        <w:t xml:space="preserve"> la thèse traditionnelle selon laquelle </w:t>
      </w:r>
      <w:r w:rsidR="002E758B">
        <w:rPr>
          <w:bCs/>
        </w:rPr>
        <w:t>la pierre</w:t>
      </w:r>
      <w:r w:rsidR="006C46CC" w:rsidRPr="002E758B">
        <w:rPr>
          <w:bCs/>
        </w:rPr>
        <w:t xml:space="preserve"> aurait été</w:t>
      </w:r>
      <w:r w:rsidR="005E1DFF" w:rsidRPr="002E758B">
        <w:rPr>
          <w:bCs/>
        </w:rPr>
        <w:t xml:space="preserve"> dressée par la reine Brunehaut, en rappelant que </w:t>
      </w:r>
      <w:r w:rsidR="0004686C">
        <w:rPr>
          <w:bCs/>
        </w:rPr>
        <w:t>plusieurs</w:t>
      </w:r>
      <w:r w:rsidR="005E1DFF" w:rsidRPr="002E758B">
        <w:rPr>
          <w:bCs/>
        </w:rPr>
        <w:t xml:space="preserve"> sources médiévale</w:t>
      </w:r>
      <w:r>
        <w:rPr>
          <w:bCs/>
        </w:rPr>
        <w:t>s</w:t>
      </w:r>
      <w:r w:rsidR="005E1DFF" w:rsidRPr="002E758B">
        <w:rPr>
          <w:bCs/>
        </w:rPr>
        <w:t xml:space="preserve"> démontre</w:t>
      </w:r>
      <w:r>
        <w:rPr>
          <w:bCs/>
        </w:rPr>
        <w:t>nt</w:t>
      </w:r>
      <w:r w:rsidR="005E1DFF" w:rsidRPr="002E758B">
        <w:rPr>
          <w:bCs/>
        </w:rPr>
        <w:t xml:space="preserve"> clairement que </w:t>
      </w:r>
      <w:r w:rsidR="006C46CC" w:rsidRPr="002E758B">
        <w:rPr>
          <w:bCs/>
        </w:rPr>
        <w:t>la souveraine n’a jamais régné sur cette région</w:t>
      </w:r>
      <w:r w:rsidR="005E1DFF" w:rsidRPr="002E758B">
        <w:rPr>
          <w:rStyle w:val="Appelnotedebasdep"/>
          <w:bCs/>
        </w:rPr>
        <w:footnoteReference w:id="41"/>
      </w:r>
      <w:r w:rsidR="006C46CC" w:rsidRPr="002E758B">
        <w:rPr>
          <w:bCs/>
        </w:rPr>
        <w:t>.</w:t>
      </w:r>
      <w:r w:rsidR="006C46CC" w:rsidRPr="002E758B">
        <w:t xml:space="preserve"> </w:t>
      </w:r>
      <w:r w:rsidR="002E758B" w:rsidRPr="002E758B">
        <w:t>Quoi qu’il la juge</w:t>
      </w:r>
      <w:r w:rsidR="002E758B" w:rsidRPr="002E758B">
        <w:rPr>
          <w:bCs/>
        </w:rPr>
        <w:t xml:space="preserve"> « </w:t>
      </w:r>
      <w:r w:rsidR="002E758B" w:rsidRPr="002E758B">
        <w:rPr>
          <w:bCs/>
          <w:i/>
        </w:rPr>
        <w:t>moins invraisemblable</w:t>
      </w:r>
      <w:r w:rsidR="002E758B" w:rsidRPr="002E758B">
        <w:rPr>
          <w:bCs/>
        </w:rPr>
        <w:t> » que les autres,</w:t>
      </w:r>
      <w:r w:rsidR="002E758B" w:rsidRPr="002E758B">
        <w:t xml:space="preserve"> l’académicien</w:t>
      </w:r>
      <w:r w:rsidR="006C46CC" w:rsidRPr="002E758B">
        <w:t xml:space="preserve"> réfute également </w:t>
      </w:r>
      <w:r w:rsidR="00DC7051" w:rsidRPr="002E758B">
        <w:t>l’hypothèse</w:t>
      </w:r>
      <w:r w:rsidR="006C46CC" w:rsidRPr="002E758B">
        <w:t xml:space="preserve"> </w:t>
      </w:r>
      <w:r w:rsidR="002E758B" w:rsidRPr="002E758B">
        <w:t xml:space="preserve">qui présente le monolithe en tant que trophée romain. Pour ce faire, il recourt </w:t>
      </w:r>
      <w:r w:rsidR="006C46CC" w:rsidRPr="002E758B">
        <w:rPr>
          <w:bCs/>
        </w:rPr>
        <w:t>à l’observation et à la comparais</w:t>
      </w:r>
      <w:r w:rsidR="00B55C13">
        <w:rPr>
          <w:bCs/>
        </w:rPr>
        <w:t>on, en relevant</w:t>
      </w:r>
      <w:r w:rsidR="002E758B" w:rsidRPr="002E758B">
        <w:rPr>
          <w:bCs/>
        </w:rPr>
        <w:t xml:space="preserve"> que </w:t>
      </w:r>
      <w:r w:rsidR="006C46CC" w:rsidRPr="002E758B">
        <w:rPr>
          <w:bCs/>
        </w:rPr>
        <w:t xml:space="preserve">la pierre Brunehaut ne </w:t>
      </w:r>
      <w:r w:rsidR="002E758B" w:rsidRPr="002E758B">
        <w:rPr>
          <w:bCs/>
        </w:rPr>
        <w:t xml:space="preserve">comporte aucune </w:t>
      </w:r>
      <w:r w:rsidR="006C46CC" w:rsidRPr="002E758B">
        <w:rPr>
          <w:bCs/>
        </w:rPr>
        <w:t>inscription et</w:t>
      </w:r>
      <w:r w:rsidR="002E758B" w:rsidRPr="002E758B">
        <w:rPr>
          <w:bCs/>
        </w:rPr>
        <w:t xml:space="preserve"> que</w:t>
      </w:r>
      <w:r w:rsidR="006C46CC" w:rsidRPr="002E758B">
        <w:rPr>
          <w:bCs/>
        </w:rPr>
        <w:t xml:space="preserve"> son apparence ne correspond </w:t>
      </w:r>
      <w:r w:rsidR="002E758B" w:rsidRPr="002E758B">
        <w:rPr>
          <w:bCs/>
        </w:rPr>
        <w:t xml:space="preserve">absolument </w:t>
      </w:r>
      <w:r w:rsidR="006C46CC" w:rsidRPr="002E758B">
        <w:rPr>
          <w:bCs/>
        </w:rPr>
        <w:t xml:space="preserve">pas aux monuments </w:t>
      </w:r>
      <w:r w:rsidR="00B55C13">
        <w:rPr>
          <w:bCs/>
        </w:rPr>
        <w:t xml:space="preserve">habituellement </w:t>
      </w:r>
      <w:r>
        <w:rPr>
          <w:bCs/>
        </w:rPr>
        <w:t>érigés</w:t>
      </w:r>
      <w:r w:rsidR="006C46CC" w:rsidRPr="002E758B">
        <w:rPr>
          <w:bCs/>
        </w:rPr>
        <w:t xml:space="preserve"> par les Romains pour célébrer leurs </w:t>
      </w:r>
      <w:r w:rsidR="00B55C13">
        <w:rPr>
          <w:bCs/>
        </w:rPr>
        <w:t>victoires</w:t>
      </w:r>
      <w:r w:rsidR="006C46CC" w:rsidRPr="002E758B">
        <w:rPr>
          <w:bCs/>
        </w:rPr>
        <w:t xml:space="preserve"> (stat</w:t>
      </w:r>
      <w:r w:rsidR="00DC7051" w:rsidRPr="002E758B">
        <w:rPr>
          <w:bCs/>
        </w:rPr>
        <w:t>u</w:t>
      </w:r>
      <w:r w:rsidR="00B55C13">
        <w:rPr>
          <w:bCs/>
        </w:rPr>
        <w:t>es, arcs-de-triomphe, colonnes</w:t>
      </w:r>
      <w:r w:rsidR="006C46CC" w:rsidRPr="002E758B">
        <w:rPr>
          <w:bCs/>
        </w:rPr>
        <w:t>)</w:t>
      </w:r>
      <w:r w:rsidR="006C46CC" w:rsidRPr="002E758B">
        <w:rPr>
          <w:bCs/>
          <w:vertAlign w:val="superscript"/>
        </w:rPr>
        <w:footnoteReference w:id="42"/>
      </w:r>
      <w:r w:rsidR="006C46CC" w:rsidRPr="002E758B">
        <w:rPr>
          <w:bCs/>
        </w:rPr>
        <w:t xml:space="preserve">. Elle n’a par ailleurs rien en commun avec les vestiges romains </w:t>
      </w:r>
      <w:r w:rsidR="0004686C">
        <w:rPr>
          <w:bCs/>
        </w:rPr>
        <w:t xml:space="preserve">alors </w:t>
      </w:r>
      <w:r w:rsidR="006C46CC" w:rsidRPr="002E758B">
        <w:rPr>
          <w:bCs/>
        </w:rPr>
        <w:t xml:space="preserve">observables à Bavay, site </w:t>
      </w:r>
      <w:r w:rsidR="00396A4E" w:rsidRPr="002E758B">
        <w:rPr>
          <w:bCs/>
        </w:rPr>
        <w:t>relativement proche de</w:t>
      </w:r>
      <w:r w:rsidR="006C46CC" w:rsidRPr="002E758B">
        <w:rPr>
          <w:bCs/>
        </w:rPr>
        <w:t xml:space="preserve"> Tournai.</w:t>
      </w:r>
      <w:r w:rsidR="006C46CC" w:rsidRPr="002E758B">
        <w:t xml:space="preserve"> L</w:t>
      </w:r>
      <w:r w:rsidR="006C46CC" w:rsidRPr="002E758B">
        <w:rPr>
          <w:bCs/>
        </w:rPr>
        <w:t>es vestiges bavaisiens constituent, selon lui, « </w:t>
      </w:r>
      <w:r w:rsidR="006C46CC" w:rsidRPr="002E758B">
        <w:rPr>
          <w:bCs/>
          <w:i/>
        </w:rPr>
        <w:t>une preuve sensible</w:t>
      </w:r>
      <w:r w:rsidR="006C46CC" w:rsidRPr="002E758B">
        <w:rPr>
          <w:bCs/>
        </w:rPr>
        <w:t xml:space="preserve"> » de </w:t>
      </w:r>
      <w:r w:rsidR="00396A4E" w:rsidRPr="002E758B">
        <w:rPr>
          <w:bCs/>
        </w:rPr>
        <w:t>ce raisonnement</w:t>
      </w:r>
      <w:r w:rsidR="006C46CC" w:rsidRPr="002E758B">
        <w:rPr>
          <w:bCs/>
          <w:vertAlign w:val="superscript"/>
        </w:rPr>
        <w:footnoteReference w:id="43"/>
      </w:r>
      <w:r w:rsidR="006C46CC" w:rsidRPr="002E758B">
        <w:rPr>
          <w:bCs/>
        </w:rPr>
        <w:t xml:space="preserve">. </w:t>
      </w:r>
      <w:r w:rsidR="002E758B">
        <w:rPr>
          <w:bCs/>
        </w:rPr>
        <w:t xml:space="preserve">Il s’oppose finalement à deux dernières théories, selon lesquelles le mégalithe constituerait </w:t>
      </w:r>
      <w:r>
        <w:rPr>
          <w:bCs/>
        </w:rPr>
        <w:t xml:space="preserve">soit </w:t>
      </w:r>
      <w:r w:rsidR="002E758B">
        <w:rPr>
          <w:bCs/>
        </w:rPr>
        <w:t>une partie d’un ancien bâtiment, soit une formation naturelle</w:t>
      </w:r>
      <w:r w:rsidR="002E758B">
        <w:rPr>
          <w:rStyle w:val="Appelnotedebasdep"/>
          <w:bCs/>
        </w:rPr>
        <w:footnoteReference w:id="44"/>
      </w:r>
      <w:r w:rsidR="00B55C13">
        <w:rPr>
          <w:bCs/>
        </w:rPr>
        <w:t xml:space="preserve"> : de Nelis prône une fois de plus l’observation </w:t>
      </w:r>
      <w:r w:rsidR="00B55C13" w:rsidRPr="00B55C13">
        <w:rPr>
          <w:bCs/>
          <w:i/>
        </w:rPr>
        <w:t>in situ</w:t>
      </w:r>
      <w:r w:rsidR="00B55C13">
        <w:rPr>
          <w:bCs/>
        </w:rPr>
        <w:t xml:space="preserve"> et déclare qu’il </w:t>
      </w:r>
      <w:r w:rsidR="00B55C13" w:rsidRPr="00B55C13">
        <w:rPr>
          <w:bCs/>
        </w:rPr>
        <w:t>« </w:t>
      </w:r>
      <w:r w:rsidR="00B55C13" w:rsidRPr="00B55C13">
        <w:rPr>
          <w:bCs/>
          <w:i/>
        </w:rPr>
        <w:t xml:space="preserve">ne </w:t>
      </w:r>
      <w:proofErr w:type="spellStart"/>
      <w:r w:rsidR="00B55C13" w:rsidRPr="00B55C13">
        <w:rPr>
          <w:bCs/>
          <w:i/>
        </w:rPr>
        <w:t>falloit</w:t>
      </w:r>
      <w:proofErr w:type="spellEnd"/>
      <w:r w:rsidR="00B55C13" w:rsidRPr="00B55C13">
        <w:rPr>
          <w:bCs/>
          <w:i/>
        </w:rPr>
        <w:t xml:space="preserve"> que se rendre sur les lieux, &amp; ouvrir les yeux </w:t>
      </w:r>
      <w:r w:rsidR="00B55C13" w:rsidRPr="00B55C13">
        <w:rPr>
          <w:bCs/>
        </w:rPr>
        <w:t xml:space="preserve">» pour </w:t>
      </w:r>
      <w:r w:rsidR="0004686C">
        <w:rPr>
          <w:bCs/>
        </w:rPr>
        <w:t>prendre conscience</w:t>
      </w:r>
      <w:r w:rsidR="00B55C13" w:rsidRPr="00B55C13">
        <w:rPr>
          <w:bCs/>
        </w:rPr>
        <w:t xml:space="preserve"> de leur absence de pertinence</w:t>
      </w:r>
      <w:r w:rsidR="00B55C13" w:rsidRPr="00B55C13">
        <w:rPr>
          <w:bCs/>
          <w:vertAlign w:val="superscript"/>
        </w:rPr>
        <w:footnoteReference w:id="45"/>
      </w:r>
      <w:r w:rsidR="00B55C13" w:rsidRPr="00B55C13">
        <w:rPr>
          <w:bCs/>
        </w:rPr>
        <w:t>.</w:t>
      </w:r>
    </w:p>
    <w:p w14:paraId="5E75DFF4" w14:textId="76E25601" w:rsidR="00116F75" w:rsidRPr="00A11AFE" w:rsidRDefault="00B55C13" w:rsidP="00A11AFE">
      <w:pPr>
        <w:spacing w:line="360" w:lineRule="auto"/>
        <w:ind w:firstLine="708"/>
        <w:jc w:val="both"/>
        <w:rPr>
          <w:bCs/>
        </w:rPr>
      </w:pPr>
      <w:r>
        <w:rPr>
          <w:bCs/>
        </w:rPr>
        <w:t xml:space="preserve">L’académicien conclut son analyse en présentant ses propres hypothèses relatives aux origines du monument. </w:t>
      </w:r>
      <w:r w:rsidR="00116F75" w:rsidRPr="00A11AFE">
        <w:rPr>
          <w:bCs/>
        </w:rPr>
        <w:t>La première</w:t>
      </w:r>
      <w:r w:rsidR="00B43913" w:rsidRPr="00A11AFE">
        <w:rPr>
          <w:bCs/>
        </w:rPr>
        <w:t xml:space="preserve"> repose </w:t>
      </w:r>
      <w:r w:rsidRPr="00A11AFE">
        <w:rPr>
          <w:bCs/>
        </w:rPr>
        <w:t>sur une réflexion étymologique couplée à une enquête de terrain</w:t>
      </w:r>
      <w:r w:rsidR="00A11AFE" w:rsidRPr="00A11AFE">
        <w:rPr>
          <w:bCs/>
        </w:rPr>
        <w:t xml:space="preserve">, une approche relativement classique puisque les recherches étymologiques sont en vogue durant toute l’époque moderne. L’auteur </w:t>
      </w:r>
      <w:r w:rsidR="005C0FA2">
        <w:rPr>
          <w:bCs/>
        </w:rPr>
        <w:t>associe</w:t>
      </w:r>
      <w:r w:rsidR="00A11AFE" w:rsidRPr="00A11AFE">
        <w:rPr>
          <w:bCs/>
        </w:rPr>
        <w:t xml:space="preserve"> le monument </w:t>
      </w:r>
      <w:r w:rsidR="005C0FA2">
        <w:rPr>
          <w:bCs/>
        </w:rPr>
        <w:t xml:space="preserve">à </w:t>
      </w:r>
      <w:r w:rsidR="00B43913" w:rsidRPr="00A11AFE">
        <w:rPr>
          <w:bCs/>
        </w:rPr>
        <w:t>un chemin</w:t>
      </w:r>
      <w:r w:rsidR="00A11AFE" w:rsidRPr="00A11AFE">
        <w:rPr>
          <w:bCs/>
        </w:rPr>
        <w:t xml:space="preserve"> situé à proximité</w:t>
      </w:r>
      <w:r w:rsidR="005C0FA2">
        <w:rPr>
          <w:bCs/>
        </w:rPr>
        <w:t>,</w:t>
      </w:r>
      <w:r w:rsidR="00A11AFE" w:rsidRPr="00A11AFE">
        <w:rPr>
          <w:bCs/>
        </w:rPr>
        <w:t xml:space="preserve"> qui était localement connu </w:t>
      </w:r>
      <w:r w:rsidR="00B43913" w:rsidRPr="00A11AFE">
        <w:rPr>
          <w:bCs/>
        </w:rPr>
        <w:t xml:space="preserve">sous le nom </w:t>
      </w:r>
      <w:r w:rsidR="00A11AFE" w:rsidRPr="00A11AFE">
        <w:rPr>
          <w:bCs/>
        </w:rPr>
        <w:t xml:space="preserve">de </w:t>
      </w:r>
      <w:r w:rsidR="00B43913" w:rsidRPr="00A11AFE">
        <w:rPr>
          <w:bCs/>
        </w:rPr>
        <w:t>« </w:t>
      </w:r>
      <w:r w:rsidR="00B43913" w:rsidRPr="00A11AFE">
        <w:rPr>
          <w:bCs/>
          <w:i/>
        </w:rPr>
        <w:t xml:space="preserve">Crête des </w:t>
      </w:r>
      <w:proofErr w:type="spellStart"/>
      <w:r w:rsidR="00B43913" w:rsidRPr="00A11AFE">
        <w:rPr>
          <w:bCs/>
          <w:i/>
        </w:rPr>
        <w:t>Hurelus</w:t>
      </w:r>
      <w:proofErr w:type="spellEnd"/>
      <w:r w:rsidR="00A11AFE" w:rsidRPr="00A11AFE">
        <w:rPr>
          <w:bCs/>
        </w:rPr>
        <w:t> ». Le terme « </w:t>
      </w:r>
      <w:proofErr w:type="spellStart"/>
      <w:r w:rsidR="00A11AFE" w:rsidRPr="00A11AFE">
        <w:rPr>
          <w:bCs/>
        </w:rPr>
        <w:t>hurelus</w:t>
      </w:r>
      <w:proofErr w:type="spellEnd"/>
      <w:r w:rsidR="00A11AFE" w:rsidRPr="00A11AFE">
        <w:rPr>
          <w:bCs/>
        </w:rPr>
        <w:t> » (qui renvoie en réalité</w:t>
      </w:r>
      <w:r w:rsidR="00B43913" w:rsidRPr="00A11AFE">
        <w:rPr>
          <w:bCs/>
        </w:rPr>
        <w:t xml:space="preserve"> à des rebelles protestants) est</w:t>
      </w:r>
      <w:r w:rsidR="00A11AFE" w:rsidRPr="00A11AFE">
        <w:rPr>
          <w:bCs/>
        </w:rPr>
        <w:t xml:space="preserve"> erronément</w:t>
      </w:r>
      <w:r w:rsidR="00B43913" w:rsidRPr="00A11AFE">
        <w:rPr>
          <w:bCs/>
        </w:rPr>
        <w:t xml:space="preserve"> interprété par </w:t>
      </w:r>
      <w:r w:rsidR="00CF4453" w:rsidRPr="00A11AFE">
        <w:rPr>
          <w:bCs/>
        </w:rPr>
        <w:t xml:space="preserve">de </w:t>
      </w:r>
      <w:r w:rsidR="00B43913" w:rsidRPr="00A11AFE">
        <w:rPr>
          <w:bCs/>
        </w:rPr>
        <w:t>Nelis comme une possible réminiscence des Hér</w:t>
      </w:r>
      <w:r w:rsidR="00A11AFE" w:rsidRPr="00A11AFE">
        <w:rPr>
          <w:bCs/>
        </w:rPr>
        <w:t xml:space="preserve">ules, peuple germanique </w:t>
      </w:r>
      <w:r w:rsidR="00B43913" w:rsidRPr="00A11AFE">
        <w:rPr>
          <w:bCs/>
        </w:rPr>
        <w:t>entré dans l’empire romain au cours du V</w:t>
      </w:r>
      <w:r w:rsidR="00B43913" w:rsidRPr="00A11AFE">
        <w:rPr>
          <w:bCs/>
          <w:vertAlign w:val="superscript"/>
        </w:rPr>
        <w:t>e</w:t>
      </w:r>
      <w:r w:rsidR="00B43913" w:rsidRPr="00A11AFE">
        <w:rPr>
          <w:bCs/>
        </w:rPr>
        <w:t xml:space="preserve"> siècle de notre ère.</w:t>
      </w:r>
      <w:r w:rsidR="00A11AFE">
        <w:rPr>
          <w:bCs/>
        </w:rPr>
        <w:t xml:space="preserve"> Une tradition locale rapportant par ailleurs l’existence d’une grande victoire remportée par les habitants d’</w:t>
      </w:r>
      <w:proofErr w:type="spellStart"/>
      <w:r w:rsidR="00A11AFE">
        <w:rPr>
          <w:bCs/>
        </w:rPr>
        <w:t>Hollain</w:t>
      </w:r>
      <w:proofErr w:type="spellEnd"/>
      <w:r w:rsidR="00A11AFE">
        <w:rPr>
          <w:bCs/>
        </w:rPr>
        <w:t xml:space="preserve"> sur des barbares, de Nelis estime que la pierre aurait pu commémorer cet événement.</w:t>
      </w:r>
      <w:r w:rsidR="00A11AFE">
        <w:rPr>
          <w:bCs/>
          <w:color w:val="FF0000"/>
        </w:rPr>
        <w:t xml:space="preserve"> </w:t>
      </w:r>
      <w:r w:rsidR="00116F75" w:rsidRPr="00A11AFE">
        <w:rPr>
          <w:bCs/>
        </w:rPr>
        <w:t xml:space="preserve">Sa seconde </w:t>
      </w:r>
      <w:r w:rsidR="00A11AFE" w:rsidRPr="00A11AFE">
        <w:rPr>
          <w:bCs/>
        </w:rPr>
        <w:t>hypothèse s’avère</w:t>
      </w:r>
      <w:r w:rsidR="00116F75" w:rsidRPr="00A11AFE">
        <w:rPr>
          <w:bCs/>
        </w:rPr>
        <w:t xml:space="preserve"> nettement</w:t>
      </w:r>
      <w:r w:rsidR="00A11AFE" w:rsidRPr="00A11AFE">
        <w:rPr>
          <w:bCs/>
        </w:rPr>
        <w:t xml:space="preserve"> plus</w:t>
      </w:r>
      <w:r w:rsidR="00116F75" w:rsidRPr="00A11AFE">
        <w:rPr>
          <w:bCs/>
        </w:rPr>
        <w:t xml:space="preserve"> </w:t>
      </w:r>
      <w:r w:rsidR="00A11AFE" w:rsidRPr="00A11AFE">
        <w:rPr>
          <w:bCs/>
        </w:rPr>
        <w:t>novatrice</w:t>
      </w:r>
      <w:r w:rsidR="005C0FA2">
        <w:rPr>
          <w:bCs/>
        </w:rPr>
        <w:t>,</w:t>
      </w:r>
      <w:r w:rsidR="00A11AFE" w:rsidRPr="00A11AFE">
        <w:rPr>
          <w:bCs/>
        </w:rPr>
        <w:t xml:space="preserve"> </w:t>
      </w:r>
      <w:r w:rsidR="00116F75" w:rsidRPr="00A11AFE">
        <w:rPr>
          <w:bCs/>
        </w:rPr>
        <w:t xml:space="preserve">puisqu’il </w:t>
      </w:r>
      <w:r w:rsidR="00A11AFE" w:rsidRPr="00A11AFE">
        <w:rPr>
          <w:bCs/>
        </w:rPr>
        <w:t>avance l’idée que</w:t>
      </w:r>
      <w:r w:rsidR="00116F75" w:rsidRPr="00A11AFE">
        <w:rPr>
          <w:bCs/>
        </w:rPr>
        <w:t xml:space="preserve"> le monolithe </w:t>
      </w:r>
      <w:r w:rsidR="00396A4E" w:rsidRPr="00A11AFE">
        <w:rPr>
          <w:bCs/>
        </w:rPr>
        <w:t>pourrait remonter</w:t>
      </w:r>
      <w:r w:rsidR="00116F75" w:rsidRPr="00A11AFE">
        <w:rPr>
          <w:bCs/>
        </w:rPr>
        <w:t xml:space="preserve"> « </w:t>
      </w:r>
      <w:r w:rsidR="00116F75" w:rsidRPr="00A11AFE">
        <w:rPr>
          <w:bCs/>
          <w:i/>
        </w:rPr>
        <w:t xml:space="preserve">à un âge bien plus reculé encore, &amp; qu’il est antérieur à tous les événements </w:t>
      </w:r>
      <w:r w:rsidR="00116F75" w:rsidRPr="00A11AFE">
        <w:rPr>
          <w:bCs/>
          <w:i/>
        </w:rPr>
        <w:lastRenderedPageBreak/>
        <w:t>dont nous parle l’Histoire</w:t>
      </w:r>
      <w:r w:rsidR="00116F75" w:rsidRPr="00A11AFE">
        <w:rPr>
          <w:bCs/>
        </w:rPr>
        <w:t> »</w:t>
      </w:r>
      <w:r w:rsidR="00116F75" w:rsidRPr="00A11AFE">
        <w:rPr>
          <w:bCs/>
          <w:vertAlign w:val="superscript"/>
        </w:rPr>
        <w:footnoteReference w:id="46"/>
      </w:r>
      <w:r w:rsidR="00396A4E" w:rsidRPr="00A11AFE">
        <w:rPr>
          <w:bCs/>
        </w:rPr>
        <w:t>.</w:t>
      </w:r>
      <w:r w:rsidR="00A11AFE" w:rsidRPr="00A11AFE">
        <w:rPr>
          <w:bCs/>
        </w:rPr>
        <w:t xml:space="preserve"> Cette suggestion est audacieuse car les périodes </w:t>
      </w:r>
      <w:r w:rsidR="00396A4E" w:rsidRPr="00A11AFE">
        <w:rPr>
          <w:bCs/>
        </w:rPr>
        <w:t>antérieures à la conquête romaine</w:t>
      </w:r>
      <w:r w:rsidR="00116F75" w:rsidRPr="00A11AFE">
        <w:rPr>
          <w:bCs/>
        </w:rPr>
        <w:t xml:space="preserve"> </w:t>
      </w:r>
      <w:r w:rsidR="00A11AFE" w:rsidRPr="00A11AFE">
        <w:rPr>
          <w:bCs/>
        </w:rPr>
        <w:t>demeuraient fort mal connues au XVIII</w:t>
      </w:r>
      <w:r w:rsidR="00A11AFE" w:rsidRPr="00A11AFE">
        <w:rPr>
          <w:bCs/>
          <w:vertAlign w:val="superscript"/>
        </w:rPr>
        <w:t>e</w:t>
      </w:r>
      <w:r w:rsidR="00A11AFE" w:rsidRPr="00A11AFE">
        <w:rPr>
          <w:bCs/>
        </w:rPr>
        <w:t xml:space="preserve"> siècle</w:t>
      </w:r>
      <w:r w:rsidR="00486974">
        <w:rPr>
          <w:bCs/>
        </w:rPr>
        <w:t>. L</w:t>
      </w:r>
      <w:r w:rsidR="00A11AFE" w:rsidRPr="00A11AFE">
        <w:rPr>
          <w:bCs/>
        </w:rPr>
        <w:t xml:space="preserve">’idée même d’un passé « préhistorique » </w:t>
      </w:r>
      <w:r w:rsidR="00396A4E" w:rsidRPr="00A11AFE">
        <w:rPr>
          <w:bCs/>
        </w:rPr>
        <w:t>était difficilement envisageable pour les modernes</w:t>
      </w:r>
      <w:r w:rsidR="00966AB8" w:rsidRPr="00A11AFE">
        <w:rPr>
          <w:rStyle w:val="Appelnotedebasdep"/>
          <w:bCs/>
        </w:rPr>
        <w:footnoteReference w:id="47"/>
      </w:r>
      <w:r w:rsidR="00396A4E" w:rsidRPr="00A11AFE">
        <w:rPr>
          <w:bCs/>
        </w:rPr>
        <w:t>.</w:t>
      </w:r>
      <w:r w:rsidR="00116F75" w:rsidRPr="00A11AFE">
        <w:rPr>
          <w:bCs/>
        </w:rPr>
        <w:t xml:space="preserve"> </w:t>
      </w:r>
      <w:r w:rsidR="00A11AFE">
        <w:rPr>
          <w:bCs/>
        </w:rPr>
        <w:t xml:space="preserve">L’académicien s’essaie néanmoins à fournir quelques réflexions à ce sujet et rappelle que </w:t>
      </w:r>
      <w:r w:rsidR="00A11AFE" w:rsidRPr="001C6099">
        <w:rPr>
          <w:bCs/>
        </w:rPr>
        <w:t xml:space="preserve">Strabon et le livre de la Genèse évoquent l’utilisation ancienne de pierres brutes de grandes dimensions, à des fins de commémoration, ce qui correspondrait bien à une antiquité </w:t>
      </w:r>
      <w:r w:rsidR="001C6099" w:rsidRPr="001C6099">
        <w:rPr>
          <w:bCs/>
        </w:rPr>
        <w:t>reculée</w:t>
      </w:r>
      <w:r w:rsidR="00A11AFE" w:rsidRPr="001C6099">
        <w:rPr>
          <w:bCs/>
        </w:rPr>
        <w:t xml:space="preserve">. Il propose </w:t>
      </w:r>
      <w:r w:rsidR="001C6099" w:rsidRPr="001C6099">
        <w:rPr>
          <w:bCs/>
        </w:rPr>
        <w:t xml:space="preserve">dès lors </w:t>
      </w:r>
      <w:r w:rsidR="00A11AFE" w:rsidRPr="001C6099">
        <w:rPr>
          <w:bCs/>
        </w:rPr>
        <w:t>d’y voir peut-être une réalisation</w:t>
      </w:r>
      <w:r w:rsidR="001C6099" w:rsidRPr="001C6099">
        <w:rPr>
          <w:bCs/>
        </w:rPr>
        <w:t xml:space="preserve"> remontant aux «</w:t>
      </w:r>
      <w:r w:rsidR="001C6099" w:rsidRPr="001C6099">
        <w:rPr>
          <w:bCs/>
          <w:i/>
        </w:rPr>
        <w:t xml:space="preserve"> premiers âges</w:t>
      </w:r>
      <w:r w:rsidR="001C6099" w:rsidRPr="001C6099">
        <w:rPr>
          <w:bCs/>
        </w:rPr>
        <w:t xml:space="preserve"> », </w:t>
      </w:r>
      <w:r w:rsidR="00486974">
        <w:rPr>
          <w:bCs/>
        </w:rPr>
        <w:t>époque d’établissement des</w:t>
      </w:r>
      <w:r w:rsidR="00A11AFE" w:rsidRPr="001C6099">
        <w:rPr>
          <w:bCs/>
        </w:rPr>
        <w:t xml:space="preserve"> premiers Celtes </w:t>
      </w:r>
      <w:r w:rsidR="001C6099" w:rsidRPr="001C6099">
        <w:rPr>
          <w:bCs/>
        </w:rPr>
        <w:t xml:space="preserve">dans la région, </w:t>
      </w:r>
      <w:r w:rsidR="00966AB8" w:rsidRPr="001C6099">
        <w:rPr>
          <w:bCs/>
        </w:rPr>
        <w:t>à une époque</w:t>
      </w:r>
      <w:r w:rsidR="001C6099" w:rsidRPr="001C6099">
        <w:rPr>
          <w:bCs/>
        </w:rPr>
        <w:t xml:space="preserve"> antérieure</w:t>
      </w:r>
      <w:r w:rsidR="00966AB8" w:rsidRPr="001C6099">
        <w:rPr>
          <w:bCs/>
        </w:rPr>
        <w:t xml:space="preserve"> </w:t>
      </w:r>
      <w:r w:rsidR="001C6099" w:rsidRPr="001C6099">
        <w:rPr>
          <w:bCs/>
        </w:rPr>
        <w:t>au siège de Troie</w:t>
      </w:r>
      <w:r w:rsidR="00116F75" w:rsidRPr="001C6099">
        <w:rPr>
          <w:bCs/>
          <w:vertAlign w:val="superscript"/>
        </w:rPr>
        <w:footnoteReference w:id="48"/>
      </w:r>
      <w:r w:rsidR="00116F75" w:rsidRPr="001C6099">
        <w:rPr>
          <w:bCs/>
        </w:rPr>
        <w:t xml:space="preserve">. </w:t>
      </w:r>
    </w:p>
    <w:p w14:paraId="6B1D77E4" w14:textId="49068BF9" w:rsidR="00966AB8" w:rsidRPr="007A1ED2" w:rsidRDefault="00966AB8" w:rsidP="007A1ED2">
      <w:pPr>
        <w:spacing w:line="360" w:lineRule="auto"/>
        <w:ind w:firstLine="708"/>
        <w:jc w:val="both"/>
        <w:rPr>
          <w:bCs/>
        </w:rPr>
      </w:pPr>
      <w:r w:rsidRPr="007F2422">
        <w:rPr>
          <w:bCs/>
        </w:rPr>
        <w:t xml:space="preserve">L’attention que porte </w:t>
      </w:r>
      <w:r w:rsidR="00CF4453" w:rsidRPr="007F2422">
        <w:rPr>
          <w:bCs/>
        </w:rPr>
        <w:t>de</w:t>
      </w:r>
      <w:r w:rsidRPr="007F2422">
        <w:rPr>
          <w:bCs/>
        </w:rPr>
        <w:t xml:space="preserve"> Nelis à la préservation du monument constitue un </w:t>
      </w:r>
      <w:r w:rsidR="001C6099" w:rsidRPr="007F2422">
        <w:rPr>
          <w:bCs/>
        </w:rPr>
        <w:t xml:space="preserve">autre </w:t>
      </w:r>
      <w:r w:rsidRPr="007F2422">
        <w:rPr>
          <w:bCs/>
        </w:rPr>
        <w:t xml:space="preserve">point de rupture vis-à-vis des érudits </w:t>
      </w:r>
      <w:r w:rsidR="001C6099" w:rsidRPr="007F2422">
        <w:rPr>
          <w:bCs/>
        </w:rPr>
        <w:t xml:space="preserve">des siècles </w:t>
      </w:r>
      <w:r w:rsidRPr="007F2422">
        <w:rPr>
          <w:bCs/>
        </w:rPr>
        <w:t xml:space="preserve">précédents. </w:t>
      </w:r>
      <w:r w:rsidR="007F2422">
        <w:rPr>
          <w:bCs/>
        </w:rPr>
        <w:t>La période moderne est en effet marquée par d’incessantes destructions de vestiges anciens, sans que cela n’émeuve la plupart des auteurs qui les décrivent</w:t>
      </w:r>
      <w:r w:rsidRPr="007F2422">
        <w:rPr>
          <w:bCs/>
        </w:rPr>
        <w:t xml:space="preserve"> </w:t>
      </w:r>
      <w:r w:rsidR="007F2422" w:rsidRPr="007F2422">
        <w:rPr>
          <w:bCs/>
        </w:rPr>
        <w:t>(</w:t>
      </w:r>
      <w:r w:rsidRPr="007F2422">
        <w:rPr>
          <w:bCs/>
        </w:rPr>
        <w:t>antiquaires</w:t>
      </w:r>
      <w:r w:rsidR="007F2422" w:rsidRPr="007F2422">
        <w:rPr>
          <w:bCs/>
        </w:rPr>
        <w:t xml:space="preserve"> compris</w:t>
      </w:r>
      <w:r w:rsidR="007F2422" w:rsidRPr="000F7E3F">
        <w:rPr>
          <w:bCs/>
        </w:rPr>
        <w:t>)</w:t>
      </w:r>
      <w:r w:rsidRPr="000F7E3F">
        <w:rPr>
          <w:rStyle w:val="Appelnotedebasdep"/>
          <w:bCs/>
        </w:rPr>
        <w:footnoteReference w:id="49"/>
      </w:r>
      <w:r w:rsidRPr="000F7E3F">
        <w:rPr>
          <w:bCs/>
        </w:rPr>
        <w:t xml:space="preserve">. </w:t>
      </w:r>
      <w:r w:rsidR="00CF4453" w:rsidRPr="000F7E3F">
        <w:rPr>
          <w:bCs/>
        </w:rPr>
        <w:t xml:space="preserve">Corneille-François de </w:t>
      </w:r>
      <w:r w:rsidRPr="000F7E3F">
        <w:rPr>
          <w:bCs/>
        </w:rPr>
        <w:t>Nelis</w:t>
      </w:r>
      <w:r w:rsidR="000F7E3F">
        <w:rPr>
          <w:bCs/>
        </w:rPr>
        <w:t>, quant à lui,</w:t>
      </w:r>
      <w:r w:rsidRPr="000F7E3F">
        <w:rPr>
          <w:bCs/>
        </w:rPr>
        <w:t xml:space="preserve"> </w:t>
      </w:r>
      <w:r w:rsidR="000F7E3F">
        <w:rPr>
          <w:bCs/>
        </w:rPr>
        <w:t>s’indigne face aux dégradations volontaires infligées au monolithe, en déclarant que</w:t>
      </w:r>
      <w:r w:rsidRPr="000223CD">
        <w:rPr>
          <w:bCs/>
          <w:color w:val="FF0000"/>
        </w:rPr>
        <w:t xml:space="preserve"> </w:t>
      </w:r>
      <w:r w:rsidRPr="000F7E3F">
        <w:rPr>
          <w:bCs/>
        </w:rPr>
        <w:t>«</w:t>
      </w:r>
      <w:r w:rsidR="000F7E3F" w:rsidRPr="000F7E3F">
        <w:rPr>
          <w:bCs/>
          <w:i/>
        </w:rPr>
        <w:t xml:space="preserve"> </w:t>
      </w:r>
      <w:r w:rsidRPr="000F7E3F">
        <w:rPr>
          <w:bCs/>
          <w:i/>
        </w:rPr>
        <w:t xml:space="preserve">ce que l’intempérie des saisons, &amp; le </w:t>
      </w:r>
      <w:proofErr w:type="spellStart"/>
      <w:r w:rsidRPr="000F7E3F">
        <w:rPr>
          <w:bCs/>
          <w:i/>
        </w:rPr>
        <w:t>tempus</w:t>
      </w:r>
      <w:proofErr w:type="spellEnd"/>
      <w:r w:rsidRPr="000F7E3F">
        <w:rPr>
          <w:bCs/>
          <w:i/>
        </w:rPr>
        <w:t xml:space="preserve"> </w:t>
      </w:r>
      <w:proofErr w:type="spellStart"/>
      <w:r w:rsidRPr="000F7E3F">
        <w:rPr>
          <w:bCs/>
          <w:i/>
        </w:rPr>
        <w:t>edax</w:t>
      </w:r>
      <w:proofErr w:type="spellEnd"/>
      <w:r w:rsidRPr="000F7E3F">
        <w:rPr>
          <w:bCs/>
          <w:i/>
        </w:rPr>
        <w:t xml:space="preserve"> </w:t>
      </w:r>
      <w:proofErr w:type="spellStart"/>
      <w:r w:rsidRPr="000F7E3F">
        <w:rPr>
          <w:bCs/>
          <w:i/>
        </w:rPr>
        <w:t>rerum</w:t>
      </w:r>
      <w:proofErr w:type="spellEnd"/>
      <w:r w:rsidRPr="000F7E3F">
        <w:rPr>
          <w:bCs/>
          <w:i/>
        </w:rPr>
        <w:t xml:space="preserve"> n’ont pas fait, un Paysan, un Pâtre depuis peu a manqué de le faire. Par désœuvrement ou par quelque autre motif, il s’est amusé à creuser une fosse tout le long de la pierre du côté où elle </w:t>
      </w:r>
      <w:proofErr w:type="spellStart"/>
      <w:r w:rsidRPr="000F7E3F">
        <w:rPr>
          <w:bCs/>
          <w:i/>
        </w:rPr>
        <w:t>étoit</w:t>
      </w:r>
      <w:proofErr w:type="spellEnd"/>
      <w:r w:rsidRPr="000F7E3F">
        <w:rPr>
          <w:bCs/>
          <w:i/>
        </w:rPr>
        <w:t xml:space="preserve"> déjà un peu inclinée</w:t>
      </w:r>
      <w:r w:rsidRPr="000F7E3F">
        <w:rPr>
          <w:bCs/>
        </w:rPr>
        <w:t xml:space="preserve"> ». </w:t>
      </w:r>
      <w:r w:rsidR="00815FE7">
        <w:rPr>
          <w:bCs/>
        </w:rPr>
        <w:t xml:space="preserve">Il souligne avec inquiétude que </w:t>
      </w:r>
      <w:r w:rsidR="00815FE7" w:rsidRPr="00815FE7">
        <w:rPr>
          <w:bCs/>
        </w:rPr>
        <w:t>son sort risque d’être similaire à celui du mégalithe de Bray, détruit en 1753</w:t>
      </w:r>
      <w:r w:rsidR="00815FE7">
        <w:rPr>
          <w:bCs/>
        </w:rPr>
        <w:t xml:space="preserve">, alors que cette pierre présente un intérêt historique réel. Malgré </w:t>
      </w:r>
      <w:r w:rsidR="00486974">
        <w:rPr>
          <w:bCs/>
        </w:rPr>
        <w:t>son</w:t>
      </w:r>
      <w:r w:rsidR="00815FE7">
        <w:rPr>
          <w:bCs/>
        </w:rPr>
        <w:t xml:space="preserve"> aspect qu’il juge relativement grossier,</w:t>
      </w:r>
      <w:r w:rsidR="0004686C">
        <w:rPr>
          <w:bCs/>
        </w:rPr>
        <w:t xml:space="preserve"> il estime qu’</w:t>
      </w:r>
      <w:r w:rsidR="00815FE7" w:rsidRPr="00815FE7">
        <w:rPr>
          <w:bCs/>
        </w:rPr>
        <w:t xml:space="preserve">« </w:t>
      </w:r>
      <w:r w:rsidR="00815FE7" w:rsidRPr="00815FE7">
        <w:rPr>
          <w:bCs/>
          <w:i/>
          <w:iCs/>
        </w:rPr>
        <w:t>elle nous rappelle l’origine des sociétés, l’enfance et la simplicité des Arts, &amp; les premiers âges du monde</w:t>
      </w:r>
      <w:r w:rsidR="00815FE7" w:rsidRPr="00815FE7">
        <w:rPr>
          <w:bCs/>
        </w:rPr>
        <w:t xml:space="preserve"> »</w:t>
      </w:r>
      <w:r w:rsidR="00815FE7" w:rsidRPr="00815FE7">
        <w:rPr>
          <w:rStyle w:val="Appelnotedebasdep"/>
        </w:rPr>
        <w:footnoteReference w:id="50"/>
      </w:r>
      <w:r w:rsidR="00815FE7" w:rsidRPr="00815FE7">
        <w:rPr>
          <w:bCs/>
        </w:rPr>
        <w:t>.</w:t>
      </w:r>
      <w:r w:rsidR="007A1ED2">
        <w:rPr>
          <w:bCs/>
        </w:rPr>
        <w:t xml:space="preserve"> </w:t>
      </w:r>
      <w:r w:rsidR="00FE0914" w:rsidRPr="007A1ED2">
        <w:t>Il fau</w:t>
      </w:r>
      <w:r w:rsidR="00486974">
        <w:t>dra</w:t>
      </w:r>
      <w:r w:rsidR="00FE0914" w:rsidRPr="007A1ED2">
        <w:t xml:space="preserve"> </w:t>
      </w:r>
      <w:r w:rsidR="00874B3D" w:rsidRPr="007A1ED2">
        <w:t xml:space="preserve">cependant </w:t>
      </w:r>
      <w:r w:rsidR="00FE0914" w:rsidRPr="007A1ED2">
        <w:t xml:space="preserve">attendre </w:t>
      </w:r>
      <w:r w:rsidR="00C2604F" w:rsidRPr="007A1ED2">
        <w:t xml:space="preserve">plusieurs </w:t>
      </w:r>
      <w:r w:rsidR="00FE0914" w:rsidRPr="007A1ED2">
        <w:t xml:space="preserve">décennies </w:t>
      </w:r>
      <w:r w:rsidR="007A1ED2" w:rsidRPr="007A1ED2">
        <w:t>avant</w:t>
      </w:r>
      <w:r w:rsidR="00FE0914" w:rsidRPr="007A1ED2">
        <w:t xml:space="preserve"> que</w:t>
      </w:r>
      <w:r w:rsidR="00144DEC" w:rsidRPr="007A1ED2">
        <w:t xml:space="preserve"> </w:t>
      </w:r>
      <w:r w:rsidR="00A07EDA" w:rsidRPr="007A1ED2">
        <w:t>le</w:t>
      </w:r>
      <w:r w:rsidR="00144DEC" w:rsidRPr="007A1ED2">
        <w:t xml:space="preserve"> souhait </w:t>
      </w:r>
      <w:r w:rsidR="00A07EDA" w:rsidRPr="007A1ED2">
        <w:t xml:space="preserve">de l’académicien </w:t>
      </w:r>
      <w:r w:rsidR="007A1ED2" w:rsidRPr="007A1ED2">
        <w:t xml:space="preserve">ne </w:t>
      </w:r>
      <w:r w:rsidR="00FE0914" w:rsidRPr="007A1ED2">
        <w:t>soi</w:t>
      </w:r>
      <w:r w:rsidR="00A07EDA" w:rsidRPr="007A1ED2">
        <w:t>t</w:t>
      </w:r>
      <w:r w:rsidR="00C2604F" w:rsidRPr="007A1ED2">
        <w:t xml:space="preserve"> </w:t>
      </w:r>
      <w:r w:rsidR="00FE0914" w:rsidRPr="007A1ED2">
        <w:t xml:space="preserve">exaucé : </w:t>
      </w:r>
      <w:r w:rsidR="00144DEC" w:rsidRPr="007A1ED2">
        <w:t>les autorités locales la firent</w:t>
      </w:r>
      <w:r w:rsidR="00FE0914" w:rsidRPr="007A1ED2">
        <w:t xml:space="preserve"> </w:t>
      </w:r>
      <w:r w:rsidR="00144DEC" w:rsidRPr="007A1ED2">
        <w:t>redresser</w:t>
      </w:r>
      <w:r w:rsidR="00FE0914" w:rsidRPr="007A1ED2">
        <w:t xml:space="preserve"> en 1819</w:t>
      </w:r>
      <w:r w:rsidR="00144DEC" w:rsidRPr="007A1ED2">
        <w:rPr>
          <w:rStyle w:val="Appelnotedebasdep"/>
        </w:rPr>
        <w:footnoteReference w:id="51"/>
      </w:r>
      <w:r w:rsidR="007A1ED2" w:rsidRPr="007A1ED2">
        <w:t xml:space="preserve">, avant </w:t>
      </w:r>
      <w:r w:rsidR="00486974">
        <w:t>son classement au patrimoine</w:t>
      </w:r>
      <w:r w:rsidR="007A1ED2" w:rsidRPr="007A1ED2">
        <w:t xml:space="preserve"> plus d’un siècle plus tard</w:t>
      </w:r>
      <w:r w:rsidR="00C2604F" w:rsidRPr="007A1ED2">
        <w:t xml:space="preserve"> </w:t>
      </w:r>
      <w:r w:rsidR="007A1ED2" w:rsidRPr="007A1ED2">
        <w:t>(</w:t>
      </w:r>
      <w:r w:rsidR="00C2604F" w:rsidRPr="007A1ED2">
        <w:t>15 mars 1934</w:t>
      </w:r>
      <w:r w:rsidR="007A1ED2" w:rsidRPr="007A1ED2">
        <w:t>)</w:t>
      </w:r>
      <w:r w:rsidR="00C2604F" w:rsidRPr="007A1ED2">
        <w:rPr>
          <w:rStyle w:val="Appelnotedebasdep"/>
        </w:rPr>
        <w:footnoteReference w:id="52"/>
      </w:r>
      <w:r w:rsidR="00144DEC" w:rsidRPr="007A1ED2">
        <w:t xml:space="preserve">. </w:t>
      </w:r>
    </w:p>
    <w:p w14:paraId="648D6761" w14:textId="77777777" w:rsidR="00B43913" w:rsidRPr="000223CD" w:rsidRDefault="00B43913" w:rsidP="00B43913">
      <w:pPr>
        <w:spacing w:line="360" w:lineRule="auto"/>
        <w:jc w:val="both"/>
        <w:rPr>
          <w:bCs/>
          <w:color w:val="FF0000"/>
        </w:rPr>
      </w:pPr>
    </w:p>
    <w:p w14:paraId="1FC3D054" w14:textId="77777777" w:rsidR="00B43913" w:rsidRPr="007A1ED2" w:rsidRDefault="00B43913" w:rsidP="00B43913">
      <w:pPr>
        <w:spacing w:line="360" w:lineRule="auto"/>
        <w:jc w:val="both"/>
        <w:rPr>
          <w:b/>
          <w:bCs/>
        </w:rPr>
      </w:pPr>
      <w:r w:rsidRPr="007A1ED2">
        <w:rPr>
          <w:b/>
          <w:bCs/>
        </w:rPr>
        <w:t>Conclusion</w:t>
      </w:r>
    </w:p>
    <w:p w14:paraId="361BE30F" w14:textId="77777777" w:rsidR="00B43913" w:rsidRPr="000223CD" w:rsidRDefault="00B43913" w:rsidP="00B43913">
      <w:pPr>
        <w:spacing w:line="360" w:lineRule="auto"/>
        <w:ind w:firstLine="708"/>
        <w:jc w:val="both"/>
        <w:rPr>
          <w:bCs/>
          <w:color w:val="FF0000"/>
        </w:rPr>
      </w:pPr>
    </w:p>
    <w:p w14:paraId="66E2874B" w14:textId="5C034ED4" w:rsidR="00116F75" w:rsidRPr="00B55E65" w:rsidRDefault="00144DEC" w:rsidP="00EF24C6">
      <w:pPr>
        <w:spacing w:line="360" w:lineRule="auto"/>
        <w:jc w:val="both"/>
        <w:rPr>
          <w:bCs/>
        </w:rPr>
      </w:pPr>
      <w:r w:rsidRPr="000223CD">
        <w:rPr>
          <w:bCs/>
          <w:color w:val="FF0000"/>
        </w:rPr>
        <w:tab/>
      </w:r>
      <w:r w:rsidRPr="007A1ED2">
        <w:rPr>
          <w:bCs/>
        </w:rPr>
        <w:t>L’intérêt historique de la pierre Brunehaut d’</w:t>
      </w:r>
      <w:proofErr w:type="spellStart"/>
      <w:r w:rsidRPr="007A1ED2">
        <w:rPr>
          <w:bCs/>
        </w:rPr>
        <w:t>Hollain</w:t>
      </w:r>
      <w:proofErr w:type="spellEnd"/>
      <w:r w:rsidRPr="007A1ED2">
        <w:rPr>
          <w:bCs/>
        </w:rPr>
        <w:t xml:space="preserve"> dépasse largement la seule question de son origine et de son utilisation au cours de la préhistoire. Ce monolithe a en effet traversé les âges et marqué durablement le paysage, en étant progressivement réutilisé en tant que point de repère </w:t>
      </w:r>
      <w:r w:rsidRPr="007A1ED2">
        <w:rPr>
          <w:bCs/>
        </w:rPr>
        <w:lastRenderedPageBreak/>
        <w:t xml:space="preserve">par les populations environnantes. Les réponses </w:t>
      </w:r>
      <w:r w:rsidR="00387C13">
        <w:rPr>
          <w:bCs/>
        </w:rPr>
        <w:t>apportées</w:t>
      </w:r>
      <w:r w:rsidRPr="007A1ED2">
        <w:rPr>
          <w:bCs/>
        </w:rPr>
        <w:t xml:space="preserve"> par les érudits modernes à la question de ses origines </w:t>
      </w:r>
      <w:r w:rsidR="00387C13">
        <w:rPr>
          <w:bCs/>
        </w:rPr>
        <w:t>fournissent</w:t>
      </w:r>
      <w:r w:rsidRPr="007A1ED2">
        <w:rPr>
          <w:bCs/>
        </w:rPr>
        <w:t xml:space="preserve"> un éclairage in</w:t>
      </w:r>
      <w:r w:rsidR="006C7BA3" w:rsidRPr="007A1ED2">
        <w:rPr>
          <w:bCs/>
        </w:rPr>
        <w:t xml:space="preserve">téressant sur la perception </w:t>
      </w:r>
      <w:r w:rsidR="00065D0A">
        <w:rPr>
          <w:bCs/>
        </w:rPr>
        <w:t>qu’ils avaient</w:t>
      </w:r>
      <w:r w:rsidR="006C7BA3" w:rsidRPr="007A1ED2">
        <w:rPr>
          <w:bCs/>
        </w:rPr>
        <w:t xml:space="preserve"> à l’égard du passé de leur région</w:t>
      </w:r>
      <w:r w:rsidRPr="007A1ED2">
        <w:rPr>
          <w:bCs/>
        </w:rPr>
        <w:t xml:space="preserve">. </w:t>
      </w:r>
      <w:r w:rsidR="007A1ED2">
        <w:rPr>
          <w:bCs/>
        </w:rPr>
        <w:t xml:space="preserve">La pierre </w:t>
      </w:r>
      <w:r w:rsidR="00F074E5">
        <w:rPr>
          <w:bCs/>
        </w:rPr>
        <w:t>est</w:t>
      </w:r>
      <w:r w:rsidR="007A1ED2">
        <w:rPr>
          <w:bCs/>
        </w:rPr>
        <w:t xml:space="preserve"> </w:t>
      </w:r>
      <w:r w:rsidR="00F074E5">
        <w:rPr>
          <w:bCs/>
        </w:rPr>
        <w:t xml:space="preserve">d’abord envisagée </w:t>
      </w:r>
      <w:r w:rsidR="007A1ED2">
        <w:rPr>
          <w:bCs/>
        </w:rPr>
        <w:t xml:space="preserve">comme </w:t>
      </w:r>
      <w:r w:rsidR="00F074E5">
        <w:rPr>
          <w:bCs/>
        </w:rPr>
        <w:t>l’</w:t>
      </w:r>
      <w:r w:rsidR="007A1ED2">
        <w:rPr>
          <w:bCs/>
        </w:rPr>
        <w:t xml:space="preserve">une </w:t>
      </w:r>
      <w:r w:rsidR="00F074E5">
        <w:rPr>
          <w:bCs/>
        </w:rPr>
        <w:t xml:space="preserve">des nombreuses </w:t>
      </w:r>
      <w:r w:rsidR="007A1ED2">
        <w:rPr>
          <w:bCs/>
        </w:rPr>
        <w:t>réalisation</w:t>
      </w:r>
      <w:r w:rsidR="00F074E5">
        <w:rPr>
          <w:bCs/>
        </w:rPr>
        <w:t>s</w:t>
      </w:r>
      <w:r w:rsidR="007A1ED2">
        <w:rPr>
          <w:bCs/>
        </w:rPr>
        <w:t xml:space="preserve"> attribuée</w:t>
      </w:r>
      <w:r w:rsidR="00F074E5">
        <w:rPr>
          <w:bCs/>
        </w:rPr>
        <w:t>s</w:t>
      </w:r>
      <w:r w:rsidR="007A1ED2">
        <w:rPr>
          <w:bCs/>
        </w:rPr>
        <w:t xml:space="preserve"> à la reine Brunehaut</w:t>
      </w:r>
      <w:r w:rsidR="00F074E5">
        <w:rPr>
          <w:bCs/>
        </w:rPr>
        <w:t xml:space="preserve"> par les traditions médiévales et modernes</w:t>
      </w:r>
      <w:r w:rsidR="007A1ED2">
        <w:rPr>
          <w:bCs/>
        </w:rPr>
        <w:t>, puis e</w:t>
      </w:r>
      <w:r w:rsidR="00F074E5">
        <w:rPr>
          <w:bCs/>
        </w:rPr>
        <w:t>n tant</w:t>
      </w:r>
      <w:r w:rsidR="007A1ED2">
        <w:rPr>
          <w:bCs/>
        </w:rPr>
        <w:t xml:space="preserve"> </w:t>
      </w:r>
      <w:r w:rsidR="00F074E5">
        <w:rPr>
          <w:bCs/>
        </w:rPr>
        <w:t>que</w:t>
      </w:r>
      <w:r w:rsidR="007A1ED2">
        <w:rPr>
          <w:bCs/>
        </w:rPr>
        <w:t xml:space="preserve"> </w:t>
      </w:r>
      <w:r w:rsidR="00F074E5">
        <w:rPr>
          <w:bCs/>
        </w:rPr>
        <w:t>monument</w:t>
      </w:r>
      <w:r w:rsidR="007A1ED2">
        <w:rPr>
          <w:bCs/>
        </w:rPr>
        <w:t xml:space="preserve"> attestant matériellement le passé prestigieux de Tournai, </w:t>
      </w:r>
      <w:r w:rsidR="00F074E5">
        <w:rPr>
          <w:bCs/>
        </w:rPr>
        <w:t xml:space="preserve">à une époque où celui-ci était remis en question. </w:t>
      </w:r>
      <w:r w:rsidR="00D83E30" w:rsidRPr="00B55E65">
        <w:rPr>
          <w:bCs/>
        </w:rPr>
        <w:t>À la fin du XVIII</w:t>
      </w:r>
      <w:r w:rsidR="00D83E30" w:rsidRPr="00B55E65">
        <w:rPr>
          <w:bCs/>
          <w:vertAlign w:val="superscript"/>
        </w:rPr>
        <w:t>e</w:t>
      </w:r>
      <w:r w:rsidR="00D83E30" w:rsidRPr="00B55E65">
        <w:rPr>
          <w:bCs/>
        </w:rPr>
        <w:t xml:space="preserve"> siècle, les recherches de Corneille-François de Nelis</w:t>
      </w:r>
      <w:r w:rsidR="00B55E65">
        <w:rPr>
          <w:bCs/>
        </w:rPr>
        <w:t xml:space="preserve"> l’</w:t>
      </w:r>
      <w:r w:rsidR="00D83E30" w:rsidRPr="00B55E65">
        <w:rPr>
          <w:bCs/>
        </w:rPr>
        <w:t>abordent</w:t>
      </w:r>
      <w:r w:rsidR="00B55E65">
        <w:rPr>
          <w:bCs/>
        </w:rPr>
        <w:t xml:space="preserve"> </w:t>
      </w:r>
      <w:r w:rsidR="00D83E30" w:rsidRPr="00B55E65">
        <w:rPr>
          <w:bCs/>
        </w:rPr>
        <w:t>sous un angle d’approche</w:t>
      </w:r>
      <w:r w:rsidR="006C7BA3" w:rsidRPr="00B55E65">
        <w:rPr>
          <w:bCs/>
        </w:rPr>
        <w:t xml:space="preserve"> novateur. Prônant </w:t>
      </w:r>
      <w:r w:rsidR="00B55E65">
        <w:rPr>
          <w:bCs/>
        </w:rPr>
        <w:t>l’</w:t>
      </w:r>
      <w:r w:rsidR="006C7BA3" w:rsidRPr="00B55E65">
        <w:rPr>
          <w:bCs/>
        </w:rPr>
        <w:t>observation</w:t>
      </w:r>
      <w:r w:rsidR="00387C13">
        <w:rPr>
          <w:bCs/>
        </w:rPr>
        <w:t xml:space="preserve"> personnelle</w:t>
      </w:r>
      <w:r w:rsidR="006C7BA3" w:rsidRPr="00B55E65">
        <w:rPr>
          <w:bCs/>
        </w:rPr>
        <w:t xml:space="preserve"> et </w:t>
      </w:r>
      <w:r w:rsidR="00B55E65">
        <w:rPr>
          <w:bCs/>
        </w:rPr>
        <w:t>l</w:t>
      </w:r>
      <w:r w:rsidR="006C7BA3" w:rsidRPr="00B55E65">
        <w:rPr>
          <w:bCs/>
        </w:rPr>
        <w:t>a</w:t>
      </w:r>
      <w:r w:rsidR="00D83E30" w:rsidRPr="00B55E65">
        <w:rPr>
          <w:bCs/>
        </w:rPr>
        <w:t xml:space="preserve"> description</w:t>
      </w:r>
      <w:r w:rsidR="00B55E65" w:rsidRPr="00B55E65">
        <w:rPr>
          <w:bCs/>
        </w:rPr>
        <w:t xml:space="preserve"> à la manière des antiquaires</w:t>
      </w:r>
      <w:r w:rsidR="00D83E30" w:rsidRPr="00B55E65">
        <w:rPr>
          <w:bCs/>
        </w:rPr>
        <w:t xml:space="preserve">, </w:t>
      </w:r>
      <w:r w:rsidR="00387C13">
        <w:rPr>
          <w:bCs/>
        </w:rPr>
        <w:t>l’académicien</w:t>
      </w:r>
      <w:r w:rsidR="00D83E30" w:rsidRPr="00B55E65">
        <w:rPr>
          <w:bCs/>
        </w:rPr>
        <w:t xml:space="preserve"> </w:t>
      </w:r>
      <w:r w:rsidR="00B55E65">
        <w:rPr>
          <w:bCs/>
        </w:rPr>
        <w:t>écarte toutes</w:t>
      </w:r>
      <w:r w:rsidR="00D83E30" w:rsidRPr="00B55E65">
        <w:rPr>
          <w:bCs/>
        </w:rPr>
        <w:t xml:space="preserve"> les théories antérieures et est le premier à </w:t>
      </w:r>
      <w:r w:rsidR="00387C13">
        <w:rPr>
          <w:bCs/>
        </w:rPr>
        <w:t>avancer</w:t>
      </w:r>
      <w:r w:rsidR="00D83E30" w:rsidRPr="00B55E65">
        <w:rPr>
          <w:bCs/>
        </w:rPr>
        <w:t xml:space="preserve"> l’idée </w:t>
      </w:r>
      <w:r w:rsidR="00387C13">
        <w:rPr>
          <w:bCs/>
        </w:rPr>
        <w:t xml:space="preserve">audacieuse </w:t>
      </w:r>
      <w:r w:rsidR="00D83E30" w:rsidRPr="00B55E65">
        <w:rPr>
          <w:bCs/>
        </w:rPr>
        <w:t>d’un</w:t>
      </w:r>
      <w:r w:rsidR="00387C13">
        <w:rPr>
          <w:bCs/>
        </w:rPr>
        <w:t>e origine</w:t>
      </w:r>
      <w:r w:rsidR="00D83E30" w:rsidRPr="00B55E65">
        <w:rPr>
          <w:bCs/>
        </w:rPr>
        <w:t xml:space="preserve"> </w:t>
      </w:r>
      <w:r w:rsidR="00B55E65" w:rsidRPr="00B55E65">
        <w:rPr>
          <w:bCs/>
        </w:rPr>
        <w:t>« </w:t>
      </w:r>
      <w:r w:rsidR="00D83E30" w:rsidRPr="00B55E65">
        <w:rPr>
          <w:bCs/>
        </w:rPr>
        <w:t>préhistorique</w:t>
      </w:r>
      <w:r w:rsidR="00B55E65" w:rsidRPr="00B55E65">
        <w:rPr>
          <w:bCs/>
        </w:rPr>
        <w:t> »</w:t>
      </w:r>
      <w:r w:rsidR="00D83E30" w:rsidRPr="00B55E65">
        <w:rPr>
          <w:bCs/>
        </w:rPr>
        <w:t xml:space="preserve">. </w:t>
      </w:r>
      <w:r w:rsidR="00B55E65">
        <w:rPr>
          <w:bCs/>
        </w:rPr>
        <w:t xml:space="preserve">L’attention qu’il porte à la question de la préservation de la pierre préfigure par ailleurs </w:t>
      </w:r>
      <w:r w:rsidR="00D83E30" w:rsidRPr="00B55E65">
        <w:rPr>
          <w:bCs/>
        </w:rPr>
        <w:t>les pratiques de « patrimonialisation » qui seront mises en œuvre dans de nombreux pays européens au XIX</w:t>
      </w:r>
      <w:r w:rsidR="00D83E30" w:rsidRPr="00B55E65">
        <w:rPr>
          <w:bCs/>
          <w:vertAlign w:val="superscript"/>
        </w:rPr>
        <w:t>e</w:t>
      </w:r>
      <w:r w:rsidR="00BB3522" w:rsidRPr="00B55E65">
        <w:rPr>
          <w:bCs/>
        </w:rPr>
        <w:t xml:space="preserve"> siècle.</w:t>
      </w:r>
    </w:p>
    <w:sectPr w:rsidR="00116F75" w:rsidRPr="00B55E6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B66C" w14:textId="77777777" w:rsidR="006D4F90" w:rsidRDefault="006D4F90" w:rsidP="00C10565">
      <w:pPr>
        <w:spacing w:line="240" w:lineRule="auto"/>
      </w:pPr>
      <w:r>
        <w:separator/>
      </w:r>
    </w:p>
  </w:endnote>
  <w:endnote w:type="continuationSeparator" w:id="0">
    <w:p w14:paraId="28A80C5B" w14:textId="77777777" w:rsidR="006D4F90" w:rsidRDefault="006D4F90" w:rsidP="00C10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DefSpecial">
    <w:altName w:val="Yu Gothic UI"/>
    <w:panose1 w:val="00000000000000000000"/>
    <w:charset w:val="80"/>
    <w:family w:val="auto"/>
    <w:notTrueType/>
    <w:pitch w:val="default"/>
    <w:sig w:usb0="00000001" w:usb1="08070000" w:usb2="00000010" w:usb3="00000000" w:csb0="00020000"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354498"/>
      <w:docPartObj>
        <w:docPartGallery w:val="Page Numbers (Bottom of Page)"/>
        <w:docPartUnique/>
      </w:docPartObj>
    </w:sdtPr>
    <w:sdtEndPr/>
    <w:sdtContent>
      <w:p w14:paraId="745749A6" w14:textId="48DA0C40" w:rsidR="00FE0914" w:rsidRDefault="00FE0914">
        <w:pPr>
          <w:pStyle w:val="Pieddepage"/>
          <w:jc w:val="right"/>
        </w:pPr>
        <w:r>
          <w:fldChar w:fldCharType="begin"/>
        </w:r>
        <w:r>
          <w:instrText>PAGE   \* MERGEFORMAT</w:instrText>
        </w:r>
        <w:r>
          <w:fldChar w:fldCharType="separate"/>
        </w:r>
        <w:r w:rsidR="00C54C9E" w:rsidRPr="00C54C9E">
          <w:rPr>
            <w:noProof/>
            <w:lang w:val="fr-FR"/>
          </w:rPr>
          <w:t>9</w:t>
        </w:r>
        <w:r>
          <w:fldChar w:fldCharType="end"/>
        </w:r>
      </w:p>
    </w:sdtContent>
  </w:sdt>
  <w:p w14:paraId="53B14EA7" w14:textId="77777777" w:rsidR="00FE0914" w:rsidRDefault="00FE09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83D58" w14:textId="77777777" w:rsidR="006D4F90" w:rsidRDefault="006D4F90" w:rsidP="00C10565">
      <w:pPr>
        <w:spacing w:line="240" w:lineRule="auto"/>
      </w:pPr>
      <w:r>
        <w:separator/>
      </w:r>
    </w:p>
  </w:footnote>
  <w:footnote w:type="continuationSeparator" w:id="0">
    <w:p w14:paraId="356D90DA" w14:textId="77777777" w:rsidR="006D4F90" w:rsidRDefault="006D4F90" w:rsidP="00C10565">
      <w:pPr>
        <w:spacing w:line="240" w:lineRule="auto"/>
      </w:pPr>
      <w:r>
        <w:continuationSeparator/>
      </w:r>
    </w:p>
  </w:footnote>
  <w:footnote w:id="1">
    <w:p w14:paraId="4899FF13" w14:textId="0ED97D8E" w:rsidR="00986A0C" w:rsidRDefault="00986A0C" w:rsidP="00861436">
      <w:pPr>
        <w:pStyle w:val="Notedebasdepage"/>
        <w:jc w:val="both"/>
      </w:pPr>
      <w:r>
        <w:rPr>
          <w:rStyle w:val="Appelnotedebasdep"/>
        </w:rPr>
        <w:footnoteRef/>
      </w:r>
      <w:r>
        <w:t xml:space="preserve"> Cette contribution est</w:t>
      </w:r>
      <w:r w:rsidR="00861436">
        <w:t xml:space="preserve"> partiellement issue</w:t>
      </w:r>
      <w:r>
        <w:t xml:space="preserve"> de notre thèse de doctorat, défendue à l’</w:t>
      </w:r>
      <w:proofErr w:type="spellStart"/>
      <w:r>
        <w:t>UNamur</w:t>
      </w:r>
      <w:proofErr w:type="spellEnd"/>
      <w:r>
        <w:t xml:space="preserve"> et à l’</w:t>
      </w:r>
      <w:proofErr w:type="spellStart"/>
      <w:r>
        <w:t>UCLouvain</w:t>
      </w:r>
      <w:proofErr w:type="spellEnd"/>
      <w:r>
        <w:t xml:space="preserve"> le 17 novembre 2021. </w:t>
      </w:r>
      <w:r w:rsidR="000953DF">
        <w:t>On pourra se référer à son texte pour disposer de l’ensemble des notes justificatives, ré</w:t>
      </w:r>
      <w:r w:rsidR="00861436">
        <w:t>duites ici au strict nécessaire :</w:t>
      </w:r>
      <w:r w:rsidR="000953DF">
        <w:t xml:space="preserve"> </w:t>
      </w:r>
      <w:r>
        <w:t xml:space="preserve">O. </w:t>
      </w:r>
      <w:r w:rsidRPr="00AD2131">
        <w:t>L</w:t>
      </w:r>
      <w:r w:rsidRPr="00AD2131">
        <w:rPr>
          <w:smallCaps/>
        </w:rPr>
        <w:t>atteur</w:t>
      </w:r>
      <w:r>
        <w:rPr>
          <w:smallCaps/>
        </w:rPr>
        <w:t xml:space="preserve">, </w:t>
      </w:r>
      <w:r w:rsidR="00861436" w:rsidRPr="00861436">
        <w:rPr>
          <w:i/>
        </w:rPr>
        <w:t>Cohabiter avec l’Antiquité (XVI</w:t>
      </w:r>
      <w:r w:rsidR="00861436" w:rsidRPr="00861436">
        <w:rPr>
          <w:i/>
          <w:vertAlign w:val="superscript"/>
        </w:rPr>
        <w:t>e</w:t>
      </w:r>
      <w:r w:rsidR="00861436" w:rsidRPr="00861436">
        <w:rPr>
          <w:i/>
        </w:rPr>
        <w:t>-XVIII</w:t>
      </w:r>
      <w:r w:rsidR="00861436" w:rsidRPr="00861436">
        <w:rPr>
          <w:i/>
          <w:vertAlign w:val="superscript"/>
        </w:rPr>
        <w:t>e</w:t>
      </w:r>
      <w:r w:rsidR="00861436" w:rsidRPr="00861436">
        <w:rPr>
          <w:i/>
        </w:rPr>
        <w:t xml:space="preserve"> siècles). </w:t>
      </w:r>
      <w:proofErr w:type="spellStart"/>
      <w:r w:rsidR="00861436" w:rsidRPr="00861436">
        <w:rPr>
          <w:i/>
        </w:rPr>
        <w:t>Antiquarisme</w:t>
      </w:r>
      <w:proofErr w:type="spellEnd"/>
      <w:r w:rsidR="00861436" w:rsidRPr="00861436">
        <w:rPr>
          <w:i/>
        </w:rPr>
        <w:t>, traditions locales et impact paysager des vestiges antiques dans les Pays-Bas méridionaux et la principauté de Liège (1565-1794)</w:t>
      </w:r>
      <w:r w:rsidR="00861436">
        <w:t xml:space="preserve">, </w:t>
      </w:r>
      <w:proofErr w:type="spellStart"/>
      <w:r w:rsidR="00861436">
        <w:t>UNamur</w:t>
      </w:r>
      <w:proofErr w:type="spellEnd"/>
      <w:r w:rsidR="00861436">
        <w:t>/</w:t>
      </w:r>
      <w:proofErr w:type="spellStart"/>
      <w:r w:rsidR="00861436">
        <w:t>UCLouvain</w:t>
      </w:r>
      <w:proofErr w:type="spellEnd"/>
      <w:r w:rsidR="00861436">
        <w:t>, 2021-2022, en particulier p. 182-184, 299-302 et 330-331.</w:t>
      </w:r>
    </w:p>
  </w:footnote>
  <w:footnote w:id="2">
    <w:p w14:paraId="1EAE4BDF" w14:textId="77777777" w:rsidR="009D5EEE" w:rsidRPr="006B1D31" w:rsidRDefault="009D5EEE" w:rsidP="009D5EEE">
      <w:pPr>
        <w:pStyle w:val="Notedebasdepage"/>
        <w:jc w:val="both"/>
      </w:pPr>
      <w:r w:rsidRPr="006B1D31">
        <w:rPr>
          <w:rStyle w:val="Appelnotedebasdep"/>
        </w:rPr>
        <w:footnoteRef/>
      </w:r>
      <w:r w:rsidRPr="006B1D31">
        <w:t xml:space="preserve"> </w:t>
      </w:r>
      <w:r w:rsidRPr="002F400A">
        <w:rPr>
          <w:i/>
          <w:iCs/>
        </w:rPr>
        <w:t xml:space="preserve">Brunehaut / </w:t>
      </w:r>
      <w:proofErr w:type="spellStart"/>
      <w:r w:rsidRPr="002F400A">
        <w:rPr>
          <w:i/>
          <w:iCs/>
        </w:rPr>
        <w:t>Hollain</w:t>
      </w:r>
      <w:proofErr w:type="spellEnd"/>
      <w:r>
        <w:t xml:space="preserve">, dans </w:t>
      </w:r>
      <w:r>
        <w:rPr>
          <w:i/>
          <w:iCs/>
        </w:rPr>
        <w:t>Le p</w:t>
      </w:r>
      <w:r w:rsidRPr="002F400A">
        <w:rPr>
          <w:i/>
          <w:iCs/>
        </w:rPr>
        <w:t>atrimoine monumental de la Belgique</w:t>
      </w:r>
      <w:r>
        <w:t xml:space="preserve">, t. 6/1, Liège, 1978, p. 81-82 ; W. C. </w:t>
      </w:r>
      <w:r>
        <w:rPr>
          <w:smallCaps/>
        </w:rPr>
        <w:t xml:space="preserve">Brou </w:t>
      </w:r>
      <w:r w:rsidRPr="00986A0C">
        <w:t>et</w:t>
      </w:r>
      <w:r w:rsidRPr="00586FBC">
        <w:rPr>
          <w:smallCaps/>
        </w:rPr>
        <w:t xml:space="preserve"> </w:t>
      </w:r>
      <w:r>
        <w:rPr>
          <w:smallCaps/>
        </w:rPr>
        <w:t xml:space="preserve">M. </w:t>
      </w:r>
      <w:r w:rsidRPr="00586FBC">
        <w:rPr>
          <w:smallCaps/>
        </w:rPr>
        <w:t>Brou</w:t>
      </w:r>
      <w:r w:rsidRPr="00586FBC">
        <w:t xml:space="preserve">, </w:t>
      </w:r>
      <w:r w:rsidRPr="00586FBC">
        <w:rPr>
          <w:i/>
          <w:iCs/>
        </w:rPr>
        <w:t>Chaussées Brunehault</w:t>
      </w:r>
      <w:r>
        <w:rPr>
          <w:i/>
          <w:iCs/>
        </w:rPr>
        <w:t xml:space="preserve"> et monuments mégalithiques de la Gaule du Nord</w:t>
      </w:r>
      <w:r w:rsidRPr="00586FBC">
        <w:t>,</w:t>
      </w:r>
      <w:r>
        <w:t xml:space="preserve"> Bruxelles, 1969,</w:t>
      </w:r>
      <w:r w:rsidRPr="00586FBC">
        <w:t xml:space="preserve"> p. </w:t>
      </w:r>
      <w:r>
        <w:t>123-125.</w:t>
      </w:r>
    </w:p>
  </w:footnote>
  <w:footnote w:id="3">
    <w:p w14:paraId="0714B1BD" w14:textId="65AA658C" w:rsidR="00BD3C99" w:rsidRPr="00F6618F" w:rsidRDefault="00BD3C99" w:rsidP="00BD3C99">
      <w:pPr>
        <w:jc w:val="both"/>
        <w:rPr>
          <w:sz w:val="20"/>
          <w:szCs w:val="20"/>
        </w:rPr>
      </w:pPr>
      <w:r w:rsidRPr="00B55E65">
        <w:rPr>
          <w:rStyle w:val="Appelnotedebasdep"/>
          <w:sz w:val="20"/>
          <w:szCs w:val="20"/>
        </w:rPr>
        <w:footnoteRef/>
      </w:r>
      <w:r w:rsidRPr="00B55E65">
        <w:rPr>
          <w:sz w:val="20"/>
          <w:szCs w:val="20"/>
        </w:rPr>
        <w:t xml:space="preserve"> Voir </w:t>
      </w:r>
      <w:r w:rsidR="00861436" w:rsidRPr="00B55E65">
        <w:rPr>
          <w:sz w:val="20"/>
          <w:szCs w:val="20"/>
        </w:rPr>
        <w:t>n</w:t>
      </w:r>
      <w:r w:rsidR="0083638B">
        <w:rPr>
          <w:sz w:val="20"/>
          <w:szCs w:val="20"/>
        </w:rPr>
        <w:t>ote</w:t>
      </w:r>
      <w:r w:rsidRPr="00B55E65">
        <w:rPr>
          <w:sz w:val="20"/>
          <w:szCs w:val="20"/>
        </w:rPr>
        <w:t xml:space="preserve"> </w:t>
      </w:r>
      <w:r w:rsidR="00B55E65" w:rsidRPr="00B55E65">
        <w:rPr>
          <w:sz w:val="20"/>
          <w:szCs w:val="20"/>
        </w:rPr>
        <w:t>3</w:t>
      </w:r>
      <w:r w:rsidR="0083638B">
        <w:rPr>
          <w:sz w:val="20"/>
          <w:szCs w:val="20"/>
        </w:rPr>
        <w:t>4</w:t>
      </w:r>
      <w:r w:rsidRPr="00B55E65">
        <w:rPr>
          <w:sz w:val="20"/>
          <w:szCs w:val="20"/>
        </w:rPr>
        <w:t>.</w:t>
      </w:r>
    </w:p>
  </w:footnote>
  <w:footnote w:id="4">
    <w:p w14:paraId="3FF35B14" w14:textId="199D5F07" w:rsidR="00BD3C99" w:rsidRPr="006B1D31" w:rsidRDefault="00BD3C99" w:rsidP="00BD3C99">
      <w:pPr>
        <w:pStyle w:val="Notedebasdepage"/>
        <w:jc w:val="both"/>
        <w:rPr>
          <w:rFonts w:eastAsia="Calibri" w:cs="Times New Roman"/>
          <w:lang w:val="fr-FR" w:eastAsia="x-none"/>
        </w:rPr>
      </w:pPr>
      <w:r w:rsidRPr="006B1D31">
        <w:rPr>
          <w:rStyle w:val="Appelnotedebasdep"/>
        </w:rPr>
        <w:footnoteRef/>
      </w:r>
      <w:r w:rsidRPr="006B1D31">
        <w:t xml:space="preserve"> </w:t>
      </w:r>
      <w:r>
        <w:t xml:space="preserve">C.-F. </w:t>
      </w:r>
      <w:r w:rsidR="006B14D7">
        <w:rPr>
          <w:rFonts w:eastAsia="Calibri" w:cs="Times New Roman"/>
          <w:bCs/>
          <w:smallCaps/>
          <w:lang w:val="fr-FR" w:eastAsia="x-none"/>
        </w:rPr>
        <w:t>d</w:t>
      </w:r>
      <w:r>
        <w:rPr>
          <w:rFonts w:eastAsia="Calibri" w:cs="Times New Roman"/>
          <w:bCs/>
          <w:smallCaps/>
          <w:lang w:val="fr-FR" w:eastAsia="x-none"/>
        </w:rPr>
        <w:t>e Nelis</w:t>
      </w:r>
      <w:r w:rsidRPr="006B1D31">
        <w:rPr>
          <w:rFonts w:eastAsia="Calibri" w:cs="Times New Roman"/>
          <w:bCs/>
          <w:lang w:val="fr-FR" w:eastAsia="x-none"/>
        </w:rPr>
        <w:t xml:space="preserve">, </w:t>
      </w:r>
      <w:r w:rsidRPr="006B1D31">
        <w:rPr>
          <w:rFonts w:eastAsia="Calibri" w:cs="Times New Roman"/>
          <w:bCs/>
          <w:i/>
          <w:lang w:val="fr-FR" w:eastAsia="x-none"/>
        </w:rPr>
        <w:t>Réflexions sur un ancien monument du Tournaisis appelé vulgairement la pierre Brunehaut</w:t>
      </w:r>
      <w:r w:rsidRPr="006B1D31">
        <w:rPr>
          <w:rFonts w:eastAsia="Calibri" w:cs="Times New Roman"/>
          <w:lang w:val="fr-FR" w:eastAsia="x-none"/>
        </w:rPr>
        <w:t xml:space="preserve">, dans </w:t>
      </w:r>
      <w:r w:rsidRPr="006B1D31">
        <w:rPr>
          <w:rFonts w:eastAsia="Calibri" w:cs="Times New Roman"/>
          <w:i/>
          <w:lang w:val="fr-FR" w:eastAsia="x-none"/>
        </w:rPr>
        <w:t>Mémoires de l’Académie impériale et royale des Sciences et Belles-Lettres de Bruxelles</w:t>
      </w:r>
      <w:r w:rsidRPr="006B1D31">
        <w:rPr>
          <w:rFonts w:eastAsia="Calibri" w:cs="Times New Roman"/>
          <w:lang w:val="fr-FR" w:eastAsia="x-none"/>
        </w:rPr>
        <w:t>, t. 1, 1777, p. 480.</w:t>
      </w:r>
      <w:r>
        <w:rPr>
          <w:rFonts w:eastAsia="Calibri" w:cs="Times New Roman"/>
          <w:lang w:val="fr-FR" w:eastAsia="x-none"/>
        </w:rPr>
        <w:t xml:space="preserve"> Sur la situation d’</w:t>
      </w:r>
      <w:proofErr w:type="spellStart"/>
      <w:r>
        <w:rPr>
          <w:rFonts w:eastAsia="Calibri" w:cs="Times New Roman"/>
          <w:lang w:val="fr-FR" w:eastAsia="x-none"/>
        </w:rPr>
        <w:t>Hollain</w:t>
      </w:r>
      <w:proofErr w:type="spellEnd"/>
      <w:r>
        <w:rPr>
          <w:rFonts w:eastAsia="Calibri" w:cs="Times New Roman"/>
          <w:lang w:val="fr-FR" w:eastAsia="x-none"/>
        </w:rPr>
        <w:t xml:space="preserve"> à cette période et sur les impôts qui y étaient prélevés</w:t>
      </w:r>
      <w:r w:rsidR="00980395">
        <w:rPr>
          <w:rFonts w:eastAsia="Calibri" w:cs="Times New Roman"/>
          <w:lang w:val="fr-FR" w:eastAsia="x-none"/>
        </w:rPr>
        <w:t xml:space="preserve"> </w:t>
      </w:r>
      <w:r>
        <w:rPr>
          <w:rFonts w:eastAsia="Calibri" w:cs="Times New Roman"/>
          <w:lang w:val="fr-FR" w:eastAsia="x-none"/>
        </w:rPr>
        <w:t xml:space="preserve">: F. </w:t>
      </w:r>
      <w:r w:rsidRPr="006B1D31">
        <w:rPr>
          <w:rFonts w:eastAsia="Calibri" w:cs="Times New Roman"/>
          <w:lang w:val="fr-FR" w:eastAsia="x-none"/>
        </w:rPr>
        <w:t>M</w:t>
      </w:r>
      <w:r>
        <w:rPr>
          <w:rFonts w:eastAsia="Calibri" w:cs="Times New Roman"/>
          <w:smallCaps/>
          <w:lang w:val="fr-FR" w:eastAsia="x-none"/>
        </w:rPr>
        <w:t>ariage</w:t>
      </w:r>
      <w:r w:rsidRPr="006B1D31">
        <w:rPr>
          <w:rFonts w:eastAsia="Calibri" w:cs="Times New Roman"/>
          <w:lang w:val="fr-FR" w:eastAsia="x-none"/>
        </w:rPr>
        <w:t xml:space="preserve">, </w:t>
      </w:r>
      <w:r w:rsidRPr="006B1D31">
        <w:rPr>
          <w:rFonts w:eastAsia="Calibri" w:cs="Times New Roman"/>
          <w:i/>
          <w:lang w:val="fr-FR" w:eastAsia="x-none"/>
        </w:rPr>
        <w:t>Bailli royal, seigneurs et communautés villageoises : jeux et enjeux de pouvoirs en Tournaisis de la fin du XIV</w:t>
      </w:r>
      <w:r w:rsidRPr="006B1D31">
        <w:rPr>
          <w:rFonts w:eastAsia="Calibri" w:cs="Times New Roman"/>
          <w:i/>
          <w:vertAlign w:val="superscript"/>
          <w:lang w:val="fr-FR" w:eastAsia="x-none"/>
        </w:rPr>
        <w:t>e</w:t>
      </w:r>
      <w:r w:rsidRPr="006B1D31">
        <w:rPr>
          <w:rFonts w:eastAsia="Calibri" w:cs="Times New Roman"/>
          <w:i/>
          <w:lang w:val="fr-FR" w:eastAsia="x-none"/>
        </w:rPr>
        <w:t xml:space="preserve"> à la fin du XVI</w:t>
      </w:r>
      <w:r w:rsidRPr="006B1D31">
        <w:rPr>
          <w:rFonts w:eastAsia="Calibri" w:cs="Times New Roman"/>
          <w:i/>
          <w:vertAlign w:val="superscript"/>
          <w:lang w:val="fr-FR" w:eastAsia="x-none"/>
        </w:rPr>
        <w:t xml:space="preserve">e </w:t>
      </w:r>
      <w:r w:rsidRPr="006B1D31">
        <w:rPr>
          <w:rFonts w:eastAsia="Calibri" w:cs="Times New Roman"/>
          <w:i/>
          <w:lang w:val="fr-FR" w:eastAsia="x-none"/>
        </w:rPr>
        <w:t>siècle</w:t>
      </w:r>
      <w:r w:rsidRPr="006B1D31">
        <w:rPr>
          <w:rFonts w:eastAsia="Calibri" w:cs="Times New Roman"/>
          <w:lang w:val="fr-FR" w:eastAsia="x-none"/>
        </w:rPr>
        <w:t xml:space="preserve">, Bruxelles, </w:t>
      </w:r>
      <w:r>
        <w:rPr>
          <w:rFonts w:eastAsia="Calibri" w:cs="Times New Roman"/>
          <w:lang w:val="fr-FR" w:eastAsia="x-none"/>
        </w:rPr>
        <w:t>2015, p</w:t>
      </w:r>
      <w:r w:rsidRPr="006B1D31">
        <w:t>. 350-368.</w:t>
      </w:r>
    </w:p>
  </w:footnote>
  <w:footnote w:id="5">
    <w:p w14:paraId="3004B691" w14:textId="45DB6B1C" w:rsidR="001176A7" w:rsidRPr="001176A7" w:rsidRDefault="001176A7" w:rsidP="001176A7">
      <w:pPr>
        <w:pStyle w:val="Notedebasdepage"/>
        <w:jc w:val="both"/>
        <w:rPr>
          <w:lang w:val="fr-FR"/>
        </w:rPr>
      </w:pPr>
      <w:r w:rsidRPr="006B1D31">
        <w:rPr>
          <w:rStyle w:val="Appelnotedebasdep"/>
        </w:rPr>
        <w:footnoteRef/>
      </w:r>
      <w:r>
        <w:t xml:space="preserve"> On p</w:t>
      </w:r>
      <w:r w:rsidR="002B5E12">
        <w:t>eut</w:t>
      </w:r>
      <w:r>
        <w:t xml:space="preserve"> citer, </w:t>
      </w:r>
      <w:r w:rsidR="006B14D7">
        <w:t xml:space="preserve">comme </w:t>
      </w:r>
      <w:r>
        <w:t xml:space="preserve">exemples relatifs à l’espace belge, les cas des voies romaines et des tumuli : O. </w:t>
      </w:r>
      <w:r w:rsidRPr="00AD2131">
        <w:t>L</w:t>
      </w:r>
      <w:r w:rsidRPr="00AD2131">
        <w:rPr>
          <w:smallCaps/>
        </w:rPr>
        <w:t>atteur</w:t>
      </w:r>
      <w:r w:rsidRPr="00AD2131">
        <w:t xml:space="preserve">, </w:t>
      </w:r>
      <w:r w:rsidRPr="00AD2131">
        <w:rPr>
          <w:i/>
        </w:rPr>
        <w:t>La perception d’une chaussée romaine au cours de la première modernité : le cas de la voie Bavay-Tongres (1560-1660)</w:t>
      </w:r>
      <w:r w:rsidRPr="00AD2131">
        <w:t xml:space="preserve">, dans </w:t>
      </w:r>
      <w:r w:rsidRPr="00AD2131">
        <w:rPr>
          <w:i/>
        </w:rPr>
        <w:t>Revue belge de philologie et d’histoire</w:t>
      </w:r>
      <w:r w:rsidRPr="00AD2131">
        <w:t>, t. 93/1, 2015, p.</w:t>
      </w:r>
      <w:r>
        <w:t xml:space="preserve"> 230 ; </w:t>
      </w:r>
      <w:r w:rsidRPr="001176A7">
        <w:rPr>
          <w:smallCaps/>
        </w:rPr>
        <w:t>Id.</w:t>
      </w:r>
      <w:r>
        <w:t>,</w:t>
      </w:r>
      <w:r w:rsidRPr="001176A7">
        <w:rPr>
          <w:i/>
          <w:lang w:val="fr-FR"/>
        </w:rPr>
        <w:t xml:space="preserve"> </w:t>
      </w:r>
      <w:proofErr w:type="spellStart"/>
      <w:r w:rsidRPr="001176A7">
        <w:rPr>
          <w:i/>
          <w:lang w:val="fr-FR"/>
        </w:rPr>
        <w:t>Observing</w:t>
      </w:r>
      <w:proofErr w:type="spellEnd"/>
      <w:r w:rsidRPr="001176A7">
        <w:rPr>
          <w:i/>
          <w:lang w:val="fr-FR"/>
        </w:rPr>
        <w:t xml:space="preserve">, </w:t>
      </w:r>
      <w:proofErr w:type="spellStart"/>
      <w:r w:rsidRPr="001176A7">
        <w:rPr>
          <w:i/>
          <w:lang w:val="fr-FR"/>
        </w:rPr>
        <w:t>Interpreting</w:t>
      </w:r>
      <w:proofErr w:type="spellEnd"/>
      <w:r w:rsidRPr="001176A7">
        <w:rPr>
          <w:i/>
          <w:lang w:val="fr-FR"/>
        </w:rPr>
        <w:t xml:space="preserve">, and </w:t>
      </w:r>
      <w:proofErr w:type="spellStart"/>
      <w:r w:rsidRPr="001176A7">
        <w:rPr>
          <w:i/>
          <w:lang w:val="fr-FR"/>
        </w:rPr>
        <w:t>Excavating</w:t>
      </w:r>
      <w:proofErr w:type="spellEnd"/>
      <w:r w:rsidRPr="001176A7">
        <w:rPr>
          <w:i/>
          <w:lang w:val="fr-FR"/>
        </w:rPr>
        <w:t xml:space="preserve"> Roman </w:t>
      </w:r>
      <w:proofErr w:type="spellStart"/>
      <w:r w:rsidRPr="001176A7">
        <w:rPr>
          <w:i/>
          <w:lang w:val="fr-FR"/>
        </w:rPr>
        <w:t>Barrows</w:t>
      </w:r>
      <w:proofErr w:type="spellEnd"/>
      <w:r w:rsidRPr="001176A7">
        <w:rPr>
          <w:i/>
          <w:lang w:val="fr-FR"/>
        </w:rPr>
        <w:t xml:space="preserve">: </w:t>
      </w:r>
      <w:proofErr w:type="spellStart"/>
      <w:r w:rsidRPr="001176A7">
        <w:rPr>
          <w:i/>
          <w:lang w:val="fr-FR"/>
        </w:rPr>
        <w:t>Landscape</w:t>
      </w:r>
      <w:proofErr w:type="spellEnd"/>
      <w:r w:rsidRPr="001176A7">
        <w:rPr>
          <w:i/>
          <w:lang w:val="fr-FR"/>
        </w:rPr>
        <w:t xml:space="preserve"> and Proto-</w:t>
      </w:r>
      <w:proofErr w:type="spellStart"/>
      <w:r w:rsidRPr="001176A7">
        <w:rPr>
          <w:i/>
          <w:lang w:val="fr-FR"/>
        </w:rPr>
        <w:t>archaeology</w:t>
      </w:r>
      <w:proofErr w:type="spellEnd"/>
      <w:r w:rsidRPr="001176A7">
        <w:rPr>
          <w:i/>
          <w:lang w:val="fr-FR"/>
        </w:rPr>
        <w:t xml:space="preserve"> in the </w:t>
      </w:r>
      <w:proofErr w:type="spellStart"/>
      <w:r w:rsidRPr="001176A7">
        <w:rPr>
          <w:i/>
          <w:lang w:val="fr-FR"/>
        </w:rPr>
        <w:t>Spanish</w:t>
      </w:r>
      <w:proofErr w:type="spellEnd"/>
      <w:r w:rsidRPr="001176A7">
        <w:rPr>
          <w:i/>
          <w:lang w:val="fr-FR"/>
        </w:rPr>
        <w:t xml:space="preserve"> </w:t>
      </w:r>
      <w:proofErr w:type="spellStart"/>
      <w:r w:rsidRPr="001176A7">
        <w:rPr>
          <w:i/>
          <w:lang w:val="fr-FR"/>
        </w:rPr>
        <w:t>Netherlands</w:t>
      </w:r>
      <w:proofErr w:type="spellEnd"/>
      <w:r w:rsidRPr="001176A7">
        <w:rPr>
          <w:i/>
          <w:lang w:val="fr-FR"/>
        </w:rPr>
        <w:t xml:space="preserve"> and the Prince-</w:t>
      </w:r>
      <w:proofErr w:type="spellStart"/>
      <w:r w:rsidRPr="001176A7">
        <w:rPr>
          <w:i/>
          <w:lang w:val="fr-FR"/>
        </w:rPr>
        <w:t>Bishopric</w:t>
      </w:r>
      <w:proofErr w:type="spellEnd"/>
      <w:r w:rsidRPr="001176A7">
        <w:rPr>
          <w:i/>
          <w:lang w:val="fr-FR"/>
        </w:rPr>
        <w:t xml:space="preserve"> of Liège (c. 1500–1700)</w:t>
      </w:r>
      <w:r w:rsidRPr="001176A7">
        <w:rPr>
          <w:lang w:val="fr-FR"/>
        </w:rPr>
        <w:t xml:space="preserve">, dans </w:t>
      </w:r>
      <w:r w:rsidRPr="001176A7">
        <w:rPr>
          <w:i/>
          <w:lang w:val="fr-FR"/>
        </w:rPr>
        <w:t xml:space="preserve">Erudition and the </w:t>
      </w:r>
      <w:proofErr w:type="spellStart"/>
      <w:r w:rsidRPr="001176A7">
        <w:rPr>
          <w:i/>
          <w:lang w:val="fr-FR"/>
        </w:rPr>
        <w:t>Republic</w:t>
      </w:r>
      <w:proofErr w:type="spellEnd"/>
      <w:r w:rsidRPr="001176A7">
        <w:rPr>
          <w:i/>
          <w:lang w:val="fr-FR"/>
        </w:rPr>
        <w:t xml:space="preserve"> of </w:t>
      </w:r>
      <w:proofErr w:type="spellStart"/>
      <w:r w:rsidRPr="001176A7">
        <w:rPr>
          <w:i/>
          <w:lang w:val="fr-FR"/>
        </w:rPr>
        <w:t>Letters</w:t>
      </w:r>
      <w:proofErr w:type="spellEnd"/>
      <w:r w:rsidRPr="001176A7">
        <w:rPr>
          <w:lang w:val="fr-FR"/>
        </w:rPr>
        <w:t>, t. 3, 2018, p. 162-165.</w:t>
      </w:r>
    </w:p>
  </w:footnote>
  <w:footnote w:id="6">
    <w:p w14:paraId="3F1BB505" w14:textId="37495CBC" w:rsidR="00FE0914" w:rsidRPr="003B5AF4" w:rsidRDefault="00FE0914" w:rsidP="00BB3522">
      <w:pPr>
        <w:pStyle w:val="Notedebasdepage"/>
        <w:jc w:val="both"/>
      </w:pPr>
      <w:r w:rsidRPr="009C6BE7">
        <w:rPr>
          <w:rStyle w:val="Appelnotedebasdep"/>
        </w:rPr>
        <w:footnoteRef/>
      </w:r>
      <w:r w:rsidRPr="00986A0C">
        <w:t xml:space="preserve"> </w:t>
      </w:r>
      <w:r w:rsidR="00986A0C" w:rsidRPr="00986A0C">
        <w:t xml:space="preserve">G. </w:t>
      </w:r>
      <w:r w:rsidRPr="00986A0C">
        <w:rPr>
          <w:smallCaps/>
        </w:rPr>
        <w:t>Mercator</w:t>
      </w:r>
      <w:r w:rsidRPr="00986A0C">
        <w:t xml:space="preserve">, </w:t>
      </w:r>
      <w:proofErr w:type="spellStart"/>
      <w:r w:rsidRPr="00986A0C">
        <w:rPr>
          <w:i/>
        </w:rPr>
        <w:t>Hannonia</w:t>
      </w:r>
      <w:proofErr w:type="spellEnd"/>
      <w:r w:rsidRPr="00986A0C">
        <w:rPr>
          <w:i/>
        </w:rPr>
        <w:t xml:space="preserve">. </w:t>
      </w:r>
      <w:proofErr w:type="spellStart"/>
      <w:r w:rsidRPr="00986A0C">
        <w:rPr>
          <w:i/>
        </w:rPr>
        <w:t>Namurcum</w:t>
      </w:r>
      <w:proofErr w:type="spellEnd"/>
      <w:r w:rsidRPr="00986A0C">
        <w:rPr>
          <w:i/>
        </w:rPr>
        <w:t xml:space="preserve"> </w:t>
      </w:r>
      <w:proofErr w:type="spellStart"/>
      <w:r w:rsidRPr="00986A0C">
        <w:rPr>
          <w:i/>
        </w:rPr>
        <w:t>comitatus</w:t>
      </w:r>
      <w:proofErr w:type="spellEnd"/>
      <w:r w:rsidR="00986A0C" w:rsidRPr="00986A0C">
        <w:t>, s. l. n. d</w:t>
      </w:r>
      <w:r w:rsidRPr="00986A0C">
        <w:t>.</w:t>
      </w:r>
    </w:p>
  </w:footnote>
  <w:footnote w:id="7">
    <w:p w14:paraId="3BB853A2" w14:textId="615B7D85" w:rsidR="00C3133B" w:rsidRPr="00E443F9" w:rsidRDefault="00C3133B" w:rsidP="00C3133B">
      <w:pPr>
        <w:jc w:val="both"/>
        <w:rPr>
          <w:bCs/>
          <w:sz w:val="20"/>
          <w:szCs w:val="20"/>
        </w:rPr>
      </w:pPr>
      <w:r w:rsidRPr="002B5E12">
        <w:rPr>
          <w:rStyle w:val="Appelnotedebasdep"/>
          <w:sz w:val="20"/>
          <w:szCs w:val="20"/>
        </w:rPr>
        <w:footnoteRef/>
      </w:r>
      <w:r w:rsidRPr="002B5E12">
        <w:rPr>
          <w:sz w:val="20"/>
          <w:szCs w:val="20"/>
        </w:rPr>
        <w:t xml:space="preserve"> KBR, </w:t>
      </w:r>
      <w:r w:rsidR="002B5E12" w:rsidRPr="002B5E12">
        <w:rPr>
          <w:i/>
          <w:iCs/>
          <w:sz w:val="20"/>
          <w:szCs w:val="20"/>
        </w:rPr>
        <w:t>Cartes et plans</w:t>
      </w:r>
      <w:r w:rsidRPr="002B5E12">
        <w:rPr>
          <w:sz w:val="20"/>
          <w:szCs w:val="20"/>
        </w:rPr>
        <w:t>,</w:t>
      </w:r>
      <w:r w:rsidR="002B5E12" w:rsidRPr="002B5E12">
        <w:rPr>
          <w:sz w:val="20"/>
          <w:szCs w:val="20"/>
        </w:rPr>
        <w:t xml:space="preserve"> </w:t>
      </w:r>
      <w:r w:rsidR="00762704">
        <w:rPr>
          <w:sz w:val="20"/>
          <w:szCs w:val="20"/>
        </w:rPr>
        <w:t xml:space="preserve">ms. </w:t>
      </w:r>
      <w:r w:rsidR="002B5E12" w:rsidRPr="002B5E12">
        <w:rPr>
          <w:sz w:val="20"/>
          <w:szCs w:val="20"/>
        </w:rPr>
        <w:t>IV 1284 :</w:t>
      </w:r>
      <w:r w:rsidRPr="002B5E12">
        <w:rPr>
          <w:sz w:val="20"/>
          <w:szCs w:val="20"/>
        </w:rPr>
        <w:t xml:space="preserve"> </w:t>
      </w:r>
      <w:r w:rsidRPr="00E443F9">
        <w:rPr>
          <w:i/>
          <w:sz w:val="20"/>
          <w:szCs w:val="20"/>
        </w:rPr>
        <w:t xml:space="preserve">Camps de </w:t>
      </w:r>
      <w:proofErr w:type="spellStart"/>
      <w:r w:rsidRPr="00E443F9">
        <w:rPr>
          <w:i/>
          <w:sz w:val="20"/>
          <w:szCs w:val="20"/>
        </w:rPr>
        <w:t>Carnison</w:t>
      </w:r>
      <w:proofErr w:type="spellEnd"/>
      <w:r w:rsidRPr="00E443F9">
        <w:rPr>
          <w:i/>
          <w:sz w:val="20"/>
          <w:szCs w:val="20"/>
        </w:rPr>
        <w:t xml:space="preserve"> de Bossu, de Condé, de N. D. au Bois &amp; de St. Amand. Le 23 </w:t>
      </w:r>
      <w:proofErr w:type="spellStart"/>
      <w:r w:rsidRPr="00E443F9">
        <w:rPr>
          <w:i/>
          <w:sz w:val="20"/>
          <w:szCs w:val="20"/>
        </w:rPr>
        <w:t>Aoust</w:t>
      </w:r>
      <w:proofErr w:type="spellEnd"/>
      <w:r w:rsidRPr="00E443F9">
        <w:rPr>
          <w:i/>
          <w:sz w:val="20"/>
          <w:szCs w:val="20"/>
        </w:rPr>
        <w:t xml:space="preserve"> 1694, </w:t>
      </w:r>
      <w:r w:rsidRPr="00E443F9">
        <w:rPr>
          <w:sz w:val="20"/>
          <w:szCs w:val="20"/>
        </w:rPr>
        <w:t>dans</w:t>
      </w:r>
      <w:r>
        <w:rPr>
          <w:sz w:val="20"/>
          <w:szCs w:val="20"/>
        </w:rPr>
        <w:t xml:space="preserve"> </w:t>
      </w:r>
      <w:proofErr w:type="spellStart"/>
      <w:r w:rsidRPr="00E443F9">
        <w:rPr>
          <w:smallCaps/>
          <w:sz w:val="20"/>
          <w:szCs w:val="20"/>
        </w:rPr>
        <w:t>Pennier</w:t>
      </w:r>
      <w:proofErr w:type="spellEnd"/>
      <w:r w:rsidRPr="00E443F9">
        <w:rPr>
          <w:smallCaps/>
          <w:sz w:val="20"/>
          <w:szCs w:val="20"/>
        </w:rPr>
        <w:t>,</w:t>
      </w:r>
      <w:r w:rsidRPr="00E443F9">
        <w:rPr>
          <w:i/>
          <w:sz w:val="20"/>
          <w:szCs w:val="20"/>
        </w:rPr>
        <w:t xml:space="preserve"> Camps et ordres de marches de l'armée du Roy, en Flandres, commandée par Monseigneur</w:t>
      </w:r>
      <w:r>
        <w:rPr>
          <w:i/>
          <w:sz w:val="20"/>
          <w:szCs w:val="20"/>
        </w:rPr>
        <w:t xml:space="preserve"> le maréchal duc de Luxembourg</w:t>
      </w:r>
      <w:r w:rsidRPr="00E443F9">
        <w:rPr>
          <w:sz w:val="20"/>
          <w:szCs w:val="20"/>
        </w:rPr>
        <w:t>, s. l., 1694</w:t>
      </w:r>
      <w:r w:rsidR="00C20F29">
        <w:rPr>
          <w:sz w:val="20"/>
          <w:szCs w:val="20"/>
        </w:rPr>
        <w:t>, fol. 27 r</w:t>
      </w:r>
      <w:r>
        <w:rPr>
          <w:sz w:val="20"/>
          <w:szCs w:val="20"/>
        </w:rPr>
        <w:t>.</w:t>
      </w:r>
    </w:p>
  </w:footnote>
  <w:footnote w:id="8">
    <w:p w14:paraId="18873CA7" w14:textId="5C63E477" w:rsidR="00C3133B" w:rsidRDefault="00C3133B" w:rsidP="00C3133B">
      <w:pPr>
        <w:pStyle w:val="Notedebasdepage"/>
        <w:jc w:val="both"/>
      </w:pPr>
      <w:r>
        <w:rPr>
          <w:rStyle w:val="Appelnotedebasdep"/>
        </w:rPr>
        <w:footnoteRef/>
      </w:r>
      <w:r>
        <w:t xml:space="preserve"> Les cartes mentionnées ici constituent un aperçu et non un relevé exhaustif : A.-H. </w:t>
      </w:r>
      <w:proofErr w:type="spellStart"/>
      <w:r w:rsidRPr="00DF30FE">
        <w:rPr>
          <w:smallCaps/>
        </w:rPr>
        <w:t>Jaillot</w:t>
      </w:r>
      <w:proofErr w:type="spellEnd"/>
      <w:r w:rsidRPr="00DF30FE">
        <w:t xml:space="preserve">, </w:t>
      </w:r>
      <w:proofErr w:type="spellStart"/>
      <w:r w:rsidRPr="00DF30FE">
        <w:rPr>
          <w:i/>
        </w:rPr>
        <w:t>Comitatus</w:t>
      </w:r>
      <w:proofErr w:type="spellEnd"/>
      <w:r w:rsidRPr="00DF30FE">
        <w:rPr>
          <w:i/>
        </w:rPr>
        <w:t xml:space="preserve"> </w:t>
      </w:r>
      <w:proofErr w:type="spellStart"/>
      <w:r w:rsidRPr="00DF30FE">
        <w:rPr>
          <w:i/>
        </w:rPr>
        <w:t>Flandriae</w:t>
      </w:r>
      <w:proofErr w:type="spellEnd"/>
      <w:r w:rsidRPr="00DF30FE">
        <w:rPr>
          <w:i/>
        </w:rPr>
        <w:t xml:space="preserve"> </w:t>
      </w:r>
      <w:proofErr w:type="spellStart"/>
      <w:r w:rsidRPr="00DF30FE">
        <w:rPr>
          <w:i/>
        </w:rPr>
        <w:t>tam</w:t>
      </w:r>
      <w:proofErr w:type="spellEnd"/>
      <w:r w:rsidRPr="00DF30FE">
        <w:rPr>
          <w:i/>
        </w:rPr>
        <w:t xml:space="preserve"> Orient. </w:t>
      </w:r>
      <w:proofErr w:type="spellStart"/>
      <w:r w:rsidRPr="00DF30FE">
        <w:rPr>
          <w:i/>
        </w:rPr>
        <w:t>quam</w:t>
      </w:r>
      <w:proofErr w:type="spellEnd"/>
      <w:r w:rsidRPr="00DF30FE">
        <w:rPr>
          <w:i/>
        </w:rPr>
        <w:t xml:space="preserve"> </w:t>
      </w:r>
      <w:proofErr w:type="spellStart"/>
      <w:r w:rsidRPr="00DF30FE">
        <w:rPr>
          <w:i/>
        </w:rPr>
        <w:t>Occid</w:t>
      </w:r>
      <w:proofErr w:type="spellEnd"/>
      <w:r w:rsidRPr="00DF30FE">
        <w:rPr>
          <w:i/>
        </w:rPr>
        <w:t xml:space="preserve">. ad usum </w:t>
      </w:r>
      <w:proofErr w:type="spellStart"/>
      <w:r w:rsidRPr="00DF30FE">
        <w:rPr>
          <w:i/>
        </w:rPr>
        <w:t>Serenissimi</w:t>
      </w:r>
      <w:proofErr w:type="spellEnd"/>
      <w:r w:rsidRPr="00DF30FE">
        <w:rPr>
          <w:i/>
        </w:rPr>
        <w:t xml:space="preserve"> </w:t>
      </w:r>
      <w:proofErr w:type="spellStart"/>
      <w:r w:rsidRPr="00DF30FE">
        <w:rPr>
          <w:i/>
        </w:rPr>
        <w:t>Burgundis</w:t>
      </w:r>
      <w:proofErr w:type="spellEnd"/>
      <w:r w:rsidRPr="00DF30FE">
        <w:rPr>
          <w:i/>
        </w:rPr>
        <w:t xml:space="preserve"> Ducis</w:t>
      </w:r>
      <w:r w:rsidRPr="00DF30FE">
        <w:t>, Paris, 1696</w:t>
      </w:r>
      <w:r>
        <w:t xml:space="preserve"> </w:t>
      </w:r>
      <w:r w:rsidRPr="00DF30FE">
        <w:t>;</w:t>
      </w:r>
      <w:r>
        <w:t xml:space="preserve"> G.</w:t>
      </w:r>
      <w:r w:rsidRPr="00DF30FE">
        <w:t xml:space="preserve"> </w:t>
      </w:r>
      <w:r w:rsidRPr="00DF30FE">
        <w:rPr>
          <w:bCs/>
          <w:smallCaps/>
        </w:rPr>
        <w:t>Bailleul</w:t>
      </w:r>
      <w:r w:rsidRPr="00DF30FE">
        <w:rPr>
          <w:bCs/>
        </w:rPr>
        <w:t xml:space="preserve">, </w:t>
      </w:r>
      <w:r w:rsidRPr="00DF30FE">
        <w:rPr>
          <w:bCs/>
          <w:i/>
        </w:rPr>
        <w:t>Carte particulière des environs de Tournay</w:t>
      </w:r>
      <w:r>
        <w:rPr>
          <w:bCs/>
          <w:i/>
        </w:rPr>
        <w:t>...</w:t>
      </w:r>
      <w:r w:rsidRPr="00DF30FE">
        <w:rPr>
          <w:bCs/>
        </w:rPr>
        <w:t>, s. l., 1709</w:t>
      </w:r>
      <w:r>
        <w:rPr>
          <w:bCs/>
        </w:rPr>
        <w:t xml:space="preserve"> </w:t>
      </w:r>
      <w:r w:rsidRPr="00DF30FE">
        <w:rPr>
          <w:bCs/>
        </w:rPr>
        <w:t>;</w:t>
      </w:r>
      <w:r w:rsidRPr="00DF30FE">
        <w:t xml:space="preserve"> </w:t>
      </w:r>
      <w:r>
        <w:t xml:space="preserve">E. H. </w:t>
      </w:r>
      <w:proofErr w:type="spellStart"/>
      <w:r>
        <w:rPr>
          <w:smallCaps/>
        </w:rPr>
        <w:t>Fricx</w:t>
      </w:r>
      <w:proofErr w:type="spellEnd"/>
      <w:r>
        <w:rPr>
          <w:smallCaps/>
        </w:rPr>
        <w:t xml:space="preserve"> </w:t>
      </w:r>
      <w:r>
        <w:t>et J.</w:t>
      </w:r>
      <w:r w:rsidRPr="00DF30FE">
        <w:rPr>
          <w:smallCaps/>
        </w:rPr>
        <w:t xml:space="preserve"> </w:t>
      </w:r>
      <w:proofErr w:type="spellStart"/>
      <w:r w:rsidRPr="00DF30FE">
        <w:rPr>
          <w:smallCaps/>
        </w:rPr>
        <w:t>Harrewyn</w:t>
      </w:r>
      <w:proofErr w:type="spellEnd"/>
      <w:r w:rsidRPr="00DF30FE">
        <w:t xml:space="preserve">, </w:t>
      </w:r>
      <w:r w:rsidRPr="00DF30FE">
        <w:rPr>
          <w:i/>
        </w:rPr>
        <w:t xml:space="preserve">Carte particulière des environs de Lille, Tournay, Valenciennes, Bouchain, </w:t>
      </w:r>
      <w:proofErr w:type="spellStart"/>
      <w:r w:rsidRPr="00DF30FE">
        <w:rPr>
          <w:i/>
        </w:rPr>
        <w:t>Douay</w:t>
      </w:r>
      <w:proofErr w:type="spellEnd"/>
      <w:r w:rsidRPr="00DF30FE">
        <w:rPr>
          <w:i/>
        </w:rPr>
        <w:t xml:space="preserve">, Arras, </w:t>
      </w:r>
      <w:proofErr w:type="spellStart"/>
      <w:r w:rsidRPr="00DF30FE">
        <w:rPr>
          <w:i/>
        </w:rPr>
        <w:t>Bethune</w:t>
      </w:r>
      <w:proofErr w:type="spellEnd"/>
      <w:r>
        <w:t xml:space="preserve">, Bruxelles, 1711 </w:t>
      </w:r>
      <w:r w:rsidRPr="00DF30FE">
        <w:t>;</w:t>
      </w:r>
      <w:r>
        <w:t xml:space="preserve"> M.</w:t>
      </w:r>
      <w:r w:rsidRPr="00DF30FE">
        <w:t xml:space="preserve"> </w:t>
      </w:r>
      <w:proofErr w:type="spellStart"/>
      <w:r>
        <w:rPr>
          <w:smallCaps/>
        </w:rPr>
        <w:t>Seutter</w:t>
      </w:r>
      <w:proofErr w:type="spellEnd"/>
      <w:r w:rsidRPr="00DF30FE">
        <w:t xml:space="preserve">, </w:t>
      </w:r>
      <w:r w:rsidRPr="00DF30FE">
        <w:rPr>
          <w:i/>
        </w:rPr>
        <w:t xml:space="preserve">Les Provinces des Pais Bas Autrichiens contenants en XXIV Feuilles les </w:t>
      </w:r>
      <w:proofErr w:type="spellStart"/>
      <w:r w:rsidRPr="00DF30FE">
        <w:rPr>
          <w:i/>
        </w:rPr>
        <w:t>comtées</w:t>
      </w:r>
      <w:proofErr w:type="spellEnd"/>
      <w:r w:rsidRPr="00DF30FE">
        <w:rPr>
          <w:i/>
        </w:rPr>
        <w:t xml:space="preserve"> d'Artois, de Flandres, de Hainaut, de Namur et des </w:t>
      </w:r>
      <w:proofErr w:type="spellStart"/>
      <w:r w:rsidRPr="00DF30FE">
        <w:rPr>
          <w:i/>
        </w:rPr>
        <w:t>Duchées</w:t>
      </w:r>
      <w:proofErr w:type="spellEnd"/>
      <w:r w:rsidRPr="00DF30FE">
        <w:rPr>
          <w:i/>
        </w:rPr>
        <w:t xml:space="preserve"> de Luxembourg, de Limbourg, de Gueldre et de Brabant</w:t>
      </w:r>
      <w:r>
        <w:rPr>
          <w:i/>
        </w:rPr>
        <w:t xml:space="preserve"> </w:t>
      </w:r>
      <w:r>
        <w:t>(…)</w:t>
      </w:r>
      <w:r w:rsidRPr="00DF30FE">
        <w:t>, Au</w:t>
      </w:r>
      <w:r>
        <w:t>gsbourg, 1725</w:t>
      </w:r>
      <w:r w:rsidRPr="00DF30FE">
        <w:t xml:space="preserve"> ; </w:t>
      </w:r>
      <w:r>
        <w:t xml:space="preserve">B.-A. </w:t>
      </w:r>
      <w:proofErr w:type="spellStart"/>
      <w:r w:rsidRPr="009F3DBF">
        <w:rPr>
          <w:smallCaps/>
        </w:rPr>
        <w:t>Jaillot</w:t>
      </w:r>
      <w:proofErr w:type="spellEnd"/>
      <w:r w:rsidRPr="009F3DBF">
        <w:t xml:space="preserve">, </w:t>
      </w:r>
      <w:r w:rsidRPr="009F3DBF">
        <w:rPr>
          <w:i/>
        </w:rPr>
        <w:t>Plan et Environs de Tournay</w:t>
      </w:r>
      <w:r>
        <w:t>, s. l., 1745</w:t>
      </w:r>
      <w:r w:rsidR="00E72B1F">
        <w:t xml:space="preserve"> </w:t>
      </w:r>
      <w:r>
        <w:t xml:space="preserve">; J. </w:t>
      </w:r>
      <w:r w:rsidRPr="004D1814">
        <w:rPr>
          <w:smallCaps/>
        </w:rPr>
        <w:t>de</w:t>
      </w:r>
      <w:r>
        <w:t xml:space="preserve"> </w:t>
      </w:r>
      <w:proofErr w:type="spellStart"/>
      <w:r w:rsidRPr="00E443F9">
        <w:rPr>
          <w:smallCaps/>
        </w:rPr>
        <w:t>Ferraris</w:t>
      </w:r>
      <w:proofErr w:type="spellEnd"/>
      <w:r>
        <w:t xml:space="preserve">, </w:t>
      </w:r>
      <w:r w:rsidRPr="009F3DBF">
        <w:rPr>
          <w:i/>
        </w:rPr>
        <w:t xml:space="preserve">Carte de </w:t>
      </w:r>
      <w:proofErr w:type="spellStart"/>
      <w:r w:rsidRPr="009F3DBF">
        <w:rPr>
          <w:i/>
        </w:rPr>
        <w:t>Ferraris</w:t>
      </w:r>
      <w:proofErr w:type="spellEnd"/>
      <w:r>
        <w:t>, s. l., 1770-1778, pl. 32.</w:t>
      </w:r>
    </w:p>
  </w:footnote>
  <w:footnote w:id="9">
    <w:p w14:paraId="66F42A98" w14:textId="1219D51D" w:rsidR="00C3133B" w:rsidRDefault="00C3133B" w:rsidP="00C3133B">
      <w:pPr>
        <w:pStyle w:val="Notedebasdepage"/>
        <w:jc w:val="both"/>
      </w:pPr>
      <w:r w:rsidRPr="00DF30FE">
        <w:rPr>
          <w:rStyle w:val="Appelnotedebasdep"/>
        </w:rPr>
        <w:footnoteRef/>
      </w:r>
      <w:r w:rsidRPr="00DF30FE">
        <w:t xml:space="preserve"> </w:t>
      </w:r>
      <w:r>
        <w:t>A</w:t>
      </w:r>
      <w:r w:rsidRPr="00C3133B">
        <w:t>vec quelques variantes orthographiques</w:t>
      </w:r>
      <w:r>
        <w:t>, n</w:t>
      </w:r>
      <w:r w:rsidRPr="00DF30FE">
        <w:t>otamment « </w:t>
      </w:r>
      <w:r w:rsidRPr="0083638B">
        <w:rPr>
          <w:i/>
          <w:iCs/>
        </w:rPr>
        <w:t xml:space="preserve">La pierre a </w:t>
      </w:r>
      <w:proofErr w:type="spellStart"/>
      <w:r w:rsidRPr="0083638B">
        <w:rPr>
          <w:i/>
          <w:iCs/>
        </w:rPr>
        <w:t>Bru</w:t>
      </w:r>
      <w:r w:rsidR="00D262C0" w:rsidRPr="0083638B">
        <w:rPr>
          <w:i/>
          <w:iCs/>
        </w:rPr>
        <w:t>naux</w:t>
      </w:r>
      <w:proofErr w:type="spellEnd"/>
      <w:r w:rsidR="00D262C0">
        <w:t> » (Gaspard Bailleul, 1709)</w:t>
      </w:r>
      <w:r w:rsidRPr="00DF30FE">
        <w:t>.</w:t>
      </w:r>
    </w:p>
  </w:footnote>
  <w:footnote w:id="10">
    <w:p w14:paraId="6B414091" w14:textId="77962C10" w:rsidR="0083638B" w:rsidRDefault="0083638B" w:rsidP="00267030">
      <w:pPr>
        <w:pStyle w:val="Notedebasdepage"/>
        <w:jc w:val="both"/>
      </w:pPr>
      <w:r>
        <w:rPr>
          <w:rStyle w:val="Appelnotedebasdep"/>
        </w:rPr>
        <w:footnoteRef/>
      </w:r>
      <w:r>
        <w:t xml:space="preserve"> </w:t>
      </w:r>
      <w:r w:rsidR="00267030">
        <w:t xml:space="preserve">Brunehaut </w:t>
      </w:r>
      <w:r w:rsidR="00267030" w:rsidRPr="00267030">
        <w:t>(vers 547-613)</w:t>
      </w:r>
      <w:r w:rsidR="00267030">
        <w:t xml:space="preserve"> est une princesse wisigothe ayant régné sur l’Austrasie. Son nom fut rattaché à de nombreux axes routiers et édifices anciens dans le nord de la France et la Belgique actuels. Voir : J. </w:t>
      </w:r>
      <w:proofErr w:type="spellStart"/>
      <w:r w:rsidR="00267030" w:rsidRPr="00474E73">
        <w:rPr>
          <w:lang w:val="fr-FR"/>
        </w:rPr>
        <w:t>V</w:t>
      </w:r>
      <w:r w:rsidR="00267030" w:rsidRPr="00474E73">
        <w:rPr>
          <w:smallCaps/>
          <w:lang w:val="fr-FR"/>
        </w:rPr>
        <w:t>ann</w:t>
      </w:r>
      <w:proofErr w:type="spellEnd"/>
      <w:r w:rsidR="00267030" w:rsidRPr="00474E73">
        <w:rPr>
          <w:smallCaps/>
        </w:rPr>
        <w:t>é</w:t>
      </w:r>
      <w:r w:rsidR="00267030" w:rsidRPr="00474E73">
        <w:rPr>
          <w:smallCaps/>
          <w:lang w:val="fr-FR"/>
        </w:rPr>
        <w:t>rus</w:t>
      </w:r>
      <w:r w:rsidR="00267030" w:rsidRPr="00474E73">
        <w:t xml:space="preserve">, </w:t>
      </w:r>
      <w:r w:rsidR="00267030" w:rsidRPr="00474E73">
        <w:rPr>
          <w:i/>
        </w:rPr>
        <w:t xml:space="preserve">La reine Brunehaut dans la </w:t>
      </w:r>
      <w:r w:rsidR="00EC1ED8">
        <w:rPr>
          <w:i/>
        </w:rPr>
        <w:t>t</w:t>
      </w:r>
      <w:r w:rsidR="00267030" w:rsidRPr="00474E73">
        <w:rPr>
          <w:i/>
        </w:rPr>
        <w:t>oponymie et dans la Légende</w:t>
      </w:r>
      <w:r w:rsidR="00267030" w:rsidRPr="00474E73">
        <w:t xml:space="preserve">, dans </w:t>
      </w:r>
      <w:r w:rsidR="00267030" w:rsidRPr="00474E73">
        <w:rPr>
          <w:i/>
        </w:rPr>
        <w:t>Bulletin de la Classe des Lettres et des sciences morales et politiques</w:t>
      </w:r>
      <w:r w:rsidR="00267030" w:rsidRPr="00474E73">
        <w:t>, t.</w:t>
      </w:r>
      <w:r w:rsidR="00267030">
        <w:t> </w:t>
      </w:r>
      <w:r w:rsidR="00267030" w:rsidRPr="00474E73">
        <w:t>24/6-7, 1938</w:t>
      </w:r>
      <w:r w:rsidR="00C90D66">
        <w:t>, p. 302-307</w:t>
      </w:r>
      <w:r w:rsidR="00267030">
        <w:t>.</w:t>
      </w:r>
    </w:p>
  </w:footnote>
  <w:footnote w:id="11">
    <w:p w14:paraId="704848D4" w14:textId="5A178A86" w:rsidR="00FE0914" w:rsidRPr="00990D4A" w:rsidRDefault="00FE0914" w:rsidP="00BB3522">
      <w:pPr>
        <w:pStyle w:val="Notedebasdepage"/>
        <w:jc w:val="both"/>
        <w:rPr>
          <w:iCs/>
          <w:color w:val="FF0000"/>
        </w:rPr>
      </w:pPr>
      <w:r w:rsidRPr="00474E73">
        <w:rPr>
          <w:rStyle w:val="Appelnotedebasdep"/>
        </w:rPr>
        <w:footnoteRef/>
      </w:r>
      <w:r w:rsidRPr="00474E73">
        <w:t xml:space="preserve"> </w:t>
      </w:r>
      <w:r w:rsidR="004D1814">
        <w:t xml:space="preserve">J. </w:t>
      </w:r>
      <w:proofErr w:type="spellStart"/>
      <w:r w:rsidRPr="00474E73">
        <w:rPr>
          <w:lang w:val="fr-FR"/>
        </w:rPr>
        <w:t>V</w:t>
      </w:r>
      <w:r w:rsidRPr="00474E73">
        <w:rPr>
          <w:smallCaps/>
          <w:lang w:val="fr-FR"/>
        </w:rPr>
        <w:t>ann</w:t>
      </w:r>
      <w:proofErr w:type="spellEnd"/>
      <w:r w:rsidRPr="00474E73">
        <w:rPr>
          <w:smallCaps/>
        </w:rPr>
        <w:t>é</w:t>
      </w:r>
      <w:r w:rsidRPr="00474E73">
        <w:rPr>
          <w:smallCaps/>
          <w:lang w:val="fr-FR"/>
        </w:rPr>
        <w:t>rus</w:t>
      </w:r>
      <w:r w:rsidRPr="00474E73">
        <w:t>,</w:t>
      </w:r>
      <w:r w:rsidR="00267030">
        <w:rPr>
          <w:i/>
        </w:rPr>
        <w:t xml:space="preserve"> op. </w:t>
      </w:r>
      <w:proofErr w:type="spellStart"/>
      <w:r w:rsidR="00267030">
        <w:rPr>
          <w:i/>
        </w:rPr>
        <w:t>cit</w:t>
      </w:r>
      <w:proofErr w:type="spellEnd"/>
      <w:r w:rsidR="00267030">
        <w:rPr>
          <w:i/>
        </w:rPr>
        <w:t>.</w:t>
      </w:r>
      <w:r w:rsidRPr="00474E73">
        <w:t xml:space="preserve">, p. 307-315 ; </w:t>
      </w:r>
      <w:r w:rsidR="004D1814">
        <w:t xml:space="preserve">O. </w:t>
      </w:r>
      <w:r w:rsidRPr="00474E73">
        <w:t>L</w:t>
      </w:r>
      <w:r w:rsidRPr="00474E73">
        <w:rPr>
          <w:smallCaps/>
        </w:rPr>
        <w:t>atteur</w:t>
      </w:r>
      <w:r w:rsidRPr="00474E73">
        <w:t xml:space="preserve">, </w:t>
      </w:r>
      <w:r w:rsidR="004D1814">
        <w:rPr>
          <w:i/>
        </w:rPr>
        <w:t xml:space="preserve">La perception, op. </w:t>
      </w:r>
      <w:proofErr w:type="spellStart"/>
      <w:r w:rsidR="004D1814">
        <w:rPr>
          <w:i/>
        </w:rPr>
        <w:t>cit</w:t>
      </w:r>
      <w:proofErr w:type="spellEnd"/>
      <w:r w:rsidR="004D1814">
        <w:rPr>
          <w:i/>
        </w:rPr>
        <w:t>.</w:t>
      </w:r>
      <w:r w:rsidRPr="00474E73">
        <w:rPr>
          <w:iCs/>
        </w:rPr>
        <w:t>, p. 231-235.</w:t>
      </w:r>
    </w:p>
  </w:footnote>
  <w:footnote w:id="12">
    <w:p w14:paraId="201EE92D" w14:textId="7937B453" w:rsidR="00FE0914" w:rsidRPr="004D1814" w:rsidRDefault="00FE0914" w:rsidP="00BB3522">
      <w:pPr>
        <w:pStyle w:val="Notedebasdepage"/>
        <w:jc w:val="both"/>
        <w:rPr>
          <w:lang w:val="nl-BE"/>
        </w:rPr>
      </w:pPr>
      <w:r w:rsidRPr="00474E73">
        <w:rPr>
          <w:rStyle w:val="Appelnotedebasdep"/>
        </w:rPr>
        <w:footnoteRef/>
      </w:r>
      <w:r w:rsidRPr="004D1814">
        <w:rPr>
          <w:lang w:val="nl-BE"/>
        </w:rPr>
        <w:t xml:space="preserve"> </w:t>
      </w:r>
      <w:r w:rsidR="004D1814" w:rsidRPr="004D1814">
        <w:rPr>
          <w:lang w:val="nl-BE"/>
        </w:rPr>
        <w:t xml:space="preserve">J. </w:t>
      </w:r>
      <w:proofErr w:type="spellStart"/>
      <w:r w:rsidRPr="004D1814">
        <w:rPr>
          <w:lang w:val="nl-BE"/>
        </w:rPr>
        <w:t>V</w:t>
      </w:r>
      <w:r w:rsidRPr="004D1814">
        <w:rPr>
          <w:smallCaps/>
          <w:lang w:val="nl-BE"/>
        </w:rPr>
        <w:t>annérus</w:t>
      </w:r>
      <w:proofErr w:type="spellEnd"/>
      <w:r w:rsidR="004D1814" w:rsidRPr="004D1814">
        <w:rPr>
          <w:smallCaps/>
          <w:lang w:val="nl-BE"/>
        </w:rPr>
        <w:t xml:space="preserve">, </w:t>
      </w:r>
      <w:r w:rsidR="004D1814" w:rsidRPr="004D1814">
        <w:rPr>
          <w:i/>
          <w:lang w:val="nl-BE"/>
        </w:rPr>
        <w:t xml:space="preserve">op. </w:t>
      </w:r>
      <w:proofErr w:type="spellStart"/>
      <w:r w:rsidR="004D1814" w:rsidRPr="004D1814">
        <w:rPr>
          <w:i/>
          <w:lang w:val="nl-BE"/>
        </w:rPr>
        <w:t>cit</w:t>
      </w:r>
      <w:proofErr w:type="spellEnd"/>
      <w:r w:rsidR="004D1814" w:rsidRPr="004D1814">
        <w:rPr>
          <w:smallCaps/>
          <w:lang w:val="nl-BE"/>
        </w:rPr>
        <w:t>.</w:t>
      </w:r>
      <w:r w:rsidRPr="004D1814">
        <w:rPr>
          <w:lang w:val="nl-BE"/>
        </w:rPr>
        <w:t>, p. 303-304.</w:t>
      </w:r>
    </w:p>
  </w:footnote>
  <w:footnote w:id="13">
    <w:p w14:paraId="50031190" w14:textId="77777777" w:rsidR="00A50953" w:rsidRPr="004D1814" w:rsidRDefault="00A50953" w:rsidP="00A50953">
      <w:pPr>
        <w:pStyle w:val="Notedebasdepage"/>
        <w:jc w:val="both"/>
      </w:pPr>
      <w:r w:rsidRPr="00474E73">
        <w:rPr>
          <w:rStyle w:val="Appelnotedebasdep"/>
        </w:rPr>
        <w:footnoteRef/>
      </w:r>
      <w:r w:rsidRPr="00474E73">
        <w:t xml:space="preserve"> </w:t>
      </w:r>
      <w:r w:rsidRPr="004D1814">
        <w:rPr>
          <w:i/>
        </w:rPr>
        <w:t>Ibid.</w:t>
      </w:r>
      <w:r>
        <w:t xml:space="preserve">, p. 302-303 et 324-326 ; O. </w:t>
      </w:r>
      <w:r w:rsidRPr="00474E73">
        <w:t>L</w:t>
      </w:r>
      <w:r w:rsidRPr="00474E73">
        <w:rPr>
          <w:smallCaps/>
        </w:rPr>
        <w:t>atteur</w:t>
      </w:r>
      <w:r w:rsidRPr="00474E73">
        <w:t xml:space="preserve">, </w:t>
      </w:r>
      <w:r>
        <w:rPr>
          <w:i/>
        </w:rPr>
        <w:t xml:space="preserve">La perception, op. </w:t>
      </w:r>
      <w:proofErr w:type="spellStart"/>
      <w:r>
        <w:rPr>
          <w:i/>
        </w:rPr>
        <w:t>cit</w:t>
      </w:r>
      <w:proofErr w:type="spellEnd"/>
      <w:r>
        <w:rPr>
          <w:i/>
        </w:rPr>
        <w:t>.</w:t>
      </w:r>
      <w:r w:rsidRPr="00474E73">
        <w:rPr>
          <w:iCs/>
        </w:rPr>
        <w:t>, p. </w:t>
      </w:r>
      <w:r>
        <w:rPr>
          <w:iCs/>
        </w:rPr>
        <w:t>234-235.</w:t>
      </w:r>
    </w:p>
  </w:footnote>
  <w:footnote w:id="14">
    <w:p w14:paraId="3054B246" w14:textId="77777777" w:rsidR="00A50953" w:rsidRPr="00474E73" w:rsidRDefault="00A50953" w:rsidP="00A50953">
      <w:pPr>
        <w:pStyle w:val="Notedebasdepage"/>
        <w:jc w:val="both"/>
        <w:rPr>
          <w:bCs/>
        </w:rPr>
      </w:pPr>
      <w:r w:rsidRPr="00474E73">
        <w:rPr>
          <w:rStyle w:val="Appelnotedebasdep"/>
        </w:rPr>
        <w:footnoteRef/>
      </w:r>
      <w:r w:rsidRPr="00474E73">
        <w:t xml:space="preserve"> </w:t>
      </w:r>
      <w:r>
        <w:t xml:space="preserve">J. </w:t>
      </w:r>
      <w:r w:rsidRPr="00474E73">
        <w:rPr>
          <w:lang w:eastAsia="fr-FR"/>
        </w:rPr>
        <w:t>D</w:t>
      </w:r>
      <w:r w:rsidRPr="00474E73">
        <w:rPr>
          <w:smallCaps/>
          <w:lang w:eastAsia="fr-FR"/>
        </w:rPr>
        <w:t>upont</w:t>
      </w:r>
      <w:r w:rsidRPr="00474E73">
        <w:rPr>
          <w:lang w:eastAsia="fr-FR"/>
        </w:rPr>
        <w:t xml:space="preserve">, </w:t>
      </w:r>
      <w:r w:rsidRPr="00474E73">
        <w:rPr>
          <w:bCs/>
          <w:i/>
          <w:lang w:eastAsia="fr-FR"/>
        </w:rPr>
        <w:t>Abrégé de la vie de Saint Materne, apôtre de Namur</w:t>
      </w:r>
      <w:r w:rsidRPr="00474E73">
        <w:rPr>
          <w:bCs/>
          <w:lang w:eastAsia="fr-FR"/>
        </w:rPr>
        <w:t>, Namur, 1694,</w:t>
      </w:r>
      <w:r w:rsidRPr="00474E73">
        <w:t xml:space="preserve"> p. 31 ; </w:t>
      </w:r>
      <w:r>
        <w:t xml:space="preserve">Ch. </w:t>
      </w:r>
      <w:proofErr w:type="spellStart"/>
      <w:r>
        <w:rPr>
          <w:bCs/>
          <w:smallCaps/>
        </w:rPr>
        <w:t>Galliot</w:t>
      </w:r>
      <w:proofErr w:type="spellEnd"/>
      <w:r w:rsidRPr="00602D91">
        <w:rPr>
          <w:bCs/>
          <w:smallCaps/>
        </w:rPr>
        <w:t xml:space="preserve">, </w:t>
      </w:r>
      <w:r w:rsidRPr="00602D91">
        <w:rPr>
          <w:bCs/>
          <w:i/>
          <w:iCs/>
        </w:rPr>
        <w:t>Histoire générale, ecclésiastique et civile de la ville et province de Namur</w:t>
      </w:r>
      <w:r w:rsidRPr="00602D91">
        <w:rPr>
          <w:bCs/>
        </w:rPr>
        <w:t xml:space="preserve">, </w:t>
      </w:r>
      <w:r>
        <w:rPr>
          <w:bCs/>
        </w:rPr>
        <w:t>t. </w:t>
      </w:r>
      <w:r w:rsidRPr="00602D91">
        <w:rPr>
          <w:bCs/>
        </w:rPr>
        <w:t>1, Liège, 1788</w:t>
      </w:r>
      <w:r w:rsidRPr="00474E73">
        <w:t xml:space="preserve">, p. 20-21. Voir également : </w:t>
      </w:r>
      <w:r>
        <w:t xml:space="preserve">F. </w:t>
      </w:r>
      <w:r w:rsidRPr="00474E73">
        <w:rPr>
          <w:rFonts w:eastAsia="Times New Roman" w:cs="Calibri"/>
          <w:smallCaps/>
          <w:szCs w:val="22"/>
          <w:lang w:val="fr-FR" w:eastAsia="fr-FR"/>
        </w:rPr>
        <w:t>Rousseau</w:t>
      </w:r>
      <w:r w:rsidRPr="00474E73">
        <w:rPr>
          <w:rFonts w:eastAsia="Times New Roman" w:cs="Calibri"/>
          <w:szCs w:val="22"/>
          <w:lang w:val="fr-FR" w:eastAsia="fr-FR"/>
        </w:rPr>
        <w:t xml:space="preserve">, </w:t>
      </w:r>
      <w:r w:rsidRPr="00474E73">
        <w:rPr>
          <w:rFonts w:eastAsia="Times New Roman" w:cs="Calibri"/>
          <w:i/>
          <w:szCs w:val="22"/>
          <w:lang w:val="fr-FR" w:eastAsia="fr-FR"/>
        </w:rPr>
        <w:t>Fausses étymologies, créatrices de légendes</w:t>
      </w:r>
      <w:r w:rsidRPr="00474E73">
        <w:rPr>
          <w:rFonts w:eastAsia="Times New Roman" w:cs="Calibri"/>
          <w:szCs w:val="22"/>
          <w:lang w:val="fr-FR" w:eastAsia="fr-FR"/>
        </w:rPr>
        <w:t xml:space="preserve">, dans </w:t>
      </w:r>
      <w:r w:rsidRPr="00474E73">
        <w:rPr>
          <w:rFonts w:eastAsia="Times New Roman" w:cs="Calibri"/>
          <w:i/>
          <w:szCs w:val="22"/>
          <w:lang w:val="fr-FR" w:eastAsia="fr-FR"/>
        </w:rPr>
        <w:t>Mélanges de linguistique romane offerts à M. Jean Haust à l'occasion de son admission à l'éméritat</w:t>
      </w:r>
      <w:r w:rsidRPr="00474E73">
        <w:rPr>
          <w:rFonts w:eastAsia="Times New Roman" w:cs="Calibri"/>
          <w:szCs w:val="22"/>
          <w:lang w:val="fr-FR" w:eastAsia="fr-FR"/>
        </w:rPr>
        <w:t>, Liège, 1939, p.</w:t>
      </w:r>
      <w:r w:rsidRPr="00474E73">
        <w:t xml:space="preserve"> 362-367.</w:t>
      </w:r>
    </w:p>
  </w:footnote>
  <w:footnote w:id="15">
    <w:p w14:paraId="3FF3A773" w14:textId="77777777" w:rsidR="00A50953" w:rsidRDefault="00A50953" w:rsidP="00A50953">
      <w:pPr>
        <w:pStyle w:val="Notedebasdepage"/>
        <w:jc w:val="both"/>
      </w:pPr>
      <w:r w:rsidRPr="004D1814">
        <w:rPr>
          <w:rStyle w:val="Appelnotedebasdep"/>
        </w:rPr>
        <w:footnoteRef/>
      </w:r>
      <w:r w:rsidRPr="004D1814">
        <w:t xml:space="preserve"> </w:t>
      </w:r>
      <w:r w:rsidRPr="004D1814">
        <w:rPr>
          <w:i/>
          <w:iCs/>
        </w:rPr>
        <w:t xml:space="preserve">Brunehaut / </w:t>
      </w:r>
      <w:proofErr w:type="spellStart"/>
      <w:r w:rsidRPr="004D1814">
        <w:rPr>
          <w:i/>
          <w:iCs/>
        </w:rPr>
        <w:t>Hollain</w:t>
      </w:r>
      <w:proofErr w:type="spellEnd"/>
      <w:r w:rsidRPr="004D1814">
        <w:t xml:space="preserve">, dans </w:t>
      </w:r>
      <w:r w:rsidRPr="004D1814">
        <w:rPr>
          <w:i/>
          <w:iCs/>
        </w:rPr>
        <w:t>Le patrimoine monumental de la Belgique</w:t>
      </w:r>
      <w:r w:rsidRPr="004D1814">
        <w:t>, t. 6/1, Liège, 1978, p. 81.</w:t>
      </w:r>
    </w:p>
  </w:footnote>
  <w:footnote w:id="16">
    <w:p w14:paraId="4C984589" w14:textId="160D7AE7" w:rsidR="00547B22" w:rsidRPr="00DA1B82" w:rsidRDefault="00547B22" w:rsidP="00547B22">
      <w:pPr>
        <w:pStyle w:val="Notedebasdepage"/>
        <w:jc w:val="both"/>
        <w:rPr>
          <w:color w:val="FF0000"/>
          <w:lang w:val="fr-FR"/>
        </w:rPr>
      </w:pPr>
      <w:r>
        <w:rPr>
          <w:rStyle w:val="Appelnotedebasdep"/>
        </w:rPr>
        <w:footnoteRef/>
      </w:r>
      <w:r>
        <w:t xml:space="preserve"> </w:t>
      </w:r>
      <w:r w:rsidRPr="00E7348C">
        <w:rPr>
          <w:lang w:val="fr-FR"/>
        </w:rPr>
        <w:t xml:space="preserve">Philippe de </w:t>
      </w:r>
      <w:proofErr w:type="spellStart"/>
      <w:r w:rsidRPr="00E7348C">
        <w:rPr>
          <w:lang w:val="fr-FR"/>
        </w:rPr>
        <w:t>Hurges</w:t>
      </w:r>
      <w:proofErr w:type="spellEnd"/>
      <w:r>
        <w:rPr>
          <w:lang w:val="fr-FR"/>
        </w:rPr>
        <w:t xml:space="preserve"> (1585-1643)</w:t>
      </w:r>
      <w:r w:rsidRPr="00E7348C">
        <w:rPr>
          <w:lang w:val="fr-FR"/>
        </w:rPr>
        <w:t xml:space="preserve"> </w:t>
      </w:r>
      <w:r>
        <w:rPr>
          <w:lang w:val="fr-FR"/>
        </w:rPr>
        <w:t>est issu d’une famille de la riche bourgeoisie tournaisienne. Il étudie dans les universités de Louvain et Pont-à-Mousson, puis devient échevin et juré de Tournai. A.</w:t>
      </w:r>
      <w:r w:rsidRPr="00E7348C">
        <w:rPr>
          <w:lang w:val="fr-FR"/>
        </w:rPr>
        <w:t xml:space="preserve"> </w:t>
      </w:r>
      <w:proofErr w:type="spellStart"/>
      <w:r w:rsidRPr="00F30201">
        <w:rPr>
          <w:iCs/>
          <w:lang w:val="fr-FR"/>
        </w:rPr>
        <w:t>J</w:t>
      </w:r>
      <w:r w:rsidRPr="00F30201">
        <w:rPr>
          <w:iCs/>
          <w:smallCaps/>
          <w:lang w:val="fr-FR"/>
        </w:rPr>
        <w:t>ournez</w:t>
      </w:r>
      <w:proofErr w:type="spellEnd"/>
      <w:r w:rsidRPr="00F30201">
        <w:rPr>
          <w:iCs/>
          <w:lang w:val="fr-FR"/>
        </w:rPr>
        <w:t xml:space="preserve">, </w:t>
      </w:r>
      <w:proofErr w:type="spellStart"/>
      <w:r>
        <w:rPr>
          <w:i/>
          <w:iCs/>
          <w:lang w:val="fr-FR"/>
        </w:rPr>
        <w:t>Hurges</w:t>
      </w:r>
      <w:proofErr w:type="spellEnd"/>
      <w:r>
        <w:rPr>
          <w:i/>
          <w:iCs/>
          <w:lang w:val="fr-FR"/>
        </w:rPr>
        <w:t xml:space="preserve"> (Philippe de)</w:t>
      </w:r>
      <w:r w:rsidRPr="00F30201">
        <w:rPr>
          <w:iCs/>
          <w:lang w:val="fr-FR"/>
        </w:rPr>
        <w:t xml:space="preserve">, dans </w:t>
      </w:r>
      <w:r w:rsidRPr="00F30201">
        <w:rPr>
          <w:i/>
          <w:iCs/>
          <w:lang w:val="fr-FR"/>
        </w:rPr>
        <w:t>Biographie nationale</w:t>
      </w:r>
      <w:r w:rsidRPr="00F30201">
        <w:rPr>
          <w:iCs/>
          <w:lang w:val="fr-FR"/>
        </w:rPr>
        <w:t xml:space="preserve">, </w:t>
      </w:r>
      <w:r>
        <w:rPr>
          <w:iCs/>
          <w:lang w:val="fr-FR"/>
        </w:rPr>
        <w:t>t. </w:t>
      </w:r>
      <w:r w:rsidRPr="00F30201">
        <w:rPr>
          <w:iCs/>
          <w:lang w:val="fr-FR"/>
        </w:rPr>
        <w:t xml:space="preserve">9, Bruxelles, 1886-1887, </w:t>
      </w:r>
      <w:r>
        <w:rPr>
          <w:iCs/>
          <w:lang w:val="fr-FR"/>
        </w:rPr>
        <w:t>col. </w:t>
      </w:r>
      <w:r w:rsidRPr="00F30201">
        <w:rPr>
          <w:iCs/>
          <w:lang w:val="fr-FR"/>
        </w:rPr>
        <w:t>719-724</w:t>
      </w:r>
      <w:r>
        <w:rPr>
          <w:iCs/>
          <w:lang w:val="fr-FR"/>
        </w:rPr>
        <w:t xml:space="preserve"> ; Ph. </w:t>
      </w:r>
      <w:r w:rsidRPr="00CA64D0">
        <w:rPr>
          <w:smallCaps/>
        </w:rPr>
        <w:t>de</w:t>
      </w:r>
      <w:r>
        <w:t xml:space="preserve"> </w:t>
      </w:r>
      <w:proofErr w:type="spellStart"/>
      <w:r>
        <w:rPr>
          <w:smallCaps/>
        </w:rPr>
        <w:t>Hurges</w:t>
      </w:r>
      <w:proofErr w:type="spellEnd"/>
      <w:r>
        <w:rPr>
          <w:smallCaps/>
        </w:rPr>
        <w:t>,</w:t>
      </w:r>
      <w:r>
        <w:t xml:space="preserve"> </w:t>
      </w:r>
      <w:r>
        <w:rPr>
          <w:i/>
          <w:iCs/>
        </w:rPr>
        <w:t xml:space="preserve">Voyage de Philippe de </w:t>
      </w:r>
      <w:proofErr w:type="spellStart"/>
      <w:r>
        <w:rPr>
          <w:i/>
          <w:iCs/>
        </w:rPr>
        <w:t>Hurges</w:t>
      </w:r>
      <w:proofErr w:type="spellEnd"/>
      <w:r>
        <w:rPr>
          <w:i/>
          <w:iCs/>
        </w:rPr>
        <w:t xml:space="preserve"> à Liège et à </w:t>
      </w:r>
      <w:proofErr w:type="spellStart"/>
      <w:r>
        <w:rPr>
          <w:i/>
          <w:iCs/>
        </w:rPr>
        <w:t>Maestrect</w:t>
      </w:r>
      <w:proofErr w:type="spellEnd"/>
      <w:r>
        <w:rPr>
          <w:i/>
          <w:iCs/>
        </w:rPr>
        <w:t xml:space="preserve"> en 1615</w:t>
      </w:r>
      <w:r>
        <w:t xml:space="preserve">, édit. H. </w:t>
      </w:r>
      <w:proofErr w:type="spellStart"/>
      <w:r>
        <w:rPr>
          <w:smallCaps/>
        </w:rPr>
        <w:t>Michelant</w:t>
      </w:r>
      <w:proofErr w:type="spellEnd"/>
      <w:r>
        <w:t>, Liège, 1872,</w:t>
      </w:r>
      <w:r w:rsidR="00980395">
        <w:t xml:space="preserve"> </w:t>
      </w:r>
      <w:r w:rsidRPr="00474E73">
        <w:rPr>
          <w:iCs/>
        </w:rPr>
        <w:t>p. XII-XXIII</w:t>
      </w:r>
      <w:r w:rsidRPr="00474E73">
        <w:t>.</w:t>
      </w:r>
    </w:p>
  </w:footnote>
  <w:footnote w:id="17">
    <w:p w14:paraId="25FB5A59" w14:textId="77777777" w:rsidR="00547B22" w:rsidRPr="00FB0BCA" w:rsidRDefault="00547B22" w:rsidP="00547B22">
      <w:pPr>
        <w:pStyle w:val="Notedebasdepage"/>
        <w:jc w:val="both"/>
        <w:rPr>
          <w:iCs/>
          <w:color w:val="FF0000"/>
        </w:rPr>
      </w:pPr>
      <w:r w:rsidRPr="00474E73">
        <w:rPr>
          <w:rStyle w:val="Appelnotedebasdep"/>
        </w:rPr>
        <w:footnoteRef/>
      </w:r>
      <w:r w:rsidRPr="00117C92">
        <w:t xml:space="preserve"> Ph. </w:t>
      </w:r>
      <w:r w:rsidRPr="00117C92">
        <w:rPr>
          <w:smallCaps/>
        </w:rPr>
        <w:t>de</w:t>
      </w:r>
      <w:r w:rsidRPr="00117C92">
        <w:t xml:space="preserve"> </w:t>
      </w:r>
      <w:proofErr w:type="spellStart"/>
      <w:r w:rsidRPr="00117C92">
        <w:rPr>
          <w:smallCaps/>
        </w:rPr>
        <w:t>Hurges</w:t>
      </w:r>
      <w:proofErr w:type="spellEnd"/>
      <w:r w:rsidRPr="00117C92">
        <w:rPr>
          <w:smallCaps/>
        </w:rPr>
        <w:t>,</w:t>
      </w:r>
      <w:r w:rsidRPr="00117C92">
        <w:t xml:space="preserve"> </w:t>
      </w:r>
      <w:r w:rsidRPr="00117C92">
        <w:rPr>
          <w:i/>
          <w:iCs/>
        </w:rPr>
        <w:t xml:space="preserve">op. </w:t>
      </w:r>
      <w:proofErr w:type="spellStart"/>
      <w:r w:rsidRPr="00117C92">
        <w:rPr>
          <w:i/>
          <w:iCs/>
        </w:rPr>
        <w:t>cit</w:t>
      </w:r>
      <w:proofErr w:type="spellEnd"/>
      <w:r w:rsidRPr="00117C92">
        <w:rPr>
          <w:i/>
          <w:iCs/>
        </w:rPr>
        <w:t>.</w:t>
      </w:r>
      <w:r w:rsidRPr="00117C92">
        <w:t>, p.</w:t>
      </w:r>
      <w:r w:rsidRPr="00117C92">
        <w:rPr>
          <w:i/>
          <w:iCs/>
        </w:rPr>
        <w:t xml:space="preserve"> </w:t>
      </w:r>
      <w:r w:rsidRPr="00117C92">
        <w:t xml:space="preserve">36-39. </w:t>
      </w:r>
      <w:r w:rsidRPr="00FB0BCA">
        <w:t>Voir également :</w:t>
      </w:r>
      <w:r w:rsidRPr="00FB0BCA">
        <w:rPr>
          <w:smallCaps/>
        </w:rPr>
        <w:t xml:space="preserve"> </w:t>
      </w:r>
      <w:r>
        <w:rPr>
          <w:smallCaps/>
        </w:rPr>
        <w:t xml:space="preserve">O. </w:t>
      </w:r>
      <w:r w:rsidRPr="00FB0BCA">
        <w:rPr>
          <w:smallCaps/>
        </w:rPr>
        <w:t>Latteur</w:t>
      </w:r>
      <w:r w:rsidRPr="00FB0BCA">
        <w:t xml:space="preserve">, </w:t>
      </w:r>
      <w:proofErr w:type="spellStart"/>
      <w:r w:rsidRPr="00FB0BCA">
        <w:rPr>
          <w:i/>
        </w:rPr>
        <w:t>Observing</w:t>
      </w:r>
      <w:proofErr w:type="spellEnd"/>
      <w:r w:rsidRPr="00FB0BCA">
        <w:rPr>
          <w:i/>
        </w:rPr>
        <w:t xml:space="preserve">, </w:t>
      </w:r>
      <w:r>
        <w:rPr>
          <w:i/>
        </w:rPr>
        <w:t xml:space="preserve">op. </w:t>
      </w:r>
      <w:proofErr w:type="spellStart"/>
      <w:r>
        <w:rPr>
          <w:i/>
        </w:rPr>
        <w:t>cit</w:t>
      </w:r>
      <w:proofErr w:type="spellEnd"/>
      <w:r>
        <w:rPr>
          <w:i/>
        </w:rPr>
        <w:t>.</w:t>
      </w:r>
      <w:r>
        <w:rPr>
          <w:iCs/>
        </w:rPr>
        <w:t>, p. 165.</w:t>
      </w:r>
    </w:p>
  </w:footnote>
  <w:footnote w:id="18">
    <w:p w14:paraId="5C2AF608" w14:textId="77777777" w:rsidR="00EC1ED8" w:rsidRPr="00510EAE" w:rsidRDefault="00EC1ED8" w:rsidP="00EC1ED8">
      <w:pPr>
        <w:pStyle w:val="Notedebasdepage"/>
        <w:jc w:val="both"/>
      </w:pPr>
      <w:r>
        <w:rPr>
          <w:rStyle w:val="Appelnotedebasdep"/>
        </w:rPr>
        <w:footnoteRef/>
      </w:r>
      <w:r>
        <w:t xml:space="preserve"> J. </w:t>
      </w:r>
      <w:proofErr w:type="spellStart"/>
      <w:r w:rsidRPr="00474E73">
        <w:rPr>
          <w:lang w:val="fr-FR"/>
        </w:rPr>
        <w:t>V</w:t>
      </w:r>
      <w:r w:rsidRPr="00474E73">
        <w:rPr>
          <w:smallCaps/>
          <w:lang w:val="fr-FR"/>
        </w:rPr>
        <w:t>ann</w:t>
      </w:r>
      <w:proofErr w:type="spellEnd"/>
      <w:r w:rsidRPr="00474E73">
        <w:rPr>
          <w:smallCaps/>
        </w:rPr>
        <w:t>é</w:t>
      </w:r>
      <w:r w:rsidRPr="00474E73">
        <w:rPr>
          <w:smallCaps/>
          <w:lang w:val="fr-FR"/>
        </w:rPr>
        <w:t>rus</w:t>
      </w:r>
      <w:r w:rsidRPr="00474E73">
        <w:t xml:space="preserve">, </w:t>
      </w:r>
      <w:r>
        <w:rPr>
          <w:i/>
        </w:rPr>
        <w:t xml:space="preserve">op. </w:t>
      </w:r>
      <w:proofErr w:type="spellStart"/>
      <w:r>
        <w:rPr>
          <w:i/>
        </w:rPr>
        <w:t>cit</w:t>
      </w:r>
      <w:proofErr w:type="spellEnd"/>
      <w:r>
        <w:rPr>
          <w:i/>
        </w:rPr>
        <w:t>.</w:t>
      </w:r>
      <w:r w:rsidRPr="00474E73">
        <w:t>, p.</w:t>
      </w:r>
      <w:r>
        <w:t> </w:t>
      </w:r>
      <w:r w:rsidRPr="00474E73">
        <w:t>328-329.</w:t>
      </w:r>
    </w:p>
  </w:footnote>
  <w:footnote w:id="19">
    <w:p w14:paraId="4331BD43" w14:textId="3755D1D6" w:rsidR="00FE0914" w:rsidRDefault="00FE0914" w:rsidP="00BB3522">
      <w:pPr>
        <w:pStyle w:val="Notedebasdepage"/>
        <w:jc w:val="both"/>
      </w:pPr>
      <w:r>
        <w:rPr>
          <w:rStyle w:val="Appelnotedebasdep"/>
        </w:rPr>
        <w:footnoteRef/>
      </w:r>
      <w:r>
        <w:t xml:space="preserve"> Joseph-Alexis </w:t>
      </w:r>
      <w:proofErr w:type="spellStart"/>
      <w:r>
        <w:t>Poutrain</w:t>
      </w:r>
      <w:proofErr w:type="spellEnd"/>
      <w:r>
        <w:t xml:space="preserve"> (1684-vers 1761) est un historien tournaisien. Il rédige son histoire de Tournai durant l’occupation de la ville par les Français, au cours de la guerre de Succession d’</w:t>
      </w:r>
      <w:r w:rsidR="000223CD">
        <w:t xml:space="preserve">Autriche, et </w:t>
      </w:r>
      <w:r>
        <w:t>y fait montre de sentiments pro-français</w:t>
      </w:r>
      <w:r w:rsidR="000953DF">
        <w:t>.</w:t>
      </w:r>
      <w:r w:rsidRPr="000953DF">
        <w:rPr>
          <w:lang w:eastAsia="ar-SA"/>
        </w:rPr>
        <w:t xml:space="preserve"> </w:t>
      </w:r>
      <w:r w:rsidR="000953DF" w:rsidRPr="000953DF">
        <w:rPr>
          <w:lang w:eastAsia="ar-SA"/>
        </w:rPr>
        <w:t xml:space="preserve">E.-J. </w:t>
      </w:r>
      <w:proofErr w:type="spellStart"/>
      <w:r w:rsidR="000953DF">
        <w:rPr>
          <w:smallCaps/>
          <w:lang w:eastAsia="ar-SA"/>
        </w:rPr>
        <w:t>Soil</w:t>
      </w:r>
      <w:proofErr w:type="spellEnd"/>
      <w:r w:rsidRPr="00414E11">
        <w:rPr>
          <w:lang w:eastAsia="ar-SA"/>
        </w:rPr>
        <w:t xml:space="preserve">, </w:t>
      </w:r>
      <w:proofErr w:type="spellStart"/>
      <w:r w:rsidRPr="00414E11">
        <w:rPr>
          <w:i/>
          <w:lang w:eastAsia="ar-SA"/>
        </w:rPr>
        <w:t>Poutrain</w:t>
      </w:r>
      <w:proofErr w:type="spellEnd"/>
      <w:r w:rsidRPr="00414E11">
        <w:rPr>
          <w:i/>
          <w:lang w:eastAsia="ar-SA"/>
        </w:rPr>
        <w:t xml:space="preserve"> (Joseph-Alexis)</w:t>
      </w:r>
      <w:r w:rsidRPr="00414E11">
        <w:rPr>
          <w:lang w:eastAsia="ar-SA"/>
        </w:rPr>
        <w:t xml:space="preserve">, dans </w:t>
      </w:r>
      <w:r w:rsidRPr="00414E11">
        <w:rPr>
          <w:i/>
          <w:lang w:eastAsia="ar-SA"/>
        </w:rPr>
        <w:t>Biographie nationale</w:t>
      </w:r>
      <w:r w:rsidRPr="00414E11">
        <w:rPr>
          <w:lang w:eastAsia="ar-SA"/>
        </w:rPr>
        <w:t xml:space="preserve">, </w:t>
      </w:r>
      <w:r>
        <w:rPr>
          <w:lang w:eastAsia="ar-SA"/>
        </w:rPr>
        <w:t>t. </w:t>
      </w:r>
      <w:r w:rsidRPr="00414E11">
        <w:rPr>
          <w:lang w:eastAsia="ar-SA"/>
        </w:rPr>
        <w:t xml:space="preserve">18, Bruxelles, 1905, </w:t>
      </w:r>
      <w:r>
        <w:rPr>
          <w:lang w:eastAsia="ar-SA"/>
        </w:rPr>
        <w:t>col. </w:t>
      </w:r>
      <w:r w:rsidRPr="00414E11">
        <w:rPr>
          <w:lang w:eastAsia="ar-SA"/>
        </w:rPr>
        <w:t>133-134.</w:t>
      </w:r>
    </w:p>
  </w:footnote>
  <w:footnote w:id="20">
    <w:p w14:paraId="66368589" w14:textId="761DA769" w:rsidR="00FE0914" w:rsidRDefault="00FE0914" w:rsidP="00BB3522">
      <w:pPr>
        <w:pStyle w:val="Notedebasdepage"/>
        <w:jc w:val="both"/>
      </w:pPr>
      <w:r w:rsidRPr="00474E73">
        <w:rPr>
          <w:rStyle w:val="Appelnotedebasdep"/>
        </w:rPr>
        <w:footnoteRef/>
      </w:r>
      <w:r w:rsidRPr="00474E73">
        <w:t xml:space="preserve"> </w:t>
      </w:r>
      <w:r w:rsidR="000953DF">
        <w:t xml:space="preserve">J.-A. </w:t>
      </w:r>
      <w:proofErr w:type="spellStart"/>
      <w:r w:rsidRPr="00474E73">
        <w:rPr>
          <w:smallCaps/>
        </w:rPr>
        <w:t>Poutrain</w:t>
      </w:r>
      <w:proofErr w:type="spellEnd"/>
      <w:r w:rsidRPr="00474E73">
        <w:t xml:space="preserve">, </w:t>
      </w:r>
      <w:r w:rsidRPr="00474E73">
        <w:rPr>
          <w:i/>
        </w:rPr>
        <w:t xml:space="preserve">Histoire de la ville et cité de Tournai, capitale des Nerviens et premier siège de la monarchie </w:t>
      </w:r>
      <w:proofErr w:type="spellStart"/>
      <w:r w:rsidRPr="00474E73">
        <w:rPr>
          <w:i/>
        </w:rPr>
        <w:t>françoise</w:t>
      </w:r>
      <w:proofErr w:type="spellEnd"/>
      <w:r w:rsidRPr="00474E73">
        <w:t>, t. 1, La Haye, 1750, p. 72-73.</w:t>
      </w:r>
    </w:p>
  </w:footnote>
  <w:footnote w:id="21">
    <w:p w14:paraId="28282B25" w14:textId="2A7E0A80" w:rsidR="00FE0914" w:rsidRDefault="00FE0914" w:rsidP="00BB3522">
      <w:pPr>
        <w:pStyle w:val="Notedebasdepage"/>
        <w:jc w:val="both"/>
      </w:pPr>
      <w:r>
        <w:rPr>
          <w:rStyle w:val="Appelnotedebasdep"/>
        </w:rPr>
        <w:footnoteRef/>
      </w:r>
      <w:r>
        <w:t xml:space="preserve"> Jean Cousin (mort en 1636) est un </w:t>
      </w:r>
      <w:r w:rsidRPr="009949BA">
        <w:rPr>
          <w:lang w:val="fr-FR" w:eastAsia="ar-SA"/>
        </w:rPr>
        <w:t>écr</w:t>
      </w:r>
      <w:r>
        <w:rPr>
          <w:lang w:val="fr-FR" w:eastAsia="ar-SA"/>
        </w:rPr>
        <w:t>ivain ecclésiastique</w:t>
      </w:r>
      <w:r w:rsidRPr="009949BA">
        <w:rPr>
          <w:lang w:val="fr-FR" w:eastAsia="ar-SA"/>
        </w:rPr>
        <w:t>.</w:t>
      </w:r>
      <w:r>
        <w:rPr>
          <w:lang w:val="fr-FR" w:eastAsia="ar-SA"/>
        </w:rPr>
        <w:t xml:space="preserve"> Après avoir étudié à Louvain et à Paris,</w:t>
      </w:r>
      <w:r w:rsidRPr="009949BA">
        <w:rPr>
          <w:lang w:val="fr-FR" w:eastAsia="ar-SA"/>
        </w:rPr>
        <w:t xml:space="preserve"> </w:t>
      </w:r>
      <w:r w:rsidR="000223CD">
        <w:rPr>
          <w:lang w:val="fr-FR" w:eastAsia="ar-SA"/>
        </w:rPr>
        <w:t>i</w:t>
      </w:r>
      <w:r>
        <w:rPr>
          <w:lang w:val="fr-FR" w:eastAsia="ar-SA"/>
        </w:rPr>
        <w:t>l est r</w:t>
      </w:r>
      <w:r w:rsidRPr="009949BA">
        <w:rPr>
          <w:lang w:val="fr-FR" w:eastAsia="ar-SA"/>
        </w:rPr>
        <w:t>epéré par l’évêque de Tournai</w:t>
      </w:r>
      <w:r>
        <w:rPr>
          <w:lang w:val="fr-FR" w:eastAsia="ar-SA"/>
        </w:rPr>
        <w:t xml:space="preserve"> qui lui confère</w:t>
      </w:r>
      <w:r w:rsidRPr="009949BA">
        <w:rPr>
          <w:lang w:val="fr-FR" w:eastAsia="ar-SA"/>
        </w:rPr>
        <w:t xml:space="preserve"> un canonicat </w:t>
      </w:r>
      <w:r>
        <w:rPr>
          <w:lang w:val="fr-FR" w:eastAsia="ar-SA"/>
        </w:rPr>
        <w:t xml:space="preserve">au sein de </w:t>
      </w:r>
      <w:r w:rsidRPr="009949BA">
        <w:rPr>
          <w:lang w:val="fr-FR" w:eastAsia="ar-SA"/>
        </w:rPr>
        <w:t>l’</w:t>
      </w:r>
      <w:r w:rsidR="00CC1E01">
        <w:rPr>
          <w:lang w:val="fr-FR" w:eastAsia="ar-SA"/>
        </w:rPr>
        <w:t>É</w:t>
      </w:r>
      <w:r w:rsidRPr="009949BA">
        <w:rPr>
          <w:lang w:val="fr-FR" w:eastAsia="ar-SA"/>
        </w:rPr>
        <w:t>glise cathédrale.</w:t>
      </w:r>
      <w:r w:rsidR="000953DF">
        <w:rPr>
          <w:lang w:val="fr-FR" w:eastAsia="ar-SA"/>
        </w:rPr>
        <w:t xml:space="preserve"> A.</w:t>
      </w:r>
      <w:r w:rsidRPr="009949BA">
        <w:rPr>
          <w:lang w:val="fr-FR" w:eastAsia="ar-SA"/>
        </w:rPr>
        <w:t xml:space="preserve"> </w:t>
      </w:r>
      <w:r w:rsidRPr="00E056D7">
        <w:rPr>
          <w:smallCaps/>
          <w:lang w:val="fr-FR" w:eastAsia="ar-SA"/>
        </w:rPr>
        <w:t xml:space="preserve">Vander </w:t>
      </w:r>
      <w:proofErr w:type="spellStart"/>
      <w:r w:rsidRPr="00E056D7">
        <w:rPr>
          <w:smallCaps/>
          <w:lang w:val="fr-FR" w:eastAsia="ar-SA"/>
        </w:rPr>
        <w:t>Meersch</w:t>
      </w:r>
      <w:proofErr w:type="spellEnd"/>
      <w:r w:rsidRPr="00E056D7">
        <w:rPr>
          <w:lang w:val="fr-FR" w:eastAsia="ar-SA"/>
        </w:rPr>
        <w:t xml:space="preserve">, </w:t>
      </w:r>
      <w:r w:rsidRPr="00E056D7">
        <w:rPr>
          <w:i/>
          <w:lang w:val="fr-FR" w:eastAsia="ar-SA"/>
        </w:rPr>
        <w:t>Cousin (Jean)</w:t>
      </w:r>
      <w:r w:rsidRPr="00E056D7">
        <w:rPr>
          <w:lang w:val="fr-FR" w:eastAsia="ar-SA"/>
        </w:rPr>
        <w:t xml:space="preserve">, dans </w:t>
      </w:r>
      <w:r w:rsidRPr="00E056D7">
        <w:rPr>
          <w:i/>
          <w:lang w:val="fr-FR" w:eastAsia="ar-SA"/>
        </w:rPr>
        <w:t>Biographie nationale</w:t>
      </w:r>
      <w:r w:rsidRPr="00E056D7">
        <w:rPr>
          <w:lang w:val="fr-FR" w:eastAsia="ar-SA"/>
        </w:rPr>
        <w:t xml:space="preserve">, </w:t>
      </w:r>
      <w:r>
        <w:rPr>
          <w:lang w:val="fr-FR" w:eastAsia="ar-SA"/>
        </w:rPr>
        <w:t>t. </w:t>
      </w:r>
      <w:r w:rsidRPr="00E056D7">
        <w:rPr>
          <w:lang w:val="fr-FR" w:eastAsia="ar-SA"/>
        </w:rPr>
        <w:t xml:space="preserve">4, Bruxelles, 1873, </w:t>
      </w:r>
      <w:r>
        <w:rPr>
          <w:lang w:val="fr-FR" w:eastAsia="ar-SA"/>
        </w:rPr>
        <w:t>col. </w:t>
      </w:r>
      <w:r w:rsidRPr="00E056D7">
        <w:rPr>
          <w:lang w:val="fr-FR" w:eastAsia="ar-SA"/>
        </w:rPr>
        <w:t>438.</w:t>
      </w:r>
    </w:p>
  </w:footnote>
  <w:footnote w:id="22">
    <w:p w14:paraId="280BF8D1" w14:textId="15E08879" w:rsidR="00FE0914" w:rsidRPr="00EC0B31" w:rsidRDefault="00FE0914" w:rsidP="00BB3522">
      <w:pPr>
        <w:pStyle w:val="Notedebasdepage"/>
        <w:jc w:val="both"/>
      </w:pPr>
      <w:r w:rsidRPr="00474E73">
        <w:rPr>
          <w:rStyle w:val="Appelnotedebasdep"/>
        </w:rPr>
        <w:footnoteRef/>
      </w:r>
      <w:r w:rsidRPr="00474E73">
        <w:t xml:space="preserve"> </w:t>
      </w:r>
      <w:r w:rsidR="000953DF">
        <w:t xml:space="preserve">P. </w:t>
      </w:r>
      <w:r w:rsidRPr="00474E73">
        <w:rPr>
          <w:szCs w:val="22"/>
          <w:lang w:eastAsia="fr-FR"/>
        </w:rPr>
        <w:t>R</w:t>
      </w:r>
      <w:r w:rsidRPr="00474E73">
        <w:rPr>
          <w:smallCaps/>
          <w:szCs w:val="22"/>
          <w:lang w:eastAsia="fr-FR"/>
        </w:rPr>
        <w:t>olland</w:t>
      </w:r>
      <w:r w:rsidRPr="00474E73">
        <w:rPr>
          <w:szCs w:val="22"/>
          <w:lang w:eastAsia="fr-FR"/>
        </w:rPr>
        <w:t xml:space="preserve">, </w:t>
      </w:r>
      <w:r w:rsidRPr="00474E73">
        <w:rPr>
          <w:i/>
          <w:szCs w:val="22"/>
          <w:lang w:eastAsia="fr-FR"/>
        </w:rPr>
        <w:t>Les origines légendaires de Tournai : étude critique</w:t>
      </w:r>
      <w:r w:rsidRPr="00474E73">
        <w:rPr>
          <w:szCs w:val="22"/>
          <w:lang w:eastAsia="fr-FR"/>
        </w:rPr>
        <w:t xml:space="preserve">, dans </w:t>
      </w:r>
      <w:r w:rsidRPr="00474E73">
        <w:rPr>
          <w:i/>
          <w:szCs w:val="22"/>
          <w:lang w:eastAsia="fr-FR"/>
        </w:rPr>
        <w:t>Revue belge de philologie et d’histoire</w:t>
      </w:r>
      <w:r w:rsidR="000953DF">
        <w:rPr>
          <w:szCs w:val="22"/>
          <w:lang w:eastAsia="fr-FR"/>
        </w:rPr>
        <w:t>, t. 25, 1946-1947, p. </w:t>
      </w:r>
      <w:r w:rsidRPr="00474E73">
        <w:rPr>
          <w:rFonts w:cs="Calibri"/>
          <w:lang w:eastAsia="fr-FR"/>
        </w:rPr>
        <w:t>573 ;</w:t>
      </w:r>
      <w:r w:rsidR="000953DF">
        <w:rPr>
          <w:rFonts w:cs="Calibri"/>
          <w:lang w:eastAsia="fr-FR"/>
        </w:rPr>
        <w:t xml:space="preserve"> J.</w:t>
      </w:r>
      <w:r w:rsidRPr="00474E73">
        <w:rPr>
          <w:rFonts w:cs="Calibri"/>
          <w:lang w:eastAsia="fr-FR"/>
        </w:rPr>
        <w:t xml:space="preserve"> </w:t>
      </w:r>
      <w:r w:rsidR="000953DF">
        <w:rPr>
          <w:smallCaps/>
        </w:rPr>
        <w:t>Lebeau</w:t>
      </w:r>
      <w:r w:rsidRPr="00474E73">
        <w:t xml:space="preserve">, </w:t>
      </w:r>
      <w:r w:rsidRPr="00474E73">
        <w:rPr>
          <w:i/>
        </w:rPr>
        <w:t>Bavai</w:t>
      </w:r>
      <w:r w:rsidRPr="00474E73">
        <w:t>, Valenciennes, 1845, p. 33-34.</w:t>
      </w:r>
    </w:p>
  </w:footnote>
  <w:footnote w:id="23">
    <w:p w14:paraId="371CB67B" w14:textId="77777777" w:rsidR="00E054CC" w:rsidRDefault="00E054CC" w:rsidP="00E054CC">
      <w:pPr>
        <w:pStyle w:val="Notedebasdepage"/>
        <w:jc w:val="both"/>
      </w:pPr>
      <w:r>
        <w:rPr>
          <w:rStyle w:val="Appelnotedebasdep"/>
        </w:rPr>
        <w:footnoteRef/>
      </w:r>
      <w:r>
        <w:t xml:space="preserve"> Aubert Le Mire (1573-1640), dit </w:t>
      </w:r>
      <w:proofErr w:type="spellStart"/>
      <w:r>
        <w:t>Miraeus</w:t>
      </w:r>
      <w:proofErr w:type="spellEnd"/>
      <w:r>
        <w:t xml:space="preserve">, est un érudit issu d’une influente famille. Chanoine puis doyen du chapitre d’Anvers, il se consacre essentiellement à ses recherches historiques. A. </w:t>
      </w:r>
      <w:r w:rsidRPr="00561ABF">
        <w:rPr>
          <w:smallCaps/>
          <w:lang w:val="fr-FR" w:eastAsia="ar-SA"/>
        </w:rPr>
        <w:t>Wauters</w:t>
      </w:r>
      <w:r w:rsidRPr="00561ABF">
        <w:rPr>
          <w:lang w:val="fr-FR" w:eastAsia="ar-SA"/>
        </w:rPr>
        <w:t xml:space="preserve">, </w:t>
      </w:r>
      <w:proofErr w:type="spellStart"/>
      <w:r w:rsidRPr="00561ABF">
        <w:rPr>
          <w:i/>
          <w:lang w:val="fr-FR" w:eastAsia="ar-SA"/>
        </w:rPr>
        <w:t>Miraeus</w:t>
      </w:r>
      <w:proofErr w:type="spellEnd"/>
      <w:r w:rsidRPr="00561ABF">
        <w:rPr>
          <w:i/>
          <w:lang w:val="fr-FR" w:eastAsia="ar-SA"/>
        </w:rPr>
        <w:t xml:space="preserve"> (Aubert Le Mire dit)</w:t>
      </w:r>
      <w:r w:rsidRPr="00561ABF">
        <w:rPr>
          <w:lang w:val="fr-FR" w:eastAsia="ar-SA"/>
        </w:rPr>
        <w:t xml:space="preserve">, dans </w:t>
      </w:r>
      <w:r w:rsidRPr="00561ABF">
        <w:rPr>
          <w:i/>
          <w:lang w:val="fr-FR" w:eastAsia="ar-SA"/>
        </w:rPr>
        <w:t>Biographie nationale</w:t>
      </w:r>
      <w:r w:rsidRPr="00561ABF">
        <w:rPr>
          <w:lang w:val="fr-FR" w:eastAsia="ar-SA"/>
        </w:rPr>
        <w:t xml:space="preserve">, </w:t>
      </w:r>
      <w:r>
        <w:rPr>
          <w:lang w:val="fr-FR" w:eastAsia="ar-SA"/>
        </w:rPr>
        <w:t>t. </w:t>
      </w:r>
      <w:r w:rsidRPr="00561ABF">
        <w:rPr>
          <w:lang w:val="fr-FR" w:eastAsia="ar-SA"/>
        </w:rPr>
        <w:t>14, Bruxelles, 1897, col</w:t>
      </w:r>
      <w:r>
        <w:rPr>
          <w:lang w:val="fr-FR" w:eastAsia="ar-SA"/>
        </w:rPr>
        <w:t>.</w:t>
      </w:r>
      <w:r w:rsidRPr="00561ABF">
        <w:rPr>
          <w:lang w:val="fr-FR" w:eastAsia="ar-SA"/>
        </w:rPr>
        <w:t xml:space="preserve"> 882-895.</w:t>
      </w:r>
    </w:p>
  </w:footnote>
  <w:footnote w:id="24">
    <w:p w14:paraId="63915E21" w14:textId="77777777" w:rsidR="00E054CC" w:rsidRPr="006F59FD" w:rsidRDefault="00E054CC" w:rsidP="00E054CC">
      <w:pPr>
        <w:pStyle w:val="Notedebasdepage"/>
        <w:jc w:val="both"/>
        <w:rPr>
          <w:lang w:val="fr-FR"/>
        </w:rPr>
      </w:pPr>
      <w:r>
        <w:rPr>
          <w:rStyle w:val="Appelnotedebasdep"/>
        </w:rPr>
        <w:footnoteRef/>
      </w:r>
      <w:r>
        <w:t xml:space="preserve"> Gilles Bouchier ou Boucher (1576-1665), dont le nom a été latinisé en </w:t>
      </w:r>
      <w:proofErr w:type="spellStart"/>
      <w:r>
        <w:t>Aegidius</w:t>
      </w:r>
      <w:proofErr w:type="spellEnd"/>
      <w:r>
        <w:t xml:space="preserve"> </w:t>
      </w:r>
      <w:proofErr w:type="spellStart"/>
      <w:r>
        <w:t>Bucherius</w:t>
      </w:r>
      <w:proofErr w:type="spellEnd"/>
      <w:r>
        <w:t xml:space="preserve">, est un historien et prédicateur jésuite. Il fut notamment recteur des collèges de Béthune et de Liège. A. </w:t>
      </w:r>
      <w:r w:rsidRPr="006D53AF">
        <w:rPr>
          <w:smallCaps/>
          <w:lang w:val="fr-FR"/>
        </w:rPr>
        <w:t>De Bil</w:t>
      </w:r>
      <w:r w:rsidRPr="006D53AF">
        <w:rPr>
          <w:lang w:val="fr-FR"/>
        </w:rPr>
        <w:t xml:space="preserve">, </w:t>
      </w:r>
      <w:r w:rsidRPr="006D53AF">
        <w:rPr>
          <w:i/>
          <w:lang w:val="fr-FR"/>
        </w:rPr>
        <w:t>Bouchier Gilles</w:t>
      </w:r>
      <w:r w:rsidRPr="006D53AF">
        <w:rPr>
          <w:lang w:val="fr-FR"/>
        </w:rPr>
        <w:t xml:space="preserve">, dans </w:t>
      </w:r>
      <w:r w:rsidRPr="006D53AF">
        <w:rPr>
          <w:i/>
          <w:lang w:val="fr-FR"/>
        </w:rPr>
        <w:t>D</w:t>
      </w:r>
      <w:r>
        <w:rPr>
          <w:i/>
          <w:lang w:val="fr-FR"/>
        </w:rPr>
        <w:t>ictionnaire d’histoire et de géographie ecclésiastiques</w:t>
      </w:r>
      <w:r w:rsidRPr="006D53AF">
        <w:rPr>
          <w:i/>
          <w:lang w:val="fr-FR"/>
        </w:rPr>
        <w:t xml:space="preserve">, </w:t>
      </w:r>
      <w:r>
        <w:rPr>
          <w:lang w:val="fr-FR"/>
        </w:rPr>
        <w:t>t. </w:t>
      </w:r>
      <w:r w:rsidRPr="006D53AF">
        <w:rPr>
          <w:lang w:val="fr-FR"/>
        </w:rPr>
        <w:t>9,</w:t>
      </w:r>
      <w:r>
        <w:rPr>
          <w:lang w:val="fr-FR"/>
        </w:rPr>
        <w:t xml:space="preserve"> Paris, </w:t>
      </w:r>
      <w:r w:rsidRPr="006D53AF">
        <w:rPr>
          <w:lang w:val="fr-FR"/>
        </w:rPr>
        <w:t xml:space="preserve">1937, </w:t>
      </w:r>
      <w:r>
        <w:rPr>
          <w:lang w:val="fr-FR"/>
        </w:rPr>
        <w:t>col. </w:t>
      </w:r>
      <w:r w:rsidRPr="006D53AF">
        <w:rPr>
          <w:lang w:val="fr-FR"/>
        </w:rPr>
        <w:t>1470.</w:t>
      </w:r>
    </w:p>
  </w:footnote>
  <w:footnote w:id="25">
    <w:p w14:paraId="714DB459" w14:textId="2B945D2C" w:rsidR="00E054CC" w:rsidRPr="00515800" w:rsidRDefault="00E054CC" w:rsidP="00E054CC">
      <w:pPr>
        <w:pStyle w:val="Notedebasdepage"/>
        <w:jc w:val="both"/>
        <w:rPr>
          <w:rFonts w:eastAsia="Times New Roman"/>
          <w:lang w:eastAsia="ar-SA"/>
        </w:rPr>
      </w:pPr>
      <w:r w:rsidRPr="00344A44">
        <w:rPr>
          <w:rStyle w:val="Appelnotedebasdep"/>
        </w:rPr>
        <w:footnoteRef/>
      </w:r>
      <w:r w:rsidRPr="00344A44">
        <w:t xml:space="preserve"> </w:t>
      </w:r>
      <w:r>
        <w:t xml:space="preserve">G. </w:t>
      </w:r>
      <w:r w:rsidRPr="00344A44">
        <w:rPr>
          <w:rFonts w:eastAsia="Times New Roman"/>
          <w:lang w:eastAsia="ar-SA"/>
        </w:rPr>
        <w:t>B</w:t>
      </w:r>
      <w:r>
        <w:rPr>
          <w:rFonts w:eastAsia="Times New Roman"/>
          <w:smallCaps/>
          <w:lang w:eastAsia="ar-SA"/>
        </w:rPr>
        <w:t>ouchier</w:t>
      </w:r>
      <w:r w:rsidRPr="00344A44">
        <w:rPr>
          <w:rFonts w:eastAsia="Times New Roman"/>
          <w:lang w:eastAsia="ar-SA"/>
        </w:rPr>
        <w:t xml:space="preserve">, </w:t>
      </w:r>
      <w:proofErr w:type="spellStart"/>
      <w:r w:rsidR="00EC1ED8" w:rsidRPr="00344A44">
        <w:rPr>
          <w:rFonts w:eastAsia="Times New Roman"/>
          <w:i/>
          <w:lang w:val="fr-FR" w:eastAsia="ar-SA"/>
        </w:rPr>
        <w:t>Belgium</w:t>
      </w:r>
      <w:proofErr w:type="spellEnd"/>
      <w:r w:rsidR="00EC1ED8" w:rsidRPr="00344A44">
        <w:rPr>
          <w:rFonts w:eastAsia="Times New Roman"/>
          <w:i/>
          <w:lang w:val="fr-FR" w:eastAsia="ar-SA"/>
        </w:rPr>
        <w:t xml:space="preserve"> </w:t>
      </w:r>
      <w:proofErr w:type="spellStart"/>
      <w:r w:rsidR="00EC1ED8" w:rsidRPr="00344A44">
        <w:rPr>
          <w:rFonts w:eastAsia="Times New Roman"/>
          <w:i/>
          <w:lang w:val="fr-FR" w:eastAsia="ar-SA"/>
        </w:rPr>
        <w:t>Romanum</w:t>
      </w:r>
      <w:proofErr w:type="spellEnd"/>
      <w:r w:rsidR="00EC1ED8" w:rsidRPr="00344A44">
        <w:rPr>
          <w:rFonts w:eastAsia="Times New Roman"/>
          <w:i/>
          <w:lang w:val="fr-FR" w:eastAsia="ar-SA"/>
        </w:rPr>
        <w:t xml:space="preserve"> </w:t>
      </w:r>
      <w:proofErr w:type="spellStart"/>
      <w:r w:rsidR="00EC1ED8" w:rsidRPr="00344A44">
        <w:rPr>
          <w:rFonts w:eastAsia="Times New Roman"/>
          <w:i/>
          <w:lang w:val="fr-FR" w:eastAsia="ar-SA"/>
        </w:rPr>
        <w:t>ecclesiasticum</w:t>
      </w:r>
      <w:proofErr w:type="spellEnd"/>
      <w:r w:rsidR="00EC1ED8" w:rsidRPr="00344A44">
        <w:rPr>
          <w:rFonts w:eastAsia="Times New Roman"/>
          <w:i/>
          <w:lang w:val="fr-FR" w:eastAsia="ar-SA"/>
        </w:rPr>
        <w:t xml:space="preserve"> et civile</w:t>
      </w:r>
      <w:r w:rsidR="00EC1ED8" w:rsidRPr="00344A44">
        <w:rPr>
          <w:rFonts w:eastAsia="Times New Roman"/>
          <w:lang w:val="fr-FR" w:eastAsia="ar-SA"/>
        </w:rPr>
        <w:t>, Liège, 1656</w:t>
      </w:r>
      <w:r w:rsidRPr="00344A44">
        <w:rPr>
          <w:rFonts w:eastAsia="Times New Roman"/>
          <w:lang w:eastAsia="ar-SA"/>
        </w:rPr>
        <w:t xml:space="preserve">, p. 253-255 et 502-503 ; </w:t>
      </w:r>
      <w:r>
        <w:rPr>
          <w:rFonts w:eastAsia="Times New Roman"/>
          <w:lang w:eastAsia="ar-SA"/>
        </w:rPr>
        <w:t xml:space="preserve">A. </w:t>
      </w:r>
      <w:r>
        <w:rPr>
          <w:rFonts w:eastAsia="TimesNewRomanPSMT" w:cs="Times New Roman"/>
          <w:smallCaps/>
          <w:szCs w:val="24"/>
        </w:rPr>
        <w:t>Le Mire</w:t>
      </w:r>
      <w:r w:rsidRPr="00344A44">
        <w:rPr>
          <w:rFonts w:eastAsia="TimesNewRomanPSMT" w:cs="Times New Roman"/>
          <w:szCs w:val="24"/>
        </w:rPr>
        <w:t xml:space="preserve">, </w:t>
      </w:r>
      <w:proofErr w:type="spellStart"/>
      <w:r w:rsidRPr="00344A44">
        <w:rPr>
          <w:rFonts w:eastAsia="Times New Roman" w:cs="Times New Roman"/>
          <w:i/>
          <w:szCs w:val="24"/>
        </w:rPr>
        <w:t>Rerum</w:t>
      </w:r>
      <w:proofErr w:type="spellEnd"/>
      <w:r w:rsidRPr="00344A44">
        <w:rPr>
          <w:rFonts w:eastAsia="Times New Roman" w:cs="Times New Roman"/>
          <w:i/>
          <w:szCs w:val="24"/>
        </w:rPr>
        <w:t xml:space="preserve"> </w:t>
      </w:r>
      <w:proofErr w:type="spellStart"/>
      <w:r w:rsidRPr="00344A44">
        <w:rPr>
          <w:rFonts w:eastAsia="Times New Roman" w:cs="Times New Roman"/>
          <w:i/>
          <w:szCs w:val="24"/>
        </w:rPr>
        <w:t>belgicarum</w:t>
      </w:r>
      <w:proofErr w:type="spellEnd"/>
      <w:r w:rsidRPr="00344A44">
        <w:rPr>
          <w:rFonts w:eastAsia="Times New Roman" w:cs="Times New Roman"/>
          <w:i/>
          <w:szCs w:val="24"/>
        </w:rPr>
        <w:t xml:space="preserve"> annales</w:t>
      </w:r>
      <w:r>
        <w:rPr>
          <w:rFonts w:eastAsia="Times New Roman" w:cs="Times New Roman"/>
          <w:i/>
          <w:szCs w:val="24"/>
        </w:rPr>
        <w:t xml:space="preserve">, </w:t>
      </w:r>
      <w:r w:rsidRPr="00344A44">
        <w:rPr>
          <w:rFonts w:eastAsia="Times New Roman" w:cs="Times New Roman"/>
          <w:szCs w:val="24"/>
        </w:rPr>
        <w:t>Bruxelles, s. d. [1624], p. 38-43.</w:t>
      </w:r>
    </w:p>
  </w:footnote>
  <w:footnote w:id="26">
    <w:p w14:paraId="2FA230D7" w14:textId="55C1510A" w:rsidR="00E054CC" w:rsidRDefault="00E054CC" w:rsidP="00E054CC">
      <w:pPr>
        <w:pStyle w:val="Notedebasdepage"/>
        <w:jc w:val="both"/>
      </w:pPr>
      <w:r w:rsidRPr="00344A44">
        <w:rPr>
          <w:rStyle w:val="Appelnotedebasdep"/>
        </w:rPr>
        <w:footnoteRef/>
      </w:r>
      <w:r>
        <w:t xml:space="preserve"> N</w:t>
      </w:r>
      <w:r w:rsidRPr="00344A44">
        <w:t xml:space="preserve">i Bouchier, ni Le Mire ne peuvent être considérés comme des </w:t>
      </w:r>
      <w:r w:rsidR="003C1F84">
        <w:t>antiquaires à proprement parler, car</w:t>
      </w:r>
      <w:r>
        <w:t xml:space="preserve"> ils privilégient une approche chronologique basée sur des sources écrites à une analyse systématique des vestiges matériels</w:t>
      </w:r>
      <w:r w:rsidRPr="00344A44">
        <w:t xml:space="preserve">. Néanmoins, ils ont occasionnellement recours à la méthode mise en œuvre </w:t>
      </w:r>
      <w:r>
        <w:t>par les antiquaires, en particulier l’observation personnelle et la description de monuments anciens qui sont mobilisés en tant que preuves</w:t>
      </w:r>
      <w:r w:rsidRPr="00344A44">
        <w:t>.</w:t>
      </w:r>
      <w:r w:rsidRPr="00E054CC">
        <w:t xml:space="preserve"> </w:t>
      </w:r>
      <w:r w:rsidRPr="008F7F32">
        <w:t xml:space="preserve">Sur </w:t>
      </w:r>
      <w:r w:rsidR="00C54C9E">
        <w:t>cette pratique</w:t>
      </w:r>
      <w:r w:rsidR="00B33A70">
        <w:t xml:space="preserve"> </w:t>
      </w:r>
      <w:r w:rsidRPr="008F7F32">
        <w:rPr>
          <w:smallCaps/>
        </w:rPr>
        <w:t xml:space="preserve">: </w:t>
      </w:r>
      <w:r>
        <w:rPr>
          <w:smallCaps/>
        </w:rPr>
        <w:t xml:space="preserve">P. N. </w:t>
      </w:r>
      <w:r w:rsidRPr="008F7F32">
        <w:rPr>
          <w:smallCaps/>
        </w:rPr>
        <w:t>Miller</w:t>
      </w:r>
      <w:r w:rsidRPr="008F7F32">
        <w:t xml:space="preserve">, </w:t>
      </w:r>
      <w:r w:rsidRPr="008F7F32">
        <w:rPr>
          <w:i/>
          <w:iCs/>
        </w:rPr>
        <w:t xml:space="preserve">A Tentative </w:t>
      </w:r>
      <w:proofErr w:type="spellStart"/>
      <w:r w:rsidRPr="008F7F32">
        <w:rPr>
          <w:i/>
          <w:iCs/>
        </w:rPr>
        <w:t>Morphology</w:t>
      </w:r>
      <w:proofErr w:type="spellEnd"/>
      <w:r w:rsidRPr="008F7F32">
        <w:rPr>
          <w:i/>
          <w:iCs/>
        </w:rPr>
        <w:t xml:space="preserve"> of </w:t>
      </w:r>
      <w:proofErr w:type="spellStart"/>
      <w:r w:rsidRPr="008F7F32">
        <w:rPr>
          <w:i/>
          <w:iCs/>
        </w:rPr>
        <w:t>European</w:t>
      </w:r>
      <w:proofErr w:type="spellEnd"/>
      <w:r w:rsidRPr="008F7F32">
        <w:rPr>
          <w:i/>
          <w:iCs/>
        </w:rPr>
        <w:t xml:space="preserve"> </w:t>
      </w:r>
      <w:proofErr w:type="spellStart"/>
      <w:r w:rsidRPr="008F7F32">
        <w:rPr>
          <w:i/>
          <w:iCs/>
        </w:rPr>
        <w:t>Antiquarianism</w:t>
      </w:r>
      <w:proofErr w:type="spellEnd"/>
      <w:r w:rsidRPr="008F7F32">
        <w:rPr>
          <w:i/>
          <w:iCs/>
        </w:rPr>
        <w:t>, 1500-2000</w:t>
      </w:r>
      <w:r w:rsidRPr="008F7F32">
        <w:t xml:space="preserve">, dans </w:t>
      </w:r>
      <w:r>
        <w:t xml:space="preserve">A. </w:t>
      </w:r>
      <w:proofErr w:type="spellStart"/>
      <w:r w:rsidRPr="008F7F32">
        <w:rPr>
          <w:smallCaps/>
        </w:rPr>
        <w:t>Sch</w:t>
      </w:r>
      <w:r>
        <w:rPr>
          <w:smallCaps/>
        </w:rPr>
        <w:t>napp</w:t>
      </w:r>
      <w:proofErr w:type="spellEnd"/>
      <w:r>
        <w:t xml:space="preserve">, </w:t>
      </w:r>
      <w:proofErr w:type="spellStart"/>
      <w:r>
        <w:t>dir</w:t>
      </w:r>
      <w:proofErr w:type="spellEnd"/>
      <w:r>
        <w:t>.</w:t>
      </w:r>
      <w:r w:rsidRPr="008F7F32">
        <w:t xml:space="preserve">, </w:t>
      </w:r>
      <w:r w:rsidRPr="008F7F32">
        <w:rPr>
          <w:i/>
          <w:iCs/>
        </w:rPr>
        <w:t xml:space="preserve">World </w:t>
      </w:r>
      <w:proofErr w:type="spellStart"/>
      <w:r w:rsidRPr="008F7F32">
        <w:rPr>
          <w:i/>
          <w:iCs/>
        </w:rPr>
        <w:t>Antiquarianism</w:t>
      </w:r>
      <w:proofErr w:type="spellEnd"/>
      <w:r w:rsidRPr="008F7F32">
        <w:rPr>
          <w:i/>
          <w:iCs/>
        </w:rPr>
        <w:t>. Comparative Perspectives</w:t>
      </w:r>
      <w:r w:rsidRPr="008F7F32">
        <w:t xml:space="preserve">, Los Angeles, 2013 (Issues &amp; </w:t>
      </w:r>
      <w:proofErr w:type="spellStart"/>
      <w:r w:rsidRPr="008F7F32">
        <w:t>Debates</w:t>
      </w:r>
      <w:proofErr w:type="spellEnd"/>
      <w:r w:rsidRPr="008F7F32">
        <w:t>), p. 67-73.</w:t>
      </w:r>
    </w:p>
  </w:footnote>
  <w:footnote w:id="27">
    <w:p w14:paraId="580FC822" w14:textId="48B2E8DE" w:rsidR="00FE0914" w:rsidRDefault="00FE0914" w:rsidP="00BB3522">
      <w:pPr>
        <w:pStyle w:val="Notedebasdepage"/>
        <w:jc w:val="both"/>
      </w:pPr>
      <w:r>
        <w:rPr>
          <w:rStyle w:val="Appelnotedebasdep"/>
        </w:rPr>
        <w:footnoteRef/>
      </w:r>
      <w:r>
        <w:t xml:space="preserve"> </w:t>
      </w:r>
      <w:r w:rsidR="003C1F84">
        <w:t xml:space="preserve">Voir </w:t>
      </w:r>
      <w:r w:rsidR="00C54C9E">
        <w:t>notamment</w:t>
      </w:r>
      <w:r w:rsidR="003C1F84">
        <w:t xml:space="preserve"> : </w:t>
      </w:r>
      <w:r w:rsidR="000953DF">
        <w:t xml:space="preserve">K. </w:t>
      </w:r>
      <w:r w:rsidR="000953DF">
        <w:rPr>
          <w:rFonts w:eastAsia="Times New Roman"/>
          <w:smallCaps/>
          <w:lang w:eastAsia="ar-SA"/>
        </w:rPr>
        <w:t xml:space="preserve">Christian </w:t>
      </w:r>
      <w:r w:rsidR="000953DF">
        <w:rPr>
          <w:rFonts w:eastAsia="Times New Roman"/>
          <w:lang w:eastAsia="ar-SA"/>
        </w:rPr>
        <w:t>et B.</w:t>
      </w:r>
      <w:r w:rsidR="003B5AF4" w:rsidRPr="003B5AF4">
        <w:rPr>
          <w:rFonts w:eastAsia="Times New Roman"/>
          <w:smallCaps/>
          <w:lang w:eastAsia="ar-SA"/>
        </w:rPr>
        <w:t xml:space="preserve"> De </w:t>
      </w:r>
      <w:proofErr w:type="spellStart"/>
      <w:r w:rsidR="003B5AF4" w:rsidRPr="003B5AF4">
        <w:rPr>
          <w:rFonts w:eastAsia="Times New Roman"/>
          <w:smallCaps/>
          <w:lang w:eastAsia="ar-SA"/>
        </w:rPr>
        <w:t>Divitiis</w:t>
      </w:r>
      <w:proofErr w:type="spellEnd"/>
      <w:r w:rsidR="003B5AF4" w:rsidRPr="003B5AF4">
        <w:rPr>
          <w:rFonts w:eastAsia="Times New Roman"/>
          <w:lang w:eastAsia="ar-SA"/>
        </w:rPr>
        <w:t xml:space="preserve">, </w:t>
      </w:r>
      <w:proofErr w:type="spellStart"/>
      <w:r w:rsidR="003B5AF4" w:rsidRPr="003B5AF4">
        <w:rPr>
          <w:rFonts w:eastAsia="Times New Roman"/>
          <w:lang w:eastAsia="ar-SA"/>
        </w:rPr>
        <w:t>dir</w:t>
      </w:r>
      <w:proofErr w:type="spellEnd"/>
      <w:r w:rsidR="003B5AF4" w:rsidRPr="003B5AF4">
        <w:rPr>
          <w:rFonts w:eastAsia="Times New Roman"/>
          <w:lang w:eastAsia="ar-SA"/>
        </w:rPr>
        <w:t xml:space="preserve">., </w:t>
      </w:r>
      <w:r w:rsidR="003B5AF4" w:rsidRPr="003B5AF4">
        <w:rPr>
          <w:rFonts w:eastAsia="Times New Roman"/>
          <w:i/>
          <w:lang w:eastAsia="ar-SA"/>
        </w:rPr>
        <w:t xml:space="preserve">Local </w:t>
      </w:r>
      <w:proofErr w:type="spellStart"/>
      <w:r w:rsidR="003B5AF4" w:rsidRPr="003B5AF4">
        <w:rPr>
          <w:rFonts w:eastAsia="Times New Roman"/>
          <w:i/>
          <w:lang w:eastAsia="ar-SA"/>
        </w:rPr>
        <w:t>Antiquities</w:t>
      </w:r>
      <w:proofErr w:type="spellEnd"/>
      <w:r w:rsidR="003B5AF4" w:rsidRPr="003B5AF4">
        <w:rPr>
          <w:rFonts w:eastAsia="Times New Roman"/>
          <w:i/>
          <w:lang w:eastAsia="ar-SA"/>
        </w:rPr>
        <w:t xml:space="preserve">, Local </w:t>
      </w:r>
      <w:proofErr w:type="spellStart"/>
      <w:r w:rsidR="003B5AF4" w:rsidRPr="003B5AF4">
        <w:rPr>
          <w:rFonts w:eastAsia="Times New Roman"/>
          <w:i/>
          <w:lang w:eastAsia="ar-SA"/>
        </w:rPr>
        <w:t>Identities</w:t>
      </w:r>
      <w:proofErr w:type="spellEnd"/>
      <w:r w:rsidR="003B5AF4" w:rsidRPr="003B5AF4">
        <w:rPr>
          <w:rFonts w:eastAsia="Times New Roman"/>
          <w:i/>
          <w:lang w:eastAsia="ar-SA"/>
        </w:rPr>
        <w:t xml:space="preserve">. </w:t>
      </w:r>
      <w:r w:rsidR="003B5AF4" w:rsidRPr="00E64BE9">
        <w:rPr>
          <w:rFonts w:eastAsia="Times New Roman"/>
          <w:i/>
          <w:lang w:val="fr-FR" w:eastAsia="ar-SA"/>
        </w:rPr>
        <w:t xml:space="preserve">Art, </w:t>
      </w:r>
      <w:proofErr w:type="spellStart"/>
      <w:r w:rsidR="003B5AF4" w:rsidRPr="00E64BE9">
        <w:rPr>
          <w:rFonts w:eastAsia="Times New Roman"/>
          <w:i/>
          <w:lang w:val="fr-FR" w:eastAsia="ar-SA"/>
        </w:rPr>
        <w:t>Literature</w:t>
      </w:r>
      <w:proofErr w:type="spellEnd"/>
      <w:r w:rsidR="003B5AF4" w:rsidRPr="00E64BE9">
        <w:rPr>
          <w:rFonts w:eastAsia="Times New Roman"/>
          <w:i/>
          <w:lang w:val="fr-FR" w:eastAsia="ar-SA"/>
        </w:rPr>
        <w:t xml:space="preserve"> and </w:t>
      </w:r>
      <w:proofErr w:type="spellStart"/>
      <w:r w:rsidR="003B5AF4" w:rsidRPr="00E64BE9">
        <w:rPr>
          <w:rFonts w:eastAsia="Times New Roman"/>
          <w:i/>
          <w:lang w:val="fr-FR" w:eastAsia="ar-SA"/>
        </w:rPr>
        <w:t>Antiquarianism</w:t>
      </w:r>
      <w:proofErr w:type="spellEnd"/>
      <w:r w:rsidR="003B5AF4" w:rsidRPr="00E64BE9">
        <w:rPr>
          <w:rFonts w:eastAsia="Times New Roman"/>
          <w:i/>
          <w:lang w:val="fr-FR" w:eastAsia="ar-SA"/>
        </w:rPr>
        <w:t xml:space="preserve"> in Europe, c. 1400-1700</w:t>
      </w:r>
      <w:r w:rsidR="003C1F84">
        <w:rPr>
          <w:rFonts w:eastAsia="Times New Roman"/>
          <w:lang w:val="fr-FR" w:eastAsia="ar-SA"/>
        </w:rPr>
        <w:t>, Manchester, 2019</w:t>
      </w:r>
      <w:r w:rsidR="003B5AF4">
        <w:t>.</w:t>
      </w:r>
    </w:p>
  </w:footnote>
  <w:footnote w:id="28">
    <w:p w14:paraId="4D99B788" w14:textId="4B52F374" w:rsidR="004217F4" w:rsidRPr="00344A44" w:rsidRDefault="004217F4" w:rsidP="004217F4">
      <w:pPr>
        <w:pStyle w:val="Notedebasdepage"/>
        <w:jc w:val="both"/>
        <w:rPr>
          <w:rFonts w:eastAsia="Times New Roman"/>
          <w:color w:val="FF0000"/>
          <w:lang w:val="fr-FR" w:eastAsia="ar-SA"/>
        </w:rPr>
      </w:pPr>
      <w:r w:rsidRPr="00344A44">
        <w:rPr>
          <w:rStyle w:val="Appelnotedebasdep"/>
        </w:rPr>
        <w:footnoteRef/>
      </w:r>
      <w:r w:rsidRPr="00344A44">
        <w:t xml:space="preserve"> </w:t>
      </w:r>
      <w:r w:rsidR="00E16233">
        <w:t xml:space="preserve">Comme </w:t>
      </w:r>
      <w:r w:rsidRPr="00344A44">
        <w:t>Gilles Bouchier</w:t>
      </w:r>
      <w:r>
        <w:t xml:space="preserve"> ne manque</w:t>
      </w:r>
      <w:r w:rsidRPr="00344A44">
        <w:t xml:space="preserve"> pas de le faire, </w:t>
      </w:r>
      <w:r w:rsidR="00E16233">
        <w:t>lorsqu’il</w:t>
      </w:r>
      <w:r w:rsidRPr="00344A44">
        <w:t xml:space="preserve"> suppos</w:t>
      </w:r>
      <w:r w:rsidR="00E16233">
        <w:t>e</w:t>
      </w:r>
      <w:r w:rsidRPr="00344A44">
        <w:t xml:space="preserve"> que Bavay (ou Cambrai) a</w:t>
      </w:r>
      <w:r w:rsidR="00E16233">
        <w:t xml:space="preserve"> </w:t>
      </w:r>
      <w:r w:rsidRPr="00344A44">
        <w:t xml:space="preserve">pu accueillir le siège d’un diocèse des Nerviens primitif. </w:t>
      </w:r>
      <w:r>
        <w:t xml:space="preserve">G. </w:t>
      </w:r>
      <w:r w:rsidRPr="00344A44">
        <w:rPr>
          <w:rFonts w:eastAsia="Times New Roman"/>
          <w:lang w:eastAsia="ar-SA"/>
        </w:rPr>
        <w:t>B</w:t>
      </w:r>
      <w:r>
        <w:rPr>
          <w:rFonts w:eastAsia="Times New Roman"/>
          <w:smallCaps/>
          <w:lang w:eastAsia="ar-SA"/>
        </w:rPr>
        <w:t>ouchier</w:t>
      </w:r>
      <w:r w:rsidR="00EC1ED8">
        <w:rPr>
          <w:rFonts w:eastAsia="Times New Roman"/>
          <w:smallCaps/>
          <w:lang w:eastAsia="ar-SA"/>
        </w:rPr>
        <w:t xml:space="preserve">, </w:t>
      </w:r>
      <w:r w:rsidR="00EC1ED8" w:rsidRPr="00EC1ED8">
        <w:rPr>
          <w:rFonts w:eastAsia="Times New Roman"/>
          <w:i/>
          <w:iCs/>
          <w:lang w:eastAsia="ar-SA"/>
        </w:rPr>
        <w:t xml:space="preserve">op. </w:t>
      </w:r>
      <w:proofErr w:type="spellStart"/>
      <w:r w:rsidR="00EC1ED8" w:rsidRPr="00EC1ED8">
        <w:rPr>
          <w:rFonts w:eastAsia="Times New Roman"/>
          <w:i/>
          <w:iCs/>
          <w:lang w:eastAsia="ar-SA"/>
        </w:rPr>
        <w:t>cit</w:t>
      </w:r>
      <w:proofErr w:type="spellEnd"/>
      <w:r w:rsidR="00EC1ED8">
        <w:rPr>
          <w:rFonts w:eastAsia="Times New Roman"/>
          <w:smallCaps/>
          <w:lang w:eastAsia="ar-SA"/>
        </w:rPr>
        <w:t>.</w:t>
      </w:r>
      <w:r w:rsidRPr="00344A44">
        <w:rPr>
          <w:rFonts w:eastAsia="Times New Roman"/>
          <w:lang w:val="fr-FR" w:eastAsia="ar-SA"/>
        </w:rPr>
        <w:t xml:space="preserve">, </w:t>
      </w:r>
      <w:r w:rsidRPr="00344A44">
        <w:rPr>
          <w:rFonts w:eastAsia="Times New Roman"/>
          <w:lang w:eastAsia="ar-SA"/>
        </w:rPr>
        <w:t>p. 253-255.</w:t>
      </w:r>
    </w:p>
  </w:footnote>
  <w:footnote w:id="29">
    <w:p w14:paraId="1EBC0E06" w14:textId="2BD85D66" w:rsidR="00FE0914" w:rsidRPr="00EC0B31" w:rsidRDefault="00FE0914" w:rsidP="00BB3522">
      <w:pPr>
        <w:pStyle w:val="Notedebasdepage"/>
        <w:jc w:val="both"/>
      </w:pPr>
      <w:r w:rsidRPr="00EC0B31">
        <w:rPr>
          <w:rStyle w:val="Appelnotedebasdep"/>
        </w:rPr>
        <w:footnoteRef/>
      </w:r>
      <w:r w:rsidRPr="00EC0B31">
        <w:t xml:space="preserve"> </w:t>
      </w:r>
      <w:r w:rsidR="00C17686" w:rsidRPr="00C17686">
        <w:t>« </w:t>
      </w:r>
      <w:proofErr w:type="spellStart"/>
      <w:r w:rsidR="00C17686" w:rsidRPr="00C17686">
        <w:rPr>
          <w:i/>
          <w:iCs/>
        </w:rPr>
        <w:t>Cesar</w:t>
      </w:r>
      <w:proofErr w:type="spellEnd"/>
      <w:r w:rsidR="00C17686" w:rsidRPr="00C17686">
        <w:rPr>
          <w:i/>
          <w:iCs/>
        </w:rPr>
        <w:t xml:space="preserve"> pour signe de la victoire obtenue contre ceux de Tournay</w:t>
      </w:r>
      <w:r w:rsidR="00C17686" w:rsidRPr="00C17686">
        <w:t xml:space="preserve"> [aurait] </w:t>
      </w:r>
      <w:proofErr w:type="spellStart"/>
      <w:r w:rsidR="00C17686" w:rsidRPr="00C17686">
        <w:rPr>
          <w:i/>
          <w:iCs/>
        </w:rPr>
        <w:t>faict</w:t>
      </w:r>
      <w:proofErr w:type="spellEnd"/>
      <w:r w:rsidR="00C17686" w:rsidRPr="00C17686">
        <w:rPr>
          <w:i/>
          <w:iCs/>
        </w:rPr>
        <w:t xml:space="preserve"> planter en terre entre les villages de </w:t>
      </w:r>
      <w:proofErr w:type="spellStart"/>
      <w:r w:rsidR="00C17686" w:rsidRPr="00C17686">
        <w:rPr>
          <w:i/>
          <w:iCs/>
        </w:rPr>
        <w:t>Hollain</w:t>
      </w:r>
      <w:proofErr w:type="spellEnd"/>
      <w:r w:rsidR="00C17686" w:rsidRPr="00C17686">
        <w:rPr>
          <w:i/>
          <w:iCs/>
        </w:rPr>
        <w:t xml:space="preserve"> &amp; </w:t>
      </w:r>
      <w:proofErr w:type="spellStart"/>
      <w:r w:rsidR="00C17686" w:rsidRPr="00C17686">
        <w:rPr>
          <w:i/>
          <w:iCs/>
        </w:rPr>
        <w:t>Espain</w:t>
      </w:r>
      <w:proofErr w:type="spellEnd"/>
      <w:r w:rsidR="00C17686" w:rsidRPr="00C17686">
        <w:rPr>
          <w:i/>
          <w:iCs/>
        </w:rPr>
        <w:t xml:space="preserve">, </w:t>
      </w:r>
      <w:proofErr w:type="spellStart"/>
      <w:r w:rsidR="00C17686" w:rsidRPr="00C17686">
        <w:rPr>
          <w:i/>
          <w:iCs/>
        </w:rPr>
        <w:t>ou</w:t>
      </w:r>
      <w:proofErr w:type="spellEnd"/>
      <w:r w:rsidR="00C17686" w:rsidRPr="00C17686">
        <w:rPr>
          <w:i/>
          <w:iCs/>
        </w:rPr>
        <w:t xml:space="preserve"> il </w:t>
      </w:r>
      <w:proofErr w:type="spellStart"/>
      <w:r w:rsidR="00C17686" w:rsidRPr="00C17686">
        <w:rPr>
          <w:i/>
          <w:iCs/>
        </w:rPr>
        <w:t>auroit</w:t>
      </w:r>
      <w:proofErr w:type="spellEnd"/>
      <w:r w:rsidR="00C17686" w:rsidRPr="00C17686">
        <w:rPr>
          <w:i/>
          <w:iCs/>
        </w:rPr>
        <w:t xml:space="preserve"> tenu son camp, une pierre de quelques douze pieds de large, &amp; de quinze de haut, qu’on a depuis appelle la pierre de Brunehault</w:t>
      </w:r>
      <w:r w:rsidR="00C17686" w:rsidRPr="00C17686">
        <w:t xml:space="preserve"> ». </w:t>
      </w:r>
      <w:r w:rsidR="000953DF">
        <w:t xml:space="preserve">J. </w:t>
      </w:r>
      <w:r w:rsidRPr="00777DA3">
        <w:rPr>
          <w:rFonts w:eastAsia="NotDefSpecial"/>
          <w:lang w:val="fr-FR" w:eastAsia="fr-FR"/>
        </w:rPr>
        <w:t>C</w:t>
      </w:r>
      <w:r w:rsidR="000953DF">
        <w:rPr>
          <w:rFonts w:eastAsia="NotDefSpecial"/>
          <w:smallCaps/>
          <w:lang w:val="fr-FR" w:eastAsia="fr-FR"/>
        </w:rPr>
        <w:t>ousin</w:t>
      </w:r>
      <w:r w:rsidRPr="00777DA3">
        <w:rPr>
          <w:rFonts w:eastAsia="NotDefSpecial"/>
          <w:lang w:val="fr-FR" w:eastAsia="fr-FR"/>
        </w:rPr>
        <w:t xml:space="preserve">, </w:t>
      </w:r>
      <w:r w:rsidRPr="00777DA3">
        <w:rPr>
          <w:rFonts w:eastAsia="NotDefSpecial"/>
          <w:i/>
          <w:lang w:val="fr-FR" w:eastAsia="fr-FR"/>
        </w:rPr>
        <w:t xml:space="preserve">Histoire de Tournay </w:t>
      </w:r>
      <w:r w:rsidR="00C3217F">
        <w:rPr>
          <w:rFonts w:eastAsia="NotDefSpecial"/>
          <w:i/>
          <w:lang w:val="fr-FR" w:eastAsia="fr-FR"/>
        </w:rPr>
        <w:t xml:space="preserve">ou </w:t>
      </w:r>
      <w:r w:rsidRPr="00777DA3">
        <w:rPr>
          <w:rFonts w:eastAsia="NotDefSpecial"/>
          <w:i/>
          <w:lang w:val="fr-FR" w:eastAsia="fr-FR"/>
        </w:rPr>
        <w:t>quatre livres des chroniques, annales ou démonstrations du christianisme de l'</w:t>
      </w:r>
      <w:proofErr w:type="spellStart"/>
      <w:r w:rsidRPr="00777DA3">
        <w:rPr>
          <w:rFonts w:eastAsia="NotDefSpecial"/>
          <w:i/>
          <w:lang w:val="fr-FR" w:eastAsia="fr-FR"/>
        </w:rPr>
        <w:t>evesché</w:t>
      </w:r>
      <w:proofErr w:type="spellEnd"/>
      <w:r w:rsidRPr="00777DA3">
        <w:rPr>
          <w:rFonts w:eastAsia="NotDefSpecial"/>
          <w:i/>
          <w:lang w:val="fr-FR" w:eastAsia="fr-FR"/>
        </w:rPr>
        <w:t xml:space="preserve"> de Tournay</w:t>
      </w:r>
      <w:r w:rsidRPr="00777DA3">
        <w:rPr>
          <w:rFonts w:eastAsia="NotDefSpecial"/>
          <w:lang w:val="fr-FR" w:eastAsia="fr-FR"/>
        </w:rPr>
        <w:t xml:space="preserve">, </w:t>
      </w:r>
      <w:r>
        <w:rPr>
          <w:rFonts w:eastAsia="NotDefSpecial"/>
          <w:lang w:val="fr-FR" w:eastAsia="fr-FR"/>
        </w:rPr>
        <w:t>t. </w:t>
      </w:r>
      <w:r w:rsidRPr="00777DA3">
        <w:rPr>
          <w:rFonts w:eastAsia="NotDefSpecial"/>
          <w:lang w:val="fr-FR" w:eastAsia="fr-FR"/>
        </w:rPr>
        <w:t xml:space="preserve">1, Douai, </w:t>
      </w:r>
      <w:r w:rsidRPr="00474E73">
        <w:rPr>
          <w:rFonts w:eastAsia="NotDefSpecial"/>
          <w:lang w:val="fr-FR" w:eastAsia="fr-FR"/>
        </w:rPr>
        <w:t>1619,</w:t>
      </w:r>
      <w:r w:rsidRPr="00474E73">
        <w:rPr>
          <w:rFonts w:eastAsia="NotDefSpecial"/>
          <w:lang w:eastAsia="fr-FR"/>
        </w:rPr>
        <w:t xml:space="preserve"> p. 54.</w:t>
      </w:r>
    </w:p>
  </w:footnote>
  <w:footnote w:id="30">
    <w:p w14:paraId="2F72CF20" w14:textId="3DEF62CD" w:rsidR="00FE0914" w:rsidRPr="002676A3" w:rsidRDefault="00FE0914" w:rsidP="00BB3522">
      <w:pPr>
        <w:spacing w:line="240" w:lineRule="auto"/>
        <w:jc w:val="both"/>
        <w:rPr>
          <w:sz w:val="20"/>
          <w:szCs w:val="20"/>
        </w:rPr>
      </w:pPr>
      <w:r w:rsidRPr="00F378C2">
        <w:rPr>
          <w:rStyle w:val="Appelnotedebasdep"/>
          <w:sz w:val="20"/>
          <w:szCs w:val="20"/>
        </w:rPr>
        <w:footnoteRef/>
      </w:r>
      <w:r w:rsidRPr="00F378C2">
        <w:rPr>
          <w:sz w:val="20"/>
          <w:szCs w:val="20"/>
        </w:rPr>
        <w:t xml:space="preserve"> </w:t>
      </w:r>
      <w:r>
        <w:rPr>
          <w:sz w:val="20"/>
          <w:szCs w:val="20"/>
        </w:rPr>
        <w:t>Cousin ajoute, à la présence de la pierre, l’existence de supposés vestiges de camps romains à proximité de Tournai et d’</w:t>
      </w:r>
      <w:proofErr w:type="spellStart"/>
      <w:r>
        <w:rPr>
          <w:sz w:val="20"/>
          <w:szCs w:val="20"/>
        </w:rPr>
        <w:t>Hollain</w:t>
      </w:r>
      <w:proofErr w:type="spellEnd"/>
      <w:r>
        <w:rPr>
          <w:sz w:val="20"/>
          <w:szCs w:val="20"/>
        </w:rPr>
        <w:t xml:space="preserve">. André Catulle reprendra son affirmation. </w:t>
      </w:r>
      <w:r w:rsidR="000953DF">
        <w:rPr>
          <w:sz w:val="20"/>
          <w:szCs w:val="20"/>
        </w:rPr>
        <w:t xml:space="preserve">J. </w:t>
      </w:r>
      <w:r w:rsidRPr="00F378C2">
        <w:rPr>
          <w:rFonts w:eastAsia="NotDefSpecial"/>
          <w:sz w:val="20"/>
          <w:szCs w:val="20"/>
          <w:lang w:eastAsia="fr-FR"/>
        </w:rPr>
        <w:t>C</w:t>
      </w:r>
      <w:r w:rsidR="000953DF">
        <w:rPr>
          <w:rFonts w:eastAsia="NotDefSpecial"/>
          <w:smallCaps/>
          <w:sz w:val="20"/>
          <w:szCs w:val="20"/>
          <w:lang w:eastAsia="fr-FR"/>
        </w:rPr>
        <w:t>ousin</w:t>
      </w:r>
      <w:r w:rsidRPr="00F378C2">
        <w:rPr>
          <w:rFonts w:eastAsia="NotDefSpecial"/>
          <w:sz w:val="20"/>
          <w:szCs w:val="20"/>
          <w:lang w:eastAsia="fr-FR"/>
        </w:rPr>
        <w:t xml:space="preserve">, </w:t>
      </w:r>
      <w:r w:rsidR="000953DF">
        <w:rPr>
          <w:rFonts w:eastAsia="NotDefSpecial"/>
          <w:i/>
          <w:sz w:val="20"/>
          <w:szCs w:val="20"/>
          <w:lang w:eastAsia="fr-FR"/>
        </w:rPr>
        <w:t xml:space="preserve">op. </w:t>
      </w:r>
      <w:proofErr w:type="spellStart"/>
      <w:r w:rsidR="000953DF">
        <w:rPr>
          <w:rFonts w:eastAsia="NotDefSpecial"/>
          <w:i/>
          <w:sz w:val="20"/>
          <w:szCs w:val="20"/>
          <w:lang w:eastAsia="fr-FR"/>
        </w:rPr>
        <w:t>cit</w:t>
      </w:r>
      <w:proofErr w:type="spellEnd"/>
      <w:r w:rsidR="000953DF">
        <w:rPr>
          <w:rFonts w:eastAsia="NotDefSpecial"/>
          <w:i/>
          <w:sz w:val="20"/>
          <w:szCs w:val="20"/>
          <w:lang w:eastAsia="fr-FR"/>
        </w:rPr>
        <w:t>.</w:t>
      </w:r>
      <w:r w:rsidRPr="00F378C2">
        <w:rPr>
          <w:rFonts w:eastAsia="NotDefSpecial"/>
          <w:sz w:val="20"/>
          <w:szCs w:val="20"/>
          <w:lang w:eastAsia="fr-FR"/>
        </w:rPr>
        <w:t>, p. 54</w:t>
      </w:r>
      <w:r>
        <w:rPr>
          <w:rFonts w:eastAsia="NotDefSpecial"/>
          <w:sz w:val="20"/>
          <w:szCs w:val="20"/>
          <w:lang w:eastAsia="fr-FR"/>
        </w:rPr>
        <w:t> ;</w:t>
      </w:r>
      <w:r w:rsidR="000953DF">
        <w:rPr>
          <w:rFonts w:eastAsia="NotDefSpecial"/>
          <w:sz w:val="20"/>
          <w:szCs w:val="20"/>
          <w:lang w:eastAsia="fr-FR"/>
        </w:rPr>
        <w:t xml:space="preserve"> A.</w:t>
      </w:r>
      <w:r>
        <w:rPr>
          <w:rFonts w:eastAsia="NotDefSpecial"/>
          <w:sz w:val="20"/>
          <w:szCs w:val="20"/>
          <w:lang w:eastAsia="fr-FR"/>
        </w:rPr>
        <w:t xml:space="preserve"> </w:t>
      </w:r>
      <w:proofErr w:type="spellStart"/>
      <w:r w:rsidR="000953DF">
        <w:rPr>
          <w:rFonts w:eastAsia="NotDefSpecial"/>
          <w:smallCaps/>
          <w:sz w:val="20"/>
          <w:szCs w:val="20"/>
          <w:lang w:eastAsia="fr-FR"/>
        </w:rPr>
        <w:t>Catullus</w:t>
      </w:r>
      <w:proofErr w:type="spellEnd"/>
      <w:r w:rsidRPr="00FC6092">
        <w:rPr>
          <w:rFonts w:eastAsia="NotDefSpecial"/>
          <w:sz w:val="20"/>
          <w:szCs w:val="20"/>
          <w:lang w:eastAsia="fr-FR"/>
        </w:rPr>
        <w:t xml:space="preserve">, </w:t>
      </w:r>
      <w:proofErr w:type="spellStart"/>
      <w:r w:rsidRPr="00FC6092">
        <w:rPr>
          <w:rFonts w:eastAsia="NotDefSpecial"/>
          <w:i/>
          <w:sz w:val="20"/>
          <w:szCs w:val="20"/>
          <w:lang w:eastAsia="fr-FR"/>
        </w:rPr>
        <w:t>Tornacum</w:t>
      </w:r>
      <w:proofErr w:type="spellEnd"/>
      <w:r w:rsidRPr="00FC6092">
        <w:rPr>
          <w:rFonts w:eastAsia="NotDefSpecial"/>
          <w:i/>
          <w:sz w:val="20"/>
          <w:szCs w:val="20"/>
          <w:lang w:eastAsia="fr-FR"/>
        </w:rPr>
        <w:t xml:space="preserve"> </w:t>
      </w:r>
      <w:proofErr w:type="spellStart"/>
      <w:r w:rsidRPr="00FC6092">
        <w:rPr>
          <w:rFonts w:eastAsia="NotDefSpecial"/>
          <w:i/>
          <w:sz w:val="20"/>
          <w:szCs w:val="20"/>
          <w:lang w:eastAsia="fr-FR"/>
        </w:rPr>
        <w:t>Nerviorum</w:t>
      </w:r>
      <w:proofErr w:type="spellEnd"/>
      <w:r w:rsidRPr="00FC6092">
        <w:rPr>
          <w:rFonts w:eastAsia="NotDefSpecial"/>
          <w:sz w:val="20"/>
          <w:szCs w:val="20"/>
          <w:lang w:eastAsia="fr-FR"/>
        </w:rPr>
        <w:t>, Bruxelles, 1652</w:t>
      </w:r>
      <w:r>
        <w:rPr>
          <w:rFonts w:eastAsia="NotDefSpecial"/>
          <w:sz w:val="20"/>
          <w:szCs w:val="20"/>
          <w:lang w:eastAsia="fr-FR"/>
        </w:rPr>
        <w:t>,</w:t>
      </w:r>
      <w:r w:rsidRPr="00F378C2">
        <w:rPr>
          <w:rFonts w:eastAsia="Times New Roman"/>
          <w:sz w:val="20"/>
          <w:szCs w:val="20"/>
          <w:lang w:eastAsia="ar-SA"/>
        </w:rPr>
        <w:t xml:space="preserve"> p. XXXVII-XXXVIII.</w:t>
      </w:r>
    </w:p>
  </w:footnote>
  <w:footnote w:id="31">
    <w:p w14:paraId="6280DB62" w14:textId="4C9281A4" w:rsidR="00FE0914" w:rsidRPr="00C17686" w:rsidRDefault="00FE0914" w:rsidP="00BB3522">
      <w:pPr>
        <w:spacing w:line="240" w:lineRule="auto"/>
        <w:jc w:val="both"/>
        <w:rPr>
          <w:sz w:val="20"/>
          <w:szCs w:val="20"/>
          <w:lang w:val="nl-BE"/>
        </w:rPr>
      </w:pPr>
      <w:r w:rsidRPr="00EC0B31">
        <w:rPr>
          <w:rStyle w:val="Appelnotedebasdep"/>
          <w:sz w:val="20"/>
          <w:szCs w:val="20"/>
        </w:rPr>
        <w:footnoteRef/>
      </w:r>
      <w:r w:rsidRPr="00C17686">
        <w:rPr>
          <w:sz w:val="20"/>
          <w:szCs w:val="20"/>
          <w:lang w:val="nl-BE"/>
        </w:rPr>
        <w:t xml:space="preserve"> </w:t>
      </w:r>
      <w:r w:rsidR="000953DF" w:rsidRPr="00C17686">
        <w:rPr>
          <w:sz w:val="20"/>
          <w:szCs w:val="20"/>
          <w:lang w:val="nl-BE"/>
        </w:rPr>
        <w:t xml:space="preserve">J. </w:t>
      </w:r>
      <w:proofErr w:type="spellStart"/>
      <w:r w:rsidRPr="00C17686">
        <w:rPr>
          <w:rFonts w:eastAsia="NotDefSpecial"/>
          <w:sz w:val="20"/>
          <w:szCs w:val="20"/>
          <w:lang w:val="nl-BE" w:eastAsia="fr-FR"/>
        </w:rPr>
        <w:t>C</w:t>
      </w:r>
      <w:r w:rsidR="000953DF" w:rsidRPr="00C17686">
        <w:rPr>
          <w:rFonts w:eastAsia="NotDefSpecial"/>
          <w:smallCaps/>
          <w:sz w:val="20"/>
          <w:szCs w:val="20"/>
          <w:lang w:val="nl-BE" w:eastAsia="fr-FR"/>
        </w:rPr>
        <w:t>ousin</w:t>
      </w:r>
      <w:proofErr w:type="spellEnd"/>
      <w:r w:rsidRPr="00C17686">
        <w:rPr>
          <w:rFonts w:eastAsia="NotDefSpecial"/>
          <w:sz w:val="20"/>
          <w:szCs w:val="20"/>
          <w:lang w:val="nl-BE" w:eastAsia="fr-FR"/>
        </w:rPr>
        <w:t>,</w:t>
      </w:r>
      <w:r w:rsidR="000953DF" w:rsidRPr="00C17686">
        <w:rPr>
          <w:rFonts w:eastAsia="NotDefSpecial"/>
          <w:i/>
          <w:sz w:val="20"/>
          <w:szCs w:val="20"/>
          <w:lang w:val="nl-BE" w:eastAsia="fr-FR"/>
        </w:rPr>
        <w:t xml:space="preserve"> op</w:t>
      </w:r>
      <w:r w:rsidRPr="00C17686">
        <w:rPr>
          <w:rFonts w:eastAsia="NotDefSpecial"/>
          <w:i/>
          <w:sz w:val="20"/>
          <w:szCs w:val="20"/>
          <w:lang w:val="nl-BE" w:eastAsia="fr-FR"/>
        </w:rPr>
        <w:t>.</w:t>
      </w:r>
      <w:r w:rsidR="000953DF" w:rsidRPr="00C17686">
        <w:rPr>
          <w:rFonts w:eastAsia="NotDefSpecial"/>
          <w:i/>
          <w:sz w:val="20"/>
          <w:szCs w:val="20"/>
          <w:lang w:val="nl-BE" w:eastAsia="fr-FR"/>
        </w:rPr>
        <w:t xml:space="preserve"> </w:t>
      </w:r>
      <w:proofErr w:type="spellStart"/>
      <w:r w:rsidR="000953DF" w:rsidRPr="00C17686">
        <w:rPr>
          <w:rFonts w:eastAsia="NotDefSpecial"/>
          <w:i/>
          <w:sz w:val="20"/>
          <w:szCs w:val="20"/>
          <w:lang w:val="nl-BE" w:eastAsia="fr-FR"/>
        </w:rPr>
        <w:t>cit</w:t>
      </w:r>
      <w:proofErr w:type="spellEnd"/>
      <w:r w:rsidR="000953DF" w:rsidRPr="00C17686">
        <w:rPr>
          <w:rFonts w:eastAsia="NotDefSpecial"/>
          <w:i/>
          <w:sz w:val="20"/>
          <w:szCs w:val="20"/>
          <w:lang w:val="nl-BE" w:eastAsia="fr-FR"/>
        </w:rPr>
        <w:t>.</w:t>
      </w:r>
      <w:r w:rsidRPr="00C17686">
        <w:rPr>
          <w:rFonts w:eastAsia="NotDefSpecial"/>
          <w:sz w:val="20"/>
          <w:szCs w:val="20"/>
          <w:lang w:val="nl-BE" w:eastAsia="fr-FR"/>
        </w:rPr>
        <w:t>, p. 54.</w:t>
      </w:r>
    </w:p>
  </w:footnote>
  <w:footnote w:id="32">
    <w:p w14:paraId="6E1321B5" w14:textId="42E6D7A0" w:rsidR="00C17686" w:rsidRPr="00923660" w:rsidRDefault="00C17686" w:rsidP="00C17686">
      <w:pPr>
        <w:pStyle w:val="NormalWeb"/>
        <w:spacing w:before="0" w:after="0"/>
        <w:jc w:val="both"/>
        <w:rPr>
          <w:sz w:val="20"/>
          <w:szCs w:val="20"/>
          <w:lang w:val="fr-FR"/>
        </w:rPr>
      </w:pPr>
      <w:r w:rsidRPr="00EC0B31">
        <w:rPr>
          <w:rStyle w:val="Appelnotedebasdep"/>
          <w:rFonts w:ascii="Garamond" w:hAnsi="Garamond"/>
          <w:sz w:val="20"/>
          <w:szCs w:val="20"/>
        </w:rPr>
        <w:footnoteRef/>
      </w:r>
      <w:r w:rsidRPr="00EC0B31">
        <w:rPr>
          <w:rFonts w:ascii="Garamond" w:hAnsi="Garamond"/>
          <w:sz w:val="20"/>
          <w:szCs w:val="20"/>
          <w:lang w:val="fr-FR"/>
        </w:rPr>
        <w:t xml:space="preserve"> André Catulle (1586-1667) est un chanoine tournaisien. Après avoir étudié au sein du collège</w:t>
      </w:r>
      <w:r w:rsidRPr="00EC0B31">
        <w:rPr>
          <w:rFonts w:ascii="Garamond" w:hAnsi="Garamond"/>
          <w:sz w:val="20"/>
          <w:szCs w:val="20"/>
        </w:rPr>
        <w:t xml:space="preserve"> Saint-Paul à Tournai et de l’université de Louvain, il rédige des poésies et des travaux historiques</w:t>
      </w:r>
      <w:r>
        <w:rPr>
          <w:rFonts w:ascii="Garamond" w:hAnsi="Garamond"/>
          <w:sz w:val="20"/>
          <w:szCs w:val="20"/>
        </w:rPr>
        <w:t>.</w:t>
      </w:r>
      <w:r w:rsidRPr="00EC0B31">
        <w:rPr>
          <w:rFonts w:ascii="Garamond" w:hAnsi="Garamond"/>
          <w:sz w:val="20"/>
          <w:szCs w:val="20"/>
        </w:rPr>
        <w:t xml:space="preserve"> </w:t>
      </w:r>
      <w:r>
        <w:rPr>
          <w:rFonts w:ascii="Garamond" w:hAnsi="Garamond"/>
          <w:sz w:val="20"/>
          <w:szCs w:val="20"/>
        </w:rPr>
        <w:t xml:space="preserve">F. </w:t>
      </w:r>
      <w:r>
        <w:rPr>
          <w:rFonts w:ascii="Garamond" w:hAnsi="Garamond"/>
          <w:smallCaps/>
          <w:sz w:val="20"/>
          <w:szCs w:val="20"/>
          <w:lang w:val="fr-FR"/>
        </w:rPr>
        <w:t>Neve</w:t>
      </w:r>
      <w:r w:rsidRPr="00EC0B31">
        <w:rPr>
          <w:rFonts w:ascii="Garamond" w:hAnsi="Garamond"/>
          <w:sz w:val="20"/>
          <w:szCs w:val="20"/>
          <w:lang w:val="fr-FR"/>
        </w:rPr>
        <w:t xml:space="preserve">, </w:t>
      </w:r>
      <w:r w:rsidRPr="00EC0B31">
        <w:rPr>
          <w:rFonts w:ascii="Garamond" w:hAnsi="Garamond"/>
          <w:i/>
          <w:sz w:val="20"/>
          <w:szCs w:val="20"/>
          <w:lang w:val="fr-FR"/>
        </w:rPr>
        <w:t>Catulle (A.)</w:t>
      </w:r>
      <w:r w:rsidRPr="00EC0B31">
        <w:rPr>
          <w:rFonts w:ascii="Garamond" w:hAnsi="Garamond"/>
          <w:sz w:val="20"/>
          <w:szCs w:val="20"/>
          <w:lang w:val="fr-FR"/>
        </w:rPr>
        <w:t xml:space="preserve">, dans </w:t>
      </w:r>
      <w:r w:rsidRPr="00EC0B31">
        <w:rPr>
          <w:rFonts w:ascii="Garamond" w:hAnsi="Garamond"/>
          <w:i/>
          <w:sz w:val="20"/>
          <w:szCs w:val="20"/>
          <w:lang w:val="fr-FR"/>
        </w:rPr>
        <w:t>Biographie nationale,</w:t>
      </w:r>
      <w:r w:rsidRPr="00EC0B31">
        <w:rPr>
          <w:rFonts w:ascii="Garamond" w:hAnsi="Garamond"/>
          <w:sz w:val="20"/>
          <w:szCs w:val="20"/>
          <w:lang w:val="fr-FR"/>
        </w:rPr>
        <w:t xml:space="preserve"> t. 3, Bruxelles, 1872, col. 377-380.</w:t>
      </w:r>
    </w:p>
  </w:footnote>
  <w:footnote w:id="33">
    <w:p w14:paraId="6D517F0A" w14:textId="4F2F8252" w:rsidR="00FE0914" w:rsidRPr="00DA1B82" w:rsidRDefault="00FE0914" w:rsidP="00BB3522">
      <w:pPr>
        <w:pStyle w:val="Notedebasdepage"/>
        <w:jc w:val="both"/>
      </w:pPr>
      <w:r>
        <w:rPr>
          <w:rStyle w:val="Appelnotedebasdep"/>
        </w:rPr>
        <w:footnoteRef/>
      </w:r>
      <w:r w:rsidRPr="00BD36A3">
        <w:rPr>
          <w:lang w:val="fr-FR"/>
        </w:rPr>
        <w:t xml:space="preserve"> </w:t>
      </w:r>
      <w:r w:rsidR="000953DF" w:rsidRPr="00BD36A3">
        <w:rPr>
          <w:lang w:val="fr-FR"/>
        </w:rPr>
        <w:t xml:space="preserve">A. </w:t>
      </w:r>
      <w:proofErr w:type="spellStart"/>
      <w:r w:rsidR="000953DF" w:rsidRPr="00BD36A3">
        <w:rPr>
          <w:rFonts w:eastAsia="Times New Roman"/>
          <w:smallCaps/>
          <w:lang w:val="fr-FR" w:eastAsia="ar-SA"/>
        </w:rPr>
        <w:t>Catullus</w:t>
      </w:r>
      <w:proofErr w:type="spellEnd"/>
      <w:r w:rsidRPr="00BD36A3">
        <w:rPr>
          <w:rFonts w:eastAsia="Times New Roman"/>
          <w:lang w:val="fr-FR" w:eastAsia="ar-SA"/>
        </w:rPr>
        <w:t xml:space="preserve">, </w:t>
      </w:r>
      <w:r w:rsidR="000953DF" w:rsidRPr="00BD36A3">
        <w:rPr>
          <w:rFonts w:eastAsia="Times New Roman"/>
          <w:i/>
          <w:lang w:val="fr-FR" w:eastAsia="ar-SA"/>
        </w:rPr>
        <w:t xml:space="preserve">op. </w:t>
      </w:r>
      <w:proofErr w:type="spellStart"/>
      <w:r w:rsidR="000953DF" w:rsidRPr="00BD36A3">
        <w:rPr>
          <w:rFonts w:eastAsia="Times New Roman"/>
          <w:i/>
          <w:lang w:val="fr-FR" w:eastAsia="ar-SA"/>
        </w:rPr>
        <w:t>cit</w:t>
      </w:r>
      <w:proofErr w:type="spellEnd"/>
      <w:r w:rsidR="000953DF" w:rsidRPr="00BD36A3">
        <w:rPr>
          <w:rFonts w:eastAsia="Times New Roman"/>
          <w:i/>
          <w:lang w:val="fr-FR" w:eastAsia="ar-SA"/>
        </w:rPr>
        <w:t>.</w:t>
      </w:r>
      <w:r w:rsidR="000953DF" w:rsidRPr="00BD36A3">
        <w:rPr>
          <w:rFonts w:eastAsia="Times New Roman"/>
          <w:lang w:val="fr-FR" w:eastAsia="ar-SA"/>
        </w:rPr>
        <w:t>,</w:t>
      </w:r>
      <w:r w:rsidR="000953DF" w:rsidRPr="00BD36A3">
        <w:rPr>
          <w:rFonts w:eastAsia="Times New Roman"/>
          <w:i/>
          <w:lang w:val="fr-FR" w:eastAsia="ar-SA"/>
        </w:rPr>
        <w:t xml:space="preserve"> </w:t>
      </w:r>
      <w:r w:rsidRPr="00BD36A3">
        <w:rPr>
          <w:rFonts w:eastAsia="Times New Roman"/>
          <w:lang w:val="fr-FR" w:eastAsia="ar-SA"/>
        </w:rPr>
        <w:t>p. XXXVII</w:t>
      </w:r>
      <w:r w:rsidR="003C1F84">
        <w:rPr>
          <w:rFonts w:eastAsia="Times New Roman"/>
          <w:lang w:val="fr-FR" w:eastAsia="ar-SA"/>
        </w:rPr>
        <w:t>.</w:t>
      </w:r>
    </w:p>
  </w:footnote>
  <w:footnote w:id="34">
    <w:p w14:paraId="28C6FDD8" w14:textId="77777777" w:rsidR="003A7AE6" w:rsidRDefault="003A7AE6" w:rsidP="003A7AE6">
      <w:pPr>
        <w:pStyle w:val="Notedebasdepage"/>
        <w:jc w:val="both"/>
      </w:pPr>
      <w:r>
        <w:rPr>
          <w:rStyle w:val="Appelnotedebasdep"/>
        </w:rPr>
        <w:footnoteRef/>
      </w:r>
      <w:r>
        <w:t xml:space="preserve"> </w:t>
      </w:r>
      <w:r w:rsidRPr="00F6618F">
        <w:rPr>
          <w:rFonts w:eastAsia="Calibri" w:cs="Times New Roman"/>
        </w:rPr>
        <w:t>Corneille-François de Nelis (1736-1798) est un intellectuel et historien actif dans les Pays-Bas autrichiens. Après avoir étudié à Malines et Louvain, il entre en religion et obtient sa licence en théologie en 1760. Il mène</w:t>
      </w:r>
      <w:r>
        <w:rPr>
          <w:rFonts w:eastAsia="Calibri" w:cs="Times New Roman"/>
        </w:rPr>
        <w:t xml:space="preserve"> </w:t>
      </w:r>
      <w:r w:rsidRPr="00F6618F">
        <w:rPr>
          <w:rFonts w:eastAsia="Calibri" w:cs="Times New Roman"/>
        </w:rPr>
        <w:t xml:space="preserve">de nombreuses recherches au sein de </w:t>
      </w:r>
      <w:r>
        <w:rPr>
          <w:rFonts w:eastAsia="Calibri" w:cs="Times New Roman"/>
        </w:rPr>
        <w:t>l’Académie de Bruxelles</w:t>
      </w:r>
      <w:r w:rsidRPr="00F6618F">
        <w:rPr>
          <w:rFonts w:eastAsia="Calibri" w:cs="Times New Roman"/>
        </w:rPr>
        <w:t xml:space="preserve">. </w:t>
      </w:r>
      <w:r>
        <w:rPr>
          <w:rFonts w:eastAsia="Calibri" w:cs="Times New Roman"/>
        </w:rPr>
        <w:t xml:space="preserve">O. </w:t>
      </w:r>
      <w:r w:rsidRPr="00F6618F">
        <w:rPr>
          <w:rFonts w:eastAsia="Calibri" w:cs="Times New Roman"/>
          <w:smallCaps/>
          <w:lang w:val="fr-FR"/>
        </w:rPr>
        <w:t>Damme</w:t>
      </w:r>
      <w:r w:rsidRPr="00F6618F">
        <w:rPr>
          <w:rFonts w:eastAsia="Calibri" w:cs="Times New Roman"/>
          <w:lang w:val="fr-FR"/>
        </w:rPr>
        <w:t xml:space="preserve">, </w:t>
      </w:r>
      <w:r w:rsidRPr="00F6618F">
        <w:rPr>
          <w:rFonts w:eastAsia="Calibri" w:cs="Times New Roman"/>
          <w:i/>
          <w:lang w:val="fr-FR"/>
        </w:rPr>
        <w:t>de Nelis, Corneille-François</w:t>
      </w:r>
      <w:r w:rsidRPr="00F6618F">
        <w:rPr>
          <w:rFonts w:eastAsia="Calibri" w:cs="Times New Roman"/>
          <w:lang w:val="fr-FR"/>
        </w:rPr>
        <w:t xml:space="preserve">, dans </w:t>
      </w:r>
      <w:r>
        <w:rPr>
          <w:rFonts w:eastAsia="Calibri" w:cs="Times New Roman"/>
          <w:lang w:val="fr-FR"/>
        </w:rPr>
        <w:t xml:space="preserve">H. </w:t>
      </w:r>
      <w:proofErr w:type="spellStart"/>
      <w:r w:rsidRPr="00F6618F">
        <w:rPr>
          <w:rFonts w:eastAsia="Calibri" w:cs="Times New Roman"/>
          <w:smallCaps/>
          <w:lang w:val="fr-FR"/>
        </w:rPr>
        <w:t>Hasquin</w:t>
      </w:r>
      <w:proofErr w:type="spellEnd"/>
      <w:r w:rsidRPr="00F6618F">
        <w:rPr>
          <w:rFonts w:eastAsia="Calibri" w:cs="Times New Roman"/>
          <w:lang w:val="fr-FR"/>
        </w:rPr>
        <w:t xml:space="preserve">, </w:t>
      </w:r>
      <w:proofErr w:type="spellStart"/>
      <w:r w:rsidRPr="00F6618F">
        <w:rPr>
          <w:rFonts w:eastAsia="Calibri" w:cs="Times New Roman"/>
          <w:lang w:val="fr-FR"/>
        </w:rPr>
        <w:t>dir</w:t>
      </w:r>
      <w:proofErr w:type="spellEnd"/>
      <w:r w:rsidRPr="00F6618F">
        <w:rPr>
          <w:rFonts w:eastAsia="Calibri" w:cs="Times New Roman"/>
          <w:lang w:val="fr-FR"/>
        </w:rPr>
        <w:t xml:space="preserve">., </w:t>
      </w:r>
      <w:r w:rsidRPr="00F6618F">
        <w:rPr>
          <w:rFonts w:eastAsia="Calibri" w:cs="Times New Roman"/>
          <w:i/>
          <w:lang w:val="fr-FR"/>
        </w:rPr>
        <w:t>L’académie impériale et royale de Bruxelles. Ses académiciens et leurs réseaux intellectuels au XVIII</w:t>
      </w:r>
      <w:r w:rsidRPr="0004686C">
        <w:rPr>
          <w:rFonts w:eastAsia="Calibri" w:cs="Times New Roman"/>
          <w:i/>
          <w:vertAlign w:val="superscript"/>
          <w:lang w:val="fr-FR"/>
        </w:rPr>
        <w:t xml:space="preserve">e </w:t>
      </w:r>
      <w:r w:rsidRPr="00F6618F">
        <w:rPr>
          <w:rFonts w:eastAsia="Calibri" w:cs="Times New Roman"/>
          <w:i/>
          <w:lang w:val="fr-FR"/>
        </w:rPr>
        <w:t xml:space="preserve">siècle, </w:t>
      </w:r>
      <w:r w:rsidRPr="00F6618F">
        <w:rPr>
          <w:rFonts w:eastAsia="Calibri" w:cs="Times New Roman"/>
          <w:lang w:val="fr-FR"/>
        </w:rPr>
        <w:t>Bruxelles, 2009, p. 191-196</w:t>
      </w:r>
      <w:r w:rsidRPr="00F6618F">
        <w:rPr>
          <w:rFonts w:eastAsia="Calibri" w:cs="Times New Roman"/>
          <w:lang w:eastAsia="ar-SA"/>
        </w:rPr>
        <w:t>.</w:t>
      </w:r>
    </w:p>
  </w:footnote>
  <w:footnote w:id="35">
    <w:p w14:paraId="08CE2F11" w14:textId="4A352EBB" w:rsidR="003A7AE6" w:rsidRPr="006B2B25" w:rsidRDefault="003A7AE6" w:rsidP="003A7AE6">
      <w:pPr>
        <w:pStyle w:val="Notedebasdepage"/>
        <w:jc w:val="both"/>
      </w:pPr>
      <w:r>
        <w:rPr>
          <w:rStyle w:val="Appelnotedebasdep"/>
        </w:rPr>
        <w:footnoteRef/>
      </w:r>
      <w:r>
        <w:t xml:space="preserve"> Sur </w:t>
      </w:r>
      <w:r w:rsidR="00B33A70">
        <w:t>les recherches historiques</w:t>
      </w:r>
      <w:r>
        <w:t xml:space="preserve"> menées</w:t>
      </w:r>
      <w:r w:rsidR="00B33A70">
        <w:t xml:space="preserve"> à l’Académie</w:t>
      </w:r>
      <w:r>
        <w:t xml:space="preserve"> : T. </w:t>
      </w:r>
      <w:proofErr w:type="spellStart"/>
      <w:r w:rsidRPr="006B2B25">
        <w:rPr>
          <w:rFonts w:eastAsia="Times New Roman"/>
        </w:rPr>
        <w:t>V</w:t>
      </w:r>
      <w:r>
        <w:rPr>
          <w:rFonts w:eastAsia="Times New Roman"/>
          <w:smallCaps/>
        </w:rPr>
        <w:t>erschaffel</w:t>
      </w:r>
      <w:proofErr w:type="spellEnd"/>
      <w:r w:rsidRPr="006B2B25">
        <w:rPr>
          <w:rFonts w:eastAsia="Times New Roman"/>
        </w:rPr>
        <w:t xml:space="preserve">, </w:t>
      </w:r>
      <w:r w:rsidRPr="006B2B25">
        <w:rPr>
          <w:rFonts w:eastAsia="Times New Roman"/>
          <w:i/>
        </w:rPr>
        <w:t xml:space="preserve">De </w:t>
      </w:r>
      <w:proofErr w:type="spellStart"/>
      <w:r w:rsidRPr="006B2B25">
        <w:rPr>
          <w:rFonts w:eastAsia="Times New Roman"/>
          <w:i/>
        </w:rPr>
        <w:t>hoed</w:t>
      </w:r>
      <w:proofErr w:type="spellEnd"/>
      <w:r w:rsidRPr="006B2B25">
        <w:rPr>
          <w:rFonts w:eastAsia="Times New Roman"/>
          <w:i/>
        </w:rPr>
        <w:t xml:space="preserve"> en de </w:t>
      </w:r>
      <w:proofErr w:type="spellStart"/>
      <w:r w:rsidRPr="006B2B25">
        <w:rPr>
          <w:rFonts w:eastAsia="Times New Roman"/>
          <w:i/>
        </w:rPr>
        <w:t>hond</w:t>
      </w:r>
      <w:proofErr w:type="spellEnd"/>
      <w:r w:rsidRPr="006B2B25">
        <w:rPr>
          <w:rFonts w:eastAsia="Times New Roman"/>
          <w:i/>
        </w:rPr>
        <w:t xml:space="preserve">. </w:t>
      </w:r>
      <w:proofErr w:type="spellStart"/>
      <w:r w:rsidRPr="006B2B25">
        <w:rPr>
          <w:rFonts w:eastAsia="Times New Roman"/>
          <w:i/>
        </w:rPr>
        <w:t>Geschied</w:t>
      </w:r>
      <w:r w:rsidR="0004686C">
        <w:rPr>
          <w:rFonts w:eastAsia="Times New Roman"/>
          <w:i/>
        </w:rPr>
        <w:t>schrijving</w:t>
      </w:r>
      <w:proofErr w:type="spellEnd"/>
      <w:r w:rsidRPr="006B2B25">
        <w:rPr>
          <w:rFonts w:eastAsia="Times New Roman"/>
          <w:i/>
        </w:rPr>
        <w:t xml:space="preserve"> in de </w:t>
      </w:r>
      <w:proofErr w:type="spellStart"/>
      <w:r w:rsidRPr="006B2B25">
        <w:rPr>
          <w:rFonts w:eastAsia="Times New Roman"/>
          <w:i/>
        </w:rPr>
        <w:t>Zuidelijke</w:t>
      </w:r>
      <w:proofErr w:type="spellEnd"/>
      <w:r w:rsidRPr="006B2B25">
        <w:rPr>
          <w:rFonts w:eastAsia="Times New Roman"/>
          <w:i/>
        </w:rPr>
        <w:t xml:space="preserve"> </w:t>
      </w:r>
      <w:proofErr w:type="spellStart"/>
      <w:r w:rsidRPr="006B2B25">
        <w:rPr>
          <w:rFonts w:eastAsia="Times New Roman"/>
          <w:i/>
        </w:rPr>
        <w:t>Nederlanden</w:t>
      </w:r>
      <w:proofErr w:type="spellEnd"/>
      <w:r w:rsidRPr="006B2B25">
        <w:rPr>
          <w:rFonts w:eastAsia="Times New Roman"/>
          <w:i/>
        </w:rPr>
        <w:t>, 1715-1794</w:t>
      </w:r>
      <w:r w:rsidRPr="006B2B25">
        <w:rPr>
          <w:rFonts w:eastAsia="Times New Roman"/>
        </w:rPr>
        <w:t>, Hilversum, 1998, p. 68-98</w:t>
      </w:r>
      <w:r>
        <w:rPr>
          <w:rFonts w:eastAsia="Times New Roman"/>
        </w:rPr>
        <w:t>, 200-235 et 310-318</w:t>
      </w:r>
      <w:r w:rsidRPr="00063A79">
        <w:rPr>
          <w:rFonts w:eastAsia="Times New Roman"/>
        </w:rPr>
        <w:t xml:space="preserve"> ; </w:t>
      </w:r>
      <w:r>
        <w:rPr>
          <w:rFonts w:eastAsia="Times New Roman"/>
        </w:rPr>
        <w:t xml:space="preserve">B. </w:t>
      </w:r>
      <w:r w:rsidRPr="00063A79">
        <w:rPr>
          <w:smallCaps/>
        </w:rPr>
        <w:t>Bernard</w:t>
      </w:r>
      <w:r w:rsidRPr="006B2B25">
        <w:t xml:space="preserve">, </w:t>
      </w:r>
      <w:r w:rsidRPr="006B2B25">
        <w:rPr>
          <w:i/>
        </w:rPr>
        <w:t>Les historiens « belgiques » au XVIII</w:t>
      </w:r>
      <w:r w:rsidRPr="006B2B25">
        <w:rPr>
          <w:i/>
          <w:vertAlign w:val="superscript"/>
        </w:rPr>
        <w:t>e</w:t>
      </w:r>
      <w:r w:rsidRPr="006B2B25">
        <w:rPr>
          <w:i/>
        </w:rPr>
        <w:t xml:space="preserve"> siècle : entre particularisme et conscience nationale</w:t>
      </w:r>
      <w:r w:rsidRPr="006B2B25">
        <w:t xml:space="preserve">, dans </w:t>
      </w:r>
      <w:r>
        <w:t xml:space="preserve">J.-P. </w:t>
      </w:r>
      <w:proofErr w:type="spellStart"/>
      <w:r>
        <w:rPr>
          <w:smallCaps/>
        </w:rPr>
        <w:t>Lehners</w:t>
      </w:r>
      <w:proofErr w:type="spellEnd"/>
      <w:r>
        <w:rPr>
          <w:smallCaps/>
        </w:rPr>
        <w:t>, C</w:t>
      </w:r>
      <w:r w:rsidRPr="005B077C">
        <w:t>l</w:t>
      </w:r>
      <w:r>
        <w:rPr>
          <w:smallCaps/>
        </w:rPr>
        <w:t>.</w:t>
      </w:r>
      <w:r w:rsidRPr="006B2B25">
        <w:rPr>
          <w:smallCaps/>
        </w:rPr>
        <w:t xml:space="preserve"> </w:t>
      </w:r>
      <w:proofErr w:type="spellStart"/>
      <w:r w:rsidRPr="006B2B25">
        <w:rPr>
          <w:smallCaps/>
        </w:rPr>
        <w:t>Bruneel</w:t>
      </w:r>
      <w:proofErr w:type="spellEnd"/>
      <w:r>
        <w:t xml:space="preserve"> et H. </w:t>
      </w:r>
      <w:proofErr w:type="spellStart"/>
      <w:r w:rsidRPr="006B2B25">
        <w:rPr>
          <w:smallCaps/>
        </w:rPr>
        <w:t>Reinalter</w:t>
      </w:r>
      <w:proofErr w:type="spellEnd"/>
      <w:r w:rsidRPr="006B2B25">
        <w:t xml:space="preserve">, </w:t>
      </w:r>
      <w:proofErr w:type="spellStart"/>
      <w:r>
        <w:t>dir</w:t>
      </w:r>
      <w:proofErr w:type="spellEnd"/>
      <w:r w:rsidRPr="006B2B25">
        <w:t xml:space="preserve">., </w:t>
      </w:r>
      <w:r w:rsidRPr="006B2B25">
        <w:rPr>
          <w:i/>
        </w:rPr>
        <w:t>L’Autriche, les Pays-Bas et le duché de Luxembourg au 18</w:t>
      </w:r>
      <w:r w:rsidRPr="006B2B25">
        <w:rPr>
          <w:i/>
          <w:vertAlign w:val="superscript"/>
        </w:rPr>
        <w:t>e</w:t>
      </w:r>
      <w:r w:rsidRPr="006B2B25">
        <w:rPr>
          <w:i/>
        </w:rPr>
        <w:t xml:space="preserve"> siècle</w:t>
      </w:r>
      <w:r>
        <w:t>, Luxembourg, 1999, p. 2-9</w:t>
      </w:r>
      <w:r w:rsidRPr="006B2B25">
        <w:rPr>
          <w:rFonts w:eastAsia="Times New Roman"/>
          <w:lang w:val="fr-FR"/>
        </w:rPr>
        <w:t>.</w:t>
      </w:r>
    </w:p>
  </w:footnote>
  <w:footnote w:id="36">
    <w:p w14:paraId="156F98B5" w14:textId="2DEB8BE7" w:rsidR="00E869FC" w:rsidRPr="00884BBD" w:rsidRDefault="00E869FC" w:rsidP="00E869FC">
      <w:pPr>
        <w:pStyle w:val="Notedebasdepage"/>
        <w:jc w:val="both"/>
      </w:pPr>
      <w:r>
        <w:rPr>
          <w:rStyle w:val="Appelnotedebasdep"/>
        </w:rPr>
        <w:footnoteRef/>
      </w:r>
      <w:r>
        <w:t xml:space="preserve"> </w:t>
      </w:r>
      <w:r w:rsidR="005E1DFF">
        <w:t xml:space="preserve">L’auteur </w:t>
      </w:r>
      <w:r>
        <w:t>compare l’inclinaison de la pierre telle qu’il l’observe en 1768 (« </w:t>
      </w:r>
      <w:r w:rsidRPr="00874B3D">
        <w:rPr>
          <w:i/>
        </w:rPr>
        <w:t xml:space="preserve">lorsque je la vis pour la </w:t>
      </w:r>
      <w:proofErr w:type="spellStart"/>
      <w:r w:rsidRPr="00874B3D">
        <w:rPr>
          <w:i/>
        </w:rPr>
        <w:t>premiere</w:t>
      </w:r>
      <w:proofErr w:type="spellEnd"/>
      <w:r w:rsidRPr="00874B3D">
        <w:rPr>
          <w:i/>
        </w:rPr>
        <w:t xml:space="preserve"> fois</w:t>
      </w:r>
      <w:r>
        <w:t> ») et telle qu’elle se présente « </w:t>
      </w:r>
      <w:r w:rsidRPr="000B77CD">
        <w:rPr>
          <w:i/>
        </w:rPr>
        <w:t>aujourd’hui</w:t>
      </w:r>
      <w:r>
        <w:t> » (c’est-à-dire en 1772</w:t>
      </w:r>
      <w:r w:rsidR="007F2422">
        <w:t xml:space="preserve"> ou 1773</w:t>
      </w:r>
      <w:r>
        <w:t xml:space="preserve">). </w:t>
      </w:r>
      <w:r w:rsidR="005C0FA2" w:rsidRPr="005B077C">
        <w:rPr>
          <w:lang w:val="nl-BE"/>
        </w:rPr>
        <w:t xml:space="preserve">C.-F. </w:t>
      </w:r>
      <w:r w:rsidR="005C0FA2">
        <w:rPr>
          <w:bCs/>
          <w:smallCaps/>
          <w:lang w:val="nl-BE"/>
        </w:rPr>
        <w:t>d</w:t>
      </w:r>
      <w:r w:rsidR="005C0FA2" w:rsidRPr="005B077C">
        <w:rPr>
          <w:bCs/>
          <w:smallCaps/>
          <w:lang w:val="nl-BE"/>
        </w:rPr>
        <w:t>e Nelis</w:t>
      </w:r>
      <w:r w:rsidR="005C0FA2" w:rsidRPr="005B077C">
        <w:rPr>
          <w:bCs/>
          <w:lang w:val="nl-BE"/>
        </w:rPr>
        <w:t>,</w:t>
      </w:r>
      <w:r w:rsidR="005C0FA2">
        <w:rPr>
          <w:bCs/>
          <w:lang w:val="nl-BE"/>
        </w:rPr>
        <w:t xml:space="preserve"> </w:t>
      </w:r>
      <w:r w:rsidR="005C0FA2" w:rsidRPr="005C0FA2">
        <w:rPr>
          <w:bCs/>
          <w:i/>
          <w:iCs/>
          <w:lang w:val="nl-BE"/>
        </w:rPr>
        <w:t xml:space="preserve">op. </w:t>
      </w:r>
      <w:proofErr w:type="spellStart"/>
      <w:r w:rsidR="005C0FA2" w:rsidRPr="005C0FA2">
        <w:rPr>
          <w:bCs/>
          <w:i/>
          <w:iCs/>
          <w:lang w:val="nl-BE"/>
        </w:rPr>
        <w:t>cit</w:t>
      </w:r>
      <w:proofErr w:type="spellEnd"/>
      <w:r w:rsidR="005C0FA2" w:rsidRPr="005C0FA2">
        <w:rPr>
          <w:bCs/>
          <w:i/>
          <w:iCs/>
          <w:lang w:val="nl-BE"/>
        </w:rPr>
        <w:t>.</w:t>
      </w:r>
      <w:r w:rsidR="005C0FA2">
        <w:rPr>
          <w:bCs/>
          <w:lang w:val="nl-BE"/>
        </w:rPr>
        <w:t xml:space="preserve">, </w:t>
      </w:r>
      <w:r w:rsidRPr="005B077C">
        <w:rPr>
          <w:bCs/>
        </w:rPr>
        <w:t>p. </w:t>
      </w:r>
      <w:r w:rsidRPr="008E6A1C">
        <w:t>472-473.</w:t>
      </w:r>
    </w:p>
  </w:footnote>
  <w:footnote w:id="37">
    <w:p w14:paraId="650F0640" w14:textId="661FAA9A" w:rsidR="00FE0914" w:rsidRPr="005B077C" w:rsidRDefault="00FE0914" w:rsidP="00BB3522">
      <w:pPr>
        <w:pStyle w:val="Notedebasdepage"/>
        <w:jc w:val="both"/>
      </w:pPr>
      <w:r>
        <w:rPr>
          <w:rStyle w:val="Appelnotedebasdep"/>
        </w:rPr>
        <w:footnoteRef/>
      </w:r>
      <w:r w:rsidRPr="005B077C">
        <w:t xml:space="preserve"> </w:t>
      </w:r>
      <w:r w:rsidR="005B077C">
        <w:rPr>
          <w:i/>
        </w:rPr>
        <w:t>Ibid.</w:t>
      </w:r>
      <w:r w:rsidR="005B077C" w:rsidRPr="005B077C">
        <w:t>,</w:t>
      </w:r>
      <w:r w:rsidR="005B077C">
        <w:rPr>
          <w:i/>
        </w:rPr>
        <w:t xml:space="preserve"> </w:t>
      </w:r>
      <w:r w:rsidR="005B077C" w:rsidRPr="005B077C">
        <w:rPr>
          <w:bCs/>
        </w:rPr>
        <w:t>p.</w:t>
      </w:r>
      <w:r w:rsidR="005B077C" w:rsidRPr="005B077C">
        <w:t xml:space="preserve"> </w:t>
      </w:r>
      <w:r w:rsidRPr="005B077C">
        <w:t>471</w:t>
      </w:r>
      <w:r w:rsidR="005B077C">
        <w:t xml:space="preserve"> et 473</w:t>
      </w:r>
      <w:r w:rsidRPr="005B077C">
        <w:t>.</w:t>
      </w:r>
    </w:p>
  </w:footnote>
  <w:footnote w:id="38">
    <w:p w14:paraId="51525AB9" w14:textId="65F3D781" w:rsidR="005E1DFF" w:rsidRPr="005B077C" w:rsidRDefault="005E1DFF" w:rsidP="005E1DFF">
      <w:pPr>
        <w:pStyle w:val="Notedebasdepage"/>
        <w:jc w:val="both"/>
      </w:pPr>
      <w:r>
        <w:rPr>
          <w:rStyle w:val="Appelnotedebasdep"/>
        </w:rPr>
        <w:footnoteRef/>
      </w:r>
      <w:r>
        <w:t xml:space="preserve"> </w:t>
      </w:r>
      <w:r w:rsidRPr="00E869FC">
        <w:rPr>
          <w:bCs/>
        </w:rPr>
        <w:t>« </w:t>
      </w:r>
      <w:r w:rsidRPr="00E869FC">
        <w:rPr>
          <w:i/>
          <w:iCs/>
        </w:rPr>
        <w:t xml:space="preserve">Il </w:t>
      </w:r>
      <w:r w:rsidRPr="00E869FC">
        <w:rPr>
          <w:iCs/>
        </w:rPr>
        <w:t>[</w:t>
      </w:r>
      <w:proofErr w:type="spellStart"/>
      <w:r w:rsidRPr="00E869FC">
        <w:rPr>
          <w:iCs/>
        </w:rPr>
        <w:t>Poutrain</w:t>
      </w:r>
      <w:proofErr w:type="spellEnd"/>
      <w:r w:rsidRPr="00E869FC">
        <w:rPr>
          <w:iCs/>
        </w:rPr>
        <w:t>]</w:t>
      </w:r>
      <w:r w:rsidRPr="00E869FC">
        <w:rPr>
          <w:i/>
          <w:iCs/>
        </w:rPr>
        <w:t xml:space="preserve"> se trompe. Les </w:t>
      </w:r>
      <w:proofErr w:type="spellStart"/>
      <w:r w:rsidRPr="00E869FC">
        <w:rPr>
          <w:i/>
          <w:iCs/>
        </w:rPr>
        <w:t>Habitans</w:t>
      </w:r>
      <w:proofErr w:type="spellEnd"/>
      <w:r w:rsidRPr="00E869FC">
        <w:rPr>
          <w:i/>
          <w:iCs/>
        </w:rPr>
        <w:t xml:space="preserve"> de l’endroit m’ont assuré le contraire ; &amp; j’en ai trouvé moi-même, en me promenant, sans faire beaucoup de recherches, sans faire aucune fouille, d’assez gros, semés çà &amp; là, à fleur-de-terre</w:t>
      </w:r>
      <w:r w:rsidRPr="00E869FC">
        <w:t> »</w:t>
      </w:r>
      <w:r>
        <w:t xml:space="preserve">. </w:t>
      </w:r>
      <w:r>
        <w:rPr>
          <w:i/>
        </w:rPr>
        <w:t>Ibid.</w:t>
      </w:r>
      <w:r w:rsidRPr="005B077C">
        <w:rPr>
          <w:bCs/>
        </w:rPr>
        <w:t>, p. 474-475.</w:t>
      </w:r>
    </w:p>
  </w:footnote>
  <w:footnote w:id="39">
    <w:p w14:paraId="352AD981" w14:textId="6600C442" w:rsidR="00FE0914" w:rsidRDefault="00FE0914" w:rsidP="00BB3522">
      <w:pPr>
        <w:pStyle w:val="Notedebasdepage"/>
        <w:jc w:val="both"/>
      </w:pPr>
      <w:r>
        <w:rPr>
          <w:rStyle w:val="Appelnotedebasdep"/>
        </w:rPr>
        <w:footnoteRef/>
      </w:r>
      <w:r>
        <w:t xml:space="preserve"> </w:t>
      </w:r>
      <w:r w:rsidR="005B077C">
        <w:rPr>
          <w:i/>
        </w:rPr>
        <w:t>Ibid</w:t>
      </w:r>
      <w:r w:rsidR="005B077C" w:rsidRPr="005B077C">
        <w:rPr>
          <w:bCs/>
          <w:i/>
        </w:rPr>
        <w:t>.</w:t>
      </w:r>
      <w:r w:rsidR="005B077C" w:rsidRPr="005B077C">
        <w:rPr>
          <w:bCs/>
        </w:rPr>
        <w:t>,</w:t>
      </w:r>
      <w:r w:rsidRPr="00200824">
        <w:rPr>
          <w:bCs/>
          <w:smallCaps/>
          <w:lang w:val="fr-FR"/>
        </w:rPr>
        <w:t xml:space="preserve"> </w:t>
      </w:r>
      <w:r>
        <w:rPr>
          <w:bCs/>
          <w:lang w:val="fr-FR"/>
        </w:rPr>
        <w:t>p</w:t>
      </w:r>
      <w:r w:rsidRPr="008E6A1C">
        <w:rPr>
          <w:bCs/>
          <w:lang w:val="fr-FR"/>
        </w:rPr>
        <w:t>. </w:t>
      </w:r>
      <w:r>
        <w:t>473</w:t>
      </w:r>
      <w:r w:rsidRPr="008E6A1C">
        <w:t>.</w:t>
      </w:r>
    </w:p>
  </w:footnote>
  <w:footnote w:id="40">
    <w:p w14:paraId="2C1D2926" w14:textId="77777777" w:rsidR="005E1DFF" w:rsidRPr="00A75F57" w:rsidRDefault="005E1DFF" w:rsidP="005E1DFF">
      <w:pPr>
        <w:pStyle w:val="Notedebasdepage"/>
        <w:jc w:val="both"/>
        <w:rPr>
          <w:iCs/>
        </w:rPr>
      </w:pPr>
      <w:r>
        <w:rPr>
          <w:rStyle w:val="Appelnotedebasdep"/>
        </w:rPr>
        <w:footnoteRef/>
      </w:r>
      <w:r>
        <w:t xml:space="preserve"> Le caractère rigoureux et critique de la réflexion de Nelis a déjà été souligné par différents auteurs : B. </w:t>
      </w:r>
      <w:r>
        <w:rPr>
          <w:smallCaps/>
        </w:rPr>
        <w:t>Bernard</w:t>
      </w:r>
      <w:r>
        <w:t xml:space="preserve">, </w:t>
      </w:r>
      <w:r>
        <w:rPr>
          <w:i/>
        </w:rPr>
        <w:t xml:space="preserve">op. </w:t>
      </w:r>
      <w:proofErr w:type="spellStart"/>
      <w:r>
        <w:rPr>
          <w:i/>
        </w:rPr>
        <w:t>cit</w:t>
      </w:r>
      <w:proofErr w:type="spellEnd"/>
      <w:r>
        <w:rPr>
          <w:i/>
        </w:rPr>
        <w:t>.</w:t>
      </w:r>
      <w:r>
        <w:t xml:space="preserve">, p. 66 ; O. </w:t>
      </w:r>
      <w:r w:rsidRPr="00F1306A">
        <w:rPr>
          <w:smallCaps/>
          <w:lang w:val="fr-FR"/>
        </w:rPr>
        <w:t>Damme</w:t>
      </w:r>
      <w:r w:rsidRPr="00F1306A">
        <w:rPr>
          <w:lang w:val="fr-FR"/>
        </w:rPr>
        <w:t xml:space="preserve">, </w:t>
      </w:r>
      <w:r>
        <w:rPr>
          <w:i/>
          <w:lang w:val="fr-FR"/>
        </w:rPr>
        <w:t xml:space="preserve">op. </w:t>
      </w:r>
      <w:proofErr w:type="spellStart"/>
      <w:r>
        <w:rPr>
          <w:i/>
          <w:lang w:val="fr-FR"/>
        </w:rPr>
        <w:t>cit</w:t>
      </w:r>
      <w:proofErr w:type="spellEnd"/>
      <w:r>
        <w:rPr>
          <w:i/>
          <w:lang w:val="fr-FR"/>
        </w:rPr>
        <w:t xml:space="preserve">., </w:t>
      </w:r>
      <w:r>
        <w:rPr>
          <w:iCs/>
          <w:lang w:val="fr-FR"/>
        </w:rPr>
        <w:t>p. 193.</w:t>
      </w:r>
    </w:p>
  </w:footnote>
  <w:footnote w:id="41">
    <w:p w14:paraId="4046A98D" w14:textId="6DC28CA5" w:rsidR="005E1DFF" w:rsidRPr="00FD176F" w:rsidRDefault="005E1DFF" w:rsidP="002E758B">
      <w:pPr>
        <w:pStyle w:val="Notedebasdepage"/>
        <w:jc w:val="both"/>
      </w:pPr>
      <w:r>
        <w:rPr>
          <w:rStyle w:val="Appelnotedebasdep"/>
        </w:rPr>
        <w:footnoteRef/>
      </w:r>
      <w:r w:rsidRPr="005E1DFF">
        <w:rPr>
          <w:lang w:val="nl-BE"/>
        </w:rPr>
        <w:t xml:space="preserve"> </w:t>
      </w:r>
      <w:r w:rsidR="00FD176F" w:rsidRPr="005B077C">
        <w:rPr>
          <w:lang w:val="nl-BE"/>
        </w:rPr>
        <w:t xml:space="preserve">C.-F. </w:t>
      </w:r>
      <w:r w:rsidR="005C0FA2">
        <w:rPr>
          <w:bCs/>
          <w:smallCaps/>
          <w:lang w:val="nl-BE"/>
        </w:rPr>
        <w:t>d</w:t>
      </w:r>
      <w:r w:rsidR="00FD176F" w:rsidRPr="005B077C">
        <w:rPr>
          <w:bCs/>
          <w:smallCaps/>
          <w:lang w:val="nl-BE"/>
        </w:rPr>
        <w:t>e Nelis</w:t>
      </w:r>
      <w:r w:rsidR="00FD176F" w:rsidRPr="005B077C">
        <w:rPr>
          <w:bCs/>
          <w:lang w:val="nl-BE"/>
        </w:rPr>
        <w:t xml:space="preserve">, </w:t>
      </w:r>
      <w:r w:rsidR="00FD176F" w:rsidRPr="005B077C">
        <w:rPr>
          <w:bCs/>
          <w:i/>
          <w:lang w:val="nl-BE"/>
        </w:rPr>
        <w:t>op.cit.</w:t>
      </w:r>
      <w:r w:rsidR="00FD176F" w:rsidRPr="005B077C">
        <w:rPr>
          <w:bCs/>
          <w:lang w:val="nl-BE"/>
        </w:rPr>
        <w:t>, p.</w:t>
      </w:r>
      <w:r w:rsidR="00FD176F" w:rsidRPr="005B077C">
        <w:rPr>
          <w:lang w:val="nl-BE"/>
        </w:rPr>
        <w:t xml:space="preserve"> 478-480.</w:t>
      </w:r>
      <w:r w:rsidR="00FD176F">
        <w:rPr>
          <w:lang w:val="nl-BE"/>
        </w:rPr>
        <w:t xml:space="preserve"> </w:t>
      </w:r>
      <w:r w:rsidR="00FD176F" w:rsidRPr="00FD176F">
        <w:t>Selon l’auteur, les populations locales auraient inventé cette</w:t>
      </w:r>
      <w:r w:rsidR="002E758B">
        <w:t xml:space="preserve"> tradition pour marquer leur opposition à la reine Frédégonde (en valorisant sa rivale) ou suite à une déformation étymologique, la « brune pierre » (« brune » signifiant jadis « grise », selon de Nelis) étant erronément associée à la figure de Brunehaut.</w:t>
      </w:r>
    </w:p>
  </w:footnote>
  <w:footnote w:id="42">
    <w:p w14:paraId="63FF935C" w14:textId="7C575617" w:rsidR="00FE0914" w:rsidRPr="005B077C" w:rsidRDefault="00FE0914" w:rsidP="00BB3522">
      <w:pPr>
        <w:pStyle w:val="Notedebasdepage"/>
        <w:jc w:val="both"/>
      </w:pPr>
      <w:r>
        <w:rPr>
          <w:rStyle w:val="Appelnotedebasdep"/>
        </w:rPr>
        <w:footnoteRef/>
      </w:r>
      <w:r>
        <w:t xml:space="preserve"> « </w:t>
      </w:r>
      <w:r w:rsidRPr="00874B3D">
        <w:rPr>
          <w:i/>
        </w:rPr>
        <w:t xml:space="preserve">Par quelle bizarrerie, dans la Belgique seule, &amp; si près de Bavay, ville qu’ils ont bâtie dans un tout autre goût, </w:t>
      </w:r>
      <w:proofErr w:type="spellStart"/>
      <w:r w:rsidRPr="00874B3D">
        <w:rPr>
          <w:i/>
        </w:rPr>
        <w:t>auroient</w:t>
      </w:r>
      <w:proofErr w:type="spellEnd"/>
      <w:r w:rsidRPr="00874B3D">
        <w:rPr>
          <w:i/>
        </w:rPr>
        <w:t>-ils voulu marquer leurs victoires par une pierre brute, sans inscription ?</w:t>
      </w:r>
      <w:r>
        <w:t> ».</w:t>
      </w:r>
      <w:r w:rsidR="005B077C" w:rsidRPr="005B077C">
        <w:t xml:space="preserve"> </w:t>
      </w:r>
      <w:r w:rsidR="005B077C">
        <w:rPr>
          <w:i/>
        </w:rPr>
        <w:t>Ibid</w:t>
      </w:r>
      <w:r w:rsidR="005B077C" w:rsidRPr="009D7CE6">
        <w:rPr>
          <w:bCs/>
          <w:i/>
        </w:rPr>
        <w:t>.</w:t>
      </w:r>
      <w:r w:rsidR="005B077C" w:rsidRPr="009D7CE6">
        <w:rPr>
          <w:bCs/>
        </w:rPr>
        <w:t>, p.</w:t>
      </w:r>
      <w:r w:rsidRPr="008E6A1C">
        <w:rPr>
          <w:bCs/>
          <w:lang w:val="fr-FR"/>
        </w:rPr>
        <w:t> </w:t>
      </w:r>
      <w:r w:rsidRPr="008E6A1C">
        <w:t>483.</w:t>
      </w:r>
    </w:p>
  </w:footnote>
  <w:footnote w:id="43">
    <w:p w14:paraId="5EC5205D" w14:textId="751093FE" w:rsidR="00FE0914" w:rsidRPr="005B077C" w:rsidRDefault="00FE0914" w:rsidP="00BB3522">
      <w:pPr>
        <w:pStyle w:val="Notedebasdepage"/>
        <w:jc w:val="both"/>
        <w:rPr>
          <w:lang w:val="nl-BE"/>
        </w:rPr>
      </w:pPr>
      <w:r w:rsidRPr="008E6A1C">
        <w:rPr>
          <w:rStyle w:val="Appelnotedebasdep"/>
        </w:rPr>
        <w:footnoteRef/>
      </w:r>
      <w:r w:rsidR="0004686C">
        <w:rPr>
          <w:lang w:val="nl-BE"/>
        </w:rPr>
        <w:t xml:space="preserve"> </w:t>
      </w:r>
      <w:r w:rsidR="0004686C" w:rsidRPr="0004686C">
        <w:rPr>
          <w:i/>
          <w:iCs/>
          <w:lang w:val="nl-BE"/>
        </w:rPr>
        <w:t>Ibid</w:t>
      </w:r>
      <w:r w:rsidR="005B077C" w:rsidRPr="0004686C">
        <w:rPr>
          <w:bCs/>
          <w:i/>
          <w:iCs/>
          <w:lang w:val="nl-BE"/>
        </w:rPr>
        <w:t>.</w:t>
      </w:r>
      <w:r w:rsidR="005B077C" w:rsidRPr="005B077C">
        <w:rPr>
          <w:bCs/>
          <w:lang w:val="nl-BE"/>
        </w:rPr>
        <w:t>, p. </w:t>
      </w:r>
      <w:r w:rsidRPr="005B077C">
        <w:rPr>
          <w:lang w:val="nl-BE"/>
        </w:rPr>
        <w:t>477.</w:t>
      </w:r>
    </w:p>
  </w:footnote>
  <w:footnote w:id="44">
    <w:p w14:paraId="46315C7C" w14:textId="6ECC9083" w:rsidR="002E758B" w:rsidRPr="00B55C13" w:rsidRDefault="002E758B" w:rsidP="00B55C13">
      <w:pPr>
        <w:pStyle w:val="Notedebasdepage"/>
        <w:jc w:val="both"/>
        <w:rPr>
          <w:lang w:val="en-US"/>
        </w:rPr>
      </w:pPr>
      <w:r w:rsidRPr="00B55C13">
        <w:rPr>
          <w:rStyle w:val="Appelnotedebasdep"/>
        </w:rPr>
        <w:footnoteRef/>
      </w:r>
      <w:r w:rsidRPr="00B55C13">
        <w:t xml:space="preserve"> </w:t>
      </w:r>
      <w:r w:rsidRPr="00B55C13">
        <w:rPr>
          <w:i/>
          <w:lang w:val="fr-FR"/>
        </w:rPr>
        <w:t>Ibid.</w:t>
      </w:r>
      <w:r w:rsidRPr="00B55C13">
        <w:rPr>
          <w:bCs/>
          <w:lang w:val="fr-FR"/>
        </w:rPr>
        <w:t>, p. </w:t>
      </w:r>
      <w:r w:rsidRPr="00B55C13">
        <w:rPr>
          <w:lang w:val="fr-FR"/>
        </w:rPr>
        <w:t>475-476. La dernière hypothèse</w:t>
      </w:r>
      <w:r w:rsidR="00B55C13" w:rsidRPr="00B55C13">
        <w:rPr>
          <w:bCs/>
        </w:rPr>
        <w:t>, suggérée par un interlocuteur anonyme de Nelis, s’inscrit dans l’air du temps, puisqu’une théorie similaire a été émise à la même époque à propos des dolmens visibles dans la Drenthe</w:t>
      </w:r>
      <w:r w:rsidR="00B33A70">
        <w:rPr>
          <w:bCs/>
        </w:rPr>
        <w:t xml:space="preserve"> (</w:t>
      </w:r>
      <w:r w:rsidR="00B55C13" w:rsidRPr="00B55C13">
        <w:rPr>
          <w:bCs/>
        </w:rPr>
        <w:t>Pays-Bas actuels</w:t>
      </w:r>
      <w:r w:rsidR="00B33A70">
        <w:rPr>
          <w:bCs/>
        </w:rPr>
        <w:t>)</w:t>
      </w:r>
      <w:r w:rsidR="00B55C13" w:rsidRPr="00B55C13">
        <w:rPr>
          <w:bCs/>
        </w:rPr>
        <w:t>.</w:t>
      </w:r>
      <w:r w:rsidRPr="00B55C13">
        <w:rPr>
          <w:lang w:val="fr-FR"/>
        </w:rPr>
        <w:t xml:space="preserve"> </w:t>
      </w:r>
      <w:r w:rsidR="00B55C13" w:rsidRPr="00B55C13">
        <w:rPr>
          <w:lang w:val="en-US"/>
        </w:rPr>
        <w:t xml:space="preserve">J.-A. </w:t>
      </w:r>
      <w:r w:rsidR="00B55C13" w:rsidRPr="00B55C13">
        <w:rPr>
          <w:rFonts w:eastAsia="Times New Roman"/>
          <w:smallCaps/>
          <w:lang w:val="en-US"/>
        </w:rPr>
        <w:t>Bakker</w:t>
      </w:r>
      <w:r w:rsidR="00B55C13" w:rsidRPr="00B55C13">
        <w:rPr>
          <w:rFonts w:eastAsia="Times New Roman"/>
          <w:lang w:val="en-US"/>
        </w:rPr>
        <w:t xml:space="preserve">, </w:t>
      </w:r>
      <w:r w:rsidR="00B55C13" w:rsidRPr="00B55C13">
        <w:rPr>
          <w:rFonts w:eastAsia="Times New Roman"/>
          <w:i/>
          <w:lang w:val="en-US"/>
        </w:rPr>
        <w:t>Megalithic Research in the Netherlands, 1547-1911. From “Giants Beds” and “Pillars of Hercules” to Accurate Investigations</w:t>
      </w:r>
      <w:r w:rsidR="00B55C13" w:rsidRPr="00B55C13">
        <w:rPr>
          <w:rFonts w:eastAsia="Times New Roman"/>
          <w:lang w:val="en-US"/>
        </w:rPr>
        <w:t xml:space="preserve">, </w:t>
      </w:r>
      <w:proofErr w:type="spellStart"/>
      <w:r w:rsidR="00B55C13" w:rsidRPr="00B55C13">
        <w:rPr>
          <w:rFonts w:eastAsia="Times New Roman"/>
          <w:lang w:val="en-US"/>
        </w:rPr>
        <w:t>Leyde</w:t>
      </w:r>
      <w:proofErr w:type="spellEnd"/>
      <w:r w:rsidR="00B55C13" w:rsidRPr="00B55C13">
        <w:rPr>
          <w:rFonts w:eastAsia="Times New Roman"/>
          <w:lang w:val="en-US"/>
        </w:rPr>
        <w:t>, 2010, p. 100.</w:t>
      </w:r>
    </w:p>
  </w:footnote>
  <w:footnote w:id="45">
    <w:p w14:paraId="22EF86F5" w14:textId="605178B4" w:rsidR="00B55C13" w:rsidRPr="00B55C13" w:rsidRDefault="00B55C13" w:rsidP="00B55C13">
      <w:pPr>
        <w:pStyle w:val="Notedebasdepage"/>
        <w:jc w:val="both"/>
        <w:rPr>
          <w:bCs/>
          <w:lang w:val="nl-NL"/>
        </w:rPr>
      </w:pPr>
      <w:r w:rsidRPr="00DC7051">
        <w:rPr>
          <w:rStyle w:val="Appelnotedebasdep"/>
        </w:rPr>
        <w:footnoteRef/>
      </w:r>
      <w:r w:rsidRPr="00B55C13">
        <w:rPr>
          <w:lang w:val="nl-NL"/>
        </w:rPr>
        <w:t xml:space="preserve"> C.-F. </w:t>
      </w:r>
      <w:r w:rsidR="005C0FA2">
        <w:rPr>
          <w:bCs/>
          <w:smallCaps/>
          <w:lang w:val="nl-NL"/>
        </w:rPr>
        <w:t>d</w:t>
      </w:r>
      <w:r w:rsidRPr="00B55C13">
        <w:rPr>
          <w:bCs/>
          <w:smallCaps/>
          <w:lang w:val="nl-NL"/>
        </w:rPr>
        <w:t>e Nelis</w:t>
      </w:r>
      <w:r w:rsidRPr="00B55C13">
        <w:rPr>
          <w:bCs/>
          <w:lang w:val="nl-NL"/>
        </w:rPr>
        <w:t xml:space="preserve">, </w:t>
      </w:r>
      <w:r w:rsidRPr="00B55C13">
        <w:rPr>
          <w:bCs/>
          <w:i/>
          <w:lang w:val="nl-NL"/>
        </w:rPr>
        <w:t>op.cit.</w:t>
      </w:r>
      <w:r w:rsidRPr="00B55C13">
        <w:rPr>
          <w:bCs/>
          <w:lang w:val="nl-NL"/>
        </w:rPr>
        <w:t xml:space="preserve">, p. </w:t>
      </w:r>
      <w:r w:rsidRPr="00B55C13">
        <w:rPr>
          <w:lang w:val="nl-NL"/>
        </w:rPr>
        <w:t>476.</w:t>
      </w:r>
    </w:p>
  </w:footnote>
  <w:footnote w:id="46">
    <w:p w14:paraId="131FE65B" w14:textId="4E527095" w:rsidR="00FE0914" w:rsidRPr="00363264" w:rsidRDefault="00FE0914" w:rsidP="00BB3522">
      <w:pPr>
        <w:pStyle w:val="Notedebasdepage"/>
        <w:jc w:val="both"/>
      </w:pPr>
      <w:r>
        <w:rPr>
          <w:rStyle w:val="Appelnotedebasdep"/>
        </w:rPr>
        <w:footnoteRef/>
      </w:r>
      <w:r>
        <w:t xml:space="preserve"> </w:t>
      </w:r>
      <w:r w:rsidR="005B077C" w:rsidRPr="005B077C">
        <w:rPr>
          <w:bCs/>
          <w:i/>
          <w:lang w:val="fr-FR"/>
        </w:rPr>
        <w:t>Ibid.</w:t>
      </w:r>
      <w:r w:rsidR="005B077C" w:rsidRPr="005B077C">
        <w:rPr>
          <w:bCs/>
          <w:lang w:val="fr-FR"/>
        </w:rPr>
        <w:t>,</w:t>
      </w:r>
      <w:r w:rsidR="005B077C">
        <w:rPr>
          <w:bCs/>
          <w:i/>
          <w:smallCaps/>
          <w:lang w:val="fr-FR"/>
        </w:rPr>
        <w:t xml:space="preserve"> </w:t>
      </w:r>
      <w:r>
        <w:rPr>
          <w:bCs/>
          <w:lang w:val="fr-FR"/>
        </w:rPr>
        <w:t>p</w:t>
      </w:r>
      <w:r w:rsidRPr="008E6A1C">
        <w:rPr>
          <w:bCs/>
          <w:lang w:val="fr-FR"/>
        </w:rPr>
        <w:t>. </w:t>
      </w:r>
      <w:r w:rsidR="005B077C">
        <w:rPr>
          <w:bCs/>
          <w:lang w:val="fr-FR"/>
        </w:rPr>
        <w:t xml:space="preserve">481-482 et </w:t>
      </w:r>
      <w:r w:rsidRPr="008E6A1C">
        <w:t>484.</w:t>
      </w:r>
    </w:p>
  </w:footnote>
  <w:footnote w:id="47">
    <w:p w14:paraId="49D4F638" w14:textId="4D23752C" w:rsidR="00FE0914" w:rsidRPr="00FB5333" w:rsidRDefault="00FE0914" w:rsidP="00BB3522">
      <w:pPr>
        <w:pStyle w:val="Notedebasdepage"/>
        <w:jc w:val="both"/>
      </w:pPr>
      <w:r w:rsidRPr="00FB5333">
        <w:rPr>
          <w:rStyle w:val="Appelnotedebasdep"/>
        </w:rPr>
        <w:footnoteRef/>
      </w:r>
      <w:r w:rsidR="00FB5333" w:rsidRPr="00FB5333">
        <w:t xml:space="preserve"> </w:t>
      </w:r>
      <w:r w:rsidR="009D7CE6">
        <w:t xml:space="preserve">A. </w:t>
      </w:r>
      <w:proofErr w:type="spellStart"/>
      <w:r w:rsidR="00FB5333" w:rsidRPr="00FB5333">
        <w:rPr>
          <w:smallCaps/>
        </w:rPr>
        <w:t>Schnapp</w:t>
      </w:r>
      <w:proofErr w:type="spellEnd"/>
      <w:r w:rsidR="00FB5333" w:rsidRPr="00FB5333">
        <w:t xml:space="preserve">, </w:t>
      </w:r>
      <w:r w:rsidR="00FB5333" w:rsidRPr="00FB5333">
        <w:rPr>
          <w:i/>
        </w:rPr>
        <w:t>La Conquête du passé. Aux origines de l’archéologie</w:t>
      </w:r>
      <w:r w:rsidR="00FB5333" w:rsidRPr="00FB5333">
        <w:t>, P</w:t>
      </w:r>
      <w:r w:rsidR="00253083">
        <w:t>aris, 1993, p. 268-281</w:t>
      </w:r>
      <w:r w:rsidR="00D8522C">
        <w:t xml:space="preserve"> et 322-351</w:t>
      </w:r>
      <w:r w:rsidRPr="00FB5333">
        <w:t>.</w:t>
      </w:r>
    </w:p>
  </w:footnote>
  <w:footnote w:id="48">
    <w:p w14:paraId="09F68EED" w14:textId="2CC16342" w:rsidR="00FE0914" w:rsidRPr="009D7CE6" w:rsidRDefault="00FE0914" w:rsidP="00BB3522">
      <w:pPr>
        <w:pStyle w:val="Notedebasdepage"/>
        <w:jc w:val="both"/>
        <w:rPr>
          <w:lang w:val="nl-BE"/>
        </w:rPr>
      </w:pPr>
      <w:r>
        <w:rPr>
          <w:rStyle w:val="Appelnotedebasdep"/>
        </w:rPr>
        <w:footnoteRef/>
      </w:r>
      <w:r w:rsidRPr="009D7CE6">
        <w:rPr>
          <w:lang w:val="nl-BE"/>
        </w:rPr>
        <w:t xml:space="preserve"> </w:t>
      </w:r>
      <w:r w:rsidR="009D7CE6" w:rsidRPr="005B077C">
        <w:rPr>
          <w:lang w:val="nl-BE"/>
        </w:rPr>
        <w:t xml:space="preserve">C.-F. </w:t>
      </w:r>
      <w:r w:rsidR="005C0FA2">
        <w:rPr>
          <w:bCs/>
          <w:smallCaps/>
          <w:lang w:val="nl-BE"/>
        </w:rPr>
        <w:t>d</w:t>
      </w:r>
      <w:r w:rsidR="009D7CE6" w:rsidRPr="005B077C">
        <w:rPr>
          <w:bCs/>
          <w:smallCaps/>
          <w:lang w:val="nl-BE"/>
        </w:rPr>
        <w:t>e Nelis</w:t>
      </w:r>
      <w:r w:rsidR="009D7CE6" w:rsidRPr="005B077C">
        <w:rPr>
          <w:bCs/>
          <w:lang w:val="nl-BE"/>
        </w:rPr>
        <w:t xml:space="preserve">, </w:t>
      </w:r>
      <w:r w:rsidR="009D7CE6" w:rsidRPr="005B077C">
        <w:rPr>
          <w:bCs/>
          <w:i/>
          <w:lang w:val="nl-BE"/>
        </w:rPr>
        <w:t>op.</w:t>
      </w:r>
      <w:r w:rsidR="009D7CE6">
        <w:rPr>
          <w:bCs/>
          <w:i/>
          <w:lang w:val="nl-BE"/>
        </w:rPr>
        <w:t>cit.</w:t>
      </w:r>
      <w:r w:rsidR="009D7CE6" w:rsidRPr="005B077C">
        <w:rPr>
          <w:bCs/>
          <w:lang w:val="nl-BE"/>
        </w:rPr>
        <w:t>, p. </w:t>
      </w:r>
      <w:r w:rsidRPr="009D7CE6">
        <w:rPr>
          <w:lang w:val="nl-BE"/>
        </w:rPr>
        <w:t>483-484.</w:t>
      </w:r>
    </w:p>
  </w:footnote>
  <w:footnote w:id="49">
    <w:p w14:paraId="52D5BFA3" w14:textId="318C29F4" w:rsidR="00FE0914" w:rsidRPr="00BB3522" w:rsidRDefault="00FE0914" w:rsidP="00BB3522">
      <w:pPr>
        <w:pStyle w:val="Notedebasdepage"/>
        <w:jc w:val="both"/>
        <w:rPr>
          <w:rFonts w:eastAsia="Times New Roman"/>
          <w:color w:val="0070C0"/>
          <w:lang w:val="en-US"/>
        </w:rPr>
      </w:pPr>
      <w:r w:rsidRPr="00BB3522">
        <w:rPr>
          <w:rStyle w:val="Appelnotedebasdep"/>
        </w:rPr>
        <w:footnoteRef/>
      </w:r>
      <w:r w:rsidRPr="00BB3522">
        <w:t xml:space="preserve"> </w:t>
      </w:r>
      <w:r w:rsidR="00CA4A57" w:rsidRPr="00BB3522">
        <w:t>Sur la préservation des vestiges</w:t>
      </w:r>
      <w:r w:rsidR="00FB5333" w:rsidRPr="00BB3522">
        <w:t xml:space="preserve"> à l’époque moderne : </w:t>
      </w:r>
      <w:r w:rsidR="001C6099">
        <w:t xml:space="preserve">R. </w:t>
      </w:r>
      <w:r w:rsidR="001C6099" w:rsidRPr="00BB3522">
        <w:rPr>
          <w:smallCaps/>
        </w:rPr>
        <w:t>Sweet</w:t>
      </w:r>
      <w:r w:rsidR="001C6099" w:rsidRPr="00BB3522">
        <w:t xml:space="preserve">, </w:t>
      </w:r>
      <w:proofErr w:type="spellStart"/>
      <w:r w:rsidR="001C6099" w:rsidRPr="00BB3522">
        <w:rPr>
          <w:i/>
        </w:rPr>
        <w:t>Antiquaries</w:t>
      </w:r>
      <w:proofErr w:type="spellEnd"/>
      <w:r w:rsidR="001C6099" w:rsidRPr="00BB3522">
        <w:rPr>
          <w:i/>
        </w:rPr>
        <w:t xml:space="preserve">. </w:t>
      </w:r>
      <w:r w:rsidR="001C6099" w:rsidRPr="00BB3522">
        <w:rPr>
          <w:i/>
          <w:lang w:val="en-US"/>
        </w:rPr>
        <w:t>The Discovery of the Past in Eighteenth-Century Britain</w:t>
      </w:r>
      <w:r w:rsidR="001C6099">
        <w:rPr>
          <w:lang w:val="en-US"/>
        </w:rPr>
        <w:t xml:space="preserve">, </w:t>
      </w:r>
      <w:proofErr w:type="spellStart"/>
      <w:r w:rsidR="001C6099">
        <w:rPr>
          <w:lang w:val="en-US"/>
        </w:rPr>
        <w:t>Londres</w:t>
      </w:r>
      <w:proofErr w:type="spellEnd"/>
      <w:r w:rsidR="001C6099">
        <w:rPr>
          <w:lang w:val="en-US"/>
        </w:rPr>
        <w:t>-</w:t>
      </w:r>
      <w:r w:rsidR="001C6099" w:rsidRPr="00BB3522">
        <w:rPr>
          <w:lang w:val="en-US"/>
        </w:rPr>
        <w:t>New York, 2004, p. 277-306</w:t>
      </w:r>
      <w:r w:rsidR="001C6099">
        <w:rPr>
          <w:lang w:val="en-US"/>
        </w:rPr>
        <w:t xml:space="preserve"> ; </w:t>
      </w:r>
      <w:r w:rsidR="009D7CE6" w:rsidRPr="001C6099">
        <w:rPr>
          <w:rFonts w:eastAsia="Times New Roman"/>
          <w:lang w:val="en-US"/>
        </w:rPr>
        <w:t xml:space="preserve">M. </w:t>
      </w:r>
      <w:r w:rsidR="00FB5333" w:rsidRPr="001C6099">
        <w:rPr>
          <w:rFonts w:eastAsia="Times New Roman"/>
          <w:smallCaps/>
          <w:lang w:val="en-US"/>
        </w:rPr>
        <w:t>Greenhalgh</w:t>
      </w:r>
      <w:r w:rsidR="00FB5333" w:rsidRPr="001C6099">
        <w:rPr>
          <w:rFonts w:eastAsia="Times New Roman"/>
          <w:lang w:val="en-US"/>
        </w:rPr>
        <w:t xml:space="preserve">, </w:t>
      </w:r>
      <w:r w:rsidR="00FB5333" w:rsidRPr="001C6099">
        <w:rPr>
          <w:rFonts w:eastAsia="Times New Roman"/>
          <w:i/>
          <w:lang w:val="en-US"/>
        </w:rPr>
        <w:t>Destruction of Cultural Heritage in 19th-century France</w:t>
      </w:r>
      <w:r w:rsidR="00E87DB2" w:rsidRPr="001C6099">
        <w:rPr>
          <w:rFonts w:eastAsia="Times New Roman"/>
          <w:lang w:val="en-US"/>
        </w:rPr>
        <w:t xml:space="preserve">, </w:t>
      </w:r>
      <w:proofErr w:type="spellStart"/>
      <w:r w:rsidR="00E87DB2" w:rsidRPr="001C6099">
        <w:rPr>
          <w:rFonts w:eastAsia="Times New Roman"/>
          <w:lang w:val="en-US"/>
        </w:rPr>
        <w:t>Leyde</w:t>
      </w:r>
      <w:proofErr w:type="spellEnd"/>
      <w:r w:rsidR="00E87DB2" w:rsidRPr="001C6099">
        <w:rPr>
          <w:rFonts w:eastAsia="Times New Roman"/>
          <w:lang w:val="en-US"/>
        </w:rPr>
        <w:t>, 2015</w:t>
      </w:r>
      <w:r w:rsidR="00BB3522" w:rsidRPr="00BB3522">
        <w:rPr>
          <w:lang w:val="en-US"/>
        </w:rPr>
        <w:t>.</w:t>
      </w:r>
    </w:p>
  </w:footnote>
  <w:footnote w:id="50">
    <w:p w14:paraId="5990E657" w14:textId="1679697C" w:rsidR="00815FE7" w:rsidRDefault="00815FE7" w:rsidP="00815FE7">
      <w:pPr>
        <w:pStyle w:val="Notedebasdepage"/>
        <w:jc w:val="both"/>
      </w:pPr>
      <w:r>
        <w:rPr>
          <w:rStyle w:val="Appelnotedebasdep"/>
        </w:rPr>
        <w:footnoteRef/>
      </w:r>
      <w:r>
        <w:rPr>
          <w:bCs/>
          <w:smallCaps/>
          <w:lang w:val="fr-FR"/>
        </w:rPr>
        <w:t xml:space="preserve"> </w:t>
      </w:r>
      <w:r w:rsidRPr="005B077C">
        <w:rPr>
          <w:lang w:val="nl-BE"/>
        </w:rPr>
        <w:t xml:space="preserve">C.-F. </w:t>
      </w:r>
      <w:r w:rsidR="005C0FA2">
        <w:rPr>
          <w:bCs/>
          <w:smallCaps/>
          <w:lang w:val="nl-BE"/>
        </w:rPr>
        <w:t>d</w:t>
      </w:r>
      <w:r w:rsidRPr="005B077C">
        <w:rPr>
          <w:bCs/>
          <w:smallCaps/>
          <w:lang w:val="nl-BE"/>
        </w:rPr>
        <w:t>e Nelis</w:t>
      </w:r>
      <w:r w:rsidRPr="005B077C">
        <w:rPr>
          <w:bCs/>
          <w:lang w:val="nl-BE"/>
        </w:rPr>
        <w:t xml:space="preserve">, </w:t>
      </w:r>
      <w:r w:rsidRPr="005B077C">
        <w:rPr>
          <w:bCs/>
          <w:i/>
          <w:lang w:val="nl-BE"/>
        </w:rPr>
        <w:t>op.</w:t>
      </w:r>
      <w:r>
        <w:rPr>
          <w:bCs/>
          <w:i/>
          <w:lang w:val="nl-BE"/>
        </w:rPr>
        <w:t>cit.</w:t>
      </w:r>
      <w:r w:rsidRPr="005B077C">
        <w:rPr>
          <w:bCs/>
          <w:lang w:val="nl-BE"/>
        </w:rPr>
        <w:t>, p. </w:t>
      </w:r>
      <w:r w:rsidRPr="009D7CE6">
        <w:rPr>
          <w:bCs/>
          <w:lang w:val="nl-BE"/>
        </w:rPr>
        <w:t>472-473</w:t>
      </w:r>
      <w:r>
        <w:rPr>
          <w:bCs/>
          <w:lang w:val="nl-BE"/>
        </w:rPr>
        <w:t xml:space="preserve"> et</w:t>
      </w:r>
      <w:r>
        <w:rPr>
          <w:bCs/>
          <w:lang w:val="fr-FR"/>
        </w:rPr>
        <w:t> 485.</w:t>
      </w:r>
    </w:p>
  </w:footnote>
  <w:footnote w:id="51">
    <w:p w14:paraId="399DADF3" w14:textId="39AA8BBE" w:rsidR="00FE0914" w:rsidRPr="00144DEC" w:rsidRDefault="00FE0914" w:rsidP="00BB3522">
      <w:pPr>
        <w:pStyle w:val="Notedebasdepage"/>
        <w:jc w:val="both"/>
        <w:rPr>
          <w:bCs/>
          <w:lang w:val="fr-FR"/>
        </w:rPr>
      </w:pPr>
      <w:r w:rsidRPr="00144DEC">
        <w:rPr>
          <w:rStyle w:val="Appelnotedebasdep"/>
        </w:rPr>
        <w:footnoteRef/>
      </w:r>
      <w:r w:rsidRPr="00144DEC">
        <w:t xml:space="preserve"> </w:t>
      </w:r>
      <w:r w:rsidR="00B33A70" w:rsidRPr="00144DEC">
        <w:rPr>
          <w:lang w:val="fr-FR"/>
        </w:rPr>
        <w:t>M. E.</w:t>
      </w:r>
      <w:r w:rsidR="00B33A70">
        <w:rPr>
          <w:lang w:val="fr-FR"/>
        </w:rPr>
        <w:t xml:space="preserve"> </w:t>
      </w:r>
      <w:proofErr w:type="spellStart"/>
      <w:r w:rsidRPr="00144DEC">
        <w:rPr>
          <w:lang w:val="fr-FR"/>
        </w:rPr>
        <w:t>M</w:t>
      </w:r>
      <w:r w:rsidRPr="00144DEC">
        <w:rPr>
          <w:smallCaps/>
          <w:lang w:val="fr-FR"/>
        </w:rPr>
        <w:t>ariën</w:t>
      </w:r>
      <w:proofErr w:type="spellEnd"/>
      <w:r w:rsidRPr="00144DEC">
        <w:rPr>
          <w:lang w:val="fr-FR"/>
        </w:rPr>
        <w:t xml:space="preserve">, </w:t>
      </w:r>
      <w:r w:rsidRPr="00144DEC">
        <w:rPr>
          <w:i/>
          <w:lang w:val="fr-FR"/>
        </w:rPr>
        <w:t>La protection des monuments archéologiques en Belgique</w:t>
      </w:r>
      <w:r w:rsidRPr="00144DEC">
        <w:rPr>
          <w:lang w:val="fr-FR"/>
        </w:rPr>
        <w:t>, dans</w:t>
      </w:r>
      <w:r w:rsidRPr="00144DEC">
        <w:rPr>
          <w:i/>
          <w:lang w:val="fr-FR"/>
        </w:rPr>
        <w:t xml:space="preserve"> </w:t>
      </w:r>
      <w:r w:rsidRPr="00144DEC">
        <w:rPr>
          <w:bCs/>
          <w:i/>
          <w:lang w:val="fr-FR"/>
        </w:rPr>
        <w:t>Colloque international concernant la protection des sites et monuments archéologiques</w:t>
      </w:r>
      <w:r w:rsidRPr="00144DEC">
        <w:rPr>
          <w:bCs/>
          <w:lang w:val="fr-FR"/>
        </w:rPr>
        <w:t xml:space="preserve">, </w:t>
      </w:r>
      <w:r w:rsidRPr="00144DEC">
        <w:rPr>
          <w:bCs/>
          <w:i/>
          <w:lang w:val="fr-FR"/>
        </w:rPr>
        <w:t>Bruxelles, 26-24 octobre 1962</w:t>
      </w:r>
      <w:r w:rsidRPr="00144DEC">
        <w:rPr>
          <w:bCs/>
          <w:lang w:val="fr-FR"/>
        </w:rPr>
        <w:t>, Bruxelles, 1962, p. 54.</w:t>
      </w:r>
    </w:p>
  </w:footnote>
  <w:footnote w:id="52">
    <w:p w14:paraId="71270789" w14:textId="10C5887D" w:rsidR="00C2604F" w:rsidRPr="00C2604F" w:rsidRDefault="00C2604F" w:rsidP="00BB3522">
      <w:pPr>
        <w:pStyle w:val="Notedebasdepage"/>
        <w:jc w:val="both"/>
      </w:pPr>
      <w:r>
        <w:rPr>
          <w:rStyle w:val="Appelnotedebasdep"/>
        </w:rPr>
        <w:footnoteRef/>
      </w:r>
      <w:r w:rsidRPr="00C2604F">
        <w:t xml:space="preserve"> </w:t>
      </w:r>
      <w:r w:rsidRPr="00C2604F">
        <w:rPr>
          <w:smallCaps/>
        </w:rPr>
        <w:t>Service public de Wallonie</w:t>
      </w:r>
      <w:r w:rsidRPr="00C2604F">
        <w:t xml:space="preserve">, </w:t>
      </w:r>
      <w:r w:rsidRPr="00C2604F">
        <w:rPr>
          <w:i/>
        </w:rPr>
        <w:t>Aménagement du territoire, logement, patrimoine et énergie. Données documentaires</w:t>
      </w:r>
      <w:r>
        <w:t xml:space="preserve">, </w:t>
      </w:r>
      <w:hyperlink r:id="rId1" w:history="1">
        <w:r w:rsidRPr="00C2604F">
          <w:rPr>
            <w:rStyle w:val="Lienhypertexte"/>
          </w:rPr>
          <w:t>http://lampspw.wallonie.be/dgo4/site_thema/index.php?details=57093-CLT-0002-01&amp;thema=bc_pat</w:t>
        </w:r>
      </w:hyperlink>
      <w:r>
        <w:t xml:space="preserve"> (consulté le </w:t>
      </w:r>
      <w:r w:rsidR="0004686C">
        <w:t>11</w:t>
      </w:r>
      <w:r>
        <w:t>/</w:t>
      </w:r>
      <w:r w:rsidR="0004686C">
        <w:t>01</w:t>
      </w:r>
      <w:r>
        <w:t>/202</w:t>
      </w:r>
      <w:r w:rsidR="0004686C">
        <w:t>2</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75F"/>
    <w:rsid w:val="00015AF7"/>
    <w:rsid w:val="000223CD"/>
    <w:rsid w:val="00032A7E"/>
    <w:rsid w:val="00036506"/>
    <w:rsid w:val="000450FB"/>
    <w:rsid w:val="00045D9D"/>
    <w:rsid w:val="0004686C"/>
    <w:rsid w:val="00063A79"/>
    <w:rsid w:val="00065D0A"/>
    <w:rsid w:val="000953DF"/>
    <w:rsid w:val="000C6247"/>
    <w:rsid w:val="000F7E3F"/>
    <w:rsid w:val="00116F75"/>
    <w:rsid w:val="001176A7"/>
    <w:rsid w:val="00117C92"/>
    <w:rsid w:val="00131BC9"/>
    <w:rsid w:val="00134A96"/>
    <w:rsid w:val="00144DEC"/>
    <w:rsid w:val="001C6099"/>
    <w:rsid w:val="001D7357"/>
    <w:rsid w:val="001F281E"/>
    <w:rsid w:val="0020704D"/>
    <w:rsid w:val="00215829"/>
    <w:rsid w:val="002326DE"/>
    <w:rsid w:val="002418D0"/>
    <w:rsid w:val="00243928"/>
    <w:rsid w:val="00253083"/>
    <w:rsid w:val="00257117"/>
    <w:rsid w:val="00262A3D"/>
    <w:rsid w:val="00267030"/>
    <w:rsid w:val="002676A3"/>
    <w:rsid w:val="0027043F"/>
    <w:rsid w:val="00275E8B"/>
    <w:rsid w:val="002B5E12"/>
    <w:rsid w:val="002D0D13"/>
    <w:rsid w:val="002E758B"/>
    <w:rsid w:val="00301AA0"/>
    <w:rsid w:val="0033514C"/>
    <w:rsid w:val="00344A44"/>
    <w:rsid w:val="00366E9C"/>
    <w:rsid w:val="00387C13"/>
    <w:rsid w:val="00396A4E"/>
    <w:rsid w:val="003974AC"/>
    <w:rsid w:val="003A7AE6"/>
    <w:rsid w:val="003B5AF4"/>
    <w:rsid w:val="003C1F84"/>
    <w:rsid w:val="003C33E2"/>
    <w:rsid w:val="003E28BA"/>
    <w:rsid w:val="003F6025"/>
    <w:rsid w:val="00400348"/>
    <w:rsid w:val="004217F4"/>
    <w:rsid w:val="00452AA4"/>
    <w:rsid w:val="00461E98"/>
    <w:rsid w:val="004743DF"/>
    <w:rsid w:val="00474E73"/>
    <w:rsid w:val="00484AB2"/>
    <w:rsid w:val="00486974"/>
    <w:rsid w:val="004D1814"/>
    <w:rsid w:val="004F26E2"/>
    <w:rsid w:val="004F3F47"/>
    <w:rsid w:val="00510EAE"/>
    <w:rsid w:val="00515800"/>
    <w:rsid w:val="005253F5"/>
    <w:rsid w:val="00547B22"/>
    <w:rsid w:val="0055575F"/>
    <w:rsid w:val="00561420"/>
    <w:rsid w:val="00582759"/>
    <w:rsid w:val="005B077C"/>
    <w:rsid w:val="005C0FA2"/>
    <w:rsid w:val="005D3CF4"/>
    <w:rsid w:val="005E1DFF"/>
    <w:rsid w:val="005F7354"/>
    <w:rsid w:val="00634A93"/>
    <w:rsid w:val="00654E63"/>
    <w:rsid w:val="0066101F"/>
    <w:rsid w:val="006B14D7"/>
    <w:rsid w:val="006B1D31"/>
    <w:rsid w:val="006B2B25"/>
    <w:rsid w:val="006C46CC"/>
    <w:rsid w:val="006C7BA3"/>
    <w:rsid w:val="006D4F90"/>
    <w:rsid w:val="006E4B73"/>
    <w:rsid w:val="006E59B2"/>
    <w:rsid w:val="006F59FD"/>
    <w:rsid w:val="00732006"/>
    <w:rsid w:val="00762704"/>
    <w:rsid w:val="007A1ED2"/>
    <w:rsid w:val="007E3A87"/>
    <w:rsid w:val="007F2422"/>
    <w:rsid w:val="00805704"/>
    <w:rsid w:val="00810155"/>
    <w:rsid w:val="00815FE7"/>
    <w:rsid w:val="008230A5"/>
    <w:rsid w:val="00825099"/>
    <w:rsid w:val="0083638B"/>
    <w:rsid w:val="00857E82"/>
    <w:rsid w:val="00861436"/>
    <w:rsid w:val="00874B3D"/>
    <w:rsid w:val="008830B1"/>
    <w:rsid w:val="0089578D"/>
    <w:rsid w:val="008B7C18"/>
    <w:rsid w:val="008C207C"/>
    <w:rsid w:val="008F7F32"/>
    <w:rsid w:val="0091468F"/>
    <w:rsid w:val="0091755B"/>
    <w:rsid w:val="00966AB8"/>
    <w:rsid w:val="00980395"/>
    <w:rsid w:val="00986A0C"/>
    <w:rsid w:val="00990D4A"/>
    <w:rsid w:val="009A1C6E"/>
    <w:rsid w:val="009C6BE7"/>
    <w:rsid w:val="009D5EEE"/>
    <w:rsid w:val="009D7CE6"/>
    <w:rsid w:val="009F3DBF"/>
    <w:rsid w:val="009F7E61"/>
    <w:rsid w:val="00A03B43"/>
    <w:rsid w:val="00A07EDA"/>
    <w:rsid w:val="00A11AFE"/>
    <w:rsid w:val="00A22492"/>
    <w:rsid w:val="00A50953"/>
    <w:rsid w:val="00A752B5"/>
    <w:rsid w:val="00B14268"/>
    <w:rsid w:val="00B1671B"/>
    <w:rsid w:val="00B33A70"/>
    <w:rsid w:val="00B43913"/>
    <w:rsid w:val="00B51550"/>
    <w:rsid w:val="00B55C13"/>
    <w:rsid w:val="00B55E65"/>
    <w:rsid w:val="00B57BA2"/>
    <w:rsid w:val="00B722FB"/>
    <w:rsid w:val="00BB3522"/>
    <w:rsid w:val="00BD36A3"/>
    <w:rsid w:val="00BD3C99"/>
    <w:rsid w:val="00BD73F6"/>
    <w:rsid w:val="00C10565"/>
    <w:rsid w:val="00C14402"/>
    <w:rsid w:val="00C17686"/>
    <w:rsid w:val="00C20F29"/>
    <w:rsid w:val="00C22B0E"/>
    <w:rsid w:val="00C25BC0"/>
    <w:rsid w:val="00C2604F"/>
    <w:rsid w:val="00C3133B"/>
    <w:rsid w:val="00C3217F"/>
    <w:rsid w:val="00C54C9E"/>
    <w:rsid w:val="00C663C2"/>
    <w:rsid w:val="00C71DE9"/>
    <w:rsid w:val="00C84DF5"/>
    <w:rsid w:val="00C90D66"/>
    <w:rsid w:val="00CA4A57"/>
    <w:rsid w:val="00CA7CEA"/>
    <w:rsid w:val="00CC1E01"/>
    <w:rsid w:val="00CF4453"/>
    <w:rsid w:val="00D03EC0"/>
    <w:rsid w:val="00D262C0"/>
    <w:rsid w:val="00D33408"/>
    <w:rsid w:val="00D455A6"/>
    <w:rsid w:val="00D83E30"/>
    <w:rsid w:val="00D8522C"/>
    <w:rsid w:val="00DA1B82"/>
    <w:rsid w:val="00DB3932"/>
    <w:rsid w:val="00DC09B6"/>
    <w:rsid w:val="00DC7051"/>
    <w:rsid w:val="00DF042C"/>
    <w:rsid w:val="00DF30FE"/>
    <w:rsid w:val="00DF5BF4"/>
    <w:rsid w:val="00E054CC"/>
    <w:rsid w:val="00E16233"/>
    <w:rsid w:val="00E443F9"/>
    <w:rsid w:val="00E56B76"/>
    <w:rsid w:val="00E72B1F"/>
    <w:rsid w:val="00E822DF"/>
    <w:rsid w:val="00E869FC"/>
    <w:rsid w:val="00E87DB2"/>
    <w:rsid w:val="00EB152F"/>
    <w:rsid w:val="00EC0B31"/>
    <w:rsid w:val="00EC1ED8"/>
    <w:rsid w:val="00EE0FFA"/>
    <w:rsid w:val="00EF24C6"/>
    <w:rsid w:val="00F074E5"/>
    <w:rsid w:val="00F52841"/>
    <w:rsid w:val="00F6618F"/>
    <w:rsid w:val="00FB0BCA"/>
    <w:rsid w:val="00FB5333"/>
    <w:rsid w:val="00FC6092"/>
    <w:rsid w:val="00FD176F"/>
    <w:rsid w:val="00FD29DF"/>
    <w:rsid w:val="00FE0914"/>
    <w:rsid w:val="00FE3920"/>
    <w:rsid w:val="00FF712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C288"/>
  <w15:chartTrackingRefBased/>
  <w15:docId w15:val="{73959683-AD7D-41F1-B09C-736A7FD1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fr-B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5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10565"/>
    <w:pPr>
      <w:spacing w:line="240" w:lineRule="auto"/>
    </w:pPr>
    <w:rPr>
      <w:sz w:val="20"/>
      <w:szCs w:val="20"/>
    </w:rPr>
  </w:style>
  <w:style w:type="character" w:customStyle="1" w:styleId="NotedebasdepageCar">
    <w:name w:val="Note de bas de page Car"/>
    <w:basedOn w:val="Policepardfaut"/>
    <w:link w:val="Notedebasdepage"/>
    <w:uiPriority w:val="99"/>
    <w:rsid w:val="00C10565"/>
    <w:rPr>
      <w:sz w:val="20"/>
      <w:szCs w:val="20"/>
    </w:rPr>
  </w:style>
  <w:style w:type="character" w:styleId="Appelnotedebasdep">
    <w:name w:val="footnote reference"/>
    <w:basedOn w:val="Policepardfaut"/>
    <w:unhideWhenUsed/>
    <w:rsid w:val="00C10565"/>
    <w:rPr>
      <w:vertAlign w:val="superscript"/>
    </w:rPr>
  </w:style>
  <w:style w:type="paragraph" w:styleId="En-tte">
    <w:name w:val="header"/>
    <w:basedOn w:val="Normal"/>
    <w:link w:val="En-tteCar"/>
    <w:uiPriority w:val="99"/>
    <w:unhideWhenUsed/>
    <w:rsid w:val="00C25BC0"/>
    <w:pPr>
      <w:tabs>
        <w:tab w:val="center" w:pos="4536"/>
        <w:tab w:val="right" w:pos="9072"/>
      </w:tabs>
      <w:spacing w:line="240" w:lineRule="auto"/>
    </w:pPr>
  </w:style>
  <w:style w:type="character" w:customStyle="1" w:styleId="En-tteCar">
    <w:name w:val="En-tête Car"/>
    <w:basedOn w:val="Policepardfaut"/>
    <w:link w:val="En-tte"/>
    <w:uiPriority w:val="99"/>
    <w:rsid w:val="00C25BC0"/>
  </w:style>
  <w:style w:type="paragraph" w:styleId="Pieddepage">
    <w:name w:val="footer"/>
    <w:basedOn w:val="Normal"/>
    <w:link w:val="PieddepageCar"/>
    <w:uiPriority w:val="99"/>
    <w:unhideWhenUsed/>
    <w:rsid w:val="00C25BC0"/>
    <w:pPr>
      <w:tabs>
        <w:tab w:val="center" w:pos="4536"/>
        <w:tab w:val="right" w:pos="9072"/>
      </w:tabs>
      <w:spacing w:line="240" w:lineRule="auto"/>
    </w:pPr>
  </w:style>
  <w:style w:type="character" w:customStyle="1" w:styleId="PieddepageCar">
    <w:name w:val="Pied de page Car"/>
    <w:basedOn w:val="Policepardfaut"/>
    <w:link w:val="Pieddepage"/>
    <w:uiPriority w:val="99"/>
    <w:rsid w:val="00C25BC0"/>
  </w:style>
  <w:style w:type="paragraph" w:styleId="NormalWeb">
    <w:name w:val="Normal (Web)"/>
    <w:basedOn w:val="Normal"/>
    <w:rsid w:val="00B14268"/>
    <w:pPr>
      <w:suppressAutoHyphens/>
      <w:spacing w:before="280" w:after="280" w:line="240" w:lineRule="auto"/>
    </w:pPr>
    <w:rPr>
      <w:rFonts w:ascii="Times New Roman" w:eastAsia="Times New Roman" w:hAnsi="Times New Roman" w:cs="Times New Roman"/>
      <w:lang w:eastAsia="ar-SA"/>
    </w:rPr>
  </w:style>
  <w:style w:type="character" w:styleId="Marquedecommentaire">
    <w:name w:val="annotation reference"/>
    <w:basedOn w:val="Policepardfaut"/>
    <w:uiPriority w:val="99"/>
    <w:semiHidden/>
    <w:unhideWhenUsed/>
    <w:rsid w:val="00EC0B31"/>
    <w:rPr>
      <w:sz w:val="16"/>
      <w:szCs w:val="16"/>
    </w:rPr>
  </w:style>
  <w:style w:type="paragraph" w:styleId="Commentaire">
    <w:name w:val="annotation text"/>
    <w:basedOn w:val="Normal"/>
    <w:link w:val="CommentaireCar"/>
    <w:uiPriority w:val="99"/>
    <w:semiHidden/>
    <w:unhideWhenUsed/>
    <w:rsid w:val="00EC0B31"/>
    <w:pPr>
      <w:spacing w:line="240" w:lineRule="auto"/>
    </w:pPr>
    <w:rPr>
      <w:sz w:val="20"/>
      <w:szCs w:val="20"/>
    </w:rPr>
  </w:style>
  <w:style w:type="character" w:customStyle="1" w:styleId="CommentaireCar">
    <w:name w:val="Commentaire Car"/>
    <w:basedOn w:val="Policepardfaut"/>
    <w:link w:val="Commentaire"/>
    <w:uiPriority w:val="99"/>
    <w:semiHidden/>
    <w:rsid w:val="00EC0B31"/>
    <w:rPr>
      <w:sz w:val="20"/>
      <w:szCs w:val="20"/>
    </w:rPr>
  </w:style>
  <w:style w:type="paragraph" w:styleId="Objetducommentaire">
    <w:name w:val="annotation subject"/>
    <w:basedOn w:val="Commentaire"/>
    <w:next w:val="Commentaire"/>
    <w:link w:val="ObjetducommentaireCar"/>
    <w:uiPriority w:val="99"/>
    <w:semiHidden/>
    <w:unhideWhenUsed/>
    <w:rsid w:val="00EC0B31"/>
    <w:rPr>
      <w:b/>
      <w:bCs/>
    </w:rPr>
  </w:style>
  <w:style w:type="character" w:customStyle="1" w:styleId="ObjetducommentaireCar">
    <w:name w:val="Objet du commentaire Car"/>
    <w:basedOn w:val="CommentaireCar"/>
    <w:link w:val="Objetducommentaire"/>
    <w:uiPriority w:val="99"/>
    <w:semiHidden/>
    <w:rsid w:val="00EC0B31"/>
    <w:rPr>
      <w:b/>
      <w:bCs/>
      <w:sz w:val="20"/>
      <w:szCs w:val="20"/>
    </w:rPr>
  </w:style>
  <w:style w:type="paragraph" w:styleId="Textedebulles">
    <w:name w:val="Balloon Text"/>
    <w:basedOn w:val="Normal"/>
    <w:link w:val="TextedebullesCar"/>
    <w:uiPriority w:val="99"/>
    <w:semiHidden/>
    <w:unhideWhenUsed/>
    <w:rsid w:val="00EC0B31"/>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C0B31"/>
    <w:rPr>
      <w:rFonts w:ascii="Segoe UI" w:hAnsi="Segoe UI" w:cs="Segoe UI"/>
      <w:sz w:val="18"/>
      <w:szCs w:val="18"/>
    </w:rPr>
  </w:style>
  <w:style w:type="character" w:styleId="Lienhypertexte">
    <w:name w:val="Hyperlink"/>
    <w:basedOn w:val="Policepardfaut"/>
    <w:uiPriority w:val="99"/>
    <w:unhideWhenUsed/>
    <w:rsid w:val="00C260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72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lampspw.wallonie.be/dgo4/site_thema/index.php?details=57093-CLT-0002-01&amp;thema=bc_pa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42DFD-29CA-4C62-BA22-572E62C90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9</Pages>
  <Words>2873</Words>
  <Characters>15060</Characters>
  <Application>Microsoft Office Word</Application>
  <DocSecurity>0</DocSecurity>
  <Lines>206</Lines>
  <Paragraphs>24</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Latteur</dc:creator>
  <cp:keywords/>
  <dc:description/>
  <cp:lastModifiedBy>Olivier Latteur</cp:lastModifiedBy>
  <cp:revision>30</cp:revision>
  <dcterms:created xsi:type="dcterms:W3CDTF">2021-11-09T08:38:00Z</dcterms:created>
  <dcterms:modified xsi:type="dcterms:W3CDTF">2022-01-11T17:47:00Z</dcterms:modified>
</cp:coreProperties>
</file>