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575" w:rsidRPr="00225575" w:rsidRDefault="00225575" w:rsidP="00225575">
      <w:pPr>
        <w:pStyle w:val="Paragraph"/>
        <w:spacing w:before="0"/>
        <w:ind w:firstLine="0"/>
        <w:jc w:val="center"/>
        <w:rPr>
          <w:b/>
        </w:rPr>
      </w:pPr>
      <w:r w:rsidRPr="00225575">
        <w:rPr>
          <w:b/>
        </w:rPr>
        <w:t>Ultra-dense hydrogen in small</w:t>
      </w:r>
      <w:r w:rsidRPr="00225575">
        <w:rPr>
          <w:b/>
        </w:rPr>
        <w:t>-</w:t>
      </w:r>
      <w:r w:rsidRPr="00225575">
        <w:rPr>
          <w:b/>
        </w:rPr>
        <w:t>pore hydridic framework</w:t>
      </w:r>
      <w:r w:rsidR="001A0A50">
        <w:rPr>
          <w:b/>
        </w:rPr>
        <w:t xml:space="preserve"> and </w:t>
      </w:r>
      <w:r w:rsidR="001A0A50" w:rsidRPr="001A0A50">
        <w:rPr>
          <w:b/>
          <w:i/>
        </w:rPr>
        <w:t>in situ</w:t>
      </w:r>
      <w:r w:rsidR="001A0A50">
        <w:rPr>
          <w:b/>
        </w:rPr>
        <w:t xml:space="preserve"> diffraction</w:t>
      </w:r>
      <w:r w:rsidR="00187554">
        <w:rPr>
          <w:b/>
        </w:rPr>
        <w:t xml:space="preserve"> studies of gas adsorption</w:t>
      </w:r>
    </w:p>
    <w:p w:rsidR="00225575" w:rsidRPr="00225575" w:rsidRDefault="00225575" w:rsidP="00225575">
      <w:pPr>
        <w:pStyle w:val="Paragraph"/>
        <w:spacing w:before="0"/>
        <w:ind w:firstLine="0"/>
        <w:jc w:val="center"/>
      </w:pPr>
    </w:p>
    <w:p w:rsidR="005E02C0" w:rsidRDefault="00225575" w:rsidP="00225575">
      <w:pPr>
        <w:pStyle w:val="Paragraph"/>
        <w:spacing w:before="0"/>
        <w:ind w:firstLine="0"/>
        <w:jc w:val="center"/>
        <w:rPr>
          <w:lang w:val="fr-BE"/>
        </w:rPr>
      </w:pPr>
      <w:r w:rsidRPr="00225575">
        <w:rPr>
          <w:lang w:val="fr-BE"/>
        </w:rPr>
        <w:t>Yaroslav Filinchuk</w:t>
      </w:r>
    </w:p>
    <w:p w:rsidR="00225575" w:rsidRPr="00225575" w:rsidRDefault="00225575" w:rsidP="00225575">
      <w:pPr>
        <w:pStyle w:val="Paragraph"/>
        <w:spacing w:before="0"/>
        <w:ind w:firstLine="0"/>
        <w:jc w:val="center"/>
        <w:rPr>
          <w:lang w:val="fr-BE"/>
        </w:rPr>
      </w:pPr>
    </w:p>
    <w:p w:rsidR="00225575" w:rsidRDefault="00225575" w:rsidP="00225575">
      <w:pPr>
        <w:pStyle w:val="Paragraph"/>
        <w:spacing w:before="0"/>
        <w:ind w:firstLine="0"/>
        <w:jc w:val="center"/>
        <w:rPr>
          <w:lang w:val="fr-BE"/>
        </w:rPr>
      </w:pPr>
      <w:r w:rsidRPr="00282293">
        <w:rPr>
          <w:lang w:val="fr-BE"/>
        </w:rPr>
        <w:t xml:space="preserve">Institute of Condensed </w:t>
      </w:r>
      <w:proofErr w:type="spellStart"/>
      <w:r w:rsidRPr="00282293">
        <w:rPr>
          <w:lang w:val="fr-BE"/>
        </w:rPr>
        <w:t>Matter</w:t>
      </w:r>
      <w:proofErr w:type="spellEnd"/>
      <w:r w:rsidRPr="00282293">
        <w:rPr>
          <w:lang w:val="fr-BE"/>
        </w:rPr>
        <w:t xml:space="preserve"> and Nanosciences, </w:t>
      </w:r>
      <w:proofErr w:type="spellStart"/>
      <w:r w:rsidRPr="00282293">
        <w:rPr>
          <w:lang w:val="fr-BE"/>
        </w:rPr>
        <w:t>Universite</w:t>
      </w:r>
      <w:proofErr w:type="spellEnd"/>
      <w:r w:rsidRPr="00282293">
        <w:rPr>
          <w:lang w:val="fr-BE"/>
        </w:rPr>
        <w:t xml:space="preserve">́ </w:t>
      </w:r>
      <w:proofErr w:type="spellStart"/>
      <w:r>
        <w:rPr>
          <w:lang w:val="fr-BE"/>
        </w:rPr>
        <w:t>c</w:t>
      </w:r>
      <w:r w:rsidRPr="00282293">
        <w:rPr>
          <w:lang w:val="fr-BE"/>
        </w:rPr>
        <w:t>atolique</w:t>
      </w:r>
      <w:proofErr w:type="spellEnd"/>
      <w:r w:rsidRPr="00282293">
        <w:rPr>
          <w:lang w:val="fr-BE"/>
        </w:rPr>
        <w:t xml:space="preserve"> de Louvain</w:t>
      </w:r>
    </w:p>
    <w:p w:rsidR="00225575" w:rsidRPr="00282293" w:rsidRDefault="00225575" w:rsidP="00225575">
      <w:pPr>
        <w:pStyle w:val="Paragraph"/>
        <w:spacing w:before="0"/>
        <w:ind w:firstLine="0"/>
        <w:jc w:val="center"/>
        <w:rPr>
          <w:lang w:val="fr-BE"/>
        </w:rPr>
      </w:pPr>
      <w:r w:rsidRPr="00282293">
        <w:rPr>
          <w:lang w:val="fr-BE"/>
        </w:rPr>
        <w:t xml:space="preserve">Place L. Pasteur 1, 1348 Louvain-la-Neuve, </w:t>
      </w:r>
      <w:proofErr w:type="spellStart"/>
      <w:r w:rsidRPr="00282293">
        <w:rPr>
          <w:lang w:val="fr-BE"/>
        </w:rPr>
        <w:t>Belgium</w:t>
      </w:r>
      <w:proofErr w:type="spellEnd"/>
    </w:p>
    <w:p w:rsidR="00225575" w:rsidRDefault="00225575">
      <w:pPr>
        <w:rPr>
          <w:lang w:val="fr-BE"/>
        </w:rPr>
      </w:pPr>
    </w:p>
    <w:p w:rsidR="00225575" w:rsidRDefault="00225575" w:rsidP="00225575">
      <w:pPr>
        <w:jc w:val="both"/>
      </w:pPr>
      <w:proofErr w:type="spellStart"/>
      <w:r w:rsidRPr="00282293">
        <w:t>Nanoporous</w:t>
      </w:r>
      <w:proofErr w:type="spellEnd"/>
      <w:r w:rsidRPr="00282293">
        <w:t xml:space="preserve"> materials have attracted great attention for gas storage, however, high volumetric storage capacity remains still a challenge. </w:t>
      </w:r>
      <w:r w:rsidR="005740AD">
        <w:t>W</w:t>
      </w:r>
      <w:r w:rsidRPr="00282293">
        <w:t xml:space="preserve">e investigate </w:t>
      </w:r>
      <w:r w:rsidR="005740AD">
        <w:t xml:space="preserve">[1] </w:t>
      </w:r>
      <w:r w:rsidRPr="00282293">
        <w:t>a magnesium borohydride framework with small pores and a unique partially negatively-charged non-flat interior for hydrogen and nitrogen uptake by using neutron powder diffraction, volumetric gas adsorption, inelastic neutron scattering, and first-principles calculations. Hydrogen and nitrogen occupy distinctly different adsorption sites in the pores with very different limiting capacities: 2.33 H</w:t>
      </w:r>
      <w:r w:rsidRPr="00282293">
        <w:rPr>
          <w:vertAlign w:val="subscript"/>
        </w:rPr>
        <w:t>2</w:t>
      </w:r>
      <w:r w:rsidRPr="00282293">
        <w:t xml:space="preserve"> and 0.66 N</w:t>
      </w:r>
      <w:r w:rsidRPr="00282293">
        <w:rPr>
          <w:vertAlign w:val="subscript"/>
        </w:rPr>
        <w:t xml:space="preserve">2 </w:t>
      </w:r>
      <w:r w:rsidRPr="00282293">
        <w:t xml:space="preserve">per </w:t>
      </w:r>
      <w:proofErr w:type="gramStart"/>
      <w:r w:rsidRPr="00282293">
        <w:t>Mg(</w:t>
      </w:r>
      <w:proofErr w:type="gramEnd"/>
      <w:r w:rsidRPr="00282293">
        <w:t>BH</w:t>
      </w:r>
      <w:r w:rsidRPr="00282293">
        <w:rPr>
          <w:vertAlign w:val="subscript"/>
        </w:rPr>
        <w:t>4</w:t>
      </w:r>
      <w:r w:rsidRPr="00282293">
        <w:t>)</w:t>
      </w:r>
      <w:r w:rsidRPr="00282293">
        <w:rPr>
          <w:vertAlign w:val="subscript"/>
        </w:rPr>
        <w:t>2</w:t>
      </w:r>
      <w:r w:rsidRPr="00282293">
        <w:t>. Molecular hydrogen is packed extremely dense with about twice the density of liquid hydrogen (144 g H</w:t>
      </w:r>
      <w:r w:rsidRPr="00282293">
        <w:rPr>
          <w:vertAlign w:val="subscript"/>
        </w:rPr>
        <w:t>2</w:t>
      </w:r>
      <w:r w:rsidRPr="00282293">
        <w:t>/L of pore volume), independently measured by three experimental methods. A penta-dihydrogen cluster is discovered where H</w:t>
      </w:r>
      <w:r w:rsidRPr="00282293">
        <w:rPr>
          <w:vertAlign w:val="subscript"/>
        </w:rPr>
        <w:t>2</w:t>
      </w:r>
      <w:r w:rsidRPr="00282293">
        <w:t xml:space="preserve"> molecules in one position have rotational freedom whereas in another have a well-defined orientation and a directional interaction with the framework. This study</w:t>
      </w:r>
      <w:r w:rsidR="005740AD">
        <w:t xml:space="preserve"> [1]</w:t>
      </w:r>
      <w:r w:rsidRPr="00282293">
        <w:t xml:space="preserve"> reveals that densely packed hydrogen can be stabilized in small-pore materials at ambient pressures.</w:t>
      </w:r>
    </w:p>
    <w:p w:rsidR="005740AD" w:rsidRDefault="00187554" w:rsidP="00225575">
      <w:pPr>
        <w:jc w:val="both"/>
      </w:pPr>
      <w:r>
        <w:t>S</w:t>
      </w:r>
      <w:r w:rsidR="001A0A50">
        <w:t xml:space="preserve">tudies of </w:t>
      </w:r>
      <w:proofErr w:type="spellStart"/>
      <w:r w:rsidR="001A0A50">
        <w:t>physisorbed</w:t>
      </w:r>
      <w:proofErr w:type="spellEnd"/>
      <w:r w:rsidR="001A0A50">
        <w:t xml:space="preserve"> hydrogen require</w:t>
      </w:r>
      <w:bookmarkStart w:id="0" w:name="_GoBack"/>
      <w:bookmarkEnd w:id="0"/>
      <w:r w:rsidR="001A0A50">
        <w:t xml:space="preserve"> the use of neutron powder diffraction. For heavier molecules, </w:t>
      </w:r>
      <w:r w:rsidR="001A0A50">
        <w:rPr>
          <w:i/>
        </w:rPr>
        <w:t>i</w:t>
      </w:r>
      <w:r w:rsidR="00977FDC" w:rsidRPr="00977FDC">
        <w:rPr>
          <w:i/>
        </w:rPr>
        <w:t>n situ</w:t>
      </w:r>
      <w:r w:rsidR="00977FDC">
        <w:t xml:space="preserve"> </w:t>
      </w:r>
      <w:r w:rsidR="001A0A50">
        <w:t xml:space="preserve">X-ray </w:t>
      </w:r>
      <w:r w:rsidR="00977FDC">
        <w:t>powder diffraction allows to study adsorption thermodynamics and kinetics [2</w:t>
      </w:r>
      <w:r w:rsidR="00065976">
        <w:t>, 3</w:t>
      </w:r>
      <w:r w:rsidR="00977FDC">
        <w:t>]</w:t>
      </w:r>
      <w:r w:rsidR="00B10C6B">
        <w:t xml:space="preserve">, revealing simultaneously the microscopic origins of guest-host and guest-guest interactions. </w:t>
      </w:r>
      <w:r w:rsidR="00065976">
        <w:t>(Quasi)-equilibrium isotherms and isobars can be built directly from sequential Rietveld refinements, both on adsorption and desorption, thus addressing the hysteresis and kinetics of gas adsorption/desorption. Detailed picture of guest reorganization with an increasing uptake can be obtained.</w:t>
      </w:r>
    </w:p>
    <w:p w:rsidR="005740AD" w:rsidRDefault="005740AD" w:rsidP="005740AD">
      <w:pPr>
        <w:autoSpaceDE w:val="0"/>
        <w:autoSpaceDN w:val="0"/>
        <w:adjustRightInd w:val="0"/>
        <w:spacing w:after="0" w:line="240" w:lineRule="auto"/>
      </w:pPr>
      <w:r>
        <w:t xml:space="preserve">[1] H. Oh, …, Y. Filinchuk, </w:t>
      </w:r>
      <w:r w:rsidRPr="005740AD">
        <w:t>Small-pore hydridic frameworks store</w:t>
      </w:r>
      <w:r>
        <w:t xml:space="preserve"> </w:t>
      </w:r>
      <w:r w:rsidRPr="005740AD">
        <w:t>densely packed hydrogen</w:t>
      </w:r>
      <w:r>
        <w:t xml:space="preserve">. </w:t>
      </w:r>
      <w:r w:rsidRPr="005740AD">
        <w:rPr>
          <w:i/>
        </w:rPr>
        <w:t>Nature Chem.</w:t>
      </w:r>
      <w:r>
        <w:t xml:space="preserve">, </w:t>
      </w:r>
      <w:r w:rsidRPr="005740AD">
        <w:rPr>
          <w:b/>
        </w:rPr>
        <w:t>2024</w:t>
      </w:r>
      <w:r>
        <w:t>, accepted.</w:t>
      </w:r>
    </w:p>
    <w:p w:rsidR="00065976" w:rsidRPr="008F7D45" w:rsidRDefault="00977FDC" w:rsidP="00065976">
      <w:pPr>
        <w:autoSpaceDE w:val="0"/>
        <w:autoSpaceDN w:val="0"/>
        <w:adjustRightInd w:val="0"/>
        <w:spacing w:after="0" w:line="240" w:lineRule="auto"/>
      </w:pPr>
      <w:r>
        <w:t xml:space="preserve">[2] </w:t>
      </w:r>
      <w:r w:rsidR="00065976">
        <w:t xml:space="preserve">I. </w:t>
      </w:r>
      <w:proofErr w:type="spellStart"/>
      <w:r w:rsidR="00065976">
        <w:t>Dovgaliuk</w:t>
      </w:r>
      <w:proofErr w:type="spellEnd"/>
      <w:r w:rsidR="00065976">
        <w:t xml:space="preserve">, </w:t>
      </w:r>
      <w:r w:rsidR="00065976">
        <w:t xml:space="preserve">V. </w:t>
      </w:r>
      <w:proofErr w:type="spellStart"/>
      <w:r w:rsidR="00065976">
        <w:t>Dyadkin</w:t>
      </w:r>
      <w:proofErr w:type="spellEnd"/>
      <w:r w:rsidR="00065976">
        <w:t xml:space="preserve">, </w:t>
      </w:r>
      <w:r w:rsidR="00065976">
        <w:t xml:space="preserve">M. </w:t>
      </w:r>
      <w:r w:rsidR="00065976">
        <w:t xml:space="preserve">Vander </w:t>
      </w:r>
      <w:proofErr w:type="spellStart"/>
      <w:r w:rsidR="00065976">
        <w:t>Donckt</w:t>
      </w:r>
      <w:proofErr w:type="spellEnd"/>
      <w:r w:rsidR="00065976">
        <w:t>,</w:t>
      </w:r>
      <w:r w:rsidR="00065976">
        <w:t xml:space="preserve"> </w:t>
      </w:r>
      <w:r w:rsidR="00065976">
        <w:t xml:space="preserve">Y. </w:t>
      </w:r>
      <w:r w:rsidR="00065976" w:rsidRPr="00065976">
        <w:rPr>
          <w:bCs/>
        </w:rPr>
        <w:t xml:space="preserve">Filinchuk, </w:t>
      </w:r>
      <w:r w:rsidR="00065976">
        <w:rPr>
          <w:bCs/>
        </w:rPr>
        <w:t xml:space="preserve">D. </w:t>
      </w:r>
      <w:proofErr w:type="spellStart"/>
      <w:r w:rsidR="00065976">
        <w:t>Chernyshov</w:t>
      </w:r>
      <w:proofErr w:type="spellEnd"/>
      <w:r w:rsidR="00065976">
        <w:t xml:space="preserve">, </w:t>
      </w:r>
      <w:r w:rsidR="00065976" w:rsidRPr="00065976">
        <w:rPr>
          <w:i/>
        </w:rPr>
        <w:t>ACS Appl. Mater</w:t>
      </w:r>
      <w:r w:rsidR="00065976" w:rsidRPr="00065976">
        <w:t>.</w:t>
      </w:r>
      <w:r w:rsidR="00065976">
        <w:t xml:space="preserve"> </w:t>
      </w:r>
      <w:r w:rsidR="00065976" w:rsidRPr="00065976">
        <w:rPr>
          <w:i/>
        </w:rPr>
        <w:t>Interfaces</w:t>
      </w:r>
      <w:r w:rsidR="00065976" w:rsidRPr="00065976">
        <w:rPr>
          <w:b/>
          <w:bCs/>
        </w:rPr>
        <w:t xml:space="preserve"> </w:t>
      </w:r>
      <w:r w:rsidR="00065976" w:rsidRPr="00065976">
        <w:t>12</w:t>
      </w:r>
      <w:r w:rsidR="00065976">
        <w:t xml:space="preserve">, </w:t>
      </w:r>
      <w:r w:rsidR="00065976" w:rsidRPr="00065976">
        <w:rPr>
          <w:b/>
        </w:rPr>
        <w:t>2020</w:t>
      </w:r>
      <w:r w:rsidR="00065976">
        <w:t>,</w:t>
      </w:r>
      <w:r w:rsidR="00065976" w:rsidRPr="008F7D45">
        <w:t xml:space="preserve"> 7710.</w:t>
      </w:r>
    </w:p>
    <w:p w:rsidR="00977FDC" w:rsidRDefault="00065976" w:rsidP="005740AD">
      <w:pPr>
        <w:autoSpaceDE w:val="0"/>
        <w:autoSpaceDN w:val="0"/>
        <w:adjustRightInd w:val="0"/>
        <w:spacing w:after="0" w:line="240" w:lineRule="auto"/>
      </w:pPr>
      <w:r>
        <w:t xml:space="preserve">[3] </w:t>
      </w:r>
      <w:r w:rsidR="00B10C6B">
        <w:t xml:space="preserve">I. </w:t>
      </w:r>
      <w:proofErr w:type="spellStart"/>
      <w:r w:rsidR="00977FDC">
        <w:t>Dovgaliuk</w:t>
      </w:r>
      <w:proofErr w:type="spellEnd"/>
      <w:r w:rsidR="00977FDC">
        <w:t>,</w:t>
      </w:r>
      <w:r w:rsidR="00B10C6B">
        <w:t xml:space="preserve"> I.</w:t>
      </w:r>
      <w:r w:rsidR="00977FDC">
        <w:t xml:space="preserve"> </w:t>
      </w:r>
      <w:proofErr w:type="spellStart"/>
      <w:r w:rsidR="00977FDC">
        <w:t>Senkovska</w:t>
      </w:r>
      <w:proofErr w:type="spellEnd"/>
      <w:r w:rsidR="00977FDC">
        <w:t xml:space="preserve">, </w:t>
      </w:r>
      <w:r w:rsidR="00B10C6B">
        <w:t xml:space="preserve">X. </w:t>
      </w:r>
      <w:r w:rsidR="00977FDC">
        <w:t xml:space="preserve">Li, </w:t>
      </w:r>
      <w:r w:rsidR="00B10C6B">
        <w:t xml:space="preserve">V. </w:t>
      </w:r>
      <w:proofErr w:type="spellStart"/>
      <w:r w:rsidR="00977FDC">
        <w:t>Dyadkin</w:t>
      </w:r>
      <w:proofErr w:type="spellEnd"/>
      <w:r w:rsidR="00977FDC">
        <w:t xml:space="preserve">, </w:t>
      </w:r>
      <w:r w:rsidR="00B10C6B">
        <w:t xml:space="preserve">Y. </w:t>
      </w:r>
      <w:r w:rsidR="00977FDC" w:rsidRPr="00977FDC">
        <w:rPr>
          <w:rStyle w:val="Strong"/>
          <w:b w:val="0"/>
        </w:rPr>
        <w:t>Filinchuk</w:t>
      </w:r>
      <w:r w:rsidR="00977FDC" w:rsidRPr="00977FDC">
        <w:rPr>
          <w:b/>
        </w:rPr>
        <w:t>,</w:t>
      </w:r>
      <w:r w:rsidR="00977FDC">
        <w:t xml:space="preserve"> </w:t>
      </w:r>
      <w:r w:rsidR="00B10C6B">
        <w:t xml:space="preserve">D. </w:t>
      </w:r>
      <w:proofErr w:type="spellStart"/>
      <w:r w:rsidR="00977FDC">
        <w:t>Chernyshov</w:t>
      </w:r>
      <w:proofErr w:type="spellEnd"/>
      <w:r w:rsidR="00B10C6B">
        <w:t>,</w:t>
      </w:r>
      <w:r w:rsidR="00977FDC" w:rsidRPr="00977FDC">
        <w:t xml:space="preserve"> </w:t>
      </w:r>
      <w:proofErr w:type="spellStart"/>
      <w:r w:rsidR="00977FDC" w:rsidRPr="00977FDC">
        <w:rPr>
          <w:i/>
          <w:iCs/>
        </w:rPr>
        <w:t>Angew</w:t>
      </w:r>
      <w:proofErr w:type="spellEnd"/>
      <w:r w:rsidR="00977FDC" w:rsidRPr="00977FDC">
        <w:rPr>
          <w:i/>
          <w:iCs/>
        </w:rPr>
        <w:t>. Chem. Int. Ed.</w:t>
      </w:r>
      <w:r w:rsidR="00977FDC">
        <w:rPr>
          <w:iCs/>
        </w:rPr>
        <w:t>,</w:t>
      </w:r>
      <w:r w:rsidR="00977FDC">
        <w:rPr>
          <w:rStyle w:val="Strong"/>
        </w:rPr>
        <w:t xml:space="preserve"> </w:t>
      </w:r>
      <w:r w:rsidR="00977FDC">
        <w:t>60</w:t>
      </w:r>
      <w:r w:rsidR="00977FDC">
        <w:t xml:space="preserve">, </w:t>
      </w:r>
      <w:r w:rsidR="00977FDC">
        <w:rPr>
          <w:rStyle w:val="Strong"/>
        </w:rPr>
        <w:t>2021</w:t>
      </w:r>
      <w:r w:rsidR="00977FDC">
        <w:t>,</w:t>
      </w:r>
      <w:r w:rsidR="00977FDC">
        <w:t xml:space="preserve"> 5250</w:t>
      </w:r>
      <w:r w:rsidR="00977FDC">
        <w:t>.</w:t>
      </w:r>
    </w:p>
    <w:p w:rsidR="001A0A50" w:rsidRDefault="001A0A50" w:rsidP="005740AD">
      <w:pPr>
        <w:autoSpaceDE w:val="0"/>
        <w:autoSpaceDN w:val="0"/>
        <w:adjustRightInd w:val="0"/>
        <w:spacing w:after="0" w:line="240" w:lineRule="auto"/>
      </w:pPr>
    </w:p>
    <w:p w:rsidR="001A0A50" w:rsidRDefault="001A0A50" w:rsidP="005740AD">
      <w:pPr>
        <w:autoSpaceDE w:val="0"/>
        <w:autoSpaceDN w:val="0"/>
        <w:adjustRightInd w:val="0"/>
        <w:spacing w:after="0" w:line="240" w:lineRule="auto"/>
      </w:pPr>
      <w:r>
        <w:t xml:space="preserve">I want to use this opportunity to draw your attention to </w:t>
      </w:r>
    </w:p>
    <w:p w:rsidR="001A0A50" w:rsidRDefault="001A0A50" w:rsidP="005740AD">
      <w:pPr>
        <w:autoSpaceDE w:val="0"/>
        <w:autoSpaceDN w:val="0"/>
        <w:adjustRightInd w:val="0"/>
        <w:spacing w:after="0" w:line="240" w:lineRule="auto"/>
      </w:pPr>
      <w:r>
        <w:t xml:space="preserve">the </w:t>
      </w:r>
      <w:r>
        <w:t xml:space="preserve">18th </w:t>
      </w:r>
      <w:r>
        <w:rPr>
          <w:rStyle w:val="Strong"/>
        </w:rPr>
        <w:t>International Symposium on Metal-Hydrogen Systems</w:t>
      </w:r>
      <w:r>
        <w:t xml:space="preserve">, MH2024, in Saint-Malo, French Brittany, on </w:t>
      </w:r>
      <w:r>
        <w:t xml:space="preserve">May </w:t>
      </w:r>
      <w:r>
        <w:t>26</w:t>
      </w:r>
      <w:r w:rsidRPr="001A0A50">
        <w:t>-</w:t>
      </w:r>
      <w:r>
        <w:t>31</w:t>
      </w:r>
      <w:r>
        <w:t>,</w:t>
      </w:r>
      <w:r>
        <w:t xml:space="preserve"> 2024</w:t>
      </w:r>
      <w:r>
        <w:t xml:space="preserve">, see </w:t>
      </w:r>
      <w:hyperlink r:id="rId4" w:history="1">
        <w:r w:rsidRPr="003557C2">
          <w:rPr>
            <w:rStyle w:val="Hyperlink"/>
          </w:rPr>
          <w:t>https://mh2024.org/</w:t>
        </w:r>
      </w:hyperlink>
    </w:p>
    <w:p w:rsidR="001A0A50" w:rsidRPr="00225575" w:rsidRDefault="00582704" w:rsidP="005740AD">
      <w:pPr>
        <w:autoSpaceDE w:val="0"/>
        <w:autoSpaceDN w:val="0"/>
        <w:adjustRightInd w:val="0"/>
        <w:spacing w:after="0" w:line="240" w:lineRule="auto"/>
      </w:pPr>
      <w:r>
        <w:t xml:space="preserve">and to </w:t>
      </w:r>
      <w:r w:rsidR="001A0A50">
        <w:t xml:space="preserve">the </w:t>
      </w:r>
      <w:r w:rsidR="001A0A50" w:rsidRPr="00582704">
        <w:rPr>
          <w:b/>
        </w:rPr>
        <w:t>Gordon Research Conference on Hydroge</w:t>
      </w:r>
      <w:r w:rsidRPr="00582704">
        <w:rPr>
          <w:b/>
        </w:rPr>
        <w:t>n</w:t>
      </w:r>
      <w:r w:rsidR="001A0A50" w:rsidRPr="00582704">
        <w:rPr>
          <w:b/>
        </w:rPr>
        <w:t>-Metal Systems</w:t>
      </w:r>
      <w:r w:rsidR="001A0A50">
        <w:t xml:space="preserve">, on </w:t>
      </w:r>
      <w:r w:rsidR="001A0A50">
        <w:rPr>
          <w:rStyle w:val="datetitle"/>
        </w:rPr>
        <w:t xml:space="preserve">June 22-27, 2025 </w:t>
      </w:r>
      <w:r w:rsidR="001A0A50">
        <w:t xml:space="preserve">in </w:t>
      </w:r>
      <w:r w:rsidR="001A0A50">
        <w:t xml:space="preserve">Les </w:t>
      </w:r>
      <w:proofErr w:type="spellStart"/>
      <w:r w:rsidR="001A0A50">
        <w:t>Diablerets</w:t>
      </w:r>
      <w:proofErr w:type="spellEnd"/>
      <w:r w:rsidR="001A0A50">
        <w:t>, Switzerland</w:t>
      </w:r>
      <w:r>
        <w:t xml:space="preserve">, see </w:t>
      </w:r>
      <w:hyperlink r:id="rId5" w:history="1">
        <w:r w:rsidRPr="003557C2">
          <w:rPr>
            <w:rStyle w:val="Hyperlink"/>
          </w:rPr>
          <w:t>https://www.grc.org/hydrogen-metal-systems-conference/2025/</w:t>
        </w:r>
      </w:hyperlink>
      <w:r>
        <w:t xml:space="preserve"> </w:t>
      </w:r>
    </w:p>
    <w:sectPr w:rsidR="001A0A50" w:rsidRPr="002255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5B"/>
    <w:rsid w:val="00065976"/>
    <w:rsid w:val="00187554"/>
    <w:rsid w:val="001A0A50"/>
    <w:rsid w:val="00225575"/>
    <w:rsid w:val="0043605B"/>
    <w:rsid w:val="005740AD"/>
    <w:rsid w:val="00582704"/>
    <w:rsid w:val="00977FDC"/>
    <w:rsid w:val="00A04B17"/>
    <w:rsid w:val="00B10C6B"/>
    <w:rsid w:val="00B242A6"/>
    <w:rsid w:val="00F8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C073AB"/>
  <w15:chartTrackingRefBased/>
  <w15:docId w15:val="{63196479-4BF2-4CA4-8CF9-3CA01F3B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9"/>
    <w:rsid w:val="00065976"/>
    <w:pPr>
      <w:keepNext/>
      <w:spacing w:after="120" w:line="240" w:lineRule="auto"/>
      <w:ind w:left="567" w:hanging="567"/>
      <w:jc w:val="both"/>
      <w:outlineLvl w:val="3"/>
    </w:pPr>
    <w:rPr>
      <w:rFonts w:ascii="Times New Roman" w:eastAsia="Times New Roman" w:hAnsi="Times New Roman" w:cs="Times New Roman"/>
      <w:bCs/>
      <w:sz w:val="18"/>
      <w:szCs w:val="24"/>
      <w:lang w:val="en-GB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">
    <w:name w:val="Head"/>
    <w:basedOn w:val="Normal"/>
    <w:rsid w:val="00225575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</w:rPr>
  </w:style>
  <w:style w:type="paragraph" w:customStyle="1" w:styleId="Paragraph">
    <w:name w:val="Paragraph"/>
    <w:basedOn w:val="Normal"/>
    <w:rsid w:val="00225575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7FDC"/>
    <w:rPr>
      <w:b/>
      <w:bCs/>
    </w:rPr>
  </w:style>
  <w:style w:type="character" w:styleId="Emphasis">
    <w:name w:val="Emphasis"/>
    <w:basedOn w:val="DefaultParagraphFont"/>
    <w:uiPriority w:val="20"/>
    <w:qFormat/>
    <w:rsid w:val="00977FDC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9"/>
    <w:rsid w:val="00065976"/>
    <w:rPr>
      <w:rFonts w:ascii="Times New Roman" w:eastAsia="Times New Roman" w:hAnsi="Times New Roman" w:cs="Times New Roman"/>
      <w:bCs/>
      <w:sz w:val="18"/>
      <w:szCs w:val="24"/>
      <w:lang w:val="en-GB" w:eastAsia="cs-CZ"/>
    </w:rPr>
  </w:style>
  <w:style w:type="character" w:styleId="Hyperlink">
    <w:name w:val="Hyperlink"/>
    <w:basedOn w:val="DefaultParagraphFont"/>
    <w:uiPriority w:val="99"/>
    <w:unhideWhenUsed/>
    <w:rsid w:val="001A0A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0A50"/>
    <w:rPr>
      <w:color w:val="605E5C"/>
      <w:shd w:val="clear" w:color="auto" w:fill="E1DFDD"/>
    </w:rPr>
  </w:style>
  <w:style w:type="character" w:customStyle="1" w:styleId="datetitle">
    <w:name w:val="datetitle"/>
    <w:basedOn w:val="DefaultParagraphFont"/>
    <w:rsid w:val="001A0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rc.org/hydrogen-metal-systems-conference/2025/" TargetMode="External"/><Relationship Id="rId4" Type="http://schemas.openxmlformats.org/officeDocument/2006/relationships/hyperlink" Target="https://mh2024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Yaroslav Filinchuk</dc:creator>
  <cp:keywords/>
  <dc:description/>
  <cp:lastModifiedBy>Yaroslav Filinchuk</cp:lastModifiedBy>
  <cp:revision>6</cp:revision>
  <dcterms:created xsi:type="dcterms:W3CDTF">2024-01-29T15:54:00Z</dcterms:created>
  <dcterms:modified xsi:type="dcterms:W3CDTF">2024-01-29T17:08:00Z</dcterms:modified>
</cp:coreProperties>
</file>