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F2BF" w14:textId="77777777" w:rsidR="000D5379" w:rsidRPr="00BE3749" w:rsidRDefault="007A15C8" w:rsidP="00156205">
      <w:pPr>
        <w:jc w:val="both"/>
        <w:rPr>
          <w:rFonts w:ascii="Calibri" w:hAnsi="Calibri" w:cs="Calibri"/>
          <w:sz w:val="16"/>
          <w:szCs w:val="16"/>
        </w:rPr>
      </w:pPr>
      <w:r w:rsidRPr="00156205">
        <w:rPr>
          <w:rFonts w:ascii="Calibri" w:hAnsi="Calibri" w:cs="Calibri"/>
          <w:noProof/>
          <w:sz w:val="22"/>
          <w:szCs w:val="22"/>
          <w:lang w:eastAsia="fr-BE"/>
        </w:rPr>
        <mc:AlternateContent>
          <mc:Choice Requires="wps">
            <w:drawing>
              <wp:anchor distT="0" distB="0" distL="114300" distR="114300" simplePos="0" relativeHeight="251659264" behindDoc="0" locked="0" layoutInCell="1" allowOverlap="1" wp14:anchorId="350F67BE" wp14:editId="2B0BAFED">
                <wp:simplePos x="0" y="0"/>
                <wp:positionH relativeFrom="column">
                  <wp:posOffset>-71755</wp:posOffset>
                </wp:positionH>
                <wp:positionV relativeFrom="paragraph">
                  <wp:posOffset>93172</wp:posOffset>
                </wp:positionV>
                <wp:extent cx="1432800" cy="378000"/>
                <wp:effectExtent l="0" t="0" r="2540" b="3175"/>
                <wp:wrapNone/>
                <wp:docPr id="3" name="Zone de texte 3"/>
                <wp:cNvGraphicFramePr/>
                <a:graphic xmlns:a="http://schemas.openxmlformats.org/drawingml/2006/main">
                  <a:graphicData uri="http://schemas.microsoft.com/office/word/2010/wordprocessingShape">
                    <wps:wsp>
                      <wps:cNvSpPr txBox="1"/>
                      <wps:spPr>
                        <a:xfrm>
                          <a:off x="0" y="0"/>
                          <a:ext cx="1432800" cy="378000"/>
                        </a:xfrm>
                        <a:prstGeom prst="rect">
                          <a:avLst/>
                        </a:prstGeom>
                        <a:solidFill>
                          <a:schemeClr val="lt1"/>
                        </a:solidFill>
                        <a:ln w="6350">
                          <a:noFill/>
                        </a:ln>
                      </wps:spPr>
                      <wps:txbx>
                        <w:txbxContent>
                          <w:p w14:paraId="148B5514" w14:textId="7CCD7386" w:rsidR="00156205" w:rsidRPr="007A15C8" w:rsidRDefault="002F1EE0" w:rsidP="007A15C8">
                            <w:pPr>
                              <w:shd w:val="clear" w:color="auto" w:fill="C00000"/>
                              <w:jc w:val="center"/>
                              <w:rPr>
                                <w:rFonts w:asciiTheme="majorHAnsi" w:hAnsiTheme="majorHAnsi" w:cstheme="majorHAnsi"/>
                                <w:sz w:val="36"/>
                                <w:szCs w:val="36"/>
                                <w:lang w:val="nl-NL"/>
                              </w:rPr>
                            </w:pPr>
                            <w:r>
                              <w:rPr>
                                <w:rFonts w:asciiTheme="majorHAnsi" w:hAnsiTheme="majorHAnsi" w:cstheme="majorHAnsi"/>
                                <w:sz w:val="36"/>
                                <w:szCs w:val="36"/>
                                <w:lang w:val="nl-NL"/>
                              </w:rPr>
                              <w:t>Contrat</w:t>
                            </w:r>
                            <w:r w:rsidR="00E44E71">
                              <w:rPr>
                                <w:rFonts w:asciiTheme="majorHAnsi" w:hAnsiTheme="majorHAnsi" w:cstheme="majorHAnsi"/>
                                <w:sz w:val="36"/>
                                <w:szCs w:val="36"/>
                                <w:lang w:val="nl-N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F67BE" id="_x0000_t202" coordsize="21600,21600" o:spt="202" path="m,l,21600r21600,l21600,xe">
                <v:stroke joinstyle="miter"/>
                <v:path gradientshapeok="t" o:connecttype="rect"/>
              </v:shapetype>
              <v:shape id="Zone de texte 3" o:spid="_x0000_s1026" type="#_x0000_t202" style="position:absolute;left:0;text-align:left;margin-left:-5.65pt;margin-top:7.35pt;width:112.8pt;height: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" fillcolor="white [3201]" stroked="f" strokeweight=".5pt">
                <v:textbox>
                  <w:txbxContent>
                    <w:p w14:paraId="148B5514" w14:textId="7CCD7386" w:rsidR="00156205" w:rsidRPr="007A15C8" w:rsidRDefault="002F1EE0" w:rsidP="007A15C8">
                      <w:pPr>
                        <w:shd w:val="clear" w:color="auto" w:fill="C00000"/>
                        <w:jc w:val="center"/>
                        <w:rPr>
                          <w:rFonts w:asciiTheme="majorHAnsi" w:hAnsiTheme="majorHAnsi" w:cstheme="majorHAnsi"/>
                          <w:sz w:val="36"/>
                          <w:szCs w:val="36"/>
                          <w:lang w:val="nl-NL"/>
                        </w:rPr>
                      </w:pPr>
                      <w:proofErr w:type="spellStart"/>
                      <w:r>
                        <w:rPr>
                          <w:rFonts w:asciiTheme="majorHAnsi" w:hAnsiTheme="majorHAnsi" w:cstheme="majorHAnsi"/>
                          <w:sz w:val="36"/>
                          <w:szCs w:val="36"/>
                          <w:lang w:val="nl-NL"/>
                        </w:rPr>
                        <w:t>Contrat</w:t>
                      </w:r>
                      <w:r w:rsidR="00E44E71">
                        <w:rPr>
                          <w:rFonts w:asciiTheme="majorHAnsi" w:hAnsiTheme="majorHAnsi" w:cstheme="majorHAnsi"/>
                          <w:sz w:val="36"/>
                          <w:szCs w:val="36"/>
                          <w:lang w:val="nl-NL"/>
                        </w:rPr>
                        <w:t>s</w:t>
                      </w:r>
                      <w:proofErr w:type="spellEnd"/>
                    </w:p>
                  </w:txbxContent>
                </v:textbox>
              </v:shape>
            </w:pict>
          </mc:Fallback>
        </mc:AlternateContent>
      </w:r>
    </w:p>
    <w:p w14:paraId="40194D6C" w14:textId="77777777" w:rsidR="00156205" w:rsidRPr="00156205" w:rsidRDefault="00156205" w:rsidP="00156205">
      <w:pPr>
        <w:jc w:val="both"/>
        <w:rPr>
          <w:rFonts w:ascii="Calibri" w:hAnsi="Calibri" w:cs="Calibri"/>
          <w:sz w:val="22"/>
          <w:szCs w:val="22"/>
        </w:rPr>
      </w:pPr>
    </w:p>
    <w:p w14:paraId="25BBFF61" w14:textId="77777777" w:rsidR="00156205" w:rsidRPr="00156205" w:rsidRDefault="00156205" w:rsidP="00156205">
      <w:pPr>
        <w:jc w:val="both"/>
        <w:rPr>
          <w:rFonts w:ascii="Calibri" w:hAnsi="Calibri" w:cs="Calibri"/>
          <w:sz w:val="22"/>
          <w:szCs w:val="22"/>
        </w:rPr>
      </w:pPr>
    </w:p>
    <w:p w14:paraId="3840E93B" w14:textId="77777777" w:rsidR="00156205" w:rsidRPr="00100859" w:rsidRDefault="00156205" w:rsidP="00156205">
      <w:pPr>
        <w:autoSpaceDE w:val="0"/>
        <w:autoSpaceDN w:val="0"/>
        <w:adjustRightInd w:val="0"/>
        <w:jc w:val="both"/>
        <w:rPr>
          <w:rFonts w:ascii="Calibri" w:hAnsi="Calibri" w:cs="Calibri"/>
          <w:color w:val="C90025"/>
          <w:sz w:val="16"/>
          <w:szCs w:val="16"/>
          <w:lang w:val="fr-FR"/>
        </w:rPr>
      </w:pPr>
    </w:p>
    <w:p w14:paraId="2D4050BB" w14:textId="60025816" w:rsidR="00156205" w:rsidRPr="00620B45" w:rsidRDefault="0088712C" w:rsidP="00156205">
      <w:pPr>
        <w:autoSpaceDE w:val="0"/>
        <w:autoSpaceDN w:val="0"/>
        <w:adjustRightInd w:val="0"/>
        <w:jc w:val="both"/>
        <w:rPr>
          <w:rFonts w:asciiTheme="majorHAnsi" w:hAnsiTheme="majorHAnsi" w:cstheme="majorHAnsi"/>
          <w:color w:val="C90025"/>
          <w:sz w:val="36"/>
          <w:szCs w:val="36"/>
          <w:lang w:val="fr-FR"/>
        </w:rPr>
      </w:pPr>
      <w:r>
        <w:rPr>
          <w:rFonts w:asciiTheme="majorHAnsi" w:hAnsiTheme="majorHAnsi" w:cstheme="majorHAnsi"/>
          <w:color w:val="C90025"/>
          <w:sz w:val="36"/>
          <w:szCs w:val="36"/>
          <w:lang w:val="fr-FR"/>
        </w:rPr>
        <w:t>L</w:t>
      </w:r>
      <w:r w:rsidR="002F1EE0">
        <w:rPr>
          <w:rFonts w:asciiTheme="majorHAnsi" w:hAnsiTheme="majorHAnsi" w:cstheme="majorHAnsi"/>
          <w:color w:val="C90025"/>
          <w:sz w:val="36"/>
          <w:szCs w:val="36"/>
          <w:lang w:val="fr-FR"/>
        </w:rPr>
        <w:t>a réserve de propriété, les risques et la demeure</w:t>
      </w:r>
    </w:p>
    <w:p w14:paraId="02CE42CC" w14:textId="77777777" w:rsidR="002F1EE0" w:rsidRDefault="002F1EE0" w:rsidP="002F1EE0">
      <w:pPr>
        <w:jc w:val="both"/>
        <w:rPr>
          <w:rFonts w:ascii="Calibri Light" w:hAnsi="Calibri Light" w:cs="Calibri Light"/>
          <w:color w:val="7F7F7F"/>
          <w:sz w:val="22"/>
          <w:szCs w:val="22"/>
          <w:highlight w:val="magenta"/>
        </w:rPr>
      </w:pPr>
    </w:p>
    <w:p w14:paraId="6D890D99" w14:textId="0B281159" w:rsidR="002F1EE0" w:rsidRPr="002F1EE0" w:rsidRDefault="002F1EE0" w:rsidP="002F1EE0">
      <w:pPr>
        <w:jc w:val="both"/>
        <w:rPr>
          <w:rFonts w:ascii="Calibri Light" w:hAnsi="Calibri Light" w:cs="Calibri Light"/>
          <w:color w:val="7F7F7F"/>
          <w:sz w:val="22"/>
          <w:szCs w:val="22"/>
        </w:rPr>
      </w:pPr>
      <w:r w:rsidRPr="002F1EE0">
        <w:rPr>
          <w:rFonts w:ascii="Calibri Light" w:hAnsi="Calibri Light" w:cs="Calibri Light"/>
          <w:color w:val="7F7F7F"/>
          <w:sz w:val="22"/>
          <w:szCs w:val="22"/>
        </w:rPr>
        <w:t>En matière de transfert des risques, la clause de réserve de propriété prévaut-elle sur la demeure de l’acheteur en défaut de payer le prix</w:t>
      </w:r>
      <w:r>
        <w:rPr>
          <w:rFonts w:ascii="Calibri Light" w:hAnsi="Calibri Light" w:cs="Calibri Light"/>
          <w:color w:val="7F7F7F"/>
          <w:sz w:val="22"/>
          <w:szCs w:val="22"/>
        </w:rPr>
        <w:t> ?</w:t>
      </w:r>
      <w:r w:rsidRPr="002F1EE0">
        <w:rPr>
          <w:rFonts w:ascii="Calibri Light" w:hAnsi="Calibri Light" w:cs="Calibri Light"/>
          <w:color w:val="7F7F7F"/>
          <w:sz w:val="22"/>
          <w:szCs w:val="22"/>
        </w:rPr>
        <w:t xml:space="preserve"> Voilà la question à laquelle répond un arrêt du 21 novembre 2024 de la Cour de cassation</w:t>
      </w:r>
      <w:r w:rsidRPr="00744F8D">
        <w:rPr>
          <w:rFonts w:ascii="Calibri Light" w:hAnsi="Calibri Light" w:cs="Calibri Light"/>
          <w:bCs/>
          <w:color w:val="FF0000"/>
          <w:sz w:val="22"/>
          <w:szCs w:val="22"/>
        </w:rPr>
        <w:t>*</w:t>
      </w:r>
      <w:r w:rsidRPr="002F1EE0">
        <w:rPr>
          <w:rStyle w:val="Appelnotedebasdep"/>
          <w:rFonts w:ascii="Calibri Light" w:hAnsi="Calibri Light" w:cs="Calibri Light"/>
          <w:color w:val="7F7F7F"/>
          <w:sz w:val="22"/>
          <w:szCs w:val="22"/>
        </w:rPr>
        <w:footnoteReference w:id="2"/>
      </w:r>
      <w:r w:rsidRPr="002F1EE0">
        <w:rPr>
          <w:rFonts w:ascii="Calibri Light" w:hAnsi="Calibri Light" w:cs="Calibri Light"/>
          <w:color w:val="7F7F7F"/>
          <w:sz w:val="22"/>
          <w:szCs w:val="22"/>
        </w:rPr>
        <w:t>. Une convention de cession de parts sociales avait été conclue avec réserve de propriété jusqu’au paiement complet du prix. Des mensualités restant impayées, le vendeur avait cité l’acheteur en justice. Condamné à payer le prix en première instance, l’acheteur interjeta appel. Très peu de temps après, la société dont les parts faisaient l’objet du contrat fut déclarée en faillite, et celle-ci fut clôturée à défaut d’actif. Selon, l’acquéreur, en vertu de la clause de réserve de propriété, les risques étaient restés à charge du vendeur de sorte qu’il ne devait plus payer le prix. La cour d’appel l’a suivi : elle réforme le jugement entrepris et déclare la demande en paiement du prix non fondée, considérant que les parts cédées avaient cessé d’exister en raison de la faillite, rendant l’exécution (le transfert de propriété) impossible.</w:t>
      </w:r>
    </w:p>
    <w:p w14:paraId="39F71F1C" w14:textId="77777777" w:rsidR="002F1EE0" w:rsidRDefault="002F1EE0" w:rsidP="002F1EE0">
      <w:pPr>
        <w:jc w:val="both"/>
        <w:rPr>
          <w:rFonts w:ascii="Calibri Light" w:hAnsi="Calibri Light" w:cs="Calibri Light"/>
          <w:color w:val="7F7F7F"/>
          <w:sz w:val="22"/>
          <w:szCs w:val="22"/>
        </w:rPr>
      </w:pPr>
    </w:p>
    <w:p w14:paraId="3DDB8D16" w14:textId="1B2E3FF4" w:rsidR="002F1EE0" w:rsidRPr="002F1EE0" w:rsidRDefault="002F1EE0" w:rsidP="002F1EE0">
      <w:pPr>
        <w:jc w:val="both"/>
        <w:rPr>
          <w:rFonts w:ascii="Calibri Light" w:hAnsi="Calibri Light" w:cs="Calibri Light"/>
          <w:color w:val="7F7F7F"/>
          <w:sz w:val="22"/>
          <w:szCs w:val="22"/>
        </w:rPr>
      </w:pPr>
      <w:r w:rsidRPr="002F1EE0">
        <w:rPr>
          <w:rFonts w:ascii="Calibri Light" w:hAnsi="Calibri Light" w:cs="Calibri Light"/>
          <w:color w:val="7F7F7F"/>
          <w:sz w:val="22"/>
          <w:szCs w:val="22"/>
        </w:rPr>
        <w:t>Devant la Cour de cassation, le vendeur soutenait que, si la clause de réserve de propriété a pour conséquence que les risques restent à charge du vendeur</w:t>
      </w:r>
      <w:r w:rsidRPr="002F1EE0">
        <w:rPr>
          <w:rStyle w:val="Appelnotedebasdep"/>
          <w:rFonts w:ascii="Calibri Light" w:hAnsi="Calibri Light" w:cs="Calibri Light"/>
          <w:color w:val="7F7F7F"/>
          <w:sz w:val="22"/>
          <w:szCs w:val="22"/>
        </w:rPr>
        <w:footnoteReference w:id="3"/>
      </w:r>
      <w:r w:rsidRPr="002F1EE0">
        <w:rPr>
          <w:rFonts w:ascii="Calibri Light" w:hAnsi="Calibri Light" w:cs="Calibri Light"/>
          <w:color w:val="7F7F7F"/>
          <w:sz w:val="22"/>
          <w:szCs w:val="22"/>
        </w:rPr>
        <w:t>, la mise en demeure de l’acheteur, ici assigné en paiement du prix, a pour effet que les risques passent à sa charge. Aux termes de son unique moyen, l’arrêt l’ayant privé du paiement du prix, aux seuls motifs que les parts sociales objet de la vente avaient disparu au cours de la procédure d’appel en raison de la clôture de la faillite de la société et que les risques étaient restés à sa charge</w:t>
      </w:r>
      <w:r>
        <w:rPr>
          <w:rFonts w:ascii="Calibri Light" w:hAnsi="Calibri Light" w:cs="Calibri Light"/>
          <w:color w:val="7F7F7F"/>
          <w:sz w:val="22"/>
          <w:szCs w:val="22"/>
        </w:rPr>
        <w:t>,</w:t>
      </w:r>
      <w:r w:rsidRPr="002F1EE0">
        <w:rPr>
          <w:rFonts w:ascii="Calibri Light" w:hAnsi="Calibri Light" w:cs="Calibri Light"/>
          <w:color w:val="7F7F7F"/>
          <w:sz w:val="22"/>
          <w:szCs w:val="22"/>
        </w:rPr>
        <w:t xml:space="preserve"> devait subir la censure de la Cour de cassation (violation notamment de l’article 1138, al. 2, de l’ancien Code civil</w:t>
      </w:r>
      <w:r w:rsidRPr="002F1EE0">
        <w:rPr>
          <w:rStyle w:val="Appelnotedebasdep"/>
          <w:rFonts w:ascii="Calibri Light" w:hAnsi="Calibri Light" w:cs="Calibri Light"/>
          <w:color w:val="7F7F7F"/>
          <w:sz w:val="22"/>
          <w:szCs w:val="22"/>
        </w:rPr>
        <w:footnoteReference w:id="4"/>
      </w:r>
      <w:r w:rsidRPr="002F1EE0">
        <w:rPr>
          <w:rFonts w:ascii="Calibri Light" w:hAnsi="Calibri Light" w:cs="Calibri Light"/>
          <w:color w:val="7F7F7F"/>
          <w:sz w:val="22"/>
          <w:szCs w:val="22"/>
        </w:rPr>
        <w:t>).</w:t>
      </w:r>
    </w:p>
    <w:p w14:paraId="0E21D591" w14:textId="77777777" w:rsidR="002F1EE0" w:rsidRDefault="002F1EE0" w:rsidP="002F1EE0">
      <w:pPr>
        <w:jc w:val="both"/>
        <w:rPr>
          <w:rFonts w:ascii="Calibri Light" w:hAnsi="Calibri Light" w:cs="Calibri Light"/>
          <w:color w:val="7F7F7F"/>
          <w:sz w:val="22"/>
          <w:szCs w:val="22"/>
        </w:rPr>
      </w:pPr>
    </w:p>
    <w:p w14:paraId="2AC04B0D" w14:textId="58715049" w:rsidR="002F1EE0" w:rsidRPr="002F1EE0" w:rsidRDefault="002F1EE0" w:rsidP="002F1EE0">
      <w:pPr>
        <w:jc w:val="both"/>
        <w:rPr>
          <w:rFonts w:ascii="Calibri Light" w:hAnsi="Calibri Light" w:cs="Calibri Light"/>
          <w:color w:val="7F7F7F"/>
          <w:sz w:val="22"/>
          <w:szCs w:val="22"/>
        </w:rPr>
      </w:pPr>
      <w:r w:rsidRPr="002F1EE0">
        <w:rPr>
          <w:rFonts w:ascii="Calibri Light" w:hAnsi="Calibri Light" w:cs="Calibri Light"/>
          <w:color w:val="7F7F7F"/>
          <w:sz w:val="22"/>
          <w:szCs w:val="22"/>
        </w:rPr>
        <w:t>La Cour de cassation rejette le pourvoi : « </w:t>
      </w:r>
      <w:r w:rsidRPr="002F1EE0">
        <w:rPr>
          <w:rFonts w:ascii="Calibri Light" w:hAnsi="Calibri Light" w:cs="Calibri Light"/>
          <w:i/>
          <w:iCs/>
          <w:color w:val="7F7F7F"/>
          <w:sz w:val="22"/>
          <w:szCs w:val="22"/>
        </w:rPr>
        <w:t xml:space="preserve">(…) lorsque les parties reportent le transfert de propriété de la chose vendue jusqu’au paiement intégral du prix, le vendeur, qui reste débiteur de l’obligation de transférer la propriété auquel le transfert des risques est lié, continue à supporter lesdits risques, </w:t>
      </w:r>
      <w:proofErr w:type="spellStart"/>
      <w:r w:rsidRPr="002F1EE0">
        <w:rPr>
          <w:rFonts w:ascii="Calibri Light" w:hAnsi="Calibri Light" w:cs="Calibri Light"/>
          <w:i/>
          <w:iCs/>
          <w:color w:val="7F7F7F"/>
          <w:sz w:val="22"/>
          <w:szCs w:val="22"/>
        </w:rPr>
        <w:t>lors</w:t>
      </w:r>
      <w:proofErr w:type="spellEnd"/>
      <w:r w:rsidRPr="002F1EE0">
        <w:rPr>
          <w:rFonts w:ascii="Calibri Light" w:hAnsi="Calibri Light" w:cs="Calibri Light"/>
          <w:i/>
          <w:iCs/>
          <w:color w:val="7F7F7F"/>
          <w:sz w:val="22"/>
          <w:szCs w:val="22"/>
        </w:rPr>
        <w:t xml:space="preserve"> même que l’acheteur, débiteur du prix, a été mis en demeure de le payer. Le moyen, qui est tout entier fondé sur le soutènement que, lorsque l’acheteur a été mis en demeure, il supporte la charge des risques de la perte de la chose, manque en droit</w:t>
      </w:r>
      <w:r w:rsidRPr="002F1EE0">
        <w:rPr>
          <w:rFonts w:ascii="Calibri Light" w:hAnsi="Calibri Light" w:cs="Calibri Light"/>
          <w:color w:val="7F7F7F"/>
          <w:sz w:val="22"/>
          <w:szCs w:val="22"/>
        </w:rPr>
        <w:t> ».</w:t>
      </w:r>
    </w:p>
    <w:p w14:paraId="11A8721C" w14:textId="77777777" w:rsidR="002F1EE0" w:rsidRDefault="002F1EE0" w:rsidP="002F1EE0">
      <w:pPr>
        <w:jc w:val="both"/>
        <w:rPr>
          <w:rFonts w:ascii="Calibri Light" w:hAnsi="Calibri Light" w:cs="Calibri Light"/>
          <w:color w:val="7F7F7F"/>
          <w:sz w:val="22"/>
          <w:szCs w:val="22"/>
        </w:rPr>
      </w:pPr>
    </w:p>
    <w:p w14:paraId="2E0C0532" w14:textId="430AD55F" w:rsidR="002F1EE0" w:rsidRPr="002F1EE0" w:rsidRDefault="002F1EE0" w:rsidP="002F1EE0">
      <w:pPr>
        <w:jc w:val="both"/>
        <w:rPr>
          <w:rFonts w:ascii="Calibri Light" w:hAnsi="Calibri Light" w:cs="Calibri Light"/>
          <w:color w:val="7F7F7F"/>
          <w:sz w:val="22"/>
          <w:szCs w:val="22"/>
        </w:rPr>
      </w:pPr>
      <w:r w:rsidRPr="002F1EE0">
        <w:rPr>
          <w:rFonts w:ascii="Calibri Light" w:hAnsi="Calibri Light" w:cs="Calibri Light"/>
          <w:color w:val="7F7F7F"/>
          <w:sz w:val="22"/>
          <w:szCs w:val="22"/>
        </w:rPr>
        <w:t>La demeure cède donc le pas devant la propriété. Le vendeur, confronté au défaut de paiement du prix, aura vraisemblablement trouvé la décision saumâtre, dès lors que la réserve de propriété, convenue pour le protéger du mauvais payeur, s’est finalement retournée contre lui. La décision eût été toute autre si la convention avait prévu que nonobstant la réserve de propriété, les risques passaient à l’acheteur</w:t>
      </w:r>
      <w:r w:rsidRPr="002F1EE0">
        <w:rPr>
          <w:rStyle w:val="Appelnotedebasdep"/>
          <w:rFonts w:ascii="Calibri Light" w:hAnsi="Calibri Light" w:cs="Calibri Light"/>
          <w:color w:val="7F7F7F"/>
          <w:sz w:val="22"/>
          <w:szCs w:val="22"/>
        </w:rPr>
        <w:footnoteReference w:id="5"/>
      </w:r>
      <w:r w:rsidRPr="002F1EE0">
        <w:rPr>
          <w:rFonts w:ascii="Calibri Light" w:hAnsi="Calibri Light" w:cs="Calibri Light"/>
          <w:color w:val="7F7F7F"/>
          <w:sz w:val="22"/>
          <w:szCs w:val="22"/>
        </w:rPr>
        <w:t>. On n’est jamais trop prudent.</w:t>
      </w:r>
    </w:p>
    <w:p w14:paraId="05D2A68B" w14:textId="77777777" w:rsidR="00823727" w:rsidRPr="002F1EE0" w:rsidRDefault="00823727" w:rsidP="00056401">
      <w:pPr>
        <w:autoSpaceDE w:val="0"/>
        <w:autoSpaceDN w:val="0"/>
        <w:adjustRightInd w:val="0"/>
        <w:spacing w:before="120" w:after="120"/>
        <w:jc w:val="both"/>
        <w:rPr>
          <w:rFonts w:ascii="Calibri Light" w:eastAsia="Dotum" w:hAnsi="Calibri Light" w:cs="Calibri Light"/>
          <w:color w:val="7F7F7F"/>
          <w:sz w:val="22"/>
          <w:szCs w:val="22"/>
          <w:lang w:val="fr-FR"/>
        </w:rPr>
      </w:pPr>
    </w:p>
    <w:p w14:paraId="7D4BE4CE" w14:textId="3D65DE3F" w:rsidR="00BE3749" w:rsidRDefault="002F1EE0" w:rsidP="00902CEB">
      <w:pPr>
        <w:autoSpaceDE w:val="0"/>
        <w:autoSpaceDN w:val="0"/>
        <w:adjustRightInd w:val="0"/>
        <w:jc w:val="right"/>
        <w:rPr>
          <w:rFonts w:ascii="Times New Roman" w:hAnsi="Times New Roman" w:cs="Times New Roman"/>
          <w:color w:val="C90025"/>
          <w:sz w:val="44"/>
          <w:szCs w:val="44"/>
          <w:lang w:val="fr-FR"/>
        </w:rPr>
      </w:pPr>
      <w:r>
        <w:rPr>
          <w:rFonts w:ascii="Calibri Light" w:eastAsia="Dotum" w:hAnsi="Calibri Light" w:cs="Calibri Light"/>
          <w:color w:val="7F7F7F" w:themeColor="text1" w:themeTint="80"/>
          <w:sz w:val="26"/>
          <w:szCs w:val="26"/>
          <w:lang w:val="fr-FR"/>
        </w:rPr>
        <w:t xml:space="preserve">Bertrand </w:t>
      </w:r>
      <w:r w:rsidRPr="008364D0">
        <w:rPr>
          <w:rFonts w:ascii="Calibri Light" w:eastAsia="Dotum" w:hAnsi="Calibri Light" w:cs="Calibri Light"/>
          <w:color w:val="7F7F7F" w:themeColor="text1" w:themeTint="80"/>
          <w:sz w:val="26"/>
          <w:szCs w:val="26"/>
          <w:lang w:val="fr-FR"/>
        </w:rPr>
        <w:t>De Coninck</w:t>
      </w:r>
      <w:r w:rsidR="00BE3749">
        <w:rPr>
          <w:rFonts w:ascii="Times New Roman" w:hAnsi="Times New Roman" w:cs="Times New Roman"/>
          <w:color w:val="000000"/>
          <w:sz w:val="15"/>
          <w:szCs w:val="15"/>
          <w:lang w:val="fr-FR"/>
        </w:rPr>
        <w:t xml:space="preserve"> </w:t>
      </w:r>
      <w:r w:rsidR="00BE3749" w:rsidRPr="00BE3749">
        <w:rPr>
          <w:rFonts w:ascii="Times New Roman" w:hAnsi="Times New Roman" w:cs="Times New Roman"/>
          <w:color w:val="C90025"/>
          <w:lang w:val="fr-FR"/>
        </w:rPr>
        <w:t>■</w:t>
      </w:r>
    </w:p>
    <w:p w14:paraId="3C9763A2" w14:textId="16D60230" w:rsidR="008364D0" w:rsidRDefault="008364D0" w:rsidP="00902CEB">
      <w:pPr>
        <w:autoSpaceDE w:val="0"/>
        <w:autoSpaceDN w:val="0"/>
        <w:adjustRightInd w:val="0"/>
        <w:jc w:val="right"/>
        <w:rPr>
          <w:rFonts w:ascii="Calibri Light" w:eastAsia="Dotum" w:hAnsi="Calibri Light" w:cs="Calibri Light"/>
          <w:i/>
          <w:color w:val="7F7F7F" w:themeColor="text1" w:themeTint="80"/>
          <w:sz w:val="18"/>
          <w:szCs w:val="18"/>
          <w:lang w:val="fr-FR"/>
        </w:rPr>
      </w:pPr>
      <w:r>
        <w:rPr>
          <w:rFonts w:ascii="Calibri Light" w:eastAsia="Dotum" w:hAnsi="Calibri Light" w:cs="Calibri Light"/>
          <w:i/>
          <w:color w:val="7F7F7F" w:themeColor="text1" w:themeTint="80"/>
          <w:sz w:val="18"/>
          <w:szCs w:val="18"/>
          <w:lang w:val="fr-FR"/>
        </w:rPr>
        <w:t>Maître de conférences invité à l’UCLouvain</w:t>
      </w:r>
    </w:p>
    <w:p w14:paraId="4A0E248C" w14:textId="2BCB981D" w:rsidR="002F1EE0" w:rsidRDefault="002F1EE0" w:rsidP="00902CEB">
      <w:pPr>
        <w:autoSpaceDE w:val="0"/>
        <w:autoSpaceDN w:val="0"/>
        <w:adjustRightInd w:val="0"/>
        <w:jc w:val="right"/>
        <w:rPr>
          <w:rFonts w:ascii="Calibri Light" w:eastAsia="Dotum" w:hAnsi="Calibri Light" w:cs="Calibri Light"/>
          <w:i/>
          <w:color w:val="7F7F7F" w:themeColor="text1" w:themeTint="80"/>
          <w:sz w:val="18"/>
          <w:szCs w:val="18"/>
          <w:lang w:val="fr-FR"/>
        </w:rPr>
      </w:pPr>
      <w:r>
        <w:rPr>
          <w:rFonts w:ascii="Calibri Light" w:eastAsia="Dotum" w:hAnsi="Calibri Light" w:cs="Calibri Light"/>
          <w:i/>
          <w:color w:val="7F7F7F" w:themeColor="text1" w:themeTint="80"/>
          <w:sz w:val="18"/>
          <w:szCs w:val="18"/>
          <w:lang w:val="fr-FR"/>
        </w:rPr>
        <w:t>Juge au tribunal de première instance francophone de Bruxelles</w:t>
      </w:r>
    </w:p>
    <w:p w14:paraId="6395A985" w14:textId="3A7168BB" w:rsidR="00902CEB" w:rsidRPr="00902CEB" w:rsidRDefault="00902CEB" w:rsidP="00902CEB">
      <w:pPr>
        <w:autoSpaceDE w:val="0"/>
        <w:autoSpaceDN w:val="0"/>
        <w:adjustRightInd w:val="0"/>
        <w:jc w:val="right"/>
        <w:rPr>
          <w:rFonts w:ascii="Calibri Light" w:eastAsia="Dotum" w:hAnsi="Calibri Light" w:cs="Calibri Light"/>
          <w:i/>
          <w:color w:val="7F7F7F" w:themeColor="text1" w:themeTint="80"/>
          <w:sz w:val="18"/>
          <w:szCs w:val="18"/>
          <w:lang w:val="fr-FR"/>
        </w:rPr>
      </w:pPr>
    </w:p>
    <w:p w14:paraId="225BC132" w14:textId="77777777" w:rsidR="009D7A02" w:rsidRPr="009D7A02" w:rsidRDefault="009D7A02" w:rsidP="009D7A02">
      <w:pPr>
        <w:rPr>
          <w:rFonts w:ascii="Calibri Light" w:eastAsia="Dotum" w:hAnsi="Calibri Light" w:cs="Calibri Light"/>
          <w:sz w:val="18"/>
          <w:szCs w:val="18"/>
          <w:lang w:val="fr-FR"/>
        </w:rPr>
      </w:pPr>
    </w:p>
    <w:sectPr w:rsidR="009D7A02" w:rsidRPr="009D7A02" w:rsidSect="00BE78AC">
      <w:headerReference w:type="default" r:id="rId7"/>
      <w:footerReference w:type="default" r:id="rId8"/>
      <w:pgSz w:w="11900" w:h="16840"/>
      <w:pgMar w:top="571" w:right="985" w:bottom="851" w:left="992" w:header="571" w:footer="7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4A1D3" w14:textId="77777777" w:rsidR="00EC7C4D" w:rsidRDefault="00EC7C4D" w:rsidP="00ED0A00">
      <w:r>
        <w:separator/>
      </w:r>
    </w:p>
  </w:endnote>
  <w:endnote w:type="continuationSeparator" w:id="0">
    <w:p w14:paraId="05265307" w14:textId="77777777" w:rsidR="00EC7C4D" w:rsidRDefault="00EC7C4D" w:rsidP="00ED0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81EE" w14:textId="7DCB7B88" w:rsidR="00056401" w:rsidRDefault="00EC14B7" w:rsidP="00056401">
    <w:pPr>
      <w:pStyle w:val="Pieddepage"/>
      <w:jc w:val="right"/>
    </w:pPr>
    <w:r w:rsidRPr="00EC14B7">
      <w:rPr>
        <w:noProof/>
      </w:rPr>
      <w:drawing>
        <wp:inline distT="0" distB="0" distL="0" distR="0" wp14:anchorId="024EFABC" wp14:editId="30BAE5A7">
          <wp:extent cx="1631315" cy="346474"/>
          <wp:effectExtent l="0" t="0" r="0" b="0"/>
          <wp:docPr id="1941439915" name="Image 1" descr="Une image contenant Police, text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39915" name="Image 1" descr="Une image contenant Police, texte, Graphique, capture d’écran&#10;&#10;Description générée automatiquement"/>
                  <pic:cNvPicPr/>
                </pic:nvPicPr>
                <pic:blipFill>
                  <a:blip r:embed="rId1"/>
                  <a:stretch>
                    <a:fillRect/>
                  </a:stretch>
                </pic:blipFill>
                <pic:spPr>
                  <a:xfrm>
                    <a:off x="0" y="0"/>
                    <a:ext cx="1790338" cy="380249"/>
                  </a:xfrm>
                  <a:prstGeom prst="rect">
                    <a:avLst/>
                  </a:prstGeom>
                </pic:spPr>
              </pic:pic>
            </a:graphicData>
          </a:graphic>
        </wp:inline>
      </w:drawing>
    </w:r>
    <w:r w:rsidR="009D7A02">
      <w:rPr>
        <w:noProof/>
        <w:lang w:eastAsia="fr-BE"/>
      </w:rPr>
      <w:drawing>
        <wp:inline distT="0" distB="0" distL="0" distR="0" wp14:anchorId="2BF3A432" wp14:editId="1323BB0C">
          <wp:extent cx="1943100" cy="6096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ePri.png"/>
                  <pic:cNvPicPr/>
                </pic:nvPicPr>
                <pic:blipFill>
                  <a:blip r:embed="rId2">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9ED8C" w14:textId="77777777" w:rsidR="00EC7C4D" w:rsidRPr="00823727" w:rsidRDefault="00EC7C4D" w:rsidP="00ED0A00">
      <w:pPr>
        <w:rPr>
          <w:color w:val="C00000"/>
          <w14:textOutline w14:w="31750" w14:cap="sq" w14:cmpd="sng" w14:algn="ctr">
            <w14:solidFill>
              <w14:srgbClr w14:val="C00000"/>
            </w14:solidFill>
            <w14:prstDash w14:val="solid"/>
            <w14:miter w14:lim="0"/>
          </w14:textOutline>
        </w:rPr>
      </w:pPr>
      <w:r w:rsidRPr="00823727">
        <w:rPr>
          <w:color w:val="C00000"/>
          <w14:textOutline w14:w="31750" w14:cap="sq" w14:cmpd="sng" w14:algn="ctr">
            <w14:solidFill>
              <w14:srgbClr w14:val="C00000"/>
            </w14:solidFill>
            <w14:prstDash w14:val="solid"/>
            <w14:miter w14:lim="0"/>
          </w14:textOutline>
        </w:rPr>
        <w:separator/>
      </w:r>
    </w:p>
    <w:p w14:paraId="3CEAF6FD" w14:textId="77777777" w:rsidR="00EC7C4D" w:rsidRDefault="00EC7C4D"/>
  </w:footnote>
  <w:footnote w:type="continuationSeparator" w:id="0">
    <w:p w14:paraId="5D6E9FDC" w14:textId="77777777" w:rsidR="00EC7C4D" w:rsidRDefault="00EC7C4D" w:rsidP="00ED0A00">
      <w:r>
        <w:continuationSeparator/>
      </w:r>
    </w:p>
  </w:footnote>
  <w:footnote w:type="continuationNotice" w:id="1">
    <w:p w14:paraId="6F8BB496" w14:textId="77777777" w:rsidR="00EC7C4D" w:rsidRDefault="00EC7C4D"/>
  </w:footnote>
  <w:footnote w:id="2">
    <w:p w14:paraId="1E300FFB" w14:textId="1DC35801" w:rsidR="002F1EE0" w:rsidRPr="007D11D9" w:rsidRDefault="002F1EE0" w:rsidP="002F1EE0">
      <w:pPr>
        <w:pStyle w:val="Notedebasdepage"/>
        <w:jc w:val="both"/>
        <w:rPr>
          <w:rFonts w:cstheme="minorHAnsi"/>
          <w:color w:val="7F7F7F"/>
          <w:sz w:val="16"/>
          <w:szCs w:val="16"/>
        </w:rPr>
      </w:pPr>
      <w:r w:rsidRPr="002F1EE0">
        <w:rPr>
          <w:rStyle w:val="Appelnotedebasdep"/>
          <w:rFonts w:cstheme="minorHAnsi"/>
          <w:color w:val="7F7F7F"/>
          <w:sz w:val="16"/>
          <w:szCs w:val="16"/>
        </w:rPr>
        <w:footnoteRef/>
      </w:r>
      <w:r w:rsidRPr="007D11D9">
        <w:rPr>
          <w:rFonts w:cstheme="minorHAnsi"/>
          <w:color w:val="7F7F7F"/>
          <w:sz w:val="16"/>
          <w:szCs w:val="16"/>
        </w:rPr>
        <w:t xml:space="preserve"> Cass. (1</w:t>
      </w:r>
      <w:r w:rsidR="009F152B" w:rsidRPr="007D11D9">
        <w:rPr>
          <w:rFonts w:cstheme="minorHAnsi"/>
          <w:color w:val="7F7F7F"/>
          <w:sz w:val="16"/>
          <w:szCs w:val="16"/>
          <w:vertAlign w:val="superscript"/>
        </w:rPr>
        <w:t>e</w:t>
      </w:r>
      <w:r w:rsidR="009F152B" w:rsidRPr="007D11D9">
        <w:rPr>
          <w:rFonts w:cstheme="minorHAnsi"/>
          <w:color w:val="7F7F7F"/>
          <w:sz w:val="16"/>
          <w:szCs w:val="16"/>
        </w:rPr>
        <w:t xml:space="preserve"> </w:t>
      </w:r>
      <w:r w:rsidRPr="007D11D9">
        <w:rPr>
          <w:rFonts w:cstheme="minorHAnsi"/>
          <w:color w:val="7F7F7F"/>
          <w:sz w:val="16"/>
          <w:szCs w:val="16"/>
        </w:rPr>
        <w:t xml:space="preserve">ch.), 21 novembre 2024, C.24.0099.F, </w:t>
      </w:r>
      <w:r w:rsidRPr="007D11D9">
        <w:rPr>
          <w:rFonts w:cstheme="minorHAnsi"/>
          <w:i/>
          <w:iCs/>
          <w:color w:val="7F7F7F"/>
          <w:sz w:val="16"/>
          <w:szCs w:val="16"/>
        </w:rPr>
        <w:t>juportal.be</w:t>
      </w:r>
      <w:r w:rsidRPr="007D11D9">
        <w:rPr>
          <w:rFonts w:cstheme="minorHAnsi"/>
          <w:color w:val="7F7F7F"/>
          <w:sz w:val="16"/>
          <w:szCs w:val="16"/>
        </w:rPr>
        <w:t>.</w:t>
      </w:r>
    </w:p>
  </w:footnote>
  <w:footnote w:id="3">
    <w:p w14:paraId="34E1C83B" w14:textId="79EE10DB" w:rsidR="002F1EE0" w:rsidRPr="002F1EE0" w:rsidRDefault="002F1EE0" w:rsidP="002F1EE0">
      <w:pPr>
        <w:pStyle w:val="Notedebasdepage"/>
        <w:jc w:val="both"/>
        <w:rPr>
          <w:rFonts w:cstheme="minorHAnsi"/>
          <w:color w:val="7F7F7F"/>
          <w:sz w:val="16"/>
          <w:szCs w:val="16"/>
        </w:rPr>
      </w:pPr>
      <w:r w:rsidRPr="002F1EE0">
        <w:rPr>
          <w:rStyle w:val="Appelnotedebasdep"/>
          <w:rFonts w:cstheme="minorHAnsi"/>
          <w:color w:val="7F7F7F"/>
          <w:sz w:val="16"/>
          <w:szCs w:val="16"/>
        </w:rPr>
        <w:footnoteRef/>
      </w:r>
      <w:r w:rsidRPr="002F1EE0">
        <w:rPr>
          <w:rFonts w:cstheme="minorHAnsi"/>
          <w:color w:val="7F7F7F"/>
          <w:sz w:val="16"/>
          <w:szCs w:val="16"/>
        </w:rPr>
        <w:t xml:space="preserve"> </w:t>
      </w:r>
      <w:r w:rsidRPr="002F1EE0">
        <w:rPr>
          <w:rFonts w:cstheme="minorHAnsi"/>
          <w:color w:val="7F7F7F"/>
          <w:sz w:val="16"/>
          <w:szCs w:val="16"/>
        </w:rPr>
        <w:t>Telle est effectivement la règle générale (Cass. (1</w:t>
      </w:r>
      <w:r w:rsidR="009F152B" w:rsidRPr="009F152B">
        <w:rPr>
          <w:rFonts w:cstheme="minorHAnsi"/>
          <w:color w:val="7F7F7F"/>
          <w:sz w:val="16"/>
          <w:szCs w:val="16"/>
          <w:vertAlign w:val="superscript"/>
        </w:rPr>
        <w:t>e</w:t>
      </w:r>
      <w:r w:rsidRPr="002F1EE0">
        <w:rPr>
          <w:rFonts w:cstheme="minorHAnsi"/>
          <w:color w:val="7F7F7F"/>
          <w:sz w:val="16"/>
          <w:szCs w:val="16"/>
        </w:rPr>
        <w:t xml:space="preserve"> ch.), 29 mai 2020, C.19.292.F, </w:t>
      </w:r>
      <w:r w:rsidRPr="002F1EE0">
        <w:rPr>
          <w:rFonts w:cstheme="minorHAnsi"/>
          <w:i/>
          <w:iCs/>
          <w:color w:val="7F7F7F"/>
          <w:sz w:val="16"/>
          <w:szCs w:val="16"/>
        </w:rPr>
        <w:t>R.G.D.C</w:t>
      </w:r>
      <w:r w:rsidRPr="002F1EE0">
        <w:rPr>
          <w:rFonts w:cstheme="minorHAnsi"/>
          <w:color w:val="7F7F7F"/>
          <w:sz w:val="16"/>
          <w:szCs w:val="16"/>
        </w:rPr>
        <w:t xml:space="preserve">., 2021/9, p. 467, </w:t>
      </w:r>
      <w:r w:rsidRPr="002F1EE0">
        <w:rPr>
          <w:rFonts w:cstheme="minorHAnsi"/>
          <w:i/>
          <w:iCs/>
          <w:color w:val="7F7F7F"/>
          <w:sz w:val="16"/>
          <w:szCs w:val="16"/>
        </w:rPr>
        <w:t>T. Not</w:t>
      </w:r>
      <w:r w:rsidRPr="002F1EE0">
        <w:rPr>
          <w:rFonts w:cstheme="minorHAnsi"/>
          <w:color w:val="7F7F7F"/>
          <w:sz w:val="16"/>
          <w:szCs w:val="16"/>
        </w:rPr>
        <w:t xml:space="preserve">., 2022/4, p. 414, </w:t>
      </w:r>
      <w:r w:rsidRPr="002F1EE0">
        <w:rPr>
          <w:rFonts w:cstheme="minorHAnsi"/>
          <w:i/>
          <w:iCs/>
          <w:color w:val="7F7F7F"/>
          <w:sz w:val="16"/>
          <w:szCs w:val="16"/>
        </w:rPr>
        <w:t>juportal.be</w:t>
      </w:r>
      <w:r w:rsidR="009F152B">
        <w:rPr>
          <w:rFonts w:cstheme="minorHAnsi"/>
          <w:i/>
          <w:iCs/>
          <w:color w:val="7F7F7F"/>
          <w:sz w:val="16"/>
          <w:szCs w:val="16"/>
        </w:rPr>
        <w:t> </w:t>
      </w:r>
      <w:r w:rsidR="009F152B">
        <w:rPr>
          <w:rFonts w:cstheme="minorHAnsi"/>
          <w:color w:val="7F7F7F"/>
          <w:sz w:val="16"/>
          <w:szCs w:val="16"/>
        </w:rPr>
        <w:t>;</w:t>
      </w:r>
      <w:r w:rsidRPr="002F1EE0">
        <w:rPr>
          <w:rFonts w:cstheme="minorHAnsi"/>
          <w:color w:val="7F7F7F"/>
          <w:sz w:val="16"/>
          <w:szCs w:val="16"/>
        </w:rPr>
        <w:t xml:space="preserve"> </w:t>
      </w:r>
      <w:proofErr w:type="spellStart"/>
      <w:r w:rsidRPr="002F1EE0">
        <w:rPr>
          <w:rFonts w:cstheme="minorHAnsi"/>
          <w:color w:val="7F7F7F"/>
          <w:sz w:val="16"/>
          <w:szCs w:val="16"/>
        </w:rPr>
        <w:t>voy</w:t>
      </w:r>
      <w:proofErr w:type="spellEnd"/>
      <w:r w:rsidRPr="002F1EE0">
        <w:rPr>
          <w:rFonts w:cstheme="minorHAnsi"/>
          <w:color w:val="7F7F7F"/>
          <w:sz w:val="16"/>
          <w:szCs w:val="16"/>
        </w:rPr>
        <w:t>. dans le Code civil, les articles 5.80, al. 1</w:t>
      </w:r>
      <w:r w:rsidRPr="002F1EE0">
        <w:rPr>
          <w:rFonts w:cstheme="minorHAnsi"/>
          <w:color w:val="7F7F7F"/>
          <w:sz w:val="16"/>
          <w:szCs w:val="16"/>
          <w:vertAlign w:val="superscript"/>
        </w:rPr>
        <w:t>er</w:t>
      </w:r>
      <w:r w:rsidRPr="002F1EE0">
        <w:rPr>
          <w:rFonts w:cstheme="minorHAnsi"/>
          <w:color w:val="7F7F7F"/>
          <w:sz w:val="16"/>
          <w:szCs w:val="16"/>
        </w:rPr>
        <w:t xml:space="preserve"> et 5.100, al. 3).</w:t>
      </w:r>
      <w:r w:rsidR="009F152B">
        <w:rPr>
          <w:rFonts w:cstheme="minorHAnsi"/>
          <w:color w:val="7F7F7F"/>
          <w:sz w:val="16"/>
          <w:szCs w:val="16"/>
        </w:rPr>
        <w:t> </w:t>
      </w:r>
    </w:p>
  </w:footnote>
  <w:footnote w:id="4">
    <w:p w14:paraId="54CB542D" w14:textId="7B0F389D" w:rsidR="002F1EE0" w:rsidRPr="002F1EE0" w:rsidRDefault="002F1EE0" w:rsidP="002F1EE0">
      <w:pPr>
        <w:pStyle w:val="Notedebasdepage"/>
        <w:jc w:val="both"/>
        <w:rPr>
          <w:color w:val="7F7F7F"/>
          <w:sz w:val="16"/>
          <w:szCs w:val="16"/>
        </w:rPr>
      </w:pPr>
      <w:r w:rsidRPr="002F1EE0">
        <w:rPr>
          <w:rStyle w:val="Appelnotedebasdep"/>
          <w:color w:val="7F7F7F"/>
          <w:sz w:val="16"/>
          <w:szCs w:val="16"/>
        </w:rPr>
        <w:footnoteRef/>
      </w:r>
      <w:r w:rsidRPr="002F1EE0">
        <w:rPr>
          <w:color w:val="7F7F7F"/>
          <w:sz w:val="16"/>
          <w:szCs w:val="16"/>
        </w:rPr>
        <w:t xml:space="preserve"> </w:t>
      </w:r>
      <w:proofErr w:type="spellStart"/>
      <w:r w:rsidRPr="002F1EE0">
        <w:rPr>
          <w:color w:val="7F7F7F"/>
          <w:sz w:val="16"/>
          <w:szCs w:val="16"/>
        </w:rPr>
        <w:t>Voy</w:t>
      </w:r>
      <w:proofErr w:type="spellEnd"/>
      <w:r w:rsidRPr="002F1EE0">
        <w:rPr>
          <w:color w:val="7F7F7F"/>
          <w:sz w:val="16"/>
          <w:szCs w:val="16"/>
        </w:rPr>
        <w:t>. actuellement les articles 5.227, 5.266, al. 2, et 5.80 du Code civil</w:t>
      </w:r>
      <w:r w:rsidR="009F152B">
        <w:rPr>
          <w:color w:val="7F7F7F"/>
          <w:sz w:val="16"/>
          <w:szCs w:val="16"/>
        </w:rPr>
        <w:t xml:space="preserve"> </w:t>
      </w:r>
      <w:r w:rsidRPr="002F1EE0">
        <w:rPr>
          <w:color w:val="7F7F7F"/>
          <w:sz w:val="16"/>
          <w:szCs w:val="16"/>
        </w:rPr>
        <w:t xml:space="preserve">ainsi que F. </w:t>
      </w:r>
      <w:r w:rsidRPr="002F1EE0">
        <w:rPr>
          <w:smallCaps/>
          <w:color w:val="7F7F7F"/>
          <w:sz w:val="16"/>
          <w:szCs w:val="16"/>
        </w:rPr>
        <w:t>George</w:t>
      </w:r>
      <w:r w:rsidRPr="002F1EE0">
        <w:rPr>
          <w:color w:val="7F7F7F"/>
          <w:sz w:val="16"/>
          <w:szCs w:val="16"/>
        </w:rPr>
        <w:t xml:space="preserve">, P. </w:t>
      </w:r>
      <w:proofErr w:type="spellStart"/>
      <w:r w:rsidRPr="002F1EE0">
        <w:rPr>
          <w:smallCaps/>
          <w:color w:val="7F7F7F"/>
          <w:sz w:val="16"/>
          <w:szCs w:val="16"/>
        </w:rPr>
        <w:t>Colson</w:t>
      </w:r>
      <w:proofErr w:type="spellEnd"/>
      <w:r w:rsidRPr="002F1EE0">
        <w:rPr>
          <w:color w:val="7F7F7F"/>
          <w:sz w:val="16"/>
          <w:szCs w:val="16"/>
        </w:rPr>
        <w:t xml:space="preserve">, A. </w:t>
      </w:r>
      <w:r w:rsidRPr="002F1EE0">
        <w:rPr>
          <w:smallCaps/>
          <w:color w:val="7F7F7F"/>
          <w:sz w:val="16"/>
          <w:szCs w:val="16"/>
        </w:rPr>
        <w:t>Cataldo</w:t>
      </w:r>
      <w:r w:rsidRPr="002F1EE0">
        <w:rPr>
          <w:color w:val="7F7F7F"/>
          <w:sz w:val="16"/>
          <w:szCs w:val="16"/>
        </w:rPr>
        <w:t xml:space="preserve"> et B. </w:t>
      </w:r>
      <w:proofErr w:type="spellStart"/>
      <w:r w:rsidRPr="002F1EE0">
        <w:rPr>
          <w:smallCaps/>
          <w:color w:val="7F7F7F"/>
          <w:sz w:val="16"/>
          <w:szCs w:val="16"/>
        </w:rPr>
        <w:t>Fosséprez</w:t>
      </w:r>
      <w:proofErr w:type="spellEnd"/>
      <w:r w:rsidRPr="002F1EE0">
        <w:rPr>
          <w:color w:val="7F7F7F"/>
          <w:sz w:val="16"/>
          <w:szCs w:val="16"/>
        </w:rPr>
        <w:t xml:space="preserve">, </w:t>
      </w:r>
      <w:r w:rsidRPr="002F1EE0">
        <w:rPr>
          <w:i/>
          <w:iCs/>
          <w:color w:val="7F7F7F"/>
          <w:sz w:val="16"/>
          <w:szCs w:val="16"/>
        </w:rPr>
        <w:t>Manuel de droit des obligations</w:t>
      </w:r>
      <w:r w:rsidRPr="002F1EE0">
        <w:rPr>
          <w:color w:val="7F7F7F"/>
          <w:sz w:val="16"/>
          <w:szCs w:val="16"/>
        </w:rPr>
        <w:t xml:space="preserve">, Larcier </w:t>
      </w:r>
      <w:proofErr w:type="spellStart"/>
      <w:r w:rsidRPr="002F1EE0">
        <w:rPr>
          <w:color w:val="7F7F7F"/>
          <w:sz w:val="16"/>
          <w:szCs w:val="16"/>
        </w:rPr>
        <w:t>Intersentia</w:t>
      </w:r>
      <w:proofErr w:type="spellEnd"/>
      <w:r w:rsidRPr="002F1EE0">
        <w:rPr>
          <w:color w:val="7F7F7F"/>
          <w:sz w:val="16"/>
          <w:szCs w:val="16"/>
        </w:rPr>
        <w:t xml:space="preserve">, 2024, p. 417 et s., </w:t>
      </w:r>
      <w:r w:rsidR="001872C3">
        <w:rPr>
          <w:color w:val="7F7F7F"/>
          <w:sz w:val="16"/>
          <w:szCs w:val="16"/>
        </w:rPr>
        <w:t>et</w:t>
      </w:r>
      <w:r w:rsidRPr="002F1EE0">
        <w:rPr>
          <w:color w:val="7F7F7F"/>
          <w:sz w:val="16"/>
          <w:szCs w:val="16"/>
        </w:rPr>
        <w:t xml:space="preserve"> p. 623 et s. pour le contrat translatif de propriété.</w:t>
      </w:r>
    </w:p>
  </w:footnote>
  <w:footnote w:id="5">
    <w:p w14:paraId="17692CE6" w14:textId="1A99F35E" w:rsidR="002F1EE0" w:rsidRDefault="002F1EE0" w:rsidP="002F1EE0">
      <w:pPr>
        <w:pStyle w:val="Notedebasdepage"/>
        <w:jc w:val="both"/>
        <w:rPr>
          <w:color w:val="7F7F7F"/>
          <w:sz w:val="16"/>
          <w:szCs w:val="16"/>
        </w:rPr>
      </w:pPr>
      <w:r w:rsidRPr="002F1EE0">
        <w:rPr>
          <w:rStyle w:val="Appelnotedebasdep"/>
          <w:rFonts w:cstheme="minorHAnsi"/>
          <w:color w:val="7F7F7F"/>
          <w:sz w:val="16"/>
          <w:szCs w:val="16"/>
        </w:rPr>
        <w:footnoteRef/>
      </w:r>
      <w:r w:rsidRPr="002F1EE0">
        <w:rPr>
          <w:rFonts w:cstheme="minorHAnsi"/>
          <w:color w:val="7F7F7F"/>
          <w:sz w:val="16"/>
          <w:szCs w:val="16"/>
        </w:rPr>
        <w:t xml:space="preserve"> </w:t>
      </w:r>
      <w:r w:rsidRPr="002F1EE0">
        <w:rPr>
          <w:rFonts w:cstheme="minorHAnsi"/>
          <w:color w:val="7F7F7F"/>
          <w:sz w:val="16"/>
          <w:szCs w:val="16"/>
        </w:rPr>
        <w:t>Dissociation qui, en règle, est parfaitement licite</w:t>
      </w:r>
      <w:r w:rsidR="009F152B">
        <w:rPr>
          <w:rFonts w:cstheme="minorHAnsi"/>
          <w:color w:val="7F7F7F"/>
          <w:sz w:val="16"/>
          <w:szCs w:val="16"/>
        </w:rPr>
        <w:t> :</w:t>
      </w:r>
      <w:r w:rsidRPr="002F1EE0">
        <w:rPr>
          <w:rFonts w:cstheme="minorHAnsi"/>
          <w:color w:val="7F7F7F"/>
          <w:sz w:val="16"/>
          <w:szCs w:val="16"/>
        </w:rPr>
        <w:t xml:space="preserve"> A. </w:t>
      </w:r>
      <w:r w:rsidRPr="002F1EE0">
        <w:rPr>
          <w:rFonts w:cstheme="minorHAnsi"/>
          <w:smallCaps/>
          <w:color w:val="7F7F7F"/>
          <w:sz w:val="16"/>
          <w:szCs w:val="16"/>
        </w:rPr>
        <w:t>De Boeck</w:t>
      </w:r>
      <w:r w:rsidRPr="002F1EE0">
        <w:rPr>
          <w:rFonts w:cstheme="minorHAnsi"/>
          <w:color w:val="7F7F7F"/>
          <w:sz w:val="16"/>
          <w:szCs w:val="16"/>
        </w:rPr>
        <w:t xml:space="preserve">, « Het </w:t>
      </w:r>
      <w:proofErr w:type="spellStart"/>
      <w:r w:rsidRPr="002F1EE0">
        <w:rPr>
          <w:rFonts w:cstheme="minorHAnsi"/>
          <w:color w:val="7F7F7F"/>
          <w:sz w:val="16"/>
          <w:szCs w:val="16"/>
        </w:rPr>
        <w:t>verband</w:t>
      </w:r>
      <w:proofErr w:type="spellEnd"/>
      <w:r w:rsidRPr="002F1EE0">
        <w:rPr>
          <w:rFonts w:cstheme="minorHAnsi"/>
          <w:color w:val="7F7F7F"/>
          <w:sz w:val="16"/>
          <w:szCs w:val="16"/>
        </w:rPr>
        <w:t xml:space="preserve"> </w:t>
      </w:r>
      <w:proofErr w:type="spellStart"/>
      <w:r w:rsidRPr="002F1EE0">
        <w:rPr>
          <w:rFonts w:cstheme="minorHAnsi"/>
          <w:color w:val="7F7F7F"/>
          <w:sz w:val="16"/>
          <w:szCs w:val="16"/>
        </w:rPr>
        <w:t>tussen</w:t>
      </w:r>
      <w:proofErr w:type="spellEnd"/>
      <w:r w:rsidRPr="002F1EE0">
        <w:rPr>
          <w:rFonts w:cstheme="minorHAnsi"/>
          <w:color w:val="7F7F7F"/>
          <w:sz w:val="16"/>
          <w:szCs w:val="16"/>
        </w:rPr>
        <w:t xml:space="preserve"> </w:t>
      </w:r>
      <w:proofErr w:type="spellStart"/>
      <w:r w:rsidRPr="002F1EE0">
        <w:rPr>
          <w:rFonts w:cstheme="minorHAnsi"/>
          <w:color w:val="7F7F7F"/>
          <w:sz w:val="16"/>
          <w:szCs w:val="16"/>
        </w:rPr>
        <w:t>eigendoms</w:t>
      </w:r>
      <w:proofErr w:type="spellEnd"/>
      <w:r w:rsidRPr="002F1EE0">
        <w:rPr>
          <w:rFonts w:cstheme="minorHAnsi"/>
          <w:color w:val="7F7F7F"/>
          <w:sz w:val="16"/>
          <w:szCs w:val="16"/>
        </w:rPr>
        <w:t xml:space="preserve">- en </w:t>
      </w:r>
      <w:proofErr w:type="spellStart"/>
      <w:r w:rsidRPr="002F1EE0">
        <w:rPr>
          <w:rFonts w:cstheme="minorHAnsi"/>
          <w:color w:val="7F7F7F"/>
          <w:sz w:val="16"/>
          <w:szCs w:val="16"/>
        </w:rPr>
        <w:t>risico-overdracht</w:t>
      </w:r>
      <w:proofErr w:type="spellEnd"/>
      <w:r w:rsidRPr="002F1EE0">
        <w:rPr>
          <w:rFonts w:cstheme="minorHAnsi"/>
          <w:color w:val="7F7F7F"/>
          <w:sz w:val="16"/>
          <w:szCs w:val="16"/>
        </w:rPr>
        <w:t xml:space="preserve"> </w:t>
      </w:r>
      <w:proofErr w:type="spellStart"/>
      <w:r w:rsidRPr="002F1EE0">
        <w:rPr>
          <w:rFonts w:cstheme="minorHAnsi"/>
          <w:color w:val="7F7F7F"/>
          <w:sz w:val="16"/>
          <w:szCs w:val="16"/>
        </w:rPr>
        <w:t>bij</w:t>
      </w:r>
      <w:proofErr w:type="spellEnd"/>
      <w:r w:rsidRPr="002F1EE0">
        <w:rPr>
          <w:rFonts w:cstheme="minorHAnsi"/>
          <w:color w:val="7F7F7F"/>
          <w:sz w:val="16"/>
          <w:szCs w:val="16"/>
        </w:rPr>
        <w:t xml:space="preserve"> </w:t>
      </w:r>
      <w:proofErr w:type="spellStart"/>
      <w:r w:rsidRPr="002F1EE0">
        <w:rPr>
          <w:rFonts w:cstheme="minorHAnsi"/>
          <w:color w:val="7F7F7F"/>
          <w:sz w:val="16"/>
          <w:szCs w:val="16"/>
        </w:rPr>
        <w:t>koop</w:t>
      </w:r>
      <w:proofErr w:type="spellEnd"/>
      <w:r w:rsidR="009F152B">
        <w:rPr>
          <w:rFonts w:cstheme="minorHAnsi"/>
          <w:color w:val="7F7F7F"/>
          <w:sz w:val="16"/>
          <w:szCs w:val="16"/>
        </w:rPr>
        <w:t xml:space="preserve"> </w:t>
      </w:r>
      <w:r w:rsidRPr="002F1EE0">
        <w:rPr>
          <w:rFonts w:cstheme="minorHAnsi"/>
          <w:color w:val="7F7F7F"/>
          <w:sz w:val="16"/>
          <w:szCs w:val="16"/>
        </w:rPr>
        <w:t xml:space="preserve">: </w:t>
      </w:r>
      <w:proofErr w:type="spellStart"/>
      <w:r w:rsidRPr="002F1EE0">
        <w:rPr>
          <w:rFonts w:cstheme="minorHAnsi"/>
          <w:color w:val="7F7F7F"/>
          <w:sz w:val="16"/>
          <w:szCs w:val="16"/>
        </w:rPr>
        <w:t>twee</w:t>
      </w:r>
      <w:proofErr w:type="spellEnd"/>
      <w:r w:rsidRPr="002F1EE0">
        <w:rPr>
          <w:rFonts w:cstheme="minorHAnsi"/>
          <w:color w:val="7F7F7F"/>
          <w:sz w:val="16"/>
          <w:szCs w:val="16"/>
        </w:rPr>
        <w:t xml:space="preserve"> </w:t>
      </w:r>
      <w:proofErr w:type="spellStart"/>
      <w:r w:rsidRPr="002F1EE0">
        <w:rPr>
          <w:rFonts w:cstheme="minorHAnsi"/>
          <w:color w:val="7F7F7F"/>
          <w:sz w:val="16"/>
          <w:szCs w:val="16"/>
        </w:rPr>
        <w:t>handen</w:t>
      </w:r>
      <w:proofErr w:type="spellEnd"/>
      <w:r w:rsidRPr="002F1EE0">
        <w:rPr>
          <w:rFonts w:cstheme="minorHAnsi"/>
          <w:color w:val="7F7F7F"/>
          <w:sz w:val="16"/>
          <w:szCs w:val="16"/>
        </w:rPr>
        <w:t xml:space="preserve"> op </w:t>
      </w:r>
      <w:proofErr w:type="spellStart"/>
      <w:r w:rsidRPr="002F1EE0">
        <w:rPr>
          <w:rFonts w:cstheme="minorHAnsi"/>
          <w:color w:val="7F7F7F"/>
          <w:sz w:val="16"/>
          <w:szCs w:val="16"/>
        </w:rPr>
        <w:t>een</w:t>
      </w:r>
      <w:proofErr w:type="spellEnd"/>
      <w:r w:rsidRPr="002F1EE0">
        <w:rPr>
          <w:rFonts w:cstheme="minorHAnsi"/>
          <w:color w:val="7F7F7F"/>
          <w:sz w:val="16"/>
          <w:szCs w:val="16"/>
        </w:rPr>
        <w:t xml:space="preserve"> </w:t>
      </w:r>
      <w:proofErr w:type="spellStart"/>
      <w:r w:rsidRPr="002F1EE0">
        <w:rPr>
          <w:rFonts w:cstheme="minorHAnsi"/>
          <w:color w:val="7F7F7F"/>
          <w:sz w:val="16"/>
          <w:szCs w:val="16"/>
        </w:rPr>
        <w:t>buik</w:t>
      </w:r>
      <w:proofErr w:type="spellEnd"/>
      <w:r w:rsidR="009F152B">
        <w:rPr>
          <w:rFonts w:cstheme="minorHAnsi"/>
          <w:color w:val="7F7F7F"/>
          <w:sz w:val="16"/>
          <w:szCs w:val="16"/>
        </w:rPr>
        <w:t> »</w:t>
      </w:r>
      <w:r w:rsidRPr="002F1EE0">
        <w:rPr>
          <w:rFonts w:cstheme="minorHAnsi"/>
          <w:color w:val="7F7F7F"/>
          <w:sz w:val="16"/>
          <w:szCs w:val="16"/>
        </w:rPr>
        <w:t xml:space="preserve">, note sous Cass., 29 mai 2020, </w:t>
      </w:r>
      <w:r w:rsidRPr="002F1EE0">
        <w:rPr>
          <w:rFonts w:cstheme="minorHAnsi"/>
          <w:i/>
          <w:iCs/>
          <w:color w:val="7F7F7F"/>
          <w:sz w:val="16"/>
          <w:szCs w:val="16"/>
        </w:rPr>
        <w:t>R.G.D.C</w:t>
      </w:r>
      <w:r w:rsidRPr="002F1EE0">
        <w:rPr>
          <w:rFonts w:cstheme="minorHAnsi"/>
          <w:color w:val="7F7F7F"/>
          <w:sz w:val="16"/>
          <w:szCs w:val="16"/>
        </w:rPr>
        <w:t>., 2021/9, p. 470, n°16 ;</w:t>
      </w:r>
      <w:r w:rsidRPr="002F1EE0">
        <w:rPr>
          <w:color w:val="7F7F7F"/>
          <w:sz w:val="16"/>
          <w:szCs w:val="16"/>
        </w:rPr>
        <w:t xml:space="preserve"> F. </w:t>
      </w:r>
      <w:r w:rsidRPr="002F1EE0">
        <w:rPr>
          <w:smallCaps/>
          <w:color w:val="7F7F7F"/>
          <w:sz w:val="16"/>
          <w:szCs w:val="16"/>
        </w:rPr>
        <w:t>George</w:t>
      </w:r>
      <w:r w:rsidRPr="002F1EE0">
        <w:rPr>
          <w:color w:val="7F7F7F"/>
          <w:sz w:val="16"/>
          <w:szCs w:val="16"/>
        </w:rPr>
        <w:t xml:space="preserve">, P. </w:t>
      </w:r>
      <w:proofErr w:type="spellStart"/>
      <w:r w:rsidRPr="002F1EE0">
        <w:rPr>
          <w:smallCaps/>
          <w:color w:val="7F7F7F"/>
          <w:sz w:val="16"/>
          <w:szCs w:val="16"/>
        </w:rPr>
        <w:t>Colson</w:t>
      </w:r>
      <w:proofErr w:type="spellEnd"/>
      <w:r w:rsidRPr="002F1EE0">
        <w:rPr>
          <w:color w:val="7F7F7F"/>
          <w:sz w:val="16"/>
          <w:szCs w:val="16"/>
        </w:rPr>
        <w:t xml:space="preserve">, A. </w:t>
      </w:r>
      <w:r w:rsidRPr="002F1EE0">
        <w:rPr>
          <w:smallCaps/>
          <w:color w:val="7F7F7F"/>
          <w:sz w:val="16"/>
          <w:szCs w:val="16"/>
        </w:rPr>
        <w:t>Cataldo</w:t>
      </w:r>
      <w:r w:rsidRPr="002F1EE0">
        <w:rPr>
          <w:color w:val="7F7F7F"/>
          <w:sz w:val="16"/>
          <w:szCs w:val="16"/>
        </w:rPr>
        <w:t xml:space="preserve"> et B. </w:t>
      </w:r>
      <w:proofErr w:type="spellStart"/>
      <w:r w:rsidRPr="002F1EE0">
        <w:rPr>
          <w:smallCaps/>
          <w:color w:val="7F7F7F"/>
          <w:sz w:val="16"/>
          <w:szCs w:val="16"/>
        </w:rPr>
        <w:t>Fosséprez</w:t>
      </w:r>
      <w:proofErr w:type="spellEnd"/>
      <w:r w:rsidRPr="002F1EE0">
        <w:rPr>
          <w:color w:val="7F7F7F"/>
          <w:sz w:val="16"/>
          <w:szCs w:val="16"/>
        </w:rPr>
        <w:t xml:space="preserve">, </w:t>
      </w:r>
      <w:r w:rsidRPr="002F1EE0">
        <w:rPr>
          <w:i/>
          <w:iCs/>
          <w:color w:val="7F7F7F"/>
          <w:sz w:val="16"/>
          <w:szCs w:val="16"/>
        </w:rPr>
        <w:t xml:space="preserve">op. </w:t>
      </w:r>
      <w:proofErr w:type="spellStart"/>
      <w:r w:rsidRPr="002F1EE0">
        <w:rPr>
          <w:i/>
          <w:iCs/>
          <w:color w:val="7F7F7F"/>
          <w:sz w:val="16"/>
          <w:szCs w:val="16"/>
        </w:rPr>
        <w:t>cit</w:t>
      </w:r>
      <w:proofErr w:type="spellEnd"/>
      <w:r w:rsidRPr="002F1EE0">
        <w:rPr>
          <w:color w:val="7F7F7F"/>
          <w:sz w:val="16"/>
          <w:szCs w:val="16"/>
        </w:rPr>
        <w:t>., p. 624.</w:t>
      </w:r>
    </w:p>
    <w:p w14:paraId="5FF2FF56" w14:textId="77777777" w:rsidR="00F9140D" w:rsidRPr="002F1EE0" w:rsidRDefault="00F9140D" w:rsidP="002F1EE0">
      <w:pPr>
        <w:pStyle w:val="Notedebasdepage"/>
        <w:jc w:val="both"/>
        <w:rPr>
          <w:rFonts w:cstheme="minorHAnsi"/>
          <w:color w:val="7F7F7F"/>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29AE" w14:textId="7D561927" w:rsidR="00156205" w:rsidRPr="00E921B8" w:rsidRDefault="00E921B8" w:rsidP="00E921B8">
    <w:pPr>
      <w:pStyle w:val="En-tte"/>
    </w:pPr>
    <w:r w:rsidRPr="00E921B8">
      <w:rPr>
        <w:noProof/>
      </w:rPr>
      <w:drawing>
        <wp:inline distT="0" distB="0" distL="0" distR="0" wp14:anchorId="3835BAA2" wp14:editId="4F0DBFA0">
          <wp:extent cx="2160000" cy="496800"/>
          <wp:effectExtent l="0" t="0" r="0" b="0"/>
          <wp:docPr id="1503859254"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59254" name="Image 1" descr="Une image contenant texte, Police, logo, Graphique&#10;&#10;Description générée automatiquement"/>
                  <pic:cNvPicPr/>
                </pic:nvPicPr>
                <pic:blipFill>
                  <a:blip r:embed="rId1"/>
                  <a:stretch>
                    <a:fillRect/>
                  </a:stretch>
                </pic:blipFill>
                <pic:spPr>
                  <a:xfrm>
                    <a:off x="0" y="0"/>
                    <a:ext cx="2160000" cy="496800"/>
                  </a:xfrm>
                  <a:prstGeom prst="rect">
                    <a:avLst/>
                  </a:prstGeom>
                </pic:spPr>
              </pic:pic>
            </a:graphicData>
          </a:graphic>
        </wp:inline>
      </w:drawing>
    </w:r>
    <w:r w:rsidR="00ED0A00">
      <w:ptab w:relativeTo="margin" w:alignment="center" w:leader="none"/>
    </w:r>
    <w:r w:rsidR="00ED0A00">
      <w:ptab w:relativeTo="margin" w:alignment="right" w:leader="none"/>
    </w:r>
  </w:p>
  <w:p w14:paraId="26D2D978" w14:textId="74125E33" w:rsidR="00ED0A00" w:rsidRPr="00902CEB" w:rsidRDefault="00ED0A00" w:rsidP="00ED0A00">
    <w:pPr>
      <w:pStyle w:val="En-tte"/>
      <w:jc w:val="right"/>
      <w:rPr>
        <w:rFonts w:asciiTheme="majorHAnsi" w:hAnsiTheme="majorHAnsi" w:cstheme="majorHAnsi"/>
        <w:color w:val="7F7F7F" w:themeColor="text1" w:themeTint="80"/>
        <w:lang w:val="fr-FR"/>
      </w:rPr>
    </w:pPr>
    <w:r w:rsidRPr="00902CEB">
      <w:rPr>
        <w:rFonts w:asciiTheme="majorHAnsi" w:hAnsiTheme="majorHAnsi" w:cstheme="majorHAnsi"/>
        <w:color w:val="7F7F7F" w:themeColor="text1" w:themeTint="80"/>
        <w:lang w:val="fr-FR"/>
      </w:rPr>
      <w:t>20</w:t>
    </w:r>
    <w:r w:rsidR="00AA7F0A">
      <w:rPr>
        <w:rFonts w:asciiTheme="majorHAnsi" w:hAnsiTheme="majorHAnsi" w:cstheme="majorHAnsi"/>
        <w:color w:val="7F7F7F" w:themeColor="text1" w:themeTint="80"/>
        <w:lang w:val="fr-FR"/>
      </w:rPr>
      <w:t>2</w:t>
    </w:r>
    <w:r w:rsidR="00FC2312">
      <w:rPr>
        <w:rFonts w:asciiTheme="majorHAnsi" w:hAnsiTheme="majorHAnsi" w:cstheme="majorHAnsi"/>
        <w:color w:val="7F7F7F" w:themeColor="text1" w:themeTint="80"/>
        <w:lang w:val="fr-FR"/>
      </w:rPr>
      <w:t>5</w:t>
    </w:r>
    <w:r w:rsidR="00BE3749" w:rsidRPr="00902CEB">
      <w:rPr>
        <w:rFonts w:asciiTheme="majorHAnsi" w:hAnsiTheme="majorHAnsi" w:cstheme="majorHAnsi"/>
        <w:color w:val="7F7F7F" w:themeColor="text1" w:themeTint="80"/>
        <w:lang w:val="fr-FR"/>
      </w:rPr>
      <w:t xml:space="preserve"> </w:t>
    </w:r>
    <w:r w:rsidR="00BE3749" w:rsidRPr="00902CEB">
      <w:rPr>
        <w:rFonts w:ascii="Arial" w:hAnsi="Arial" w:cs="Arial"/>
        <w:color w:val="C90025"/>
        <w:lang w:val="fr-FR"/>
      </w:rPr>
      <w:t>■</w:t>
    </w:r>
    <w:r w:rsidR="00BE3749" w:rsidRPr="00902CEB">
      <w:rPr>
        <w:rFonts w:asciiTheme="majorHAnsi" w:hAnsiTheme="majorHAnsi" w:cstheme="majorHAnsi"/>
        <w:color w:val="C90025"/>
        <w:lang w:val="fr-FR"/>
      </w:rPr>
      <w:t xml:space="preserve"> </w:t>
    </w:r>
    <w:r w:rsidRPr="00902CEB">
      <w:rPr>
        <w:rFonts w:asciiTheme="majorHAnsi" w:hAnsiTheme="majorHAnsi" w:cstheme="majorHAnsi"/>
        <w:color w:val="7F7F7F" w:themeColor="text1" w:themeTint="80"/>
        <w:lang w:val="fr-FR"/>
      </w:rPr>
      <w:t xml:space="preserve">n° </w:t>
    </w:r>
    <w:r w:rsidR="00AC64CE">
      <w:rPr>
        <w:rFonts w:asciiTheme="majorHAnsi" w:hAnsiTheme="majorHAnsi" w:cstheme="majorHAnsi"/>
        <w:color w:val="7F7F7F" w:themeColor="text1" w:themeTint="80"/>
        <w:lang w:val="fr-FR"/>
      </w:rPr>
      <w:t>1</w:t>
    </w:r>
    <w:r w:rsidR="00BC636F">
      <w:rPr>
        <w:rFonts w:asciiTheme="majorHAnsi" w:hAnsiTheme="majorHAnsi" w:cstheme="majorHAnsi"/>
        <w:color w:val="7F7F7F" w:themeColor="text1" w:themeTint="80"/>
        <w:lang w:val="fr-FR"/>
      </w:rPr>
      <w:t>8</w:t>
    </w:r>
    <w:r w:rsidR="00BC4294">
      <w:rPr>
        <w:rFonts w:asciiTheme="majorHAnsi" w:hAnsiTheme="majorHAnsi" w:cstheme="majorHAnsi"/>
        <w:color w:val="7F7F7F" w:themeColor="text1" w:themeTint="80"/>
        <w:lang w:val="fr-FR"/>
      </w:rPr>
      <w:t>5</w:t>
    </w:r>
  </w:p>
  <w:p w14:paraId="01EDA198" w14:textId="77777777" w:rsidR="00ED0A00" w:rsidRPr="00902CEB" w:rsidRDefault="00156205" w:rsidP="00156205">
    <w:pPr>
      <w:pStyle w:val="En-tte"/>
      <w:jc w:val="center"/>
      <w:rPr>
        <w:color w:val="7F7F7F" w:themeColor="text1" w:themeTint="80"/>
        <w:sz w:val="20"/>
        <w:szCs w:val="20"/>
      </w:rPr>
    </w:pPr>
    <w:r w:rsidRPr="00902CEB">
      <w:rPr>
        <w:color w:val="7F7F7F" w:themeColor="text1" w:themeTint="80"/>
        <w:sz w:val="20"/>
        <w:szCs w:val="20"/>
      </w:rPr>
      <w:t>__________________________</w:t>
    </w:r>
    <w:r w:rsidR="00902CEB">
      <w:rPr>
        <w:color w:val="7F7F7F" w:themeColor="text1" w:themeTint="80"/>
        <w:sz w:val="20"/>
        <w:szCs w:val="20"/>
      </w:rPr>
      <w:t>_______________</w:t>
    </w:r>
    <w:r w:rsidRPr="00902CEB">
      <w:rPr>
        <w:color w:val="7F7F7F" w:themeColor="text1" w:themeTint="80"/>
        <w:sz w:val="20"/>
        <w:szCs w:val="20"/>
      </w:rPr>
      <w:t>__________________</w:t>
    </w:r>
    <w:r w:rsidR="0094795D">
      <w:rPr>
        <w:color w:val="7F7F7F" w:themeColor="text1" w:themeTint="80"/>
        <w:sz w:val="20"/>
        <w:szCs w:val="20"/>
      </w:rPr>
      <w:t>______</w:t>
    </w:r>
    <w:r w:rsidRPr="00902CEB">
      <w:rPr>
        <w:color w:val="7F7F7F" w:themeColor="text1" w:themeTint="80"/>
        <w:sz w:val="20"/>
        <w:szCs w:val="20"/>
      </w:rPr>
      <w:t>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A00"/>
    <w:rsid w:val="0000785B"/>
    <w:rsid w:val="00043212"/>
    <w:rsid w:val="00053662"/>
    <w:rsid w:val="000558A2"/>
    <w:rsid w:val="00056401"/>
    <w:rsid w:val="000668E1"/>
    <w:rsid w:val="0008393A"/>
    <w:rsid w:val="00086E03"/>
    <w:rsid w:val="000876AC"/>
    <w:rsid w:val="000A495A"/>
    <w:rsid w:val="000B69AC"/>
    <w:rsid w:val="000C08B3"/>
    <w:rsid w:val="000C76C7"/>
    <w:rsid w:val="000D2570"/>
    <w:rsid w:val="000D5379"/>
    <w:rsid w:val="00100859"/>
    <w:rsid w:val="0011363C"/>
    <w:rsid w:val="00122C90"/>
    <w:rsid w:val="0014723F"/>
    <w:rsid w:val="00154C6D"/>
    <w:rsid w:val="00156205"/>
    <w:rsid w:val="00174E87"/>
    <w:rsid w:val="001872C3"/>
    <w:rsid w:val="001917A4"/>
    <w:rsid w:val="001C57FE"/>
    <w:rsid w:val="00202743"/>
    <w:rsid w:val="0025625C"/>
    <w:rsid w:val="00275198"/>
    <w:rsid w:val="002768C8"/>
    <w:rsid w:val="002C2A52"/>
    <w:rsid w:val="002C6670"/>
    <w:rsid w:val="002F1EE0"/>
    <w:rsid w:val="002F3FC6"/>
    <w:rsid w:val="002F5978"/>
    <w:rsid w:val="0032219C"/>
    <w:rsid w:val="00334734"/>
    <w:rsid w:val="003407D8"/>
    <w:rsid w:val="00342230"/>
    <w:rsid w:val="00347536"/>
    <w:rsid w:val="003C5DB9"/>
    <w:rsid w:val="003D358B"/>
    <w:rsid w:val="00401D87"/>
    <w:rsid w:val="00425ED6"/>
    <w:rsid w:val="00427244"/>
    <w:rsid w:val="00482D4B"/>
    <w:rsid w:val="00486A33"/>
    <w:rsid w:val="00486B4E"/>
    <w:rsid w:val="004E1433"/>
    <w:rsid w:val="004E2CFB"/>
    <w:rsid w:val="004E4493"/>
    <w:rsid w:val="004F3080"/>
    <w:rsid w:val="004F5A27"/>
    <w:rsid w:val="0052633A"/>
    <w:rsid w:val="005317EA"/>
    <w:rsid w:val="0055359A"/>
    <w:rsid w:val="005A2C97"/>
    <w:rsid w:val="005A3FAF"/>
    <w:rsid w:val="005A5915"/>
    <w:rsid w:val="005F4E54"/>
    <w:rsid w:val="0061311A"/>
    <w:rsid w:val="00620B45"/>
    <w:rsid w:val="006240F8"/>
    <w:rsid w:val="006251A0"/>
    <w:rsid w:val="00630A97"/>
    <w:rsid w:val="006469E9"/>
    <w:rsid w:val="00695658"/>
    <w:rsid w:val="006A481C"/>
    <w:rsid w:val="006A5ADB"/>
    <w:rsid w:val="006A7FAC"/>
    <w:rsid w:val="006D5CDE"/>
    <w:rsid w:val="006E06B6"/>
    <w:rsid w:val="0071786C"/>
    <w:rsid w:val="00720FE2"/>
    <w:rsid w:val="00730ABF"/>
    <w:rsid w:val="00733A62"/>
    <w:rsid w:val="00744F8D"/>
    <w:rsid w:val="007525FE"/>
    <w:rsid w:val="00763D50"/>
    <w:rsid w:val="007652B9"/>
    <w:rsid w:val="00787DCA"/>
    <w:rsid w:val="00794B15"/>
    <w:rsid w:val="007A15C8"/>
    <w:rsid w:val="007B485A"/>
    <w:rsid w:val="007D11D9"/>
    <w:rsid w:val="007D2D1A"/>
    <w:rsid w:val="007F5614"/>
    <w:rsid w:val="00800562"/>
    <w:rsid w:val="00823727"/>
    <w:rsid w:val="008364D0"/>
    <w:rsid w:val="00846D07"/>
    <w:rsid w:val="00853453"/>
    <w:rsid w:val="008717FA"/>
    <w:rsid w:val="0087549B"/>
    <w:rsid w:val="00882C76"/>
    <w:rsid w:val="00885425"/>
    <w:rsid w:val="0088712C"/>
    <w:rsid w:val="008A0E9A"/>
    <w:rsid w:val="008A3F83"/>
    <w:rsid w:val="008A507C"/>
    <w:rsid w:val="008C4BEE"/>
    <w:rsid w:val="008D6797"/>
    <w:rsid w:val="008F0D4D"/>
    <w:rsid w:val="008F7704"/>
    <w:rsid w:val="00902CEB"/>
    <w:rsid w:val="009224BF"/>
    <w:rsid w:val="00934B86"/>
    <w:rsid w:val="00944E98"/>
    <w:rsid w:val="0094795D"/>
    <w:rsid w:val="00993B48"/>
    <w:rsid w:val="00997905"/>
    <w:rsid w:val="009A0EDC"/>
    <w:rsid w:val="009A12A0"/>
    <w:rsid w:val="009A27FD"/>
    <w:rsid w:val="009D7A02"/>
    <w:rsid w:val="009D7E8D"/>
    <w:rsid w:val="009F152B"/>
    <w:rsid w:val="00A343F7"/>
    <w:rsid w:val="00A65A3C"/>
    <w:rsid w:val="00A80F18"/>
    <w:rsid w:val="00A8681F"/>
    <w:rsid w:val="00AA4511"/>
    <w:rsid w:val="00AA7F0A"/>
    <w:rsid w:val="00AC3C37"/>
    <w:rsid w:val="00AC4EC2"/>
    <w:rsid w:val="00AC64CE"/>
    <w:rsid w:val="00AF363C"/>
    <w:rsid w:val="00AF4B7F"/>
    <w:rsid w:val="00B04F77"/>
    <w:rsid w:val="00B16670"/>
    <w:rsid w:val="00B21FF0"/>
    <w:rsid w:val="00B333D6"/>
    <w:rsid w:val="00B504B0"/>
    <w:rsid w:val="00B52F4C"/>
    <w:rsid w:val="00B81202"/>
    <w:rsid w:val="00B83E88"/>
    <w:rsid w:val="00B85C09"/>
    <w:rsid w:val="00BA54C0"/>
    <w:rsid w:val="00BB04BB"/>
    <w:rsid w:val="00BC4294"/>
    <w:rsid w:val="00BC636F"/>
    <w:rsid w:val="00BE18AD"/>
    <w:rsid w:val="00BE3749"/>
    <w:rsid w:val="00BE78AC"/>
    <w:rsid w:val="00BF7FD6"/>
    <w:rsid w:val="00C168EC"/>
    <w:rsid w:val="00C51CCC"/>
    <w:rsid w:val="00C56B38"/>
    <w:rsid w:val="00C74999"/>
    <w:rsid w:val="00C769A3"/>
    <w:rsid w:val="00C90827"/>
    <w:rsid w:val="00CA0120"/>
    <w:rsid w:val="00CA1899"/>
    <w:rsid w:val="00CD7802"/>
    <w:rsid w:val="00CE0938"/>
    <w:rsid w:val="00D07F4C"/>
    <w:rsid w:val="00D10356"/>
    <w:rsid w:val="00D13E45"/>
    <w:rsid w:val="00D525AF"/>
    <w:rsid w:val="00DA3E0E"/>
    <w:rsid w:val="00DB423D"/>
    <w:rsid w:val="00DB6B14"/>
    <w:rsid w:val="00DC600A"/>
    <w:rsid w:val="00DE46DA"/>
    <w:rsid w:val="00DE745E"/>
    <w:rsid w:val="00E44E71"/>
    <w:rsid w:val="00E921B8"/>
    <w:rsid w:val="00E94B5E"/>
    <w:rsid w:val="00E95DB8"/>
    <w:rsid w:val="00EA68C9"/>
    <w:rsid w:val="00EC14B7"/>
    <w:rsid w:val="00EC7C4D"/>
    <w:rsid w:val="00ED0A00"/>
    <w:rsid w:val="00ED3076"/>
    <w:rsid w:val="00EE13BB"/>
    <w:rsid w:val="00EF4643"/>
    <w:rsid w:val="00F13116"/>
    <w:rsid w:val="00F272C3"/>
    <w:rsid w:val="00F7489C"/>
    <w:rsid w:val="00F832D3"/>
    <w:rsid w:val="00F9140D"/>
    <w:rsid w:val="00FC2312"/>
    <w:rsid w:val="00FD7524"/>
    <w:rsid w:val="00FE01D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EB87C"/>
  <w15:chartTrackingRefBased/>
  <w15:docId w15:val="{80F69347-0601-4E47-9750-FB15017D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D0A00"/>
    <w:pPr>
      <w:tabs>
        <w:tab w:val="center" w:pos="4536"/>
        <w:tab w:val="right" w:pos="9072"/>
      </w:tabs>
    </w:pPr>
  </w:style>
  <w:style w:type="character" w:customStyle="1" w:styleId="En-tteCar">
    <w:name w:val="En-tête Car"/>
    <w:basedOn w:val="Policepardfaut"/>
    <w:link w:val="En-tte"/>
    <w:uiPriority w:val="99"/>
    <w:rsid w:val="00ED0A00"/>
  </w:style>
  <w:style w:type="paragraph" w:styleId="Pieddepage">
    <w:name w:val="footer"/>
    <w:basedOn w:val="Normal"/>
    <w:link w:val="PieddepageCar"/>
    <w:uiPriority w:val="99"/>
    <w:unhideWhenUsed/>
    <w:rsid w:val="00ED0A00"/>
    <w:pPr>
      <w:tabs>
        <w:tab w:val="center" w:pos="4536"/>
        <w:tab w:val="right" w:pos="9072"/>
      </w:tabs>
    </w:pPr>
  </w:style>
  <w:style w:type="character" w:customStyle="1" w:styleId="PieddepageCar">
    <w:name w:val="Pied de page Car"/>
    <w:basedOn w:val="Policepardfaut"/>
    <w:link w:val="Pieddepage"/>
    <w:uiPriority w:val="99"/>
    <w:rsid w:val="00ED0A00"/>
  </w:style>
  <w:style w:type="character" w:styleId="Lienhypertexte">
    <w:name w:val="Hyperlink"/>
    <w:basedOn w:val="Policepardfaut"/>
    <w:uiPriority w:val="99"/>
    <w:unhideWhenUsed/>
    <w:rsid w:val="00ED0A00"/>
    <w:rPr>
      <w:color w:val="0563C1" w:themeColor="hyperlink"/>
      <w:u w:val="single"/>
    </w:rPr>
  </w:style>
  <w:style w:type="character" w:customStyle="1" w:styleId="Mentionnonrsolue1">
    <w:name w:val="Mention non résolue1"/>
    <w:basedOn w:val="Policepardfaut"/>
    <w:uiPriority w:val="99"/>
    <w:semiHidden/>
    <w:unhideWhenUsed/>
    <w:rsid w:val="00ED0A00"/>
    <w:rPr>
      <w:color w:val="605E5C"/>
      <w:shd w:val="clear" w:color="auto" w:fill="E1DFDD"/>
    </w:rPr>
  </w:style>
  <w:style w:type="paragraph" w:styleId="Notedebasdepage">
    <w:name w:val="footnote text"/>
    <w:aliases w:val="Footnote Text Char2,Footnote Text Char Char1,Footnote Char Char,Voetnoottekst Char Char Char,Footnote Text Char Char Char Char,Voetnoottekst Char Char1,Footnote Text Char1 Char,Footnote Text Char Char Char1,Footnote Char,footnote,tek"/>
    <w:basedOn w:val="Normal"/>
    <w:link w:val="NotedebasdepageCar"/>
    <w:uiPriority w:val="99"/>
    <w:unhideWhenUsed/>
    <w:qFormat/>
    <w:rsid w:val="00B04F77"/>
    <w:rPr>
      <w:sz w:val="20"/>
      <w:szCs w:val="20"/>
    </w:rPr>
  </w:style>
  <w:style w:type="character" w:customStyle="1" w:styleId="NotedebasdepageCar">
    <w:name w:val="Note de bas de page Car"/>
    <w:aliases w:val="Footnote Text Char2 Car,Footnote Text Char Char1 Car,Footnote Char Char Car,Voetnoottekst Char Char Char Car,Footnote Text Char Char Char Char Car,Voetnoottekst Char Char1 Car,Footnote Text Char1 Char Car,Footnote Char Car"/>
    <w:basedOn w:val="Policepardfaut"/>
    <w:link w:val="Notedebasdepage"/>
    <w:uiPriority w:val="99"/>
    <w:rsid w:val="00B04F77"/>
    <w:rPr>
      <w:sz w:val="20"/>
      <w:szCs w:val="20"/>
    </w:rPr>
  </w:style>
  <w:style w:type="character" w:styleId="Appelnotedebasdep">
    <w:name w:val="footnote reference"/>
    <w:basedOn w:val="Policepardfaut"/>
    <w:uiPriority w:val="99"/>
    <w:semiHidden/>
    <w:unhideWhenUsed/>
    <w:rsid w:val="00B04F77"/>
    <w:rPr>
      <w:vertAlign w:val="superscript"/>
    </w:rPr>
  </w:style>
  <w:style w:type="paragraph" w:styleId="Textebrut">
    <w:name w:val="Plain Text"/>
    <w:basedOn w:val="Normal"/>
    <w:link w:val="TextebrutCar"/>
    <w:uiPriority w:val="99"/>
    <w:semiHidden/>
    <w:unhideWhenUsed/>
    <w:rsid w:val="00B21FF0"/>
    <w:rPr>
      <w:rFonts w:ascii="Consolas" w:hAnsi="Consolas"/>
      <w:sz w:val="21"/>
      <w:szCs w:val="21"/>
    </w:rPr>
  </w:style>
  <w:style w:type="character" w:customStyle="1" w:styleId="TextebrutCar">
    <w:name w:val="Texte brut Car"/>
    <w:basedOn w:val="Policepardfaut"/>
    <w:link w:val="Textebrut"/>
    <w:uiPriority w:val="99"/>
    <w:semiHidden/>
    <w:rsid w:val="00B21FF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38299">
      <w:bodyDiv w:val="1"/>
      <w:marLeft w:val="0"/>
      <w:marRight w:val="0"/>
      <w:marTop w:val="0"/>
      <w:marBottom w:val="0"/>
      <w:divBdr>
        <w:top w:val="none" w:sz="0" w:space="0" w:color="auto"/>
        <w:left w:val="none" w:sz="0" w:space="0" w:color="auto"/>
        <w:bottom w:val="none" w:sz="0" w:space="0" w:color="auto"/>
        <w:right w:val="none" w:sz="0" w:space="0" w:color="auto"/>
      </w:divBdr>
    </w:div>
    <w:div w:id="393509037">
      <w:bodyDiv w:val="1"/>
      <w:marLeft w:val="0"/>
      <w:marRight w:val="0"/>
      <w:marTop w:val="0"/>
      <w:marBottom w:val="0"/>
      <w:divBdr>
        <w:top w:val="none" w:sz="0" w:space="0" w:color="auto"/>
        <w:left w:val="none" w:sz="0" w:space="0" w:color="auto"/>
        <w:bottom w:val="none" w:sz="0" w:space="0" w:color="auto"/>
        <w:right w:val="none" w:sz="0" w:space="0" w:color="auto"/>
      </w:divBdr>
      <w:divsChild>
        <w:div w:id="2053579502">
          <w:marLeft w:val="0"/>
          <w:marRight w:val="0"/>
          <w:marTop w:val="0"/>
          <w:marBottom w:val="0"/>
          <w:divBdr>
            <w:top w:val="none" w:sz="0" w:space="0" w:color="auto"/>
            <w:left w:val="none" w:sz="0" w:space="0" w:color="auto"/>
            <w:bottom w:val="none" w:sz="0" w:space="0" w:color="auto"/>
            <w:right w:val="none" w:sz="0" w:space="0" w:color="auto"/>
          </w:divBdr>
        </w:div>
      </w:divsChild>
    </w:div>
    <w:div w:id="726297719">
      <w:bodyDiv w:val="1"/>
      <w:marLeft w:val="0"/>
      <w:marRight w:val="0"/>
      <w:marTop w:val="0"/>
      <w:marBottom w:val="0"/>
      <w:divBdr>
        <w:top w:val="none" w:sz="0" w:space="0" w:color="auto"/>
        <w:left w:val="none" w:sz="0" w:space="0" w:color="auto"/>
        <w:bottom w:val="none" w:sz="0" w:space="0" w:color="auto"/>
        <w:right w:val="none" w:sz="0" w:space="0" w:color="auto"/>
      </w:divBdr>
      <w:divsChild>
        <w:div w:id="1368721880">
          <w:marLeft w:val="0"/>
          <w:marRight w:val="0"/>
          <w:marTop w:val="0"/>
          <w:marBottom w:val="0"/>
          <w:divBdr>
            <w:top w:val="none" w:sz="0" w:space="0" w:color="auto"/>
            <w:left w:val="none" w:sz="0" w:space="0" w:color="auto"/>
            <w:bottom w:val="none" w:sz="0" w:space="0" w:color="auto"/>
            <w:right w:val="none" w:sz="0" w:space="0" w:color="auto"/>
          </w:divBdr>
        </w:div>
      </w:divsChild>
    </w:div>
    <w:div w:id="864294410">
      <w:bodyDiv w:val="1"/>
      <w:marLeft w:val="0"/>
      <w:marRight w:val="0"/>
      <w:marTop w:val="0"/>
      <w:marBottom w:val="0"/>
      <w:divBdr>
        <w:top w:val="none" w:sz="0" w:space="0" w:color="auto"/>
        <w:left w:val="none" w:sz="0" w:space="0" w:color="auto"/>
        <w:bottom w:val="none" w:sz="0" w:space="0" w:color="auto"/>
        <w:right w:val="none" w:sz="0" w:space="0" w:color="auto"/>
      </w:divBdr>
    </w:div>
    <w:div w:id="1311984096">
      <w:bodyDiv w:val="1"/>
      <w:marLeft w:val="0"/>
      <w:marRight w:val="0"/>
      <w:marTop w:val="0"/>
      <w:marBottom w:val="0"/>
      <w:divBdr>
        <w:top w:val="none" w:sz="0" w:space="0" w:color="auto"/>
        <w:left w:val="none" w:sz="0" w:space="0" w:color="auto"/>
        <w:bottom w:val="none" w:sz="0" w:space="0" w:color="auto"/>
        <w:right w:val="none" w:sz="0" w:space="0" w:color="auto"/>
      </w:divBdr>
      <w:divsChild>
        <w:div w:id="336276799">
          <w:marLeft w:val="0"/>
          <w:marRight w:val="0"/>
          <w:marTop w:val="0"/>
          <w:marBottom w:val="0"/>
          <w:divBdr>
            <w:top w:val="none" w:sz="0" w:space="0" w:color="auto"/>
            <w:left w:val="none" w:sz="0" w:space="0" w:color="auto"/>
            <w:bottom w:val="none" w:sz="0" w:space="0" w:color="auto"/>
            <w:right w:val="none" w:sz="0" w:space="0" w:color="auto"/>
          </w:divBdr>
        </w:div>
      </w:divsChild>
    </w:div>
    <w:div w:id="1313635870">
      <w:bodyDiv w:val="1"/>
      <w:marLeft w:val="0"/>
      <w:marRight w:val="0"/>
      <w:marTop w:val="0"/>
      <w:marBottom w:val="0"/>
      <w:divBdr>
        <w:top w:val="none" w:sz="0" w:space="0" w:color="auto"/>
        <w:left w:val="none" w:sz="0" w:space="0" w:color="auto"/>
        <w:bottom w:val="none" w:sz="0" w:space="0" w:color="auto"/>
        <w:right w:val="none" w:sz="0" w:space="0" w:color="auto"/>
      </w:divBdr>
      <w:divsChild>
        <w:div w:id="1637762125">
          <w:marLeft w:val="0"/>
          <w:marRight w:val="0"/>
          <w:marTop w:val="0"/>
          <w:marBottom w:val="0"/>
          <w:divBdr>
            <w:top w:val="none" w:sz="0" w:space="0" w:color="auto"/>
            <w:left w:val="none" w:sz="0" w:space="0" w:color="auto"/>
            <w:bottom w:val="none" w:sz="0" w:space="0" w:color="auto"/>
            <w:right w:val="none" w:sz="0" w:space="0" w:color="auto"/>
          </w:divBdr>
        </w:div>
      </w:divsChild>
    </w:div>
    <w:div w:id="1553881513">
      <w:bodyDiv w:val="1"/>
      <w:marLeft w:val="0"/>
      <w:marRight w:val="0"/>
      <w:marTop w:val="0"/>
      <w:marBottom w:val="0"/>
      <w:divBdr>
        <w:top w:val="none" w:sz="0" w:space="0" w:color="auto"/>
        <w:left w:val="none" w:sz="0" w:space="0" w:color="auto"/>
        <w:bottom w:val="none" w:sz="0" w:space="0" w:color="auto"/>
        <w:right w:val="none" w:sz="0" w:space="0" w:color="auto"/>
      </w:divBdr>
    </w:div>
    <w:div w:id="1879776773">
      <w:bodyDiv w:val="1"/>
      <w:marLeft w:val="0"/>
      <w:marRight w:val="0"/>
      <w:marTop w:val="0"/>
      <w:marBottom w:val="0"/>
      <w:divBdr>
        <w:top w:val="none" w:sz="0" w:space="0" w:color="auto"/>
        <w:left w:val="none" w:sz="0" w:space="0" w:color="auto"/>
        <w:bottom w:val="none" w:sz="0" w:space="0" w:color="auto"/>
        <w:right w:val="none" w:sz="0" w:space="0" w:color="auto"/>
      </w:divBdr>
    </w:div>
    <w:div w:id="1891842093">
      <w:bodyDiv w:val="1"/>
      <w:marLeft w:val="0"/>
      <w:marRight w:val="0"/>
      <w:marTop w:val="0"/>
      <w:marBottom w:val="0"/>
      <w:divBdr>
        <w:top w:val="none" w:sz="0" w:space="0" w:color="auto"/>
        <w:left w:val="none" w:sz="0" w:space="0" w:color="auto"/>
        <w:bottom w:val="none" w:sz="0" w:space="0" w:color="auto"/>
        <w:right w:val="none" w:sz="0" w:space="0" w:color="auto"/>
      </w:divBdr>
      <w:divsChild>
        <w:div w:id="1285193253">
          <w:marLeft w:val="0"/>
          <w:marRight w:val="0"/>
          <w:marTop w:val="0"/>
          <w:marBottom w:val="0"/>
          <w:divBdr>
            <w:top w:val="none" w:sz="0" w:space="0" w:color="auto"/>
            <w:left w:val="none" w:sz="0" w:space="0" w:color="auto"/>
            <w:bottom w:val="none" w:sz="0" w:space="0" w:color="auto"/>
            <w:right w:val="none" w:sz="0" w:space="0" w:color="auto"/>
          </w:divBdr>
        </w:div>
      </w:divsChild>
    </w:div>
    <w:div w:id="2140948970">
      <w:bodyDiv w:val="1"/>
      <w:marLeft w:val="0"/>
      <w:marRight w:val="0"/>
      <w:marTop w:val="0"/>
      <w:marBottom w:val="0"/>
      <w:divBdr>
        <w:top w:val="none" w:sz="0" w:space="0" w:color="auto"/>
        <w:left w:val="none" w:sz="0" w:space="0" w:color="auto"/>
        <w:bottom w:val="none" w:sz="0" w:space="0" w:color="auto"/>
        <w:right w:val="none" w:sz="0" w:space="0" w:color="auto"/>
      </w:divBdr>
      <w:divsChild>
        <w:div w:id="425737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A4F48-5A78-4500-A04D-1E66658DE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455</Words>
  <Characters>2505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Salima Tafranti</cp:lastModifiedBy>
  <cp:revision>8</cp:revision>
  <cp:lastPrinted>2025-01-15T16:05:00Z</cp:lastPrinted>
  <dcterms:created xsi:type="dcterms:W3CDTF">2025-02-10T07:36:00Z</dcterms:created>
  <dcterms:modified xsi:type="dcterms:W3CDTF">2025-02-10T13:04:00Z</dcterms:modified>
</cp:coreProperties>
</file>