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7E68E" w14:textId="0A3C02DF" w:rsidR="00173BED" w:rsidRDefault="00886398" w:rsidP="00BD44F3">
      <w:pPr>
        <w:jc w:val="center"/>
        <w:rPr>
          <w:rFonts w:ascii="Times New Roman" w:hAnsi="Times New Roman" w:cs="Times New Roman"/>
          <w:b/>
          <w:bCs/>
          <w:sz w:val="28"/>
          <w:szCs w:val="28"/>
          <w:lang w:val="fr-FR"/>
        </w:rPr>
      </w:pPr>
      <w:r w:rsidRPr="00AB5A99">
        <w:rPr>
          <w:rFonts w:ascii="Times New Roman" w:hAnsi="Times New Roman" w:cs="Times New Roman"/>
          <w:b/>
          <w:bCs/>
          <w:sz w:val="28"/>
          <w:szCs w:val="28"/>
          <w:lang w:val="fr-FR"/>
        </w:rPr>
        <w:t xml:space="preserve">La Cour constitutionnelle et la primauté du droit international. L’héritage </w:t>
      </w:r>
      <w:r w:rsidRPr="00AB5A99">
        <w:rPr>
          <w:rFonts w:ascii="Times New Roman" w:hAnsi="Times New Roman" w:cs="Times New Roman"/>
          <w:b/>
          <w:bCs/>
          <w:i/>
          <w:sz w:val="28"/>
          <w:szCs w:val="28"/>
          <w:lang w:val="fr-FR"/>
        </w:rPr>
        <w:t xml:space="preserve">Le Ski </w:t>
      </w:r>
      <w:r w:rsidRPr="00AB5A99">
        <w:rPr>
          <w:rFonts w:ascii="Times New Roman" w:hAnsi="Times New Roman" w:cs="Times New Roman"/>
          <w:b/>
          <w:bCs/>
          <w:sz w:val="28"/>
          <w:szCs w:val="28"/>
          <w:lang w:val="fr-FR"/>
        </w:rPr>
        <w:t>sous bénéfice d’inventaire</w:t>
      </w:r>
    </w:p>
    <w:p w14:paraId="3B46DFC2" w14:textId="2902D88A" w:rsidR="00187F35" w:rsidRDefault="00187F35" w:rsidP="00BD44F3">
      <w:pPr>
        <w:jc w:val="center"/>
        <w:rPr>
          <w:rFonts w:ascii="Times New Roman" w:hAnsi="Times New Roman" w:cs="Times New Roman"/>
          <w:b/>
          <w:bCs/>
          <w:sz w:val="28"/>
          <w:szCs w:val="28"/>
          <w:lang w:val="fr-FR"/>
        </w:rPr>
      </w:pPr>
    </w:p>
    <w:p w14:paraId="6D39EF69" w14:textId="4722CA08" w:rsidR="00187F35" w:rsidRPr="00187F35" w:rsidRDefault="00187F35" w:rsidP="00BD44F3">
      <w:pPr>
        <w:jc w:val="center"/>
        <w:rPr>
          <w:rFonts w:ascii="Times New Roman" w:hAnsi="Times New Roman" w:cs="Times New Roman"/>
          <w:sz w:val="20"/>
          <w:szCs w:val="20"/>
          <w:lang w:val="fr-FR"/>
        </w:rPr>
      </w:pPr>
      <w:r w:rsidRPr="00187F35">
        <w:rPr>
          <w:rFonts w:ascii="Times New Roman" w:hAnsi="Times New Roman" w:cs="Times New Roman"/>
          <w:sz w:val="20"/>
          <w:szCs w:val="20"/>
          <w:lang w:val="fr-FR"/>
        </w:rPr>
        <w:t>Sébastien Van Drooghenbroeck</w:t>
      </w:r>
    </w:p>
    <w:p w14:paraId="1CAD5E1D" w14:textId="072442CC" w:rsidR="00187F35" w:rsidRPr="00187F35" w:rsidRDefault="00187F35" w:rsidP="00BD44F3">
      <w:pPr>
        <w:jc w:val="center"/>
        <w:rPr>
          <w:rFonts w:ascii="Times New Roman" w:hAnsi="Times New Roman" w:cs="Times New Roman"/>
          <w:sz w:val="20"/>
          <w:szCs w:val="20"/>
          <w:lang w:val="fr-FR"/>
        </w:rPr>
      </w:pPr>
      <w:r w:rsidRPr="00187F35">
        <w:rPr>
          <w:rFonts w:ascii="Times New Roman" w:hAnsi="Times New Roman" w:cs="Times New Roman"/>
          <w:sz w:val="20"/>
          <w:szCs w:val="20"/>
          <w:lang w:val="fr-FR"/>
        </w:rPr>
        <w:t>Professeur ordinaire à l’Université Saint-Louis-Bruxelles</w:t>
      </w:r>
    </w:p>
    <w:p w14:paraId="152333D3" w14:textId="7C39581B" w:rsidR="00187F35" w:rsidRPr="00187F35" w:rsidRDefault="00187F35" w:rsidP="00BD44F3">
      <w:pPr>
        <w:jc w:val="center"/>
        <w:rPr>
          <w:rFonts w:ascii="Times New Roman" w:hAnsi="Times New Roman" w:cs="Times New Roman"/>
          <w:sz w:val="20"/>
          <w:szCs w:val="20"/>
          <w:lang w:val="fr-FR"/>
        </w:rPr>
      </w:pPr>
      <w:r w:rsidRPr="00187F35">
        <w:rPr>
          <w:rFonts w:ascii="Times New Roman" w:hAnsi="Times New Roman" w:cs="Times New Roman"/>
          <w:sz w:val="20"/>
          <w:szCs w:val="20"/>
          <w:lang w:val="fr-FR"/>
        </w:rPr>
        <w:t>Professeur invité à l’Université Paris 2 (Panthéon Assas)</w:t>
      </w:r>
    </w:p>
    <w:p w14:paraId="3EF5FC5E" w14:textId="708F86C4" w:rsidR="00187F35" w:rsidRPr="00187F35" w:rsidRDefault="00187F35" w:rsidP="00BD44F3">
      <w:pPr>
        <w:jc w:val="center"/>
        <w:rPr>
          <w:rFonts w:ascii="Times New Roman" w:hAnsi="Times New Roman" w:cs="Times New Roman"/>
          <w:sz w:val="20"/>
          <w:szCs w:val="20"/>
          <w:lang w:val="fr-FR"/>
        </w:rPr>
      </w:pPr>
      <w:r w:rsidRPr="00187F35">
        <w:rPr>
          <w:rFonts w:ascii="Times New Roman" w:hAnsi="Times New Roman" w:cs="Times New Roman"/>
          <w:sz w:val="20"/>
          <w:szCs w:val="20"/>
          <w:lang w:val="fr-FR"/>
        </w:rPr>
        <w:t>Assesseur au Conseil d’État</w:t>
      </w:r>
    </w:p>
    <w:p w14:paraId="5422DF0F" w14:textId="58D42654" w:rsidR="00886398" w:rsidRPr="000D3BCD" w:rsidRDefault="00886398" w:rsidP="000D3BCD">
      <w:pPr>
        <w:jc w:val="both"/>
        <w:rPr>
          <w:rFonts w:ascii="Times New Roman" w:hAnsi="Times New Roman" w:cs="Times New Roman"/>
          <w:lang w:val="fr-FR"/>
        </w:rPr>
      </w:pPr>
    </w:p>
    <w:p w14:paraId="5DCF4339" w14:textId="6DB7C127" w:rsidR="00886398" w:rsidRPr="000D3BCD" w:rsidRDefault="00886398" w:rsidP="000D3BCD">
      <w:pPr>
        <w:jc w:val="both"/>
        <w:rPr>
          <w:rFonts w:ascii="Times New Roman" w:hAnsi="Times New Roman" w:cs="Times New Roman"/>
          <w:lang w:val="fr-FR"/>
        </w:rPr>
      </w:pPr>
      <w:r w:rsidRPr="000D3BCD">
        <w:rPr>
          <w:rFonts w:ascii="Times New Roman" w:hAnsi="Times New Roman" w:cs="Times New Roman"/>
          <w:lang w:val="fr-FR"/>
        </w:rPr>
        <w:t xml:space="preserve">Dans son récent et monumental </w:t>
      </w:r>
      <w:r w:rsidRPr="000D3BCD">
        <w:rPr>
          <w:rFonts w:ascii="Times New Roman" w:hAnsi="Times New Roman" w:cs="Times New Roman"/>
          <w:i/>
          <w:lang w:val="fr-FR"/>
        </w:rPr>
        <w:t>Contentieux constitutionnel</w:t>
      </w:r>
      <w:r w:rsidR="00E5491C">
        <w:rPr>
          <w:rStyle w:val="Appelnotedebasdep"/>
          <w:rFonts w:ascii="Times New Roman" w:hAnsi="Times New Roman" w:cs="Times New Roman"/>
          <w:i/>
          <w:lang w:val="fr-FR"/>
        </w:rPr>
        <w:footnoteReference w:id="1"/>
      </w:r>
      <w:r w:rsidRPr="000D3BCD">
        <w:rPr>
          <w:rFonts w:ascii="Times New Roman" w:hAnsi="Times New Roman" w:cs="Times New Roman"/>
          <w:i/>
          <w:lang w:val="fr-FR"/>
        </w:rPr>
        <w:t xml:space="preserve">, </w:t>
      </w:r>
      <w:r w:rsidRPr="000D3BCD">
        <w:rPr>
          <w:rFonts w:ascii="Times New Roman" w:hAnsi="Times New Roman" w:cs="Times New Roman"/>
          <w:lang w:val="fr-FR"/>
        </w:rPr>
        <w:t>Géraldine Rosoux rappelle la dette certaine</w:t>
      </w:r>
      <w:r w:rsidR="00731957" w:rsidRPr="000D3BCD">
        <w:rPr>
          <w:rFonts w:ascii="Times New Roman" w:hAnsi="Times New Roman" w:cs="Times New Roman"/>
          <w:lang w:val="fr-FR"/>
        </w:rPr>
        <w:t xml:space="preserve"> de</w:t>
      </w:r>
      <w:r w:rsidRPr="000D3BCD">
        <w:rPr>
          <w:rFonts w:ascii="Times New Roman" w:hAnsi="Times New Roman" w:cs="Times New Roman"/>
          <w:lang w:val="fr-FR"/>
        </w:rPr>
        <w:t xml:space="preserve"> la Cour constitutionnelle vis-à-vis de l’arrêt </w:t>
      </w:r>
      <w:r w:rsidRPr="000D3BCD">
        <w:rPr>
          <w:rFonts w:ascii="Times New Roman" w:hAnsi="Times New Roman" w:cs="Times New Roman"/>
          <w:i/>
          <w:lang w:val="fr-FR"/>
        </w:rPr>
        <w:t>Le Ski</w:t>
      </w:r>
      <w:r w:rsidR="006C0E15">
        <w:rPr>
          <w:rStyle w:val="Appelnotedebasdep"/>
          <w:rFonts w:ascii="Times New Roman" w:hAnsi="Times New Roman" w:cs="Times New Roman"/>
          <w:i/>
          <w:lang w:val="fr-FR"/>
        </w:rPr>
        <w:footnoteReference w:id="2"/>
      </w:r>
      <w:r w:rsidRPr="000D3BCD">
        <w:rPr>
          <w:rFonts w:ascii="Times New Roman" w:hAnsi="Times New Roman" w:cs="Times New Roman"/>
          <w:i/>
          <w:lang w:val="fr-FR"/>
        </w:rPr>
        <w:t xml:space="preserve">. </w:t>
      </w:r>
      <w:r w:rsidRPr="000D3BCD">
        <w:rPr>
          <w:rFonts w:ascii="Times New Roman" w:hAnsi="Times New Roman" w:cs="Times New Roman"/>
          <w:lang w:val="fr-FR"/>
        </w:rPr>
        <w:t>Le second a</w:t>
      </w:r>
      <w:r w:rsidR="00731957" w:rsidRPr="000D3BCD">
        <w:rPr>
          <w:rFonts w:ascii="Times New Roman" w:hAnsi="Times New Roman" w:cs="Times New Roman"/>
          <w:lang w:val="fr-FR"/>
        </w:rPr>
        <w:t>vait</w:t>
      </w:r>
      <w:r w:rsidRPr="000D3BCD">
        <w:rPr>
          <w:rFonts w:ascii="Times New Roman" w:hAnsi="Times New Roman" w:cs="Times New Roman"/>
          <w:lang w:val="fr-FR"/>
        </w:rPr>
        <w:t>, pour la première fois, affirmé que la loi était faillible, et que le constat de cette faill</w:t>
      </w:r>
      <w:r w:rsidR="001C454D" w:rsidRPr="000D3BCD">
        <w:rPr>
          <w:rFonts w:ascii="Times New Roman" w:hAnsi="Times New Roman" w:cs="Times New Roman"/>
          <w:lang w:val="fr-FR"/>
        </w:rPr>
        <w:t xml:space="preserve">ibilité </w:t>
      </w:r>
      <w:r w:rsidRPr="000D3BCD">
        <w:rPr>
          <w:rFonts w:ascii="Times New Roman" w:hAnsi="Times New Roman" w:cs="Times New Roman"/>
          <w:lang w:val="fr-FR"/>
        </w:rPr>
        <w:t xml:space="preserve">pouvait relever – mieux : </w:t>
      </w:r>
      <w:r w:rsidRPr="000D3BCD">
        <w:rPr>
          <w:rFonts w:ascii="Times New Roman" w:hAnsi="Times New Roman" w:cs="Times New Roman"/>
          <w:i/>
          <w:iCs/>
          <w:lang w:val="fr-FR"/>
        </w:rPr>
        <w:t xml:space="preserve">devait </w:t>
      </w:r>
      <w:r w:rsidRPr="000D3BCD">
        <w:rPr>
          <w:rFonts w:ascii="Times New Roman" w:hAnsi="Times New Roman" w:cs="Times New Roman"/>
          <w:lang w:val="fr-FR"/>
        </w:rPr>
        <w:t xml:space="preserve">relever – de la mission d’un juge. La brèche était ainsi créée dans les esprits qui, se conjuguant avec les nécessités d’un fédéralisme naissant, ouvrit la voie au contrôle de constitutionnalité de la loi. Cinquante ans après </w:t>
      </w:r>
      <w:r w:rsidR="00D85EA4" w:rsidRPr="000D3BCD">
        <w:rPr>
          <w:rFonts w:ascii="Times New Roman" w:hAnsi="Times New Roman" w:cs="Times New Roman"/>
          <w:lang w:val="fr-FR"/>
        </w:rPr>
        <w:t xml:space="preserve">ce moment fondateur, et trente-six ans après les premiers mots de notre juge constitutionnel, la présente contribution déroulera le thème de l’héritage : ce juge </w:t>
      </w:r>
      <w:r w:rsidR="00AB5A99">
        <w:rPr>
          <w:rFonts w:ascii="Times New Roman" w:hAnsi="Times New Roman" w:cs="Times New Roman"/>
          <w:lang w:val="fr-FR"/>
        </w:rPr>
        <w:t>a t-il</w:t>
      </w:r>
      <w:r w:rsidR="00D85EA4" w:rsidRPr="000D3BCD">
        <w:rPr>
          <w:rFonts w:ascii="Times New Roman" w:hAnsi="Times New Roman" w:cs="Times New Roman"/>
          <w:lang w:val="fr-FR"/>
        </w:rPr>
        <w:t xml:space="preserve"> fait</w:t>
      </w:r>
      <w:r w:rsidR="00653630" w:rsidRPr="000D3BCD">
        <w:rPr>
          <w:rFonts w:ascii="Times New Roman" w:hAnsi="Times New Roman" w:cs="Times New Roman"/>
          <w:lang w:val="fr-FR"/>
        </w:rPr>
        <w:t xml:space="preserve"> prospérer</w:t>
      </w:r>
      <w:r w:rsidR="00D85EA4" w:rsidRPr="000D3BCD">
        <w:rPr>
          <w:rFonts w:ascii="Times New Roman" w:hAnsi="Times New Roman" w:cs="Times New Roman"/>
          <w:lang w:val="fr-FR"/>
        </w:rPr>
        <w:t xml:space="preserve"> l’enseignement de l’arrêt </w:t>
      </w:r>
      <w:r w:rsidR="00D85EA4" w:rsidRPr="000D3BCD">
        <w:rPr>
          <w:rFonts w:ascii="Times New Roman" w:hAnsi="Times New Roman" w:cs="Times New Roman"/>
          <w:i/>
          <w:lang w:val="fr-FR"/>
        </w:rPr>
        <w:t xml:space="preserve">Le Ski </w:t>
      </w:r>
      <w:r w:rsidR="00D85EA4" w:rsidRPr="000D3BCD">
        <w:rPr>
          <w:rFonts w:ascii="Times New Roman" w:hAnsi="Times New Roman" w:cs="Times New Roman"/>
          <w:lang w:val="fr-FR"/>
        </w:rPr>
        <w:t xml:space="preserve">en l’appliquant lui-même (A), ou </w:t>
      </w:r>
      <w:proofErr w:type="gramStart"/>
      <w:r w:rsidR="00D85EA4" w:rsidRPr="000D3BCD">
        <w:rPr>
          <w:rFonts w:ascii="Times New Roman" w:hAnsi="Times New Roman" w:cs="Times New Roman"/>
          <w:lang w:val="fr-FR"/>
        </w:rPr>
        <w:t>l’</w:t>
      </w:r>
      <w:proofErr w:type="spellStart"/>
      <w:r w:rsidR="00AB5A99">
        <w:rPr>
          <w:rFonts w:ascii="Times New Roman" w:hAnsi="Times New Roman" w:cs="Times New Roman"/>
          <w:lang w:val="fr-FR"/>
        </w:rPr>
        <w:t>a t</w:t>
      </w:r>
      <w:proofErr w:type="spellEnd"/>
      <w:r w:rsidR="00AB5A99">
        <w:rPr>
          <w:rFonts w:ascii="Times New Roman" w:hAnsi="Times New Roman" w:cs="Times New Roman"/>
          <w:lang w:val="fr-FR"/>
        </w:rPr>
        <w:t>-il</w:t>
      </w:r>
      <w:proofErr w:type="gramEnd"/>
      <w:r w:rsidR="00D85EA4" w:rsidRPr="000D3BCD">
        <w:rPr>
          <w:rFonts w:ascii="Times New Roman" w:hAnsi="Times New Roman" w:cs="Times New Roman"/>
          <w:lang w:val="fr-FR"/>
        </w:rPr>
        <w:t xml:space="preserve"> au contraire abimé</w:t>
      </w:r>
      <w:r w:rsidR="00653630" w:rsidRPr="000D3BCD">
        <w:rPr>
          <w:rFonts w:ascii="Times New Roman" w:hAnsi="Times New Roman" w:cs="Times New Roman"/>
          <w:lang w:val="fr-FR"/>
        </w:rPr>
        <w:t xml:space="preserve"> dans un geste superbement ingrat</w:t>
      </w:r>
      <w:r w:rsidR="00D85EA4" w:rsidRPr="000D3BCD">
        <w:rPr>
          <w:rFonts w:ascii="Times New Roman" w:hAnsi="Times New Roman" w:cs="Times New Roman"/>
          <w:lang w:val="fr-FR"/>
        </w:rPr>
        <w:t xml:space="preserve">, en </w:t>
      </w:r>
      <w:r w:rsidR="00AB5A99" w:rsidRPr="000D3BCD">
        <w:rPr>
          <w:rFonts w:ascii="Times New Roman" w:hAnsi="Times New Roman" w:cs="Times New Roman"/>
          <w:lang w:val="fr-FR"/>
        </w:rPr>
        <w:t>siphonnant</w:t>
      </w:r>
      <w:r w:rsidR="00D85EA4" w:rsidRPr="000D3BCD">
        <w:rPr>
          <w:rFonts w:ascii="Times New Roman" w:hAnsi="Times New Roman" w:cs="Times New Roman"/>
          <w:lang w:val="fr-FR"/>
        </w:rPr>
        <w:t xml:space="preserve"> la part réservataire </w:t>
      </w:r>
      <w:r w:rsidR="001C454D" w:rsidRPr="000D3BCD">
        <w:rPr>
          <w:rFonts w:ascii="Times New Roman" w:hAnsi="Times New Roman" w:cs="Times New Roman"/>
          <w:lang w:val="fr-FR"/>
        </w:rPr>
        <w:t xml:space="preserve">que </w:t>
      </w:r>
      <w:r w:rsidR="00653630" w:rsidRPr="000D3BCD">
        <w:rPr>
          <w:rFonts w:ascii="Times New Roman" w:hAnsi="Times New Roman" w:cs="Times New Roman"/>
          <w:lang w:val="fr-FR"/>
        </w:rPr>
        <w:t xml:space="preserve">tout autre juge que lui-même était censé en conserver (B) ? </w:t>
      </w:r>
      <w:proofErr w:type="spellStart"/>
      <w:r w:rsidR="00653630" w:rsidRPr="000D3BCD">
        <w:rPr>
          <w:rFonts w:ascii="Times New Roman" w:hAnsi="Times New Roman" w:cs="Times New Roman"/>
          <w:lang w:val="fr-FR"/>
        </w:rPr>
        <w:t>A</w:t>
      </w:r>
      <w:r w:rsidR="00AB5A99">
        <w:rPr>
          <w:rFonts w:ascii="Times New Roman" w:hAnsi="Times New Roman" w:cs="Times New Roman"/>
          <w:lang w:val="fr-FR"/>
        </w:rPr>
        <w:t xml:space="preserve"> </w:t>
      </w:r>
      <w:r w:rsidR="00653630" w:rsidRPr="000D3BCD">
        <w:rPr>
          <w:rFonts w:ascii="Times New Roman" w:hAnsi="Times New Roman" w:cs="Times New Roman"/>
          <w:lang w:val="fr-FR"/>
        </w:rPr>
        <w:t>t</w:t>
      </w:r>
      <w:proofErr w:type="spellEnd"/>
      <w:r w:rsidR="00653630" w:rsidRPr="000D3BCD">
        <w:rPr>
          <w:rFonts w:ascii="Times New Roman" w:hAnsi="Times New Roman" w:cs="Times New Roman"/>
          <w:lang w:val="fr-FR"/>
        </w:rPr>
        <w:t>-il par ailleurs accepté de manière pure et simple tous les fruits actuels et futurs de l’héritage ainsi reçu, ou s’est-il réservé un bénéfice d’inventaire ? (C)</w:t>
      </w:r>
    </w:p>
    <w:p w14:paraId="3E2D2B5A" w14:textId="65E4E08D" w:rsidR="00731957" w:rsidRPr="000D3BCD" w:rsidRDefault="00731957" w:rsidP="000D3BCD">
      <w:pPr>
        <w:jc w:val="both"/>
        <w:rPr>
          <w:rFonts w:ascii="Times New Roman" w:hAnsi="Times New Roman" w:cs="Times New Roman"/>
          <w:lang w:val="fr-FR"/>
        </w:rPr>
      </w:pPr>
    </w:p>
    <w:p w14:paraId="18877EA8" w14:textId="51E083A6" w:rsidR="00731957" w:rsidRPr="00AB5A99" w:rsidRDefault="00731957" w:rsidP="000D3BCD">
      <w:pPr>
        <w:pStyle w:val="Paragraphedeliste"/>
        <w:numPr>
          <w:ilvl w:val="0"/>
          <w:numId w:val="1"/>
        </w:numPr>
        <w:jc w:val="both"/>
        <w:rPr>
          <w:rFonts w:ascii="Times New Roman" w:hAnsi="Times New Roman" w:cs="Times New Roman"/>
          <w:b/>
          <w:bCs/>
          <w:i/>
          <w:lang w:val="fr-FR"/>
        </w:rPr>
      </w:pPr>
      <w:r w:rsidRPr="00AB5A99">
        <w:rPr>
          <w:rFonts w:ascii="Times New Roman" w:hAnsi="Times New Roman" w:cs="Times New Roman"/>
          <w:b/>
          <w:bCs/>
          <w:lang w:val="fr-FR"/>
        </w:rPr>
        <w:t xml:space="preserve">La Cour constitutionnelle applique-t-elle l’arrêt </w:t>
      </w:r>
      <w:r w:rsidRPr="00AB5A99">
        <w:rPr>
          <w:rFonts w:ascii="Times New Roman" w:hAnsi="Times New Roman" w:cs="Times New Roman"/>
          <w:b/>
          <w:bCs/>
          <w:i/>
          <w:lang w:val="fr-FR"/>
        </w:rPr>
        <w:t>Le Ski ?</w:t>
      </w:r>
    </w:p>
    <w:p w14:paraId="20435354" w14:textId="7BFFA264" w:rsidR="00731957" w:rsidRPr="000D3BCD" w:rsidRDefault="00731957" w:rsidP="000D3BCD">
      <w:pPr>
        <w:jc w:val="both"/>
        <w:rPr>
          <w:rFonts w:ascii="Times New Roman" w:hAnsi="Times New Roman" w:cs="Times New Roman"/>
          <w:lang w:val="fr-FR"/>
        </w:rPr>
      </w:pPr>
    </w:p>
    <w:p w14:paraId="1905DC74" w14:textId="11C7FABB" w:rsidR="00731957" w:rsidRPr="000D3BCD" w:rsidRDefault="00731957" w:rsidP="000D3BCD">
      <w:pPr>
        <w:jc w:val="both"/>
        <w:rPr>
          <w:rFonts w:ascii="Times New Roman" w:hAnsi="Times New Roman" w:cs="Times New Roman"/>
          <w:lang w:val="fr-FR"/>
        </w:rPr>
      </w:pPr>
      <w:r w:rsidRPr="000D3BCD">
        <w:rPr>
          <w:rFonts w:ascii="Times New Roman" w:hAnsi="Times New Roman" w:cs="Times New Roman"/>
          <w:lang w:val="fr-FR"/>
        </w:rPr>
        <w:t>L’enseignement « certain » de l’arrêt de 27 mai 1971 est celui de la primauté de la norme internationale dotée d’effet direct sur la norme interne ayant valeur de loi</w:t>
      </w:r>
      <w:r w:rsidR="00775865" w:rsidRPr="000D3BCD">
        <w:rPr>
          <w:rStyle w:val="Appelnotedebasdep"/>
          <w:rFonts w:ascii="Times New Roman" w:hAnsi="Times New Roman" w:cs="Times New Roman"/>
          <w:lang w:val="fr-FR"/>
        </w:rPr>
        <w:footnoteReference w:id="3"/>
      </w:r>
      <w:r w:rsidRPr="000D3BCD">
        <w:rPr>
          <w:rFonts w:ascii="Times New Roman" w:hAnsi="Times New Roman" w:cs="Times New Roman"/>
          <w:lang w:val="fr-FR"/>
        </w:rPr>
        <w:t xml:space="preserve"> – et, </w:t>
      </w:r>
      <w:r w:rsidRPr="000D3BCD">
        <w:rPr>
          <w:rFonts w:ascii="Times New Roman" w:hAnsi="Times New Roman" w:cs="Times New Roman"/>
          <w:i/>
          <w:lang w:val="fr-FR"/>
        </w:rPr>
        <w:t xml:space="preserve">a fortiori, </w:t>
      </w:r>
      <w:r w:rsidRPr="000D3BCD">
        <w:rPr>
          <w:rFonts w:ascii="Times New Roman" w:hAnsi="Times New Roman" w:cs="Times New Roman"/>
          <w:lang w:val="fr-FR"/>
        </w:rPr>
        <w:t>de toute norme interne de ra</w:t>
      </w:r>
      <w:r w:rsidR="00775865" w:rsidRPr="000D3BCD">
        <w:rPr>
          <w:rFonts w:ascii="Times New Roman" w:hAnsi="Times New Roman" w:cs="Times New Roman"/>
          <w:lang w:val="fr-FR"/>
        </w:rPr>
        <w:t xml:space="preserve">ng hiérarchique inférieur –, et le devoir corrélatif </w:t>
      </w:r>
      <w:r w:rsidR="0073593B" w:rsidRPr="000D3BCD">
        <w:rPr>
          <w:rFonts w:ascii="Times New Roman" w:hAnsi="Times New Roman" w:cs="Times New Roman"/>
          <w:lang w:val="fr-FR"/>
        </w:rPr>
        <w:t>du « juge » d’écarter la seconde en cas de conflit avec la première.</w:t>
      </w:r>
    </w:p>
    <w:p w14:paraId="3FEA8FD5" w14:textId="18323F1B" w:rsidR="0073593B" w:rsidRPr="000D3BCD" w:rsidRDefault="0073593B" w:rsidP="000D3BCD">
      <w:pPr>
        <w:jc w:val="both"/>
        <w:rPr>
          <w:rFonts w:ascii="Times New Roman" w:hAnsi="Times New Roman" w:cs="Times New Roman"/>
          <w:lang w:val="fr-FR"/>
        </w:rPr>
      </w:pPr>
    </w:p>
    <w:p w14:paraId="5AABB95C" w14:textId="5E0FEDF1" w:rsidR="0073593B" w:rsidRPr="000D3BCD" w:rsidRDefault="0073593B" w:rsidP="000D3BCD">
      <w:pPr>
        <w:jc w:val="both"/>
        <w:rPr>
          <w:rFonts w:ascii="Times New Roman" w:hAnsi="Times New Roman" w:cs="Times New Roman"/>
          <w:i/>
          <w:lang w:val="fr-FR"/>
        </w:rPr>
      </w:pPr>
      <w:r w:rsidRPr="000D3BCD">
        <w:rPr>
          <w:rFonts w:ascii="Times New Roman" w:hAnsi="Times New Roman" w:cs="Times New Roman"/>
          <w:lang w:val="fr-FR"/>
        </w:rPr>
        <w:t xml:space="preserve">Le « juge ». Par évidence, la Cour de cassation y incluait l’ensemble des cours et tribunaux de l’ordre judiciaire. </w:t>
      </w:r>
      <w:r w:rsidR="000C0680" w:rsidRPr="000D3BCD">
        <w:rPr>
          <w:rFonts w:ascii="Times New Roman" w:hAnsi="Times New Roman" w:cs="Times New Roman"/>
          <w:lang w:val="fr-FR"/>
        </w:rPr>
        <w:t>Cependant, r</w:t>
      </w:r>
      <w:r w:rsidRPr="000D3BCD">
        <w:rPr>
          <w:rFonts w:ascii="Times New Roman" w:hAnsi="Times New Roman" w:cs="Times New Roman"/>
          <w:lang w:val="fr-FR"/>
        </w:rPr>
        <w:t>ien n’impliquait, ni d’ailleurs ne justifiait, que l’on s’en tienne là. Le Conseil d’État a au demeurant tôt fait d’embrayer, qu’il se soit ag</w:t>
      </w:r>
      <w:r w:rsidR="000C0680" w:rsidRPr="000D3BCD">
        <w:rPr>
          <w:rFonts w:ascii="Times New Roman" w:hAnsi="Times New Roman" w:cs="Times New Roman"/>
          <w:lang w:val="fr-FR"/>
        </w:rPr>
        <w:t>i</w:t>
      </w:r>
      <w:r w:rsidRPr="000D3BCD">
        <w:rPr>
          <w:rFonts w:ascii="Times New Roman" w:hAnsi="Times New Roman" w:cs="Times New Roman"/>
          <w:lang w:val="fr-FR"/>
        </w:rPr>
        <w:t xml:space="preserve"> pour lui de statuer directement sur la compatibilité avec la norme internationale des actes et règlements attaqués devant lui, ou de trancher, à titre incident, le conflit entre </w:t>
      </w:r>
      <w:r w:rsidR="00AB5A99">
        <w:rPr>
          <w:rFonts w:ascii="Times New Roman" w:hAnsi="Times New Roman" w:cs="Times New Roman"/>
          <w:lang w:val="fr-FR"/>
        </w:rPr>
        <w:t>pareille</w:t>
      </w:r>
      <w:r w:rsidRPr="000D3BCD">
        <w:rPr>
          <w:rFonts w:ascii="Times New Roman" w:hAnsi="Times New Roman" w:cs="Times New Roman"/>
          <w:lang w:val="fr-FR"/>
        </w:rPr>
        <w:t xml:space="preserve"> norme et la loi servant de fondement </w:t>
      </w:r>
      <w:r w:rsidR="00B27D51">
        <w:rPr>
          <w:rFonts w:ascii="Times New Roman" w:hAnsi="Times New Roman" w:cs="Times New Roman"/>
          <w:lang w:val="fr-FR"/>
        </w:rPr>
        <w:t>juridique</w:t>
      </w:r>
      <w:r w:rsidRPr="000D3BCD">
        <w:rPr>
          <w:rFonts w:ascii="Times New Roman" w:hAnsi="Times New Roman" w:cs="Times New Roman"/>
          <w:lang w:val="fr-FR"/>
        </w:rPr>
        <w:t xml:space="preserve"> auxdits actes et règlements</w:t>
      </w:r>
      <w:r w:rsidRPr="000D3BCD">
        <w:rPr>
          <w:rStyle w:val="Appelnotedebasdep"/>
          <w:rFonts w:ascii="Times New Roman" w:hAnsi="Times New Roman" w:cs="Times New Roman"/>
          <w:lang w:val="fr-FR"/>
        </w:rPr>
        <w:footnoteReference w:id="4"/>
      </w:r>
      <w:r w:rsidRPr="000D3BCD">
        <w:rPr>
          <w:rFonts w:ascii="Times New Roman" w:hAnsi="Times New Roman" w:cs="Times New Roman"/>
          <w:lang w:val="fr-FR"/>
        </w:rPr>
        <w:t xml:space="preserve">. Mais qu’en est-il de la Cour constitutionnelle, </w:t>
      </w:r>
      <w:proofErr w:type="spellStart"/>
      <w:r w:rsidRPr="000D3BCD">
        <w:rPr>
          <w:rFonts w:ascii="Times New Roman" w:hAnsi="Times New Roman" w:cs="Times New Roman"/>
          <w:lang w:val="fr-FR"/>
        </w:rPr>
        <w:t>ex-Cour</w:t>
      </w:r>
      <w:proofErr w:type="spellEnd"/>
      <w:r w:rsidRPr="000D3BCD">
        <w:rPr>
          <w:rFonts w:ascii="Times New Roman" w:hAnsi="Times New Roman" w:cs="Times New Roman"/>
          <w:lang w:val="fr-FR"/>
        </w:rPr>
        <w:t xml:space="preserve"> d’arbitrage ? </w:t>
      </w:r>
      <w:r w:rsidR="005354A1" w:rsidRPr="000D3BCD">
        <w:rPr>
          <w:rFonts w:ascii="Times New Roman" w:hAnsi="Times New Roman" w:cs="Times New Roman"/>
          <w:i/>
          <w:lang w:val="fr-FR"/>
        </w:rPr>
        <w:t>Applique</w:t>
      </w:r>
      <w:r w:rsidRPr="000D3BCD">
        <w:rPr>
          <w:rFonts w:ascii="Times New Roman" w:hAnsi="Times New Roman" w:cs="Times New Roman"/>
          <w:i/>
          <w:lang w:val="fr-FR"/>
        </w:rPr>
        <w:t>-t-elle</w:t>
      </w:r>
      <w:r w:rsidR="000C0680" w:rsidRPr="000D3BCD">
        <w:rPr>
          <w:rStyle w:val="Appelnotedebasdep"/>
          <w:rFonts w:ascii="Times New Roman" w:hAnsi="Times New Roman" w:cs="Times New Roman"/>
          <w:i/>
          <w:lang w:val="fr-FR"/>
        </w:rPr>
        <w:footnoteReference w:id="5"/>
      </w:r>
      <w:r w:rsidRPr="000D3BCD">
        <w:rPr>
          <w:rFonts w:ascii="Times New Roman" w:hAnsi="Times New Roman" w:cs="Times New Roman"/>
          <w:i/>
          <w:lang w:val="fr-FR"/>
        </w:rPr>
        <w:t xml:space="preserve">, </w:t>
      </w:r>
      <w:r w:rsidRPr="000D3BCD">
        <w:rPr>
          <w:rFonts w:ascii="Times New Roman" w:hAnsi="Times New Roman" w:cs="Times New Roman"/>
          <w:lang w:val="fr-FR"/>
        </w:rPr>
        <w:t>sur le modèle de ses homologues judiciaires ou administratif</w:t>
      </w:r>
      <w:r w:rsidR="00FE3205">
        <w:rPr>
          <w:rFonts w:ascii="Times New Roman" w:hAnsi="Times New Roman" w:cs="Times New Roman"/>
          <w:lang w:val="fr-FR"/>
        </w:rPr>
        <w:t>s</w:t>
      </w:r>
      <w:r w:rsidRPr="000D3BCD">
        <w:rPr>
          <w:rFonts w:ascii="Times New Roman" w:hAnsi="Times New Roman" w:cs="Times New Roman"/>
          <w:lang w:val="fr-FR"/>
        </w:rPr>
        <w:t xml:space="preserve">, l’enseignement de l’arrêt </w:t>
      </w:r>
      <w:r w:rsidRPr="000D3BCD">
        <w:rPr>
          <w:rFonts w:ascii="Times New Roman" w:hAnsi="Times New Roman" w:cs="Times New Roman"/>
          <w:i/>
          <w:lang w:val="fr-FR"/>
        </w:rPr>
        <w:t>Le Ski ?</w:t>
      </w:r>
    </w:p>
    <w:p w14:paraId="12131DA5" w14:textId="0265031F" w:rsidR="0073593B" w:rsidRPr="000D3BCD" w:rsidRDefault="0073593B" w:rsidP="000D3BCD">
      <w:pPr>
        <w:jc w:val="both"/>
        <w:rPr>
          <w:rFonts w:ascii="Times New Roman" w:hAnsi="Times New Roman" w:cs="Times New Roman"/>
          <w:i/>
          <w:lang w:val="fr-FR"/>
        </w:rPr>
      </w:pPr>
    </w:p>
    <w:p w14:paraId="7835729E" w14:textId="3C8CB79A" w:rsidR="0073593B" w:rsidRPr="000D3BCD" w:rsidRDefault="0073593B" w:rsidP="000D3BCD">
      <w:pPr>
        <w:jc w:val="both"/>
        <w:rPr>
          <w:rFonts w:ascii="Times New Roman" w:hAnsi="Times New Roman" w:cs="Times New Roman"/>
          <w:lang w:val="fr-FR"/>
        </w:rPr>
      </w:pPr>
      <w:r w:rsidRPr="000D3BCD">
        <w:rPr>
          <w:rFonts w:ascii="Times New Roman" w:hAnsi="Times New Roman" w:cs="Times New Roman"/>
          <w:lang w:val="fr-FR"/>
        </w:rPr>
        <w:t>La question pourrait paraître tout à fait saugrenue. C’est en effet par camions entiers que cette Cour convoque quotidiennement les traités internationaux relati</w:t>
      </w:r>
      <w:r w:rsidR="00DB172F" w:rsidRPr="000D3BCD">
        <w:rPr>
          <w:rFonts w:ascii="Times New Roman" w:hAnsi="Times New Roman" w:cs="Times New Roman"/>
          <w:lang w:val="fr-FR"/>
        </w:rPr>
        <w:t>f</w:t>
      </w:r>
      <w:r w:rsidRPr="000D3BCD">
        <w:rPr>
          <w:rFonts w:ascii="Times New Roman" w:hAnsi="Times New Roman" w:cs="Times New Roman"/>
          <w:lang w:val="fr-FR"/>
        </w:rPr>
        <w:t xml:space="preserve">s aux droits de l’Homme et le </w:t>
      </w:r>
      <w:r w:rsidRPr="000D3BCD">
        <w:rPr>
          <w:rFonts w:ascii="Times New Roman" w:hAnsi="Times New Roman" w:cs="Times New Roman"/>
          <w:lang w:val="fr-FR"/>
        </w:rPr>
        <w:lastRenderedPageBreak/>
        <w:t>droit primaire et dérivé de l’Union européenne</w:t>
      </w:r>
      <w:r w:rsidR="00DB172F" w:rsidRPr="000D3BCD">
        <w:rPr>
          <w:rFonts w:ascii="Times New Roman" w:hAnsi="Times New Roman" w:cs="Times New Roman"/>
          <w:lang w:val="fr-FR"/>
        </w:rPr>
        <w:t xml:space="preserve"> pour nourrir le contrôle qu’elle exerce à l’égard des lois, décrets ou ordonnances déférés à sa censure. Mieux encore : les sources internationales et européennes concernées sont mobilisées par la Cour dans l’interprétation que leur confère leur instance de surveillance attitrée, qu’il s’agisse de juges – à l’instar de la Cour européenne des droits de</w:t>
      </w:r>
      <w:r w:rsidR="001C454D" w:rsidRPr="000D3BCD">
        <w:rPr>
          <w:rFonts w:ascii="Times New Roman" w:hAnsi="Times New Roman" w:cs="Times New Roman"/>
          <w:lang w:val="fr-FR"/>
        </w:rPr>
        <w:t xml:space="preserve"> </w:t>
      </w:r>
      <w:r w:rsidR="00DB172F" w:rsidRPr="000D3BCD">
        <w:rPr>
          <w:rFonts w:ascii="Times New Roman" w:hAnsi="Times New Roman" w:cs="Times New Roman"/>
          <w:lang w:val="fr-FR"/>
        </w:rPr>
        <w:t xml:space="preserve">l’Homme ou de la Cour de justice de l’Union européenne –, ou de </w:t>
      </w:r>
      <w:proofErr w:type="spellStart"/>
      <w:r w:rsidR="00DB172F" w:rsidRPr="000D3BCD">
        <w:rPr>
          <w:rFonts w:ascii="Times New Roman" w:hAnsi="Times New Roman" w:cs="Times New Roman"/>
          <w:i/>
          <w:lang w:val="fr-FR"/>
        </w:rPr>
        <w:t>treaty</w:t>
      </w:r>
      <w:proofErr w:type="spellEnd"/>
      <w:r w:rsidR="00DB172F" w:rsidRPr="000D3BCD">
        <w:rPr>
          <w:rFonts w:ascii="Times New Roman" w:hAnsi="Times New Roman" w:cs="Times New Roman"/>
          <w:i/>
          <w:lang w:val="fr-FR"/>
        </w:rPr>
        <w:t xml:space="preserve"> bodies </w:t>
      </w:r>
      <w:r w:rsidR="00DB172F" w:rsidRPr="000D3BCD">
        <w:rPr>
          <w:rFonts w:ascii="Times New Roman" w:hAnsi="Times New Roman" w:cs="Times New Roman"/>
          <w:lang w:val="fr-FR"/>
        </w:rPr>
        <w:t xml:space="preserve">aux productions plus </w:t>
      </w:r>
      <w:r w:rsidR="00DB172F" w:rsidRPr="000D3BCD">
        <w:rPr>
          <w:rFonts w:ascii="Times New Roman" w:hAnsi="Times New Roman" w:cs="Times New Roman"/>
          <w:i/>
          <w:lang w:val="fr-FR"/>
        </w:rPr>
        <w:t>sof</w:t>
      </w:r>
      <w:r w:rsidR="001C454D" w:rsidRPr="000D3BCD">
        <w:rPr>
          <w:rFonts w:ascii="Times New Roman" w:hAnsi="Times New Roman" w:cs="Times New Roman"/>
          <w:i/>
          <w:lang w:val="fr-FR"/>
        </w:rPr>
        <w:t xml:space="preserve">t </w:t>
      </w:r>
      <w:r w:rsidR="001C454D" w:rsidRPr="000D3BCD">
        <w:rPr>
          <w:rFonts w:ascii="Times New Roman" w:hAnsi="Times New Roman" w:cs="Times New Roman"/>
          <w:iCs/>
          <w:lang w:val="fr-FR"/>
        </w:rPr>
        <w:t>et exotiques</w:t>
      </w:r>
      <w:r w:rsidR="00DB172F" w:rsidRPr="000D3BCD">
        <w:rPr>
          <w:rFonts w:ascii="Times New Roman" w:hAnsi="Times New Roman" w:cs="Times New Roman"/>
          <w:i/>
          <w:lang w:val="fr-FR"/>
        </w:rPr>
        <w:t xml:space="preserve">, </w:t>
      </w:r>
      <w:r w:rsidR="00DB172F" w:rsidRPr="000D3BCD">
        <w:rPr>
          <w:rFonts w:ascii="Times New Roman" w:hAnsi="Times New Roman" w:cs="Times New Roman"/>
          <w:lang w:val="fr-FR"/>
        </w:rPr>
        <w:t>tels le Comité européen des droits sociaux</w:t>
      </w:r>
      <w:r w:rsidR="00FE3205">
        <w:rPr>
          <w:rStyle w:val="Appelnotedebasdep"/>
          <w:rFonts w:ascii="Times New Roman" w:hAnsi="Times New Roman" w:cs="Times New Roman"/>
          <w:lang w:val="fr-FR"/>
        </w:rPr>
        <w:footnoteReference w:id="6"/>
      </w:r>
      <w:r w:rsidR="00DB172F" w:rsidRPr="000D3BCD">
        <w:rPr>
          <w:rFonts w:ascii="Times New Roman" w:hAnsi="Times New Roman" w:cs="Times New Roman"/>
          <w:lang w:val="fr-FR"/>
        </w:rPr>
        <w:t xml:space="preserve"> ou </w:t>
      </w:r>
      <w:r w:rsidR="005B2983">
        <w:rPr>
          <w:rFonts w:ascii="Times New Roman" w:hAnsi="Times New Roman" w:cs="Times New Roman"/>
          <w:lang w:val="fr-FR"/>
        </w:rPr>
        <w:t>les organes de l’OIT</w:t>
      </w:r>
      <w:r w:rsidR="005B2983">
        <w:rPr>
          <w:rStyle w:val="Appelnotedebasdep"/>
          <w:rFonts w:ascii="Times New Roman" w:hAnsi="Times New Roman" w:cs="Times New Roman"/>
          <w:lang w:val="fr-FR"/>
        </w:rPr>
        <w:footnoteReference w:id="7"/>
      </w:r>
      <w:r w:rsidR="00B27D51">
        <w:rPr>
          <w:rFonts w:ascii="Times New Roman" w:hAnsi="Times New Roman" w:cs="Times New Roman"/>
          <w:lang w:val="fr-FR"/>
        </w:rPr>
        <w:t>.</w:t>
      </w:r>
    </w:p>
    <w:p w14:paraId="06CC1E6B" w14:textId="03377301" w:rsidR="002E5367" w:rsidRPr="000D3BCD" w:rsidRDefault="00DB172F" w:rsidP="000D3BCD">
      <w:pPr>
        <w:pStyle w:val="NormalWeb"/>
        <w:jc w:val="both"/>
      </w:pPr>
      <w:r w:rsidRPr="000D3BCD">
        <w:rPr>
          <w:lang w:val="fr-FR"/>
        </w:rPr>
        <w:t>Force est cependant d</w:t>
      </w:r>
      <w:r w:rsidR="00ED395C" w:rsidRPr="000D3BCD">
        <w:rPr>
          <w:lang w:val="fr-FR"/>
        </w:rPr>
        <w:t>’observer</w:t>
      </w:r>
      <w:r w:rsidRPr="000D3BCD">
        <w:rPr>
          <w:lang w:val="fr-FR"/>
        </w:rPr>
        <w:t xml:space="preserve"> que ce recours massif </w:t>
      </w:r>
      <w:r w:rsidR="00ED395C" w:rsidRPr="000D3BCD">
        <w:rPr>
          <w:lang w:val="fr-FR"/>
        </w:rPr>
        <w:t xml:space="preserve">au droit international et européen qui caractérise </w:t>
      </w:r>
      <w:r w:rsidR="00FA21BA" w:rsidRPr="000D3BCD">
        <w:rPr>
          <w:lang w:val="fr-FR"/>
        </w:rPr>
        <w:t xml:space="preserve">la jurisprudence constitutionnelle belge ne constitue pas, à proprement parler, une </w:t>
      </w:r>
      <w:r w:rsidR="005B2983">
        <w:rPr>
          <w:lang w:val="fr-FR"/>
        </w:rPr>
        <w:t>« </w:t>
      </w:r>
      <w:r w:rsidR="00FA21BA" w:rsidRPr="000D3BCD">
        <w:rPr>
          <w:lang w:val="fr-FR"/>
        </w:rPr>
        <w:t>application</w:t>
      </w:r>
      <w:r w:rsidR="005B2983">
        <w:rPr>
          <w:lang w:val="fr-FR"/>
        </w:rPr>
        <w:t> »</w:t>
      </w:r>
      <w:r w:rsidR="00FA21BA" w:rsidRPr="000D3BCD">
        <w:rPr>
          <w:lang w:val="fr-FR"/>
        </w:rPr>
        <w:t xml:space="preserve"> de la jurisprudence </w:t>
      </w:r>
      <w:r w:rsidR="00FA21BA" w:rsidRPr="000D3BCD">
        <w:rPr>
          <w:i/>
          <w:lang w:val="fr-FR"/>
        </w:rPr>
        <w:t>Le</w:t>
      </w:r>
      <w:r w:rsidR="005B2983">
        <w:rPr>
          <w:i/>
          <w:lang w:val="fr-FR"/>
        </w:rPr>
        <w:t xml:space="preserve"> S</w:t>
      </w:r>
      <w:r w:rsidR="00FA21BA" w:rsidRPr="000D3BCD">
        <w:rPr>
          <w:i/>
          <w:lang w:val="fr-FR"/>
        </w:rPr>
        <w:t xml:space="preserve">ki. </w:t>
      </w:r>
      <w:r w:rsidR="00FA21BA" w:rsidRPr="000D3BCD">
        <w:rPr>
          <w:lang w:val="fr-FR"/>
        </w:rPr>
        <w:t xml:space="preserve">La loi, le décret ou l’ordonnance querellé devant la Cour n’est en effet pas confronté </w:t>
      </w:r>
      <w:r w:rsidR="00FA21BA" w:rsidRPr="000D3BCD">
        <w:rPr>
          <w:i/>
          <w:iCs/>
          <w:lang w:val="fr-FR"/>
        </w:rPr>
        <w:t xml:space="preserve">directement </w:t>
      </w:r>
      <w:r w:rsidR="00FA21BA" w:rsidRPr="000D3BCD">
        <w:rPr>
          <w:lang w:val="fr-FR"/>
        </w:rPr>
        <w:t xml:space="preserve">à la disposition internationale ou européenne dont il serait fait, selon les mots de Marc </w:t>
      </w:r>
      <w:proofErr w:type="spellStart"/>
      <w:r w:rsidR="00FA21BA" w:rsidRPr="000D3BCD">
        <w:rPr>
          <w:lang w:val="fr-FR"/>
        </w:rPr>
        <w:t>Verdussen</w:t>
      </w:r>
      <w:proofErr w:type="spellEnd"/>
      <w:r w:rsidR="005B2983">
        <w:rPr>
          <w:rStyle w:val="Appelnotedebasdep"/>
          <w:lang w:val="fr-FR"/>
        </w:rPr>
        <w:footnoteReference w:id="8"/>
      </w:r>
      <w:r w:rsidR="00FA21BA" w:rsidRPr="000D3BCD">
        <w:rPr>
          <w:lang w:val="fr-FR"/>
        </w:rPr>
        <w:t>, une application « autonome ». Cette disposition n’est mobilisée que de manière indirecte, et n’entre en jeu, via la « méthode combinato</w:t>
      </w:r>
      <w:r w:rsidR="00CC03C5" w:rsidRPr="000D3BCD">
        <w:rPr>
          <w:lang w:val="fr-FR"/>
        </w:rPr>
        <w:t>i</w:t>
      </w:r>
      <w:r w:rsidR="00FA21BA" w:rsidRPr="000D3BCD">
        <w:rPr>
          <w:lang w:val="fr-FR"/>
        </w:rPr>
        <w:t>re »</w:t>
      </w:r>
      <w:r w:rsidR="005B2983">
        <w:rPr>
          <w:rStyle w:val="Appelnotedebasdep"/>
          <w:lang w:val="fr-FR"/>
        </w:rPr>
        <w:footnoteReference w:id="9"/>
      </w:r>
      <w:r w:rsidR="00FA21BA" w:rsidRPr="000D3BCD">
        <w:rPr>
          <w:lang w:val="fr-FR"/>
        </w:rPr>
        <w:t xml:space="preserve"> ou la « méthode conciliatoire »</w:t>
      </w:r>
      <w:r w:rsidR="005B2983">
        <w:rPr>
          <w:rStyle w:val="Appelnotedebasdep"/>
          <w:lang w:val="fr-FR"/>
        </w:rPr>
        <w:footnoteReference w:id="10"/>
      </w:r>
      <w:r w:rsidR="005B2983">
        <w:rPr>
          <w:lang w:val="fr-FR"/>
        </w:rPr>
        <w:t>,</w:t>
      </w:r>
      <w:r w:rsidR="00FA21BA" w:rsidRPr="000D3BCD">
        <w:rPr>
          <w:lang w:val="fr-FR"/>
        </w:rPr>
        <w:t xml:space="preserve"> que par la médiation d’une disposition constitutionnelle ou de la loi spéciale dont la violation </w:t>
      </w:r>
      <w:r w:rsidR="00CC03C5" w:rsidRPr="000D3BCD">
        <w:rPr>
          <w:lang w:val="fr-FR"/>
        </w:rPr>
        <w:t xml:space="preserve">est le </w:t>
      </w:r>
      <w:r w:rsidR="001C454D" w:rsidRPr="000D3BCD">
        <w:rPr>
          <w:lang w:val="fr-FR"/>
        </w:rPr>
        <w:t>« </w:t>
      </w:r>
      <w:r w:rsidR="00CC03C5" w:rsidRPr="000D3BCD">
        <w:rPr>
          <w:lang w:val="fr-FR"/>
        </w:rPr>
        <w:t>sésame</w:t>
      </w:r>
      <w:r w:rsidR="001C454D" w:rsidRPr="000D3BCD">
        <w:rPr>
          <w:lang w:val="fr-FR"/>
        </w:rPr>
        <w:t xml:space="preserve"> » </w:t>
      </w:r>
      <w:r w:rsidR="00CC03C5" w:rsidRPr="000D3BCD">
        <w:rPr>
          <w:lang w:val="fr-FR"/>
        </w:rPr>
        <w:t xml:space="preserve">du contrôle </w:t>
      </w:r>
      <w:r w:rsidR="001C454D" w:rsidRPr="000D3BCD">
        <w:rPr>
          <w:lang w:val="fr-FR"/>
        </w:rPr>
        <w:t>exercé</w:t>
      </w:r>
      <w:r w:rsidR="005B2983">
        <w:rPr>
          <w:lang w:val="fr-FR"/>
        </w:rPr>
        <w:t>,</w:t>
      </w:r>
      <w:r w:rsidR="001C454D" w:rsidRPr="000D3BCD">
        <w:rPr>
          <w:lang w:val="fr-FR"/>
        </w:rPr>
        <w:t xml:space="preserve"> </w:t>
      </w:r>
      <w:r w:rsidR="00CC03C5" w:rsidRPr="000D3BCD">
        <w:rPr>
          <w:lang w:val="fr-FR"/>
        </w:rPr>
        <w:t>et le seul fondement juridique autorisé de l</w:t>
      </w:r>
      <w:r w:rsidR="005B2983">
        <w:rPr>
          <w:lang w:val="fr-FR"/>
        </w:rPr>
        <w:t>’éventuelle</w:t>
      </w:r>
      <w:r w:rsidR="00CC03C5" w:rsidRPr="000D3BCD">
        <w:rPr>
          <w:lang w:val="fr-FR"/>
        </w:rPr>
        <w:t xml:space="preserve"> censure à intervenir. </w:t>
      </w:r>
      <w:r w:rsidR="002E5367" w:rsidRPr="000D3BCD">
        <w:rPr>
          <w:lang w:val="fr-FR"/>
        </w:rPr>
        <w:t>S’inscrivant sur ce point dans les vœux clairs et réitérés du Constituant</w:t>
      </w:r>
      <w:r w:rsidR="000C1996">
        <w:rPr>
          <w:rStyle w:val="Appelnotedebasdep"/>
          <w:lang w:val="fr-FR"/>
        </w:rPr>
        <w:footnoteReference w:id="11"/>
      </w:r>
      <w:r w:rsidR="002E5367" w:rsidRPr="000D3BCD">
        <w:rPr>
          <w:lang w:val="fr-FR"/>
        </w:rPr>
        <w:t>, la principale intéressée répète donc à l’envi qu’elle « </w:t>
      </w:r>
      <w:r w:rsidR="002E5367" w:rsidRPr="000D3BCD">
        <w:t>n’est pas compétente pour contrôler directement la compatibilité d’une disposition législative avec des dispositions de droit international »</w:t>
      </w:r>
      <w:r w:rsidR="002E5367" w:rsidRPr="000D3BCD">
        <w:rPr>
          <w:rStyle w:val="Appelnotedebasdep"/>
        </w:rPr>
        <w:footnoteReference w:id="12"/>
      </w:r>
      <w:r w:rsidR="002E5367" w:rsidRPr="000D3BCD">
        <w:t xml:space="preserve">. L’horizon de son contrôle étant ainsi notablement différent, la Cour constitutionnelle pourra logiquement s’affranchir les conditions auxquelles la jurisprudence </w:t>
      </w:r>
      <w:r w:rsidR="002E5367" w:rsidRPr="000D3BCD">
        <w:rPr>
          <w:i/>
        </w:rPr>
        <w:t>Le</w:t>
      </w:r>
      <w:r w:rsidR="005B2983">
        <w:rPr>
          <w:i/>
        </w:rPr>
        <w:t xml:space="preserve"> S</w:t>
      </w:r>
      <w:r w:rsidR="002E5367" w:rsidRPr="000D3BCD">
        <w:rPr>
          <w:i/>
        </w:rPr>
        <w:t xml:space="preserve">ki </w:t>
      </w:r>
      <w:r w:rsidR="002E5367" w:rsidRPr="000D3BCD">
        <w:t xml:space="preserve">permet à la norme internationale de faire </w:t>
      </w:r>
      <w:r w:rsidR="001C454D" w:rsidRPr="000D3BCD">
        <w:t>« </w:t>
      </w:r>
      <w:r w:rsidR="002E5367" w:rsidRPr="000D3BCD">
        <w:t>ployer</w:t>
      </w:r>
      <w:r w:rsidR="001C454D" w:rsidRPr="000D3BCD">
        <w:t> »</w:t>
      </w:r>
      <w:r w:rsidR="002E5367" w:rsidRPr="000D3BCD">
        <w:t xml:space="preserve"> la norme interne. Pour être </w:t>
      </w:r>
      <w:r w:rsidR="008A53B8" w:rsidRPr="000D3BCD">
        <w:t>invoquée en combinaison avec les articles 10, 11 ou 24, § 3, de la Constitution, ou pour enrichir l’interprétation d’une disposition du titre II de la Constitution avec laquelle elle forme un « ensemble indissociable »</w:t>
      </w:r>
      <w:r w:rsidR="005B2983">
        <w:rPr>
          <w:rStyle w:val="Appelnotedebasdep"/>
        </w:rPr>
        <w:footnoteReference w:id="13"/>
      </w:r>
      <w:r w:rsidR="008A53B8" w:rsidRPr="000D3BCD">
        <w:t>, telle norme internationale ou européenne n’a pas nécessairement besoin d’être dotée d’un effet direct. La chose n’était pas encore tout à fait claire dans les années ’90</w:t>
      </w:r>
      <w:r w:rsidR="000C1996">
        <w:rPr>
          <w:rStyle w:val="Appelnotedebasdep"/>
        </w:rPr>
        <w:footnoteReference w:id="14"/>
      </w:r>
      <w:r w:rsidR="008A53B8" w:rsidRPr="000D3BCD">
        <w:t> ; elle est cependant devenue à la faveur d’un arrêt de principe du 22 juillet 2003</w:t>
      </w:r>
      <w:r w:rsidR="000C1996">
        <w:rPr>
          <w:rStyle w:val="Appelnotedebasdep"/>
        </w:rPr>
        <w:footnoteReference w:id="15"/>
      </w:r>
      <w:r w:rsidR="008A53B8" w:rsidRPr="000D3BCD">
        <w:t>.</w:t>
      </w:r>
    </w:p>
    <w:p w14:paraId="55662F50" w14:textId="4B63B373" w:rsidR="008A53B8" w:rsidRPr="000D3BCD" w:rsidRDefault="008A53B8" w:rsidP="000D3BCD">
      <w:pPr>
        <w:pStyle w:val="NormalWeb"/>
        <w:jc w:val="both"/>
      </w:pPr>
      <w:r w:rsidRPr="000D3BCD">
        <w:t xml:space="preserve">Si l’application de la jurisprudence </w:t>
      </w:r>
      <w:r w:rsidRPr="000D3BCD">
        <w:rPr>
          <w:i/>
        </w:rPr>
        <w:t>Le</w:t>
      </w:r>
      <w:r w:rsidR="000C1996">
        <w:rPr>
          <w:i/>
        </w:rPr>
        <w:t xml:space="preserve"> S</w:t>
      </w:r>
      <w:r w:rsidRPr="000D3BCD">
        <w:rPr>
          <w:i/>
        </w:rPr>
        <w:t xml:space="preserve">ki </w:t>
      </w:r>
      <w:r w:rsidRPr="000D3BCD">
        <w:t xml:space="preserve">ne constitue dès lors pas le </w:t>
      </w:r>
      <w:proofErr w:type="spellStart"/>
      <w:r w:rsidRPr="000D3BCD">
        <w:rPr>
          <w:i/>
        </w:rPr>
        <w:t>core</w:t>
      </w:r>
      <w:proofErr w:type="spellEnd"/>
      <w:r w:rsidRPr="000D3BCD">
        <w:rPr>
          <w:i/>
        </w:rPr>
        <w:t xml:space="preserve"> business </w:t>
      </w:r>
      <w:r w:rsidRPr="000D3BCD">
        <w:t>de la Cour constitutionnelle et l’enjeu direct et véritable du contentieux mené devant elle, ne peut-elle cependant pas s’y trouver confrontée de manière accidentelle, à titre incident? Deux cas de figure pourraient être envisagé</w:t>
      </w:r>
      <w:r w:rsidR="000C1996">
        <w:t>s</w:t>
      </w:r>
      <w:r w:rsidRPr="000D3BCD">
        <w:t>.</w:t>
      </w:r>
    </w:p>
    <w:p w14:paraId="49765540" w14:textId="2AB9EE68" w:rsidR="008A53B8" w:rsidRPr="000D3BCD" w:rsidRDefault="008A53B8" w:rsidP="000D3BCD">
      <w:pPr>
        <w:pStyle w:val="NormalWeb"/>
        <w:jc w:val="both"/>
      </w:pPr>
      <w:r w:rsidRPr="000D3BCD">
        <w:t xml:space="preserve">Dans une première hypothèse, la Cour </w:t>
      </w:r>
      <w:r w:rsidR="0067072B" w:rsidRPr="000D3BCD">
        <w:t xml:space="preserve">aurait à prendre appui, pour rencontrer </w:t>
      </w:r>
      <w:r w:rsidR="000C1996">
        <w:t>un</w:t>
      </w:r>
      <w:r w:rsidR="0067072B" w:rsidRPr="000D3BCD">
        <w:t xml:space="preserve"> moyen pris de la violation de la Constitution ou de la loi spéciale par tel ou tel acte à caractère législatif,  </w:t>
      </w:r>
      <w:r w:rsidR="005354A1">
        <w:t>sur</w:t>
      </w:r>
      <w:r w:rsidR="0067072B" w:rsidRPr="000D3BCD">
        <w:t xml:space="preserve"> tel ou tel </w:t>
      </w:r>
      <w:r w:rsidR="0067072B" w:rsidRPr="005354A1">
        <w:rPr>
          <w:i/>
          <w:iCs/>
        </w:rPr>
        <w:t>autre</w:t>
      </w:r>
      <w:r w:rsidR="0067072B" w:rsidRPr="000D3BCD">
        <w:t xml:space="preserve"> acte à caractère législatif dont la conformité avec le droit international ou </w:t>
      </w:r>
      <w:r w:rsidR="0067072B" w:rsidRPr="000D3BCD">
        <w:lastRenderedPageBreak/>
        <w:t xml:space="preserve">européen d’effet direct serait, quant à elle, </w:t>
      </w:r>
      <w:r w:rsidR="006A4898">
        <w:t>contest</w:t>
      </w:r>
      <w:r w:rsidR="005354A1">
        <w:t>able et contestée</w:t>
      </w:r>
      <w:r w:rsidR="0067072B" w:rsidRPr="000D3BCD">
        <w:t xml:space="preserve">. Dans une seconde hypothèse, la question de cette conformité serait soulevée à titre incident, dans le cadre du procès constitutionnel, à l’encontre de l’une ou l’autre disposition de la loi spéciale du 6 janvier 1989 qui en régit la tenue. </w:t>
      </w:r>
    </w:p>
    <w:p w14:paraId="28A015F4" w14:textId="0148E9F5" w:rsidR="00CB0854" w:rsidRPr="000D3BCD" w:rsidRDefault="0067072B" w:rsidP="000D3BCD">
      <w:pPr>
        <w:pStyle w:val="NormalWeb"/>
        <w:jc w:val="both"/>
        <w:rPr>
          <w:i/>
        </w:rPr>
      </w:pPr>
      <w:r w:rsidRPr="000D3BCD">
        <w:t>A notre connaissance, il n’y a pas de précédent clair s’inscrivant dans la première hypothèse</w:t>
      </w:r>
      <w:r w:rsidR="006A4898">
        <w:t xml:space="preserve"> ci-avant recensée</w:t>
      </w:r>
      <w:r w:rsidR="00B14B65" w:rsidRPr="000D3BCD">
        <w:t xml:space="preserve">. Par contre, l’un ou l’autre arrêts répondent à la seconde, et attestent clairement de la réception fidèle, par la Cour constitutionnelle, de l’enseignement « certain » de l’arrêt </w:t>
      </w:r>
      <w:r w:rsidR="00B14B65" w:rsidRPr="000D3BCD">
        <w:rPr>
          <w:i/>
        </w:rPr>
        <w:t>Le</w:t>
      </w:r>
      <w:r w:rsidR="006A4898">
        <w:rPr>
          <w:i/>
        </w:rPr>
        <w:t xml:space="preserve"> S</w:t>
      </w:r>
      <w:r w:rsidR="00B14B65" w:rsidRPr="000D3BCD">
        <w:rPr>
          <w:i/>
        </w:rPr>
        <w:t xml:space="preserve">ki. </w:t>
      </w:r>
    </w:p>
    <w:p w14:paraId="0E00ED66" w14:textId="7697174A" w:rsidR="00CB0854" w:rsidRPr="000D3BCD" w:rsidRDefault="00EF1BBD" w:rsidP="000D3BCD">
      <w:pPr>
        <w:pStyle w:val="NormalWeb"/>
        <w:jc w:val="both"/>
      </w:pPr>
      <w:r w:rsidRPr="000D3BCD">
        <w:t>Les arrêts 35/1994</w:t>
      </w:r>
      <w:r w:rsidR="006A4898">
        <w:rPr>
          <w:rStyle w:val="Appelnotedebasdep"/>
        </w:rPr>
        <w:footnoteReference w:id="16"/>
      </w:r>
      <w:r w:rsidRPr="000D3BCD">
        <w:t xml:space="preserve"> et 36/1994</w:t>
      </w:r>
      <w:r w:rsidR="006A4898">
        <w:rPr>
          <w:rStyle w:val="Appelnotedebasdep"/>
        </w:rPr>
        <w:footnoteReference w:id="17"/>
      </w:r>
      <w:r w:rsidRPr="000D3BCD">
        <w:t>, rendu</w:t>
      </w:r>
      <w:r w:rsidR="00546F59" w:rsidRPr="000D3BCD">
        <w:t>s</w:t>
      </w:r>
      <w:r w:rsidRPr="000D3BCD">
        <w:t xml:space="preserve"> le 10 mai 1994, procèdent ainsi à une confrontation entre l’article 101, al. 2, de la loi spéciale du 6 janvier 1989 – aux termes duquel « le fait qu'un juge de la Cour a participé́ à l'élaboration de (l’acte législatif) qui fait l'objet du recours en annulation ou de la décision de renvoi, ne constitue pas en soi une cause de récusation » – avec l’exigence d’impartialité déduite </w:t>
      </w:r>
      <w:r w:rsidR="002D7796">
        <w:t>de l’</w:t>
      </w:r>
      <w:r w:rsidRPr="000D3BCD">
        <w:t>article 6 de la Convention européenne des droits de l’Homme. Selon la Cour, « le législateur d'un État lié par la Convention européenne de sauvegarde des droits de l'homme et des libertés fondamentales doit être présumé́ légiférer dans le respect de celle-ci »</w:t>
      </w:r>
      <w:r w:rsidR="00454DB9" w:rsidRPr="000D3BCD">
        <w:rPr>
          <w:rStyle w:val="Appelnotedebasdep"/>
        </w:rPr>
        <w:footnoteReference w:id="18"/>
      </w:r>
      <w:r w:rsidR="002D7796">
        <w:t>.</w:t>
      </w:r>
    </w:p>
    <w:p w14:paraId="6AA7BF45" w14:textId="3352C5A9" w:rsidR="00EF1BBD" w:rsidRPr="000D3BCD" w:rsidRDefault="00EF1BBD" w:rsidP="000D3BCD">
      <w:pPr>
        <w:pStyle w:val="NormalWeb"/>
        <w:jc w:val="both"/>
      </w:pPr>
      <w:r w:rsidRPr="000D3BCD">
        <w:t xml:space="preserve">Les mots utilisés ne sont pas encore ceux du « conflit », de la « primauté », et, </w:t>
      </w:r>
      <w:r w:rsidRPr="000D3BCD">
        <w:rPr>
          <w:i/>
        </w:rPr>
        <w:t xml:space="preserve">a fortiori, </w:t>
      </w:r>
      <w:r w:rsidRPr="000D3BCD">
        <w:t>du refus d’application. Il n’empêche</w:t>
      </w:r>
      <w:r w:rsidR="00454DB9" w:rsidRPr="000D3BCD">
        <w:t> :</w:t>
      </w:r>
      <w:r w:rsidRPr="000D3BCD">
        <w:t xml:space="preserve"> la petite musique de l’arrêt </w:t>
      </w:r>
      <w:r w:rsidRPr="000D3BCD">
        <w:rPr>
          <w:i/>
        </w:rPr>
        <w:t xml:space="preserve">Le Ski </w:t>
      </w:r>
      <w:r w:rsidRPr="000D3BCD">
        <w:t>se fait déjà entendre. Elle retentit</w:t>
      </w:r>
      <w:r w:rsidR="001C454D" w:rsidRPr="000D3BCD">
        <w:t xml:space="preserve"> </w:t>
      </w:r>
      <w:r w:rsidR="00454DB9" w:rsidRPr="000D3BCD">
        <w:t>autrement</w:t>
      </w:r>
      <w:r w:rsidRPr="000D3BCD">
        <w:t xml:space="preserve"> plus fort dans des arrêts beaucoup plus récents</w:t>
      </w:r>
      <w:r w:rsidR="00B27D51">
        <w:rPr>
          <w:rStyle w:val="Appelnotedebasdep"/>
        </w:rPr>
        <w:footnoteReference w:id="19"/>
      </w:r>
      <w:r w:rsidRPr="000D3BCD">
        <w:t>.</w:t>
      </w:r>
    </w:p>
    <w:p w14:paraId="78F6427C" w14:textId="7DCB2ADC" w:rsidR="00222B01" w:rsidRPr="001933EB" w:rsidRDefault="00CB0854" w:rsidP="000D3BCD">
      <w:pPr>
        <w:pStyle w:val="NormalWeb"/>
        <w:jc w:val="both"/>
      </w:pPr>
      <w:r w:rsidRPr="000D3BCD">
        <w:t>Dans un arrêt 167/2020 rendu le 17 décembre 2020</w:t>
      </w:r>
      <w:r w:rsidR="002D7796">
        <w:rPr>
          <w:rStyle w:val="Appelnotedebasdep"/>
        </w:rPr>
        <w:footnoteReference w:id="20"/>
      </w:r>
      <w:r w:rsidRPr="000D3BCD">
        <w:t>, la Cour constitutionnelle ordonna la suspension de</w:t>
      </w:r>
      <w:r w:rsidR="00573B2D" w:rsidRPr="000D3BCD">
        <w:t>s</w:t>
      </w:r>
      <w:r w:rsidRPr="000D3BCD">
        <w:t xml:space="preserve"> disposition</w:t>
      </w:r>
      <w:r w:rsidR="00573B2D" w:rsidRPr="000D3BCD">
        <w:t>s</w:t>
      </w:r>
      <w:r w:rsidRPr="000D3BCD">
        <w:t xml:space="preserve"> décrétale</w:t>
      </w:r>
      <w:r w:rsidR="00573B2D" w:rsidRPr="000D3BCD">
        <w:t>s</w:t>
      </w:r>
      <w:r w:rsidRPr="000D3BCD">
        <w:t xml:space="preserve"> querellée</w:t>
      </w:r>
      <w:r w:rsidR="00573B2D" w:rsidRPr="000D3BCD">
        <w:t>s</w:t>
      </w:r>
      <w:r w:rsidRPr="000D3BCD">
        <w:t xml:space="preserve"> devant elle. Simultanément, elle posa à la Cour de justice</w:t>
      </w:r>
      <w:r w:rsidR="002D7796">
        <w:t xml:space="preserve"> de l’Union européenne</w:t>
      </w:r>
      <w:r w:rsidRPr="000D3BCD">
        <w:t xml:space="preserve"> une question préjudicielle relative à la validité de la directive dont la disposition décrétale </w:t>
      </w:r>
      <w:r w:rsidR="001933EB">
        <w:t>litigieuse</w:t>
      </w:r>
      <w:r w:rsidRPr="000D3BCD">
        <w:t xml:space="preserve"> portait transposition. </w:t>
      </w:r>
      <w:r w:rsidR="00222B01" w:rsidRPr="000D3BCD">
        <w:t xml:space="preserve">En principe, la suspension ordonnée par la Cour ne peut avoir qu’une durée limitée. Selon l’article 25 de la loi spéciale du 6 janvier 1989 en effet, «  </w:t>
      </w:r>
      <w:r w:rsidR="001933EB">
        <w:t>(l)</w:t>
      </w:r>
      <w:r w:rsidR="00222B01" w:rsidRPr="000D3BCD">
        <w:t xml:space="preserve">a Cour rend son arrêt sur la demande principale dans les trois mois du prononcé de l’arrêt ordonnant la suspension. Ce délai ne peut être prorogé. Si l’arrêt sur la demande principale n’est pas rendu dans ce délai, la suspension cesse immédiatement ses effets ». En l’occurrence cependant, la Cour constata qu’elle ne serait en mesure de rendre son arrêt sur le recours en annulation que lorsqu’elle aurait pu prendre connaissance de l’arrêt de la Cour de justice de l’Union européenne en réponse à la question préjudicielle posée, ainsi que des observations des parties quant </w:t>
      </w:r>
      <w:proofErr w:type="spellStart"/>
      <w:r w:rsidR="00222B01" w:rsidRPr="000D3BCD">
        <w:t>a</w:t>
      </w:r>
      <w:proofErr w:type="spellEnd"/>
      <w:r w:rsidR="00222B01" w:rsidRPr="000D3BCD">
        <w:t xml:space="preserve">̀ </w:t>
      </w:r>
      <w:r w:rsidR="00CE5CC1" w:rsidRPr="000D3BCD">
        <w:t>cet arrêt</w:t>
      </w:r>
      <w:r w:rsidR="00222B01" w:rsidRPr="000D3BCD">
        <w:t xml:space="preserve">. La fixation à trois mois du délai de suspension opérait donc, en l’espèce, au détriment de l’impératif d’effectivité du droit de l’Union, tel que concrétisé par la jurisprudence </w:t>
      </w:r>
      <w:proofErr w:type="spellStart"/>
      <w:r w:rsidR="00222B01" w:rsidRPr="000D3BCD">
        <w:rPr>
          <w:i/>
          <w:iCs/>
        </w:rPr>
        <w:t>Zuckerfabrik</w:t>
      </w:r>
      <w:proofErr w:type="spellEnd"/>
      <w:r w:rsidR="00222B01" w:rsidRPr="000D3BCD">
        <w:rPr>
          <w:i/>
          <w:iCs/>
        </w:rPr>
        <w:t xml:space="preserve"> </w:t>
      </w:r>
      <w:proofErr w:type="spellStart"/>
      <w:r w:rsidR="00222B01" w:rsidRPr="000D3BCD">
        <w:rPr>
          <w:i/>
          <w:iCs/>
        </w:rPr>
        <w:t>SüderdithmarschenAG</w:t>
      </w:r>
      <w:proofErr w:type="spellEnd"/>
      <w:r w:rsidR="00CE5CC1" w:rsidRPr="000D3BCD">
        <w:rPr>
          <w:i/>
          <w:iCs/>
        </w:rPr>
        <w:t xml:space="preserve"> </w:t>
      </w:r>
      <w:r w:rsidR="00CE5CC1" w:rsidRPr="000D3BCD">
        <w:rPr>
          <w:iCs/>
        </w:rPr>
        <w:t>de la Cour de Luxembourg</w:t>
      </w:r>
      <w:r w:rsidR="002D7796">
        <w:rPr>
          <w:rStyle w:val="Appelnotedebasdep"/>
          <w:iCs/>
        </w:rPr>
        <w:footnoteReference w:id="21"/>
      </w:r>
      <w:r w:rsidR="00222B01" w:rsidRPr="000D3BCD">
        <w:rPr>
          <w:i/>
          <w:iCs/>
        </w:rPr>
        <w:t xml:space="preserve">. </w:t>
      </w:r>
      <w:r w:rsidR="00222B01" w:rsidRPr="000D3BCD">
        <w:rPr>
          <w:iCs/>
        </w:rPr>
        <w:t xml:space="preserve">C’est ici que retentissent les notes de </w:t>
      </w:r>
      <w:r w:rsidR="00222B01" w:rsidRPr="000D3BCD">
        <w:rPr>
          <w:i/>
          <w:iCs/>
        </w:rPr>
        <w:t>Le</w:t>
      </w:r>
      <w:r w:rsidR="002D7796">
        <w:rPr>
          <w:i/>
          <w:iCs/>
        </w:rPr>
        <w:t xml:space="preserve"> S</w:t>
      </w:r>
      <w:r w:rsidR="00222B01" w:rsidRPr="000D3BCD">
        <w:rPr>
          <w:i/>
          <w:iCs/>
        </w:rPr>
        <w:t>ki</w:t>
      </w:r>
      <w:r w:rsidR="002D7796">
        <w:rPr>
          <w:rStyle w:val="Appelnotedebasdep"/>
          <w:i/>
          <w:iCs/>
        </w:rPr>
        <w:footnoteReference w:id="22"/>
      </w:r>
      <w:r w:rsidR="001933EB">
        <w:rPr>
          <w:i/>
          <w:iCs/>
        </w:rPr>
        <w:t> </w:t>
      </w:r>
      <w:r w:rsidR="001933EB">
        <w:t xml:space="preserve">: </w:t>
      </w:r>
    </w:p>
    <w:p w14:paraId="141EA931" w14:textId="71EECC30" w:rsidR="00222B01" w:rsidRPr="002D7796" w:rsidRDefault="00222B01" w:rsidP="000D3BCD">
      <w:pPr>
        <w:pStyle w:val="NormalWeb"/>
        <w:ind w:left="567"/>
        <w:jc w:val="both"/>
        <w:rPr>
          <w:sz w:val="20"/>
          <w:szCs w:val="20"/>
        </w:rPr>
      </w:pPr>
      <w:r w:rsidRPr="002D7796">
        <w:rPr>
          <w:i/>
          <w:iCs/>
          <w:sz w:val="20"/>
          <w:szCs w:val="20"/>
        </w:rPr>
        <w:lastRenderedPageBreak/>
        <w:t>« </w:t>
      </w:r>
      <w:r w:rsidRPr="002D7796">
        <w:rPr>
          <w:sz w:val="20"/>
          <w:szCs w:val="20"/>
        </w:rPr>
        <w:t>Le principe d’effectivité́ du droit de l’Union commande que la suspension ordonnée par la Cour perdure jusqu’</w:t>
      </w:r>
      <w:proofErr w:type="spellStart"/>
      <w:r w:rsidRPr="002D7796">
        <w:rPr>
          <w:sz w:val="20"/>
          <w:szCs w:val="20"/>
        </w:rPr>
        <w:t>a</w:t>
      </w:r>
      <w:proofErr w:type="spellEnd"/>
      <w:r w:rsidRPr="002D7796">
        <w:rPr>
          <w:sz w:val="20"/>
          <w:szCs w:val="20"/>
        </w:rPr>
        <w:t xml:space="preserve">̀ ce que celle-ci soit en mesure de rendre son arrêt quant au fond, ce qui ne saurait être le cas dans le délai de trois mois imposé par l’article 25 de la loi spéciale du 6 janvier 1989. </w:t>
      </w:r>
    </w:p>
    <w:p w14:paraId="26369BEA" w14:textId="23D72234" w:rsidR="00222B01" w:rsidRPr="002D7796" w:rsidRDefault="00222B01" w:rsidP="000D3BCD">
      <w:pPr>
        <w:pStyle w:val="NormalWeb"/>
        <w:ind w:left="567"/>
        <w:jc w:val="both"/>
        <w:rPr>
          <w:sz w:val="20"/>
          <w:szCs w:val="20"/>
        </w:rPr>
      </w:pPr>
      <w:r w:rsidRPr="002D7796">
        <w:rPr>
          <w:sz w:val="20"/>
          <w:szCs w:val="20"/>
        </w:rPr>
        <w:t>Il convient d</w:t>
      </w:r>
      <w:r w:rsidR="00CE5CC1" w:rsidRPr="002D7796">
        <w:rPr>
          <w:sz w:val="20"/>
          <w:szCs w:val="20"/>
        </w:rPr>
        <w:t>è</w:t>
      </w:r>
      <w:r w:rsidRPr="002D7796">
        <w:rPr>
          <w:sz w:val="20"/>
          <w:szCs w:val="20"/>
        </w:rPr>
        <w:t xml:space="preserve">s </w:t>
      </w:r>
      <w:r w:rsidRPr="00B27D51">
        <w:rPr>
          <w:sz w:val="20"/>
          <w:szCs w:val="20"/>
        </w:rPr>
        <w:t>lors</w:t>
      </w:r>
      <w:r w:rsidRPr="002D7796">
        <w:rPr>
          <w:i/>
          <w:iCs/>
          <w:sz w:val="20"/>
          <w:szCs w:val="20"/>
        </w:rPr>
        <w:t xml:space="preserve"> d’encarter, en l’espèce, l’application de l’article 25 de la loi spéciale du 6 janvier 1989</w:t>
      </w:r>
      <w:r w:rsidRPr="002D7796">
        <w:rPr>
          <w:sz w:val="20"/>
          <w:szCs w:val="20"/>
        </w:rPr>
        <w:t xml:space="preserve"> et d’ordonner que la suspension des dispositions </w:t>
      </w:r>
      <w:r w:rsidR="00573B2D" w:rsidRPr="002D7796">
        <w:rPr>
          <w:sz w:val="20"/>
          <w:szCs w:val="20"/>
        </w:rPr>
        <w:t>(décrétales)</w:t>
      </w:r>
      <w:r w:rsidRPr="002D7796">
        <w:rPr>
          <w:sz w:val="20"/>
          <w:szCs w:val="20"/>
        </w:rPr>
        <w:t xml:space="preserve"> continue à produire ses effets jusqu’</w:t>
      </w:r>
      <w:proofErr w:type="spellStart"/>
      <w:r w:rsidRPr="002D7796">
        <w:rPr>
          <w:sz w:val="20"/>
          <w:szCs w:val="20"/>
        </w:rPr>
        <w:t>a</w:t>
      </w:r>
      <w:proofErr w:type="spellEnd"/>
      <w:r w:rsidRPr="002D7796">
        <w:rPr>
          <w:sz w:val="20"/>
          <w:szCs w:val="20"/>
        </w:rPr>
        <w:t xml:space="preserve">̀ la date de publication au </w:t>
      </w:r>
      <w:r w:rsidRPr="002D7796">
        <w:rPr>
          <w:i/>
          <w:iCs/>
          <w:sz w:val="20"/>
          <w:szCs w:val="20"/>
        </w:rPr>
        <w:t xml:space="preserve">Moniteur belge </w:t>
      </w:r>
      <w:r w:rsidRPr="002D7796">
        <w:rPr>
          <w:sz w:val="20"/>
          <w:szCs w:val="20"/>
        </w:rPr>
        <w:t>de l’</w:t>
      </w:r>
      <w:r w:rsidR="00573B2D" w:rsidRPr="002D7796">
        <w:rPr>
          <w:sz w:val="20"/>
          <w:szCs w:val="20"/>
        </w:rPr>
        <w:t>arrêt</w:t>
      </w:r>
      <w:r w:rsidRPr="002D7796">
        <w:rPr>
          <w:sz w:val="20"/>
          <w:szCs w:val="20"/>
        </w:rPr>
        <w:t xml:space="preserve"> de la Cour sur les recours en annulation </w:t>
      </w:r>
      <w:r w:rsidR="00573B2D" w:rsidRPr="002D7796">
        <w:rPr>
          <w:sz w:val="20"/>
          <w:szCs w:val="20"/>
        </w:rPr>
        <w:t>(…) »</w:t>
      </w:r>
      <w:r w:rsidR="00CE5CC1" w:rsidRPr="002D7796">
        <w:rPr>
          <w:sz w:val="20"/>
          <w:szCs w:val="20"/>
        </w:rPr>
        <w:t xml:space="preserve"> (notre accent)</w:t>
      </w:r>
    </w:p>
    <w:p w14:paraId="7DBAC2F5" w14:textId="00DF99A9" w:rsidR="00573B2D" w:rsidRPr="000D3BCD" w:rsidRDefault="00573B2D" w:rsidP="000D3BCD">
      <w:pPr>
        <w:pStyle w:val="NormalWeb"/>
        <w:jc w:val="both"/>
      </w:pPr>
      <w:r w:rsidRPr="000D3BCD">
        <w:t>Dans un arrêt 168/2020</w:t>
      </w:r>
      <w:r w:rsidR="001933EB">
        <w:rPr>
          <w:rStyle w:val="Appelnotedebasdep"/>
        </w:rPr>
        <w:footnoteReference w:id="23"/>
      </w:r>
      <w:r w:rsidRPr="000D3BCD">
        <w:t xml:space="preserve">, rendu le même jour, la Cour s’assura, avant de conclure à l’irrecevabilité </w:t>
      </w:r>
      <w:proofErr w:type="spellStart"/>
      <w:r w:rsidRPr="000D3BCD">
        <w:rPr>
          <w:i/>
        </w:rPr>
        <w:t>ratione</w:t>
      </w:r>
      <w:proofErr w:type="spellEnd"/>
      <w:r w:rsidRPr="000D3BCD">
        <w:rPr>
          <w:i/>
        </w:rPr>
        <w:t xml:space="preserve"> </w:t>
      </w:r>
      <w:proofErr w:type="spellStart"/>
      <w:r w:rsidRPr="000D3BCD">
        <w:rPr>
          <w:i/>
        </w:rPr>
        <w:t>temporis</w:t>
      </w:r>
      <w:proofErr w:type="spellEnd"/>
      <w:r w:rsidRPr="000D3BCD">
        <w:rPr>
          <w:i/>
        </w:rPr>
        <w:t xml:space="preserve"> </w:t>
      </w:r>
      <w:r w:rsidRPr="000D3BCD">
        <w:t xml:space="preserve">de la demande en suspension introduite </w:t>
      </w:r>
      <w:r w:rsidRPr="000D3BCD">
        <w:rPr>
          <w:i/>
        </w:rPr>
        <w:t xml:space="preserve">in </w:t>
      </w:r>
      <w:proofErr w:type="spellStart"/>
      <w:r w:rsidR="00CE5CC1" w:rsidRPr="000D3BCD">
        <w:rPr>
          <w:i/>
        </w:rPr>
        <w:t>specie</w:t>
      </w:r>
      <w:proofErr w:type="spellEnd"/>
      <w:r w:rsidRPr="000D3BCD">
        <w:t>, que le délai fixé par l’article 21, al. 2, de la loi spéciale du 6 janvier 1989 pour l’introd</w:t>
      </w:r>
      <w:r w:rsidR="002A665C" w:rsidRPr="000D3BCD">
        <w:t xml:space="preserve">uction de ce type de demande – soit trois mois à compter de la publication de l’acte attaqué au </w:t>
      </w:r>
      <w:proofErr w:type="spellStart"/>
      <w:r w:rsidR="002A665C" w:rsidRPr="000D3BCD">
        <w:rPr>
          <w:i/>
        </w:rPr>
        <w:t>Montieur</w:t>
      </w:r>
      <w:proofErr w:type="spellEnd"/>
      <w:r w:rsidR="002A665C" w:rsidRPr="000D3BCD">
        <w:rPr>
          <w:i/>
        </w:rPr>
        <w:t xml:space="preserve"> belge – </w:t>
      </w:r>
      <w:r w:rsidR="002A665C" w:rsidRPr="000D3BCD">
        <w:t xml:space="preserve">n’était pas incompatible avec le principe européen de la protection jurisprudentielle effective. L’arrêt 168/2020, ainsi résumé, n’est sans doute pas aussi spectaculaire dans ses conséquences que celui qui l’avait immédiatement précédé. Il n’en est pas moins significatif de l’endossement, par la Cour constitutionnelle, de la mission assignée à tout juge quelconque par l’arrêt </w:t>
      </w:r>
      <w:r w:rsidR="002A665C" w:rsidRPr="000D3BCD">
        <w:rPr>
          <w:i/>
        </w:rPr>
        <w:t>Le</w:t>
      </w:r>
      <w:r w:rsidR="001933EB">
        <w:rPr>
          <w:i/>
        </w:rPr>
        <w:t xml:space="preserve"> S</w:t>
      </w:r>
      <w:r w:rsidR="002A665C" w:rsidRPr="000D3BCD">
        <w:rPr>
          <w:i/>
        </w:rPr>
        <w:t>ki</w:t>
      </w:r>
      <w:r w:rsidR="00150E2E" w:rsidRPr="000D3BCD">
        <w:rPr>
          <w:i/>
        </w:rPr>
        <w:t> </w:t>
      </w:r>
      <w:r w:rsidR="00150E2E" w:rsidRPr="000D3BCD">
        <w:t xml:space="preserve">: faire prévaloir, en cas de conflit, la norme internationale ou européenne dotée d’effet direct sur la loi interne – fut-elle </w:t>
      </w:r>
      <w:r w:rsidR="00CE5CC1" w:rsidRPr="000D3BCD">
        <w:t>« </w:t>
      </w:r>
      <w:r w:rsidR="00150E2E" w:rsidRPr="000D3BCD">
        <w:t>spéciale</w:t>
      </w:r>
      <w:r w:rsidR="00CE5CC1" w:rsidRPr="000D3BCD">
        <w:t> »</w:t>
      </w:r>
      <w:r w:rsidR="00150E2E" w:rsidRPr="000D3BCD">
        <w:t xml:space="preserve"> – qui lui est contraire. </w:t>
      </w:r>
    </w:p>
    <w:p w14:paraId="57A81151" w14:textId="32C60F31" w:rsidR="00391CAB" w:rsidRPr="001933EB" w:rsidRDefault="00391CAB" w:rsidP="000D3BCD">
      <w:pPr>
        <w:pStyle w:val="NormalWeb"/>
        <w:numPr>
          <w:ilvl w:val="0"/>
          <w:numId w:val="1"/>
        </w:numPr>
        <w:jc w:val="both"/>
        <w:rPr>
          <w:b/>
          <w:bCs/>
        </w:rPr>
      </w:pPr>
      <w:r w:rsidRPr="001933EB">
        <w:rPr>
          <w:b/>
          <w:bCs/>
        </w:rPr>
        <w:t>L’intégrité de la « part réservataire » des autres juges </w:t>
      </w:r>
    </w:p>
    <w:p w14:paraId="1611D235" w14:textId="4B70FC90" w:rsidR="003F6398" w:rsidRPr="000D3BCD" w:rsidRDefault="003F6398" w:rsidP="000D3BCD">
      <w:pPr>
        <w:jc w:val="both"/>
        <w:rPr>
          <w:rFonts w:ascii="Times New Roman" w:hAnsi="Times New Roman" w:cs="Times New Roman"/>
        </w:rPr>
      </w:pPr>
      <w:r w:rsidRPr="000D3BCD">
        <w:rPr>
          <w:rFonts w:ascii="Times New Roman" w:hAnsi="Times New Roman" w:cs="Times New Roman"/>
        </w:rPr>
        <w:t xml:space="preserve">Nous l’avons </w:t>
      </w:r>
      <w:r w:rsidR="001933EB">
        <w:rPr>
          <w:rFonts w:ascii="Times New Roman" w:hAnsi="Times New Roman" w:cs="Times New Roman"/>
        </w:rPr>
        <w:t>signalé</w:t>
      </w:r>
      <w:r w:rsidRPr="000D3BCD">
        <w:rPr>
          <w:rFonts w:ascii="Times New Roman" w:hAnsi="Times New Roman" w:cs="Times New Roman"/>
        </w:rPr>
        <w:t> : il ressort des travaux préparatoires de la révision constitutionnelle de 1980 que la Constituant n’avait nullement l’intention, en créant la Cour constitutionnelle (alors Cour d’arbitrage), de voir confier à celle-ci le contentieux de la compatibilité des lois, décrets et ordonnances avec les instruments de droit international et européen des droits de l’Homme,</w:t>
      </w:r>
      <w:r w:rsidR="001933EB">
        <w:rPr>
          <w:rFonts w:ascii="Times New Roman" w:hAnsi="Times New Roman" w:cs="Times New Roman"/>
        </w:rPr>
        <w:t xml:space="preserve"> ni</w:t>
      </w:r>
      <w:r w:rsidR="00CE5CC1" w:rsidRPr="000D3BCD">
        <w:rPr>
          <w:rFonts w:ascii="Times New Roman" w:hAnsi="Times New Roman" w:cs="Times New Roman"/>
        </w:rPr>
        <w:t>, dans un geste centralisateur,</w:t>
      </w:r>
      <w:r w:rsidRPr="000D3BCD">
        <w:rPr>
          <w:rFonts w:ascii="Times New Roman" w:hAnsi="Times New Roman" w:cs="Times New Roman"/>
        </w:rPr>
        <w:t xml:space="preserve"> de soustraire du même coup ce contentieux aux juridictions administratives et judiciaires faisant application de la jurisprudence </w:t>
      </w:r>
      <w:r w:rsidRPr="000D3BCD">
        <w:rPr>
          <w:rFonts w:ascii="Times New Roman" w:hAnsi="Times New Roman" w:cs="Times New Roman"/>
          <w:i/>
        </w:rPr>
        <w:t>Le</w:t>
      </w:r>
      <w:r w:rsidR="001933EB">
        <w:rPr>
          <w:rFonts w:ascii="Times New Roman" w:hAnsi="Times New Roman" w:cs="Times New Roman"/>
          <w:i/>
        </w:rPr>
        <w:t xml:space="preserve"> S</w:t>
      </w:r>
      <w:r w:rsidRPr="000D3BCD">
        <w:rPr>
          <w:rFonts w:ascii="Times New Roman" w:hAnsi="Times New Roman" w:cs="Times New Roman"/>
          <w:i/>
        </w:rPr>
        <w:t>ki</w:t>
      </w:r>
      <w:r w:rsidRPr="000D3BCD">
        <w:rPr>
          <w:rStyle w:val="Marquenotebasde"/>
          <w:rFonts w:ascii="Times New Roman" w:hAnsi="Times New Roman"/>
          <w:i/>
        </w:rPr>
        <w:footnoteReference w:id="24"/>
      </w:r>
      <w:r w:rsidRPr="000D3BCD">
        <w:rPr>
          <w:rFonts w:ascii="Times New Roman" w:hAnsi="Times New Roman" w:cs="Times New Roman"/>
          <w:i/>
        </w:rPr>
        <w:t xml:space="preserve">. </w:t>
      </w:r>
      <w:r w:rsidRPr="000D3BCD">
        <w:rPr>
          <w:rFonts w:ascii="Times New Roman" w:hAnsi="Times New Roman" w:cs="Times New Roman"/>
        </w:rPr>
        <w:t xml:space="preserve">Ce maintien intégral de l’acquis </w:t>
      </w:r>
      <w:r w:rsidR="00B27D51">
        <w:rPr>
          <w:rFonts w:ascii="Times New Roman" w:hAnsi="Times New Roman" w:cs="Times New Roman"/>
          <w:i/>
        </w:rPr>
        <w:t>Le S</w:t>
      </w:r>
      <w:r w:rsidRPr="000D3BCD">
        <w:rPr>
          <w:rFonts w:ascii="Times New Roman" w:hAnsi="Times New Roman" w:cs="Times New Roman"/>
          <w:i/>
        </w:rPr>
        <w:t xml:space="preserve">ki </w:t>
      </w:r>
      <w:r w:rsidRPr="000D3BCD">
        <w:rPr>
          <w:rFonts w:ascii="Times New Roman" w:hAnsi="Times New Roman" w:cs="Times New Roman"/>
        </w:rPr>
        <w:t>fut confirmé au cours des travaux préparatoires de la loi du 6 janvier 1989</w:t>
      </w:r>
      <w:r w:rsidRPr="000D3BCD">
        <w:rPr>
          <w:rStyle w:val="Marquenotebasde"/>
          <w:rFonts w:ascii="Times New Roman" w:hAnsi="Times New Roman"/>
        </w:rPr>
        <w:footnoteReference w:id="25"/>
      </w:r>
      <w:r w:rsidRPr="000D3BCD">
        <w:rPr>
          <w:rFonts w:ascii="Times New Roman" w:hAnsi="Times New Roman" w:cs="Times New Roman"/>
        </w:rPr>
        <w:t>, ainsi que dans le cadre de la tentative – avortée – d’inscrire, dans la Constitution, un article 32</w:t>
      </w:r>
      <w:r w:rsidRPr="000D3BCD">
        <w:rPr>
          <w:rFonts w:ascii="Times New Roman" w:hAnsi="Times New Roman" w:cs="Times New Roman"/>
          <w:i/>
        </w:rPr>
        <w:t xml:space="preserve">bis </w:t>
      </w:r>
      <w:r w:rsidRPr="000D3BCD">
        <w:rPr>
          <w:rFonts w:ascii="Times New Roman" w:hAnsi="Times New Roman" w:cs="Times New Roman"/>
        </w:rPr>
        <w:t>constitutionnalisant « par renvoi » la Convention européenne des droits de l’Homme</w:t>
      </w:r>
      <w:r w:rsidRPr="000D3BCD">
        <w:rPr>
          <w:rStyle w:val="Marquenotebasde"/>
          <w:rFonts w:ascii="Times New Roman" w:hAnsi="Times New Roman"/>
        </w:rPr>
        <w:footnoteReference w:id="26"/>
      </w:r>
      <w:r w:rsidRPr="000D3BCD">
        <w:rPr>
          <w:rFonts w:ascii="Times New Roman" w:hAnsi="Times New Roman" w:cs="Times New Roman"/>
        </w:rPr>
        <w:t xml:space="preserve">. </w:t>
      </w:r>
    </w:p>
    <w:p w14:paraId="37E59DCA" w14:textId="77777777" w:rsidR="003F6398" w:rsidRPr="000D3BCD" w:rsidRDefault="003F6398" w:rsidP="000D3BCD">
      <w:pPr>
        <w:jc w:val="both"/>
        <w:rPr>
          <w:rFonts w:ascii="Times New Roman" w:hAnsi="Times New Roman" w:cs="Times New Roman"/>
        </w:rPr>
      </w:pPr>
    </w:p>
    <w:p w14:paraId="2D168173" w14:textId="4A50A9C3" w:rsidR="003F6398" w:rsidRPr="000D3BCD" w:rsidRDefault="003F6398" w:rsidP="000D3BCD">
      <w:pPr>
        <w:jc w:val="both"/>
        <w:rPr>
          <w:rFonts w:ascii="Times New Roman" w:hAnsi="Times New Roman" w:cs="Times New Roman"/>
        </w:rPr>
      </w:pPr>
      <w:r w:rsidRPr="000D3BCD">
        <w:rPr>
          <w:rFonts w:ascii="Times New Roman" w:hAnsi="Times New Roman" w:cs="Times New Roman"/>
        </w:rPr>
        <w:t xml:space="preserve">Cette séparation nette des missions respectives, et la parfaite étanchéité du contrôle de constitutionnalité vis-à-vis du contrôle de </w:t>
      </w:r>
      <w:r w:rsidR="00B27D51">
        <w:rPr>
          <w:rFonts w:ascii="Times New Roman" w:hAnsi="Times New Roman" w:cs="Times New Roman"/>
        </w:rPr>
        <w:t>« </w:t>
      </w:r>
      <w:r w:rsidRPr="000D3BCD">
        <w:rPr>
          <w:rFonts w:ascii="Times New Roman" w:hAnsi="Times New Roman" w:cs="Times New Roman"/>
        </w:rPr>
        <w:t>conventionalité</w:t>
      </w:r>
      <w:r w:rsidR="00B27D51">
        <w:rPr>
          <w:rFonts w:ascii="Times New Roman" w:hAnsi="Times New Roman" w:cs="Times New Roman"/>
        </w:rPr>
        <w:t> »</w:t>
      </w:r>
      <w:r w:rsidRPr="000D3BCD">
        <w:rPr>
          <w:rFonts w:ascii="Times New Roman" w:hAnsi="Times New Roman" w:cs="Times New Roman"/>
        </w:rPr>
        <w:t>, n’existent cependant plus que « sur le papier ».</w:t>
      </w:r>
    </w:p>
    <w:p w14:paraId="42FBF1D4" w14:textId="77777777" w:rsidR="003F6398" w:rsidRPr="000D3BCD" w:rsidRDefault="003F6398" w:rsidP="000D3BCD">
      <w:pPr>
        <w:jc w:val="both"/>
        <w:rPr>
          <w:rFonts w:ascii="Times New Roman" w:hAnsi="Times New Roman" w:cs="Times New Roman"/>
        </w:rPr>
      </w:pPr>
    </w:p>
    <w:p w14:paraId="2E777050" w14:textId="5E39C994" w:rsidR="003F6398" w:rsidRPr="000D3BCD" w:rsidRDefault="003F6398" w:rsidP="000D3BCD">
      <w:pPr>
        <w:jc w:val="both"/>
        <w:rPr>
          <w:rFonts w:ascii="Times New Roman" w:hAnsi="Times New Roman" w:cs="Times New Roman"/>
        </w:rPr>
      </w:pPr>
      <w:r w:rsidRPr="000D3BCD">
        <w:rPr>
          <w:rFonts w:ascii="Times New Roman" w:hAnsi="Times New Roman" w:cs="Times New Roman"/>
        </w:rPr>
        <w:t xml:space="preserve">Ci-avant évoquées, les méthodes « combinatoires » et « conciliatoires » suivies à la Place Royale convoquent de manière massive le droit international et le droit européen des droits de l’Homme dans le cadre de son contrôle de constitutionnalité. Lorsque ce juge certifie la compatibilité d’une loi, d’un décret ou d’une ordonnance avec les articles 10 et 11 de la </w:t>
      </w:r>
      <w:r w:rsidRPr="000D3BCD">
        <w:rPr>
          <w:rFonts w:ascii="Times New Roman" w:hAnsi="Times New Roman" w:cs="Times New Roman"/>
        </w:rPr>
        <w:lastRenderedPageBreak/>
        <w:t>Constitution « combinés » avec une norme internationale ou européenne protectrice des droits de l’Homme, il affirme du même coup, de manière indirecte mais néanmoins certaine, qu’à son estime, l’acte législatif litigieux est conforme à la norme précitée</w:t>
      </w:r>
      <w:r w:rsidRPr="000D3BCD">
        <w:rPr>
          <w:rStyle w:val="Marquenotebasde"/>
          <w:rFonts w:ascii="Times New Roman" w:hAnsi="Times New Roman"/>
        </w:rPr>
        <w:footnoteReference w:id="27"/>
      </w:r>
      <w:r w:rsidRPr="000D3BCD">
        <w:rPr>
          <w:rFonts w:ascii="Times New Roman" w:hAnsi="Times New Roman" w:cs="Times New Roman"/>
        </w:rPr>
        <w:t>. De même doit-on déduire du brevet de constitutionnalité décerné au regard d’une disposition du titre II de la Constitution, qu’aux yeux du juge constitutionnel, l’acte législatif breveté est également compatible avec les normes internationales ou européennes ayant une portée analogue à la disposition précitée.</w:t>
      </w:r>
    </w:p>
    <w:p w14:paraId="2E352126" w14:textId="77777777" w:rsidR="003F6398" w:rsidRPr="000D3BCD" w:rsidRDefault="003F6398" w:rsidP="000D3BCD">
      <w:pPr>
        <w:jc w:val="both"/>
        <w:rPr>
          <w:rFonts w:ascii="Times New Roman" w:hAnsi="Times New Roman" w:cs="Times New Roman"/>
        </w:rPr>
      </w:pPr>
    </w:p>
    <w:p w14:paraId="5C75DD54" w14:textId="739833FB" w:rsidR="003F6398" w:rsidRPr="000D3BCD" w:rsidRDefault="003F6398" w:rsidP="000D3BCD">
      <w:pPr>
        <w:jc w:val="both"/>
        <w:rPr>
          <w:rFonts w:ascii="Times New Roman" w:hAnsi="Times New Roman" w:cs="Times New Roman"/>
        </w:rPr>
      </w:pPr>
      <w:r w:rsidRPr="000D3BCD">
        <w:rPr>
          <w:rFonts w:ascii="Times New Roman" w:hAnsi="Times New Roman" w:cs="Times New Roman"/>
        </w:rPr>
        <w:t xml:space="preserve">L’office du juge constitutionnel belge est donc, en pratique, caractérisé par une porosité des frontières entre contrôle de constitutionnalité et contrôle de </w:t>
      </w:r>
      <w:proofErr w:type="spellStart"/>
      <w:r w:rsidRPr="000D3BCD">
        <w:rPr>
          <w:rFonts w:ascii="Times New Roman" w:hAnsi="Times New Roman" w:cs="Times New Roman"/>
        </w:rPr>
        <w:t>conventionnalité</w:t>
      </w:r>
      <w:proofErr w:type="spellEnd"/>
      <w:r w:rsidRPr="000D3BCD">
        <w:rPr>
          <w:rFonts w:ascii="Times New Roman" w:hAnsi="Times New Roman" w:cs="Times New Roman"/>
        </w:rPr>
        <w:t xml:space="preserve">. Il en est </w:t>
      </w:r>
      <w:r w:rsidR="001933EB" w:rsidRPr="000D3BCD">
        <w:rPr>
          <w:rFonts w:ascii="Times New Roman" w:hAnsi="Times New Roman" w:cs="Times New Roman"/>
        </w:rPr>
        <w:t xml:space="preserve">fatalement </w:t>
      </w:r>
      <w:r w:rsidRPr="000D3BCD">
        <w:rPr>
          <w:rFonts w:ascii="Times New Roman" w:hAnsi="Times New Roman" w:cs="Times New Roman"/>
        </w:rPr>
        <w:t>résulté une interrogation sur l’étendue exacte de l’autorité de la « chose jugée » par cette juridiction, au regard des articles 9 et 28 de la loi spéciale du 6 janvier 1989. Faut-il considérer que brevet de conventionalité de la loi, du décret ou de l’ordonnance logé dans les flancs d’un arrêt rendu sur question préjudicielle ou déclarant non fondé un recours en annulation, « lie » les juridictions respectivement visées par les dispositions précitées, en sorte que lesdites juridictions se verraient privées, par suite, de</w:t>
      </w:r>
      <w:r w:rsidR="00D0239F">
        <w:rPr>
          <w:rFonts w:ascii="Times New Roman" w:hAnsi="Times New Roman" w:cs="Times New Roman"/>
        </w:rPr>
        <w:t xml:space="preserve"> la possibilité de</w:t>
      </w:r>
      <w:r w:rsidRPr="000D3BCD">
        <w:rPr>
          <w:rFonts w:ascii="Times New Roman" w:hAnsi="Times New Roman" w:cs="Times New Roman"/>
        </w:rPr>
        <w:t xml:space="preserve"> refuser d’appliquer la loi litigieuse au motif de sa prétendue contrariété avec la norme internationale ou européenne concernée ?</w:t>
      </w:r>
    </w:p>
    <w:p w14:paraId="19EF0122" w14:textId="77777777" w:rsidR="00FA4384" w:rsidRPr="000D3BCD" w:rsidRDefault="00FA4384" w:rsidP="000D3BCD">
      <w:pPr>
        <w:jc w:val="both"/>
        <w:rPr>
          <w:rFonts w:ascii="Times New Roman" w:hAnsi="Times New Roman" w:cs="Times New Roman"/>
        </w:rPr>
      </w:pPr>
    </w:p>
    <w:p w14:paraId="3E1DF685" w14:textId="310F11E1" w:rsidR="003F6398" w:rsidRPr="000D3BCD" w:rsidRDefault="003F6398" w:rsidP="000D3BCD">
      <w:pPr>
        <w:jc w:val="both"/>
        <w:rPr>
          <w:rFonts w:ascii="Times New Roman" w:hAnsi="Times New Roman" w:cs="Times New Roman"/>
        </w:rPr>
      </w:pPr>
      <w:r w:rsidRPr="000D3BCD">
        <w:rPr>
          <w:rFonts w:ascii="Times New Roman" w:hAnsi="Times New Roman" w:cs="Times New Roman"/>
        </w:rPr>
        <w:t>La doctrine majoritaire a toujours répondu à cette question de manière négative</w:t>
      </w:r>
      <w:r w:rsidRPr="000D3BCD">
        <w:rPr>
          <w:rStyle w:val="Marquenotebasde"/>
          <w:rFonts w:ascii="Times New Roman" w:hAnsi="Times New Roman"/>
        </w:rPr>
        <w:footnoteReference w:id="28"/>
      </w:r>
      <w:r w:rsidRPr="000D3BCD">
        <w:rPr>
          <w:rFonts w:ascii="Times New Roman" w:hAnsi="Times New Roman" w:cs="Times New Roman"/>
        </w:rPr>
        <w:t xml:space="preserve">. Quels que soient les « débordements » réalisés par la pratique de la Cour constitutionnelle sur le terrain du contrôle de conventionalité, les articles 9 et 28 précité de la loi spéciale du 6 janvier 1989 ne peuvent être interprétés comme ayant, d’une quelconque manière, « rogné » les prérogatives et responsabilités dont la jurisprudence </w:t>
      </w:r>
      <w:r w:rsidRPr="000D3BCD">
        <w:rPr>
          <w:rFonts w:ascii="Times New Roman" w:hAnsi="Times New Roman" w:cs="Times New Roman"/>
          <w:i/>
        </w:rPr>
        <w:t>Le</w:t>
      </w:r>
      <w:r w:rsidR="001933EB">
        <w:rPr>
          <w:rFonts w:ascii="Times New Roman" w:hAnsi="Times New Roman" w:cs="Times New Roman"/>
          <w:i/>
        </w:rPr>
        <w:t xml:space="preserve"> S</w:t>
      </w:r>
      <w:r w:rsidRPr="000D3BCD">
        <w:rPr>
          <w:rFonts w:ascii="Times New Roman" w:hAnsi="Times New Roman" w:cs="Times New Roman"/>
          <w:i/>
        </w:rPr>
        <w:t xml:space="preserve">ki </w:t>
      </w:r>
      <w:r w:rsidRPr="000D3BCD">
        <w:rPr>
          <w:rFonts w:ascii="Times New Roman" w:hAnsi="Times New Roman" w:cs="Times New Roman"/>
        </w:rPr>
        <w:t>investi</w:t>
      </w:r>
      <w:r w:rsidR="00D0239F">
        <w:rPr>
          <w:rFonts w:ascii="Times New Roman" w:hAnsi="Times New Roman" w:cs="Times New Roman"/>
        </w:rPr>
        <w:t>t</w:t>
      </w:r>
      <w:r w:rsidRPr="000D3BCD">
        <w:rPr>
          <w:rFonts w:ascii="Times New Roman" w:hAnsi="Times New Roman" w:cs="Times New Roman"/>
        </w:rPr>
        <w:t xml:space="preserve"> les juridictions judiciaires et administratives. Ce qui a été « blanchi » à la Place Royale au regard de telle ou telle règle européenne ou internationale peut encore parfaitement être censuré, au regard de la même règle différemment interprétée, à la Rue de la Science ou à la Place </w:t>
      </w:r>
      <w:proofErr w:type="spellStart"/>
      <w:r w:rsidRPr="000D3BCD">
        <w:rPr>
          <w:rFonts w:ascii="Times New Roman" w:hAnsi="Times New Roman" w:cs="Times New Roman"/>
        </w:rPr>
        <w:t>Poelaert</w:t>
      </w:r>
      <w:proofErr w:type="spellEnd"/>
      <w:r w:rsidRPr="000D3BCD">
        <w:rPr>
          <w:rFonts w:ascii="Times New Roman" w:hAnsi="Times New Roman" w:cs="Times New Roman"/>
        </w:rPr>
        <w:t xml:space="preserve">. Cette conclusion, classiquement déduite des travaux préparatoires de 1980 et de 1989 ci-avant évoqués, n’a pas été remis en cause lorsque fut inscrit, à l’article 26, § 4, de la loi spéciale du 6 janvier 1989, le principe de la priorité de la question de constitutionnalité sur la question de </w:t>
      </w:r>
      <w:proofErr w:type="spellStart"/>
      <w:r w:rsidRPr="000D3BCD">
        <w:rPr>
          <w:rFonts w:ascii="Times New Roman" w:hAnsi="Times New Roman" w:cs="Times New Roman"/>
        </w:rPr>
        <w:t>conventionnalité</w:t>
      </w:r>
      <w:proofErr w:type="spellEnd"/>
      <w:r w:rsidRPr="000D3BCD">
        <w:rPr>
          <w:rStyle w:val="Marquenotebasde"/>
          <w:rFonts w:ascii="Times New Roman" w:hAnsi="Times New Roman"/>
        </w:rPr>
        <w:footnoteReference w:id="29"/>
      </w:r>
      <w:r w:rsidRPr="000D3BCD">
        <w:rPr>
          <w:rFonts w:ascii="Times New Roman" w:hAnsi="Times New Roman" w:cs="Times New Roman"/>
        </w:rPr>
        <w:t xml:space="preserve">. Tout au contraire l’intégrité de la jurisprudence </w:t>
      </w:r>
      <w:r w:rsidRPr="000D3BCD">
        <w:rPr>
          <w:rFonts w:ascii="Times New Roman" w:hAnsi="Times New Roman" w:cs="Times New Roman"/>
          <w:i/>
        </w:rPr>
        <w:t>Le</w:t>
      </w:r>
      <w:r w:rsidR="00400602">
        <w:rPr>
          <w:rFonts w:ascii="Times New Roman" w:hAnsi="Times New Roman" w:cs="Times New Roman"/>
          <w:i/>
        </w:rPr>
        <w:t xml:space="preserve"> S</w:t>
      </w:r>
      <w:r w:rsidRPr="000D3BCD">
        <w:rPr>
          <w:rFonts w:ascii="Times New Roman" w:hAnsi="Times New Roman" w:cs="Times New Roman"/>
          <w:i/>
        </w:rPr>
        <w:t xml:space="preserve">ki </w:t>
      </w:r>
      <w:r w:rsidRPr="000D3BCD">
        <w:rPr>
          <w:rFonts w:ascii="Times New Roman" w:hAnsi="Times New Roman" w:cs="Times New Roman"/>
        </w:rPr>
        <w:t xml:space="preserve">a-t-elle reçu, à ce moment, une nouvelle « garantie » qui, pour n’être que partielle – elle ne concerne que les normes de protection des droits de l’Homme </w:t>
      </w:r>
      <w:r w:rsidRPr="000D3BCD">
        <w:rPr>
          <w:rFonts w:ascii="Times New Roman" w:hAnsi="Times New Roman" w:cs="Times New Roman"/>
          <w:i/>
        </w:rPr>
        <w:t xml:space="preserve">made in EU </w:t>
      </w:r>
      <w:r w:rsidRPr="000D3BCD">
        <w:rPr>
          <w:rFonts w:ascii="Times New Roman" w:hAnsi="Times New Roman" w:cs="Times New Roman"/>
        </w:rPr>
        <w:t xml:space="preserve">– n’est est pas moins particulièrement puissante. Conformément </w:t>
      </w:r>
      <w:r w:rsidRPr="000D3BCD">
        <w:rPr>
          <w:rFonts w:ascii="Times New Roman" w:hAnsi="Times New Roman" w:cs="Times New Roman"/>
        </w:rPr>
        <w:lastRenderedPageBreak/>
        <w:t xml:space="preserve">à la jurisprudence </w:t>
      </w:r>
      <w:r w:rsidRPr="000D3BCD">
        <w:rPr>
          <w:rFonts w:ascii="Times New Roman" w:hAnsi="Times New Roman" w:cs="Times New Roman"/>
          <w:i/>
        </w:rPr>
        <w:t>Melki</w:t>
      </w:r>
      <w:r w:rsidR="00400602">
        <w:rPr>
          <w:rStyle w:val="Appelnotedebasdep"/>
          <w:rFonts w:ascii="Times New Roman" w:hAnsi="Times New Roman" w:cs="Times New Roman"/>
          <w:i/>
        </w:rPr>
        <w:footnoteReference w:id="30"/>
      </w:r>
      <w:r w:rsidRPr="000D3BCD">
        <w:rPr>
          <w:rFonts w:ascii="Times New Roman" w:hAnsi="Times New Roman" w:cs="Times New Roman"/>
          <w:i/>
        </w:rPr>
        <w:t xml:space="preserve"> </w:t>
      </w:r>
      <w:r w:rsidRPr="000D3BCD">
        <w:rPr>
          <w:rFonts w:ascii="Times New Roman" w:hAnsi="Times New Roman" w:cs="Times New Roman"/>
        </w:rPr>
        <w:t>en effet, tout juge national doit demeurer en mesure de refuser l’application d’une règle non-conforme au droit de l’Union, quand bien même le juge constitutionnel en aurait-il, au préalable, certifié le constitutionnalité</w:t>
      </w:r>
      <w:r w:rsidRPr="000D3BCD">
        <w:rPr>
          <w:rStyle w:val="Marquenotebasde"/>
          <w:rFonts w:ascii="Times New Roman" w:hAnsi="Times New Roman"/>
        </w:rPr>
        <w:footnoteReference w:id="31"/>
      </w:r>
      <w:r w:rsidRPr="000D3BCD">
        <w:rPr>
          <w:rFonts w:ascii="Times New Roman" w:hAnsi="Times New Roman" w:cs="Times New Roman"/>
        </w:rPr>
        <w:t xml:space="preserve">. </w:t>
      </w:r>
    </w:p>
    <w:p w14:paraId="0414A64A" w14:textId="273C08C6" w:rsidR="00FA4384" w:rsidRPr="000D3BCD" w:rsidRDefault="00FA4384" w:rsidP="000D3BCD">
      <w:pPr>
        <w:jc w:val="both"/>
        <w:rPr>
          <w:rFonts w:ascii="Times New Roman" w:hAnsi="Times New Roman" w:cs="Times New Roman"/>
        </w:rPr>
      </w:pPr>
    </w:p>
    <w:p w14:paraId="39AF3A99" w14:textId="2A2DBB95" w:rsidR="00FC59A7" w:rsidRPr="000D3BCD" w:rsidRDefault="00FC59A7" w:rsidP="000D3BCD">
      <w:pPr>
        <w:pStyle w:val="NormalConstit"/>
        <w:tabs>
          <w:tab w:val="clear" w:pos="567"/>
        </w:tabs>
        <w:rPr>
          <w:szCs w:val="24"/>
        </w:rPr>
      </w:pPr>
      <w:r w:rsidRPr="000D3BCD">
        <w:rPr>
          <w:szCs w:val="24"/>
        </w:rPr>
        <w:t>Sans que l’on ne s’en étonne outre mesure, c</w:t>
      </w:r>
      <w:r w:rsidR="00FA4384" w:rsidRPr="000D3BCD">
        <w:rPr>
          <w:szCs w:val="24"/>
        </w:rPr>
        <w:t>ette manière d</w:t>
      </w:r>
      <w:r w:rsidRPr="000D3BCD">
        <w:rPr>
          <w:szCs w:val="24"/>
        </w:rPr>
        <w:t>’envisage</w:t>
      </w:r>
      <w:r w:rsidR="00FA4384" w:rsidRPr="000D3BCD">
        <w:rPr>
          <w:szCs w:val="24"/>
        </w:rPr>
        <w:t xml:space="preserve"> l’intégrité de « leur » part réservataire de l’héritage </w:t>
      </w:r>
      <w:r w:rsidR="00FA4384" w:rsidRPr="000D3BCD">
        <w:rPr>
          <w:i/>
          <w:szCs w:val="24"/>
        </w:rPr>
        <w:t>Le</w:t>
      </w:r>
      <w:r w:rsidR="00F7242D">
        <w:rPr>
          <w:i/>
          <w:szCs w:val="24"/>
        </w:rPr>
        <w:t xml:space="preserve"> S</w:t>
      </w:r>
      <w:r w:rsidR="00FA4384" w:rsidRPr="000D3BCD">
        <w:rPr>
          <w:i/>
          <w:szCs w:val="24"/>
        </w:rPr>
        <w:t>k</w:t>
      </w:r>
      <w:r w:rsidR="00EA193D" w:rsidRPr="000D3BCD">
        <w:rPr>
          <w:i/>
          <w:szCs w:val="24"/>
        </w:rPr>
        <w:t>i</w:t>
      </w:r>
      <w:r w:rsidRPr="000D3BCD">
        <w:rPr>
          <w:szCs w:val="24"/>
        </w:rPr>
        <w:t xml:space="preserve"> reçoit les faveurs des juges judiciaires et administratif</w:t>
      </w:r>
      <w:r w:rsidR="00D0239F">
        <w:rPr>
          <w:szCs w:val="24"/>
        </w:rPr>
        <w:t>s</w:t>
      </w:r>
      <w:r w:rsidRPr="000D3BCD">
        <w:rPr>
          <w:szCs w:val="24"/>
        </w:rPr>
        <w:t>. Ni le Conseil d’État</w:t>
      </w:r>
      <w:r w:rsidRPr="000D3BCD">
        <w:rPr>
          <w:rStyle w:val="Appelnotedebasdep"/>
          <w:szCs w:val="24"/>
        </w:rPr>
        <w:footnoteReference w:id="32"/>
      </w:r>
      <w:r w:rsidRPr="000D3BCD">
        <w:rPr>
          <w:szCs w:val="24"/>
        </w:rPr>
        <w:t>, ni la Cour de cassation</w:t>
      </w:r>
      <w:r w:rsidRPr="000D3BCD">
        <w:rPr>
          <w:rStyle w:val="Appelnotedebasdep"/>
          <w:szCs w:val="24"/>
        </w:rPr>
        <w:footnoteReference w:id="33"/>
      </w:r>
      <w:r w:rsidRPr="000D3BCD">
        <w:rPr>
          <w:szCs w:val="24"/>
        </w:rPr>
        <w:t xml:space="preserve"> ne s’estiment en effet « liés » par les constats de la Cour constitutionnelle relatifs à la compatibilité d’un acte ayant valeur de loi avec le droit international</w:t>
      </w:r>
      <w:r w:rsidR="00F7242D">
        <w:rPr>
          <w:szCs w:val="24"/>
        </w:rPr>
        <w:t xml:space="preserve"> ou européen</w:t>
      </w:r>
      <w:r w:rsidRPr="000D3BCD">
        <w:rPr>
          <w:szCs w:val="24"/>
        </w:rPr>
        <w:t xml:space="preserve">, et l’un et l’autre se réservent donc le droit de les contredire. </w:t>
      </w:r>
    </w:p>
    <w:p w14:paraId="1267D946" w14:textId="77777777" w:rsidR="00FC59A7" w:rsidRPr="000D3BCD" w:rsidRDefault="00FC59A7" w:rsidP="000D3BCD">
      <w:pPr>
        <w:pStyle w:val="NormalConstit"/>
        <w:tabs>
          <w:tab w:val="clear" w:pos="567"/>
        </w:tabs>
        <w:ind w:left="927" w:firstLine="66"/>
        <w:rPr>
          <w:szCs w:val="24"/>
        </w:rPr>
      </w:pPr>
    </w:p>
    <w:p w14:paraId="3507162A" w14:textId="3B08DEB4" w:rsidR="00FC59A7" w:rsidRDefault="00FC59A7" w:rsidP="000D3BCD">
      <w:pPr>
        <w:jc w:val="both"/>
        <w:rPr>
          <w:rFonts w:ascii="Times New Roman" w:hAnsi="Times New Roman" w:cs="Times New Roman"/>
          <w:lang w:val="fr-FR"/>
        </w:rPr>
      </w:pPr>
      <w:r w:rsidRPr="000D3BCD">
        <w:rPr>
          <w:rFonts w:ascii="Times New Roman" w:hAnsi="Times New Roman" w:cs="Times New Roman"/>
        </w:rPr>
        <w:t xml:space="preserve">Une illustration spectaculaire de ce « droit de dissidence » est fournie par un arrêt de la Cour de cassation du 15 décembre 2014. En l’espèce, la Cour de cassation refusa </w:t>
      </w:r>
      <w:r w:rsidRPr="000D3BCD">
        <w:rPr>
          <w:rFonts w:ascii="Times New Roman" w:hAnsi="Times New Roman" w:cs="Times New Roman"/>
          <w:i/>
        </w:rPr>
        <w:t>in fine</w:t>
      </w:r>
      <w:r w:rsidRPr="000D3BCD">
        <w:rPr>
          <w:rFonts w:ascii="Times New Roman" w:hAnsi="Times New Roman" w:cs="Times New Roman"/>
        </w:rPr>
        <w:t xml:space="preserve">, au motif de sa contrariété avec l’article 14 de la Convention européenne des droits de l’Homme, l’application d’une norme à valeur législative que la Cour constitutionnelle – sur question </w:t>
      </w:r>
      <w:r w:rsidRPr="000D3BCD">
        <w:rPr>
          <w:rFonts w:ascii="Times New Roman" w:hAnsi="Times New Roman" w:cs="Times New Roman"/>
        </w:rPr>
        <w:lastRenderedPageBreak/>
        <w:t>préjudicielle de cette même Cour de cassation – avait préalablement déclarée conforme aux articles 10 et 11 de la Constitution</w:t>
      </w:r>
      <w:r w:rsidRPr="000D3BCD">
        <w:rPr>
          <w:rStyle w:val="Appelnotedebasdep"/>
          <w:rFonts w:ascii="Times New Roman" w:hAnsi="Times New Roman" w:cs="Times New Roman"/>
        </w:rPr>
        <w:footnoteReference w:id="34"/>
      </w:r>
      <w:r w:rsidRPr="000D3BCD">
        <w:rPr>
          <w:rFonts w:ascii="Times New Roman" w:hAnsi="Times New Roman" w:cs="Times New Roman"/>
        </w:rPr>
        <w:t xml:space="preserve">. </w:t>
      </w:r>
      <w:r w:rsidR="000E0ACF" w:rsidRPr="000D3BCD">
        <w:rPr>
          <w:rFonts w:ascii="Times New Roman" w:hAnsi="Times New Roman" w:cs="Times New Roman"/>
        </w:rPr>
        <w:t>La Cour de cassation réitéra le « coup » dans un arrêt ultérieur, daté du</w:t>
      </w:r>
      <w:r w:rsidR="000E0ACF" w:rsidRPr="000D3BCD">
        <w:rPr>
          <w:rFonts w:ascii="Times New Roman" w:hAnsi="Times New Roman" w:cs="Times New Roman"/>
          <w:lang w:val="fr-FR"/>
        </w:rPr>
        <w:t xml:space="preserve"> 29 septembre 2017</w:t>
      </w:r>
      <w:r w:rsidR="000E0ACF" w:rsidRPr="000D3BCD">
        <w:rPr>
          <w:rStyle w:val="Appelnotedebasdep"/>
          <w:rFonts w:ascii="Times New Roman" w:hAnsi="Times New Roman" w:cs="Times New Roman"/>
          <w:lang w:val="fr-FR"/>
        </w:rPr>
        <w:footnoteReference w:id="35"/>
      </w:r>
      <w:r w:rsidR="00F7242D">
        <w:rPr>
          <w:rFonts w:ascii="Times New Roman" w:hAnsi="Times New Roman" w:cs="Times New Roman"/>
          <w:lang w:val="fr-FR"/>
        </w:rPr>
        <w:t> :</w:t>
      </w:r>
    </w:p>
    <w:p w14:paraId="5E5460A7" w14:textId="660CC886" w:rsidR="00F7242D" w:rsidRDefault="00F7242D" w:rsidP="000D3BCD">
      <w:pPr>
        <w:jc w:val="both"/>
        <w:rPr>
          <w:rFonts w:ascii="Times New Roman" w:hAnsi="Times New Roman" w:cs="Times New Roman"/>
          <w:lang w:val="fr-FR"/>
        </w:rPr>
      </w:pPr>
    </w:p>
    <w:p w14:paraId="45296DFE" w14:textId="50366743" w:rsidR="00FA4384" w:rsidRPr="008B4574" w:rsidRDefault="00F7242D" w:rsidP="008B4574">
      <w:pPr>
        <w:ind w:left="567"/>
        <w:jc w:val="both"/>
        <w:rPr>
          <w:rFonts w:ascii="Times New Roman" w:eastAsia="Times New Roman" w:hAnsi="Times New Roman" w:cs="Times New Roman"/>
          <w:sz w:val="20"/>
          <w:szCs w:val="20"/>
          <w:lang w:eastAsia="fr-FR"/>
        </w:rPr>
      </w:pPr>
      <w:r w:rsidRPr="008B4574">
        <w:rPr>
          <w:rFonts w:ascii="Times New Roman" w:hAnsi="Times New Roman" w:cs="Times New Roman"/>
          <w:sz w:val="20"/>
          <w:szCs w:val="20"/>
          <w:lang w:val="fr-FR"/>
        </w:rPr>
        <w:t>« </w:t>
      </w:r>
      <w:proofErr w:type="gramStart"/>
      <w:r w:rsidRPr="008B4574">
        <w:rPr>
          <w:rFonts w:ascii="Times New Roman" w:eastAsia="Times New Roman" w:hAnsi="Times New Roman" w:cs="Times New Roman"/>
          <w:color w:val="000000"/>
          <w:sz w:val="20"/>
          <w:szCs w:val="20"/>
          <w:shd w:val="clear" w:color="auto" w:fill="FFFFFF"/>
          <w:lang w:eastAsia="fr-FR"/>
        </w:rPr>
        <w:t>lorsque</w:t>
      </w:r>
      <w:proofErr w:type="gramEnd"/>
      <w:r w:rsidRPr="008B4574">
        <w:rPr>
          <w:rFonts w:ascii="Times New Roman" w:eastAsia="Times New Roman" w:hAnsi="Times New Roman" w:cs="Times New Roman"/>
          <w:color w:val="000000"/>
          <w:sz w:val="20"/>
          <w:szCs w:val="20"/>
          <w:shd w:val="clear" w:color="auto" w:fill="FFFFFF"/>
          <w:lang w:eastAsia="fr-FR"/>
        </w:rPr>
        <w:t xml:space="preserve"> la Cour constitutionnelle étend </w:t>
      </w:r>
      <w:r w:rsidR="008B4574" w:rsidRPr="008B4574">
        <w:rPr>
          <w:rFonts w:ascii="Times New Roman" w:eastAsia="Times New Roman" w:hAnsi="Times New Roman" w:cs="Times New Roman"/>
          <w:color w:val="000000"/>
          <w:sz w:val="20"/>
          <w:szCs w:val="20"/>
          <w:shd w:val="clear" w:color="auto" w:fill="FFFFFF"/>
          <w:lang w:eastAsia="fr-FR"/>
        </w:rPr>
        <w:t>(aux)</w:t>
      </w:r>
      <w:r w:rsidRPr="008B4574">
        <w:rPr>
          <w:rFonts w:ascii="Times New Roman" w:eastAsia="Times New Roman" w:hAnsi="Times New Roman" w:cs="Times New Roman"/>
          <w:color w:val="000000"/>
          <w:sz w:val="20"/>
          <w:szCs w:val="20"/>
          <w:shd w:val="clear" w:color="auto" w:fill="FFFFFF"/>
          <w:lang w:eastAsia="fr-FR"/>
        </w:rPr>
        <w:t xml:space="preserve"> normes de droit européen ou de droit international l'examen de la conformité d'une norme de droit interne à une disposition du titre II de la Constitution, sa décision n'a, dans la mesure où elle porte sur lesdites normes du droit international conventionnel directement applicables, pas l'autorité que lui attribue l'article 9, § 2, de la loi spéciale du 6 janvier 1989</w:t>
      </w:r>
      <w:r w:rsidR="008B4574" w:rsidRPr="008B4574">
        <w:rPr>
          <w:rFonts w:ascii="Times New Roman" w:eastAsia="Times New Roman" w:hAnsi="Times New Roman" w:cs="Times New Roman"/>
          <w:color w:val="000000"/>
          <w:sz w:val="20"/>
          <w:szCs w:val="20"/>
          <w:shd w:val="clear" w:color="auto" w:fill="FFFFFF"/>
          <w:lang w:eastAsia="fr-FR"/>
        </w:rPr>
        <w:t> »</w:t>
      </w:r>
    </w:p>
    <w:p w14:paraId="7341A310" w14:textId="479A2DB1" w:rsidR="00391CAB" w:rsidRPr="00F7242D" w:rsidRDefault="00CD06CC" w:rsidP="000D3BCD">
      <w:pPr>
        <w:pStyle w:val="NormalWeb"/>
        <w:numPr>
          <w:ilvl w:val="0"/>
          <w:numId w:val="1"/>
        </w:numPr>
        <w:jc w:val="both"/>
        <w:rPr>
          <w:b/>
          <w:bCs/>
          <w:lang w:val="fr-FR"/>
        </w:rPr>
      </w:pPr>
      <w:r w:rsidRPr="00F7242D">
        <w:rPr>
          <w:b/>
          <w:bCs/>
          <w:lang w:val="fr-FR"/>
        </w:rPr>
        <w:t>Le bénéfice d’inventaire</w:t>
      </w:r>
    </w:p>
    <w:p w14:paraId="00D7C5BB" w14:textId="1E8A0DA2" w:rsidR="00CD06CC" w:rsidRPr="000D3BCD" w:rsidRDefault="00CD06CC" w:rsidP="000D3BCD">
      <w:pPr>
        <w:pStyle w:val="NormalWeb"/>
        <w:jc w:val="both"/>
        <w:rPr>
          <w:iCs/>
          <w:lang w:val="fr-FR"/>
        </w:rPr>
      </w:pPr>
      <w:r w:rsidRPr="000D3BCD">
        <w:rPr>
          <w:lang w:val="fr-FR"/>
        </w:rPr>
        <w:t>L’</w:t>
      </w:r>
      <w:r w:rsidRPr="000D3BCD">
        <w:rPr>
          <w:i/>
          <w:iCs/>
          <w:lang w:val="fr-FR"/>
        </w:rPr>
        <w:t>affaire</w:t>
      </w:r>
      <w:r w:rsidRPr="000D3BCD">
        <w:rPr>
          <w:lang w:val="fr-FR"/>
        </w:rPr>
        <w:t xml:space="preserve"> </w:t>
      </w:r>
      <w:r w:rsidRPr="000D3BCD">
        <w:rPr>
          <w:i/>
          <w:iCs/>
          <w:lang w:val="fr-FR"/>
        </w:rPr>
        <w:t>Le</w:t>
      </w:r>
      <w:r w:rsidR="008B4574">
        <w:rPr>
          <w:i/>
          <w:iCs/>
          <w:lang w:val="fr-FR"/>
        </w:rPr>
        <w:t xml:space="preserve"> S</w:t>
      </w:r>
      <w:r w:rsidRPr="000D3BCD">
        <w:rPr>
          <w:i/>
          <w:iCs/>
          <w:lang w:val="fr-FR"/>
        </w:rPr>
        <w:t xml:space="preserve">ki </w:t>
      </w:r>
      <w:r w:rsidRPr="000D3BCD">
        <w:rPr>
          <w:iCs/>
          <w:lang w:val="fr-FR"/>
        </w:rPr>
        <w:t>concernait</w:t>
      </w:r>
      <w:r w:rsidR="00CE5CC1" w:rsidRPr="000D3BCD">
        <w:rPr>
          <w:iCs/>
          <w:lang w:val="fr-FR"/>
        </w:rPr>
        <w:t xml:space="preserve">, </w:t>
      </w:r>
      <w:r w:rsidRPr="000D3BCD">
        <w:rPr>
          <w:iCs/>
          <w:lang w:val="fr-FR"/>
        </w:rPr>
        <w:t>très concrètement, le conflit entre une loi et le droit communautaire</w:t>
      </w:r>
      <w:r w:rsidR="00CE5CC1" w:rsidRPr="000D3BCD">
        <w:rPr>
          <w:iCs/>
          <w:lang w:val="fr-FR"/>
        </w:rPr>
        <w:t xml:space="preserve"> primaire</w:t>
      </w:r>
      <w:r w:rsidRPr="000D3BCD">
        <w:rPr>
          <w:iCs/>
          <w:lang w:val="fr-FR"/>
        </w:rPr>
        <w:t>. L’</w:t>
      </w:r>
      <w:r w:rsidRPr="000D3BCD">
        <w:rPr>
          <w:i/>
          <w:lang w:val="fr-FR"/>
        </w:rPr>
        <w:t xml:space="preserve">arrêt </w:t>
      </w:r>
      <w:r w:rsidRPr="000D3BCD">
        <w:rPr>
          <w:i/>
          <w:iCs/>
          <w:lang w:val="fr-FR"/>
        </w:rPr>
        <w:t>Le</w:t>
      </w:r>
      <w:r w:rsidR="008B4574">
        <w:rPr>
          <w:i/>
          <w:iCs/>
          <w:lang w:val="fr-FR"/>
        </w:rPr>
        <w:t xml:space="preserve"> S</w:t>
      </w:r>
      <w:r w:rsidRPr="000D3BCD">
        <w:rPr>
          <w:i/>
          <w:iCs/>
          <w:lang w:val="fr-FR"/>
        </w:rPr>
        <w:t xml:space="preserve">ki </w:t>
      </w:r>
      <w:r w:rsidRPr="000D3BCD">
        <w:rPr>
          <w:iCs/>
          <w:lang w:val="fr-FR"/>
        </w:rPr>
        <w:t xml:space="preserve">éleva et généralisa le </w:t>
      </w:r>
      <w:r w:rsidR="00375496" w:rsidRPr="000D3BCD">
        <w:rPr>
          <w:iCs/>
          <w:lang w:val="fr-FR"/>
        </w:rPr>
        <w:t xml:space="preserve">propos en évoquant le conflit entre une norme internationale dotée d’effet direct et une « norme interne ». </w:t>
      </w:r>
    </w:p>
    <w:p w14:paraId="7C5FADC7" w14:textId="63A4FB0A" w:rsidR="00204F7D" w:rsidRPr="000D3BCD" w:rsidRDefault="00375496" w:rsidP="000D3BCD">
      <w:pPr>
        <w:jc w:val="both"/>
        <w:rPr>
          <w:rFonts w:ascii="Times New Roman" w:hAnsi="Times New Roman" w:cs="Times New Roman"/>
        </w:rPr>
      </w:pPr>
      <w:r w:rsidRPr="000D3BCD">
        <w:rPr>
          <w:rFonts w:ascii="Times New Roman" w:hAnsi="Times New Roman" w:cs="Times New Roman"/>
          <w:iCs/>
          <w:lang w:val="fr-FR"/>
        </w:rPr>
        <w:t>De très nombreuses pages ont été écrite</w:t>
      </w:r>
      <w:r w:rsidR="008B4574">
        <w:rPr>
          <w:rFonts w:ascii="Times New Roman" w:hAnsi="Times New Roman" w:cs="Times New Roman"/>
          <w:iCs/>
          <w:lang w:val="fr-FR"/>
        </w:rPr>
        <w:t>s</w:t>
      </w:r>
      <w:r w:rsidRPr="000D3BCD">
        <w:rPr>
          <w:rFonts w:ascii="Times New Roman" w:hAnsi="Times New Roman" w:cs="Times New Roman"/>
          <w:iCs/>
          <w:lang w:val="fr-FR"/>
        </w:rPr>
        <w:t xml:space="preserve"> sur la question de savoir si, sous ce concept générique, la Cour de cassation </w:t>
      </w:r>
      <w:r w:rsidR="00BE5842">
        <w:rPr>
          <w:rFonts w:ascii="Times New Roman" w:hAnsi="Times New Roman" w:cs="Times New Roman"/>
          <w:iCs/>
          <w:lang w:val="fr-FR"/>
        </w:rPr>
        <w:t>incluait</w:t>
      </w:r>
      <w:r w:rsidRPr="000D3BCD">
        <w:rPr>
          <w:rFonts w:ascii="Times New Roman" w:hAnsi="Times New Roman" w:cs="Times New Roman"/>
          <w:iCs/>
          <w:lang w:val="fr-FR"/>
        </w:rPr>
        <w:t xml:space="preserve"> déjà, en 1971, la « norme constitutionnelle »</w:t>
      </w:r>
      <w:r w:rsidR="00CE5CC1" w:rsidRPr="000D3BCD">
        <w:rPr>
          <w:rStyle w:val="Appelnotedebasdep"/>
          <w:rFonts w:ascii="Times New Roman" w:hAnsi="Times New Roman" w:cs="Times New Roman"/>
          <w:iCs/>
          <w:lang w:val="fr-FR"/>
        </w:rPr>
        <w:footnoteReference w:id="36"/>
      </w:r>
      <w:r w:rsidRPr="000D3BCD">
        <w:rPr>
          <w:rFonts w:ascii="Times New Roman" w:hAnsi="Times New Roman" w:cs="Times New Roman"/>
          <w:iCs/>
          <w:lang w:val="fr-FR"/>
        </w:rPr>
        <w:t xml:space="preserve">. </w:t>
      </w:r>
      <w:r w:rsidR="009B025A" w:rsidRPr="000D3BCD">
        <w:rPr>
          <w:rFonts w:ascii="Times New Roman" w:hAnsi="Times New Roman" w:cs="Times New Roman"/>
          <w:iCs/>
          <w:lang w:val="fr-FR"/>
        </w:rPr>
        <w:t>En 2004</w:t>
      </w:r>
      <w:r w:rsidR="00EF01E6" w:rsidRPr="000D3BCD">
        <w:rPr>
          <w:rStyle w:val="Appelnotedebasdep"/>
          <w:rFonts w:ascii="Times New Roman" w:hAnsi="Times New Roman" w:cs="Times New Roman"/>
          <w:iCs/>
          <w:lang w:val="fr-FR"/>
        </w:rPr>
        <w:footnoteReference w:id="37"/>
      </w:r>
      <w:r w:rsidR="009B025A" w:rsidRPr="000D3BCD">
        <w:rPr>
          <w:rFonts w:ascii="Times New Roman" w:hAnsi="Times New Roman" w:cs="Times New Roman"/>
          <w:iCs/>
          <w:lang w:val="fr-FR"/>
        </w:rPr>
        <w:t>, celle-ci</w:t>
      </w:r>
      <w:r w:rsidR="00CE5CC1" w:rsidRPr="000D3BCD">
        <w:rPr>
          <w:rStyle w:val="Appelnotedebasdep"/>
          <w:rFonts w:ascii="Times New Roman" w:hAnsi="Times New Roman" w:cs="Times New Roman"/>
          <w:iCs/>
          <w:lang w:val="fr-FR"/>
        </w:rPr>
        <w:footnoteReference w:id="38"/>
      </w:r>
      <w:r w:rsidR="00204F7D" w:rsidRPr="000D3BCD">
        <w:rPr>
          <w:rFonts w:ascii="Times New Roman" w:hAnsi="Times New Roman" w:cs="Times New Roman"/>
          <w:iCs/>
          <w:lang w:val="fr-FR"/>
        </w:rPr>
        <w:t>, poursuivant dans la logique moniste de l’illustre précédent</w:t>
      </w:r>
      <w:r w:rsidR="00BE5842">
        <w:rPr>
          <w:rFonts w:ascii="Times New Roman" w:hAnsi="Times New Roman" w:cs="Times New Roman"/>
          <w:iCs/>
          <w:lang w:val="fr-FR"/>
        </w:rPr>
        <w:t>,</w:t>
      </w:r>
      <w:r w:rsidR="009B025A" w:rsidRPr="000D3BCD">
        <w:rPr>
          <w:rFonts w:ascii="Times New Roman" w:hAnsi="Times New Roman" w:cs="Times New Roman"/>
          <w:iCs/>
          <w:lang w:val="fr-FR"/>
        </w:rPr>
        <w:t xml:space="preserve"> renvoya </w:t>
      </w:r>
      <w:r w:rsidR="00204F7D" w:rsidRPr="000D3BCD">
        <w:rPr>
          <w:rFonts w:ascii="Times New Roman" w:hAnsi="Times New Roman" w:cs="Times New Roman"/>
          <w:iCs/>
          <w:lang w:val="fr-FR"/>
        </w:rPr>
        <w:t>définitivement ces spéculations à l’Histoire d</w:t>
      </w:r>
      <w:r w:rsidR="00CE5CC1" w:rsidRPr="000D3BCD">
        <w:rPr>
          <w:rFonts w:ascii="Times New Roman" w:hAnsi="Times New Roman" w:cs="Times New Roman"/>
          <w:iCs/>
          <w:lang w:val="fr-FR"/>
        </w:rPr>
        <w:t>es idées juridiques</w:t>
      </w:r>
      <w:r w:rsidR="00204F7D" w:rsidRPr="000D3BCD">
        <w:rPr>
          <w:rFonts w:ascii="Times New Roman" w:hAnsi="Times New Roman" w:cs="Times New Roman"/>
          <w:iCs/>
          <w:lang w:val="fr-FR"/>
        </w:rPr>
        <w:t>. Dans son arrêt du 9 novembre 2004, elle affirma, dans une économie de mots remarquable</w:t>
      </w:r>
      <w:r w:rsidR="00204F7D" w:rsidRPr="000D3BCD">
        <w:rPr>
          <w:rFonts w:ascii="Times New Roman" w:hAnsi="Times New Roman" w:cs="Times New Roman"/>
        </w:rPr>
        <w:t xml:space="preserve"> – comme s’il s’agissait d’une proposition parfaitement banale –, que « la Convention européenne des droits de l’Homme prime la Constitution »</w:t>
      </w:r>
      <w:r w:rsidR="00204F7D" w:rsidRPr="000D3BCD">
        <w:rPr>
          <w:rStyle w:val="Appelnotedebasdep"/>
          <w:rFonts w:ascii="Times New Roman" w:hAnsi="Times New Roman" w:cs="Times New Roman"/>
        </w:rPr>
        <w:footnoteReference w:id="39"/>
      </w:r>
      <w:r w:rsidR="00204F7D" w:rsidRPr="000D3BCD">
        <w:rPr>
          <w:rFonts w:ascii="Times New Roman" w:hAnsi="Times New Roman" w:cs="Times New Roman"/>
        </w:rPr>
        <w:t>. Une petite semaine après, l’affirmation était étendue au Pacte international relatif aux droits civils et politiques, et, plus généralement, à toute convention quelconque dotée d’effet direct</w:t>
      </w:r>
      <w:r w:rsidR="00204F7D" w:rsidRPr="000D3BCD">
        <w:rPr>
          <w:rStyle w:val="Appelnotedebasdep"/>
          <w:rFonts w:ascii="Times New Roman" w:hAnsi="Times New Roman" w:cs="Times New Roman"/>
        </w:rPr>
        <w:footnoteReference w:id="40"/>
      </w:r>
      <w:r w:rsidR="00204F7D" w:rsidRPr="000D3BCD">
        <w:rPr>
          <w:rFonts w:ascii="Times New Roman" w:hAnsi="Times New Roman" w:cs="Times New Roman"/>
        </w:rPr>
        <w:t>.</w:t>
      </w:r>
    </w:p>
    <w:p w14:paraId="7A77D025" w14:textId="617909F5" w:rsidR="00204F7D" w:rsidRPr="000D3BCD" w:rsidRDefault="00204F7D" w:rsidP="000D3BCD">
      <w:pPr>
        <w:jc w:val="both"/>
        <w:rPr>
          <w:rFonts w:ascii="Times New Roman" w:hAnsi="Times New Roman" w:cs="Times New Roman"/>
        </w:rPr>
      </w:pPr>
    </w:p>
    <w:p w14:paraId="7B7FF935" w14:textId="2D0D3184" w:rsidR="00204F7D" w:rsidRPr="000D3BCD" w:rsidRDefault="00204F7D" w:rsidP="000D3BCD">
      <w:pPr>
        <w:jc w:val="both"/>
        <w:rPr>
          <w:rFonts w:ascii="Times New Roman" w:hAnsi="Times New Roman" w:cs="Times New Roman"/>
        </w:rPr>
      </w:pPr>
      <w:r w:rsidRPr="000D3BCD">
        <w:rPr>
          <w:rFonts w:ascii="Times New Roman" w:hAnsi="Times New Roman" w:cs="Times New Roman"/>
        </w:rPr>
        <w:t xml:space="preserve">Sur ce terrain, les juges de la Place </w:t>
      </w:r>
      <w:proofErr w:type="spellStart"/>
      <w:r w:rsidRPr="000D3BCD">
        <w:rPr>
          <w:rFonts w:ascii="Times New Roman" w:hAnsi="Times New Roman" w:cs="Times New Roman"/>
        </w:rPr>
        <w:t>Poelaert</w:t>
      </w:r>
      <w:proofErr w:type="spellEnd"/>
      <w:r w:rsidRPr="000D3BCD">
        <w:rPr>
          <w:rFonts w:ascii="Times New Roman" w:hAnsi="Times New Roman" w:cs="Times New Roman"/>
        </w:rPr>
        <w:t xml:space="preserve"> ne furent pas suivis par ceux de la Place Royale</w:t>
      </w:r>
      <w:r w:rsidRPr="000D3BCD">
        <w:rPr>
          <w:rStyle w:val="Appelnotedebasdep"/>
          <w:rFonts w:ascii="Times New Roman" w:hAnsi="Times New Roman" w:cs="Times New Roman"/>
        </w:rPr>
        <w:footnoteReference w:id="41"/>
      </w:r>
      <w:r w:rsidRPr="000D3BCD">
        <w:rPr>
          <w:rFonts w:ascii="Times New Roman" w:hAnsi="Times New Roman" w:cs="Times New Roman"/>
        </w:rPr>
        <w:t>. Ici se situe le bénéfice d’inventaire. Dès 1991</w:t>
      </w:r>
      <w:r w:rsidR="00CE5CC1" w:rsidRPr="000D3BCD">
        <w:rPr>
          <w:rStyle w:val="Appelnotedebasdep"/>
          <w:rFonts w:ascii="Times New Roman" w:hAnsi="Times New Roman" w:cs="Times New Roman"/>
        </w:rPr>
        <w:footnoteReference w:id="42"/>
      </w:r>
      <w:r w:rsidRPr="000D3BCD">
        <w:rPr>
          <w:rFonts w:ascii="Times New Roman" w:hAnsi="Times New Roman" w:cs="Times New Roman"/>
        </w:rPr>
        <w:t xml:space="preserve">, la Cour constitutionnelle affirmait que, </w:t>
      </w:r>
      <w:r w:rsidR="005F0940" w:rsidRPr="000D3BCD">
        <w:rPr>
          <w:rFonts w:ascii="Times New Roman" w:hAnsi="Times New Roman" w:cs="Times New Roman"/>
        </w:rPr>
        <w:t xml:space="preserve">par le truchement d’une question préjudicielle portant sur sa loi d’assentiment, elle était compétente </w:t>
      </w:r>
      <w:r w:rsidR="005F0940" w:rsidRPr="000D3BCD">
        <w:rPr>
          <w:rFonts w:ascii="Times New Roman" w:hAnsi="Times New Roman" w:cs="Times New Roman"/>
        </w:rPr>
        <w:lastRenderedPageBreak/>
        <w:t>pour contrôler la compatibilité du contenu d’un traité avec l’une de ses normes de référence constitutionnelle</w:t>
      </w:r>
      <w:r w:rsidR="002F43FF">
        <w:rPr>
          <w:rFonts w:ascii="Times New Roman" w:hAnsi="Times New Roman" w:cs="Times New Roman"/>
        </w:rPr>
        <w:t>s</w:t>
      </w:r>
      <w:r w:rsidR="005F0940" w:rsidRPr="000D3BCD">
        <w:rPr>
          <w:rFonts w:ascii="Times New Roman" w:hAnsi="Times New Roman" w:cs="Times New Roman"/>
        </w:rPr>
        <w:t>. En 1994</w:t>
      </w:r>
      <w:r w:rsidR="00CE5CC1" w:rsidRPr="000D3BCD">
        <w:rPr>
          <w:rStyle w:val="Appelnotedebasdep"/>
          <w:rFonts w:ascii="Times New Roman" w:hAnsi="Times New Roman" w:cs="Times New Roman"/>
        </w:rPr>
        <w:footnoteReference w:id="43"/>
      </w:r>
      <w:r w:rsidR="005F0940" w:rsidRPr="000D3BCD">
        <w:rPr>
          <w:rFonts w:ascii="Times New Roman" w:hAnsi="Times New Roman" w:cs="Times New Roman"/>
        </w:rPr>
        <w:t>, elle justifiait sa démarche de la manière suivante</w:t>
      </w:r>
      <w:r w:rsidR="002F43FF">
        <w:rPr>
          <w:rFonts w:ascii="Times New Roman" w:hAnsi="Times New Roman" w:cs="Times New Roman"/>
        </w:rPr>
        <w:t> </w:t>
      </w:r>
      <w:r w:rsidR="005F0940" w:rsidRPr="000D3BCD">
        <w:rPr>
          <w:rFonts w:ascii="Times New Roman" w:hAnsi="Times New Roman" w:cs="Times New Roman"/>
        </w:rPr>
        <w:t>:</w:t>
      </w:r>
    </w:p>
    <w:p w14:paraId="0831C234" w14:textId="50A53480" w:rsidR="002D08D7" w:rsidRPr="000D3BCD" w:rsidRDefault="002D08D7" w:rsidP="000D3BCD">
      <w:pPr>
        <w:jc w:val="both"/>
        <w:rPr>
          <w:rFonts w:ascii="Times New Roman" w:hAnsi="Times New Roman" w:cs="Times New Roman"/>
        </w:rPr>
      </w:pPr>
    </w:p>
    <w:p w14:paraId="184BBA37" w14:textId="4E479FC3" w:rsidR="002D08D7" w:rsidRPr="002F43FF" w:rsidRDefault="002D08D7" w:rsidP="002F43FF">
      <w:pPr>
        <w:ind w:left="567"/>
        <w:jc w:val="both"/>
        <w:rPr>
          <w:rFonts w:ascii="Times New Roman" w:hAnsi="Times New Roman" w:cs="Times New Roman"/>
          <w:sz w:val="20"/>
          <w:szCs w:val="20"/>
        </w:rPr>
      </w:pPr>
      <w:r w:rsidRPr="002F43FF">
        <w:rPr>
          <w:rFonts w:ascii="Times New Roman" w:hAnsi="Times New Roman" w:cs="Times New Roman"/>
          <w:sz w:val="20"/>
          <w:szCs w:val="20"/>
        </w:rPr>
        <w:t>« Au demeurant, le Constituant, qui interdit que le législateur adopte des normes législatives</w:t>
      </w:r>
      <w:r w:rsidR="002F43FF">
        <w:rPr>
          <w:rFonts w:ascii="Times New Roman" w:hAnsi="Times New Roman" w:cs="Times New Roman"/>
          <w:sz w:val="20"/>
          <w:szCs w:val="20"/>
        </w:rPr>
        <w:t xml:space="preserve"> </w:t>
      </w:r>
      <w:r w:rsidRPr="002F43FF">
        <w:rPr>
          <w:rFonts w:ascii="Times New Roman" w:hAnsi="Times New Roman" w:cs="Times New Roman"/>
          <w:sz w:val="20"/>
          <w:szCs w:val="20"/>
        </w:rPr>
        <w:t>internes contraires aux normes visées par l'article 107</w:t>
      </w:r>
      <w:r w:rsidRPr="00D0239F">
        <w:rPr>
          <w:rFonts w:ascii="Times New Roman" w:hAnsi="Times New Roman" w:cs="Times New Roman"/>
          <w:i/>
          <w:iCs/>
          <w:sz w:val="20"/>
          <w:szCs w:val="20"/>
        </w:rPr>
        <w:t>ter</w:t>
      </w:r>
      <w:r w:rsidRPr="002F43FF">
        <w:rPr>
          <w:rFonts w:ascii="Times New Roman" w:hAnsi="Times New Roman" w:cs="Times New Roman"/>
          <w:sz w:val="20"/>
          <w:szCs w:val="20"/>
        </w:rPr>
        <w:t xml:space="preserve"> de la Constitution, ne peut être censé</w:t>
      </w:r>
      <w:r w:rsidR="002F43FF">
        <w:rPr>
          <w:rFonts w:ascii="Times New Roman" w:hAnsi="Times New Roman" w:cs="Times New Roman"/>
          <w:sz w:val="20"/>
          <w:szCs w:val="20"/>
        </w:rPr>
        <w:t xml:space="preserve"> a</w:t>
      </w:r>
      <w:r w:rsidRPr="002F43FF">
        <w:rPr>
          <w:rFonts w:ascii="Times New Roman" w:hAnsi="Times New Roman" w:cs="Times New Roman"/>
          <w:sz w:val="20"/>
          <w:szCs w:val="20"/>
        </w:rPr>
        <w:t>utoriser ce législateur à le faire indirectement par le biais de l'assentiment donné à un traité</w:t>
      </w:r>
      <w:r w:rsidR="002F43FF">
        <w:rPr>
          <w:rFonts w:ascii="Times New Roman" w:hAnsi="Times New Roman" w:cs="Times New Roman"/>
          <w:sz w:val="20"/>
          <w:szCs w:val="20"/>
        </w:rPr>
        <w:t xml:space="preserve"> </w:t>
      </w:r>
      <w:r w:rsidRPr="002F43FF">
        <w:rPr>
          <w:rFonts w:ascii="Times New Roman" w:hAnsi="Times New Roman" w:cs="Times New Roman"/>
          <w:sz w:val="20"/>
          <w:szCs w:val="20"/>
        </w:rPr>
        <w:t>international.</w:t>
      </w:r>
    </w:p>
    <w:p w14:paraId="2C339A76" w14:textId="77777777" w:rsidR="002D08D7" w:rsidRPr="002F43FF" w:rsidRDefault="002D08D7" w:rsidP="002F43FF">
      <w:pPr>
        <w:ind w:left="567"/>
        <w:jc w:val="both"/>
        <w:rPr>
          <w:rFonts w:ascii="Times New Roman" w:hAnsi="Times New Roman" w:cs="Times New Roman"/>
          <w:sz w:val="20"/>
          <w:szCs w:val="20"/>
        </w:rPr>
      </w:pPr>
    </w:p>
    <w:p w14:paraId="6CDC0463" w14:textId="79CEA7D6" w:rsidR="002D08D7" w:rsidRPr="002F43FF" w:rsidRDefault="002D08D7" w:rsidP="002F43FF">
      <w:pPr>
        <w:ind w:left="567"/>
        <w:jc w:val="both"/>
        <w:rPr>
          <w:rFonts w:ascii="Times New Roman" w:hAnsi="Times New Roman" w:cs="Times New Roman"/>
          <w:sz w:val="20"/>
          <w:szCs w:val="20"/>
        </w:rPr>
      </w:pPr>
      <w:r w:rsidRPr="002F43FF">
        <w:rPr>
          <w:rFonts w:ascii="Times New Roman" w:hAnsi="Times New Roman" w:cs="Times New Roman"/>
          <w:sz w:val="20"/>
          <w:szCs w:val="20"/>
        </w:rPr>
        <w:t xml:space="preserve">Par ailleurs, aucune norme du droit international - lequel est une création des </w:t>
      </w:r>
      <w:r w:rsidR="002F43FF" w:rsidRPr="002F43FF">
        <w:rPr>
          <w:rFonts w:ascii="Times New Roman" w:hAnsi="Times New Roman" w:cs="Times New Roman"/>
          <w:sz w:val="20"/>
          <w:szCs w:val="20"/>
        </w:rPr>
        <w:t>États</w:t>
      </w:r>
      <w:r w:rsidRPr="002F43FF">
        <w:rPr>
          <w:rFonts w:ascii="Times New Roman" w:hAnsi="Times New Roman" w:cs="Times New Roman"/>
          <w:sz w:val="20"/>
          <w:szCs w:val="20"/>
        </w:rPr>
        <w:t xml:space="preserve"> -, même pas</w:t>
      </w:r>
      <w:r w:rsidR="002F43FF">
        <w:rPr>
          <w:rFonts w:ascii="Times New Roman" w:hAnsi="Times New Roman" w:cs="Times New Roman"/>
          <w:sz w:val="20"/>
          <w:szCs w:val="20"/>
        </w:rPr>
        <w:t xml:space="preserve"> </w:t>
      </w:r>
      <w:r w:rsidRPr="002F43FF">
        <w:rPr>
          <w:rFonts w:ascii="Times New Roman" w:hAnsi="Times New Roman" w:cs="Times New Roman"/>
          <w:sz w:val="20"/>
          <w:szCs w:val="20"/>
        </w:rPr>
        <w:t xml:space="preserve">l'article 27 de la Convention de Vienne de 1969 sur le droit des traités, ne donne aux </w:t>
      </w:r>
      <w:r w:rsidR="002F43FF" w:rsidRPr="002F43FF">
        <w:rPr>
          <w:rFonts w:ascii="Times New Roman" w:hAnsi="Times New Roman" w:cs="Times New Roman"/>
          <w:sz w:val="20"/>
          <w:szCs w:val="20"/>
        </w:rPr>
        <w:t>États</w:t>
      </w:r>
      <w:r w:rsidRPr="002F43FF">
        <w:rPr>
          <w:rFonts w:ascii="Times New Roman" w:hAnsi="Times New Roman" w:cs="Times New Roman"/>
          <w:sz w:val="20"/>
          <w:szCs w:val="20"/>
        </w:rPr>
        <w:t xml:space="preserve"> le</w:t>
      </w:r>
      <w:r w:rsidR="002F43FF">
        <w:rPr>
          <w:rFonts w:ascii="Times New Roman" w:hAnsi="Times New Roman" w:cs="Times New Roman"/>
          <w:sz w:val="20"/>
          <w:szCs w:val="20"/>
        </w:rPr>
        <w:t xml:space="preserve"> </w:t>
      </w:r>
      <w:r w:rsidRPr="002F43FF">
        <w:rPr>
          <w:rFonts w:ascii="Times New Roman" w:hAnsi="Times New Roman" w:cs="Times New Roman"/>
          <w:sz w:val="20"/>
          <w:szCs w:val="20"/>
        </w:rPr>
        <w:t>pouvoir de faire des traités contraires à leur Constitution »</w:t>
      </w:r>
      <w:r w:rsidR="00AD6911" w:rsidRPr="002F43FF">
        <w:rPr>
          <w:rFonts w:ascii="Times New Roman" w:hAnsi="Times New Roman" w:cs="Times New Roman"/>
          <w:sz w:val="20"/>
          <w:szCs w:val="20"/>
        </w:rPr>
        <w:t>.</w:t>
      </w:r>
    </w:p>
    <w:p w14:paraId="59B6827F" w14:textId="49B92917" w:rsidR="005F0940" w:rsidRPr="000D3BCD" w:rsidRDefault="005F0940" w:rsidP="000D3BCD">
      <w:pPr>
        <w:jc w:val="both"/>
        <w:rPr>
          <w:rFonts w:ascii="Times New Roman" w:hAnsi="Times New Roman" w:cs="Times New Roman"/>
        </w:rPr>
      </w:pPr>
    </w:p>
    <w:p w14:paraId="5F6A20DC" w14:textId="61FFC7B2" w:rsidR="005F0940" w:rsidRPr="000D3BCD" w:rsidRDefault="00AD6911" w:rsidP="000D3BCD">
      <w:pPr>
        <w:jc w:val="both"/>
        <w:rPr>
          <w:rFonts w:ascii="Times New Roman" w:hAnsi="Times New Roman" w:cs="Times New Roman"/>
        </w:rPr>
      </w:pPr>
      <w:r w:rsidRPr="000D3BCD">
        <w:rPr>
          <w:rFonts w:ascii="Times New Roman" w:hAnsi="Times New Roman" w:cs="Times New Roman"/>
        </w:rPr>
        <w:t>L</w:t>
      </w:r>
      <w:r w:rsidR="00635C71" w:rsidRPr="000D3BCD">
        <w:rPr>
          <w:rFonts w:ascii="Times New Roman" w:hAnsi="Times New Roman" w:cs="Times New Roman"/>
        </w:rPr>
        <w:t>’axiomatique de base</w:t>
      </w:r>
      <w:r w:rsidR="005F0940" w:rsidRPr="000D3BCD">
        <w:rPr>
          <w:rFonts w:ascii="Times New Roman" w:hAnsi="Times New Roman" w:cs="Times New Roman"/>
        </w:rPr>
        <w:t xml:space="preserve"> du juge constitutionnel n’a, par la suite, plus varié. Par principe, un traité doit être compatible avec la Constitution, à défaut de quoi les lois, décrets ou </w:t>
      </w:r>
      <w:r w:rsidR="00B56AF8" w:rsidRPr="000D3BCD">
        <w:rPr>
          <w:rFonts w:ascii="Times New Roman" w:hAnsi="Times New Roman" w:cs="Times New Roman"/>
        </w:rPr>
        <w:t>ordonnances qui lui portent assentiment, ou en procurent l’exécution</w:t>
      </w:r>
      <w:r w:rsidR="002D08D7" w:rsidRPr="000D3BCD">
        <w:rPr>
          <w:rStyle w:val="Appelnotedebasdep"/>
          <w:rFonts w:ascii="Times New Roman" w:hAnsi="Times New Roman" w:cs="Times New Roman"/>
        </w:rPr>
        <w:footnoteReference w:id="44"/>
      </w:r>
      <w:r w:rsidR="00B56AF8" w:rsidRPr="000D3BCD">
        <w:rPr>
          <w:rFonts w:ascii="Times New Roman" w:hAnsi="Times New Roman" w:cs="Times New Roman"/>
        </w:rPr>
        <w:t>, peuvent être censurés.</w:t>
      </w:r>
    </w:p>
    <w:p w14:paraId="2C9CE1D7" w14:textId="1990B758" w:rsidR="00635C71" w:rsidRPr="000D3BCD" w:rsidRDefault="00635C71" w:rsidP="000D3BCD">
      <w:pPr>
        <w:jc w:val="both"/>
        <w:rPr>
          <w:rFonts w:ascii="Times New Roman" w:hAnsi="Times New Roman" w:cs="Times New Roman"/>
        </w:rPr>
      </w:pPr>
    </w:p>
    <w:p w14:paraId="28CEA329" w14:textId="68A04FEC" w:rsidR="00281969" w:rsidRPr="000D3BCD" w:rsidRDefault="00281969" w:rsidP="000D3BCD">
      <w:pPr>
        <w:jc w:val="both"/>
        <w:rPr>
          <w:rFonts w:ascii="Times New Roman" w:hAnsi="Times New Roman" w:cs="Times New Roman"/>
        </w:rPr>
      </w:pPr>
      <w:r w:rsidRPr="000D3BCD">
        <w:rPr>
          <w:rFonts w:ascii="Times New Roman" w:hAnsi="Times New Roman" w:cs="Times New Roman"/>
        </w:rPr>
        <w:t xml:space="preserve">Toutefois, trois nuances enrichissent – en le complexifiant </w:t>
      </w:r>
      <w:r w:rsidR="00D0239F" w:rsidRPr="000D3BCD">
        <w:rPr>
          <w:rFonts w:ascii="Times New Roman" w:hAnsi="Times New Roman" w:cs="Times New Roman"/>
        </w:rPr>
        <w:t>–</w:t>
      </w:r>
      <w:r w:rsidRPr="000D3BCD">
        <w:rPr>
          <w:rFonts w:ascii="Times New Roman" w:hAnsi="Times New Roman" w:cs="Times New Roman"/>
        </w:rPr>
        <w:t>, le tableau.</w:t>
      </w:r>
    </w:p>
    <w:p w14:paraId="3A40FABE" w14:textId="38749D8F" w:rsidR="00281969" w:rsidRPr="000D3BCD" w:rsidRDefault="00281969" w:rsidP="000D3BCD">
      <w:pPr>
        <w:pStyle w:val="NormalWeb"/>
        <w:jc w:val="both"/>
      </w:pPr>
      <w:r w:rsidRPr="000D3BCD">
        <w:t>La première nuance est le fruit de la Cour elle-même. Dès l’origine</w:t>
      </w:r>
      <w:r w:rsidRPr="000D3BCD">
        <w:rPr>
          <w:rStyle w:val="Appelnotedebasdep"/>
        </w:rPr>
        <w:footnoteReference w:id="45"/>
      </w:r>
      <w:r w:rsidRPr="000D3BCD">
        <w:t>, et sans discontinuer par la suite, celle-ci affirma que, lorsque son contrôle de constitutionnalité implique l’examen du contenu d’un traité, « la Cour doit tenir compte de ce qu’il ne s’agit pas d’un acte de souveraineté unilatéral, mais d’une norme conventionnelle par laquelle la Belgique a pris un engagement de droit international à l’égard d’un autre État »</w:t>
      </w:r>
      <w:r w:rsidRPr="000D3BCD">
        <w:rPr>
          <w:rStyle w:val="Appelnotedebasdep"/>
        </w:rPr>
        <w:footnoteReference w:id="46"/>
      </w:r>
      <w:r w:rsidR="00666AC4" w:rsidRPr="000D3BCD">
        <w:t>. La retenue ainsi affirmée sur le plan des principes, s’est jusqu’à présent traduite par l’absence, dans la pratique de la Cour, d</w:t>
      </w:r>
      <w:r w:rsidR="002F43FF">
        <w:t xml:space="preserve">’un quelconque </w:t>
      </w:r>
      <w:r w:rsidR="00666AC4" w:rsidRPr="000D3BCD">
        <w:t xml:space="preserve">constat </w:t>
      </w:r>
      <w:r w:rsidR="00666AC4" w:rsidRPr="000D3BCD">
        <w:rPr>
          <w:i/>
        </w:rPr>
        <w:t xml:space="preserve">in </w:t>
      </w:r>
      <w:proofErr w:type="spellStart"/>
      <w:r w:rsidR="00666AC4" w:rsidRPr="000D3BCD">
        <w:rPr>
          <w:i/>
        </w:rPr>
        <w:t>concreto</w:t>
      </w:r>
      <w:proofErr w:type="spellEnd"/>
      <w:r w:rsidR="00666AC4" w:rsidRPr="000D3BCD">
        <w:rPr>
          <w:i/>
        </w:rPr>
        <w:t xml:space="preserve"> </w:t>
      </w:r>
      <w:r w:rsidR="00666AC4" w:rsidRPr="000D3BCD">
        <w:t>d’inconstitutionnalité d’un traité. Cela aboie,</w:t>
      </w:r>
      <w:r w:rsidR="002F43FF">
        <w:t xml:space="preserve"> mais cela ne mord (provisoirement) pas. </w:t>
      </w:r>
    </w:p>
    <w:p w14:paraId="4A210CE6" w14:textId="4E9A5650" w:rsidR="00666AC4" w:rsidRPr="000D3BCD" w:rsidRDefault="006041F7" w:rsidP="000D3BCD">
      <w:pPr>
        <w:jc w:val="both"/>
        <w:rPr>
          <w:rFonts w:ascii="Times New Roman" w:eastAsia="Times New Roman" w:hAnsi="Times New Roman" w:cs="Times New Roman"/>
          <w:color w:val="000000"/>
          <w:lang w:eastAsia="fr-FR"/>
        </w:rPr>
      </w:pPr>
      <w:r>
        <w:rPr>
          <w:rFonts w:ascii="Times New Roman" w:hAnsi="Times New Roman" w:cs="Times New Roman"/>
        </w:rPr>
        <w:t>La d</w:t>
      </w:r>
      <w:r w:rsidR="00666AC4" w:rsidRPr="000D3BCD">
        <w:rPr>
          <w:rFonts w:ascii="Times New Roman" w:hAnsi="Times New Roman" w:cs="Times New Roman"/>
        </w:rPr>
        <w:t>euxième nuance</w:t>
      </w:r>
      <w:r>
        <w:rPr>
          <w:rFonts w:ascii="Times New Roman" w:hAnsi="Times New Roman" w:cs="Times New Roman"/>
        </w:rPr>
        <w:t xml:space="preserve"> est</w:t>
      </w:r>
      <w:r w:rsidR="00666AC4" w:rsidRPr="000D3BCD">
        <w:rPr>
          <w:rFonts w:ascii="Times New Roman" w:hAnsi="Times New Roman" w:cs="Times New Roman"/>
        </w:rPr>
        <w:t xml:space="preserve"> </w:t>
      </w:r>
      <w:r>
        <w:rPr>
          <w:rFonts w:ascii="Times New Roman" w:hAnsi="Times New Roman" w:cs="Times New Roman"/>
        </w:rPr>
        <w:t xml:space="preserve">pour sa part </w:t>
      </w:r>
      <w:r w:rsidR="00666AC4" w:rsidRPr="000D3BCD">
        <w:rPr>
          <w:rFonts w:ascii="Times New Roman" w:hAnsi="Times New Roman" w:cs="Times New Roman"/>
        </w:rPr>
        <w:t>issu</w:t>
      </w:r>
      <w:r>
        <w:rPr>
          <w:rFonts w:ascii="Times New Roman" w:hAnsi="Times New Roman" w:cs="Times New Roman"/>
        </w:rPr>
        <w:t>e</w:t>
      </w:r>
      <w:r w:rsidR="00666AC4" w:rsidRPr="000D3BCD">
        <w:rPr>
          <w:rFonts w:ascii="Times New Roman" w:hAnsi="Times New Roman" w:cs="Times New Roman"/>
        </w:rPr>
        <w:t xml:space="preserve"> d’une initiative du législateur spécial. Face au risque – somme toute très théorique – qu’un tel contrôle fait peser sur la sécurité juridique</w:t>
      </w:r>
      <w:r w:rsidR="00575A9A">
        <w:rPr>
          <w:rStyle w:val="Appelnotedebasdep"/>
          <w:rFonts w:ascii="Times New Roman" w:hAnsi="Times New Roman" w:cs="Times New Roman"/>
        </w:rPr>
        <w:footnoteReference w:id="47"/>
      </w:r>
      <w:r w:rsidR="00666AC4" w:rsidRPr="000D3BCD">
        <w:rPr>
          <w:rFonts w:ascii="Times New Roman" w:hAnsi="Times New Roman" w:cs="Times New Roman"/>
        </w:rPr>
        <w:t xml:space="preserve"> et la crédibilité internationale de la Belgique, celui-ci a, en 2003, soustrait à la compétence préjudicielle de la Cour « </w:t>
      </w:r>
      <w:r w:rsidR="00666AC4" w:rsidRPr="000D3BCD">
        <w:rPr>
          <w:rFonts w:ascii="Times New Roman" w:eastAsia="Times New Roman" w:hAnsi="Times New Roman" w:cs="Times New Roman"/>
          <w:color w:val="000000"/>
          <w:lang w:eastAsia="fr-FR"/>
        </w:rPr>
        <w:t xml:space="preserve">les lois, les décrets et les règles visées à l'article 134 de la Constitution par lesquels un traité constituant de l'Union européenne ou la Convention du 4 novembre 1950 de sauvegarde des droits de l'homme et des libertés fondamentales ou un Protocole additionnel à cette convention reçoit l'assentiment ». Assurément </w:t>
      </w:r>
      <w:r w:rsidR="004F7ACC" w:rsidRPr="000D3BCD">
        <w:rPr>
          <w:rFonts w:ascii="Times New Roman" w:eastAsia="Times New Roman" w:hAnsi="Times New Roman" w:cs="Times New Roman"/>
          <w:color w:val="000000"/>
          <w:lang w:eastAsia="fr-FR"/>
        </w:rPr>
        <w:t>maladroite</w:t>
      </w:r>
      <w:r>
        <w:rPr>
          <w:rStyle w:val="Appelnotedebasdep"/>
          <w:rFonts w:ascii="Times New Roman" w:eastAsia="Times New Roman" w:hAnsi="Times New Roman" w:cs="Times New Roman"/>
          <w:color w:val="000000"/>
          <w:lang w:eastAsia="fr-FR"/>
        </w:rPr>
        <w:footnoteReference w:id="48"/>
      </w:r>
      <w:r w:rsidR="004F7ACC" w:rsidRPr="000D3BCD">
        <w:rPr>
          <w:rFonts w:ascii="Times New Roman" w:eastAsia="Times New Roman" w:hAnsi="Times New Roman" w:cs="Times New Roman"/>
          <w:color w:val="000000"/>
          <w:lang w:eastAsia="fr-FR"/>
        </w:rPr>
        <w:t>, cette intervention du législateur spécial a en tous cas abouti à ratifier, s’agissant de tout autre traité que ceux visés à l’article 26, § 1</w:t>
      </w:r>
      <w:r w:rsidR="004F7ACC" w:rsidRPr="000D3BCD">
        <w:rPr>
          <w:rFonts w:ascii="Times New Roman" w:eastAsia="Times New Roman" w:hAnsi="Times New Roman" w:cs="Times New Roman"/>
          <w:color w:val="000000"/>
          <w:vertAlign w:val="superscript"/>
          <w:lang w:eastAsia="fr-FR"/>
        </w:rPr>
        <w:t>er</w:t>
      </w:r>
      <w:r w:rsidR="00853CBE">
        <w:rPr>
          <w:rFonts w:ascii="Times New Roman" w:eastAsia="Times New Roman" w:hAnsi="Times New Roman" w:cs="Times New Roman"/>
          <w:color w:val="000000"/>
          <w:vertAlign w:val="superscript"/>
          <w:lang w:eastAsia="fr-FR"/>
        </w:rPr>
        <w:t xml:space="preserve"> </w:t>
      </w:r>
      <w:r w:rsidR="00853CBE">
        <w:rPr>
          <w:rFonts w:ascii="Times New Roman" w:eastAsia="Times New Roman" w:hAnsi="Times New Roman" w:cs="Times New Roman"/>
          <w:i/>
          <w:color w:val="000000"/>
          <w:lang w:eastAsia="fr-FR"/>
        </w:rPr>
        <w:t>bis</w:t>
      </w:r>
      <w:r w:rsidR="004F7ACC" w:rsidRPr="000D3BCD">
        <w:rPr>
          <w:rFonts w:ascii="Times New Roman" w:eastAsia="Times New Roman" w:hAnsi="Times New Roman" w:cs="Times New Roman"/>
          <w:color w:val="000000"/>
          <w:lang w:eastAsia="fr-FR"/>
        </w:rPr>
        <w:t xml:space="preserve">, de la loi spéciale du 6 janvier 1989, l’axiomatique de base retenue par la Cour concernant le conflit entre traité et constitution. </w:t>
      </w:r>
    </w:p>
    <w:p w14:paraId="714D7D47" w14:textId="44CC0CB2" w:rsidR="004F7ACC" w:rsidRPr="000D3BCD" w:rsidRDefault="004F7ACC" w:rsidP="000D3BCD">
      <w:pPr>
        <w:jc w:val="both"/>
        <w:rPr>
          <w:rFonts w:ascii="Times New Roman" w:eastAsia="Times New Roman" w:hAnsi="Times New Roman" w:cs="Times New Roman"/>
          <w:color w:val="000000"/>
          <w:lang w:eastAsia="fr-FR"/>
        </w:rPr>
      </w:pPr>
    </w:p>
    <w:p w14:paraId="630FE4E6" w14:textId="0E9CF350" w:rsidR="004F7ACC" w:rsidRPr="000D3BCD" w:rsidRDefault="004F7ACC" w:rsidP="000D3BCD">
      <w:pPr>
        <w:jc w:val="both"/>
        <w:rPr>
          <w:rFonts w:ascii="Times New Roman" w:eastAsia="Times New Roman" w:hAnsi="Times New Roman" w:cs="Times New Roman"/>
          <w:color w:val="000000"/>
          <w:lang w:eastAsia="fr-FR"/>
        </w:rPr>
      </w:pPr>
      <w:r w:rsidRPr="000D3BCD">
        <w:rPr>
          <w:rFonts w:ascii="Times New Roman" w:eastAsia="Times New Roman" w:hAnsi="Times New Roman" w:cs="Times New Roman"/>
          <w:color w:val="000000"/>
          <w:lang w:eastAsia="fr-FR"/>
        </w:rPr>
        <w:lastRenderedPageBreak/>
        <w:t xml:space="preserve">La troisième et dernière nuance concerne le conflit entre le droit de l’Union européenne et la Constitution, et la portée que revêt, pour son dénouement, l’article 34 de cette dernière. </w:t>
      </w:r>
      <w:r w:rsidR="004F5E1B" w:rsidRPr="000D3BCD">
        <w:rPr>
          <w:rFonts w:ascii="Times New Roman" w:eastAsia="Times New Roman" w:hAnsi="Times New Roman" w:cs="Times New Roman"/>
          <w:color w:val="000000"/>
          <w:lang w:eastAsia="fr-FR"/>
        </w:rPr>
        <w:t>Dans son arrêt n°62/2016 du 28 avril 2016</w:t>
      </w:r>
      <w:r w:rsidR="00575A9A">
        <w:rPr>
          <w:rStyle w:val="Appelnotedebasdep"/>
          <w:rFonts w:ascii="Times New Roman" w:eastAsia="Times New Roman" w:hAnsi="Times New Roman" w:cs="Times New Roman"/>
          <w:color w:val="000000"/>
          <w:lang w:eastAsia="fr-FR"/>
        </w:rPr>
        <w:footnoteReference w:id="49"/>
      </w:r>
      <w:r w:rsidR="004F5E1B" w:rsidRPr="000D3BCD">
        <w:rPr>
          <w:rFonts w:ascii="Times New Roman" w:eastAsia="Times New Roman" w:hAnsi="Times New Roman" w:cs="Times New Roman"/>
          <w:color w:val="000000"/>
          <w:lang w:eastAsia="fr-FR"/>
        </w:rPr>
        <w:t>, la Cour constitutionnelle énonce en effet que</w:t>
      </w:r>
    </w:p>
    <w:p w14:paraId="662AAB23" w14:textId="3E742F01" w:rsidR="004F5E1B" w:rsidRPr="00067ABD" w:rsidRDefault="004F5E1B" w:rsidP="00067ABD">
      <w:pPr>
        <w:pStyle w:val="NormalWeb"/>
        <w:ind w:left="567"/>
        <w:jc w:val="both"/>
        <w:rPr>
          <w:sz w:val="20"/>
          <w:szCs w:val="20"/>
        </w:rPr>
      </w:pPr>
      <w:r w:rsidRPr="00067ABD">
        <w:rPr>
          <w:color w:val="000000"/>
          <w:sz w:val="20"/>
          <w:szCs w:val="20"/>
        </w:rPr>
        <w:t>« </w:t>
      </w:r>
      <w:r w:rsidRPr="00067ABD">
        <w:rPr>
          <w:sz w:val="20"/>
          <w:szCs w:val="20"/>
        </w:rPr>
        <w:t xml:space="preserve">En vertu de cette disposition, l’exercice de pouvoirs déterminés peut être attribué par un traité ou par une loi à des institutions de droit international public. Il est vrai que ces institutions peuvent ensuite décider de manière autonome comment elles exercent les pouvoirs qui leur sont attribués, mais l’article 34 de la Constitution ne peut être réputé conférer un blanc-seing généralisé, ni au législateur, lorsqu’il donne son assentiment au traité, ni aux institutions concernées, lorsqu’elles exercent les compétences qui leur ont été attribuées. L’article 34 de la Constitution n’autorise en aucun cas qu’il soit porté une atteinte discriminatoire à l’identité nationale inhérente aux structures fondamentales, politiques et constitutionnelles ou aux valeurs fondamentales de la protection que la Constitution </w:t>
      </w:r>
      <w:r w:rsidR="00187F35" w:rsidRPr="00067ABD">
        <w:rPr>
          <w:sz w:val="20"/>
          <w:szCs w:val="20"/>
        </w:rPr>
        <w:t>confère</w:t>
      </w:r>
      <w:r w:rsidRPr="00067ABD">
        <w:rPr>
          <w:sz w:val="20"/>
          <w:szCs w:val="20"/>
        </w:rPr>
        <w:t xml:space="preserve"> aux sujets de droit ».</w:t>
      </w:r>
    </w:p>
    <w:p w14:paraId="7103AB31" w14:textId="4E63A1D6" w:rsidR="004F5E1B" w:rsidRPr="000D3BCD" w:rsidRDefault="004F5E1B" w:rsidP="000D3BCD">
      <w:pPr>
        <w:pStyle w:val="NormalWeb"/>
        <w:jc w:val="both"/>
      </w:pPr>
      <w:r w:rsidRPr="000D3BCD">
        <w:t xml:space="preserve"> De ce considérant, que l’on rapprochera volontiers de la jurisprudence du Conseil d’État (section de législation et section du contentieux administratif)</w:t>
      </w:r>
      <w:r w:rsidR="00067ABD">
        <w:rPr>
          <w:rStyle w:val="Appelnotedebasdep"/>
        </w:rPr>
        <w:footnoteReference w:id="50"/>
      </w:r>
      <w:r w:rsidR="00A11422" w:rsidRPr="000D3BCD">
        <w:t xml:space="preserve"> et d’arrêts de principe rendus hors les frontières</w:t>
      </w:r>
      <w:r w:rsidRPr="000D3BCD">
        <w:t>, l’on tire tout à la fois une reconnaissance de la primauté du droit</w:t>
      </w:r>
      <w:r w:rsidR="00A11917">
        <w:t xml:space="preserve"> dérivé</w:t>
      </w:r>
      <w:r w:rsidRPr="000D3BCD">
        <w:t xml:space="preserve"> de l’Union sur la Constitution, ainsi que l’affirmation d’importantes « contre-limite</w:t>
      </w:r>
      <w:r w:rsidR="00491E11" w:rsidRPr="000D3BCD">
        <w:t>s »</w:t>
      </w:r>
      <w:r w:rsidR="00E010D3">
        <w:rPr>
          <w:rStyle w:val="Appelnotedebasdep"/>
        </w:rPr>
        <w:footnoteReference w:id="51"/>
      </w:r>
      <w:r w:rsidRPr="000D3BCD">
        <w:t xml:space="preserve">. </w:t>
      </w:r>
    </w:p>
    <w:p w14:paraId="65E2D627" w14:textId="77DE856F" w:rsidR="00491E11" w:rsidRPr="000D3BCD" w:rsidRDefault="004F5E1B" w:rsidP="000D3BCD">
      <w:pPr>
        <w:pStyle w:val="NormalWeb"/>
        <w:jc w:val="both"/>
      </w:pPr>
      <w:r w:rsidRPr="000D3BCD">
        <w:t xml:space="preserve">L’article 34 de la Constitution permet tout d’abord de « déroger » à celles des dispositions de la Constitution qui régissent l’exercice des </w:t>
      </w:r>
      <w:r w:rsidR="00491E11" w:rsidRPr="000D3BCD">
        <w:t>pouvoirs. Il s’agit don</w:t>
      </w:r>
      <w:r w:rsidR="00A11422" w:rsidRPr="000D3BCD">
        <w:t>c</w:t>
      </w:r>
      <w:r w:rsidR="00491E11" w:rsidRPr="000D3BCD">
        <w:t xml:space="preserve"> d’une exception – consti</w:t>
      </w:r>
      <w:r w:rsidR="00A11422" w:rsidRPr="000D3BCD">
        <w:t>tu</w:t>
      </w:r>
      <w:r w:rsidR="00491E11" w:rsidRPr="000D3BCD">
        <w:t xml:space="preserve">tionnellement consentie </w:t>
      </w:r>
      <w:r w:rsidR="00E010D3" w:rsidRPr="000D3BCD">
        <w:t>–</w:t>
      </w:r>
      <w:r w:rsidR="00491E11" w:rsidRPr="000D3BCD">
        <w:t xml:space="preserve"> à l’affirmation principielle selon laquelle la Constitution prime les traités. Cette exception est cependant assortie de limites tenant à l’intangibilité des règles constitutionnelles qui, </w:t>
      </w:r>
      <w:r w:rsidR="00A11422" w:rsidRPr="000D3BCD">
        <w:t>quoiqu’</w:t>
      </w:r>
      <w:r w:rsidR="00491E11" w:rsidRPr="000D3BCD">
        <w:t>ayant trait à l’exercice des pouvoirs, toucheraient cependant « à l’identité nationale inhérente aux structures fondamentales, politiques et constitutionnelles ou aux valeurs fondamentales de la protection que la Constitution confère aux sujets de droit »</w:t>
      </w:r>
      <w:r w:rsidR="00575A9A">
        <w:rPr>
          <w:rStyle w:val="Appelnotedebasdep"/>
        </w:rPr>
        <w:footnoteReference w:id="52"/>
      </w:r>
      <w:r w:rsidR="00491E11" w:rsidRPr="000D3BCD">
        <w:t>.</w:t>
      </w:r>
    </w:p>
    <w:p w14:paraId="298169C5" w14:textId="6EB40FA0" w:rsidR="00491E11" w:rsidRPr="000D3BCD" w:rsidRDefault="00491E11" w:rsidP="000D3BCD">
      <w:pPr>
        <w:pStyle w:val="NormalWeb"/>
        <w:jc w:val="both"/>
      </w:pPr>
      <w:r w:rsidRPr="000D3BCD">
        <w:lastRenderedPageBreak/>
        <w:t>L’article 34 de la Constitution impliquerait, par ailleurs, la primauté du droit dérivé de l’Union sur la Constitution. Cette primauté se trouvait déjà affirmé</w:t>
      </w:r>
      <w:r w:rsidR="00A11422" w:rsidRPr="000D3BCD">
        <w:t>e dans un arrêt 137/2010</w:t>
      </w:r>
      <w:r w:rsidR="00E010D3">
        <w:rPr>
          <w:rStyle w:val="Appelnotedebasdep"/>
        </w:rPr>
        <w:footnoteReference w:id="53"/>
      </w:r>
      <w:r w:rsidR="00E010D3">
        <w:t xml:space="preserve"> et</w:t>
      </w:r>
      <w:r w:rsidR="00A11422" w:rsidRPr="000D3BCD">
        <w:t xml:space="preserve"> se voit </w:t>
      </w:r>
      <w:r w:rsidR="00E010D3">
        <w:t>expressément confirmée par l</w:t>
      </w:r>
      <w:r w:rsidR="00A11422" w:rsidRPr="000D3BCD">
        <w:t>’arrêt du 28 avril 2016</w:t>
      </w:r>
      <w:r w:rsidR="00E010D3">
        <w:t>,</w:t>
      </w:r>
      <w:r w:rsidR="00A11422" w:rsidRPr="000D3BCD">
        <w:t xml:space="preserve"> </w:t>
      </w:r>
      <w:r w:rsidR="00E010D3">
        <w:t xml:space="preserve">qui l’assortit toutefois </w:t>
      </w:r>
      <w:r w:rsidR="00A11422" w:rsidRPr="000D3BCD">
        <w:t xml:space="preserve">des mêmes « contre-limites ». </w:t>
      </w:r>
    </w:p>
    <w:p w14:paraId="78CD37FB" w14:textId="449861BF" w:rsidR="00A11422" w:rsidRPr="000D3BCD" w:rsidRDefault="00A11422" w:rsidP="000D3BCD">
      <w:pPr>
        <w:pStyle w:val="NormalWeb"/>
        <w:jc w:val="both"/>
      </w:pPr>
      <w:r w:rsidRPr="000D3BCD">
        <w:t xml:space="preserve">Les tabous sont ainsi </w:t>
      </w:r>
      <w:r w:rsidR="000D03BA">
        <w:t>positionn</w:t>
      </w:r>
      <w:r w:rsidRPr="000D3BCD">
        <w:t xml:space="preserve">és comme catégories formelles, mais leur contenu reste, à ce stade, parfaitement brumeux. Que recouvre cette « identité nationale inhérente aux structures fondamentales, politiques et constitutionnelles » ? Quelles sont ces « valeurs fondamentales de la protection que la Constitution </w:t>
      </w:r>
      <w:r w:rsidR="000D03BA" w:rsidRPr="000D3BCD">
        <w:t>confère</w:t>
      </w:r>
      <w:r w:rsidRPr="000D3BCD">
        <w:t xml:space="preserve"> aux sujets de droit »</w:t>
      </w:r>
      <w:r w:rsidR="00E85AB4" w:rsidRPr="000D3BCD">
        <w:t xml:space="preserve"> ? L’arrêt n’en dit rien, et nul autre n’est, depuis lors, venu apporter </w:t>
      </w:r>
      <w:proofErr w:type="spellStart"/>
      <w:r w:rsidR="00E85AB4" w:rsidRPr="000D3BCD">
        <w:t>quelqu’éclaircissement</w:t>
      </w:r>
      <w:proofErr w:type="spellEnd"/>
      <w:r w:rsidR="00E85AB4" w:rsidRPr="000D3BCD">
        <w:t xml:space="preserve"> sur la question</w:t>
      </w:r>
      <w:r w:rsidR="000D03BA">
        <w:rPr>
          <w:rStyle w:val="Appelnotedebasdep"/>
        </w:rPr>
        <w:footnoteReference w:id="54"/>
      </w:r>
      <w:r w:rsidR="00E85AB4" w:rsidRPr="000D3BCD">
        <w:t>. Cela aboie, mais…</w:t>
      </w:r>
    </w:p>
    <w:p w14:paraId="4B377BF8" w14:textId="314C5409" w:rsidR="00E85AB4" w:rsidRPr="000D3BCD" w:rsidRDefault="00E85AB4" w:rsidP="000D3BCD">
      <w:pPr>
        <w:jc w:val="both"/>
        <w:rPr>
          <w:rFonts w:ascii="Times New Roman" w:hAnsi="Times New Roman" w:cs="Times New Roman"/>
          <w:lang w:val="nl-BE"/>
        </w:rPr>
      </w:pPr>
      <w:r w:rsidRPr="000D3BCD">
        <w:rPr>
          <w:rFonts w:ascii="Times New Roman" w:hAnsi="Times New Roman" w:cs="Times New Roman"/>
        </w:rPr>
        <w:t xml:space="preserve">De manière assez inattendue, la Section du contentieux administratif </w:t>
      </w:r>
      <w:r w:rsidRPr="000D3BCD">
        <w:rPr>
          <w:rFonts w:ascii="Times New Roman" w:hAnsi="Times New Roman" w:cs="Times New Roman"/>
          <w:lang w:val="fr-FR"/>
        </w:rPr>
        <w:t>du Conseil d’État, dans ses arrêts</w:t>
      </w:r>
      <w:r w:rsidRPr="000D3BCD">
        <w:rPr>
          <w:rStyle w:val="Appelnotedebasdep"/>
          <w:rFonts w:ascii="Times New Roman" w:hAnsi="Times New Roman" w:cs="Times New Roman"/>
          <w:lang w:val="fr-FR"/>
        </w:rPr>
        <w:footnoteReference w:id="55"/>
      </w:r>
      <w:r w:rsidRPr="000D3BCD">
        <w:rPr>
          <w:rFonts w:ascii="Times New Roman" w:hAnsi="Times New Roman" w:cs="Times New Roman"/>
          <w:lang w:val="fr-FR"/>
        </w:rPr>
        <w:t xml:space="preserve"> </w:t>
      </w:r>
      <w:proofErr w:type="spellStart"/>
      <w:r w:rsidRPr="000D3BCD">
        <w:rPr>
          <w:rFonts w:ascii="Times New Roman" w:hAnsi="Times New Roman" w:cs="Times New Roman"/>
          <w:lang w:val="fr-FR"/>
        </w:rPr>
        <w:t>nn</w:t>
      </w:r>
      <w:proofErr w:type="spellEnd"/>
      <w:r w:rsidRPr="000D3BCD">
        <w:rPr>
          <w:rFonts w:ascii="Times New Roman" w:hAnsi="Times New Roman" w:cs="Times New Roman"/>
          <w:lang w:val="fr-FR"/>
        </w:rPr>
        <w:t>° 249.177 du 8 décembre 2020</w:t>
      </w:r>
      <w:r w:rsidRPr="000D3BCD">
        <w:rPr>
          <w:rStyle w:val="Appelnotedebasdep"/>
          <w:rFonts w:ascii="Times New Roman" w:hAnsi="Times New Roman" w:cs="Times New Roman"/>
          <w:lang w:val="fr-FR"/>
        </w:rPr>
        <w:footnoteReference w:id="56"/>
      </w:r>
      <w:r w:rsidRPr="000D3BCD">
        <w:rPr>
          <w:rFonts w:ascii="Times New Roman" w:hAnsi="Times New Roman" w:cs="Times New Roman"/>
          <w:lang w:val="fr-FR"/>
        </w:rPr>
        <w:t xml:space="preserve"> et 249.315 du 22 décembre 2020</w:t>
      </w:r>
      <w:r w:rsidRPr="000D3BCD">
        <w:rPr>
          <w:rStyle w:val="Appelnotedebasdep"/>
          <w:rFonts w:ascii="Times New Roman" w:hAnsi="Times New Roman" w:cs="Times New Roman"/>
          <w:lang w:val="fr-FR"/>
        </w:rPr>
        <w:footnoteReference w:id="57"/>
      </w:r>
      <w:r w:rsidRPr="000D3BCD">
        <w:rPr>
          <w:rFonts w:ascii="Times New Roman" w:hAnsi="Times New Roman" w:cs="Times New Roman"/>
          <w:lang w:val="fr-FR"/>
        </w:rPr>
        <w:t xml:space="preserve">, tous deux intervenus à propos des limitations à la possibilité de rassemblements religieux décrétées pour cause de pandémie, donna l’impression d’avoir aperçu quelque chose dans </w:t>
      </w:r>
      <w:r w:rsidR="000D03BA">
        <w:rPr>
          <w:rFonts w:ascii="Times New Roman" w:hAnsi="Times New Roman" w:cs="Times New Roman"/>
          <w:lang w:val="fr-FR"/>
        </w:rPr>
        <w:t>cette</w:t>
      </w:r>
      <w:r w:rsidRPr="000D3BCD">
        <w:rPr>
          <w:rFonts w:ascii="Times New Roman" w:hAnsi="Times New Roman" w:cs="Times New Roman"/>
          <w:lang w:val="fr-FR"/>
        </w:rPr>
        <w:t xml:space="preserve"> boîte de Pandore</w:t>
      </w:r>
      <w:r w:rsidR="000D03BA">
        <w:rPr>
          <w:rFonts w:ascii="Times New Roman" w:hAnsi="Times New Roman" w:cs="Times New Roman"/>
          <w:lang w:val="fr-FR"/>
        </w:rPr>
        <w:t xml:space="preserve"> jusqu’alors fort vide</w:t>
      </w:r>
      <w:r w:rsidRPr="000D3BCD">
        <w:rPr>
          <w:rFonts w:ascii="Times New Roman" w:hAnsi="Times New Roman" w:cs="Times New Roman"/>
          <w:lang w:val="fr-FR"/>
        </w:rPr>
        <w:t xml:space="preserve">. </w:t>
      </w:r>
      <w:r w:rsidRPr="000D3BCD">
        <w:rPr>
          <w:rFonts w:ascii="Times New Roman" w:hAnsi="Times New Roman" w:cs="Times New Roman"/>
          <w:lang w:val="nl-BE"/>
        </w:rPr>
        <w:t xml:space="preserve">Selon le Haut Conseil en effet, </w:t>
      </w:r>
    </w:p>
    <w:p w14:paraId="7A7E0C9D" w14:textId="77777777" w:rsidR="00E85AB4" w:rsidRPr="000D3BCD" w:rsidRDefault="00E85AB4" w:rsidP="000D3BCD">
      <w:pPr>
        <w:jc w:val="both"/>
        <w:rPr>
          <w:rFonts w:ascii="Times New Roman" w:hAnsi="Times New Roman" w:cs="Times New Roman"/>
          <w:lang w:val="nl-BE"/>
        </w:rPr>
      </w:pPr>
    </w:p>
    <w:p w14:paraId="2A9BC1B2" w14:textId="77777777" w:rsidR="00E85AB4" w:rsidRPr="000D03BA" w:rsidRDefault="00E85AB4" w:rsidP="000D3BCD">
      <w:pPr>
        <w:ind w:left="567"/>
        <w:jc w:val="both"/>
        <w:rPr>
          <w:rFonts w:ascii="Times New Roman" w:hAnsi="Times New Roman" w:cs="Times New Roman"/>
          <w:sz w:val="20"/>
          <w:szCs w:val="20"/>
          <w:lang w:val="nl-BE"/>
        </w:rPr>
      </w:pPr>
      <w:r w:rsidRPr="000D03BA">
        <w:rPr>
          <w:rFonts w:ascii="Times New Roman" w:eastAsia="Times New Roman" w:hAnsi="Times New Roman" w:cs="Times New Roman"/>
          <w:sz w:val="20"/>
          <w:szCs w:val="20"/>
          <w:lang w:val="nl-BE" w:eastAsia="fr-FR"/>
        </w:rPr>
        <w:t>« </w:t>
      </w:r>
      <w:r w:rsidRPr="000D03BA">
        <w:rPr>
          <w:rFonts w:ascii="Times New Roman" w:hAnsi="Times New Roman" w:cs="Times New Roman"/>
          <w:sz w:val="20"/>
          <w:szCs w:val="20"/>
          <w:lang w:val="nl-BE"/>
        </w:rPr>
        <w:t xml:space="preserve">De vrijheid van eredienst is, in de woorden van het Grondwettelijk Hof in arrest nr. 62/2016 van 28 april 2016, één van ‘de kernwaarden van de bescherming die de Grondwet aan de rechtsonderhorigen verleent’ ». </w:t>
      </w:r>
    </w:p>
    <w:p w14:paraId="47152C9F" w14:textId="77777777" w:rsidR="002E2CBC" w:rsidRPr="000D3BCD" w:rsidRDefault="002E2CBC" w:rsidP="000D3BCD">
      <w:pPr>
        <w:jc w:val="both"/>
        <w:rPr>
          <w:rFonts w:ascii="Times New Roman" w:hAnsi="Times New Roman" w:cs="Times New Roman"/>
          <w:lang w:val="nl-BE"/>
        </w:rPr>
      </w:pPr>
    </w:p>
    <w:p w14:paraId="0CA20039" w14:textId="15D824B9" w:rsidR="004D4A09" w:rsidRPr="000D3BCD" w:rsidRDefault="00E85AB4" w:rsidP="000D3BCD">
      <w:pPr>
        <w:jc w:val="both"/>
        <w:rPr>
          <w:rFonts w:ascii="Times New Roman" w:hAnsi="Times New Roman" w:cs="Times New Roman"/>
        </w:rPr>
      </w:pPr>
      <w:r w:rsidRPr="003C6A00">
        <w:rPr>
          <w:rFonts w:ascii="Times New Roman" w:hAnsi="Times New Roman" w:cs="Times New Roman"/>
        </w:rPr>
        <w:t xml:space="preserve">Tout </w:t>
      </w:r>
      <w:r w:rsidR="00FF1368" w:rsidRPr="003C6A00">
        <w:rPr>
          <w:rFonts w:ascii="Times New Roman" w:hAnsi="Times New Roman" w:cs="Times New Roman"/>
        </w:rPr>
        <w:t xml:space="preserve">invite </w:t>
      </w:r>
      <w:r w:rsidRPr="003C6A00">
        <w:rPr>
          <w:rFonts w:ascii="Times New Roman" w:hAnsi="Times New Roman" w:cs="Times New Roman"/>
        </w:rPr>
        <w:t>cependant à la</w:t>
      </w:r>
      <w:r w:rsidR="00FF1368" w:rsidRPr="003C6A00">
        <w:rPr>
          <w:rFonts w:ascii="Times New Roman" w:hAnsi="Times New Roman" w:cs="Times New Roman"/>
        </w:rPr>
        <w:t xml:space="preserve"> plus grande</w:t>
      </w:r>
      <w:r w:rsidRPr="003C6A00">
        <w:rPr>
          <w:rFonts w:ascii="Times New Roman" w:hAnsi="Times New Roman" w:cs="Times New Roman"/>
        </w:rPr>
        <w:t xml:space="preserve"> prudence </w:t>
      </w:r>
      <w:r w:rsidR="00FF1368" w:rsidRPr="003C6A00">
        <w:rPr>
          <w:rFonts w:ascii="Times New Roman" w:hAnsi="Times New Roman" w:cs="Times New Roman"/>
        </w:rPr>
        <w:t>dans l’interprétation de ce</w:t>
      </w:r>
      <w:r w:rsidR="004D4A09" w:rsidRPr="003C6A00">
        <w:rPr>
          <w:rFonts w:ascii="Times New Roman" w:hAnsi="Times New Roman" w:cs="Times New Roman"/>
        </w:rPr>
        <w:t xml:space="preserve"> considérant </w:t>
      </w:r>
      <w:r w:rsidR="004D4A09" w:rsidRPr="003C6A00">
        <w:rPr>
          <w:rFonts w:ascii="Times New Roman" w:hAnsi="Times New Roman" w:cs="Times New Roman"/>
          <w:i/>
        </w:rPr>
        <w:t>a priori</w:t>
      </w:r>
      <w:r w:rsidR="00FF1368" w:rsidRPr="003C6A00">
        <w:rPr>
          <w:rFonts w:ascii="Times New Roman" w:hAnsi="Times New Roman" w:cs="Times New Roman"/>
        </w:rPr>
        <w:t xml:space="preserve"> fracassan</w:t>
      </w:r>
      <w:r w:rsidR="004D4A09" w:rsidRPr="003C6A00">
        <w:rPr>
          <w:rFonts w:ascii="Times New Roman" w:hAnsi="Times New Roman" w:cs="Times New Roman"/>
        </w:rPr>
        <w:t>t</w:t>
      </w:r>
      <w:r w:rsidR="00FF1368" w:rsidRPr="003C6A00">
        <w:rPr>
          <w:rFonts w:ascii="Times New Roman" w:hAnsi="Times New Roman" w:cs="Times New Roman"/>
          <w:i/>
        </w:rPr>
        <w:t>.</w:t>
      </w:r>
      <w:r w:rsidR="004D4A09" w:rsidRPr="003C6A00">
        <w:rPr>
          <w:rFonts w:ascii="Times New Roman" w:hAnsi="Times New Roman" w:cs="Times New Roman"/>
          <w:i/>
        </w:rPr>
        <w:t xml:space="preserve"> </w:t>
      </w:r>
      <w:r w:rsidR="004D4A09" w:rsidRPr="003C6A00">
        <w:rPr>
          <w:rFonts w:ascii="Times New Roman" w:hAnsi="Times New Roman" w:cs="Times New Roman"/>
        </w:rPr>
        <w:t xml:space="preserve">Force est de constater, tout d’abord, qu’il s’agit d’un pur </w:t>
      </w:r>
      <w:proofErr w:type="spellStart"/>
      <w:r w:rsidR="004D4A09" w:rsidRPr="003C6A00">
        <w:rPr>
          <w:rFonts w:ascii="Times New Roman" w:hAnsi="Times New Roman" w:cs="Times New Roman"/>
          <w:i/>
        </w:rPr>
        <w:t>obiter</w:t>
      </w:r>
      <w:proofErr w:type="spellEnd"/>
      <w:r w:rsidR="004D4A09" w:rsidRPr="003C6A00">
        <w:rPr>
          <w:rFonts w:ascii="Times New Roman" w:hAnsi="Times New Roman" w:cs="Times New Roman"/>
          <w:i/>
        </w:rPr>
        <w:t xml:space="preserve"> </w:t>
      </w:r>
      <w:proofErr w:type="spellStart"/>
      <w:r w:rsidR="004D4A09" w:rsidRPr="003C6A00">
        <w:rPr>
          <w:rFonts w:ascii="Times New Roman" w:hAnsi="Times New Roman" w:cs="Times New Roman"/>
          <w:i/>
        </w:rPr>
        <w:t>dictum</w:t>
      </w:r>
      <w:proofErr w:type="spellEnd"/>
      <w:r w:rsidR="004D4A09" w:rsidRPr="003C6A00">
        <w:rPr>
          <w:rFonts w:ascii="Times New Roman" w:hAnsi="Times New Roman" w:cs="Times New Roman"/>
          <w:i/>
        </w:rPr>
        <w:t xml:space="preserve">, </w:t>
      </w:r>
      <w:r w:rsidR="004D4A09" w:rsidRPr="003C6A00">
        <w:rPr>
          <w:rFonts w:ascii="Times New Roman" w:hAnsi="Times New Roman" w:cs="Times New Roman"/>
        </w:rPr>
        <w:t>la question en litige ne soulevant en effet aucun conflit entre la Constitution et le droit de l’Union, et ne présentant, plus fondamentalement, aucun point de connexion avec ce dernier. Par ailleurs, l’arrêt précité du 22 décembre 2020 contraste, sur le point précis qui nous occupe, avec</w:t>
      </w:r>
      <w:r w:rsidR="004D4A09" w:rsidRPr="000D3BCD">
        <w:rPr>
          <w:rFonts w:ascii="Times New Roman" w:hAnsi="Times New Roman" w:cs="Times New Roman"/>
          <w:lang w:val="fr-FR"/>
        </w:rPr>
        <w:t xml:space="preserve"> deux autres arrêts du même jour, prononcés eux aussi par l’Assemblée générale de la Section du contentieux administratif</w:t>
      </w:r>
      <w:r w:rsidR="002E2CBC" w:rsidRPr="000D3BCD">
        <w:rPr>
          <w:rFonts w:ascii="Times New Roman" w:hAnsi="Times New Roman" w:cs="Times New Roman"/>
          <w:lang w:val="fr-FR"/>
        </w:rPr>
        <w:t xml:space="preserve">, </w:t>
      </w:r>
      <w:r w:rsidR="004D4A09" w:rsidRPr="000D3BCD">
        <w:rPr>
          <w:rFonts w:ascii="Times New Roman" w:hAnsi="Times New Roman" w:cs="Times New Roman"/>
          <w:lang w:val="fr-FR"/>
        </w:rPr>
        <w:t>à savoir les arrêts nn°249.313</w:t>
      </w:r>
      <w:r w:rsidR="004D4A09" w:rsidRPr="000D3BCD">
        <w:rPr>
          <w:rStyle w:val="Appelnotedebasdep"/>
          <w:rFonts w:ascii="Times New Roman" w:hAnsi="Times New Roman" w:cs="Times New Roman"/>
          <w:lang w:val="fr-FR"/>
        </w:rPr>
        <w:footnoteReference w:id="58"/>
      </w:r>
      <w:r w:rsidR="004D4A09" w:rsidRPr="000D3BCD">
        <w:rPr>
          <w:rFonts w:ascii="Times New Roman" w:hAnsi="Times New Roman" w:cs="Times New Roman"/>
          <w:lang w:val="fr-FR"/>
        </w:rPr>
        <w:t xml:space="preserve"> et 249.314</w:t>
      </w:r>
      <w:r w:rsidR="004D4A09" w:rsidRPr="000D3BCD">
        <w:rPr>
          <w:rStyle w:val="Appelnotedebasdep"/>
          <w:rFonts w:ascii="Times New Roman" w:hAnsi="Times New Roman" w:cs="Times New Roman"/>
          <w:lang w:val="fr-FR"/>
        </w:rPr>
        <w:footnoteReference w:id="59"/>
      </w:r>
      <w:r w:rsidR="004D4A09" w:rsidRPr="000D3BCD">
        <w:rPr>
          <w:rFonts w:ascii="Times New Roman" w:hAnsi="Times New Roman" w:cs="Times New Roman"/>
          <w:lang w:val="fr-FR"/>
        </w:rPr>
        <w:t xml:space="preserve">. </w:t>
      </w:r>
      <w:r w:rsidR="002E2CBC" w:rsidRPr="000D3BCD">
        <w:rPr>
          <w:rFonts w:ascii="Times New Roman" w:hAnsi="Times New Roman" w:cs="Times New Roman"/>
          <w:lang w:val="fr-FR"/>
        </w:rPr>
        <w:t>En effet,</w:t>
      </w:r>
      <w:r w:rsidR="004D4A09" w:rsidRPr="000D3BCD">
        <w:rPr>
          <w:rFonts w:ascii="Times New Roman" w:hAnsi="Times New Roman" w:cs="Times New Roman"/>
          <w:lang w:val="fr-FR"/>
        </w:rPr>
        <w:t xml:space="preserve"> ces deux derniers arrêts ne font allusion à un quelconque « noyau dur » de la liberté des cultes, ni ne classent celle-ci dans le Zénith des « valeurs fondamentales de la protection que la Constitution confère aux sujets de droit ».  Tout au contraire, ils s’emploient à la « banaliser » quelque peu en affirmant – </w:t>
      </w:r>
      <w:r w:rsidR="000D03BA">
        <w:rPr>
          <w:rFonts w:ascii="Times New Roman" w:hAnsi="Times New Roman" w:cs="Times New Roman"/>
          <w:i/>
          <w:lang w:val="fr-FR"/>
        </w:rPr>
        <w:t>nota bene </w:t>
      </w:r>
      <w:r w:rsidR="000D03BA">
        <w:rPr>
          <w:rFonts w:ascii="Times New Roman" w:hAnsi="Times New Roman" w:cs="Times New Roman"/>
          <w:lang w:val="fr-FR"/>
        </w:rPr>
        <w:t xml:space="preserve">: </w:t>
      </w:r>
      <w:r w:rsidR="004D4A09" w:rsidRPr="000D3BCD">
        <w:rPr>
          <w:rFonts w:ascii="Times New Roman" w:hAnsi="Times New Roman" w:cs="Times New Roman"/>
          <w:lang w:val="fr-FR"/>
        </w:rPr>
        <w:t xml:space="preserve">sans </w:t>
      </w:r>
      <w:r w:rsidR="000D03BA">
        <w:rPr>
          <w:rFonts w:ascii="Times New Roman" w:hAnsi="Times New Roman" w:cs="Times New Roman"/>
          <w:lang w:val="fr-FR"/>
        </w:rPr>
        <w:t xml:space="preserve">aucune </w:t>
      </w:r>
      <w:r w:rsidR="004D4A09" w:rsidRPr="000D3BCD">
        <w:rPr>
          <w:rFonts w:ascii="Times New Roman" w:hAnsi="Times New Roman" w:cs="Times New Roman"/>
          <w:lang w:val="fr-FR"/>
        </w:rPr>
        <w:t>conséquence concrète sur le fond du raisonnement – que « </w:t>
      </w:r>
      <w:r w:rsidR="004D4A09" w:rsidRPr="000D3BCD">
        <w:rPr>
          <w:rFonts w:ascii="Times New Roman" w:hAnsi="Times New Roman" w:cs="Times New Roman"/>
        </w:rPr>
        <w:t xml:space="preserve">La liberté de culte est un droit fondamental, </w:t>
      </w:r>
      <w:r w:rsidR="004D4A09" w:rsidRPr="000D3BCD">
        <w:rPr>
          <w:rFonts w:ascii="Times New Roman" w:hAnsi="Times New Roman" w:cs="Times New Roman"/>
          <w:i/>
          <w:iCs/>
        </w:rPr>
        <w:t>au même titre que d’autres droits fondamentaux</w:t>
      </w:r>
      <w:r w:rsidR="004D4A09" w:rsidRPr="000D3BCD">
        <w:rPr>
          <w:rFonts w:ascii="Times New Roman" w:hAnsi="Times New Roman" w:cs="Times New Roman"/>
        </w:rPr>
        <w:t xml:space="preserve"> (…) » (notre accent).</w:t>
      </w:r>
      <w:r w:rsidR="002E2CBC" w:rsidRPr="000D3BCD">
        <w:rPr>
          <w:rFonts w:ascii="Times New Roman" w:hAnsi="Times New Roman" w:cs="Times New Roman"/>
        </w:rPr>
        <w:t xml:space="preserve"> </w:t>
      </w:r>
    </w:p>
    <w:p w14:paraId="2D37D684" w14:textId="522D5AD9" w:rsidR="002E2CBC" w:rsidRPr="000D3BCD" w:rsidRDefault="002E2CBC" w:rsidP="000D3BCD">
      <w:pPr>
        <w:jc w:val="both"/>
        <w:rPr>
          <w:rFonts w:ascii="Times New Roman" w:hAnsi="Times New Roman" w:cs="Times New Roman"/>
        </w:rPr>
      </w:pPr>
    </w:p>
    <w:p w14:paraId="310308F4" w14:textId="74828B79" w:rsidR="002E2CBC" w:rsidRPr="000D3BCD" w:rsidRDefault="002E2CBC" w:rsidP="000D3BCD">
      <w:pPr>
        <w:jc w:val="both"/>
        <w:rPr>
          <w:rFonts w:ascii="Times New Roman" w:hAnsi="Times New Roman" w:cs="Times New Roman"/>
        </w:rPr>
      </w:pPr>
      <w:r w:rsidRPr="000D3BCD">
        <w:rPr>
          <w:rFonts w:ascii="Times New Roman" w:hAnsi="Times New Roman" w:cs="Times New Roman"/>
        </w:rPr>
        <w:t>L’épisode qui précède est, à notre estime, porteur d’enseignement</w:t>
      </w:r>
      <w:r w:rsidR="000D03BA">
        <w:rPr>
          <w:rFonts w:ascii="Times New Roman" w:hAnsi="Times New Roman" w:cs="Times New Roman"/>
        </w:rPr>
        <w:t>s</w:t>
      </w:r>
      <w:r w:rsidRPr="000D3BCD">
        <w:rPr>
          <w:rFonts w:ascii="Times New Roman" w:hAnsi="Times New Roman" w:cs="Times New Roman"/>
        </w:rPr>
        <w:t xml:space="preserve">. Face à la division et aux hésitations des Cours suprêmes, c’est avant tout au Constituant </w:t>
      </w:r>
      <w:r w:rsidR="000D03BA">
        <w:rPr>
          <w:rFonts w:ascii="Times New Roman" w:hAnsi="Times New Roman" w:cs="Times New Roman"/>
        </w:rPr>
        <w:t xml:space="preserve"> lui-même </w:t>
      </w:r>
      <w:r w:rsidRPr="000D3BCD">
        <w:rPr>
          <w:rFonts w:ascii="Times New Roman" w:hAnsi="Times New Roman" w:cs="Times New Roman"/>
        </w:rPr>
        <w:t>qu’il incombe de « reprendre la main », dans un mouvement plus large de « mise à jour »</w:t>
      </w:r>
      <w:r w:rsidR="000D03BA">
        <w:rPr>
          <w:rFonts w:ascii="Times New Roman" w:hAnsi="Times New Roman" w:cs="Times New Roman"/>
        </w:rPr>
        <w:t xml:space="preserve"> de notre droit constitutionnel</w:t>
      </w:r>
      <w:r w:rsidRPr="000D3BCD">
        <w:rPr>
          <w:rFonts w:ascii="Times New Roman" w:hAnsi="Times New Roman" w:cs="Times New Roman"/>
        </w:rPr>
        <w:t>, pour déterminer si, et à propos de quoi, il entend poser des « contre-limites » à la primauté du droit international et du droit de l’Union</w:t>
      </w:r>
      <w:r w:rsidR="00BD44F3">
        <w:rPr>
          <w:rStyle w:val="Appelnotedebasdep"/>
          <w:rFonts w:ascii="Times New Roman" w:hAnsi="Times New Roman" w:cs="Times New Roman"/>
        </w:rPr>
        <w:footnoteReference w:id="60"/>
      </w:r>
      <w:r w:rsidR="00C77D30" w:rsidRPr="000D3BCD">
        <w:rPr>
          <w:rFonts w:ascii="Times New Roman" w:hAnsi="Times New Roman" w:cs="Times New Roman"/>
        </w:rPr>
        <w:t xml:space="preserve">. </w:t>
      </w:r>
    </w:p>
    <w:p w14:paraId="303D3560" w14:textId="77777777" w:rsidR="00CD06CC" w:rsidRPr="000D3BCD" w:rsidRDefault="00CD06CC" w:rsidP="000D3BCD">
      <w:pPr>
        <w:spacing w:before="100" w:beforeAutospacing="1" w:after="100" w:afterAutospacing="1"/>
        <w:jc w:val="both"/>
        <w:rPr>
          <w:rFonts w:ascii="Times New Roman" w:eastAsia="Times New Roman" w:hAnsi="Times New Roman" w:cs="Times New Roman"/>
          <w:lang w:eastAsia="fr-FR"/>
        </w:rPr>
      </w:pPr>
    </w:p>
    <w:p w14:paraId="0C8CA136" w14:textId="25A6B71E" w:rsidR="00391CAB" w:rsidRPr="000D3BCD" w:rsidRDefault="00391CAB" w:rsidP="000D3BCD">
      <w:pPr>
        <w:pStyle w:val="NormalWeb"/>
        <w:jc w:val="both"/>
      </w:pPr>
    </w:p>
    <w:p w14:paraId="57692D5B" w14:textId="77777777" w:rsidR="00222B01" w:rsidRPr="000D3BCD" w:rsidRDefault="00222B01" w:rsidP="000D3BCD">
      <w:pPr>
        <w:pStyle w:val="NormalWeb"/>
        <w:jc w:val="both"/>
      </w:pPr>
    </w:p>
    <w:p w14:paraId="7DCEB139" w14:textId="774D75F8" w:rsidR="00222B01" w:rsidRPr="000D3BCD" w:rsidRDefault="00222B01" w:rsidP="000D3BCD">
      <w:pPr>
        <w:pStyle w:val="NormalWeb"/>
        <w:jc w:val="both"/>
        <w:rPr>
          <w:i/>
        </w:rPr>
      </w:pPr>
    </w:p>
    <w:p w14:paraId="6C74F5D2" w14:textId="1A617EB1" w:rsidR="00222B01" w:rsidRPr="000D3BCD" w:rsidRDefault="00222B01" w:rsidP="000D3BCD">
      <w:pPr>
        <w:pStyle w:val="NormalWeb"/>
        <w:jc w:val="both"/>
        <w:rPr>
          <w:i/>
        </w:rPr>
      </w:pPr>
    </w:p>
    <w:p w14:paraId="66A0ABB6" w14:textId="5E075C91" w:rsidR="00222B01" w:rsidRPr="000D3BCD" w:rsidRDefault="00222B01" w:rsidP="000D3BCD">
      <w:pPr>
        <w:pStyle w:val="NormalWeb"/>
        <w:jc w:val="both"/>
      </w:pPr>
    </w:p>
    <w:p w14:paraId="1DBA04D2" w14:textId="3CE8518A" w:rsidR="00CB0854" w:rsidRPr="000D3BCD" w:rsidRDefault="00CB0854" w:rsidP="000D3BCD">
      <w:pPr>
        <w:pStyle w:val="NormalWeb"/>
        <w:jc w:val="both"/>
      </w:pPr>
    </w:p>
    <w:p w14:paraId="750FDCAC" w14:textId="40619C13" w:rsidR="00EF1BBD" w:rsidRPr="000D3BCD" w:rsidRDefault="00EF1BBD" w:rsidP="000D3BCD">
      <w:pPr>
        <w:pStyle w:val="NormalWeb"/>
        <w:jc w:val="both"/>
      </w:pPr>
    </w:p>
    <w:p w14:paraId="3897B019" w14:textId="7C9199CF" w:rsidR="00B14B65" w:rsidRPr="000D3BCD" w:rsidRDefault="00B14B65" w:rsidP="000D3BCD">
      <w:pPr>
        <w:pStyle w:val="NormalWeb"/>
        <w:jc w:val="both"/>
      </w:pPr>
    </w:p>
    <w:p w14:paraId="3A947C18" w14:textId="5FB7B587" w:rsidR="00DB172F" w:rsidRPr="000D3BCD" w:rsidRDefault="00DB172F" w:rsidP="000D3BCD">
      <w:pPr>
        <w:jc w:val="both"/>
        <w:rPr>
          <w:rFonts w:ascii="Times New Roman" w:hAnsi="Times New Roman" w:cs="Times New Roman"/>
        </w:rPr>
      </w:pPr>
    </w:p>
    <w:sectPr w:rsidR="00DB172F" w:rsidRPr="000D3BCD" w:rsidSect="00DB60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8A75" w14:textId="77777777" w:rsidR="00373122" w:rsidRDefault="00373122" w:rsidP="00775865">
      <w:r>
        <w:separator/>
      </w:r>
    </w:p>
  </w:endnote>
  <w:endnote w:type="continuationSeparator" w:id="0">
    <w:p w14:paraId="3661F3A1" w14:textId="77777777" w:rsidR="00373122" w:rsidRDefault="00373122" w:rsidP="0077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500000000020000"/>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A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984B" w14:textId="77777777" w:rsidR="00373122" w:rsidRDefault="00373122" w:rsidP="00775865">
      <w:r>
        <w:separator/>
      </w:r>
    </w:p>
  </w:footnote>
  <w:footnote w:type="continuationSeparator" w:id="0">
    <w:p w14:paraId="7485418C" w14:textId="77777777" w:rsidR="00373122" w:rsidRDefault="00373122" w:rsidP="00775865">
      <w:r>
        <w:continuationSeparator/>
      </w:r>
    </w:p>
  </w:footnote>
  <w:footnote w:id="1">
    <w:p w14:paraId="74F92F40" w14:textId="73E5DA03" w:rsidR="00E5491C" w:rsidRPr="009B1BAD" w:rsidRDefault="00E5491C"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G. </w:t>
      </w:r>
      <w:r w:rsidRPr="009B1BAD">
        <w:rPr>
          <w:rFonts w:ascii="Times New Roman" w:hAnsi="Times New Roman" w:cs="Times New Roman"/>
          <w:smallCaps/>
        </w:rPr>
        <w:t>Rosou</w:t>
      </w:r>
      <w:r w:rsidRPr="009B1BAD">
        <w:rPr>
          <w:rFonts w:ascii="Times New Roman" w:hAnsi="Times New Roman" w:cs="Times New Roman"/>
        </w:rPr>
        <w:t xml:space="preserve">x, </w:t>
      </w:r>
      <w:r w:rsidR="0078235D" w:rsidRPr="009B1BAD">
        <w:rPr>
          <w:rFonts w:ascii="Times New Roman" w:hAnsi="Times New Roman" w:cs="Times New Roman"/>
          <w:i/>
        </w:rPr>
        <w:t xml:space="preserve">Contentieux constitutionnel, </w:t>
      </w:r>
      <w:r w:rsidR="0078235D" w:rsidRPr="009B1BAD">
        <w:rPr>
          <w:rFonts w:ascii="Times New Roman" w:hAnsi="Times New Roman" w:cs="Times New Roman"/>
        </w:rPr>
        <w:t xml:space="preserve">Bruxelles, </w:t>
      </w:r>
      <w:proofErr w:type="spellStart"/>
      <w:r w:rsidR="0078235D" w:rsidRPr="009B1BAD">
        <w:rPr>
          <w:rFonts w:ascii="Times New Roman" w:hAnsi="Times New Roman" w:cs="Times New Roman"/>
        </w:rPr>
        <w:t>Larcier</w:t>
      </w:r>
      <w:proofErr w:type="spellEnd"/>
      <w:r w:rsidR="0078235D" w:rsidRPr="009B1BAD">
        <w:rPr>
          <w:rFonts w:ascii="Times New Roman" w:hAnsi="Times New Roman" w:cs="Times New Roman"/>
        </w:rPr>
        <w:t xml:space="preserve">, 2021, pp. 28 </w:t>
      </w:r>
      <w:proofErr w:type="spellStart"/>
      <w:r w:rsidR="0078235D" w:rsidRPr="009B1BAD">
        <w:rPr>
          <w:rFonts w:ascii="Times New Roman" w:hAnsi="Times New Roman" w:cs="Times New Roman"/>
        </w:rPr>
        <w:t>ss</w:t>
      </w:r>
      <w:proofErr w:type="spellEnd"/>
      <w:r w:rsidR="0078235D" w:rsidRPr="009B1BAD">
        <w:rPr>
          <w:rFonts w:ascii="Times New Roman" w:hAnsi="Times New Roman" w:cs="Times New Roman"/>
        </w:rPr>
        <w:t xml:space="preserve">. </w:t>
      </w:r>
    </w:p>
  </w:footnote>
  <w:footnote w:id="2">
    <w:p w14:paraId="29C8A130" w14:textId="0EFD647F" w:rsidR="006C0E15" w:rsidRPr="009B1BAD" w:rsidRDefault="006C0E15"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rPr>
        <w:t>Cass</w:t>
      </w:r>
      <w:proofErr w:type="spellEnd"/>
      <w:r w:rsidRPr="009B1BAD">
        <w:rPr>
          <w:rFonts w:ascii="Times New Roman" w:hAnsi="Times New Roman" w:cs="Times New Roman"/>
        </w:rPr>
        <w:t xml:space="preserve">., 27 mai 1971, </w:t>
      </w:r>
      <w:r w:rsidRPr="009B1BAD">
        <w:rPr>
          <w:rFonts w:ascii="Times New Roman" w:hAnsi="Times New Roman" w:cs="Times New Roman"/>
          <w:i/>
        </w:rPr>
        <w:t>Pas</w:t>
      </w:r>
      <w:r w:rsidRPr="009B1BAD">
        <w:rPr>
          <w:rFonts w:ascii="Times New Roman" w:hAnsi="Times New Roman" w:cs="Times New Roman"/>
        </w:rPr>
        <w:t>., 1971, I, p. 886</w:t>
      </w:r>
    </w:p>
  </w:footnote>
  <w:footnote w:id="3">
    <w:p w14:paraId="74677D97" w14:textId="4D320A2F" w:rsidR="00775865" w:rsidRPr="009B1BAD" w:rsidRDefault="00775865"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lang w:val="fr-FR"/>
        </w:rPr>
        <w:t>Sauf si celle-ci se révèle plus protectrice des droits en cause que la nor</w:t>
      </w:r>
      <w:r w:rsidR="00187F35" w:rsidRPr="009B1BAD">
        <w:rPr>
          <w:rFonts w:ascii="Times New Roman" w:hAnsi="Times New Roman" w:cs="Times New Roman"/>
          <w:lang w:val="fr-FR"/>
        </w:rPr>
        <w:t>m</w:t>
      </w:r>
      <w:r w:rsidRPr="009B1BAD">
        <w:rPr>
          <w:rFonts w:ascii="Times New Roman" w:hAnsi="Times New Roman" w:cs="Times New Roman"/>
          <w:lang w:val="fr-FR"/>
        </w:rPr>
        <w:t xml:space="preserve">e internationale qui prétendrait </w:t>
      </w:r>
      <w:r w:rsidRPr="009B1BAD">
        <w:rPr>
          <w:rFonts w:ascii="Times New Roman" w:hAnsi="Times New Roman" w:cs="Times New Roman"/>
          <w:i/>
          <w:lang w:val="fr-FR"/>
        </w:rPr>
        <w:t xml:space="preserve">a priori </w:t>
      </w:r>
      <w:r w:rsidRPr="009B1BAD">
        <w:rPr>
          <w:rFonts w:ascii="Times New Roman" w:hAnsi="Times New Roman" w:cs="Times New Roman"/>
          <w:lang w:val="fr-FR"/>
        </w:rPr>
        <w:t>la primer</w:t>
      </w:r>
      <w:r w:rsidR="00AB5A99" w:rsidRPr="009B1BAD">
        <w:rPr>
          <w:rFonts w:ascii="Times New Roman" w:hAnsi="Times New Roman" w:cs="Times New Roman"/>
          <w:lang w:val="fr-FR"/>
        </w:rPr>
        <w:t xml:space="preserve">. </w:t>
      </w:r>
      <w:proofErr w:type="spellStart"/>
      <w:r w:rsidR="00AB5A99" w:rsidRPr="009B1BAD">
        <w:rPr>
          <w:rFonts w:ascii="Times New Roman" w:hAnsi="Times New Roman" w:cs="Times New Roman"/>
          <w:lang w:val="fr-FR"/>
        </w:rPr>
        <w:t>Voy</w:t>
      </w:r>
      <w:proofErr w:type="spellEnd"/>
      <w:r w:rsidR="00AB5A99" w:rsidRPr="009B1BAD">
        <w:rPr>
          <w:rFonts w:ascii="Times New Roman" w:hAnsi="Times New Roman" w:cs="Times New Roman"/>
          <w:lang w:val="fr-FR"/>
        </w:rPr>
        <w:t xml:space="preserve">. </w:t>
      </w:r>
      <w:proofErr w:type="spellStart"/>
      <w:r w:rsidR="00AB5A99" w:rsidRPr="009B1BAD">
        <w:rPr>
          <w:rFonts w:ascii="Times New Roman" w:hAnsi="Times New Roman" w:cs="Times New Roman"/>
        </w:rPr>
        <w:t>Cass</w:t>
      </w:r>
      <w:proofErr w:type="spellEnd"/>
      <w:r w:rsidR="00AB5A99" w:rsidRPr="009B1BAD">
        <w:rPr>
          <w:rFonts w:ascii="Times New Roman" w:hAnsi="Times New Roman" w:cs="Times New Roman"/>
        </w:rPr>
        <w:t xml:space="preserve">., 20 janvier 1989, </w:t>
      </w:r>
      <w:r w:rsidR="00AB5A99" w:rsidRPr="009B1BAD">
        <w:rPr>
          <w:rFonts w:ascii="Times New Roman" w:hAnsi="Times New Roman" w:cs="Times New Roman"/>
          <w:i/>
        </w:rPr>
        <w:t xml:space="preserve">Pas, </w:t>
      </w:r>
      <w:r w:rsidR="00AB5A99" w:rsidRPr="009B1BAD">
        <w:rPr>
          <w:rFonts w:ascii="Times New Roman" w:hAnsi="Times New Roman" w:cs="Times New Roman"/>
        </w:rPr>
        <w:t xml:space="preserve">1989, p. 545. </w:t>
      </w:r>
    </w:p>
  </w:footnote>
  <w:footnote w:id="4">
    <w:p w14:paraId="0980857E" w14:textId="242BA180" w:rsidR="0073593B" w:rsidRPr="009B1BAD" w:rsidRDefault="0073593B"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00FE3205" w:rsidRPr="009B1BAD">
        <w:rPr>
          <w:rFonts w:ascii="Times New Roman" w:hAnsi="Times New Roman" w:cs="Times New Roman"/>
        </w:rPr>
        <w:t>Voy</w:t>
      </w:r>
      <w:proofErr w:type="spellEnd"/>
      <w:r w:rsidR="00FE3205" w:rsidRPr="009B1BAD">
        <w:rPr>
          <w:rFonts w:ascii="Times New Roman" w:hAnsi="Times New Roman" w:cs="Times New Roman"/>
        </w:rPr>
        <w:t xml:space="preserve">., dans le présent numéro, la contribution de E. </w:t>
      </w:r>
      <w:proofErr w:type="spellStart"/>
      <w:r w:rsidR="00FE3205" w:rsidRPr="009B1BAD">
        <w:rPr>
          <w:rFonts w:ascii="Times New Roman" w:hAnsi="Times New Roman" w:cs="Times New Roman"/>
          <w:smallCaps/>
        </w:rPr>
        <w:t>Slautsky</w:t>
      </w:r>
      <w:proofErr w:type="spellEnd"/>
      <w:r w:rsidR="00FE3205" w:rsidRPr="009B1BAD">
        <w:rPr>
          <w:rFonts w:ascii="Times New Roman" w:hAnsi="Times New Roman" w:cs="Times New Roman"/>
        </w:rPr>
        <w:t xml:space="preserve">. </w:t>
      </w:r>
      <w:proofErr w:type="spellStart"/>
      <w:r w:rsidR="00FE3205" w:rsidRPr="009B1BAD">
        <w:rPr>
          <w:rFonts w:ascii="Times New Roman" w:hAnsi="Times New Roman" w:cs="Times New Roman"/>
        </w:rPr>
        <w:t>Voy</w:t>
      </w:r>
      <w:proofErr w:type="spellEnd"/>
      <w:r w:rsidR="00FE3205" w:rsidRPr="009B1BAD">
        <w:rPr>
          <w:rFonts w:ascii="Times New Roman" w:hAnsi="Times New Roman" w:cs="Times New Roman"/>
        </w:rPr>
        <w:t xml:space="preserve">. </w:t>
      </w:r>
      <w:proofErr w:type="spellStart"/>
      <w:r w:rsidR="00FE3205" w:rsidRPr="009B1BAD">
        <w:rPr>
          <w:rFonts w:ascii="Times New Roman" w:hAnsi="Times New Roman" w:cs="Times New Roman"/>
        </w:rPr>
        <w:t>ég</w:t>
      </w:r>
      <w:proofErr w:type="spellEnd"/>
      <w:r w:rsidR="00FE3205" w:rsidRPr="009B1BAD">
        <w:rPr>
          <w:rFonts w:ascii="Times New Roman" w:hAnsi="Times New Roman" w:cs="Times New Roman"/>
        </w:rPr>
        <w:t xml:space="preserve">. H. </w:t>
      </w:r>
      <w:proofErr w:type="spellStart"/>
      <w:r w:rsidR="00FE3205" w:rsidRPr="009B1BAD">
        <w:rPr>
          <w:rFonts w:ascii="Times New Roman" w:hAnsi="Times New Roman" w:cs="Times New Roman"/>
          <w:smallCaps/>
        </w:rPr>
        <w:t>Bribosia</w:t>
      </w:r>
      <w:proofErr w:type="spellEnd"/>
      <w:r w:rsidR="00FE3205" w:rsidRPr="009B1BAD">
        <w:rPr>
          <w:rFonts w:ascii="Times New Roman" w:hAnsi="Times New Roman" w:cs="Times New Roman"/>
        </w:rPr>
        <w:t xml:space="preserve">, « Applicabilité directe et primauté des traités internationaux et du droit communautaire. Réflexions sur le point de vue de l’ordre juridique belge », </w:t>
      </w:r>
      <w:r w:rsidR="00FE3205" w:rsidRPr="009B1BAD">
        <w:rPr>
          <w:rFonts w:ascii="Times New Roman" w:hAnsi="Times New Roman" w:cs="Times New Roman"/>
          <w:i/>
        </w:rPr>
        <w:t xml:space="preserve">R.B.D.I, </w:t>
      </w:r>
      <w:r w:rsidR="00FE3205" w:rsidRPr="009B1BAD">
        <w:rPr>
          <w:rFonts w:ascii="Times New Roman" w:hAnsi="Times New Roman" w:cs="Times New Roman"/>
          <w:lang w:val="fr-FR"/>
        </w:rPr>
        <w:t>1996</w:t>
      </w:r>
      <w:r w:rsidR="00FE3205" w:rsidRPr="009B1BAD">
        <w:rPr>
          <w:rFonts w:ascii="Times New Roman" w:hAnsi="Times New Roman" w:cs="Times New Roman"/>
        </w:rPr>
        <w:t xml:space="preserve">, p. 66 et réf. citées. </w:t>
      </w:r>
    </w:p>
  </w:footnote>
  <w:footnote w:id="5">
    <w:p w14:paraId="3C038DAC" w14:textId="37C92A1B" w:rsidR="000C0680" w:rsidRPr="009B1BAD" w:rsidRDefault="000C0680"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Dans l’un de ses premiers arrêts, </w:t>
      </w:r>
      <w:r w:rsidR="00FE3205" w:rsidRPr="009B1BAD">
        <w:rPr>
          <w:rFonts w:ascii="Times New Roman" w:hAnsi="Times New Roman" w:cs="Times New Roman"/>
        </w:rPr>
        <w:t>la Cour constitutionnelle</w:t>
      </w:r>
      <w:r w:rsidRPr="009B1BAD">
        <w:rPr>
          <w:rFonts w:ascii="Times New Roman" w:hAnsi="Times New Roman" w:cs="Times New Roman"/>
        </w:rPr>
        <w:t xml:space="preserve"> avait en effet d’ores et déjà </w:t>
      </w:r>
      <w:r w:rsidR="00FE3205" w:rsidRPr="009B1BAD">
        <w:rPr>
          <w:rFonts w:ascii="Times New Roman" w:hAnsi="Times New Roman" w:cs="Times New Roman"/>
        </w:rPr>
        <w:t>« </w:t>
      </w:r>
      <w:r w:rsidRPr="009B1BAD">
        <w:rPr>
          <w:rFonts w:ascii="Times New Roman" w:hAnsi="Times New Roman" w:cs="Times New Roman"/>
        </w:rPr>
        <w:t>reconnu</w:t>
      </w:r>
      <w:r w:rsidR="00FE3205" w:rsidRPr="009B1BAD">
        <w:rPr>
          <w:rFonts w:ascii="Times New Roman" w:hAnsi="Times New Roman" w:cs="Times New Roman"/>
        </w:rPr>
        <w:t> »</w:t>
      </w:r>
      <w:r w:rsidRPr="009B1BAD">
        <w:rPr>
          <w:rFonts w:ascii="Times New Roman" w:hAnsi="Times New Roman" w:cs="Times New Roman"/>
        </w:rPr>
        <w:t xml:space="preserve"> l’existence de ce principe, sans pour autant l’appliquer elle-même. </w:t>
      </w:r>
      <w:proofErr w:type="spellStart"/>
      <w:r w:rsidRPr="009B1BAD">
        <w:rPr>
          <w:rFonts w:ascii="Times New Roman" w:hAnsi="Times New Roman" w:cs="Times New Roman"/>
        </w:rPr>
        <w:t>Voy</w:t>
      </w:r>
      <w:proofErr w:type="spellEnd"/>
      <w:r w:rsidRPr="009B1BAD">
        <w:rPr>
          <w:rFonts w:ascii="Times New Roman" w:hAnsi="Times New Roman" w:cs="Times New Roman"/>
        </w:rPr>
        <w:t>. CC, n°70, 14 décembre 1988, pt. B.8</w:t>
      </w:r>
      <w:r w:rsidR="00FE3205" w:rsidRPr="009B1BAD">
        <w:rPr>
          <w:rFonts w:ascii="Times New Roman" w:hAnsi="Times New Roman" w:cs="Times New Roman"/>
        </w:rPr>
        <w:t> : « </w:t>
      </w:r>
      <w:r w:rsidRPr="009B1BAD">
        <w:rPr>
          <w:rFonts w:ascii="Times New Roman" w:hAnsi="Times New Roman" w:cs="Times New Roman"/>
        </w:rPr>
        <w:t xml:space="preserve">Lorsque la Cour annule des dispositions </w:t>
      </w:r>
      <w:r w:rsidR="00FE3205" w:rsidRPr="009B1BAD">
        <w:rPr>
          <w:rFonts w:ascii="Times New Roman" w:hAnsi="Times New Roman" w:cs="Times New Roman"/>
        </w:rPr>
        <w:t>décrétales</w:t>
      </w:r>
      <w:r w:rsidRPr="009B1BAD">
        <w:rPr>
          <w:rFonts w:ascii="Times New Roman" w:hAnsi="Times New Roman" w:cs="Times New Roman"/>
        </w:rPr>
        <w:t xml:space="preserve"> qui, en </w:t>
      </w:r>
      <w:r w:rsidR="00FE3205" w:rsidRPr="009B1BAD">
        <w:rPr>
          <w:rFonts w:ascii="Times New Roman" w:hAnsi="Times New Roman" w:cs="Times New Roman"/>
        </w:rPr>
        <w:t>méconnaissance</w:t>
      </w:r>
      <w:r w:rsidRPr="009B1BAD">
        <w:rPr>
          <w:rFonts w:ascii="Times New Roman" w:hAnsi="Times New Roman" w:cs="Times New Roman"/>
        </w:rPr>
        <w:t xml:space="preserve"> de la </w:t>
      </w:r>
      <w:r w:rsidR="00FE3205" w:rsidRPr="009B1BAD">
        <w:rPr>
          <w:rFonts w:ascii="Times New Roman" w:hAnsi="Times New Roman" w:cs="Times New Roman"/>
        </w:rPr>
        <w:t>répartition</w:t>
      </w:r>
      <w:r w:rsidRPr="009B1BAD">
        <w:rPr>
          <w:rFonts w:ascii="Times New Roman" w:hAnsi="Times New Roman" w:cs="Times New Roman"/>
        </w:rPr>
        <w:t xml:space="preserve"> constitutionnelle des </w:t>
      </w:r>
      <w:r w:rsidR="00FE3205" w:rsidRPr="009B1BAD">
        <w:rPr>
          <w:rFonts w:ascii="Times New Roman" w:hAnsi="Times New Roman" w:cs="Times New Roman"/>
        </w:rPr>
        <w:t>compétences</w:t>
      </w:r>
      <w:r w:rsidRPr="009B1BAD">
        <w:rPr>
          <w:rFonts w:ascii="Times New Roman" w:hAnsi="Times New Roman" w:cs="Times New Roman"/>
        </w:rPr>
        <w:t xml:space="preserve">, reproduisent ou </w:t>
      </w:r>
      <w:r w:rsidR="00FE3205" w:rsidRPr="009B1BAD">
        <w:rPr>
          <w:rFonts w:ascii="Times New Roman" w:hAnsi="Times New Roman" w:cs="Times New Roman"/>
        </w:rPr>
        <w:t>exécutent</w:t>
      </w:r>
      <w:r w:rsidRPr="009B1BAD">
        <w:rPr>
          <w:rFonts w:ascii="Times New Roman" w:hAnsi="Times New Roman" w:cs="Times New Roman"/>
        </w:rPr>
        <w:t xml:space="preserve"> des dispositions d'un traité, elle ne porte nullement atteinte au traité </w:t>
      </w:r>
      <w:r w:rsidR="00FE3205" w:rsidRPr="009B1BAD">
        <w:rPr>
          <w:rFonts w:ascii="Times New Roman" w:hAnsi="Times New Roman" w:cs="Times New Roman"/>
        </w:rPr>
        <w:t>lui-même</w:t>
      </w:r>
      <w:r w:rsidRPr="009B1BAD">
        <w:rPr>
          <w:rFonts w:ascii="Times New Roman" w:hAnsi="Times New Roman" w:cs="Times New Roman"/>
        </w:rPr>
        <w:t xml:space="preserve"> ni à la </w:t>
      </w:r>
      <w:r w:rsidR="00FE3205" w:rsidRPr="009B1BAD">
        <w:rPr>
          <w:rFonts w:ascii="Times New Roman" w:hAnsi="Times New Roman" w:cs="Times New Roman"/>
        </w:rPr>
        <w:t>primauté</w:t>
      </w:r>
      <w:r w:rsidRPr="009B1BAD">
        <w:rPr>
          <w:rFonts w:ascii="Times New Roman" w:hAnsi="Times New Roman" w:cs="Times New Roman"/>
        </w:rPr>
        <w:t xml:space="preserve">́ qui doit </w:t>
      </w:r>
      <w:r w:rsidR="00FE3205" w:rsidRPr="009B1BAD">
        <w:rPr>
          <w:rFonts w:ascii="Times New Roman" w:hAnsi="Times New Roman" w:cs="Times New Roman"/>
        </w:rPr>
        <w:t>être</w:t>
      </w:r>
      <w:r w:rsidRPr="009B1BAD">
        <w:rPr>
          <w:rFonts w:ascii="Times New Roman" w:hAnsi="Times New Roman" w:cs="Times New Roman"/>
        </w:rPr>
        <w:t xml:space="preserve"> reconnue </w:t>
      </w:r>
      <w:proofErr w:type="spellStart"/>
      <w:r w:rsidRPr="009B1BAD">
        <w:rPr>
          <w:rFonts w:ascii="Times New Roman" w:hAnsi="Times New Roman" w:cs="Times New Roman"/>
        </w:rPr>
        <w:t>a</w:t>
      </w:r>
      <w:proofErr w:type="spellEnd"/>
      <w:r w:rsidRPr="009B1BAD">
        <w:rPr>
          <w:rFonts w:ascii="Times New Roman" w:hAnsi="Times New Roman" w:cs="Times New Roman"/>
        </w:rPr>
        <w:t xml:space="preserve">̀ ce traité en vertu du principe de la </w:t>
      </w:r>
      <w:r w:rsidR="00FE3205" w:rsidRPr="009B1BAD">
        <w:rPr>
          <w:rFonts w:ascii="Times New Roman" w:hAnsi="Times New Roman" w:cs="Times New Roman"/>
        </w:rPr>
        <w:t>hiérarchie</w:t>
      </w:r>
      <w:r w:rsidRPr="009B1BAD">
        <w:rPr>
          <w:rFonts w:ascii="Times New Roman" w:hAnsi="Times New Roman" w:cs="Times New Roman"/>
        </w:rPr>
        <w:t xml:space="preserve"> des normes juridiques</w:t>
      </w:r>
      <w:r w:rsidR="00FE3205" w:rsidRPr="009B1BAD">
        <w:rPr>
          <w:rFonts w:ascii="Times New Roman" w:hAnsi="Times New Roman" w:cs="Times New Roman"/>
        </w:rPr>
        <w:t> »</w:t>
      </w:r>
    </w:p>
    <w:p w14:paraId="3A1DE22C" w14:textId="6F5EE4C9" w:rsidR="000C0680" w:rsidRPr="009B1BAD" w:rsidRDefault="000C0680" w:rsidP="009B1BAD">
      <w:pPr>
        <w:pStyle w:val="Notedebasdepage"/>
        <w:jc w:val="both"/>
        <w:rPr>
          <w:rFonts w:ascii="Times New Roman" w:hAnsi="Times New Roman" w:cs="Times New Roman"/>
        </w:rPr>
      </w:pPr>
    </w:p>
  </w:footnote>
  <w:footnote w:id="6">
    <w:p w14:paraId="03AD3316" w14:textId="1C22E103" w:rsidR="00FE3205" w:rsidRPr="009B1BAD" w:rsidRDefault="00FE3205"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lang w:val="fr-FR"/>
        </w:rPr>
        <w:t xml:space="preserve">Pour une illustration récente, </w:t>
      </w:r>
      <w:proofErr w:type="spellStart"/>
      <w:r w:rsidRPr="009B1BAD">
        <w:rPr>
          <w:rFonts w:ascii="Times New Roman" w:hAnsi="Times New Roman" w:cs="Times New Roman"/>
          <w:lang w:val="fr-FR"/>
        </w:rPr>
        <w:t>voy</w:t>
      </w:r>
      <w:proofErr w:type="spellEnd"/>
      <w:r w:rsidRPr="009B1BAD">
        <w:rPr>
          <w:rFonts w:ascii="Times New Roman" w:hAnsi="Times New Roman" w:cs="Times New Roman"/>
          <w:lang w:val="fr-FR"/>
        </w:rPr>
        <w:t>. CC, n°107/2021, 15 juillet 2021, B.57.5</w:t>
      </w:r>
    </w:p>
  </w:footnote>
  <w:footnote w:id="7">
    <w:p w14:paraId="72865F47" w14:textId="7E2264B5" w:rsidR="005B2983" w:rsidRPr="009B1BAD" w:rsidRDefault="005B2983"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i/>
        </w:rPr>
        <w:t xml:space="preserve">Ibid., </w:t>
      </w:r>
      <w:r w:rsidRPr="009B1BAD">
        <w:rPr>
          <w:rFonts w:ascii="Times New Roman" w:hAnsi="Times New Roman" w:cs="Times New Roman"/>
        </w:rPr>
        <w:t xml:space="preserve">B.57.7 et </w:t>
      </w:r>
      <w:proofErr w:type="spellStart"/>
      <w:r w:rsidRPr="009B1BAD">
        <w:rPr>
          <w:rFonts w:ascii="Times New Roman" w:hAnsi="Times New Roman" w:cs="Times New Roman"/>
        </w:rPr>
        <w:t>suiv</w:t>
      </w:r>
      <w:proofErr w:type="spellEnd"/>
      <w:r w:rsidRPr="009B1BAD">
        <w:rPr>
          <w:rFonts w:ascii="Times New Roman" w:hAnsi="Times New Roman" w:cs="Times New Roman"/>
        </w:rPr>
        <w:t>.</w:t>
      </w:r>
    </w:p>
  </w:footnote>
  <w:footnote w:id="8">
    <w:p w14:paraId="30D955C3" w14:textId="7BDA2217" w:rsidR="005B2983" w:rsidRPr="009B1BAD" w:rsidRDefault="005B2983" w:rsidP="009B1BAD">
      <w:pPr>
        <w:pStyle w:val="Notedebasdepage"/>
        <w:jc w:val="both"/>
        <w:rPr>
          <w:rFonts w:ascii="Times New Roman" w:hAnsi="Times New Roman" w:cs="Times New Roman"/>
          <w:i/>
        </w:rPr>
      </w:pPr>
      <w:r w:rsidRPr="009B1BAD">
        <w:rPr>
          <w:rStyle w:val="Appelnotedebasdep"/>
          <w:rFonts w:ascii="Times New Roman" w:hAnsi="Times New Roman" w:cs="Times New Roman"/>
        </w:rPr>
        <w:footnoteRef/>
      </w:r>
      <w:r w:rsidRPr="009B1BAD">
        <w:rPr>
          <w:rFonts w:ascii="Times New Roman" w:hAnsi="Times New Roman" w:cs="Times New Roman"/>
        </w:rPr>
        <w:t xml:space="preserve"> M. </w:t>
      </w:r>
      <w:proofErr w:type="spellStart"/>
      <w:r w:rsidRPr="009B1BAD">
        <w:rPr>
          <w:rFonts w:ascii="Times New Roman" w:hAnsi="Times New Roman" w:cs="Times New Roman"/>
        </w:rPr>
        <w:t>V</w:t>
      </w:r>
      <w:r w:rsidRPr="009B1BAD">
        <w:rPr>
          <w:rFonts w:ascii="Times New Roman" w:hAnsi="Times New Roman" w:cs="Times New Roman"/>
          <w:smallCaps/>
        </w:rPr>
        <w:t>erdussen</w:t>
      </w:r>
      <w:proofErr w:type="spellEnd"/>
      <w:r w:rsidRPr="009B1BAD">
        <w:rPr>
          <w:rFonts w:ascii="Times New Roman" w:hAnsi="Times New Roman" w:cs="Times New Roman"/>
        </w:rPr>
        <w:t xml:space="preserve">, </w:t>
      </w:r>
      <w:r w:rsidRPr="009B1BAD">
        <w:rPr>
          <w:rFonts w:ascii="Times New Roman" w:hAnsi="Times New Roman" w:cs="Times New Roman"/>
          <w:i/>
        </w:rPr>
        <w:t xml:space="preserve">Justice constitutionnelle, </w:t>
      </w:r>
      <w:r w:rsidRPr="009B1BAD">
        <w:rPr>
          <w:rFonts w:ascii="Times New Roman" w:hAnsi="Times New Roman" w:cs="Times New Roman"/>
        </w:rPr>
        <w:t xml:space="preserve">Bruxelles, </w:t>
      </w:r>
      <w:proofErr w:type="spellStart"/>
      <w:r w:rsidRPr="009B1BAD">
        <w:rPr>
          <w:rFonts w:ascii="Times New Roman" w:hAnsi="Times New Roman" w:cs="Times New Roman"/>
        </w:rPr>
        <w:t>Larcier</w:t>
      </w:r>
      <w:proofErr w:type="spellEnd"/>
      <w:r w:rsidRPr="009B1BAD">
        <w:rPr>
          <w:rFonts w:ascii="Times New Roman" w:hAnsi="Times New Roman" w:cs="Times New Roman"/>
        </w:rPr>
        <w:t>, 2012</w:t>
      </w:r>
      <w:r w:rsidRPr="00514D87">
        <w:rPr>
          <w:rFonts w:ascii="Times New Roman" w:hAnsi="Times New Roman" w:cs="Times New Roman"/>
        </w:rPr>
        <w:t>, p</w:t>
      </w:r>
      <w:r w:rsidR="00514D87" w:rsidRPr="00514D87">
        <w:rPr>
          <w:rFonts w:ascii="Times New Roman" w:hAnsi="Times New Roman" w:cs="Times New Roman"/>
        </w:rPr>
        <w:t>. 123</w:t>
      </w:r>
    </w:p>
  </w:footnote>
  <w:footnote w:id="9">
    <w:p w14:paraId="7BA8E46D" w14:textId="49D7D8A7" w:rsidR="005B2983" w:rsidRPr="009B1BAD" w:rsidRDefault="005B2983"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rPr>
        <w:t xml:space="preserve">Sur cette méthode,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w:t>
      </w:r>
      <w:proofErr w:type="spellStart"/>
      <w:r w:rsidRPr="009B1BAD">
        <w:rPr>
          <w:rFonts w:ascii="Times New Roman" w:hAnsi="Times New Roman" w:cs="Times New Roman"/>
        </w:rPr>
        <w:t>e.a</w:t>
      </w:r>
      <w:proofErr w:type="spellEnd"/>
      <w:r w:rsidRPr="009B1BAD">
        <w:rPr>
          <w:rFonts w:ascii="Times New Roman" w:hAnsi="Times New Roman" w:cs="Times New Roman"/>
        </w:rPr>
        <w:t>. G. R</w:t>
      </w:r>
      <w:r w:rsidRPr="009B1BAD">
        <w:rPr>
          <w:rFonts w:ascii="Times New Roman" w:hAnsi="Times New Roman" w:cs="Times New Roman"/>
          <w:smallCaps/>
        </w:rPr>
        <w:t>osoux</w:t>
      </w:r>
      <w:r w:rsidRPr="009B1BAD">
        <w:rPr>
          <w:rFonts w:ascii="Times New Roman" w:hAnsi="Times New Roman" w:cs="Times New Roman"/>
        </w:rPr>
        <w:t xml:space="preserve">, </w:t>
      </w:r>
      <w:r w:rsidRPr="009B1BAD">
        <w:rPr>
          <w:rFonts w:ascii="Times New Roman" w:hAnsi="Times New Roman" w:cs="Times New Roman"/>
          <w:i/>
        </w:rPr>
        <w:t xml:space="preserve">Vers une « dématérialisation » des droits fondamentaux ? Convergence des droits fondamentaux dans une protection fragmentée, à la lumière du raisonnement du juge constitutionnel belge, </w:t>
      </w:r>
      <w:r w:rsidRPr="009B1BAD">
        <w:rPr>
          <w:rFonts w:ascii="Times New Roman" w:hAnsi="Times New Roman" w:cs="Times New Roman"/>
        </w:rPr>
        <w:t xml:space="preserve">Bruxelles, </w:t>
      </w:r>
      <w:proofErr w:type="spellStart"/>
      <w:r w:rsidRPr="009B1BAD">
        <w:rPr>
          <w:rFonts w:ascii="Times New Roman" w:hAnsi="Times New Roman" w:cs="Times New Roman"/>
        </w:rPr>
        <w:t>Bruylant</w:t>
      </w:r>
      <w:proofErr w:type="spellEnd"/>
      <w:r w:rsidRPr="009B1BAD">
        <w:rPr>
          <w:rFonts w:ascii="Times New Roman" w:hAnsi="Times New Roman" w:cs="Times New Roman"/>
        </w:rPr>
        <w:t xml:space="preserve">, 2015, pp. 136 et </w:t>
      </w:r>
      <w:proofErr w:type="spellStart"/>
      <w:r w:rsidRPr="009B1BAD">
        <w:rPr>
          <w:rFonts w:ascii="Times New Roman" w:hAnsi="Times New Roman" w:cs="Times New Roman"/>
        </w:rPr>
        <w:t>suiv</w:t>
      </w:r>
      <w:proofErr w:type="spellEnd"/>
      <w:r w:rsidRPr="009B1BAD">
        <w:rPr>
          <w:rFonts w:ascii="Times New Roman" w:hAnsi="Times New Roman" w:cs="Times New Roman"/>
        </w:rPr>
        <w:t>.</w:t>
      </w:r>
    </w:p>
  </w:footnote>
  <w:footnote w:id="10">
    <w:p w14:paraId="596FA4BA" w14:textId="4C748A69" w:rsidR="005B2983" w:rsidRPr="009B1BAD" w:rsidRDefault="005B2983"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Sur cette méthode,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w:t>
      </w:r>
      <w:r w:rsidRPr="009B1BAD">
        <w:rPr>
          <w:rFonts w:ascii="Times New Roman" w:hAnsi="Times New Roman" w:cs="Times New Roman"/>
          <w:i/>
        </w:rPr>
        <w:t xml:space="preserve">Ibid., </w:t>
      </w:r>
      <w:r w:rsidRPr="009B1BAD">
        <w:rPr>
          <w:rFonts w:ascii="Times New Roman" w:hAnsi="Times New Roman" w:cs="Times New Roman"/>
        </w:rPr>
        <w:t xml:space="preserve">p. 148 et </w:t>
      </w:r>
      <w:proofErr w:type="spellStart"/>
      <w:r w:rsidRPr="009B1BAD">
        <w:rPr>
          <w:rFonts w:ascii="Times New Roman" w:hAnsi="Times New Roman" w:cs="Times New Roman"/>
        </w:rPr>
        <w:t>suiv</w:t>
      </w:r>
      <w:proofErr w:type="spellEnd"/>
      <w:r w:rsidRPr="009B1BAD">
        <w:rPr>
          <w:rFonts w:ascii="Times New Roman" w:hAnsi="Times New Roman" w:cs="Times New Roman"/>
        </w:rPr>
        <w:t>.</w:t>
      </w:r>
    </w:p>
  </w:footnote>
  <w:footnote w:id="11">
    <w:p w14:paraId="0143B0A7" w14:textId="2022CAED" w:rsidR="000C1996" w:rsidRPr="009B1BAD" w:rsidRDefault="000C1996"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M. </w:t>
      </w:r>
      <w:proofErr w:type="spellStart"/>
      <w:r w:rsidRPr="009B1BAD">
        <w:rPr>
          <w:rFonts w:ascii="Times New Roman" w:hAnsi="Times New Roman" w:cs="Times New Roman"/>
        </w:rPr>
        <w:t>V</w:t>
      </w:r>
      <w:r w:rsidRPr="009B1BAD">
        <w:rPr>
          <w:rFonts w:ascii="Times New Roman" w:hAnsi="Times New Roman" w:cs="Times New Roman"/>
          <w:smallCaps/>
        </w:rPr>
        <w:t>erdussen</w:t>
      </w:r>
      <w:proofErr w:type="spellEnd"/>
      <w:r w:rsidRPr="009B1BAD">
        <w:rPr>
          <w:rFonts w:ascii="Times New Roman" w:hAnsi="Times New Roman" w:cs="Times New Roman"/>
        </w:rPr>
        <w:t xml:space="preserve">, </w:t>
      </w:r>
      <w:r w:rsidRPr="009B1BAD">
        <w:rPr>
          <w:rFonts w:ascii="Times New Roman" w:hAnsi="Times New Roman" w:cs="Times New Roman"/>
          <w:i/>
        </w:rPr>
        <w:t xml:space="preserve">Justice constitutionnelle, </w:t>
      </w:r>
      <w:r w:rsidRPr="009B1BAD">
        <w:rPr>
          <w:rFonts w:ascii="Times New Roman" w:hAnsi="Times New Roman" w:cs="Times New Roman"/>
        </w:rPr>
        <w:t xml:space="preserve">Bruxelles, </w:t>
      </w:r>
      <w:proofErr w:type="spellStart"/>
      <w:r w:rsidRPr="009B1BAD">
        <w:rPr>
          <w:rFonts w:ascii="Times New Roman" w:hAnsi="Times New Roman" w:cs="Times New Roman"/>
        </w:rPr>
        <w:t>Larcier</w:t>
      </w:r>
      <w:proofErr w:type="spellEnd"/>
      <w:r w:rsidRPr="009B1BAD">
        <w:rPr>
          <w:rFonts w:ascii="Times New Roman" w:hAnsi="Times New Roman" w:cs="Times New Roman"/>
        </w:rPr>
        <w:t xml:space="preserve">, 2012, </w:t>
      </w:r>
      <w:r w:rsidRPr="00173957">
        <w:rPr>
          <w:rFonts w:ascii="Times New Roman" w:hAnsi="Times New Roman" w:cs="Times New Roman"/>
        </w:rPr>
        <w:t>p</w:t>
      </w:r>
      <w:r w:rsidR="00173957" w:rsidRPr="00173957">
        <w:rPr>
          <w:rFonts w:ascii="Times New Roman" w:hAnsi="Times New Roman" w:cs="Times New Roman"/>
        </w:rPr>
        <w:t>p. 123</w:t>
      </w:r>
      <w:r w:rsidR="00173957">
        <w:rPr>
          <w:rFonts w:ascii="Times New Roman" w:hAnsi="Times New Roman" w:cs="Times New Roman"/>
        </w:rPr>
        <w:t>-125</w:t>
      </w:r>
    </w:p>
  </w:footnote>
  <w:footnote w:id="12">
    <w:p w14:paraId="41B66025" w14:textId="084A5920" w:rsidR="002E5367" w:rsidRPr="009B1BAD" w:rsidRDefault="002E5367"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lang w:val="fr-FR"/>
        </w:rPr>
        <w:t>CC, n°148/2015, 22 octobre 2015, pt. B.3.2 ; n°32/2017, 9 mars 2017, pt. B.10</w:t>
      </w:r>
    </w:p>
  </w:footnote>
  <w:footnote w:id="13">
    <w:p w14:paraId="3A5EC20B" w14:textId="55EEABDB" w:rsidR="005B2983" w:rsidRPr="009B1BAD" w:rsidRDefault="005B2983"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Style w:val="Appelnotedebasdep"/>
          <w:rFonts w:ascii="Times New Roman" w:hAnsi="Times New Roman" w:cs="Times New Roman"/>
        </w:rPr>
        <w:footnoteRef/>
      </w:r>
      <w:r w:rsidRPr="009B1BAD">
        <w:rPr>
          <w:rFonts w:ascii="Times New Roman" w:hAnsi="Times New Roman" w:cs="Times New Roman"/>
        </w:rPr>
        <w:t xml:space="preserve"> CC., n°136/2004, 22 juillet 2004, pt. B.5.3</w:t>
      </w:r>
    </w:p>
  </w:footnote>
  <w:footnote w:id="14">
    <w:p w14:paraId="160A2F45" w14:textId="5DA099BD" w:rsidR="000C1996" w:rsidRPr="009B1BAD" w:rsidRDefault="000C1996"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C. </w:t>
      </w:r>
      <w:proofErr w:type="spellStart"/>
      <w:r w:rsidRPr="009B1BAD">
        <w:rPr>
          <w:rFonts w:ascii="Times New Roman" w:hAnsi="Times New Roman" w:cs="Times New Roman"/>
        </w:rPr>
        <w:t>H</w:t>
      </w:r>
      <w:r w:rsidRPr="009B1BAD">
        <w:rPr>
          <w:rFonts w:ascii="Times New Roman" w:hAnsi="Times New Roman" w:cs="Times New Roman"/>
          <w:smallCaps/>
        </w:rPr>
        <w:t>orevoets</w:t>
      </w:r>
      <w:proofErr w:type="spellEnd"/>
      <w:r w:rsidRPr="009B1BAD">
        <w:rPr>
          <w:rFonts w:ascii="Times New Roman" w:hAnsi="Times New Roman" w:cs="Times New Roman"/>
        </w:rPr>
        <w:t xml:space="preserve">, « IV.1. Le contrôle ‘combiné’ de la Cour constitutionnelle », in </w:t>
      </w:r>
      <w:r w:rsidRPr="009B1BAD">
        <w:rPr>
          <w:rFonts w:ascii="Times New Roman" w:hAnsi="Times New Roman" w:cs="Times New Roman"/>
          <w:i/>
        </w:rPr>
        <w:t xml:space="preserve">Le droit international et européen des droits de l’Homme devant le juge national, </w:t>
      </w:r>
      <w:r w:rsidRPr="009B1BAD">
        <w:rPr>
          <w:rFonts w:ascii="Times New Roman" w:hAnsi="Times New Roman" w:cs="Times New Roman"/>
        </w:rPr>
        <w:t xml:space="preserve">sous la </w:t>
      </w:r>
      <w:proofErr w:type="spellStart"/>
      <w:r w:rsidRPr="009B1BAD">
        <w:rPr>
          <w:rFonts w:ascii="Times New Roman" w:hAnsi="Times New Roman" w:cs="Times New Roman"/>
        </w:rPr>
        <w:t>dir</w:t>
      </w:r>
      <w:proofErr w:type="spellEnd"/>
      <w:r w:rsidRPr="009B1BAD">
        <w:rPr>
          <w:rFonts w:ascii="Times New Roman" w:hAnsi="Times New Roman" w:cs="Times New Roman"/>
        </w:rPr>
        <w:t xml:space="preserve"> de S. Van Drooghenbroeck, Bruxelles, </w:t>
      </w:r>
      <w:proofErr w:type="spellStart"/>
      <w:r w:rsidRPr="009B1BAD">
        <w:rPr>
          <w:rFonts w:ascii="Times New Roman" w:hAnsi="Times New Roman" w:cs="Times New Roman"/>
        </w:rPr>
        <w:t>Larcier</w:t>
      </w:r>
      <w:proofErr w:type="spellEnd"/>
      <w:r w:rsidRPr="009B1BAD">
        <w:rPr>
          <w:rFonts w:ascii="Times New Roman" w:hAnsi="Times New Roman" w:cs="Times New Roman"/>
        </w:rPr>
        <w:t>, 2014, p. 90</w:t>
      </w:r>
    </w:p>
  </w:footnote>
  <w:footnote w:id="15">
    <w:p w14:paraId="613EEACE" w14:textId="7DE5061A" w:rsidR="000C1996" w:rsidRPr="009B1BAD" w:rsidRDefault="000C1996"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i/>
        </w:rPr>
        <w:t xml:space="preserve">Ibid., </w:t>
      </w:r>
      <w:r w:rsidRPr="009B1BAD">
        <w:rPr>
          <w:rFonts w:ascii="Times New Roman" w:hAnsi="Times New Roman" w:cs="Times New Roman"/>
        </w:rPr>
        <w:t>p. 90</w:t>
      </w:r>
    </w:p>
  </w:footnote>
  <w:footnote w:id="16">
    <w:p w14:paraId="04123563" w14:textId="3532138C" w:rsidR="006A4898" w:rsidRPr="009B1BAD" w:rsidRDefault="006A4898"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CC, n°35/94, 10 mai 1994</w:t>
      </w:r>
    </w:p>
  </w:footnote>
  <w:footnote w:id="17">
    <w:p w14:paraId="2EC5D313" w14:textId="68F4FD4F" w:rsidR="006A4898" w:rsidRPr="009B1BAD" w:rsidRDefault="006A4898"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002D7796" w:rsidRPr="009B1BAD">
        <w:rPr>
          <w:rFonts w:ascii="Times New Roman" w:hAnsi="Times New Roman" w:cs="Times New Roman"/>
        </w:rPr>
        <w:t>CC, n°36/94, 10 mai 1994</w:t>
      </w:r>
    </w:p>
  </w:footnote>
  <w:footnote w:id="18">
    <w:p w14:paraId="485CCA61" w14:textId="7CADD5C0" w:rsidR="00454DB9" w:rsidRPr="009B1BAD" w:rsidRDefault="00454DB9"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002D7796" w:rsidRPr="009B1BAD">
        <w:rPr>
          <w:rFonts w:ascii="Times New Roman" w:hAnsi="Times New Roman" w:cs="Times New Roman"/>
        </w:rPr>
        <w:t xml:space="preserve">CC., n°35/94, 10 mai 1994, pt. B.3.1. </w:t>
      </w:r>
      <w:proofErr w:type="spellStart"/>
      <w:r w:rsidRPr="009B1BAD">
        <w:rPr>
          <w:rFonts w:ascii="Times New Roman" w:hAnsi="Times New Roman" w:cs="Times New Roman"/>
        </w:rPr>
        <w:t>Voy</w:t>
      </w:r>
      <w:proofErr w:type="spellEnd"/>
      <w:r w:rsidRPr="009B1BAD">
        <w:rPr>
          <w:rFonts w:ascii="Times New Roman" w:hAnsi="Times New Roman" w:cs="Times New Roman"/>
        </w:rPr>
        <w:t>. ég. CC, n°19/97, 14 juillet 1997, où la Cour en arrive en substance à exercer un contrôle de compatibilité avec l’article 6 de la Convention européenne des droits de l’Homme de celles des dispositions de la loi spéciale du 6 janvier 1989 qui organisent l’intervention des juges rapporteurs dans le cadre de la procédure préliminaire (B.6 à B.8)</w:t>
      </w:r>
    </w:p>
  </w:footnote>
  <w:footnote w:id="19">
    <w:p w14:paraId="0975ABE1" w14:textId="04FD2042" w:rsidR="00B27D51" w:rsidRPr="009B1BAD" w:rsidRDefault="00B27D51"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lang w:val="fr-FR"/>
        </w:rPr>
        <w:t>L’auteur tient à remercier Romain Vanderbeck d’avoir attiré son attention sur ceux-ci.</w:t>
      </w:r>
    </w:p>
  </w:footnote>
  <w:footnote w:id="20">
    <w:p w14:paraId="040BD2C4" w14:textId="595C3DA6" w:rsidR="002D7796" w:rsidRPr="009B1BAD" w:rsidRDefault="002D7796"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CC, n°167/2020, 17 décembre 2020</w:t>
      </w:r>
    </w:p>
  </w:footnote>
  <w:footnote w:id="21">
    <w:p w14:paraId="6FD98DBE" w14:textId="4E9C4383" w:rsidR="002D7796" w:rsidRPr="009B1BAD" w:rsidRDefault="002D7796"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le point B.17.3 de l’arrêt, citant CJCE, 21 février 1991, C-143/88 et C-92/89, </w:t>
      </w:r>
      <w:proofErr w:type="spellStart"/>
      <w:r w:rsidRPr="009B1BAD">
        <w:rPr>
          <w:rFonts w:ascii="Times New Roman" w:hAnsi="Times New Roman" w:cs="Times New Roman"/>
          <w:i/>
          <w:iCs/>
        </w:rPr>
        <w:t>Zuckerfabrik</w:t>
      </w:r>
      <w:proofErr w:type="spellEnd"/>
      <w:r w:rsidRPr="009B1BAD">
        <w:rPr>
          <w:rFonts w:ascii="Times New Roman" w:hAnsi="Times New Roman" w:cs="Times New Roman"/>
          <w:i/>
          <w:iCs/>
        </w:rPr>
        <w:t xml:space="preserve"> </w:t>
      </w:r>
      <w:proofErr w:type="spellStart"/>
      <w:r w:rsidRPr="009B1BAD">
        <w:rPr>
          <w:rFonts w:ascii="Times New Roman" w:hAnsi="Times New Roman" w:cs="Times New Roman"/>
          <w:i/>
          <w:iCs/>
        </w:rPr>
        <w:t>SüderdithmarschenAG</w:t>
      </w:r>
      <w:proofErr w:type="spellEnd"/>
      <w:r w:rsidRPr="009B1BAD">
        <w:rPr>
          <w:rFonts w:ascii="Times New Roman" w:hAnsi="Times New Roman" w:cs="Times New Roman"/>
          <w:i/>
          <w:iCs/>
        </w:rPr>
        <w:t xml:space="preserve"> et </w:t>
      </w:r>
      <w:proofErr w:type="spellStart"/>
      <w:r w:rsidRPr="009B1BAD">
        <w:rPr>
          <w:rFonts w:ascii="Times New Roman" w:hAnsi="Times New Roman" w:cs="Times New Roman"/>
          <w:i/>
          <w:iCs/>
        </w:rPr>
        <w:t>Zuckerfabrik</w:t>
      </w:r>
      <w:proofErr w:type="spellEnd"/>
      <w:r w:rsidRPr="009B1BAD">
        <w:rPr>
          <w:rFonts w:ascii="Times New Roman" w:hAnsi="Times New Roman" w:cs="Times New Roman"/>
          <w:i/>
          <w:iCs/>
        </w:rPr>
        <w:t xml:space="preserve"> </w:t>
      </w:r>
      <w:proofErr w:type="spellStart"/>
      <w:r w:rsidRPr="009B1BAD">
        <w:rPr>
          <w:rFonts w:ascii="Times New Roman" w:hAnsi="Times New Roman" w:cs="Times New Roman"/>
          <w:i/>
          <w:iCs/>
        </w:rPr>
        <w:t>SoestGmbH</w:t>
      </w:r>
      <w:proofErr w:type="spellEnd"/>
      <w:r w:rsidRPr="009B1BAD">
        <w:rPr>
          <w:rFonts w:ascii="Times New Roman" w:hAnsi="Times New Roman" w:cs="Times New Roman"/>
        </w:rPr>
        <w:t xml:space="preserve">, points 16-17 </w:t>
      </w:r>
    </w:p>
  </w:footnote>
  <w:footnote w:id="22">
    <w:p w14:paraId="5A0DB342" w14:textId="05C31443" w:rsidR="002D7796" w:rsidRPr="009B1BAD" w:rsidRDefault="002D7796"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i/>
        </w:rPr>
        <w:t xml:space="preserve">Ibid., </w:t>
      </w:r>
      <w:r w:rsidRPr="009B1BAD">
        <w:rPr>
          <w:rFonts w:ascii="Times New Roman" w:hAnsi="Times New Roman" w:cs="Times New Roman"/>
        </w:rPr>
        <w:t>pt. 17.4.</w:t>
      </w:r>
    </w:p>
  </w:footnote>
  <w:footnote w:id="23">
    <w:p w14:paraId="3F973289" w14:textId="2CF23C59" w:rsidR="001933EB" w:rsidRPr="009B1BAD" w:rsidRDefault="001933EB"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CC, n°168/2020, 17 décembre 2020.</w:t>
      </w:r>
    </w:p>
  </w:footnote>
  <w:footnote w:id="24">
    <w:p w14:paraId="1E871107" w14:textId="77777777" w:rsidR="003F6398" w:rsidRPr="003C6A00" w:rsidRDefault="003F6398" w:rsidP="009B1BAD">
      <w:pPr>
        <w:pStyle w:val="Sansinterligne"/>
        <w:jc w:val="both"/>
        <w:rPr>
          <w:sz w:val="20"/>
          <w:szCs w:val="20"/>
          <w:lang w:val="nl-BE"/>
        </w:rPr>
      </w:pPr>
      <w:r w:rsidRPr="009B1BAD">
        <w:rPr>
          <w:rStyle w:val="Marquenotebasde"/>
          <w:sz w:val="20"/>
          <w:szCs w:val="20"/>
        </w:rPr>
        <w:footnoteRef/>
      </w:r>
      <w:r w:rsidRPr="009B1BAD">
        <w:rPr>
          <w:sz w:val="20"/>
          <w:szCs w:val="20"/>
        </w:rPr>
        <w:t xml:space="preserve"> </w:t>
      </w:r>
      <w:proofErr w:type="spellStart"/>
      <w:r w:rsidRPr="009B1BAD">
        <w:rPr>
          <w:sz w:val="20"/>
          <w:szCs w:val="20"/>
        </w:rPr>
        <w:t>Voy</w:t>
      </w:r>
      <w:proofErr w:type="spellEnd"/>
      <w:r w:rsidRPr="009B1BAD">
        <w:rPr>
          <w:sz w:val="20"/>
          <w:szCs w:val="20"/>
        </w:rPr>
        <w:t xml:space="preserve">. en ce sens les rappels de J. Velu, « Avis sur le Projet de loi spéciale modifiant la loi spéciale du 6 janvier 1989 sur la Cour d’arbitrage », Rapport fait au nom de la Commission des affaires institutionnelles par M. Barbeaux à propos du projet de loi spéciale modifiant la loi du 6 janvier 1989 sur la Cour d’arbitrage et de la Révision du titre II de la Constitution, en vue d’y insérer une disposition nouvelle permettant d’assurer la protection des droits et libertés garantis par la Convention de sauvegarde des droits de l’Homme et des libertés fondamentales, </w:t>
      </w:r>
      <w:r w:rsidRPr="009B1BAD">
        <w:rPr>
          <w:i/>
          <w:iCs/>
          <w:sz w:val="20"/>
          <w:szCs w:val="20"/>
        </w:rPr>
        <w:t xml:space="preserve">Doc. </w:t>
      </w:r>
      <w:proofErr w:type="spellStart"/>
      <w:proofErr w:type="gramStart"/>
      <w:r w:rsidRPr="009B1BAD">
        <w:rPr>
          <w:i/>
          <w:iCs/>
          <w:sz w:val="20"/>
          <w:szCs w:val="20"/>
        </w:rPr>
        <w:t>parl</w:t>
      </w:r>
      <w:proofErr w:type="spellEnd"/>
      <w:proofErr w:type="gramEnd"/>
      <w:r w:rsidRPr="009B1BAD">
        <w:rPr>
          <w:i/>
          <w:iCs/>
          <w:sz w:val="20"/>
          <w:szCs w:val="20"/>
        </w:rPr>
        <w:t xml:space="preserve"> Sénat, </w:t>
      </w:r>
      <w:proofErr w:type="spellStart"/>
      <w:r w:rsidRPr="009B1BAD">
        <w:rPr>
          <w:sz w:val="20"/>
          <w:szCs w:val="20"/>
        </w:rPr>
        <w:t>sess</w:t>
      </w:r>
      <w:proofErr w:type="spellEnd"/>
      <w:r w:rsidRPr="009B1BAD">
        <w:rPr>
          <w:sz w:val="20"/>
          <w:szCs w:val="20"/>
        </w:rPr>
        <w:t xml:space="preserve">. </w:t>
      </w:r>
      <w:r w:rsidRPr="003C6A00">
        <w:rPr>
          <w:sz w:val="20"/>
          <w:szCs w:val="20"/>
          <w:lang w:val="nl-BE"/>
        </w:rPr>
        <w:t xml:space="preserve">2002-2003, n°897/6, pp. 263-264. </w:t>
      </w:r>
      <w:r w:rsidRPr="003C6A00">
        <w:rPr>
          <w:i/>
          <w:sz w:val="20"/>
          <w:szCs w:val="20"/>
          <w:lang w:val="nl-BE"/>
        </w:rPr>
        <w:t xml:space="preserve">Adde </w:t>
      </w:r>
      <w:r w:rsidRPr="003C6A00">
        <w:rPr>
          <w:sz w:val="20"/>
          <w:szCs w:val="20"/>
          <w:lang w:val="nl-BE"/>
        </w:rPr>
        <w:t xml:space="preserve">J. </w:t>
      </w:r>
      <w:r w:rsidRPr="003C6A00">
        <w:rPr>
          <w:smallCaps/>
          <w:sz w:val="20"/>
          <w:szCs w:val="20"/>
          <w:lang w:val="nl-BE"/>
        </w:rPr>
        <w:t xml:space="preserve">Velaers, </w:t>
      </w:r>
      <w:r w:rsidRPr="003C6A00">
        <w:rPr>
          <w:i/>
          <w:sz w:val="20"/>
          <w:szCs w:val="20"/>
          <w:lang w:val="nl-BE"/>
        </w:rPr>
        <w:t xml:space="preserve">Van Arbitragehof tot Grondwettelijk Hof, </w:t>
      </w:r>
      <w:r w:rsidRPr="003C6A00">
        <w:rPr>
          <w:sz w:val="20"/>
          <w:szCs w:val="20"/>
          <w:lang w:val="nl-BE"/>
        </w:rPr>
        <w:t>Anvers, Maklu, 1990, pp. 249 et suiv. et réf. citées.</w:t>
      </w:r>
    </w:p>
  </w:footnote>
  <w:footnote w:id="25">
    <w:p w14:paraId="3EA502AC" w14:textId="77777777" w:rsidR="003F6398" w:rsidRPr="009B1BAD" w:rsidRDefault="003F6398" w:rsidP="009B1BAD">
      <w:pPr>
        <w:pStyle w:val="Sansinterligne"/>
        <w:jc w:val="both"/>
        <w:rPr>
          <w:sz w:val="20"/>
          <w:szCs w:val="20"/>
        </w:rPr>
      </w:pPr>
      <w:r w:rsidRPr="009B1BAD">
        <w:rPr>
          <w:rStyle w:val="Marquenotebasde"/>
          <w:sz w:val="20"/>
          <w:szCs w:val="20"/>
        </w:rPr>
        <w:footnoteRef/>
      </w:r>
      <w:r w:rsidRPr="009B1BAD">
        <w:rPr>
          <w:sz w:val="20"/>
          <w:szCs w:val="20"/>
        </w:rPr>
        <w:t xml:space="preserve"> </w:t>
      </w:r>
      <w:r w:rsidRPr="009B1BAD">
        <w:rPr>
          <w:i/>
          <w:iCs/>
          <w:sz w:val="20"/>
          <w:szCs w:val="20"/>
        </w:rPr>
        <w:t xml:space="preserve">Ibid., </w:t>
      </w:r>
      <w:r w:rsidRPr="009B1BAD">
        <w:rPr>
          <w:sz w:val="20"/>
          <w:szCs w:val="20"/>
        </w:rPr>
        <w:t>p. 264</w:t>
      </w:r>
    </w:p>
  </w:footnote>
  <w:footnote w:id="26">
    <w:p w14:paraId="5B64651D" w14:textId="5A0E4478" w:rsidR="003F6398" w:rsidRPr="009B1BAD" w:rsidRDefault="003F6398" w:rsidP="009B1BAD">
      <w:pPr>
        <w:pStyle w:val="Sansinterligne"/>
        <w:jc w:val="both"/>
        <w:rPr>
          <w:sz w:val="20"/>
          <w:szCs w:val="20"/>
        </w:rPr>
      </w:pPr>
      <w:r w:rsidRPr="009B1BAD">
        <w:rPr>
          <w:rStyle w:val="Marquenotebasde"/>
          <w:sz w:val="20"/>
          <w:szCs w:val="20"/>
        </w:rPr>
        <w:footnoteRef/>
      </w:r>
      <w:r w:rsidRPr="009B1BAD">
        <w:rPr>
          <w:sz w:val="20"/>
          <w:szCs w:val="20"/>
        </w:rPr>
        <w:t xml:space="preserve"> Sur cet article 32</w:t>
      </w:r>
      <w:r w:rsidRPr="009B1BAD">
        <w:rPr>
          <w:i/>
          <w:sz w:val="20"/>
          <w:szCs w:val="20"/>
        </w:rPr>
        <w:t xml:space="preserve">bis </w:t>
      </w:r>
      <w:r w:rsidRPr="009B1BAD">
        <w:rPr>
          <w:sz w:val="20"/>
          <w:szCs w:val="20"/>
        </w:rPr>
        <w:t xml:space="preserve">« mort-né », </w:t>
      </w:r>
      <w:proofErr w:type="spellStart"/>
      <w:r w:rsidRPr="009B1BAD">
        <w:rPr>
          <w:sz w:val="20"/>
          <w:szCs w:val="20"/>
        </w:rPr>
        <w:t>voy</w:t>
      </w:r>
      <w:proofErr w:type="spellEnd"/>
      <w:r w:rsidRPr="009B1BAD">
        <w:rPr>
          <w:sz w:val="20"/>
          <w:szCs w:val="20"/>
        </w:rPr>
        <w:t>. e. a., F.</w:t>
      </w:r>
      <w:r w:rsidRPr="009B1BAD">
        <w:rPr>
          <w:smallCaps/>
          <w:sz w:val="20"/>
          <w:szCs w:val="20"/>
        </w:rPr>
        <w:t xml:space="preserve"> </w:t>
      </w:r>
      <w:proofErr w:type="spellStart"/>
      <w:r w:rsidRPr="009B1BAD">
        <w:rPr>
          <w:smallCaps/>
          <w:sz w:val="20"/>
          <w:szCs w:val="20"/>
        </w:rPr>
        <w:t>Tulkens</w:t>
      </w:r>
      <w:proofErr w:type="spellEnd"/>
      <w:r w:rsidRPr="009B1BAD">
        <w:rPr>
          <w:sz w:val="20"/>
          <w:szCs w:val="20"/>
        </w:rPr>
        <w:t xml:space="preserve"> et S. </w:t>
      </w:r>
      <w:r w:rsidRPr="009B1BAD">
        <w:rPr>
          <w:smallCaps/>
          <w:sz w:val="20"/>
          <w:szCs w:val="20"/>
        </w:rPr>
        <w:t>Van Drooghenbroeck</w:t>
      </w:r>
      <w:r w:rsidRPr="009B1BAD">
        <w:rPr>
          <w:sz w:val="20"/>
          <w:szCs w:val="20"/>
        </w:rPr>
        <w:t xml:space="preserve">, « La Cour de cassation et la Cour européenne des droits de l’Homme. Les voies de la banalisation », </w:t>
      </w:r>
      <w:proofErr w:type="spellStart"/>
      <w:r w:rsidRPr="009B1BAD">
        <w:rPr>
          <w:i/>
          <w:sz w:val="20"/>
          <w:szCs w:val="20"/>
        </w:rPr>
        <w:t>Imperat</w:t>
      </w:r>
      <w:proofErr w:type="spellEnd"/>
      <w:r w:rsidRPr="009B1BAD">
        <w:rPr>
          <w:i/>
          <w:sz w:val="20"/>
          <w:szCs w:val="20"/>
        </w:rPr>
        <w:t xml:space="preserve"> </w:t>
      </w:r>
      <w:proofErr w:type="spellStart"/>
      <w:r w:rsidRPr="009B1BAD">
        <w:rPr>
          <w:i/>
          <w:sz w:val="20"/>
          <w:szCs w:val="20"/>
        </w:rPr>
        <w:t>lex</w:t>
      </w:r>
      <w:proofErr w:type="spellEnd"/>
      <w:r w:rsidRPr="009B1BAD">
        <w:rPr>
          <w:i/>
          <w:sz w:val="20"/>
          <w:szCs w:val="20"/>
        </w:rPr>
        <w:t xml:space="preserve">. Liber </w:t>
      </w:r>
      <w:proofErr w:type="spellStart"/>
      <w:r w:rsidRPr="009B1BAD">
        <w:rPr>
          <w:i/>
          <w:sz w:val="20"/>
          <w:szCs w:val="20"/>
        </w:rPr>
        <w:t>amicorum</w:t>
      </w:r>
      <w:proofErr w:type="spellEnd"/>
      <w:r w:rsidRPr="009B1BAD">
        <w:rPr>
          <w:i/>
          <w:sz w:val="20"/>
          <w:szCs w:val="20"/>
        </w:rPr>
        <w:t xml:space="preserve"> P. Marchal, </w:t>
      </w:r>
      <w:r w:rsidRPr="009B1BAD">
        <w:rPr>
          <w:sz w:val="20"/>
          <w:szCs w:val="20"/>
        </w:rPr>
        <w:t xml:space="preserve">Bruxelles, </w:t>
      </w:r>
      <w:proofErr w:type="spellStart"/>
      <w:r w:rsidRPr="009B1BAD">
        <w:rPr>
          <w:sz w:val="20"/>
          <w:szCs w:val="20"/>
        </w:rPr>
        <w:t>Larcier</w:t>
      </w:r>
      <w:proofErr w:type="spellEnd"/>
      <w:r w:rsidRPr="009B1BAD">
        <w:rPr>
          <w:sz w:val="20"/>
          <w:szCs w:val="20"/>
        </w:rPr>
        <w:t xml:space="preserve">, 2003, pp. 128-134. </w:t>
      </w:r>
    </w:p>
  </w:footnote>
  <w:footnote w:id="27">
    <w:p w14:paraId="38D74F4C" w14:textId="77777777" w:rsidR="003F6398" w:rsidRPr="009B1BAD" w:rsidRDefault="003F6398" w:rsidP="009B1BAD">
      <w:pPr>
        <w:pStyle w:val="Sansinterligne"/>
        <w:jc w:val="both"/>
        <w:rPr>
          <w:sz w:val="20"/>
          <w:szCs w:val="20"/>
        </w:rPr>
      </w:pPr>
      <w:r w:rsidRPr="009B1BAD">
        <w:rPr>
          <w:rStyle w:val="Marquenotebasde"/>
          <w:sz w:val="20"/>
          <w:szCs w:val="20"/>
        </w:rPr>
        <w:footnoteRef/>
      </w:r>
      <w:r w:rsidRPr="009B1BAD">
        <w:rPr>
          <w:sz w:val="20"/>
          <w:szCs w:val="20"/>
        </w:rPr>
        <w:t xml:space="preserve"> </w:t>
      </w:r>
      <w:proofErr w:type="spellStart"/>
      <w:r w:rsidRPr="009B1BAD">
        <w:rPr>
          <w:sz w:val="20"/>
          <w:szCs w:val="20"/>
        </w:rPr>
        <w:t>Voy</w:t>
      </w:r>
      <w:proofErr w:type="spellEnd"/>
      <w:r w:rsidRPr="009B1BAD">
        <w:rPr>
          <w:sz w:val="20"/>
          <w:szCs w:val="20"/>
        </w:rPr>
        <w:t xml:space="preserve">., en effet, </w:t>
      </w:r>
      <w:r w:rsidRPr="009B1BAD">
        <w:rPr>
          <w:i/>
          <w:sz w:val="20"/>
          <w:szCs w:val="20"/>
        </w:rPr>
        <w:t xml:space="preserve">a contrario, </w:t>
      </w:r>
      <w:r w:rsidRPr="009B1BAD">
        <w:rPr>
          <w:sz w:val="20"/>
          <w:szCs w:val="20"/>
        </w:rPr>
        <w:t>CC, n°171/2008, 3 décembre 2008, pt. B.2.1. : « </w:t>
      </w:r>
      <w:r w:rsidRPr="009B1BAD">
        <w:rPr>
          <w:rFonts w:eastAsia="Times New Roman"/>
          <w:sz w:val="20"/>
          <w:szCs w:val="20"/>
        </w:rPr>
        <w:t xml:space="preserve">Lorsque la Cour, (…), est appelée à vérifier le respect du principe d’égalité et de non- discrimination, combiné avec une </w:t>
      </w:r>
      <w:proofErr w:type="gramStart"/>
      <w:r w:rsidRPr="009B1BAD">
        <w:rPr>
          <w:rFonts w:eastAsia="Times New Roman"/>
          <w:sz w:val="20"/>
          <w:szCs w:val="20"/>
        </w:rPr>
        <w:t>disposition  conventionnelle</w:t>
      </w:r>
      <w:proofErr w:type="gramEnd"/>
      <w:r w:rsidRPr="009B1BAD">
        <w:rPr>
          <w:rFonts w:eastAsia="Times New Roman"/>
          <w:sz w:val="20"/>
          <w:szCs w:val="20"/>
        </w:rPr>
        <w:t xml:space="preserve"> garantissant un droit fondamental, il suffit de  constater que cette disposition conventionnelle est violée pour conclure que la catégorie de personnes dont ce droit fondamental est violé est discriminée par rapport à la catégorie de personnes auxquelles ce droit fondamental est garanti ». </w:t>
      </w:r>
      <w:proofErr w:type="spellStart"/>
      <w:r w:rsidRPr="009B1BAD">
        <w:rPr>
          <w:rFonts w:eastAsia="Times New Roman"/>
          <w:sz w:val="20"/>
          <w:szCs w:val="20"/>
        </w:rPr>
        <w:t>Voy</w:t>
      </w:r>
      <w:proofErr w:type="spellEnd"/>
      <w:r w:rsidRPr="009B1BAD">
        <w:rPr>
          <w:rFonts w:eastAsia="Times New Roman"/>
          <w:sz w:val="20"/>
          <w:szCs w:val="20"/>
        </w:rPr>
        <w:t xml:space="preserve">. </w:t>
      </w:r>
      <w:proofErr w:type="gramStart"/>
      <w:r w:rsidRPr="009B1BAD">
        <w:rPr>
          <w:rFonts w:eastAsia="Times New Roman"/>
          <w:sz w:val="20"/>
          <w:szCs w:val="20"/>
        </w:rPr>
        <w:t>encore</w:t>
      </w:r>
      <w:proofErr w:type="gramEnd"/>
      <w:r w:rsidRPr="009B1BAD">
        <w:rPr>
          <w:rFonts w:eastAsia="Times New Roman"/>
          <w:sz w:val="20"/>
          <w:szCs w:val="20"/>
        </w:rPr>
        <w:t xml:space="preserve"> CC, n°40/2009, 11 mars 2009, pt. B.10.2</w:t>
      </w:r>
    </w:p>
  </w:footnote>
  <w:footnote w:id="28">
    <w:p w14:paraId="3709F46C" w14:textId="46E7D264" w:rsidR="003F6398" w:rsidRPr="009B1BAD" w:rsidRDefault="003F6398" w:rsidP="009B1BAD">
      <w:pPr>
        <w:pStyle w:val="Sansinterligne"/>
        <w:jc w:val="both"/>
        <w:rPr>
          <w:sz w:val="20"/>
          <w:szCs w:val="20"/>
        </w:rPr>
      </w:pPr>
      <w:r w:rsidRPr="009B1BAD">
        <w:rPr>
          <w:rStyle w:val="Marquenotebasde"/>
          <w:sz w:val="20"/>
          <w:szCs w:val="20"/>
        </w:rPr>
        <w:footnoteRef/>
      </w:r>
      <w:r w:rsidRPr="009B1BAD">
        <w:rPr>
          <w:sz w:val="20"/>
          <w:szCs w:val="20"/>
        </w:rPr>
        <w:t xml:space="preserve"> La question retint particulièrement l’attention de la doctrine à l’occasion de l’affaire dite du « pilotage dans l’Escaut ». </w:t>
      </w:r>
      <w:proofErr w:type="spellStart"/>
      <w:r w:rsidRPr="009B1BAD">
        <w:rPr>
          <w:sz w:val="20"/>
          <w:szCs w:val="20"/>
        </w:rPr>
        <w:t>Voy</w:t>
      </w:r>
      <w:proofErr w:type="spellEnd"/>
      <w:r w:rsidRPr="009B1BAD">
        <w:rPr>
          <w:sz w:val="20"/>
          <w:szCs w:val="20"/>
        </w:rPr>
        <w:t xml:space="preserve">. R. </w:t>
      </w:r>
      <w:proofErr w:type="spellStart"/>
      <w:r w:rsidRPr="009B1BAD">
        <w:rPr>
          <w:smallCaps/>
          <w:sz w:val="20"/>
          <w:szCs w:val="20"/>
        </w:rPr>
        <w:t>Ergec</w:t>
      </w:r>
      <w:proofErr w:type="spellEnd"/>
      <w:r w:rsidRPr="009B1BAD">
        <w:rPr>
          <w:sz w:val="20"/>
          <w:szCs w:val="20"/>
        </w:rPr>
        <w:t xml:space="preserve">, « La Cour d’arbitrage et le juge international et européen. La censure du législateur : le justiciable entre la Cour d’arbitrage, la Cour de Strasbourg et la Cour de Luxembourg », </w:t>
      </w:r>
      <w:r w:rsidRPr="009B1BAD">
        <w:rPr>
          <w:i/>
          <w:sz w:val="20"/>
          <w:szCs w:val="20"/>
        </w:rPr>
        <w:t xml:space="preserve">Regards croisés sur la Cour d’arbitrage, </w:t>
      </w:r>
      <w:r w:rsidRPr="009B1BAD">
        <w:rPr>
          <w:sz w:val="20"/>
          <w:szCs w:val="20"/>
        </w:rPr>
        <w:t xml:space="preserve">sous la </w:t>
      </w:r>
      <w:proofErr w:type="spellStart"/>
      <w:r w:rsidRPr="009B1BAD">
        <w:rPr>
          <w:sz w:val="20"/>
          <w:szCs w:val="20"/>
        </w:rPr>
        <w:t>dir</w:t>
      </w:r>
      <w:proofErr w:type="spellEnd"/>
      <w:r w:rsidRPr="009B1BAD">
        <w:rPr>
          <w:sz w:val="20"/>
          <w:szCs w:val="20"/>
        </w:rPr>
        <w:t xml:space="preserve"> de A. </w:t>
      </w:r>
      <w:proofErr w:type="spellStart"/>
      <w:r w:rsidRPr="009B1BAD">
        <w:rPr>
          <w:sz w:val="20"/>
          <w:szCs w:val="20"/>
        </w:rPr>
        <w:t>Rasson</w:t>
      </w:r>
      <w:proofErr w:type="spellEnd"/>
      <w:r w:rsidRPr="009B1BAD">
        <w:rPr>
          <w:sz w:val="20"/>
          <w:szCs w:val="20"/>
        </w:rPr>
        <w:t xml:space="preserve">-Roland, F. </w:t>
      </w:r>
      <w:proofErr w:type="spellStart"/>
      <w:r w:rsidRPr="009B1BAD">
        <w:rPr>
          <w:sz w:val="20"/>
          <w:szCs w:val="20"/>
        </w:rPr>
        <w:t>Delpérée</w:t>
      </w:r>
      <w:proofErr w:type="spellEnd"/>
      <w:r w:rsidRPr="009B1BAD">
        <w:rPr>
          <w:sz w:val="20"/>
          <w:szCs w:val="20"/>
        </w:rPr>
        <w:t xml:space="preserve"> et M. </w:t>
      </w:r>
      <w:proofErr w:type="spellStart"/>
      <w:r w:rsidRPr="009B1BAD">
        <w:rPr>
          <w:sz w:val="20"/>
          <w:szCs w:val="20"/>
        </w:rPr>
        <w:t>Verdussen</w:t>
      </w:r>
      <w:proofErr w:type="spellEnd"/>
      <w:r w:rsidRPr="009B1BAD">
        <w:rPr>
          <w:sz w:val="20"/>
          <w:szCs w:val="20"/>
        </w:rPr>
        <w:t xml:space="preserve">, Bruxelles, </w:t>
      </w:r>
      <w:proofErr w:type="spellStart"/>
      <w:r w:rsidRPr="009B1BAD">
        <w:rPr>
          <w:sz w:val="20"/>
          <w:szCs w:val="20"/>
        </w:rPr>
        <w:t>Bruylant</w:t>
      </w:r>
      <w:proofErr w:type="spellEnd"/>
      <w:r w:rsidRPr="009B1BAD">
        <w:rPr>
          <w:sz w:val="20"/>
          <w:szCs w:val="20"/>
        </w:rPr>
        <w:t xml:space="preserve">, p. 215 ; P. </w:t>
      </w:r>
      <w:r w:rsidRPr="009B1BAD">
        <w:rPr>
          <w:smallCaps/>
          <w:sz w:val="20"/>
          <w:szCs w:val="20"/>
        </w:rPr>
        <w:t>Marchal</w:t>
      </w:r>
      <w:r w:rsidRPr="009B1BAD">
        <w:rPr>
          <w:sz w:val="20"/>
          <w:szCs w:val="20"/>
        </w:rPr>
        <w:t>, « Chronique de jurisprudence. Droit international et droit comparé </w:t>
      </w:r>
      <w:proofErr w:type="gramStart"/>
      <w:r w:rsidRPr="009B1BAD">
        <w:rPr>
          <w:sz w:val="20"/>
          <w:szCs w:val="20"/>
        </w:rPr>
        <w:t>» ,</w:t>
      </w:r>
      <w:proofErr w:type="gramEnd"/>
      <w:r w:rsidRPr="009B1BAD">
        <w:rPr>
          <w:sz w:val="20"/>
          <w:szCs w:val="20"/>
        </w:rPr>
        <w:t xml:space="preserve"> </w:t>
      </w:r>
      <w:proofErr w:type="spellStart"/>
      <w:r w:rsidRPr="009B1BAD">
        <w:rPr>
          <w:i/>
          <w:sz w:val="20"/>
          <w:szCs w:val="20"/>
        </w:rPr>
        <w:t>Rev</w:t>
      </w:r>
      <w:proofErr w:type="spellEnd"/>
      <w:r w:rsidRPr="009B1BAD">
        <w:rPr>
          <w:i/>
          <w:sz w:val="20"/>
          <w:szCs w:val="20"/>
        </w:rPr>
        <w:t xml:space="preserve">. Dr. </w:t>
      </w:r>
      <w:proofErr w:type="gramStart"/>
      <w:r w:rsidRPr="009B1BAD">
        <w:rPr>
          <w:i/>
          <w:sz w:val="20"/>
          <w:szCs w:val="20"/>
        </w:rPr>
        <w:t>Int .</w:t>
      </w:r>
      <w:proofErr w:type="spellStart"/>
      <w:proofErr w:type="gramEnd"/>
      <w:r w:rsidRPr="009B1BAD">
        <w:rPr>
          <w:i/>
          <w:sz w:val="20"/>
          <w:szCs w:val="20"/>
        </w:rPr>
        <w:t>Comp</w:t>
      </w:r>
      <w:proofErr w:type="spellEnd"/>
      <w:r w:rsidRPr="009B1BAD">
        <w:rPr>
          <w:i/>
          <w:sz w:val="20"/>
          <w:szCs w:val="20"/>
        </w:rPr>
        <w:t xml:space="preserve">., </w:t>
      </w:r>
      <w:r w:rsidRPr="009B1BAD">
        <w:rPr>
          <w:sz w:val="20"/>
          <w:szCs w:val="20"/>
        </w:rPr>
        <w:t>1997, p. 434 ;</w:t>
      </w:r>
      <w:r w:rsidRPr="009B1BAD">
        <w:rPr>
          <w:rFonts w:eastAsia="Times New Roman"/>
          <w:sz w:val="20"/>
          <w:szCs w:val="20"/>
        </w:rPr>
        <w:t xml:space="preserve">H. </w:t>
      </w:r>
      <w:proofErr w:type="spellStart"/>
      <w:r w:rsidRPr="009B1BAD">
        <w:rPr>
          <w:rFonts w:eastAsia="Times New Roman"/>
          <w:smallCaps/>
          <w:sz w:val="20"/>
          <w:szCs w:val="20"/>
        </w:rPr>
        <w:t>Bribosia</w:t>
      </w:r>
      <w:proofErr w:type="spellEnd"/>
      <w:r w:rsidRPr="009B1BAD">
        <w:rPr>
          <w:rFonts w:eastAsia="Times New Roman"/>
          <w:sz w:val="20"/>
          <w:szCs w:val="20"/>
        </w:rPr>
        <w:t xml:space="preserve">, « Applicabilité directe </w:t>
      </w:r>
      <w:r w:rsidR="00400602" w:rsidRPr="009B1BAD">
        <w:rPr>
          <w:rFonts w:eastAsia="Times New Roman"/>
          <w:sz w:val="20"/>
          <w:szCs w:val="20"/>
        </w:rPr>
        <w:t xml:space="preserve">… », </w:t>
      </w:r>
      <w:r w:rsidR="00400602" w:rsidRPr="009B1BAD">
        <w:rPr>
          <w:rFonts w:eastAsia="Times New Roman"/>
          <w:i/>
          <w:sz w:val="20"/>
          <w:szCs w:val="20"/>
        </w:rPr>
        <w:t xml:space="preserve">op. </w:t>
      </w:r>
      <w:proofErr w:type="spellStart"/>
      <w:proofErr w:type="gramStart"/>
      <w:r w:rsidR="00400602" w:rsidRPr="009B1BAD">
        <w:rPr>
          <w:rFonts w:eastAsia="Times New Roman"/>
          <w:i/>
          <w:sz w:val="20"/>
          <w:szCs w:val="20"/>
        </w:rPr>
        <w:t>cit</w:t>
      </w:r>
      <w:proofErr w:type="spellEnd"/>
      <w:proofErr w:type="gramEnd"/>
      <w:r w:rsidR="00400602" w:rsidRPr="009B1BAD">
        <w:rPr>
          <w:rFonts w:eastAsia="Times New Roman"/>
          <w:i/>
          <w:sz w:val="20"/>
          <w:szCs w:val="20"/>
        </w:rPr>
        <w:t xml:space="preserve">., </w:t>
      </w:r>
      <w:r w:rsidRPr="009B1BAD">
        <w:rPr>
          <w:rFonts w:eastAsia="Times New Roman"/>
          <w:sz w:val="20"/>
          <w:szCs w:val="20"/>
        </w:rPr>
        <w:t xml:space="preserve">pp. 72-73 ; </w:t>
      </w:r>
      <w:r w:rsidRPr="009B1BAD">
        <w:rPr>
          <w:sz w:val="20"/>
          <w:szCs w:val="20"/>
        </w:rPr>
        <w:t xml:space="preserve">H. </w:t>
      </w:r>
      <w:proofErr w:type="spellStart"/>
      <w:r w:rsidRPr="009B1BAD">
        <w:rPr>
          <w:sz w:val="20"/>
          <w:szCs w:val="20"/>
        </w:rPr>
        <w:t>S</w:t>
      </w:r>
      <w:r w:rsidRPr="009B1BAD">
        <w:rPr>
          <w:smallCaps/>
          <w:sz w:val="20"/>
          <w:szCs w:val="20"/>
        </w:rPr>
        <w:t>imonart</w:t>
      </w:r>
      <w:proofErr w:type="spellEnd"/>
      <w:r w:rsidRPr="009B1BAD">
        <w:rPr>
          <w:smallCaps/>
          <w:sz w:val="20"/>
          <w:szCs w:val="20"/>
        </w:rPr>
        <w:t xml:space="preserve"> </w:t>
      </w:r>
      <w:r w:rsidRPr="009B1BAD">
        <w:rPr>
          <w:sz w:val="20"/>
          <w:szCs w:val="20"/>
        </w:rPr>
        <w:t xml:space="preserve">et D. </w:t>
      </w:r>
      <w:r w:rsidRPr="009B1BAD">
        <w:rPr>
          <w:smallCaps/>
          <w:sz w:val="20"/>
          <w:szCs w:val="20"/>
        </w:rPr>
        <w:t>Jan</w:t>
      </w:r>
      <w:r w:rsidRPr="009B1BAD">
        <w:rPr>
          <w:sz w:val="20"/>
          <w:szCs w:val="20"/>
        </w:rPr>
        <w:t xml:space="preserve">s, « De la nécessité pour les institutions de Strasbourg de tenir compte des dispositions pertinentes du droit interne », Obs. sous Cour </w:t>
      </w:r>
      <w:proofErr w:type="spellStart"/>
      <w:r w:rsidRPr="009B1BAD">
        <w:rPr>
          <w:sz w:val="20"/>
          <w:szCs w:val="20"/>
        </w:rPr>
        <w:t>eur</w:t>
      </w:r>
      <w:proofErr w:type="spellEnd"/>
      <w:r w:rsidRPr="009B1BAD">
        <w:rPr>
          <w:sz w:val="20"/>
          <w:szCs w:val="20"/>
        </w:rPr>
        <w:t xml:space="preserve">. D.H., arrêt </w:t>
      </w:r>
      <w:proofErr w:type="spellStart"/>
      <w:r w:rsidRPr="009B1BAD">
        <w:rPr>
          <w:sz w:val="20"/>
          <w:szCs w:val="20"/>
        </w:rPr>
        <w:t>Pressos</w:t>
      </w:r>
      <w:proofErr w:type="spellEnd"/>
      <w:r w:rsidRPr="009B1BAD">
        <w:rPr>
          <w:sz w:val="20"/>
          <w:szCs w:val="20"/>
        </w:rPr>
        <w:t xml:space="preserve"> </w:t>
      </w:r>
      <w:proofErr w:type="spellStart"/>
      <w:r w:rsidRPr="009B1BAD">
        <w:rPr>
          <w:sz w:val="20"/>
          <w:szCs w:val="20"/>
        </w:rPr>
        <w:t>Compania</w:t>
      </w:r>
      <w:proofErr w:type="spellEnd"/>
      <w:r w:rsidRPr="009B1BAD">
        <w:rPr>
          <w:sz w:val="20"/>
          <w:szCs w:val="20"/>
        </w:rPr>
        <w:t xml:space="preserve"> </w:t>
      </w:r>
      <w:proofErr w:type="spellStart"/>
      <w:r w:rsidRPr="009B1BAD">
        <w:rPr>
          <w:sz w:val="20"/>
          <w:szCs w:val="20"/>
        </w:rPr>
        <w:t>Naveira</w:t>
      </w:r>
      <w:proofErr w:type="spellEnd"/>
      <w:r w:rsidRPr="009B1BAD">
        <w:rPr>
          <w:sz w:val="20"/>
          <w:szCs w:val="20"/>
        </w:rPr>
        <w:t xml:space="preserve"> S.A. et al. c. Belgique </w:t>
      </w:r>
      <w:proofErr w:type="gramStart"/>
      <w:r w:rsidRPr="009B1BAD">
        <w:rPr>
          <w:sz w:val="20"/>
          <w:szCs w:val="20"/>
        </w:rPr>
        <w:t>du  20</w:t>
      </w:r>
      <w:proofErr w:type="gramEnd"/>
      <w:r w:rsidRPr="009B1BAD">
        <w:rPr>
          <w:sz w:val="20"/>
          <w:szCs w:val="20"/>
        </w:rPr>
        <w:t xml:space="preserve"> novembre 1995, </w:t>
      </w:r>
      <w:r w:rsidRPr="009B1BAD">
        <w:rPr>
          <w:i/>
          <w:sz w:val="20"/>
          <w:szCs w:val="20"/>
        </w:rPr>
        <w:t>R.B.D.C.</w:t>
      </w:r>
      <w:r w:rsidRPr="009B1BAD">
        <w:rPr>
          <w:sz w:val="20"/>
          <w:szCs w:val="20"/>
        </w:rPr>
        <w:t xml:space="preserve">, 1996, pp. 172-174. </w:t>
      </w:r>
      <w:proofErr w:type="spellStart"/>
      <w:r w:rsidRPr="009B1BAD">
        <w:rPr>
          <w:sz w:val="20"/>
          <w:szCs w:val="20"/>
        </w:rPr>
        <w:t>Comp</w:t>
      </w:r>
      <w:proofErr w:type="spellEnd"/>
      <w:r w:rsidRPr="009B1BAD">
        <w:rPr>
          <w:sz w:val="20"/>
          <w:szCs w:val="20"/>
        </w:rPr>
        <w:t xml:space="preserve">. M. </w:t>
      </w:r>
      <w:proofErr w:type="spellStart"/>
      <w:r w:rsidRPr="009B1BAD">
        <w:rPr>
          <w:smallCaps/>
          <w:sz w:val="20"/>
          <w:szCs w:val="20"/>
        </w:rPr>
        <w:t>Verdussen</w:t>
      </w:r>
      <w:proofErr w:type="spellEnd"/>
      <w:r w:rsidRPr="009B1BAD">
        <w:rPr>
          <w:sz w:val="20"/>
          <w:szCs w:val="20"/>
        </w:rPr>
        <w:t xml:space="preserve"> et S. </w:t>
      </w:r>
      <w:proofErr w:type="spellStart"/>
      <w:r w:rsidRPr="009B1BAD">
        <w:rPr>
          <w:smallCaps/>
          <w:sz w:val="20"/>
          <w:szCs w:val="20"/>
        </w:rPr>
        <w:t>Depré</w:t>
      </w:r>
      <w:proofErr w:type="spellEnd"/>
      <w:r w:rsidRPr="009B1BAD">
        <w:rPr>
          <w:sz w:val="20"/>
          <w:szCs w:val="20"/>
        </w:rPr>
        <w:t xml:space="preserve">, « Le dénouement européen de l’affaire du pilotage des bâtiments de mer dans l’estuaire de l’Escaut », </w:t>
      </w:r>
      <w:proofErr w:type="spellStart"/>
      <w:r w:rsidRPr="009B1BAD">
        <w:rPr>
          <w:i/>
          <w:sz w:val="20"/>
          <w:szCs w:val="20"/>
        </w:rPr>
        <w:t>Rev</w:t>
      </w:r>
      <w:proofErr w:type="spellEnd"/>
      <w:r w:rsidRPr="009B1BAD">
        <w:rPr>
          <w:i/>
          <w:sz w:val="20"/>
          <w:szCs w:val="20"/>
        </w:rPr>
        <w:t xml:space="preserve">. Trim. Dr. Homme, </w:t>
      </w:r>
      <w:r w:rsidRPr="009B1BAD">
        <w:rPr>
          <w:sz w:val="20"/>
          <w:szCs w:val="20"/>
        </w:rPr>
        <w:t xml:space="preserve">1996, pp. 595-597. </w:t>
      </w:r>
    </w:p>
  </w:footnote>
  <w:footnote w:id="29">
    <w:p w14:paraId="5C882A5F" w14:textId="3F25D997" w:rsidR="003F6398" w:rsidRPr="009B1BAD" w:rsidRDefault="003F6398" w:rsidP="009B1BAD">
      <w:pPr>
        <w:pStyle w:val="Sansinterligne"/>
        <w:jc w:val="both"/>
        <w:rPr>
          <w:sz w:val="20"/>
          <w:szCs w:val="20"/>
        </w:rPr>
      </w:pPr>
      <w:r w:rsidRPr="009B1BAD">
        <w:rPr>
          <w:rStyle w:val="Marquenotebasde"/>
          <w:sz w:val="20"/>
          <w:szCs w:val="20"/>
        </w:rPr>
        <w:footnoteRef/>
      </w:r>
      <w:r w:rsidRPr="009B1BAD">
        <w:rPr>
          <w:sz w:val="20"/>
          <w:szCs w:val="20"/>
        </w:rPr>
        <w:t xml:space="preserve"> Sur ceci, </w:t>
      </w:r>
      <w:proofErr w:type="spellStart"/>
      <w:r w:rsidRPr="009B1BAD">
        <w:rPr>
          <w:sz w:val="20"/>
          <w:szCs w:val="20"/>
        </w:rPr>
        <w:t>voy</w:t>
      </w:r>
      <w:proofErr w:type="spellEnd"/>
      <w:r w:rsidRPr="009B1BAD">
        <w:rPr>
          <w:sz w:val="20"/>
          <w:szCs w:val="20"/>
        </w:rPr>
        <w:t xml:space="preserve">. e. a. T. </w:t>
      </w:r>
      <w:proofErr w:type="spellStart"/>
      <w:r w:rsidRPr="009B1BAD">
        <w:rPr>
          <w:smallCaps/>
          <w:sz w:val="20"/>
          <w:szCs w:val="20"/>
        </w:rPr>
        <w:t>Moonen</w:t>
      </w:r>
      <w:proofErr w:type="spellEnd"/>
      <w:r w:rsidRPr="009B1BAD">
        <w:rPr>
          <w:sz w:val="20"/>
          <w:szCs w:val="20"/>
        </w:rPr>
        <w:t>, « </w:t>
      </w:r>
      <w:r w:rsidRPr="009B1BAD">
        <w:rPr>
          <w:rFonts w:eastAsia="Times New Roman"/>
          <w:sz w:val="20"/>
          <w:szCs w:val="20"/>
        </w:rPr>
        <w:t xml:space="preserve">Concours de droits fondamentaux ou concours de </w:t>
      </w:r>
      <w:proofErr w:type="gramStart"/>
      <w:r w:rsidRPr="009B1BAD">
        <w:rPr>
          <w:rFonts w:eastAsia="Times New Roman"/>
          <w:sz w:val="20"/>
          <w:szCs w:val="20"/>
        </w:rPr>
        <w:t>juridictions?</w:t>
      </w:r>
      <w:proofErr w:type="gramEnd"/>
      <w:r w:rsidRPr="009B1BAD">
        <w:rPr>
          <w:rFonts w:eastAsia="Times New Roman"/>
          <w:sz w:val="20"/>
          <w:szCs w:val="20"/>
        </w:rPr>
        <w:t xml:space="preserve"> </w:t>
      </w:r>
      <w:r w:rsidR="009B1BAD" w:rsidRPr="009B1BAD">
        <w:rPr>
          <w:rFonts w:eastAsia="Times New Roman"/>
          <w:sz w:val="20"/>
          <w:szCs w:val="20"/>
        </w:rPr>
        <w:t>Évaluation</w:t>
      </w:r>
      <w:r w:rsidRPr="009B1BAD">
        <w:rPr>
          <w:rFonts w:eastAsia="Times New Roman"/>
          <w:sz w:val="20"/>
          <w:szCs w:val="20"/>
        </w:rPr>
        <w:t xml:space="preserve"> des réformes de 2009 de la loi spéciale sur la Cour constitutionnelle », </w:t>
      </w:r>
      <w:r w:rsidRPr="009B1BAD">
        <w:rPr>
          <w:rFonts w:eastAsia="Times New Roman"/>
          <w:i/>
          <w:sz w:val="20"/>
          <w:szCs w:val="20"/>
        </w:rPr>
        <w:t xml:space="preserve">R.B.D.C., </w:t>
      </w:r>
      <w:r w:rsidRPr="009B1BAD">
        <w:rPr>
          <w:rFonts w:eastAsia="Times New Roman"/>
          <w:sz w:val="20"/>
          <w:szCs w:val="20"/>
        </w:rPr>
        <w:t xml:space="preserve">2011, pp. 136-139 ; Th. </w:t>
      </w:r>
      <w:proofErr w:type="spellStart"/>
      <w:r w:rsidRPr="009B1BAD">
        <w:rPr>
          <w:rFonts w:eastAsia="Times New Roman"/>
          <w:smallCaps/>
          <w:sz w:val="20"/>
          <w:szCs w:val="20"/>
        </w:rPr>
        <w:t>Bombois</w:t>
      </w:r>
      <w:proofErr w:type="spellEnd"/>
      <w:r w:rsidRPr="009B1BAD">
        <w:rPr>
          <w:rFonts w:eastAsia="Times New Roman"/>
          <w:sz w:val="20"/>
          <w:szCs w:val="20"/>
        </w:rPr>
        <w:t xml:space="preserve">, « Réflexions sur la question prioritaire de constitutionnalité et sa conformité au droit de l’Union européenne », </w:t>
      </w:r>
      <w:proofErr w:type="spellStart"/>
      <w:r w:rsidRPr="009B1BAD">
        <w:rPr>
          <w:rFonts w:eastAsia="Times New Roman"/>
          <w:i/>
          <w:sz w:val="20"/>
          <w:szCs w:val="20"/>
        </w:rPr>
        <w:t>Rev</w:t>
      </w:r>
      <w:proofErr w:type="spellEnd"/>
      <w:r w:rsidRPr="009B1BAD">
        <w:rPr>
          <w:rFonts w:eastAsia="Times New Roman"/>
          <w:i/>
          <w:sz w:val="20"/>
          <w:szCs w:val="20"/>
        </w:rPr>
        <w:t xml:space="preserve">. B. </w:t>
      </w:r>
      <w:proofErr w:type="spellStart"/>
      <w:r w:rsidRPr="009B1BAD">
        <w:rPr>
          <w:rFonts w:eastAsia="Times New Roman"/>
          <w:i/>
          <w:sz w:val="20"/>
          <w:szCs w:val="20"/>
        </w:rPr>
        <w:t>dr</w:t>
      </w:r>
      <w:proofErr w:type="spellEnd"/>
      <w:r w:rsidRPr="009B1BAD">
        <w:rPr>
          <w:rFonts w:eastAsia="Times New Roman"/>
          <w:i/>
          <w:sz w:val="20"/>
          <w:szCs w:val="20"/>
        </w:rPr>
        <w:t xml:space="preserve">. Int, </w:t>
      </w:r>
      <w:r w:rsidRPr="009B1BAD">
        <w:rPr>
          <w:rFonts w:eastAsia="Times New Roman"/>
          <w:sz w:val="20"/>
          <w:szCs w:val="20"/>
        </w:rPr>
        <w:t>2012, pp. 496-498 et réf. citées</w:t>
      </w:r>
    </w:p>
  </w:footnote>
  <w:footnote w:id="30">
    <w:p w14:paraId="45F03184" w14:textId="77777777" w:rsidR="00400602" w:rsidRPr="009B1BAD" w:rsidRDefault="00400602" w:rsidP="009B1BAD">
      <w:pPr>
        <w:pStyle w:val="Sansinterligne"/>
        <w:jc w:val="both"/>
        <w:rPr>
          <w:sz w:val="20"/>
          <w:szCs w:val="20"/>
        </w:rPr>
      </w:pPr>
      <w:r w:rsidRPr="009B1BAD">
        <w:rPr>
          <w:rStyle w:val="Appelnotedebasdep"/>
          <w:sz w:val="20"/>
          <w:szCs w:val="20"/>
        </w:rPr>
        <w:footnoteRef/>
      </w:r>
      <w:r w:rsidRPr="009B1BAD">
        <w:rPr>
          <w:sz w:val="20"/>
          <w:szCs w:val="20"/>
        </w:rPr>
        <w:t xml:space="preserve"> </w:t>
      </w:r>
      <w:r w:rsidRPr="009B1BAD">
        <w:rPr>
          <w:rFonts w:eastAsia="Times New Roman"/>
          <w:sz w:val="20"/>
          <w:szCs w:val="20"/>
          <w:lang w:eastAsia="en-US"/>
        </w:rPr>
        <w:t xml:space="preserve">CJUE, Aff. </w:t>
      </w:r>
      <w:r w:rsidRPr="009B1BAD">
        <w:rPr>
          <w:rFonts w:eastAsia="Times New Roman"/>
          <w:sz w:val="20"/>
          <w:szCs w:val="20"/>
        </w:rPr>
        <w:t>jointes</w:t>
      </w:r>
      <w:r w:rsidRPr="009B1BAD">
        <w:rPr>
          <w:rFonts w:eastAsia="Times New Roman"/>
          <w:sz w:val="20"/>
          <w:szCs w:val="20"/>
          <w:lang w:eastAsia="en-US"/>
        </w:rPr>
        <w:t xml:space="preserve"> C-188/10 et C-189/10, Arrêt</w:t>
      </w:r>
      <w:r w:rsidRPr="009B1BAD">
        <w:rPr>
          <w:rFonts w:eastAsia="Times New Roman"/>
          <w:i/>
          <w:sz w:val="20"/>
          <w:szCs w:val="20"/>
          <w:lang w:eastAsia="en-US"/>
        </w:rPr>
        <w:t xml:space="preserve"> Melki/</w:t>
      </w:r>
      <w:proofErr w:type="spellStart"/>
      <w:r w:rsidRPr="009B1BAD">
        <w:rPr>
          <w:rFonts w:eastAsia="Times New Roman"/>
          <w:i/>
          <w:sz w:val="20"/>
          <w:szCs w:val="20"/>
          <w:lang w:eastAsia="en-US"/>
        </w:rPr>
        <w:t>Abdeli</w:t>
      </w:r>
      <w:proofErr w:type="spellEnd"/>
      <w:r w:rsidRPr="009B1BAD">
        <w:rPr>
          <w:rFonts w:eastAsia="Times New Roman"/>
          <w:i/>
          <w:sz w:val="20"/>
          <w:szCs w:val="20"/>
          <w:lang w:eastAsia="en-US"/>
        </w:rPr>
        <w:t xml:space="preserve"> </w:t>
      </w:r>
      <w:r w:rsidRPr="009B1BAD">
        <w:rPr>
          <w:rFonts w:eastAsia="Times New Roman"/>
          <w:sz w:val="20"/>
          <w:szCs w:val="20"/>
          <w:lang w:eastAsia="en-US"/>
        </w:rPr>
        <w:t>du 22 juin 2010, § 57 : « </w:t>
      </w:r>
      <w:bookmarkStart w:id="0" w:name="point57"/>
      <w:r w:rsidRPr="009B1BAD">
        <w:rPr>
          <w:sz w:val="20"/>
          <w:szCs w:val="20"/>
        </w:rPr>
        <w:t>57</w:t>
      </w:r>
      <w:bookmarkEnd w:id="0"/>
      <w:r w:rsidRPr="009B1BAD">
        <w:rPr>
          <w:sz w:val="20"/>
          <w:szCs w:val="20"/>
        </w:rPr>
        <w:t xml:space="preserve"> Par voie de conséquence, il y a lieu de répondre à la première question posée que l’article 267 TFUE s’oppose à une législation d’un État membre qui instaure une procédure incidente de contrôle de constitutionnalité des lois nationales, pour autant que le caractère prioritaire de cette procédure a pour conséquence d’empêcher, tant avant la transmission d’une question de constitutionnalité à la juridiction nationale chargée d’exercer le contrôle de constitutionnalité des lois que, le cas échéant, après la décision de cette juridiction sur ladite question, toutes les autres juridictions nationales d’exercer leur faculté ou de satisfaire à leur obligation de saisir la Cour de questions préjudicielles. En revanche, l’article 267 TFUE ne s’oppose pas à une telle législation nationale, pour autant que les autres juridictions nationales restent </w:t>
      </w:r>
      <w:proofErr w:type="gramStart"/>
      <w:r w:rsidRPr="009B1BAD">
        <w:rPr>
          <w:sz w:val="20"/>
          <w:szCs w:val="20"/>
        </w:rPr>
        <w:t>libres:</w:t>
      </w:r>
      <w:proofErr w:type="gramEnd"/>
    </w:p>
    <w:p w14:paraId="2362172A" w14:textId="6BD0D7B5" w:rsidR="00400602" w:rsidRPr="009B1BAD" w:rsidRDefault="00400602" w:rsidP="009B1BAD">
      <w:pPr>
        <w:pStyle w:val="Sansinterligne"/>
        <w:jc w:val="both"/>
        <w:rPr>
          <w:sz w:val="20"/>
          <w:szCs w:val="20"/>
        </w:rPr>
      </w:pPr>
      <w:r w:rsidRPr="009B1BAD">
        <w:rPr>
          <w:sz w:val="20"/>
          <w:szCs w:val="20"/>
        </w:rPr>
        <w:t>– de saisir, à tout moment de la procédure qu’elles jugent approprié, et même à l’issue de la procédure incidente de contrôle de constitutionnalité, la Cour de toute question préjudicielle qu’elles jugent nécessaire,</w:t>
      </w:r>
    </w:p>
    <w:p w14:paraId="051F6966" w14:textId="77777777" w:rsidR="00400602" w:rsidRPr="009B1BAD" w:rsidRDefault="00400602" w:rsidP="009B1BAD">
      <w:pPr>
        <w:pStyle w:val="Sansinterligne"/>
        <w:jc w:val="both"/>
        <w:rPr>
          <w:sz w:val="20"/>
          <w:szCs w:val="20"/>
        </w:rPr>
      </w:pPr>
      <w:r w:rsidRPr="009B1BAD">
        <w:rPr>
          <w:sz w:val="20"/>
          <w:szCs w:val="20"/>
        </w:rPr>
        <w:t>– d’adopter toute mesure nécessaire afin d’assurer la protection juridictionnelle provisoire des droits conférés par l’ordre juridique de l’Union, et</w:t>
      </w:r>
    </w:p>
    <w:p w14:paraId="211B17F1" w14:textId="77777777" w:rsidR="00400602" w:rsidRPr="009B1BAD" w:rsidRDefault="00400602" w:rsidP="009B1BAD">
      <w:pPr>
        <w:pStyle w:val="Sansinterligne"/>
        <w:jc w:val="both"/>
        <w:rPr>
          <w:sz w:val="20"/>
          <w:szCs w:val="20"/>
        </w:rPr>
      </w:pPr>
      <w:r w:rsidRPr="009B1BAD">
        <w:rPr>
          <w:sz w:val="20"/>
          <w:szCs w:val="20"/>
        </w:rPr>
        <w:t>– de laisser inappliquée, à l’issue d’une telle procédure incidente, la disposition législative nationale en cause si elles la jugent contraire au droit de l’Union.</w:t>
      </w:r>
    </w:p>
    <w:p w14:paraId="5DA4F071" w14:textId="0C08B2B5" w:rsidR="00400602" w:rsidRPr="009B1BAD" w:rsidRDefault="00400602" w:rsidP="009B1BAD">
      <w:pPr>
        <w:pStyle w:val="Sansinterligne"/>
        <w:jc w:val="both"/>
        <w:rPr>
          <w:sz w:val="20"/>
          <w:szCs w:val="20"/>
        </w:rPr>
      </w:pPr>
      <w:r w:rsidRPr="009B1BAD">
        <w:rPr>
          <w:sz w:val="20"/>
          <w:szCs w:val="20"/>
        </w:rPr>
        <w:t>(….)»</w:t>
      </w:r>
    </w:p>
  </w:footnote>
  <w:footnote w:id="31">
    <w:p w14:paraId="7E5C7823" w14:textId="77777777" w:rsidR="003F6398" w:rsidRPr="003C6A00" w:rsidRDefault="003F6398" w:rsidP="009B1BAD">
      <w:pPr>
        <w:pStyle w:val="Sansinterligne"/>
        <w:jc w:val="both"/>
        <w:rPr>
          <w:sz w:val="20"/>
          <w:szCs w:val="20"/>
          <w:lang w:val="nl-BE"/>
        </w:rPr>
      </w:pPr>
      <w:r w:rsidRPr="009B1BAD">
        <w:rPr>
          <w:rStyle w:val="Marquenotebasde"/>
          <w:sz w:val="20"/>
          <w:szCs w:val="20"/>
        </w:rPr>
        <w:footnoteRef/>
      </w:r>
      <w:r w:rsidRPr="009B1BAD">
        <w:rPr>
          <w:sz w:val="20"/>
          <w:szCs w:val="20"/>
        </w:rPr>
        <w:t xml:space="preserve"> </w:t>
      </w:r>
      <w:proofErr w:type="spellStart"/>
      <w:r w:rsidRPr="009B1BAD">
        <w:rPr>
          <w:sz w:val="20"/>
          <w:szCs w:val="20"/>
        </w:rPr>
        <w:t>Voy</w:t>
      </w:r>
      <w:proofErr w:type="spellEnd"/>
      <w:r w:rsidRPr="009B1BAD">
        <w:rPr>
          <w:sz w:val="20"/>
          <w:szCs w:val="20"/>
        </w:rPr>
        <w:t xml:space="preserve">. A. </w:t>
      </w:r>
      <w:proofErr w:type="spellStart"/>
      <w:r w:rsidRPr="009B1BAD">
        <w:rPr>
          <w:smallCaps/>
          <w:sz w:val="20"/>
          <w:szCs w:val="20"/>
        </w:rPr>
        <w:t>Bailleux</w:t>
      </w:r>
      <w:proofErr w:type="spellEnd"/>
      <w:r w:rsidRPr="009B1BAD">
        <w:rPr>
          <w:sz w:val="20"/>
          <w:szCs w:val="20"/>
        </w:rPr>
        <w:t xml:space="preserve"> et S. </w:t>
      </w:r>
      <w:r w:rsidRPr="009B1BAD">
        <w:rPr>
          <w:smallCaps/>
          <w:sz w:val="20"/>
          <w:szCs w:val="20"/>
        </w:rPr>
        <w:t>Van Drooghenbroeck</w:t>
      </w:r>
      <w:r w:rsidRPr="009B1BAD">
        <w:rPr>
          <w:sz w:val="20"/>
          <w:szCs w:val="20"/>
        </w:rPr>
        <w:t xml:space="preserve">, « La Charte des droits fondamentaux. Invocabilité, Interprétation, application </w:t>
      </w:r>
      <w:proofErr w:type="gramStart"/>
      <w:r w:rsidRPr="009B1BAD">
        <w:rPr>
          <w:sz w:val="20"/>
          <w:szCs w:val="20"/>
        </w:rPr>
        <w:t>et  relations</w:t>
      </w:r>
      <w:proofErr w:type="gramEnd"/>
      <w:r w:rsidRPr="009B1BAD">
        <w:rPr>
          <w:sz w:val="20"/>
          <w:szCs w:val="20"/>
        </w:rPr>
        <w:t xml:space="preserve"> avec la Convention européenne des droits de l’Homme », </w:t>
      </w:r>
      <w:r w:rsidRPr="009B1BAD">
        <w:rPr>
          <w:i/>
          <w:sz w:val="20"/>
          <w:szCs w:val="20"/>
        </w:rPr>
        <w:t xml:space="preserve">Les innovations du traité de Lisbonne. </w:t>
      </w:r>
      <w:r w:rsidRPr="003C6A00">
        <w:rPr>
          <w:i/>
          <w:sz w:val="20"/>
          <w:szCs w:val="20"/>
          <w:lang w:val="nl-BE"/>
        </w:rPr>
        <w:t xml:space="preserve">Incidence pour le praticien, </w:t>
      </w:r>
      <w:r w:rsidRPr="003C6A00">
        <w:rPr>
          <w:sz w:val="20"/>
          <w:szCs w:val="20"/>
          <w:lang w:val="nl-BE"/>
        </w:rPr>
        <w:t>Bruxelles, Bruylant, 2011, pp. 308-311</w:t>
      </w:r>
    </w:p>
  </w:footnote>
  <w:footnote w:id="32">
    <w:p w14:paraId="117C3A4F" w14:textId="77777777" w:rsidR="00FC59A7" w:rsidRPr="003C6A00" w:rsidRDefault="00FC59A7" w:rsidP="009B1BAD">
      <w:pPr>
        <w:widowControl w:val="0"/>
        <w:autoSpaceDE w:val="0"/>
        <w:autoSpaceDN w:val="0"/>
        <w:adjustRightInd w:val="0"/>
        <w:jc w:val="both"/>
        <w:rPr>
          <w:rFonts w:ascii="Times New Roman" w:hAnsi="Times New Roman" w:cs="Times New Roman"/>
          <w:sz w:val="20"/>
          <w:szCs w:val="20"/>
          <w:lang w:val="nl-BE"/>
        </w:rPr>
      </w:pPr>
      <w:r w:rsidRPr="009B1BAD">
        <w:rPr>
          <w:rStyle w:val="Appelnotedebasdep"/>
          <w:rFonts w:ascii="Times New Roman" w:hAnsi="Times New Roman" w:cs="Times New Roman"/>
          <w:sz w:val="20"/>
          <w:szCs w:val="20"/>
        </w:rPr>
        <w:footnoteRef/>
      </w:r>
      <w:r w:rsidRPr="003C6A00">
        <w:rPr>
          <w:rFonts w:ascii="Times New Roman" w:hAnsi="Times New Roman" w:cs="Times New Roman"/>
          <w:sz w:val="20"/>
          <w:szCs w:val="20"/>
          <w:lang w:val="nl-BE"/>
        </w:rPr>
        <w:t> Voy., de manière tout à fait explicite, CE, n° 206.397, 2 juillet 2010, pt. 11.1 et 11.2 : « Artikel 9, § 2, van de bijzondere wet van 6 januari 1989 op het Grondwettelijk Hof bepaalt dat de door het Grondwettelijk Hof gewezen arresten waarbij beroepen tot vernietiging verworpen worden, bindend zijn voor de rechtscolleges wat de door die arresten beslechte rechtspunten betreft.</w:t>
      </w:r>
    </w:p>
    <w:p w14:paraId="65D59548" w14:textId="77777777" w:rsidR="00FC59A7" w:rsidRPr="003C6A00" w:rsidRDefault="00FC59A7" w:rsidP="009B1BAD">
      <w:pPr>
        <w:widowControl w:val="0"/>
        <w:autoSpaceDE w:val="0"/>
        <w:autoSpaceDN w:val="0"/>
        <w:adjustRightInd w:val="0"/>
        <w:jc w:val="both"/>
        <w:rPr>
          <w:rFonts w:ascii="Times New Roman" w:hAnsi="Times New Roman" w:cs="Times New Roman"/>
          <w:sz w:val="20"/>
          <w:szCs w:val="20"/>
          <w:lang w:val="nl-BE"/>
        </w:rPr>
      </w:pPr>
      <w:r w:rsidRPr="003C6A00">
        <w:rPr>
          <w:rFonts w:ascii="Times New Roman" w:hAnsi="Times New Roman" w:cs="Times New Roman"/>
          <w:sz w:val="20"/>
          <w:szCs w:val="20"/>
          <w:lang w:val="nl-BE"/>
        </w:rPr>
        <w:t>Die bindende kracht strekt zich onder meer uit tot de interpretatie die het Grondwettelijk Hof aan de bestreden norm heeft gegeven, als het Hof het beroep daartegen heeft verworpen onder uitdrukkelijk voorbehoud van een welbepaalde interpretatie van die norm. In een zodanig geval maakt de interpretatie een door het Hof beslecht rechtspunt uit, zodat de rechtscolleges, waaronder de Raad van State, ertoe gehouden zijn de norm toe te passen in de bedoelde interpretatie.</w:t>
      </w:r>
    </w:p>
    <w:p w14:paraId="4DCCC7EB" w14:textId="77777777" w:rsidR="00FC59A7" w:rsidRPr="003C6A00" w:rsidRDefault="00FC59A7" w:rsidP="009B1BAD">
      <w:pPr>
        <w:widowControl w:val="0"/>
        <w:autoSpaceDE w:val="0"/>
        <w:autoSpaceDN w:val="0"/>
        <w:adjustRightInd w:val="0"/>
        <w:jc w:val="both"/>
        <w:rPr>
          <w:rFonts w:ascii="Times New Roman" w:hAnsi="Times New Roman" w:cs="Times New Roman"/>
          <w:sz w:val="20"/>
          <w:szCs w:val="20"/>
          <w:lang w:val="nl-BE"/>
        </w:rPr>
      </w:pPr>
      <w:r w:rsidRPr="003C6A00">
        <w:rPr>
          <w:rFonts w:ascii="Times New Roman" w:hAnsi="Times New Roman" w:cs="Times New Roman"/>
          <w:sz w:val="20"/>
          <w:szCs w:val="20"/>
          <w:lang w:val="nl-BE"/>
        </w:rPr>
        <w:t>Artikel 9, § 2, van de bijzondere wet van 6 januari 1989 kan evenwel niet geacht worden afbreuk te doen aan de bevoegdheid van de rechtscolleges om bepalingen van intern recht, waaronder bepalingen van wetgevende aard, te toetsen aan bepalingen van Europees of internationaal recht.</w:t>
      </w:r>
    </w:p>
    <w:p w14:paraId="441E5744" w14:textId="7CB41A00" w:rsidR="00FC59A7" w:rsidRPr="009B1BAD" w:rsidRDefault="00FC59A7" w:rsidP="009B1BAD">
      <w:pPr>
        <w:pStyle w:val="Notedebasdepage"/>
        <w:jc w:val="both"/>
        <w:rPr>
          <w:rFonts w:ascii="Times New Roman" w:hAnsi="Times New Roman" w:cs="Times New Roman"/>
        </w:rPr>
      </w:pPr>
      <w:r w:rsidRPr="003C6A00">
        <w:rPr>
          <w:rFonts w:ascii="Times New Roman" w:hAnsi="Times New Roman" w:cs="Times New Roman"/>
          <w:lang w:val="nl-BE"/>
        </w:rPr>
        <w:t>Daaruit volgt dat de bindende kracht bedoeld in artikel 9, § 2, van de bijzondere wet van 6 januari 1989 beperkt is tot hetgeen het Grondwettelijk Hof heeft beslist in verband met de toetsing van de bestreden norm aan de Grondwet (of aan de te dezen niet ter zake doende bevoegdheidsbepalende regels), eventueel in samenhang met bepalingen van Europees of internationaal recht. De andere rechtscolleges blijven bevoegd om de bedoelde norm te toetsen aan bepalingen van Europees of internationaal recht, ook als het Grondwettelijk Hof die bepalingen onrechtstreeks als referentienormen in zijn beoordeling zou hebben betrokken. Dit geldt in het bijzonder voor bepalingen van Europees of internationaal recht waarbij een grondrecht op geheel of gedeeltelijk analoge wijze als in titel II van de Grondwet wordt gewaarborgd ».</w:t>
      </w:r>
      <w:r w:rsidR="00F7242D" w:rsidRPr="003C6A00">
        <w:rPr>
          <w:rFonts w:ascii="Times New Roman" w:hAnsi="Times New Roman" w:cs="Times New Roman"/>
          <w:lang w:val="nl-BE"/>
        </w:rPr>
        <w:t xml:space="preserve"> </w:t>
      </w:r>
      <w:r w:rsidR="00F7242D" w:rsidRPr="009B1BAD">
        <w:rPr>
          <w:rFonts w:ascii="Times New Roman" w:hAnsi="Times New Roman" w:cs="Times New Roman"/>
        </w:rPr>
        <w:t xml:space="preserve">Sur cet arrêt, </w:t>
      </w:r>
      <w:proofErr w:type="spellStart"/>
      <w:r w:rsidR="00F7242D" w:rsidRPr="009B1BAD">
        <w:rPr>
          <w:rFonts w:ascii="Times New Roman" w:hAnsi="Times New Roman" w:cs="Times New Roman"/>
        </w:rPr>
        <w:t>voy</w:t>
      </w:r>
      <w:proofErr w:type="spellEnd"/>
      <w:r w:rsidR="00F7242D" w:rsidRPr="009B1BAD">
        <w:rPr>
          <w:rFonts w:ascii="Times New Roman" w:hAnsi="Times New Roman" w:cs="Times New Roman"/>
        </w:rPr>
        <w:t xml:space="preserve">. le commentaire de J. </w:t>
      </w:r>
      <w:proofErr w:type="spellStart"/>
      <w:r w:rsidR="00F7242D" w:rsidRPr="009B1BAD">
        <w:rPr>
          <w:rFonts w:ascii="Times New Roman" w:hAnsi="Times New Roman" w:cs="Times New Roman"/>
        </w:rPr>
        <w:t>Velaers</w:t>
      </w:r>
      <w:proofErr w:type="spellEnd"/>
      <w:r w:rsidR="00F7242D" w:rsidRPr="009B1BAD">
        <w:rPr>
          <w:rFonts w:ascii="Times New Roman" w:hAnsi="Times New Roman" w:cs="Times New Roman"/>
        </w:rPr>
        <w:t xml:space="preserve">, </w:t>
      </w:r>
      <w:r w:rsidR="00F7242D" w:rsidRPr="009B1BAD">
        <w:rPr>
          <w:rFonts w:ascii="Times New Roman" w:hAnsi="Times New Roman" w:cs="Times New Roman"/>
          <w:i/>
        </w:rPr>
        <w:t xml:space="preserve">R.W., </w:t>
      </w:r>
      <w:r w:rsidR="00F7242D" w:rsidRPr="009B1BAD">
        <w:rPr>
          <w:rFonts w:ascii="Times New Roman" w:hAnsi="Times New Roman" w:cs="Times New Roman"/>
        </w:rPr>
        <w:t xml:space="preserve">2010-2011, pp. 806 et </w:t>
      </w:r>
      <w:proofErr w:type="spellStart"/>
      <w:r w:rsidR="00F7242D" w:rsidRPr="009B1BAD">
        <w:rPr>
          <w:rFonts w:ascii="Times New Roman" w:hAnsi="Times New Roman" w:cs="Times New Roman"/>
        </w:rPr>
        <w:t>suiv</w:t>
      </w:r>
      <w:proofErr w:type="spellEnd"/>
    </w:p>
  </w:footnote>
  <w:footnote w:id="33">
    <w:p w14:paraId="5B069DD3" w14:textId="77777777" w:rsidR="00FC59A7" w:rsidRPr="009B1BAD" w:rsidRDefault="00FC59A7"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implicitement, </w:t>
      </w:r>
      <w:proofErr w:type="spellStart"/>
      <w:r w:rsidRPr="009B1BAD">
        <w:rPr>
          <w:rFonts w:ascii="Times New Roman" w:hAnsi="Times New Roman" w:cs="Times New Roman"/>
        </w:rPr>
        <w:t>Cass</w:t>
      </w:r>
      <w:proofErr w:type="spellEnd"/>
      <w:r w:rsidRPr="009B1BAD">
        <w:rPr>
          <w:rFonts w:ascii="Times New Roman" w:hAnsi="Times New Roman" w:cs="Times New Roman"/>
        </w:rPr>
        <w:t xml:space="preserve">. 8 décembre 2008, S.07.0114.F. Sur la question,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P. </w:t>
      </w:r>
      <w:r w:rsidRPr="009B1BAD">
        <w:rPr>
          <w:rFonts w:ascii="Times New Roman" w:hAnsi="Times New Roman" w:cs="Times New Roman"/>
          <w:smallCaps/>
        </w:rPr>
        <w:t>Martens</w:t>
      </w:r>
      <w:r w:rsidRPr="009B1BAD">
        <w:rPr>
          <w:rFonts w:ascii="Times New Roman" w:hAnsi="Times New Roman" w:cs="Times New Roman"/>
        </w:rPr>
        <w:t xml:space="preserve">, « L’influence de la Cour européenne des droits de l’Homme sur la Cour constitutionnelle », </w:t>
      </w:r>
      <w:r w:rsidRPr="009B1BAD">
        <w:rPr>
          <w:rFonts w:ascii="Times New Roman" w:hAnsi="Times New Roman" w:cs="Times New Roman"/>
          <w:i/>
        </w:rPr>
        <w:t xml:space="preserve">C.D.P.K., </w:t>
      </w:r>
      <w:r w:rsidRPr="009B1BAD">
        <w:rPr>
          <w:rFonts w:ascii="Times New Roman" w:hAnsi="Times New Roman" w:cs="Times New Roman"/>
        </w:rPr>
        <w:t>2010, p. 355-356.</w:t>
      </w:r>
    </w:p>
  </w:footnote>
  <w:footnote w:id="34">
    <w:p w14:paraId="27E1847E" w14:textId="686F46BB" w:rsidR="00FC59A7" w:rsidRPr="003C6A00" w:rsidRDefault="00FC59A7"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3C6A00">
        <w:rPr>
          <w:rFonts w:ascii="Times New Roman" w:hAnsi="Times New Roman" w:cs="Times New Roman"/>
        </w:rPr>
        <w:t>Cass</w:t>
      </w:r>
      <w:proofErr w:type="spellEnd"/>
      <w:r w:rsidRPr="003C6A00">
        <w:rPr>
          <w:rFonts w:ascii="Times New Roman" w:hAnsi="Times New Roman" w:cs="Times New Roman"/>
        </w:rPr>
        <w:t xml:space="preserve">., 15 décembre 2014, S.12.0081.F. Sur cet arrêt, </w:t>
      </w:r>
      <w:proofErr w:type="spellStart"/>
      <w:r w:rsidRPr="003C6A00">
        <w:rPr>
          <w:rFonts w:ascii="Times New Roman" w:hAnsi="Times New Roman" w:cs="Times New Roman"/>
        </w:rPr>
        <w:t>voy</w:t>
      </w:r>
      <w:proofErr w:type="spellEnd"/>
      <w:r w:rsidRPr="003C6A00">
        <w:rPr>
          <w:rFonts w:ascii="Times New Roman" w:hAnsi="Times New Roman" w:cs="Times New Roman"/>
        </w:rPr>
        <w:t>.</w:t>
      </w:r>
      <w:r w:rsidR="000E0ACF" w:rsidRPr="003C6A00">
        <w:rPr>
          <w:rFonts w:ascii="Times New Roman" w:hAnsi="Times New Roman" w:cs="Times New Roman"/>
        </w:rPr>
        <w:t xml:space="preserve"> et </w:t>
      </w:r>
      <w:proofErr w:type="spellStart"/>
      <w:r w:rsidR="000E0ACF" w:rsidRPr="003C6A00">
        <w:rPr>
          <w:rFonts w:ascii="Times New Roman" w:hAnsi="Times New Roman" w:cs="Times New Roman"/>
        </w:rPr>
        <w:t>comp</w:t>
      </w:r>
      <w:proofErr w:type="spellEnd"/>
      <w:r w:rsidR="000E0ACF" w:rsidRPr="003C6A00">
        <w:rPr>
          <w:rFonts w:ascii="Times New Roman" w:hAnsi="Times New Roman" w:cs="Times New Roman"/>
        </w:rPr>
        <w:t>.</w:t>
      </w:r>
      <w:r w:rsidRPr="003C6A00">
        <w:rPr>
          <w:rFonts w:ascii="Times New Roman" w:hAnsi="Times New Roman" w:cs="Times New Roman"/>
        </w:rPr>
        <w:t xml:space="preserve"> </w:t>
      </w:r>
      <w:r w:rsidRPr="009B1BAD">
        <w:rPr>
          <w:rFonts w:ascii="Times New Roman" w:hAnsi="Times New Roman" w:cs="Times New Roman"/>
          <w:lang w:val="nl-NL"/>
        </w:rPr>
        <w:t xml:space="preserve">M. </w:t>
      </w:r>
      <w:proofErr w:type="spellStart"/>
      <w:r w:rsidRPr="009B1BAD">
        <w:rPr>
          <w:rFonts w:ascii="Times New Roman" w:hAnsi="Times New Roman" w:cs="Times New Roman"/>
          <w:smallCaps/>
          <w:lang w:val="nl-NL"/>
        </w:rPr>
        <w:t>Bossuyt</w:t>
      </w:r>
      <w:proofErr w:type="spellEnd"/>
      <w:r w:rsidRPr="009B1BAD">
        <w:rPr>
          <w:rFonts w:ascii="Times New Roman" w:hAnsi="Times New Roman" w:cs="Times New Roman"/>
          <w:lang w:val="nl-NL"/>
        </w:rPr>
        <w:t xml:space="preserve">, </w:t>
      </w:r>
      <w:proofErr w:type="gramStart"/>
      <w:r w:rsidRPr="009B1BAD">
        <w:rPr>
          <w:rFonts w:ascii="Times New Roman" w:hAnsi="Times New Roman" w:cs="Times New Roman"/>
          <w:lang w:val="nl-NL"/>
        </w:rPr>
        <w:t>“ Schuift</w:t>
      </w:r>
      <w:proofErr w:type="gramEnd"/>
      <w:r w:rsidRPr="009B1BAD">
        <w:rPr>
          <w:rFonts w:ascii="Times New Roman" w:hAnsi="Times New Roman" w:cs="Times New Roman"/>
          <w:lang w:val="nl-NL"/>
        </w:rPr>
        <w:t xml:space="preserve"> het Hof van Cassatie een moeizaam bereikt compromis inzake samenloop van grondrechten terzijde?', </w:t>
      </w:r>
      <w:r w:rsidRPr="009B1BAD">
        <w:rPr>
          <w:rFonts w:ascii="Times New Roman" w:hAnsi="Times New Roman" w:cs="Times New Roman"/>
          <w:i/>
          <w:lang w:val="nl-NL"/>
        </w:rPr>
        <w:t>R.W.,</w:t>
      </w:r>
      <w:r w:rsidRPr="009B1BAD">
        <w:rPr>
          <w:rFonts w:ascii="Times New Roman" w:hAnsi="Times New Roman" w:cs="Times New Roman"/>
          <w:lang w:val="nl-NL"/>
        </w:rPr>
        <w:t> 2014-15, nr. 41, p. 1622-1628</w:t>
      </w:r>
      <w:r w:rsidR="000E0ACF" w:rsidRPr="009B1BAD">
        <w:rPr>
          <w:rFonts w:ascii="Times New Roman" w:hAnsi="Times New Roman" w:cs="Times New Roman"/>
          <w:lang w:val="nl-NL"/>
        </w:rPr>
        <w:t xml:space="preserve"> et </w:t>
      </w:r>
      <w:r w:rsidRPr="009B1BAD">
        <w:rPr>
          <w:rFonts w:ascii="Times New Roman" w:hAnsi="Times New Roman" w:cs="Times New Roman"/>
          <w:lang w:val="nl-NL"/>
        </w:rPr>
        <w:t xml:space="preserve">C. </w:t>
      </w:r>
      <w:r w:rsidRPr="009B1BAD">
        <w:rPr>
          <w:rFonts w:ascii="Times New Roman" w:hAnsi="Times New Roman" w:cs="Times New Roman"/>
          <w:smallCaps/>
          <w:lang w:val="nl-NL"/>
        </w:rPr>
        <w:t>Behrendt</w:t>
      </w:r>
      <w:r w:rsidRPr="009B1BAD">
        <w:rPr>
          <w:rFonts w:ascii="Times New Roman" w:hAnsi="Times New Roman" w:cs="Times New Roman"/>
          <w:lang w:val="nl-NL"/>
        </w:rPr>
        <w:t xml:space="preserve"> et M. </w:t>
      </w:r>
      <w:proofErr w:type="spellStart"/>
      <w:r w:rsidRPr="009B1BAD">
        <w:rPr>
          <w:rFonts w:ascii="Times New Roman" w:hAnsi="Times New Roman" w:cs="Times New Roman"/>
          <w:smallCaps/>
          <w:lang w:val="nl-NL"/>
        </w:rPr>
        <w:t>Vrancken</w:t>
      </w:r>
      <w:proofErr w:type="spellEnd"/>
      <w:r w:rsidRPr="009B1BAD">
        <w:rPr>
          <w:rFonts w:ascii="Times New Roman" w:hAnsi="Times New Roman" w:cs="Times New Roman"/>
          <w:smallCaps/>
          <w:lang w:val="nl-NL"/>
        </w:rPr>
        <w:t>,</w:t>
      </w:r>
      <w:r w:rsidRPr="009B1BAD">
        <w:rPr>
          <w:rFonts w:ascii="Times New Roman" w:hAnsi="Times New Roman" w:cs="Times New Roman"/>
          <w:lang w:val="nl-NL"/>
        </w:rPr>
        <w:t xml:space="preserve"> “Deux principes </w:t>
      </w:r>
      <w:proofErr w:type="spellStart"/>
      <w:r w:rsidRPr="009B1BAD">
        <w:rPr>
          <w:rFonts w:ascii="Times New Roman" w:hAnsi="Times New Roman" w:cs="Times New Roman"/>
          <w:lang w:val="nl-NL"/>
        </w:rPr>
        <w:t>b</w:t>
      </w:r>
      <w:r w:rsidR="00F7242D" w:rsidRPr="009B1BAD">
        <w:rPr>
          <w:rFonts w:ascii="Times New Roman" w:hAnsi="Times New Roman" w:cs="Times New Roman"/>
          <w:lang w:val="nl-NL"/>
        </w:rPr>
        <w:t>ien</w:t>
      </w:r>
      <w:proofErr w:type="spellEnd"/>
      <w:r w:rsidRPr="009B1BAD">
        <w:rPr>
          <w:rFonts w:ascii="Times New Roman" w:hAnsi="Times New Roman" w:cs="Times New Roman"/>
          <w:lang w:val="nl-NL"/>
        </w:rPr>
        <w:t xml:space="preserve"> </w:t>
      </w:r>
      <w:proofErr w:type="spellStart"/>
      <w:r w:rsidR="00F7242D" w:rsidRPr="009B1BAD">
        <w:rPr>
          <w:rFonts w:ascii="Times New Roman" w:hAnsi="Times New Roman" w:cs="Times New Roman"/>
          <w:lang w:val="nl-NL"/>
        </w:rPr>
        <w:t>distincts</w:t>
      </w:r>
      <w:proofErr w:type="spellEnd"/>
      <w:r w:rsidRPr="009B1BAD">
        <w:rPr>
          <w:rFonts w:ascii="Times New Roman" w:hAnsi="Times New Roman" w:cs="Times New Roman"/>
          <w:lang w:val="nl-NL"/>
        </w:rPr>
        <w:t xml:space="preserve"> ? </w:t>
      </w:r>
      <w:r w:rsidRPr="003C6A00">
        <w:rPr>
          <w:rFonts w:ascii="Times New Roman" w:hAnsi="Times New Roman" w:cs="Times New Roman"/>
        </w:rPr>
        <w:t xml:space="preserve">Le principe de non-discrimination … et le principe de non-discrimination”, </w:t>
      </w:r>
      <w:r w:rsidRPr="003C6A00">
        <w:rPr>
          <w:rFonts w:ascii="Times New Roman" w:hAnsi="Times New Roman" w:cs="Times New Roman"/>
          <w:i/>
        </w:rPr>
        <w:t xml:space="preserve">J.L.M.B., </w:t>
      </w:r>
      <w:r w:rsidRPr="003C6A00">
        <w:rPr>
          <w:rFonts w:ascii="Times New Roman" w:hAnsi="Times New Roman" w:cs="Times New Roman"/>
        </w:rPr>
        <w:t>2015, pp. 1126-1137</w:t>
      </w:r>
    </w:p>
  </w:footnote>
  <w:footnote w:id="35">
    <w:p w14:paraId="05B7C955" w14:textId="2A59C063" w:rsidR="000E0ACF" w:rsidRPr="009B1BAD" w:rsidRDefault="000E0ACF" w:rsidP="009B1BAD">
      <w:pPr>
        <w:jc w:val="both"/>
        <w:rPr>
          <w:rFonts w:ascii="Times New Roman" w:hAnsi="Times New Roman" w:cs="Times New Roman"/>
          <w:sz w:val="20"/>
          <w:szCs w:val="20"/>
          <w:lang w:val="fr-FR"/>
        </w:rPr>
      </w:pPr>
      <w:r w:rsidRPr="009B1BAD">
        <w:rPr>
          <w:rStyle w:val="Appelnotedebasdep"/>
          <w:rFonts w:ascii="Times New Roman" w:hAnsi="Times New Roman" w:cs="Times New Roman"/>
          <w:sz w:val="20"/>
          <w:szCs w:val="20"/>
        </w:rPr>
        <w:footnoteRef/>
      </w:r>
      <w:r w:rsidRPr="009B1BAD">
        <w:rPr>
          <w:rFonts w:ascii="Times New Roman" w:hAnsi="Times New Roman" w:cs="Times New Roman"/>
          <w:sz w:val="20"/>
          <w:szCs w:val="20"/>
        </w:rPr>
        <w:t xml:space="preserve"> </w:t>
      </w:r>
      <w:proofErr w:type="spellStart"/>
      <w:r w:rsidR="008B4574" w:rsidRPr="009B1BAD">
        <w:rPr>
          <w:rFonts w:ascii="Times New Roman" w:hAnsi="Times New Roman" w:cs="Times New Roman"/>
          <w:sz w:val="20"/>
          <w:szCs w:val="20"/>
        </w:rPr>
        <w:t>Cass</w:t>
      </w:r>
      <w:proofErr w:type="spellEnd"/>
      <w:r w:rsidR="008B4574" w:rsidRPr="009B1BAD">
        <w:rPr>
          <w:rFonts w:ascii="Times New Roman" w:hAnsi="Times New Roman" w:cs="Times New Roman"/>
          <w:sz w:val="20"/>
          <w:szCs w:val="20"/>
        </w:rPr>
        <w:t xml:space="preserve">., 29 septembre 2017, </w:t>
      </w:r>
      <w:r w:rsidR="008B4574" w:rsidRPr="009B1BAD">
        <w:rPr>
          <w:rFonts w:ascii="Times New Roman" w:eastAsia="Times New Roman" w:hAnsi="Times New Roman" w:cs="Times New Roman"/>
          <w:color w:val="000000"/>
          <w:sz w:val="20"/>
          <w:szCs w:val="20"/>
          <w:shd w:val="clear" w:color="auto" w:fill="FFFFFF"/>
          <w:lang w:eastAsia="fr-FR"/>
        </w:rPr>
        <w:t>F.15.0010.F</w:t>
      </w:r>
    </w:p>
  </w:footnote>
  <w:footnote w:id="36">
    <w:p w14:paraId="4849D118" w14:textId="144DF6CF" w:rsidR="00CE5CC1" w:rsidRPr="009B1BAD" w:rsidRDefault="00CE5CC1"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lang w:val="fr-FR"/>
        </w:rPr>
        <w:t>Voy</w:t>
      </w:r>
      <w:proofErr w:type="spellEnd"/>
      <w:r w:rsidRPr="009B1BAD">
        <w:rPr>
          <w:rFonts w:ascii="Times New Roman" w:hAnsi="Times New Roman" w:cs="Times New Roman"/>
          <w:lang w:val="fr-FR"/>
        </w:rPr>
        <w:t xml:space="preserve">. </w:t>
      </w:r>
      <w:proofErr w:type="gramStart"/>
      <w:r w:rsidRPr="009B1BAD">
        <w:rPr>
          <w:rFonts w:ascii="Times New Roman" w:hAnsi="Times New Roman" w:cs="Times New Roman"/>
          <w:lang w:val="fr-FR"/>
        </w:rPr>
        <w:t>notamment</w:t>
      </w:r>
      <w:proofErr w:type="gramEnd"/>
      <w:r w:rsidRPr="009B1BAD">
        <w:rPr>
          <w:rFonts w:ascii="Times New Roman" w:hAnsi="Times New Roman" w:cs="Times New Roman"/>
          <w:lang w:val="fr-FR"/>
        </w:rPr>
        <w:t xml:space="preserve"> J.-S. </w:t>
      </w:r>
      <w:proofErr w:type="spellStart"/>
      <w:r w:rsidR="00BE5842" w:rsidRPr="009B1BAD">
        <w:rPr>
          <w:rFonts w:ascii="Times New Roman" w:hAnsi="Times New Roman" w:cs="Times New Roman"/>
          <w:smallCaps/>
          <w:lang w:val="fr-FR"/>
        </w:rPr>
        <w:t>J</w:t>
      </w:r>
      <w:r w:rsidR="009B1BAD" w:rsidRPr="009B1BAD">
        <w:rPr>
          <w:rFonts w:ascii="Times New Roman" w:hAnsi="Times New Roman" w:cs="Times New Roman"/>
          <w:smallCaps/>
          <w:lang w:val="fr-FR"/>
        </w:rPr>
        <w:t>amart</w:t>
      </w:r>
      <w:proofErr w:type="spellEnd"/>
      <w:r w:rsidR="00B57427" w:rsidRPr="009B1BAD">
        <w:rPr>
          <w:rFonts w:ascii="Times New Roman" w:hAnsi="Times New Roman" w:cs="Times New Roman"/>
          <w:smallCaps/>
        </w:rPr>
        <w:t>,</w:t>
      </w:r>
      <w:r w:rsidR="00B57427" w:rsidRPr="009B1BAD">
        <w:rPr>
          <w:rFonts w:ascii="Times New Roman" w:hAnsi="Times New Roman" w:cs="Times New Roman"/>
        </w:rPr>
        <w:t xml:space="preserve"> « Observations sur l’argumentation : La </w:t>
      </w:r>
      <w:r w:rsidR="009B1BAD" w:rsidRPr="009B1BAD">
        <w:rPr>
          <w:rFonts w:ascii="Times New Roman" w:hAnsi="Times New Roman" w:cs="Times New Roman"/>
        </w:rPr>
        <w:t>primauté</w:t>
      </w:r>
      <w:r w:rsidR="00B57427" w:rsidRPr="009B1BAD">
        <w:rPr>
          <w:rFonts w:ascii="Times New Roman" w:hAnsi="Times New Roman" w:cs="Times New Roman"/>
        </w:rPr>
        <w:t xml:space="preserve">́ du droit international », </w:t>
      </w:r>
      <w:r w:rsidR="00B57427" w:rsidRPr="009B1BAD">
        <w:rPr>
          <w:rFonts w:ascii="Times New Roman" w:hAnsi="Times New Roman" w:cs="Times New Roman"/>
          <w:i/>
          <w:iCs/>
        </w:rPr>
        <w:t>R</w:t>
      </w:r>
      <w:r w:rsidR="009B1BAD">
        <w:rPr>
          <w:rFonts w:ascii="Times New Roman" w:hAnsi="Times New Roman" w:cs="Times New Roman"/>
          <w:i/>
          <w:iCs/>
        </w:rPr>
        <w:t>.B.D.C</w:t>
      </w:r>
      <w:r w:rsidR="00B57427" w:rsidRPr="009B1BAD">
        <w:rPr>
          <w:rFonts w:ascii="Times New Roman" w:hAnsi="Times New Roman" w:cs="Times New Roman"/>
        </w:rPr>
        <w:t>, 1999, pp. 109-136 ;</w:t>
      </w:r>
      <w:r w:rsidR="002D08D7" w:rsidRPr="009B1BAD">
        <w:rPr>
          <w:rFonts w:ascii="Times New Roman" w:hAnsi="Times New Roman" w:cs="Times New Roman"/>
        </w:rPr>
        <w:t xml:space="preserve"> M. M</w:t>
      </w:r>
      <w:r w:rsidR="002D08D7" w:rsidRPr="009B1BAD">
        <w:rPr>
          <w:rFonts w:ascii="Times New Roman" w:hAnsi="Times New Roman" w:cs="Times New Roman"/>
          <w:smallCaps/>
        </w:rPr>
        <w:t>elchior</w:t>
      </w:r>
      <w:r w:rsidR="002D08D7" w:rsidRPr="009B1BAD">
        <w:rPr>
          <w:rFonts w:ascii="Times New Roman" w:hAnsi="Times New Roman" w:cs="Times New Roman"/>
        </w:rPr>
        <w:t xml:space="preserve">, « Considérations sur les rapports entre traités, lois et Constitution », </w:t>
      </w:r>
      <w:r w:rsidR="002D08D7" w:rsidRPr="009B1BAD">
        <w:rPr>
          <w:rFonts w:ascii="Times New Roman" w:hAnsi="Times New Roman" w:cs="Times New Roman"/>
          <w:i/>
          <w:iCs/>
        </w:rPr>
        <w:t xml:space="preserve">En hommage à Francis </w:t>
      </w:r>
      <w:proofErr w:type="spellStart"/>
      <w:r w:rsidR="002D08D7" w:rsidRPr="009B1BAD">
        <w:rPr>
          <w:rFonts w:ascii="Times New Roman" w:hAnsi="Times New Roman" w:cs="Times New Roman"/>
          <w:i/>
          <w:iCs/>
        </w:rPr>
        <w:t>Delpérée</w:t>
      </w:r>
      <w:proofErr w:type="spellEnd"/>
      <w:r w:rsidR="002D08D7" w:rsidRPr="009B1BAD">
        <w:rPr>
          <w:rFonts w:ascii="Times New Roman" w:hAnsi="Times New Roman" w:cs="Times New Roman"/>
          <w:i/>
          <w:iCs/>
        </w:rPr>
        <w:t>. Itinéraires d’un constitutionnaliste</w:t>
      </w:r>
      <w:r w:rsidR="002D08D7" w:rsidRPr="009B1BAD">
        <w:rPr>
          <w:rFonts w:ascii="Times New Roman" w:hAnsi="Times New Roman" w:cs="Times New Roman"/>
        </w:rPr>
        <w:t xml:space="preserve">, Bruxelles, </w:t>
      </w:r>
      <w:proofErr w:type="spellStart"/>
      <w:r w:rsidR="002D08D7" w:rsidRPr="009B1BAD">
        <w:rPr>
          <w:rFonts w:ascii="Times New Roman" w:hAnsi="Times New Roman" w:cs="Times New Roman"/>
        </w:rPr>
        <w:t>Bruylant</w:t>
      </w:r>
      <w:proofErr w:type="spellEnd"/>
      <w:r w:rsidR="002D08D7" w:rsidRPr="009B1BAD">
        <w:rPr>
          <w:rFonts w:ascii="Times New Roman" w:hAnsi="Times New Roman" w:cs="Times New Roman"/>
        </w:rPr>
        <w:t xml:space="preserve">, 2007, p. 1020 et </w:t>
      </w:r>
      <w:r w:rsidR="00EF01E6" w:rsidRPr="009B1BAD">
        <w:rPr>
          <w:rFonts w:ascii="Times New Roman" w:hAnsi="Times New Roman" w:cs="Times New Roman"/>
        </w:rPr>
        <w:t xml:space="preserve">E. </w:t>
      </w:r>
      <w:proofErr w:type="spellStart"/>
      <w:r w:rsidR="00EF01E6" w:rsidRPr="009B1BAD">
        <w:rPr>
          <w:rFonts w:ascii="Times New Roman" w:hAnsi="Times New Roman" w:cs="Times New Roman"/>
        </w:rPr>
        <w:t>S</w:t>
      </w:r>
      <w:r w:rsidR="00EF01E6" w:rsidRPr="009B1BAD">
        <w:rPr>
          <w:rFonts w:ascii="Times New Roman" w:hAnsi="Times New Roman" w:cs="Times New Roman"/>
          <w:smallCaps/>
        </w:rPr>
        <w:t>lautsky</w:t>
      </w:r>
      <w:proofErr w:type="spellEnd"/>
      <w:r w:rsidR="00EF01E6" w:rsidRPr="009B1BAD">
        <w:rPr>
          <w:rFonts w:ascii="Times New Roman" w:hAnsi="Times New Roman" w:cs="Times New Roman"/>
        </w:rPr>
        <w:t xml:space="preserve"> « De la hiérarchie entre Constitution et droit international », </w:t>
      </w:r>
      <w:proofErr w:type="spellStart"/>
      <w:r w:rsidR="00EF01E6" w:rsidRPr="009B1BAD">
        <w:rPr>
          <w:rFonts w:ascii="Times New Roman" w:hAnsi="Times New Roman" w:cs="Times New Roman"/>
          <w:i/>
        </w:rPr>
        <w:t>Adm</w:t>
      </w:r>
      <w:proofErr w:type="spellEnd"/>
      <w:r w:rsidR="00EF01E6" w:rsidRPr="009B1BAD">
        <w:rPr>
          <w:rFonts w:ascii="Times New Roman" w:hAnsi="Times New Roman" w:cs="Times New Roman"/>
          <w:i/>
        </w:rPr>
        <w:t xml:space="preserve">. </w:t>
      </w:r>
      <w:proofErr w:type="spellStart"/>
      <w:r w:rsidR="00EF01E6" w:rsidRPr="009B1BAD">
        <w:rPr>
          <w:rFonts w:ascii="Times New Roman" w:hAnsi="Times New Roman" w:cs="Times New Roman"/>
          <w:i/>
        </w:rPr>
        <w:t>publ</w:t>
      </w:r>
      <w:proofErr w:type="spellEnd"/>
      <w:r w:rsidR="00EF01E6" w:rsidRPr="009B1BAD">
        <w:rPr>
          <w:rFonts w:ascii="Times New Roman" w:hAnsi="Times New Roman" w:cs="Times New Roman"/>
          <w:i/>
        </w:rPr>
        <w:t>.</w:t>
      </w:r>
      <w:r w:rsidR="00EF01E6" w:rsidRPr="009B1BAD">
        <w:rPr>
          <w:rFonts w:ascii="Times New Roman" w:hAnsi="Times New Roman" w:cs="Times New Roman"/>
        </w:rPr>
        <w:t>, 2009/3, p.</w:t>
      </w:r>
      <w:r w:rsidR="002D08D7" w:rsidRPr="009B1BAD">
        <w:rPr>
          <w:rFonts w:ascii="Times New Roman" w:hAnsi="Times New Roman" w:cs="Times New Roman"/>
        </w:rPr>
        <w:t>. 229.</w:t>
      </w:r>
    </w:p>
  </w:footnote>
  <w:footnote w:id="37">
    <w:p w14:paraId="6FE7A613" w14:textId="6693A3E5" w:rsidR="00EF01E6" w:rsidRPr="009B1BAD" w:rsidRDefault="00EF01E6" w:rsidP="009B1BAD">
      <w:pPr>
        <w:jc w:val="both"/>
        <w:rPr>
          <w:rFonts w:ascii="Times New Roman" w:hAnsi="Times New Roman" w:cs="Times New Roman"/>
          <w:sz w:val="20"/>
          <w:szCs w:val="20"/>
        </w:rPr>
      </w:pPr>
      <w:r w:rsidRPr="009B1BAD">
        <w:rPr>
          <w:rStyle w:val="Appelnotedebasdep"/>
          <w:rFonts w:ascii="Times New Roman" w:hAnsi="Times New Roman" w:cs="Times New Roman"/>
          <w:sz w:val="20"/>
          <w:szCs w:val="20"/>
        </w:rPr>
        <w:footnoteRef/>
      </w:r>
      <w:r w:rsidRPr="009B1BAD">
        <w:rPr>
          <w:rFonts w:ascii="Times New Roman" w:hAnsi="Times New Roman" w:cs="Times New Roman"/>
          <w:sz w:val="20"/>
          <w:szCs w:val="20"/>
        </w:rPr>
        <w:t xml:space="preserve"> Au vrai, la jurisprudence antérieure de la Cour comportait déjà des précédents de contrôle de compatibilité de la Constitution avec la Convention européenne des droits de l’Homme. </w:t>
      </w:r>
      <w:proofErr w:type="spellStart"/>
      <w:r w:rsidRPr="009B1BAD">
        <w:rPr>
          <w:rFonts w:ascii="Times New Roman" w:hAnsi="Times New Roman" w:cs="Times New Roman"/>
          <w:sz w:val="20"/>
          <w:szCs w:val="20"/>
        </w:rPr>
        <w:t>Voy</w:t>
      </w:r>
      <w:proofErr w:type="spellEnd"/>
      <w:r w:rsidRPr="009B1BAD">
        <w:rPr>
          <w:rFonts w:ascii="Times New Roman" w:hAnsi="Times New Roman" w:cs="Times New Roman"/>
          <w:sz w:val="20"/>
          <w:szCs w:val="20"/>
        </w:rPr>
        <w:t xml:space="preserve">. O. </w:t>
      </w:r>
      <w:r w:rsidRPr="009B1BAD">
        <w:rPr>
          <w:rFonts w:ascii="Times New Roman" w:hAnsi="Times New Roman" w:cs="Times New Roman"/>
          <w:smallCaps/>
          <w:sz w:val="20"/>
          <w:szCs w:val="20"/>
        </w:rPr>
        <w:t xml:space="preserve">De </w:t>
      </w:r>
      <w:proofErr w:type="spellStart"/>
      <w:r w:rsidRPr="009B1BAD">
        <w:rPr>
          <w:rFonts w:ascii="Times New Roman" w:hAnsi="Times New Roman" w:cs="Times New Roman"/>
          <w:smallCaps/>
          <w:sz w:val="20"/>
          <w:szCs w:val="20"/>
        </w:rPr>
        <w:t>Schutter</w:t>
      </w:r>
      <w:proofErr w:type="spellEnd"/>
      <w:r w:rsidRPr="009B1BAD">
        <w:rPr>
          <w:rFonts w:ascii="Times New Roman" w:hAnsi="Times New Roman" w:cs="Times New Roman"/>
          <w:sz w:val="20"/>
          <w:szCs w:val="20"/>
        </w:rPr>
        <w:t xml:space="preserve"> et </w:t>
      </w:r>
      <w:r w:rsidRPr="009B1BAD">
        <w:rPr>
          <w:rFonts w:ascii="Times New Roman" w:hAnsi="Times New Roman" w:cs="Times New Roman"/>
          <w:smallCaps/>
          <w:sz w:val="20"/>
          <w:szCs w:val="20"/>
        </w:rPr>
        <w:t>S. Van Drooghenbroeck</w:t>
      </w:r>
      <w:r w:rsidRPr="009B1BAD">
        <w:rPr>
          <w:rFonts w:ascii="Times New Roman" w:hAnsi="Times New Roman" w:cs="Times New Roman"/>
          <w:sz w:val="20"/>
          <w:szCs w:val="20"/>
        </w:rPr>
        <w:t xml:space="preserve">, </w:t>
      </w:r>
      <w:r w:rsidR="00BE5842" w:rsidRPr="009B1BAD">
        <w:rPr>
          <w:rFonts w:ascii="Times New Roman" w:hAnsi="Times New Roman" w:cs="Times New Roman"/>
          <w:i/>
          <w:sz w:val="20"/>
          <w:szCs w:val="20"/>
        </w:rPr>
        <w:t xml:space="preserve">Le droit international des droits de l’Homme devant le juge national, </w:t>
      </w:r>
      <w:r w:rsidR="00BE5842" w:rsidRPr="009B1BAD">
        <w:rPr>
          <w:rFonts w:ascii="Times New Roman" w:hAnsi="Times New Roman" w:cs="Times New Roman"/>
          <w:sz w:val="20"/>
          <w:szCs w:val="20"/>
        </w:rPr>
        <w:t xml:space="preserve">Bruxelles, </w:t>
      </w:r>
      <w:proofErr w:type="spellStart"/>
      <w:r w:rsidR="00BE5842" w:rsidRPr="009B1BAD">
        <w:rPr>
          <w:rFonts w:ascii="Times New Roman" w:hAnsi="Times New Roman" w:cs="Times New Roman"/>
          <w:sz w:val="20"/>
          <w:szCs w:val="20"/>
        </w:rPr>
        <w:t>Larcie</w:t>
      </w:r>
      <w:proofErr w:type="spellEnd"/>
      <w:r w:rsidR="00BE5842" w:rsidRPr="009B1BAD">
        <w:rPr>
          <w:rFonts w:ascii="Times New Roman" w:hAnsi="Times New Roman" w:cs="Times New Roman"/>
          <w:sz w:val="20"/>
          <w:szCs w:val="20"/>
        </w:rPr>
        <w:t>, coll. « Les grands arrêts de la jurisprudence belge</w:t>
      </w:r>
      <w:r w:rsidRPr="009B1BAD">
        <w:rPr>
          <w:rFonts w:ascii="Times New Roman" w:hAnsi="Times New Roman" w:cs="Times New Roman"/>
          <w:sz w:val="20"/>
          <w:szCs w:val="20"/>
        </w:rPr>
        <w:t xml:space="preserve">, p. 229. De tels contrôles </w:t>
      </w:r>
      <w:r w:rsidR="00AD6911" w:rsidRPr="009B1BAD">
        <w:rPr>
          <w:rFonts w:ascii="Times New Roman" w:hAnsi="Times New Roman" w:cs="Times New Roman"/>
          <w:sz w:val="20"/>
          <w:szCs w:val="20"/>
        </w:rPr>
        <w:t xml:space="preserve">connurent des illustrations notables dans la jurisprudence postérieure à 2004. </w:t>
      </w:r>
      <w:proofErr w:type="spellStart"/>
      <w:r w:rsidR="00AD6911" w:rsidRPr="009B1BAD">
        <w:rPr>
          <w:rFonts w:ascii="Times New Roman" w:hAnsi="Times New Roman" w:cs="Times New Roman"/>
          <w:sz w:val="20"/>
          <w:szCs w:val="20"/>
        </w:rPr>
        <w:t>Voy</w:t>
      </w:r>
      <w:proofErr w:type="spellEnd"/>
      <w:r w:rsidR="00AD6911" w:rsidRPr="009B1BAD">
        <w:rPr>
          <w:rFonts w:ascii="Times New Roman" w:hAnsi="Times New Roman" w:cs="Times New Roman"/>
          <w:sz w:val="20"/>
          <w:szCs w:val="20"/>
        </w:rPr>
        <w:t xml:space="preserve">. </w:t>
      </w:r>
      <w:r w:rsidR="00AD6911" w:rsidRPr="009B1BAD">
        <w:rPr>
          <w:rFonts w:ascii="Times New Roman" w:hAnsi="Times New Roman" w:cs="Times New Roman"/>
          <w:smallCaps/>
          <w:sz w:val="20"/>
          <w:szCs w:val="20"/>
        </w:rPr>
        <w:t xml:space="preserve">L. </w:t>
      </w:r>
      <w:proofErr w:type="spellStart"/>
      <w:r w:rsidR="00AD6911" w:rsidRPr="009B1BAD">
        <w:rPr>
          <w:rFonts w:ascii="Times New Roman" w:hAnsi="Times New Roman" w:cs="Times New Roman"/>
          <w:smallCaps/>
          <w:sz w:val="20"/>
          <w:szCs w:val="20"/>
        </w:rPr>
        <w:t>Vancrayebeck</w:t>
      </w:r>
      <w:proofErr w:type="spellEnd"/>
      <w:r w:rsidR="00AD6911" w:rsidRPr="009B1BAD">
        <w:rPr>
          <w:rFonts w:ascii="Times New Roman" w:hAnsi="Times New Roman" w:cs="Times New Roman"/>
          <w:sz w:val="20"/>
          <w:szCs w:val="20"/>
        </w:rPr>
        <w:t xml:space="preserve">, </w:t>
      </w:r>
      <w:r w:rsidR="00BE5842" w:rsidRPr="009B1BAD">
        <w:rPr>
          <w:rFonts w:ascii="Times New Roman" w:hAnsi="Times New Roman" w:cs="Times New Roman"/>
          <w:sz w:val="20"/>
          <w:szCs w:val="20"/>
        </w:rPr>
        <w:t>« </w:t>
      </w:r>
      <w:r w:rsidR="00BE5842" w:rsidRPr="009B1BAD" w:rsidDel="007971C0">
        <w:rPr>
          <w:rFonts w:ascii="Times New Roman" w:hAnsi="Times New Roman" w:cs="Times New Roman"/>
          <w:sz w:val="20"/>
          <w:szCs w:val="20"/>
          <w:lang w:val="cs-CZ"/>
        </w:rPr>
        <w:t>VII</w:t>
      </w:r>
      <w:r w:rsidR="00BE5842" w:rsidRPr="009B1BAD">
        <w:rPr>
          <w:rFonts w:ascii="Times New Roman" w:hAnsi="Times New Roman" w:cs="Times New Roman"/>
          <w:sz w:val="20"/>
          <w:szCs w:val="20"/>
          <w:lang w:val="cs-CZ"/>
        </w:rPr>
        <w:t>I</w:t>
      </w:r>
      <w:r w:rsidR="00BE5842" w:rsidRPr="009B1BAD" w:rsidDel="007971C0">
        <w:rPr>
          <w:rFonts w:ascii="Times New Roman" w:hAnsi="Times New Roman" w:cs="Times New Roman"/>
          <w:sz w:val="20"/>
          <w:szCs w:val="20"/>
          <w:lang w:val="cs-CZ"/>
        </w:rPr>
        <w:t xml:space="preserve">. </w:t>
      </w:r>
      <w:r w:rsidR="00BE5842" w:rsidRPr="009B1BAD">
        <w:rPr>
          <w:rFonts w:ascii="Times New Roman" w:hAnsi="Times New Roman" w:cs="Times New Roman"/>
          <w:sz w:val="20"/>
          <w:szCs w:val="20"/>
          <w:lang w:val="cs-CZ"/>
        </w:rPr>
        <w:t xml:space="preserve">2. Le conflit traité – Constitution“ in S. Van Drooghenbroeck (dir.), </w:t>
      </w:r>
      <w:r w:rsidR="00BE5842" w:rsidRPr="009B1BAD">
        <w:rPr>
          <w:rFonts w:ascii="Times New Roman" w:hAnsi="Times New Roman" w:cs="Times New Roman"/>
          <w:i/>
          <w:sz w:val="20"/>
          <w:szCs w:val="20"/>
          <w:lang w:val="cs-CZ"/>
        </w:rPr>
        <w:t xml:space="preserve">Le droit international et européen des droits de l’Homme devant le juge </w:t>
      </w:r>
      <w:proofErr w:type="gramStart"/>
      <w:r w:rsidR="00BE5842" w:rsidRPr="009B1BAD">
        <w:rPr>
          <w:rFonts w:ascii="Times New Roman" w:hAnsi="Times New Roman" w:cs="Times New Roman"/>
          <w:i/>
          <w:sz w:val="20"/>
          <w:szCs w:val="20"/>
          <w:lang w:val="cs-CZ"/>
        </w:rPr>
        <w:t xml:space="preserve">national,  </w:t>
      </w:r>
      <w:r w:rsidR="00BE5842" w:rsidRPr="009B1BAD">
        <w:rPr>
          <w:rFonts w:ascii="Times New Roman" w:hAnsi="Times New Roman" w:cs="Times New Roman"/>
          <w:sz w:val="20"/>
          <w:szCs w:val="20"/>
          <w:lang w:val="cs-CZ"/>
        </w:rPr>
        <w:t>Bruxelles</w:t>
      </w:r>
      <w:proofErr w:type="gramEnd"/>
      <w:r w:rsidR="00BE5842" w:rsidRPr="009B1BAD">
        <w:rPr>
          <w:rFonts w:ascii="Times New Roman" w:hAnsi="Times New Roman" w:cs="Times New Roman"/>
          <w:sz w:val="20"/>
          <w:szCs w:val="20"/>
          <w:lang w:val="cs-CZ"/>
        </w:rPr>
        <w:t xml:space="preserve">, Larcier, Coll. „Les grands arrêts de la jurisprudence belge“, 2014, pp. 282 et suiv. </w:t>
      </w:r>
    </w:p>
  </w:footnote>
  <w:footnote w:id="38">
    <w:p w14:paraId="55262F94" w14:textId="60D344C3" w:rsidR="00CE5CC1" w:rsidRPr="009B1BAD" w:rsidRDefault="00CE5CC1"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Faisant visiblement sienne la doctrine de son ancien Procureur général :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J. </w:t>
      </w:r>
      <w:r w:rsidRPr="009B1BAD">
        <w:rPr>
          <w:rFonts w:ascii="Times New Roman" w:hAnsi="Times New Roman" w:cs="Times New Roman"/>
          <w:smallCaps/>
        </w:rPr>
        <w:t>Velu</w:t>
      </w:r>
      <w:r w:rsidR="00EF3261" w:rsidRPr="009B1BAD">
        <w:rPr>
          <w:rFonts w:ascii="Times New Roman" w:hAnsi="Times New Roman" w:cs="Times New Roman"/>
        </w:rPr>
        <w:t>, « Contrôle de constitutionnalité et contrôle de compatibili</w:t>
      </w:r>
      <w:r w:rsidR="002F43FF" w:rsidRPr="009B1BAD">
        <w:rPr>
          <w:rFonts w:ascii="Times New Roman" w:hAnsi="Times New Roman" w:cs="Times New Roman"/>
        </w:rPr>
        <w:t>té avec les traités. Mercuriale prononcée le 1</w:t>
      </w:r>
      <w:r w:rsidR="002F43FF" w:rsidRPr="009B1BAD">
        <w:rPr>
          <w:rFonts w:ascii="Times New Roman" w:hAnsi="Times New Roman" w:cs="Times New Roman"/>
          <w:vertAlign w:val="superscript"/>
        </w:rPr>
        <w:t>er</w:t>
      </w:r>
      <w:r w:rsidR="002F43FF" w:rsidRPr="009B1BAD">
        <w:rPr>
          <w:rFonts w:ascii="Times New Roman" w:hAnsi="Times New Roman" w:cs="Times New Roman"/>
        </w:rPr>
        <w:t xml:space="preserve"> septembre 1992 », </w:t>
      </w:r>
      <w:r w:rsidR="002F43FF" w:rsidRPr="009B1BAD">
        <w:rPr>
          <w:rFonts w:ascii="Times New Roman" w:hAnsi="Times New Roman" w:cs="Times New Roman"/>
          <w:i/>
        </w:rPr>
        <w:t xml:space="preserve">J.T., </w:t>
      </w:r>
      <w:r w:rsidR="002F43FF" w:rsidRPr="009B1BAD">
        <w:rPr>
          <w:rFonts w:ascii="Times New Roman" w:hAnsi="Times New Roman" w:cs="Times New Roman"/>
        </w:rPr>
        <w:t>1992, pp. 729-741 et 749-761</w:t>
      </w:r>
    </w:p>
  </w:footnote>
  <w:footnote w:id="39">
    <w:p w14:paraId="2F8731EB" w14:textId="77777777" w:rsidR="00204F7D" w:rsidRPr="009B1BAD" w:rsidRDefault="00204F7D"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rPr>
        <w:t>Cass</w:t>
      </w:r>
      <w:proofErr w:type="spellEnd"/>
      <w:r w:rsidRPr="009B1BAD">
        <w:rPr>
          <w:rFonts w:ascii="Times New Roman" w:hAnsi="Times New Roman" w:cs="Times New Roman"/>
        </w:rPr>
        <w:t xml:space="preserve">., 9 novembre 2004, </w:t>
      </w:r>
      <w:r w:rsidRPr="009B1BAD">
        <w:rPr>
          <w:rFonts w:ascii="Times New Roman" w:hAnsi="Times New Roman" w:cs="Times New Roman"/>
          <w:i/>
        </w:rPr>
        <w:t xml:space="preserve">Pas., </w:t>
      </w:r>
      <w:r w:rsidRPr="009B1BAD">
        <w:rPr>
          <w:rFonts w:ascii="Times New Roman" w:hAnsi="Times New Roman" w:cs="Times New Roman"/>
        </w:rPr>
        <w:t>2004, p. 1745</w:t>
      </w:r>
    </w:p>
  </w:footnote>
  <w:footnote w:id="40">
    <w:p w14:paraId="7092E181" w14:textId="77777777" w:rsidR="00204F7D" w:rsidRPr="003C6A00" w:rsidRDefault="00204F7D" w:rsidP="009B1BAD">
      <w:pPr>
        <w:pStyle w:val="Notedebasdepage"/>
        <w:jc w:val="both"/>
        <w:rPr>
          <w:rFonts w:ascii="Times New Roman" w:hAnsi="Times New Roman" w:cs="Times New Roman"/>
          <w:lang w:val="nl-BE"/>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rPr>
        <w:t>Cass</w:t>
      </w:r>
      <w:proofErr w:type="spellEnd"/>
      <w:r w:rsidRPr="009B1BAD">
        <w:rPr>
          <w:rFonts w:ascii="Times New Roman" w:hAnsi="Times New Roman" w:cs="Times New Roman"/>
        </w:rPr>
        <w:t xml:space="preserve">., 16 novembre 2004, RG n°P.04.0644.N, </w:t>
      </w:r>
      <w:proofErr w:type="spellStart"/>
      <w:r w:rsidRPr="009B1BAD">
        <w:rPr>
          <w:rFonts w:ascii="Times New Roman" w:hAnsi="Times New Roman" w:cs="Times New Roman"/>
        </w:rPr>
        <w:t>concl</w:t>
      </w:r>
      <w:proofErr w:type="spellEnd"/>
      <w:r w:rsidRPr="009B1BAD">
        <w:rPr>
          <w:rFonts w:ascii="Times New Roman" w:hAnsi="Times New Roman" w:cs="Times New Roman"/>
        </w:rPr>
        <w:t xml:space="preserve">. av. </w:t>
      </w:r>
      <w:proofErr w:type="spellStart"/>
      <w:r w:rsidRPr="009B1BAD">
        <w:rPr>
          <w:rFonts w:ascii="Times New Roman" w:hAnsi="Times New Roman" w:cs="Times New Roman"/>
        </w:rPr>
        <w:t>gén</w:t>
      </w:r>
      <w:proofErr w:type="spellEnd"/>
      <w:r w:rsidRPr="009B1BAD">
        <w:rPr>
          <w:rFonts w:ascii="Times New Roman" w:hAnsi="Times New Roman" w:cs="Times New Roman"/>
        </w:rPr>
        <w:t xml:space="preserve">. </w:t>
      </w:r>
      <w:r w:rsidRPr="003C6A00">
        <w:rPr>
          <w:rFonts w:ascii="Times New Roman" w:hAnsi="Times New Roman" w:cs="Times New Roman"/>
          <w:lang w:val="nl-BE"/>
        </w:rPr>
        <w:t xml:space="preserve">Duinslaeger; </w:t>
      </w:r>
      <w:r w:rsidRPr="003C6A00">
        <w:rPr>
          <w:rFonts w:ascii="Times New Roman" w:hAnsi="Times New Roman" w:cs="Times New Roman"/>
          <w:i/>
          <w:lang w:val="nl-BE"/>
        </w:rPr>
        <w:t>C.D.P.K.</w:t>
      </w:r>
      <w:r w:rsidRPr="003C6A00">
        <w:rPr>
          <w:rFonts w:ascii="Times New Roman" w:hAnsi="Times New Roman" w:cs="Times New Roman"/>
          <w:lang w:val="nl-BE"/>
        </w:rPr>
        <w:t>, 2005, liv. 3, p. 610, note A. V</w:t>
      </w:r>
      <w:r w:rsidRPr="003C6A00">
        <w:rPr>
          <w:rFonts w:ascii="Times New Roman" w:hAnsi="Times New Roman" w:cs="Times New Roman"/>
          <w:smallCaps/>
          <w:lang w:val="nl-BE"/>
        </w:rPr>
        <w:t xml:space="preserve">an </w:t>
      </w:r>
      <w:r w:rsidRPr="003C6A00">
        <w:rPr>
          <w:rFonts w:ascii="Times New Roman" w:hAnsi="Times New Roman" w:cs="Times New Roman"/>
          <w:lang w:val="nl-BE"/>
        </w:rPr>
        <w:t>D</w:t>
      </w:r>
      <w:r w:rsidRPr="003C6A00">
        <w:rPr>
          <w:rFonts w:ascii="Times New Roman" w:hAnsi="Times New Roman" w:cs="Times New Roman"/>
          <w:smallCaps/>
          <w:lang w:val="nl-BE"/>
        </w:rPr>
        <w:t>aele</w:t>
      </w:r>
      <w:r w:rsidRPr="003C6A00">
        <w:rPr>
          <w:rFonts w:ascii="Times New Roman" w:hAnsi="Times New Roman" w:cs="Times New Roman"/>
          <w:lang w:val="nl-BE"/>
        </w:rPr>
        <w:t xml:space="preserve"> ; </w:t>
      </w:r>
      <w:r w:rsidRPr="003C6A00">
        <w:rPr>
          <w:rFonts w:ascii="Times New Roman" w:hAnsi="Times New Roman" w:cs="Times New Roman"/>
          <w:i/>
          <w:lang w:val="nl-BE"/>
        </w:rPr>
        <w:t>R.W.,</w:t>
      </w:r>
      <w:r w:rsidRPr="003C6A00">
        <w:rPr>
          <w:rFonts w:ascii="Times New Roman" w:hAnsi="Times New Roman" w:cs="Times New Roman"/>
          <w:lang w:val="nl-BE"/>
        </w:rPr>
        <w:t xml:space="preserve"> 2005-2006, liv. 10, p. 387, note P. P</w:t>
      </w:r>
      <w:r w:rsidRPr="003C6A00">
        <w:rPr>
          <w:rFonts w:ascii="Times New Roman" w:hAnsi="Times New Roman" w:cs="Times New Roman"/>
          <w:smallCaps/>
          <w:lang w:val="nl-BE"/>
        </w:rPr>
        <w:t>opelier</w:t>
      </w:r>
      <w:r w:rsidRPr="003C6A00">
        <w:rPr>
          <w:rFonts w:ascii="Times New Roman" w:hAnsi="Times New Roman" w:cs="Times New Roman"/>
          <w:lang w:val="nl-BE"/>
        </w:rPr>
        <w:t xml:space="preserve"> ; </w:t>
      </w:r>
      <w:r w:rsidRPr="003C6A00">
        <w:rPr>
          <w:rFonts w:ascii="Times New Roman" w:hAnsi="Times New Roman" w:cs="Times New Roman"/>
          <w:i/>
          <w:lang w:val="nl-BE"/>
        </w:rPr>
        <w:t>R.C.J.B.</w:t>
      </w:r>
      <w:r w:rsidRPr="003C6A00">
        <w:rPr>
          <w:rFonts w:ascii="Times New Roman" w:hAnsi="Times New Roman" w:cs="Times New Roman"/>
          <w:lang w:val="nl-BE"/>
        </w:rPr>
        <w:t xml:space="preserve">, 2007, p. 36, note J. </w:t>
      </w:r>
      <w:r w:rsidRPr="003C6A00">
        <w:rPr>
          <w:rFonts w:ascii="Times New Roman" w:hAnsi="Times New Roman" w:cs="Times New Roman"/>
          <w:smallCaps/>
          <w:lang w:val="nl-BE"/>
        </w:rPr>
        <w:t xml:space="preserve">van </w:t>
      </w:r>
      <w:r w:rsidRPr="003C6A00">
        <w:rPr>
          <w:rFonts w:ascii="Times New Roman" w:hAnsi="Times New Roman" w:cs="Times New Roman"/>
          <w:lang w:val="nl-BE"/>
        </w:rPr>
        <w:t>M</w:t>
      </w:r>
      <w:r w:rsidRPr="003C6A00">
        <w:rPr>
          <w:rFonts w:ascii="Times New Roman" w:hAnsi="Times New Roman" w:cs="Times New Roman"/>
          <w:smallCaps/>
          <w:lang w:val="nl-BE"/>
        </w:rPr>
        <w:t>eerbeeck</w:t>
      </w:r>
      <w:r w:rsidRPr="003C6A00">
        <w:rPr>
          <w:rFonts w:ascii="Times New Roman" w:hAnsi="Times New Roman" w:cs="Times New Roman"/>
          <w:lang w:val="nl-BE"/>
        </w:rPr>
        <w:t xml:space="preserve"> et M. M</w:t>
      </w:r>
      <w:r w:rsidRPr="003C6A00">
        <w:rPr>
          <w:rFonts w:ascii="Times New Roman" w:hAnsi="Times New Roman" w:cs="Times New Roman"/>
          <w:smallCaps/>
          <w:lang w:val="nl-BE"/>
        </w:rPr>
        <w:t>ahieu</w:t>
      </w:r>
      <w:r w:rsidRPr="003C6A00">
        <w:rPr>
          <w:rFonts w:ascii="Times New Roman" w:hAnsi="Times New Roman" w:cs="Times New Roman"/>
          <w:lang w:val="nl-BE"/>
        </w:rPr>
        <w:t>, p. 42-90.</w:t>
      </w:r>
    </w:p>
  </w:footnote>
  <w:footnote w:id="41">
    <w:p w14:paraId="77426806" w14:textId="25510BED" w:rsidR="00204F7D" w:rsidRPr="009B1BAD" w:rsidRDefault="00204F7D"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009B1BAD">
        <w:rPr>
          <w:rFonts w:ascii="Times New Roman" w:hAnsi="Times New Roman" w:cs="Times New Roman"/>
          <w:lang w:val="fr-FR"/>
        </w:rPr>
        <w:t xml:space="preserve">Pour ce qui concerne la position du Conseil d’État, </w:t>
      </w:r>
      <w:proofErr w:type="spellStart"/>
      <w:r w:rsidR="009B1BAD">
        <w:rPr>
          <w:rFonts w:ascii="Times New Roman" w:hAnsi="Times New Roman" w:cs="Times New Roman"/>
          <w:lang w:val="fr-FR"/>
        </w:rPr>
        <w:t>voy</w:t>
      </w:r>
      <w:proofErr w:type="spellEnd"/>
      <w:r w:rsidR="009B1BAD">
        <w:rPr>
          <w:rFonts w:ascii="Times New Roman" w:hAnsi="Times New Roman" w:cs="Times New Roman"/>
          <w:lang w:val="fr-FR"/>
        </w:rPr>
        <w:t xml:space="preserve">. </w:t>
      </w:r>
      <w:proofErr w:type="gramStart"/>
      <w:r w:rsidR="009B1BAD">
        <w:rPr>
          <w:rFonts w:ascii="Times New Roman" w:hAnsi="Times New Roman" w:cs="Times New Roman"/>
          <w:lang w:val="fr-FR"/>
        </w:rPr>
        <w:t>la</w:t>
      </w:r>
      <w:proofErr w:type="gramEnd"/>
      <w:r w:rsidR="009B1BAD">
        <w:rPr>
          <w:rFonts w:ascii="Times New Roman" w:hAnsi="Times New Roman" w:cs="Times New Roman"/>
          <w:lang w:val="fr-FR"/>
        </w:rPr>
        <w:t xml:space="preserve"> contribution de E. </w:t>
      </w:r>
      <w:proofErr w:type="spellStart"/>
      <w:r w:rsidR="009B1BAD" w:rsidRPr="009B1BAD">
        <w:rPr>
          <w:rFonts w:ascii="Times New Roman" w:hAnsi="Times New Roman" w:cs="Times New Roman"/>
          <w:smallCaps/>
          <w:lang w:val="fr-FR"/>
        </w:rPr>
        <w:t>Slautsky</w:t>
      </w:r>
      <w:proofErr w:type="spellEnd"/>
      <w:r w:rsidR="009B1BAD">
        <w:rPr>
          <w:rFonts w:ascii="Times New Roman" w:hAnsi="Times New Roman" w:cs="Times New Roman"/>
          <w:lang w:val="fr-FR"/>
        </w:rPr>
        <w:t xml:space="preserve"> dans le présent numéro</w:t>
      </w:r>
    </w:p>
  </w:footnote>
  <w:footnote w:id="42">
    <w:p w14:paraId="43907B73" w14:textId="6918CE5E" w:rsidR="00CE5CC1" w:rsidRPr="009B1BAD" w:rsidRDefault="00CE5CC1"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00EF01E6" w:rsidRPr="009B1BAD">
        <w:rPr>
          <w:rFonts w:ascii="Times New Roman" w:hAnsi="Times New Roman" w:cs="Times New Roman"/>
        </w:rPr>
        <w:t>C.C., arrêt 26/91 du 16 octobre 1991. Sur cet arrêt</w:t>
      </w:r>
      <w:r w:rsidR="002F43FF" w:rsidRPr="009B1BAD">
        <w:rPr>
          <w:rFonts w:ascii="Times New Roman" w:hAnsi="Times New Roman" w:cs="Times New Roman"/>
        </w:rPr>
        <w:t xml:space="preserve"> et les critiques qu’il appelle</w:t>
      </w:r>
      <w:r w:rsidR="00EF01E6" w:rsidRPr="009B1BAD">
        <w:rPr>
          <w:rFonts w:ascii="Times New Roman" w:hAnsi="Times New Roman" w:cs="Times New Roman"/>
        </w:rPr>
        <w:t xml:space="preserve">, </w:t>
      </w:r>
      <w:proofErr w:type="spellStart"/>
      <w:r w:rsidR="00EF01E6" w:rsidRPr="009B1BAD">
        <w:rPr>
          <w:rFonts w:ascii="Times New Roman" w:hAnsi="Times New Roman" w:cs="Times New Roman"/>
        </w:rPr>
        <w:t>voy</w:t>
      </w:r>
      <w:proofErr w:type="spellEnd"/>
      <w:r w:rsidR="00EF01E6" w:rsidRPr="009B1BAD">
        <w:rPr>
          <w:rFonts w:ascii="Times New Roman" w:hAnsi="Times New Roman" w:cs="Times New Roman"/>
        </w:rPr>
        <w:t xml:space="preserve">. O. </w:t>
      </w:r>
      <w:r w:rsidR="00EF01E6" w:rsidRPr="009B1BAD">
        <w:rPr>
          <w:rFonts w:ascii="Times New Roman" w:hAnsi="Times New Roman" w:cs="Times New Roman"/>
          <w:smallCaps/>
        </w:rPr>
        <w:t xml:space="preserve">de </w:t>
      </w:r>
      <w:proofErr w:type="spellStart"/>
      <w:r w:rsidR="00EF01E6" w:rsidRPr="009B1BAD">
        <w:rPr>
          <w:rFonts w:ascii="Times New Roman" w:hAnsi="Times New Roman" w:cs="Times New Roman"/>
          <w:smallCaps/>
        </w:rPr>
        <w:t>Schutter</w:t>
      </w:r>
      <w:proofErr w:type="spellEnd"/>
      <w:r w:rsidR="00EF01E6" w:rsidRPr="009B1BAD">
        <w:rPr>
          <w:rFonts w:ascii="Times New Roman" w:hAnsi="Times New Roman" w:cs="Times New Roman"/>
        </w:rPr>
        <w:t xml:space="preserve"> et S. </w:t>
      </w:r>
      <w:r w:rsidR="00EF01E6" w:rsidRPr="009B1BAD">
        <w:rPr>
          <w:rFonts w:ascii="Times New Roman" w:hAnsi="Times New Roman" w:cs="Times New Roman"/>
          <w:smallCaps/>
        </w:rPr>
        <w:t>Van Drooghenbroeck</w:t>
      </w:r>
      <w:r w:rsidR="00EF01E6" w:rsidRPr="009B1BAD">
        <w:rPr>
          <w:rFonts w:ascii="Times New Roman" w:hAnsi="Times New Roman" w:cs="Times New Roman"/>
        </w:rPr>
        <w:t xml:space="preserve">, </w:t>
      </w:r>
      <w:r w:rsidR="002F43FF" w:rsidRPr="009B1BAD">
        <w:rPr>
          <w:rFonts w:ascii="Times New Roman" w:hAnsi="Times New Roman" w:cs="Times New Roman"/>
          <w:i/>
        </w:rPr>
        <w:t xml:space="preserve">Le droit international…., </w:t>
      </w:r>
      <w:r w:rsidR="00EF01E6" w:rsidRPr="009B1BAD">
        <w:rPr>
          <w:rFonts w:ascii="Times New Roman" w:hAnsi="Times New Roman" w:cs="Times New Roman"/>
        </w:rPr>
        <w:t xml:space="preserve"> p. 536 et réf. citées</w:t>
      </w:r>
    </w:p>
  </w:footnote>
  <w:footnote w:id="43">
    <w:p w14:paraId="1DA10C86" w14:textId="73A89316" w:rsidR="00CE5CC1" w:rsidRPr="009B1BAD" w:rsidRDefault="00CE5CC1"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00C90A27" w:rsidRPr="009B1BAD">
        <w:rPr>
          <w:rFonts w:ascii="Times New Roman" w:hAnsi="Times New Roman" w:cs="Times New Roman"/>
        </w:rPr>
        <w:t xml:space="preserve">CC, CC., n°12/94, 3 février 1994. Sur cet arrêt, </w:t>
      </w:r>
      <w:proofErr w:type="spellStart"/>
      <w:r w:rsidR="00C90A27" w:rsidRPr="009B1BAD">
        <w:rPr>
          <w:rFonts w:ascii="Times New Roman" w:hAnsi="Times New Roman" w:cs="Times New Roman"/>
        </w:rPr>
        <w:t>voy</w:t>
      </w:r>
      <w:proofErr w:type="spellEnd"/>
      <w:r w:rsidR="00C90A27" w:rsidRPr="009B1BAD">
        <w:rPr>
          <w:rFonts w:ascii="Times New Roman" w:hAnsi="Times New Roman" w:cs="Times New Roman"/>
        </w:rPr>
        <w:t xml:space="preserve">. L. </w:t>
      </w:r>
      <w:proofErr w:type="spellStart"/>
      <w:r w:rsidR="00C90A27" w:rsidRPr="009B1BAD">
        <w:rPr>
          <w:rFonts w:ascii="Times New Roman" w:hAnsi="Times New Roman" w:cs="Times New Roman"/>
          <w:smallCaps/>
        </w:rPr>
        <w:t>Vancrayebeck</w:t>
      </w:r>
      <w:proofErr w:type="spellEnd"/>
      <w:r w:rsidR="00C90A27" w:rsidRPr="009B1BAD">
        <w:rPr>
          <w:rFonts w:ascii="Times New Roman" w:hAnsi="Times New Roman" w:cs="Times New Roman"/>
          <w:smallCaps/>
        </w:rPr>
        <w:t>,</w:t>
      </w:r>
      <w:r w:rsidR="00C90A27" w:rsidRPr="009B1BAD">
        <w:rPr>
          <w:rFonts w:ascii="Times New Roman" w:hAnsi="Times New Roman" w:cs="Times New Roman"/>
        </w:rPr>
        <w:t xml:space="preserve"> </w:t>
      </w:r>
      <w:r w:rsidR="00C90A27" w:rsidRPr="009B1BAD">
        <w:rPr>
          <w:rFonts w:ascii="Times New Roman" w:hAnsi="Times New Roman" w:cs="Times New Roman"/>
          <w:i/>
        </w:rPr>
        <w:t xml:space="preserve">op. </w:t>
      </w:r>
      <w:proofErr w:type="spellStart"/>
      <w:r w:rsidR="00C90A27" w:rsidRPr="009B1BAD">
        <w:rPr>
          <w:rFonts w:ascii="Times New Roman" w:hAnsi="Times New Roman" w:cs="Times New Roman"/>
          <w:i/>
        </w:rPr>
        <w:t>cit</w:t>
      </w:r>
      <w:proofErr w:type="spellEnd"/>
      <w:r w:rsidR="00C90A27" w:rsidRPr="009B1BAD">
        <w:rPr>
          <w:rFonts w:ascii="Times New Roman" w:hAnsi="Times New Roman" w:cs="Times New Roman"/>
          <w:i/>
        </w:rPr>
        <w:t>.</w:t>
      </w:r>
    </w:p>
  </w:footnote>
  <w:footnote w:id="44">
    <w:p w14:paraId="2A668382" w14:textId="5D5870F3" w:rsidR="002D08D7" w:rsidRPr="009B1BAD" w:rsidRDefault="002D08D7"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CC., 40/2009, 11 mars 2009 : « B.15.2. La circonstance que le législateur entend donner exécution à une convention internationale ne le dispense pas de respecter les articles 10, 11 et 19 de la Constitution - invoqués dans les moyens précités -, qui garantissent le principe d’égalité et de non-discrimination ainsi que la liberté d’expression »</w:t>
      </w:r>
    </w:p>
  </w:footnote>
  <w:footnote w:id="45">
    <w:p w14:paraId="2A0B30AB" w14:textId="43DF01E4" w:rsidR="00281969" w:rsidRPr="009B1BAD" w:rsidRDefault="00281969"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Dans les arrêts des origines, la formulation était la suivante (CC, n°26/91, 16 octobre 1991, b.4</w:t>
      </w:r>
      <w:r w:rsidR="00666AC4" w:rsidRPr="009B1BAD">
        <w:rPr>
          <w:rFonts w:ascii="Times New Roman" w:hAnsi="Times New Roman" w:cs="Times New Roman"/>
        </w:rPr>
        <w:t>)</w:t>
      </w:r>
      <w:r w:rsidR="006041F7" w:rsidRPr="009B1BAD">
        <w:rPr>
          <w:rFonts w:ascii="Times New Roman" w:hAnsi="Times New Roman" w:cs="Times New Roman"/>
        </w:rPr>
        <w:t xml:space="preserve"> : </w:t>
      </w:r>
      <w:r w:rsidR="00666AC4" w:rsidRPr="009B1BAD">
        <w:rPr>
          <w:rFonts w:ascii="Times New Roman" w:hAnsi="Times New Roman" w:cs="Times New Roman"/>
        </w:rPr>
        <w:t xml:space="preserve"> La Cour</w:t>
      </w:r>
      <w:r w:rsidRPr="009B1BAD">
        <w:rPr>
          <w:rFonts w:ascii="Times New Roman" w:hAnsi="Times New Roman" w:cs="Times New Roman"/>
        </w:rPr>
        <w:t xml:space="preserve"> </w:t>
      </w:r>
      <w:r w:rsidRPr="009B1BAD">
        <w:rPr>
          <w:rFonts w:ascii="Times New Roman" w:hAnsi="Times New Roman" w:cs="Times New Roman"/>
          <w:lang w:val="fr-FR"/>
        </w:rPr>
        <w:t>« devra toutefois exercer son contrôle en tenant compte de ce qu'en l'espèce, il s'agit non d'un acte de souveraineté unilatéral mais d'une norme conventionnelle produisant également des effets de droit en dehors de l'ordre juridique interne »</w:t>
      </w:r>
    </w:p>
  </w:footnote>
  <w:footnote w:id="46">
    <w:p w14:paraId="2F5A66A5" w14:textId="3AA2AB37" w:rsidR="00281969" w:rsidRPr="009B1BAD" w:rsidRDefault="00281969"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lang w:val="fr-FR"/>
        </w:rPr>
        <w:t>Voy</w:t>
      </w:r>
      <w:proofErr w:type="spellEnd"/>
      <w:r w:rsidRPr="009B1BAD">
        <w:rPr>
          <w:rFonts w:ascii="Times New Roman" w:hAnsi="Times New Roman" w:cs="Times New Roman"/>
          <w:lang w:val="fr-FR"/>
        </w:rPr>
        <w:t xml:space="preserve">. </w:t>
      </w:r>
      <w:proofErr w:type="spellStart"/>
      <w:r w:rsidRPr="009B1BAD">
        <w:rPr>
          <w:rFonts w:ascii="Times New Roman" w:hAnsi="Times New Roman" w:cs="Times New Roman"/>
          <w:lang w:val="fr-FR"/>
        </w:rPr>
        <w:t>e.a</w:t>
      </w:r>
      <w:proofErr w:type="spellEnd"/>
      <w:r w:rsidRPr="009B1BAD">
        <w:rPr>
          <w:rFonts w:ascii="Times New Roman" w:hAnsi="Times New Roman" w:cs="Times New Roman"/>
          <w:lang w:val="fr-FR"/>
        </w:rPr>
        <w:t>. CC, n°92/2019, 6 juin 2019, B.12.3</w:t>
      </w:r>
    </w:p>
  </w:footnote>
  <w:footnote w:id="47">
    <w:p w14:paraId="3D524CC6" w14:textId="38E774A0" w:rsidR="00575A9A" w:rsidRPr="009B1BAD" w:rsidRDefault="00575A9A" w:rsidP="009B1BAD">
      <w:pPr>
        <w:autoSpaceDE w:val="0"/>
        <w:autoSpaceDN w:val="0"/>
        <w:adjustRightInd w:val="0"/>
        <w:jc w:val="both"/>
        <w:rPr>
          <w:rFonts w:ascii="Times New Roman" w:hAnsi="Times New Roman" w:cs="Times New Roman"/>
          <w:sz w:val="20"/>
          <w:szCs w:val="20"/>
          <w:lang w:val="fr-FR"/>
        </w:rPr>
      </w:pPr>
      <w:r w:rsidRPr="009B1BAD">
        <w:rPr>
          <w:rStyle w:val="Appelnotedebasdep"/>
          <w:rFonts w:ascii="Times New Roman" w:hAnsi="Times New Roman" w:cs="Times New Roman"/>
          <w:sz w:val="20"/>
          <w:szCs w:val="20"/>
        </w:rPr>
        <w:footnoteRef/>
      </w:r>
      <w:r w:rsidRPr="009B1BAD">
        <w:rPr>
          <w:rFonts w:ascii="Times New Roman" w:hAnsi="Times New Roman" w:cs="Times New Roman"/>
          <w:sz w:val="20"/>
          <w:szCs w:val="20"/>
        </w:rPr>
        <w:t xml:space="preserve"> </w:t>
      </w:r>
      <w:proofErr w:type="spellStart"/>
      <w:r w:rsidR="006041F7" w:rsidRPr="009B1BAD">
        <w:rPr>
          <w:rFonts w:ascii="Times New Roman" w:hAnsi="Times New Roman" w:cs="Times New Roman"/>
          <w:sz w:val="20"/>
          <w:szCs w:val="20"/>
          <w:lang w:val="fr-FR"/>
        </w:rPr>
        <w:t>Voy</w:t>
      </w:r>
      <w:proofErr w:type="spellEnd"/>
      <w:r w:rsidR="006041F7" w:rsidRPr="009B1BAD">
        <w:rPr>
          <w:rFonts w:ascii="Times New Roman" w:hAnsi="Times New Roman" w:cs="Times New Roman"/>
          <w:sz w:val="20"/>
          <w:szCs w:val="20"/>
          <w:lang w:val="fr-FR"/>
        </w:rPr>
        <w:t xml:space="preserve">. </w:t>
      </w:r>
      <w:r w:rsidRPr="009B1BAD">
        <w:rPr>
          <w:rFonts w:ascii="Times New Roman" w:hAnsi="Times New Roman" w:cs="Times New Roman"/>
          <w:i/>
          <w:iCs/>
          <w:sz w:val="20"/>
          <w:szCs w:val="20"/>
          <w:lang w:val="fr-FR"/>
        </w:rPr>
        <w:t xml:space="preserve">Doc. </w:t>
      </w:r>
      <w:proofErr w:type="spellStart"/>
      <w:proofErr w:type="gramStart"/>
      <w:r w:rsidRPr="009B1BAD">
        <w:rPr>
          <w:rFonts w:ascii="Times New Roman" w:hAnsi="Times New Roman" w:cs="Times New Roman"/>
          <w:i/>
          <w:iCs/>
          <w:sz w:val="20"/>
          <w:szCs w:val="20"/>
          <w:lang w:val="fr-FR"/>
        </w:rPr>
        <w:t>parl</w:t>
      </w:r>
      <w:proofErr w:type="spellEnd"/>
      <w:proofErr w:type="gramEnd"/>
      <w:r w:rsidRPr="009B1BAD">
        <w:rPr>
          <w:rFonts w:ascii="Times New Roman" w:hAnsi="Times New Roman" w:cs="Times New Roman"/>
          <w:i/>
          <w:iCs/>
          <w:sz w:val="20"/>
          <w:szCs w:val="20"/>
          <w:lang w:val="fr-FR"/>
        </w:rPr>
        <w:t>., Sénat</w:t>
      </w:r>
      <w:r w:rsidRPr="009B1BAD">
        <w:rPr>
          <w:rFonts w:ascii="Times New Roman" w:hAnsi="Times New Roman" w:cs="Times New Roman"/>
          <w:sz w:val="20"/>
          <w:szCs w:val="20"/>
          <w:lang w:val="fr-FR"/>
        </w:rPr>
        <w:t>, 2000-2001,no 2-897/1, p. 4</w:t>
      </w:r>
    </w:p>
  </w:footnote>
  <w:footnote w:id="48">
    <w:p w14:paraId="67C7B604" w14:textId="513A169D" w:rsidR="006041F7" w:rsidRPr="009B1BAD" w:rsidRDefault="006041F7"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La réforme ainsi pratiquée laisse</w:t>
      </w:r>
      <w:r w:rsidR="00853CBE" w:rsidRPr="009B1BAD">
        <w:rPr>
          <w:rFonts w:ascii="Times New Roman" w:hAnsi="Times New Roman" w:cs="Times New Roman"/>
        </w:rPr>
        <w:t xml:space="preserve"> en effet</w:t>
      </w:r>
      <w:r w:rsidRPr="009B1BAD">
        <w:rPr>
          <w:rFonts w:ascii="Times New Roman" w:hAnsi="Times New Roman" w:cs="Times New Roman"/>
        </w:rPr>
        <w:t xml:space="preserve"> parfaitement intacte la possibilité d’une censure des actes d’assentiment concernés, postérieurement à la ratification des traités </w:t>
      </w:r>
      <w:r w:rsidRPr="009B1BAD">
        <w:rPr>
          <w:rFonts w:ascii="Times New Roman" w:hAnsi="Times New Roman" w:cs="Times New Roman"/>
          <w:i/>
        </w:rPr>
        <w:t xml:space="preserve">a quo, </w:t>
      </w:r>
      <w:r w:rsidRPr="009B1BAD">
        <w:rPr>
          <w:rFonts w:ascii="Times New Roman" w:hAnsi="Times New Roman" w:cs="Times New Roman"/>
        </w:rPr>
        <w:t xml:space="preserve">intervenant sur base d’un recours en annulation. </w:t>
      </w:r>
      <w:proofErr w:type="spellStart"/>
      <w:r w:rsidRPr="009B1BAD">
        <w:rPr>
          <w:rFonts w:ascii="Times New Roman" w:hAnsi="Times New Roman" w:cs="Times New Roman"/>
        </w:rPr>
        <w:t>Voy</w:t>
      </w:r>
      <w:proofErr w:type="spellEnd"/>
      <w:r w:rsidRPr="009B1BAD">
        <w:rPr>
          <w:rFonts w:ascii="Times New Roman" w:hAnsi="Times New Roman" w:cs="Times New Roman"/>
        </w:rPr>
        <w:t>. d’ailleurs CC, n°</w:t>
      </w:r>
      <w:r w:rsidR="00853CBE" w:rsidRPr="009B1BAD">
        <w:rPr>
          <w:rFonts w:ascii="Times New Roman" w:hAnsi="Times New Roman" w:cs="Times New Roman"/>
        </w:rPr>
        <w:t>76/94, 18 octobre 1994 (recours en annulation de la loi d’assentiment au traité de Maastricht, tranché postérieurement à la ratification de celui-ci)</w:t>
      </w:r>
    </w:p>
  </w:footnote>
  <w:footnote w:id="49">
    <w:p w14:paraId="286C7F5B" w14:textId="57ABF941" w:rsidR="00575A9A" w:rsidRPr="009B1BAD" w:rsidRDefault="00575A9A"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00853CBE" w:rsidRPr="009B1BAD">
        <w:rPr>
          <w:rFonts w:ascii="Times New Roman" w:hAnsi="Times New Roman" w:cs="Times New Roman"/>
        </w:rPr>
        <w:t xml:space="preserve">CC, n°62/2016, 28 avril 2016. </w:t>
      </w:r>
      <w:r w:rsidRPr="009B1BAD">
        <w:rPr>
          <w:rFonts w:ascii="Times New Roman" w:hAnsi="Times New Roman" w:cs="Times New Roman"/>
          <w:lang w:val="fr-FR"/>
        </w:rPr>
        <w:t xml:space="preserve">Sur cet arrêt, </w:t>
      </w:r>
      <w:proofErr w:type="spellStart"/>
      <w:r w:rsidRPr="009B1BAD">
        <w:rPr>
          <w:rFonts w:ascii="Times New Roman" w:hAnsi="Times New Roman" w:cs="Times New Roman"/>
          <w:lang w:val="fr-FR"/>
        </w:rPr>
        <w:t>voy</w:t>
      </w:r>
      <w:proofErr w:type="spellEnd"/>
      <w:r w:rsidRPr="009B1BAD">
        <w:rPr>
          <w:rFonts w:ascii="Times New Roman" w:hAnsi="Times New Roman" w:cs="Times New Roman"/>
          <w:lang w:val="fr-FR"/>
        </w:rPr>
        <w:t xml:space="preserve">. M. </w:t>
      </w:r>
      <w:r w:rsidRPr="009B1BAD">
        <w:rPr>
          <w:rFonts w:ascii="Times New Roman" w:hAnsi="Times New Roman" w:cs="Times New Roman"/>
          <w:smallCaps/>
          <w:lang w:val="fr-FR"/>
        </w:rPr>
        <w:t xml:space="preserve">El </w:t>
      </w:r>
      <w:proofErr w:type="spellStart"/>
      <w:r w:rsidRPr="009B1BAD">
        <w:rPr>
          <w:rFonts w:ascii="Times New Roman" w:hAnsi="Times New Roman" w:cs="Times New Roman"/>
          <w:smallCaps/>
          <w:lang w:val="fr-FR"/>
        </w:rPr>
        <w:t>Berhoumi</w:t>
      </w:r>
      <w:proofErr w:type="spellEnd"/>
      <w:r w:rsidRPr="009B1BAD">
        <w:rPr>
          <w:rFonts w:ascii="Times New Roman" w:hAnsi="Times New Roman" w:cs="Times New Roman"/>
          <w:smallCaps/>
          <w:lang w:val="fr-FR"/>
        </w:rPr>
        <w:t xml:space="preserve">, L. </w:t>
      </w:r>
      <w:proofErr w:type="spellStart"/>
      <w:r w:rsidRPr="009B1BAD">
        <w:rPr>
          <w:rFonts w:ascii="Times New Roman" w:hAnsi="Times New Roman" w:cs="Times New Roman"/>
          <w:smallCaps/>
          <w:lang w:val="fr-FR"/>
        </w:rPr>
        <w:t>Detroux</w:t>
      </w:r>
      <w:proofErr w:type="spellEnd"/>
      <w:r w:rsidRPr="009B1BAD">
        <w:rPr>
          <w:rFonts w:ascii="Times New Roman" w:hAnsi="Times New Roman" w:cs="Times New Roman"/>
          <w:smallCaps/>
          <w:lang w:val="fr-FR"/>
        </w:rPr>
        <w:t xml:space="preserve">, J. </w:t>
      </w:r>
      <w:proofErr w:type="spellStart"/>
      <w:r w:rsidRPr="009B1BAD">
        <w:rPr>
          <w:rFonts w:ascii="Times New Roman" w:hAnsi="Times New Roman" w:cs="Times New Roman"/>
          <w:smallCaps/>
          <w:lang w:val="fr-FR"/>
        </w:rPr>
        <w:t>Clarenne</w:t>
      </w:r>
      <w:proofErr w:type="spellEnd"/>
      <w:r w:rsidR="00853CBE" w:rsidRPr="009B1BAD">
        <w:rPr>
          <w:rFonts w:ascii="Times New Roman" w:hAnsi="Times New Roman" w:cs="Times New Roman"/>
          <w:lang w:val="fr-FR"/>
        </w:rPr>
        <w:t xml:space="preserve"> </w:t>
      </w:r>
      <w:proofErr w:type="spellStart"/>
      <w:r w:rsidRPr="009B1BAD">
        <w:rPr>
          <w:rFonts w:ascii="Times New Roman" w:hAnsi="Times New Roman" w:cs="Times New Roman"/>
          <w:lang w:val="fr-FR"/>
        </w:rPr>
        <w:t>e.a</w:t>
      </w:r>
      <w:proofErr w:type="spellEnd"/>
      <w:r w:rsidRPr="009B1BAD">
        <w:rPr>
          <w:rFonts w:ascii="Times New Roman" w:hAnsi="Times New Roman" w:cs="Times New Roman"/>
          <w:lang w:val="fr-FR"/>
        </w:rPr>
        <w:t>., « La Cour constitutionnelle face au Pacte budgétaire européen : un arrêt sans</w:t>
      </w:r>
      <w:r w:rsidR="00853CBE" w:rsidRPr="009B1BAD">
        <w:rPr>
          <w:rFonts w:ascii="Times New Roman" w:hAnsi="Times New Roman" w:cs="Times New Roman"/>
          <w:lang w:val="fr-FR"/>
        </w:rPr>
        <w:t xml:space="preserve"> </w:t>
      </w:r>
      <w:r w:rsidRPr="009B1BAD">
        <w:rPr>
          <w:rFonts w:ascii="Times New Roman" w:hAnsi="Times New Roman" w:cs="Times New Roman"/>
          <w:lang w:val="fr-FR"/>
        </w:rPr>
        <w:t>intérêt ? », J.T., 2017, pp. 565‑582 ; M</w:t>
      </w:r>
      <w:r w:rsidRPr="009B1BAD">
        <w:rPr>
          <w:rFonts w:ascii="Times New Roman" w:hAnsi="Times New Roman" w:cs="Times New Roman"/>
          <w:smallCaps/>
          <w:lang w:val="fr-FR"/>
        </w:rPr>
        <w:t xml:space="preserve">. El </w:t>
      </w:r>
      <w:proofErr w:type="spellStart"/>
      <w:r w:rsidRPr="009B1BAD">
        <w:rPr>
          <w:rFonts w:ascii="Times New Roman" w:hAnsi="Times New Roman" w:cs="Times New Roman"/>
          <w:smallCaps/>
          <w:lang w:val="fr-FR"/>
        </w:rPr>
        <w:t>Berhoumi</w:t>
      </w:r>
      <w:proofErr w:type="spellEnd"/>
      <w:r w:rsidRPr="009B1BAD">
        <w:rPr>
          <w:rFonts w:ascii="Times New Roman" w:hAnsi="Times New Roman" w:cs="Times New Roman"/>
          <w:smallCaps/>
          <w:lang w:val="fr-FR"/>
        </w:rPr>
        <w:t xml:space="preserve">, L. </w:t>
      </w:r>
      <w:proofErr w:type="spellStart"/>
      <w:r w:rsidRPr="009B1BAD">
        <w:rPr>
          <w:rFonts w:ascii="Times New Roman" w:hAnsi="Times New Roman" w:cs="Times New Roman"/>
          <w:smallCaps/>
          <w:lang w:val="fr-FR"/>
        </w:rPr>
        <w:t>Detroux</w:t>
      </w:r>
      <w:proofErr w:type="spellEnd"/>
      <w:r w:rsidRPr="009B1BAD">
        <w:rPr>
          <w:rFonts w:ascii="Times New Roman" w:hAnsi="Times New Roman" w:cs="Times New Roman"/>
          <w:smallCaps/>
          <w:lang w:val="fr-FR"/>
        </w:rPr>
        <w:t xml:space="preserve">, J. </w:t>
      </w:r>
      <w:proofErr w:type="spellStart"/>
      <w:r w:rsidRPr="009B1BAD">
        <w:rPr>
          <w:rFonts w:ascii="Times New Roman" w:hAnsi="Times New Roman" w:cs="Times New Roman"/>
          <w:smallCaps/>
          <w:lang w:val="fr-FR"/>
        </w:rPr>
        <w:t>Clarenne</w:t>
      </w:r>
      <w:proofErr w:type="spellEnd"/>
      <w:r w:rsidRPr="009B1BAD">
        <w:rPr>
          <w:rFonts w:ascii="Times New Roman" w:hAnsi="Times New Roman" w:cs="Times New Roman"/>
          <w:smallCaps/>
          <w:lang w:val="fr-FR"/>
        </w:rPr>
        <w:t xml:space="preserve"> </w:t>
      </w:r>
      <w:proofErr w:type="spellStart"/>
      <w:r w:rsidRPr="009B1BAD">
        <w:rPr>
          <w:rFonts w:ascii="Times New Roman" w:hAnsi="Times New Roman" w:cs="Times New Roman"/>
          <w:lang w:val="fr-FR"/>
        </w:rPr>
        <w:t>e.a</w:t>
      </w:r>
      <w:proofErr w:type="spellEnd"/>
      <w:r w:rsidRPr="009B1BAD">
        <w:rPr>
          <w:rFonts w:ascii="Times New Roman" w:hAnsi="Times New Roman" w:cs="Times New Roman"/>
          <w:lang w:val="fr-FR"/>
        </w:rPr>
        <w:t>.,</w:t>
      </w:r>
      <w:r w:rsidR="00853CBE" w:rsidRPr="009B1BAD">
        <w:rPr>
          <w:rFonts w:ascii="Times New Roman" w:hAnsi="Times New Roman" w:cs="Times New Roman"/>
          <w:lang w:val="fr-FR"/>
        </w:rPr>
        <w:t xml:space="preserve"> </w:t>
      </w:r>
      <w:r w:rsidRPr="009B1BAD">
        <w:rPr>
          <w:rFonts w:ascii="Times New Roman" w:hAnsi="Times New Roman" w:cs="Times New Roman"/>
          <w:lang w:val="fr-FR"/>
        </w:rPr>
        <w:t xml:space="preserve">« Het </w:t>
      </w:r>
      <w:proofErr w:type="spellStart"/>
      <w:r w:rsidRPr="009B1BAD">
        <w:rPr>
          <w:rFonts w:ascii="Times New Roman" w:hAnsi="Times New Roman" w:cs="Times New Roman"/>
          <w:lang w:val="fr-FR"/>
        </w:rPr>
        <w:t>Stabiliteitsverdrag-arrest</w:t>
      </w:r>
      <w:proofErr w:type="spellEnd"/>
      <w:r w:rsidR="00853CBE" w:rsidRPr="009B1BAD">
        <w:rPr>
          <w:rFonts w:ascii="Times New Roman" w:hAnsi="Times New Roman" w:cs="Times New Roman"/>
          <w:lang w:val="fr-FR"/>
        </w:rPr>
        <w:t xml:space="preserve"> </w:t>
      </w:r>
      <w:r w:rsidRPr="009B1BAD">
        <w:rPr>
          <w:rFonts w:ascii="Times New Roman" w:hAnsi="Times New Roman" w:cs="Times New Roman"/>
          <w:lang w:val="fr-FR"/>
        </w:rPr>
        <w:t xml:space="preserve">van het </w:t>
      </w:r>
      <w:proofErr w:type="spellStart"/>
      <w:r w:rsidRPr="009B1BAD">
        <w:rPr>
          <w:rFonts w:ascii="Times New Roman" w:hAnsi="Times New Roman" w:cs="Times New Roman"/>
          <w:lang w:val="fr-FR"/>
        </w:rPr>
        <w:t>Grondwettelijk</w:t>
      </w:r>
      <w:proofErr w:type="spellEnd"/>
      <w:r w:rsidRPr="009B1BAD">
        <w:rPr>
          <w:rFonts w:ascii="Times New Roman" w:hAnsi="Times New Roman" w:cs="Times New Roman"/>
          <w:lang w:val="fr-FR"/>
        </w:rPr>
        <w:t xml:space="preserve"> </w:t>
      </w:r>
      <w:proofErr w:type="gramStart"/>
      <w:r w:rsidRPr="009B1BAD">
        <w:rPr>
          <w:rFonts w:ascii="Times New Roman" w:hAnsi="Times New Roman" w:cs="Times New Roman"/>
          <w:lang w:val="fr-FR"/>
        </w:rPr>
        <w:t>Hof:</w:t>
      </w:r>
      <w:proofErr w:type="gramEnd"/>
      <w:r w:rsidRPr="009B1BAD">
        <w:rPr>
          <w:rFonts w:ascii="Times New Roman" w:hAnsi="Times New Roman" w:cs="Times New Roman"/>
          <w:lang w:val="fr-FR"/>
        </w:rPr>
        <w:t xml:space="preserve"> </w:t>
      </w:r>
      <w:proofErr w:type="spellStart"/>
      <w:r w:rsidRPr="009B1BAD">
        <w:rPr>
          <w:rFonts w:ascii="Times New Roman" w:hAnsi="Times New Roman" w:cs="Times New Roman"/>
          <w:lang w:val="fr-FR"/>
        </w:rPr>
        <w:t>een</w:t>
      </w:r>
      <w:proofErr w:type="spellEnd"/>
      <w:r w:rsidRPr="009B1BAD">
        <w:rPr>
          <w:rFonts w:ascii="Times New Roman" w:hAnsi="Times New Roman" w:cs="Times New Roman"/>
          <w:lang w:val="fr-FR"/>
        </w:rPr>
        <w:t xml:space="preserve"> </w:t>
      </w:r>
      <w:proofErr w:type="spellStart"/>
      <w:r w:rsidRPr="009B1BAD">
        <w:rPr>
          <w:rFonts w:ascii="Times New Roman" w:hAnsi="Times New Roman" w:cs="Times New Roman"/>
          <w:lang w:val="fr-FR"/>
        </w:rPr>
        <w:t>arrest</w:t>
      </w:r>
      <w:proofErr w:type="spellEnd"/>
      <w:r w:rsidRPr="009B1BAD">
        <w:rPr>
          <w:rFonts w:ascii="Times New Roman" w:hAnsi="Times New Roman" w:cs="Times New Roman"/>
          <w:lang w:val="fr-FR"/>
        </w:rPr>
        <w:t xml:space="preserve"> </w:t>
      </w:r>
      <w:proofErr w:type="spellStart"/>
      <w:r w:rsidRPr="009B1BAD">
        <w:rPr>
          <w:rFonts w:ascii="Times New Roman" w:hAnsi="Times New Roman" w:cs="Times New Roman"/>
          <w:lang w:val="fr-FR"/>
        </w:rPr>
        <w:t>zonder</w:t>
      </w:r>
      <w:proofErr w:type="spellEnd"/>
      <w:r w:rsidRPr="009B1BAD">
        <w:rPr>
          <w:rFonts w:ascii="Times New Roman" w:hAnsi="Times New Roman" w:cs="Times New Roman"/>
          <w:lang w:val="fr-FR"/>
        </w:rPr>
        <w:t xml:space="preserve"> </w:t>
      </w:r>
      <w:proofErr w:type="spellStart"/>
      <w:r w:rsidRPr="009B1BAD">
        <w:rPr>
          <w:rFonts w:ascii="Times New Roman" w:hAnsi="Times New Roman" w:cs="Times New Roman"/>
          <w:lang w:val="fr-FR"/>
        </w:rPr>
        <w:t>belang</w:t>
      </w:r>
      <w:proofErr w:type="spellEnd"/>
      <w:r w:rsidRPr="009B1BAD">
        <w:rPr>
          <w:rFonts w:ascii="Times New Roman" w:hAnsi="Times New Roman" w:cs="Times New Roman"/>
          <w:lang w:val="fr-FR"/>
        </w:rPr>
        <w:t>? »,</w:t>
      </w:r>
      <w:r w:rsidR="00853CBE" w:rsidRPr="009B1BAD">
        <w:rPr>
          <w:rFonts w:ascii="Times New Roman" w:hAnsi="Times New Roman" w:cs="Times New Roman"/>
          <w:lang w:val="fr-FR"/>
        </w:rPr>
        <w:t xml:space="preserve"> </w:t>
      </w:r>
      <w:r w:rsidRPr="009B1BAD">
        <w:rPr>
          <w:rFonts w:ascii="Times New Roman" w:hAnsi="Times New Roman" w:cs="Times New Roman"/>
          <w:lang w:val="fr-FR"/>
        </w:rPr>
        <w:t xml:space="preserve">C.D.P.K., 2017, pp. 398‑429 ; P. </w:t>
      </w:r>
      <w:proofErr w:type="spellStart"/>
      <w:r w:rsidRPr="009B1BAD">
        <w:rPr>
          <w:rFonts w:ascii="Times New Roman" w:hAnsi="Times New Roman" w:cs="Times New Roman"/>
          <w:smallCaps/>
          <w:lang w:val="fr-FR"/>
        </w:rPr>
        <w:t>Dermine</w:t>
      </w:r>
      <w:proofErr w:type="spellEnd"/>
      <w:r w:rsidRPr="009B1BAD">
        <w:rPr>
          <w:rFonts w:ascii="Times New Roman" w:hAnsi="Times New Roman" w:cs="Times New Roman"/>
          <w:lang w:val="fr-FR"/>
        </w:rPr>
        <w:t xml:space="preserve">, « La discipline budgétaire européanisée </w:t>
      </w:r>
      <w:r w:rsidR="00067ABD" w:rsidRPr="009B1BAD">
        <w:rPr>
          <w:rFonts w:ascii="Times New Roman" w:hAnsi="Times New Roman" w:cs="Times New Roman"/>
          <w:lang w:val="fr-FR"/>
        </w:rPr>
        <w:t xml:space="preserve">à l’aune  </w:t>
      </w:r>
      <w:r w:rsidRPr="009B1BAD">
        <w:rPr>
          <w:rFonts w:ascii="Times New Roman" w:hAnsi="Times New Roman" w:cs="Times New Roman"/>
          <w:lang w:val="fr-FR"/>
        </w:rPr>
        <w:t xml:space="preserve">de la Constitution belge », obs. sous C. </w:t>
      </w:r>
      <w:proofErr w:type="spellStart"/>
      <w:r w:rsidRPr="009B1BAD">
        <w:rPr>
          <w:rFonts w:ascii="Times New Roman" w:hAnsi="Times New Roman" w:cs="Times New Roman"/>
          <w:lang w:val="fr-FR"/>
        </w:rPr>
        <w:t>const</w:t>
      </w:r>
      <w:proofErr w:type="spellEnd"/>
      <w:r w:rsidRPr="009B1BAD">
        <w:rPr>
          <w:rFonts w:ascii="Times New Roman" w:hAnsi="Times New Roman" w:cs="Times New Roman"/>
          <w:lang w:val="fr-FR"/>
        </w:rPr>
        <w:t>., no 62/2016 du 28 avril 2016, J.T., 2016,</w:t>
      </w:r>
    </w:p>
    <w:p w14:paraId="362EFF2F" w14:textId="1BD36D44" w:rsidR="00575A9A" w:rsidRPr="009B1BAD" w:rsidRDefault="00575A9A" w:rsidP="009B1BAD">
      <w:pPr>
        <w:autoSpaceDE w:val="0"/>
        <w:autoSpaceDN w:val="0"/>
        <w:adjustRightInd w:val="0"/>
        <w:jc w:val="both"/>
        <w:rPr>
          <w:rFonts w:ascii="Times New Roman" w:hAnsi="Times New Roman" w:cs="Times New Roman"/>
          <w:sz w:val="20"/>
          <w:szCs w:val="20"/>
        </w:rPr>
      </w:pPr>
      <w:r w:rsidRPr="009B1BAD">
        <w:rPr>
          <w:rFonts w:ascii="Times New Roman" w:hAnsi="Times New Roman" w:cs="Times New Roman"/>
          <w:sz w:val="20"/>
          <w:szCs w:val="20"/>
          <w:lang w:val="fr-FR"/>
        </w:rPr>
        <w:t xml:space="preserve">pp. 471‑472 ; Ph. </w:t>
      </w:r>
      <w:r w:rsidRPr="009B1BAD">
        <w:rPr>
          <w:rFonts w:ascii="Times New Roman" w:hAnsi="Times New Roman" w:cs="Times New Roman"/>
          <w:smallCaps/>
          <w:sz w:val="20"/>
          <w:szCs w:val="20"/>
          <w:lang w:val="fr-FR"/>
        </w:rPr>
        <w:t>Gérard</w:t>
      </w:r>
      <w:r w:rsidRPr="009B1BAD">
        <w:rPr>
          <w:rFonts w:ascii="Times New Roman" w:hAnsi="Times New Roman" w:cs="Times New Roman"/>
          <w:sz w:val="20"/>
          <w:szCs w:val="20"/>
          <w:lang w:val="fr-FR"/>
        </w:rPr>
        <w:t xml:space="preserve"> et W. </w:t>
      </w:r>
      <w:proofErr w:type="spellStart"/>
      <w:r w:rsidRPr="009B1BAD">
        <w:rPr>
          <w:rFonts w:ascii="Times New Roman" w:hAnsi="Times New Roman" w:cs="Times New Roman"/>
          <w:smallCaps/>
          <w:sz w:val="20"/>
          <w:szCs w:val="20"/>
          <w:lang w:val="fr-FR"/>
        </w:rPr>
        <w:t>Verrijdt</w:t>
      </w:r>
      <w:proofErr w:type="spellEnd"/>
      <w:r w:rsidRPr="009B1BAD">
        <w:rPr>
          <w:rFonts w:ascii="Times New Roman" w:hAnsi="Times New Roman" w:cs="Times New Roman"/>
          <w:smallCaps/>
          <w:sz w:val="20"/>
          <w:szCs w:val="20"/>
          <w:lang w:val="fr-FR"/>
        </w:rPr>
        <w:t>,</w:t>
      </w:r>
      <w:r w:rsidRPr="009B1BAD">
        <w:rPr>
          <w:rFonts w:ascii="Times New Roman" w:hAnsi="Times New Roman" w:cs="Times New Roman"/>
          <w:sz w:val="20"/>
          <w:szCs w:val="20"/>
          <w:lang w:val="fr-FR"/>
        </w:rPr>
        <w:t xml:space="preserve"> « </w:t>
      </w:r>
      <w:proofErr w:type="spellStart"/>
      <w:r w:rsidRPr="009B1BAD">
        <w:rPr>
          <w:rFonts w:ascii="Times New Roman" w:hAnsi="Times New Roman" w:cs="Times New Roman"/>
          <w:sz w:val="20"/>
          <w:szCs w:val="20"/>
          <w:lang w:val="fr-FR"/>
        </w:rPr>
        <w:t>Belgian</w:t>
      </w:r>
      <w:proofErr w:type="spellEnd"/>
      <w:r w:rsidRPr="009B1BAD">
        <w:rPr>
          <w:rFonts w:ascii="Times New Roman" w:hAnsi="Times New Roman" w:cs="Times New Roman"/>
          <w:sz w:val="20"/>
          <w:szCs w:val="20"/>
          <w:lang w:val="fr-FR"/>
        </w:rPr>
        <w:t xml:space="preserve"> </w:t>
      </w:r>
      <w:proofErr w:type="spellStart"/>
      <w:r w:rsidRPr="009B1BAD">
        <w:rPr>
          <w:rFonts w:ascii="Times New Roman" w:hAnsi="Times New Roman" w:cs="Times New Roman"/>
          <w:sz w:val="20"/>
          <w:szCs w:val="20"/>
          <w:lang w:val="fr-FR"/>
        </w:rPr>
        <w:t>Constitutional</w:t>
      </w:r>
      <w:proofErr w:type="spellEnd"/>
      <w:r w:rsidRPr="009B1BAD">
        <w:rPr>
          <w:rFonts w:ascii="Times New Roman" w:hAnsi="Times New Roman" w:cs="Times New Roman"/>
          <w:sz w:val="20"/>
          <w:szCs w:val="20"/>
          <w:lang w:val="fr-FR"/>
        </w:rPr>
        <w:t xml:space="preserve"> Court </w:t>
      </w:r>
      <w:proofErr w:type="spellStart"/>
      <w:r w:rsidRPr="009B1BAD">
        <w:rPr>
          <w:rFonts w:ascii="Times New Roman" w:hAnsi="Times New Roman" w:cs="Times New Roman"/>
          <w:sz w:val="20"/>
          <w:szCs w:val="20"/>
          <w:lang w:val="fr-FR"/>
        </w:rPr>
        <w:t>Adopts</w:t>
      </w:r>
      <w:proofErr w:type="spellEnd"/>
      <w:r w:rsidRPr="009B1BAD">
        <w:rPr>
          <w:rFonts w:ascii="Times New Roman" w:hAnsi="Times New Roman" w:cs="Times New Roman"/>
          <w:sz w:val="20"/>
          <w:szCs w:val="20"/>
          <w:lang w:val="fr-FR"/>
        </w:rPr>
        <w:t xml:space="preserve"> National</w:t>
      </w:r>
      <w:r w:rsidR="00067ABD" w:rsidRPr="009B1BAD">
        <w:rPr>
          <w:rFonts w:ascii="Times New Roman" w:hAnsi="Times New Roman" w:cs="Times New Roman"/>
          <w:sz w:val="20"/>
          <w:szCs w:val="20"/>
          <w:lang w:val="fr-FR"/>
        </w:rPr>
        <w:t xml:space="preserve"> </w:t>
      </w:r>
      <w:proofErr w:type="spellStart"/>
      <w:r w:rsidRPr="009B1BAD">
        <w:rPr>
          <w:rFonts w:ascii="Times New Roman" w:hAnsi="Times New Roman" w:cs="Times New Roman"/>
          <w:sz w:val="20"/>
          <w:szCs w:val="20"/>
        </w:rPr>
        <w:t>Identity</w:t>
      </w:r>
      <w:proofErr w:type="spellEnd"/>
      <w:r w:rsidRPr="009B1BAD">
        <w:rPr>
          <w:rFonts w:ascii="Times New Roman" w:hAnsi="Times New Roman" w:cs="Times New Roman"/>
          <w:sz w:val="20"/>
          <w:szCs w:val="20"/>
        </w:rPr>
        <w:t xml:space="preserve"> </w:t>
      </w:r>
      <w:proofErr w:type="spellStart"/>
      <w:r w:rsidRPr="009B1BAD">
        <w:rPr>
          <w:rFonts w:ascii="Times New Roman" w:hAnsi="Times New Roman" w:cs="Times New Roman"/>
          <w:sz w:val="20"/>
          <w:szCs w:val="20"/>
        </w:rPr>
        <w:t>Discourse</w:t>
      </w:r>
      <w:proofErr w:type="spellEnd"/>
      <w:r w:rsidRPr="009B1BAD">
        <w:rPr>
          <w:rFonts w:ascii="Times New Roman" w:hAnsi="Times New Roman" w:cs="Times New Roman"/>
          <w:sz w:val="20"/>
          <w:szCs w:val="20"/>
        </w:rPr>
        <w:t xml:space="preserve"> – </w:t>
      </w:r>
      <w:proofErr w:type="spellStart"/>
      <w:r w:rsidRPr="009B1BAD">
        <w:rPr>
          <w:rFonts w:ascii="Times New Roman" w:hAnsi="Times New Roman" w:cs="Times New Roman"/>
          <w:sz w:val="20"/>
          <w:szCs w:val="20"/>
        </w:rPr>
        <w:t>Belgian</w:t>
      </w:r>
      <w:proofErr w:type="spellEnd"/>
      <w:r w:rsidRPr="009B1BAD">
        <w:rPr>
          <w:rFonts w:ascii="Times New Roman" w:hAnsi="Times New Roman" w:cs="Times New Roman"/>
          <w:sz w:val="20"/>
          <w:szCs w:val="20"/>
        </w:rPr>
        <w:t xml:space="preserve"> </w:t>
      </w:r>
      <w:proofErr w:type="spellStart"/>
      <w:r w:rsidRPr="009B1BAD">
        <w:rPr>
          <w:rFonts w:ascii="Times New Roman" w:hAnsi="Times New Roman" w:cs="Times New Roman"/>
          <w:sz w:val="20"/>
          <w:szCs w:val="20"/>
        </w:rPr>
        <w:t>Constitutional</w:t>
      </w:r>
      <w:proofErr w:type="spellEnd"/>
      <w:r w:rsidRPr="009B1BAD">
        <w:rPr>
          <w:rFonts w:ascii="Times New Roman" w:hAnsi="Times New Roman" w:cs="Times New Roman"/>
          <w:sz w:val="20"/>
          <w:szCs w:val="20"/>
        </w:rPr>
        <w:t xml:space="preserve"> Court. No. 62/2016, 28 April 2016 »,</w:t>
      </w:r>
      <w:r w:rsidR="00067ABD" w:rsidRPr="009B1BAD">
        <w:rPr>
          <w:rFonts w:ascii="Times New Roman" w:hAnsi="Times New Roman" w:cs="Times New Roman"/>
          <w:sz w:val="20"/>
          <w:szCs w:val="20"/>
        </w:rPr>
        <w:t xml:space="preserve"> </w:t>
      </w:r>
      <w:proofErr w:type="spellStart"/>
      <w:r w:rsidRPr="009B1BAD">
        <w:rPr>
          <w:rFonts w:ascii="Times New Roman" w:hAnsi="Times New Roman" w:cs="Times New Roman"/>
          <w:sz w:val="20"/>
          <w:szCs w:val="20"/>
          <w:lang w:val="fr-FR"/>
        </w:rPr>
        <w:t>Eu.Const</w:t>
      </w:r>
      <w:proofErr w:type="spellEnd"/>
      <w:r w:rsidRPr="009B1BAD">
        <w:rPr>
          <w:rFonts w:ascii="Times New Roman" w:hAnsi="Times New Roman" w:cs="Times New Roman"/>
          <w:sz w:val="20"/>
          <w:szCs w:val="20"/>
          <w:lang w:val="fr-FR"/>
        </w:rPr>
        <w:t>., 2017, pp. 182‑205 ; E</w:t>
      </w:r>
      <w:r w:rsidRPr="009B1BAD">
        <w:rPr>
          <w:rFonts w:ascii="Times New Roman" w:hAnsi="Times New Roman" w:cs="Times New Roman"/>
          <w:smallCaps/>
          <w:sz w:val="20"/>
          <w:szCs w:val="20"/>
          <w:lang w:val="fr-FR"/>
        </w:rPr>
        <w:t xml:space="preserve">. </w:t>
      </w:r>
      <w:proofErr w:type="spellStart"/>
      <w:r w:rsidRPr="009B1BAD">
        <w:rPr>
          <w:rFonts w:ascii="Times New Roman" w:hAnsi="Times New Roman" w:cs="Times New Roman"/>
          <w:smallCaps/>
          <w:sz w:val="20"/>
          <w:szCs w:val="20"/>
          <w:lang w:val="fr-FR"/>
        </w:rPr>
        <w:t>Slautsky</w:t>
      </w:r>
      <w:proofErr w:type="spellEnd"/>
      <w:r w:rsidRPr="009B1BAD">
        <w:rPr>
          <w:rFonts w:ascii="Times New Roman" w:hAnsi="Times New Roman" w:cs="Times New Roman"/>
          <w:sz w:val="20"/>
          <w:szCs w:val="20"/>
          <w:lang w:val="fr-FR"/>
        </w:rPr>
        <w:t>, « Transferts ver</w:t>
      </w:r>
      <w:r w:rsidR="00067ABD" w:rsidRPr="009B1BAD">
        <w:rPr>
          <w:rFonts w:ascii="Times New Roman" w:hAnsi="Times New Roman" w:cs="Times New Roman"/>
          <w:sz w:val="20"/>
          <w:szCs w:val="20"/>
          <w:lang w:val="fr-FR"/>
        </w:rPr>
        <w:t>s l’</w:t>
      </w:r>
      <w:r w:rsidRPr="009B1BAD">
        <w:rPr>
          <w:rFonts w:ascii="Times New Roman" w:hAnsi="Times New Roman" w:cs="Times New Roman"/>
          <w:sz w:val="20"/>
          <w:szCs w:val="20"/>
          <w:lang w:val="fr-FR"/>
        </w:rPr>
        <w:t>Union européenne et d’autres organisations internationales : la Cour constitutionnelle annonce qu’elle veillera</w:t>
      </w:r>
      <w:r w:rsidR="00067ABD" w:rsidRPr="009B1BAD">
        <w:rPr>
          <w:rFonts w:ascii="Times New Roman" w:hAnsi="Times New Roman" w:cs="Times New Roman"/>
          <w:sz w:val="20"/>
          <w:szCs w:val="20"/>
          <w:lang w:val="fr-FR"/>
        </w:rPr>
        <w:t xml:space="preserve"> </w:t>
      </w:r>
      <w:r w:rsidRPr="009B1BAD">
        <w:rPr>
          <w:rFonts w:ascii="Times New Roman" w:hAnsi="Times New Roman" w:cs="Times New Roman"/>
          <w:sz w:val="20"/>
          <w:szCs w:val="20"/>
          <w:lang w:val="fr-FR"/>
        </w:rPr>
        <w:t>à l’identité nationale et aux valeurs fondamentales de la Constitution belge », Justice</w:t>
      </w:r>
      <w:r w:rsidR="00067ABD" w:rsidRPr="009B1BAD">
        <w:rPr>
          <w:rFonts w:ascii="Times New Roman" w:hAnsi="Times New Roman" w:cs="Times New Roman"/>
          <w:sz w:val="20"/>
          <w:szCs w:val="20"/>
          <w:lang w:val="fr-FR"/>
        </w:rPr>
        <w:t xml:space="preserve"> </w:t>
      </w:r>
      <w:r w:rsidRPr="009B1BAD">
        <w:rPr>
          <w:rFonts w:ascii="Times New Roman" w:hAnsi="Times New Roman" w:cs="Times New Roman"/>
          <w:sz w:val="20"/>
          <w:szCs w:val="20"/>
          <w:lang w:val="fr-FR"/>
        </w:rPr>
        <w:t xml:space="preserve">en ligne, 18 juillet 2016 (http://www.justice-en-ligne.be/article909.html) ; E. </w:t>
      </w:r>
      <w:proofErr w:type="spellStart"/>
      <w:r w:rsidRPr="009B1BAD">
        <w:rPr>
          <w:rFonts w:ascii="Times New Roman" w:hAnsi="Times New Roman" w:cs="Times New Roman"/>
          <w:smallCaps/>
          <w:sz w:val="20"/>
          <w:szCs w:val="20"/>
          <w:lang w:val="fr-FR"/>
        </w:rPr>
        <w:t>Slautsky</w:t>
      </w:r>
      <w:proofErr w:type="spellEnd"/>
      <w:r w:rsidRPr="009B1BAD">
        <w:rPr>
          <w:rFonts w:ascii="Times New Roman" w:hAnsi="Times New Roman" w:cs="Times New Roman"/>
          <w:smallCaps/>
          <w:sz w:val="20"/>
          <w:szCs w:val="20"/>
          <w:lang w:val="fr-FR"/>
        </w:rPr>
        <w:t>,</w:t>
      </w:r>
      <w:r w:rsidR="009B1BAD">
        <w:rPr>
          <w:rFonts w:ascii="Times New Roman" w:hAnsi="Times New Roman" w:cs="Times New Roman"/>
          <w:sz w:val="20"/>
          <w:szCs w:val="20"/>
          <w:lang w:val="fr-FR"/>
        </w:rPr>
        <w:t xml:space="preserve"> </w:t>
      </w:r>
      <w:r w:rsidRPr="009B1BAD">
        <w:rPr>
          <w:rFonts w:ascii="Times New Roman" w:hAnsi="Times New Roman" w:cs="Times New Roman"/>
          <w:sz w:val="20"/>
          <w:szCs w:val="20"/>
          <w:lang w:val="fr-FR"/>
        </w:rPr>
        <w:t>« L’arrêt relatif au Traité sur la stabilité, la coordination et la gouvernance : comparaison</w:t>
      </w:r>
      <w:r w:rsidR="00067ABD" w:rsidRPr="009B1BAD">
        <w:rPr>
          <w:rFonts w:ascii="Times New Roman" w:hAnsi="Times New Roman" w:cs="Times New Roman"/>
          <w:sz w:val="20"/>
          <w:szCs w:val="20"/>
          <w:lang w:val="fr-FR"/>
        </w:rPr>
        <w:t xml:space="preserve"> </w:t>
      </w:r>
      <w:r w:rsidRPr="009B1BAD">
        <w:rPr>
          <w:rFonts w:ascii="Times New Roman" w:hAnsi="Times New Roman" w:cs="Times New Roman"/>
          <w:sz w:val="20"/>
          <w:szCs w:val="20"/>
          <w:lang w:val="fr-FR"/>
        </w:rPr>
        <w:t xml:space="preserve">avec la situation en France », T.B.P., 2017, pp. 330‑346 (337-346) ; S. </w:t>
      </w:r>
      <w:proofErr w:type="spellStart"/>
      <w:r w:rsidRPr="009B1BAD">
        <w:rPr>
          <w:rFonts w:ascii="Times New Roman" w:hAnsi="Times New Roman" w:cs="Times New Roman"/>
          <w:smallCaps/>
          <w:sz w:val="20"/>
          <w:szCs w:val="20"/>
          <w:lang w:val="fr-FR"/>
        </w:rPr>
        <w:t>Sottiau</w:t>
      </w:r>
      <w:r w:rsidRPr="009B1BAD">
        <w:rPr>
          <w:rFonts w:ascii="Times New Roman" w:hAnsi="Times New Roman" w:cs="Times New Roman"/>
          <w:sz w:val="20"/>
          <w:szCs w:val="20"/>
          <w:lang w:val="fr-FR"/>
        </w:rPr>
        <w:t>x</w:t>
      </w:r>
      <w:proofErr w:type="spellEnd"/>
      <w:r w:rsidRPr="009B1BAD">
        <w:rPr>
          <w:rFonts w:ascii="Times New Roman" w:hAnsi="Times New Roman" w:cs="Times New Roman"/>
          <w:sz w:val="20"/>
          <w:szCs w:val="20"/>
          <w:lang w:val="fr-FR"/>
        </w:rPr>
        <w:t>, « Het</w:t>
      </w:r>
      <w:r w:rsidR="00067ABD" w:rsidRPr="009B1BAD">
        <w:rPr>
          <w:rFonts w:ascii="Times New Roman" w:hAnsi="Times New Roman" w:cs="Times New Roman"/>
          <w:sz w:val="20"/>
          <w:szCs w:val="20"/>
          <w:lang w:val="fr-FR"/>
        </w:rPr>
        <w:t xml:space="preserve"> </w:t>
      </w:r>
      <w:proofErr w:type="spellStart"/>
      <w:r w:rsidRPr="009B1BAD">
        <w:rPr>
          <w:rFonts w:ascii="Times New Roman" w:hAnsi="Times New Roman" w:cs="Times New Roman"/>
          <w:sz w:val="20"/>
          <w:szCs w:val="20"/>
          <w:lang w:val="fr-FR"/>
        </w:rPr>
        <w:t>Stabiliteitsverdragarrest</w:t>
      </w:r>
      <w:proofErr w:type="spellEnd"/>
      <w:r w:rsidRPr="009B1BAD">
        <w:rPr>
          <w:rFonts w:ascii="Times New Roman" w:hAnsi="Times New Roman" w:cs="Times New Roman"/>
          <w:sz w:val="20"/>
          <w:szCs w:val="20"/>
          <w:lang w:val="fr-FR"/>
        </w:rPr>
        <w:t xml:space="preserve"> in het </w:t>
      </w:r>
      <w:proofErr w:type="spellStart"/>
      <w:r w:rsidRPr="009B1BAD">
        <w:rPr>
          <w:rFonts w:ascii="Times New Roman" w:hAnsi="Times New Roman" w:cs="Times New Roman"/>
          <w:sz w:val="20"/>
          <w:szCs w:val="20"/>
          <w:lang w:val="fr-FR"/>
        </w:rPr>
        <w:t>licht</w:t>
      </w:r>
      <w:proofErr w:type="spellEnd"/>
      <w:r w:rsidRPr="009B1BAD">
        <w:rPr>
          <w:rFonts w:ascii="Times New Roman" w:hAnsi="Times New Roman" w:cs="Times New Roman"/>
          <w:sz w:val="20"/>
          <w:szCs w:val="20"/>
          <w:lang w:val="fr-FR"/>
        </w:rPr>
        <w:t xml:space="preserve"> van de </w:t>
      </w:r>
      <w:proofErr w:type="spellStart"/>
      <w:r w:rsidRPr="009B1BAD">
        <w:rPr>
          <w:rFonts w:ascii="Times New Roman" w:hAnsi="Times New Roman" w:cs="Times New Roman"/>
          <w:sz w:val="20"/>
          <w:szCs w:val="20"/>
          <w:lang w:val="fr-FR"/>
        </w:rPr>
        <w:t>rechtspraak</w:t>
      </w:r>
      <w:proofErr w:type="spellEnd"/>
      <w:r w:rsidRPr="009B1BAD">
        <w:rPr>
          <w:rFonts w:ascii="Times New Roman" w:hAnsi="Times New Roman" w:cs="Times New Roman"/>
          <w:sz w:val="20"/>
          <w:szCs w:val="20"/>
          <w:lang w:val="fr-FR"/>
        </w:rPr>
        <w:t xml:space="preserve"> van de </w:t>
      </w:r>
      <w:proofErr w:type="spellStart"/>
      <w:r w:rsidRPr="009B1BAD">
        <w:rPr>
          <w:rFonts w:ascii="Times New Roman" w:hAnsi="Times New Roman" w:cs="Times New Roman"/>
          <w:sz w:val="20"/>
          <w:szCs w:val="20"/>
          <w:lang w:val="fr-FR"/>
        </w:rPr>
        <w:t>hoogste</w:t>
      </w:r>
      <w:proofErr w:type="spellEnd"/>
      <w:r w:rsidRPr="009B1BAD">
        <w:rPr>
          <w:rFonts w:ascii="Times New Roman" w:hAnsi="Times New Roman" w:cs="Times New Roman"/>
          <w:sz w:val="20"/>
          <w:szCs w:val="20"/>
          <w:lang w:val="fr-FR"/>
        </w:rPr>
        <w:t xml:space="preserve"> </w:t>
      </w:r>
      <w:proofErr w:type="spellStart"/>
      <w:r w:rsidRPr="009B1BAD">
        <w:rPr>
          <w:rFonts w:ascii="Times New Roman" w:hAnsi="Times New Roman" w:cs="Times New Roman"/>
          <w:sz w:val="20"/>
          <w:szCs w:val="20"/>
          <w:lang w:val="fr-FR"/>
        </w:rPr>
        <w:t>Belgische</w:t>
      </w:r>
      <w:proofErr w:type="spellEnd"/>
      <w:r w:rsidRPr="009B1BAD">
        <w:rPr>
          <w:rFonts w:ascii="Times New Roman" w:hAnsi="Times New Roman" w:cs="Times New Roman"/>
          <w:sz w:val="20"/>
          <w:szCs w:val="20"/>
          <w:lang w:val="fr-FR"/>
        </w:rPr>
        <w:t xml:space="preserve"> </w:t>
      </w:r>
      <w:proofErr w:type="spellStart"/>
      <w:r w:rsidRPr="009B1BAD">
        <w:rPr>
          <w:rFonts w:ascii="Times New Roman" w:hAnsi="Times New Roman" w:cs="Times New Roman"/>
          <w:sz w:val="20"/>
          <w:szCs w:val="20"/>
          <w:lang w:val="fr-FR"/>
        </w:rPr>
        <w:t>rechtscolleges</w:t>
      </w:r>
      <w:proofErr w:type="spellEnd"/>
      <w:r w:rsidR="00067ABD" w:rsidRPr="009B1BAD">
        <w:rPr>
          <w:rFonts w:ascii="Times New Roman" w:hAnsi="Times New Roman" w:cs="Times New Roman"/>
          <w:sz w:val="20"/>
          <w:szCs w:val="20"/>
          <w:lang w:val="fr-FR"/>
        </w:rPr>
        <w:t xml:space="preserve"> </w:t>
      </w:r>
      <w:r w:rsidRPr="009B1BAD">
        <w:rPr>
          <w:rFonts w:ascii="Times New Roman" w:hAnsi="Times New Roman" w:cs="Times New Roman"/>
          <w:sz w:val="20"/>
          <w:szCs w:val="20"/>
        </w:rPr>
        <w:t xml:space="preserve">», T.B.P., 2017, pp. 305‑309 ; J. </w:t>
      </w:r>
      <w:proofErr w:type="spellStart"/>
      <w:r w:rsidRPr="009B1BAD">
        <w:rPr>
          <w:rFonts w:ascii="Times New Roman" w:hAnsi="Times New Roman" w:cs="Times New Roman"/>
          <w:smallCaps/>
          <w:sz w:val="20"/>
          <w:szCs w:val="20"/>
        </w:rPr>
        <w:t>Theunis</w:t>
      </w:r>
      <w:proofErr w:type="spellEnd"/>
      <w:r w:rsidRPr="009B1BAD">
        <w:rPr>
          <w:rFonts w:ascii="Times New Roman" w:hAnsi="Times New Roman" w:cs="Times New Roman"/>
          <w:smallCaps/>
          <w:sz w:val="20"/>
          <w:szCs w:val="20"/>
        </w:rPr>
        <w:t>,</w:t>
      </w:r>
      <w:r w:rsidRPr="009B1BAD">
        <w:rPr>
          <w:rFonts w:ascii="Times New Roman" w:hAnsi="Times New Roman" w:cs="Times New Roman"/>
          <w:sz w:val="20"/>
          <w:szCs w:val="20"/>
        </w:rPr>
        <w:t xml:space="preserve"> « Het </w:t>
      </w:r>
      <w:proofErr w:type="spellStart"/>
      <w:r w:rsidRPr="009B1BAD">
        <w:rPr>
          <w:rFonts w:ascii="Times New Roman" w:hAnsi="Times New Roman" w:cs="Times New Roman"/>
          <w:sz w:val="20"/>
          <w:szCs w:val="20"/>
        </w:rPr>
        <w:t>Stabiliteitsverdrag-arrest</w:t>
      </w:r>
      <w:proofErr w:type="spellEnd"/>
      <w:r w:rsidRPr="009B1BAD">
        <w:rPr>
          <w:rFonts w:ascii="Times New Roman" w:hAnsi="Times New Roman" w:cs="Times New Roman"/>
          <w:sz w:val="20"/>
          <w:szCs w:val="20"/>
        </w:rPr>
        <w:t>:</w:t>
      </w:r>
      <w:r w:rsidR="00067ABD" w:rsidRPr="009B1BAD">
        <w:rPr>
          <w:rFonts w:ascii="Times New Roman" w:hAnsi="Times New Roman" w:cs="Times New Roman"/>
          <w:sz w:val="20"/>
          <w:szCs w:val="20"/>
        </w:rPr>
        <w:t xml:space="preserve"> </w:t>
      </w:r>
      <w:r w:rsidRPr="009B1BAD">
        <w:rPr>
          <w:rFonts w:ascii="Times New Roman" w:hAnsi="Times New Roman" w:cs="Times New Roman"/>
          <w:sz w:val="20"/>
          <w:szCs w:val="20"/>
        </w:rPr>
        <w:t>‘the</w:t>
      </w:r>
      <w:r w:rsidR="00067ABD" w:rsidRPr="009B1BAD">
        <w:rPr>
          <w:rFonts w:ascii="Times New Roman" w:hAnsi="Times New Roman" w:cs="Times New Roman"/>
          <w:sz w:val="20"/>
          <w:szCs w:val="20"/>
        </w:rPr>
        <w:t xml:space="preserve"> </w:t>
      </w:r>
      <w:proofErr w:type="spellStart"/>
      <w:r w:rsidRPr="009B1BAD">
        <w:rPr>
          <w:rFonts w:ascii="Times New Roman" w:hAnsi="Times New Roman" w:cs="Times New Roman"/>
          <w:sz w:val="20"/>
          <w:szCs w:val="20"/>
        </w:rPr>
        <w:t>making</w:t>
      </w:r>
      <w:proofErr w:type="spellEnd"/>
      <w:r w:rsidRPr="009B1BAD">
        <w:rPr>
          <w:rFonts w:ascii="Times New Roman" w:hAnsi="Times New Roman" w:cs="Times New Roman"/>
          <w:sz w:val="20"/>
          <w:szCs w:val="20"/>
        </w:rPr>
        <w:t xml:space="preserve"> of’ », T.B.P., 2017, pp. 298‑304. </w:t>
      </w:r>
    </w:p>
  </w:footnote>
  <w:footnote w:id="50">
    <w:p w14:paraId="5813A36E" w14:textId="3BC41923" w:rsidR="00067ABD" w:rsidRPr="009B1BAD" w:rsidRDefault="00067ABD" w:rsidP="009B1BAD">
      <w:pPr>
        <w:pStyle w:val="Notedebasdepage"/>
        <w:jc w:val="both"/>
        <w:rPr>
          <w:rFonts w:ascii="Times New Roman" w:hAnsi="Times New Roman" w:cs="Times New Roman"/>
          <w:iCs/>
        </w:rPr>
      </w:pPr>
      <w:r w:rsidRPr="009B1BAD">
        <w:rPr>
          <w:rStyle w:val="Appelnotedebasdep"/>
          <w:rFonts w:ascii="Times New Roman" w:hAnsi="Times New Roman" w:cs="Times New Roman"/>
        </w:rPr>
        <w:footnoteRef/>
      </w:r>
      <w:r w:rsidRPr="009B1BAD">
        <w:rPr>
          <w:rFonts w:ascii="Times New Roman" w:hAnsi="Times New Roman" w:cs="Times New Roman"/>
        </w:rPr>
        <w:t xml:space="preserve"> Sur la jurisprudence du Conseil d’État,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la contribution de E. </w:t>
      </w:r>
      <w:proofErr w:type="spellStart"/>
      <w:r w:rsidRPr="009B1BAD">
        <w:rPr>
          <w:rFonts w:ascii="Times New Roman" w:hAnsi="Times New Roman" w:cs="Times New Roman"/>
          <w:smallCaps/>
        </w:rPr>
        <w:t>Slautsky</w:t>
      </w:r>
      <w:proofErr w:type="spellEnd"/>
      <w:r w:rsidRPr="009B1BAD">
        <w:rPr>
          <w:rFonts w:ascii="Times New Roman" w:hAnsi="Times New Roman" w:cs="Times New Roman"/>
          <w:smallCaps/>
        </w:rPr>
        <w:t xml:space="preserve"> </w:t>
      </w:r>
      <w:r w:rsidRPr="009B1BAD">
        <w:rPr>
          <w:rFonts w:ascii="Times New Roman" w:hAnsi="Times New Roman" w:cs="Times New Roman"/>
        </w:rPr>
        <w:t xml:space="preserve">dans le présent numéro.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w:t>
      </w:r>
      <w:proofErr w:type="spellStart"/>
      <w:r w:rsidRPr="009B1BAD">
        <w:rPr>
          <w:rFonts w:ascii="Times New Roman" w:hAnsi="Times New Roman" w:cs="Times New Roman"/>
        </w:rPr>
        <w:t>ég</w:t>
      </w:r>
      <w:proofErr w:type="spellEnd"/>
      <w:r w:rsidRPr="009B1BAD">
        <w:rPr>
          <w:rFonts w:ascii="Times New Roman" w:hAnsi="Times New Roman" w:cs="Times New Roman"/>
        </w:rPr>
        <w:t xml:space="preserve">. </w:t>
      </w:r>
      <w:r w:rsidRPr="009B1BAD">
        <w:rPr>
          <w:rFonts w:ascii="Times New Roman" w:hAnsi="Times New Roman" w:cs="Times New Roman"/>
          <w:smallCaps/>
          <w:lang w:val="fr-FR"/>
        </w:rPr>
        <w:t xml:space="preserve">El </w:t>
      </w:r>
      <w:proofErr w:type="spellStart"/>
      <w:r w:rsidRPr="009B1BAD">
        <w:rPr>
          <w:rFonts w:ascii="Times New Roman" w:hAnsi="Times New Roman" w:cs="Times New Roman"/>
          <w:smallCaps/>
          <w:lang w:val="fr-FR"/>
        </w:rPr>
        <w:t>Berhoumi</w:t>
      </w:r>
      <w:proofErr w:type="spellEnd"/>
      <w:r w:rsidRPr="009B1BAD">
        <w:rPr>
          <w:rFonts w:ascii="Times New Roman" w:hAnsi="Times New Roman" w:cs="Times New Roman"/>
          <w:smallCaps/>
          <w:lang w:val="fr-FR"/>
        </w:rPr>
        <w:t xml:space="preserve">, L. </w:t>
      </w:r>
      <w:proofErr w:type="spellStart"/>
      <w:r w:rsidRPr="009B1BAD">
        <w:rPr>
          <w:rFonts w:ascii="Times New Roman" w:hAnsi="Times New Roman" w:cs="Times New Roman"/>
          <w:smallCaps/>
          <w:lang w:val="fr-FR"/>
        </w:rPr>
        <w:t>Detroux</w:t>
      </w:r>
      <w:proofErr w:type="spellEnd"/>
      <w:r w:rsidRPr="009B1BAD">
        <w:rPr>
          <w:rFonts w:ascii="Times New Roman" w:hAnsi="Times New Roman" w:cs="Times New Roman"/>
          <w:smallCaps/>
          <w:lang w:val="fr-FR"/>
        </w:rPr>
        <w:t xml:space="preserve">, J. </w:t>
      </w:r>
      <w:proofErr w:type="spellStart"/>
      <w:r w:rsidRPr="009B1BAD">
        <w:rPr>
          <w:rFonts w:ascii="Times New Roman" w:hAnsi="Times New Roman" w:cs="Times New Roman"/>
          <w:smallCaps/>
          <w:lang w:val="fr-FR"/>
        </w:rPr>
        <w:t>Clarenne</w:t>
      </w:r>
      <w:proofErr w:type="spellEnd"/>
      <w:r w:rsidRPr="009B1BAD">
        <w:rPr>
          <w:rFonts w:ascii="Times New Roman" w:hAnsi="Times New Roman" w:cs="Times New Roman"/>
          <w:smallCaps/>
          <w:lang w:val="fr-FR"/>
        </w:rPr>
        <w:t xml:space="preserve"> </w:t>
      </w:r>
      <w:proofErr w:type="spellStart"/>
      <w:r w:rsidRPr="009B1BAD">
        <w:rPr>
          <w:rFonts w:ascii="Times New Roman" w:hAnsi="Times New Roman" w:cs="Times New Roman"/>
          <w:lang w:val="fr-FR"/>
        </w:rPr>
        <w:t>e.a</w:t>
      </w:r>
      <w:proofErr w:type="spellEnd"/>
      <w:r w:rsidRPr="009B1BAD">
        <w:rPr>
          <w:rFonts w:ascii="Times New Roman" w:hAnsi="Times New Roman" w:cs="Times New Roman"/>
          <w:lang w:val="fr-FR"/>
        </w:rPr>
        <w:t xml:space="preserve">., « La Cour constitutionnelle face au Pacte budgétaire européen : un arrêt sans intérêt ? », </w:t>
      </w:r>
      <w:r w:rsidRPr="009B1BAD">
        <w:rPr>
          <w:rFonts w:ascii="Times New Roman" w:hAnsi="Times New Roman" w:cs="Times New Roman"/>
          <w:i/>
          <w:lang w:val="fr-FR"/>
        </w:rPr>
        <w:t xml:space="preserve">op. </w:t>
      </w:r>
      <w:proofErr w:type="spellStart"/>
      <w:proofErr w:type="gramStart"/>
      <w:r w:rsidRPr="009B1BAD">
        <w:rPr>
          <w:rFonts w:ascii="Times New Roman" w:hAnsi="Times New Roman" w:cs="Times New Roman"/>
          <w:i/>
          <w:lang w:val="fr-FR"/>
        </w:rPr>
        <w:t>cit</w:t>
      </w:r>
      <w:proofErr w:type="spellEnd"/>
      <w:proofErr w:type="gramEnd"/>
      <w:r w:rsidRPr="009B1BAD">
        <w:rPr>
          <w:rFonts w:ascii="Times New Roman" w:hAnsi="Times New Roman" w:cs="Times New Roman"/>
          <w:i/>
          <w:lang w:val="fr-FR"/>
        </w:rPr>
        <w:t xml:space="preserve">., </w:t>
      </w:r>
      <w:r w:rsidRPr="009B1BAD">
        <w:rPr>
          <w:rFonts w:ascii="Times New Roman" w:hAnsi="Times New Roman" w:cs="Times New Roman"/>
          <w:iCs/>
          <w:lang w:val="fr-FR"/>
        </w:rPr>
        <w:t xml:space="preserve">p. </w:t>
      </w:r>
      <w:r w:rsidR="00E010D3" w:rsidRPr="009B1BAD">
        <w:rPr>
          <w:rFonts w:ascii="Times New Roman" w:hAnsi="Times New Roman" w:cs="Times New Roman"/>
          <w:iCs/>
          <w:lang w:val="fr-FR"/>
        </w:rPr>
        <w:t xml:space="preserve">578 </w:t>
      </w:r>
    </w:p>
  </w:footnote>
  <w:footnote w:id="51">
    <w:p w14:paraId="5F7E6343" w14:textId="42015472" w:rsidR="00E010D3" w:rsidRPr="009B1BAD" w:rsidRDefault="00E010D3"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w:t>
      </w:r>
      <w:r w:rsidRPr="009B1BAD">
        <w:rPr>
          <w:rFonts w:ascii="Times New Roman" w:hAnsi="Times New Roman" w:cs="Times New Roman"/>
          <w:i/>
        </w:rPr>
        <w:t xml:space="preserve">Ibid., </w:t>
      </w:r>
      <w:r w:rsidRPr="009B1BAD">
        <w:rPr>
          <w:rFonts w:ascii="Times New Roman" w:hAnsi="Times New Roman" w:cs="Times New Roman"/>
        </w:rPr>
        <w:t>pp. 578-579</w:t>
      </w:r>
    </w:p>
  </w:footnote>
  <w:footnote w:id="52">
    <w:p w14:paraId="0AD8382E" w14:textId="461197CE" w:rsidR="00575A9A" w:rsidRPr="009B1BAD" w:rsidRDefault="00575A9A"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Une ambiguïté existe quant à </w:t>
      </w:r>
      <w:r w:rsidR="00E5491C" w:rsidRPr="009B1BAD">
        <w:rPr>
          <w:rFonts w:ascii="Times New Roman" w:hAnsi="Times New Roman" w:cs="Times New Roman"/>
        </w:rPr>
        <w:t>l’identification des limites précises qui sont posées. La version néerlandaise de l’arrêt laisse entendre qu’il s’agirait de deux catégories distinctes («</w:t>
      </w:r>
      <w:r w:rsidR="00E010D3" w:rsidRPr="009B1BAD">
        <w:rPr>
          <w:rFonts w:ascii="Times New Roman" w:hAnsi="Times New Roman" w:cs="Times New Roman"/>
        </w:rPr>
        <w:t>l</w:t>
      </w:r>
      <w:r w:rsidR="00E5491C" w:rsidRPr="009B1BAD">
        <w:rPr>
          <w:rFonts w:ascii="Times New Roman" w:hAnsi="Times New Roman" w:cs="Times New Roman"/>
        </w:rPr>
        <w:t xml:space="preserve"> ’identité nationale inhérente aux structures fondamentales, politiques et constitutionnelles » et les « valeurs fondamentales de la protection que la Constitution confère aux sujets de droit »). La version française, par contre, suggère qu’il y aurait un seul type de limite, formé par l’identité nationale, déclinée en deux variantes : l’identité nationale « inhérente aux structures fondamentales, politiques et constitutionnelles » et l’identité nationale inhérente «  aux  valeurs fondamentales de la protection que la Constitution confère aux sujets de droit » (voir </w:t>
      </w:r>
      <w:r w:rsidR="00E010D3" w:rsidRPr="009B1BAD">
        <w:rPr>
          <w:rFonts w:ascii="Times New Roman" w:hAnsi="Times New Roman" w:cs="Times New Roman"/>
        </w:rPr>
        <w:t xml:space="preserve">G. </w:t>
      </w:r>
      <w:r w:rsidR="00E010D3" w:rsidRPr="009B1BAD">
        <w:rPr>
          <w:rFonts w:ascii="Times New Roman" w:hAnsi="Times New Roman" w:cs="Times New Roman"/>
          <w:smallCaps/>
        </w:rPr>
        <w:t>Rosoux,</w:t>
      </w:r>
      <w:r w:rsidR="00E010D3" w:rsidRPr="009B1BAD">
        <w:rPr>
          <w:rFonts w:ascii="Times New Roman" w:hAnsi="Times New Roman" w:cs="Times New Roman"/>
        </w:rPr>
        <w:t xml:space="preserve"> « L’ambivalence ou la double vocation de l’identité nationale – Réflexions au départ de l’arrêt n°62/2016 du 28 avril 2016 », </w:t>
      </w:r>
      <w:r w:rsidR="00E010D3" w:rsidRPr="009B1BAD">
        <w:rPr>
          <w:rFonts w:ascii="Times New Roman" w:hAnsi="Times New Roman" w:cs="Times New Roman"/>
          <w:i/>
        </w:rPr>
        <w:t xml:space="preserve">C.D.E., </w:t>
      </w:r>
      <w:r w:rsidR="00E010D3" w:rsidRPr="009B1BAD">
        <w:rPr>
          <w:rFonts w:ascii="Times New Roman" w:hAnsi="Times New Roman" w:cs="Times New Roman"/>
        </w:rPr>
        <w:t xml:space="preserve">2019, p. </w:t>
      </w:r>
      <w:r w:rsidR="00E5491C" w:rsidRPr="009B1BAD">
        <w:rPr>
          <w:rFonts w:ascii="Times New Roman" w:hAnsi="Times New Roman" w:cs="Times New Roman"/>
        </w:rPr>
        <w:t>121)</w:t>
      </w:r>
    </w:p>
  </w:footnote>
  <w:footnote w:id="53">
    <w:p w14:paraId="4E1EEA75" w14:textId="0FA85A1A" w:rsidR="00E010D3" w:rsidRPr="009B1BAD" w:rsidRDefault="00E010D3"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CC, n°130/2010, 18 novembre 2010, pt. B.8.1. </w:t>
      </w:r>
    </w:p>
  </w:footnote>
  <w:footnote w:id="54">
    <w:p w14:paraId="24EAC06B" w14:textId="49CDF24D" w:rsidR="000D03BA" w:rsidRPr="009B1BAD" w:rsidRDefault="000D03BA"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L’argument pris d’une atteinte à l’identité nationale était soulevé par la Région de Bruxelles-Capitale dans l’affaire ayant donné lieu à l’arrêt </w:t>
      </w:r>
      <w:r w:rsidR="00A653DC" w:rsidRPr="009B1BAD">
        <w:rPr>
          <w:rFonts w:ascii="Times New Roman" w:hAnsi="Times New Roman" w:cs="Times New Roman"/>
        </w:rPr>
        <w:t xml:space="preserve">33/2019 du 28 février 2019 (pt. A.13.2). La Cour n’eut cependant pas besoin de lui donner suite expressément. </w:t>
      </w:r>
    </w:p>
  </w:footnote>
  <w:footnote w:id="55">
    <w:p w14:paraId="44AEF9FD" w14:textId="58214C02" w:rsidR="00E85AB4" w:rsidRPr="00171C8B" w:rsidRDefault="00E85AB4" w:rsidP="009B1BAD">
      <w:pPr>
        <w:pStyle w:val="Notedebasdepage"/>
        <w:jc w:val="both"/>
        <w:rPr>
          <w:rFonts w:ascii="Times New Roman" w:hAnsi="Times New Roman" w:cs="Times New Roman"/>
        </w:rPr>
      </w:pPr>
      <w:r w:rsidRPr="009B1BAD">
        <w:rPr>
          <w:rStyle w:val="Appelnotedebasdep"/>
          <w:rFonts w:ascii="Times New Roman" w:hAnsi="Times New Roman" w:cs="Times New Roman"/>
        </w:rPr>
        <w:footnoteRef/>
      </w:r>
      <w:r w:rsidRPr="009B1BAD">
        <w:rPr>
          <w:rFonts w:ascii="Times New Roman" w:hAnsi="Times New Roman" w:cs="Times New Roman"/>
        </w:rPr>
        <w:t xml:space="preserve"> Sur les arrêts rendus par le Conseil d’Etat à propos des limitations à la liberté de culte en contexte de pandémie, </w:t>
      </w:r>
      <w:proofErr w:type="spellStart"/>
      <w:r w:rsidRPr="009B1BAD">
        <w:rPr>
          <w:rFonts w:ascii="Times New Roman" w:hAnsi="Times New Roman" w:cs="Times New Roman"/>
        </w:rPr>
        <w:t>voy</w:t>
      </w:r>
      <w:proofErr w:type="spellEnd"/>
      <w:r w:rsidRPr="009B1BAD">
        <w:rPr>
          <w:rFonts w:ascii="Times New Roman" w:hAnsi="Times New Roman" w:cs="Times New Roman"/>
        </w:rPr>
        <w:t xml:space="preserve">. F. </w:t>
      </w:r>
      <w:r w:rsidRPr="009B1BAD">
        <w:rPr>
          <w:rFonts w:ascii="Times New Roman" w:hAnsi="Times New Roman" w:cs="Times New Roman"/>
          <w:smallCaps/>
        </w:rPr>
        <w:t>Judo</w:t>
      </w:r>
      <w:r w:rsidRPr="009B1BAD">
        <w:rPr>
          <w:rFonts w:ascii="Times New Roman" w:hAnsi="Times New Roman" w:cs="Times New Roman"/>
        </w:rPr>
        <w:t xml:space="preserve">, « De </w:t>
      </w:r>
      <w:proofErr w:type="spellStart"/>
      <w:r w:rsidRPr="009B1BAD">
        <w:rPr>
          <w:rFonts w:ascii="Times New Roman" w:hAnsi="Times New Roman" w:cs="Times New Roman"/>
        </w:rPr>
        <w:t>Raad</w:t>
      </w:r>
      <w:proofErr w:type="spellEnd"/>
      <w:r w:rsidRPr="009B1BAD">
        <w:rPr>
          <w:rFonts w:ascii="Times New Roman" w:hAnsi="Times New Roman" w:cs="Times New Roman"/>
        </w:rPr>
        <w:t xml:space="preserve"> van State, de </w:t>
      </w:r>
      <w:proofErr w:type="spellStart"/>
      <w:r w:rsidRPr="009B1BAD">
        <w:rPr>
          <w:rFonts w:ascii="Times New Roman" w:hAnsi="Times New Roman" w:cs="Times New Roman"/>
        </w:rPr>
        <w:t>covidmaatregelen</w:t>
      </w:r>
      <w:proofErr w:type="spellEnd"/>
      <w:r w:rsidRPr="009B1BAD">
        <w:rPr>
          <w:rFonts w:ascii="Times New Roman" w:hAnsi="Times New Roman" w:cs="Times New Roman"/>
        </w:rPr>
        <w:t xml:space="preserve"> en de </w:t>
      </w:r>
      <w:proofErr w:type="spellStart"/>
      <w:r w:rsidRPr="009B1BAD">
        <w:rPr>
          <w:rFonts w:ascii="Times New Roman" w:hAnsi="Times New Roman" w:cs="Times New Roman"/>
        </w:rPr>
        <w:t>erediensten</w:t>
      </w:r>
      <w:proofErr w:type="spellEnd"/>
      <w:r w:rsidRPr="009B1BAD">
        <w:rPr>
          <w:rFonts w:ascii="Times New Roman" w:hAnsi="Times New Roman" w:cs="Times New Roman"/>
        </w:rPr>
        <w:t xml:space="preserve"> – </w:t>
      </w:r>
      <w:proofErr w:type="spellStart"/>
      <w:r w:rsidRPr="009B1BAD">
        <w:rPr>
          <w:rFonts w:ascii="Times New Roman" w:hAnsi="Times New Roman" w:cs="Times New Roman"/>
        </w:rPr>
        <w:t>een</w:t>
      </w:r>
      <w:proofErr w:type="spellEnd"/>
      <w:r w:rsidRPr="009B1BAD">
        <w:rPr>
          <w:rFonts w:ascii="Times New Roman" w:hAnsi="Times New Roman" w:cs="Times New Roman"/>
        </w:rPr>
        <w:t xml:space="preserve"> consistent </w:t>
      </w:r>
      <w:proofErr w:type="spellStart"/>
      <w:r w:rsidRPr="009B1BAD">
        <w:rPr>
          <w:rFonts w:ascii="Times New Roman" w:hAnsi="Times New Roman" w:cs="Times New Roman"/>
        </w:rPr>
        <w:t>verhaal</w:t>
      </w:r>
      <w:proofErr w:type="spellEnd"/>
      <w:r w:rsidRPr="009B1BAD">
        <w:rPr>
          <w:rFonts w:ascii="Times New Roman" w:hAnsi="Times New Roman" w:cs="Times New Roman"/>
        </w:rPr>
        <w:t xml:space="preserve">?”, </w:t>
      </w:r>
      <w:r w:rsidR="009B1BAD">
        <w:rPr>
          <w:rFonts w:ascii="Times New Roman" w:hAnsi="Times New Roman" w:cs="Times New Roman"/>
          <w:i/>
        </w:rPr>
        <w:t xml:space="preserve">R.W., </w:t>
      </w:r>
      <w:r w:rsidR="009B1BAD">
        <w:rPr>
          <w:rFonts w:ascii="Times New Roman" w:hAnsi="Times New Roman" w:cs="Times New Roman"/>
        </w:rPr>
        <w:t>2020-2021, pp. 1357 et s</w:t>
      </w:r>
      <w:r w:rsidRPr="009B1BAD">
        <w:rPr>
          <w:rFonts w:ascii="Times New Roman" w:hAnsi="Times New Roman" w:cs="Times New Roman"/>
        </w:rPr>
        <w:t xml:space="preserve">, et S. </w:t>
      </w:r>
      <w:proofErr w:type="spellStart"/>
      <w:r w:rsidRPr="009B1BAD">
        <w:rPr>
          <w:rFonts w:ascii="Times New Roman" w:hAnsi="Times New Roman" w:cs="Times New Roman"/>
          <w:smallCaps/>
        </w:rPr>
        <w:t>Wattier</w:t>
      </w:r>
      <w:proofErr w:type="spellEnd"/>
      <w:r w:rsidRPr="009B1BAD">
        <w:rPr>
          <w:rFonts w:ascii="Times New Roman" w:hAnsi="Times New Roman" w:cs="Times New Roman"/>
        </w:rPr>
        <w:t xml:space="preserve"> et F. </w:t>
      </w:r>
      <w:r w:rsidRPr="009B1BAD">
        <w:rPr>
          <w:rFonts w:ascii="Times New Roman" w:hAnsi="Times New Roman" w:cs="Times New Roman"/>
          <w:smallCaps/>
        </w:rPr>
        <w:t>Xavier</w:t>
      </w:r>
      <w:r w:rsidRPr="009B1BAD">
        <w:rPr>
          <w:rFonts w:ascii="Times New Roman" w:hAnsi="Times New Roman" w:cs="Times New Roman"/>
        </w:rPr>
        <w:t xml:space="preserve">, “Les restrictions à la liberté de religion durant la deuxième vague de coronavirus : analyse des arrêts du Conseil d’État », </w:t>
      </w:r>
      <w:r w:rsidR="00171C8B">
        <w:rPr>
          <w:rFonts w:ascii="Times New Roman" w:hAnsi="Times New Roman" w:cs="Times New Roman"/>
          <w:i/>
        </w:rPr>
        <w:t xml:space="preserve">J.T., </w:t>
      </w:r>
      <w:r w:rsidR="00171C8B">
        <w:rPr>
          <w:rFonts w:ascii="Times New Roman" w:hAnsi="Times New Roman" w:cs="Times New Roman"/>
        </w:rPr>
        <w:t>2021, pp. 241-246</w:t>
      </w:r>
    </w:p>
  </w:footnote>
  <w:footnote w:id="56">
    <w:p w14:paraId="07B92A38" w14:textId="77777777" w:rsidR="00E85AB4" w:rsidRPr="009B1BAD" w:rsidRDefault="00E85AB4" w:rsidP="009B1BAD">
      <w:pPr>
        <w:pStyle w:val="Notedebasdepage"/>
        <w:jc w:val="both"/>
        <w:rPr>
          <w:rFonts w:ascii="Times New Roman" w:hAnsi="Times New Roman" w:cs="Times New Roman"/>
          <w:i/>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C.E., n°249.177, 8 décembre 2020, </w:t>
      </w:r>
      <w:proofErr w:type="spellStart"/>
      <w:r w:rsidRPr="009B1BAD">
        <w:rPr>
          <w:rFonts w:ascii="Times New Roman" w:hAnsi="Times New Roman" w:cs="Times New Roman"/>
          <w:i/>
        </w:rPr>
        <w:t>Congregation</w:t>
      </w:r>
      <w:proofErr w:type="spellEnd"/>
      <w:r w:rsidRPr="009B1BAD">
        <w:rPr>
          <w:rFonts w:ascii="Times New Roman" w:hAnsi="Times New Roman" w:cs="Times New Roman"/>
          <w:i/>
        </w:rPr>
        <w:t xml:space="preserve"> </w:t>
      </w:r>
      <w:proofErr w:type="spellStart"/>
      <w:r w:rsidRPr="009B1BAD">
        <w:rPr>
          <w:rFonts w:ascii="Times New Roman" w:hAnsi="Times New Roman" w:cs="Times New Roman"/>
          <w:i/>
        </w:rPr>
        <w:t>Yetev</w:t>
      </w:r>
      <w:proofErr w:type="spellEnd"/>
      <w:r w:rsidRPr="009B1BAD">
        <w:rPr>
          <w:rFonts w:ascii="Times New Roman" w:hAnsi="Times New Roman" w:cs="Times New Roman"/>
          <w:i/>
        </w:rPr>
        <w:t xml:space="preserve"> Lev </w:t>
      </w:r>
      <w:proofErr w:type="spellStart"/>
      <w:r w:rsidRPr="009B1BAD">
        <w:rPr>
          <w:rFonts w:ascii="Times New Roman" w:hAnsi="Times New Roman" w:cs="Times New Roman"/>
          <w:i/>
        </w:rPr>
        <w:t>Dsatmar</w:t>
      </w:r>
      <w:proofErr w:type="spellEnd"/>
      <w:r w:rsidRPr="009B1BAD">
        <w:rPr>
          <w:rFonts w:ascii="Times New Roman" w:hAnsi="Times New Roman" w:cs="Times New Roman"/>
          <w:i/>
        </w:rPr>
        <w:t xml:space="preserve"> </w:t>
      </w:r>
      <w:proofErr w:type="spellStart"/>
      <w:r w:rsidRPr="009B1BAD">
        <w:rPr>
          <w:rFonts w:ascii="Times New Roman" w:hAnsi="Times New Roman" w:cs="Times New Roman"/>
          <w:i/>
        </w:rPr>
        <w:t>Antwerp</w:t>
      </w:r>
      <w:proofErr w:type="spellEnd"/>
      <w:r w:rsidRPr="009B1BAD">
        <w:rPr>
          <w:rFonts w:ascii="Times New Roman" w:hAnsi="Times New Roman" w:cs="Times New Roman"/>
          <w:i/>
        </w:rPr>
        <w:t xml:space="preserve"> Limited et autres </w:t>
      </w:r>
    </w:p>
  </w:footnote>
  <w:footnote w:id="57">
    <w:p w14:paraId="65954882" w14:textId="77777777" w:rsidR="00E85AB4" w:rsidRPr="009B1BAD" w:rsidRDefault="00E85AB4" w:rsidP="009B1BAD">
      <w:pPr>
        <w:pStyle w:val="Notedebasdepage"/>
        <w:jc w:val="both"/>
        <w:rPr>
          <w:rFonts w:ascii="Times New Roman" w:hAnsi="Times New Roman" w:cs="Times New Roman"/>
          <w:i/>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CE, n°234.315, 22 décembre 2020, </w:t>
      </w:r>
      <w:r w:rsidRPr="009B1BAD">
        <w:rPr>
          <w:rFonts w:ascii="Times New Roman" w:hAnsi="Times New Roman" w:cs="Times New Roman"/>
          <w:i/>
        </w:rPr>
        <w:t>Marc Leroy et autres</w:t>
      </w:r>
    </w:p>
  </w:footnote>
  <w:footnote w:id="58">
    <w:p w14:paraId="1F98B295" w14:textId="77777777" w:rsidR="004D4A09" w:rsidRPr="009B1BAD" w:rsidRDefault="004D4A09" w:rsidP="009B1BAD">
      <w:pPr>
        <w:pStyle w:val="Notedebasdepage"/>
        <w:jc w:val="both"/>
        <w:rPr>
          <w:rFonts w:ascii="Times New Roman" w:hAnsi="Times New Roman" w:cs="Times New Roman"/>
          <w:i/>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C.E., n°249.313, 22 décembre 2020, </w:t>
      </w:r>
      <w:r w:rsidRPr="009B1BAD">
        <w:rPr>
          <w:rFonts w:ascii="Times New Roman" w:hAnsi="Times New Roman" w:cs="Times New Roman"/>
          <w:i/>
        </w:rPr>
        <w:t>ASBL Saint-Joseph et autres.</w:t>
      </w:r>
    </w:p>
  </w:footnote>
  <w:footnote w:id="59">
    <w:p w14:paraId="4007C71C" w14:textId="77777777" w:rsidR="004D4A09" w:rsidRPr="009B1BAD" w:rsidRDefault="004D4A09" w:rsidP="009B1BAD">
      <w:pPr>
        <w:pStyle w:val="Notedebasdepage"/>
        <w:jc w:val="both"/>
        <w:rPr>
          <w:rFonts w:ascii="Times New Roman" w:hAnsi="Times New Roman" w:cs="Times New Roman"/>
          <w:i/>
        </w:rPr>
      </w:pPr>
      <w:r w:rsidRPr="009B1BAD">
        <w:rPr>
          <w:rStyle w:val="Appelnotedebasdep"/>
          <w:rFonts w:ascii="Times New Roman" w:hAnsi="Times New Roman" w:cs="Times New Roman"/>
        </w:rPr>
        <w:footnoteRef/>
      </w:r>
      <w:r w:rsidRPr="009B1BAD">
        <w:rPr>
          <w:rFonts w:ascii="Times New Roman" w:hAnsi="Times New Roman" w:cs="Times New Roman"/>
        </w:rPr>
        <w:t xml:space="preserve"> C.E., n°249.313, 22 décembre 2020, </w:t>
      </w:r>
      <w:r w:rsidRPr="009B1BAD">
        <w:rPr>
          <w:rFonts w:ascii="Times New Roman" w:hAnsi="Times New Roman" w:cs="Times New Roman"/>
          <w:i/>
        </w:rPr>
        <w:t>Hugues Parmentier et autres</w:t>
      </w:r>
    </w:p>
  </w:footnote>
  <w:footnote w:id="60">
    <w:p w14:paraId="4103FC17" w14:textId="51C87E2A" w:rsidR="00BD44F3" w:rsidRPr="009B1BAD" w:rsidRDefault="00BD44F3" w:rsidP="009B1BAD">
      <w:pPr>
        <w:pStyle w:val="Notedebasdepage"/>
        <w:jc w:val="both"/>
        <w:rPr>
          <w:rFonts w:ascii="Times New Roman" w:hAnsi="Times New Roman" w:cs="Times New Roman"/>
          <w:lang w:val="fr-FR"/>
        </w:rPr>
      </w:pPr>
      <w:r w:rsidRPr="009B1BAD">
        <w:rPr>
          <w:rStyle w:val="Appelnotedebasdep"/>
          <w:rFonts w:ascii="Times New Roman" w:hAnsi="Times New Roman" w:cs="Times New Roman"/>
        </w:rPr>
        <w:footnoteRef/>
      </w:r>
      <w:r w:rsidRPr="009B1BAD">
        <w:rPr>
          <w:rFonts w:ascii="Times New Roman" w:hAnsi="Times New Roman" w:cs="Times New Roman"/>
        </w:rPr>
        <w:t xml:space="preserve"> </w:t>
      </w:r>
      <w:r w:rsidRPr="009B1BAD">
        <w:rPr>
          <w:rFonts w:ascii="Times New Roman" w:hAnsi="Times New Roman" w:cs="Times New Roman"/>
          <w:lang w:val="fr-FR"/>
        </w:rPr>
        <w:t xml:space="preserve">Voir </w:t>
      </w:r>
      <w:r w:rsidR="000D03BA" w:rsidRPr="009B1BAD">
        <w:rPr>
          <w:rFonts w:ascii="Times New Roman" w:hAnsi="Times New Roman" w:cs="Times New Roman"/>
          <w:lang w:val="fr-FR"/>
        </w:rPr>
        <w:t xml:space="preserve">M. </w:t>
      </w:r>
      <w:r w:rsidR="000D03BA" w:rsidRPr="00171C8B">
        <w:rPr>
          <w:rFonts w:ascii="Times New Roman" w:hAnsi="Times New Roman" w:cs="Times New Roman"/>
          <w:smallCaps/>
          <w:lang w:val="fr-FR"/>
        </w:rPr>
        <w:t xml:space="preserve">El </w:t>
      </w:r>
      <w:proofErr w:type="spellStart"/>
      <w:r w:rsidR="000D03BA" w:rsidRPr="00171C8B">
        <w:rPr>
          <w:rFonts w:ascii="Times New Roman" w:hAnsi="Times New Roman" w:cs="Times New Roman"/>
          <w:smallCaps/>
          <w:lang w:val="fr-FR"/>
        </w:rPr>
        <w:t>Berhoumi</w:t>
      </w:r>
      <w:proofErr w:type="spellEnd"/>
      <w:r w:rsidR="000D03BA" w:rsidRPr="009B1BAD">
        <w:rPr>
          <w:rFonts w:ascii="Times New Roman" w:hAnsi="Times New Roman" w:cs="Times New Roman"/>
          <w:lang w:val="fr-FR"/>
        </w:rPr>
        <w:t xml:space="preserve"> </w:t>
      </w:r>
      <w:r w:rsidR="000D03BA" w:rsidRPr="009B1BAD">
        <w:rPr>
          <w:rFonts w:ascii="Times New Roman" w:hAnsi="Times New Roman" w:cs="Times New Roman"/>
          <w:i/>
          <w:lang w:val="fr-FR"/>
        </w:rPr>
        <w:t xml:space="preserve">et al., </w:t>
      </w:r>
      <w:r w:rsidR="000D03BA" w:rsidRPr="009B1BAD">
        <w:rPr>
          <w:rFonts w:ascii="Times New Roman" w:hAnsi="Times New Roman" w:cs="Times New Roman"/>
          <w:lang w:val="fr-FR"/>
        </w:rPr>
        <w:t xml:space="preserve">« La Cour </w:t>
      </w:r>
      <w:proofErr w:type="gramStart"/>
      <w:r w:rsidR="000D03BA" w:rsidRPr="009B1BAD">
        <w:rPr>
          <w:rFonts w:ascii="Times New Roman" w:hAnsi="Times New Roman" w:cs="Times New Roman"/>
          <w:lang w:val="fr-FR"/>
        </w:rPr>
        <w:t>constitutionnelle….</w:t>
      </w:r>
      <w:proofErr w:type="gramEnd"/>
      <w:r w:rsidR="000D03BA" w:rsidRPr="009B1BAD">
        <w:rPr>
          <w:rFonts w:ascii="Times New Roman" w:hAnsi="Times New Roman" w:cs="Times New Roman"/>
          <w:lang w:val="fr-FR"/>
        </w:rPr>
        <w:t xml:space="preserve"> », </w:t>
      </w:r>
      <w:r w:rsidR="000D03BA" w:rsidRPr="009B1BAD">
        <w:rPr>
          <w:rFonts w:ascii="Times New Roman" w:hAnsi="Times New Roman" w:cs="Times New Roman"/>
          <w:i/>
          <w:lang w:val="fr-FR"/>
        </w:rPr>
        <w:t xml:space="preserve">op. </w:t>
      </w:r>
      <w:proofErr w:type="spellStart"/>
      <w:proofErr w:type="gramStart"/>
      <w:r w:rsidR="000D03BA" w:rsidRPr="009B1BAD">
        <w:rPr>
          <w:rFonts w:ascii="Times New Roman" w:hAnsi="Times New Roman" w:cs="Times New Roman"/>
          <w:i/>
          <w:lang w:val="fr-FR"/>
        </w:rPr>
        <w:t>cit</w:t>
      </w:r>
      <w:proofErr w:type="spellEnd"/>
      <w:proofErr w:type="gramEnd"/>
      <w:r w:rsidR="000D03BA" w:rsidRPr="009B1BAD">
        <w:rPr>
          <w:rFonts w:ascii="Times New Roman" w:hAnsi="Times New Roman" w:cs="Times New Roman"/>
          <w:i/>
          <w:lang w:val="fr-FR"/>
        </w:rPr>
        <w:t xml:space="preserve">., </w:t>
      </w:r>
      <w:r w:rsidR="000D03BA" w:rsidRPr="009B1BAD">
        <w:rPr>
          <w:rFonts w:ascii="Times New Roman" w:hAnsi="Times New Roman" w:cs="Times New Roman"/>
          <w:lang w:val="fr-FR"/>
        </w:rPr>
        <w:t>p. 580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65877"/>
    <w:multiLevelType w:val="hybridMultilevel"/>
    <w:tmpl w:val="6672B360"/>
    <w:lvl w:ilvl="0" w:tplc="040C0015">
      <w:start w:val="1"/>
      <w:numFmt w:val="upp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398"/>
    <w:rsid w:val="00000165"/>
    <w:rsid w:val="00067ABD"/>
    <w:rsid w:val="000C0680"/>
    <w:rsid w:val="000C1996"/>
    <w:rsid w:val="000D03BA"/>
    <w:rsid w:val="000D3BCD"/>
    <w:rsid w:val="000E0ACF"/>
    <w:rsid w:val="00150E2E"/>
    <w:rsid w:val="001719B6"/>
    <w:rsid w:val="00171C8B"/>
    <w:rsid w:val="00173957"/>
    <w:rsid w:val="00187F35"/>
    <w:rsid w:val="001933EB"/>
    <w:rsid w:val="001B6499"/>
    <w:rsid w:val="001C454D"/>
    <w:rsid w:val="00204F7D"/>
    <w:rsid w:val="00222B01"/>
    <w:rsid w:val="00257005"/>
    <w:rsid w:val="00281969"/>
    <w:rsid w:val="002A521E"/>
    <w:rsid w:val="002A665C"/>
    <w:rsid w:val="002D08D7"/>
    <w:rsid w:val="002D7796"/>
    <w:rsid w:val="002E2CBC"/>
    <w:rsid w:val="002E5367"/>
    <w:rsid w:val="002F43FF"/>
    <w:rsid w:val="0030239A"/>
    <w:rsid w:val="00373122"/>
    <w:rsid w:val="00375496"/>
    <w:rsid w:val="00391CAB"/>
    <w:rsid w:val="003C6A00"/>
    <w:rsid w:val="003F6398"/>
    <w:rsid w:val="00400602"/>
    <w:rsid w:val="00454DB9"/>
    <w:rsid w:val="00487A28"/>
    <w:rsid w:val="00491E11"/>
    <w:rsid w:val="004B4C06"/>
    <w:rsid w:val="004D4A09"/>
    <w:rsid w:val="004F5E1B"/>
    <w:rsid w:val="004F7ACC"/>
    <w:rsid w:val="00514D87"/>
    <w:rsid w:val="005354A1"/>
    <w:rsid w:val="00546F59"/>
    <w:rsid w:val="00573B2D"/>
    <w:rsid w:val="00575A9A"/>
    <w:rsid w:val="005B2983"/>
    <w:rsid w:val="005E06CA"/>
    <w:rsid w:val="005F0940"/>
    <w:rsid w:val="006041F7"/>
    <w:rsid w:val="00611822"/>
    <w:rsid w:val="00616437"/>
    <w:rsid w:val="00635C71"/>
    <w:rsid w:val="00653630"/>
    <w:rsid w:val="00660E0A"/>
    <w:rsid w:val="00666AC4"/>
    <w:rsid w:val="0067072B"/>
    <w:rsid w:val="00674F0F"/>
    <w:rsid w:val="006A4898"/>
    <w:rsid w:val="006C0E15"/>
    <w:rsid w:val="006E0137"/>
    <w:rsid w:val="00731957"/>
    <w:rsid w:val="0073593B"/>
    <w:rsid w:val="00775865"/>
    <w:rsid w:val="0078235D"/>
    <w:rsid w:val="00797052"/>
    <w:rsid w:val="007B791F"/>
    <w:rsid w:val="007D6256"/>
    <w:rsid w:val="00853CBE"/>
    <w:rsid w:val="00886398"/>
    <w:rsid w:val="008A53B8"/>
    <w:rsid w:val="008B4574"/>
    <w:rsid w:val="009A5A15"/>
    <w:rsid w:val="009B025A"/>
    <w:rsid w:val="009B1BAD"/>
    <w:rsid w:val="009C00F0"/>
    <w:rsid w:val="00A11422"/>
    <w:rsid w:val="00A11917"/>
    <w:rsid w:val="00A653DC"/>
    <w:rsid w:val="00AB5A99"/>
    <w:rsid w:val="00AD6911"/>
    <w:rsid w:val="00B00F9C"/>
    <w:rsid w:val="00B052D2"/>
    <w:rsid w:val="00B14B65"/>
    <w:rsid w:val="00B27D51"/>
    <w:rsid w:val="00B56AF8"/>
    <w:rsid w:val="00B57427"/>
    <w:rsid w:val="00BD44F3"/>
    <w:rsid w:val="00BE5842"/>
    <w:rsid w:val="00C77D30"/>
    <w:rsid w:val="00C87340"/>
    <w:rsid w:val="00C90A27"/>
    <w:rsid w:val="00CB0854"/>
    <w:rsid w:val="00CC03C5"/>
    <w:rsid w:val="00CD06CC"/>
    <w:rsid w:val="00CD0E2A"/>
    <w:rsid w:val="00CE5CC1"/>
    <w:rsid w:val="00D0239F"/>
    <w:rsid w:val="00D85EA4"/>
    <w:rsid w:val="00D92D2E"/>
    <w:rsid w:val="00D97048"/>
    <w:rsid w:val="00DB172F"/>
    <w:rsid w:val="00DB607A"/>
    <w:rsid w:val="00E010D3"/>
    <w:rsid w:val="00E37BD8"/>
    <w:rsid w:val="00E5491C"/>
    <w:rsid w:val="00E85AB4"/>
    <w:rsid w:val="00EA193D"/>
    <w:rsid w:val="00ED395C"/>
    <w:rsid w:val="00EF01E6"/>
    <w:rsid w:val="00EF1BBD"/>
    <w:rsid w:val="00EF3261"/>
    <w:rsid w:val="00F7242D"/>
    <w:rsid w:val="00FA21BA"/>
    <w:rsid w:val="00FA4384"/>
    <w:rsid w:val="00FC59A7"/>
    <w:rsid w:val="00FE3205"/>
    <w:rsid w:val="00FF136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F32C"/>
  <w15:chartTrackingRefBased/>
  <w15:docId w15:val="{AA985D22-DCF6-EA49-80DE-F5C96390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1957"/>
    <w:pPr>
      <w:ind w:left="720"/>
      <w:contextualSpacing/>
    </w:pPr>
  </w:style>
  <w:style w:type="paragraph" w:styleId="Notedebasdepage">
    <w:name w:val="footnote text"/>
    <w:aliases w:val="Footnote Text Char1,Footnote Text Char Char,Car Char Char,Car Char1,Ftnote-texte,Footnote Text Char,Footnotes,Note de bas de page2,fn,Fußnotentext RAXEN, Car Char Char, Car Char1,Footnote2 Car,Footnote2 Car Car Car,Footnote,ftx,Fo"/>
    <w:basedOn w:val="Normal"/>
    <w:link w:val="NotedebasdepageCar"/>
    <w:uiPriority w:val="99"/>
    <w:unhideWhenUsed/>
    <w:qFormat/>
    <w:rsid w:val="00775865"/>
    <w:rPr>
      <w:sz w:val="20"/>
      <w:szCs w:val="20"/>
    </w:rPr>
  </w:style>
  <w:style w:type="character" w:customStyle="1" w:styleId="NotedebasdepageCar">
    <w:name w:val="Note de bas de page Car"/>
    <w:aliases w:val="Footnote Text Char1 Car,Footnote Text Char Char Car,Car Char Char Car,Car Char1 Car,Ftnote-texte Car,Footnote Text Char Car,Footnotes Car,Note de bas de page2 Car,fn Car,Fußnotentext RAXEN Car, Car Char Char Car, Car Char1 Car"/>
    <w:basedOn w:val="Policepardfaut"/>
    <w:link w:val="Notedebasdepage"/>
    <w:uiPriority w:val="99"/>
    <w:qFormat/>
    <w:rsid w:val="00775865"/>
    <w:rPr>
      <w:sz w:val="20"/>
      <w:szCs w:val="20"/>
    </w:rPr>
  </w:style>
  <w:style w:type="character" w:styleId="Appelnotedebasdep">
    <w:name w:val="footnote reference"/>
    <w:aliases w:val="Appel note de bas de page,callout,Footnote Refernece,Footnote Refernece + (Latein) Arial,10 pt,Blau,Footnote Reference Superscript,BVI fnr,Footnotes refss,Footnote Reference Number,Fußnotenzeiche,FR,SUPERS,Footnote R, BVI fnr,4_G"/>
    <w:basedOn w:val="Policepardfaut"/>
    <w:link w:val="FootnoteRef"/>
    <w:uiPriority w:val="99"/>
    <w:unhideWhenUsed/>
    <w:qFormat/>
    <w:rsid w:val="00775865"/>
    <w:rPr>
      <w:vertAlign w:val="superscript"/>
    </w:rPr>
  </w:style>
  <w:style w:type="paragraph" w:styleId="NormalWeb">
    <w:name w:val="Normal (Web)"/>
    <w:basedOn w:val="Normal"/>
    <w:uiPriority w:val="99"/>
    <w:semiHidden/>
    <w:unhideWhenUsed/>
    <w:rsid w:val="002E5367"/>
    <w:pPr>
      <w:spacing w:before="100" w:beforeAutospacing="1" w:after="100" w:afterAutospacing="1"/>
    </w:pPr>
    <w:rPr>
      <w:rFonts w:ascii="Times New Roman" w:eastAsia="Times New Roman" w:hAnsi="Times New Roman" w:cs="Times New Roman"/>
      <w:lang w:eastAsia="fr-FR"/>
    </w:rPr>
  </w:style>
  <w:style w:type="character" w:customStyle="1" w:styleId="Marquenotebasde">
    <w:name w:val="Marque note bas de"/>
    <w:basedOn w:val="Policepardfaut"/>
    <w:uiPriority w:val="99"/>
    <w:rsid w:val="003F6398"/>
    <w:rPr>
      <w:rFonts w:cs="Times New Roman"/>
      <w:vertAlign w:val="superscript"/>
    </w:rPr>
  </w:style>
  <w:style w:type="paragraph" w:styleId="Sansinterligne">
    <w:name w:val="No Spacing"/>
    <w:uiPriority w:val="99"/>
    <w:qFormat/>
    <w:rsid w:val="003F6398"/>
    <w:rPr>
      <w:rFonts w:ascii="Times New Roman" w:eastAsia="MS Mincho" w:hAnsi="Times New Roman" w:cs="Times New Roman"/>
      <w:lang w:val="fr-FR" w:eastAsia="fr-FR"/>
    </w:rPr>
  </w:style>
  <w:style w:type="paragraph" w:customStyle="1" w:styleId="NormalConstit">
    <w:name w:val="NormalConstit"/>
    <w:basedOn w:val="Normal"/>
    <w:uiPriority w:val="99"/>
    <w:rsid w:val="00FC59A7"/>
    <w:pPr>
      <w:tabs>
        <w:tab w:val="left" w:pos="567"/>
      </w:tabs>
      <w:jc w:val="both"/>
    </w:pPr>
    <w:rPr>
      <w:rFonts w:ascii="Times New Roman" w:eastAsia="MS Mincho" w:hAnsi="Times New Roman" w:cs="Times New Roman"/>
      <w:szCs w:val="20"/>
      <w:lang w:val="fr-FR" w:eastAsia="fr-FR"/>
    </w:rPr>
  </w:style>
  <w:style w:type="paragraph" w:customStyle="1" w:styleId="Notedebasd">
    <w:name w:val="Note de bas d"/>
    <w:basedOn w:val="Normal"/>
    <w:uiPriority w:val="99"/>
    <w:rsid w:val="002D08D7"/>
    <w:rPr>
      <w:rFonts w:ascii="Times New (W1)" w:eastAsia="Calibri" w:hAnsi="Times New (W1)" w:cs="Times New Roman"/>
      <w:sz w:val="20"/>
      <w:szCs w:val="20"/>
    </w:rPr>
  </w:style>
  <w:style w:type="paragraph" w:customStyle="1" w:styleId="FootnoteRef">
    <w:name w:val="Footnote Ref"/>
    <w:aliases w:val="Footnote text,BVI fnr Знак Char,BVI fnr Car Car Знак Char,BVI fnr Car Знак Char,BVI fnr Car Car Car Car Знак Char,callout Char,Footnotes refss Car,Footnote Ref Car"/>
    <w:basedOn w:val="Normal"/>
    <w:link w:val="Appelnotedebasdep"/>
    <w:rsid w:val="00E85AB4"/>
    <w:pPr>
      <w:spacing w:after="160" w:line="240" w:lineRule="exact"/>
    </w:pPr>
    <w:rPr>
      <w:vertAlign w:val="superscript"/>
    </w:rPr>
  </w:style>
  <w:style w:type="paragraph" w:customStyle="1" w:styleId="Standard">
    <w:name w:val="Standard"/>
    <w:uiPriority w:val="99"/>
    <w:rsid w:val="00400602"/>
    <w:pPr>
      <w:widowControl w:val="0"/>
      <w:suppressAutoHyphens/>
      <w:autoSpaceDN w:val="0"/>
      <w:textAlignment w:val="baseline"/>
    </w:pPr>
    <w:rPr>
      <w:rFonts w:ascii="Times New Roman" w:eastAsia="SimSun" w:hAnsi="Times New Roman" w:cs="Mangal"/>
      <w:kern w:val="3"/>
      <w:lang w:eastAsia="zh-CN"/>
    </w:rPr>
  </w:style>
  <w:style w:type="paragraph" w:styleId="Textedebulles">
    <w:name w:val="Balloon Text"/>
    <w:basedOn w:val="Normal"/>
    <w:link w:val="TextedebullesCar"/>
    <w:uiPriority w:val="99"/>
    <w:semiHidden/>
    <w:unhideWhenUsed/>
    <w:rsid w:val="003C6A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6A00"/>
    <w:rPr>
      <w:rFonts w:ascii="Segoe UI" w:hAnsi="Segoe UI" w:cs="Segoe UI"/>
      <w:sz w:val="18"/>
      <w:szCs w:val="18"/>
    </w:rPr>
  </w:style>
  <w:style w:type="character" w:styleId="Marquedecommentaire">
    <w:name w:val="annotation reference"/>
    <w:basedOn w:val="Policepardfaut"/>
    <w:uiPriority w:val="99"/>
    <w:semiHidden/>
    <w:unhideWhenUsed/>
    <w:rsid w:val="003C6A00"/>
    <w:rPr>
      <w:sz w:val="16"/>
      <w:szCs w:val="16"/>
    </w:rPr>
  </w:style>
  <w:style w:type="paragraph" w:styleId="Commentaire">
    <w:name w:val="annotation text"/>
    <w:basedOn w:val="Normal"/>
    <w:link w:val="CommentaireCar"/>
    <w:uiPriority w:val="99"/>
    <w:unhideWhenUsed/>
    <w:rsid w:val="003C6A00"/>
    <w:rPr>
      <w:sz w:val="20"/>
      <w:szCs w:val="20"/>
    </w:rPr>
  </w:style>
  <w:style w:type="character" w:customStyle="1" w:styleId="CommentaireCar">
    <w:name w:val="Commentaire Car"/>
    <w:basedOn w:val="Policepardfaut"/>
    <w:link w:val="Commentaire"/>
    <w:uiPriority w:val="99"/>
    <w:rsid w:val="003C6A00"/>
    <w:rPr>
      <w:sz w:val="20"/>
      <w:szCs w:val="20"/>
    </w:rPr>
  </w:style>
  <w:style w:type="paragraph" w:styleId="Objetducommentaire">
    <w:name w:val="annotation subject"/>
    <w:basedOn w:val="Commentaire"/>
    <w:next w:val="Commentaire"/>
    <w:link w:val="ObjetducommentaireCar"/>
    <w:uiPriority w:val="99"/>
    <w:semiHidden/>
    <w:unhideWhenUsed/>
    <w:rsid w:val="003C6A00"/>
    <w:rPr>
      <w:b/>
      <w:bCs/>
    </w:rPr>
  </w:style>
  <w:style w:type="character" w:customStyle="1" w:styleId="ObjetducommentaireCar">
    <w:name w:val="Objet du commentaire Car"/>
    <w:basedOn w:val="CommentaireCar"/>
    <w:link w:val="Objetducommentaire"/>
    <w:uiPriority w:val="99"/>
    <w:semiHidden/>
    <w:rsid w:val="003C6A00"/>
    <w:rPr>
      <w:b/>
      <w:bCs/>
      <w:sz w:val="20"/>
      <w:szCs w:val="20"/>
    </w:rPr>
  </w:style>
  <w:style w:type="paragraph" w:styleId="En-tte">
    <w:name w:val="header"/>
    <w:basedOn w:val="Normal"/>
    <w:link w:val="En-tteCar"/>
    <w:uiPriority w:val="99"/>
    <w:unhideWhenUsed/>
    <w:rsid w:val="001719B6"/>
    <w:pPr>
      <w:tabs>
        <w:tab w:val="center" w:pos="4513"/>
        <w:tab w:val="right" w:pos="9026"/>
      </w:tabs>
    </w:pPr>
  </w:style>
  <w:style w:type="character" w:customStyle="1" w:styleId="En-tteCar">
    <w:name w:val="En-tête Car"/>
    <w:basedOn w:val="Policepardfaut"/>
    <w:link w:val="En-tte"/>
    <w:uiPriority w:val="99"/>
    <w:rsid w:val="001719B6"/>
  </w:style>
  <w:style w:type="paragraph" w:styleId="Pieddepage">
    <w:name w:val="footer"/>
    <w:basedOn w:val="Normal"/>
    <w:link w:val="PieddepageCar"/>
    <w:uiPriority w:val="99"/>
    <w:unhideWhenUsed/>
    <w:rsid w:val="001719B6"/>
    <w:pPr>
      <w:tabs>
        <w:tab w:val="center" w:pos="4513"/>
        <w:tab w:val="right" w:pos="9026"/>
      </w:tabs>
    </w:pPr>
  </w:style>
  <w:style w:type="character" w:customStyle="1" w:styleId="PieddepageCar">
    <w:name w:val="Pied de page Car"/>
    <w:basedOn w:val="Policepardfaut"/>
    <w:link w:val="Pieddepage"/>
    <w:uiPriority w:val="99"/>
    <w:rsid w:val="00171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4611">
      <w:bodyDiv w:val="1"/>
      <w:marLeft w:val="0"/>
      <w:marRight w:val="0"/>
      <w:marTop w:val="0"/>
      <w:marBottom w:val="0"/>
      <w:divBdr>
        <w:top w:val="none" w:sz="0" w:space="0" w:color="auto"/>
        <w:left w:val="none" w:sz="0" w:space="0" w:color="auto"/>
        <w:bottom w:val="none" w:sz="0" w:space="0" w:color="auto"/>
        <w:right w:val="none" w:sz="0" w:space="0" w:color="auto"/>
      </w:divBdr>
      <w:divsChild>
        <w:div w:id="63183497">
          <w:marLeft w:val="0"/>
          <w:marRight w:val="0"/>
          <w:marTop w:val="0"/>
          <w:marBottom w:val="0"/>
          <w:divBdr>
            <w:top w:val="none" w:sz="0" w:space="0" w:color="auto"/>
            <w:left w:val="none" w:sz="0" w:space="0" w:color="auto"/>
            <w:bottom w:val="none" w:sz="0" w:space="0" w:color="auto"/>
            <w:right w:val="none" w:sz="0" w:space="0" w:color="auto"/>
          </w:divBdr>
          <w:divsChild>
            <w:div w:id="1055928734">
              <w:marLeft w:val="0"/>
              <w:marRight w:val="0"/>
              <w:marTop w:val="0"/>
              <w:marBottom w:val="0"/>
              <w:divBdr>
                <w:top w:val="none" w:sz="0" w:space="0" w:color="auto"/>
                <w:left w:val="none" w:sz="0" w:space="0" w:color="auto"/>
                <w:bottom w:val="none" w:sz="0" w:space="0" w:color="auto"/>
                <w:right w:val="none" w:sz="0" w:space="0" w:color="auto"/>
              </w:divBdr>
              <w:divsChild>
                <w:div w:id="20634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614">
      <w:bodyDiv w:val="1"/>
      <w:marLeft w:val="0"/>
      <w:marRight w:val="0"/>
      <w:marTop w:val="0"/>
      <w:marBottom w:val="0"/>
      <w:divBdr>
        <w:top w:val="none" w:sz="0" w:space="0" w:color="auto"/>
        <w:left w:val="none" w:sz="0" w:space="0" w:color="auto"/>
        <w:bottom w:val="none" w:sz="0" w:space="0" w:color="auto"/>
        <w:right w:val="none" w:sz="0" w:space="0" w:color="auto"/>
      </w:divBdr>
      <w:divsChild>
        <w:div w:id="44839052">
          <w:marLeft w:val="0"/>
          <w:marRight w:val="0"/>
          <w:marTop w:val="0"/>
          <w:marBottom w:val="0"/>
          <w:divBdr>
            <w:top w:val="none" w:sz="0" w:space="0" w:color="auto"/>
            <w:left w:val="none" w:sz="0" w:space="0" w:color="auto"/>
            <w:bottom w:val="none" w:sz="0" w:space="0" w:color="auto"/>
            <w:right w:val="none" w:sz="0" w:space="0" w:color="auto"/>
          </w:divBdr>
          <w:divsChild>
            <w:div w:id="1631593815">
              <w:marLeft w:val="0"/>
              <w:marRight w:val="0"/>
              <w:marTop w:val="0"/>
              <w:marBottom w:val="0"/>
              <w:divBdr>
                <w:top w:val="none" w:sz="0" w:space="0" w:color="auto"/>
                <w:left w:val="none" w:sz="0" w:space="0" w:color="auto"/>
                <w:bottom w:val="none" w:sz="0" w:space="0" w:color="auto"/>
                <w:right w:val="none" w:sz="0" w:space="0" w:color="auto"/>
              </w:divBdr>
              <w:divsChild>
                <w:div w:id="100598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161268">
      <w:bodyDiv w:val="1"/>
      <w:marLeft w:val="0"/>
      <w:marRight w:val="0"/>
      <w:marTop w:val="0"/>
      <w:marBottom w:val="0"/>
      <w:divBdr>
        <w:top w:val="none" w:sz="0" w:space="0" w:color="auto"/>
        <w:left w:val="none" w:sz="0" w:space="0" w:color="auto"/>
        <w:bottom w:val="none" w:sz="0" w:space="0" w:color="auto"/>
        <w:right w:val="none" w:sz="0" w:space="0" w:color="auto"/>
      </w:divBdr>
      <w:divsChild>
        <w:div w:id="1358695585">
          <w:marLeft w:val="0"/>
          <w:marRight w:val="0"/>
          <w:marTop w:val="0"/>
          <w:marBottom w:val="0"/>
          <w:divBdr>
            <w:top w:val="none" w:sz="0" w:space="0" w:color="auto"/>
            <w:left w:val="none" w:sz="0" w:space="0" w:color="auto"/>
            <w:bottom w:val="none" w:sz="0" w:space="0" w:color="auto"/>
            <w:right w:val="none" w:sz="0" w:space="0" w:color="auto"/>
          </w:divBdr>
          <w:divsChild>
            <w:div w:id="946809010">
              <w:marLeft w:val="0"/>
              <w:marRight w:val="0"/>
              <w:marTop w:val="0"/>
              <w:marBottom w:val="0"/>
              <w:divBdr>
                <w:top w:val="none" w:sz="0" w:space="0" w:color="auto"/>
                <w:left w:val="none" w:sz="0" w:space="0" w:color="auto"/>
                <w:bottom w:val="none" w:sz="0" w:space="0" w:color="auto"/>
                <w:right w:val="none" w:sz="0" w:space="0" w:color="auto"/>
              </w:divBdr>
              <w:divsChild>
                <w:div w:id="9680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049">
      <w:bodyDiv w:val="1"/>
      <w:marLeft w:val="0"/>
      <w:marRight w:val="0"/>
      <w:marTop w:val="0"/>
      <w:marBottom w:val="0"/>
      <w:divBdr>
        <w:top w:val="none" w:sz="0" w:space="0" w:color="auto"/>
        <w:left w:val="none" w:sz="0" w:space="0" w:color="auto"/>
        <w:bottom w:val="none" w:sz="0" w:space="0" w:color="auto"/>
        <w:right w:val="none" w:sz="0" w:space="0" w:color="auto"/>
      </w:divBdr>
      <w:divsChild>
        <w:div w:id="865098122">
          <w:marLeft w:val="0"/>
          <w:marRight w:val="0"/>
          <w:marTop w:val="0"/>
          <w:marBottom w:val="0"/>
          <w:divBdr>
            <w:top w:val="none" w:sz="0" w:space="0" w:color="auto"/>
            <w:left w:val="none" w:sz="0" w:space="0" w:color="auto"/>
            <w:bottom w:val="none" w:sz="0" w:space="0" w:color="auto"/>
            <w:right w:val="none" w:sz="0" w:space="0" w:color="auto"/>
          </w:divBdr>
          <w:divsChild>
            <w:div w:id="134567643">
              <w:marLeft w:val="0"/>
              <w:marRight w:val="0"/>
              <w:marTop w:val="0"/>
              <w:marBottom w:val="0"/>
              <w:divBdr>
                <w:top w:val="none" w:sz="0" w:space="0" w:color="auto"/>
                <w:left w:val="none" w:sz="0" w:space="0" w:color="auto"/>
                <w:bottom w:val="none" w:sz="0" w:space="0" w:color="auto"/>
                <w:right w:val="none" w:sz="0" w:space="0" w:color="auto"/>
              </w:divBdr>
              <w:divsChild>
                <w:div w:id="7863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67463">
      <w:bodyDiv w:val="1"/>
      <w:marLeft w:val="0"/>
      <w:marRight w:val="0"/>
      <w:marTop w:val="0"/>
      <w:marBottom w:val="0"/>
      <w:divBdr>
        <w:top w:val="none" w:sz="0" w:space="0" w:color="auto"/>
        <w:left w:val="none" w:sz="0" w:space="0" w:color="auto"/>
        <w:bottom w:val="none" w:sz="0" w:space="0" w:color="auto"/>
        <w:right w:val="none" w:sz="0" w:space="0" w:color="auto"/>
      </w:divBdr>
      <w:divsChild>
        <w:div w:id="1946695968">
          <w:marLeft w:val="0"/>
          <w:marRight w:val="0"/>
          <w:marTop w:val="0"/>
          <w:marBottom w:val="0"/>
          <w:divBdr>
            <w:top w:val="none" w:sz="0" w:space="0" w:color="auto"/>
            <w:left w:val="none" w:sz="0" w:space="0" w:color="auto"/>
            <w:bottom w:val="none" w:sz="0" w:space="0" w:color="auto"/>
            <w:right w:val="none" w:sz="0" w:space="0" w:color="auto"/>
          </w:divBdr>
          <w:divsChild>
            <w:div w:id="532040579">
              <w:marLeft w:val="0"/>
              <w:marRight w:val="0"/>
              <w:marTop w:val="0"/>
              <w:marBottom w:val="0"/>
              <w:divBdr>
                <w:top w:val="none" w:sz="0" w:space="0" w:color="auto"/>
                <w:left w:val="none" w:sz="0" w:space="0" w:color="auto"/>
                <w:bottom w:val="none" w:sz="0" w:space="0" w:color="auto"/>
                <w:right w:val="none" w:sz="0" w:space="0" w:color="auto"/>
              </w:divBdr>
              <w:divsChild>
                <w:div w:id="4477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6344">
      <w:bodyDiv w:val="1"/>
      <w:marLeft w:val="0"/>
      <w:marRight w:val="0"/>
      <w:marTop w:val="0"/>
      <w:marBottom w:val="0"/>
      <w:divBdr>
        <w:top w:val="none" w:sz="0" w:space="0" w:color="auto"/>
        <w:left w:val="none" w:sz="0" w:space="0" w:color="auto"/>
        <w:bottom w:val="none" w:sz="0" w:space="0" w:color="auto"/>
        <w:right w:val="none" w:sz="0" w:space="0" w:color="auto"/>
      </w:divBdr>
      <w:divsChild>
        <w:div w:id="475804506">
          <w:marLeft w:val="0"/>
          <w:marRight w:val="0"/>
          <w:marTop w:val="0"/>
          <w:marBottom w:val="0"/>
          <w:divBdr>
            <w:top w:val="none" w:sz="0" w:space="0" w:color="auto"/>
            <w:left w:val="none" w:sz="0" w:space="0" w:color="auto"/>
            <w:bottom w:val="none" w:sz="0" w:space="0" w:color="auto"/>
            <w:right w:val="none" w:sz="0" w:space="0" w:color="auto"/>
          </w:divBdr>
          <w:divsChild>
            <w:div w:id="1412197875">
              <w:marLeft w:val="0"/>
              <w:marRight w:val="0"/>
              <w:marTop w:val="0"/>
              <w:marBottom w:val="0"/>
              <w:divBdr>
                <w:top w:val="none" w:sz="0" w:space="0" w:color="auto"/>
                <w:left w:val="none" w:sz="0" w:space="0" w:color="auto"/>
                <w:bottom w:val="none" w:sz="0" w:space="0" w:color="auto"/>
                <w:right w:val="none" w:sz="0" w:space="0" w:color="auto"/>
              </w:divBdr>
              <w:divsChild>
                <w:div w:id="70189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294">
      <w:bodyDiv w:val="1"/>
      <w:marLeft w:val="0"/>
      <w:marRight w:val="0"/>
      <w:marTop w:val="0"/>
      <w:marBottom w:val="0"/>
      <w:divBdr>
        <w:top w:val="none" w:sz="0" w:space="0" w:color="auto"/>
        <w:left w:val="none" w:sz="0" w:space="0" w:color="auto"/>
        <w:bottom w:val="none" w:sz="0" w:space="0" w:color="auto"/>
        <w:right w:val="none" w:sz="0" w:space="0" w:color="auto"/>
      </w:divBdr>
      <w:divsChild>
        <w:div w:id="2055302482">
          <w:marLeft w:val="0"/>
          <w:marRight w:val="0"/>
          <w:marTop w:val="0"/>
          <w:marBottom w:val="0"/>
          <w:divBdr>
            <w:top w:val="none" w:sz="0" w:space="0" w:color="auto"/>
            <w:left w:val="none" w:sz="0" w:space="0" w:color="auto"/>
            <w:bottom w:val="none" w:sz="0" w:space="0" w:color="auto"/>
            <w:right w:val="none" w:sz="0" w:space="0" w:color="auto"/>
          </w:divBdr>
          <w:divsChild>
            <w:div w:id="1638216390">
              <w:marLeft w:val="0"/>
              <w:marRight w:val="0"/>
              <w:marTop w:val="0"/>
              <w:marBottom w:val="0"/>
              <w:divBdr>
                <w:top w:val="none" w:sz="0" w:space="0" w:color="auto"/>
                <w:left w:val="none" w:sz="0" w:space="0" w:color="auto"/>
                <w:bottom w:val="none" w:sz="0" w:space="0" w:color="auto"/>
                <w:right w:val="none" w:sz="0" w:space="0" w:color="auto"/>
              </w:divBdr>
              <w:divsChild>
                <w:div w:id="832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36708">
      <w:bodyDiv w:val="1"/>
      <w:marLeft w:val="0"/>
      <w:marRight w:val="0"/>
      <w:marTop w:val="0"/>
      <w:marBottom w:val="0"/>
      <w:divBdr>
        <w:top w:val="none" w:sz="0" w:space="0" w:color="auto"/>
        <w:left w:val="none" w:sz="0" w:space="0" w:color="auto"/>
        <w:bottom w:val="none" w:sz="0" w:space="0" w:color="auto"/>
        <w:right w:val="none" w:sz="0" w:space="0" w:color="auto"/>
      </w:divBdr>
      <w:divsChild>
        <w:div w:id="242645091">
          <w:marLeft w:val="0"/>
          <w:marRight w:val="0"/>
          <w:marTop w:val="0"/>
          <w:marBottom w:val="0"/>
          <w:divBdr>
            <w:top w:val="none" w:sz="0" w:space="0" w:color="auto"/>
            <w:left w:val="none" w:sz="0" w:space="0" w:color="auto"/>
            <w:bottom w:val="none" w:sz="0" w:space="0" w:color="auto"/>
            <w:right w:val="none" w:sz="0" w:space="0" w:color="auto"/>
          </w:divBdr>
          <w:divsChild>
            <w:div w:id="2043507317">
              <w:marLeft w:val="0"/>
              <w:marRight w:val="0"/>
              <w:marTop w:val="0"/>
              <w:marBottom w:val="0"/>
              <w:divBdr>
                <w:top w:val="none" w:sz="0" w:space="0" w:color="auto"/>
                <w:left w:val="none" w:sz="0" w:space="0" w:color="auto"/>
                <w:bottom w:val="none" w:sz="0" w:space="0" w:color="auto"/>
                <w:right w:val="none" w:sz="0" w:space="0" w:color="auto"/>
              </w:divBdr>
              <w:divsChild>
                <w:div w:id="5618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226">
      <w:bodyDiv w:val="1"/>
      <w:marLeft w:val="0"/>
      <w:marRight w:val="0"/>
      <w:marTop w:val="0"/>
      <w:marBottom w:val="0"/>
      <w:divBdr>
        <w:top w:val="none" w:sz="0" w:space="0" w:color="auto"/>
        <w:left w:val="none" w:sz="0" w:space="0" w:color="auto"/>
        <w:bottom w:val="none" w:sz="0" w:space="0" w:color="auto"/>
        <w:right w:val="none" w:sz="0" w:space="0" w:color="auto"/>
      </w:divBdr>
      <w:divsChild>
        <w:div w:id="956910968">
          <w:marLeft w:val="0"/>
          <w:marRight w:val="0"/>
          <w:marTop w:val="0"/>
          <w:marBottom w:val="0"/>
          <w:divBdr>
            <w:top w:val="none" w:sz="0" w:space="0" w:color="auto"/>
            <w:left w:val="none" w:sz="0" w:space="0" w:color="auto"/>
            <w:bottom w:val="none" w:sz="0" w:space="0" w:color="auto"/>
            <w:right w:val="none" w:sz="0" w:space="0" w:color="auto"/>
          </w:divBdr>
          <w:divsChild>
            <w:div w:id="1718427114">
              <w:marLeft w:val="0"/>
              <w:marRight w:val="0"/>
              <w:marTop w:val="0"/>
              <w:marBottom w:val="0"/>
              <w:divBdr>
                <w:top w:val="none" w:sz="0" w:space="0" w:color="auto"/>
                <w:left w:val="none" w:sz="0" w:space="0" w:color="auto"/>
                <w:bottom w:val="none" w:sz="0" w:space="0" w:color="auto"/>
                <w:right w:val="none" w:sz="0" w:space="0" w:color="auto"/>
              </w:divBdr>
              <w:divsChild>
                <w:div w:id="87851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423627">
      <w:bodyDiv w:val="1"/>
      <w:marLeft w:val="0"/>
      <w:marRight w:val="0"/>
      <w:marTop w:val="0"/>
      <w:marBottom w:val="0"/>
      <w:divBdr>
        <w:top w:val="none" w:sz="0" w:space="0" w:color="auto"/>
        <w:left w:val="none" w:sz="0" w:space="0" w:color="auto"/>
        <w:bottom w:val="none" w:sz="0" w:space="0" w:color="auto"/>
        <w:right w:val="none" w:sz="0" w:space="0" w:color="auto"/>
      </w:divBdr>
      <w:divsChild>
        <w:div w:id="1494494496">
          <w:marLeft w:val="0"/>
          <w:marRight w:val="0"/>
          <w:marTop w:val="0"/>
          <w:marBottom w:val="0"/>
          <w:divBdr>
            <w:top w:val="none" w:sz="0" w:space="0" w:color="auto"/>
            <w:left w:val="none" w:sz="0" w:space="0" w:color="auto"/>
            <w:bottom w:val="none" w:sz="0" w:space="0" w:color="auto"/>
            <w:right w:val="none" w:sz="0" w:space="0" w:color="auto"/>
          </w:divBdr>
          <w:divsChild>
            <w:div w:id="870344053">
              <w:marLeft w:val="0"/>
              <w:marRight w:val="0"/>
              <w:marTop w:val="0"/>
              <w:marBottom w:val="0"/>
              <w:divBdr>
                <w:top w:val="none" w:sz="0" w:space="0" w:color="auto"/>
                <w:left w:val="none" w:sz="0" w:space="0" w:color="auto"/>
                <w:bottom w:val="none" w:sz="0" w:space="0" w:color="auto"/>
                <w:right w:val="none" w:sz="0" w:space="0" w:color="auto"/>
              </w:divBdr>
              <w:divsChild>
                <w:div w:id="41964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69859">
      <w:bodyDiv w:val="1"/>
      <w:marLeft w:val="0"/>
      <w:marRight w:val="0"/>
      <w:marTop w:val="0"/>
      <w:marBottom w:val="0"/>
      <w:divBdr>
        <w:top w:val="none" w:sz="0" w:space="0" w:color="auto"/>
        <w:left w:val="none" w:sz="0" w:space="0" w:color="auto"/>
        <w:bottom w:val="none" w:sz="0" w:space="0" w:color="auto"/>
        <w:right w:val="none" w:sz="0" w:space="0" w:color="auto"/>
      </w:divBdr>
      <w:divsChild>
        <w:div w:id="769201902">
          <w:marLeft w:val="0"/>
          <w:marRight w:val="0"/>
          <w:marTop w:val="0"/>
          <w:marBottom w:val="0"/>
          <w:divBdr>
            <w:top w:val="none" w:sz="0" w:space="0" w:color="auto"/>
            <w:left w:val="none" w:sz="0" w:space="0" w:color="auto"/>
            <w:bottom w:val="none" w:sz="0" w:space="0" w:color="auto"/>
            <w:right w:val="none" w:sz="0" w:space="0" w:color="auto"/>
          </w:divBdr>
          <w:divsChild>
            <w:div w:id="1623074226">
              <w:marLeft w:val="0"/>
              <w:marRight w:val="0"/>
              <w:marTop w:val="0"/>
              <w:marBottom w:val="0"/>
              <w:divBdr>
                <w:top w:val="none" w:sz="0" w:space="0" w:color="auto"/>
                <w:left w:val="none" w:sz="0" w:space="0" w:color="auto"/>
                <w:bottom w:val="none" w:sz="0" w:space="0" w:color="auto"/>
                <w:right w:val="none" w:sz="0" w:space="0" w:color="auto"/>
              </w:divBdr>
              <w:divsChild>
                <w:div w:id="10365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91636">
      <w:bodyDiv w:val="1"/>
      <w:marLeft w:val="0"/>
      <w:marRight w:val="0"/>
      <w:marTop w:val="0"/>
      <w:marBottom w:val="0"/>
      <w:divBdr>
        <w:top w:val="none" w:sz="0" w:space="0" w:color="auto"/>
        <w:left w:val="none" w:sz="0" w:space="0" w:color="auto"/>
        <w:bottom w:val="none" w:sz="0" w:space="0" w:color="auto"/>
        <w:right w:val="none" w:sz="0" w:space="0" w:color="auto"/>
      </w:divBdr>
    </w:div>
    <w:div w:id="1155804804">
      <w:bodyDiv w:val="1"/>
      <w:marLeft w:val="0"/>
      <w:marRight w:val="0"/>
      <w:marTop w:val="0"/>
      <w:marBottom w:val="0"/>
      <w:divBdr>
        <w:top w:val="none" w:sz="0" w:space="0" w:color="auto"/>
        <w:left w:val="none" w:sz="0" w:space="0" w:color="auto"/>
        <w:bottom w:val="none" w:sz="0" w:space="0" w:color="auto"/>
        <w:right w:val="none" w:sz="0" w:space="0" w:color="auto"/>
      </w:divBdr>
      <w:divsChild>
        <w:div w:id="1969968022">
          <w:marLeft w:val="0"/>
          <w:marRight w:val="0"/>
          <w:marTop w:val="0"/>
          <w:marBottom w:val="0"/>
          <w:divBdr>
            <w:top w:val="none" w:sz="0" w:space="0" w:color="auto"/>
            <w:left w:val="none" w:sz="0" w:space="0" w:color="auto"/>
            <w:bottom w:val="none" w:sz="0" w:space="0" w:color="auto"/>
            <w:right w:val="none" w:sz="0" w:space="0" w:color="auto"/>
          </w:divBdr>
          <w:divsChild>
            <w:div w:id="1575896345">
              <w:marLeft w:val="0"/>
              <w:marRight w:val="0"/>
              <w:marTop w:val="0"/>
              <w:marBottom w:val="0"/>
              <w:divBdr>
                <w:top w:val="none" w:sz="0" w:space="0" w:color="auto"/>
                <w:left w:val="none" w:sz="0" w:space="0" w:color="auto"/>
                <w:bottom w:val="none" w:sz="0" w:space="0" w:color="auto"/>
                <w:right w:val="none" w:sz="0" w:space="0" w:color="auto"/>
              </w:divBdr>
              <w:divsChild>
                <w:div w:id="176738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99293">
      <w:bodyDiv w:val="1"/>
      <w:marLeft w:val="0"/>
      <w:marRight w:val="0"/>
      <w:marTop w:val="0"/>
      <w:marBottom w:val="0"/>
      <w:divBdr>
        <w:top w:val="none" w:sz="0" w:space="0" w:color="auto"/>
        <w:left w:val="none" w:sz="0" w:space="0" w:color="auto"/>
        <w:bottom w:val="none" w:sz="0" w:space="0" w:color="auto"/>
        <w:right w:val="none" w:sz="0" w:space="0" w:color="auto"/>
      </w:divBdr>
      <w:divsChild>
        <w:div w:id="85342855">
          <w:marLeft w:val="0"/>
          <w:marRight w:val="0"/>
          <w:marTop w:val="0"/>
          <w:marBottom w:val="0"/>
          <w:divBdr>
            <w:top w:val="none" w:sz="0" w:space="0" w:color="auto"/>
            <w:left w:val="none" w:sz="0" w:space="0" w:color="auto"/>
            <w:bottom w:val="none" w:sz="0" w:space="0" w:color="auto"/>
            <w:right w:val="none" w:sz="0" w:space="0" w:color="auto"/>
          </w:divBdr>
          <w:divsChild>
            <w:div w:id="261882880">
              <w:marLeft w:val="0"/>
              <w:marRight w:val="0"/>
              <w:marTop w:val="0"/>
              <w:marBottom w:val="0"/>
              <w:divBdr>
                <w:top w:val="none" w:sz="0" w:space="0" w:color="auto"/>
                <w:left w:val="none" w:sz="0" w:space="0" w:color="auto"/>
                <w:bottom w:val="none" w:sz="0" w:space="0" w:color="auto"/>
                <w:right w:val="none" w:sz="0" w:space="0" w:color="auto"/>
              </w:divBdr>
              <w:divsChild>
                <w:div w:id="88193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674595">
      <w:bodyDiv w:val="1"/>
      <w:marLeft w:val="0"/>
      <w:marRight w:val="0"/>
      <w:marTop w:val="0"/>
      <w:marBottom w:val="0"/>
      <w:divBdr>
        <w:top w:val="none" w:sz="0" w:space="0" w:color="auto"/>
        <w:left w:val="none" w:sz="0" w:space="0" w:color="auto"/>
        <w:bottom w:val="none" w:sz="0" w:space="0" w:color="auto"/>
        <w:right w:val="none" w:sz="0" w:space="0" w:color="auto"/>
      </w:divBdr>
      <w:divsChild>
        <w:div w:id="1355576644">
          <w:marLeft w:val="0"/>
          <w:marRight w:val="0"/>
          <w:marTop w:val="0"/>
          <w:marBottom w:val="0"/>
          <w:divBdr>
            <w:top w:val="none" w:sz="0" w:space="0" w:color="auto"/>
            <w:left w:val="none" w:sz="0" w:space="0" w:color="auto"/>
            <w:bottom w:val="none" w:sz="0" w:space="0" w:color="auto"/>
            <w:right w:val="none" w:sz="0" w:space="0" w:color="auto"/>
          </w:divBdr>
          <w:divsChild>
            <w:div w:id="1940873301">
              <w:marLeft w:val="0"/>
              <w:marRight w:val="0"/>
              <w:marTop w:val="0"/>
              <w:marBottom w:val="0"/>
              <w:divBdr>
                <w:top w:val="none" w:sz="0" w:space="0" w:color="auto"/>
                <w:left w:val="none" w:sz="0" w:space="0" w:color="auto"/>
                <w:bottom w:val="none" w:sz="0" w:space="0" w:color="auto"/>
                <w:right w:val="none" w:sz="0" w:space="0" w:color="auto"/>
              </w:divBdr>
              <w:divsChild>
                <w:div w:id="164380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66375">
      <w:bodyDiv w:val="1"/>
      <w:marLeft w:val="0"/>
      <w:marRight w:val="0"/>
      <w:marTop w:val="0"/>
      <w:marBottom w:val="0"/>
      <w:divBdr>
        <w:top w:val="none" w:sz="0" w:space="0" w:color="auto"/>
        <w:left w:val="none" w:sz="0" w:space="0" w:color="auto"/>
        <w:bottom w:val="none" w:sz="0" w:space="0" w:color="auto"/>
        <w:right w:val="none" w:sz="0" w:space="0" w:color="auto"/>
      </w:divBdr>
      <w:divsChild>
        <w:div w:id="1644582070">
          <w:marLeft w:val="0"/>
          <w:marRight w:val="0"/>
          <w:marTop w:val="0"/>
          <w:marBottom w:val="0"/>
          <w:divBdr>
            <w:top w:val="none" w:sz="0" w:space="0" w:color="auto"/>
            <w:left w:val="none" w:sz="0" w:space="0" w:color="auto"/>
            <w:bottom w:val="none" w:sz="0" w:space="0" w:color="auto"/>
            <w:right w:val="none" w:sz="0" w:space="0" w:color="auto"/>
          </w:divBdr>
          <w:divsChild>
            <w:div w:id="796727744">
              <w:marLeft w:val="0"/>
              <w:marRight w:val="0"/>
              <w:marTop w:val="0"/>
              <w:marBottom w:val="0"/>
              <w:divBdr>
                <w:top w:val="none" w:sz="0" w:space="0" w:color="auto"/>
                <w:left w:val="none" w:sz="0" w:space="0" w:color="auto"/>
                <w:bottom w:val="none" w:sz="0" w:space="0" w:color="auto"/>
                <w:right w:val="none" w:sz="0" w:space="0" w:color="auto"/>
              </w:divBdr>
              <w:divsChild>
                <w:div w:id="59620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428">
      <w:bodyDiv w:val="1"/>
      <w:marLeft w:val="0"/>
      <w:marRight w:val="0"/>
      <w:marTop w:val="0"/>
      <w:marBottom w:val="0"/>
      <w:divBdr>
        <w:top w:val="none" w:sz="0" w:space="0" w:color="auto"/>
        <w:left w:val="none" w:sz="0" w:space="0" w:color="auto"/>
        <w:bottom w:val="none" w:sz="0" w:space="0" w:color="auto"/>
        <w:right w:val="none" w:sz="0" w:space="0" w:color="auto"/>
      </w:divBdr>
      <w:divsChild>
        <w:div w:id="1338119242">
          <w:marLeft w:val="0"/>
          <w:marRight w:val="0"/>
          <w:marTop w:val="0"/>
          <w:marBottom w:val="0"/>
          <w:divBdr>
            <w:top w:val="none" w:sz="0" w:space="0" w:color="auto"/>
            <w:left w:val="none" w:sz="0" w:space="0" w:color="auto"/>
            <w:bottom w:val="none" w:sz="0" w:space="0" w:color="auto"/>
            <w:right w:val="none" w:sz="0" w:space="0" w:color="auto"/>
          </w:divBdr>
          <w:divsChild>
            <w:div w:id="2002343727">
              <w:marLeft w:val="0"/>
              <w:marRight w:val="0"/>
              <w:marTop w:val="0"/>
              <w:marBottom w:val="0"/>
              <w:divBdr>
                <w:top w:val="none" w:sz="0" w:space="0" w:color="auto"/>
                <w:left w:val="none" w:sz="0" w:space="0" w:color="auto"/>
                <w:bottom w:val="none" w:sz="0" w:space="0" w:color="auto"/>
                <w:right w:val="none" w:sz="0" w:space="0" w:color="auto"/>
              </w:divBdr>
              <w:divsChild>
                <w:div w:id="180383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696860">
      <w:bodyDiv w:val="1"/>
      <w:marLeft w:val="0"/>
      <w:marRight w:val="0"/>
      <w:marTop w:val="0"/>
      <w:marBottom w:val="0"/>
      <w:divBdr>
        <w:top w:val="none" w:sz="0" w:space="0" w:color="auto"/>
        <w:left w:val="none" w:sz="0" w:space="0" w:color="auto"/>
        <w:bottom w:val="none" w:sz="0" w:space="0" w:color="auto"/>
        <w:right w:val="none" w:sz="0" w:space="0" w:color="auto"/>
      </w:divBdr>
    </w:div>
    <w:div w:id="2070886164">
      <w:bodyDiv w:val="1"/>
      <w:marLeft w:val="0"/>
      <w:marRight w:val="0"/>
      <w:marTop w:val="0"/>
      <w:marBottom w:val="0"/>
      <w:divBdr>
        <w:top w:val="none" w:sz="0" w:space="0" w:color="auto"/>
        <w:left w:val="none" w:sz="0" w:space="0" w:color="auto"/>
        <w:bottom w:val="none" w:sz="0" w:space="0" w:color="auto"/>
        <w:right w:val="none" w:sz="0" w:space="0" w:color="auto"/>
      </w:divBdr>
    </w:div>
    <w:div w:id="2099519083">
      <w:bodyDiv w:val="1"/>
      <w:marLeft w:val="0"/>
      <w:marRight w:val="0"/>
      <w:marTop w:val="0"/>
      <w:marBottom w:val="0"/>
      <w:divBdr>
        <w:top w:val="none" w:sz="0" w:space="0" w:color="auto"/>
        <w:left w:val="none" w:sz="0" w:space="0" w:color="auto"/>
        <w:bottom w:val="none" w:sz="0" w:space="0" w:color="auto"/>
        <w:right w:val="none" w:sz="0" w:space="0" w:color="auto"/>
      </w:divBdr>
      <w:divsChild>
        <w:div w:id="773403448">
          <w:marLeft w:val="0"/>
          <w:marRight w:val="0"/>
          <w:marTop w:val="0"/>
          <w:marBottom w:val="0"/>
          <w:divBdr>
            <w:top w:val="none" w:sz="0" w:space="0" w:color="auto"/>
            <w:left w:val="none" w:sz="0" w:space="0" w:color="auto"/>
            <w:bottom w:val="none" w:sz="0" w:space="0" w:color="auto"/>
            <w:right w:val="none" w:sz="0" w:space="0" w:color="auto"/>
          </w:divBdr>
          <w:divsChild>
            <w:div w:id="1119757115">
              <w:marLeft w:val="0"/>
              <w:marRight w:val="0"/>
              <w:marTop w:val="0"/>
              <w:marBottom w:val="0"/>
              <w:divBdr>
                <w:top w:val="none" w:sz="0" w:space="0" w:color="auto"/>
                <w:left w:val="none" w:sz="0" w:space="0" w:color="auto"/>
                <w:bottom w:val="none" w:sz="0" w:space="0" w:color="auto"/>
                <w:right w:val="none" w:sz="0" w:space="0" w:color="auto"/>
              </w:divBdr>
              <w:divsChild>
                <w:div w:id="2156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94103">
      <w:bodyDiv w:val="1"/>
      <w:marLeft w:val="0"/>
      <w:marRight w:val="0"/>
      <w:marTop w:val="0"/>
      <w:marBottom w:val="0"/>
      <w:divBdr>
        <w:top w:val="none" w:sz="0" w:space="0" w:color="auto"/>
        <w:left w:val="none" w:sz="0" w:space="0" w:color="auto"/>
        <w:bottom w:val="none" w:sz="0" w:space="0" w:color="auto"/>
        <w:right w:val="none" w:sz="0" w:space="0" w:color="auto"/>
      </w:divBdr>
      <w:divsChild>
        <w:div w:id="1009798546">
          <w:marLeft w:val="0"/>
          <w:marRight w:val="0"/>
          <w:marTop w:val="0"/>
          <w:marBottom w:val="0"/>
          <w:divBdr>
            <w:top w:val="none" w:sz="0" w:space="0" w:color="auto"/>
            <w:left w:val="none" w:sz="0" w:space="0" w:color="auto"/>
            <w:bottom w:val="none" w:sz="0" w:space="0" w:color="auto"/>
            <w:right w:val="none" w:sz="0" w:space="0" w:color="auto"/>
          </w:divBdr>
          <w:divsChild>
            <w:div w:id="1703286273">
              <w:marLeft w:val="0"/>
              <w:marRight w:val="0"/>
              <w:marTop w:val="0"/>
              <w:marBottom w:val="0"/>
              <w:divBdr>
                <w:top w:val="none" w:sz="0" w:space="0" w:color="auto"/>
                <w:left w:val="none" w:sz="0" w:space="0" w:color="auto"/>
                <w:bottom w:val="none" w:sz="0" w:space="0" w:color="auto"/>
                <w:right w:val="none" w:sz="0" w:space="0" w:color="auto"/>
              </w:divBdr>
              <w:divsChild>
                <w:div w:id="62773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3927</Words>
  <Characters>21600</Characters>
  <Application>Microsoft Office Word</Application>
  <DocSecurity>0</DocSecurity>
  <Lines>180</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Van Drooghenbroeck</dc:creator>
  <cp:keywords/>
  <dc:description/>
  <cp:lastModifiedBy>Sébastien Van Drooghenbroeck</cp:lastModifiedBy>
  <cp:revision>2</cp:revision>
  <cp:lastPrinted>2021-08-03T13:13:00Z</cp:lastPrinted>
  <dcterms:created xsi:type="dcterms:W3CDTF">2021-08-16T07:05:00Z</dcterms:created>
  <dcterms:modified xsi:type="dcterms:W3CDTF">2021-08-16T07:05:00Z</dcterms:modified>
</cp:coreProperties>
</file>