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EC534" w14:textId="77777777" w:rsidR="00E0722C" w:rsidRPr="003F2078" w:rsidRDefault="00E0722C" w:rsidP="00DD154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fr-BE"/>
        </w:rPr>
      </w:pPr>
      <w:r w:rsidRPr="00DD15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Response to the Comment on Christiaens et al. Diabetes overtreatment and hypoglycemia in older patients with type 2 diabetes on insulin therapy: insights from the HYPOAGE cohort study. </w:t>
      </w:r>
      <w:r w:rsidRPr="003F2078">
        <w:rPr>
          <w:rFonts w:ascii="Times New Roman" w:hAnsi="Times New Roman" w:cs="Times New Roman"/>
          <w:b/>
          <w:bCs/>
          <w:sz w:val="24"/>
          <w:szCs w:val="24"/>
          <w:lang w:val="fr-BE"/>
        </w:rPr>
        <w:t>Diabetes Care 2025;48:61–66</w:t>
      </w:r>
    </w:p>
    <w:p w14:paraId="6C001F2D" w14:textId="77777777" w:rsidR="00E0722C" w:rsidRPr="00DD1541" w:rsidRDefault="00E0722C" w:rsidP="00DD1541">
      <w:pPr>
        <w:spacing w:line="480" w:lineRule="auto"/>
        <w:rPr>
          <w:rFonts w:ascii="Times New Roman" w:hAnsi="Times New Roman" w:cs="Times New Roman"/>
          <w:sz w:val="24"/>
          <w:szCs w:val="24"/>
          <w:lang w:val="fr-BE"/>
        </w:rPr>
      </w:pPr>
      <w:r w:rsidRPr="00DD1541">
        <w:rPr>
          <w:rFonts w:ascii="Times New Roman" w:hAnsi="Times New Roman" w:cs="Times New Roman"/>
          <w:sz w:val="24"/>
          <w:szCs w:val="24"/>
          <w:lang w:val="fr-BE"/>
        </w:rPr>
        <w:t xml:space="preserve">Antoine Christiaens PhD </w:t>
      </w:r>
      <w:r w:rsidRPr="00DD1541">
        <w:rPr>
          <w:rFonts w:ascii="Times New Roman" w:hAnsi="Times New Roman" w:cs="Times New Roman"/>
          <w:sz w:val="24"/>
          <w:szCs w:val="24"/>
          <w:vertAlign w:val="superscript"/>
          <w:lang w:val="fr-BE"/>
        </w:rPr>
        <w:t>1,2</w:t>
      </w:r>
      <w:r w:rsidRPr="00DD1541">
        <w:rPr>
          <w:rFonts w:ascii="Times New Roman" w:hAnsi="Times New Roman" w:cs="Times New Roman"/>
          <w:sz w:val="24"/>
          <w:szCs w:val="24"/>
          <w:lang w:val="fr-BE"/>
        </w:rPr>
        <w:t xml:space="preserve">, Anne-Sophie </w:t>
      </w:r>
      <w:proofErr w:type="spellStart"/>
      <w:r w:rsidRPr="00DD1541">
        <w:rPr>
          <w:rFonts w:ascii="Times New Roman" w:hAnsi="Times New Roman" w:cs="Times New Roman"/>
          <w:sz w:val="24"/>
          <w:szCs w:val="24"/>
          <w:lang w:val="fr-BE"/>
        </w:rPr>
        <w:t>Boureau</w:t>
      </w:r>
      <w:proofErr w:type="spellEnd"/>
      <w:r w:rsidRPr="00DD1541">
        <w:rPr>
          <w:rFonts w:ascii="Times New Roman" w:hAnsi="Times New Roman" w:cs="Times New Roman"/>
          <w:sz w:val="24"/>
          <w:szCs w:val="24"/>
          <w:lang w:val="fr-BE"/>
        </w:rPr>
        <w:t xml:space="preserve"> MD </w:t>
      </w:r>
      <w:r w:rsidRPr="00DD1541">
        <w:rPr>
          <w:rFonts w:ascii="Times New Roman" w:hAnsi="Times New Roman" w:cs="Times New Roman"/>
          <w:sz w:val="24"/>
          <w:szCs w:val="24"/>
          <w:vertAlign w:val="superscript"/>
          <w:lang w:val="fr-BE"/>
        </w:rPr>
        <w:t>3,4</w:t>
      </w:r>
      <w:r w:rsidRPr="00DD1541">
        <w:rPr>
          <w:rFonts w:ascii="Times New Roman" w:hAnsi="Times New Roman" w:cs="Times New Roman"/>
          <w:sz w:val="24"/>
          <w:szCs w:val="24"/>
          <w:lang w:val="fr-BE"/>
        </w:rPr>
        <w:t xml:space="preserve">, Samy Hadjadj MD </w:t>
      </w:r>
      <w:r w:rsidRPr="00DD1541">
        <w:rPr>
          <w:rFonts w:ascii="Times New Roman" w:hAnsi="Times New Roman" w:cs="Times New Roman"/>
          <w:sz w:val="24"/>
          <w:szCs w:val="24"/>
          <w:vertAlign w:val="superscript"/>
          <w:lang w:val="fr-BE"/>
        </w:rPr>
        <w:t>4,5</w:t>
      </w:r>
      <w:r w:rsidRPr="00DD1541">
        <w:rPr>
          <w:rFonts w:ascii="Times New Roman" w:hAnsi="Times New Roman" w:cs="Times New Roman"/>
          <w:sz w:val="24"/>
          <w:szCs w:val="24"/>
          <w:lang w:val="fr-BE"/>
        </w:rPr>
        <w:t xml:space="preserve">, Bertrand Cariou MD </w:t>
      </w:r>
      <w:r w:rsidRPr="00DD1541">
        <w:rPr>
          <w:rFonts w:ascii="Times New Roman" w:hAnsi="Times New Roman" w:cs="Times New Roman"/>
          <w:sz w:val="24"/>
          <w:szCs w:val="24"/>
          <w:vertAlign w:val="superscript"/>
          <w:lang w:val="fr-BE"/>
        </w:rPr>
        <w:t>4,5</w:t>
      </w:r>
      <w:r w:rsidRPr="00DD1541">
        <w:rPr>
          <w:rFonts w:ascii="Times New Roman" w:hAnsi="Times New Roman" w:cs="Times New Roman"/>
          <w:sz w:val="24"/>
          <w:szCs w:val="24"/>
          <w:lang w:val="fr-BE"/>
        </w:rPr>
        <w:t>.</w:t>
      </w:r>
    </w:p>
    <w:p w14:paraId="5BB8DF88" w14:textId="77777777" w:rsidR="00E0722C" w:rsidRPr="003F2078" w:rsidRDefault="00E0722C" w:rsidP="0011600A">
      <w:pPr>
        <w:rPr>
          <w:rFonts w:ascii="Times New Roman" w:hAnsi="Times New Roman" w:cs="Times New Roman"/>
          <w:sz w:val="24"/>
          <w:szCs w:val="24"/>
          <w:lang w:val="fr-BE"/>
        </w:rPr>
      </w:pPr>
    </w:p>
    <w:p w14:paraId="5E644AAF" w14:textId="77777777" w:rsidR="00E0722C" w:rsidRPr="00DD1541" w:rsidRDefault="00E0722C" w:rsidP="00A5727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D1541">
        <w:rPr>
          <w:rFonts w:ascii="Times New Roman" w:hAnsi="Times New Roman" w:cs="Times New Roman"/>
          <w:sz w:val="24"/>
          <w:szCs w:val="24"/>
          <w:u w:val="single"/>
        </w:rPr>
        <w:t>Authors’ Affiliations</w:t>
      </w:r>
      <w:r w:rsidRPr="00DD1541">
        <w:rPr>
          <w:rFonts w:ascii="Times New Roman" w:hAnsi="Times New Roman" w:cs="Times New Roman"/>
          <w:sz w:val="24"/>
          <w:szCs w:val="24"/>
        </w:rPr>
        <w:t>:</w:t>
      </w:r>
    </w:p>
    <w:p w14:paraId="4891F317" w14:textId="4DA7488D" w:rsidR="00E0722C" w:rsidRPr="00DD1541" w:rsidRDefault="00E0722C" w:rsidP="00A5727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D154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D1541">
        <w:rPr>
          <w:rFonts w:ascii="Times New Roman" w:hAnsi="Times New Roman" w:cs="Times New Roman"/>
          <w:sz w:val="24"/>
          <w:szCs w:val="24"/>
        </w:rPr>
        <w:t xml:space="preserve"> Fund for Scientific research – FNRS, Brussels, Belgium</w:t>
      </w:r>
      <w:r w:rsidR="009E4606">
        <w:rPr>
          <w:rFonts w:ascii="Times New Roman" w:hAnsi="Times New Roman" w:cs="Times New Roman"/>
          <w:sz w:val="24"/>
          <w:szCs w:val="24"/>
        </w:rPr>
        <w:t>;</w:t>
      </w:r>
    </w:p>
    <w:p w14:paraId="22279931" w14:textId="7FED645C" w:rsidR="00E0722C" w:rsidRPr="00DD1541" w:rsidRDefault="00E0722C" w:rsidP="00A5727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fr-BE"/>
        </w:rPr>
      </w:pPr>
      <w:r w:rsidRPr="00DD1541">
        <w:rPr>
          <w:rFonts w:ascii="Times New Roman" w:hAnsi="Times New Roman" w:cs="Times New Roman"/>
          <w:sz w:val="24"/>
          <w:szCs w:val="24"/>
          <w:vertAlign w:val="superscript"/>
          <w:lang w:val="fr-BE"/>
        </w:rPr>
        <w:t xml:space="preserve">2 </w:t>
      </w:r>
      <w:proofErr w:type="spellStart"/>
      <w:r w:rsidRPr="00DD1541">
        <w:rPr>
          <w:rFonts w:ascii="Times New Roman" w:hAnsi="Times New Roman" w:cs="Times New Roman"/>
          <w:sz w:val="24"/>
          <w:szCs w:val="24"/>
          <w:lang w:val="fr-BE"/>
        </w:rPr>
        <w:t>Clinical</w:t>
      </w:r>
      <w:proofErr w:type="spellEnd"/>
      <w:r w:rsidRPr="00DD1541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Pr="00DD1541">
        <w:rPr>
          <w:rFonts w:ascii="Times New Roman" w:hAnsi="Times New Roman" w:cs="Times New Roman"/>
          <w:sz w:val="24"/>
          <w:szCs w:val="24"/>
          <w:lang w:val="fr-BE"/>
        </w:rPr>
        <w:t>Pharmacy</w:t>
      </w:r>
      <w:proofErr w:type="spellEnd"/>
      <w:r w:rsidRPr="00DD1541">
        <w:rPr>
          <w:rFonts w:ascii="Times New Roman" w:hAnsi="Times New Roman" w:cs="Times New Roman"/>
          <w:sz w:val="24"/>
          <w:szCs w:val="24"/>
          <w:lang w:val="fr-BE"/>
        </w:rPr>
        <w:t xml:space="preserve"> and </w:t>
      </w:r>
      <w:proofErr w:type="spellStart"/>
      <w:r w:rsidRPr="00DD1541">
        <w:rPr>
          <w:rFonts w:ascii="Times New Roman" w:hAnsi="Times New Roman" w:cs="Times New Roman"/>
          <w:sz w:val="24"/>
          <w:szCs w:val="24"/>
          <w:lang w:val="fr-BE"/>
        </w:rPr>
        <w:t>Pharmacoepidemiology</w:t>
      </w:r>
      <w:proofErr w:type="spellEnd"/>
      <w:r w:rsidRPr="00DD1541">
        <w:rPr>
          <w:rFonts w:ascii="Times New Roman" w:hAnsi="Times New Roman" w:cs="Times New Roman"/>
          <w:sz w:val="24"/>
          <w:szCs w:val="24"/>
          <w:lang w:val="fr-BE"/>
        </w:rPr>
        <w:t xml:space="preserve"> Research Group, Louvain Drug Research Institute, Université catholique de Louvain, Brussels, </w:t>
      </w:r>
      <w:proofErr w:type="spellStart"/>
      <w:r w:rsidRPr="00DD1541">
        <w:rPr>
          <w:rFonts w:ascii="Times New Roman" w:hAnsi="Times New Roman" w:cs="Times New Roman"/>
          <w:sz w:val="24"/>
          <w:szCs w:val="24"/>
          <w:lang w:val="fr-BE"/>
        </w:rPr>
        <w:t>Belgium</w:t>
      </w:r>
      <w:proofErr w:type="spellEnd"/>
      <w:r w:rsidR="009E4606">
        <w:rPr>
          <w:rFonts w:ascii="Times New Roman" w:hAnsi="Times New Roman" w:cs="Times New Roman"/>
          <w:sz w:val="24"/>
          <w:szCs w:val="24"/>
          <w:lang w:val="fr-BE"/>
        </w:rPr>
        <w:t> ;</w:t>
      </w:r>
    </w:p>
    <w:p w14:paraId="642CAC7D" w14:textId="4FB29374" w:rsidR="00E0722C" w:rsidRPr="00DD1541" w:rsidRDefault="00E0722C" w:rsidP="00A5727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fr-BE"/>
        </w:rPr>
      </w:pPr>
      <w:r w:rsidRPr="00DD1541">
        <w:rPr>
          <w:rFonts w:ascii="Times New Roman" w:hAnsi="Times New Roman" w:cs="Times New Roman"/>
          <w:sz w:val="24"/>
          <w:szCs w:val="24"/>
          <w:vertAlign w:val="superscript"/>
          <w:lang w:val="fr-BE"/>
        </w:rPr>
        <w:t>3</w:t>
      </w:r>
      <w:r w:rsidRPr="00DD1541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9E4606" w:rsidRPr="00DD1541">
        <w:rPr>
          <w:rFonts w:ascii="Times New Roman" w:hAnsi="Times New Roman" w:cs="Times New Roman"/>
          <w:sz w:val="24"/>
          <w:szCs w:val="24"/>
          <w:lang w:val="fr-BE"/>
        </w:rPr>
        <w:t>Pôle de Gérontologie Clinique</w:t>
      </w:r>
      <w:r w:rsidR="009E4606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r w:rsidR="009E4606" w:rsidRPr="00DD1541">
        <w:rPr>
          <w:rFonts w:ascii="Times New Roman" w:hAnsi="Times New Roman" w:cs="Times New Roman"/>
          <w:sz w:val="24"/>
          <w:szCs w:val="24"/>
          <w:lang w:val="fr-BE"/>
        </w:rPr>
        <w:t>CHU de Nantes</w:t>
      </w:r>
      <w:r w:rsidR="009E4606">
        <w:rPr>
          <w:rFonts w:ascii="Times New Roman" w:hAnsi="Times New Roman" w:cs="Times New Roman"/>
          <w:sz w:val="24"/>
          <w:szCs w:val="24"/>
          <w:lang w:val="fr-BE"/>
        </w:rPr>
        <w:t>,</w:t>
      </w:r>
      <w:r w:rsidR="009E4606" w:rsidRPr="00DD1541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Pr="00DD1541">
        <w:rPr>
          <w:rFonts w:ascii="Times New Roman" w:hAnsi="Times New Roman" w:cs="Times New Roman"/>
          <w:sz w:val="24"/>
          <w:szCs w:val="24"/>
          <w:lang w:val="fr-BE"/>
        </w:rPr>
        <w:t xml:space="preserve">Nantes Université, Nantes, </w:t>
      </w:r>
      <w:r w:rsidR="009E4606">
        <w:rPr>
          <w:rFonts w:ascii="Times New Roman" w:hAnsi="Times New Roman" w:cs="Times New Roman"/>
          <w:sz w:val="24"/>
          <w:szCs w:val="24"/>
          <w:lang w:val="fr-BE"/>
        </w:rPr>
        <w:t>France ;</w:t>
      </w:r>
    </w:p>
    <w:p w14:paraId="20E22063" w14:textId="70537B1F" w:rsidR="00E0722C" w:rsidRPr="00DD1541" w:rsidRDefault="00E0722C" w:rsidP="00A5727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fr-BE"/>
        </w:rPr>
      </w:pPr>
      <w:r w:rsidRPr="00DD1541">
        <w:rPr>
          <w:rFonts w:ascii="Times New Roman" w:hAnsi="Times New Roman" w:cs="Times New Roman"/>
          <w:sz w:val="24"/>
          <w:szCs w:val="24"/>
          <w:vertAlign w:val="superscript"/>
          <w:lang w:val="fr-BE"/>
        </w:rPr>
        <w:t>4</w:t>
      </w:r>
      <w:r w:rsidRPr="00DD1541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9E4606">
        <w:rPr>
          <w:rFonts w:ascii="Times New Roman" w:hAnsi="Times New Roman" w:cs="Times New Roman"/>
          <w:sz w:val="24"/>
          <w:szCs w:val="24"/>
          <w:lang w:val="fr-BE"/>
        </w:rPr>
        <w:t xml:space="preserve">Institut du Thorax, </w:t>
      </w:r>
      <w:r w:rsidR="009E4606" w:rsidRPr="00DD1541">
        <w:rPr>
          <w:rFonts w:ascii="Times New Roman" w:hAnsi="Times New Roman" w:cs="Times New Roman"/>
          <w:sz w:val="24"/>
          <w:szCs w:val="24"/>
          <w:lang w:val="fr-BE"/>
        </w:rPr>
        <w:t>CNRS, INSERM</w:t>
      </w:r>
      <w:r w:rsidR="009E4606">
        <w:rPr>
          <w:rFonts w:ascii="Times New Roman" w:hAnsi="Times New Roman" w:cs="Times New Roman"/>
          <w:sz w:val="24"/>
          <w:szCs w:val="24"/>
          <w:lang w:val="fr-BE"/>
        </w:rPr>
        <w:t>, CHU de Nantes,</w:t>
      </w:r>
      <w:r w:rsidR="009E4606" w:rsidRPr="00DD1541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Pr="00DD1541">
        <w:rPr>
          <w:rFonts w:ascii="Times New Roman" w:hAnsi="Times New Roman" w:cs="Times New Roman"/>
          <w:sz w:val="24"/>
          <w:szCs w:val="24"/>
          <w:lang w:val="fr-BE"/>
        </w:rPr>
        <w:t>Nantes Université, Nantes, France</w:t>
      </w:r>
    </w:p>
    <w:p w14:paraId="1E013BCD" w14:textId="605C360B" w:rsidR="00E0722C" w:rsidRPr="00DD1541" w:rsidRDefault="00E0722C" w:rsidP="00A5727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D154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DD1541">
        <w:rPr>
          <w:rFonts w:ascii="Times New Roman" w:hAnsi="Times New Roman" w:cs="Times New Roman"/>
          <w:sz w:val="24"/>
          <w:szCs w:val="24"/>
        </w:rPr>
        <w:t xml:space="preserve"> </w:t>
      </w:r>
      <w:r w:rsidR="009E4606" w:rsidRPr="00DD1541">
        <w:rPr>
          <w:rFonts w:ascii="Times New Roman" w:hAnsi="Times New Roman" w:cs="Times New Roman"/>
          <w:sz w:val="24"/>
          <w:szCs w:val="24"/>
        </w:rPr>
        <w:t>Department of Endocrinology-Diabetology-Nutrition, CHU Nantes</w:t>
      </w:r>
      <w:r w:rsidR="009E4606">
        <w:rPr>
          <w:rFonts w:ascii="Times New Roman" w:hAnsi="Times New Roman" w:cs="Times New Roman"/>
          <w:sz w:val="24"/>
          <w:szCs w:val="24"/>
        </w:rPr>
        <w:t>,</w:t>
      </w:r>
      <w:r w:rsidR="009E4606" w:rsidRPr="00DD1541">
        <w:rPr>
          <w:rFonts w:ascii="Times New Roman" w:hAnsi="Times New Roman" w:cs="Times New Roman"/>
          <w:sz w:val="24"/>
          <w:szCs w:val="24"/>
        </w:rPr>
        <w:t xml:space="preserve"> </w:t>
      </w:r>
      <w:r w:rsidRPr="00DD1541">
        <w:rPr>
          <w:rFonts w:ascii="Times New Roman" w:hAnsi="Times New Roman" w:cs="Times New Roman"/>
          <w:sz w:val="24"/>
          <w:szCs w:val="24"/>
        </w:rPr>
        <w:t>Nantes, France</w:t>
      </w:r>
    </w:p>
    <w:p w14:paraId="305FE60A" w14:textId="77777777" w:rsidR="00E0722C" w:rsidRPr="00DD1541" w:rsidRDefault="00E0722C" w:rsidP="0011600A">
      <w:pPr>
        <w:rPr>
          <w:rFonts w:ascii="Times New Roman" w:hAnsi="Times New Roman" w:cs="Times New Roman"/>
          <w:sz w:val="24"/>
          <w:szCs w:val="24"/>
        </w:rPr>
      </w:pPr>
    </w:p>
    <w:p w14:paraId="6A08DACF" w14:textId="77777777" w:rsidR="00E0722C" w:rsidRPr="00DD1541" w:rsidRDefault="00E0722C" w:rsidP="00A5727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D1541">
        <w:rPr>
          <w:rFonts w:ascii="Times New Roman" w:hAnsi="Times New Roman" w:cs="Times New Roman"/>
          <w:sz w:val="24"/>
          <w:szCs w:val="24"/>
          <w:u w:val="single"/>
        </w:rPr>
        <w:t>Contact information of the corresponding author</w:t>
      </w:r>
      <w:r w:rsidRPr="00DD1541">
        <w:rPr>
          <w:rFonts w:ascii="Times New Roman" w:hAnsi="Times New Roman" w:cs="Times New Roman"/>
          <w:sz w:val="24"/>
          <w:szCs w:val="24"/>
        </w:rPr>
        <w:t>:</w:t>
      </w:r>
    </w:p>
    <w:p w14:paraId="70BF147B" w14:textId="77777777" w:rsidR="00E0722C" w:rsidRPr="00DD1541" w:rsidRDefault="00E0722C" w:rsidP="00A5727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fr-BE"/>
        </w:rPr>
      </w:pPr>
      <w:r w:rsidRPr="00DD1541">
        <w:rPr>
          <w:rFonts w:ascii="Times New Roman" w:hAnsi="Times New Roman" w:cs="Times New Roman"/>
          <w:sz w:val="24"/>
          <w:szCs w:val="24"/>
          <w:lang w:val="fr-BE"/>
        </w:rPr>
        <w:t>Dr Antoine CHRISTIAENS, MD PhD</w:t>
      </w:r>
    </w:p>
    <w:p w14:paraId="6D81B85A" w14:textId="77777777" w:rsidR="00E0722C" w:rsidRPr="00DD1541" w:rsidRDefault="00E0722C" w:rsidP="00A5727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fr-BE" w:eastAsia="fr-BE"/>
        </w:rPr>
      </w:pPr>
      <w:r w:rsidRPr="00DD1541">
        <w:rPr>
          <w:rFonts w:ascii="Times New Roman" w:hAnsi="Times New Roman" w:cs="Times New Roman"/>
          <w:sz w:val="24"/>
          <w:szCs w:val="24"/>
          <w:lang w:val="fr-BE" w:eastAsia="fr-BE"/>
        </w:rPr>
        <w:t>Avenue E Mounier 72 bte 01.72.02</w:t>
      </w:r>
    </w:p>
    <w:p w14:paraId="248A56B3" w14:textId="77777777" w:rsidR="00E0722C" w:rsidRPr="00DD1541" w:rsidRDefault="00E0722C" w:rsidP="00A5727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D1541">
        <w:rPr>
          <w:rFonts w:ascii="Times New Roman" w:hAnsi="Times New Roman" w:cs="Times New Roman"/>
          <w:sz w:val="24"/>
          <w:szCs w:val="24"/>
        </w:rPr>
        <w:t>1200 Brussels, Belgium</w:t>
      </w:r>
    </w:p>
    <w:p w14:paraId="6A2CCA32" w14:textId="77777777" w:rsidR="00E0722C" w:rsidRPr="00DD1541" w:rsidRDefault="00E0722C" w:rsidP="00A57276">
      <w:pPr>
        <w:spacing w:after="0" w:line="480" w:lineRule="auto"/>
        <w:rPr>
          <w:rStyle w:val="Lienhypertexte"/>
          <w:rFonts w:ascii="Times New Roman" w:hAnsi="Times New Roman" w:cs="Times New Roman"/>
          <w:sz w:val="24"/>
          <w:szCs w:val="24"/>
        </w:rPr>
      </w:pPr>
      <w:r w:rsidRPr="00DD1541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Pr="00DD1541">
          <w:rPr>
            <w:rStyle w:val="Lienhypertexte"/>
            <w:rFonts w:ascii="Times New Roman" w:hAnsi="Times New Roman" w:cs="Times New Roman"/>
            <w:sz w:val="24"/>
            <w:szCs w:val="24"/>
          </w:rPr>
          <w:t>antoine.christiaens@uclouvain.be</w:t>
        </w:r>
      </w:hyperlink>
    </w:p>
    <w:p w14:paraId="5355D0B5" w14:textId="77777777" w:rsidR="00E0722C" w:rsidRPr="00DD1541" w:rsidRDefault="00E0722C" w:rsidP="00A57276">
      <w:pPr>
        <w:spacing w:after="0" w:line="480" w:lineRule="auto"/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D1541"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  <w:t>Phone number: +32(0)498303334</w:t>
      </w:r>
    </w:p>
    <w:p w14:paraId="1E3482DA" w14:textId="77777777" w:rsidR="00E0722C" w:rsidRPr="00DD1541" w:rsidRDefault="00E0722C" w:rsidP="003630BC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F8CA987" w14:textId="77777777" w:rsidR="00E0722C" w:rsidRPr="00DD1541" w:rsidRDefault="00E0722C" w:rsidP="003630B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1541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 of manuscript:</w:t>
      </w:r>
      <w:r w:rsidRPr="00DD15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1541">
        <w:rPr>
          <w:rFonts w:ascii="Times New Roman" w:hAnsi="Times New Roman" w:cs="Times New Roman"/>
          <w:sz w:val="24"/>
          <w:szCs w:val="24"/>
          <w:lang w:val="en-US"/>
        </w:rPr>
        <w:t>eLetter</w:t>
      </w:r>
      <w:proofErr w:type="spellEnd"/>
      <w:r w:rsidRPr="00DD1541">
        <w:rPr>
          <w:rFonts w:ascii="Times New Roman" w:hAnsi="Times New Roman" w:cs="Times New Roman"/>
          <w:sz w:val="24"/>
          <w:szCs w:val="24"/>
          <w:lang w:val="en-US"/>
        </w:rPr>
        <w:t>: Comments and Responses: Response (invited)</w:t>
      </w:r>
    </w:p>
    <w:p w14:paraId="3250930F" w14:textId="77777777" w:rsidR="00E0722C" w:rsidRPr="00DD1541" w:rsidRDefault="00E0722C" w:rsidP="003630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D15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Reference comment: </w:t>
      </w:r>
      <w:r w:rsidRPr="00DD1541">
        <w:rPr>
          <w:rFonts w:ascii="Times New Roman" w:hAnsi="Times New Roman" w:cs="Times New Roman"/>
          <w:sz w:val="24"/>
          <w:szCs w:val="24"/>
          <w:lang w:val="en-US"/>
        </w:rPr>
        <w:t>DC25-0071.R1</w:t>
      </w:r>
      <w:r w:rsidRPr="00DD15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8267952" w14:textId="77777777" w:rsidR="00E0722C" w:rsidRPr="00DD1541" w:rsidRDefault="00E0722C" w:rsidP="003630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D15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Running title: </w:t>
      </w:r>
      <w:r w:rsidRPr="00DD1541">
        <w:rPr>
          <w:rFonts w:ascii="Times New Roman" w:hAnsi="Times New Roman" w:cs="Times New Roman"/>
          <w:sz w:val="24"/>
          <w:szCs w:val="24"/>
          <w:lang w:val="en-US"/>
        </w:rPr>
        <w:t>Diabetes overtreatment in older patients</w:t>
      </w:r>
    </w:p>
    <w:p w14:paraId="57091495" w14:textId="77777777" w:rsidR="00E0722C" w:rsidRDefault="00E0722C" w:rsidP="003630B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D1541">
        <w:rPr>
          <w:rFonts w:ascii="Times New Roman" w:hAnsi="Times New Roman" w:cs="Times New Roman"/>
          <w:b/>
          <w:bCs/>
          <w:sz w:val="24"/>
          <w:szCs w:val="24"/>
        </w:rPr>
        <w:t>Word count</w:t>
      </w:r>
      <w:r w:rsidRPr="00DD154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499</w:t>
      </w:r>
      <w:r w:rsidRPr="00DD1541">
        <w:rPr>
          <w:rFonts w:ascii="Times New Roman" w:hAnsi="Times New Roman" w:cs="Times New Roman"/>
          <w:sz w:val="24"/>
          <w:szCs w:val="24"/>
        </w:rPr>
        <w:t xml:space="preserve"> words; </w:t>
      </w:r>
      <w:r w:rsidRPr="00DD1541">
        <w:rPr>
          <w:rFonts w:ascii="Times New Roman" w:hAnsi="Times New Roman" w:cs="Times New Roman"/>
          <w:b/>
          <w:bCs/>
          <w:sz w:val="24"/>
          <w:szCs w:val="24"/>
        </w:rPr>
        <w:t>Number of references</w:t>
      </w:r>
      <w:r w:rsidRPr="00DD154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0CCBFFD4" w14:textId="77777777" w:rsidR="00025E60" w:rsidRDefault="00025E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256C6A31" w14:textId="56EE3DF7" w:rsidR="00E0722C" w:rsidRPr="00DD1541" w:rsidRDefault="00E0722C" w:rsidP="00FB0E2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154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MANUSCRIPT</w:t>
      </w:r>
    </w:p>
    <w:p w14:paraId="4B3293CC" w14:textId="77777777" w:rsidR="00E0722C" w:rsidRPr="0066783C" w:rsidRDefault="00E0722C" w:rsidP="00E9141E">
      <w:pPr>
        <w:spacing w:after="0" w:line="480" w:lineRule="auto"/>
        <w:jc w:val="both"/>
        <w:rPr>
          <w:bCs/>
          <w:sz w:val="24"/>
          <w:szCs w:val="24"/>
          <w:lang w:val="en-US"/>
        </w:rPr>
      </w:pP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We appreciate the comments from Chin-Yang Chen and colleagues </w:t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(1)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on our recent study investigating the relationship between diabetes overtreatment and hypoglycemia in older adults with type 2 diabetes (T2D) on insulin therapy </w:t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(2)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66783C">
        <w:rPr>
          <w:rFonts w:ascii="Times New Roman" w:hAnsi="Times New Roman" w:cs="Times New Roman"/>
          <w:bCs/>
          <w:sz w:val="24"/>
          <w:szCs w:val="24"/>
          <w:lang w:val="en-US"/>
        </w:rPr>
        <w:t>We welcome this opportunity to clarify key points and further engage in this discussion.</w:t>
      </w:r>
    </w:p>
    <w:p w14:paraId="6E5CC336" w14:textId="144004A7" w:rsidR="00E0722C" w:rsidRPr="00A71DDF" w:rsidRDefault="00E0722C" w:rsidP="00FB0E2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First, regarding the association between insulin regimens and time below range (TBR), we recognize the importance of such analyses. These were, however, already addressed in the primary HYPOAGE </w:t>
      </w:r>
      <w:r w:rsidR="00D6356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publication </w:t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(3)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>. In univariate analyses, we observed that basal-bolus regimens and continuous subcutaneous insulin infusion were associated with an increased risk of hypoglycemia (Odds Ratio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 2.16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[95% CI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 1.07-4.36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>]) compared to basal insulin monotherapy. Additionally, the use of dipeptidyl peptidase-4 inhibitors was linked to a lower risk of hypoglycemia (Odds Ratio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 0.37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[95% CI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 0.15-0.93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]). However, after multivariable adjustment, these associations were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not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statistically significant, highlighting the influence of confounding factors. Furthermore, our prior investigations found no significant association between malnutrition and confirmed hypoglycemia (≤70 mg/dL) </w:t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(3)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A71DDF">
        <w:rPr>
          <w:rFonts w:ascii="Times New Roman" w:hAnsi="Times New Roman" w:cs="Times New Roman"/>
          <w:sz w:val="24"/>
          <w:szCs w:val="24"/>
          <w:lang w:val="en-US"/>
        </w:rPr>
        <w:t>Beyond gl</w:t>
      </w:r>
      <w:r>
        <w:rPr>
          <w:rFonts w:ascii="Times New Roman" w:hAnsi="Times New Roman" w:cs="Times New Roman"/>
          <w:sz w:val="24"/>
          <w:szCs w:val="24"/>
          <w:lang w:val="en-US"/>
        </w:rPr>
        <w:t>ucose-lowering</w:t>
      </w:r>
      <w:r w:rsidRPr="00A71DDF">
        <w:rPr>
          <w:rFonts w:ascii="Times New Roman" w:hAnsi="Times New Roman" w:cs="Times New Roman"/>
          <w:sz w:val="24"/>
          <w:szCs w:val="24"/>
          <w:lang w:val="en-US"/>
        </w:rPr>
        <w:t xml:space="preserve"> agents, we did not investigate the potential association of other drugs (</w:t>
      </w:r>
      <w:r>
        <w:rPr>
          <w:rFonts w:ascii="Times New Roman" w:hAnsi="Times New Roman" w:cs="Times New Roman"/>
          <w:sz w:val="24"/>
          <w:szCs w:val="24"/>
          <w:lang w:val="en-US"/>
        </w:rPr>
        <w:t>e.g.</w:t>
      </w:r>
      <w:r w:rsidRPr="00A71DDF">
        <w:rPr>
          <w:rFonts w:ascii="Times New Roman" w:hAnsi="Times New Roman" w:cs="Times New Roman"/>
          <w:sz w:val="24"/>
          <w:szCs w:val="24"/>
          <w:lang w:val="en-US"/>
        </w:rPr>
        <w:t>, antihypertensive treatments) with hypoglycemia.</w:t>
      </w:r>
    </w:p>
    <w:p w14:paraId="77B9E11B" w14:textId="77777777" w:rsidR="00E0722C" w:rsidRPr="009150D3" w:rsidRDefault="00E0722C" w:rsidP="009150D3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Then, r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>egarding the hypoglycemia thresholds recommended by recent guidelines for older adults (TBR</w:t>
      </w:r>
      <w:r>
        <w:rPr>
          <w:rFonts w:ascii="Calibri" w:hAnsi="Calibri" w:cs="Calibri"/>
          <w:bCs/>
          <w:sz w:val="24"/>
          <w:szCs w:val="24"/>
          <w:lang w:val="en-US"/>
        </w:rPr>
        <w:t>≥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>1% [</w:t>
      </w:r>
      <w:r>
        <w:rPr>
          <w:rFonts w:ascii="Calibri" w:hAnsi="Calibri" w:cs="Calibri"/>
          <w:bCs/>
          <w:sz w:val="24"/>
          <w:szCs w:val="24"/>
          <w:lang w:val="en-US"/>
        </w:rPr>
        <w:t>≥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15 min/day below 70 mg/dL]) - which were therefore used in our study - we agree with the authors that these targets might seem too challenging to achieve </w:t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(4)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However, while the feasibility of recommendations is indeed crucial for their implementation, it is not their primary focus. The patient-centered therapeutic optimization strategy for older adults aims to maximize benefits - which do not necessarily or exclusively correspond to strict glycemic control - while minimizing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treatment-related 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>risks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harms </w:t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(4)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Furthermore, these 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recommendations provide targets - an objective to strive for - while also helping to prevent therapeutic inertia.</w:t>
      </w:r>
    </w:p>
    <w:p w14:paraId="30FDB7A1" w14:textId="77777777" w:rsidR="00E0722C" w:rsidRDefault="00E0722C" w:rsidP="009150D3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We are witnessing the early stages of recommendations regarding TBR targets, and ongoing discussions will likely lead to further refinements and improvements in the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future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For instance,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some colleagues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even 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>advocat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for a "buffer zone" approach (70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>90 mg/dL) and aiming for a TBR of 0%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(5)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9150D3">
        <w:rPr>
          <w:rFonts w:ascii="Times New Roman" w:hAnsi="Times New Roman" w:cs="Times New Roman"/>
          <w:bCs/>
          <w:sz w:val="24"/>
          <w:szCs w:val="24"/>
        </w:rPr>
        <w:t xml:space="preserve">While we respect the authors’ perspective, a sensitivity analysis on TBR levels would be neither appropriate nor reliable 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>to assess whether glycemic control strategies are both effective and achievable in this population</w:t>
      </w:r>
      <w:r w:rsidRPr="009150D3">
        <w:rPr>
          <w:rFonts w:ascii="Times New Roman" w:hAnsi="Times New Roman" w:cs="Times New Roman"/>
          <w:bCs/>
          <w:sz w:val="24"/>
          <w:szCs w:val="24"/>
        </w:rPr>
        <w:t xml:space="preserve"> given our sample size and study design. </w:t>
      </w:r>
    </w:p>
    <w:p w14:paraId="107A67D8" w14:textId="77777777" w:rsidR="00E0722C" w:rsidRPr="009150D3" w:rsidRDefault="00E0722C" w:rsidP="00F81301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Finally, we appreciate the discussion on barriers to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the use of technology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older adults. Indeed, several age-related factors, including for example dexterity issues or technological literacy may challenge its use in this population. Nevertheless, as our study highlights the potential benefits of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technology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identifying and mitigating hypoglycemia in this population, addressing these barriers should be prioritized in future research. Recent guidelines on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the use of technology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older adults reflect its increasing clinical relevance, and further efforts should focus on improving its accessibility and integration into routine care </w:t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(4)</w:t>
      </w: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42EE8077" w14:textId="77777777" w:rsidR="00E0722C" w:rsidRPr="009150D3" w:rsidRDefault="00E0722C" w:rsidP="00F81301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150D3">
        <w:rPr>
          <w:rFonts w:ascii="Times New Roman" w:hAnsi="Times New Roman" w:cs="Times New Roman"/>
          <w:bCs/>
          <w:sz w:val="24"/>
          <w:szCs w:val="24"/>
          <w:lang w:val="en-US"/>
        </w:rPr>
        <w:t>In conclusion, further research is needed to refine the definition of overtreatment and help in guiding clinicians in selecting the safest and most beneficial therapeutic strategies for older patients with T2D.</w:t>
      </w:r>
    </w:p>
    <w:p w14:paraId="52C33B82" w14:textId="77777777" w:rsidR="00E0722C" w:rsidRDefault="00E0722C" w:rsidP="00267ED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DE9117F" w14:textId="77777777" w:rsidR="006817DB" w:rsidRPr="00DD1541" w:rsidRDefault="006817DB" w:rsidP="006817D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D1541">
        <w:rPr>
          <w:rFonts w:ascii="Times New Roman" w:hAnsi="Times New Roman" w:cs="Times New Roman"/>
          <w:b/>
          <w:sz w:val="24"/>
          <w:szCs w:val="24"/>
        </w:rPr>
        <w:t>ACKNOWLEDGMENTS</w:t>
      </w:r>
    </w:p>
    <w:p w14:paraId="71513E07" w14:textId="77777777" w:rsidR="006817DB" w:rsidRPr="00DD1541" w:rsidRDefault="006817DB" w:rsidP="006817D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D1541">
        <w:rPr>
          <w:rFonts w:ascii="Times New Roman" w:hAnsi="Times New Roman" w:cs="Times New Roman"/>
          <w:sz w:val="24"/>
          <w:szCs w:val="24"/>
        </w:rPr>
        <w:t>FUNDING AND ASSISTANCE</w:t>
      </w:r>
    </w:p>
    <w:p w14:paraId="54C58D59" w14:textId="77777777" w:rsidR="006817DB" w:rsidRPr="00DD1541" w:rsidRDefault="006817DB" w:rsidP="006817DB">
      <w:pPr>
        <w:pStyle w:val="para"/>
        <w:spacing w:before="0" w:beforeAutospacing="0" w:after="0" w:afterAutospacing="0" w:line="480" w:lineRule="auto"/>
        <w:contextualSpacing/>
        <w:rPr>
          <w:highlight w:val="yellow"/>
          <w:lang w:val="en-US"/>
        </w:rPr>
      </w:pPr>
      <w:r w:rsidRPr="00DD1541">
        <w:rPr>
          <w:lang w:val="en-US"/>
        </w:rPr>
        <w:t xml:space="preserve">This Investigator Sponsored Study was </w:t>
      </w:r>
      <w:r w:rsidRPr="00DD1541">
        <w:rPr>
          <w:bCs/>
          <w:lang w:val="en-US"/>
        </w:rPr>
        <w:t>funded by Sanofi</w:t>
      </w:r>
      <w:r>
        <w:rPr>
          <w:bCs/>
          <w:lang w:val="en-US"/>
        </w:rPr>
        <w:t>,</w:t>
      </w:r>
      <w:r w:rsidRPr="00DD1541">
        <w:rPr>
          <w:bCs/>
          <w:lang w:val="en-US"/>
        </w:rPr>
        <w:t xml:space="preserve"> which had no role in the design, methods, recruitment, data collections, nor the analysis and preparation of the paper. </w:t>
      </w:r>
    </w:p>
    <w:p w14:paraId="39CC8472" w14:textId="77777777" w:rsidR="006817DB" w:rsidRPr="00DD1541" w:rsidRDefault="006817DB" w:rsidP="006817D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D1541">
        <w:rPr>
          <w:rFonts w:ascii="Times New Roman" w:hAnsi="Times New Roman" w:cs="Times New Roman"/>
          <w:sz w:val="24"/>
          <w:szCs w:val="24"/>
        </w:rPr>
        <w:t>CONFLICT OF INTEREST</w:t>
      </w:r>
    </w:p>
    <w:p w14:paraId="7601DF94" w14:textId="77777777" w:rsidR="006817DB" w:rsidRPr="00DD1541" w:rsidRDefault="006817DB" w:rsidP="006817DB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5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BC reports grants from Amgen, LVL-Air Liquide, Sanofi and </w:t>
      </w:r>
      <w:proofErr w:type="spellStart"/>
      <w:proofErr w:type="gramStart"/>
      <w:r w:rsidRPr="00DD1541">
        <w:rPr>
          <w:rFonts w:ascii="Times New Roman" w:hAnsi="Times New Roman" w:cs="Times New Roman"/>
          <w:color w:val="000000" w:themeColor="text1"/>
          <w:sz w:val="24"/>
          <w:szCs w:val="24"/>
        </w:rPr>
        <w:t>Ypsomed</w:t>
      </w:r>
      <w:proofErr w:type="spellEnd"/>
      <w:r w:rsidRPr="00DD1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  <w:proofErr w:type="gramEnd"/>
      <w:r w:rsidRPr="00DD1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personal fees from Abbott, Amgen, AstraZeneca, Bristol Myers Squibb, Eli Lilly and Company, LVL-Air Liquide Novartis, Novo Nordisk, Sanofi and Ultragenyx.</w:t>
      </w:r>
    </w:p>
    <w:p w14:paraId="40EB2C9F" w14:textId="77777777" w:rsidR="006817DB" w:rsidRPr="00025E60" w:rsidRDefault="006817DB" w:rsidP="006817DB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 reports receiving grants from Asten, AstraZeneca, </w:t>
      </w:r>
      <w:proofErr w:type="spellStart"/>
      <w:r w:rsidRPr="00DD1541">
        <w:rPr>
          <w:rFonts w:ascii="Times New Roman" w:hAnsi="Times New Roman" w:cs="Times New Roman"/>
          <w:color w:val="000000" w:themeColor="text1"/>
          <w:sz w:val="24"/>
          <w:szCs w:val="24"/>
        </w:rPr>
        <w:t>Homeperf</w:t>
      </w:r>
      <w:proofErr w:type="spellEnd"/>
      <w:r w:rsidRPr="00DD1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LVL, Nestle Home Care, Pierre Fabre, and </w:t>
      </w:r>
      <w:proofErr w:type="spellStart"/>
      <w:r w:rsidRPr="00DD1541">
        <w:rPr>
          <w:rFonts w:ascii="Times New Roman" w:hAnsi="Times New Roman" w:cs="Times New Roman"/>
          <w:color w:val="000000" w:themeColor="text1"/>
          <w:sz w:val="24"/>
          <w:szCs w:val="24"/>
        </w:rPr>
        <w:t>VitalAire</w:t>
      </w:r>
      <w:proofErr w:type="spellEnd"/>
      <w:r w:rsidRPr="00DD1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consulting fees from AstraZeneca, Bayer, Boehringer Ingelheim, Eli Lilly, Novo Nordisk, Sanofi, Servier, and </w:t>
      </w:r>
      <w:proofErr w:type="spellStart"/>
      <w:r w:rsidRPr="00DD1541">
        <w:rPr>
          <w:rFonts w:ascii="Times New Roman" w:hAnsi="Times New Roman" w:cs="Times New Roman"/>
          <w:color w:val="000000" w:themeColor="text1"/>
          <w:sz w:val="24"/>
          <w:szCs w:val="24"/>
        </w:rPr>
        <w:t>Valbiotis</w:t>
      </w:r>
      <w:proofErr w:type="spellEnd"/>
      <w:r w:rsidRPr="00DD1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speaking fees from Abbott, AstraZeneca, Boehringer Ingelheim, Bayer, Dino Santé, Eli Lilly, Novartis, Novo Nordisk, Pierre Fabre, Sanofi, Servier, and </w:t>
      </w:r>
      <w:proofErr w:type="spellStart"/>
      <w:r w:rsidRPr="00DD1541">
        <w:rPr>
          <w:rFonts w:ascii="Times New Roman" w:hAnsi="Times New Roman" w:cs="Times New Roman"/>
          <w:color w:val="000000" w:themeColor="text1"/>
          <w:sz w:val="24"/>
          <w:szCs w:val="24"/>
        </w:rPr>
        <w:t>Valbiotis</w:t>
      </w:r>
      <w:proofErr w:type="spellEnd"/>
      <w:r w:rsidRPr="00DD1541">
        <w:rPr>
          <w:rFonts w:ascii="Times New Roman" w:hAnsi="Times New Roman" w:cs="Times New Roman"/>
          <w:color w:val="000000" w:themeColor="text1"/>
          <w:sz w:val="24"/>
          <w:szCs w:val="24"/>
        </w:rPr>
        <w:t>; and meeting invitations from AstraZeneca, Abbott, Dino Santé, Eli Lilly, and Novo Nordisk.</w:t>
      </w:r>
    </w:p>
    <w:p w14:paraId="044A9A6F" w14:textId="77777777" w:rsidR="006817DB" w:rsidRPr="006817DB" w:rsidRDefault="006817DB" w:rsidP="00267ED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6CEC1BF" w14:textId="77777777" w:rsidR="00E0722C" w:rsidRPr="00E177E0" w:rsidRDefault="00E0722C" w:rsidP="003630B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E177E0">
        <w:rPr>
          <w:rFonts w:ascii="Times New Roman" w:hAnsi="Times New Roman" w:cs="Times New Roman"/>
          <w:b/>
          <w:sz w:val="24"/>
          <w:szCs w:val="24"/>
          <w:lang w:val="fr-BE"/>
        </w:rPr>
        <w:t>REFERENCES</w:t>
      </w:r>
    </w:p>
    <w:p w14:paraId="64EB75DB" w14:textId="77777777" w:rsidR="00E0722C" w:rsidRPr="00025E60" w:rsidRDefault="00E0722C" w:rsidP="00025E60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25E60">
        <w:rPr>
          <w:rFonts w:ascii="Times New Roman" w:hAnsi="Times New Roman" w:cs="Times New Roman"/>
          <w:sz w:val="24"/>
          <w:szCs w:val="24"/>
          <w:lang w:val="fr-BE"/>
        </w:rPr>
        <w:t>1.</w:t>
      </w:r>
      <w:r w:rsidRPr="00025E60">
        <w:rPr>
          <w:rFonts w:ascii="Times New Roman" w:hAnsi="Times New Roman" w:cs="Times New Roman"/>
          <w:sz w:val="24"/>
          <w:szCs w:val="24"/>
          <w:lang w:val="fr-BE"/>
        </w:rPr>
        <w:tab/>
        <w:t>Cheng C, Huang C, Yang Y, Kornelius E</w:t>
      </w:r>
      <w:r w:rsidRPr="00025E60">
        <w:rPr>
          <w:rFonts w:ascii="Times New Roman" w:hAnsi="Times New Roman" w:cs="Times New Roman"/>
          <w:b/>
          <w:sz w:val="24"/>
          <w:szCs w:val="24"/>
          <w:lang w:val="fr-BE"/>
        </w:rPr>
        <w:t xml:space="preserve">. </w:t>
      </w:r>
      <w:r w:rsidRPr="00025E60">
        <w:rPr>
          <w:rFonts w:ascii="Times New Roman" w:hAnsi="Times New Roman" w:cs="Times New Roman"/>
          <w:sz w:val="24"/>
          <w:szCs w:val="24"/>
          <w:lang w:val="fr-BE"/>
        </w:rPr>
        <w:t xml:space="preserve">Comment on Christiaens et al. </w:t>
      </w:r>
      <w:r w:rsidRPr="00025E60">
        <w:rPr>
          <w:rFonts w:ascii="Times New Roman" w:hAnsi="Times New Roman" w:cs="Times New Roman"/>
          <w:sz w:val="24"/>
          <w:szCs w:val="24"/>
        </w:rPr>
        <w:t>Diabetes overtreatment and hypoglycemia in older patients with type 2 diabetes on insulin therapy: insights from the HYPOAGE cohort study. Diabetes Care 2025;48:61–66. Diabetes Care. 2025.</w:t>
      </w:r>
    </w:p>
    <w:p w14:paraId="3815389D" w14:textId="77777777" w:rsidR="00E0722C" w:rsidRPr="00025E60" w:rsidRDefault="00E0722C" w:rsidP="00025E60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25E60">
        <w:rPr>
          <w:rFonts w:ascii="Times New Roman" w:hAnsi="Times New Roman" w:cs="Times New Roman"/>
          <w:sz w:val="24"/>
          <w:szCs w:val="24"/>
        </w:rPr>
        <w:t>2.</w:t>
      </w:r>
      <w:r w:rsidRPr="00025E60">
        <w:rPr>
          <w:rFonts w:ascii="Times New Roman" w:hAnsi="Times New Roman" w:cs="Times New Roman"/>
          <w:sz w:val="24"/>
          <w:szCs w:val="24"/>
        </w:rPr>
        <w:tab/>
        <w:t>Christiaens A, Boureau AS, Guyomarch B, de Decker L, Boland B, Hadjadj S, et al.</w:t>
      </w:r>
      <w:r w:rsidRPr="00025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5E60">
        <w:rPr>
          <w:rFonts w:ascii="Times New Roman" w:hAnsi="Times New Roman" w:cs="Times New Roman"/>
          <w:sz w:val="24"/>
          <w:szCs w:val="24"/>
        </w:rPr>
        <w:t>Diabetes Overtreatment and Hypoglycemia in Older Patients With Type 2 Diabetes on Insulin Therapy: Insights From the HYPOAGE Cohort Study. Diabetes Care. 2025;48(1):61-6.</w:t>
      </w:r>
    </w:p>
    <w:p w14:paraId="2129A1A6" w14:textId="77777777" w:rsidR="00E0722C" w:rsidRPr="00025E60" w:rsidRDefault="00E0722C" w:rsidP="00025E60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25E60">
        <w:rPr>
          <w:rFonts w:ascii="Times New Roman" w:hAnsi="Times New Roman" w:cs="Times New Roman"/>
          <w:sz w:val="24"/>
          <w:szCs w:val="24"/>
        </w:rPr>
        <w:t>3.</w:t>
      </w:r>
      <w:r w:rsidRPr="00025E60">
        <w:rPr>
          <w:rFonts w:ascii="Times New Roman" w:hAnsi="Times New Roman" w:cs="Times New Roman"/>
          <w:sz w:val="24"/>
          <w:szCs w:val="24"/>
        </w:rPr>
        <w:tab/>
        <w:t>Boureau AS, Guyomarch B, Gourdy P, Allix I, Annweiler C, Cervantes N, et al.</w:t>
      </w:r>
      <w:r w:rsidRPr="00025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5E60">
        <w:rPr>
          <w:rFonts w:ascii="Times New Roman" w:hAnsi="Times New Roman" w:cs="Times New Roman"/>
          <w:sz w:val="24"/>
          <w:szCs w:val="24"/>
        </w:rPr>
        <w:t>Nocturnal hypoglycemia is underdiagnosed in older people with insulin-treated type 2 diabetes: The HYPOAGE observational study. J Am Geriatr Soc. 2023.</w:t>
      </w:r>
    </w:p>
    <w:p w14:paraId="552B2323" w14:textId="77777777" w:rsidR="00E0722C" w:rsidRPr="00025E60" w:rsidRDefault="00E0722C" w:rsidP="00025E60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25E60">
        <w:rPr>
          <w:rFonts w:ascii="Times New Roman" w:hAnsi="Times New Roman" w:cs="Times New Roman"/>
          <w:sz w:val="24"/>
          <w:szCs w:val="24"/>
        </w:rPr>
        <w:t>4.</w:t>
      </w:r>
      <w:r w:rsidRPr="00025E60">
        <w:rPr>
          <w:rFonts w:ascii="Times New Roman" w:hAnsi="Times New Roman" w:cs="Times New Roman"/>
          <w:sz w:val="24"/>
          <w:szCs w:val="24"/>
        </w:rPr>
        <w:tab/>
        <w:t>American Diabetes Association Professional Practice C</w:t>
      </w:r>
      <w:r w:rsidRPr="00025E6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25E60">
        <w:rPr>
          <w:rFonts w:ascii="Times New Roman" w:hAnsi="Times New Roman" w:cs="Times New Roman"/>
          <w:sz w:val="24"/>
          <w:szCs w:val="24"/>
        </w:rPr>
        <w:t>13. Older Adults: Standards of Care in Diabetes-2025. Diabetes Care. 2025;48(Supplement_1):S266-S82.</w:t>
      </w:r>
    </w:p>
    <w:p w14:paraId="72EFDAA4" w14:textId="77777777" w:rsidR="00E0722C" w:rsidRPr="00025E60" w:rsidRDefault="00E0722C" w:rsidP="00025E60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25E60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025E60">
        <w:rPr>
          <w:rFonts w:ascii="Times New Roman" w:hAnsi="Times New Roman" w:cs="Times New Roman"/>
          <w:sz w:val="24"/>
          <w:szCs w:val="24"/>
        </w:rPr>
        <w:tab/>
        <w:t>Toschi E, O'Neal D, Munshi M, Jenkins A</w:t>
      </w:r>
      <w:r w:rsidRPr="00025E6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25E60">
        <w:rPr>
          <w:rFonts w:ascii="Times New Roman" w:hAnsi="Times New Roman" w:cs="Times New Roman"/>
          <w:sz w:val="24"/>
          <w:szCs w:val="24"/>
        </w:rPr>
        <w:t>Glucose Targets Using Continuous Glucose Monitoring Metrics in Older Adults With Diabetes: Are We There Yet? J Diabetes Sci Technol. 2024;18(4):808-18.</w:t>
      </w:r>
    </w:p>
    <w:p w14:paraId="76A3B91D" w14:textId="77777777" w:rsidR="00E0722C" w:rsidRPr="00237330" w:rsidRDefault="00E0722C" w:rsidP="00237330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5FB3391" w14:textId="0454961B" w:rsidR="00D6665D" w:rsidRPr="00025E60" w:rsidRDefault="00D6665D" w:rsidP="00025E60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6665D" w:rsidRPr="00025E60" w:rsidSect="00E07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E3561"/>
    <w:multiLevelType w:val="hybridMultilevel"/>
    <w:tmpl w:val="6392399A"/>
    <w:lvl w:ilvl="0" w:tplc="31D874F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B7A7B"/>
    <w:multiLevelType w:val="hybridMultilevel"/>
    <w:tmpl w:val="23BAD7AC"/>
    <w:lvl w:ilvl="0" w:tplc="4B58F7E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993292">
    <w:abstractNumId w:val="0"/>
  </w:num>
  <w:num w:numId="2" w16cid:durableId="157689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0722C"/>
    <w:rsid w:val="00025E60"/>
    <w:rsid w:val="000A0963"/>
    <w:rsid w:val="00260591"/>
    <w:rsid w:val="003629A5"/>
    <w:rsid w:val="004428D9"/>
    <w:rsid w:val="0057576D"/>
    <w:rsid w:val="0066783C"/>
    <w:rsid w:val="006817DB"/>
    <w:rsid w:val="00847DFC"/>
    <w:rsid w:val="00924A86"/>
    <w:rsid w:val="009E4606"/>
    <w:rsid w:val="00A91DAF"/>
    <w:rsid w:val="00C81EA5"/>
    <w:rsid w:val="00D6356D"/>
    <w:rsid w:val="00D6665D"/>
    <w:rsid w:val="00E0722C"/>
    <w:rsid w:val="00E25192"/>
    <w:rsid w:val="00F7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0C15"/>
  <w15:chartTrackingRefBased/>
  <w15:docId w15:val="{5EDBD3AD-60EB-4025-8D83-4025627F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22C"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E07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07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07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07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07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07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07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07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07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0722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re2Car">
    <w:name w:val="Titre 2 Car"/>
    <w:basedOn w:val="Policepardfaut"/>
    <w:link w:val="Titre2"/>
    <w:uiPriority w:val="9"/>
    <w:semiHidden/>
    <w:rsid w:val="00E0722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re3Car">
    <w:name w:val="Titre 3 Car"/>
    <w:basedOn w:val="Policepardfaut"/>
    <w:link w:val="Titre3"/>
    <w:uiPriority w:val="9"/>
    <w:semiHidden/>
    <w:rsid w:val="00E0722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re4Car">
    <w:name w:val="Titre 4 Car"/>
    <w:basedOn w:val="Policepardfaut"/>
    <w:link w:val="Titre4"/>
    <w:uiPriority w:val="9"/>
    <w:semiHidden/>
    <w:rsid w:val="00E0722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re5Car">
    <w:name w:val="Titre 5 Car"/>
    <w:basedOn w:val="Policepardfaut"/>
    <w:link w:val="Titre5"/>
    <w:uiPriority w:val="9"/>
    <w:semiHidden/>
    <w:rsid w:val="00E0722C"/>
    <w:rPr>
      <w:rFonts w:eastAsiaTheme="majorEastAsia" w:cstheme="majorBidi"/>
      <w:color w:val="0F4761" w:themeColor="accent1" w:themeShade="BF"/>
      <w:lang w:val="en-GB"/>
    </w:rPr>
  </w:style>
  <w:style w:type="character" w:customStyle="1" w:styleId="Titre6Car">
    <w:name w:val="Titre 6 Car"/>
    <w:basedOn w:val="Policepardfaut"/>
    <w:link w:val="Titre6"/>
    <w:uiPriority w:val="9"/>
    <w:semiHidden/>
    <w:rsid w:val="00E0722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re7Car">
    <w:name w:val="Titre 7 Car"/>
    <w:basedOn w:val="Policepardfaut"/>
    <w:link w:val="Titre7"/>
    <w:uiPriority w:val="9"/>
    <w:semiHidden/>
    <w:rsid w:val="00E0722C"/>
    <w:rPr>
      <w:rFonts w:eastAsiaTheme="majorEastAsia" w:cstheme="majorBidi"/>
      <w:color w:val="595959" w:themeColor="text1" w:themeTint="A6"/>
      <w:lang w:val="en-GB"/>
    </w:rPr>
  </w:style>
  <w:style w:type="character" w:customStyle="1" w:styleId="Titre8Car">
    <w:name w:val="Titre 8 Car"/>
    <w:basedOn w:val="Policepardfaut"/>
    <w:link w:val="Titre8"/>
    <w:uiPriority w:val="9"/>
    <w:semiHidden/>
    <w:rsid w:val="00E0722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re9Car">
    <w:name w:val="Titre 9 Car"/>
    <w:basedOn w:val="Policepardfaut"/>
    <w:link w:val="Titre9"/>
    <w:uiPriority w:val="9"/>
    <w:semiHidden/>
    <w:rsid w:val="00E0722C"/>
    <w:rPr>
      <w:rFonts w:eastAsiaTheme="majorEastAsia" w:cstheme="majorBidi"/>
      <w:color w:val="272727" w:themeColor="text1" w:themeTint="D8"/>
      <w:lang w:val="en-GB"/>
    </w:rPr>
  </w:style>
  <w:style w:type="paragraph" w:styleId="Titre">
    <w:name w:val="Title"/>
    <w:basedOn w:val="Normal"/>
    <w:next w:val="Normal"/>
    <w:link w:val="TitreCar"/>
    <w:uiPriority w:val="10"/>
    <w:qFormat/>
    <w:rsid w:val="00E07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0722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07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0722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ion">
    <w:name w:val="Quote"/>
    <w:basedOn w:val="Normal"/>
    <w:next w:val="Normal"/>
    <w:link w:val="CitationCar"/>
    <w:uiPriority w:val="29"/>
    <w:qFormat/>
    <w:rsid w:val="00E07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0722C"/>
    <w:rPr>
      <w:i/>
      <w:iCs/>
      <w:color w:val="404040" w:themeColor="text1" w:themeTint="BF"/>
      <w:lang w:val="en-GB"/>
    </w:rPr>
  </w:style>
  <w:style w:type="paragraph" w:styleId="Paragraphedeliste">
    <w:name w:val="List Paragraph"/>
    <w:basedOn w:val="Normal"/>
    <w:uiPriority w:val="34"/>
    <w:qFormat/>
    <w:rsid w:val="00E0722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0722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07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0722C"/>
    <w:rPr>
      <w:i/>
      <w:iCs/>
      <w:color w:val="0F4761" w:themeColor="accent1" w:themeShade="BF"/>
      <w:lang w:val="en-GB"/>
    </w:rPr>
  </w:style>
  <w:style w:type="character" w:styleId="Rfrenceintense">
    <w:name w:val="Intense Reference"/>
    <w:basedOn w:val="Policepardfaut"/>
    <w:uiPriority w:val="32"/>
    <w:qFormat/>
    <w:rsid w:val="00E0722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07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722C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E07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722C"/>
    <w:rPr>
      <w:lang w:val="en-GB"/>
    </w:rPr>
  </w:style>
  <w:style w:type="character" w:styleId="Lienhypertexte">
    <w:name w:val="Hyperlink"/>
    <w:basedOn w:val="Policepardfaut"/>
    <w:uiPriority w:val="99"/>
    <w:unhideWhenUsed/>
    <w:rsid w:val="00E0722C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072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0722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0722C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72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722C"/>
    <w:rPr>
      <w:b/>
      <w:bCs/>
      <w:sz w:val="20"/>
      <w:szCs w:val="20"/>
      <w:lang w:val="en-GB"/>
    </w:rPr>
  </w:style>
  <w:style w:type="paragraph" w:customStyle="1" w:styleId="para">
    <w:name w:val="para"/>
    <w:basedOn w:val="Normal"/>
    <w:rsid w:val="00E07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table" w:styleId="Grilledutableau">
    <w:name w:val="Table Grid"/>
    <w:basedOn w:val="TableauNormal"/>
    <w:uiPriority w:val="39"/>
    <w:rsid w:val="00E07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0722C"/>
    <w:rPr>
      <w:rFonts w:ascii="Times New Roman" w:hAnsi="Times New Roman" w:cs="Times New Roman"/>
      <w:sz w:val="24"/>
      <w:szCs w:val="24"/>
    </w:rPr>
  </w:style>
  <w:style w:type="paragraph" w:styleId="Rvision">
    <w:name w:val="Revision"/>
    <w:hidden/>
    <w:uiPriority w:val="99"/>
    <w:semiHidden/>
    <w:rsid w:val="00E0722C"/>
    <w:pPr>
      <w:spacing w:after="0" w:line="240" w:lineRule="auto"/>
    </w:pPr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ar"/>
    <w:rsid w:val="00E0722C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E0722C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E0722C"/>
    <w:pPr>
      <w:spacing w:line="240" w:lineRule="auto"/>
      <w:jc w:val="both"/>
    </w:pPr>
    <w:rPr>
      <w:rFonts w:ascii="Aptos" w:hAnsi="Aptos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E0722C"/>
    <w:rPr>
      <w:rFonts w:ascii="Aptos" w:hAnsi="Aptos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toine.christiaens@uclouvain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1056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UCLouvain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Christiaens</dc:creator>
  <cp:keywords/>
  <dc:description/>
  <cp:lastModifiedBy>Antoine Christiaens</cp:lastModifiedBy>
  <cp:revision>4</cp:revision>
  <dcterms:created xsi:type="dcterms:W3CDTF">2025-02-19T15:15:00Z</dcterms:created>
  <dcterms:modified xsi:type="dcterms:W3CDTF">2025-02-20T18:59:00Z</dcterms:modified>
</cp:coreProperties>
</file>