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5650B" w14:textId="77777777" w:rsidR="00EB1C88" w:rsidRDefault="00EB1C88"/>
    <w:p w14:paraId="286BD7F7" w14:textId="4B47C5A0" w:rsidR="000553ED" w:rsidRDefault="00EB1C88" w:rsidP="00C76CB1">
      <w:pPr>
        <w:pStyle w:val="Heading1"/>
      </w:pPr>
      <w:r>
        <w:t>Introduction</w:t>
      </w:r>
    </w:p>
    <w:p w14:paraId="3C4A3030" w14:textId="77777777" w:rsidR="0020282A" w:rsidRDefault="0020282A" w:rsidP="00EB1C88">
      <w:pPr>
        <w:jc w:val="both"/>
      </w:pPr>
    </w:p>
    <w:p w14:paraId="5B44EE30" w14:textId="1626E2A0" w:rsidR="00EB1C88" w:rsidRDefault="00EB1C88" w:rsidP="00EB1C88">
      <w:pPr>
        <w:jc w:val="both"/>
      </w:pPr>
      <w:r>
        <w:t xml:space="preserve">The twin judgments in </w:t>
      </w:r>
      <w:r>
        <w:rPr>
          <w:i/>
          <w:iCs/>
        </w:rPr>
        <w:t>Budget Conditionality</w:t>
      </w:r>
      <w:r w:rsidR="00D52353">
        <w:rPr>
          <w:rStyle w:val="FootnoteReference"/>
        </w:rPr>
        <w:footnoteReference w:id="1"/>
      </w:r>
      <w:r>
        <w:t xml:space="preserve"> </w:t>
      </w:r>
      <w:r w:rsidR="00432F01">
        <w:t xml:space="preserve">link </w:t>
      </w:r>
      <w:r>
        <w:t>the EU budget with solidarity, mutual trust and effective implementation of EU law</w:t>
      </w:r>
      <w:r w:rsidR="00D52353">
        <w:t xml:space="preserve"> to validate the Conditionality </w:t>
      </w:r>
      <w:r w:rsidR="008779B0">
        <w:t>R</w:t>
      </w:r>
      <w:r w:rsidR="00D52353">
        <w:t>egulation,</w:t>
      </w:r>
      <w:r w:rsidR="008779B0">
        <w:rPr>
          <w:rStyle w:val="FootnoteReference"/>
        </w:rPr>
        <w:footnoteReference w:id="2"/>
      </w:r>
      <w:r w:rsidR="00D52353">
        <w:t xml:space="preserve"> one of the key components of the financial package put together to address the consequences of the Covid-19 pandemic in Europe</w:t>
      </w:r>
      <w:r>
        <w:t>. By doing s</w:t>
      </w:r>
      <w:r w:rsidR="00A55FB6">
        <w:t>o</w:t>
      </w:r>
      <w:r>
        <w:t>, these judgments</w:t>
      </w:r>
      <w:r w:rsidR="00506319">
        <w:t xml:space="preserve"> mark a new stage in the</w:t>
      </w:r>
      <w:r w:rsidR="0084573E">
        <w:t xml:space="preserve"> evolution of the principle</w:t>
      </w:r>
      <w:r w:rsidR="009260EC">
        <w:t>s</w:t>
      </w:r>
      <w:r w:rsidR="0084573E">
        <w:t xml:space="preserve"> acting as</w:t>
      </w:r>
      <w:r w:rsidR="00506319">
        <w:t xml:space="preserve"> cornerstones of the </w:t>
      </w:r>
      <w:r w:rsidR="00506319" w:rsidRPr="0054172A">
        <w:t>European Union</w:t>
      </w:r>
      <w:r w:rsidR="00D52353" w:rsidRPr="0054172A">
        <w:t xml:space="preserve"> and its integration</w:t>
      </w:r>
      <w:r w:rsidR="00506319" w:rsidRPr="0054172A">
        <w:t>: after the</w:t>
      </w:r>
      <w:r w:rsidR="00C90C5F" w:rsidRPr="0054172A">
        <w:t xml:space="preserve"> freedom of movement in the internal market</w:t>
      </w:r>
      <w:r w:rsidR="00506319" w:rsidRPr="0054172A">
        <w:t>, democracy</w:t>
      </w:r>
      <w:r w:rsidR="00A55FB6" w:rsidRPr="0054172A">
        <w:t xml:space="preserve"> and</w:t>
      </w:r>
      <w:r w:rsidR="00506319" w:rsidRPr="0054172A">
        <w:t xml:space="preserve"> the rule of law, comes solidarity between Member States. This new foundational stage may</w:t>
      </w:r>
      <w:r w:rsidR="00506319">
        <w:t xml:space="preserve"> be as significant as </w:t>
      </w:r>
      <w:r w:rsidR="00506319" w:rsidRPr="0084573E">
        <w:rPr>
          <w:i/>
          <w:iCs/>
        </w:rPr>
        <w:t>Van Gend and Loos</w:t>
      </w:r>
      <w:r w:rsidR="00387154">
        <w:rPr>
          <w:i/>
          <w:iCs/>
        </w:rPr>
        <w:t>,</w:t>
      </w:r>
      <w:r w:rsidR="00CE6D49" w:rsidRPr="0084573E">
        <w:rPr>
          <w:rStyle w:val="FootnoteReference"/>
        </w:rPr>
        <w:footnoteReference w:id="3"/>
      </w:r>
      <w:r w:rsidR="00387154">
        <w:rPr>
          <w:i/>
          <w:iCs/>
        </w:rPr>
        <w:t xml:space="preserve"> Costa v Enel,</w:t>
      </w:r>
      <w:r w:rsidR="00387154">
        <w:rPr>
          <w:rStyle w:val="FootnoteReference"/>
          <w:i/>
          <w:iCs/>
        </w:rPr>
        <w:footnoteReference w:id="4"/>
      </w:r>
      <w:r w:rsidR="00506319" w:rsidRPr="0084573E">
        <w:t xml:space="preserve"> or </w:t>
      </w:r>
      <w:r w:rsidR="00506319" w:rsidRPr="006D3174">
        <w:rPr>
          <w:i/>
          <w:iCs/>
        </w:rPr>
        <w:t>Cassis de Dijon</w:t>
      </w:r>
      <w:r w:rsidR="00CE6D49" w:rsidRPr="006D3174">
        <w:rPr>
          <w:rStyle w:val="FootnoteReference"/>
        </w:rPr>
        <w:footnoteReference w:id="5"/>
      </w:r>
      <w:r w:rsidR="00506319">
        <w:t xml:space="preserve"> </w:t>
      </w:r>
      <w:r w:rsidR="00A55FB6">
        <w:t xml:space="preserve">have been </w:t>
      </w:r>
      <w:r w:rsidR="00506319">
        <w:t>in the project of making the EU a community of Member States thanks to integration through law.</w:t>
      </w:r>
      <w:r w:rsidR="00B9500C">
        <w:rPr>
          <w:rStyle w:val="FootnoteReference"/>
        </w:rPr>
        <w:footnoteReference w:id="6"/>
      </w:r>
      <w:r w:rsidR="00506319">
        <w:t xml:space="preserve"> </w:t>
      </w:r>
      <w:r w:rsidR="00DC31BE">
        <w:t>H</w:t>
      </w:r>
      <w:r w:rsidR="00506319">
        <w:t>owever, the EU has learned some lessons over time and knows now that besides the law, the financial means to implement policies are as relevant as the legal obligation to do so. This article argues that solidarity does not come out of the blue</w:t>
      </w:r>
      <w:r w:rsidR="00A55FB6">
        <w:t xml:space="preserve"> as a foundational principle</w:t>
      </w:r>
      <w:r w:rsidR="00506319">
        <w:t xml:space="preserve">. It is not only one of the values included </w:t>
      </w:r>
      <w:r w:rsidR="00506319" w:rsidRPr="00F57802">
        <w:t>in article 2 of the Treaty on European Union</w:t>
      </w:r>
      <w:r w:rsidR="009260EC">
        <w:t xml:space="preserve"> or </w:t>
      </w:r>
      <w:r w:rsidR="00506319">
        <w:t>a lofty component of a constitutional imaginary,</w:t>
      </w:r>
      <w:r w:rsidR="00506319">
        <w:rPr>
          <w:rStyle w:val="FootnoteReference"/>
        </w:rPr>
        <w:footnoteReference w:id="7"/>
      </w:r>
      <w:r w:rsidR="00506319">
        <w:t xml:space="preserve"> it can also be interpreted and used as a technical antidote, strategic argument and convincing narrative against moral hazard</w:t>
      </w:r>
      <w:r w:rsidR="00A55FB6">
        <w:t xml:space="preserve">, as the </w:t>
      </w:r>
      <w:r w:rsidR="00C90C5F" w:rsidRPr="006D3174">
        <w:t xml:space="preserve">Court of </w:t>
      </w:r>
      <w:r w:rsidR="00397452">
        <w:t>j</w:t>
      </w:r>
      <w:r w:rsidR="00C90C5F" w:rsidRPr="006D3174">
        <w:t xml:space="preserve">ustice of the European Union (CJEU) </w:t>
      </w:r>
      <w:r w:rsidR="00A55FB6">
        <w:t xml:space="preserve">skilfully shifts its language </w:t>
      </w:r>
      <w:r w:rsidR="006B79BF">
        <w:t xml:space="preserve">to rely more explicitly on economic vocabulary. This allows for </w:t>
      </w:r>
      <w:r w:rsidR="00A55FB6">
        <w:t xml:space="preserve">solidarity </w:t>
      </w:r>
      <w:r w:rsidR="00EB0867">
        <w:t xml:space="preserve">to </w:t>
      </w:r>
      <w:r w:rsidR="006B79BF">
        <w:t xml:space="preserve">percolate into the minute details of the EU financial architecture </w:t>
      </w:r>
      <w:r w:rsidR="00A55FB6">
        <w:t>in its operationalisation.</w:t>
      </w:r>
    </w:p>
    <w:p w14:paraId="0FA89297" w14:textId="77777777" w:rsidR="002B1C83" w:rsidRDefault="002B1C83" w:rsidP="00EB1C88">
      <w:pPr>
        <w:jc w:val="both"/>
      </w:pPr>
    </w:p>
    <w:p w14:paraId="2CD2B3DD" w14:textId="1A7BEB2F" w:rsidR="00506319" w:rsidRDefault="00D52353" w:rsidP="00341B28">
      <w:pPr>
        <w:jc w:val="both"/>
      </w:pPr>
      <w:r>
        <w:t>In economic theory, m</w:t>
      </w:r>
      <w:r w:rsidR="00341B28">
        <w:t>oral hazard</w:t>
      </w:r>
      <w:r w:rsidR="00341B28">
        <w:rPr>
          <w:rStyle w:val="FootnoteReference"/>
        </w:rPr>
        <w:footnoteReference w:id="8"/>
      </w:r>
      <w:r w:rsidR="00341B28">
        <w:t xml:space="preserve"> suggests the idea of opportunistic behaviour by which one person take</w:t>
      </w:r>
      <w:r w:rsidR="009260EC">
        <w:t>s</w:t>
      </w:r>
      <w:r w:rsidR="00341B28">
        <w:t xml:space="preserve"> advantage of a collective good, such as</w:t>
      </w:r>
      <w:r w:rsidR="00C90C5F">
        <w:t xml:space="preserve"> in</w:t>
      </w:r>
      <w:r w:rsidR="00341B28">
        <w:t xml:space="preserve"> insurance</w:t>
      </w:r>
      <w:r w:rsidR="00C90C5F">
        <w:t xml:space="preserve"> where moral hazard was first theorised</w:t>
      </w:r>
      <w:r w:rsidR="00341B28">
        <w:t xml:space="preserve">. </w:t>
      </w:r>
      <w:r w:rsidR="008779B0">
        <w:t xml:space="preserve">It has been used as a political argument for shaping the economic and monetary union. </w:t>
      </w:r>
      <w:r w:rsidR="00341B28">
        <w:t>Solidarity is</w:t>
      </w:r>
      <w:r w:rsidR="00A55FB6">
        <w:t>, by contrast,</w:t>
      </w:r>
      <w:r w:rsidR="002B1C83">
        <w:t xml:space="preserve"> a</w:t>
      </w:r>
      <w:r w:rsidR="00341B28">
        <w:t>n overly discussed</w:t>
      </w:r>
      <w:r w:rsidR="002B1C83">
        <w:t xml:space="preserve"> moral,</w:t>
      </w:r>
      <w:r w:rsidR="002B1C83">
        <w:rPr>
          <w:rStyle w:val="FootnoteReference"/>
        </w:rPr>
        <w:footnoteReference w:id="9"/>
      </w:r>
      <w:r w:rsidR="002B1C83">
        <w:t xml:space="preserve"> political philosophical</w:t>
      </w:r>
      <w:r w:rsidR="002B1C83">
        <w:rPr>
          <w:rStyle w:val="FootnoteReference"/>
        </w:rPr>
        <w:footnoteReference w:id="10"/>
      </w:r>
      <w:r w:rsidR="002B1C83">
        <w:t xml:space="preserve"> and legal</w:t>
      </w:r>
      <w:r w:rsidR="002B1C83">
        <w:rPr>
          <w:rStyle w:val="FootnoteReference"/>
        </w:rPr>
        <w:footnoteReference w:id="11"/>
      </w:r>
      <w:r w:rsidR="002B1C83">
        <w:t xml:space="preserve"> concept</w:t>
      </w:r>
      <w:r w:rsidR="00341B28">
        <w:t xml:space="preserve"> with no clear delineation. It</w:t>
      </w:r>
      <w:r w:rsidR="002B1C83">
        <w:t xml:space="preserve"> </w:t>
      </w:r>
      <w:r w:rsidR="00A55FB6">
        <w:t>indicate</w:t>
      </w:r>
      <w:r w:rsidR="002B1C83">
        <w:t xml:space="preserve">s an idea of togetherness </w:t>
      </w:r>
      <w:r w:rsidR="009260EC">
        <w:t>to</w:t>
      </w:r>
      <w:r w:rsidR="002B1C83">
        <w:t xml:space="preserve"> face a challenge or to achieve the realisation of a cause</w:t>
      </w:r>
      <w:r w:rsidR="00A55FB6">
        <w:t xml:space="preserve">, often by </w:t>
      </w:r>
      <w:r w:rsidR="00EB0867">
        <w:t>opposing</w:t>
      </w:r>
      <w:r w:rsidR="00A55FB6">
        <w:t xml:space="preserve"> an enemy</w:t>
      </w:r>
      <w:r w:rsidR="002B1C83">
        <w:t xml:space="preserve">. </w:t>
      </w:r>
      <w:r w:rsidR="00A55FB6">
        <w:t>Solidarity</w:t>
      </w:r>
      <w:r w:rsidR="00341B28">
        <w:t xml:space="preserve"> has been said to be an ‘</w:t>
      </w:r>
      <w:r w:rsidR="00705E9E">
        <w:t>empty signifier</w:t>
      </w:r>
      <w:r w:rsidR="00341B28">
        <w:t xml:space="preserve">’ </w:t>
      </w:r>
      <w:r w:rsidR="00341B28" w:rsidRPr="006D3174">
        <w:t xml:space="preserve">because it is </w:t>
      </w:r>
      <w:r w:rsidR="00705E9E" w:rsidRPr="006D3174">
        <w:t>“</w:t>
      </w:r>
      <w:r w:rsidR="00705E9E" w:rsidRPr="006D3174">
        <w:rPr>
          <w:i/>
          <w:iCs/>
        </w:rPr>
        <w:t xml:space="preserve">lacking in a common practice that allows for a joint </w:t>
      </w:r>
      <w:r w:rsidR="00705E9E" w:rsidRPr="006D3174">
        <w:rPr>
          <w:i/>
          <w:iCs/>
        </w:rPr>
        <w:lastRenderedPageBreak/>
        <w:t>interpretation of</w:t>
      </w:r>
      <w:r w:rsidR="00F636C8" w:rsidRPr="006D3174">
        <w:rPr>
          <w:i/>
          <w:iCs/>
        </w:rPr>
        <w:t xml:space="preserve"> </w:t>
      </w:r>
      <w:r w:rsidR="00705E9E" w:rsidRPr="006D3174">
        <w:rPr>
          <w:i/>
          <w:iCs/>
        </w:rPr>
        <w:t xml:space="preserve">the concept. It is a signifier that leaves such questions as </w:t>
      </w:r>
      <w:r w:rsidR="003574E9">
        <w:rPr>
          <w:i/>
          <w:iCs/>
        </w:rPr>
        <w:t>‘</w:t>
      </w:r>
      <w:r w:rsidR="00705E9E" w:rsidRPr="006D3174">
        <w:rPr>
          <w:i/>
          <w:iCs/>
        </w:rPr>
        <w:t>what to do</w:t>
      </w:r>
      <w:r w:rsidR="003574E9">
        <w:rPr>
          <w:i/>
          <w:iCs/>
        </w:rPr>
        <w:t>’</w:t>
      </w:r>
      <w:r w:rsidR="00705E9E" w:rsidRPr="006D3174">
        <w:rPr>
          <w:i/>
          <w:iCs/>
        </w:rPr>
        <w:t xml:space="preserve">, </w:t>
      </w:r>
      <w:r w:rsidR="003574E9">
        <w:rPr>
          <w:i/>
          <w:iCs/>
        </w:rPr>
        <w:t>‘</w:t>
      </w:r>
      <w:r w:rsidR="00705E9E" w:rsidRPr="006D3174">
        <w:rPr>
          <w:i/>
          <w:iCs/>
        </w:rPr>
        <w:t>how to do</w:t>
      </w:r>
      <w:r w:rsidR="00F636C8" w:rsidRPr="006D3174">
        <w:rPr>
          <w:i/>
          <w:iCs/>
        </w:rPr>
        <w:t xml:space="preserve">  </w:t>
      </w:r>
      <w:r w:rsidR="00705E9E" w:rsidRPr="006D3174">
        <w:rPr>
          <w:i/>
          <w:iCs/>
        </w:rPr>
        <w:t>it</w:t>
      </w:r>
      <w:r w:rsidR="003574E9">
        <w:rPr>
          <w:i/>
          <w:iCs/>
        </w:rPr>
        <w:t>’</w:t>
      </w:r>
      <w:r w:rsidR="00705E9E" w:rsidRPr="006D3174">
        <w:rPr>
          <w:i/>
          <w:iCs/>
        </w:rPr>
        <w:t xml:space="preserve"> and </w:t>
      </w:r>
      <w:r w:rsidR="003574E9">
        <w:rPr>
          <w:i/>
          <w:iCs/>
        </w:rPr>
        <w:t>‘</w:t>
      </w:r>
      <w:r w:rsidR="00705E9E" w:rsidRPr="006D3174">
        <w:rPr>
          <w:i/>
          <w:iCs/>
        </w:rPr>
        <w:t>when to do it</w:t>
      </w:r>
      <w:r w:rsidR="003574E9">
        <w:rPr>
          <w:i/>
          <w:iCs/>
        </w:rPr>
        <w:t>’</w:t>
      </w:r>
      <w:r w:rsidR="00705E9E" w:rsidRPr="006D3174">
        <w:rPr>
          <w:i/>
          <w:iCs/>
        </w:rPr>
        <w:t xml:space="preserve"> essentially open, because its concrete meaning is not</w:t>
      </w:r>
      <w:r w:rsidR="00341B28" w:rsidRPr="006D3174">
        <w:rPr>
          <w:i/>
          <w:iCs/>
        </w:rPr>
        <w:t xml:space="preserve"> </w:t>
      </w:r>
      <w:r w:rsidR="00705E9E" w:rsidRPr="006D3174">
        <w:rPr>
          <w:i/>
          <w:iCs/>
        </w:rPr>
        <w:t>sufficiently clear to lead to joint answers based on a common conceptual understanding</w:t>
      </w:r>
      <w:r w:rsidR="003574E9" w:rsidRPr="006D3174">
        <w:rPr>
          <w:i/>
          <w:iCs/>
        </w:rPr>
        <w:t>”</w:t>
      </w:r>
      <w:r w:rsidR="00705E9E" w:rsidRPr="006D3174">
        <w:rPr>
          <w:i/>
          <w:iCs/>
        </w:rPr>
        <w:t>.</w:t>
      </w:r>
      <w:r w:rsidR="00705E9E" w:rsidRPr="006D3174">
        <w:rPr>
          <w:rStyle w:val="FootnoteReference"/>
        </w:rPr>
        <w:footnoteReference w:id="12"/>
      </w:r>
      <w:r w:rsidR="00341B28" w:rsidRPr="006D3174">
        <w:t xml:space="preserve"> This paper argues that the CJEU is very much trying to flesh</w:t>
      </w:r>
      <w:r w:rsidR="00EB0867">
        <w:t xml:space="preserve"> out</w:t>
      </w:r>
      <w:r w:rsidR="00341B28" w:rsidRPr="006D3174">
        <w:t xml:space="preserve"> this ‘empty signifier’</w:t>
      </w:r>
      <w:r w:rsidR="006D3174">
        <w:t xml:space="preserve"> by linking it to concrete practical implications in the realm of EU public finances,</w:t>
      </w:r>
      <w:r w:rsidR="00341B28" w:rsidRPr="006D3174">
        <w:t xml:space="preserve"> and </w:t>
      </w:r>
      <w:r w:rsidR="006D3174">
        <w:t xml:space="preserve">hence </w:t>
      </w:r>
      <w:r w:rsidR="00341B28" w:rsidRPr="006D3174">
        <w:t xml:space="preserve">that the </w:t>
      </w:r>
      <w:r w:rsidR="00341B28" w:rsidRPr="006D3174">
        <w:rPr>
          <w:i/>
          <w:iCs/>
        </w:rPr>
        <w:t>Budget conditionality</w:t>
      </w:r>
      <w:r w:rsidR="00341B28" w:rsidRPr="006D3174">
        <w:t xml:space="preserve"> cases provid</w:t>
      </w:r>
      <w:r w:rsidR="009260EC">
        <w:t>e</w:t>
      </w:r>
      <w:r w:rsidR="00341B28" w:rsidRPr="006D3174">
        <w:t xml:space="preserve"> </w:t>
      </w:r>
      <w:r w:rsidR="009260EC">
        <w:t>a</w:t>
      </w:r>
      <w:r w:rsidR="00341B28" w:rsidRPr="006D3174">
        <w:t xml:space="preserve"> structure </w:t>
      </w:r>
      <w:r w:rsidR="00A55FB6">
        <w:t>for</w:t>
      </w:r>
      <w:r w:rsidR="00341B28" w:rsidRPr="006D3174">
        <w:t xml:space="preserve"> a common practice </w:t>
      </w:r>
      <w:r w:rsidR="009260EC">
        <w:t>of</w:t>
      </w:r>
      <w:r w:rsidR="00341B28" w:rsidRPr="006D3174">
        <w:t xml:space="preserve"> joint interpretation across the EU institutions and its</w:t>
      </w:r>
      <w:r w:rsidR="00341B28">
        <w:t xml:space="preserve"> Member States. </w:t>
      </w:r>
      <w:r w:rsidR="00B9500C">
        <w:t>By linking in one single paragraph, the EU budget</w:t>
      </w:r>
      <w:r w:rsidR="00A55FB6">
        <w:t>,</w:t>
      </w:r>
      <w:r w:rsidR="00B9500C">
        <w:t xml:space="preserve"> solidarity, common resources, mutual trust, effective implementation of the law, and the rule of law, the CJEU </w:t>
      </w:r>
      <w:r w:rsidR="00341B28">
        <w:t xml:space="preserve">is </w:t>
      </w:r>
      <w:r w:rsidR="009260EC">
        <w:t>making</w:t>
      </w:r>
      <w:r w:rsidR="00341B28">
        <w:t xml:space="preserve"> solidarity </w:t>
      </w:r>
      <w:r w:rsidR="009260EC">
        <w:t xml:space="preserve">the new </w:t>
      </w:r>
      <w:r w:rsidR="00C90C5F">
        <w:t>cornerstone</w:t>
      </w:r>
      <w:r w:rsidR="00A53DE0">
        <w:rPr>
          <w:rStyle w:val="FootnoteReference"/>
        </w:rPr>
        <w:footnoteReference w:id="13"/>
      </w:r>
      <w:r w:rsidR="00341B28">
        <w:t xml:space="preserve"> of the EU legal order </w:t>
      </w:r>
      <w:r w:rsidR="00C90C5F">
        <w:t xml:space="preserve">in a way </w:t>
      </w:r>
      <w:proofErr w:type="gramStart"/>
      <w:r w:rsidR="00C90C5F">
        <w:t>similar to</w:t>
      </w:r>
      <w:proofErr w:type="gramEnd"/>
      <w:r w:rsidR="00C90C5F">
        <w:t xml:space="preserve"> the role played by</w:t>
      </w:r>
      <w:r w:rsidR="00341B28">
        <w:t xml:space="preserve"> direct effect, primacy or mutual recognition once upon the time</w:t>
      </w:r>
      <w:r w:rsidR="008779B0">
        <w:t>.</w:t>
      </w:r>
      <w:r w:rsidR="00341B28">
        <w:t xml:space="preserve"> </w:t>
      </w:r>
      <w:r w:rsidR="008779B0">
        <w:t>S</w:t>
      </w:r>
      <w:r w:rsidR="00341B28">
        <w:t>imilarly to</w:t>
      </w:r>
      <w:r w:rsidR="008779B0">
        <w:t xml:space="preserve"> its reliance on</w:t>
      </w:r>
      <w:r w:rsidR="00341B28">
        <w:t xml:space="preserve"> these</w:t>
      </w:r>
      <w:r w:rsidR="008779B0">
        <w:t xml:space="preserve"> later</w:t>
      </w:r>
      <w:r w:rsidR="00341B28">
        <w:t xml:space="preserve"> </w:t>
      </w:r>
      <w:r w:rsidR="008779B0">
        <w:t>principles, the CJEU is using solidarity</w:t>
      </w:r>
      <w:r w:rsidR="00341B28">
        <w:t xml:space="preserve"> </w:t>
      </w:r>
      <w:r w:rsidR="00A55FB6">
        <w:t xml:space="preserve">to the effect of ensuring </w:t>
      </w:r>
      <w:r w:rsidR="00341B28">
        <w:t xml:space="preserve">the effective implementation of the law. </w:t>
      </w:r>
      <w:r w:rsidR="00C958B1">
        <w:t xml:space="preserve">Solidarity can be understood as </w:t>
      </w:r>
      <w:r w:rsidR="00BB575E">
        <w:t>a response to the fact that</w:t>
      </w:r>
      <w:r w:rsidR="00C958B1" w:rsidRPr="00643DDB">
        <w:rPr>
          <w:rFonts w:eastAsiaTheme="minorHAnsi"/>
          <w:color w:val="000000"/>
          <w:lang w:eastAsia="en-US"/>
          <w14:ligatures w14:val="standardContextual"/>
        </w:rPr>
        <w:t xml:space="preserve"> the common project underpinning the EU creates an interdependence between its Member States such that the capacity of one Member State to achieve the goals of the common project </w:t>
      </w:r>
      <w:proofErr w:type="gramStart"/>
      <w:r w:rsidR="00C958B1" w:rsidRPr="00643DDB">
        <w:rPr>
          <w:rFonts w:eastAsiaTheme="minorHAnsi"/>
          <w:color w:val="000000"/>
          <w:lang w:eastAsia="en-US"/>
          <w14:ligatures w14:val="standardContextual"/>
        </w:rPr>
        <w:t>has an effect on</w:t>
      </w:r>
      <w:proofErr w:type="gramEnd"/>
      <w:r w:rsidR="00C958B1" w:rsidRPr="00643DDB">
        <w:rPr>
          <w:rFonts w:eastAsiaTheme="minorHAnsi"/>
          <w:color w:val="000000"/>
          <w:lang w:eastAsia="en-US"/>
          <w14:ligatures w14:val="standardContextual"/>
        </w:rPr>
        <w:t xml:space="preserve"> the ability of others to achieve common goals</w:t>
      </w:r>
      <w:r w:rsidR="00C958B1">
        <w:rPr>
          <w:rFonts w:eastAsiaTheme="minorHAnsi"/>
          <w:color w:val="000000"/>
          <w:lang w:eastAsia="en-US"/>
          <w14:ligatures w14:val="standardContextual"/>
        </w:rPr>
        <w:t>.</w:t>
      </w:r>
      <w:r w:rsidR="00C958B1">
        <w:rPr>
          <w:rFonts w:ascii="Helvetica Neue" w:eastAsiaTheme="minorHAnsi" w:hAnsi="Helvetica Neue" w:cs="Helvetica Neue"/>
          <w:color w:val="000000"/>
          <w:sz w:val="26"/>
          <w:szCs w:val="26"/>
          <w:lang w:eastAsia="en-US"/>
          <w14:ligatures w14:val="standardContextual"/>
        </w:rPr>
        <w:t xml:space="preserve"> </w:t>
      </w:r>
      <w:r w:rsidR="00341B28">
        <w:t xml:space="preserve">The </w:t>
      </w:r>
      <w:r w:rsidR="00341B28" w:rsidRPr="000C006E">
        <w:rPr>
          <w:i/>
          <w:iCs/>
        </w:rPr>
        <w:t>Budget Conditionality</w:t>
      </w:r>
      <w:r w:rsidR="00341B28">
        <w:t xml:space="preserve"> </w:t>
      </w:r>
      <w:r w:rsidR="00A55FB6">
        <w:t>judgments</w:t>
      </w:r>
      <w:r w:rsidR="00341B28">
        <w:t xml:space="preserve"> have been graced with the label of landmark cases </w:t>
      </w:r>
      <w:r w:rsidR="00A55FB6">
        <w:t>immediately</w:t>
      </w:r>
      <w:r w:rsidR="000C006E">
        <w:t>,</w:t>
      </w:r>
      <w:r w:rsidR="00341B28">
        <w:rPr>
          <w:rStyle w:val="FootnoteReference"/>
        </w:rPr>
        <w:footnoteReference w:id="14"/>
      </w:r>
      <w:r w:rsidR="000C006E">
        <w:t xml:space="preserve"> </w:t>
      </w:r>
      <w:r w:rsidR="008E2584">
        <w:t xml:space="preserve">with </w:t>
      </w:r>
      <w:r w:rsidR="000C006E">
        <w:t>the literature mostly emphasis</w:t>
      </w:r>
      <w:r w:rsidR="008E2584">
        <w:t>ing</w:t>
      </w:r>
      <w:r w:rsidR="000C006E">
        <w:t xml:space="preserve"> two aspects: their contribution to the EU as a rule of law based legal order and the validity of the legal basis of the Conditionality Regulation. These two aspects are indeed important, but </w:t>
      </w:r>
      <w:r w:rsidR="008E2584">
        <w:t xml:space="preserve">this paper argues that </w:t>
      </w:r>
      <w:r w:rsidR="000C006E">
        <w:t xml:space="preserve">the </w:t>
      </w:r>
      <w:r w:rsidR="008E2584">
        <w:t xml:space="preserve">distinctive role of the </w:t>
      </w:r>
      <w:r w:rsidR="000C006E">
        <w:t xml:space="preserve">solidarity principle </w:t>
      </w:r>
      <w:r w:rsidR="009260EC">
        <w:t>has been</w:t>
      </w:r>
      <w:r w:rsidR="000C006E">
        <w:t xml:space="preserve"> overlooked</w:t>
      </w:r>
      <w:r w:rsidR="00A55FB6">
        <w:t xml:space="preserve"> in the academic discussions of these two judgments</w:t>
      </w:r>
      <w:r w:rsidR="000C006E">
        <w:t>: firstly,</w:t>
      </w:r>
      <w:r w:rsidR="003D11DD">
        <w:t xml:space="preserve"> the CJEU articulates the meaning of solidarity by</w:t>
      </w:r>
      <w:r w:rsidR="000C006E">
        <w:t xml:space="preserve"> bridg</w:t>
      </w:r>
      <w:r w:rsidR="003D11DD">
        <w:t>ing</w:t>
      </w:r>
      <w:r w:rsidR="000C006E">
        <w:t xml:space="preserve"> the EU values (rule of law) with the technicalities of EU finances </w:t>
      </w:r>
      <w:r w:rsidR="003D11DD">
        <w:t>;</w:t>
      </w:r>
      <w:r w:rsidR="000C006E">
        <w:t xml:space="preserve"> secondly, it transforms the EU legal discourse from legal competences on which </w:t>
      </w:r>
      <w:r w:rsidR="003B64B5">
        <w:t xml:space="preserve">EU </w:t>
      </w:r>
      <w:r w:rsidR="000C006E">
        <w:t xml:space="preserve">money is spent (EU policies) into </w:t>
      </w:r>
      <w:r w:rsidR="003B64B5">
        <w:t xml:space="preserve">common </w:t>
      </w:r>
      <w:r w:rsidR="000C006E">
        <w:t>resources</w:t>
      </w:r>
      <w:r w:rsidR="003B64B5">
        <w:t xml:space="preserve"> and national compliance with EU law</w:t>
      </w:r>
      <w:r w:rsidR="000C006E">
        <w:t xml:space="preserve">. The </w:t>
      </w:r>
      <w:r w:rsidR="008E2584">
        <w:t>CJEU proceeds with a marke</w:t>
      </w:r>
      <w:r w:rsidR="003B64B5">
        <w:t>d</w:t>
      </w:r>
      <w:r w:rsidR="008E2584">
        <w:t xml:space="preserve"> </w:t>
      </w:r>
      <w:r w:rsidR="000C006E">
        <w:t>language shift</w:t>
      </w:r>
      <w:r w:rsidR="003B64B5">
        <w:t xml:space="preserve"> by</w:t>
      </w:r>
      <w:r w:rsidR="008E2584">
        <w:t xml:space="preserve"> expanding the budget</w:t>
      </w:r>
      <w:r w:rsidR="00E7505C">
        <w:t xml:space="preserve"> </w:t>
      </w:r>
      <w:r w:rsidR="008E2584">
        <w:t>beyond the formal act it is supposed to be</w:t>
      </w:r>
      <w:r w:rsidR="000C006E">
        <w:t>: the EU</w:t>
      </w:r>
      <w:r w:rsidR="00E7505C">
        <w:t xml:space="preserve"> finances</w:t>
      </w:r>
      <w:r w:rsidR="000C006E">
        <w:t xml:space="preserve"> </w:t>
      </w:r>
      <w:r w:rsidR="00E7505C">
        <w:t>are</w:t>
      </w:r>
      <w:r w:rsidR="000C006E">
        <w:t xml:space="preserve"> not only about burdens and expenses; </w:t>
      </w:r>
      <w:r w:rsidR="00E7505C">
        <w:t>they</w:t>
      </w:r>
      <w:r w:rsidR="000C006E">
        <w:t xml:space="preserve"> </w:t>
      </w:r>
      <w:r w:rsidR="00E7505C">
        <w:t>are</w:t>
      </w:r>
      <w:r w:rsidR="000C006E">
        <w:t xml:space="preserve"> also about </w:t>
      </w:r>
      <w:r w:rsidR="003B64B5">
        <w:t xml:space="preserve">national </w:t>
      </w:r>
      <w:r w:rsidR="000C006E">
        <w:t>responsibility shouldered in solidarity for resources spent on shared goals, those of securing the rule of law</w:t>
      </w:r>
      <w:r w:rsidR="00BB2A72">
        <w:t xml:space="preserve"> and</w:t>
      </w:r>
      <w:r w:rsidR="00E7505C">
        <w:t xml:space="preserve"> in</w:t>
      </w:r>
      <w:r w:rsidR="00BB2A72">
        <w:t xml:space="preserve"> its suit peace and democracy</w:t>
      </w:r>
      <w:r w:rsidR="000C006E">
        <w:t xml:space="preserve"> (</w:t>
      </w:r>
      <w:r w:rsidR="00EB0867">
        <w:t xml:space="preserve">in </w:t>
      </w:r>
      <w:r w:rsidR="00BB2A72">
        <w:t xml:space="preserve">contrast </w:t>
      </w:r>
      <w:r w:rsidR="00EB0867">
        <w:t xml:space="preserve">to </w:t>
      </w:r>
      <w:r w:rsidR="000C006E">
        <w:t>systems that are not based on such legal principles especially in the EU neighbourhood).</w:t>
      </w:r>
    </w:p>
    <w:p w14:paraId="45A70512" w14:textId="77777777" w:rsidR="00296386" w:rsidRPr="00F636C8" w:rsidRDefault="00296386" w:rsidP="00F636C8">
      <w:pPr>
        <w:autoSpaceDE w:val="0"/>
        <w:autoSpaceDN w:val="0"/>
        <w:adjustRightInd w:val="0"/>
        <w:rPr>
          <w:i/>
          <w:iCs/>
          <w:sz w:val="20"/>
          <w:szCs w:val="20"/>
        </w:rPr>
      </w:pPr>
    </w:p>
    <w:p w14:paraId="23CFC1F1" w14:textId="4BF9D39B" w:rsidR="00506319" w:rsidRPr="00506319" w:rsidRDefault="00506319" w:rsidP="00EB1C88">
      <w:pPr>
        <w:jc w:val="both"/>
      </w:pPr>
      <w:r>
        <w:t xml:space="preserve">This paper proceeds as follows: it starts </w:t>
      </w:r>
      <w:r w:rsidR="00EB0867">
        <w:t xml:space="preserve">by </w:t>
      </w:r>
      <w:r>
        <w:t xml:space="preserve">placing </w:t>
      </w:r>
      <w:r w:rsidR="00BB2A72">
        <w:t>solidarity and moral hazard</w:t>
      </w:r>
      <w:r>
        <w:t xml:space="preserve"> in the specific context of the Next Generation EU </w:t>
      </w:r>
      <w:r w:rsidR="00681433">
        <w:t xml:space="preserve">(NextGenEU) </w:t>
      </w:r>
      <w:r>
        <w:t xml:space="preserve">and the Resilience and Recovery Facility </w:t>
      </w:r>
      <w:r w:rsidR="005641BE">
        <w:t xml:space="preserve">(RRF) </w:t>
      </w:r>
      <w:r>
        <w:t xml:space="preserve">(II), before discussing the solidarity construct in the </w:t>
      </w:r>
      <w:r>
        <w:rPr>
          <w:i/>
          <w:iCs/>
        </w:rPr>
        <w:t xml:space="preserve">Budget Conditionality </w:t>
      </w:r>
      <w:r>
        <w:t>judgments (I</w:t>
      </w:r>
      <w:r w:rsidR="00BB2A72">
        <w:t>II</w:t>
      </w:r>
      <w:r>
        <w:t>)</w:t>
      </w:r>
      <w:r w:rsidR="00487848">
        <w:t>,</w:t>
      </w:r>
      <w:r>
        <w:t xml:space="preserve"> </w:t>
      </w:r>
      <w:r w:rsidR="00EB0867">
        <w:t xml:space="preserve">as well as </w:t>
      </w:r>
      <w:r>
        <w:t xml:space="preserve">its institutional operationalisation and practical concretisation </w:t>
      </w:r>
      <w:r w:rsidR="00487848">
        <w:t>(IV)</w:t>
      </w:r>
      <w:r w:rsidR="00143DFD">
        <w:t>. This will allow</w:t>
      </w:r>
      <w:r w:rsidR="00E7505C">
        <w:t xml:space="preserve"> us</w:t>
      </w:r>
      <w:r w:rsidR="00143DFD">
        <w:t xml:space="preserve"> to </w:t>
      </w:r>
      <w:r w:rsidR="00E7505C">
        <w:t>revisit</w:t>
      </w:r>
      <w:r w:rsidR="00143DFD">
        <w:t xml:space="preserve"> the </w:t>
      </w:r>
      <w:r w:rsidR="00E7505C">
        <w:t xml:space="preserve">virtuous circle </w:t>
      </w:r>
      <w:r w:rsidR="00EB0867">
        <w:t xml:space="preserve">that </w:t>
      </w:r>
      <w:r w:rsidR="00143DFD">
        <w:t xml:space="preserve">solidarity </w:t>
      </w:r>
      <w:r w:rsidR="00E7505C">
        <w:t>facilitates so as to act as an anti</w:t>
      </w:r>
      <w:r w:rsidR="00681433">
        <w:t>d</w:t>
      </w:r>
      <w:r w:rsidR="00E7505C">
        <w:t>o</w:t>
      </w:r>
      <w:r w:rsidR="00681433">
        <w:t>t</w:t>
      </w:r>
      <w:r w:rsidR="00E7505C">
        <w:t xml:space="preserve">e to </w:t>
      </w:r>
      <w:r w:rsidR="00143DFD">
        <w:t>moral hazard (V), before concludin</w:t>
      </w:r>
      <w:r w:rsidR="00143DFD" w:rsidRPr="003513C0">
        <w:t>g</w:t>
      </w:r>
      <w:r w:rsidR="00B2539A">
        <w:t xml:space="preserve"> on the potential development of solidarity for the scholars interested in the EU budget</w:t>
      </w:r>
      <w:r w:rsidR="00143DFD" w:rsidRPr="003513C0">
        <w:t>.</w:t>
      </w:r>
    </w:p>
    <w:p w14:paraId="1DA4E580" w14:textId="528F3ABA" w:rsidR="00EB1C88" w:rsidRDefault="00EB1C88" w:rsidP="00C76CB1">
      <w:pPr>
        <w:pStyle w:val="Heading1"/>
      </w:pPr>
      <w:r>
        <w:t xml:space="preserve">NextGenEU: Changing gears </w:t>
      </w:r>
    </w:p>
    <w:p w14:paraId="7045A41C" w14:textId="77777777" w:rsidR="00BB2A72" w:rsidRDefault="00BB2A72" w:rsidP="00143DFD">
      <w:pPr>
        <w:jc w:val="both"/>
      </w:pPr>
    </w:p>
    <w:p w14:paraId="45D7CEC2" w14:textId="7B524124" w:rsidR="00143DFD" w:rsidRDefault="003D11DD" w:rsidP="00143DFD">
      <w:pPr>
        <w:jc w:val="both"/>
      </w:pPr>
      <w:r>
        <w:t xml:space="preserve">The Conditionality Regulation was adopted as a </w:t>
      </w:r>
      <w:r w:rsidR="004E6DEA">
        <w:t xml:space="preserve">political </w:t>
      </w:r>
      <w:r>
        <w:t xml:space="preserve">component of the </w:t>
      </w:r>
      <w:proofErr w:type="spellStart"/>
      <w:r w:rsidR="00143DFD">
        <w:t>NextGenEU</w:t>
      </w:r>
      <w:proofErr w:type="spellEnd"/>
      <w:r w:rsidR="0097278A">
        <w:t xml:space="preserve">, the financial package put together to fight the economic consequences of the Covid-19 </w:t>
      </w:r>
      <w:r w:rsidR="00E7505C">
        <w:t xml:space="preserve">pandemic </w:t>
      </w:r>
      <w:r w:rsidR="0097278A">
        <w:lastRenderedPageBreak/>
        <w:t>in the EU</w:t>
      </w:r>
      <w:r>
        <w:t xml:space="preserve">. The </w:t>
      </w:r>
      <w:proofErr w:type="spellStart"/>
      <w:r>
        <w:t>NextGenEU</w:t>
      </w:r>
      <w:proofErr w:type="spellEnd"/>
      <w:r w:rsidR="00B9500C">
        <w:t xml:space="preserve"> m</w:t>
      </w:r>
      <w:r w:rsidR="00E7505C">
        <w:t>ay</w:t>
      </w:r>
      <w:r w:rsidR="00B9500C">
        <w:t xml:space="preserve"> be (or not)</w:t>
      </w:r>
      <w:r w:rsidR="00143DFD">
        <w:t xml:space="preserve"> a possible game changer</w:t>
      </w:r>
      <w:r w:rsidR="00143DFD">
        <w:rPr>
          <w:rStyle w:val="FootnoteReference"/>
        </w:rPr>
        <w:footnoteReference w:id="15"/>
      </w:r>
      <w:r w:rsidR="00143DFD">
        <w:t xml:space="preserve"> or </w:t>
      </w:r>
      <w:r w:rsidR="00BB2A72">
        <w:t>a</w:t>
      </w:r>
      <w:r w:rsidR="00F57802">
        <w:t xml:space="preserve"> </w:t>
      </w:r>
      <w:r w:rsidR="00143DFD">
        <w:t>Hamilton</w:t>
      </w:r>
      <w:r w:rsidR="008E7161">
        <w:t>ian</w:t>
      </w:r>
      <w:r w:rsidR="00143DFD">
        <w:rPr>
          <w:rStyle w:val="FootnoteReference"/>
        </w:rPr>
        <w:footnoteReference w:id="16"/>
      </w:r>
      <w:r w:rsidR="00143DFD">
        <w:t xml:space="preserve"> moment for European fiscal federalism. Although</w:t>
      </w:r>
      <w:r w:rsidR="00BB2A72">
        <w:t xml:space="preserve"> the </w:t>
      </w:r>
      <w:proofErr w:type="spellStart"/>
      <w:r w:rsidR="0087378D">
        <w:t>NextGenEU</w:t>
      </w:r>
      <w:proofErr w:type="spellEnd"/>
      <w:r w:rsidR="0087378D">
        <w:t xml:space="preserve"> </w:t>
      </w:r>
      <w:r w:rsidR="00BB2A72">
        <w:t>is</w:t>
      </w:r>
      <w:r w:rsidR="00143DFD">
        <w:t xml:space="preserve"> temporary in nature</w:t>
      </w:r>
      <w:r>
        <w:t xml:space="preserve"> to address the consequences of the crisis</w:t>
      </w:r>
      <w:r w:rsidR="00143DFD">
        <w:t>,</w:t>
      </w:r>
      <w:r w:rsidR="007C3EEE">
        <w:rPr>
          <w:rStyle w:val="FootnoteReference"/>
        </w:rPr>
        <w:footnoteReference w:id="17"/>
      </w:r>
      <w:r w:rsidR="00143DFD">
        <w:t xml:space="preserve"> the EU is </w:t>
      </w:r>
      <w:r w:rsidR="00BB2A72">
        <w:t xml:space="preserve">for the first time </w:t>
      </w:r>
      <w:r w:rsidR="00143DFD">
        <w:t>allowed to borrow money on financial markets on a</w:t>
      </w:r>
      <w:r w:rsidR="00BB2A72">
        <w:t xml:space="preserve"> large</w:t>
      </w:r>
      <w:r w:rsidR="00143DFD">
        <w:t xml:space="preserve"> scale (approximately </w:t>
      </w:r>
      <w:r w:rsidR="00F57802">
        <w:t>four</w:t>
      </w:r>
      <w:r w:rsidR="00143DFD">
        <w:t xml:space="preserve"> annual EU budget</w:t>
      </w:r>
      <w:r w:rsidR="00F57802">
        <w:t>s</w:t>
      </w:r>
      <w:r w:rsidR="00BB2A72">
        <w:t>; less than the multi-annual framework</w:t>
      </w:r>
      <w:r w:rsidR="00143DFD">
        <w:t>),</w:t>
      </w:r>
      <w:r w:rsidR="00D15A9B">
        <w:rPr>
          <w:rStyle w:val="FootnoteReference"/>
        </w:rPr>
        <w:footnoteReference w:id="18"/>
      </w:r>
      <w:r w:rsidR="00143DFD">
        <w:t xml:space="preserve"> allowing it to have more financial space to</w:t>
      </w:r>
      <w:r w:rsidR="0087378D">
        <w:t xml:space="preserve"> implement</w:t>
      </w:r>
      <w:r w:rsidR="00143DFD">
        <w:t xml:space="preserve"> its policy priorities. The NextGenEU is thus </w:t>
      </w:r>
      <w:r w:rsidR="00E7505C">
        <w:t xml:space="preserve">providing the EU with </w:t>
      </w:r>
      <w:r w:rsidR="00143DFD">
        <w:t xml:space="preserve">a </w:t>
      </w:r>
      <w:r w:rsidR="00E7505C">
        <w:t xml:space="preserve">wider </w:t>
      </w:r>
      <w:r w:rsidR="00143DFD">
        <w:t xml:space="preserve">distributive mechanism than </w:t>
      </w:r>
      <w:r w:rsidR="00E7505C">
        <w:t xml:space="preserve">it </w:t>
      </w:r>
      <w:r w:rsidR="00143DFD">
        <w:t>previously</w:t>
      </w:r>
      <w:r w:rsidR="00E7505C">
        <w:t xml:space="preserve"> had</w:t>
      </w:r>
      <w:r w:rsidR="00143DFD">
        <w:t>.</w:t>
      </w:r>
      <w:r w:rsidR="0097278A">
        <w:rPr>
          <w:rStyle w:val="FootnoteReference"/>
        </w:rPr>
        <w:footnoteReference w:id="19"/>
      </w:r>
      <w:r w:rsidR="00143DFD">
        <w:t xml:space="preserve"> The route for agreeing on this financial </w:t>
      </w:r>
      <w:r w:rsidR="00CA0590">
        <w:t>mechanism</w:t>
      </w:r>
      <w:r w:rsidR="00143DFD">
        <w:t xml:space="preserve"> marks a change in how solidarity is understood at EU level and how moral hazard can be bypassed despite raging debates on how to prevent opportunistic behaviour</w:t>
      </w:r>
      <w:r w:rsidR="0097278A">
        <w:t>.</w:t>
      </w:r>
      <w:r w:rsidR="00143DFD">
        <w:t xml:space="preserve"> Three </w:t>
      </w:r>
      <w:r w:rsidR="0097278A">
        <w:t>stages prefiguring the compromise reached with the NextGenEU</w:t>
      </w:r>
      <w:r w:rsidR="00801319">
        <w:t xml:space="preserve"> can be distinguished</w:t>
      </w:r>
      <w:r w:rsidR="00380BD8">
        <w:t xml:space="preserve"> to show the</w:t>
      </w:r>
      <w:r w:rsidR="00E7505C">
        <w:t xml:space="preserve"> evolution of the dynamic</w:t>
      </w:r>
      <w:r w:rsidR="00380BD8">
        <w:t xml:space="preserve"> between solidarity and moral hazard over time.</w:t>
      </w:r>
      <w:r w:rsidR="00CA0590">
        <w:t xml:space="preserve"> We turn to explaining this process.</w:t>
      </w:r>
    </w:p>
    <w:p w14:paraId="521D31FC" w14:textId="77777777" w:rsidR="00F57802" w:rsidRDefault="00F57802" w:rsidP="00143DFD">
      <w:pPr>
        <w:jc w:val="both"/>
      </w:pPr>
    </w:p>
    <w:p w14:paraId="331C9793" w14:textId="1D99EDFA" w:rsidR="00EB1C88" w:rsidRDefault="00143DFD" w:rsidP="00143DFD">
      <w:pPr>
        <w:jc w:val="both"/>
      </w:pPr>
      <w:r>
        <w:t xml:space="preserve">The </w:t>
      </w:r>
      <w:r w:rsidR="00801319">
        <w:t xml:space="preserve">first stage is linked with the EMU where </w:t>
      </w:r>
      <w:r w:rsidR="0097278A">
        <w:t xml:space="preserve">the debate about </w:t>
      </w:r>
      <w:r w:rsidR="00801319">
        <w:t xml:space="preserve">solidarity was framed around financial assistance </w:t>
      </w:r>
      <w:r w:rsidR="00E7505C">
        <w:t>under</w:t>
      </w:r>
      <w:r w:rsidR="0097278A">
        <w:t xml:space="preserve"> extreme financial</w:t>
      </w:r>
      <w:r w:rsidR="00801319">
        <w:t xml:space="preserve"> circumstances. The main idea was that the market would be</w:t>
      </w:r>
      <w:r w:rsidR="003D11DD">
        <w:t xml:space="preserve"> used as</w:t>
      </w:r>
      <w:r w:rsidR="00801319">
        <w:t xml:space="preserve"> </w:t>
      </w:r>
      <w:r w:rsidR="003D11DD">
        <w:t>a</w:t>
      </w:r>
      <w:r w:rsidR="00801319">
        <w:t xml:space="preserve"> disciplinary technique, so much so that to avoid moral hazard, Member States had to remain primar</w:t>
      </w:r>
      <w:r w:rsidR="00E80476">
        <w:t>il</w:t>
      </w:r>
      <w:r w:rsidR="00801319">
        <w:t xml:space="preserve">y responsible for their fiscal deficits, with no bail outs either by the EU or other Member States in case of financial distress, as article 125 TFEU seemed to mandate. However, the sovereign debt crisis </w:t>
      </w:r>
      <w:r w:rsidR="00AF2DBF">
        <w:t xml:space="preserve">illustrated the </w:t>
      </w:r>
      <w:r w:rsidR="0097278A">
        <w:t xml:space="preserve">limits of this reasoning: </w:t>
      </w:r>
      <w:r w:rsidR="00AF2DBF">
        <w:t xml:space="preserve">moral hazard </w:t>
      </w:r>
      <w:r w:rsidR="0097278A">
        <w:t xml:space="preserve">seemed to have taken place </w:t>
      </w:r>
      <w:r w:rsidR="00AF2DBF">
        <w:t xml:space="preserve">as some states incurred large </w:t>
      </w:r>
      <w:proofErr w:type="gramStart"/>
      <w:r w:rsidR="00AF2DBF">
        <w:t>debts</w:t>
      </w:r>
      <w:proofErr w:type="gramEnd"/>
      <w:r w:rsidR="00AF2DBF">
        <w:t xml:space="preserve"> they could not </w:t>
      </w:r>
      <w:r w:rsidR="00386402">
        <w:t>service</w:t>
      </w:r>
      <w:r w:rsidR="00AF2DBF">
        <w:t>.</w:t>
      </w:r>
      <w:r w:rsidR="00AF2DBF">
        <w:rPr>
          <w:rStyle w:val="FootnoteReference"/>
        </w:rPr>
        <w:footnoteReference w:id="20"/>
      </w:r>
      <w:r w:rsidR="00AF2DBF">
        <w:t xml:space="preserve"> </w:t>
      </w:r>
      <w:r w:rsidR="003D11DD">
        <w:t xml:space="preserve">Their financial predicament was perceived as self-inflicted. </w:t>
      </w:r>
      <w:r w:rsidR="00E7505C">
        <w:t>This</w:t>
      </w:r>
      <w:r w:rsidR="00AF2DBF">
        <w:t xml:space="preserve"> </w:t>
      </w:r>
      <w:r w:rsidR="00801319">
        <w:t>showed that the maintenance of the EMU and collective financial health across the EU required some drastic interventions to organise</w:t>
      </w:r>
      <w:r w:rsidR="00E80476">
        <w:t xml:space="preserve"> the</w:t>
      </w:r>
      <w:r w:rsidR="00801319">
        <w:t xml:space="preserve"> bailing out </w:t>
      </w:r>
      <w:r w:rsidR="00E80476">
        <w:t xml:space="preserve">of </w:t>
      </w:r>
      <w:r w:rsidR="00801319">
        <w:t xml:space="preserve">countries out of </w:t>
      </w:r>
      <w:r w:rsidR="00E7505C">
        <w:t>the</w:t>
      </w:r>
      <w:r w:rsidR="00801319">
        <w:t xml:space="preserve"> financial crisis. In the seminal </w:t>
      </w:r>
      <w:r w:rsidR="00801319">
        <w:rPr>
          <w:i/>
          <w:iCs/>
        </w:rPr>
        <w:t xml:space="preserve">Pringle </w:t>
      </w:r>
      <w:r w:rsidR="00801319">
        <w:t>judgment,</w:t>
      </w:r>
      <w:r w:rsidR="00F82520">
        <w:rPr>
          <w:rStyle w:val="FootnoteReference"/>
        </w:rPr>
        <w:footnoteReference w:id="21"/>
      </w:r>
      <w:r w:rsidR="00801319">
        <w:t xml:space="preserve"> the CJEU accepted a flexible interpretation of article 125 TFEU </w:t>
      </w:r>
      <w:proofErr w:type="gramStart"/>
      <w:r w:rsidR="00801319">
        <w:t>as long as</w:t>
      </w:r>
      <w:proofErr w:type="gramEnd"/>
      <w:r w:rsidR="00801319">
        <w:t xml:space="preserve"> </w:t>
      </w:r>
      <w:r w:rsidR="00E80476">
        <w:t xml:space="preserve">the </w:t>
      </w:r>
      <w:r w:rsidR="00801319">
        <w:t>conditions were linked to financial assistance to distressed Member States so that they were not disincentivised from being responsible for their debts.</w:t>
      </w:r>
      <w:r w:rsidR="00801319">
        <w:rPr>
          <w:rStyle w:val="FootnoteReference"/>
        </w:rPr>
        <w:footnoteReference w:id="22"/>
      </w:r>
      <w:r w:rsidR="00801319">
        <w:t xml:space="preserve"> In this sense, solidarity meant that Member States could take measures in their direct interests </w:t>
      </w:r>
      <w:r w:rsidR="00681433">
        <w:t>while</w:t>
      </w:r>
      <w:r w:rsidR="00801319">
        <w:t xml:space="preserve"> helping struggling Member States along the way. </w:t>
      </w:r>
      <w:r w:rsidR="003D11DD" w:rsidRPr="003D11DD">
        <w:t>Conditionality was a key mechanism to make solidarity possible under EU law</w:t>
      </w:r>
      <w:r w:rsidR="003D11DD">
        <w:t>.</w:t>
      </w:r>
      <w:r w:rsidR="003D11DD" w:rsidRPr="003D11DD">
        <w:t xml:space="preserve"> </w:t>
      </w:r>
      <w:r w:rsidR="003D11DD">
        <w:t>I</w:t>
      </w:r>
      <w:r w:rsidR="003D11DD" w:rsidRPr="003D11DD">
        <w:t>t was a way to tackle moral hazard risk.</w:t>
      </w:r>
      <w:r w:rsidR="003D11DD">
        <w:t xml:space="preserve"> </w:t>
      </w:r>
      <w:r w:rsidR="00801319">
        <w:t xml:space="preserve">The antidote </w:t>
      </w:r>
      <w:r w:rsidR="00E80476">
        <w:t xml:space="preserve">to </w:t>
      </w:r>
      <w:r w:rsidR="00801319">
        <w:t xml:space="preserve">moral hazard remained </w:t>
      </w:r>
      <w:r w:rsidR="0097278A">
        <w:lastRenderedPageBreak/>
        <w:t xml:space="preserve">individual responsibility enforced by </w:t>
      </w:r>
      <w:r w:rsidR="00801319">
        <w:t>financial discipline, even if</w:t>
      </w:r>
      <w:r w:rsidR="00E80476">
        <w:t xml:space="preserve"> this was</w:t>
      </w:r>
      <w:r w:rsidR="00801319">
        <w:t xml:space="preserve"> smoothened by financial assistance.</w:t>
      </w:r>
      <w:r w:rsidR="0050017E">
        <w:rPr>
          <w:rStyle w:val="FootnoteReference"/>
        </w:rPr>
        <w:footnoteReference w:id="23"/>
      </w:r>
    </w:p>
    <w:p w14:paraId="5C237BEB" w14:textId="77777777" w:rsidR="00F57802" w:rsidRDefault="00F57802" w:rsidP="00143DFD">
      <w:pPr>
        <w:jc w:val="both"/>
      </w:pPr>
    </w:p>
    <w:p w14:paraId="775AC6AF" w14:textId="1602B4D1" w:rsidR="00801319" w:rsidRDefault="00801319" w:rsidP="00143DFD">
      <w:pPr>
        <w:jc w:val="both"/>
      </w:pPr>
      <w:r>
        <w:t xml:space="preserve">The second stage </w:t>
      </w:r>
      <w:r w:rsidR="0097278A">
        <w:t>of the dynamics between moral hazard and solidarity witnesse</w:t>
      </w:r>
      <w:r w:rsidR="00E80476">
        <w:t>d</w:t>
      </w:r>
      <w:r w:rsidR="0097278A">
        <w:t xml:space="preserve"> </w:t>
      </w:r>
      <w:r>
        <w:t>the discontent of some Member States, in particular the Netherlands, Austria, Denmark</w:t>
      </w:r>
      <w:r w:rsidR="000A6DED">
        <w:t xml:space="preserve"> and Sweden</w:t>
      </w:r>
      <w:r>
        <w:t xml:space="preserve"> –</w:t>
      </w:r>
      <w:r w:rsidR="00681433">
        <w:t xml:space="preserve"> </w:t>
      </w:r>
      <w:r w:rsidR="0050017E">
        <w:t>net contributors</w:t>
      </w:r>
      <w:r w:rsidR="0097278A">
        <w:t xml:space="preserve"> </w:t>
      </w:r>
      <w:r>
        <w:t xml:space="preserve"> to the EU budget</w:t>
      </w:r>
      <w:r w:rsidR="0026746A">
        <w:t xml:space="preserve">, also known as the </w:t>
      </w:r>
      <w:r w:rsidR="000A6DED">
        <w:t>“</w:t>
      </w:r>
      <w:r w:rsidR="0026746A">
        <w:t>Frugal</w:t>
      </w:r>
      <w:r w:rsidR="000A6DED">
        <w:t xml:space="preserve"> Four”</w:t>
      </w:r>
      <w:r>
        <w:t xml:space="preserve"> </w:t>
      </w:r>
      <w:r w:rsidR="0026746A">
        <w:t>–</w:t>
      </w:r>
      <w:r>
        <w:t xml:space="preserve"> </w:t>
      </w:r>
      <w:r w:rsidR="0026746A">
        <w:t>in the face of Member States, such as Hungary and Poland,</w:t>
      </w:r>
      <w:r w:rsidR="00E80476">
        <w:t xml:space="preserve"> who are</w:t>
      </w:r>
      <w:r w:rsidR="0026746A">
        <w:t xml:space="preserve"> essentially major beneficiaries of the EU budget</w:t>
      </w:r>
      <w:r w:rsidR="00380BD8">
        <w:t xml:space="preserve"> (in particular of the Cohesion Policy and Structural Funds)</w:t>
      </w:r>
      <w:r w:rsidR="0026746A">
        <w:t>,</w:t>
      </w:r>
      <w:r w:rsidR="00770CF8" w:rsidRPr="00263261">
        <w:rPr>
          <w:rStyle w:val="FootnoteReference"/>
          <w:rFonts w:eastAsiaTheme="majorEastAsia"/>
        </w:rPr>
        <w:footnoteReference w:id="24"/>
      </w:r>
      <w:r w:rsidR="0026746A">
        <w:t xml:space="preserve"> challeng</w:t>
      </w:r>
      <w:r w:rsidR="0062357E">
        <w:t>ing and weakening</w:t>
      </w:r>
      <w:r w:rsidR="0026746A">
        <w:t xml:space="preserve"> fundamental principles of the EU membership such as the rule of law and the functioning of the internal market. From 2013 onwards, these </w:t>
      </w:r>
      <w:r w:rsidR="0026746A" w:rsidRPr="008F5266">
        <w:t>disgruntled</w:t>
      </w:r>
      <w:r w:rsidR="0026746A">
        <w:t xml:space="preserve"> Member States pleaded for suspending or limiting financial transfer</w:t>
      </w:r>
      <w:r w:rsidR="0062357E">
        <w:t>s</w:t>
      </w:r>
      <w:r w:rsidR="0026746A">
        <w:t xml:space="preserve"> to Poland and Hungary</w:t>
      </w:r>
      <w:r w:rsidR="003E0761">
        <w:t xml:space="preserve"> with the occasional support of </w:t>
      </w:r>
      <w:r w:rsidR="000B4660">
        <w:t xml:space="preserve">other states such as </w:t>
      </w:r>
      <w:r w:rsidR="003E0761">
        <w:t>Germany</w:t>
      </w:r>
      <w:r w:rsidR="000B4660">
        <w:t>.</w:t>
      </w:r>
      <w:r w:rsidR="003E0761">
        <w:rPr>
          <w:rStyle w:val="FootnoteReference"/>
        </w:rPr>
        <w:footnoteReference w:id="25"/>
      </w:r>
      <w:r w:rsidR="0026746A">
        <w:t xml:space="preserve"> However, problems for operationalising article 7 TFEU appeared</w:t>
      </w:r>
      <w:r w:rsidR="0062357E">
        <w:rPr>
          <w:rStyle w:val="FootnoteReference"/>
        </w:rPr>
        <w:footnoteReference w:id="26"/>
      </w:r>
      <w:r w:rsidR="0026746A">
        <w:t xml:space="preserve"> and only slowly </w:t>
      </w:r>
      <w:r w:rsidR="00E80476">
        <w:t xml:space="preserve">were </w:t>
      </w:r>
      <w:r w:rsidR="0026746A">
        <w:t>judgments condemning Poland and Hungary pronounced</w:t>
      </w:r>
      <w:r w:rsidR="008D20EA">
        <w:t>.</w:t>
      </w:r>
      <w:r w:rsidR="0026746A">
        <w:rPr>
          <w:rStyle w:val="FootnoteReference"/>
        </w:rPr>
        <w:footnoteReference w:id="27"/>
      </w:r>
      <w:r w:rsidR="0026746A">
        <w:t xml:space="preserve"> </w:t>
      </w:r>
      <w:r w:rsidR="008D20EA">
        <w:t>While the European Parliament approved the Commission’s decision to activate Article 7(1) TEU as regards the situation in Poland,</w:t>
      </w:r>
      <w:r w:rsidR="008D20EA">
        <w:rPr>
          <w:rStyle w:val="FootnoteReference"/>
        </w:rPr>
        <w:footnoteReference w:id="28"/>
      </w:r>
      <w:r w:rsidR="008D20EA">
        <w:t xml:space="preserve">it </w:t>
      </w:r>
      <w:r w:rsidR="0062357E">
        <w:t>call</w:t>
      </w:r>
      <w:r w:rsidR="008D20EA">
        <w:t>ed</w:t>
      </w:r>
      <w:r w:rsidR="00E80476">
        <w:t xml:space="preserve"> on</w:t>
      </w:r>
      <w:r w:rsidR="0062357E">
        <w:t xml:space="preserve"> the Council to determine if Hungary was at risk of breaching article 7</w:t>
      </w:r>
      <w:r w:rsidR="0062357E">
        <w:rPr>
          <w:rStyle w:val="FootnoteReference"/>
        </w:rPr>
        <w:footnoteReference w:id="29"/>
      </w:r>
      <w:r w:rsidR="0062357E">
        <w:t xml:space="preserve"> and </w:t>
      </w:r>
      <w:r w:rsidR="0026746A">
        <w:t>accusing the European Commission of lacking the willingness to use the infringement procedure</w:t>
      </w:r>
      <w:r w:rsidR="008F5266">
        <w:rPr>
          <w:rStyle w:val="FootnoteReference"/>
        </w:rPr>
        <w:footnoteReference w:id="30"/>
      </w:r>
      <w:r w:rsidR="0026746A">
        <w:t xml:space="preserve"> or to proceed with the so-called nuclear option of article 7.</w:t>
      </w:r>
      <w:r w:rsidR="0026746A">
        <w:rPr>
          <w:rStyle w:val="FootnoteReference"/>
        </w:rPr>
        <w:footnoteReference w:id="31"/>
      </w:r>
      <w:r w:rsidR="0026746A">
        <w:t xml:space="preserve"> During this stage, solidarity </w:t>
      </w:r>
      <w:r w:rsidR="00E80476">
        <w:t>was</w:t>
      </w:r>
      <w:r w:rsidR="0026746A">
        <w:t xml:space="preserve"> invoked in a functional manner</w:t>
      </w:r>
      <w:r w:rsidR="008D20EA">
        <w:t xml:space="preserve"> t:</w:t>
      </w:r>
      <w:r w:rsidR="0026746A">
        <w:t xml:space="preserve"> financial transfers suppose a community of value</w:t>
      </w:r>
      <w:r w:rsidR="0064065C">
        <w:t>s</w:t>
      </w:r>
      <w:r w:rsidR="0026746A">
        <w:t>, the</w:t>
      </w:r>
      <w:r w:rsidR="0064065C">
        <w:t>se transfers</w:t>
      </w:r>
      <w:r w:rsidR="0026746A">
        <w:t xml:space="preserve"> are done for the direct and indirect benefit of all Member States and not for the </w:t>
      </w:r>
      <w:r w:rsidR="003B64B5">
        <w:t xml:space="preserve">sole </w:t>
      </w:r>
      <w:r w:rsidR="0026746A">
        <w:t xml:space="preserve">benefit of some Member States, or even </w:t>
      </w:r>
      <w:r w:rsidR="0064065C">
        <w:t>worse for</w:t>
      </w:r>
      <w:r w:rsidR="0026746A">
        <w:t xml:space="preserve"> the benefit of some </w:t>
      </w:r>
      <w:r w:rsidR="00681433">
        <w:t xml:space="preserve">political </w:t>
      </w:r>
      <w:r w:rsidR="0026746A">
        <w:t>parties in those Member States, that d</w:t>
      </w:r>
      <w:r w:rsidR="00681433">
        <w:t>id</w:t>
      </w:r>
      <w:r w:rsidR="0026746A">
        <w:t xml:space="preserve"> not intend to play by the rules of the game. But moral hazard </w:t>
      </w:r>
      <w:r w:rsidR="00401C12">
        <w:t xml:space="preserve">and opportunistic behaviour </w:t>
      </w:r>
      <w:r w:rsidR="0026746A">
        <w:t>w</w:t>
      </w:r>
      <w:r w:rsidR="00401C12">
        <w:t>ere</w:t>
      </w:r>
      <w:r w:rsidR="0026746A">
        <w:t xml:space="preserve"> in full swing</w:t>
      </w:r>
      <w:r w:rsidR="00401C12">
        <w:t>.</w:t>
      </w:r>
      <w:r w:rsidR="0026746A">
        <w:t xml:space="preserve"> </w:t>
      </w:r>
      <w:r w:rsidR="00401C12">
        <w:t>T</w:t>
      </w:r>
      <w:r w:rsidR="0026746A">
        <w:t>he rules of the game were not enforced or only in a weak and slow manner</w:t>
      </w:r>
      <w:r w:rsidR="00401C12">
        <w:t xml:space="preserve"> resulting in</w:t>
      </w:r>
      <w:r w:rsidR="0064065C">
        <w:t xml:space="preserve"> compliance with EU fundamental principles not </w:t>
      </w:r>
      <w:r w:rsidR="00401C12">
        <w:t xml:space="preserve">being </w:t>
      </w:r>
      <w:r w:rsidR="0064065C">
        <w:t>guaranteed</w:t>
      </w:r>
      <w:r w:rsidR="00401C12">
        <w:t>. This led to</w:t>
      </w:r>
      <w:r w:rsidR="0064065C">
        <w:t xml:space="preserve"> a sense of betrayal by those Member States </w:t>
      </w:r>
      <w:r w:rsidR="00E80476">
        <w:t xml:space="preserve">that </w:t>
      </w:r>
      <w:r w:rsidR="0064065C">
        <w:t>positively contributed to the EU budget while seeing the benefits of the EU legal order and internal market being jeopardised by a weakening of mutual trust</w:t>
      </w:r>
      <w:r w:rsidR="008D20EA">
        <w:t xml:space="preserve"> </w:t>
      </w:r>
      <w:r w:rsidR="0064065C">
        <w:t xml:space="preserve">in the functioning of </w:t>
      </w:r>
      <w:r w:rsidR="00681433">
        <w:t xml:space="preserve">the </w:t>
      </w:r>
      <w:r w:rsidR="0064065C">
        <w:t>legal order of the EU budget</w:t>
      </w:r>
      <w:r w:rsidR="0026746A">
        <w:t xml:space="preserve">. </w:t>
      </w:r>
      <w:r w:rsidR="00F82520">
        <w:t>This showed that for solidarity not to fall prey to either cynicism (on the side of net beneficiaries) or self-contradiction (on the side of net contributors), it require</w:t>
      </w:r>
      <w:r w:rsidR="001D5559">
        <w:t>d</w:t>
      </w:r>
      <w:r w:rsidR="00F82520">
        <w:t xml:space="preserve"> good faith and good will </w:t>
      </w:r>
      <w:r w:rsidR="00681433">
        <w:t>among</w:t>
      </w:r>
      <w:r w:rsidR="00F82520">
        <w:t xml:space="preserve"> all parties: on the side of net contributors, by acknowledging that net beneficiaries were contributing in their own (non-financial) way to the stability and robustness of the EU; on the side of net beneficiaries, by self-restraining their own short term self-interest to put the collective long</w:t>
      </w:r>
      <w:r w:rsidR="00681433">
        <w:t>-</w:t>
      </w:r>
      <w:r w:rsidR="00F82520">
        <w:t>term interest ahead.</w:t>
      </w:r>
      <w:r w:rsidR="00681433">
        <w:t xml:space="preserve"> I</w:t>
      </w:r>
      <w:r w:rsidR="0064065C">
        <w:t xml:space="preserve">n a nutshell, this stage shows how the (perceived) actualisation of moral hazard threatens </w:t>
      </w:r>
      <w:r w:rsidR="0064065C">
        <w:lastRenderedPageBreak/>
        <w:t xml:space="preserve">solidarity, or </w:t>
      </w:r>
      <w:r w:rsidR="003574E9">
        <w:t xml:space="preserve">how </w:t>
      </w:r>
      <w:r w:rsidR="0064065C">
        <w:t>some player</w:t>
      </w:r>
      <w:r w:rsidR="003574E9">
        <w:t xml:space="preserve">s </w:t>
      </w:r>
      <w:r w:rsidR="003B64B5">
        <w:t>take</w:t>
      </w:r>
      <w:r w:rsidR="003574E9">
        <w:t xml:space="preserve"> the opportunity </w:t>
      </w:r>
      <w:r w:rsidR="0064065C">
        <w:t xml:space="preserve">to withdraw their contributions </w:t>
      </w:r>
      <w:r w:rsidR="001D5559">
        <w:t xml:space="preserve">to, </w:t>
      </w:r>
      <w:r w:rsidR="0064065C">
        <w:t xml:space="preserve">and support </w:t>
      </w:r>
      <w:r w:rsidR="001D5559">
        <w:t>for,</w:t>
      </w:r>
      <w:r w:rsidR="0064065C">
        <w:t xml:space="preserve"> the realisation of the common project – i.e. the functioning of the EU.</w:t>
      </w:r>
    </w:p>
    <w:p w14:paraId="0D3FA95B" w14:textId="77777777" w:rsidR="00AA2E42" w:rsidRDefault="00AA2E42" w:rsidP="00143DFD">
      <w:pPr>
        <w:jc w:val="both"/>
      </w:pPr>
    </w:p>
    <w:p w14:paraId="6F174EB6" w14:textId="5DCD02F9" w:rsidR="00F3157A" w:rsidRDefault="0026746A" w:rsidP="00143DFD">
      <w:pPr>
        <w:jc w:val="both"/>
      </w:pPr>
      <w:r>
        <w:t>The third stage</w:t>
      </w:r>
      <w:r w:rsidR="00F82520" w:rsidRPr="00F82520">
        <w:t xml:space="preserve"> </w:t>
      </w:r>
      <w:r w:rsidR="0064065C">
        <w:t xml:space="preserve">of the dynamics between moral hazard and solidarity </w:t>
      </w:r>
      <w:r w:rsidR="001D5559">
        <w:t>was</w:t>
      </w:r>
      <w:r w:rsidR="0097278A">
        <w:t xml:space="preserve"> reached </w:t>
      </w:r>
      <w:r w:rsidR="00380BD8">
        <w:t>with the Covid-19 pandemic, which was declared to be a symmetrical e</w:t>
      </w:r>
      <w:r w:rsidR="00770CF8">
        <w:t>xternal</w:t>
      </w:r>
      <w:r w:rsidR="00380BD8">
        <w:t xml:space="preserve"> shock,</w:t>
      </w:r>
      <w:r w:rsidR="00770CF8" w:rsidRPr="00263261">
        <w:rPr>
          <w:rStyle w:val="FootnoteReference"/>
          <w:rFonts w:eastAsiaTheme="majorEastAsia"/>
          <w:lang w:val="en-US"/>
        </w:rPr>
        <w:footnoteReference w:id="32"/>
      </w:r>
      <w:r w:rsidR="00770CF8" w:rsidRPr="00263261">
        <w:rPr>
          <w:lang w:val="en-US"/>
        </w:rPr>
        <w:t xml:space="preserve"> </w:t>
      </w:r>
      <w:r w:rsidR="00380BD8">
        <w:t>meaning that no country was blamed for the predicament it was in or the ways in which it was more strongly affected by the health</w:t>
      </w:r>
      <w:r w:rsidR="0064065C">
        <w:t>,</w:t>
      </w:r>
      <w:r w:rsidR="00380BD8">
        <w:t xml:space="preserve"> economic </w:t>
      </w:r>
      <w:r w:rsidR="0064065C">
        <w:t>or</w:t>
      </w:r>
      <w:r w:rsidR="00380BD8">
        <w:t xml:space="preserve"> social dimensions of the pandemic. In short, moral hazard was cut short, which paved the way for the NextGenEU and the RRF to be agreed upon as a matter of principle</w:t>
      </w:r>
      <w:r w:rsidR="00AA2E42">
        <w:t>, especially when Germany declared that the pandemic “was nobody’s fault”</w:t>
      </w:r>
      <w:r w:rsidR="00380BD8">
        <w:t>.</w:t>
      </w:r>
      <w:r w:rsidR="00AA2E42">
        <w:rPr>
          <w:rStyle w:val="FootnoteReference"/>
        </w:rPr>
        <w:footnoteReference w:id="33"/>
      </w:r>
      <w:r w:rsidR="00AA2E42">
        <w:t xml:space="preserve"> The NextGenEU funds were not allocated evenly, but where the crisis struck most strongly</w:t>
      </w:r>
      <w:r w:rsidR="005641BE">
        <w:t>,</w:t>
      </w:r>
      <w:r w:rsidR="00AA2E42">
        <w:rPr>
          <w:rStyle w:val="FootnoteReference"/>
        </w:rPr>
        <w:footnoteReference w:id="34"/>
      </w:r>
      <w:r w:rsidR="005641BE">
        <w:t xml:space="preserve"> highlighting the solidarity dimension of this financial package.</w:t>
      </w:r>
      <w:r w:rsidR="00380BD8">
        <w:t xml:space="preserve"> However, the specific role of the Frugal</w:t>
      </w:r>
      <w:r w:rsidR="005641BE">
        <w:t xml:space="preserve"> Four</w:t>
      </w:r>
      <w:r w:rsidR="00380BD8">
        <w:t>, and in particular the Netherlands,</w:t>
      </w:r>
      <w:r w:rsidR="009F1AB2">
        <w:rPr>
          <w:rStyle w:val="FootnoteReference"/>
        </w:rPr>
        <w:footnoteReference w:id="35"/>
      </w:r>
      <w:r w:rsidR="00380BD8">
        <w:t xml:space="preserve"> in shaping the overall financial package shows that these Member States – even if they agreed on the principle – remained attentive to </w:t>
      </w:r>
      <w:r w:rsidR="005641BE">
        <w:t>protect</w:t>
      </w:r>
      <w:r w:rsidR="001D5559">
        <w:t>ing</w:t>
      </w:r>
      <w:r w:rsidR="005641BE">
        <w:t xml:space="preserve"> </w:t>
      </w:r>
      <w:r w:rsidR="00380BD8">
        <w:t xml:space="preserve">solidarity </w:t>
      </w:r>
      <w:r w:rsidR="005641BE">
        <w:t>from being</w:t>
      </w:r>
      <w:r w:rsidR="00380BD8">
        <w:t xml:space="preserve"> reduced to shred</w:t>
      </w:r>
      <w:r w:rsidR="00DF62E2">
        <w:t>s</w:t>
      </w:r>
      <w:r w:rsidR="005641BE">
        <w:t xml:space="preserve"> to avoid </w:t>
      </w:r>
      <w:r w:rsidR="00380BD8">
        <w:t>com</w:t>
      </w:r>
      <w:r w:rsidR="005641BE">
        <w:t>ing</w:t>
      </w:r>
      <w:r w:rsidR="00380BD8">
        <w:t xml:space="preserve"> to regret their confidence in the EU redistributive machinery.</w:t>
      </w:r>
      <w:r w:rsidR="005409E2">
        <w:t xml:space="preserve"> </w:t>
      </w:r>
      <w:r w:rsidR="00380BD8">
        <w:t xml:space="preserve">This evolution resulted in the NextGenEU exhibiting three key features in terms of solidarity: </w:t>
      </w:r>
      <w:r w:rsidR="005641BE">
        <w:t xml:space="preserve">with respect </w:t>
      </w:r>
      <w:r w:rsidR="00F60D50">
        <w:t xml:space="preserve">to </w:t>
      </w:r>
      <w:r w:rsidR="00380BD8">
        <w:t>the</w:t>
      </w:r>
      <w:r w:rsidR="00401C12">
        <w:t xml:space="preserve"> techniques</w:t>
      </w:r>
      <w:r w:rsidR="00380BD8">
        <w:t xml:space="preserve"> of the financial commitments</w:t>
      </w:r>
      <w:r w:rsidR="00F3157A">
        <w:t>,</w:t>
      </w:r>
      <w:r w:rsidR="005641BE">
        <w:t xml:space="preserve"> </w:t>
      </w:r>
      <w:r w:rsidR="00F60D50">
        <w:t>to</w:t>
      </w:r>
      <w:r w:rsidR="00380BD8">
        <w:t xml:space="preserve"> the legal basis</w:t>
      </w:r>
      <w:r w:rsidR="00F3157A">
        <w:t xml:space="preserve"> and </w:t>
      </w:r>
      <w:r w:rsidR="00F60D50">
        <w:t>to</w:t>
      </w:r>
      <w:r w:rsidR="00380BD8">
        <w:t xml:space="preserve"> </w:t>
      </w:r>
      <w:r w:rsidR="00940AB2">
        <w:t xml:space="preserve">conditionality. </w:t>
      </w:r>
    </w:p>
    <w:p w14:paraId="112C3C8B" w14:textId="77777777" w:rsidR="00F3157A" w:rsidRDefault="00F3157A" w:rsidP="00143DFD">
      <w:pPr>
        <w:jc w:val="both"/>
      </w:pPr>
    </w:p>
    <w:p w14:paraId="1A5A374C" w14:textId="53452AEB" w:rsidR="00120717" w:rsidRDefault="001D5559" w:rsidP="00143DFD">
      <w:pPr>
        <w:jc w:val="both"/>
      </w:pPr>
      <w:r>
        <w:t>First, a</w:t>
      </w:r>
      <w:r w:rsidR="00940AB2">
        <w:t>t the level of the financial commitments</w:t>
      </w:r>
      <w:r>
        <w:t xml:space="preserve">, </w:t>
      </w:r>
      <w:r w:rsidR="00940AB2">
        <w:t>there is now a</w:t>
      </w:r>
      <w:r w:rsidR="00633930">
        <w:t>n</w:t>
      </w:r>
      <w:r w:rsidR="00940AB2">
        <w:t xml:space="preserve"> EU common debt of</w:t>
      </w:r>
      <w:r w:rsidR="00D344D8">
        <w:t xml:space="preserve"> approximatively EUR 400 bi</w:t>
      </w:r>
      <w:r w:rsidR="00DF62E2">
        <w:t>llion</w:t>
      </w:r>
      <w:r w:rsidR="00940AB2">
        <w:t xml:space="preserve"> by way of borrowing on the financial market</w:t>
      </w:r>
      <w:r w:rsidR="00D344D8">
        <w:t xml:space="preserve">, most of which </w:t>
      </w:r>
      <w:r>
        <w:t xml:space="preserve">was </w:t>
      </w:r>
      <w:r w:rsidR="00D344D8">
        <w:t>incurred after 2020</w:t>
      </w:r>
      <w:r w:rsidR="00940AB2">
        <w:t>.</w:t>
      </w:r>
      <w:r w:rsidR="00D344D8">
        <w:rPr>
          <w:rStyle w:val="FootnoteReference"/>
        </w:rPr>
        <w:footnoteReference w:id="36"/>
      </w:r>
      <w:r w:rsidR="00940AB2">
        <w:t xml:space="preserve"> Th</w:t>
      </w:r>
      <w:r w:rsidR="00D344D8">
        <w:t>e NextGen</w:t>
      </w:r>
      <w:r w:rsidR="009F1AB2">
        <w:t>EU</w:t>
      </w:r>
      <w:r w:rsidR="00940AB2">
        <w:t xml:space="preserve"> debt need</w:t>
      </w:r>
      <w:r w:rsidR="00D344D8">
        <w:t>s</w:t>
      </w:r>
      <w:r w:rsidR="00940AB2">
        <w:t xml:space="preserve"> to be paid back by the EU thanks to its revenues as </w:t>
      </w:r>
      <w:r w:rsidR="00940AB2" w:rsidRPr="00D344D8">
        <w:t>from 2028.</w:t>
      </w:r>
      <w:r w:rsidR="009F1AB2" w:rsidRPr="00D344D8">
        <w:rPr>
          <w:rStyle w:val="FootnoteReference"/>
        </w:rPr>
        <w:footnoteReference w:id="37"/>
      </w:r>
      <w:r w:rsidR="00940AB2">
        <w:t xml:space="preserve"> The revenues </w:t>
      </w:r>
      <w:r w:rsidR="0079559C">
        <w:t>will</w:t>
      </w:r>
      <w:r w:rsidR="00940AB2">
        <w:t xml:space="preserve"> either come from the </w:t>
      </w:r>
      <w:r w:rsidR="005641BE">
        <w:t>EU</w:t>
      </w:r>
      <w:r>
        <w:t>’s</w:t>
      </w:r>
      <w:r w:rsidR="005641BE">
        <w:t xml:space="preserve"> </w:t>
      </w:r>
      <w:r w:rsidR="00940AB2">
        <w:t xml:space="preserve">own resources by way of existing and new taxes still to be agreed upon or from an increase </w:t>
      </w:r>
      <w:r>
        <w:t>in</w:t>
      </w:r>
      <w:r w:rsidR="00940AB2">
        <w:t xml:space="preserve"> the ceiling of national contributions.</w:t>
      </w:r>
      <w:r w:rsidR="00940AB2">
        <w:rPr>
          <w:rStyle w:val="FootnoteReference"/>
        </w:rPr>
        <w:footnoteReference w:id="38"/>
      </w:r>
      <w:r w:rsidR="00940AB2">
        <w:t xml:space="preserve"> I</w:t>
      </w:r>
      <w:r w:rsidR="0079559C">
        <w:t>f</w:t>
      </w:r>
      <w:r w:rsidR="00940AB2">
        <w:t xml:space="preserve"> one country does not pay its contribution, the European Commission </w:t>
      </w:r>
      <w:r w:rsidR="0079559C">
        <w:t xml:space="preserve">is entitled </w:t>
      </w:r>
      <w:r w:rsidR="00940AB2">
        <w:t xml:space="preserve">to call upon the other Member States </w:t>
      </w:r>
      <w:r w:rsidR="00940AB2" w:rsidRPr="0079559C">
        <w:rPr>
          <w:i/>
          <w:iCs/>
        </w:rPr>
        <w:t>pro rata</w:t>
      </w:r>
      <w:r w:rsidR="00940AB2">
        <w:t xml:space="preserve">, which </w:t>
      </w:r>
      <w:r w:rsidR="00230447">
        <w:t>goes in the direction of</w:t>
      </w:r>
      <w:r w:rsidR="00940AB2">
        <w:t xml:space="preserve"> a legal form of solidarity in debt</w:t>
      </w:r>
      <w:r w:rsidR="0079559C">
        <w:t xml:space="preserve"> </w:t>
      </w:r>
      <w:r w:rsidR="005641BE">
        <w:t>among Member States</w:t>
      </w:r>
      <w:r w:rsidR="00230447">
        <w:t xml:space="preserve"> without amounting to full solidarity as a Member State is not supposed to be paying the whole debt before calling upon its co-debtors</w:t>
      </w:r>
      <w:r w:rsidR="00940AB2">
        <w:t>.</w:t>
      </w:r>
      <w:r w:rsidR="00940AB2">
        <w:rPr>
          <w:rStyle w:val="FootnoteReference"/>
        </w:rPr>
        <w:footnoteReference w:id="39"/>
      </w:r>
      <w:r w:rsidR="00940AB2">
        <w:t xml:space="preserve"> </w:t>
      </w:r>
      <w:r w:rsidR="00D108AE">
        <w:t>Secondly, a</w:t>
      </w:r>
      <w:r w:rsidR="00940AB2">
        <w:t xml:space="preserve">t the level of the legal basis, the </w:t>
      </w:r>
      <w:r w:rsidR="00B85C7F">
        <w:t xml:space="preserve">RRF, the main spending instrument for the NextGenEU, </w:t>
      </w:r>
      <w:r w:rsidR="00940AB2">
        <w:t>ha</w:t>
      </w:r>
      <w:r w:rsidR="0079559C">
        <w:t>s</w:t>
      </w:r>
      <w:r w:rsidR="00940AB2">
        <w:t xml:space="preserve"> article 172 TFEU as </w:t>
      </w:r>
      <w:r w:rsidR="00D108AE">
        <w:t xml:space="preserve">its </w:t>
      </w:r>
      <w:r w:rsidR="00940AB2">
        <w:t>legal basis,</w:t>
      </w:r>
      <w:r w:rsidR="0079559C">
        <w:rPr>
          <w:rStyle w:val="FootnoteReference"/>
        </w:rPr>
        <w:footnoteReference w:id="40"/>
      </w:r>
      <w:r w:rsidR="00940AB2">
        <w:t xml:space="preserve"> which is the article providing for social cohesion</w:t>
      </w:r>
      <w:r w:rsidR="005641BE">
        <w:t xml:space="preserve"> policies</w:t>
      </w:r>
      <w:r w:rsidR="00940AB2">
        <w:t xml:space="preserve">. </w:t>
      </w:r>
      <w:r w:rsidR="00D108AE">
        <w:t>The l</w:t>
      </w:r>
      <w:r w:rsidR="00940AB2">
        <w:t>egal scholarship</w:t>
      </w:r>
      <w:r w:rsidR="00D108AE">
        <w:t xml:space="preserve"> has</w:t>
      </w:r>
      <w:r w:rsidR="00940AB2">
        <w:t xml:space="preserve"> discussed the appropriateness of </w:t>
      </w:r>
      <w:r w:rsidR="005641BE">
        <w:t>this</w:t>
      </w:r>
      <w:r w:rsidR="00940AB2">
        <w:t xml:space="preserve"> legal basis</w:t>
      </w:r>
      <w:r w:rsidR="005641BE">
        <w:t>,</w:t>
      </w:r>
      <w:r w:rsidR="00940AB2">
        <w:rPr>
          <w:rStyle w:val="FootnoteReference"/>
        </w:rPr>
        <w:footnoteReference w:id="41"/>
      </w:r>
      <w:r w:rsidR="005641BE">
        <w:t xml:space="preserve"> pointing out that</w:t>
      </w:r>
      <w:r w:rsidR="00230447">
        <w:t xml:space="preserve"> the overall objectives of the RRF are broader than social cohesion</w:t>
      </w:r>
      <w:r w:rsidR="00940AB2">
        <w:t>.</w:t>
      </w:r>
      <w:r w:rsidR="00230447">
        <w:t xml:space="preserve"> In this </w:t>
      </w:r>
      <w:r w:rsidR="00230447">
        <w:lastRenderedPageBreak/>
        <w:t xml:space="preserve">sense, the use of article 172 in this case is diluting </w:t>
      </w:r>
      <w:r w:rsidR="00A53DE0">
        <w:t xml:space="preserve">the notion </w:t>
      </w:r>
      <w:r w:rsidR="00230447">
        <w:t>social cohesion and solidarity</w:t>
      </w:r>
      <w:r w:rsidR="00A53DE0">
        <w:t xml:space="preserve"> and makes it </w:t>
      </w:r>
      <w:proofErr w:type="gramStart"/>
      <w:r w:rsidR="00A53DE0">
        <w:t>loose</w:t>
      </w:r>
      <w:proofErr w:type="gramEnd"/>
      <w:r w:rsidR="00A53DE0">
        <w:t xml:space="preserve"> its specificities</w:t>
      </w:r>
      <w:r w:rsidR="00230447">
        <w:t>.</w:t>
      </w:r>
      <w:r w:rsidR="00940AB2">
        <w:t xml:space="preserve"> </w:t>
      </w:r>
      <w:r w:rsidR="00DF62E2">
        <w:t xml:space="preserve">It </w:t>
      </w:r>
      <w:r w:rsidR="00780D58">
        <w:t>is even more striking that the EU funds allocated under the Cohesion Funds were slow to be spent, highlighting the tension between the Cohesion Funds and the RRF</w:t>
      </w:r>
      <w:r w:rsidR="00A53DE0">
        <w:t xml:space="preserve"> as Member States have limited capacity to spend EU funds</w:t>
      </w:r>
      <w:r w:rsidR="00780D58">
        <w:t>.</w:t>
      </w:r>
      <w:r w:rsidR="00780D58">
        <w:rPr>
          <w:rStyle w:val="FootnoteReference"/>
        </w:rPr>
        <w:footnoteReference w:id="42"/>
      </w:r>
      <w:r w:rsidR="00780D58">
        <w:t xml:space="preserve"> </w:t>
      </w:r>
      <w:r w:rsidR="00D108AE">
        <w:t>Finally, a</w:t>
      </w:r>
      <w:r w:rsidR="00940AB2">
        <w:t>t the level of the conditionality, the Frugal</w:t>
      </w:r>
      <w:r w:rsidR="00F3157A">
        <w:t xml:space="preserve"> Four</w:t>
      </w:r>
      <w:r w:rsidR="00940AB2">
        <w:t xml:space="preserve"> and the European Parliament obtained that </w:t>
      </w:r>
      <w:r w:rsidR="00BA7847">
        <w:t xml:space="preserve">the </w:t>
      </w:r>
      <w:r w:rsidR="00940AB2">
        <w:t xml:space="preserve">financial resources made available through the </w:t>
      </w:r>
      <w:proofErr w:type="spellStart"/>
      <w:r w:rsidR="00940AB2">
        <w:t>NextGenEU</w:t>
      </w:r>
      <w:proofErr w:type="spellEnd"/>
      <w:r w:rsidR="00940AB2">
        <w:t xml:space="preserve"> and the RRF and to which reimbursements all Member States may have </w:t>
      </w:r>
      <w:r w:rsidR="00120717">
        <w:t>to contribute</w:t>
      </w:r>
      <w:r w:rsidR="00940AB2">
        <w:t xml:space="preserve"> would not be spent in a way that goes against the grain of EU membership and that does not contribute positively to EU policies. This led to using different types of conditionality: </w:t>
      </w:r>
      <w:r w:rsidR="00120717">
        <w:t xml:space="preserve">a specific </w:t>
      </w:r>
      <w:r w:rsidR="00940AB2">
        <w:t>conditionality in the national RRF plans include</w:t>
      </w:r>
      <w:r w:rsidR="00230447">
        <w:t>s pursuing</w:t>
      </w:r>
      <w:r w:rsidR="00940AB2">
        <w:t xml:space="preserve"> policy objectives such as the digital and green transitions,</w:t>
      </w:r>
      <w:r w:rsidR="00120717">
        <w:rPr>
          <w:rStyle w:val="FootnoteReference"/>
        </w:rPr>
        <w:footnoteReference w:id="43"/>
      </w:r>
      <w:r w:rsidR="00230447">
        <w:t xml:space="preserve"> and complying with the country recommendations of the European Semester;</w:t>
      </w:r>
      <w:r w:rsidR="00940AB2">
        <w:t xml:space="preserve"> </w:t>
      </w:r>
      <w:r w:rsidR="00120717">
        <w:t xml:space="preserve">a horizontal </w:t>
      </w:r>
      <w:r w:rsidR="00940AB2">
        <w:t>conditionality</w:t>
      </w:r>
      <w:r w:rsidR="00A53DE0">
        <w:t xml:space="preserve"> included in the European </w:t>
      </w:r>
      <w:r w:rsidR="007452E0">
        <w:t xml:space="preserve">structural </w:t>
      </w:r>
      <w:r w:rsidR="00A53DE0">
        <w:t>funds (and thus linked to the multiannual framework)</w:t>
      </w:r>
      <w:r w:rsidR="00230447">
        <w:t xml:space="preserve"> is</w:t>
      </w:r>
      <w:r w:rsidR="00940AB2">
        <w:t xml:space="preserve"> </w:t>
      </w:r>
      <w:r w:rsidR="00120717">
        <w:t>linked to the respect of the EU Charter of Fundamental Rights,</w:t>
      </w:r>
      <w:r w:rsidR="00120717">
        <w:rPr>
          <w:rStyle w:val="FootnoteReference"/>
        </w:rPr>
        <w:footnoteReference w:id="44"/>
      </w:r>
      <w:r w:rsidR="00120717">
        <w:t xml:space="preserve"> and a</w:t>
      </w:r>
      <w:r w:rsidR="00DF62E2">
        <w:t xml:space="preserve">nother </w:t>
      </w:r>
      <w:r w:rsidR="00120717">
        <w:t>horizontal conditionality</w:t>
      </w:r>
      <w:r w:rsidR="00230447">
        <w:t xml:space="preserve"> is</w:t>
      </w:r>
      <w:r w:rsidR="00120717">
        <w:t xml:space="preserve"> linked to the respect of the rule of law, to which we turn in the next section. </w:t>
      </w:r>
    </w:p>
    <w:p w14:paraId="7F4503B6" w14:textId="77777777" w:rsidR="007C0D25" w:rsidRDefault="007C0D25" w:rsidP="00143DFD">
      <w:pPr>
        <w:jc w:val="both"/>
      </w:pPr>
    </w:p>
    <w:p w14:paraId="05C495A5" w14:textId="67C67E25" w:rsidR="00380BD8" w:rsidRDefault="00B85C7F" w:rsidP="00143DFD">
      <w:pPr>
        <w:jc w:val="both"/>
      </w:pPr>
      <w:r>
        <w:t>Overa</w:t>
      </w:r>
      <w:r w:rsidR="00120717">
        <w:t xml:space="preserve">ll, these three </w:t>
      </w:r>
      <w:r w:rsidR="00401C12">
        <w:t>stages</w:t>
      </w:r>
      <w:r w:rsidR="00120717">
        <w:t xml:space="preserve"> </w:t>
      </w:r>
      <w:r>
        <w:t xml:space="preserve">at play in the NextGenEU </w:t>
      </w:r>
      <w:r w:rsidR="00120717">
        <w:t>show the legal discussions underpinning the use of “solidarity”. It is not merely a lofty political slogan or even a geo-strategic need, but</w:t>
      </w:r>
      <w:r w:rsidR="00C958B1">
        <w:t xml:space="preserve"> solidarity</w:t>
      </w:r>
      <w:r w:rsidR="00401C12">
        <w:t xml:space="preserve"> is embodied in </w:t>
      </w:r>
      <w:r w:rsidR="00C958B1">
        <w:t xml:space="preserve">legal </w:t>
      </w:r>
      <w:proofErr w:type="gramStart"/>
      <w:r w:rsidR="00C958B1">
        <w:t>provisions  with</w:t>
      </w:r>
      <w:proofErr w:type="gramEnd"/>
      <w:r w:rsidR="00C958B1">
        <w:t xml:space="preserve"> </w:t>
      </w:r>
      <w:r w:rsidR="00230447">
        <w:t xml:space="preserve">varying </w:t>
      </w:r>
      <w:r w:rsidR="00C958B1">
        <w:t>modalities</w:t>
      </w:r>
      <w:r w:rsidR="00120717">
        <w:t xml:space="preserve">. The ways in which they come together is not clearly articulated </w:t>
      </w:r>
      <w:r>
        <w:t xml:space="preserve">across the legal architecture of the </w:t>
      </w:r>
      <w:r w:rsidR="00386402">
        <w:t>NextGenEU,</w:t>
      </w:r>
      <w:r>
        <w:t xml:space="preserve"> </w:t>
      </w:r>
      <w:r w:rsidR="00120717">
        <w:t xml:space="preserve">however. The question </w:t>
      </w:r>
      <w:r w:rsidR="00C50DCD">
        <w:t>wa</w:t>
      </w:r>
      <w:r w:rsidR="00BA7847">
        <w:t xml:space="preserve">s </w:t>
      </w:r>
      <w:r w:rsidR="00120717">
        <w:t>th</w:t>
      </w:r>
      <w:r>
        <w:t>us</w:t>
      </w:r>
      <w:r w:rsidR="00120717">
        <w:t xml:space="preserve"> whether solidarity</w:t>
      </w:r>
      <w:r w:rsidR="00F60D50">
        <w:t xml:space="preserve"> </w:t>
      </w:r>
      <w:r w:rsidR="00BA7847">
        <w:t>w</w:t>
      </w:r>
      <w:r w:rsidR="00C50DCD">
        <w:t>ould</w:t>
      </w:r>
      <w:r w:rsidR="00BA7847">
        <w:t xml:space="preserve"> </w:t>
      </w:r>
      <w:r w:rsidR="00230447">
        <w:t>fade in</w:t>
      </w:r>
      <w:r w:rsidR="00BA7847">
        <w:t>to</w:t>
      </w:r>
      <w:r w:rsidR="00230447">
        <w:t xml:space="preserve"> the background</w:t>
      </w:r>
      <w:r w:rsidR="00F60D50">
        <w:t xml:space="preserve"> once</w:t>
      </w:r>
      <w:r w:rsidR="00230447">
        <w:t xml:space="preserve"> </w:t>
      </w:r>
      <w:r w:rsidR="00120717">
        <w:t xml:space="preserve">legal arguments </w:t>
      </w:r>
      <w:r w:rsidR="004C546D">
        <w:t>mount</w:t>
      </w:r>
      <w:r w:rsidR="00120717">
        <w:t xml:space="preserve"> against </w:t>
      </w:r>
      <w:r w:rsidR="00230447">
        <w:t>the NextGenEU and its satellites</w:t>
      </w:r>
      <w:r w:rsidR="00120717">
        <w:t xml:space="preserve">, or whether </w:t>
      </w:r>
      <w:r w:rsidR="00401C12">
        <w:t>conditionality would ensure effective implementation of EU law, and thus mutual trust and by implication solidarity</w:t>
      </w:r>
      <w:r w:rsidR="00120717">
        <w:t>.</w:t>
      </w:r>
    </w:p>
    <w:p w14:paraId="071BAA78" w14:textId="11129FD8" w:rsidR="00EB1C88" w:rsidRDefault="00EB1C88" w:rsidP="00C76CB1">
      <w:pPr>
        <w:pStyle w:val="Heading1"/>
      </w:pPr>
      <w:r w:rsidRPr="00487848">
        <w:rPr>
          <w:i/>
          <w:iCs/>
        </w:rPr>
        <w:t>Budget Conditionality</w:t>
      </w:r>
      <w:r>
        <w:t xml:space="preserve"> Judgments</w:t>
      </w:r>
    </w:p>
    <w:p w14:paraId="7C6225B6" w14:textId="77777777" w:rsidR="00D6225E" w:rsidRDefault="00D6225E" w:rsidP="00B6715E">
      <w:pPr>
        <w:keepNext/>
        <w:keepLines/>
        <w:jc w:val="both"/>
      </w:pPr>
    </w:p>
    <w:p w14:paraId="2D83D896" w14:textId="44E2382B" w:rsidR="00EB1C88" w:rsidRDefault="00284073" w:rsidP="00B6715E">
      <w:pPr>
        <w:keepNext/>
        <w:keepLines/>
        <w:jc w:val="both"/>
      </w:pPr>
      <w:r>
        <w:t>The Conditionality Regulation provides that the EU can suspend and withdraw financial transfer</w:t>
      </w:r>
      <w:r w:rsidR="008A4F29">
        <w:t>s</w:t>
      </w:r>
      <w:r>
        <w:t xml:space="preserve"> to a Member State </w:t>
      </w:r>
      <w:r w:rsidR="00E446D8">
        <w:t xml:space="preserve">in case of breaches </w:t>
      </w:r>
      <w:r w:rsidR="00BA7847">
        <w:t>of</w:t>
      </w:r>
      <w:r w:rsidR="00E446D8">
        <w:t xml:space="preserve"> the principle of the rule of law</w:t>
      </w:r>
      <w:r>
        <w:t>.</w:t>
      </w:r>
      <w:r w:rsidR="00E446D8">
        <w:rPr>
          <w:rStyle w:val="FootnoteReference"/>
        </w:rPr>
        <w:footnoteReference w:id="45"/>
      </w:r>
      <w:r>
        <w:t xml:space="preserve"> It sets out the procedure to be initiated by the European Commission and decided by the Council.</w:t>
      </w:r>
      <w:r>
        <w:rPr>
          <w:rStyle w:val="FootnoteReference"/>
        </w:rPr>
        <w:footnoteReference w:id="46"/>
      </w:r>
      <w:r>
        <w:t xml:space="preserve"> Poland and Hungary challenged the validity of this regulation on various counts, including its legal basis and its scope. </w:t>
      </w:r>
      <w:r w:rsidR="006B36DF">
        <w:t>T</w:t>
      </w:r>
      <w:r>
        <w:t xml:space="preserve">hese two Member States </w:t>
      </w:r>
      <w:r w:rsidR="006B36DF">
        <w:t xml:space="preserve">argued that </w:t>
      </w:r>
      <w:r>
        <w:t xml:space="preserve">a direct link needed to exist between the infringed rules and the money withdrawn or suspended. The absence of such a link would </w:t>
      </w:r>
      <w:r w:rsidR="00230447">
        <w:t xml:space="preserve">otherwise </w:t>
      </w:r>
      <w:r>
        <w:t xml:space="preserve">entail that the Conditionality Regulation would </w:t>
      </w:r>
      <w:r w:rsidR="00B207E6">
        <w:t>allow for</w:t>
      </w:r>
      <w:r>
        <w:t xml:space="preserve"> </w:t>
      </w:r>
      <w:r w:rsidR="00D6225E">
        <w:t>circumventing</w:t>
      </w:r>
      <w:r>
        <w:t xml:space="preserve"> Article 7 TEU.</w:t>
      </w:r>
    </w:p>
    <w:p w14:paraId="28EC7FAA" w14:textId="77777777" w:rsidR="00D6225E" w:rsidRDefault="00D6225E" w:rsidP="00284073">
      <w:pPr>
        <w:jc w:val="both"/>
      </w:pPr>
    </w:p>
    <w:p w14:paraId="44AB2C47" w14:textId="72B7BA99" w:rsidR="00284073" w:rsidRDefault="00284073" w:rsidP="00284073">
      <w:pPr>
        <w:jc w:val="both"/>
      </w:pPr>
      <w:r>
        <w:t xml:space="preserve">Advocate </w:t>
      </w:r>
      <w:r w:rsidR="00BE378B">
        <w:t>G</w:t>
      </w:r>
      <w:r>
        <w:t>eneral</w:t>
      </w:r>
      <w:r w:rsidR="008A4F29">
        <w:t xml:space="preserve"> Campos Sanchez-Bordona</w:t>
      </w:r>
      <w:r>
        <w:t xml:space="preserve"> rejected these arguments, emphasising that</w:t>
      </w:r>
      <w:r w:rsidR="00B72E96">
        <w:t xml:space="preserve"> “</w:t>
      </w:r>
      <w:r w:rsidR="00230447">
        <w:t>[c]</w:t>
      </w:r>
      <w:r w:rsidR="00B72E96" w:rsidRPr="00B72E96">
        <w:rPr>
          <w:i/>
          <w:iCs/>
        </w:rPr>
        <w:t>ompliance with the principles of the rule of law may be vitally important for the sound operation of public finances and proper budgetary implementation</w:t>
      </w:r>
      <w:r w:rsidR="00B72E96">
        <w:t>”</w:t>
      </w:r>
      <w:r w:rsidR="00B72E96">
        <w:rPr>
          <w:rStyle w:val="FootnoteReference"/>
        </w:rPr>
        <w:footnoteReference w:id="47"/>
      </w:r>
      <w:r w:rsidR="00B72E96">
        <w:t>. He accepted cross-conditionality (“</w:t>
      </w:r>
      <w:r w:rsidR="00B72E96" w:rsidRPr="00B72E96">
        <w:rPr>
          <w:i/>
          <w:iCs/>
        </w:rPr>
        <w:t xml:space="preserve">which means that corrective action need not be taken against all sectors affected by the breach of the rule of law or that it can be applied to ongoing expenditure from </w:t>
      </w:r>
      <w:r w:rsidR="00B72E96" w:rsidRPr="00B72E96">
        <w:rPr>
          <w:i/>
          <w:iCs/>
        </w:rPr>
        <w:lastRenderedPageBreak/>
        <w:t>the Union budget</w:t>
      </w:r>
      <w:r w:rsidR="00B72E96">
        <w:rPr>
          <w:i/>
          <w:iCs/>
        </w:rPr>
        <w:t>”</w:t>
      </w:r>
      <w:r w:rsidR="00B72E96" w:rsidRPr="00B72E96">
        <w:t>)</w:t>
      </w:r>
      <w:r w:rsidR="00B72E96">
        <w:rPr>
          <w:rStyle w:val="FootnoteReference"/>
        </w:rPr>
        <w:footnoteReference w:id="48"/>
      </w:r>
      <w:r w:rsidR="00B72E96">
        <w:t xml:space="preserve"> and that “</w:t>
      </w:r>
      <w:r w:rsidR="00B72E96" w:rsidRPr="00CA401C">
        <w:rPr>
          <w:i/>
          <w:iCs/>
        </w:rPr>
        <w:t>the conditionality mechanism applies financial corrective action rather than penalties for breach of the principles of the rule of law</w:t>
      </w:r>
      <w:r w:rsidR="00B72E96">
        <w:t>”</w:t>
      </w:r>
      <w:r w:rsidR="00B72E96">
        <w:rPr>
          <w:rStyle w:val="FootnoteReference"/>
        </w:rPr>
        <w:footnoteReference w:id="49"/>
      </w:r>
      <w:r w:rsidR="00B72E96" w:rsidRPr="00B72E96">
        <w:t>.</w:t>
      </w:r>
      <w:r w:rsidR="00B72E96">
        <w:t xml:space="preserve"> According to him, the techniques of the </w:t>
      </w:r>
      <w:r w:rsidR="00F7334C">
        <w:t>C</w:t>
      </w:r>
      <w:r w:rsidR="00B72E96">
        <w:t xml:space="preserve">onditionality </w:t>
      </w:r>
      <w:r w:rsidR="00F7334C">
        <w:t>R</w:t>
      </w:r>
      <w:r w:rsidR="00B72E96">
        <w:t xml:space="preserve">egulation are akin to those used in the financial regulations and not those of article 7 TEU, meaning that there </w:t>
      </w:r>
      <w:r w:rsidR="00C50DCD">
        <w:t>i</w:t>
      </w:r>
      <w:r w:rsidR="00B72E96">
        <w:t>s no circumvention of</w:t>
      </w:r>
      <w:r w:rsidR="00B6715E">
        <w:t xml:space="preserve"> </w:t>
      </w:r>
      <w:r w:rsidR="00CA401C">
        <w:t xml:space="preserve">this </w:t>
      </w:r>
      <w:r w:rsidR="00B72E96">
        <w:t>Article</w:t>
      </w:r>
      <w:r w:rsidR="00A46BBE">
        <w:t>.</w:t>
      </w:r>
      <w:r w:rsidR="00A46BBE">
        <w:rPr>
          <w:rStyle w:val="FootnoteReference"/>
        </w:rPr>
        <w:footnoteReference w:id="50"/>
      </w:r>
      <w:r w:rsidR="00B72E96">
        <w:t xml:space="preserve"> </w:t>
      </w:r>
      <w:r>
        <w:t xml:space="preserve"> </w:t>
      </w:r>
    </w:p>
    <w:p w14:paraId="707E77BD" w14:textId="77777777" w:rsidR="00D6225E" w:rsidRDefault="00D6225E" w:rsidP="00284073">
      <w:pPr>
        <w:jc w:val="both"/>
      </w:pPr>
    </w:p>
    <w:p w14:paraId="0F815D72" w14:textId="3591A496" w:rsidR="00284073" w:rsidRDefault="00A46BBE" w:rsidP="00284073">
      <w:pPr>
        <w:jc w:val="both"/>
      </w:pPr>
      <w:r>
        <w:t>T</w:t>
      </w:r>
      <w:r w:rsidR="00284073">
        <w:t xml:space="preserve">he </w:t>
      </w:r>
      <w:r w:rsidR="00B6715E">
        <w:t xml:space="preserve">CJEU </w:t>
      </w:r>
      <w:r w:rsidR="00284073">
        <w:t>validated the Conditionality Regulation</w:t>
      </w:r>
      <w:r>
        <w:t xml:space="preserve">; yet </w:t>
      </w:r>
      <w:r w:rsidR="00284073">
        <w:t>it also heard the argument of Poland and Hungary about the need f</w:t>
      </w:r>
      <w:r w:rsidR="00CA401C">
        <w:t>or</w:t>
      </w:r>
      <w:r w:rsidR="00284073">
        <w:t xml:space="preserve"> a link between a breach of EU law and the funds suspended or withdrawn. If it is true that the </w:t>
      </w:r>
      <w:r w:rsidR="00B6715E">
        <w:t xml:space="preserve">CJEU </w:t>
      </w:r>
      <w:r w:rsidR="00284073">
        <w:t>does not set the threshold as high as argued by Poland and Hungary</w:t>
      </w:r>
      <w:r w:rsidR="008A6F65">
        <w:t>;</w:t>
      </w:r>
      <w:r w:rsidR="00284073">
        <w:t xml:space="preserve"> it is mindful to limit the scope of action of the European Commission and to leave some room for interpretation </w:t>
      </w:r>
      <w:r w:rsidR="00E116EF">
        <w:t>for</w:t>
      </w:r>
      <w:r w:rsidR="00284073">
        <w:t xml:space="preserve"> future case law. Three </w:t>
      </w:r>
      <w:r w:rsidR="00D45EDA">
        <w:t>features of the judgments</w:t>
      </w:r>
      <w:r w:rsidR="00284073">
        <w:t xml:space="preserve"> deserve attention from a solidarity perspective.</w:t>
      </w:r>
    </w:p>
    <w:p w14:paraId="4FF369AC" w14:textId="2F63D59A" w:rsidR="00CA401C" w:rsidRDefault="00284073" w:rsidP="00B207E6">
      <w:pPr>
        <w:pStyle w:val="c01pointnumerotealtn"/>
        <w:jc w:val="both"/>
      </w:pPr>
      <w:r>
        <w:t>Firstly, the C</w:t>
      </w:r>
      <w:r w:rsidR="00A46BBE">
        <w:t xml:space="preserve">JEU </w:t>
      </w:r>
      <w:r w:rsidR="00CA2E61">
        <w:t xml:space="preserve">elaborates its reasoning in a principled manner in </w:t>
      </w:r>
      <w:r w:rsidR="00CA401C">
        <w:t>the Polish Judgment</w:t>
      </w:r>
      <w:r w:rsidR="00CA401C">
        <w:rPr>
          <w:rStyle w:val="FootnoteReference"/>
        </w:rPr>
        <w:footnoteReference w:id="51"/>
      </w:r>
      <w:r w:rsidR="00CA401C">
        <w:t xml:space="preserve"> and in the Hungarian Judgment</w:t>
      </w:r>
      <w:r w:rsidR="00CA2E61">
        <w:t>,</w:t>
      </w:r>
      <w:r w:rsidR="00CA401C">
        <w:rPr>
          <w:rStyle w:val="FootnoteReference"/>
        </w:rPr>
        <w:footnoteReference w:id="52"/>
      </w:r>
      <w:r w:rsidR="00CA2E61">
        <w:t xml:space="preserve"> and then applies the principles to the facts of the case.</w:t>
      </w:r>
      <w:r w:rsidR="00471075">
        <w:rPr>
          <w:rStyle w:val="FootnoteReference"/>
        </w:rPr>
        <w:footnoteReference w:id="53"/>
      </w:r>
      <w:r w:rsidR="00CA2E61">
        <w:t xml:space="preserve"> In the principle </w:t>
      </w:r>
      <w:r w:rsidR="00A46BBE">
        <w:t>the CJEU</w:t>
      </w:r>
      <w:r w:rsidR="00CA2E61">
        <w:t xml:space="preserve"> sets out, it notably posits</w:t>
      </w:r>
      <w:r>
        <w:t xml:space="preserve"> that </w:t>
      </w:r>
    </w:p>
    <w:p w14:paraId="1620E9F4" w14:textId="7B9AE80A" w:rsidR="00CA401C" w:rsidRPr="00CA401C" w:rsidRDefault="00284073" w:rsidP="00CA401C">
      <w:pPr>
        <w:pStyle w:val="c01pointnumerotealtn"/>
        <w:ind w:left="720"/>
        <w:jc w:val="both"/>
        <w:rPr>
          <w:sz w:val="22"/>
          <w:szCs w:val="22"/>
        </w:rPr>
      </w:pPr>
      <w:r w:rsidRPr="00CA401C">
        <w:rPr>
          <w:sz w:val="22"/>
          <w:szCs w:val="22"/>
        </w:rPr>
        <w:t>“</w:t>
      </w:r>
      <w:r w:rsidR="005409E2" w:rsidRPr="00CA401C">
        <w:rPr>
          <w:i/>
          <w:iCs/>
          <w:sz w:val="22"/>
          <w:szCs w:val="22"/>
        </w:rPr>
        <w:t>the Union budget is one of the principal instruments for giving practical effect, in the Union’s policies and activities, to the principle of solidarity, mentioned in Article 2 TEU, which is itself one of the fundamental principles of EU law</w:t>
      </w:r>
      <w:r w:rsidR="00A46BBE" w:rsidRPr="00CA401C">
        <w:rPr>
          <w:i/>
          <w:iCs/>
          <w:sz w:val="22"/>
          <w:szCs w:val="22"/>
        </w:rPr>
        <w:t xml:space="preserve"> […]</w:t>
      </w:r>
      <w:r w:rsidR="005409E2" w:rsidRPr="00CA401C">
        <w:rPr>
          <w:i/>
          <w:iCs/>
          <w:sz w:val="22"/>
          <w:szCs w:val="22"/>
        </w:rPr>
        <w:t>, and</w:t>
      </w:r>
      <w:r w:rsidR="003B34AF" w:rsidRPr="00CA401C">
        <w:rPr>
          <w:i/>
          <w:iCs/>
          <w:sz w:val="22"/>
          <w:szCs w:val="22"/>
        </w:rPr>
        <w:t xml:space="preserve"> […]</w:t>
      </w:r>
      <w:r w:rsidR="005409E2" w:rsidRPr="00CA401C">
        <w:rPr>
          <w:i/>
          <w:iCs/>
          <w:sz w:val="22"/>
          <w:szCs w:val="22"/>
        </w:rPr>
        <w:t xml:space="preserve"> the implementation of that principle, through the Union budget, is based on mutual trust between the Member States in the responsible use of the common resources included in that budget. That mutual trust is</w:t>
      </w:r>
      <w:r w:rsidR="005409E2" w:rsidRPr="00CA401C">
        <w:rPr>
          <w:sz w:val="22"/>
          <w:szCs w:val="22"/>
        </w:rPr>
        <w:t xml:space="preserve"> </w:t>
      </w:r>
      <w:r w:rsidR="005409E2" w:rsidRPr="00CA401C">
        <w:rPr>
          <w:i/>
          <w:iCs/>
          <w:sz w:val="22"/>
          <w:szCs w:val="22"/>
        </w:rPr>
        <w:t>itself based</w:t>
      </w:r>
      <w:r w:rsidR="0020282A" w:rsidRPr="00CA401C">
        <w:rPr>
          <w:i/>
          <w:iCs/>
          <w:sz w:val="22"/>
          <w:szCs w:val="22"/>
        </w:rPr>
        <w:t xml:space="preserve"> […]</w:t>
      </w:r>
      <w:r w:rsidR="005409E2" w:rsidRPr="00CA401C">
        <w:rPr>
          <w:i/>
          <w:iCs/>
          <w:sz w:val="22"/>
          <w:szCs w:val="22"/>
        </w:rPr>
        <w:t xml:space="preserve"> on the commitment of each Member State to comply with its obligations under EU law and to continue to comply</w:t>
      </w:r>
      <w:r w:rsidR="00E116EF">
        <w:rPr>
          <w:i/>
          <w:iCs/>
          <w:sz w:val="22"/>
          <w:szCs w:val="22"/>
        </w:rPr>
        <w:t xml:space="preserve"> </w:t>
      </w:r>
      <w:r w:rsidR="00E116EF" w:rsidRPr="00CA401C">
        <w:rPr>
          <w:i/>
          <w:iCs/>
          <w:sz w:val="22"/>
          <w:szCs w:val="22"/>
        </w:rPr>
        <w:t>[…]</w:t>
      </w:r>
      <w:r w:rsidR="005409E2" w:rsidRPr="00CA401C">
        <w:rPr>
          <w:i/>
          <w:iCs/>
          <w:sz w:val="22"/>
          <w:szCs w:val="22"/>
        </w:rPr>
        <w:t xml:space="preserve"> with the values contained in Article 2 TEU, which include the value of the rule of law</w:t>
      </w:r>
      <w:r w:rsidR="005409E2" w:rsidRPr="00CA401C">
        <w:rPr>
          <w:sz w:val="22"/>
          <w:szCs w:val="22"/>
        </w:rPr>
        <w:t>.</w:t>
      </w:r>
      <w:r w:rsidR="003B34AF" w:rsidRPr="00CA401C">
        <w:rPr>
          <w:sz w:val="22"/>
          <w:szCs w:val="22"/>
        </w:rPr>
        <w:t>”</w:t>
      </w:r>
      <w:r w:rsidR="003B34AF" w:rsidRPr="00CA401C">
        <w:rPr>
          <w:rStyle w:val="FootnoteReference"/>
          <w:sz w:val="22"/>
          <w:szCs w:val="22"/>
        </w:rPr>
        <w:footnoteReference w:id="54"/>
      </w:r>
      <w:r w:rsidR="003B34AF" w:rsidRPr="00CA401C">
        <w:rPr>
          <w:sz w:val="22"/>
          <w:szCs w:val="22"/>
        </w:rPr>
        <w:t xml:space="preserve"> </w:t>
      </w:r>
    </w:p>
    <w:p w14:paraId="02CC781C" w14:textId="74A5C26E" w:rsidR="00B207E6" w:rsidRDefault="003B34AF" w:rsidP="00B207E6">
      <w:pPr>
        <w:pStyle w:val="c01pointnumerotealtn"/>
        <w:jc w:val="both"/>
      </w:pPr>
      <w:r>
        <w:t>The CJEU continues by highlighting the “</w:t>
      </w:r>
      <w:r w:rsidR="005409E2" w:rsidRPr="00CA401C">
        <w:rPr>
          <w:i/>
          <w:iCs/>
        </w:rPr>
        <w:t>clear relationship between, on the one hand, respect for the value of the rule of law and, on the other hand, the efficient implementation of the Union budget, in accordance with the principles of sound financial management, and the protection of the financial interests of the Union</w:t>
      </w:r>
      <w:r>
        <w:t>”</w:t>
      </w:r>
      <w:r w:rsidR="005409E2">
        <w:t>.</w:t>
      </w:r>
      <w:r>
        <w:rPr>
          <w:rStyle w:val="FootnoteReference"/>
        </w:rPr>
        <w:footnoteReference w:id="55"/>
      </w:r>
      <w:r>
        <w:t xml:space="preserve"> Indeed, the</w:t>
      </w:r>
      <w:r w:rsidR="005409E2">
        <w:t xml:space="preserve"> </w:t>
      </w:r>
      <w:r>
        <w:t>“</w:t>
      </w:r>
      <w:r w:rsidR="005409E2" w:rsidRPr="00CA401C">
        <w:rPr>
          <w:i/>
          <w:iCs/>
        </w:rPr>
        <w:t>sound financial management and those financial interests are liable to be seriously compromised by breaches of the principles of the rule of law committed in a Member State, since those breaches may result, inter alia, in there being no guarantee that expenditure covered by the Union budget satisfies all the financing conditions laid down by EU law and therefore meets the objectives pursued by the European Union when it finances such expenditure</w:t>
      </w:r>
      <w:r>
        <w:t>”.</w:t>
      </w:r>
      <w:r w:rsidR="005409E2">
        <w:rPr>
          <w:rStyle w:val="FootnoteReference"/>
        </w:rPr>
        <w:footnoteReference w:id="56"/>
      </w:r>
      <w:r w:rsidR="00284073">
        <w:t xml:space="preserve"> </w:t>
      </w:r>
    </w:p>
    <w:p w14:paraId="2CA95DA9" w14:textId="1868723E" w:rsidR="00284073" w:rsidRDefault="00284073" w:rsidP="00284073">
      <w:pPr>
        <w:jc w:val="both"/>
      </w:pPr>
      <w:r>
        <w:t>Th</w:t>
      </w:r>
      <w:r w:rsidR="00B6715E">
        <w:t>ese paragraphs are</w:t>
      </w:r>
      <w:r>
        <w:t xml:space="preserve"> a key building block in the </w:t>
      </w:r>
      <w:r w:rsidR="00B6715E">
        <w:t xml:space="preserve">CJEU’s </w:t>
      </w:r>
      <w:r>
        <w:t xml:space="preserve">overall reasoning to validate the </w:t>
      </w:r>
      <w:r w:rsidR="00F7334C">
        <w:t xml:space="preserve">Conditionality Regulation </w:t>
      </w:r>
      <w:r w:rsidR="00A43D8B">
        <w:t xml:space="preserve">and to </w:t>
      </w:r>
      <w:r w:rsidR="00B6715E">
        <w:t>accept its legal basis</w:t>
      </w:r>
      <w:r w:rsidR="00B6715E" w:rsidRPr="00B6715E">
        <w:t>.</w:t>
      </w:r>
      <w:r w:rsidRPr="00B6715E">
        <w:t xml:space="preserve"> </w:t>
      </w:r>
      <w:r w:rsidR="00A43D8B">
        <w:t>Firstly, t</w:t>
      </w:r>
      <w:r w:rsidR="00B6715E" w:rsidRPr="00B6715E">
        <w:t>he CJEU analys</w:t>
      </w:r>
      <w:r w:rsidR="00A43D8B">
        <w:t>es</w:t>
      </w:r>
      <w:r w:rsidR="00B6715E" w:rsidRPr="00B6715E">
        <w:t xml:space="preserve"> </w:t>
      </w:r>
      <w:r w:rsidR="00A43D8B">
        <w:t>the</w:t>
      </w:r>
      <w:r w:rsidR="00B6715E" w:rsidRPr="00B6715E">
        <w:t xml:space="preserve"> </w:t>
      </w:r>
      <w:r w:rsidR="00D13F34" w:rsidRPr="00B6715E">
        <w:t>intent and content</w:t>
      </w:r>
      <w:r w:rsidR="00B6715E" w:rsidRPr="00B6715E">
        <w:t xml:space="preserve"> of the </w:t>
      </w:r>
      <w:r w:rsidR="00F7334C">
        <w:t>Conditionality Regulation</w:t>
      </w:r>
      <w:r w:rsidR="00B6715E" w:rsidRPr="00B6715E">
        <w:t xml:space="preserve">, and how </w:t>
      </w:r>
      <w:r w:rsidR="00A43D8B">
        <w:t xml:space="preserve">it is </w:t>
      </w:r>
      <w:r w:rsidR="00B6715E" w:rsidRPr="00B6715E">
        <w:t>link</w:t>
      </w:r>
      <w:r w:rsidR="00A43D8B">
        <w:t>ed</w:t>
      </w:r>
      <w:r w:rsidR="00B6715E" w:rsidRPr="00B6715E">
        <w:t xml:space="preserve"> </w:t>
      </w:r>
      <w:r w:rsidR="00A43D8B">
        <w:t xml:space="preserve">to </w:t>
      </w:r>
      <w:r w:rsidR="00B6715E" w:rsidRPr="00B6715E">
        <w:t xml:space="preserve">the </w:t>
      </w:r>
      <w:r w:rsidR="00D13F34" w:rsidRPr="00B6715E">
        <w:t>identity</w:t>
      </w:r>
      <w:r w:rsidR="00B6715E" w:rsidRPr="00B6715E">
        <w:t xml:space="preserve"> of the EU legal order</w:t>
      </w:r>
      <w:r w:rsidR="00D13F34" w:rsidRPr="00B6715E">
        <w:t xml:space="preserve">, </w:t>
      </w:r>
      <w:r w:rsidR="00B6715E" w:rsidRPr="00B6715E">
        <w:t xml:space="preserve">EU </w:t>
      </w:r>
      <w:r w:rsidR="00D13F34" w:rsidRPr="00B6715E">
        <w:t>membership and solidarity</w:t>
      </w:r>
      <w:r w:rsidR="00B6715E" w:rsidRPr="00B6715E">
        <w:t xml:space="preserve"> between the Member States.</w:t>
      </w:r>
      <w:r w:rsidR="00633930" w:rsidRPr="00B6715E">
        <w:rPr>
          <w:rStyle w:val="FootnoteReference"/>
        </w:rPr>
        <w:footnoteReference w:id="57"/>
      </w:r>
    </w:p>
    <w:p w14:paraId="18CEE98A" w14:textId="77777777" w:rsidR="003B34AF" w:rsidRDefault="003B34AF" w:rsidP="00284073">
      <w:pPr>
        <w:jc w:val="both"/>
      </w:pPr>
    </w:p>
    <w:p w14:paraId="7E141D17" w14:textId="1D744FF3" w:rsidR="00D45EDA" w:rsidRDefault="00D45EDA" w:rsidP="00284073">
      <w:pPr>
        <w:jc w:val="both"/>
      </w:pPr>
      <w:r>
        <w:t xml:space="preserve">Secondly, </w:t>
      </w:r>
      <w:r w:rsidR="00A43D8B">
        <w:t xml:space="preserve">the </w:t>
      </w:r>
      <w:r w:rsidR="00A43D8B" w:rsidRPr="00B6715E">
        <w:t>CJEU</w:t>
      </w:r>
      <w:r w:rsidR="00A43D8B" w:rsidRPr="003B34AF">
        <w:t xml:space="preserve"> </w:t>
      </w:r>
      <w:r w:rsidRPr="003B34AF">
        <w:t>clarifies that article 3</w:t>
      </w:r>
      <w:r w:rsidR="00CE6D49" w:rsidRPr="003B34AF">
        <w:t>2</w:t>
      </w:r>
      <w:r w:rsidRPr="003B34AF">
        <w:t>2</w:t>
      </w:r>
      <w:r w:rsidR="00CE6D49" w:rsidRPr="003B34AF">
        <w:t xml:space="preserve"> (1) (a)</w:t>
      </w:r>
      <w:r w:rsidRPr="003B34AF">
        <w:t xml:space="preserve"> TFEU is</w:t>
      </w:r>
      <w:r>
        <w:t xml:space="preserve"> an appropriate legal basis for the </w:t>
      </w:r>
      <w:r w:rsidR="00F7334C">
        <w:t>Conditionality Regulation</w:t>
      </w:r>
      <w:r>
        <w:t xml:space="preserve">. However, this means that the </w:t>
      </w:r>
      <w:r w:rsidR="00F7334C">
        <w:t xml:space="preserve">Conditionality Regulation </w:t>
      </w:r>
      <w:r>
        <w:t>can only be used for</w:t>
      </w:r>
      <w:r w:rsidR="00A43D8B">
        <w:t xml:space="preserve"> a</w:t>
      </w:r>
      <w:r>
        <w:t xml:space="preserve"> direct breach or</w:t>
      </w:r>
      <w:r w:rsidR="00A43D8B">
        <w:t xml:space="preserve"> a</w:t>
      </w:r>
      <w:r>
        <w:t xml:space="preserve"> sufficiently direct breach of a rule with an impact on sound financial management and the protection of the financial interests of the Union</w:t>
      </w:r>
      <w:r w:rsidR="006931E8">
        <w:t xml:space="preserve"> as provided in article 4 (1) of the Regulation</w:t>
      </w:r>
      <w:r>
        <w:t xml:space="preserve">. </w:t>
      </w:r>
      <w:r w:rsidR="006931E8">
        <w:t>T</w:t>
      </w:r>
      <w:r>
        <w:t xml:space="preserve">he </w:t>
      </w:r>
      <w:r w:rsidR="00F7334C">
        <w:t xml:space="preserve">Conditionality Regulation </w:t>
      </w:r>
      <w:r>
        <w:t xml:space="preserve">can </w:t>
      </w:r>
      <w:r w:rsidR="006931E8">
        <w:t xml:space="preserve">only </w:t>
      </w:r>
      <w:r>
        <w:t xml:space="preserve">be used for </w:t>
      </w:r>
      <w:r w:rsidR="006931E8">
        <w:t xml:space="preserve">breaches in </w:t>
      </w:r>
      <w:r>
        <w:t>implementing the financial regulation</w:t>
      </w:r>
      <w:r w:rsidR="00A43D8B">
        <w:t>s</w:t>
      </w:r>
      <w:r>
        <w:t>, but not for protecting the rule of law in general. It is not supposed to have a c</w:t>
      </w:r>
      <w:r w:rsidR="006931E8">
        <w:t xml:space="preserve"> </w:t>
      </w:r>
      <w:r>
        <w:t>punitive effect as article 3</w:t>
      </w:r>
      <w:r w:rsidR="00CE6D49">
        <w:t>2</w:t>
      </w:r>
      <w:r>
        <w:t>2 TFEU does not encompass such measures.</w:t>
      </w:r>
      <w:r w:rsidR="00CE6D49">
        <w:rPr>
          <w:rStyle w:val="FootnoteReference"/>
        </w:rPr>
        <w:footnoteReference w:id="58"/>
      </w:r>
    </w:p>
    <w:p w14:paraId="09874057" w14:textId="77777777" w:rsidR="00D6225E" w:rsidRDefault="00D6225E" w:rsidP="00284073">
      <w:pPr>
        <w:jc w:val="both"/>
      </w:pPr>
    </w:p>
    <w:p w14:paraId="288420EA" w14:textId="704B2EF4" w:rsidR="0045050F" w:rsidRDefault="00D45EDA" w:rsidP="00284073">
      <w:pPr>
        <w:jc w:val="both"/>
      </w:pPr>
      <w:r>
        <w:t xml:space="preserve">Thirdly, the </w:t>
      </w:r>
      <w:r w:rsidR="00A43D8B" w:rsidRPr="00B6715E">
        <w:t>CJEU</w:t>
      </w:r>
      <w:r w:rsidR="00A43D8B">
        <w:t xml:space="preserve"> </w:t>
      </w:r>
      <w:r>
        <w:t xml:space="preserve">specifies that the European Commission needs to act at each stage of the procedure – from assessing the sources of information up to monitoring the implementation of measures adopted by the Council </w:t>
      </w:r>
      <w:proofErr w:type="gramStart"/>
      <w:r>
        <w:t>on the basis of</w:t>
      </w:r>
      <w:proofErr w:type="gramEnd"/>
      <w:r>
        <w:t xml:space="preserve"> the </w:t>
      </w:r>
      <w:r w:rsidR="00F7334C">
        <w:t xml:space="preserve">Conditionality Regulation </w:t>
      </w:r>
      <w:r>
        <w:t xml:space="preserve">– in an objective, independent and fair manner, in short </w:t>
      </w:r>
      <w:r w:rsidR="00D13F34">
        <w:t>by complying itself with the rule of law principles</w:t>
      </w:r>
      <w:r w:rsidR="006931E8">
        <w:t xml:space="preserve"> and eschewing the risks of arbitrariness</w:t>
      </w:r>
      <w:r w:rsidR="00D13F34">
        <w:t xml:space="preserve">. </w:t>
      </w:r>
    </w:p>
    <w:p w14:paraId="5C223234" w14:textId="77777777" w:rsidR="00D6225E" w:rsidRDefault="00D6225E" w:rsidP="00284073">
      <w:pPr>
        <w:jc w:val="both"/>
      </w:pPr>
    </w:p>
    <w:p w14:paraId="0D66F586" w14:textId="373F21EF" w:rsidR="00D45EDA" w:rsidRDefault="00D13F34" w:rsidP="00284073">
      <w:pPr>
        <w:jc w:val="both"/>
      </w:pPr>
      <w:r>
        <w:t>Th</w:t>
      </w:r>
      <w:r w:rsidR="0045050F">
        <w:t xml:space="preserve">ese features of the </w:t>
      </w:r>
      <w:r w:rsidR="00A43D8B">
        <w:rPr>
          <w:i/>
          <w:iCs/>
        </w:rPr>
        <w:t xml:space="preserve">Budget Conditionality </w:t>
      </w:r>
      <w:r w:rsidR="0045050F">
        <w:t>judgments</w:t>
      </w:r>
      <w:r>
        <w:t xml:space="preserve"> lead to three comments. First, the European Commission has been accused in the past of </w:t>
      </w:r>
      <w:r w:rsidR="008A6F65">
        <w:t>being reluctant to use</w:t>
      </w:r>
      <w:r>
        <w:t xml:space="preserve"> its power to initiate infringements proceedings</w:t>
      </w:r>
      <w:r w:rsidR="002D1B08">
        <w:t xml:space="preserve"> in relation to breaches of the rule of law</w:t>
      </w:r>
      <w:r>
        <w:t>.</w:t>
      </w:r>
      <w:r w:rsidR="00633930">
        <w:rPr>
          <w:rStyle w:val="FootnoteReference"/>
        </w:rPr>
        <w:footnoteReference w:id="59"/>
      </w:r>
      <w:r>
        <w:t xml:space="preserve"> The commitment of the European Commission to ensuring the effectiveness of the </w:t>
      </w:r>
      <w:r w:rsidR="00F7334C">
        <w:t xml:space="preserve">Conditionality Regulation </w:t>
      </w:r>
      <w:r>
        <w:t xml:space="preserve">and its credibility is </w:t>
      </w:r>
      <w:r w:rsidR="00642A2A">
        <w:t>thus not to be taken for granted</w:t>
      </w:r>
      <w:r>
        <w:t xml:space="preserve">. </w:t>
      </w:r>
      <w:r w:rsidR="00633930">
        <w:t xml:space="preserve">The </w:t>
      </w:r>
      <w:r w:rsidR="00A43D8B" w:rsidRPr="00B6715E">
        <w:t>CJEU</w:t>
      </w:r>
      <w:r w:rsidR="00A43D8B">
        <w:t xml:space="preserve"> however clarifies how it </w:t>
      </w:r>
      <w:r w:rsidR="00633930">
        <w:t>expect</w:t>
      </w:r>
      <w:r w:rsidR="0045050F">
        <w:t>s</w:t>
      </w:r>
      <w:r w:rsidR="00633930">
        <w:t xml:space="preserve"> the Commission to demonstrate it</w:t>
      </w:r>
      <w:r w:rsidR="00A43D8B">
        <w:t>s commitment to the rule of law</w:t>
      </w:r>
      <w:r w:rsidR="00633930">
        <w:t xml:space="preserve"> in action and not only in words </w:t>
      </w:r>
      <w:r w:rsidR="00C50DCD">
        <w:t>(it would otherwise</w:t>
      </w:r>
      <w:r w:rsidR="00633930">
        <w:t xml:space="preserve"> </w:t>
      </w:r>
      <w:r>
        <w:t xml:space="preserve">risk </w:t>
      </w:r>
      <w:r w:rsidR="00C50DCD">
        <w:t>be</w:t>
      </w:r>
      <w:r w:rsidR="00633930">
        <w:t>ing</w:t>
      </w:r>
      <w:r>
        <w:t xml:space="preserve"> accus</w:t>
      </w:r>
      <w:r w:rsidR="00642A2A">
        <w:t>ed</w:t>
      </w:r>
      <w:r>
        <w:t xml:space="preserve"> of arbitrariness in the protection of the rule of law</w:t>
      </w:r>
      <w:r w:rsidR="00C50DCD">
        <w:t>)</w:t>
      </w:r>
      <w:r>
        <w:t>.</w:t>
      </w:r>
      <w:r w:rsidR="00401C12">
        <w:t xml:space="preserve"> The role of the CJEU is to open the door to the application of the Conditionality Regulation, setting its parameters. The CJEU stands in a continuous chain of interpretation a</w:t>
      </w:r>
      <w:r w:rsidR="00686BA2">
        <w:t>nd</w:t>
      </w:r>
      <w:r w:rsidR="00401C12">
        <w:t xml:space="preserve"> legislative developments (see below Section</w:t>
      </w:r>
      <w:r>
        <w:t xml:space="preserve"> </w:t>
      </w:r>
      <w:r w:rsidR="00401C12">
        <w:t xml:space="preserve">V). </w:t>
      </w:r>
      <w:r>
        <w:t xml:space="preserve">Secondly, </w:t>
      </w:r>
      <w:r w:rsidR="00A43D8B">
        <w:t xml:space="preserve">the </w:t>
      </w:r>
      <w:r w:rsidR="00A43D8B">
        <w:rPr>
          <w:i/>
          <w:iCs/>
        </w:rPr>
        <w:t xml:space="preserve">Budget Conditionality </w:t>
      </w:r>
      <w:r w:rsidR="00A43D8B">
        <w:t>judgments</w:t>
      </w:r>
      <w:r>
        <w:t xml:space="preserve"> mean that </w:t>
      </w:r>
      <w:r w:rsidR="00633930">
        <w:t>an open</w:t>
      </w:r>
      <w:r w:rsidR="00C958B1">
        <w:t>-textured</w:t>
      </w:r>
      <w:r w:rsidR="00633930">
        <w:t xml:space="preserve"> principle such as “solidarity” cannot be </w:t>
      </w:r>
      <w:r w:rsidR="0045050F">
        <w:t xml:space="preserve">defined purely in political terms. A </w:t>
      </w:r>
      <w:r w:rsidR="00A43D8B">
        <w:t xml:space="preserve">continuous </w:t>
      </w:r>
      <w:r w:rsidR="0045050F">
        <w:t xml:space="preserve">process of justification is needed to flesh </w:t>
      </w:r>
      <w:r w:rsidR="00A43D8B">
        <w:t xml:space="preserve">out </w:t>
      </w:r>
      <w:r w:rsidR="0045050F">
        <w:t xml:space="preserve">its concrete implications. Thirdly, solidarity is the </w:t>
      </w:r>
      <w:r w:rsidR="00A43D8B">
        <w:t>principle that compels</w:t>
      </w:r>
      <w:r w:rsidR="0045050F">
        <w:t xml:space="preserve"> </w:t>
      </w:r>
      <w:r w:rsidR="00A43D8B">
        <w:t>and justif</w:t>
      </w:r>
      <w:r w:rsidR="00425E44">
        <w:t>ies</w:t>
      </w:r>
      <w:r w:rsidR="0045050F">
        <w:t xml:space="preserve"> </w:t>
      </w:r>
      <w:r w:rsidR="00A43D8B">
        <w:t xml:space="preserve">legal </w:t>
      </w:r>
      <w:r w:rsidR="0045050F">
        <w:t xml:space="preserve">effectiveness </w:t>
      </w:r>
      <w:r w:rsidR="00A43D8B">
        <w:t xml:space="preserve">without falling into the forbidden territory of repression and </w:t>
      </w:r>
      <w:r w:rsidR="00F470EB">
        <w:t>sanc</w:t>
      </w:r>
      <w:r w:rsidR="00A43D8B">
        <w:t>tion:</w:t>
      </w:r>
      <w:r w:rsidR="0045050F">
        <w:t xml:space="preserve"> </w:t>
      </w:r>
      <w:r w:rsidR="00A43D8B">
        <w:t xml:space="preserve">the effective implementation of the law (here </w:t>
      </w:r>
      <w:r w:rsidR="001B51FF">
        <w:t xml:space="preserve">with </w:t>
      </w:r>
      <w:r w:rsidR="00132DDD">
        <w:t xml:space="preserve">an </w:t>
      </w:r>
      <w:r w:rsidR="001B51FF">
        <w:t xml:space="preserve">impact </w:t>
      </w:r>
      <w:r w:rsidR="00132DDD">
        <w:t xml:space="preserve">on </w:t>
      </w:r>
      <w:r w:rsidR="001B51FF">
        <w:t>the EU</w:t>
      </w:r>
      <w:r w:rsidR="00132DDD">
        <w:t>’s</w:t>
      </w:r>
      <w:r w:rsidR="001B51FF">
        <w:t xml:space="preserve"> financial interests or the principle of sound financial management</w:t>
      </w:r>
      <w:r w:rsidR="00A43D8B">
        <w:t>) is necessary for mutual trust</w:t>
      </w:r>
      <w:r w:rsidR="001B51FF">
        <w:t>;</w:t>
      </w:r>
      <w:r w:rsidR="00A43D8B">
        <w:t xml:space="preserve"> </w:t>
      </w:r>
      <w:r w:rsidR="001B51FF">
        <w:t xml:space="preserve">the </w:t>
      </w:r>
      <w:r w:rsidR="00A43D8B">
        <w:t xml:space="preserve">measures that can be taken on the basis of the </w:t>
      </w:r>
      <w:r w:rsidR="00F7334C">
        <w:t xml:space="preserve">Conditionality Regulation </w:t>
      </w:r>
      <w:r w:rsidR="00A43D8B">
        <w:t>are supposed to encourage this effective implementation, without constituting sanctions for violating these rules. The overall objective is that mindful of solidarity and mutual trust, Member States are encouraged to comply with the law (i</w:t>
      </w:r>
      <w:r w:rsidR="001B51FF">
        <w:t>.</w:t>
      </w:r>
      <w:r w:rsidR="00A43D8B">
        <w:t>e</w:t>
      </w:r>
      <w:r w:rsidR="001B51FF">
        <w:t xml:space="preserve">. with </w:t>
      </w:r>
      <w:r w:rsidR="00132DDD">
        <w:t xml:space="preserve">an </w:t>
      </w:r>
      <w:r w:rsidR="001B51FF">
        <w:t xml:space="preserve">impact </w:t>
      </w:r>
      <w:r w:rsidR="00132DDD">
        <w:t xml:space="preserve">on </w:t>
      </w:r>
      <w:r w:rsidR="001B51FF">
        <w:t>the EU financial interests or the principle of sound financial management</w:t>
      </w:r>
      <w:r w:rsidR="00A43D8B">
        <w:t>)</w:t>
      </w:r>
      <w:r w:rsidR="001B51FF">
        <w:t>. This is a fine line between convincing a Member State to comply with the law, without the stick of sanctions</w:t>
      </w:r>
      <w:r w:rsidR="00C958B1">
        <w:t xml:space="preserve"> for breaching interdependent financial requirements</w:t>
      </w:r>
      <w:r w:rsidR="0045050F">
        <w:t>.</w:t>
      </w:r>
      <w:r w:rsidR="001B51FF">
        <w:t xml:space="preserve"> The CJEU is cautious in limiting the types of rules breached that can justify the suspension or withdrawal of EU funds. It is also cautious in ensuring due process by the European Commission. If trust there must be in the implementation of the </w:t>
      </w:r>
      <w:r w:rsidR="00F7334C">
        <w:t>Conditionality Regulation</w:t>
      </w:r>
      <w:r w:rsidR="001B51FF">
        <w:t>, the European Commission needs to earn it from the</w:t>
      </w:r>
      <w:r w:rsidR="00425E44">
        <w:t xml:space="preserve"> targeted</w:t>
      </w:r>
      <w:r w:rsidR="001B51FF">
        <w:t xml:space="preserve"> Member State, from the other Member States and from the other EU institutions. </w:t>
      </w:r>
    </w:p>
    <w:p w14:paraId="675EBB1C" w14:textId="77777777" w:rsidR="00D6225E" w:rsidRDefault="00D6225E" w:rsidP="00771135">
      <w:pPr>
        <w:jc w:val="both"/>
      </w:pPr>
    </w:p>
    <w:p w14:paraId="429FB2CC" w14:textId="64A5B018" w:rsidR="003B52E3" w:rsidRDefault="001B51FF" w:rsidP="00771135">
      <w:pPr>
        <w:jc w:val="both"/>
      </w:pPr>
      <w:r>
        <w:t>T</w:t>
      </w:r>
      <w:r w:rsidR="00CA2E61">
        <w:t xml:space="preserve">he </w:t>
      </w:r>
      <w:r>
        <w:rPr>
          <w:i/>
          <w:iCs/>
        </w:rPr>
        <w:t xml:space="preserve">Budget Conditionality </w:t>
      </w:r>
      <w:r w:rsidR="00CA2E61">
        <w:t xml:space="preserve">judgments </w:t>
      </w:r>
      <w:r w:rsidR="00132DDD">
        <w:t>thus have</w:t>
      </w:r>
      <w:r>
        <w:t xml:space="preserve"> three </w:t>
      </w:r>
      <w:r w:rsidR="00CA2E61">
        <w:t>far</w:t>
      </w:r>
      <w:r w:rsidR="00E65D04">
        <w:t>-</w:t>
      </w:r>
      <w:r w:rsidR="00CA2E61">
        <w:t xml:space="preserve">reaching technical consequences with ramifications for the interpretation of solidarity and its implications </w:t>
      </w:r>
      <w:r w:rsidR="00132DDD">
        <w:t>for</w:t>
      </w:r>
      <w:r w:rsidR="00CA2E61">
        <w:t xml:space="preserve"> moral hazard. Firstly, </w:t>
      </w:r>
      <w:r w:rsidR="00CA2E61">
        <w:lastRenderedPageBreak/>
        <w:t>the judgments focus on the EU budget a</w:t>
      </w:r>
      <w:r>
        <w:t xml:space="preserve">nd the responsible use of the </w:t>
      </w:r>
      <w:r w:rsidR="00CA2E61">
        <w:t>‘common resources’</w:t>
      </w:r>
      <w:r w:rsidR="00FD6104">
        <w:t>,</w:t>
      </w:r>
      <w:r w:rsidRPr="00CA401C">
        <w:rPr>
          <w:rStyle w:val="FootnoteReference"/>
          <w:sz w:val="22"/>
          <w:szCs w:val="22"/>
        </w:rPr>
        <w:footnoteReference w:id="60"/>
      </w:r>
      <w:r w:rsidRPr="00CA401C">
        <w:rPr>
          <w:sz w:val="22"/>
          <w:szCs w:val="22"/>
        </w:rPr>
        <w:t xml:space="preserve"> </w:t>
      </w:r>
      <w:r w:rsidR="00FD6104">
        <w:t xml:space="preserve"> while the EU system refers to</w:t>
      </w:r>
      <w:r w:rsidR="00C40341">
        <w:t xml:space="preserve"> the EU</w:t>
      </w:r>
      <w:r w:rsidR="00132DDD">
        <w:t>’s</w:t>
      </w:r>
      <w:r w:rsidR="00FD6104">
        <w:t xml:space="preserve"> </w:t>
      </w:r>
      <w:r w:rsidR="00471075">
        <w:t>‘</w:t>
      </w:r>
      <w:r w:rsidR="00FD6104">
        <w:t>own resources</w:t>
      </w:r>
      <w:r w:rsidR="00471075">
        <w:t>’</w:t>
      </w:r>
      <w:r w:rsidR="00FD6104">
        <w:t xml:space="preserve"> in its </w:t>
      </w:r>
      <w:r w:rsidR="00471075">
        <w:t xml:space="preserve">budget </w:t>
      </w:r>
      <w:r w:rsidR="00FD6104">
        <w:t>taxonomy</w:t>
      </w:r>
      <w:r>
        <w:t xml:space="preserve">. </w:t>
      </w:r>
      <w:r w:rsidR="00FD6104">
        <w:t xml:space="preserve">‘Common resources’ is not a </w:t>
      </w:r>
      <w:r w:rsidR="008C6296">
        <w:t xml:space="preserve">technical </w:t>
      </w:r>
      <w:r w:rsidR="00FD6104">
        <w:t>term defined in the EU legal instruments, which</w:t>
      </w:r>
      <w:r w:rsidR="00C40341">
        <w:t xml:space="preserve"> makes</w:t>
      </w:r>
      <w:r w:rsidR="00FD6104">
        <w:t xml:space="preserve"> questions</w:t>
      </w:r>
      <w:r w:rsidR="00C40341">
        <w:t xml:space="preserve"> arise</w:t>
      </w:r>
      <w:r w:rsidR="00FD6104">
        <w:t xml:space="preserve"> as to what the CJEU </w:t>
      </w:r>
      <w:r w:rsidR="00C40341">
        <w:t>seeks</w:t>
      </w:r>
      <w:r w:rsidR="00FD6104">
        <w:t xml:space="preserve"> to achieve with this reference. The two sides of the equation, </w:t>
      </w:r>
      <w:r w:rsidR="00425E44">
        <w:t>‘</w:t>
      </w:r>
      <w:r w:rsidR="00FD6104">
        <w:t>the EU budget</w:t>
      </w:r>
      <w:r w:rsidR="00425E44">
        <w:t>’</w:t>
      </w:r>
      <w:r w:rsidR="00FD6104">
        <w:t xml:space="preserve"> and </w:t>
      </w:r>
      <w:r w:rsidR="00425E44">
        <w:t>‘</w:t>
      </w:r>
      <w:r w:rsidR="00FD6104">
        <w:t>common resources</w:t>
      </w:r>
      <w:r w:rsidR="00425E44">
        <w:t>’</w:t>
      </w:r>
      <w:r w:rsidR="00FD6104">
        <w:t xml:space="preserve"> deserve attention. On the side of ‘common resources’, one may be tempted to</w:t>
      </w:r>
      <w:r w:rsidR="00C40341">
        <w:t xml:space="preserve"> see the resources and revenues that Member States bring together for the functioning of the EU. The term ‘common resources’ seems to be borrowed from the economic vocabulary and to allude to concepts such as the </w:t>
      </w:r>
      <w:r w:rsidR="00771135">
        <w:t xml:space="preserve">‘public good’, </w:t>
      </w:r>
      <w:r w:rsidR="00425E44">
        <w:t>‘</w:t>
      </w:r>
      <w:r w:rsidR="00FD6104">
        <w:t>the commons</w:t>
      </w:r>
      <w:r w:rsidR="00425E44">
        <w:t>’</w:t>
      </w:r>
      <w:r w:rsidR="00FD6104">
        <w:t xml:space="preserve"> and </w:t>
      </w:r>
      <w:r w:rsidR="00425E44">
        <w:t>‘</w:t>
      </w:r>
      <w:r w:rsidR="00FD6104">
        <w:t>common pool resources</w:t>
      </w:r>
      <w:r w:rsidR="00425E44">
        <w:t>’</w:t>
      </w:r>
      <w:r w:rsidR="00FD6104">
        <w:t xml:space="preserve">. </w:t>
      </w:r>
      <w:r w:rsidR="00771135">
        <w:t>The</w:t>
      </w:r>
      <w:r w:rsidR="00C40341">
        <w:t xml:space="preserve"> public good may refer to </w:t>
      </w:r>
      <w:r w:rsidR="003B34AF">
        <w:t>‘</w:t>
      </w:r>
      <w:r w:rsidR="00771135" w:rsidRPr="00771135">
        <w:rPr>
          <w:i/>
          <w:iCs/>
        </w:rPr>
        <w:t>those projects that are implemented at the central</w:t>
      </w:r>
      <w:r w:rsidR="00771135">
        <w:rPr>
          <w:i/>
          <w:iCs/>
        </w:rPr>
        <w:t xml:space="preserve"> </w:t>
      </w:r>
      <w:r w:rsidR="00771135" w:rsidRPr="00771135">
        <w:rPr>
          <w:i/>
          <w:iCs/>
        </w:rPr>
        <w:t>level through common financing</w:t>
      </w:r>
      <w:r w:rsidR="00771135">
        <w:t>’</w:t>
      </w:r>
      <w:r w:rsidR="00771135">
        <w:rPr>
          <w:rStyle w:val="FootnoteReference"/>
        </w:rPr>
        <w:footnoteReference w:id="61"/>
      </w:r>
      <w:r w:rsidR="00B85C7F">
        <w:t>.</w:t>
      </w:r>
      <w:r w:rsidR="00FD6104">
        <w:t xml:space="preserve"> The commons ‘</w:t>
      </w:r>
      <w:r w:rsidR="00FD6104" w:rsidRPr="00FD6104">
        <w:rPr>
          <w:i/>
          <w:iCs/>
        </w:rPr>
        <w:t>refer to systems, such as knowledge</w:t>
      </w:r>
      <w:r w:rsidR="00FD6104">
        <w:rPr>
          <w:i/>
          <w:iCs/>
        </w:rPr>
        <w:t xml:space="preserve"> </w:t>
      </w:r>
      <w:r w:rsidR="00FD6104" w:rsidRPr="00FD6104">
        <w:rPr>
          <w:i/>
          <w:iCs/>
        </w:rPr>
        <w:t>and the digital world, in which it is difficult to limit access, but one person’s use</w:t>
      </w:r>
      <w:r w:rsidR="00FD6104">
        <w:rPr>
          <w:i/>
          <w:iCs/>
        </w:rPr>
        <w:t xml:space="preserve"> </w:t>
      </w:r>
      <w:r w:rsidR="00FD6104" w:rsidRPr="00FD6104">
        <w:rPr>
          <w:i/>
          <w:iCs/>
        </w:rPr>
        <w:t>does not subtract a finite quantity from</w:t>
      </w:r>
      <w:r w:rsidR="00FD6104">
        <w:rPr>
          <w:i/>
          <w:iCs/>
        </w:rPr>
        <w:t xml:space="preserve"> </w:t>
      </w:r>
      <w:r w:rsidR="00FD6104" w:rsidRPr="00FD6104">
        <w:rPr>
          <w:i/>
          <w:iCs/>
        </w:rPr>
        <w:t>another’s use</w:t>
      </w:r>
      <w:r w:rsidR="00FD6104">
        <w:rPr>
          <w:i/>
          <w:iCs/>
        </w:rPr>
        <w:t>’</w:t>
      </w:r>
      <w:r w:rsidR="00FD6104">
        <w:rPr>
          <w:rStyle w:val="FootnoteReference"/>
          <w:i/>
          <w:iCs/>
        </w:rPr>
        <w:footnoteReference w:id="62"/>
      </w:r>
      <w:r w:rsidR="00C40341">
        <w:t xml:space="preserve"> while</w:t>
      </w:r>
      <w:r w:rsidR="00FD6104">
        <w:t xml:space="preserve"> ‘the common pool resources</w:t>
      </w:r>
      <w:r w:rsidR="00425E44">
        <w:t>’</w:t>
      </w:r>
      <w:r w:rsidR="00FD6104">
        <w:t xml:space="preserve"> </w:t>
      </w:r>
      <w:r w:rsidR="00425E44">
        <w:t>‘</w:t>
      </w:r>
      <w:r w:rsidR="00FD6104" w:rsidRPr="00FD6104">
        <w:rPr>
          <w:i/>
          <w:iCs/>
        </w:rPr>
        <w:t>are sufficiently large that it is</w:t>
      </w:r>
      <w:r w:rsidR="00FD6104">
        <w:rPr>
          <w:i/>
          <w:iCs/>
        </w:rPr>
        <w:t xml:space="preserve"> </w:t>
      </w:r>
      <w:r w:rsidR="00FD6104" w:rsidRPr="00FD6104">
        <w:rPr>
          <w:i/>
          <w:iCs/>
        </w:rPr>
        <w:t>difficult, but</w:t>
      </w:r>
      <w:r w:rsidR="00FD6104">
        <w:rPr>
          <w:i/>
          <w:iCs/>
        </w:rPr>
        <w:t xml:space="preserve"> </w:t>
      </w:r>
      <w:r w:rsidR="00FD6104" w:rsidRPr="00FD6104">
        <w:rPr>
          <w:i/>
          <w:iCs/>
        </w:rPr>
        <w:t>not impossible, to define</w:t>
      </w:r>
      <w:r w:rsidR="00FD6104">
        <w:rPr>
          <w:i/>
          <w:iCs/>
        </w:rPr>
        <w:t xml:space="preserve"> </w:t>
      </w:r>
      <w:r w:rsidR="00FD6104" w:rsidRPr="00FD6104">
        <w:rPr>
          <w:i/>
          <w:iCs/>
        </w:rPr>
        <w:t>recognized users and exclude other users</w:t>
      </w:r>
      <w:r w:rsidR="00FD6104">
        <w:rPr>
          <w:i/>
          <w:iCs/>
        </w:rPr>
        <w:t xml:space="preserve"> </w:t>
      </w:r>
      <w:r w:rsidR="00FD6104" w:rsidRPr="00FD6104">
        <w:rPr>
          <w:i/>
          <w:iCs/>
        </w:rPr>
        <w:t>altogether. Further, each person’s use of</w:t>
      </w:r>
      <w:r w:rsidR="00FD6104">
        <w:rPr>
          <w:i/>
          <w:iCs/>
        </w:rPr>
        <w:t xml:space="preserve"> </w:t>
      </w:r>
      <w:r w:rsidR="00FD6104" w:rsidRPr="00FD6104">
        <w:rPr>
          <w:i/>
          <w:iCs/>
        </w:rPr>
        <w:t>such resources subtracts benefits that others</w:t>
      </w:r>
      <w:r w:rsidR="00FD6104">
        <w:rPr>
          <w:i/>
          <w:iCs/>
        </w:rPr>
        <w:t xml:space="preserve"> </w:t>
      </w:r>
      <w:r w:rsidR="00FD6104" w:rsidRPr="00FD6104">
        <w:rPr>
          <w:i/>
          <w:iCs/>
        </w:rPr>
        <w:t>might enjoy.</w:t>
      </w:r>
      <w:r w:rsidR="00FD6104">
        <w:rPr>
          <w:i/>
          <w:iCs/>
        </w:rPr>
        <w:t>’</w:t>
      </w:r>
      <w:r w:rsidR="00FD6104" w:rsidRPr="00425E44">
        <w:rPr>
          <w:rStyle w:val="FootnoteReference"/>
        </w:rPr>
        <w:footnoteReference w:id="63"/>
      </w:r>
      <w:r w:rsidR="00FD6104">
        <w:rPr>
          <w:i/>
          <w:iCs/>
        </w:rPr>
        <w:t xml:space="preserve"> </w:t>
      </w:r>
      <w:r w:rsidR="00FD6104" w:rsidRPr="00C40341">
        <w:t xml:space="preserve">Budgetary decisions and EU economic governance </w:t>
      </w:r>
      <w:r w:rsidR="00C40341">
        <w:t xml:space="preserve">have </w:t>
      </w:r>
      <w:r w:rsidR="00FD6104" w:rsidRPr="00C40341">
        <w:t xml:space="preserve">been understood in terms of </w:t>
      </w:r>
      <w:r w:rsidR="00B1432F">
        <w:t xml:space="preserve">a </w:t>
      </w:r>
      <w:r w:rsidR="00FD6104" w:rsidRPr="00C40341">
        <w:t xml:space="preserve">“common pool problem’, in the sense that there is an </w:t>
      </w:r>
      <w:r w:rsidR="00425E44">
        <w:t>‘</w:t>
      </w:r>
      <w:r w:rsidR="000E4AE1" w:rsidRPr="00C40341">
        <w:rPr>
          <w:i/>
          <w:iCs/>
        </w:rPr>
        <w:t>asymmetry of perceived spending benefits and costs</w:t>
      </w:r>
      <w:r w:rsidR="00425E44">
        <w:t>’</w:t>
      </w:r>
      <w:r w:rsidR="000E4AE1" w:rsidRPr="00C40341">
        <w:t>:</w:t>
      </w:r>
      <w:r w:rsidR="00FD6104" w:rsidRPr="00C40341">
        <w:rPr>
          <w:rStyle w:val="FootnoteReference"/>
        </w:rPr>
        <w:footnoteReference w:id="64"/>
      </w:r>
      <w:r w:rsidR="000E4AE1">
        <w:t xml:space="preserve"> The literature refers to this concept when central</w:t>
      </w:r>
      <w:r w:rsidR="00425E44">
        <w:t>/national/federal</w:t>
      </w:r>
      <w:r w:rsidR="000E4AE1">
        <w:t xml:space="preserve"> resources are spent to finance projects with mostly local/regional </w:t>
      </w:r>
      <w:r w:rsidR="00771135">
        <w:t>benefits</w:t>
      </w:r>
      <w:r w:rsidR="00401C12">
        <w:t xml:space="preserve"> and the purpose of gaining </w:t>
      </w:r>
      <w:r w:rsidR="00B2539A">
        <w:t>the political support of constituents for a particular politician</w:t>
      </w:r>
      <w:r w:rsidR="000E4AE1">
        <w:t xml:space="preserve">. In the USA, this phenomenon pertains to what is </w:t>
      </w:r>
      <w:r w:rsidR="00425E44">
        <w:t>known as</w:t>
      </w:r>
      <w:r w:rsidR="000E4AE1">
        <w:t xml:space="preserve"> ‘pork barrel politics’. Poland and Hungary were suspected </w:t>
      </w:r>
      <w:r w:rsidR="00B1432F">
        <w:t xml:space="preserve">of </w:t>
      </w:r>
      <w:r w:rsidR="003B52E3">
        <w:t>adopting such an approach with EU funds</w:t>
      </w:r>
      <w:r w:rsidR="00C91156">
        <w:t>, with the literature subsequently drawing technical distinctions between pork barrel politics and budgetary clientelism depending on the different roles that local government can play in brokering finances for their local area.</w:t>
      </w:r>
      <w:r w:rsidR="000E4AE1">
        <w:rPr>
          <w:rStyle w:val="FootnoteReference"/>
        </w:rPr>
        <w:footnoteReference w:id="65"/>
      </w:r>
      <w:r w:rsidR="000E4AE1">
        <w:t xml:space="preserve"> </w:t>
      </w:r>
      <w:r w:rsidR="003B52E3">
        <w:t>Official</w:t>
      </w:r>
      <w:r w:rsidR="003B52E3">
        <w:rPr>
          <w:rStyle w:val="FootnoteReference"/>
        </w:rPr>
        <w:footnoteReference w:id="66"/>
      </w:r>
      <w:r w:rsidR="003B52E3">
        <w:t xml:space="preserve"> and academic</w:t>
      </w:r>
      <w:r w:rsidR="003B52E3">
        <w:rPr>
          <w:rStyle w:val="FootnoteReference"/>
        </w:rPr>
        <w:footnoteReference w:id="67"/>
      </w:r>
      <w:r w:rsidR="003B52E3">
        <w:t xml:space="preserve"> studies suggest that EU funds were spent on projects aligning with political preferences </w:t>
      </w:r>
      <w:r w:rsidR="008850BD">
        <w:t>in som</w:t>
      </w:r>
      <w:r w:rsidR="0064372B">
        <w:t>e</w:t>
      </w:r>
      <w:r w:rsidR="008850BD">
        <w:t xml:space="preserve"> countries (in particular but not exclusively in Hungary) </w:t>
      </w:r>
      <w:r w:rsidR="003B52E3">
        <w:t>by means of corruption or collusion.</w:t>
      </w:r>
      <w:r w:rsidR="003B52E3">
        <w:rPr>
          <w:rStyle w:val="FootnoteReference"/>
        </w:rPr>
        <w:footnoteReference w:id="68"/>
      </w:r>
      <w:r w:rsidR="003B52E3">
        <w:t xml:space="preserve"> </w:t>
      </w:r>
      <w:r w:rsidR="00C40341">
        <w:t xml:space="preserve">This was exactly the type of concern that </w:t>
      </w:r>
      <w:r w:rsidR="003B52E3">
        <w:t xml:space="preserve">the </w:t>
      </w:r>
      <w:r w:rsidR="00F7334C">
        <w:t xml:space="preserve">Conditionality Regulation </w:t>
      </w:r>
      <w:r w:rsidR="00C40341">
        <w:t xml:space="preserve">sought to </w:t>
      </w:r>
      <w:r w:rsidR="003B52E3">
        <w:t>address.</w:t>
      </w:r>
      <w:r w:rsidR="003B52E3">
        <w:rPr>
          <w:rStyle w:val="FootnoteReference"/>
        </w:rPr>
        <w:footnoteReference w:id="69"/>
      </w:r>
      <w:r w:rsidR="00C40341">
        <w:t xml:space="preserve"> </w:t>
      </w:r>
      <w:r w:rsidR="003B52E3">
        <w:t xml:space="preserve">The explanation before the Commission Proposal </w:t>
      </w:r>
      <w:r w:rsidR="00B1432F">
        <w:t xml:space="preserve">that </w:t>
      </w:r>
      <w:r w:rsidR="003B52E3">
        <w:t>trigger</w:t>
      </w:r>
      <w:r w:rsidR="00B1432F">
        <w:t>ed</w:t>
      </w:r>
      <w:r w:rsidR="003B52E3">
        <w:t xml:space="preserve"> the </w:t>
      </w:r>
      <w:r w:rsidR="00F7334C">
        <w:t xml:space="preserve">Conditionality Regulation </w:t>
      </w:r>
      <w:r w:rsidR="003B52E3">
        <w:t>against Hungary and the list of recommended measures demonstrates this.</w:t>
      </w:r>
      <w:r w:rsidR="003B52E3">
        <w:rPr>
          <w:rStyle w:val="FootnoteReference"/>
        </w:rPr>
        <w:footnoteReference w:id="70"/>
      </w:r>
      <w:r w:rsidR="00771135">
        <w:t xml:space="preserve"> </w:t>
      </w:r>
    </w:p>
    <w:p w14:paraId="1F8EA022" w14:textId="77777777" w:rsidR="00D6225E" w:rsidRPr="00771135" w:rsidRDefault="00D6225E" w:rsidP="00771135">
      <w:pPr>
        <w:jc w:val="both"/>
        <w:rPr>
          <w:i/>
          <w:iCs/>
        </w:rPr>
      </w:pPr>
    </w:p>
    <w:p w14:paraId="41A5A217" w14:textId="44AECF25" w:rsidR="00E65D04" w:rsidRPr="00FD6104" w:rsidRDefault="00C40341" w:rsidP="00B85C7F">
      <w:pPr>
        <w:jc w:val="both"/>
        <w:rPr>
          <w:i/>
          <w:iCs/>
        </w:rPr>
      </w:pPr>
      <w:r>
        <w:t>T</w:t>
      </w:r>
      <w:r w:rsidR="00CA2E61">
        <w:t>he C</w:t>
      </w:r>
      <w:r w:rsidR="002306C4">
        <w:t xml:space="preserve">JEU </w:t>
      </w:r>
      <w:r>
        <w:t xml:space="preserve">also </w:t>
      </w:r>
      <w:r w:rsidR="00CA2E61">
        <w:t>provides a new technical meaning to</w:t>
      </w:r>
      <w:r>
        <w:t xml:space="preserve"> </w:t>
      </w:r>
      <w:r w:rsidR="00CA2E61">
        <w:t>the</w:t>
      </w:r>
      <w:r>
        <w:t xml:space="preserve"> EU</w:t>
      </w:r>
      <w:r w:rsidR="00CA2E61">
        <w:t xml:space="preserve"> budget. In </w:t>
      </w:r>
      <w:r w:rsidR="000921B1">
        <w:t>2013</w:t>
      </w:r>
      <w:r w:rsidR="00CA2E61">
        <w:t xml:space="preserve">, </w:t>
      </w:r>
      <w:r w:rsidR="00425E44">
        <w:t>it</w:t>
      </w:r>
      <w:r w:rsidR="00CA2E61">
        <w:t xml:space="preserve"> judged that the budget was not a legislative act but an accounting and pre</w:t>
      </w:r>
      <w:r w:rsidR="000921B1">
        <w:t>dictive</w:t>
      </w:r>
      <w:r w:rsidR="00CA2E61">
        <w:t xml:space="preserve"> instrument.</w:t>
      </w:r>
      <w:r w:rsidR="00CA2E61">
        <w:rPr>
          <w:rStyle w:val="FootnoteReference"/>
        </w:rPr>
        <w:footnoteReference w:id="71"/>
      </w:r>
      <w:r w:rsidR="00CA2E61">
        <w:t xml:space="preserve"> </w:t>
      </w:r>
      <w:r w:rsidR="00487CFA">
        <w:t>The s</w:t>
      </w:r>
      <w:r w:rsidR="00CA2E61">
        <w:t>cholarship then elaborated that despite the formal procedures at EU level the EU budget remain</w:t>
      </w:r>
      <w:r w:rsidR="00E87BC1">
        <w:t>ed</w:t>
      </w:r>
      <w:r w:rsidR="00CA2E61">
        <w:t xml:space="preserve"> a budget </w:t>
      </w:r>
      <w:r w:rsidR="00CA2E61">
        <w:lastRenderedPageBreak/>
        <w:t>of and between Member States.</w:t>
      </w:r>
      <w:r w:rsidR="00CA2E61">
        <w:rPr>
          <w:rStyle w:val="FootnoteReference"/>
        </w:rPr>
        <w:footnoteReference w:id="72"/>
      </w:r>
      <w:r w:rsidR="00CA2E61">
        <w:t xml:space="preserve"> The</w:t>
      </w:r>
      <w:r w:rsidR="00425E44">
        <w:t xml:space="preserve"> EU</w:t>
      </w:r>
      <w:r w:rsidR="00CA2E61">
        <w:t xml:space="preserve"> budget </w:t>
      </w:r>
      <w:r w:rsidR="00425E44">
        <w:t>is</w:t>
      </w:r>
      <w:r w:rsidR="00CA2E61">
        <w:t xml:space="preserve"> a bargaining tool between Member States and the instrument to pursue policy agendas. </w:t>
      </w:r>
      <w:r>
        <w:t>In this sense, one can indeed see that Member States</w:t>
      </w:r>
      <w:r w:rsidR="008C6296">
        <w:t xml:space="preserve"> contribute</w:t>
      </w:r>
      <w:r>
        <w:t xml:space="preserve"> politically and financially, if not legally, common resources for the realisation of EU policies and objectives. </w:t>
      </w:r>
      <w:r w:rsidR="00CA2E61">
        <w:t xml:space="preserve">However, </w:t>
      </w:r>
      <w:r w:rsidR="00E87BC1">
        <w:t xml:space="preserve">the </w:t>
      </w:r>
      <w:proofErr w:type="spellStart"/>
      <w:r w:rsidR="00E87BC1">
        <w:t>NextGenEU</w:t>
      </w:r>
      <w:proofErr w:type="spellEnd"/>
      <w:r w:rsidR="00E87BC1">
        <w:t xml:space="preserve"> is a complex financing instrument partly funded via the regular budget of the EU and partly outside it,</w:t>
      </w:r>
      <w:r w:rsidR="00E87BC1">
        <w:rPr>
          <w:rStyle w:val="FootnoteReference"/>
        </w:rPr>
        <w:footnoteReference w:id="73"/>
      </w:r>
      <w:r w:rsidR="00E87BC1">
        <w:t xml:space="preserve"> while the debts it creates is economically and financially, but not legally, a debt common to the EU and its Member States. This leads the</w:t>
      </w:r>
      <w:r w:rsidR="00CA2E61">
        <w:t xml:space="preserve"> </w:t>
      </w:r>
      <w:r>
        <w:t xml:space="preserve">CJEU </w:t>
      </w:r>
      <w:r w:rsidR="00E87BC1">
        <w:t xml:space="preserve">not to </w:t>
      </w:r>
      <w:r w:rsidR="00CA2E61">
        <w:t>emphasise that</w:t>
      </w:r>
      <w:r w:rsidR="00E87BC1">
        <w:t xml:space="preserve"> expenses side of the </w:t>
      </w:r>
      <w:r>
        <w:t xml:space="preserve">EU </w:t>
      </w:r>
      <w:r w:rsidR="00CA2E61">
        <w:t>budget</w:t>
      </w:r>
      <w:r w:rsidR="00E87BC1">
        <w:t xml:space="preserve"> but</w:t>
      </w:r>
      <w:r>
        <w:t xml:space="preserve"> </w:t>
      </w:r>
      <w:r w:rsidR="00CA2E61">
        <w:t xml:space="preserve">the </w:t>
      </w:r>
      <w:r w:rsidR="00E65D04">
        <w:t>resource side of the budget, which under the Treaty</w:t>
      </w:r>
      <w:r w:rsidR="00E65D04">
        <w:rPr>
          <w:rStyle w:val="FootnoteReference"/>
        </w:rPr>
        <w:footnoteReference w:id="74"/>
      </w:r>
      <w:r w:rsidR="00E65D04">
        <w:t xml:space="preserve"> </w:t>
      </w:r>
      <w:r w:rsidR="001828D1">
        <w:t>remains</w:t>
      </w:r>
      <w:r w:rsidR="00E65D04">
        <w:t xml:space="preserve"> most under the control of the Member States</w:t>
      </w:r>
      <w:r w:rsidR="001828D1">
        <w:t xml:space="preserve"> directly and via the Council</w:t>
      </w:r>
      <w:r w:rsidR="00E65D04">
        <w:t xml:space="preserve">. This fits with </w:t>
      </w:r>
      <w:r w:rsidR="001F1844">
        <w:t xml:space="preserve">the idea </w:t>
      </w:r>
      <w:r w:rsidR="00E65D04">
        <w:t xml:space="preserve">that </w:t>
      </w:r>
      <w:r w:rsidR="00E65D04" w:rsidRPr="001F1844">
        <w:t xml:space="preserve">the budget </w:t>
      </w:r>
      <w:r w:rsidR="001F1844" w:rsidRPr="001F1844">
        <w:t>i</w:t>
      </w:r>
      <w:r w:rsidR="00E65D04" w:rsidRPr="001F1844">
        <w:t>s the future of the Union cast in figures</w:t>
      </w:r>
      <w:r w:rsidR="00E65D04">
        <w:t>.</w:t>
      </w:r>
      <w:r w:rsidR="00E65D04">
        <w:rPr>
          <w:rStyle w:val="FootnoteReference"/>
        </w:rPr>
        <w:footnoteReference w:id="75"/>
      </w:r>
      <w:r w:rsidR="00E65D04">
        <w:t xml:space="preserve"> </w:t>
      </w:r>
      <w:r w:rsidR="00A46BBE">
        <w:t>I</w:t>
      </w:r>
      <w:r w:rsidR="00A46BBE" w:rsidRPr="00A46BBE">
        <w:t>n his opinion on the</w:t>
      </w:r>
      <w:r w:rsidR="00425E44">
        <w:t xml:space="preserve"> </w:t>
      </w:r>
      <w:r w:rsidR="00A46BBE" w:rsidRPr="00C40341">
        <w:rPr>
          <w:i/>
          <w:iCs/>
        </w:rPr>
        <w:t>Budget Conditionality</w:t>
      </w:r>
      <w:r>
        <w:t xml:space="preserve"> case</w:t>
      </w:r>
      <w:r w:rsidR="00425E44">
        <w:t>s</w:t>
      </w:r>
      <w:r w:rsidR="00A46BBE">
        <w:t>, A</w:t>
      </w:r>
      <w:r>
        <w:t xml:space="preserve">dvocate </w:t>
      </w:r>
      <w:r w:rsidR="00A46BBE">
        <w:t>G</w:t>
      </w:r>
      <w:r>
        <w:t>eneral</w:t>
      </w:r>
      <w:r w:rsidR="00A46BBE">
        <w:t xml:space="preserve"> Campos Sanchez-Bordona analyses the conditionality technique in detail: starting with a definition of the EU budget and ending on the link with solidarity. </w:t>
      </w:r>
      <w:r w:rsidR="00386402">
        <w:t>Indeed,</w:t>
      </w:r>
      <w:r w:rsidR="00A46BBE">
        <w:t xml:space="preserve"> he first writes that </w:t>
      </w:r>
      <w:r w:rsidR="00A46BBE" w:rsidRPr="001B51FF">
        <w:rPr>
          <w:i/>
          <w:iCs/>
        </w:rPr>
        <w:t>“</w:t>
      </w:r>
      <w:r w:rsidR="001B51FF" w:rsidRPr="003574E9">
        <w:t>[t]</w:t>
      </w:r>
      <w:r w:rsidR="00A46BBE" w:rsidRPr="001B51FF">
        <w:rPr>
          <w:i/>
          <w:iCs/>
        </w:rPr>
        <w:t>he budget is the instrument of EU law which, each year, translates the principle of solidarity into financial terms and it is of constitutional importance</w:t>
      </w:r>
      <w:r w:rsidR="00A46BBE">
        <w:t>”</w:t>
      </w:r>
      <w:r w:rsidR="00A46BBE">
        <w:rPr>
          <w:rStyle w:val="FootnoteReference"/>
        </w:rPr>
        <w:footnoteReference w:id="76"/>
      </w:r>
      <w:r w:rsidR="00A46BBE">
        <w:t xml:space="preserve"> with a footnote </w:t>
      </w:r>
      <w:r w:rsidR="001B51FF">
        <w:t>referring</w:t>
      </w:r>
      <w:r w:rsidR="00A46BBE">
        <w:t xml:space="preserve"> to extra-judicial writings by the President of the CJEU</w:t>
      </w:r>
      <w:r w:rsidR="00BF5214">
        <w:t xml:space="preserve"> on which Section IV below returns</w:t>
      </w:r>
      <w:r w:rsidR="00A46BBE">
        <w:t xml:space="preserve">. Then the </w:t>
      </w:r>
      <w:r w:rsidR="00F90AB2">
        <w:t xml:space="preserve">Advocate General </w:t>
      </w:r>
      <w:r w:rsidR="00A46BBE">
        <w:t xml:space="preserve">moves to the role of the Commission </w:t>
      </w:r>
      <w:r w:rsidR="00F90AB2">
        <w:t>in</w:t>
      </w:r>
      <w:r w:rsidR="00EC6639">
        <w:t xml:space="preserve"> implementing the budget, </w:t>
      </w:r>
      <w:r w:rsidR="00487CFA">
        <w:t xml:space="preserve">and </w:t>
      </w:r>
      <w:r w:rsidR="00EC6639">
        <w:t>the existence of different forms of conditionality in various international organisations, and ends with solidarity, more precisely with a link between solidarity and responsibility</w:t>
      </w:r>
      <w:r w:rsidR="002D20F1">
        <w:t>:</w:t>
      </w:r>
      <w:r w:rsidR="00EC6639">
        <w:t xml:space="preserve"> ‘</w:t>
      </w:r>
      <w:r w:rsidR="00EC6639" w:rsidRPr="001B51FF">
        <w:rPr>
          <w:i/>
          <w:iCs/>
        </w:rPr>
        <w:t xml:space="preserve">Financial conditionality establishes a link between solidarity and responsibility. The European Union transfers funds from its budget to </w:t>
      </w:r>
      <w:r w:rsidR="00EC6639" w:rsidRPr="005C0F98">
        <w:rPr>
          <w:i/>
          <w:iCs/>
        </w:rPr>
        <w:t>Member States provided that the money is spent responsibly, which means spending it in accordance with EU values, such as the rule of law. Only if the budget is implemented in accordance with EU values will there be sufficient mutual trust between Member States when it comes to providing the European Union with the financial resources required to achieve its objectives</w:t>
      </w:r>
      <w:r w:rsidR="00EC6639" w:rsidRPr="005C0F98">
        <w:t>.’</w:t>
      </w:r>
      <w:r w:rsidR="00EC6639" w:rsidRPr="005C0F98">
        <w:rPr>
          <w:rStyle w:val="FootnoteReference"/>
        </w:rPr>
        <w:footnoteReference w:id="77"/>
      </w:r>
      <w:r w:rsidR="00EC6639" w:rsidRPr="005C0F98">
        <w:t xml:space="preserve"> The A</w:t>
      </w:r>
      <w:r w:rsidR="001B51FF" w:rsidRPr="005C0F98">
        <w:t xml:space="preserve">dvocate </w:t>
      </w:r>
      <w:r w:rsidR="00EC6639" w:rsidRPr="005C0F98">
        <w:t>G</w:t>
      </w:r>
      <w:r w:rsidR="001B51FF" w:rsidRPr="005C0F98">
        <w:t>eneral</w:t>
      </w:r>
      <w:r w:rsidR="00EC6639" w:rsidRPr="005C0F98">
        <w:t xml:space="preserve"> recognises that the </w:t>
      </w:r>
      <w:r w:rsidR="00F7334C" w:rsidRPr="005C0F98">
        <w:t xml:space="preserve">Conditionality </w:t>
      </w:r>
      <w:r w:rsidR="00F7334C" w:rsidRPr="0054172A">
        <w:t xml:space="preserve">Regulation </w:t>
      </w:r>
      <w:r w:rsidR="00EC6639" w:rsidRPr="0054172A">
        <w:t xml:space="preserve">has </w:t>
      </w:r>
      <w:r w:rsidR="001F1844" w:rsidRPr="0054172A">
        <w:t>significant</w:t>
      </w:r>
      <w:r w:rsidR="00EC6639" w:rsidRPr="0054172A">
        <w:t xml:space="preserve"> repercussions </w:t>
      </w:r>
      <w:r w:rsidR="00487CFA" w:rsidRPr="0054172A">
        <w:t>for</w:t>
      </w:r>
      <w:r w:rsidR="00EC6639" w:rsidRPr="0054172A">
        <w:t xml:space="preserve"> the relationships between the EU and its Member States</w:t>
      </w:r>
      <w:r w:rsidR="005A39D1" w:rsidRPr="0054172A">
        <w:t>.</w:t>
      </w:r>
      <w:r w:rsidR="00EC6639" w:rsidRPr="0054172A">
        <w:t xml:space="preserve"> </w:t>
      </w:r>
      <w:r w:rsidR="00487D97" w:rsidRPr="0054172A">
        <w:t>T</w:t>
      </w:r>
      <w:r w:rsidR="00EC6639" w:rsidRPr="0054172A">
        <w:t xml:space="preserve">his allows for the </w:t>
      </w:r>
      <w:r w:rsidR="001B51FF" w:rsidRPr="0054172A">
        <w:t>Advocate General</w:t>
      </w:r>
      <w:r w:rsidR="00EC6639" w:rsidRPr="0054172A">
        <w:t xml:space="preserve"> to provide examples where conditionality has already been</w:t>
      </w:r>
      <w:r w:rsidR="00EC6639" w:rsidRPr="005C0F98">
        <w:t xml:space="preserve"> accepted by the CJEU, noting that it has been the case in </w:t>
      </w:r>
      <w:r w:rsidR="00EC6639" w:rsidRPr="005C0F98">
        <w:rPr>
          <w:i/>
          <w:iCs/>
        </w:rPr>
        <w:t>Pringle</w:t>
      </w:r>
      <w:r w:rsidR="005C0F98" w:rsidRPr="005C0F98">
        <w:t>,</w:t>
      </w:r>
      <w:r w:rsidR="00EC6639" w:rsidRPr="005C0F98">
        <w:rPr>
          <w:rStyle w:val="FootnoteReference"/>
        </w:rPr>
        <w:footnoteReference w:id="78"/>
      </w:r>
      <w:r w:rsidR="005C0F98" w:rsidRPr="005C0F98">
        <w:t xml:space="preserve"> in which case </w:t>
      </w:r>
      <w:r w:rsidR="005C0F98" w:rsidRPr="0054172A">
        <w:rPr>
          <w:color w:val="212121"/>
        </w:rPr>
        <w:t>the CJEU explained that conditionality served the twin purposes of ensuring compliance with all relevant EU law and incentivising prudent spending by M</w:t>
      </w:r>
      <w:r w:rsidR="005C0F98">
        <w:rPr>
          <w:color w:val="212121"/>
        </w:rPr>
        <w:t xml:space="preserve">ember </w:t>
      </w:r>
      <w:r w:rsidR="005C0F98" w:rsidRPr="0054172A">
        <w:rPr>
          <w:color w:val="212121"/>
        </w:rPr>
        <w:t>S</w:t>
      </w:r>
      <w:r w:rsidR="005C0F98">
        <w:rPr>
          <w:color w:val="212121"/>
        </w:rPr>
        <w:t>tates.</w:t>
      </w:r>
      <w:r w:rsidR="00EC6639" w:rsidRPr="005C0F98">
        <w:t xml:space="preserve"> The </w:t>
      </w:r>
      <w:r w:rsidR="00EC6639" w:rsidRPr="005C0F98">
        <w:rPr>
          <w:i/>
          <w:iCs/>
        </w:rPr>
        <w:t>Budget Conditionality</w:t>
      </w:r>
      <w:r w:rsidR="00487D97" w:rsidRPr="005C0F98">
        <w:t xml:space="preserve"> judgments</w:t>
      </w:r>
      <w:r w:rsidR="00EC6639" w:rsidRPr="005C0F98">
        <w:t xml:space="preserve"> </w:t>
      </w:r>
      <w:r w:rsidR="00487D97" w:rsidRPr="005C0F98">
        <w:t>are</w:t>
      </w:r>
      <w:r w:rsidR="00EC6639" w:rsidRPr="005C0F98">
        <w:t xml:space="preserve"> thus an opportunity for the CJEU to extend th</w:t>
      </w:r>
      <w:r w:rsidR="005A39D1" w:rsidRPr="005C0F98">
        <w:t xml:space="preserve">e </w:t>
      </w:r>
      <w:r w:rsidR="005A39D1" w:rsidRPr="005C0F98">
        <w:rPr>
          <w:i/>
          <w:iCs/>
        </w:rPr>
        <w:t>Pringle</w:t>
      </w:r>
      <w:r w:rsidR="005A39D1" w:rsidRPr="005C0F98" w:rsidDel="005A39D1">
        <w:t xml:space="preserve"> </w:t>
      </w:r>
      <w:r w:rsidR="00EC6639" w:rsidRPr="005C0F98">
        <w:t>case law to the respect of the rule of law.</w:t>
      </w:r>
      <w:r w:rsidR="00EC6639" w:rsidRPr="005C0F98">
        <w:rPr>
          <w:rStyle w:val="FootnoteReference"/>
        </w:rPr>
        <w:footnoteReference w:id="79"/>
      </w:r>
      <w:r w:rsidR="002D20F1" w:rsidRPr="005C0F98">
        <w:t xml:space="preserve"> In this Opinion, solidarity is closely associated </w:t>
      </w:r>
      <w:r w:rsidR="00487CFA" w:rsidRPr="005C0F98">
        <w:t>with</w:t>
      </w:r>
      <w:r w:rsidR="002D20F1" w:rsidRPr="005C0F98">
        <w:t xml:space="preserve"> responsibility, as the</w:t>
      </w:r>
      <w:r w:rsidR="002D20F1">
        <w:t xml:space="preserve"> counterpart of solidarity. Responsibility for one’s financial commitments is the very opposite of moral hazard.</w:t>
      </w:r>
    </w:p>
    <w:p w14:paraId="2F595DE7" w14:textId="77777777" w:rsidR="00E27F8F" w:rsidRDefault="00E27F8F" w:rsidP="00284073">
      <w:pPr>
        <w:jc w:val="both"/>
      </w:pPr>
    </w:p>
    <w:p w14:paraId="16364CD4" w14:textId="1D73B5CB" w:rsidR="00E65D04" w:rsidRDefault="00E65D04" w:rsidP="00284073">
      <w:pPr>
        <w:jc w:val="both"/>
      </w:pPr>
      <w:r>
        <w:t>Secondly, the</w:t>
      </w:r>
      <w:r w:rsidR="00487D97">
        <w:t xml:space="preserve"> CJEU</w:t>
      </w:r>
      <w:r>
        <w:t xml:space="preserve">, as the </w:t>
      </w:r>
      <w:r w:rsidR="00F7334C">
        <w:t>Conditionality Regulation</w:t>
      </w:r>
      <w:r>
        <w:t>,</w:t>
      </w:r>
      <w:r>
        <w:rPr>
          <w:rStyle w:val="FootnoteReference"/>
        </w:rPr>
        <w:footnoteReference w:id="80"/>
      </w:r>
      <w:r>
        <w:t xml:space="preserve"> extends the notion of the EU budget to include the RRF</w:t>
      </w:r>
      <w:r w:rsidR="005A39D1">
        <w:t>. It does so</w:t>
      </w:r>
      <w:r>
        <w:t xml:space="preserve"> through the </w:t>
      </w:r>
      <w:r w:rsidR="005A39D1">
        <w:t xml:space="preserve">requirement of complying with </w:t>
      </w:r>
      <w:r>
        <w:t xml:space="preserve">the financial regulations, </w:t>
      </w:r>
      <w:proofErr w:type="gramStart"/>
      <w:r w:rsidR="00487D97">
        <w:t xml:space="preserve">in order </w:t>
      </w:r>
      <w:r>
        <w:t>to</w:t>
      </w:r>
      <w:proofErr w:type="gramEnd"/>
      <w:r>
        <w:t xml:space="preserve"> protect sound financial management and the financial interests of the </w:t>
      </w:r>
      <w:r>
        <w:lastRenderedPageBreak/>
        <w:t xml:space="preserve">Union. Technically the budget is </w:t>
      </w:r>
      <w:r w:rsidR="00487D97">
        <w:t>a declaration adopted</w:t>
      </w:r>
      <w:r w:rsidR="00C76CB1">
        <w:t xml:space="preserve"> </w:t>
      </w:r>
      <w:r>
        <w:t>by the President of the Parliament.</w:t>
      </w:r>
      <w:r w:rsidR="00487D97">
        <w:rPr>
          <w:rStyle w:val="FootnoteReference"/>
        </w:rPr>
        <w:footnoteReference w:id="81"/>
      </w:r>
      <w:r>
        <w:t xml:space="preserve"> However, the whole construction of the RRF actually </w:t>
      </w:r>
      <w:r w:rsidR="00487CFA">
        <w:t xml:space="preserve">aims </w:t>
      </w:r>
      <w:r>
        <w:t xml:space="preserve">to place financial commitments </w:t>
      </w:r>
      <w:r w:rsidR="00487D97">
        <w:t>‘</w:t>
      </w:r>
      <w:r>
        <w:t>off budget</w:t>
      </w:r>
      <w:r w:rsidR="00487D97">
        <w:t>’ – outside the budget –</w:t>
      </w:r>
      <w:r>
        <w:t xml:space="preserve"> and </w:t>
      </w:r>
      <w:r w:rsidR="00487D97">
        <w:t xml:space="preserve">thus </w:t>
      </w:r>
      <w:r>
        <w:t>not on budget in terms of expenses.</w:t>
      </w:r>
      <w:r>
        <w:rPr>
          <w:rStyle w:val="FootnoteReference"/>
        </w:rPr>
        <w:footnoteReference w:id="82"/>
      </w:r>
      <w:r>
        <w:t xml:space="preserve"> The off-budget nature of the RRF has been challenged by the European Court of Accounts as it muddies the lines of control and accountability.</w:t>
      </w:r>
      <w:r>
        <w:rPr>
          <w:rStyle w:val="FootnoteReference"/>
        </w:rPr>
        <w:footnoteReference w:id="83"/>
      </w:r>
      <w:r>
        <w:t xml:space="preserve"> However, as stressed by the </w:t>
      </w:r>
      <w:r w:rsidR="00487D97">
        <w:t>CJEU</w:t>
      </w:r>
      <w:r>
        <w:t>, the spendings under the NextGenEU</w:t>
      </w:r>
      <w:r w:rsidR="00A56343">
        <w:t xml:space="preserve"> </w:t>
      </w:r>
      <w:r w:rsidR="00487D97">
        <w:t>–</w:t>
      </w:r>
      <w:r w:rsidR="00A56343">
        <w:t>otherwise seen as a tool for debt mutualisation</w:t>
      </w:r>
      <w:r w:rsidR="00A56343">
        <w:rPr>
          <w:rStyle w:val="FootnoteReference"/>
        </w:rPr>
        <w:footnoteReference w:id="84"/>
      </w:r>
      <w:r w:rsidR="00487D97">
        <w:t xml:space="preserve"> –</w:t>
      </w:r>
      <w:r>
        <w:t xml:space="preserve"> </w:t>
      </w:r>
      <w:r w:rsidR="00487CFA">
        <w:t>also need</w:t>
      </w:r>
      <w:r>
        <w:t xml:space="preserve"> to comply with the financial regulations</w:t>
      </w:r>
      <w:r w:rsidR="001828D1">
        <w:t>.</w:t>
      </w:r>
      <w:r>
        <w:rPr>
          <w:rStyle w:val="FootnoteReference"/>
        </w:rPr>
        <w:footnoteReference w:id="85"/>
      </w:r>
      <w:r>
        <w:t xml:space="preserve"> In this sense, the </w:t>
      </w:r>
      <w:r w:rsidR="00487D97">
        <w:t xml:space="preserve">CJEU </w:t>
      </w:r>
      <w:r>
        <w:t xml:space="preserve">expands the scope of the </w:t>
      </w:r>
      <w:r w:rsidR="00B207E6">
        <w:t>“</w:t>
      </w:r>
      <w:r>
        <w:t>budget</w:t>
      </w:r>
      <w:r w:rsidR="00B207E6">
        <w:t>”</w:t>
      </w:r>
      <w:r>
        <w:t xml:space="preserve"> to</w:t>
      </w:r>
      <w:r w:rsidR="00B207E6">
        <w:t xml:space="preserve"> a functional notion by including</w:t>
      </w:r>
      <w:r>
        <w:t xml:space="preserve"> commitments</w:t>
      </w:r>
      <w:r w:rsidR="00B207E6">
        <w:t xml:space="preserve"> taken outside the formal budget and its parliamentary accountability</w:t>
      </w:r>
      <w:r>
        <w:t xml:space="preserve">. </w:t>
      </w:r>
      <w:r w:rsidR="00471075">
        <w:t>In this manner, it is not only the EU budget in the formal sense</w:t>
      </w:r>
      <w:r w:rsidR="00487CFA">
        <w:t>,</w:t>
      </w:r>
      <w:r w:rsidR="00471075">
        <w:t xml:space="preserve"> </w:t>
      </w:r>
      <w:r w:rsidR="00487CFA">
        <w:t xml:space="preserve">which </w:t>
      </w:r>
      <w:r w:rsidR="00471075">
        <w:t xml:space="preserve">is of constitutional value, but all the spendings of the EU, widening the material scope of the resources that are “common” and in relation to which solidarity applies. Conversely, this extensive interpretation by the CJEU shrinks the </w:t>
      </w:r>
      <w:r w:rsidR="00487D97">
        <w:t xml:space="preserve">scope of the </w:t>
      </w:r>
      <w:r w:rsidR="00471075">
        <w:t>funds in relation to which moral hazard</w:t>
      </w:r>
      <w:r w:rsidR="00B23F29">
        <w:t xml:space="preserve"> may be </w:t>
      </w:r>
      <w:r w:rsidR="005A39D1">
        <w:t>most unchecked as solidarity expands its reach</w:t>
      </w:r>
      <w:r w:rsidR="00471075">
        <w:t>.</w:t>
      </w:r>
    </w:p>
    <w:p w14:paraId="10979325" w14:textId="77777777" w:rsidR="00E27F8F" w:rsidRDefault="00E27F8F" w:rsidP="00284073">
      <w:pPr>
        <w:jc w:val="both"/>
      </w:pPr>
    </w:p>
    <w:p w14:paraId="4BF77FEB" w14:textId="4D97E41B" w:rsidR="00E65D04" w:rsidRDefault="00E65D04" w:rsidP="00284073">
      <w:pPr>
        <w:jc w:val="both"/>
      </w:pPr>
      <w:r>
        <w:t xml:space="preserve">Thirdly, </w:t>
      </w:r>
      <w:r w:rsidR="00A56343">
        <w:t xml:space="preserve">the </w:t>
      </w:r>
      <w:r w:rsidR="00B6715E">
        <w:t xml:space="preserve">CJEU </w:t>
      </w:r>
      <w:r w:rsidR="00A56343">
        <w:t xml:space="preserve">uses the words </w:t>
      </w:r>
      <w:r w:rsidR="00B23F29">
        <w:t>‘</w:t>
      </w:r>
      <w:r w:rsidR="00A56343">
        <w:t>common resources</w:t>
      </w:r>
      <w:r w:rsidR="00B23F29">
        <w:t>’</w:t>
      </w:r>
      <w:r w:rsidR="00A56343">
        <w:t xml:space="preserve"> in combination with solidarity</w:t>
      </w:r>
      <w:r w:rsidR="00AF2DBF">
        <w:t>, mutual trust</w:t>
      </w:r>
      <w:r w:rsidR="00A56343">
        <w:t xml:space="preserve"> </w:t>
      </w:r>
      <w:r w:rsidR="00AF2DBF">
        <w:t xml:space="preserve">and effectiveness of the law. </w:t>
      </w:r>
      <w:r w:rsidR="00487D97">
        <w:t>T</w:t>
      </w:r>
      <w:r w:rsidR="00AF2DBF">
        <w:t xml:space="preserve">his leaves </w:t>
      </w:r>
      <w:r w:rsidR="00487D97">
        <w:t xml:space="preserve">open the possibility that the effective implementation of </w:t>
      </w:r>
      <w:r w:rsidR="00C76CB1">
        <w:t>EU</w:t>
      </w:r>
      <w:r w:rsidR="00487D97">
        <w:t xml:space="preserve"> law (having </w:t>
      </w:r>
      <w:r w:rsidR="00487CFA">
        <w:t xml:space="preserve">an </w:t>
      </w:r>
      <w:r w:rsidR="00487D97">
        <w:t xml:space="preserve">impact on the financial interests of the EU or the principle of sound </w:t>
      </w:r>
      <w:r w:rsidR="00C76CB1">
        <w:t xml:space="preserve">financial management) </w:t>
      </w:r>
      <w:r w:rsidR="005A39D1">
        <w:t>fleshes out</w:t>
      </w:r>
      <w:r w:rsidR="00C76CB1">
        <w:t xml:space="preserve"> t</w:t>
      </w:r>
      <w:r w:rsidR="005A39D1">
        <w:t>h</w:t>
      </w:r>
      <w:r w:rsidR="00C76CB1">
        <w:t>e solidarity between Member States and in relation to the EU. The common resources seem to become a crossroad</w:t>
      </w:r>
      <w:r w:rsidR="00487CFA">
        <w:t>s</w:t>
      </w:r>
      <w:r w:rsidR="00C76CB1">
        <w:t xml:space="preserve"> for the horizontal mutual responsibility (between Member States) and the vertical mutual responsibility (between Member States and the EU). The institutional machinery and practical implementation facilitated and strengthened by the leverage the European Commission gains thanks to the </w:t>
      </w:r>
      <w:r w:rsidR="00F7334C">
        <w:t xml:space="preserve">Conditionality Regulation </w:t>
      </w:r>
      <w:r w:rsidR="00C76CB1">
        <w:t xml:space="preserve">tend to support this idea. </w:t>
      </w:r>
    </w:p>
    <w:p w14:paraId="704CAB95" w14:textId="4C90C604" w:rsidR="00EB1C88" w:rsidRDefault="00EB1C88" w:rsidP="00C76CB1">
      <w:pPr>
        <w:pStyle w:val="Heading1"/>
      </w:pPr>
      <w:r>
        <w:t>Solidarity</w:t>
      </w:r>
      <w:r w:rsidR="00C76CB1">
        <w:t>,</w:t>
      </w:r>
      <w:r>
        <w:t xml:space="preserve"> </w:t>
      </w:r>
      <w:r w:rsidR="00C76CB1">
        <w:t xml:space="preserve">concrete implementation </w:t>
      </w:r>
      <w:r>
        <w:t>and institutional enforcement</w:t>
      </w:r>
    </w:p>
    <w:p w14:paraId="26018C07" w14:textId="77777777" w:rsidR="004461BA" w:rsidRDefault="004461BA" w:rsidP="004461BA"/>
    <w:p w14:paraId="1282118E" w14:textId="77777777" w:rsidR="006B7EE3" w:rsidRDefault="006B7EE3" w:rsidP="006B7EE3">
      <w:pPr>
        <w:jc w:val="both"/>
      </w:pPr>
      <w:r>
        <w:t xml:space="preserve">In the </w:t>
      </w:r>
      <w:r>
        <w:rPr>
          <w:i/>
          <w:iCs/>
        </w:rPr>
        <w:t xml:space="preserve">Budget Conditionality </w:t>
      </w:r>
      <w:r>
        <w:t xml:space="preserve">Judgments, the CJEU links solidarity with mutual trust relying on effective enforcement of the law to protect sound financial management and the financial interest of the Union. This effective enforcement is being increasingly developed with an institutional and a concrete side providing some insight into the actual impact of the </w:t>
      </w:r>
      <w:r>
        <w:rPr>
          <w:i/>
          <w:iCs/>
        </w:rPr>
        <w:t xml:space="preserve">Budget Conditionality </w:t>
      </w:r>
      <w:r>
        <w:t>Judgments in the untangling of the factual circumstances that played in their background and furthermore how their solutions can shape further relations with Member States. Member States are not only interdependent on the ways resources are collected and spent, but also in how legal procedures to these effects are implemented and their respect monitored and enforced.</w:t>
      </w:r>
    </w:p>
    <w:p w14:paraId="3807F0C5" w14:textId="77777777" w:rsidR="00487848" w:rsidRDefault="00487848" w:rsidP="00AF2DBF">
      <w:pPr>
        <w:jc w:val="both"/>
      </w:pPr>
    </w:p>
    <w:p w14:paraId="09D0B5CE" w14:textId="2157269D" w:rsidR="00E05D18" w:rsidRDefault="007A46DB" w:rsidP="00570405">
      <w:pPr>
        <w:jc w:val="both"/>
      </w:pPr>
      <w:r>
        <w:t>First, i</w:t>
      </w:r>
      <w:r w:rsidR="00487848">
        <w:t xml:space="preserve">n terms of institutional enforcement, three main </w:t>
      </w:r>
      <w:r w:rsidR="00AF2DBF">
        <w:t>channels</w:t>
      </w:r>
      <w:r w:rsidR="00487848">
        <w:t xml:space="preserve"> are open, and the </w:t>
      </w:r>
      <w:r w:rsidR="00487848">
        <w:rPr>
          <w:i/>
          <w:iCs/>
        </w:rPr>
        <w:t xml:space="preserve">Budget Conditionality </w:t>
      </w:r>
      <w:r w:rsidR="00487848">
        <w:t>Judgments paved the way for their reinforcement:</w:t>
      </w:r>
      <w:r w:rsidR="00AF2DBF">
        <w:t xml:space="preserve"> the European Commission, OLAF and the </w:t>
      </w:r>
      <w:r w:rsidR="00E05D18">
        <w:t>EPPO.</w:t>
      </w:r>
      <w:r w:rsidR="00B23F29">
        <w:t xml:space="preserve"> </w:t>
      </w:r>
      <w:r w:rsidR="00E05D18">
        <w:t xml:space="preserve">Once the </w:t>
      </w:r>
      <w:r w:rsidR="00487848">
        <w:t xml:space="preserve">CJEU </w:t>
      </w:r>
      <w:r w:rsidR="00E05D18">
        <w:t xml:space="preserve">validated the </w:t>
      </w:r>
      <w:r w:rsidR="00F7334C">
        <w:t>Conditionality Regulation</w:t>
      </w:r>
      <w:r w:rsidR="00E05D18">
        <w:t xml:space="preserve">, the European </w:t>
      </w:r>
      <w:r w:rsidR="00E05D18">
        <w:lastRenderedPageBreak/>
        <w:t xml:space="preserve">Commission adopted </w:t>
      </w:r>
      <w:r w:rsidR="00B23F29">
        <w:t>a</w:t>
      </w:r>
      <w:r w:rsidR="00E05D18">
        <w:t xml:space="preserve"> Communication</w:t>
      </w:r>
      <w:r w:rsidR="00E05D18">
        <w:rPr>
          <w:rStyle w:val="FootnoteReference"/>
        </w:rPr>
        <w:footnoteReference w:id="86"/>
      </w:r>
      <w:r w:rsidR="00E05D18">
        <w:t xml:space="preserve"> to </w:t>
      </w:r>
      <w:r w:rsidR="003574E9">
        <w:t>implement</w:t>
      </w:r>
      <w:r w:rsidR="00E05D18">
        <w:t xml:space="preserve"> the </w:t>
      </w:r>
      <w:r w:rsidR="003574E9">
        <w:t>r</w:t>
      </w:r>
      <w:r w:rsidR="00E05D18">
        <w:t xml:space="preserve">egulation as </w:t>
      </w:r>
      <w:r w:rsidR="00E05D18" w:rsidRPr="00B23F29">
        <w:rPr>
          <w:i/>
          <w:iCs/>
        </w:rPr>
        <w:t>per</w:t>
      </w:r>
      <w:r w:rsidR="00E05D18">
        <w:t xml:space="preserve"> the political compromise agreed at the </w:t>
      </w:r>
      <w:r w:rsidR="00BC0535">
        <w:t>2020 European</w:t>
      </w:r>
      <w:r w:rsidR="00E05D18">
        <w:t xml:space="preserve"> Co</w:t>
      </w:r>
      <w:r w:rsidR="00BC0535">
        <w:t>uncil</w:t>
      </w:r>
      <w:r w:rsidR="00E05D18">
        <w:t>.</w:t>
      </w:r>
      <w:r w:rsidR="00E05D18">
        <w:rPr>
          <w:rStyle w:val="FootnoteReference"/>
        </w:rPr>
        <w:footnoteReference w:id="87"/>
      </w:r>
      <w:r w:rsidR="00E05D18">
        <w:t xml:space="preserve"> The second paragraph of the Communication copies and paste</w:t>
      </w:r>
      <w:r w:rsidR="00487848">
        <w:t>s</w:t>
      </w:r>
      <w:r w:rsidR="00E05D18">
        <w:t xml:space="preserve"> the main paragraph of the </w:t>
      </w:r>
      <w:r w:rsidR="00487848" w:rsidRPr="00487848">
        <w:rPr>
          <w:i/>
          <w:iCs/>
        </w:rPr>
        <w:t>Budget Conditionality</w:t>
      </w:r>
      <w:r w:rsidR="00487848">
        <w:t xml:space="preserve"> </w:t>
      </w:r>
      <w:r w:rsidR="00E05D18">
        <w:t>Judgments</w:t>
      </w:r>
      <w:r w:rsidR="00487848">
        <w:t xml:space="preserve"> discussed above</w:t>
      </w:r>
      <w:r w:rsidR="00E05D18">
        <w:t>.</w:t>
      </w:r>
      <w:r w:rsidR="00487848" w:rsidRPr="00CA401C">
        <w:rPr>
          <w:rStyle w:val="FootnoteReference"/>
          <w:sz w:val="22"/>
          <w:szCs w:val="22"/>
        </w:rPr>
        <w:footnoteReference w:id="88"/>
      </w:r>
      <w:r w:rsidR="00487848" w:rsidRPr="00CA401C">
        <w:rPr>
          <w:sz w:val="22"/>
          <w:szCs w:val="22"/>
        </w:rPr>
        <w:t xml:space="preserve"> </w:t>
      </w:r>
      <w:r w:rsidR="00E05D18">
        <w:t>On this basis, the Commission details the procedure for it to recommend measures in the case of a breach of law putting sound financial management and the financial interest</w:t>
      </w:r>
      <w:r w:rsidR="00B23F29">
        <w:t>s</w:t>
      </w:r>
      <w:r w:rsidR="00E05D18">
        <w:t xml:space="preserve"> of the Union at risk. The </w:t>
      </w:r>
      <w:r w:rsidR="00487848">
        <w:t>C</w:t>
      </w:r>
      <w:r w:rsidR="00E05D18">
        <w:t>ommission</w:t>
      </w:r>
      <w:r w:rsidR="00487848">
        <w:t xml:space="preserve"> then</w:t>
      </w:r>
      <w:r w:rsidR="00E05D18">
        <w:t xml:space="preserve"> followed the procedure in relation to Hungary, leading it to propose the suspension of 65% of </w:t>
      </w:r>
      <w:r w:rsidR="00580912">
        <w:t xml:space="preserve">the </w:t>
      </w:r>
      <w:r w:rsidR="00E05D18">
        <w:t>EU funds in September 2022.</w:t>
      </w:r>
      <w:r w:rsidR="00E05D18">
        <w:rPr>
          <w:rStyle w:val="FootnoteReference"/>
        </w:rPr>
        <w:footnoteReference w:id="89"/>
      </w:r>
      <w:r w:rsidR="00E05D18">
        <w:t xml:space="preserve"> The Council adopted revised measures </w:t>
      </w:r>
      <w:r w:rsidR="00580912">
        <w:t xml:space="preserve">leading to a suspension of 55% of these funds </w:t>
      </w:r>
      <w:r w:rsidR="00E05D18">
        <w:t>in December 2</w:t>
      </w:r>
      <w:r w:rsidR="00E05D18" w:rsidRPr="00267740">
        <w:t>022.</w:t>
      </w:r>
      <w:r w:rsidR="00E05D18" w:rsidRPr="00267740">
        <w:rPr>
          <w:rStyle w:val="FootnoteReference"/>
        </w:rPr>
        <w:footnoteReference w:id="90"/>
      </w:r>
      <w:r w:rsidR="00E05D18" w:rsidRPr="00267740">
        <w:t xml:space="preserve"> The Commission reassessed the measures a year later</w:t>
      </w:r>
      <w:r w:rsidR="005F5FF8" w:rsidRPr="00267740">
        <w:t xml:space="preserve"> and decided that the situation had not been remedied.</w:t>
      </w:r>
      <w:r w:rsidR="00E05D18" w:rsidRPr="00267740">
        <w:rPr>
          <w:rStyle w:val="FootnoteReference"/>
        </w:rPr>
        <w:footnoteReference w:id="91"/>
      </w:r>
      <w:r w:rsidR="00E05D18" w:rsidRPr="00267740">
        <w:t xml:space="preserve"> </w:t>
      </w:r>
      <w:r w:rsidR="00BC0535" w:rsidRPr="00267740">
        <w:t xml:space="preserve">Yet, it </w:t>
      </w:r>
      <w:r w:rsidR="00B23F29">
        <w:t xml:space="preserve">also (confusingly) </w:t>
      </w:r>
      <w:r w:rsidR="00E05D18" w:rsidRPr="00267740">
        <w:t>decided that Hungary had complied with part of the re</w:t>
      </w:r>
      <w:r w:rsidR="00267740" w:rsidRPr="00267740">
        <w:t>medial</w:t>
      </w:r>
      <w:r w:rsidR="00E05D18" w:rsidRPr="00267740">
        <w:t xml:space="preserve"> measures</w:t>
      </w:r>
      <w:r w:rsidR="00267740" w:rsidRPr="00267740">
        <w:t xml:space="preserve"> so it released funds frozen under the conditionality linked to the respect of the European Charter of Fundamental Rights</w:t>
      </w:r>
      <w:r w:rsidR="00267740" w:rsidRPr="00267740">
        <w:rPr>
          <w:rStyle w:val="FootnoteReference"/>
        </w:rPr>
        <w:footnoteReference w:id="92"/>
      </w:r>
      <w:r w:rsidR="00E05D18" w:rsidRPr="00267740">
        <w:t xml:space="preserve">. </w:t>
      </w:r>
      <w:r w:rsidR="00570405" w:rsidRPr="00267740">
        <w:t>However, the parallel suspensions of EU funds on the basis of</w:t>
      </w:r>
      <w:r w:rsidR="00267740" w:rsidRPr="00267740">
        <w:t xml:space="preserve"> two different overlapping procedures with no clear articulation </w:t>
      </w:r>
      <w:r w:rsidR="00570405" w:rsidRPr="00267740">
        <w:t xml:space="preserve">and the lack of </w:t>
      </w:r>
      <w:r w:rsidR="00267740">
        <w:t xml:space="preserve">any </w:t>
      </w:r>
      <w:r w:rsidR="00570405" w:rsidRPr="00267740">
        <w:t xml:space="preserve">procedure in relation to Poland </w:t>
      </w:r>
      <w:r w:rsidR="008F0599" w:rsidRPr="00267740">
        <w:t>allow</w:t>
      </w:r>
      <w:r w:rsidR="00487CFA">
        <w:t>ed</w:t>
      </w:r>
      <w:r w:rsidR="008F0599" w:rsidRPr="00267740">
        <w:t xml:space="preserve"> </w:t>
      </w:r>
      <w:r w:rsidR="00B23F29">
        <w:t xml:space="preserve">for criticisms of </w:t>
      </w:r>
      <w:r w:rsidR="00570405" w:rsidRPr="00267740">
        <w:t xml:space="preserve">political volatility and </w:t>
      </w:r>
      <w:r w:rsidR="00487CFA">
        <w:t xml:space="preserve">a </w:t>
      </w:r>
      <w:r w:rsidR="00570405" w:rsidRPr="00267740">
        <w:t>lack of objectivity</w:t>
      </w:r>
      <w:r w:rsidR="008F0599">
        <w:t>,</w:t>
      </w:r>
      <w:r w:rsidR="00A30F81">
        <w:rPr>
          <w:rStyle w:val="FootnoteReference"/>
        </w:rPr>
        <w:footnoteReference w:id="93"/>
      </w:r>
      <w:r w:rsidR="008F0599">
        <w:t xml:space="preserve"> which</w:t>
      </w:r>
      <w:r w:rsidR="00570405">
        <w:t xml:space="preserve"> the CJEU sought to prevent from happening in requiring the European Commission to act in a fair, objective and impartial manner. </w:t>
      </w:r>
      <w:r w:rsidR="00570405" w:rsidRPr="008F0599">
        <w:t>T</w:t>
      </w:r>
      <w:r w:rsidR="00E05D18" w:rsidRPr="008F0599">
        <w:t>he</w:t>
      </w:r>
      <w:r w:rsidR="00570405" w:rsidRPr="008F0599">
        <w:t xml:space="preserve"> European</w:t>
      </w:r>
      <w:r w:rsidR="00E05D18" w:rsidRPr="008F0599">
        <w:t xml:space="preserve"> Parliament adopted </w:t>
      </w:r>
      <w:r w:rsidR="00570405" w:rsidRPr="008F0599">
        <w:t xml:space="preserve">a </w:t>
      </w:r>
      <w:r w:rsidR="00E05D18" w:rsidRPr="008F0599">
        <w:t>resolution to challenge th</w:t>
      </w:r>
      <w:r w:rsidR="00570405" w:rsidRPr="008F0599">
        <w:t>e European Commission’s</w:t>
      </w:r>
      <w:r w:rsidR="00E05D18" w:rsidRPr="008F0599">
        <w:t xml:space="preserve"> decision</w:t>
      </w:r>
      <w:r w:rsidR="00570405" w:rsidRPr="008F0599">
        <w:t xml:space="preserve"> to </w:t>
      </w:r>
      <w:r w:rsidR="00267740">
        <w:t xml:space="preserve">unlock the EU </w:t>
      </w:r>
      <w:r w:rsidR="00570405" w:rsidRPr="008F0599">
        <w:t>funds</w:t>
      </w:r>
      <w:r w:rsidR="00BC0535">
        <w:rPr>
          <w:rStyle w:val="FootnoteReference"/>
        </w:rPr>
        <w:footnoteReference w:id="94"/>
      </w:r>
      <w:r w:rsidR="00570405" w:rsidRPr="008F0599">
        <w:t xml:space="preserve"> </w:t>
      </w:r>
      <w:r w:rsidR="00BC0535">
        <w:t xml:space="preserve">as </w:t>
      </w:r>
      <w:r w:rsidR="00570405" w:rsidRPr="008F0599">
        <w:t xml:space="preserve">Viktor Orban </w:t>
      </w:r>
      <w:r w:rsidR="00BC0535">
        <w:t>left</w:t>
      </w:r>
      <w:r w:rsidR="00570405" w:rsidRPr="008F0599">
        <w:t xml:space="preserve"> a meeting paving the way for</w:t>
      </w:r>
      <w:r w:rsidR="00B23F29">
        <w:t xml:space="preserve"> the</w:t>
      </w:r>
      <w:r w:rsidR="00DC75FA">
        <w:t xml:space="preserve"> European</w:t>
      </w:r>
      <w:r w:rsidR="00B23F29">
        <w:t xml:space="preserve"> Council to </w:t>
      </w:r>
      <w:r w:rsidR="00570405" w:rsidRPr="008F0599">
        <w:t>decid</w:t>
      </w:r>
      <w:r w:rsidR="00B23F29">
        <w:t>e</w:t>
      </w:r>
      <w:r w:rsidR="00570405" w:rsidRPr="008F0599">
        <w:t xml:space="preserve"> </w:t>
      </w:r>
      <w:r w:rsidR="00DD4EA7">
        <w:t xml:space="preserve">to </w:t>
      </w:r>
      <w:r w:rsidR="00386402" w:rsidRPr="008F0599">
        <w:t>open</w:t>
      </w:r>
      <w:r w:rsidR="00570405" w:rsidRPr="008F0599">
        <w:t xml:space="preserve"> </w:t>
      </w:r>
      <w:r w:rsidR="00BC0535">
        <w:t>the</w:t>
      </w:r>
      <w:r w:rsidR="00570405" w:rsidRPr="008F0599">
        <w:t xml:space="preserve"> </w:t>
      </w:r>
      <w:r w:rsidR="00B23F29">
        <w:t xml:space="preserve">membership </w:t>
      </w:r>
      <w:r w:rsidR="00570405" w:rsidRPr="008F0599">
        <w:t>negotiations with Ukraine. The</w:t>
      </w:r>
      <w:r w:rsidR="00E05D18" w:rsidRPr="008F0599">
        <w:t xml:space="preserve"> case</w:t>
      </w:r>
      <w:r w:rsidR="00570405" w:rsidRPr="008F0599">
        <w:t xml:space="preserve"> is</w:t>
      </w:r>
      <w:r w:rsidR="00570405">
        <w:t xml:space="preserve"> pending at the time of writing</w:t>
      </w:r>
      <w:r w:rsidR="00E05D18">
        <w:t>.</w:t>
      </w:r>
      <w:r w:rsidR="00E05D18">
        <w:rPr>
          <w:rStyle w:val="FootnoteReference"/>
        </w:rPr>
        <w:footnoteReference w:id="95"/>
      </w:r>
      <w:r w:rsidR="00E05D18">
        <w:t xml:space="preserve"> These</w:t>
      </w:r>
      <w:r w:rsidR="00BC0535">
        <w:t xml:space="preserve"> </w:t>
      </w:r>
      <w:r w:rsidR="00E05D18">
        <w:t>actions</w:t>
      </w:r>
      <w:r w:rsidR="00570405">
        <w:t xml:space="preserve"> and omissions</w:t>
      </w:r>
      <w:r w:rsidR="00E05D18">
        <w:t xml:space="preserve"> </w:t>
      </w:r>
      <w:r w:rsidR="00DD4EA7">
        <w:t xml:space="preserve">by the </w:t>
      </w:r>
      <w:r w:rsidR="00DD4EA7" w:rsidRPr="008F0599">
        <w:t>European Commission</w:t>
      </w:r>
      <w:r w:rsidR="00DD4EA7">
        <w:t xml:space="preserve"> </w:t>
      </w:r>
      <w:r w:rsidR="00E05D18">
        <w:t xml:space="preserve">have been criticised </w:t>
      </w:r>
      <w:r w:rsidR="00DD4EA7">
        <w:t>as</w:t>
      </w:r>
      <w:r w:rsidR="00267740">
        <w:t xml:space="preserve"> </w:t>
      </w:r>
      <w:r w:rsidR="00E05D18">
        <w:t>they do not reflect</w:t>
      </w:r>
      <w:r w:rsidR="00DD4EA7">
        <w:t xml:space="preserve"> the</w:t>
      </w:r>
      <w:r w:rsidR="00E05D18">
        <w:t xml:space="preserve"> requirements of the rule of law. </w:t>
      </w:r>
      <w:r w:rsidR="006C7B3F">
        <w:t xml:space="preserve">The Commission </w:t>
      </w:r>
      <w:r w:rsidR="00DD4EA7">
        <w:t xml:space="preserve">has </w:t>
      </w:r>
      <w:r w:rsidR="006C7B3F">
        <w:t>justifie</w:t>
      </w:r>
      <w:r w:rsidR="00DD4EA7">
        <w:t>d</w:t>
      </w:r>
      <w:r w:rsidR="006C7B3F">
        <w:t xml:space="preserve"> its</w:t>
      </w:r>
      <w:r w:rsidR="00BC0535">
        <w:t xml:space="preserve"> position in</w:t>
      </w:r>
      <w:r w:rsidR="006C7B3F">
        <w:t xml:space="preserve"> relation to Poland </w:t>
      </w:r>
      <w:r w:rsidR="00BC0535">
        <w:t xml:space="preserve">by </w:t>
      </w:r>
      <w:r w:rsidR="004315EC">
        <w:t xml:space="preserve">invoking the lack of reasonable grounds to think that the requirements of the </w:t>
      </w:r>
      <w:r w:rsidR="00F7334C">
        <w:t>Conditionality Regulation</w:t>
      </w:r>
      <w:r w:rsidR="004315EC">
        <w:t xml:space="preserve"> were met, although </w:t>
      </w:r>
      <w:r w:rsidR="00B23F29">
        <w:t xml:space="preserve">it </w:t>
      </w:r>
      <w:r w:rsidR="004315EC">
        <w:t>keeps monitoring the situation in Poland as it does for any other Member State.</w:t>
      </w:r>
      <w:r w:rsidR="004315EC">
        <w:rPr>
          <w:rStyle w:val="FootnoteReference"/>
        </w:rPr>
        <w:footnoteReference w:id="96"/>
      </w:r>
      <w:r w:rsidR="004315EC">
        <w:t xml:space="preserve"> </w:t>
      </w:r>
      <w:r w:rsidR="00570405">
        <w:t>H</w:t>
      </w:r>
      <w:r w:rsidR="00E05D18">
        <w:t>owever,</w:t>
      </w:r>
      <w:r w:rsidR="00B23F29">
        <w:t xml:space="preserve"> the</w:t>
      </w:r>
      <w:r w:rsidR="00E05D18">
        <w:t xml:space="preserve"> </w:t>
      </w:r>
      <w:r w:rsidR="00570405">
        <w:rPr>
          <w:i/>
          <w:iCs/>
        </w:rPr>
        <w:t xml:space="preserve">Budget Conditionality </w:t>
      </w:r>
      <w:r w:rsidR="00570405">
        <w:t xml:space="preserve">Judgments open up the possibility for the European Commission to organise an accountable decision-making process, </w:t>
      </w:r>
      <w:r w:rsidR="00DC75FA">
        <w:t>while</w:t>
      </w:r>
      <w:r w:rsidR="00570405">
        <w:t xml:space="preserve"> other types of conditionality are co-existing without similar requirements applicable </w:t>
      </w:r>
      <w:r w:rsidR="00DD4EA7">
        <w:t xml:space="preserve">to </w:t>
      </w:r>
      <w:r w:rsidR="00570405">
        <w:t>the Commission’s decision-making, leaving the question open</w:t>
      </w:r>
      <w:r w:rsidR="00DD4EA7">
        <w:t xml:space="preserve"> as to</w:t>
      </w:r>
      <w:r w:rsidR="00570405">
        <w:t xml:space="preserve"> whether some sort of harmonisation might not be necessary to comply with legal certainty and</w:t>
      </w:r>
      <w:r w:rsidR="00B23F29">
        <w:t xml:space="preserve"> make</w:t>
      </w:r>
      <w:r w:rsidR="00570405">
        <w:t xml:space="preserve"> political</w:t>
      </w:r>
      <w:r>
        <w:t>ly motivated leeway</w:t>
      </w:r>
      <w:r w:rsidR="00B23F29">
        <w:t xml:space="preserve"> accountable</w:t>
      </w:r>
      <w:r>
        <w:t>.</w:t>
      </w:r>
      <w:r w:rsidR="00570405">
        <w:t xml:space="preserve"> </w:t>
      </w:r>
    </w:p>
    <w:p w14:paraId="3C161C34" w14:textId="77777777" w:rsidR="007A46DB" w:rsidRDefault="007A46DB" w:rsidP="00570405">
      <w:pPr>
        <w:jc w:val="both"/>
      </w:pPr>
    </w:p>
    <w:p w14:paraId="1883E69D" w14:textId="5957D5A8" w:rsidR="00BE378B" w:rsidRPr="000C261F" w:rsidRDefault="00BE378B" w:rsidP="00AF2DBF">
      <w:pPr>
        <w:jc w:val="both"/>
        <w:rPr>
          <w:color w:val="000000" w:themeColor="text1"/>
          <w:lang w:val="en-US"/>
        </w:rPr>
      </w:pPr>
      <w:r>
        <w:lastRenderedPageBreak/>
        <w:t xml:space="preserve">The Commission Guidelines explicitly </w:t>
      </w:r>
      <w:r w:rsidR="00DD4EA7">
        <w:t xml:space="preserve">mention </w:t>
      </w:r>
      <w:r>
        <w:t>the role of OLAF and the EPPO, and the importance of cooperation even in cases where a Member State is not a member of EPPO.</w:t>
      </w:r>
      <w:r w:rsidR="004315EC">
        <w:t xml:space="preserve"> Two points can be made in relation </w:t>
      </w:r>
      <w:r w:rsidR="00DD4EA7">
        <w:t xml:space="preserve">to </w:t>
      </w:r>
      <w:r w:rsidR="004315EC">
        <w:t xml:space="preserve">the effective implementation of EU law with </w:t>
      </w:r>
      <w:r w:rsidR="00DD4EA7">
        <w:t xml:space="preserve">an </w:t>
      </w:r>
      <w:r w:rsidR="004315EC">
        <w:t xml:space="preserve">impact on the principle of sound financial management and the protection of the financial interests of the Union. </w:t>
      </w:r>
      <w:r w:rsidR="0013769C">
        <w:t>On the one hand</w:t>
      </w:r>
      <w:r w:rsidR="004315EC">
        <w:t xml:space="preserve">, one of the problems originally encountered with Poland and Hungary was their </w:t>
      </w:r>
      <w:r w:rsidR="000C261F">
        <w:t>non-participation</w:t>
      </w:r>
      <w:r w:rsidR="004315EC">
        <w:t xml:space="preserve"> in </w:t>
      </w:r>
      <w:r>
        <w:t>EPPO</w:t>
      </w:r>
      <w:r w:rsidR="004315EC">
        <w:t xml:space="preserve">. </w:t>
      </w:r>
      <w:r w:rsidR="000C261F" w:rsidRPr="008C1A9E">
        <w:rPr>
          <w:color w:val="000000" w:themeColor="text1"/>
          <w:lang w:val="en-US"/>
        </w:rPr>
        <w:t xml:space="preserve">Poland </w:t>
      </w:r>
      <w:r w:rsidR="000C261F">
        <w:rPr>
          <w:color w:val="000000" w:themeColor="text1"/>
          <w:lang w:val="en-US"/>
        </w:rPr>
        <w:t>wa</w:t>
      </w:r>
      <w:r w:rsidR="000C261F" w:rsidRPr="008C1A9E">
        <w:rPr>
          <w:color w:val="000000" w:themeColor="text1"/>
          <w:lang w:val="en-US"/>
        </w:rPr>
        <w:t>s the non-participating country with most investigations by EPPO, a</w:t>
      </w:r>
      <w:r w:rsidR="000C261F">
        <w:rPr>
          <w:color w:val="000000" w:themeColor="text1"/>
          <w:lang w:val="en-US"/>
        </w:rPr>
        <w:t>lthough</w:t>
      </w:r>
      <w:r w:rsidR="000C261F" w:rsidRPr="008C1A9E">
        <w:rPr>
          <w:color w:val="000000" w:themeColor="text1"/>
          <w:lang w:val="en-US"/>
        </w:rPr>
        <w:t xml:space="preserve"> it </w:t>
      </w:r>
      <w:r w:rsidR="000C261F">
        <w:rPr>
          <w:color w:val="000000" w:themeColor="text1"/>
          <w:lang w:val="en-US"/>
        </w:rPr>
        <w:t xml:space="preserve">has long </w:t>
      </w:r>
      <w:r w:rsidR="000C261F" w:rsidRPr="008C1A9E">
        <w:rPr>
          <w:color w:val="000000" w:themeColor="text1"/>
          <w:lang w:val="en-US"/>
        </w:rPr>
        <w:t>refuse</w:t>
      </w:r>
      <w:r w:rsidR="000C261F">
        <w:rPr>
          <w:color w:val="000000" w:themeColor="text1"/>
          <w:lang w:val="en-US"/>
        </w:rPr>
        <w:t>d</w:t>
      </w:r>
      <w:r w:rsidR="000C261F" w:rsidRPr="008C1A9E">
        <w:rPr>
          <w:color w:val="000000" w:themeColor="text1"/>
          <w:lang w:val="en-US"/>
        </w:rPr>
        <w:t xml:space="preserve"> to cooperate with the EPPO.</w:t>
      </w:r>
      <w:r w:rsidR="000C261F" w:rsidRPr="008C1A9E">
        <w:rPr>
          <w:rStyle w:val="FootnoteReference"/>
          <w:color w:val="000000" w:themeColor="text1"/>
          <w:lang w:val="en-US"/>
        </w:rPr>
        <w:footnoteReference w:id="97"/>
      </w:r>
      <w:r w:rsidR="0013769C">
        <w:rPr>
          <w:color w:val="000000" w:themeColor="text1"/>
          <w:lang w:val="en-US"/>
        </w:rPr>
        <w:t xml:space="preserve"> </w:t>
      </w:r>
      <w:r w:rsidR="0013769C">
        <w:t>Poland has now become a member.</w:t>
      </w:r>
      <w:r w:rsidR="0013769C">
        <w:rPr>
          <w:rStyle w:val="FootnoteReference"/>
        </w:rPr>
        <w:footnoteReference w:id="98"/>
      </w:r>
      <w:r w:rsidR="0013769C">
        <w:t xml:space="preserve"> </w:t>
      </w:r>
      <w:r w:rsidR="0013769C">
        <w:rPr>
          <w:color w:val="000000" w:themeColor="text1"/>
        </w:rPr>
        <w:t xml:space="preserve"> S</w:t>
      </w:r>
      <w:r w:rsidR="004315EC">
        <w:t xml:space="preserve">ince the </w:t>
      </w:r>
      <w:r w:rsidR="00F7334C">
        <w:t xml:space="preserve">Conditionality Regulation </w:t>
      </w:r>
      <w:r w:rsidR="004315EC">
        <w:t xml:space="preserve">is in force, </w:t>
      </w:r>
      <w:r w:rsidR="000C261F" w:rsidRPr="008C1A9E">
        <w:rPr>
          <w:color w:val="000000" w:themeColor="text1"/>
          <w:lang w:val="en-US"/>
        </w:rPr>
        <w:t>Hungary agreed to undertake a cooperation arrangement with OLAF after being at risk of losing access to EU funding in</w:t>
      </w:r>
      <w:r w:rsidR="00DD4EA7">
        <w:rPr>
          <w:color w:val="000000" w:themeColor="text1"/>
          <w:lang w:val="en-US"/>
        </w:rPr>
        <w:t xml:space="preserve"> the</w:t>
      </w:r>
      <w:r w:rsidR="000C261F" w:rsidRPr="008C1A9E">
        <w:rPr>
          <w:color w:val="000000" w:themeColor="text1"/>
          <w:lang w:val="en-US"/>
        </w:rPr>
        <w:t xml:space="preserve"> case of non-cooperation</w:t>
      </w:r>
      <w:r w:rsidR="0013769C">
        <w:rPr>
          <w:color w:val="000000" w:themeColor="text1"/>
          <w:lang w:val="en-US"/>
        </w:rPr>
        <w:t>.</w:t>
      </w:r>
      <w:r w:rsidR="000C261F" w:rsidRPr="008C1A9E">
        <w:rPr>
          <w:rStyle w:val="FootnoteReference"/>
          <w:color w:val="000000" w:themeColor="text1"/>
          <w:lang w:val="en-US"/>
        </w:rPr>
        <w:footnoteReference w:id="99"/>
      </w:r>
      <w:r w:rsidR="000C261F">
        <w:rPr>
          <w:color w:val="000000" w:themeColor="text1"/>
          <w:lang w:val="en-US"/>
        </w:rPr>
        <w:t xml:space="preserve"> </w:t>
      </w:r>
      <w:r w:rsidR="0013769C">
        <w:t>On the other hand</w:t>
      </w:r>
      <w:r w:rsidR="000C261F">
        <w:t>, the existence of parallel</w:t>
      </w:r>
      <w:r w:rsidR="00BC0535">
        <w:t>, overlapping</w:t>
      </w:r>
      <w:r w:rsidR="000C261F">
        <w:t xml:space="preserve"> </w:t>
      </w:r>
      <w:r w:rsidR="00BC0535">
        <w:t>but</w:t>
      </w:r>
      <w:r w:rsidR="000C261F">
        <w:t xml:space="preserve"> distinct instruments</w:t>
      </w:r>
      <w:r w:rsidR="00EA4C03">
        <w:t xml:space="preserve"> intended to protect the financial interests of the EU and sound financial management</w:t>
      </w:r>
      <w:r w:rsidR="000C261F">
        <w:t xml:space="preserve"> may be a seed of confusion.</w:t>
      </w:r>
      <w:r w:rsidR="00BC0535">
        <w:rPr>
          <w:rStyle w:val="FootnoteReference"/>
        </w:rPr>
        <w:footnoteReference w:id="100"/>
      </w:r>
      <w:r w:rsidR="000C261F">
        <w:t xml:space="preserve"> The </w:t>
      </w:r>
      <w:r w:rsidR="00F7334C">
        <w:t>Conditionality Regulation</w:t>
      </w:r>
      <w:r w:rsidR="000C261F">
        <w:t xml:space="preserve"> mention</w:t>
      </w:r>
      <w:r w:rsidR="00D327A6">
        <w:t>s</w:t>
      </w:r>
      <w:r w:rsidR="000C261F">
        <w:t xml:space="preserve"> the need to ensure a so-called ‘complementarity test’,</w:t>
      </w:r>
      <w:r w:rsidR="000C261F">
        <w:rPr>
          <w:rStyle w:val="FootnoteReference"/>
        </w:rPr>
        <w:footnoteReference w:id="101"/>
      </w:r>
      <w:r w:rsidR="000C261F">
        <w:t xml:space="preserve"> meaning that the Commission needs to assess when the instrument of the </w:t>
      </w:r>
      <w:r w:rsidR="00F7334C">
        <w:t xml:space="preserve">Conditionality Regulation </w:t>
      </w:r>
      <w:r w:rsidR="000C261F">
        <w:t>presents added value compared to other avenues. To this end, extensive cooperation is being developed</w:t>
      </w:r>
      <w:r w:rsidR="0013769C">
        <w:t>;</w:t>
      </w:r>
      <w:r w:rsidR="000C261F">
        <w:rPr>
          <w:rStyle w:val="FootnoteReference"/>
        </w:rPr>
        <w:footnoteReference w:id="102"/>
      </w:r>
      <w:r w:rsidR="0013769C">
        <w:t xml:space="preserve"> and the Commission considers that practice will </w:t>
      </w:r>
      <w:r w:rsidR="007562D4">
        <w:t>inform</w:t>
      </w:r>
      <w:r w:rsidR="0013769C">
        <w:t xml:space="preserve"> this ‘complementarity test’.</w:t>
      </w:r>
      <w:r w:rsidR="0013769C">
        <w:rPr>
          <w:rStyle w:val="FootnoteReference"/>
        </w:rPr>
        <w:footnoteReference w:id="103"/>
      </w:r>
    </w:p>
    <w:p w14:paraId="6B923B08" w14:textId="77777777" w:rsidR="002D1B08" w:rsidRPr="0013769C" w:rsidRDefault="002D1B08" w:rsidP="001C7CBD">
      <w:pPr>
        <w:jc w:val="both"/>
      </w:pPr>
    </w:p>
    <w:p w14:paraId="65944FA2" w14:textId="0607A968" w:rsidR="001C7CBD" w:rsidRDefault="007A46DB" w:rsidP="001C7CBD">
      <w:pPr>
        <w:jc w:val="both"/>
      </w:pPr>
      <w:r w:rsidRPr="007A46DB">
        <w:t>Secondl</w:t>
      </w:r>
      <w:r>
        <w:t>y,</w:t>
      </w:r>
      <w:r w:rsidRPr="007A46DB">
        <w:t> </w:t>
      </w:r>
      <w:r>
        <w:t xml:space="preserve">in terms of concrete implementation, the </w:t>
      </w:r>
      <w:r>
        <w:rPr>
          <w:i/>
          <w:iCs/>
        </w:rPr>
        <w:t xml:space="preserve">Budget Conditionality </w:t>
      </w:r>
      <w:r>
        <w:t>Judgments emphasise the link between s</w:t>
      </w:r>
      <w:r w:rsidR="00BE378B">
        <w:t>olidarity</w:t>
      </w:r>
      <w:r>
        <w:t xml:space="preserve">, mutual trust and effective implementation of EU law with a direct or sufficiently direct link </w:t>
      </w:r>
      <w:r w:rsidR="00DD4EA7">
        <w:t xml:space="preserve">to </w:t>
      </w:r>
      <w:r>
        <w:t>the principle of sound financial management and the protection of the financial interest</w:t>
      </w:r>
      <w:r w:rsidR="00D327A6">
        <w:t>s</w:t>
      </w:r>
      <w:r>
        <w:t xml:space="preserve"> of the Union. </w:t>
      </w:r>
      <w:r w:rsidR="001C7CBD">
        <w:t>T</w:t>
      </w:r>
      <w:r w:rsidR="004C546D">
        <w:t>wo</w:t>
      </w:r>
      <w:r w:rsidR="001C7CBD">
        <w:t xml:space="preserve"> </w:t>
      </w:r>
      <w:r>
        <w:t xml:space="preserve">concrete </w:t>
      </w:r>
      <w:r w:rsidR="001C7CBD">
        <w:t xml:space="preserve">examples </w:t>
      </w:r>
      <w:r>
        <w:t xml:space="preserve">illustrate </w:t>
      </w:r>
      <w:r w:rsidR="001C7CBD">
        <w:t xml:space="preserve">how </w:t>
      </w:r>
      <w:r w:rsidR="004C546D">
        <w:t>these links currently</w:t>
      </w:r>
      <w:r w:rsidR="00DD4EA7">
        <w:t xml:space="preserve"> play out</w:t>
      </w:r>
      <w:r w:rsidR="004C546D">
        <w:t xml:space="preserve"> </w:t>
      </w:r>
      <w:r w:rsidR="001C7CBD">
        <w:t xml:space="preserve">in </w:t>
      </w:r>
      <w:r w:rsidR="004C546D">
        <w:t xml:space="preserve">specific </w:t>
      </w:r>
      <w:r w:rsidR="001C7CBD">
        <w:t xml:space="preserve">European decisions: </w:t>
      </w:r>
      <w:r w:rsidR="004C546D">
        <w:t xml:space="preserve">problems encountered by </w:t>
      </w:r>
      <w:r w:rsidR="001C7CBD">
        <w:t>the Italian RR</w:t>
      </w:r>
      <w:r w:rsidR="004C546D">
        <w:t xml:space="preserve">F and </w:t>
      </w:r>
      <w:r w:rsidR="001C7CBD">
        <w:t>the</w:t>
      </w:r>
      <w:r w:rsidR="004C546D">
        <w:t xml:space="preserve"> EU Neighbour</w:t>
      </w:r>
      <w:r w:rsidR="00DC75FA">
        <w:t xml:space="preserve">hood </w:t>
      </w:r>
      <w:r w:rsidR="004C546D">
        <w:t>policy</w:t>
      </w:r>
      <w:r w:rsidR="001C7CBD">
        <w:t>.</w:t>
      </w:r>
    </w:p>
    <w:p w14:paraId="4FD28046" w14:textId="77777777" w:rsidR="004C546D" w:rsidRDefault="004C546D" w:rsidP="001C7CBD">
      <w:pPr>
        <w:jc w:val="both"/>
      </w:pPr>
    </w:p>
    <w:p w14:paraId="13324D03" w14:textId="2401545F" w:rsidR="004C546D" w:rsidRDefault="004C546D" w:rsidP="001C7CBD">
      <w:pPr>
        <w:jc w:val="both"/>
      </w:pPr>
      <w:r>
        <w:t xml:space="preserve">When it comes to the RRF, </w:t>
      </w:r>
      <w:r w:rsidR="001C7CBD">
        <w:t xml:space="preserve">Italy has been one of </w:t>
      </w:r>
      <w:r>
        <w:t>its</w:t>
      </w:r>
      <w:r w:rsidR="001C7CBD">
        <w:t xml:space="preserve"> two biggest </w:t>
      </w:r>
      <w:r w:rsidR="001C7CBD" w:rsidRPr="004C546D">
        <w:rPr>
          <w:color w:val="000000" w:themeColor="text1"/>
        </w:rPr>
        <w:t>beneficiaries.</w:t>
      </w:r>
      <w:r w:rsidRPr="004C546D">
        <w:rPr>
          <w:rStyle w:val="FootnoteReference"/>
          <w:color w:val="000000" w:themeColor="text1"/>
          <w:sz w:val="20"/>
          <w:szCs w:val="20"/>
        </w:rPr>
        <w:footnoteReference w:id="104"/>
      </w:r>
      <w:r w:rsidR="001C7CBD" w:rsidRPr="004C546D">
        <w:rPr>
          <w:color w:val="000000" w:themeColor="text1"/>
        </w:rPr>
        <w:t xml:space="preserve"> This </w:t>
      </w:r>
      <w:r w:rsidR="001C7CBD">
        <w:t>ma</w:t>
      </w:r>
      <w:r w:rsidR="00DD4EA7">
        <w:t>kes</w:t>
      </w:r>
      <w:r w:rsidR="001C7CBD">
        <w:t xml:space="preserve"> sense as Italy was the first EU Member State</w:t>
      </w:r>
      <w:r w:rsidR="00DD4EA7">
        <w:t>s to be</w:t>
      </w:r>
      <w:r w:rsidR="001C7CBD">
        <w:t xml:space="preserve"> affected by the pandemic and </w:t>
      </w:r>
      <w:r w:rsidR="00DD4EA7">
        <w:t xml:space="preserve">is the </w:t>
      </w:r>
      <w:r w:rsidR="001C7CBD">
        <w:t>one that most suffered from its economic impact and death toll.</w:t>
      </w:r>
      <w:r>
        <w:t xml:space="preserve"> In this sense, solidarity was much enacted</w:t>
      </w:r>
      <w:r w:rsidR="00D327A6">
        <w:t xml:space="preserve"> with the RRF</w:t>
      </w:r>
      <w:r>
        <w:t>.</w:t>
      </w:r>
      <w:r w:rsidR="00BE378B">
        <w:t xml:space="preserve"> </w:t>
      </w:r>
      <w:r w:rsidR="001C7CBD">
        <w:t xml:space="preserve">The Italian </w:t>
      </w:r>
      <w:r>
        <w:t xml:space="preserve">RRF </w:t>
      </w:r>
      <w:r w:rsidR="001C7CBD">
        <w:t>plan was first proposed by Prime Minister Drag</w:t>
      </w:r>
      <w:r w:rsidR="008837C9">
        <w:t>hi</w:t>
      </w:r>
      <w:r w:rsidR="001C7CBD">
        <w:t>,</w:t>
      </w:r>
      <w:r w:rsidR="001C7CBD">
        <w:rPr>
          <w:rStyle w:val="FootnoteReference"/>
        </w:rPr>
        <w:footnoteReference w:id="105"/>
      </w:r>
      <w:r w:rsidR="001C7CBD">
        <w:t xml:space="preserve"> and had to be implemented by his successor, Prime Minister Me</w:t>
      </w:r>
      <w:r w:rsidR="008837C9">
        <w:t>l</w:t>
      </w:r>
      <w:r w:rsidR="001C7CBD">
        <w:t>oni.</w:t>
      </w:r>
      <w:r w:rsidR="00DD64A3">
        <w:rPr>
          <w:rStyle w:val="FootnoteReference"/>
        </w:rPr>
        <w:footnoteReference w:id="106"/>
      </w:r>
      <w:r w:rsidR="001C7CBD">
        <w:t xml:space="preserve"> However, problems arose as Italy did not manage to implement the plan as agreed, miss</w:t>
      </w:r>
      <w:r>
        <w:t>ing</w:t>
      </w:r>
      <w:r w:rsidR="001C7CBD">
        <w:t xml:space="preserve"> </w:t>
      </w:r>
      <w:r w:rsidR="007562D4">
        <w:t>targets</w:t>
      </w:r>
      <w:r w:rsidR="001C7CBD">
        <w:t>.</w:t>
      </w:r>
      <w:r>
        <w:rPr>
          <w:rStyle w:val="FootnoteReference"/>
        </w:rPr>
        <w:footnoteReference w:id="107"/>
      </w:r>
      <w:r w:rsidR="001C7CBD">
        <w:t xml:space="preserve"> The Prime Minister then sought </w:t>
      </w:r>
      <w:r w:rsidR="007562D4">
        <w:t xml:space="preserve">a revision </w:t>
      </w:r>
      <w:r w:rsidR="001C7CBD">
        <w:t>of the plan.</w:t>
      </w:r>
      <w:r w:rsidR="003574E9">
        <w:rPr>
          <w:rStyle w:val="FootnoteReference"/>
        </w:rPr>
        <w:footnoteReference w:id="108"/>
      </w:r>
      <w:r w:rsidR="001C7CBD">
        <w:t xml:space="preserve"> </w:t>
      </w:r>
      <w:r>
        <w:t>A</w:t>
      </w:r>
      <w:r w:rsidR="001C7CBD">
        <w:t xml:space="preserve">dditional problems arose as EU funds appeared to </w:t>
      </w:r>
      <w:r w:rsidR="007562D4">
        <w:t>have been embezzled</w:t>
      </w:r>
      <w:r w:rsidR="001C7CBD">
        <w:t>.</w:t>
      </w:r>
      <w:r w:rsidR="007562D4">
        <w:rPr>
          <w:rStyle w:val="FootnoteReference"/>
        </w:rPr>
        <w:footnoteReference w:id="109"/>
      </w:r>
      <w:r w:rsidR="001C7CBD">
        <w:t xml:space="preserve"> The EPPO investigat</w:t>
      </w:r>
      <w:r w:rsidR="000C261F">
        <w:t>ed</w:t>
      </w:r>
      <w:r w:rsidR="001C7CBD">
        <w:t xml:space="preserve"> how the Italian plan ha</w:t>
      </w:r>
      <w:r w:rsidR="00DD4EA7">
        <w:t>d</w:t>
      </w:r>
      <w:r w:rsidR="001C7CBD">
        <w:t xml:space="preserve"> been </w:t>
      </w:r>
      <w:r w:rsidR="001C7CBD">
        <w:lastRenderedPageBreak/>
        <w:t>implemented</w:t>
      </w:r>
      <w:r w:rsidR="000C261F">
        <w:t>,</w:t>
      </w:r>
      <w:r w:rsidR="001C7CBD">
        <w:rPr>
          <w:rStyle w:val="FootnoteReference"/>
        </w:rPr>
        <w:footnoteReference w:id="110"/>
      </w:r>
      <w:r w:rsidR="001C7CBD">
        <w:t xml:space="preserve"> </w:t>
      </w:r>
      <w:r w:rsidR="000C261F">
        <w:t xml:space="preserve">with Italy being the country with </w:t>
      </w:r>
      <w:r w:rsidR="001C7CBD">
        <w:t xml:space="preserve">the highest number of </w:t>
      </w:r>
      <w:r w:rsidR="000C261F">
        <w:t xml:space="preserve">ongoing </w:t>
      </w:r>
      <w:r w:rsidR="001C7CBD">
        <w:t>investigations.</w:t>
      </w:r>
      <w:r w:rsidR="001C7CBD">
        <w:rPr>
          <w:rStyle w:val="FootnoteReference"/>
        </w:rPr>
        <w:footnoteReference w:id="111"/>
      </w:r>
      <w:r w:rsidR="00300626">
        <w:t xml:space="preserve"> </w:t>
      </w:r>
      <w:r>
        <w:t>Protection of the financial interests of the Union is indeed key to mutual trust to ensure solidarity with the victims of the Covid-19 crisis.</w:t>
      </w:r>
    </w:p>
    <w:p w14:paraId="09FBF9D4" w14:textId="77777777" w:rsidR="004C546D" w:rsidRDefault="004C546D" w:rsidP="001C7CBD">
      <w:pPr>
        <w:jc w:val="both"/>
      </w:pPr>
    </w:p>
    <w:p w14:paraId="1FA92E65" w14:textId="4A4C6CFA" w:rsidR="00932156" w:rsidRPr="00932156" w:rsidRDefault="004C546D" w:rsidP="00932156">
      <w:pPr>
        <w:jc w:val="both"/>
      </w:pPr>
      <w:r>
        <w:t>When it comes to the EU Neighbour</w:t>
      </w:r>
      <w:r w:rsidR="00DC75FA">
        <w:t>hood</w:t>
      </w:r>
      <w:r>
        <w:t xml:space="preserve"> policy, </w:t>
      </w:r>
      <w:r w:rsidR="00A52E45">
        <w:t xml:space="preserve">the EU has also </w:t>
      </w:r>
      <w:r w:rsidR="00CE6D49">
        <w:t xml:space="preserve">reverted to using conditionality in a way </w:t>
      </w:r>
      <w:r w:rsidR="00DD4EA7">
        <w:t xml:space="preserve">that is </w:t>
      </w:r>
      <w:r w:rsidR="00CE6D49">
        <w:t xml:space="preserve">reminiscent </w:t>
      </w:r>
      <w:r w:rsidR="00DD4EA7">
        <w:t>of</w:t>
      </w:r>
      <w:r w:rsidR="00CE6D49">
        <w:t xml:space="preserve"> the pre-accession </w:t>
      </w:r>
      <w:r>
        <w:t xml:space="preserve">process of </w:t>
      </w:r>
      <w:r w:rsidR="00CE6D49">
        <w:t>the 2004 enlargement.</w:t>
      </w:r>
      <w:r w:rsidR="001C7CBD">
        <w:t xml:space="preserve"> </w:t>
      </w:r>
      <w:r w:rsidR="00932156">
        <w:t>J</w:t>
      </w:r>
      <w:r w:rsidR="001C7CBD">
        <w:t xml:space="preserve">ust a few days after the </w:t>
      </w:r>
      <w:r w:rsidR="001C7CBD">
        <w:rPr>
          <w:i/>
          <w:iCs/>
        </w:rPr>
        <w:t xml:space="preserve">Budget Conditionality </w:t>
      </w:r>
      <w:r w:rsidR="001C7CBD">
        <w:t>judgments were decided, Russia invaded Ukraine. This prompted an acceleration of initiatives already in the pipeline in terms of financial support to Ukraine.</w:t>
      </w:r>
      <w:r w:rsidR="000921B1">
        <w:rPr>
          <w:rStyle w:val="FootnoteReference"/>
        </w:rPr>
        <w:footnoteReference w:id="112"/>
      </w:r>
      <w:r w:rsidR="001C7CBD">
        <w:t xml:space="preserve"> Moreover, the EU and Ukraine signed a Memorandum of Understanding to bolster administrative capacity building </w:t>
      </w:r>
      <w:r w:rsidR="00DD4EA7">
        <w:t>from</w:t>
      </w:r>
      <w:r w:rsidR="001C7CBD">
        <w:t xml:space="preserve"> the perspective of rebuilding Ukraine after the War and </w:t>
      </w:r>
      <w:r w:rsidR="00300626">
        <w:t>supporting the accession process to the EU.</w:t>
      </w:r>
      <w:r w:rsidR="00300626">
        <w:rPr>
          <w:rStyle w:val="FootnoteReference"/>
        </w:rPr>
        <w:footnoteReference w:id="113"/>
      </w:r>
      <w:r w:rsidR="00300626">
        <w:t xml:space="preserve"> </w:t>
      </w:r>
      <w:r w:rsidR="00C6274C">
        <w:t>This financial assistance follows the financial regulations</w:t>
      </w:r>
      <w:r w:rsidR="00C6274C">
        <w:rPr>
          <w:rStyle w:val="FootnoteReference"/>
        </w:rPr>
        <w:footnoteReference w:id="114"/>
      </w:r>
      <w:r w:rsidR="00C6274C">
        <w:t xml:space="preserve"> and </w:t>
      </w:r>
      <w:r w:rsidR="00300626">
        <w:t xml:space="preserve">the Memorandum of Understanding </w:t>
      </w:r>
      <w:r w:rsidR="00C6274C">
        <w:t>includes provisions to fight corruption.</w:t>
      </w:r>
      <w:r w:rsidR="00C6274C">
        <w:rPr>
          <w:rStyle w:val="FootnoteReference"/>
        </w:rPr>
        <w:footnoteReference w:id="115"/>
      </w:r>
      <w:r w:rsidR="00C6274C">
        <w:t xml:space="preserve"> </w:t>
      </w:r>
      <w:r w:rsidR="00932156">
        <w:t xml:space="preserve">If the need for emergency and extraordinary funding is justified by the war with Russia, the main objective of this funding is </w:t>
      </w:r>
      <w:r w:rsidR="00D327A6">
        <w:t>to ‘</w:t>
      </w:r>
      <w:r w:rsidR="00932156" w:rsidRPr="00932156">
        <w:rPr>
          <w:i/>
          <w:iCs/>
        </w:rPr>
        <w:t>support the strengthening of the capacity of Ukrainian authorities to prepare for the future post-war reconstruction and for the early preparatory phase of the pre-accession process, as appropriate, including the strengthening of Ukraine’s institutions, reforming and reinforcing the effectiveness of public administration as well as transparency, structural reforms and good governance at all levels</w:t>
      </w:r>
      <w:r w:rsidR="00932156" w:rsidRPr="00932156">
        <w:t>.</w:t>
      </w:r>
      <w:r w:rsidR="00D327A6">
        <w:t>’</w:t>
      </w:r>
      <w:r w:rsidR="00932156">
        <w:rPr>
          <w:rStyle w:val="FootnoteReference"/>
        </w:rPr>
        <w:footnoteReference w:id="116"/>
      </w:r>
      <w:r w:rsidR="00932156">
        <w:t xml:space="preserve"> This links back elegantly to one of the dimensions identified by </w:t>
      </w:r>
      <w:proofErr w:type="spellStart"/>
      <w:r w:rsidR="00932156">
        <w:t>Lenaerts</w:t>
      </w:r>
      <w:proofErr w:type="spellEnd"/>
      <w:r w:rsidR="00932156">
        <w:t xml:space="preserve"> and Adam</w:t>
      </w:r>
      <w:r w:rsidR="008837C9">
        <w:t>s</w:t>
      </w:r>
      <w:r w:rsidR="00EA4C03">
        <w:t xml:space="preserve"> in the paper referenced by AG Campos in the key passage of its opinion </w:t>
      </w:r>
      <w:r w:rsidR="00743214">
        <w:t xml:space="preserve">in the </w:t>
      </w:r>
      <w:r w:rsidR="00EA4C03" w:rsidRPr="0054172A">
        <w:rPr>
          <w:i/>
          <w:iCs/>
        </w:rPr>
        <w:t>Budget Conditionality</w:t>
      </w:r>
      <w:r w:rsidR="00743214">
        <w:t xml:space="preserve"> cases</w:t>
      </w:r>
      <w:r w:rsidR="00932156">
        <w:t>,</w:t>
      </w:r>
      <w:r w:rsidR="00EA4C03">
        <w:rPr>
          <w:rStyle w:val="FootnoteReference"/>
        </w:rPr>
        <w:footnoteReference w:id="117"/>
      </w:r>
      <w:r w:rsidR="00932156">
        <w:t xml:space="preserve"> namely the solidarity that the EU </w:t>
      </w:r>
      <w:r w:rsidR="00D327A6">
        <w:t xml:space="preserve">should </w:t>
      </w:r>
      <w:r w:rsidR="00932156">
        <w:t xml:space="preserve">exhibit in relation to third party states to pursue </w:t>
      </w:r>
      <w:r w:rsidR="00C6274C">
        <w:t>in a sustainable manner the process of the European people</w:t>
      </w:r>
      <w:r w:rsidR="00D327A6">
        <w:t>s</w:t>
      </w:r>
      <w:r w:rsidR="00C6274C">
        <w:t xml:space="preserve"> closing together and peace on the European continent.</w:t>
      </w:r>
      <w:r w:rsidR="00C6274C">
        <w:rPr>
          <w:rStyle w:val="FootnoteReference"/>
        </w:rPr>
        <w:footnoteReference w:id="118"/>
      </w:r>
    </w:p>
    <w:p w14:paraId="7CA024AD" w14:textId="7F95CB2D" w:rsidR="00EB1C88" w:rsidRPr="00C76CB1" w:rsidRDefault="00EB1C88" w:rsidP="00C76CB1">
      <w:pPr>
        <w:pStyle w:val="Heading1"/>
      </w:pPr>
      <w:r w:rsidRPr="00C76CB1">
        <w:t>A virtuous circle of solidarity</w:t>
      </w:r>
      <w:r w:rsidR="00780D58">
        <w:t xml:space="preserve"> and</w:t>
      </w:r>
      <w:r w:rsidRPr="00C76CB1">
        <w:t xml:space="preserve"> alternative interpretations</w:t>
      </w:r>
      <w:r w:rsidR="00C76CB1" w:rsidRPr="00C76CB1">
        <w:t xml:space="preserve"> as complementary antidote</w:t>
      </w:r>
      <w:r w:rsidR="00780D58">
        <w:t>s</w:t>
      </w:r>
      <w:r w:rsidR="00C76CB1" w:rsidRPr="00C76CB1">
        <w:t xml:space="preserve"> against moral hazard</w:t>
      </w:r>
    </w:p>
    <w:p w14:paraId="78483601" w14:textId="77777777" w:rsidR="002D1B08" w:rsidRDefault="002D1B08" w:rsidP="00CE6D49">
      <w:pPr>
        <w:jc w:val="both"/>
      </w:pPr>
    </w:p>
    <w:p w14:paraId="6BBC4962" w14:textId="4CDE607A" w:rsidR="00CE6D49" w:rsidRPr="00CE6D49" w:rsidRDefault="008A70A7" w:rsidP="00CE6D49">
      <w:pPr>
        <w:jc w:val="both"/>
      </w:pPr>
      <w:r>
        <w:t xml:space="preserve">In the </w:t>
      </w:r>
      <w:r>
        <w:rPr>
          <w:i/>
          <w:iCs/>
        </w:rPr>
        <w:t xml:space="preserve">Budget Conditionality </w:t>
      </w:r>
      <w:r>
        <w:t>Judgments, t</w:t>
      </w:r>
      <w:r w:rsidR="00CE6D49" w:rsidRPr="00CE6D49">
        <w:t>he C</w:t>
      </w:r>
      <w:r w:rsidR="00C76CB1">
        <w:t xml:space="preserve">JEU </w:t>
      </w:r>
      <w:r w:rsidR="00CE6D49" w:rsidRPr="00CE6D49">
        <w:t>left room for</w:t>
      </w:r>
      <w:r w:rsidR="00D327A6">
        <w:t xml:space="preserve"> further</w:t>
      </w:r>
      <w:r w:rsidR="00CE6D49" w:rsidRPr="00CE6D49">
        <w:t xml:space="preserve"> interpretation in </w:t>
      </w:r>
      <w:r w:rsidR="00D327A6">
        <w:t>later case law</w:t>
      </w:r>
      <w:r w:rsidR="00CE6D49" w:rsidRPr="00CE6D49">
        <w:t xml:space="preserve">, knowing that the Commission would adopt </w:t>
      </w:r>
      <w:r w:rsidR="00386402" w:rsidRPr="00CE6D49">
        <w:t>guidelines,</w:t>
      </w:r>
      <w:r w:rsidR="00CE6D49" w:rsidRPr="00CE6D49">
        <w:t xml:space="preserve"> and that </w:t>
      </w:r>
      <w:r w:rsidR="00CE6D49">
        <w:t xml:space="preserve">further litigation was </w:t>
      </w:r>
      <w:r w:rsidR="00D327A6">
        <w:lastRenderedPageBreak/>
        <w:t xml:space="preserve">most </w:t>
      </w:r>
      <w:r>
        <w:t>predictable</w:t>
      </w:r>
      <w:r w:rsidR="00CE6D49">
        <w:t xml:space="preserve">. This room can be </w:t>
      </w:r>
      <w:r w:rsidR="00D327A6">
        <w:t>linked with alternative interpretations of the judgments by way of lenses</w:t>
      </w:r>
      <w:r w:rsidR="00CE6D49">
        <w:t xml:space="preserve"> such as</w:t>
      </w:r>
      <w:r w:rsidR="005A7A9C">
        <w:t xml:space="preserve"> </w:t>
      </w:r>
      <w:r w:rsidR="002D1B08">
        <w:t>compliance</w:t>
      </w:r>
      <w:r w:rsidR="005A7A9C">
        <w:t xml:space="preserve"> and deliberative experimentalism</w:t>
      </w:r>
      <w:r w:rsidR="00D327A6">
        <w:t>.</w:t>
      </w:r>
      <w:r w:rsidR="005A7A9C">
        <w:t xml:space="preserve"> </w:t>
      </w:r>
      <w:r w:rsidR="00D327A6">
        <w:t>C</w:t>
      </w:r>
      <w:r w:rsidR="005A7A9C">
        <w:t>ombining enforcement and management</w:t>
      </w:r>
      <w:r w:rsidR="005A7A9C">
        <w:rPr>
          <w:rStyle w:val="FootnoteReference"/>
        </w:rPr>
        <w:footnoteReference w:id="119"/>
      </w:r>
      <w:r w:rsidR="005A7A9C">
        <w:t xml:space="preserve"> or coercion and persuasion </w:t>
      </w:r>
      <w:r w:rsidR="00B2539A">
        <w:t>is</w:t>
      </w:r>
      <w:r w:rsidR="005A7A9C">
        <w:t xml:space="preserve"> indeed seen as</w:t>
      </w:r>
      <w:r w:rsidR="00CE6D49">
        <w:t xml:space="preserve"> </w:t>
      </w:r>
      <w:r w:rsidR="005A7A9C">
        <w:t xml:space="preserve">mutually reinforcing in organisational theories. </w:t>
      </w:r>
      <w:r w:rsidR="00CE6D49">
        <w:t xml:space="preserve">But maybe more crucially, </w:t>
      </w:r>
      <w:r w:rsidR="00CD7EDF">
        <w:t xml:space="preserve">the </w:t>
      </w:r>
      <w:r w:rsidR="00CE6D49">
        <w:t xml:space="preserve">room </w:t>
      </w:r>
      <w:r w:rsidR="00CD7EDF">
        <w:t>for</w:t>
      </w:r>
      <w:r w:rsidR="00CE6D49">
        <w:t xml:space="preserve"> interpretation exists mostly at the level of the reach that can be read in the principle at the centre of the </w:t>
      </w:r>
      <w:r w:rsidR="00CE6D49">
        <w:rPr>
          <w:i/>
          <w:iCs/>
        </w:rPr>
        <w:t xml:space="preserve">Budget </w:t>
      </w:r>
      <w:r w:rsidR="00743214">
        <w:rPr>
          <w:i/>
          <w:iCs/>
        </w:rPr>
        <w:t>C</w:t>
      </w:r>
      <w:r w:rsidR="00CE6D49">
        <w:rPr>
          <w:i/>
          <w:iCs/>
        </w:rPr>
        <w:t xml:space="preserve">onditionality </w:t>
      </w:r>
      <w:r w:rsidR="00CE6D49">
        <w:t>judgments and the pivotal role</w:t>
      </w:r>
      <w:r w:rsidR="00CD7EDF">
        <w:t xml:space="preserve"> that</w:t>
      </w:r>
      <w:r w:rsidR="00CE6D49">
        <w:t xml:space="preserve"> solidarity might be able to undertake in the future. </w:t>
      </w:r>
    </w:p>
    <w:p w14:paraId="39F06B2B" w14:textId="77777777" w:rsidR="005A7A9C" w:rsidRDefault="005A7A9C" w:rsidP="00300626">
      <w:pPr>
        <w:jc w:val="both"/>
      </w:pPr>
    </w:p>
    <w:p w14:paraId="36E42446" w14:textId="3B6EF600" w:rsidR="00A52E45" w:rsidRDefault="00D327A6" w:rsidP="00300626">
      <w:pPr>
        <w:jc w:val="both"/>
      </w:pPr>
      <w:r>
        <w:t>T</w:t>
      </w:r>
      <w:r w:rsidR="00300626">
        <w:t xml:space="preserve">he </w:t>
      </w:r>
      <w:r w:rsidR="00300626">
        <w:rPr>
          <w:i/>
          <w:iCs/>
        </w:rPr>
        <w:t xml:space="preserve">Budget </w:t>
      </w:r>
      <w:r w:rsidR="00743214">
        <w:rPr>
          <w:i/>
          <w:iCs/>
        </w:rPr>
        <w:t>C</w:t>
      </w:r>
      <w:r w:rsidR="00300626">
        <w:rPr>
          <w:i/>
          <w:iCs/>
        </w:rPr>
        <w:t xml:space="preserve">onditionality </w:t>
      </w:r>
      <w:r w:rsidR="00300626">
        <w:t xml:space="preserve">judgments allow </w:t>
      </w:r>
      <w:r w:rsidR="00CD7EDF">
        <w:t>for</w:t>
      </w:r>
      <w:r w:rsidR="00300626">
        <w:t xml:space="preserve"> suggest</w:t>
      </w:r>
      <w:r w:rsidR="00CD7EDF">
        <w:t>ing</w:t>
      </w:r>
      <w:r w:rsidR="00300626">
        <w:t xml:space="preserve"> a virtuous circle between the EU budget, solidarity, mutual trust, the legal effective </w:t>
      </w:r>
      <w:r w:rsidR="00A52E45">
        <w:t>enforcement of</w:t>
      </w:r>
      <w:r w:rsidR="00300626">
        <w:t xml:space="preserve"> the rule of law, and the protection of sound financial management and the financial interests of the Union. This </w:t>
      </w:r>
      <w:r w:rsidR="00A52E45">
        <w:t>virtuous</w:t>
      </w:r>
      <w:r w:rsidR="00300626">
        <w:t xml:space="preserve"> circle is self-reinforcing in the sense that its operationalisation should prevent moral hazard and thus encourage further financial commitments in the name of solidarity. In this sense, solidarity becomes the cornerstone of upwards trust in the EU, downward trust in the national spending of EU money to pursue agreed EU policies, and transversal [or mutual sensu stricto] trust between Member States that their contributions to the EU </w:t>
      </w:r>
      <w:r w:rsidR="00C4137C">
        <w:t xml:space="preserve">will </w:t>
      </w:r>
      <w:r w:rsidR="00300626">
        <w:t xml:space="preserve">indeed be used </w:t>
      </w:r>
      <w:r w:rsidR="00C4137C">
        <w:t xml:space="preserve">for </w:t>
      </w:r>
      <w:r w:rsidR="00300626">
        <w:t>the common good and that</w:t>
      </w:r>
      <w:r w:rsidR="00C4137C">
        <w:t>, should</w:t>
      </w:r>
      <w:r w:rsidR="00300626">
        <w:t xml:space="preserve"> they be in a position of need, financial help </w:t>
      </w:r>
      <w:r w:rsidR="00C4137C">
        <w:t xml:space="preserve">will </w:t>
      </w:r>
      <w:r w:rsidR="00300626">
        <w:t xml:space="preserve">be forthcoming. The overall machinery does not work on blind faith: it requires rules, procedures, </w:t>
      </w:r>
      <w:r w:rsidR="0036056C">
        <w:t xml:space="preserve">and </w:t>
      </w:r>
      <w:r w:rsidR="00300626">
        <w:t xml:space="preserve">guarantees that the European </w:t>
      </w:r>
      <w:r w:rsidR="00D2191C">
        <w:t>C</w:t>
      </w:r>
      <w:r w:rsidR="00300626">
        <w:t>ommission exercises its mandate of protection of the financial interests of the EU and not its own short-term political interest</w:t>
      </w:r>
      <w:r w:rsidR="00A52E45">
        <w:t xml:space="preserve">. It requires monitoring and investigations to identify breaches, report them and act upon them. </w:t>
      </w:r>
      <w:r w:rsidR="00D2191C">
        <w:t>T</w:t>
      </w:r>
      <w:r w:rsidR="00A52E45">
        <w:t xml:space="preserve">his in turn </w:t>
      </w:r>
      <w:r w:rsidR="00743214">
        <w:t xml:space="preserve">strives to </w:t>
      </w:r>
      <w:r w:rsidR="00A52E45">
        <w:t>prevent abuse from happening.</w:t>
      </w:r>
    </w:p>
    <w:p w14:paraId="1E5C55AE" w14:textId="77777777" w:rsidR="005A7A9C" w:rsidRDefault="005A7A9C" w:rsidP="00300626">
      <w:pPr>
        <w:jc w:val="both"/>
      </w:pPr>
    </w:p>
    <w:p w14:paraId="2FCC077D" w14:textId="7C39C2A2" w:rsidR="00A52E45" w:rsidRDefault="00A52E45" w:rsidP="00300626">
      <w:pPr>
        <w:jc w:val="both"/>
      </w:pPr>
      <w:r>
        <w:t xml:space="preserve">Such </w:t>
      </w:r>
      <w:r w:rsidR="0036056C">
        <w:t xml:space="preserve">a </w:t>
      </w:r>
      <w:r>
        <w:t>virtuous circle draw</w:t>
      </w:r>
      <w:r w:rsidR="0036056C">
        <w:t>s</w:t>
      </w:r>
      <w:r>
        <w:t xml:space="preserve"> on a</w:t>
      </w:r>
      <w:r w:rsidR="00C76CB1">
        <w:t>n</w:t>
      </w:r>
      <w:r>
        <w:t xml:space="preserve"> original mix between </w:t>
      </w:r>
      <w:r w:rsidR="00C76CB1">
        <w:t>ordo liberalism</w:t>
      </w:r>
      <w:r>
        <w:t xml:space="preserve"> where formal rules are ensuring fiscal discipline and law and economics where informal rules are fostering trust and cooperation between the actors. This may hence lead to a unique governance and justification structure, where the </w:t>
      </w:r>
      <w:r w:rsidR="00F7334C">
        <w:t xml:space="preserve">Conditionality Regulation </w:t>
      </w:r>
      <w:r>
        <w:t>is called upon in particular cases directly connected to a breach of a rule with an impact on the sound financial management and the protection of financial interests of the Union, with the Commission due to provide an objective, impartial and fair decision</w:t>
      </w:r>
      <w:r w:rsidR="00BB575E">
        <w:rPr>
          <w:rStyle w:val="FootnoteReference"/>
        </w:rPr>
        <w:footnoteReference w:id="120"/>
      </w:r>
      <w:r w:rsidR="00D2191C">
        <w:t xml:space="preserve"> – modelling a rule-of-law based decision making process.</w:t>
      </w:r>
    </w:p>
    <w:p w14:paraId="2AF9E1E6" w14:textId="77777777" w:rsidR="005A7A9C" w:rsidRDefault="005A7A9C" w:rsidP="00300626">
      <w:pPr>
        <w:jc w:val="both"/>
      </w:pPr>
    </w:p>
    <w:p w14:paraId="3B41D7EF" w14:textId="73EB25E2" w:rsidR="00A52E45" w:rsidRPr="00CE6D49" w:rsidRDefault="00A52E45" w:rsidP="00300626">
      <w:pPr>
        <w:jc w:val="both"/>
        <w:rPr>
          <w:color w:val="FF0000"/>
        </w:rPr>
      </w:pPr>
      <w:r>
        <w:t>However, it is possible to provide different alternative interpretation</w:t>
      </w:r>
      <w:r w:rsidR="00D2191C">
        <w:t>s</w:t>
      </w:r>
      <w:r>
        <w:t xml:space="preserve"> of the </w:t>
      </w:r>
      <w:r>
        <w:rPr>
          <w:i/>
          <w:iCs/>
        </w:rPr>
        <w:t xml:space="preserve">Budget </w:t>
      </w:r>
      <w:r w:rsidR="007F2046">
        <w:rPr>
          <w:i/>
          <w:iCs/>
        </w:rPr>
        <w:t>C</w:t>
      </w:r>
      <w:r>
        <w:rPr>
          <w:i/>
          <w:iCs/>
        </w:rPr>
        <w:t xml:space="preserve">onditionality </w:t>
      </w:r>
      <w:r>
        <w:t xml:space="preserve">judgments, in particular </w:t>
      </w:r>
      <w:r w:rsidR="00C7502B">
        <w:t>an interpretation</w:t>
      </w:r>
      <w:r w:rsidR="00D2191C">
        <w:t xml:space="preserve"> based on</w:t>
      </w:r>
      <w:r>
        <w:t xml:space="preserve"> rewards for compliance and good behaviour.</w:t>
      </w:r>
      <w:r>
        <w:rPr>
          <w:rStyle w:val="FootnoteReference"/>
        </w:rPr>
        <w:footnoteReference w:id="121"/>
      </w:r>
      <w:r>
        <w:t xml:space="preserve"> This reading </w:t>
      </w:r>
      <w:r w:rsidR="0036056C">
        <w:t>is</w:t>
      </w:r>
      <w:r>
        <w:t xml:space="preserve"> confirmed by the fact that the Commission did not wait </w:t>
      </w:r>
      <w:r w:rsidR="00D2191C">
        <w:t xml:space="preserve">for </w:t>
      </w:r>
      <w:r>
        <w:t xml:space="preserve">Poland to actually concretely </w:t>
      </w:r>
      <w:r w:rsidR="0036056C">
        <w:t xml:space="preserve">take </w:t>
      </w:r>
      <w:r>
        <w:t>the measures necessary to comply with the rule of law</w:t>
      </w:r>
      <w:r w:rsidR="00F25F47">
        <w:t xml:space="preserve"> or</w:t>
      </w:r>
      <w:r w:rsidR="00D2191C">
        <w:t xml:space="preserve"> by</w:t>
      </w:r>
      <w:r w:rsidR="00F25F47">
        <w:t xml:space="preserve"> the unlocking of the Hungarian funds when Orban showed cooperation in </w:t>
      </w:r>
      <w:r w:rsidR="00D2191C">
        <w:t>not actively vetoing</w:t>
      </w:r>
      <w:r w:rsidR="00F25F47">
        <w:t xml:space="preserve"> the opening of </w:t>
      </w:r>
      <w:r w:rsidR="00D2191C">
        <w:t xml:space="preserve">EU </w:t>
      </w:r>
      <w:r w:rsidR="00F25F47">
        <w:t xml:space="preserve">membership </w:t>
      </w:r>
      <w:r w:rsidR="00F470EB">
        <w:t>negotiations</w:t>
      </w:r>
      <w:r w:rsidR="00F25F47">
        <w:t xml:space="preserve"> </w:t>
      </w:r>
      <w:r w:rsidR="00D2191C">
        <w:t>with</w:t>
      </w:r>
      <w:r w:rsidR="00F25F47">
        <w:t xml:space="preserve"> Ukraine.</w:t>
      </w:r>
    </w:p>
    <w:p w14:paraId="15233E19" w14:textId="77777777" w:rsidR="005A7A9C" w:rsidRDefault="005A7A9C" w:rsidP="00300626">
      <w:pPr>
        <w:jc w:val="both"/>
      </w:pPr>
    </w:p>
    <w:p w14:paraId="3CF8F14B" w14:textId="4B170CE4" w:rsidR="005409E2" w:rsidRPr="00F25F47" w:rsidRDefault="00A52E45" w:rsidP="00300626">
      <w:pPr>
        <w:jc w:val="both"/>
        <w:rPr>
          <w:color w:val="000000" w:themeColor="text1"/>
        </w:rPr>
      </w:pPr>
      <w:r>
        <w:t xml:space="preserve">Another alternative interpretation of the principle at the centre of the </w:t>
      </w:r>
      <w:r>
        <w:rPr>
          <w:i/>
          <w:iCs/>
        </w:rPr>
        <w:t xml:space="preserve">Budget </w:t>
      </w:r>
      <w:r w:rsidR="007F2046">
        <w:rPr>
          <w:i/>
          <w:iCs/>
        </w:rPr>
        <w:t>C</w:t>
      </w:r>
      <w:r>
        <w:rPr>
          <w:i/>
          <w:iCs/>
        </w:rPr>
        <w:t xml:space="preserve">onditionality </w:t>
      </w:r>
      <w:r>
        <w:t xml:space="preserve">judgments is that provided by deliberative experimentalism, the impact of peer-pressure and </w:t>
      </w:r>
      <w:r>
        <w:lastRenderedPageBreak/>
        <w:t>c</w:t>
      </w:r>
      <w:r w:rsidRPr="00C96058">
        <w:rPr>
          <w:color w:val="000000" w:themeColor="text1"/>
        </w:rPr>
        <w:t>onstant reforms.</w:t>
      </w:r>
      <w:r w:rsidR="00C96058">
        <w:rPr>
          <w:rStyle w:val="FootnoteReference"/>
          <w:color w:val="000000" w:themeColor="text1"/>
        </w:rPr>
        <w:footnoteReference w:id="122"/>
      </w:r>
      <w:r w:rsidRPr="00C96058">
        <w:rPr>
          <w:color w:val="000000" w:themeColor="text1"/>
        </w:rPr>
        <w:t xml:space="preserve"> </w:t>
      </w:r>
      <w:r w:rsidR="00C96058" w:rsidRPr="00C96058">
        <w:rPr>
          <w:color w:val="000000" w:themeColor="text1"/>
        </w:rPr>
        <w:t xml:space="preserve">What these judgments </w:t>
      </w:r>
      <w:r w:rsidR="007F2046">
        <w:rPr>
          <w:color w:val="000000" w:themeColor="text1"/>
        </w:rPr>
        <w:t>contribute</w:t>
      </w:r>
      <w:r w:rsidR="00C96058" w:rsidRPr="00C96058">
        <w:rPr>
          <w:color w:val="000000" w:themeColor="text1"/>
        </w:rPr>
        <w:t xml:space="preserve"> to is much more attention </w:t>
      </w:r>
      <w:r w:rsidR="0026071D">
        <w:rPr>
          <w:color w:val="000000" w:themeColor="text1"/>
        </w:rPr>
        <w:t xml:space="preserve">being paid </w:t>
      </w:r>
      <w:r w:rsidR="00C96058" w:rsidRPr="00C96058">
        <w:rPr>
          <w:color w:val="000000" w:themeColor="text1"/>
        </w:rPr>
        <w:t xml:space="preserve">to administrative </w:t>
      </w:r>
      <w:r w:rsidR="00CE6D49" w:rsidRPr="00C96058">
        <w:rPr>
          <w:color w:val="000000" w:themeColor="text1"/>
        </w:rPr>
        <w:t>capacity building</w:t>
      </w:r>
      <w:r w:rsidRPr="00C96058">
        <w:rPr>
          <w:color w:val="000000" w:themeColor="text1"/>
        </w:rPr>
        <w:t xml:space="preserve"> </w:t>
      </w:r>
      <w:r w:rsidR="00C96058" w:rsidRPr="00C96058">
        <w:rPr>
          <w:color w:val="000000" w:themeColor="text1"/>
        </w:rPr>
        <w:t>especially in terms of</w:t>
      </w:r>
      <w:r w:rsidR="00D2191C">
        <w:rPr>
          <w:color w:val="000000" w:themeColor="text1"/>
        </w:rPr>
        <w:t xml:space="preserve"> sound</w:t>
      </w:r>
      <w:r w:rsidR="00C96058" w:rsidRPr="00C96058">
        <w:rPr>
          <w:color w:val="000000" w:themeColor="text1"/>
        </w:rPr>
        <w:t xml:space="preserve"> financial management</w:t>
      </w:r>
      <w:r w:rsidR="00D2191C">
        <w:rPr>
          <w:color w:val="000000" w:themeColor="text1"/>
        </w:rPr>
        <w:t xml:space="preserve"> across the whole cycle of national implementation of EU law</w:t>
      </w:r>
      <w:r w:rsidR="00C96058" w:rsidRPr="00C96058">
        <w:rPr>
          <w:color w:val="000000" w:themeColor="text1"/>
        </w:rPr>
        <w:t xml:space="preserve">. The European Commission is relying on numerous sources of information to monitor how Member States are complying with the </w:t>
      </w:r>
      <w:r w:rsidR="00F7334C">
        <w:t xml:space="preserve">Conditionality Regulation </w:t>
      </w:r>
      <w:r w:rsidR="00C96058" w:rsidRPr="00C96058">
        <w:rPr>
          <w:color w:val="000000" w:themeColor="text1"/>
        </w:rPr>
        <w:t xml:space="preserve">– </w:t>
      </w:r>
      <w:r w:rsidR="0026071D">
        <w:rPr>
          <w:color w:val="000000" w:themeColor="text1"/>
        </w:rPr>
        <w:t>whether that is</w:t>
      </w:r>
      <w:r w:rsidR="0026071D" w:rsidRPr="00C96058">
        <w:rPr>
          <w:color w:val="000000" w:themeColor="text1"/>
        </w:rPr>
        <w:t xml:space="preserve"> </w:t>
      </w:r>
      <w:r w:rsidR="00C96058" w:rsidRPr="00C96058">
        <w:rPr>
          <w:color w:val="000000" w:themeColor="text1"/>
        </w:rPr>
        <w:t>civil society, the EPPO, OLAF, the Council of Europe or the GRECO.</w:t>
      </w:r>
    </w:p>
    <w:p w14:paraId="2C510052" w14:textId="444165F3" w:rsidR="00EB1C88" w:rsidRDefault="00EB1C88" w:rsidP="00C76CB1">
      <w:pPr>
        <w:pStyle w:val="Heading1"/>
      </w:pPr>
      <w:r>
        <w:t>Conclusions</w:t>
      </w:r>
    </w:p>
    <w:p w14:paraId="19801E0F" w14:textId="77777777" w:rsidR="00B85C7F" w:rsidRDefault="00B85C7F" w:rsidP="00B85C7F"/>
    <w:p w14:paraId="29CE39A7" w14:textId="014D93B7" w:rsidR="00B85C7F" w:rsidRDefault="00B85C7F" w:rsidP="00B85C7F">
      <w:pPr>
        <w:jc w:val="both"/>
      </w:pPr>
      <w:r w:rsidRPr="00B85C7F">
        <w:t>This paper argues that the</w:t>
      </w:r>
      <w:r>
        <w:t xml:space="preserve"> </w:t>
      </w:r>
      <w:r w:rsidRPr="00B85C7F">
        <w:rPr>
          <w:i/>
          <w:iCs/>
        </w:rPr>
        <w:t xml:space="preserve">Budget </w:t>
      </w:r>
      <w:r w:rsidR="007F2046">
        <w:rPr>
          <w:i/>
          <w:iCs/>
        </w:rPr>
        <w:t>C</w:t>
      </w:r>
      <w:r w:rsidRPr="00B85C7F">
        <w:rPr>
          <w:i/>
          <w:iCs/>
        </w:rPr>
        <w:t>onditionality</w:t>
      </w:r>
      <w:r w:rsidRPr="00B85C7F">
        <w:t xml:space="preserve"> </w:t>
      </w:r>
      <w:r w:rsidR="00C6274C">
        <w:t>judgments</w:t>
      </w:r>
      <w:r w:rsidRPr="00B85C7F">
        <w:t xml:space="preserve"> make solidarity the new cornerstone for the EU legal order, not by upholding solidarity as a lofty EU ideal, but by </w:t>
      </w:r>
      <w:r w:rsidR="00C6274C">
        <w:t xml:space="preserve">starting a process of </w:t>
      </w:r>
      <w:r w:rsidRPr="00B85C7F">
        <w:t xml:space="preserve">making it practical, </w:t>
      </w:r>
      <w:proofErr w:type="gramStart"/>
      <w:r w:rsidRPr="00B85C7F">
        <w:t xml:space="preserve">in particular </w:t>
      </w:r>
      <w:r w:rsidR="00D2191C">
        <w:t>by</w:t>
      </w:r>
      <w:proofErr w:type="gramEnd"/>
      <w:r w:rsidRPr="00B85C7F">
        <w:t xml:space="preserve"> using it as a technical antidote, strategic argument and convincing narrative against moral hazard.</w:t>
      </w:r>
      <w:r>
        <w:t xml:space="preserve"> </w:t>
      </w:r>
      <w:r w:rsidR="00C6274C">
        <w:t xml:space="preserve">The CJEU does this in three distinctive </w:t>
      </w:r>
      <w:r w:rsidR="00405A2A">
        <w:t>ways</w:t>
      </w:r>
      <w:r w:rsidR="00C6274C">
        <w:t>: firstly, it expands the notion of the EU budget to include funds processed off budget; secondly, it focuses on the resources side of the EU budget that are strikingly labelled as “common” to the Member States, while the</w:t>
      </w:r>
      <w:r w:rsidR="008C6296">
        <w:t>se resources</w:t>
      </w:r>
      <w:r w:rsidR="00C6274C">
        <w:t xml:space="preserve"> </w:t>
      </w:r>
      <w:r w:rsidR="00C50DCD">
        <w:t>belong</w:t>
      </w:r>
      <w:r w:rsidR="00C6274C">
        <w:t xml:space="preserve"> at least partly</w:t>
      </w:r>
      <w:r w:rsidR="00C50DCD">
        <w:t xml:space="preserve"> to the own</w:t>
      </w:r>
      <w:r w:rsidR="00C6274C">
        <w:t xml:space="preserve"> resources </w:t>
      </w:r>
      <w:r w:rsidR="00C50DCD">
        <w:t xml:space="preserve">of </w:t>
      </w:r>
      <w:r w:rsidR="00C6274C">
        <w:t xml:space="preserve">the EU so as to </w:t>
      </w:r>
      <w:proofErr w:type="spellStart"/>
      <w:r w:rsidR="00C6274C">
        <w:t>responsabilise</w:t>
      </w:r>
      <w:proofErr w:type="spellEnd"/>
      <w:r w:rsidR="00C6274C">
        <w:t xml:space="preserve"> all Member States in their spending; thirdly, </w:t>
      </w:r>
      <w:r w:rsidR="00C6274C" w:rsidRPr="0054172A">
        <w:rPr>
          <w:highlight w:val="yellow"/>
        </w:rPr>
        <w:t xml:space="preserve">it </w:t>
      </w:r>
      <w:r w:rsidR="007F2046">
        <w:t xml:space="preserve"> clarifies</w:t>
      </w:r>
      <w:r w:rsidR="000275B0">
        <w:t xml:space="preserve"> limits </w:t>
      </w:r>
      <w:r w:rsidR="00405A2A">
        <w:t xml:space="preserve">on </w:t>
      </w:r>
      <w:r w:rsidR="000275B0">
        <w:t xml:space="preserve">the European Commission in its use of the </w:t>
      </w:r>
      <w:r w:rsidR="00F7334C">
        <w:t>Conditionality Regulation</w:t>
      </w:r>
      <w:r w:rsidR="000275B0">
        <w:t>, in terms of objectives (pursuing compliance</w:t>
      </w:r>
      <w:r w:rsidR="00D2191C">
        <w:t>,</w:t>
      </w:r>
      <w:r w:rsidR="000275B0">
        <w:t xml:space="preserve"> not sanction purposes), type</w:t>
      </w:r>
      <w:r w:rsidR="0073300E">
        <w:t>s</w:t>
      </w:r>
      <w:r w:rsidR="000275B0">
        <w:t xml:space="preserve"> of breaches (</w:t>
      </w:r>
      <w:r w:rsidR="00D2191C">
        <w:t xml:space="preserve">pertaining to </w:t>
      </w:r>
      <w:r w:rsidR="000275B0">
        <w:t xml:space="preserve">EU law impacting the principle of sound financial management and the protection of the financial interests of the Union only, not any breach), </w:t>
      </w:r>
      <w:r w:rsidR="00D2191C">
        <w:t xml:space="preserve">and </w:t>
      </w:r>
      <w:r w:rsidR="000275B0">
        <w:t>procedure (</w:t>
      </w:r>
      <w:r w:rsidR="00405A2A">
        <w:t xml:space="preserve">which </w:t>
      </w:r>
      <w:r w:rsidR="000275B0">
        <w:t xml:space="preserve">needs to be fair, objective and impartial). </w:t>
      </w:r>
    </w:p>
    <w:p w14:paraId="52139B62" w14:textId="77777777" w:rsidR="000275B0" w:rsidRDefault="000275B0" w:rsidP="00B85C7F">
      <w:pPr>
        <w:jc w:val="both"/>
      </w:pPr>
    </w:p>
    <w:p w14:paraId="193CE4C1" w14:textId="0EF26C2B" w:rsidR="000275B0" w:rsidRPr="00B85C7F" w:rsidRDefault="000275B0" w:rsidP="00B85C7F">
      <w:pPr>
        <w:jc w:val="both"/>
      </w:pPr>
      <w:r>
        <w:t>These judgments are landmark ones because they point to the EU budget as the cornerstone of horizontal and vertical, internal and external solidarity between the EU and its Member States, between Member States and in relation to third party states. This does not mean that</w:t>
      </w:r>
      <w:r w:rsidR="007F2046">
        <w:t xml:space="preserve"> the </w:t>
      </w:r>
      <w:r w:rsidR="007F2046" w:rsidRPr="00B85C7F">
        <w:rPr>
          <w:i/>
          <w:iCs/>
        </w:rPr>
        <w:t xml:space="preserve">Budget </w:t>
      </w:r>
      <w:r w:rsidR="007F2046">
        <w:rPr>
          <w:i/>
          <w:iCs/>
        </w:rPr>
        <w:t>C</w:t>
      </w:r>
      <w:r w:rsidR="007F2046" w:rsidRPr="00B85C7F">
        <w:rPr>
          <w:i/>
          <w:iCs/>
        </w:rPr>
        <w:t>onditionality</w:t>
      </w:r>
      <w:r w:rsidR="007F2046" w:rsidRPr="00B85C7F">
        <w:t xml:space="preserve"> </w:t>
      </w:r>
      <w:r w:rsidR="007F2046">
        <w:t>judgments have solved</w:t>
      </w:r>
      <w:r>
        <w:t xml:space="preserve"> all possible </w:t>
      </w:r>
      <w:r w:rsidR="007F2046">
        <w:t xml:space="preserve">debates about </w:t>
      </w:r>
      <w:r w:rsidRPr="007F2046">
        <w:t>d</w:t>
      </w:r>
      <w:r>
        <w:t xml:space="preserve"> how solidarity can or should inform the scope, reach and modalities of the effective implementation of laws </w:t>
      </w:r>
      <w:proofErr w:type="gramStart"/>
      <w:r>
        <w:t>in particular in</w:t>
      </w:r>
      <w:proofErr w:type="gramEnd"/>
      <w:r>
        <w:t xml:space="preserve"> relation </w:t>
      </w:r>
      <w:r w:rsidR="0073300E">
        <w:t xml:space="preserve">to </w:t>
      </w:r>
      <w:r>
        <w:t xml:space="preserve">the spending of EU funds and the financial interests of the EU have been solved with. Key questions about the Commission’s implementation of the regulation, with the complementarity test pertaining to overlapping instruments, implementation problems in Member States and external pressures will arise </w:t>
      </w:r>
      <w:r w:rsidR="0073300E">
        <w:t xml:space="preserve">and be </w:t>
      </w:r>
      <w:r>
        <w:t>asked by European institutions (e.g. the Parliament</w:t>
      </w:r>
      <w:r w:rsidR="00C96058">
        <w:t xml:space="preserve"> or the European Court of Auditors</w:t>
      </w:r>
      <w:r>
        <w:t xml:space="preserve">), some Member States with </w:t>
      </w:r>
      <w:proofErr w:type="gramStart"/>
      <w:r>
        <w:t>particular stakes</w:t>
      </w:r>
      <w:proofErr w:type="gramEnd"/>
      <w:r>
        <w:t xml:space="preserve"> in </w:t>
      </w:r>
      <w:r w:rsidR="00C96058">
        <w:t>its implementation or civil society. The CJEU has framed the key architecture of the solidarity principle, while leaving scope for evolution and finetuning as cases arise. These landmark cases have the potential to link economic constraints with social objectives under constitutional (effective implementation of the law and the rule or law) and technical (financial regulation) requirements. For too long the EU budget was ignored by lawyers, now it will be much more closely analysed</w:t>
      </w:r>
      <w:r w:rsidR="00C96058">
        <w:rPr>
          <w:rStyle w:val="FootnoteReference"/>
        </w:rPr>
        <w:footnoteReference w:id="123"/>
      </w:r>
      <w:r w:rsidR="00C96058">
        <w:t xml:space="preserve"> – it is, after all, </w:t>
      </w:r>
      <w:r w:rsidR="00D2191C">
        <w:t>how</w:t>
      </w:r>
      <w:r w:rsidR="00C96058">
        <w:t xml:space="preserve"> taxpayers’ money is spent and for which their consent is ultimately and historically needed.</w:t>
      </w:r>
    </w:p>
    <w:sectPr w:rsidR="000275B0" w:rsidRPr="00B85C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FAB0E" w14:textId="77777777" w:rsidR="0061085B" w:rsidRDefault="0061085B" w:rsidP="00EB1C88">
      <w:r>
        <w:separator/>
      </w:r>
    </w:p>
  </w:endnote>
  <w:endnote w:type="continuationSeparator" w:id="0">
    <w:p w14:paraId="2AC12033" w14:textId="77777777" w:rsidR="0061085B" w:rsidRDefault="0061085B" w:rsidP="00EB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48CC9" w14:textId="77777777" w:rsidR="0061085B" w:rsidRDefault="0061085B" w:rsidP="00EB1C88">
      <w:r>
        <w:separator/>
      </w:r>
    </w:p>
  </w:footnote>
  <w:footnote w:type="continuationSeparator" w:id="0">
    <w:p w14:paraId="029C3329" w14:textId="77777777" w:rsidR="0061085B" w:rsidRDefault="0061085B" w:rsidP="00EB1C88">
      <w:r>
        <w:continuationSeparator/>
      </w:r>
    </w:p>
  </w:footnote>
  <w:footnote w:id="1">
    <w:p w14:paraId="6911BC2C" w14:textId="52C15828" w:rsidR="00D52353" w:rsidRPr="00D52353" w:rsidRDefault="00D52353" w:rsidP="003C0E09">
      <w:pPr>
        <w:pStyle w:val="FootnoteText"/>
        <w:jc w:val="both"/>
        <w:rPr>
          <w:rFonts w:ascii="Garamond" w:hAnsi="Garamond"/>
          <w:sz w:val="18"/>
          <w:szCs w:val="18"/>
        </w:rPr>
      </w:pPr>
    </w:p>
    <w:p w14:paraId="4A003A60" w14:textId="6A376597" w:rsidR="00C90C5F" w:rsidRPr="004E6DEA" w:rsidRDefault="00C90C5F" w:rsidP="00D52353">
      <w:pPr>
        <w:pStyle w:val="FootnoteText"/>
        <w:ind w:left="720" w:hanging="720"/>
        <w:jc w:val="both"/>
        <w:rPr>
          <w:rFonts w:ascii="Garamond" w:hAnsi="Garamond"/>
          <w:sz w:val="18"/>
          <w:szCs w:val="18"/>
        </w:rPr>
      </w:pPr>
      <w:r>
        <w:rPr>
          <w:rFonts w:ascii="Garamond" w:hAnsi="Garamond"/>
          <w:sz w:val="18"/>
          <w:szCs w:val="18"/>
        </w:rPr>
        <w:t xml:space="preserve">* </w:t>
      </w:r>
      <w:r>
        <w:rPr>
          <w:rFonts w:ascii="Garamond" w:hAnsi="Garamond"/>
          <w:sz w:val="18"/>
          <w:szCs w:val="18"/>
        </w:rPr>
        <w:tab/>
        <w:t xml:space="preserve">The author wants to thank </w:t>
      </w:r>
      <w:r w:rsidR="004E6DEA">
        <w:rPr>
          <w:rFonts w:ascii="Garamond" w:hAnsi="Garamond"/>
          <w:sz w:val="18"/>
          <w:szCs w:val="18"/>
        </w:rPr>
        <w:t xml:space="preserve">Professor John Bell, </w:t>
      </w:r>
      <w:r w:rsidR="00A72493">
        <w:rPr>
          <w:rFonts w:ascii="Garamond" w:hAnsi="Garamond"/>
          <w:sz w:val="18"/>
          <w:szCs w:val="18"/>
        </w:rPr>
        <w:t xml:space="preserve">Professor </w:t>
      </w:r>
      <w:r w:rsidR="004E6DEA">
        <w:rPr>
          <w:rFonts w:ascii="Garamond" w:hAnsi="Garamond"/>
          <w:sz w:val="18"/>
          <w:szCs w:val="18"/>
        </w:rPr>
        <w:t xml:space="preserve">Theodore </w:t>
      </w:r>
      <w:proofErr w:type="spellStart"/>
      <w:r w:rsidR="004E6DEA">
        <w:rPr>
          <w:rFonts w:ascii="Garamond" w:hAnsi="Garamond"/>
          <w:sz w:val="18"/>
          <w:szCs w:val="18"/>
        </w:rPr>
        <w:t>Konstadinides</w:t>
      </w:r>
      <w:proofErr w:type="spellEnd"/>
      <w:r w:rsidR="004E6DEA">
        <w:rPr>
          <w:rFonts w:ascii="Garamond" w:hAnsi="Garamond"/>
          <w:sz w:val="18"/>
          <w:szCs w:val="18"/>
        </w:rPr>
        <w:t>,</w:t>
      </w:r>
      <w:r w:rsidR="00A72493">
        <w:rPr>
          <w:rFonts w:ascii="Garamond" w:hAnsi="Garamond"/>
          <w:sz w:val="18"/>
          <w:szCs w:val="18"/>
        </w:rPr>
        <w:t xml:space="preserve"> Dr</w:t>
      </w:r>
      <w:r w:rsidR="004E6DEA">
        <w:rPr>
          <w:rFonts w:ascii="Garamond" w:hAnsi="Garamond"/>
          <w:sz w:val="18"/>
          <w:szCs w:val="18"/>
        </w:rPr>
        <w:t xml:space="preserve"> </w:t>
      </w:r>
      <w:proofErr w:type="spellStart"/>
      <w:r w:rsidR="004E6DEA">
        <w:rPr>
          <w:rFonts w:ascii="Garamond" w:hAnsi="Garamond"/>
          <w:sz w:val="18"/>
          <w:szCs w:val="18"/>
        </w:rPr>
        <w:t>Esin</w:t>
      </w:r>
      <w:proofErr w:type="spellEnd"/>
      <w:r w:rsidR="004E6DEA">
        <w:rPr>
          <w:rFonts w:ascii="Garamond" w:hAnsi="Garamond"/>
          <w:sz w:val="18"/>
          <w:szCs w:val="18"/>
        </w:rPr>
        <w:t xml:space="preserve"> </w:t>
      </w:r>
      <w:proofErr w:type="spellStart"/>
      <w:r w:rsidR="004E6DEA">
        <w:rPr>
          <w:rFonts w:ascii="Garamond" w:hAnsi="Garamond"/>
          <w:sz w:val="18"/>
          <w:szCs w:val="18"/>
        </w:rPr>
        <w:t>K</w:t>
      </w:r>
      <w:r w:rsidR="004E6DEA" w:rsidRPr="0054172A">
        <w:rPr>
          <w:rFonts w:ascii="Garamond" w:hAnsi="Garamond"/>
          <w:sz w:val="18"/>
          <w:szCs w:val="18"/>
        </w:rPr>
        <w:t>üç</w:t>
      </w:r>
      <w:r w:rsidR="004E6DEA">
        <w:rPr>
          <w:rFonts w:ascii="Garamond" w:hAnsi="Garamond"/>
          <w:sz w:val="18"/>
          <w:szCs w:val="18"/>
        </w:rPr>
        <w:t>ük</w:t>
      </w:r>
      <w:proofErr w:type="spellEnd"/>
      <w:r w:rsidR="004E6DEA">
        <w:rPr>
          <w:rFonts w:ascii="Garamond" w:hAnsi="Garamond"/>
          <w:sz w:val="18"/>
          <w:szCs w:val="18"/>
        </w:rPr>
        <w:t xml:space="preserve">, </w:t>
      </w:r>
      <w:r w:rsidR="00A72493">
        <w:rPr>
          <w:rFonts w:ascii="Garamond" w:hAnsi="Garamond"/>
          <w:sz w:val="18"/>
          <w:szCs w:val="18"/>
        </w:rPr>
        <w:t xml:space="preserve">Professor </w:t>
      </w:r>
      <w:r w:rsidR="004E6DEA">
        <w:rPr>
          <w:rFonts w:ascii="Garamond" w:hAnsi="Garamond"/>
          <w:sz w:val="18"/>
          <w:szCs w:val="18"/>
        </w:rPr>
        <w:t xml:space="preserve">Ulrich </w:t>
      </w:r>
      <w:proofErr w:type="spellStart"/>
      <w:r w:rsidR="004E6DEA">
        <w:rPr>
          <w:rFonts w:ascii="Garamond" w:hAnsi="Garamond"/>
          <w:sz w:val="18"/>
          <w:szCs w:val="18"/>
        </w:rPr>
        <w:t>Stelkens</w:t>
      </w:r>
      <w:proofErr w:type="spellEnd"/>
      <w:r w:rsidR="004E6DEA">
        <w:rPr>
          <w:rFonts w:ascii="Garamond" w:hAnsi="Garamond"/>
          <w:sz w:val="18"/>
          <w:szCs w:val="18"/>
        </w:rPr>
        <w:t xml:space="preserve"> and the two anonymous reviewers for their very helpful comments. Their questions have been addressed as best as it could be in this piece, although some questions will need to be taken on board elsewhere. The usual disclaimer applies.</w:t>
      </w:r>
    </w:p>
    <w:p w14:paraId="686CD9EB" w14:textId="29695C22" w:rsidR="00D52353" w:rsidRPr="00F25F47" w:rsidRDefault="00D52353" w:rsidP="00D52353">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CJEU, C</w:t>
      </w:r>
      <w:r w:rsidRPr="00F25F47">
        <w:rPr>
          <w:rFonts w:ascii="Garamond" w:hAnsi="Garamond"/>
          <w:sz w:val="18"/>
          <w:szCs w:val="18"/>
        </w:rPr>
        <w:noBreakHyphen/>
        <w:t xml:space="preserve">157/21, 16 February 2022, </w:t>
      </w:r>
      <w:r w:rsidRPr="00F25F47">
        <w:rPr>
          <w:rFonts w:ascii="Garamond" w:hAnsi="Garamond"/>
          <w:i/>
          <w:iCs/>
          <w:sz w:val="18"/>
          <w:szCs w:val="18"/>
        </w:rPr>
        <w:t>Poland v European Parliament,</w:t>
      </w:r>
      <w:r w:rsidRPr="00F25F47">
        <w:rPr>
          <w:rFonts w:ascii="Garamond" w:hAnsi="Garamond"/>
          <w:sz w:val="18"/>
          <w:szCs w:val="18"/>
        </w:rPr>
        <w:t xml:space="preserve"> </w:t>
      </w:r>
      <w:r w:rsidRPr="00F25F47">
        <w:rPr>
          <w:rStyle w:val="outputecli"/>
          <w:rFonts w:ascii="Garamond" w:hAnsi="Garamond"/>
          <w:sz w:val="18"/>
          <w:szCs w:val="18"/>
        </w:rPr>
        <w:t>ECLI:EU:C:2022:98</w:t>
      </w:r>
      <w:r w:rsidRPr="00F25F47">
        <w:rPr>
          <w:rFonts w:ascii="Garamond" w:hAnsi="Garamond"/>
          <w:sz w:val="18"/>
          <w:szCs w:val="18"/>
        </w:rPr>
        <w:t>, [147]; CJEU, C</w:t>
      </w:r>
      <w:r w:rsidRPr="00F25F47">
        <w:rPr>
          <w:rFonts w:ascii="Garamond" w:hAnsi="Garamond"/>
          <w:sz w:val="18"/>
          <w:szCs w:val="18"/>
        </w:rPr>
        <w:noBreakHyphen/>
        <w:t xml:space="preserve">156/21, 16 February 2022, </w:t>
      </w:r>
      <w:r w:rsidRPr="00F25F47">
        <w:rPr>
          <w:rFonts w:ascii="Garamond" w:hAnsi="Garamond"/>
          <w:i/>
          <w:iCs/>
          <w:sz w:val="18"/>
          <w:szCs w:val="18"/>
        </w:rPr>
        <w:t xml:space="preserve">Hungary v European Parliament, </w:t>
      </w:r>
      <w:r w:rsidRPr="00F25F47">
        <w:rPr>
          <w:rStyle w:val="outputecliaff"/>
          <w:rFonts w:ascii="Garamond" w:hAnsi="Garamond"/>
          <w:sz w:val="18"/>
          <w:szCs w:val="18"/>
        </w:rPr>
        <w:t>CLI:EU:C:2022:97, [129].</w:t>
      </w:r>
    </w:p>
  </w:footnote>
  <w:footnote w:id="2">
    <w:p w14:paraId="53AA56AD" w14:textId="77777777" w:rsidR="008779B0" w:rsidRPr="00F25F47" w:rsidRDefault="008779B0" w:rsidP="008779B0">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Regulation 2020/2092 of the European Parliament and of the Council of 16 December 2020 that set a general regime of </w:t>
      </w:r>
      <w:r w:rsidRPr="00F25F47">
        <w:rPr>
          <w:rFonts w:ascii="Garamond" w:hAnsi="Garamond"/>
          <w:color w:val="000000" w:themeColor="text1"/>
          <w:sz w:val="18"/>
          <w:szCs w:val="18"/>
        </w:rPr>
        <w:t>conditionality</w:t>
      </w:r>
      <w:r w:rsidRPr="00F25F47">
        <w:rPr>
          <w:rFonts w:ascii="Garamond" w:hAnsi="Garamond"/>
          <w:b/>
          <w:bCs/>
          <w:color w:val="000000" w:themeColor="text1"/>
          <w:sz w:val="18"/>
          <w:szCs w:val="18"/>
        </w:rPr>
        <w:t xml:space="preserve"> </w:t>
      </w:r>
      <w:r w:rsidRPr="00F25F47">
        <w:rPr>
          <w:rFonts w:ascii="Garamond" w:hAnsi="Garamond"/>
          <w:color w:val="000000" w:themeColor="text1"/>
          <w:sz w:val="18"/>
          <w:szCs w:val="18"/>
        </w:rPr>
        <w:t>for the protection of the Union budget.</w:t>
      </w:r>
    </w:p>
  </w:footnote>
  <w:footnote w:id="3">
    <w:p w14:paraId="59663E68" w14:textId="17443D66" w:rsidR="00CE6D49" w:rsidRPr="00F25F47" w:rsidRDefault="00CE6D49" w:rsidP="0084573E">
      <w:pPr>
        <w:pStyle w:val="FootnoteText"/>
        <w:jc w:val="both"/>
        <w:rPr>
          <w:rFonts w:ascii="Garamond" w:hAnsi="Garamond"/>
          <w:sz w:val="18"/>
          <w:szCs w:val="18"/>
          <w:lang w:val="nl-NL"/>
        </w:rPr>
      </w:pPr>
      <w:r w:rsidRPr="00F25F47">
        <w:rPr>
          <w:rStyle w:val="FootnoteReference"/>
          <w:rFonts w:ascii="Garamond" w:hAnsi="Garamond"/>
          <w:sz w:val="18"/>
          <w:szCs w:val="18"/>
        </w:rPr>
        <w:footnoteRef/>
      </w:r>
      <w:r w:rsidRPr="00F25F47">
        <w:rPr>
          <w:rFonts w:ascii="Garamond" w:hAnsi="Garamond"/>
          <w:sz w:val="18"/>
          <w:szCs w:val="18"/>
          <w:lang w:val="nl-NL"/>
        </w:rPr>
        <w:t xml:space="preserve"> </w:t>
      </w:r>
      <w:r w:rsidR="0084573E" w:rsidRPr="00F25F47">
        <w:rPr>
          <w:rFonts w:ascii="Garamond" w:hAnsi="Garamond"/>
          <w:sz w:val="18"/>
          <w:szCs w:val="18"/>
          <w:lang w:val="nl-NL"/>
        </w:rPr>
        <w:tab/>
        <w:t xml:space="preserve">CJEU, C-26/62, 5 </w:t>
      </w:r>
      <w:proofErr w:type="spellStart"/>
      <w:r w:rsidR="0084573E" w:rsidRPr="00F25F47">
        <w:rPr>
          <w:rFonts w:ascii="Garamond" w:hAnsi="Garamond"/>
          <w:sz w:val="18"/>
          <w:szCs w:val="18"/>
          <w:lang w:val="nl-NL"/>
        </w:rPr>
        <w:t>February</w:t>
      </w:r>
      <w:proofErr w:type="spellEnd"/>
      <w:r w:rsidR="0084573E" w:rsidRPr="00F25F47">
        <w:rPr>
          <w:rFonts w:ascii="Garamond" w:hAnsi="Garamond"/>
          <w:sz w:val="18"/>
          <w:szCs w:val="18"/>
          <w:lang w:val="nl-NL"/>
        </w:rPr>
        <w:t xml:space="preserve"> 1963, </w:t>
      </w:r>
      <w:r w:rsidR="0084573E" w:rsidRPr="00F25F47">
        <w:rPr>
          <w:rFonts w:ascii="Garamond" w:hAnsi="Garamond"/>
          <w:i/>
          <w:iCs/>
          <w:sz w:val="18"/>
          <w:szCs w:val="18"/>
          <w:lang w:val="nl-NL"/>
        </w:rPr>
        <w:t xml:space="preserve">Van </w:t>
      </w:r>
      <w:proofErr w:type="spellStart"/>
      <w:r w:rsidR="0084573E" w:rsidRPr="00F25F47">
        <w:rPr>
          <w:rFonts w:ascii="Garamond" w:hAnsi="Garamond"/>
          <w:i/>
          <w:iCs/>
          <w:sz w:val="18"/>
          <w:szCs w:val="18"/>
          <w:lang w:val="nl-NL"/>
        </w:rPr>
        <w:t>Gend</w:t>
      </w:r>
      <w:proofErr w:type="spellEnd"/>
      <w:r w:rsidR="0084573E" w:rsidRPr="00F25F47">
        <w:rPr>
          <w:rFonts w:ascii="Garamond" w:hAnsi="Garamond"/>
          <w:i/>
          <w:iCs/>
          <w:sz w:val="18"/>
          <w:szCs w:val="18"/>
          <w:lang w:val="nl-NL"/>
        </w:rPr>
        <w:t xml:space="preserve"> en Loos v Administratie der Belastingen</w:t>
      </w:r>
      <w:r w:rsidR="0084573E" w:rsidRPr="00F25F47">
        <w:rPr>
          <w:rFonts w:ascii="Garamond" w:hAnsi="Garamond"/>
          <w:sz w:val="18"/>
          <w:szCs w:val="18"/>
          <w:lang w:val="nl-NL"/>
        </w:rPr>
        <w:t>, ECLI:EU:C:1963:1.</w:t>
      </w:r>
    </w:p>
  </w:footnote>
  <w:footnote w:id="4">
    <w:p w14:paraId="204457CC" w14:textId="5F611E8F" w:rsidR="00387154" w:rsidRPr="00F25F47" w:rsidRDefault="00387154">
      <w:pPr>
        <w:pStyle w:val="FootnoteText"/>
        <w:rPr>
          <w:rFonts w:ascii="Garamond" w:hAnsi="Garamond"/>
          <w:sz w:val="18"/>
          <w:szCs w:val="18"/>
          <w:lang w:val="nl-NL"/>
        </w:rPr>
      </w:pPr>
      <w:r w:rsidRPr="00F25F47">
        <w:rPr>
          <w:rStyle w:val="FootnoteReference"/>
          <w:rFonts w:ascii="Garamond" w:hAnsi="Garamond"/>
          <w:sz w:val="18"/>
          <w:szCs w:val="18"/>
        </w:rPr>
        <w:footnoteRef/>
      </w:r>
      <w:r w:rsidRPr="00F25F47">
        <w:rPr>
          <w:rFonts w:ascii="Garamond" w:hAnsi="Garamond"/>
          <w:sz w:val="18"/>
          <w:szCs w:val="18"/>
          <w:lang w:val="nl-NL"/>
        </w:rPr>
        <w:t xml:space="preserve"> </w:t>
      </w:r>
      <w:r w:rsidRPr="00F25F47">
        <w:rPr>
          <w:rFonts w:ascii="Garamond" w:hAnsi="Garamond"/>
          <w:sz w:val="18"/>
          <w:szCs w:val="18"/>
          <w:lang w:val="nl-NL"/>
        </w:rPr>
        <w:tab/>
        <w:t xml:space="preserve">CJEU, C-6/64, 15 July 1964, </w:t>
      </w:r>
      <w:r w:rsidRPr="00F25F47">
        <w:rPr>
          <w:rFonts w:ascii="Garamond" w:hAnsi="Garamond"/>
          <w:i/>
          <w:iCs/>
          <w:sz w:val="18"/>
          <w:szCs w:val="18"/>
          <w:lang w:val="nl-NL"/>
        </w:rPr>
        <w:t>Costa v Enel,</w:t>
      </w:r>
      <w:r w:rsidRPr="00F25F47">
        <w:rPr>
          <w:rFonts w:ascii="Garamond" w:hAnsi="Garamond"/>
          <w:sz w:val="18"/>
          <w:szCs w:val="18"/>
          <w:lang w:val="nl-NL"/>
        </w:rPr>
        <w:t xml:space="preserve"> ECLI:EU:C:1964:66.</w:t>
      </w:r>
    </w:p>
  </w:footnote>
  <w:footnote w:id="5">
    <w:p w14:paraId="71BD1123" w14:textId="1D23EE8E" w:rsidR="00CE6D49" w:rsidRPr="00F25F47" w:rsidRDefault="00CE6D49">
      <w:pPr>
        <w:pStyle w:val="FootnoteText"/>
        <w:rPr>
          <w:rFonts w:ascii="Garamond" w:hAnsi="Garamond"/>
          <w:sz w:val="18"/>
          <w:szCs w:val="18"/>
          <w:lang w:val="nl-NL"/>
        </w:rPr>
      </w:pPr>
      <w:r w:rsidRPr="00F25F47">
        <w:rPr>
          <w:rStyle w:val="FootnoteReference"/>
          <w:rFonts w:ascii="Garamond" w:hAnsi="Garamond"/>
          <w:sz w:val="18"/>
          <w:szCs w:val="18"/>
        </w:rPr>
        <w:footnoteRef/>
      </w:r>
      <w:r w:rsidRPr="00F25F47">
        <w:rPr>
          <w:rFonts w:ascii="Garamond" w:hAnsi="Garamond"/>
          <w:sz w:val="18"/>
          <w:szCs w:val="18"/>
          <w:lang w:val="nl-NL"/>
        </w:rPr>
        <w:t xml:space="preserve"> </w:t>
      </w:r>
      <w:r w:rsidR="0084573E" w:rsidRPr="00F25F47">
        <w:rPr>
          <w:rFonts w:ascii="Garamond" w:hAnsi="Garamond"/>
          <w:sz w:val="18"/>
          <w:szCs w:val="18"/>
          <w:lang w:val="nl-NL"/>
        </w:rPr>
        <w:tab/>
        <w:t xml:space="preserve">CJEU, C-120/78, 20 February 1979, </w:t>
      </w:r>
      <w:r w:rsidR="0084573E" w:rsidRPr="00F25F47">
        <w:rPr>
          <w:rFonts w:ascii="Garamond" w:hAnsi="Garamond"/>
          <w:i/>
          <w:iCs/>
          <w:sz w:val="18"/>
          <w:szCs w:val="18"/>
          <w:lang w:val="nl-NL"/>
        </w:rPr>
        <w:t>Rewe v Bundesmonopolverwaltung für Branntwein,</w:t>
      </w:r>
      <w:r w:rsidR="0084573E" w:rsidRPr="00F25F47">
        <w:rPr>
          <w:rFonts w:ascii="Garamond" w:hAnsi="Garamond"/>
          <w:sz w:val="18"/>
          <w:szCs w:val="18"/>
          <w:lang w:val="nl-NL"/>
        </w:rPr>
        <w:t xml:space="preserve"> ECLI:EU:C:1979:42.</w:t>
      </w:r>
    </w:p>
  </w:footnote>
  <w:footnote w:id="6">
    <w:p w14:paraId="0499D09D" w14:textId="3CC3D7BB" w:rsidR="00B9500C" w:rsidRPr="00F25F47" w:rsidRDefault="00B9500C" w:rsidP="0038715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387154" w:rsidRPr="00F25F47">
        <w:rPr>
          <w:rFonts w:ascii="Garamond" w:hAnsi="Garamond"/>
          <w:sz w:val="18"/>
          <w:szCs w:val="18"/>
        </w:rPr>
        <w:tab/>
        <w:t xml:space="preserve">R. Byberg, ‘The History of the Integration Through Law Project: Creating the Academic Expression of a Constitutional Legal Vision for Europe’ 2017 (18:6) </w:t>
      </w:r>
      <w:r w:rsidR="00387154" w:rsidRPr="00F25F47">
        <w:rPr>
          <w:rFonts w:ascii="Garamond" w:hAnsi="Garamond"/>
          <w:i/>
          <w:iCs/>
          <w:sz w:val="18"/>
          <w:szCs w:val="18"/>
        </w:rPr>
        <w:t>German Law Journal</w:t>
      </w:r>
      <w:r w:rsidR="00387154" w:rsidRPr="00F25F47">
        <w:rPr>
          <w:rFonts w:ascii="Garamond" w:hAnsi="Garamond"/>
          <w:sz w:val="18"/>
          <w:szCs w:val="18"/>
        </w:rPr>
        <w:t xml:space="preserve"> 1531</w:t>
      </w:r>
      <w:r w:rsidR="00387154" w:rsidRPr="00F25F47">
        <w:rPr>
          <w:rFonts w:ascii="Garamond" w:hAnsi="Garamond"/>
          <w:i/>
          <w:iCs/>
          <w:sz w:val="18"/>
          <w:szCs w:val="18"/>
        </w:rPr>
        <w:t>–</w:t>
      </w:r>
      <w:r w:rsidR="00387154" w:rsidRPr="00F25F47">
        <w:rPr>
          <w:rFonts w:ascii="Garamond" w:hAnsi="Garamond"/>
          <w:sz w:val="18"/>
          <w:szCs w:val="18"/>
        </w:rPr>
        <w:t>56.</w:t>
      </w:r>
    </w:p>
  </w:footnote>
  <w:footnote w:id="7">
    <w:p w14:paraId="7A5D6328" w14:textId="2DF10EAC" w:rsidR="00506319" w:rsidRPr="00F25F47" w:rsidRDefault="00506319" w:rsidP="00DC31B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DC31BE" w:rsidRPr="00F25F47">
        <w:rPr>
          <w:rFonts w:ascii="Garamond" w:hAnsi="Garamond"/>
          <w:sz w:val="18"/>
          <w:szCs w:val="18"/>
        </w:rPr>
        <w:tab/>
        <w:t>P. Leino-Sandberg, ‘Constitutional Imaginaries of Solidarity: Framing Fiscal Integration Post-NGEU” in R. Weber (ed</w:t>
      </w:r>
      <w:r w:rsidR="001C4C15" w:rsidRPr="00F25F47">
        <w:rPr>
          <w:rFonts w:ascii="Garamond" w:hAnsi="Garamond"/>
          <w:sz w:val="18"/>
          <w:szCs w:val="18"/>
        </w:rPr>
        <w:t>.</w:t>
      </w:r>
      <w:r w:rsidR="00DC31BE" w:rsidRPr="00F25F47">
        <w:rPr>
          <w:rFonts w:ascii="Garamond" w:hAnsi="Garamond"/>
          <w:sz w:val="18"/>
          <w:szCs w:val="18"/>
        </w:rPr>
        <w:t xml:space="preserve">) </w:t>
      </w:r>
      <w:r w:rsidR="00DC31BE" w:rsidRPr="00F25F47">
        <w:rPr>
          <w:rFonts w:ascii="Garamond" w:hAnsi="Garamond"/>
          <w:i/>
          <w:iCs/>
          <w:sz w:val="18"/>
          <w:szCs w:val="18"/>
        </w:rPr>
        <w:t xml:space="preserve">The Financial Constitution of European Integration – Follow the Money </w:t>
      </w:r>
      <w:r w:rsidR="00DC31BE" w:rsidRPr="00F25F47">
        <w:rPr>
          <w:rFonts w:ascii="Garamond" w:hAnsi="Garamond"/>
          <w:sz w:val="18"/>
          <w:szCs w:val="18"/>
        </w:rPr>
        <w:t>(Hart 2023) 161</w:t>
      </w:r>
      <w:r w:rsidR="00DC31BE" w:rsidRPr="00F25F47">
        <w:rPr>
          <w:rFonts w:ascii="Garamond" w:hAnsi="Garamond"/>
          <w:i/>
          <w:iCs/>
          <w:sz w:val="18"/>
          <w:szCs w:val="18"/>
        </w:rPr>
        <w:t>–</w:t>
      </w:r>
      <w:r w:rsidR="00DC31BE" w:rsidRPr="00F25F47">
        <w:rPr>
          <w:rFonts w:ascii="Garamond" w:hAnsi="Garamond"/>
          <w:sz w:val="18"/>
          <w:szCs w:val="18"/>
        </w:rPr>
        <w:t>88.</w:t>
      </w:r>
    </w:p>
  </w:footnote>
  <w:footnote w:id="8">
    <w:p w14:paraId="2A5F9C52" w14:textId="2376BEE5" w:rsidR="00341B28" w:rsidRPr="00F25F47" w:rsidRDefault="00341B28" w:rsidP="00341B28">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J. Marshall, ‘Moral hazard’ (1976) (66:5) </w:t>
      </w:r>
      <w:r w:rsidRPr="00F25F47">
        <w:rPr>
          <w:rFonts w:ascii="Garamond" w:hAnsi="Garamond"/>
          <w:i/>
          <w:iCs/>
          <w:sz w:val="18"/>
          <w:szCs w:val="18"/>
        </w:rPr>
        <w:t>The American Economic Review</w:t>
      </w:r>
      <w:r w:rsidRPr="00F25F47">
        <w:rPr>
          <w:rFonts w:ascii="Garamond" w:hAnsi="Garamond"/>
          <w:sz w:val="18"/>
          <w:szCs w:val="18"/>
        </w:rPr>
        <w:t xml:space="preserve"> 880–90.</w:t>
      </w:r>
    </w:p>
  </w:footnote>
  <w:footnote w:id="9">
    <w:p w14:paraId="31469063" w14:textId="362AA51B" w:rsidR="002B1C83" w:rsidRPr="00F25F47" w:rsidRDefault="002B1C83" w:rsidP="002B1C83">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A55FB6" w:rsidRPr="00F25F47">
        <w:rPr>
          <w:rFonts w:ascii="Garamond" w:hAnsi="Garamond"/>
          <w:sz w:val="18"/>
          <w:szCs w:val="18"/>
        </w:rPr>
        <w:t>E.g.</w:t>
      </w:r>
      <w:r w:rsidRPr="00F25F47">
        <w:rPr>
          <w:rFonts w:ascii="Garamond" w:hAnsi="Garamond"/>
          <w:sz w:val="18"/>
          <w:szCs w:val="18"/>
        </w:rPr>
        <w:t xml:space="preserve"> </w:t>
      </w:r>
      <w:r w:rsidR="00A55FB6" w:rsidRPr="00F25F47">
        <w:rPr>
          <w:rFonts w:ascii="Garamond" w:hAnsi="Garamond"/>
          <w:sz w:val="18"/>
          <w:szCs w:val="18"/>
        </w:rPr>
        <w:t xml:space="preserve">A. </w:t>
      </w:r>
      <w:r w:rsidRPr="00F25F47">
        <w:rPr>
          <w:rFonts w:ascii="Garamond" w:hAnsi="Garamond"/>
          <w:sz w:val="18"/>
          <w:szCs w:val="18"/>
        </w:rPr>
        <w:t xml:space="preserve">Kolers, </w:t>
      </w:r>
      <w:r w:rsidRPr="00F25F47">
        <w:rPr>
          <w:rFonts w:ascii="Garamond" w:hAnsi="Garamond"/>
          <w:i/>
          <w:iCs/>
          <w:sz w:val="18"/>
          <w:szCs w:val="18"/>
        </w:rPr>
        <w:t>A Moral Theory of Solidarity</w:t>
      </w:r>
      <w:r w:rsidRPr="00F25F47">
        <w:rPr>
          <w:rFonts w:ascii="Garamond" w:hAnsi="Garamond"/>
          <w:sz w:val="18"/>
          <w:szCs w:val="18"/>
        </w:rPr>
        <w:t xml:space="preserve"> (O</w:t>
      </w:r>
      <w:r w:rsidR="00BB2A72" w:rsidRPr="00F25F47">
        <w:rPr>
          <w:rFonts w:ascii="Garamond" w:hAnsi="Garamond"/>
          <w:sz w:val="18"/>
          <w:szCs w:val="18"/>
        </w:rPr>
        <w:t xml:space="preserve">UP </w:t>
      </w:r>
      <w:r w:rsidRPr="00F25F47">
        <w:rPr>
          <w:rFonts w:ascii="Garamond" w:hAnsi="Garamond"/>
          <w:sz w:val="18"/>
          <w:szCs w:val="18"/>
        </w:rPr>
        <w:t>2016)</w:t>
      </w:r>
      <w:r w:rsidR="00BB2A72" w:rsidRPr="00F25F47">
        <w:rPr>
          <w:rFonts w:ascii="Garamond" w:hAnsi="Garamond"/>
          <w:sz w:val="18"/>
          <w:szCs w:val="18"/>
        </w:rPr>
        <w:t>.</w:t>
      </w:r>
    </w:p>
  </w:footnote>
  <w:footnote w:id="10">
    <w:p w14:paraId="7B1DEFC4" w14:textId="4D5B133A" w:rsidR="002B1C83" w:rsidRPr="00F25F47" w:rsidRDefault="002B1C83" w:rsidP="002B1C83">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A55FB6" w:rsidRPr="00F25F47">
        <w:rPr>
          <w:rFonts w:ascii="Garamond" w:hAnsi="Garamond"/>
          <w:sz w:val="18"/>
          <w:szCs w:val="18"/>
        </w:rPr>
        <w:t>E.g.</w:t>
      </w:r>
      <w:r w:rsidRPr="00F25F47">
        <w:rPr>
          <w:rFonts w:ascii="Garamond" w:hAnsi="Garamond"/>
          <w:sz w:val="18"/>
          <w:szCs w:val="18"/>
        </w:rPr>
        <w:t xml:space="preserve"> S</w:t>
      </w:r>
      <w:r w:rsidR="00BB2A72" w:rsidRPr="00F25F47">
        <w:rPr>
          <w:rFonts w:ascii="Garamond" w:hAnsi="Garamond"/>
          <w:sz w:val="18"/>
          <w:szCs w:val="18"/>
        </w:rPr>
        <w:t>.</w:t>
      </w:r>
      <w:r w:rsidRPr="00F25F47">
        <w:rPr>
          <w:rFonts w:ascii="Garamond" w:hAnsi="Garamond"/>
          <w:sz w:val="18"/>
          <w:szCs w:val="18"/>
        </w:rPr>
        <w:t xml:space="preserve"> Wilcox, </w:t>
      </w:r>
      <w:r w:rsidR="00BB2A72" w:rsidRPr="00F25F47">
        <w:rPr>
          <w:rFonts w:ascii="Garamond" w:hAnsi="Garamond"/>
          <w:sz w:val="18"/>
          <w:szCs w:val="18"/>
        </w:rPr>
        <w:t>‘</w:t>
      </w:r>
      <w:r w:rsidRPr="00F25F47">
        <w:rPr>
          <w:rFonts w:ascii="Garamond" w:hAnsi="Garamond"/>
          <w:sz w:val="18"/>
          <w:szCs w:val="18"/>
        </w:rPr>
        <w:t xml:space="preserve">Review: Sally J. Scholz, </w:t>
      </w:r>
      <w:r w:rsidRPr="00F25F47">
        <w:rPr>
          <w:rFonts w:ascii="Garamond" w:hAnsi="Garamond"/>
          <w:i/>
          <w:iCs/>
          <w:sz w:val="18"/>
          <w:szCs w:val="18"/>
        </w:rPr>
        <w:t>Political Solidarity</w:t>
      </w:r>
      <w:r w:rsidRPr="00F25F47">
        <w:rPr>
          <w:rFonts w:ascii="Garamond" w:hAnsi="Garamond"/>
          <w:sz w:val="18"/>
          <w:szCs w:val="18"/>
        </w:rPr>
        <w:t xml:space="preserve">, Penn State UP, 2008, 286pp., $55.00 (hbk), ISBN 9780271034003’, </w:t>
      </w:r>
      <w:r w:rsidRPr="00F25F47">
        <w:rPr>
          <w:rFonts w:ascii="Garamond" w:hAnsi="Garamond"/>
          <w:i/>
          <w:iCs/>
          <w:sz w:val="18"/>
          <w:szCs w:val="18"/>
        </w:rPr>
        <w:t xml:space="preserve">Notre Dame Philosophical Reviews, </w:t>
      </w:r>
      <w:r w:rsidRPr="00F25F47">
        <w:rPr>
          <w:rFonts w:ascii="Garamond" w:hAnsi="Garamond"/>
          <w:sz w:val="18"/>
          <w:szCs w:val="18"/>
        </w:rPr>
        <w:t xml:space="preserve">available at </w:t>
      </w:r>
      <w:hyperlink r:id="rId1" w:history="1">
        <w:r w:rsidRPr="00F25F47">
          <w:rPr>
            <w:rStyle w:val="Hyperlink"/>
            <w:rFonts w:ascii="Garamond" w:hAnsi="Garamond"/>
            <w:sz w:val="18"/>
            <w:szCs w:val="18"/>
          </w:rPr>
          <w:t>https://ndpr.nd.edu/reviews/political-solidarity/</w:t>
        </w:r>
      </w:hyperlink>
      <w:r w:rsidRPr="00F25F47">
        <w:rPr>
          <w:rFonts w:ascii="Garamond" w:hAnsi="Garamond"/>
          <w:sz w:val="18"/>
          <w:szCs w:val="18"/>
        </w:rPr>
        <w:t xml:space="preserve">; see </w:t>
      </w:r>
      <w:r w:rsidR="00341B28" w:rsidRPr="00F25F47">
        <w:rPr>
          <w:rFonts w:ascii="Garamond" w:hAnsi="Garamond"/>
          <w:sz w:val="18"/>
          <w:szCs w:val="18"/>
        </w:rPr>
        <w:t xml:space="preserve">F. </w:t>
      </w:r>
      <w:r w:rsidRPr="00F25F47">
        <w:rPr>
          <w:rFonts w:ascii="Garamond" w:hAnsi="Garamond"/>
          <w:sz w:val="18"/>
          <w:szCs w:val="18"/>
        </w:rPr>
        <w:t xml:space="preserve">Tava, </w:t>
      </w:r>
      <w:r w:rsidR="00341B28" w:rsidRPr="00F25F47">
        <w:rPr>
          <w:rFonts w:ascii="Garamond" w:hAnsi="Garamond"/>
          <w:sz w:val="18"/>
          <w:szCs w:val="18"/>
        </w:rPr>
        <w:t>‘</w:t>
      </w:r>
      <w:r w:rsidRPr="00F25F47">
        <w:rPr>
          <w:rFonts w:ascii="Garamond" w:hAnsi="Garamond"/>
          <w:sz w:val="18"/>
          <w:szCs w:val="18"/>
        </w:rPr>
        <w:t xml:space="preserve">Justice, </w:t>
      </w:r>
      <w:r w:rsidR="006B79BF" w:rsidRPr="00F25F47">
        <w:rPr>
          <w:rFonts w:ascii="Garamond" w:hAnsi="Garamond"/>
          <w:sz w:val="18"/>
          <w:szCs w:val="18"/>
        </w:rPr>
        <w:t>E</w:t>
      </w:r>
      <w:r w:rsidRPr="00F25F47">
        <w:rPr>
          <w:rFonts w:ascii="Garamond" w:hAnsi="Garamond"/>
          <w:sz w:val="18"/>
          <w:szCs w:val="18"/>
        </w:rPr>
        <w:t xml:space="preserve">motions, and </w:t>
      </w:r>
      <w:r w:rsidR="006B79BF" w:rsidRPr="00F25F47">
        <w:rPr>
          <w:rFonts w:ascii="Garamond" w:hAnsi="Garamond"/>
          <w:sz w:val="18"/>
          <w:szCs w:val="18"/>
        </w:rPr>
        <w:t>S</w:t>
      </w:r>
      <w:r w:rsidR="00341B28" w:rsidRPr="00F25F47">
        <w:rPr>
          <w:rFonts w:ascii="Garamond" w:hAnsi="Garamond"/>
          <w:sz w:val="18"/>
          <w:szCs w:val="18"/>
        </w:rPr>
        <w:t>olidarity’ (2021)</w:t>
      </w:r>
      <w:r w:rsidRPr="00F25F47">
        <w:rPr>
          <w:rFonts w:ascii="Garamond" w:hAnsi="Garamond"/>
          <w:sz w:val="18"/>
          <w:szCs w:val="18"/>
        </w:rPr>
        <w:t xml:space="preserve"> </w:t>
      </w:r>
      <w:r w:rsidR="00341B28" w:rsidRPr="00F25F47">
        <w:rPr>
          <w:rFonts w:ascii="Garamond" w:hAnsi="Garamond"/>
          <w:sz w:val="18"/>
          <w:szCs w:val="18"/>
        </w:rPr>
        <w:t xml:space="preserve">(26:1) </w:t>
      </w:r>
      <w:r w:rsidRPr="00F25F47">
        <w:rPr>
          <w:rFonts w:ascii="Garamond" w:hAnsi="Garamond"/>
          <w:i/>
          <w:iCs/>
          <w:sz w:val="18"/>
          <w:szCs w:val="18"/>
        </w:rPr>
        <w:t>Critical Review of International Social and Political Philosophy</w:t>
      </w:r>
      <w:r w:rsidRPr="00F25F47">
        <w:rPr>
          <w:rFonts w:ascii="Garamond" w:hAnsi="Garamond"/>
          <w:sz w:val="18"/>
          <w:szCs w:val="18"/>
        </w:rPr>
        <w:t xml:space="preserve"> 39–55 discussing solidarity in Habermas as a response to feminist ideas grounded in an ethics of care. </w:t>
      </w:r>
    </w:p>
  </w:footnote>
  <w:footnote w:id="11">
    <w:p w14:paraId="46843AAF" w14:textId="3DE66B30" w:rsidR="002B1C83" w:rsidRPr="00F25F47" w:rsidRDefault="002B1C83" w:rsidP="006D317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0C006E" w:rsidRPr="00F25F47">
        <w:rPr>
          <w:rFonts w:ascii="Garamond" w:hAnsi="Garamond"/>
          <w:sz w:val="18"/>
          <w:szCs w:val="18"/>
        </w:rPr>
        <w:t xml:space="preserve">Often starting from Durkheim, Habermas or Hegel (see Carsten </w:t>
      </w:r>
      <w:r w:rsidR="006D3174" w:rsidRPr="00F25F47">
        <w:rPr>
          <w:rFonts w:ascii="Garamond" w:hAnsi="Garamond"/>
          <w:sz w:val="18"/>
          <w:szCs w:val="18"/>
        </w:rPr>
        <w:t xml:space="preserve">Gerner-Beuerle </w:t>
      </w:r>
      <w:r w:rsidR="000C006E" w:rsidRPr="00F25F47">
        <w:rPr>
          <w:rFonts w:ascii="Garamond" w:hAnsi="Garamond"/>
          <w:sz w:val="18"/>
          <w:szCs w:val="18"/>
        </w:rPr>
        <w:t>and Ana Bobic in this special issue for instance).</w:t>
      </w:r>
    </w:p>
  </w:footnote>
  <w:footnote w:id="12">
    <w:p w14:paraId="68C3285E" w14:textId="4037EE69" w:rsidR="00705E9E" w:rsidRPr="00F25F47" w:rsidRDefault="00705E9E" w:rsidP="00705E9E">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A. Grimmel, ‘Solidarity in the European Union: Fundamental Value or “Empty Signifier”</w:t>
      </w:r>
      <w:r w:rsidR="001C03A4" w:rsidRPr="00F25F47">
        <w:rPr>
          <w:rFonts w:ascii="Garamond" w:hAnsi="Garamond"/>
          <w:sz w:val="18"/>
          <w:szCs w:val="18"/>
        </w:rPr>
        <w:t xml:space="preserve"> </w:t>
      </w:r>
      <w:r w:rsidRPr="00F25F47">
        <w:rPr>
          <w:rFonts w:ascii="Garamond" w:hAnsi="Garamond"/>
          <w:sz w:val="18"/>
          <w:szCs w:val="18"/>
        </w:rPr>
        <w:t>in A. Grimmel</w:t>
      </w:r>
      <w:r w:rsidR="00712C2C" w:rsidRPr="00F25F47">
        <w:rPr>
          <w:rFonts w:ascii="Garamond" w:hAnsi="Garamond"/>
          <w:sz w:val="18"/>
          <w:szCs w:val="18"/>
        </w:rPr>
        <w:t xml:space="preserve"> and </w:t>
      </w:r>
      <w:r w:rsidRPr="00F25F47">
        <w:rPr>
          <w:rFonts w:ascii="Garamond" w:hAnsi="Garamond"/>
          <w:sz w:val="18"/>
          <w:szCs w:val="18"/>
        </w:rPr>
        <w:t xml:space="preserve">S.M. Giang (eds.), </w:t>
      </w:r>
      <w:r w:rsidRPr="00F25F47">
        <w:rPr>
          <w:rFonts w:ascii="Garamond" w:hAnsi="Garamond"/>
          <w:i/>
          <w:iCs/>
          <w:sz w:val="18"/>
          <w:szCs w:val="18"/>
        </w:rPr>
        <w:t>Solidarity in the European Union</w:t>
      </w:r>
      <w:r w:rsidRPr="00F25F47">
        <w:rPr>
          <w:rFonts w:ascii="Garamond" w:hAnsi="Garamond"/>
          <w:sz w:val="18"/>
          <w:szCs w:val="18"/>
        </w:rPr>
        <w:t xml:space="preserve"> (Springer 2017) 161–75, 166.</w:t>
      </w:r>
    </w:p>
  </w:footnote>
  <w:footnote w:id="13">
    <w:p w14:paraId="2CEF5484" w14:textId="5A3AFDD5" w:rsidR="00A53DE0" w:rsidRPr="00A53DE0" w:rsidRDefault="00A53DE0" w:rsidP="0054172A">
      <w:pPr>
        <w:pStyle w:val="FootnoteText"/>
        <w:ind w:left="720" w:hanging="720"/>
        <w:jc w:val="both"/>
      </w:pPr>
      <w:r>
        <w:rPr>
          <w:rStyle w:val="FootnoteReference"/>
        </w:rPr>
        <w:footnoteRef/>
      </w:r>
      <w:r w:rsidRPr="00A53DE0">
        <w:t xml:space="preserve"> </w:t>
      </w:r>
      <w:r w:rsidRPr="0054172A">
        <w:tab/>
      </w:r>
      <w:r w:rsidRPr="0054172A">
        <w:rPr>
          <w:sz w:val="18"/>
          <w:szCs w:val="18"/>
        </w:rPr>
        <w:t>The word ‘cornerstone’ is used to refer to</w:t>
      </w:r>
      <w:r w:rsidR="007452E0" w:rsidRPr="0054172A">
        <w:rPr>
          <w:sz w:val="18"/>
          <w:szCs w:val="18"/>
        </w:rPr>
        <w:t xml:space="preserve"> the</w:t>
      </w:r>
      <w:r w:rsidRPr="0054172A">
        <w:rPr>
          <w:sz w:val="18"/>
          <w:szCs w:val="18"/>
        </w:rPr>
        <w:t xml:space="preserve"> conditionality for the protection of the budget and its implementation in </w:t>
      </w:r>
      <w:r w:rsidR="007452E0" w:rsidRPr="0054172A">
        <w:rPr>
          <w:sz w:val="18"/>
          <w:szCs w:val="18"/>
        </w:rPr>
        <w:t xml:space="preserve">Regulation (EU, Euratom) 2024/2509 of the European Parliament and of the Council of 23 September 2024 on the financial rules applicable to the general budget of the Union (recast) </w:t>
      </w:r>
      <w:r w:rsidR="007452E0" w:rsidRPr="0054172A">
        <w:rPr>
          <w:rStyle w:val="Emphasis"/>
          <w:rFonts w:eastAsiaTheme="majorEastAsia"/>
          <w:sz w:val="18"/>
          <w:szCs w:val="18"/>
        </w:rPr>
        <w:t xml:space="preserve">OJ L, </w:t>
      </w:r>
      <w:r w:rsidR="007452E0" w:rsidRPr="0054172A">
        <w:rPr>
          <w:rStyle w:val="Emphasis"/>
          <w:rFonts w:eastAsiaTheme="majorEastAsia"/>
          <w:i w:val="0"/>
          <w:iCs w:val="0"/>
          <w:sz w:val="18"/>
          <w:szCs w:val="18"/>
        </w:rPr>
        <w:t>2024/2509, 26.9.2024,</w:t>
      </w:r>
      <w:r w:rsidR="007452E0" w:rsidRPr="0054172A">
        <w:rPr>
          <w:rStyle w:val="Emphasis"/>
          <w:rFonts w:eastAsiaTheme="majorEastAsia"/>
          <w:sz w:val="18"/>
          <w:szCs w:val="18"/>
        </w:rPr>
        <w:t xml:space="preserve"> </w:t>
      </w:r>
      <w:r w:rsidR="007452E0" w:rsidRPr="0054172A">
        <w:rPr>
          <w:rStyle w:val="Emphasis"/>
          <w:rFonts w:eastAsiaTheme="majorEastAsia"/>
          <w:i w:val="0"/>
          <w:iCs w:val="0"/>
          <w:sz w:val="18"/>
          <w:szCs w:val="18"/>
        </w:rPr>
        <w:t>recital 9.</w:t>
      </w:r>
    </w:p>
  </w:footnote>
  <w:footnote w:id="14">
    <w:p w14:paraId="6EADBB3A" w14:textId="3CC204F1" w:rsidR="00341B28" w:rsidRPr="00F25F47" w:rsidRDefault="00341B28" w:rsidP="000C006E">
      <w:pPr>
        <w:pStyle w:val="FootnoteText"/>
        <w:ind w:left="720" w:hanging="720"/>
        <w:jc w:val="both"/>
        <w:rPr>
          <w:rFonts w:ascii="Garamond" w:hAnsi="Garamond"/>
          <w:sz w:val="18"/>
          <w:szCs w:val="18"/>
          <w:lang w:val="fr-FR"/>
        </w:rPr>
      </w:pPr>
      <w:r w:rsidRPr="00F25F47">
        <w:rPr>
          <w:rStyle w:val="FootnoteReference"/>
          <w:rFonts w:ascii="Garamond" w:hAnsi="Garamond"/>
          <w:sz w:val="18"/>
          <w:szCs w:val="18"/>
        </w:rPr>
        <w:footnoteRef/>
      </w:r>
      <w:r w:rsidRPr="00F25F47">
        <w:rPr>
          <w:rFonts w:ascii="Garamond" w:hAnsi="Garamond"/>
          <w:sz w:val="18"/>
          <w:szCs w:val="18"/>
          <w:lang w:val="fr-FR"/>
        </w:rPr>
        <w:t xml:space="preserve"> </w:t>
      </w:r>
      <w:r w:rsidRPr="00F25F47">
        <w:rPr>
          <w:rFonts w:ascii="Garamond" w:hAnsi="Garamond"/>
          <w:sz w:val="18"/>
          <w:szCs w:val="18"/>
          <w:lang w:val="fr-FR"/>
        </w:rPr>
        <w:tab/>
      </w:r>
      <w:r w:rsidR="000C006E" w:rsidRPr="00F25F47">
        <w:rPr>
          <w:rFonts w:ascii="Garamond" w:hAnsi="Garamond"/>
          <w:sz w:val="18"/>
          <w:szCs w:val="18"/>
          <w:lang w:val="fr-FR"/>
        </w:rPr>
        <w:t>Comment 16 in H. Gaudin, J. Andriantsimbazovina, M. Blanquet and F. Fines (eds)</w:t>
      </w:r>
      <w:r w:rsidR="000C006E" w:rsidRPr="00F25F47">
        <w:rPr>
          <w:rFonts w:ascii="Garamond" w:hAnsi="Garamond"/>
          <w:i/>
          <w:iCs/>
          <w:sz w:val="18"/>
          <w:szCs w:val="18"/>
          <w:lang w:val="fr-FR"/>
        </w:rPr>
        <w:t xml:space="preserve"> </w:t>
      </w:r>
      <w:r w:rsidRPr="00F25F47">
        <w:rPr>
          <w:rFonts w:ascii="Garamond" w:hAnsi="Garamond"/>
          <w:i/>
          <w:iCs/>
          <w:sz w:val="18"/>
          <w:szCs w:val="18"/>
          <w:lang w:val="fr-FR"/>
        </w:rPr>
        <w:t>Les grands arrêts de la Cour de Justice de l’Union européenne</w:t>
      </w:r>
      <w:r w:rsidRPr="00F25F47">
        <w:rPr>
          <w:rFonts w:ascii="Garamond" w:hAnsi="Garamond"/>
          <w:sz w:val="18"/>
          <w:szCs w:val="18"/>
          <w:lang w:val="fr-FR"/>
        </w:rPr>
        <w:t xml:space="preserve"> (Dalloz </w:t>
      </w:r>
      <w:r w:rsidR="000C006E" w:rsidRPr="00F25F47">
        <w:rPr>
          <w:rFonts w:ascii="Garamond" w:hAnsi="Garamond"/>
          <w:sz w:val="18"/>
          <w:szCs w:val="18"/>
          <w:lang w:val="fr-FR"/>
        </w:rPr>
        <w:t>2023) 255–65.</w:t>
      </w:r>
    </w:p>
  </w:footnote>
  <w:footnote w:id="15">
    <w:p w14:paraId="3E3F81DC" w14:textId="76E6023F" w:rsidR="00143DFD" w:rsidRPr="00F25F47" w:rsidRDefault="00143DFD" w:rsidP="00DC31B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F57802" w:rsidRPr="00F25F47">
        <w:rPr>
          <w:rFonts w:ascii="Garamond" w:hAnsi="Garamond"/>
          <w:sz w:val="18"/>
          <w:szCs w:val="18"/>
        </w:rPr>
        <w:tab/>
        <w:t xml:space="preserve">M. Buti and S. Fabbrini, ‘Next </w:t>
      </w:r>
      <w:r w:rsidR="006B79BF" w:rsidRPr="00F25F47">
        <w:rPr>
          <w:rFonts w:ascii="Garamond" w:hAnsi="Garamond"/>
          <w:sz w:val="18"/>
          <w:szCs w:val="18"/>
        </w:rPr>
        <w:t>G</w:t>
      </w:r>
      <w:r w:rsidR="00F57802" w:rsidRPr="00F25F47">
        <w:rPr>
          <w:rFonts w:ascii="Garamond" w:hAnsi="Garamond"/>
          <w:sz w:val="18"/>
          <w:szCs w:val="18"/>
        </w:rPr>
        <w:t xml:space="preserve">eneration EU and the </w:t>
      </w:r>
      <w:r w:rsidR="006B79BF" w:rsidRPr="00F25F47">
        <w:rPr>
          <w:rFonts w:ascii="Garamond" w:hAnsi="Garamond"/>
          <w:sz w:val="18"/>
          <w:szCs w:val="18"/>
        </w:rPr>
        <w:t>F</w:t>
      </w:r>
      <w:r w:rsidR="00F57802" w:rsidRPr="00F25F47">
        <w:rPr>
          <w:rFonts w:ascii="Garamond" w:hAnsi="Garamond"/>
          <w:sz w:val="18"/>
          <w:szCs w:val="18"/>
        </w:rPr>
        <w:t xml:space="preserve">uture of </w:t>
      </w:r>
      <w:r w:rsidR="006B79BF" w:rsidRPr="00F25F47">
        <w:rPr>
          <w:rFonts w:ascii="Garamond" w:hAnsi="Garamond"/>
          <w:sz w:val="18"/>
          <w:szCs w:val="18"/>
        </w:rPr>
        <w:t>E</w:t>
      </w:r>
      <w:r w:rsidR="00F57802" w:rsidRPr="00F25F47">
        <w:rPr>
          <w:rFonts w:ascii="Garamond" w:hAnsi="Garamond"/>
          <w:sz w:val="18"/>
          <w:szCs w:val="18"/>
        </w:rPr>
        <w:t xml:space="preserve">conomic </w:t>
      </w:r>
      <w:r w:rsidR="006B79BF" w:rsidRPr="00F25F47">
        <w:rPr>
          <w:rFonts w:ascii="Garamond" w:hAnsi="Garamond"/>
          <w:sz w:val="18"/>
          <w:szCs w:val="18"/>
        </w:rPr>
        <w:t>G</w:t>
      </w:r>
      <w:r w:rsidR="00F57802" w:rsidRPr="00F25F47">
        <w:rPr>
          <w:rFonts w:ascii="Garamond" w:hAnsi="Garamond"/>
          <w:sz w:val="18"/>
          <w:szCs w:val="18"/>
        </w:rPr>
        <w:t xml:space="preserve">overnance: </w:t>
      </w:r>
      <w:r w:rsidR="006B79BF" w:rsidRPr="00F25F47">
        <w:rPr>
          <w:rFonts w:ascii="Garamond" w:hAnsi="Garamond"/>
          <w:sz w:val="18"/>
          <w:szCs w:val="18"/>
        </w:rPr>
        <w:t>T</w:t>
      </w:r>
      <w:r w:rsidR="00F57802" w:rsidRPr="00F25F47">
        <w:rPr>
          <w:rFonts w:ascii="Garamond" w:hAnsi="Garamond"/>
          <w:sz w:val="18"/>
          <w:szCs w:val="18"/>
        </w:rPr>
        <w:t xml:space="preserve">owards a </w:t>
      </w:r>
      <w:r w:rsidR="006B79BF" w:rsidRPr="00F25F47">
        <w:rPr>
          <w:rFonts w:ascii="Garamond" w:hAnsi="Garamond"/>
          <w:sz w:val="18"/>
          <w:szCs w:val="18"/>
        </w:rPr>
        <w:t>P</w:t>
      </w:r>
      <w:r w:rsidR="00F57802" w:rsidRPr="00F25F47">
        <w:rPr>
          <w:rFonts w:ascii="Garamond" w:hAnsi="Garamond"/>
          <w:sz w:val="18"/>
          <w:szCs w:val="18"/>
        </w:rPr>
        <w:t xml:space="preserve">aradigm </w:t>
      </w:r>
      <w:r w:rsidR="006B79BF" w:rsidRPr="00F25F47">
        <w:rPr>
          <w:rFonts w:ascii="Garamond" w:hAnsi="Garamond"/>
          <w:sz w:val="18"/>
          <w:szCs w:val="18"/>
        </w:rPr>
        <w:t>C</w:t>
      </w:r>
      <w:r w:rsidR="00F57802" w:rsidRPr="00F25F47">
        <w:rPr>
          <w:rFonts w:ascii="Garamond" w:hAnsi="Garamond"/>
          <w:sz w:val="18"/>
          <w:szCs w:val="18"/>
        </w:rPr>
        <w:t xml:space="preserve">hange or </w:t>
      </w:r>
      <w:r w:rsidR="006B79BF" w:rsidRPr="00F25F47">
        <w:rPr>
          <w:rFonts w:ascii="Garamond" w:hAnsi="Garamond"/>
          <w:sz w:val="18"/>
          <w:szCs w:val="18"/>
        </w:rPr>
        <w:t>J</w:t>
      </w:r>
      <w:r w:rsidR="00F57802" w:rsidRPr="00F25F47">
        <w:rPr>
          <w:rFonts w:ascii="Garamond" w:hAnsi="Garamond"/>
          <w:sz w:val="18"/>
          <w:szCs w:val="18"/>
        </w:rPr>
        <w:t xml:space="preserve">ust a </w:t>
      </w:r>
      <w:r w:rsidR="006B79BF" w:rsidRPr="00F25F47">
        <w:rPr>
          <w:rFonts w:ascii="Garamond" w:hAnsi="Garamond"/>
          <w:sz w:val="18"/>
          <w:szCs w:val="18"/>
        </w:rPr>
        <w:t>B</w:t>
      </w:r>
      <w:r w:rsidR="00F57802" w:rsidRPr="00F25F47">
        <w:rPr>
          <w:rFonts w:ascii="Garamond" w:hAnsi="Garamond"/>
          <w:sz w:val="18"/>
          <w:szCs w:val="18"/>
        </w:rPr>
        <w:t xml:space="preserve">ig </w:t>
      </w:r>
      <w:r w:rsidR="006B79BF" w:rsidRPr="00F25F47">
        <w:rPr>
          <w:rFonts w:ascii="Garamond" w:hAnsi="Garamond"/>
          <w:sz w:val="18"/>
          <w:szCs w:val="18"/>
        </w:rPr>
        <w:t>O</w:t>
      </w:r>
      <w:r w:rsidR="00F57802" w:rsidRPr="00F25F47">
        <w:rPr>
          <w:rFonts w:ascii="Garamond" w:hAnsi="Garamond"/>
          <w:sz w:val="18"/>
          <w:szCs w:val="18"/>
        </w:rPr>
        <w:t xml:space="preserve">ne-off?’ (2022) (30:4) </w:t>
      </w:r>
      <w:r w:rsidR="00F57802" w:rsidRPr="00F25F47">
        <w:rPr>
          <w:rFonts w:ascii="Garamond" w:hAnsi="Garamond"/>
          <w:i/>
          <w:iCs/>
          <w:sz w:val="18"/>
          <w:szCs w:val="18"/>
        </w:rPr>
        <w:t>Journal of European Public Policy</w:t>
      </w:r>
      <w:r w:rsidR="00F57802" w:rsidRPr="00F25F47">
        <w:rPr>
          <w:rFonts w:ascii="Garamond" w:hAnsi="Garamond"/>
          <w:sz w:val="18"/>
          <w:szCs w:val="18"/>
        </w:rPr>
        <w:t xml:space="preserve"> 676–695</w:t>
      </w:r>
      <w:r w:rsidR="00AA2E42" w:rsidRPr="00F25F47">
        <w:rPr>
          <w:rFonts w:ascii="Garamond" w:hAnsi="Garamond"/>
          <w:sz w:val="18"/>
          <w:szCs w:val="18"/>
        </w:rPr>
        <w:t>; S. Grund and A. Ste</w:t>
      </w:r>
      <w:r w:rsidR="001C4C15" w:rsidRPr="00F25F47">
        <w:rPr>
          <w:rFonts w:ascii="Garamond" w:hAnsi="Garamond"/>
          <w:sz w:val="18"/>
          <w:szCs w:val="18"/>
        </w:rPr>
        <w:t>i</w:t>
      </w:r>
      <w:r w:rsidR="00AA2E42" w:rsidRPr="00F25F47">
        <w:rPr>
          <w:rFonts w:ascii="Garamond" w:hAnsi="Garamond"/>
          <w:sz w:val="18"/>
          <w:szCs w:val="18"/>
        </w:rPr>
        <w:t xml:space="preserve">nbach, ‘Debt-financing the EU’ (2024) 61 </w:t>
      </w:r>
      <w:r w:rsidR="00AA2E42" w:rsidRPr="00F25F47">
        <w:rPr>
          <w:rFonts w:ascii="Garamond" w:hAnsi="Garamond"/>
          <w:i/>
          <w:iCs/>
          <w:sz w:val="18"/>
          <w:szCs w:val="18"/>
        </w:rPr>
        <w:t>Common Market Law Review</w:t>
      </w:r>
      <w:r w:rsidR="00AA2E42" w:rsidRPr="00F25F47">
        <w:rPr>
          <w:rFonts w:ascii="Garamond" w:hAnsi="Garamond"/>
          <w:sz w:val="18"/>
          <w:szCs w:val="18"/>
        </w:rPr>
        <w:t xml:space="preserve"> 993–1018, 999.</w:t>
      </w:r>
    </w:p>
  </w:footnote>
  <w:footnote w:id="16">
    <w:p w14:paraId="5AAAD823" w14:textId="05D9AE17" w:rsidR="00143DFD" w:rsidRPr="00F25F47" w:rsidRDefault="00143DFD" w:rsidP="00B207E6">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5409E2" w:rsidRPr="00F25F47">
        <w:rPr>
          <w:rFonts w:ascii="Garamond" w:hAnsi="Garamond"/>
          <w:sz w:val="18"/>
          <w:szCs w:val="18"/>
        </w:rPr>
        <w:tab/>
      </w:r>
      <w:r w:rsidR="00B9500C" w:rsidRPr="00F25F47">
        <w:rPr>
          <w:rFonts w:ascii="Garamond" w:hAnsi="Garamond"/>
          <w:sz w:val="18"/>
          <w:szCs w:val="18"/>
        </w:rPr>
        <w:t>P</w:t>
      </w:r>
      <w:r w:rsidR="008E2584" w:rsidRPr="00F25F47">
        <w:rPr>
          <w:rFonts w:ascii="Garamond" w:hAnsi="Garamond"/>
          <w:sz w:val="18"/>
          <w:szCs w:val="18"/>
        </w:rPr>
        <w:t>.</w:t>
      </w:r>
      <w:r w:rsidR="00B9500C" w:rsidRPr="00F25F47">
        <w:rPr>
          <w:rFonts w:ascii="Garamond" w:hAnsi="Garamond"/>
          <w:sz w:val="18"/>
          <w:szCs w:val="18"/>
        </w:rPr>
        <w:t>-A</w:t>
      </w:r>
      <w:r w:rsidR="008E2584" w:rsidRPr="00F25F47">
        <w:rPr>
          <w:rFonts w:ascii="Garamond" w:hAnsi="Garamond"/>
          <w:sz w:val="18"/>
          <w:szCs w:val="18"/>
        </w:rPr>
        <w:t>.</w:t>
      </w:r>
      <w:r w:rsidR="00B9500C" w:rsidRPr="00F25F47">
        <w:rPr>
          <w:rFonts w:ascii="Garamond" w:hAnsi="Garamond"/>
          <w:sz w:val="18"/>
          <w:szCs w:val="18"/>
        </w:rPr>
        <w:t xml:space="preserve"> Van Malleghem, ‘NextGenerationEU: Hamiltonian </w:t>
      </w:r>
      <w:r w:rsidR="00F7334C">
        <w:rPr>
          <w:rFonts w:ascii="Garamond" w:hAnsi="Garamond"/>
          <w:sz w:val="18"/>
          <w:szCs w:val="18"/>
        </w:rPr>
        <w:t>M</w:t>
      </w:r>
      <w:r w:rsidR="00B9500C" w:rsidRPr="00F25F47">
        <w:rPr>
          <w:rFonts w:ascii="Garamond" w:hAnsi="Garamond"/>
          <w:sz w:val="18"/>
          <w:szCs w:val="18"/>
        </w:rPr>
        <w:t xml:space="preserve">oment or European New Deal?’ (2023) 42 </w:t>
      </w:r>
      <w:r w:rsidR="00B9500C" w:rsidRPr="00F25F47">
        <w:rPr>
          <w:rFonts w:ascii="Garamond" w:hAnsi="Garamond"/>
          <w:i/>
          <w:iCs/>
          <w:sz w:val="18"/>
          <w:szCs w:val="18"/>
        </w:rPr>
        <w:t>Yearbook of European Law</w:t>
      </w:r>
      <w:r w:rsidR="00B9500C" w:rsidRPr="00F25F47">
        <w:rPr>
          <w:rFonts w:ascii="Garamond" w:hAnsi="Garamond"/>
          <w:sz w:val="18"/>
          <w:szCs w:val="18"/>
        </w:rPr>
        <w:t xml:space="preserve"> 3–41; </w:t>
      </w:r>
      <w:r w:rsidR="005409E2" w:rsidRPr="00F25F47">
        <w:rPr>
          <w:rStyle w:val="accordion-tabbedtab-mobile"/>
          <w:rFonts w:ascii="Garamond" w:hAnsi="Garamond"/>
          <w:sz w:val="18"/>
          <w:szCs w:val="18"/>
        </w:rPr>
        <w:t>C. de la Porte</w:t>
      </w:r>
      <w:r w:rsidR="005409E2" w:rsidRPr="00F25F47">
        <w:rPr>
          <w:rStyle w:val="comma-separator"/>
          <w:rFonts w:ascii="Garamond" w:hAnsi="Garamond"/>
          <w:sz w:val="18"/>
          <w:szCs w:val="18"/>
        </w:rPr>
        <w:t xml:space="preserve"> and </w:t>
      </w:r>
      <w:r w:rsidR="005409E2" w:rsidRPr="00F25F47">
        <w:rPr>
          <w:rStyle w:val="accordion-tabbedtab-mobile"/>
          <w:rFonts w:ascii="Garamond" w:hAnsi="Garamond"/>
          <w:sz w:val="18"/>
          <w:szCs w:val="18"/>
        </w:rPr>
        <w:t>M. Dagnis Jensen, ‘</w:t>
      </w:r>
      <w:r w:rsidR="005409E2" w:rsidRPr="00F25F47">
        <w:rPr>
          <w:rFonts w:ascii="Garamond" w:hAnsi="Garamond"/>
          <w:sz w:val="18"/>
          <w:szCs w:val="18"/>
        </w:rPr>
        <w:t xml:space="preserve">The Next Generation EU: An Analysis of the Dimensions of Conflict behind the Deal’ (2021) (55:2) </w:t>
      </w:r>
      <w:r w:rsidR="005409E2" w:rsidRPr="00F25F47">
        <w:rPr>
          <w:rFonts w:ascii="Garamond" w:hAnsi="Garamond"/>
          <w:i/>
          <w:iCs/>
          <w:sz w:val="18"/>
          <w:szCs w:val="18"/>
        </w:rPr>
        <w:t>Social Policy and Administration</w:t>
      </w:r>
      <w:r w:rsidR="005409E2" w:rsidRPr="00F25F47">
        <w:rPr>
          <w:rFonts w:ascii="Garamond" w:hAnsi="Garamond"/>
          <w:sz w:val="18"/>
          <w:szCs w:val="18"/>
        </w:rPr>
        <w:t xml:space="preserve"> 388–402.</w:t>
      </w:r>
    </w:p>
  </w:footnote>
  <w:footnote w:id="17">
    <w:p w14:paraId="39593D56" w14:textId="7CB9ED26" w:rsidR="007C3EEE" w:rsidRPr="00CA0590" w:rsidRDefault="007C3EEE" w:rsidP="007C3EE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For the importance on this feature in relation to the constitutionality of NextGenEU according to the German Constitutional Court, see S. Grund and A. </w:t>
      </w:r>
      <w:r w:rsidR="001C4C15" w:rsidRPr="00F25F47">
        <w:rPr>
          <w:rFonts w:ascii="Garamond" w:hAnsi="Garamond"/>
          <w:sz w:val="18"/>
          <w:szCs w:val="18"/>
        </w:rPr>
        <w:t>Steinbach</w:t>
      </w:r>
      <w:r w:rsidRPr="00F25F47">
        <w:rPr>
          <w:rFonts w:ascii="Garamond" w:hAnsi="Garamond"/>
          <w:sz w:val="18"/>
          <w:szCs w:val="18"/>
        </w:rPr>
        <w:t xml:space="preserve">, ‘Debt-financing the EU’ (2024) 61 </w:t>
      </w:r>
      <w:r w:rsidRPr="00F25F47">
        <w:rPr>
          <w:rFonts w:ascii="Garamond" w:hAnsi="Garamond"/>
          <w:i/>
          <w:iCs/>
          <w:sz w:val="18"/>
          <w:szCs w:val="18"/>
        </w:rPr>
        <w:t>Common Market Law Review</w:t>
      </w:r>
      <w:r w:rsidRPr="00F25F47">
        <w:rPr>
          <w:rFonts w:ascii="Garamond" w:hAnsi="Garamond"/>
          <w:sz w:val="18"/>
          <w:szCs w:val="18"/>
        </w:rPr>
        <w:t xml:space="preserve"> 993–</w:t>
      </w:r>
      <w:r w:rsidRPr="00CA0590">
        <w:rPr>
          <w:rFonts w:ascii="Garamond" w:hAnsi="Garamond"/>
          <w:sz w:val="18"/>
          <w:szCs w:val="18"/>
        </w:rPr>
        <w:t>1018, 1002–3.</w:t>
      </w:r>
    </w:p>
  </w:footnote>
  <w:footnote w:id="18">
    <w:p w14:paraId="53BDF8E6" w14:textId="6DF39181" w:rsidR="00D15A9B" w:rsidRPr="0054172A" w:rsidRDefault="00D15A9B" w:rsidP="0054172A">
      <w:pPr>
        <w:pStyle w:val="FootnoteText"/>
        <w:ind w:left="720" w:hanging="720"/>
        <w:jc w:val="both"/>
        <w:rPr>
          <w:rFonts w:ascii="Garamond" w:hAnsi="Garamond"/>
          <w:sz w:val="18"/>
          <w:szCs w:val="18"/>
        </w:rPr>
      </w:pPr>
      <w:r w:rsidRPr="0054172A">
        <w:rPr>
          <w:rStyle w:val="FootnoteReference"/>
          <w:rFonts w:ascii="Garamond" w:hAnsi="Garamond"/>
          <w:sz w:val="18"/>
          <w:szCs w:val="18"/>
        </w:rPr>
        <w:footnoteRef/>
      </w:r>
      <w:r w:rsidRPr="0054172A">
        <w:rPr>
          <w:rFonts w:ascii="Garamond" w:hAnsi="Garamond"/>
          <w:sz w:val="18"/>
          <w:szCs w:val="18"/>
        </w:rPr>
        <w:t xml:space="preserve"> </w:t>
      </w:r>
      <w:r w:rsidRPr="0054172A">
        <w:rPr>
          <w:rFonts w:ascii="Garamond" w:hAnsi="Garamond"/>
          <w:sz w:val="18"/>
          <w:szCs w:val="18"/>
        </w:rPr>
        <w:tab/>
        <w:t xml:space="preserve">This is not the first time that the EU borrows money in financial markets, but the previous amounts were much lower (see for a detailed analysis D. Hodson and D. Howarth, ‘The EU’s Recovery and Resilience Facility: An Exceptional Borrowing Instrument?’ (2024) (46:1) </w:t>
      </w:r>
      <w:r w:rsidRPr="0054172A">
        <w:rPr>
          <w:rFonts w:ascii="Garamond" w:hAnsi="Garamond"/>
          <w:i/>
          <w:iCs/>
          <w:sz w:val="18"/>
          <w:szCs w:val="18"/>
        </w:rPr>
        <w:t>Journal of European Integration</w:t>
      </w:r>
      <w:r w:rsidRPr="0054172A">
        <w:rPr>
          <w:rFonts w:ascii="Garamond" w:hAnsi="Garamond"/>
          <w:sz w:val="18"/>
          <w:szCs w:val="18"/>
        </w:rPr>
        <w:t xml:space="preserve"> 69–87)</w:t>
      </w:r>
      <w:r w:rsidR="00CA0590" w:rsidRPr="0054172A">
        <w:rPr>
          <w:rFonts w:ascii="Garamond" w:hAnsi="Garamond"/>
          <w:sz w:val="18"/>
          <w:szCs w:val="18"/>
        </w:rPr>
        <w:t>.</w:t>
      </w:r>
    </w:p>
  </w:footnote>
  <w:footnote w:id="19">
    <w:p w14:paraId="456F6C28" w14:textId="194074EF" w:rsidR="0097278A" w:rsidRPr="005C0F98" w:rsidRDefault="0097278A" w:rsidP="0079559C">
      <w:pPr>
        <w:pStyle w:val="FootnoteText"/>
        <w:ind w:left="720" w:hanging="720"/>
        <w:jc w:val="both"/>
        <w:rPr>
          <w:rFonts w:ascii="Garamond" w:hAnsi="Garamond"/>
          <w:sz w:val="18"/>
          <w:szCs w:val="18"/>
        </w:rPr>
      </w:pPr>
      <w:r w:rsidRPr="00CA0590">
        <w:rPr>
          <w:rStyle w:val="FootnoteReference"/>
          <w:rFonts w:ascii="Garamond" w:hAnsi="Garamond"/>
          <w:sz w:val="18"/>
          <w:szCs w:val="18"/>
        </w:rPr>
        <w:footnoteRef/>
      </w:r>
      <w:r w:rsidRPr="00CA0590">
        <w:rPr>
          <w:rFonts w:ascii="Garamond" w:hAnsi="Garamond"/>
          <w:sz w:val="18"/>
          <w:szCs w:val="18"/>
        </w:rPr>
        <w:t xml:space="preserve"> </w:t>
      </w:r>
      <w:r w:rsidR="00D344D8" w:rsidRPr="00CA0590">
        <w:rPr>
          <w:rFonts w:ascii="Garamond" w:hAnsi="Garamond"/>
          <w:sz w:val="18"/>
          <w:szCs w:val="18"/>
        </w:rPr>
        <w:tab/>
        <w:t>A</w:t>
      </w:r>
      <w:r w:rsidR="0079559C" w:rsidRPr="00CA0590">
        <w:rPr>
          <w:rFonts w:ascii="Garamond" w:hAnsi="Garamond"/>
          <w:sz w:val="18"/>
          <w:szCs w:val="18"/>
        </w:rPr>
        <w:t>.</w:t>
      </w:r>
      <w:r w:rsidR="00D344D8" w:rsidRPr="00CA0590">
        <w:rPr>
          <w:rFonts w:ascii="Garamond" w:hAnsi="Garamond"/>
          <w:sz w:val="18"/>
          <w:szCs w:val="18"/>
        </w:rPr>
        <w:t>-C</w:t>
      </w:r>
      <w:r w:rsidR="0079559C" w:rsidRPr="00CA0590">
        <w:rPr>
          <w:rFonts w:ascii="Garamond" w:hAnsi="Garamond"/>
          <w:sz w:val="18"/>
          <w:szCs w:val="18"/>
        </w:rPr>
        <w:t>.</w:t>
      </w:r>
      <w:r w:rsidR="00D344D8" w:rsidRPr="00CA0590">
        <w:rPr>
          <w:rFonts w:ascii="Garamond" w:hAnsi="Garamond"/>
          <w:sz w:val="18"/>
          <w:szCs w:val="18"/>
        </w:rPr>
        <w:t xml:space="preserve"> Hartzén, A</w:t>
      </w:r>
      <w:r w:rsidR="0079559C" w:rsidRPr="00CA0590">
        <w:rPr>
          <w:rFonts w:ascii="Garamond" w:hAnsi="Garamond"/>
          <w:sz w:val="18"/>
          <w:szCs w:val="18"/>
        </w:rPr>
        <w:t>.</w:t>
      </w:r>
      <w:r w:rsidR="00D344D8" w:rsidRPr="00CA0590">
        <w:rPr>
          <w:rFonts w:ascii="Garamond" w:hAnsi="Garamond"/>
          <w:sz w:val="18"/>
          <w:szCs w:val="18"/>
        </w:rPr>
        <w:t xml:space="preserve"> Iossa and </w:t>
      </w:r>
      <w:r w:rsidR="0079559C" w:rsidRPr="00CA0590">
        <w:rPr>
          <w:rFonts w:ascii="Garamond" w:hAnsi="Garamond"/>
          <w:sz w:val="18"/>
          <w:szCs w:val="18"/>
        </w:rPr>
        <w:t xml:space="preserve">E. </w:t>
      </w:r>
      <w:r w:rsidR="00D344D8" w:rsidRPr="00CA0590">
        <w:rPr>
          <w:rFonts w:ascii="Garamond" w:hAnsi="Garamond"/>
          <w:sz w:val="18"/>
          <w:szCs w:val="18"/>
        </w:rPr>
        <w:t xml:space="preserve">Karageorgiou (eds), </w:t>
      </w:r>
      <w:r w:rsidR="002D20F1" w:rsidRPr="00CA0590">
        <w:rPr>
          <w:rFonts w:ascii="Garamond" w:hAnsi="Garamond"/>
          <w:sz w:val="18"/>
          <w:szCs w:val="18"/>
        </w:rPr>
        <w:t>‘</w:t>
      </w:r>
      <w:r w:rsidR="00D344D8" w:rsidRPr="00CA0590">
        <w:rPr>
          <w:rFonts w:ascii="Garamond" w:hAnsi="Garamond"/>
          <w:sz w:val="18"/>
          <w:szCs w:val="18"/>
        </w:rPr>
        <w:t>Introduction</w:t>
      </w:r>
      <w:r w:rsidR="002D20F1" w:rsidRPr="00CA0590">
        <w:rPr>
          <w:rFonts w:ascii="Garamond" w:hAnsi="Garamond"/>
          <w:sz w:val="18"/>
          <w:szCs w:val="18"/>
        </w:rPr>
        <w:t>’ in</w:t>
      </w:r>
      <w:r w:rsidR="00D344D8" w:rsidRPr="00CA0590">
        <w:rPr>
          <w:rFonts w:ascii="Garamond" w:hAnsi="Garamond"/>
          <w:sz w:val="18"/>
          <w:szCs w:val="18"/>
        </w:rPr>
        <w:t xml:space="preserve"> </w:t>
      </w:r>
      <w:r w:rsidR="00D344D8" w:rsidRPr="00CA0590">
        <w:rPr>
          <w:rFonts w:ascii="Garamond" w:hAnsi="Garamond"/>
          <w:i/>
          <w:iCs/>
          <w:sz w:val="18"/>
          <w:szCs w:val="18"/>
        </w:rPr>
        <w:t>Law, Solidarity and the Limits of Social Europe</w:t>
      </w:r>
      <w:r w:rsidR="0079559C" w:rsidRPr="00CA0590">
        <w:rPr>
          <w:rFonts w:ascii="Garamond" w:hAnsi="Garamond"/>
          <w:sz w:val="18"/>
          <w:szCs w:val="18"/>
        </w:rPr>
        <w:t xml:space="preserve"> - </w:t>
      </w:r>
      <w:r w:rsidR="0079559C" w:rsidRPr="00CA0590">
        <w:rPr>
          <w:rFonts w:ascii="Garamond" w:hAnsi="Garamond"/>
          <w:i/>
          <w:iCs/>
          <w:sz w:val="18"/>
          <w:szCs w:val="18"/>
        </w:rPr>
        <w:t>Constitutional Tensions for EU Integration</w:t>
      </w:r>
      <w:r w:rsidR="0079559C" w:rsidRPr="00CA0590">
        <w:rPr>
          <w:rFonts w:ascii="Garamond" w:hAnsi="Garamond"/>
          <w:b/>
          <w:bCs/>
          <w:sz w:val="18"/>
          <w:szCs w:val="18"/>
        </w:rPr>
        <w:t xml:space="preserve"> </w:t>
      </w:r>
      <w:r w:rsidR="0079559C" w:rsidRPr="00CA0590">
        <w:rPr>
          <w:rFonts w:ascii="Garamond" w:hAnsi="Garamond"/>
          <w:sz w:val="18"/>
          <w:szCs w:val="18"/>
        </w:rPr>
        <w:t xml:space="preserve">(Edward Elgar 2022) </w:t>
      </w:r>
      <w:r w:rsidR="00D344D8" w:rsidRPr="00CA0590">
        <w:rPr>
          <w:rFonts w:ascii="Garamond" w:hAnsi="Garamond"/>
          <w:sz w:val="18"/>
          <w:szCs w:val="18"/>
        </w:rPr>
        <w:t>xxii</w:t>
      </w:r>
      <w:r w:rsidR="00F25F47" w:rsidRPr="00CA0590">
        <w:rPr>
          <w:rFonts w:ascii="Garamond" w:hAnsi="Garamond"/>
          <w:sz w:val="18"/>
          <w:szCs w:val="18"/>
        </w:rPr>
        <w:t>; M. A. Panascì</w:t>
      </w:r>
      <w:r w:rsidR="00F25F47" w:rsidRPr="00F25F47">
        <w:rPr>
          <w:rFonts w:ascii="Garamond" w:hAnsi="Garamond"/>
          <w:sz w:val="18"/>
          <w:szCs w:val="18"/>
        </w:rPr>
        <w:t xml:space="preserve">, ‘Unravelling Next Generation EU As </w:t>
      </w:r>
      <w:r w:rsidR="00386402" w:rsidRPr="00F25F47">
        <w:rPr>
          <w:rFonts w:ascii="Garamond" w:hAnsi="Garamond"/>
          <w:sz w:val="18"/>
          <w:szCs w:val="18"/>
        </w:rPr>
        <w:t>a</w:t>
      </w:r>
      <w:r w:rsidR="00F25F47" w:rsidRPr="00F25F47">
        <w:rPr>
          <w:rFonts w:ascii="Garamond" w:hAnsi="Garamond"/>
          <w:sz w:val="18"/>
          <w:szCs w:val="18"/>
        </w:rPr>
        <w:t xml:space="preserve"> Transformative Moment: From Market </w:t>
      </w:r>
      <w:r w:rsidR="00F25F47" w:rsidRPr="005C0F98">
        <w:rPr>
          <w:rFonts w:ascii="Garamond" w:hAnsi="Garamond"/>
          <w:sz w:val="18"/>
          <w:szCs w:val="18"/>
        </w:rPr>
        <w:t xml:space="preserve">Integration </w:t>
      </w:r>
      <w:r w:rsidR="00386402" w:rsidRPr="005C0F98">
        <w:rPr>
          <w:rFonts w:ascii="Garamond" w:hAnsi="Garamond"/>
          <w:sz w:val="18"/>
          <w:szCs w:val="18"/>
        </w:rPr>
        <w:t>to</w:t>
      </w:r>
      <w:r w:rsidR="00F25F47" w:rsidRPr="005C0F98">
        <w:rPr>
          <w:rFonts w:ascii="Garamond" w:hAnsi="Garamond"/>
          <w:sz w:val="18"/>
          <w:szCs w:val="18"/>
        </w:rPr>
        <w:t xml:space="preserve"> Redistribution’ (</w:t>
      </w:r>
      <w:proofErr w:type="gramStart"/>
      <w:r w:rsidR="00F25F47" w:rsidRPr="005C0F98">
        <w:rPr>
          <w:rFonts w:ascii="Garamond" w:hAnsi="Garamond"/>
          <w:sz w:val="18"/>
          <w:szCs w:val="18"/>
        </w:rPr>
        <w:t>2024)(</w:t>
      </w:r>
      <w:proofErr w:type="gramEnd"/>
      <w:r w:rsidR="00F25F47" w:rsidRPr="005C0F98">
        <w:rPr>
          <w:rFonts w:ascii="Garamond" w:hAnsi="Garamond"/>
          <w:sz w:val="18"/>
          <w:szCs w:val="18"/>
        </w:rPr>
        <w:t xml:space="preserve">61:1) </w:t>
      </w:r>
      <w:r w:rsidR="00F25F47" w:rsidRPr="005C0F98">
        <w:rPr>
          <w:rFonts w:ascii="Garamond" w:hAnsi="Garamond"/>
          <w:i/>
          <w:iCs/>
          <w:sz w:val="18"/>
          <w:szCs w:val="18"/>
        </w:rPr>
        <w:t>Common Market Law Review</w:t>
      </w:r>
      <w:r w:rsidR="00F25F47" w:rsidRPr="005C0F98">
        <w:rPr>
          <w:rFonts w:ascii="Garamond" w:hAnsi="Garamond"/>
          <w:sz w:val="18"/>
          <w:szCs w:val="18"/>
        </w:rPr>
        <w:t xml:space="preserve"> 13–54.</w:t>
      </w:r>
    </w:p>
  </w:footnote>
  <w:footnote w:id="20">
    <w:p w14:paraId="2EDC09E5" w14:textId="30331B6B" w:rsidR="00AF2DBF" w:rsidRPr="0054172A" w:rsidRDefault="00AF2DBF" w:rsidP="005C0F98">
      <w:pPr>
        <w:pStyle w:val="FootnoteText"/>
        <w:ind w:left="720" w:hanging="720"/>
        <w:jc w:val="both"/>
        <w:rPr>
          <w:rFonts w:ascii="Garamond" w:eastAsiaTheme="minorHAnsi" w:hAnsi="Garamond"/>
          <w:i/>
          <w:iCs/>
          <w:color w:val="000000" w:themeColor="text1"/>
          <w:sz w:val="18"/>
          <w:szCs w:val="18"/>
          <w:lang w:val="fr-FR" w:eastAsia="en-US"/>
          <w14:ligatures w14:val="standardContextual"/>
        </w:rPr>
      </w:pPr>
      <w:r w:rsidRPr="005C0F98">
        <w:rPr>
          <w:rStyle w:val="FootnoteReference"/>
          <w:rFonts w:ascii="Garamond" w:hAnsi="Garamond"/>
          <w:sz w:val="18"/>
          <w:szCs w:val="18"/>
        </w:rPr>
        <w:footnoteRef/>
      </w:r>
      <w:r w:rsidRPr="005C0F98">
        <w:rPr>
          <w:rFonts w:ascii="Garamond" w:hAnsi="Garamond"/>
          <w:sz w:val="18"/>
          <w:szCs w:val="18"/>
        </w:rPr>
        <w:t xml:space="preserve"> </w:t>
      </w:r>
      <w:r w:rsidR="005409E2" w:rsidRPr="005C0F98">
        <w:rPr>
          <w:rFonts w:ascii="Garamond" w:hAnsi="Garamond"/>
          <w:sz w:val="18"/>
          <w:szCs w:val="18"/>
        </w:rPr>
        <w:tab/>
      </w:r>
      <w:r w:rsidR="00712C2C" w:rsidRPr="005C0F98">
        <w:rPr>
          <w:rFonts w:ascii="Garamond" w:hAnsi="Garamond"/>
          <w:sz w:val="18"/>
          <w:szCs w:val="18"/>
        </w:rPr>
        <w:t xml:space="preserve">F. </w:t>
      </w:r>
      <w:r w:rsidRPr="005C0F98">
        <w:rPr>
          <w:rStyle w:val="contributors"/>
          <w:rFonts w:ascii="Garamond" w:hAnsi="Garamond"/>
          <w:sz w:val="18"/>
          <w:szCs w:val="18"/>
        </w:rPr>
        <w:t xml:space="preserve">Bruno, </w:t>
      </w:r>
      <w:r w:rsidR="0097278A" w:rsidRPr="005C0F98">
        <w:rPr>
          <w:rStyle w:val="maintitle"/>
          <w:rFonts w:ascii="Garamond" w:hAnsi="Garamond"/>
          <w:sz w:val="18"/>
          <w:szCs w:val="18"/>
        </w:rPr>
        <w:t>‘</w:t>
      </w:r>
      <w:r w:rsidRPr="005C0F98">
        <w:rPr>
          <w:rStyle w:val="maintitle"/>
          <w:rFonts w:ascii="Garamond" w:hAnsi="Garamond"/>
          <w:sz w:val="18"/>
          <w:szCs w:val="18"/>
        </w:rPr>
        <w:t>Eurozone Policy and Crisis</w:t>
      </w:r>
      <w:r w:rsidR="0097278A" w:rsidRPr="005C0F98">
        <w:rPr>
          <w:rStyle w:val="maintitle"/>
          <w:rFonts w:ascii="Garamond" w:hAnsi="Garamond"/>
          <w:sz w:val="18"/>
          <w:szCs w:val="18"/>
        </w:rPr>
        <w:t>’</w:t>
      </w:r>
      <w:r w:rsidRPr="005C0F98">
        <w:rPr>
          <w:rStyle w:val="editors"/>
          <w:rFonts w:ascii="Garamond" w:hAnsi="Garamond"/>
          <w:sz w:val="18"/>
          <w:szCs w:val="18"/>
        </w:rPr>
        <w:t xml:space="preserve"> in T</w:t>
      </w:r>
      <w:r w:rsidR="0064372B" w:rsidRPr="005C0F98">
        <w:rPr>
          <w:rStyle w:val="editors"/>
          <w:rFonts w:ascii="Garamond" w:hAnsi="Garamond"/>
          <w:sz w:val="18"/>
          <w:szCs w:val="18"/>
        </w:rPr>
        <w:t>.</w:t>
      </w:r>
      <w:r w:rsidRPr="005C0F98">
        <w:rPr>
          <w:rStyle w:val="editors"/>
          <w:rFonts w:ascii="Garamond" w:hAnsi="Garamond"/>
          <w:sz w:val="18"/>
          <w:szCs w:val="18"/>
        </w:rPr>
        <w:t xml:space="preserve"> Biebricher, P</w:t>
      </w:r>
      <w:r w:rsidR="0064372B" w:rsidRPr="005C0F98">
        <w:rPr>
          <w:rStyle w:val="editors"/>
          <w:rFonts w:ascii="Garamond" w:hAnsi="Garamond"/>
          <w:sz w:val="18"/>
          <w:szCs w:val="18"/>
        </w:rPr>
        <w:t>.</w:t>
      </w:r>
      <w:r w:rsidRPr="005C0F98">
        <w:rPr>
          <w:rStyle w:val="editors"/>
          <w:rFonts w:ascii="Garamond" w:hAnsi="Garamond"/>
          <w:sz w:val="18"/>
          <w:szCs w:val="18"/>
        </w:rPr>
        <w:t xml:space="preserve"> Nedergaard, and W</w:t>
      </w:r>
      <w:r w:rsidR="0064372B" w:rsidRPr="005C0F98">
        <w:rPr>
          <w:rStyle w:val="editors"/>
          <w:rFonts w:ascii="Garamond" w:hAnsi="Garamond"/>
          <w:sz w:val="18"/>
          <w:szCs w:val="18"/>
        </w:rPr>
        <w:t>.</w:t>
      </w:r>
      <w:r w:rsidRPr="005C0F98">
        <w:rPr>
          <w:rStyle w:val="editors"/>
          <w:rFonts w:ascii="Garamond" w:hAnsi="Garamond"/>
          <w:sz w:val="18"/>
          <w:szCs w:val="18"/>
        </w:rPr>
        <w:t xml:space="preserve"> Bonefeld (eds)</w:t>
      </w:r>
      <w:r w:rsidRPr="005C0F98">
        <w:rPr>
          <w:rFonts w:ascii="Garamond" w:hAnsi="Garamond"/>
          <w:sz w:val="18"/>
          <w:szCs w:val="18"/>
        </w:rPr>
        <w:t xml:space="preserve">, </w:t>
      </w:r>
      <w:r w:rsidRPr="005C0F98">
        <w:rPr>
          <w:rStyle w:val="Emphasis"/>
          <w:rFonts w:ascii="Garamond" w:hAnsi="Garamond"/>
          <w:sz w:val="18"/>
          <w:szCs w:val="18"/>
        </w:rPr>
        <w:t>The Oxford Handbook of Ordoliberalism</w:t>
      </w:r>
      <w:r w:rsidR="00846C66" w:rsidRPr="005C0F98">
        <w:rPr>
          <w:rStyle w:val="series-title"/>
          <w:rFonts w:ascii="Garamond" w:hAnsi="Garamond"/>
          <w:sz w:val="18"/>
          <w:szCs w:val="18"/>
        </w:rPr>
        <w:t xml:space="preserve"> </w:t>
      </w:r>
      <w:r w:rsidRPr="005C0F98">
        <w:rPr>
          <w:rFonts w:ascii="Garamond" w:hAnsi="Garamond"/>
          <w:sz w:val="18"/>
          <w:szCs w:val="18"/>
        </w:rPr>
        <w:t>(</w:t>
      </w:r>
      <w:r w:rsidR="00846C66" w:rsidRPr="005C0F98">
        <w:rPr>
          <w:rFonts w:ascii="Garamond" w:hAnsi="Garamond"/>
          <w:sz w:val="18"/>
          <w:szCs w:val="18"/>
        </w:rPr>
        <w:t xml:space="preserve">OUP </w:t>
      </w:r>
      <w:r w:rsidRPr="005C0F98">
        <w:rPr>
          <w:rStyle w:val="print-publication-date"/>
          <w:rFonts w:ascii="Garamond" w:hAnsi="Garamond"/>
          <w:sz w:val="18"/>
          <w:szCs w:val="18"/>
        </w:rPr>
        <w:t>2022</w:t>
      </w:r>
      <w:r w:rsidRPr="005C0F98">
        <w:rPr>
          <w:rFonts w:ascii="Garamond" w:hAnsi="Garamond"/>
          <w:sz w:val="18"/>
          <w:szCs w:val="18"/>
        </w:rPr>
        <w:t>)</w:t>
      </w:r>
      <w:r w:rsidR="0064372B" w:rsidRPr="005C0F98">
        <w:rPr>
          <w:rFonts w:ascii="Garamond" w:hAnsi="Garamond"/>
          <w:sz w:val="18"/>
          <w:szCs w:val="18"/>
        </w:rPr>
        <w:t xml:space="preserve"> </w:t>
      </w:r>
      <w:r w:rsidR="0097278A" w:rsidRPr="005C0F98">
        <w:rPr>
          <w:rFonts w:ascii="Garamond" w:hAnsi="Garamond"/>
          <w:sz w:val="18"/>
          <w:szCs w:val="18"/>
        </w:rPr>
        <w:t>486–99</w:t>
      </w:r>
      <w:r w:rsidR="0097278A" w:rsidRPr="005C0F98">
        <w:rPr>
          <w:rFonts w:ascii="Garamond" w:hAnsi="Garamond"/>
          <w:i/>
          <w:iCs/>
          <w:sz w:val="18"/>
          <w:szCs w:val="18"/>
        </w:rPr>
        <w:t>,</w:t>
      </w:r>
      <w:r w:rsidR="0097278A" w:rsidRPr="005C0F98">
        <w:rPr>
          <w:rFonts w:ascii="Garamond" w:hAnsi="Garamond"/>
          <w:sz w:val="18"/>
          <w:szCs w:val="18"/>
        </w:rPr>
        <w:t xml:space="preserve"> 490</w:t>
      </w:r>
      <w:r w:rsidR="002D20F1" w:rsidRPr="005C0F98">
        <w:rPr>
          <w:rFonts w:ascii="Garamond" w:hAnsi="Garamond"/>
          <w:sz w:val="18"/>
          <w:szCs w:val="18"/>
        </w:rPr>
        <w:t>; H. Schepe, ‘The Bank, the Bond, and the Bail-out: On the Legal Construction of Market Discipline in the Eurozone’ (</w:t>
      </w:r>
      <w:r w:rsidR="002306C4" w:rsidRPr="005C0F98">
        <w:rPr>
          <w:rFonts w:ascii="Garamond" w:hAnsi="Garamond"/>
          <w:sz w:val="18"/>
          <w:szCs w:val="18"/>
        </w:rPr>
        <w:t xml:space="preserve">2017) (44:1) </w:t>
      </w:r>
      <w:r w:rsidR="002306C4" w:rsidRPr="005C0F98">
        <w:rPr>
          <w:rFonts w:ascii="Garamond" w:hAnsi="Garamond"/>
          <w:i/>
          <w:iCs/>
          <w:sz w:val="18"/>
          <w:szCs w:val="18"/>
        </w:rPr>
        <w:t xml:space="preserve">Journal of Law and Society </w:t>
      </w:r>
      <w:r w:rsidR="002306C4" w:rsidRPr="005C0F98">
        <w:rPr>
          <w:rFonts w:ascii="Garamond" w:hAnsi="Garamond"/>
          <w:sz w:val="18"/>
          <w:szCs w:val="18"/>
        </w:rPr>
        <w:t>79-98.</w:t>
      </w:r>
      <w:r w:rsidR="009638B6" w:rsidRPr="005C0F98">
        <w:rPr>
          <w:rFonts w:ascii="Garamond" w:hAnsi="Garamond"/>
          <w:sz w:val="18"/>
          <w:szCs w:val="18"/>
        </w:rPr>
        <w:t xml:space="preserve"> The unwillingness of Member States to activate the Stability and Growth Pact could also be mentioned as one of the causes contributing to the sovereign debt crisis. The new economic governance seeks to address this problem with more technical provisions (see N</w:t>
      </w:r>
      <w:r w:rsidR="005C0F98">
        <w:rPr>
          <w:rFonts w:ascii="Garamond" w:hAnsi="Garamond"/>
          <w:sz w:val="18"/>
          <w:szCs w:val="18"/>
        </w:rPr>
        <w:t>.</w:t>
      </w:r>
      <w:r w:rsidR="009638B6" w:rsidRPr="005C0F98">
        <w:rPr>
          <w:rFonts w:ascii="Garamond" w:hAnsi="Garamond"/>
          <w:sz w:val="18"/>
          <w:szCs w:val="18"/>
        </w:rPr>
        <w:t xml:space="preserve"> Vander </w:t>
      </w:r>
      <w:proofErr w:type="spellStart"/>
      <w:r w:rsidR="009638B6" w:rsidRPr="005C0F98">
        <w:rPr>
          <w:rFonts w:ascii="Garamond" w:hAnsi="Garamond"/>
          <w:sz w:val="18"/>
          <w:szCs w:val="18"/>
        </w:rPr>
        <w:t>Putten</w:t>
      </w:r>
      <w:proofErr w:type="spellEnd"/>
      <w:r w:rsidR="009638B6" w:rsidRPr="005C0F98">
        <w:rPr>
          <w:rFonts w:ascii="Garamond" w:hAnsi="Garamond"/>
          <w:sz w:val="18"/>
          <w:szCs w:val="18"/>
        </w:rPr>
        <w:t xml:space="preserve"> and Y</w:t>
      </w:r>
      <w:r w:rsidR="005C0F98">
        <w:rPr>
          <w:rFonts w:ascii="Garamond" w:hAnsi="Garamond"/>
          <w:sz w:val="18"/>
          <w:szCs w:val="18"/>
        </w:rPr>
        <w:t>.</w:t>
      </w:r>
      <w:r w:rsidR="009638B6" w:rsidRPr="005C0F98">
        <w:rPr>
          <w:rFonts w:ascii="Garamond" w:hAnsi="Garamond"/>
          <w:sz w:val="18"/>
          <w:szCs w:val="18"/>
        </w:rPr>
        <w:t xml:space="preserve"> </w:t>
      </w:r>
      <w:proofErr w:type="spellStart"/>
      <w:r w:rsidR="009638B6" w:rsidRPr="005C0F98">
        <w:rPr>
          <w:rFonts w:ascii="Garamond" w:hAnsi="Garamond"/>
          <w:sz w:val="18"/>
          <w:szCs w:val="18"/>
        </w:rPr>
        <w:t>Marique</w:t>
      </w:r>
      <w:proofErr w:type="spellEnd"/>
      <w:r w:rsidR="009638B6" w:rsidRPr="005C0F98">
        <w:rPr>
          <w:rFonts w:ascii="Garamond" w:hAnsi="Garamond"/>
          <w:sz w:val="18"/>
          <w:szCs w:val="18"/>
        </w:rPr>
        <w:t xml:space="preserve">, </w:t>
      </w:r>
      <w:r w:rsidR="005C0F98" w:rsidRPr="005C0F98">
        <w:rPr>
          <w:rFonts w:ascii="Garamond" w:hAnsi="Garamond"/>
          <w:sz w:val="18"/>
          <w:szCs w:val="18"/>
        </w:rPr>
        <w:t>‘</w:t>
      </w:r>
      <w:r w:rsidR="005C0F98" w:rsidRPr="0054172A">
        <w:rPr>
          <w:rFonts w:ascii="Garamond" w:eastAsiaTheme="minorHAnsi" w:hAnsi="Garamond"/>
          <w:sz w:val="18"/>
          <w:szCs w:val="18"/>
          <w:lang w:eastAsia="en-US"/>
          <w14:ligatures w14:val="standardContextual"/>
        </w:rPr>
        <w:t xml:space="preserve">Le nouveau cadre </w:t>
      </w:r>
      <w:proofErr w:type="spellStart"/>
      <w:r w:rsidR="005C0F98" w:rsidRPr="0054172A">
        <w:rPr>
          <w:rFonts w:ascii="Garamond" w:eastAsiaTheme="minorHAnsi" w:hAnsi="Garamond"/>
          <w:sz w:val="18"/>
          <w:szCs w:val="18"/>
          <w:lang w:eastAsia="en-US"/>
          <w14:ligatures w14:val="standardContextual"/>
        </w:rPr>
        <w:t>budgétaire</w:t>
      </w:r>
      <w:proofErr w:type="spellEnd"/>
      <w:r w:rsidR="005C0F98" w:rsidRPr="0054172A">
        <w:rPr>
          <w:rFonts w:ascii="Garamond" w:eastAsiaTheme="minorHAnsi" w:hAnsi="Garamond"/>
          <w:sz w:val="18"/>
          <w:szCs w:val="18"/>
          <w:lang w:eastAsia="en-US"/>
          <w14:ligatures w14:val="standardContextual"/>
        </w:rPr>
        <w:t xml:space="preserve"> </w:t>
      </w:r>
      <w:proofErr w:type="spellStart"/>
      <w:r w:rsidR="005C0F98" w:rsidRPr="0054172A">
        <w:rPr>
          <w:rFonts w:ascii="Garamond" w:eastAsiaTheme="minorHAnsi" w:hAnsi="Garamond"/>
          <w:sz w:val="18"/>
          <w:szCs w:val="18"/>
          <w:lang w:eastAsia="en-US"/>
          <w14:ligatures w14:val="standardContextual"/>
        </w:rPr>
        <w:t>européen</w:t>
      </w:r>
      <w:proofErr w:type="spellEnd"/>
      <w:r w:rsidR="005C0F98" w:rsidRPr="0054172A">
        <w:rPr>
          <w:rFonts w:ascii="Garamond" w:eastAsiaTheme="minorHAnsi" w:hAnsi="Garamond"/>
          <w:sz w:val="18"/>
          <w:szCs w:val="18"/>
          <w:lang w:eastAsia="en-US"/>
          <w14:ligatures w14:val="standardContextual"/>
        </w:rPr>
        <w:t xml:space="preserve"> et </w:t>
      </w:r>
      <w:proofErr w:type="spellStart"/>
      <w:r w:rsidR="005C0F98" w:rsidRPr="0054172A">
        <w:rPr>
          <w:rFonts w:ascii="Garamond" w:eastAsiaTheme="minorHAnsi" w:hAnsi="Garamond"/>
          <w:sz w:val="18"/>
          <w:szCs w:val="18"/>
          <w:lang w:eastAsia="en-US"/>
          <w14:ligatures w14:val="standardContextual"/>
        </w:rPr>
        <w:t>ses</w:t>
      </w:r>
      <w:proofErr w:type="spellEnd"/>
      <w:r w:rsidR="005C0F98" w:rsidRPr="0054172A">
        <w:rPr>
          <w:rFonts w:ascii="Garamond" w:eastAsiaTheme="minorHAnsi" w:hAnsi="Garamond"/>
          <w:sz w:val="18"/>
          <w:szCs w:val="18"/>
          <w:lang w:eastAsia="en-US"/>
          <w14:ligatures w14:val="standardContextual"/>
        </w:rPr>
        <w:t xml:space="preserve"> incidences sur le droit </w:t>
      </w:r>
      <w:proofErr w:type="spellStart"/>
      <w:r w:rsidR="005C0F98" w:rsidRPr="0054172A">
        <w:rPr>
          <w:rFonts w:ascii="Garamond" w:eastAsiaTheme="minorHAnsi" w:hAnsi="Garamond"/>
          <w:sz w:val="18"/>
          <w:szCs w:val="18"/>
          <w:lang w:eastAsia="en-US"/>
          <w14:ligatures w14:val="standardContextual"/>
        </w:rPr>
        <w:t>belge</w:t>
      </w:r>
      <w:proofErr w:type="spellEnd"/>
      <w:r w:rsidR="005C0F98" w:rsidRPr="0054172A">
        <w:rPr>
          <w:rFonts w:ascii="Garamond" w:eastAsiaTheme="minorHAnsi" w:hAnsi="Garamond"/>
          <w:sz w:val="18"/>
          <w:szCs w:val="18"/>
          <w:lang w:eastAsia="en-US"/>
          <w14:ligatures w14:val="standardContextual"/>
        </w:rPr>
        <w:t>’</w:t>
      </w:r>
      <w:r w:rsidR="005C0F98" w:rsidRPr="0054172A">
        <w:rPr>
          <w:rFonts w:ascii="Garamond" w:eastAsiaTheme="minorHAnsi" w:hAnsi="Garamond"/>
          <w:i/>
          <w:iCs/>
          <w:sz w:val="18"/>
          <w:szCs w:val="18"/>
          <w:lang w:eastAsia="en-US"/>
          <w14:ligatures w14:val="standardContextual"/>
        </w:rPr>
        <w:t xml:space="preserve"> in </w:t>
      </w:r>
      <w:r w:rsidR="005C0F98" w:rsidRPr="0054172A">
        <w:rPr>
          <w:rFonts w:ascii="Garamond" w:eastAsiaTheme="minorHAnsi" w:hAnsi="Garamond"/>
          <w:sz w:val="18"/>
          <w:szCs w:val="18"/>
          <w:lang w:eastAsia="en-US"/>
          <w14:ligatures w14:val="standardContextual"/>
        </w:rPr>
        <w:t xml:space="preserve">N. Vander </w:t>
      </w:r>
      <w:proofErr w:type="spellStart"/>
      <w:r w:rsidR="005C0F98" w:rsidRPr="0054172A">
        <w:rPr>
          <w:rFonts w:ascii="Garamond" w:eastAsiaTheme="minorHAnsi" w:hAnsi="Garamond"/>
          <w:sz w:val="18"/>
          <w:szCs w:val="18"/>
          <w:lang w:eastAsia="en-US"/>
          <w14:ligatures w14:val="standardContextual"/>
        </w:rPr>
        <w:t>Putten</w:t>
      </w:r>
      <w:proofErr w:type="spellEnd"/>
      <w:r w:rsidR="005C0F98" w:rsidRPr="0054172A">
        <w:rPr>
          <w:rFonts w:ascii="Garamond" w:eastAsiaTheme="minorHAnsi" w:hAnsi="Garamond"/>
          <w:sz w:val="18"/>
          <w:szCs w:val="18"/>
          <w:lang w:eastAsia="en-US"/>
          <w14:ligatures w14:val="standardContextual"/>
        </w:rPr>
        <w:t xml:space="preserve"> (ed.) </w:t>
      </w:r>
      <w:r w:rsidR="005C0F98" w:rsidRPr="0054172A">
        <w:rPr>
          <w:rFonts w:ascii="Garamond" w:eastAsiaTheme="minorHAnsi" w:hAnsi="Garamond"/>
          <w:i/>
          <w:iCs/>
          <w:color w:val="000000" w:themeColor="text1"/>
          <w:sz w:val="18"/>
          <w:szCs w:val="18"/>
          <w:lang w:val="fr-FR" w:eastAsia="en-US"/>
          <w14:ligatures w14:val="standardContextual"/>
        </w:rPr>
        <w:t xml:space="preserve">Actualités en matière de droit des dépenses publiques </w:t>
      </w:r>
      <w:r w:rsidR="005C0F98" w:rsidRPr="0054172A">
        <w:rPr>
          <w:rFonts w:ascii="Garamond" w:eastAsiaTheme="minorHAnsi" w:hAnsi="Garamond"/>
          <w:color w:val="000000" w:themeColor="text1"/>
          <w:sz w:val="18"/>
          <w:szCs w:val="18"/>
          <w:lang w:val="fr-FR" w:eastAsia="en-US"/>
          <w14:ligatures w14:val="standardContextual"/>
        </w:rPr>
        <w:t>(</w:t>
      </w:r>
      <w:proofErr w:type="spellStart"/>
      <w:r w:rsidR="005C0F98" w:rsidRPr="0054172A">
        <w:rPr>
          <w:rFonts w:ascii="Garamond" w:eastAsiaTheme="minorHAnsi" w:hAnsi="Garamond"/>
          <w:color w:val="000000" w:themeColor="text1"/>
          <w:sz w:val="18"/>
          <w:szCs w:val="18"/>
          <w:lang w:val="fr-FR" w:eastAsia="en-US"/>
          <w14:ligatures w14:val="standardContextual"/>
        </w:rPr>
        <w:t>Anthemis</w:t>
      </w:r>
      <w:proofErr w:type="spellEnd"/>
      <w:r w:rsidR="005C0F98" w:rsidRPr="0054172A">
        <w:rPr>
          <w:rFonts w:ascii="Garamond" w:eastAsiaTheme="minorHAnsi" w:hAnsi="Garamond"/>
          <w:color w:val="000000" w:themeColor="text1"/>
          <w:sz w:val="18"/>
          <w:szCs w:val="18"/>
          <w:lang w:val="fr-FR" w:eastAsia="en-US"/>
          <w14:ligatures w14:val="standardContextual"/>
        </w:rPr>
        <w:t xml:space="preserve"> </w:t>
      </w:r>
      <w:proofErr w:type="spellStart"/>
      <w:r w:rsidR="005C0F98" w:rsidRPr="0054172A">
        <w:rPr>
          <w:rFonts w:ascii="Garamond" w:eastAsiaTheme="minorHAnsi" w:hAnsi="Garamond"/>
          <w:color w:val="000000" w:themeColor="text1"/>
          <w:sz w:val="18"/>
          <w:szCs w:val="18"/>
          <w:lang w:val="fr-FR" w:eastAsia="en-US"/>
          <w14:ligatures w14:val="standardContextual"/>
        </w:rPr>
        <w:t>forthcoming</w:t>
      </w:r>
      <w:proofErr w:type="spellEnd"/>
      <w:r w:rsidR="005C0F98" w:rsidRPr="0054172A">
        <w:rPr>
          <w:rFonts w:ascii="Garamond" w:eastAsiaTheme="minorHAnsi" w:hAnsi="Garamond"/>
          <w:color w:val="000000" w:themeColor="text1"/>
          <w:sz w:val="18"/>
          <w:szCs w:val="18"/>
          <w:lang w:val="fr-FR" w:eastAsia="en-US"/>
          <w14:ligatures w14:val="standardContextual"/>
        </w:rPr>
        <w:t>).</w:t>
      </w:r>
      <w:r w:rsidR="005C0F98" w:rsidRPr="0054172A">
        <w:rPr>
          <w:rFonts w:ascii="Garamond" w:eastAsiaTheme="minorHAnsi" w:hAnsi="Garamond"/>
          <w:i/>
          <w:iCs/>
          <w:color w:val="000000" w:themeColor="text1"/>
          <w:sz w:val="18"/>
          <w:szCs w:val="18"/>
          <w:lang w:val="fr-FR" w:eastAsia="en-US"/>
          <w14:ligatures w14:val="standardContextual"/>
        </w:rPr>
        <w:t xml:space="preserve"> </w:t>
      </w:r>
    </w:p>
  </w:footnote>
  <w:footnote w:id="21">
    <w:p w14:paraId="0CD2CAA7" w14:textId="57E0C4D8" w:rsidR="00F82520" w:rsidRPr="00F25F47" w:rsidRDefault="00F82520" w:rsidP="009830E0">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5409E2" w:rsidRPr="00F25F47">
        <w:rPr>
          <w:rFonts w:ascii="Garamond" w:hAnsi="Garamond"/>
          <w:sz w:val="18"/>
          <w:szCs w:val="18"/>
        </w:rPr>
        <w:t xml:space="preserve"> </w:t>
      </w:r>
      <w:r w:rsidR="005409E2" w:rsidRPr="00F25F47">
        <w:rPr>
          <w:rFonts w:ascii="Garamond" w:hAnsi="Garamond"/>
          <w:sz w:val="18"/>
          <w:szCs w:val="18"/>
        </w:rPr>
        <w:tab/>
        <w:t>CJEU, C</w:t>
      </w:r>
      <w:r w:rsidR="005409E2" w:rsidRPr="00F25F47">
        <w:rPr>
          <w:rFonts w:ascii="Garamond" w:hAnsi="Garamond"/>
          <w:sz w:val="18"/>
          <w:szCs w:val="18"/>
        </w:rPr>
        <w:noBreakHyphen/>
        <w:t xml:space="preserve">370/12, 27 November  2012, </w:t>
      </w:r>
      <w:r w:rsidR="005409E2" w:rsidRPr="00F25F47">
        <w:rPr>
          <w:rFonts w:ascii="Garamond" w:hAnsi="Garamond"/>
          <w:i/>
          <w:iCs/>
          <w:sz w:val="18"/>
          <w:szCs w:val="18"/>
        </w:rPr>
        <w:t>Thomas Pringle v. Ireland</w:t>
      </w:r>
      <w:r w:rsidR="005409E2" w:rsidRPr="00F25F47">
        <w:rPr>
          <w:rStyle w:val="outputecli"/>
          <w:rFonts w:ascii="Garamond" w:hAnsi="Garamond"/>
          <w:sz w:val="18"/>
          <w:szCs w:val="18"/>
        </w:rPr>
        <w:t>, ECLI:EU:C:2012:756, [137]: ”</w:t>
      </w:r>
      <w:r w:rsidR="005409E2" w:rsidRPr="00F25F47">
        <w:rPr>
          <w:rFonts w:ascii="Garamond" w:hAnsi="Garamond"/>
          <w:i/>
          <w:iCs/>
          <w:sz w:val="18"/>
          <w:szCs w:val="18"/>
        </w:rPr>
        <w:t>Article 125 TFEU does not prohibit the granting of financial assistance by one or more Member States to a Member State which remains responsible for its commitments to its creditors provided that the conditions attached to such assistance are such as to prompt that Member State to implement a sound budgetary policy</w:t>
      </w:r>
      <w:r w:rsidR="005409E2" w:rsidRPr="00F25F47">
        <w:rPr>
          <w:rFonts w:ascii="Garamond" w:hAnsi="Garamond"/>
          <w:sz w:val="18"/>
          <w:szCs w:val="18"/>
        </w:rPr>
        <w:t>.”</w:t>
      </w:r>
    </w:p>
  </w:footnote>
  <w:footnote w:id="22">
    <w:p w14:paraId="6065D711" w14:textId="227EA76B" w:rsidR="00801319" w:rsidRPr="00F25F47" w:rsidRDefault="00801319" w:rsidP="00DC31BE">
      <w:pPr>
        <w:pStyle w:val="FootnoteText"/>
        <w:ind w:left="720" w:hanging="720"/>
        <w:jc w:val="both"/>
        <w:rPr>
          <w:rFonts w:ascii="Garamond" w:hAnsi="Garamond"/>
          <w:b/>
          <w:b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770CF8" w:rsidRPr="00F25F47">
        <w:rPr>
          <w:rFonts w:ascii="Garamond" w:hAnsi="Garamond"/>
          <w:sz w:val="18"/>
          <w:szCs w:val="18"/>
        </w:rPr>
        <w:tab/>
      </w:r>
      <w:r w:rsidR="00E15F22" w:rsidRPr="00F25F47">
        <w:rPr>
          <w:rFonts w:ascii="Garamond" w:hAnsi="Garamond"/>
          <w:sz w:val="18"/>
          <w:szCs w:val="18"/>
        </w:rPr>
        <w:t xml:space="preserve">P. </w:t>
      </w:r>
      <w:r w:rsidR="00770CF8" w:rsidRPr="00F25F47">
        <w:rPr>
          <w:rFonts w:ascii="Garamond" w:hAnsi="Garamond"/>
          <w:sz w:val="18"/>
          <w:szCs w:val="18"/>
        </w:rPr>
        <w:t xml:space="preserve">Craig, </w:t>
      </w:r>
      <w:r w:rsidR="00E15F22" w:rsidRPr="00F25F47">
        <w:rPr>
          <w:rFonts w:ascii="Garamond" w:hAnsi="Garamond"/>
          <w:sz w:val="18"/>
          <w:szCs w:val="18"/>
        </w:rPr>
        <w:t>‘</w:t>
      </w:r>
      <w:r w:rsidR="00770CF8" w:rsidRPr="00F25F47">
        <w:rPr>
          <w:rFonts w:ascii="Garamond" w:hAnsi="Garamond"/>
          <w:sz w:val="18"/>
          <w:szCs w:val="18"/>
        </w:rPr>
        <w:t>Pringle: Legal Reasoning, Text, Purpose and Teleology</w:t>
      </w:r>
      <w:r w:rsidR="00E15F22" w:rsidRPr="00F25F47">
        <w:rPr>
          <w:rFonts w:ascii="Garamond" w:hAnsi="Garamond"/>
          <w:sz w:val="18"/>
          <w:szCs w:val="18"/>
        </w:rPr>
        <w:t xml:space="preserve">’ (2013) (20:1) </w:t>
      </w:r>
      <w:r w:rsidR="00770CF8" w:rsidRPr="00F25F47">
        <w:rPr>
          <w:rFonts w:ascii="Garamond" w:hAnsi="Garamond"/>
          <w:i/>
          <w:iCs/>
          <w:sz w:val="18"/>
          <w:szCs w:val="18"/>
        </w:rPr>
        <w:t>Maastricht Journal of European and Comparative Law</w:t>
      </w:r>
      <w:r w:rsidR="00770CF8" w:rsidRPr="00F25F47">
        <w:rPr>
          <w:rFonts w:ascii="Garamond" w:hAnsi="Garamond"/>
          <w:sz w:val="18"/>
          <w:szCs w:val="18"/>
        </w:rPr>
        <w:t xml:space="preserve"> 3-11; H</w:t>
      </w:r>
      <w:r w:rsidR="00DC31BE" w:rsidRPr="00F25F47">
        <w:rPr>
          <w:rFonts w:ascii="Garamond" w:hAnsi="Garamond"/>
          <w:sz w:val="18"/>
          <w:szCs w:val="18"/>
        </w:rPr>
        <w:t>.</w:t>
      </w:r>
      <w:r w:rsidR="00770CF8" w:rsidRPr="00F25F47">
        <w:rPr>
          <w:rFonts w:ascii="Garamond" w:hAnsi="Garamond"/>
          <w:sz w:val="18"/>
          <w:szCs w:val="18"/>
        </w:rPr>
        <w:t xml:space="preserve"> Schepel, ‘</w:t>
      </w:r>
      <w:r w:rsidR="00DC31BE" w:rsidRPr="00F25F47">
        <w:rPr>
          <w:rFonts w:ascii="Garamond" w:hAnsi="Garamond"/>
          <w:sz w:val="18"/>
          <w:szCs w:val="18"/>
        </w:rPr>
        <w:t xml:space="preserve">The Bank, the Bond, and the Bail-out: On the Legal Construction of Market Discipline in the Eurozone’ </w:t>
      </w:r>
      <w:r w:rsidR="00E15F22" w:rsidRPr="00F25F47">
        <w:rPr>
          <w:rFonts w:ascii="Garamond" w:hAnsi="Garamond"/>
          <w:sz w:val="18"/>
          <w:szCs w:val="18"/>
        </w:rPr>
        <w:t>(</w:t>
      </w:r>
      <w:r w:rsidR="00DC31BE" w:rsidRPr="00F25F47">
        <w:rPr>
          <w:rFonts w:ascii="Garamond" w:hAnsi="Garamond"/>
          <w:sz w:val="18"/>
          <w:szCs w:val="18"/>
        </w:rPr>
        <w:t>2017</w:t>
      </w:r>
      <w:r w:rsidR="00E15F22" w:rsidRPr="00F25F47">
        <w:rPr>
          <w:rFonts w:ascii="Garamond" w:hAnsi="Garamond"/>
          <w:sz w:val="18"/>
          <w:szCs w:val="18"/>
        </w:rPr>
        <w:t>)</w:t>
      </w:r>
      <w:r w:rsidR="00DC31BE" w:rsidRPr="00F25F47">
        <w:rPr>
          <w:rFonts w:ascii="Garamond" w:hAnsi="Garamond"/>
          <w:sz w:val="18"/>
          <w:szCs w:val="18"/>
        </w:rPr>
        <w:t xml:space="preserve"> (44:1)</w:t>
      </w:r>
      <w:r w:rsidR="00DC31BE" w:rsidRPr="00F25F47">
        <w:rPr>
          <w:rFonts w:ascii="Garamond" w:hAnsi="Garamond"/>
          <w:b/>
          <w:bCs/>
          <w:sz w:val="18"/>
          <w:szCs w:val="18"/>
        </w:rPr>
        <w:t xml:space="preserve"> </w:t>
      </w:r>
      <w:r w:rsidR="00770CF8" w:rsidRPr="00F25F47">
        <w:rPr>
          <w:rFonts w:ascii="Garamond" w:hAnsi="Garamond"/>
          <w:i/>
          <w:iCs/>
          <w:sz w:val="18"/>
          <w:szCs w:val="18"/>
        </w:rPr>
        <w:t>Journal of Law and Society</w:t>
      </w:r>
      <w:r w:rsidR="00DC31BE" w:rsidRPr="00F25F47">
        <w:rPr>
          <w:rFonts w:ascii="Garamond" w:hAnsi="Garamond"/>
          <w:b/>
          <w:bCs/>
          <w:sz w:val="18"/>
          <w:szCs w:val="18"/>
        </w:rPr>
        <w:t xml:space="preserve"> </w:t>
      </w:r>
      <w:r w:rsidR="00770CF8" w:rsidRPr="00F25F47">
        <w:rPr>
          <w:rFonts w:ascii="Garamond" w:hAnsi="Garamond"/>
          <w:sz w:val="18"/>
          <w:szCs w:val="18"/>
        </w:rPr>
        <w:t>79</w:t>
      </w:r>
      <w:r w:rsidR="0064372B" w:rsidRPr="00F25F47">
        <w:rPr>
          <w:rFonts w:ascii="Garamond" w:hAnsi="Garamond"/>
          <w:sz w:val="18"/>
          <w:szCs w:val="18"/>
        </w:rPr>
        <w:t>–</w:t>
      </w:r>
      <w:r w:rsidR="00770CF8" w:rsidRPr="00F25F47">
        <w:rPr>
          <w:rFonts w:ascii="Garamond" w:hAnsi="Garamond"/>
          <w:sz w:val="18"/>
          <w:szCs w:val="18"/>
        </w:rPr>
        <w:t>98</w:t>
      </w:r>
      <w:r w:rsidR="00E15F22" w:rsidRPr="00F25F47">
        <w:rPr>
          <w:rFonts w:ascii="Garamond" w:hAnsi="Garamond"/>
          <w:sz w:val="18"/>
          <w:szCs w:val="18"/>
        </w:rPr>
        <w:t>.</w:t>
      </w:r>
    </w:p>
  </w:footnote>
  <w:footnote w:id="23">
    <w:p w14:paraId="7071F79A" w14:textId="19BEC2A4" w:rsidR="0050017E" w:rsidRPr="0079451A" w:rsidRDefault="0050017E" w:rsidP="0050017E">
      <w:pPr>
        <w:pStyle w:val="FootnoteText"/>
        <w:ind w:left="720" w:hanging="720"/>
        <w:jc w:val="both"/>
        <w:rPr>
          <w:b/>
          <w:bCs/>
        </w:rPr>
      </w:pPr>
      <w:r>
        <w:rPr>
          <w:rStyle w:val="FootnoteReference"/>
        </w:rPr>
        <w:footnoteRef/>
      </w:r>
      <w:r>
        <w:t xml:space="preserve"> </w:t>
      </w:r>
      <w:r>
        <w:tab/>
        <w:t xml:space="preserve">For a similar analysis of </w:t>
      </w:r>
      <w:r w:rsidRPr="0079451A">
        <w:rPr>
          <w:i/>
          <w:iCs/>
        </w:rPr>
        <w:t>Pringle</w:t>
      </w:r>
      <w:r>
        <w:t xml:space="preserve"> against the backdrop of the euro-crisis and its links to solidarity, see e.g. A </w:t>
      </w:r>
      <w:proofErr w:type="spellStart"/>
      <w:r>
        <w:t>Bobic</w:t>
      </w:r>
      <w:proofErr w:type="spellEnd"/>
      <w:r>
        <w:t xml:space="preserve">, ‘Transnational Solidarity in EU law’ and </w:t>
      </w:r>
      <w:r w:rsidRPr="00543000">
        <w:t>Carsten Gerner-</w:t>
      </w:r>
      <w:proofErr w:type="spellStart"/>
      <w:r w:rsidRPr="00543000">
        <w:t>Beuerle</w:t>
      </w:r>
      <w:proofErr w:type="spellEnd"/>
      <w:r>
        <w:t>, ‘</w:t>
      </w:r>
      <w:r w:rsidRPr="0079451A">
        <w:t xml:space="preserve">Competition and </w:t>
      </w:r>
      <w:r>
        <w:t>R</w:t>
      </w:r>
      <w:r w:rsidRPr="0079451A">
        <w:t>edistribution in Economic and Monetary Union’</w:t>
      </w:r>
      <w:r>
        <w:rPr>
          <w:b/>
          <w:bCs/>
        </w:rPr>
        <w:t xml:space="preserve"> </w:t>
      </w:r>
      <w:r>
        <w:t>in this special issue.</w:t>
      </w:r>
    </w:p>
  </w:footnote>
  <w:footnote w:id="24">
    <w:p w14:paraId="3849D578" w14:textId="77777777" w:rsidR="00770CF8" w:rsidRPr="00F25F47" w:rsidRDefault="00770CF8" w:rsidP="0084573E">
      <w:pPr>
        <w:pStyle w:val="FootnoteText"/>
        <w:ind w:left="720" w:hanging="720"/>
        <w:jc w:val="both"/>
        <w:rPr>
          <w:rFonts w:ascii="Garamond" w:hAnsi="Garamond"/>
          <w:sz w:val="18"/>
          <w:szCs w:val="18"/>
        </w:rPr>
      </w:pPr>
      <w:r w:rsidRPr="00F25F47">
        <w:rPr>
          <w:rStyle w:val="FootnoteReference"/>
          <w:rFonts w:ascii="Garamond" w:eastAsiaTheme="majorEastAsia"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hyperlink r:id="rId2" w:history="1">
        <w:r w:rsidRPr="00F25F47">
          <w:rPr>
            <w:rStyle w:val="Hyperlink"/>
            <w:rFonts w:ascii="Garamond" w:eastAsiaTheme="majorEastAsia" w:hAnsi="Garamond"/>
            <w:sz w:val="18"/>
            <w:szCs w:val="18"/>
          </w:rPr>
          <w:t>https://commission.europa.eu/strategy-and-policy/eu-budget/long-term-eu-budget/2021-2027/spending-and-revenue_en</w:t>
        </w:r>
      </w:hyperlink>
      <w:r w:rsidRPr="00F25F47">
        <w:rPr>
          <w:rFonts w:ascii="Garamond" w:hAnsi="Garamond"/>
          <w:sz w:val="18"/>
          <w:szCs w:val="18"/>
        </w:rPr>
        <w:t xml:space="preserve"> ; </w:t>
      </w:r>
      <w:hyperlink r:id="rId3" w:history="1">
        <w:r w:rsidRPr="00F25F47">
          <w:rPr>
            <w:rStyle w:val="Hyperlink"/>
            <w:rFonts w:ascii="Garamond" w:eastAsiaTheme="majorEastAsia" w:hAnsi="Garamond"/>
            <w:sz w:val="18"/>
            <w:szCs w:val="18"/>
          </w:rPr>
          <w:t>https://www.statista.com/chart/18794/net-contributors-to-eu-budget/</w:t>
        </w:r>
      </w:hyperlink>
      <w:r w:rsidRPr="00F25F47">
        <w:rPr>
          <w:rFonts w:ascii="Garamond" w:hAnsi="Garamond"/>
          <w:sz w:val="18"/>
          <w:szCs w:val="18"/>
        </w:rPr>
        <w:t xml:space="preserve"> (budget 2021).</w:t>
      </w:r>
    </w:p>
  </w:footnote>
  <w:footnote w:id="25">
    <w:p w14:paraId="4271F33B" w14:textId="2B3724B2" w:rsidR="003E0761" w:rsidRDefault="003E0761" w:rsidP="0054172A">
      <w:pPr>
        <w:pStyle w:val="FootnoteText"/>
        <w:ind w:left="720" w:hanging="720"/>
        <w:jc w:val="both"/>
      </w:pPr>
      <w:r>
        <w:rPr>
          <w:rStyle w:val="FootnoteReference"/>
        </w:rPr>
        <w:footnoteRef/>
      </w:r>
      <w:r>
        <w:t xml:space="preserve"> </w:t>
      </w:r>
      <w:r>
        <w:tab/>
        <w:t>L. Pech and K</w:t>
      </w:r>
      <w:r w:rsidR="008D20EA">
        <w:t>.</w:t>
      </w:r>
      <w:r>
        <w:t>L</w:t>
      </w:r>
      <w:r w:rsidR="008D20EA">
        <w:t>.</w:t>
      </w:r>
      <w:r>
        <w:t xml:space="preserve"> </w:t>
      </w:r>
      <w:proofErr w:type="spellStart"/>
      <w:r>
        <w:t>Scheppele</w:t>
      </w:r>
      <w:proofErr w:type="spellEnd"/>
      <w:r>
        <w:t xml:space="preserve">, ‘Illiberalism Within: Rule of Law Backsliding in the EU’ (2017) 19 </w:t>
      </w:r>
      <w:r>
        <w:rPr>
          <w:i/>
          <w:iCs/>
        </w:rPr>
        <w:t>Cambridge Yearbook of European Legal Studies</w:t>
      </w:r>
      <w:r>
        <w:t xml:space="preserve"> 3-47, 44.</w:t>
      </w:r>
    </w:p>
  </w:footnote>
  <w:footnote w:id="26">
    <w:p w14:paraId="0DAEE272" w14:textId="44EB97FE" w:rsidR="0062357E" w:rsidRPr="00F25F47" w:rsidRDefault="0062357E" w:rsidP="0062357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K.L. </w:t>
      </w:r>
      <w:proofErr w:type="spellStart"/>
      <w:r w:rsidRPr="00F25F47">
        <w:rPr>
          <w:rFonts w:ascii="Garamond" w:hAnsi="Garamond"/>
          <w:sz w:val="18"/>
          <w:szCs w:val="18"/>
        </w:rPr>
        <w:t>Scheppele</w:t>
      </w:r>
      <w:proofErr w:type="spellEnd"/>
      <w:r w:rsidRPr="00F25F47">
        <w:rPr>
          <w:rFonts w:ascii="Garamond" w:hAnsi="Garamond"/>
          <w:sz w:val="18"/>
          <w:szCs w:val="18"/>
        </w:rPr>
        <w:t xml:space="preserve">, D. Kochenov and B. Grabowska-Moroz, ‘EU Values Are Law, after All: Enforcing EU Values through Systemic Infringement Actions by the European Commission and the Member States of the European Union’ (2020) 39 </w:t>
      </w:r>
      <w:r w:rsidRPr="00F25F47">
        <w:rPr>
          <w:rFonts w:ascii="Garamond" w:hAnsi="Garamond"/>
          <w:i/>
          <w:iCs/>
          <w:sz w:val="18"/>
          <w:szCs w:val="18"/>
        </w:rPr>
        <w:t>Yearbook of European Law</w:t>
      </w:r>
      <w:r w:rsidRPr="00F25F47">
        <w:rPr>
          <w:rFonts w:ascii="Garamond" w:hAnsi="Garamond"/>
          <w:sz w:val="18"/>
          <w:szCs w:val="18"/>
        </w:rPr>
        <w:t xml:space="preserve"> 3–121.</w:t>
      </w:r>
    </w:p>
  </w:footnote>
  <w:footnote w:id="27">
    <w:p w14:paraId="599077C2" w14:textId="277F7D44" w:rsidR="0026746A" w:rsidRPr="00F25F47" w:rsidRDefault="0026746A" w:rsidP="008F5266">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8F5266" w:rsidRPr="00F25F47">
        <w:rPr>
          <w:rFonts w:ascii="Garamond" w:hAnsi="Garamond"/>
          <w:sz w:val="18"/>
          <w:szCs w:val="18"/>
        </w:rPr>
        <w:tab/>
        <w:t xml:space="preserve">A. Torres Pérez, ‘From Portugal to Poland: The Court of Justice of the European Union as </w:t>
      </w:r>
      <w:r w:rsidR="006B79BF" w:rsidRPr="00F25F47">
        <w:rPr>
          <w:rFonts w:ascii="Garamond" w:hAnsi="Garamond"/>
          <w:sz w:val="18"/>
          <w:szCs w:val="18"/>
        </w:rPr>
        <w:t>W</w:t>
      </w:r>
      <w:r w:rsidR="008F5266" w:rsidRPr="00F25F47">
        <w:rPr>
          <w:rFonts w:ascii="Garamond" w:hAnsi="Garamond"/>
          <w:sz w:val="18"/>
          <w:szCs w:val="18"/>
        </w:rPr>
        <w:t xml:space="preserve">atchdog of </w:t>
      </w:r>
      <w:r w:rsidR="006B79BF" w:rsidRPr="00F25F47">
        <w:rPr>
          <w:rFonts w:ascii="Garamond" w:hAnsi="Garamond"/>
          <w:sz w:val="18"/>
          <w:szCs w:val="18"/>
        </w:rPr>
        <w:t>J</w:t>
      </w:r>
      <w:r w:rsidR="008F5266" w:rsidRPr="00F25F47">
        <w:rPr>
          <w:rFonts w:ascii="Garamond" w:hAnsi="Garamond"/>
          <w:sz w:val="18"/>
          <w:szCs w:val="18"/>
        </w:rPr>
        <w:t xml:space="preserve">udicial </w:t>
      </w:r>
      <w:r w:rsidR="006B79BF" w:rsidRPr="00F25F47">
        <w:rPr>
          <w:rFonts w:ascii="Garamond" w:hAnsi="Garamond"/>
          <w:sz w:val="18"/>
          <w:szCs w:val="18"/>
        </w:rPr>
        <w:t>I</w:t>
      </w:r>
      <w:r w:rsidR="008F5266" w:rsidRPr="00F25F47">
        <w:rPr>
          <w:rFonts w:ascii="Garamond" w:hAnsi="Garamond"/>
          <w:sz w:val="18"/>
          <w:szCs w:val="18"/>
        </w:rPr>
        <w:t xml:space="preserve">ndependence’ (2020) (27:1) </w:t>
      </w:r>
      <w:r w:rsidR="008F5266" w:rsidRPr="00F25F47">
        <w:rPr>
          <w:rFonts w:ascii="Garamond" w:hAnsi="Garamond"/>
          <w:i/>
          <w:iCs/>
          <w:sz w:val="18"/>
          <w:szCs w:val="18"/>
        </w:rPr>
        <w:t>Maastricht Journal of European and Comparative Law</w:t>
      </w:r>
      <w:r w:rsidR="008F5266" w:rsidRPr="00F25F47">
        <w:rPr>
          <w:rFonts w:ascii="Garamond" w:hAnsi="Garamond"/>
          <w:sz w:val="18"/>
          <w:szCs w:val="18"/>
        </w:rPr>
        <w:t xml:space="preserve"> 105–19. </w:t>
      </w:r>
    </w:p>
  </w:footnote>
  <w:footnote w:id="28">
    <w:p w14:paraId="7690129E" w14:textId="17B9465F" w:rsidR="008D20EA" w:rsidRDefault="008D20EA" w:rsidP="0054172A">
      <w:pPr>
        <w:pStyle w:val="FootnoteText"/>
        <w:ind w:left="720" w:hanging="720"/>
        <w:jc w:val="both"/>
      </w:pPr>
      <w:r>
        <w:rPr>
          <w:rStyle w:val="FootnoteReference"/>
        </w:rPr>
        <w:footnoteRef/>
      </w:r>
      <w:r>
        <w:t xml:space="preserve"> </w:t>
      </w:r>
      <w:r>
        <w:tab/>
        <w:t>European Parliament resolution of 1 March 2018 on the Commission’s decision to activate Article 7(1) TEU as regards the situation in Poland (</w:t>
      </w:r>
      <w:hyperlink r:id="rId4" w:history="1">
        <w:r>
          <w:rPr>
            <w:rStyle w:val="Hyperlink"/>
            <w:rFonts w:eastAsiaTheme="majorEastAsia"/>
          </w:rPr>
          <w:t>2018/2541(RSP)</w:t>
        </w:r>
      </w:hyperlink>
      <w:r>
        <w:t>).</w:t>
      </w:r>
    </w:p>
  </w:footnote>
  <w:footnote w:id="29">
    <w:p w14:paraId="224547D3" w14:textId="55496F0A" w:rsidR="0062357E" w:rsidRPr="00F25F47" w:rsidRDefault="0062357E" w:rsidP="008F5266">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European Parliament resolution of 12 September 2018 on a proposal calling on the Council to determine, pursuant to Article 7(1) of the Treaty on European Union, the existence of a clear risk of a serious breach by Hungary of the values on which the Union is founded (</w:t>
      </w:r>
      <w:hyperlink r:id="rId5" w:history="1">
        <w:r w:rsidRPr="00F25F47">
          <w:rPr>
            <w:rStyle w:val="Hyperlink"/>
            <w:rFonts w:ascii="Garamond" w:hAnsi="Garamond"/>
            <w:sz w:val="18"/>
            <w:szCs w:val="18"/>
          </w:rPr>
          <w:t>2017/2131(INL)</w:t>
        </w:r>
      </w:hyperlink>
      <w:r w:rsidRPr="00F25F47">
        <w:rPr>
          <w:rFonts w:ascii="Garamond" w:hAnsi="Garamond"/>
          <w:sz w:val="18"/>
          <w:szCs w:val="18"/>
        </w:rPr>
        <w:t>)</w:t>
      </w:r>
      <w:r w:rsidR="0079559C" w:rsidRPr="00F25F47">
        <w:rPr>
          <w:rFonts w:ascii="Garamond" w:hAnsi="Garamond"/>
          <w:sz w:val="18"/>
          <w:szCs w:val="18"/>
        </w:rPr>
        <w:t>.</w:t>
      </w:r>
    </w:p>
  </w:footnote>
  <w:footnote w:id="30">
    <w:p w14:paraId="3920F774" w14:textId="3714B422" w:rsidR="008F5266" w:rsidRPr="00F25F47" w:rsidRDefault="008F5266" w:rsidP="008F5266">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European Parliament resolution of 25 March 2021 on the application of Regulation (EU, Euratom) 2020/2092, the rule-of-law conditionality mechanism (2021/2582(RSP)).</w:t>
      </w:r>
    </w:p>
  </w:footnote>
  <w:footnote w:id="31">
    <w:p w14:paraId="2377080D" w14:textId="1A02E48A" w:rsidR="0026746A" w:rsidRPr="00F25F47" w:rsidRDefault="0026746A" w:rsidP="006D317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6D3174" w:rsidRPr="00F25F47">
        <w:rPr>
          <w:rFonts w:ascii="Garamond" w:hAnsi="Garamond"/>
          <w:sz w:val="18"/>
          <w:szCs w:val="18"/>
        </w:rPr>
        <w:tab/>
        <w:t xml:space="preserve">L. Pech, </w:t>
      </w:r>
      <w:r w:rsidR="0097278A" w:rsidRPr="00F25F47">
        <w:rPr>
          <w:rFonts w:ascii="Garamond" w:hAnsi="Garamond"/>
          <w:sz w:val="18"/>
          <w:szCs w:val="18"/>
        </w:rPr>
        <w:t>‘</w:t>
      </w:r>
      <w:r w:rsidR="006D3174" w:rsidRPr="00F25F47">
        <w:rPr>
          <w:rFonts w:ascii="Garamond" w:hAnsi="Garamond"/>
          <w:sz w:val="18"/>
          <w:szCs w:val="18"/>
        </w:rPr>
        <w:t>Article 7 TEU: From ‘Nuclear Option’ to ‘Sisyphean Procedure’?</w:t>
      </w:r>
      <w:r w:rsidR="0097278A" w:rsidRPr="00F25F47">
        <w:rPr>
          <w:rFonts w:ascii="Garamond" w:hAnsi="Garamond"/>
          <w:sz w:val="18"/>
          <w:szCs w:val="18"/>
        </w:rPr>
        <w:t>’</w:t>
      </w:r>
      <w:r w:rsidR="006D3174" w:rsidRPr="00F25F47">
        <w:rPr>
          <w:rFonts w:ascii="Garamond" w:hAnsi="Garamond"/>
          <w:sz w:val="18"/>
          <w:szCs w:val="18"/>
        </w:rPr>
        <w:t xml:space="preserve"> in U. Belavusau, and A. Gliszczynska-Grabias (eds), </w:t>
      </w:r>
      <w:r w:rsidR="006D3174" w:rsidRPr="00F25F47">
        <w:rPr>
          <w:rFonts w:ascii="Garamond" w:hAnsi="Garamond"/>
          <w:i/>
          <w:iCs/>
          <w:sz w:val="18"/>
          <w:szCs w:val="18"/>
        </w:rPr>
        <w:t>Constitutionalism under Stress</w:t>
      </w:r>
      <w:r w:rsidR="006D3174" w:rsidRPr="00F25F47">
        <w:rPr>
          <w:rFonts w:ascii="Garamond" w:hAnsi="Garamond"/>
          <w:sz w:val="18"/>
          <w:szCs w:val="18"/>
        </w:rPr>
        <w:t xml:space="preserve"> (OUP 2020)</w:t>
      </w:r>
      <w:r w:rsidR="00BF6B77" w:rsidRPr="00F25F47">
        <w:rPr>
          <w:rFonts w:ascii="Garamond" w:hAnsi="Garamond"/>
          <w:sz w:val="18"/>
          <w:szCs w:val="18"/>
        </w:rPr>
        <w:t xml:space="preserve"> 157–74.</w:t>
      </w:r>
    </w:p>
  </w:footnote>
  <w:footnote w:id="32">
    <w:p w14:paraId="389ECE81" w14:textId="5BF8FEFD" w:rsidR="00770CF8" w:rsidRPr="00F25F47" w:rsidRDefault="00770CF8" w:rsidP="008F5266">
      <w:pPr>
        <w:pStyle w:val="FootnoteText"/>
        <w:ind w:left="720" w:hanging="720"/>
        <w:jc w:val="both"/>
        <w:rPr>
          <w:rFonts w:ascii="Garamond" w:hAnsi="Garamond"/>
          <w:sz w:val="18"/>
          <w:szCs w:val="18"/>
        </w:rPr>
      </w:pPr>
      <w:r w:rsidRPr="00F25F47">
        <w:rPr>
          <w:rStyle w:val="FootnoteReference"/>
          <w:rFonts w:ascii="Garamond" w:eastAsiaTheme="majorEastAsia" w:hAnsi="Garamond"/>
          <w:sz w:val="18"/>
          <w:szCs w:val="18"/>
        </w:rPr>
        <w:footnoteRef/>
      </w:r>
      <w:r w:rsidRPr="00F25F47">
        <w:rPr>
          <w:rFonts w:ascii="Garamond" w:hAnsi="Garamond"/>
          <w:sz w:val="18"/>
          <w:szCs w:val="18"/>
        </w:rPr>
        <w:t xml:space="preserve"> </w:t>
      </w:r>
      <w:r w:rsidRPr="00F25F47">
        <w:rPr>
          <w:rFonts w:ascii="Garamond" w:hAnsi="Garamond"/>
          <w:sz w:val="18"/>
          <w:szCs w:val="18"/>
        </w:rPr>
        <w:tab/>
        <w:t>“</w:t>
      </w:r>
      <w:r w:rsidRPr="00F25F47">
        <w:rPr>
          <w:rFonts w:ascii="Garamond" w:hAnsi="Garamond"/>
          <w:i/>
          <w:iCs/>
          <w:sz w:val="18"/>
          <w:szCs w:val="18"/>
        </w:rPr>
        <w:t>The challenge our economies are facing today is in no way similar to the previous crisis. This is a symmetric external shock. Moral hazard considerations are not warranted here. We must bear this in mind when we consider coronavirus dedicated instruments</w:t>
      </w:r>
      <w:r w:rsidRPr="00F25F47">
        <w:rPr>
          <w:rFonts w:ascii="Garamond" w:hAnsi="Garamond"/>
          <w:sz w:val="18"/>
          <w:szCs w:val="18"/>
          <w:lang w:val="en-US"/>
        </w:rPr>
        <w:t xml:space="preserve">” (Eurogroup, </w:t>
      </w:r>
      <w:r w:rsidRPr="00F25F47">
        <w:rPr>
          <w:rFonts w:ascii="Garamond" w:hAnsi="Garamond"/>
          <w:i/>
          <w:iCs/>
          <w:sz w:val="18"/>
          <w:szCs w:val="18"/>
          <w:lang w:val="en-US"/>
        </w:rPr>
        <w:t>Press statement</w:t>
      </w:r>
      <w:r w:rsidRPr="00F25F47">
        <w:rPr>
          <w:rFonts w:ascii="Garamond" w:hAnsi="Garamond"/>
          <w:sz w:val="18"/>
          <w:szCs w:val="18"/>
          <w:lang w:val="en-US"/>
        </w:rPr>
        <w:t xml:space="preserve"> 24.03.2020 available at </w:t>
      </w:r>
      <w:hyperlink r:id="rId6" w:history="1">
        <w:r w:rsidR="0079559C" w:rsidRPr="00F25F47">
          <w:rPr>
            <w:rStyle w:val="Hyperlink"/>
            <w:rFonts w:ascii="Garamond" w:hAnsi="Garamond"/>
            <w:sz w:val="18"/>
            <w:szCs w:val="18"/>
            <w:lang w:val="en-US"/>
          </w:rPr>
          <w:t>https://www.consilium.europa.eu/en/press/press-releases/2020/03/24/remarks-by-mario-centeno-following-the-eurogroup-meeting-of-24-march-2020/</w:t>
        </w:r>
      </w:hyperlink>
      <w:r w:rsidRPr="00F25F47">
        <w:rPr>
          <w:rFonts w:ascii="Garamond" w:hAnsi="Garamond"/>
          <w:sz w:val="18"/>
          <w:szCs w:val="18"/>
          <w:lang w:val="en-US"/>
        </w:rPr>
        <w:t>)</w:t>
      </w:r>
      <w:r w:rsidR="0079559C" w:rsidRPr="00F25F47">
        <w:rPr>
          <w:rFonts w:ascii="Garamond" w:hAnsi="Garamond"/>
          <w:sz w:val="18"/>
          <w:szCs w:val="18"/>
          <w:lang w:val="en-US"/>
        </w:rPr>
        <w:t>.</w:t>
      </w:r>
    </w:p>
  </w:footnote>
  <w:footnote w:id="33">
    <w:p w14:paraId="1EC437D1" w14:textId="7C06469D" w:rsidR="00AA2E42" w:rsidRPr="00F25F47" w:rsidRDefault="00AA2E42" w:rsidP="00AA2E42">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A. Crespy and L. Schramm, ‘Breaking the Budgetary Taboo: German Preference Formation in the EU's Response to the Covid-19 Crisis’ (2024) (33:1)</w:t>
      </w:r>
      <w:r w:rsidRPr="00F25F47">
        <w:rPr>
          <w:rFonts w:ascii="Garamond" w:hAnsi="Garamond"/>
          <w:i/>
          <w:iCs/>
          <w:sz w:val="18"/>
          <w:szCs w:val="18"/>
        </w:rPr>
        <w:t xml:space="preserve"> German Politics </w:t>
      </w:r>
      <w:r w:rsidRPr="00F25F47">
        <w:rPr>
          <w:rFonts w:ascii="Garamond" w:hAnsi="Garamond"/>
          <w:sz w:val="18"/>
          <w:szCs w:val="18"/>
        </w:rPr>
        <w:t>46–67, 58–9.</w:t>
      </w:r>
    </w:p>
  </w:footnote>
  <w:footnote w:id="34">
    <w:p w14:paraId="3F828FF1" w14:textId="3DB06C75" w:rsidR="00AA2E42" w:rsidRPr="00F25F47" w:rsidRDefault="00AA2E42">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S. Grund and A. Ste</w:t>
      </w:r>
      <w:r w:rsidR="001C4C15" w:rsidRPr="00F25F47">
        <w:rPr>
          <w:rFonts w:ascii="Garamond" w:hAnsi="Garamond"/>
          <w:sz w:val="18"/>
          <w:szCs w:val="18"/>
        </w:rPr>
        <w:t>i</w:t>
      </w:r>
      <w:r w:rsidRPr="00F25F47">
        <w:rPr>
          <w:rFonts w:ascii="Garamond" w:hAnsi="Garamond"/>
          <w:sz w:val="18"/>
          <w:szCs w:val="18"/>
        </w:rPr>
        <w:t xml:space="preserve">nbach, ‘Debt-financing the EU’ (2024) 61 </w:t>
      </w:r>
      <w:r w:rsidRPr="00F25F47">
        <w:rPr>
          <w:rFonts w:ascii="Garamond" w:hAnsi="Garamond"/>
          <w:i/>
          <w:iCs/>
          <w:sz w:val="18"/>
          <w:szCs w:val="18"/>
        </w:rPr>
        <w:t>Common Market Law Review</w:t>
      </w:r>
      <w:r w:rsidRPr="00F25F47">
        <w:rPr>
          <w:rFonts w:ascii="Garamond" w:hAnsi="Garamond"/>
          <w:sz w:val="18"/>
          <w:szCs w:val="18"/>
        </w:rPr>
        <w:t xml:space="preserve"> 993–1018, footnote 25.</w:t>
      </w:r>
    </w:p>
  </w:footnote>
  <w:footnote w:id="35">
    <w:p w14:paraId="7F74F29B" w14:textId="7BCB3BC8" w:rsidR="009F1AB2" w:rsidRPr="00F25F47" w:rsidRDefault="009F1AB2" w:rsidP="00770CF8">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770CF8" w:rsidRPr="00F25F47">
        <w:rPr>
          <w:rFonts w:ascii="Garamond" w:hAnsi="Garamond"/>
          <w:sz w:val="18"/>
          <w:szCs w:val="18"/>
        </w:rPr>
        <w:tab/>
      </w:r>
      <w:r w:rsidR="00E15F22" w:rsidRPr="00F25F47">
        <w:rPr>
          <w:rFonts w:ascii="Garamond" w:hAnsi="Garamond"/>
          <w:sz w:val="18"/>
          <w:szCs w:val="18"/>
        </w:rPr>
        <w:t xml:space="preserve">J. </w:t>
      </w:r>
      <w:r w:rsidR="00770CF8" w:rsidRPr="00F25F47">
        <w:rPr>
          <w:rFonts w:ascii="Garamond" w:hAnsi="Garamond"/>
          <w:sz w:val="18"/>
          <w:szCs w:val="18"/>
        </w:rPr>
        <w:t xml:space="preserve">Krommendijk, </w:t>
      </w:r>
      <w:r w:rsidR="00E15F22" w:rsidRPr="00F25F47">
        <w:rPr>
          <w:rFonts w:ascii="Garamond" w:hAnsi="Garamond"/>
          <w:sz w:val="18"/>
          <w:szCs w:val="18"/>
        </w:rPr>
        <w:t>‘</w:t>
      </w:r>
      <w:r w:rsidR="00770CF8" w:rsidRPr="00F25F47">
        <w:rPr>
          <w:rFonts w:ascii="Garamond" w:hAnsi="Garamond"/>
          <w:sz w:val="18"/>
          <w:szCs w:val="18"/>
        </w:rPr>
        <w:t xml:space="preserve">Small </w:t>
      </w:r>
      <w:r w:rsidR="006B79BF" w:rsidRPr="00F25F47">
        <w:rPr>
          <w:rFonts w:ascii="Garamond" w:hAnsi="Garamond"/>
          <w:sz w:val="18"/>
          <w:szCs w:val="18"/>
        </w:rPr>
        <w:t>S</w:t>
      </w:r>
      <w:r w:rsidR="00770CF8" w:rsidRPr="00F25F47">
        <w:rPr>
          <w:rFonts w:ascii="Garamond" w:hAnsi="Garamond"/>
          <w:sz w:val="18"/>
          <w:szCs w:val="18"/>
        </w:rPr>
        <w:t xml:space="preserve">tates and </w:t>
      </w:r>
      <w:r w:rsidR="006B79BF" w:rsidRPr="00F25F47">
        <w:rPr>
          <w:rFonts w:ascii="Garamond" w:hAnsi="Garamond"/>
          <w:sz w:val="18"/>
          <w:szCs w:val="18"/>
        </w:rPr>
        <w:t>C</w:t>
      </w:r>
      <w:r w:rsidR="00770CF8" w:rsidRPr="00F25F47">
        <w:rPr>
          <w:rFonts w:ascii="Garamond" w:hAnsi="Garamond"/>
          <w:sz w:val="18"/>
          <w:szCs w:val="18"/>
        </w:rPr>
        <w:t xml:space="preserve">oalition </w:t>
      </w:r>
      <w:r w:rsidR="006B79BF" w:rsidRPr="00F25F47">
        <w:rPr>
          <w:rFonts w:ascii="Garamond" w:hAnsi="Garamond"/>
          <w:sz w:val="18"/>
          <w:szCs w:val="18"/>
        </w:rPr>
        <w:t>B</w:t>
      </w:r>
      <w:r w:rsidR="00770CF8" w:rsidRPr="00F25F47">
        <w:rPr>
          <w:rFonts w:ascii="Garamond" w:hAnsi="Garamond"/>
          <w:sz w:val="18"/>
          <w:szCs w:val="18"/>
        </w:rPr>
        <w:t xml:space="preserve">uilding </w:t>
      </w:r>
      <w:r w:rsidR="00770CF8" w:rsidRPr="00F25F47">
        <w:rPr>
          <w:rFonts w:ascii="Garamond" w:hAnsi="Garamond"/>
          <w:i/>
          <w:iCs/>
          <w:sz w:val="18"/>
          <w:szCs w:val="18"/>
        </w:rPr>
        <w:t>in extremis</w:t>
      </w:r>
      <w:r w:rsidR="00770CF8" w:rsidRPr="00F25F47">
        <w:rPr>
          <w:rFonts w:ascii="Garamond" w:hAnsi="Garamond"/>
          <w:sz w:val="18"/>
          <w:szCs w:val="18"/>
        </w:rPr>
        <w:t xml:space="preserve">: </w:t>
      </w:r>
      <w:r w:rsidR="006B79BF" w:rsidRPr="00F25F47">
        <w:rPr>
          <w:rFonts w:ascii="Garamond" w:hAnsi="Garamond"/>
          <w:sz w:val="18"/>
          <w:szCs w:val="18"/>
        </w:rPr>
        <w:t>T</w:t>
      </w:r>
      <w:r w:rsidR="00770CF8" w:rsidRPr="00F25F47">
        <w:rPr>
          <w:rFonts w:ascii="Garamond" w:hAnsi="Garamond"/>
          <w:sz w:val="18"/>
          <w:szCs w:val="18"/>
        </w:rPr>
        <w:t xml:space="preserve">he Netherlands and the </w:t>
      </w:r>
      <w:r w:rsidR="006B79BF" w:rsidRPr="00F25F47">
        <w:rPr>
          <w:rFonts w:ascii="Garamond" w:hAnsi="Garamond"/>
          <w:sz w:val="18"/>
          <w:szCs w:val="18"/>
        </w:rPr>
        <w:t>A</w:t>
      </w:r>
      <w:r w:rsidR="00770CF8" w:rsidRPr="00F25F47">
        <w:rPr>
          <w:rFonts w:ascii="Garamond" w:hAnsi="Garamond"/>
          <w:sz w:val="18"/>
          <w:szCs w:val="18"/>
        </w:rPr>
        <w:t xml:space="preserve">doption of the Conditionality Regulation </w:t>
      </w:r>
      <w:r w:rsidR="006B79BF" w:rsidRPr="00F25F47">
        <w:rPr>
          <w:rFonts w:ascii="Garamond" w:hAnsi="Garamond"/>
          <w:sz w:val="18"/>
          <w:szCs w:val="18"/>
        </w:rPr>
        <w:t>L</w:t>
      </w:r>
      <w:r w:rsidR="00770CF8" w:rsidRPr="00F25F47">
        <w:rPr>
          <w:rFonts w:ascii="Garamond" w:hAnsi="Garamond"/>
          <w:sz w:val="18"/>
          <w:szCs w:val="18"/>
        </w:rPr>
        <w:t xml:space="preserve">inking </w:t>
      </w:r>
      <w:r w:rsidR="006B79BF" w:rsidRPr="00F25F47">
        <w:rPr>
          <w:rFonts w:ascii="Garamond" w:hAnsi="Garamond"/>
          <w:sz w:val="18"/>
          <w:szCs w:val="18"/>
        </w:rPr>
        <w:t>R</w:t>
      </w:r>
      <w:r w:rsidR="00770CF8" w:rsidRPr="00F25F47">
        <w:rPr>
          <w:rFonts w:ascii="Garamond" w:hAnsi="Garamond"/>
          <w:sz w:val="18"/>
          <w:szCs w:val="18"/>
        </w:rPr>
        <w:t xml:space="preserve">ule of </w:t>
      </w:r>
      <w:r w:rsidR="006B79BF" w:rsidRPr="00F25F47">
        <w:rPr>
          <w:rFonts w:ascii="Garamond" w:hAnsi="Garamond"/>
          <w:sz w:val="18"/>
          <w:szCs w:val="18"/>
        </w:rPr>
        <w:t>L</w:t>
      </w:r>
      <w:r w:rsidR="00770CF8" w:rsidRPr="00F25F47">
        <w:rPr>
          <w:rFonts w:ascii="Garamond" w:hAnsi="Garamond"/>
          <w:sz w:val="18"/>
          <w:szCs w:val="18"/>
        </w:rPr>
        <w:t xml:space="preserve">aw and the EU </w:t>
      </w:r>
      <w:r w:rsidR="006B79BF" w:rsidRPr="00F25F47">
        <w:rPr>
          <w:rFonts w:ascii="Garamond" w:hAnsi="Garamond"/>
          <w:sz w:val="18"/>
          <w:szCs w:val="18"/>
        </w:rPr>
        <w:t>B</w:t>
      </w:r>
      <w:r w:rsidR="00770CF8" w:rsidRPr="00F25F47">
        <w:rPr>
          <w:rFonts w:ascii="Garamond" w:hAnsi="Garamond"/>
          <w:sz w:val="18"/>
          <w:szCs w:val="18"/>
        </w:rPr>
        <w:t>udget</w:t>
      </w:r>
      <w:r w:rsidR="00E15F22" w:rsidRPr="00F25F47">
        <w:rPr>
          <w:rFonts w:ascii="Garamond" w:hAnsi="Garamond"/>
          <w:sz w:val="18"/>
          <w:szCs w:val="18"/>
        </w:rPr>
        <w:t>’ (2024)</w:t>
      </w:r>
      <w:r w:rsidR="00770CF8" w:rsidRPr="00F25F47">
        <w:rPr>
          <w:rFonts w:ascii="Garamond" w:hAnsi="Garamond"/>
          <w:sz w:val="18"/>
          <w:szCs w:val="18"/>
        </w:rPr>
        <w:t xml:space="preserve"> </w:t>
      </w:r>
      <w:r w:rsidR="00770CF8" w:rsidRPr="00F25F47">
        <w:rPr>
          <w:rFonts w:ascii="Garamond" w:hAnsi="Garamond"/>
          <w:i/>
          <w:iCs/>
          <w:sz w:val="18"/>
          <w:szCs w:val="18"/>
        </w:rPr>
        <w:t>Journal of European Public Policy</w:t>
      </w:r>
      <w:r w:rsidR="00770CF8" w:rsidRPr="00F25F47">
        <w:rPr>
          <w:rFonts w:ascii="Garamond" w:hAnsi="Garamond"/>
          <w:sz w:val="18"/>
          <w:szCs w:val="18"/>
        </w:rPr>
        <w:t xml:space="preserve"> 1–27. </w:t>
      </w:r>
    </w:p>
  </w:footnote>
  <w:footnote w:id="36">
    <w:p w14:paraId="35291A42" w14:textId="6397BD7E" w:rsidR="00D344D8" w:rsidRPr="00F25F47" w:rsidRDefault="00D344D8" w:rsidP="00D344D8">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hyperlink r:id="rId7" w:history="1">
        <w:r w:rsidRPr="00F25F47">
          <w:rPr>
            <w:rStyle w:val="Hyperlink"/>
            <w:rFonts w:ascii="Garamond" w:hAnsi="Garamond"/>
            <w:sz w:val="18"/>
            <w:szCs w:val="18"/>
          </w:rPr>
          <w:t>https://commission.europa.eu/strategy-and-policy/eu-budget/eu-borrower-investor-relations/eu-debt-securities-data_en</w:t>
        </w:r>
      </w:hyperlink>
      <w:r w:rsidRPr="00F25F47">
        <w:rPr>
          <w:rFonts w:ascii="Garamond" w:hAnsi="Garamond"/>
          <w:sz w:val="18"/>
          <w:szCs w:val="18"/>
        </w:rPr>
        <w:t xml:space="preserve">. </w:t>
      </w:r>
    </w:p>
  </w:footnote>
  <w:footnote w:id="37">
    <w:p w14:paraId="55271EA7" w14:textId="0B93A43B" w:rsidR="009F1AB2" w:rsidRPr="00F25F47" w:rsidRDefault="009F1AB2">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64065C" w:rsidRPr="00F25F47">
        <w:rPr>
          <w:rFonts w:ascii="Garamond" w:hAnsi="Garamond"/>
          <w:sz w:val="18"/>
          <w:szCs w:val="18"/>
        </w:rPr>
        <w:tab/>
      </w:r>
      <w:hyperlink r:id="rId8" w:history="1">
        <w:r w:rsidR="0064065C" w:rsidRPr="00F25F47">
          <w:rPr>
            <w:rStyle w:val="Hyperlink"/>
            <w:rFonts w:ascii="Garamond" w:hAnsi="Garamond"/>
            <w:sz w:val="18"/>
            <w:szCs w:val="18"/>
          </w:rPr>
          <w:t>https://commission.europa.eu/strategy-and-policy/eu-budget/eu-borrower-investor-relations/nextgenerationeu_en</w:t>
        </w:r>
      </w:hyperlink>
      <w:r w:rsidR="0064065C" w:rsidRPr="00F25F47">
        <w:rPr>
          <w:rFonts w:ascii="Garamond" w:hAnsi="Garamond"/>
          <w:sz w:val="18"/>
          <w:szCs w:val="18"/>
        </w:rPr>
        <w:t xml:space="preserve"> .</w:t>
      </w:r>
    </w:p>
  </w:footnote>
  <w:footnote w:id="38">
    <w:p w14:paraId="5A33128F" w14:textId="41540130" w:rsidR="00940AB2" w:rsidRPr="00F25F47" w:rsidRDefault="00940AB2" w:rsidP="00C9563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0921B1" w:rsidRPr="00F25F47">
        <w:rPr>
          <w:rFonts w:ascii="Garamond" w:hAnsi="Garamond"/>
          <w:sz w:val="18"/>
          <w:szCs w:val="18"/>
        </w:rPr>
        <w:t xml:space="preserve"> </w:t>
      </w:r>
      <w:r w:rsidR="000921B1" w:rsidRPr="00F25F47">
        <w:rPr>
          <w:rFonts w:ascii="Garamond" w:hAnsi="Garamond"/>
          <w:sz w:val="18"/>
          <w:szCs w:val="18"/>
        </w:rPr>
        <w:tab/>
        <w:t xml:space="preserve">Council Decision </w:t>
      </w:r>
      <w:hyperlink r:id="rId9" w:history="1">
        <w:r w:rsidR="000921B1" w:rsidRPr="00F25F47">
          <w:rPr>
            <w:rStyle w:val="Hyperlink"/>
            <w:rFonts w:ascii="Garamond" w:hAnsi="Garamond"/>
            <w:sz w:val="18"/>
            <w:szCs w:val="18"/>
          </w:rPr>
          <w:t>2020/2053</w:t>
        </w:r>
      </w:hyperlink>
      <w:r w:rsidR="000921B1" w:rsidRPr="00F25F47">
        <w:rPr>
          <w:rFonts w:ascii="Garamond" w:hAnsi="Garamond"/>
          <w:sz w:val="18"/>
          <w:szCs w:val="18"/>
        </w:rPr>
        <w:t xml:space="preserve"> of 14 December 2020 on the system of own resources of the EU, </w:t>
      </w:r>
      <w:r w:rsidR="000921B1" w:rsidRPr="00F25F47">
        <w:rPr>
          <w:rFonts w:ascii="Garamond" w:hAnsi="Garamond"/>
          <w:i/>
          <w:iCs/>
          <w:sz w:val="18"/>
          <w:szCs w:val="18"/>
        </w:rPr>
        <w:t>OJ L</w:t>
      </w:r>
      <w:r w:rsidR="000921B1" w:rsidRPr="00F25F47">
        <w:rPr>
          <w:rFonts w:ascii="Garamond" w:hAnsi="Garamond"/>
          <w:sz w:val="18"/>
          <w:szCs w:val="18"/>
        </w:rPr>
        <w:t xml:space="preserve"> 2020, 424/1, Articles 2 and 3.</w:t>
      </w:r>
      <w:r w:rsidRPr="00F25F47">
        <w:rPr>
          <w:rFonts w:ascii="Garamond" w:hAnsi="Garamond"/>
          <w:sz w:val="18"/>
          <w:szCs w:val="18"/>
        </w:rPr>
        <w:t xml:space="preserve"> </w:t>
      </w:r>
    </w:p>
  </w:footnote>
  <w:footnote w:id="39">
    <w:p w14:paraId="4A68E601" w14:textId="5F387E7E" w:rsidR="00940AB2" w:rsidRPr="00F25F47" w:rsidRDefault="00940AB2" w:rsidP="00B207E6">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B207E6" w:rsidRPr="00F25F47">
        <w:rPr>
          <w:rFonts w:ascii="Garamond" w:hAnsi="Garamond"/>
          <w:sz w:val="18"/>
          <w:szCs w:val="18"/>
        </w:rPr>
        <w:t xml:space="preserve"> </w:t>
      </w:r>
      <w:r w:rsidR="00C95634" w:rsidRPr="00F25F47">
        <w:rPr>
          <w:rFonts w:ascii="Garamond" w:hAnsi="Garamond"/>
          <w:sz w:val="18"/>
          <w:szCs w:val="18"/>
        </w:rPr>
        <w:tab/>
      </w:r>
      <w:r w:rsidR="00B207E6" w:rsidRPr="00F25F47">
        <w:rPr>
          <w:rFonts w:ascii="Garamond" w:hAnsi="Garamond"/>
          <w:sz w:val="18"/>
          <w:szCs w:val="18"/>
        </w:rPr>
        <w:t xml:space="preserve">See </w:t>
      </w:r>
      <w:r w:rsidR="00D6225E" w:rsidRPr="00F25F47">
        <w:rPr>
          <w:rFonts w:ascii="Garamond" w:hAnsi="Garamond"/>
          <w:sz w:val="18"/>
          <w:szCs w:val="18"/>
        </w:rPr>
        <w:t>e.g.</w:t>
      </w:r>
      <w:r w:rsidR="00B207E6" w:rsidRPr="00F25F47">
        <w:rPr>
          <w:rFonts w:ascii="Garamond" w:hAnsi="Garamond"/>
          <w:sz w:val="18"/>
          <w:szCs w:val="18"/>
        </w:rPr>
        <w:t xml:space="preserve"> The Own Resources Decision (article 9 (5)) </w:t>
      </w:r>
      <w:r w:rsidR="00D6225E" w:rsidRPr="00F25F47">
        <w:rPr>
          <w:rFonts w:ascii="Garamond" w:hAnsi="Garamond"/>
          <w:sz w:val="18"/>
          <w:szCs w:val="18"/>
        </w:rPr>
        <w:t xml:space="preserve">which </w:t>
      </w:r>
      <w:r w:rsidR="00B207E6" w:rsidRPr="00F25F47">
        <w:rPr>
          <w:rFonts w:ascii="Garamond" w:hAnsi="Garamond"/>
          <w:sz w:val="18"/>
          <w:szCs w:val="18"/>
        </w:rPr>
        <w:t>details how this should happen and what happens if one Member State is not in a position to pay its contribution, allowing the Commission to call upon the other Member States to pay even if the said Member State remains bound to honour it.</w:t>
      </w:r>
      <w:r w:rsidRPr="00F25F47">
        <w:rPr>
          <w:rFonts w:ascii="Garamond" w:hAnsi="Garamond"/>
          <w:sz w:val="18"/>
          <w:szCs w:val="18"/>
        </w:rPr>
        <w:t xml:space="preserve"> </w:t>
      </w:r>
      <w:r w:rsidR="00237CBB" w:rsidRPr="00F25F47">
        <w:rPr>
          <w:rFonts w:ascii="Garamond" w:hAnsi="Garamond"/>
          <w:sz w:val="18"/>
          <w:szCs w:val="18"/>
        </w:rPr>
        <w:t xml:space="preserve"> For the details between a </w:t>
      </w:r>
      <w:r w:rsidR="00237CBB" w:rsidRPr="00F25F47">
        <w:rPr>
          <w:rFonts w:ascii="Garamond" w:hAnsi="Garamond"/>
          <w:i/>
          <w:iCs/>
          <w:sz w:val="18"/>
          <w:szCs w:val="18"/>
        </w:rPr>
        <w:t>pro rata</w:t>
      </w:r>
      <w:r w:rsidR="00237CBB" w:rsidRPr="00F25F47">
        <w:rPr>
          <w:rFonts w:ascii="Garamond" w:hAnsi="Garamond"/>
          <w:sz w:val="18"/>
          <w:szCs w:val="18"/>
        </w:rPr>
        <w:t xml:space="preserve"> commitment and joint and several liability</w:t>
      </w:r>
      <w:r w:rsidR="00487848" w:rsidRPr="00F25F47">
        <w:rPr>
          <w:rFonts w:ascii="Garamond" w:hAnsi="Garamond"/>
          <w:sz w:val="18"/>
          <w:szCs w:val="18"/>
        </w:rPr>
        <w:t>, see</w:t>
      </w:r>
      <w:r w:rsidR="00237CBB" w:rsidRPr="00F25F47">
        <w:rPr>
          <w:rFonts w:ascii="Garamond" w:hAnsi="Garamond"/>
          <w:sz w:val="18"/>
          <w:szCs w:val="18"/>
        </w:rPr>
        <w:t xml:space="preserve"> S. Grund and A. Steinbach, ‘Debt-financing the EU’ (2024) 61 </w:t>
      </w:r>
      <w:r w:rsidR="00237CBB" w:rsidRPr="00F25F47">
        <w:rPr>
          <w:rFonts w:ascii="Garamond" w:hAnsi="Garamond"/>
          <w:i/>
          <w:iCs/>
          <w:sz w:val="18"/>
          <w:szCs w:val="18"/>
        </w:rPr>
        <w:t>Common Market Law Review</w:t>
      </w:r>
      <w:r w:rsidR="00237CBB" w:rsidRPr="00F25F47">
        <w:rPr>
          <w:rFonts w:ascii="Garamond" w:hAnsi="Garamond"/>
          <w:sz w:val="18"/>
          <w:szCs w:val="18"/>
        </w:rPr>
        <w:t xml:space="preserve"> 993–1018, 1016.</w:t>
      </w:r>
    </w:p>
  </w:footnote>
  <w:footnote w:id="40">
    <w:p w14:paraId="3D40BC5B" w14:textId="4D4D9C89" w:rsidR="0079559C" w:rsidRPr="00F25F47" w:rsidRDefault="0079559C" w:rsidP="0079559C">
      <w:pPr>
        <w:pStyle w:val="FootnoteText"/>
        <w:ind w:left="720" w:hanging="720"/>
        <w:jc w:val="both"/>
        <w:rPr>
          <w:rFonts w:ascii="Garamond" w:hAnsi="Garamond"/>
          <w:b/>
          <w:b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Regulation (EU) 2021/241 of the European Parliament and of the Council of 12 February 2021 establishing the Recovery and Resilience Facility, OJ 18.2.2021, L 57/17.</w:t>
      </w:r>
    </w:p>
  </w:footnote>
  <w:footnote w:id="41">
    <w:p w14:paraId="1BB0D276" w14:textId="2E26DAB3" w:rsidR="00940AB2" w:rsidRPr="00F25F47" w:rsidRDefault="00940AB2" w:rsidP="00C9563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0921B1" w:rsidRPr="00F25F47">
        <w:rPr>
          <w:rFonts w:ascii="Garamond" w:hAnsi="Garamond"/>
          <w:sz w:val="18"/>
          <w:szCs w:val="18"/>
        </w:rPr>
        <w:tab/>
      </w:r>
      <w:r w:rsidRPr="00F25F47">
        <w:rPr>
          <w:rFonts w:ascii="Garamond" w:hAnsi="Garamond"/>
          <w:sz w:val="18"/>
          <w:szCs w:val="18"/>
        </w:rPr>
        <w:t xml:space="preserve">Approving it, </w:t>
      </w:r>
      <w:r w:rsidR="003513C0" w:rsidRPr="00F25F47">
        <w:rPr>
          <w:rFonts w:ascii="Garamond" w:hAnsi="Garamond"/>
          <w:sz w:val="18"/>
          <w:szCs w:val="18"/>
        </w:rPr>
        <w:t>e.g.</w:t>
      </w:r>
      <w:r w:rsidRPr="00F25F47">
        <w:rPr>
          <w:rFonts w:ascii="Garamond" w:hAnsi="Garamond"/>
          <w:sz w:val="18"/>
          <w:szCs w:val="18"/>
        </w:rPr>
        <w:t xml:space="preserve"> </w:t>
      </w:r>
      <w:r w:rsidR="000921B1" w:rsidRPr="00F25F47">
        <w:rPr>
          <w:rFonts w:ascii="Garamond" w:hAnsi="Garamond"/>
          <w:sz w:val="18"/>
          <w:szCs w:val="18"/>
        </w:rPr>
        <w:t xml:space="preserve">P. Dermine, </w:t>
      </w:r>
      <w:r w:rsidR="000921B1" w:rsidRPr="00F25F47">
        <w:rPr>
          <w:rFonts w:ascii="Garamond" w:hAnsi="Garamond"/>
          <w:i/>
          <w:iCs/>
          <w:sz w:val="18"/>
          <w:szCs w:val="18"/>
        </w:rPr>
        <w:t>Le plan de relance “Next Generation EU” de l’Union européenne – Analyse constitutionnelle d’une intiative historique</w:t>
      </w:r>
      <w:r w:rsidR="000921B1" w:rsidRPr="00F25F47">
        <w:rPr>
          <w:rFonts w:ascii="Garamond" w:hAnsi="Garamond"/>
          <w:sz w:val="18"/>
          <w:szCs w:val="18"/>
        </w:rPr>
        <w:t xml:space="preserve"> (Bruylant 2023) </w:t>
      </w:r>
      <w:r w:rsidR="003513C0" w:rsidRPr="00F25F47">
        <w:rPr>
          <w:rFonts w:ascii="Garamond" w:hAnsi="Garamond"/>
          <w:sz w:val="18"/>
          <w:szCs w:val="18"/>
        </w:rPr>
        <w:t>67</w:t>
      </w:r>
      <w:r w:rsidR="003513C0" w:rsidRPr="00F25F47">
        <w:rPr>
          <w:rFonts w:ascii="Garamond" w:hAnsi="Garamond"/>
          <w:color w:val="000000" w:themeColor="text1"/>
          <w:sz w:val="18"/>
          <w:szCs w:val="18"/>
        </w:rPr>
        <w:t>–</w:t>
      </w:r>
      <w:r w:rsidR="003513C0" w:rsidRPr="00F25F47">
        <w:rPr>
          <w:rFonts w:ascii="Garamond" w:hAnsi="Garamond"/>
          <w:sz w:val="18"/>
          <w:szCs w:val="18"/>
        </w:rPr>
        <w:t>70</w:t>
      </w:r>
      <w:r w:rsidRPr="00F25F47">
        <w:rPr>
          <w:rFonts w:ascii="Garamond" w:hAnsi="Garamond"/>
          <w:sz w:val="18"/>
          <w:szCs w:val="18"/>
        </w:rPr>
        <w:t xml:space="preserve">; contesting it, </w:t>
      </w:r>
      <w:r w:rsidR="00AA2E42" w:rsidRPr="00F25F47">
        <w:rPr>
          <w:rFonts w:ascii="Garamond" w:hAnsi="Garamond"/>
          <w:sz w:val="18"/>
          <w:szCs w:val="18"/>
        </w:rPr>
        <w:t>e.g.</w:t>
      </w:r>
      <w:r w:rsidRPr="00F25F47">
        <w:rPr>
          <w:rFonts w:ascii="Garamond" w:hAnsi="Garamond"/>
          <w:sz w:val="18"/>
          <w:szCs w:val="18"/>
        </w:rPr>
        <w:t xml:space="preserve"> </w:t>
      </w:r>
      <w:r w:rsidR="00B207E6" w:rsidRPr="00F25F47">
        <w:rPr>
          <w:rFonts w:ascii="Garamond" w:hAnsi="Garamond"/>
          <w:sz w:val="18"/>
          <w:szCs w:val="18"/>
        </w:rPr>
        <w:t xml:space="preserve">P. </w:t>
      </w:r>
      <w:r w:rsidR="00B207E6" w:rsidRPr="00F25F47">
        <w:rPr>
          <w:rFonts w:ascii="Garamond" w:hAnsi="Garamond"/>
          <w:color w:val="222222"/>
          <w:sz w:val="18"/>
          <w:szCs w:val="18"/>
          <w:shd w:val="clear" w:color="auto" w:fill="FFFFFF"/>
        </w:rPr>
        <w:t xml:space="preserve">Lindseth and P. Leino-Sandberg, ‘Crisis, Reinterpretation, and the Rule of Law: Repurposing ‘Cohesion’ as a General EU Spending Power’ (2024) </w:t>
      </w:r>
      <w:r w:rsidR="00B207E6" w:rsidRPr="00F25F47">
        <w:rPr>
          <w:rFonts w:ascii="Garamond" w:hAnsi="Garamond"/>
          <w:i/>
          <w:iCs/>
          <w:color w:val="222222"/>
          <w:sz w:val="18"/>
          <w:szCs w:val="18"/>
          <w:shd w:val="clear" w:color="auto" w:fill="FFFFFF"/>
        </w:rPr>
        <w:t xml:space="preserve">Hague J Rule </w:t>
      </w:r>
      <w:r w:rsidR="00B207E6" w:rsidRPr="00F25F47">
        <w:rPr>
          <w:rFonts w:ascii="Garamond" w:hAnsi="Garamond"/>
          <w:i/>
          <w:iCs/>
          <w:sz w:val="18"/>
          <w:szCs w:val="18"/>
        </w:rPr>
        <w:t>Law</w:t>
      </w:r>
      <w:r w:rsidRPr="00F25F47">
        <w:rPr>
          <w:rFonts w:ascii="Garamond" w:hAnsi="Garamond"/>
          <w:sz w:val="18"/>
          <w:szCs w:val="18"/>
        </w:rPr>
        <w:t xml:space="preserve">, </w:t>
      </w:r>
      <w:r w:rsidR="00C95634" w:rsidRPr="00F25F47">
        <w:rPr>
          <w:rFonts w:ascii="Garamond" w:hAnsi="Garamond"/>
          <w:sz w:val="18"/>
          <w:szCs w:val="18"/>
        </w:rPr>
        <w:t>see also C. Gerner-Beuerle, “Competition and redistribution in Economic and Monetary Union” in this special issue.</w:t>
      </w:r>
    </w:p>
  </w:footnote>
  <w:footnote w:id="42">
    <w:p w14:paraId="7BE6876D" w14:textId="019B6CBB" w:rsidR="00780D58" w:rsidRPr="00F25F47" w:rsidRDefault="00780D58" w:rsidP="008A70A7">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A. Novakov, ‘Cohesion &amp; NextGenerationEU: Europe’s double</w:t>
      </w:r>
      <w:r w:rsidRPr="00F25F47">
        <w:rPr>
          <w:rFonts w:ascii="Garamond" w:hAnsi="Garamond"/>
          <w:sz w:val="18"/>
          <w:szCs w:val="18"/>
        </w:rPr>
        <w:noBreakHyphen/>
        <w:t xml:space="preserve">act for recovery?’ </w:t>
      </w:r>
      <w:r w:rsidR="008A70A7" w:rsidRPr="00F25F47">
        <w:rPr>
          <w:rFonts w:ascii="Garamond" w:hAnsi="Garamond"/>
          <w:sz w:val="18"/>
          <w:szCs w:val="18"/>
        </w:rPr>
        <w:t>(</w:t>
      </w:r>
      <w:r w:rsidRPr="00F25F47">
        <w:rPr>
          <w:rFonts w:ascii="Garamond" w:hAnsi="Garamond"/>
          <w:sz w:val="18"/>
          <w:szCs w:val="18"/>
        </w:rPr>
        <w:t>2022</w:t>
      </w:r>
      <w:r w:rsidR="008A70A7" w:rsidRPr="00F25F47">
        <w:rPr>
          <w:rFonts w:ascii="Garamond" w:hAnsi="Garamond"/>
          <w:sz w:val="18"/>
          <w:szCs w:val="18"/>
        </w:rPr>
        <w:t>) 1</w:t>
      </w:r>
      <w:r w:rsidRPr="00F25F47">
        <w:rPr>
          <w:rFonts w:ascii="Garamond" w:hAnsi="Garamond"/>
          <w:sz w:val="18"/>
          <w:szCs w:val="18"/>
        </w:rPr>
        <w:t xml:space="preserve"> </w:t>
      </w:r>
      <w:r w:rsidRPr="00F25F47">
        <w:rPr>
          <w:rFonts w:ascii="Garamond" w:hAnsi="Garamond"/>
          <w:i/>
          <w:iCs/>
          <w:sz w:val="18"/>
          <w:szCs w:val="18"/>
        </w:rPr>
        <w:t>ECA Journal</w:t>
      </w:r>
      <w:r w:rsidRPr="00F25F47">
        <w:rPr>
          <w:rFonts w:ascii="Garamond" w:hAnsi="Garamond"/>
          <w:b/>
          <w:bCs/>
          <w:i/>
          <w:iCs/>
          <w:sz w:val="18"/>
          <w:szCs w:val="18"/>
        </w:rPr>
        <w:t xml:space="preserve"> </w:t>
      </w:r>
      <w:r w:rsidR="008A70A7" w:rsidRPr="00F25F47">
        <w:rPr>
          <w:rFonts w:ascii="Garamond" w:hAnsi="Garamond"/>
          <w:sz w:val="18"/>
          <w:szCs w:val="18"/>
        </w:rPr>
        <w:t>116–119,</w:t>
      </w:r>
      <w:r w:rsidRPr="00F25F47">
        <w:rPr>
          <w:rFonts w:ascii="Garamond" w:hAnsi="Garamond"/>
          <w:sz w:val="18"/>
          <w:szCs w:val="18"/>
        </w:rPr>
        <w:t xml:space="preserve"> 117</w:t>
      </w:r>
      <w:r w:rsidR="008A70A7" w:rsidRPr="00F25F47">
        <w:rPr>
          <w:rFonts w:ascii="Garamond" w:hAnsi="Garamond"/>
          <w:sz w:val="18"/>
          <w:szCs w:val="18"/>
        </w:rPr>
        <w:t>.</w:t>
      </w:r>
    </w:p>
  </w:footnote>
  <w:footnote w:id="43">
    <w:p w14:paraId="5C96D1B7" w14:textId="58D6C77B" w:rsidR="00120717" w:rsidRPr="00F25F47" w:rsidRDefault="00120717" w:rsidP="00D6225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DC31BE" w:rsidRPr="00F25F47">
        <w:rPr>
          <w:rFonts w:ascii="Garamond" w:hAnsi="Garamond"/>
          <w:sz w:val="18"/>
          <w:szCs w:val="18"/>
        </w:rPr>
        <w:tab/>
        <w:t xml:space="preserve">Council Regulation </w:t>
      </w:r>
      <w:hyperlink r:id="rId10" w:history="1">
        <w:r w:rsidR="00DC31BE" w:rsidRPr="00F25F47">
          <w:rPr>
            <w:rStyle w:val="Hyperlink"/>
            <w:rFonts w:ascii="Garamond" w:eastAsiaTheme="majorEastAsia" w:hAnsi="Garamond"/>
            <w:sz w:val="18"/>
            <w:szCs w:val="18"/>
          </w:rPr>
          <w:t>2020/2094</w:t>
        </w:r>
      </w:hyperlink>
      <w:r w:rsidR="00DC31BE" w:rsidRPr="00F25F47">
        <w:rPr>
          <w:rFonts w:ascii="Garamond" w:hAnsi="Garamond"/>
          <w:sz w:val="18"/>
          <w:szCs w:val="18"/>
        </w:rPr>
        <w:t xml:space="preserve"> of 14 December 2020 establishing a European Union Recovery Instrument to support the recovery in the aftermath of the COVID-19 crisis, </w:t>
      </w:r>
      <w:r w:rsidR="00DC31BE" w:rsidRPr="00F25F47">
        <w:rPr>
          <w:rFonts w:ascii="Garamond" w:hAnsi="Garamond"/>
          <w:i/>
          <w:iCs/>
          <w:sz w:val="18"/>
          <w:szCs w:val="18"/>
        </w:rPr>
        <w:t>OJ LI</w:t>
      </w:r>
      <w:r w:rsidR="00DC31BE" w:rsidRPr="00F25F47">
        <w:rPr>
          <w:rFonts w:ascii="Garamond" w:hAnsi="Garamond"/>
          <w:sz w:val="18"/>
          <w:szCs w:val="18"/>
        </w:rPr>
        <w:t xml:space="preserve"> 2020, 433/23</w:t>
      </w:r>
      <w:r w:rsidR="00D6225E" w:rsidRPr="00F25F47">
        <w:rPr>
          <w:rFonts w:ascii="Garamond" w:hAnsi="Garamond"/>
          <w:sz w:val="18"/>
          <w:szCs w:val="18"/>
        </w:rPr>
        <w:t>, Article 1 (2).</w:t>
      </w:r>
    </w:p>
  </w:footnote>
  <w:footnote w:id="44">
    <w:p w14:paraId="4D8B390F" w14:textId="738837B2" w:rsidR="00120717" w:rsidRPr="00F25F47" w:rsidRDefault="00120717" w:rsidP="00D6225E">
      <w:pPr>
        <w:pStyle w:val="FootnoteText"/>
        <w:ind w:left="720" w:hanging="720"/>
        <w:jc w:val="both"/>
        <w:rPr>
          <w:rFonts w:ascii="Garamond" w:hAnsi="Garamond"/>
          <w:color w:val="000000" w:themeColor="text1"/>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D6225E" w:rsidRPr="00F25F47">
        <w:rPr>
          <w:rFonts w:ascii="Garamond" w:hAnsi="Garamond"/>
          <w:sz w:val="18"/>
          <w:szCs w:val="18"/>
        </w:rPr>
        <w:tab/>
      </w:r>
      <w:r w:rsidR="00D6225E" w:rsidRPr="00F25F47">
        <w:rPr>
          <w:rFonts w:ascii="Garamond" w:hAnsi="Garamond"/>
          <w:color w:val="000000" w:themeColor="text1"/>
          <w:sz w:val="18"/>
          <w:szCs w:val="18"/>
        </w:rPr>
        <w:t xml:space="preserve">Regulation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w:t>
      </w:r>
      <w:r w:rsidR="00D6225E" w:rsidRPr="00F25F47">
        <w:rPr>
          <w:rFonts w:ascii="Garamond" w:hAnsi="Garamond"/>
          <w:i/>
          <w:iCs/>
          <w:color w:val="000000" w:themeColor="text1"/>
          <w:sz w:val="18"/>
          <w:szCs w:val="18"/>
        </w:rPr>
        <w:t xml:space="preserve">OJ L 231, </w:t>
      </w:r>
      <w:r w:rsidR="00D6225E" w:rsidRPr="00F25F47">
        <w:rPr>
          <w:rFonts w:ascii="Garamond" w:hAnsi="Garamond"/>
          <w:color w:val="000000" w:themeColor="text1"/>
          <w:sz w:val="18"/>
          <w:szCs w:val="18"/>
        </w:rPr>
        <w:t>30.6.2021, 159–706, Article 15(1) and Annex 3.</w:t>
      </w:r>
    </w:p>
  </w:footnote>
  <w:footnote w:id="45">
    <w:p w14:paraId="4F9C78A6" w14:textId="2FDF0CBC" w:rsidR="00E446D8" w:rsidRPr="00F25F47" w:rsidRDefault="00E446D8">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Regulation 2020/2092</w:t>
      </w:r>
      <w:r w:rsidR="007C0D25" w:rsidRPr="00F25F47">
        <w:rPr>
          <w:rFonts w:ascii="Garamond" w:hAnsi="Garamond"/>
          <w:sz w:val="18"/>
          <w:szCs w:val="18"/>
        </w:rPr>
        <w:t>,</w:t>
      </w:r>
      <w:r w:rsidRPr="00F25F47">
        <w:rPr>
          <w:rFonts w:ascii="Garamond" w:hAnsi="Garamond"/>
          <w:sz w:val="18"/>
          <w:szCs w:val="18"/>
        </w:rPr>
        <w:t xml:space="preserve"> </w:t>
      </w:r>
      <w:r w:rsidR="007C0D25" w:rsidRPr="00F25F47">
        <w:rPr>
          <w:rFonts w:ascii="Garamond" w:hAnsi="Garamond"/>
          <w:sz w:val="18"/>
          <w:szCs w:val="18"/>
        </w:rPr>
        <w:t>A</w:t>
      </w:r>
      <w:r w:rsidRPr="00F25F47">
        <w:rPr>
          <w:rFonts w:ascii="Garamond" w:hAnsi="Garamond"/>
          <w:sz w:val="18"/>
          <w:szCs w:val="18"/>
        </w:rPr>
        <w:t>rticle 3.</w:t>
      </w:r>
    </w:p>
  </w:footnote>
  <w:footnote w:id="46">
    <w:p w14:paraId="10B19A24" w14:textId="0B8B5B95" w:rsidR="00284073" w:rsidRPr="00F25F47" w:rsidRDefault="00284073">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B207E6" w:rsidRPr="00F25F47">
        <w:rPr>
          <w:rFonts w:ascii="Garamond" w:hAnsi="Garamond"/>
          <w:sz w:val="18"/>
          <w:szCs w:val="18"/>
        </w:rPr>
        <w:tab/>
      </w:r>
      <w:r w:rsidR="007C0D25" w:rsidRPr="00F25F47">
        <w:rPr>
          <w:rFonts w:ascii="Garamond" w:hAnsi="Garamond"/>
          <w:sz w:val="18"/>
          <w:szCs w:val="18"/>
        </w:rPr>
        <w:t>Regulation 2020/2092, Article 6.</w:t>
      </w:r>
    </w:p>
  </w:footnote>
  <w:footnote w:id="47">
    <w:p w14:paraId="37841D7F" w14:textId="304E159E" w:rsidR="00B72E96" w:rsidRPr="00F25F47" w:rsidRDefault="00B72E96" w:rsidP="00B72E96">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Opinion of AG Campos Sanchez-Bordona, C</w:t>
      </w:r>
      <w:r w:rsidRPr="00F25F47">
        <w:rPr>
          <w:rFonts w:ascii="Garamond" w:hAnsi="Garamond"/>
          <w:sz w:val="18"/>
          <w:szCs w:val="18"/>
        </w:rPr>
        <w:noBreakHyphen/>
        <w:t xml:space="preserve">156/21, 2 December 2021, </w:t>
      </w:r>
      <w:r w:rsidRPr="00F25F47">
        <w:rPr>
          <w:rFonts w:ascii="Garamond" w:hAnsi="Garamond"/>
          <w:i/>
          <w:iCs/>
          <w:sz w:val="18"/>
          <w:szCs w:val="18"/>
        </w:rPr>
        <w:t>Hungary v European Parliament and Council of the European Union</w:t>
      </w:r>
      <w:r w:rsidRPr="00F25F47">
        <w:rPr>
          <w:rFonts w:ascii="Garamond" w:hAnsi="Garamond"/>
          <w:sz w:val="18"/>
          <w:szCs w:val="18"/>
        </w:rPr>
        <w:t>,</w:t>
      </w:r>
      <w:r w:rsidRPr="00F25F47">
        <w:rPr>
          <w:rFonts w:ascii="Garamond" w:hAnsi="Garamond"/>
          <w:b/>
          <w:bCs/>
          <w:sz w:val="18"/>
          <w:szCs w:val="18"/>
        </w:rPr>
        <w:t xml:space="preserve"> </w:t>
      </w:r>
      <w:r w:rsidRPr="00F25F47">
        <w:rPr>
          <w:rFonts w:ascii="Garamond" w:hAnsi="Garamond"/>
          <w:sz w:val="18"/>
          <w:szCs w:val="18"/>
        </w:rPr>
        <w:t>ECLI:EU:C:2021:974 [143].</w:t>
      </w:r>
    </w:p>
  </w:footnote>
  <w:footnote w:id="48">
    <w:p w14:paraId="1E0B4B1E" w14:textId="2BA1EFF0" w:rsidR="00B72E96" w:rsidRPr="00F25F47" w:rsidRDefault="00B72E96">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[182].</w:t>
      </w:r>
    </w:p>
  </w:footnote>
  <w:footnote w:id="49">
    <w:p w14:paraId="3DCD1FCC" w14:textId="7E7EA6A5" w:rsidR="00B72E96" w:rsidRPr="00F25F47" w:rsidRDefault="00B72E96">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[186].</w:t>
      </w:r>
    </w:p>
  </w:footnote>
  <w:footnote w:id="50">
    <w:p w14:paraId="4C0BDE04" w14:textId="641C7B38" w:rsidR="00A46BBE" w:rsidRPr="00F25F47" w:rsidRDefault="00A46BBE">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[236].</w:t>
      </w:r>
    </w:p>
  </w:footnote>
  <w:footnote w:id="51">
    <w:p w14:paraId="49A2D512" w14:textId="4266E7E0" w:rsidR="00CA401C" w:rsidRPr="00F25F47" w:rsidRDefault="00CA401C">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CJEU, C</w:t>
      </w:r>
      <w:r w:rsidRPr="00F25F47">
        <w:rPr>
          <w:rFonts w:ascii="Garamond" w:hAnsi="Garamond"/>
          <w:sz w:val="18"/>
          <w:szCs w:val="18"/>
        </w:rPr>
        <w:noBreakHyphen/>
        <w:t xml:space="preserve">157/21, 16 February 2022, </w:t>
      </w:r>
      <w:r w:rsidRPr="00F25F47">
        <w:rPr>
          <w:rFonts w:ascii="Garamond" w:hAnsi="Garamond"/>
          <w:i/>
          <w:iCs/>
          <w:sz w:val="18"/>
          <w:szCs w:val="18"/>
        </w:rPr>
        <w:t>Poland v European Parliament,</w:t>
      </w:r>
      <w:r w:rsidRPr="00F25F47">
        <w:rPr>
          <w:rFonts w:ascii="Garamond" w:hAnsi="Garamond"/>
          <w:sz w:val="18"/>
          <w:szCs w:val="18"/>
        </w:rPr>
        <w:t xml:space="preserve"> </w:t>
      </w:r>
      <w:r w:rsidRPr="00F25F47">
        <w:rPr>
          <w:rStyle w:val="outputecli"/>
          <w:rFonts w:ascii="Garamond" w:hAnsi="Garamond"/>
          <w:sz w:val="18"/>
          <w:szCs w:val="18"/>
        </w:rPr>
        <w:t>ECLI:EU:C:2022:98</w:t>
      </w:r>
      <w:r w:rsidRPr="00F25F47">
        <w:rPr>
          <w:rFonts w:ascii="Garamond" w:hAnsi="Garamond"/>
          <w:sz w:val="18"/>
          <w:szCs w:val="18"/>
        </w:rPr>
        <w:t>, [147]-[149].</w:t>
      </w:r>
    </w:p>
  </w:footnote>
  <w:footnote w:id="52">
    <w:p w14:paraId="208AD099" w14:textId="767B79B7" w:rsidR="00CA401C" w:rsidRPr="00F25F47" w:rsidRDefault="00CA401C">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CJEU, C</w:t>
      </w:r>
      <w:r w:rsidRPr="00F25F47">
        <w:rPr>
          <w:rFonts w:ascii="Garamond" w:hAnsi="Garamond"/>
          <w:sz w:val="18"/>
          <w:szCs w:val="18"/>
        </w:rPr>
        <w:noBreakHyphen/>
        <w:t xml:space="preserve">156/21, 16 February 2022, </w:t>
      </w:r>
      <w:r w:rsidRPr="00F25F47">
        <w:rPr>
          <w:rFonts w:ascii="Garamond" w:hAnsi="Garamond"/>
          <w:i/>
          <w:iCs/>
          <w:sz w:val="18"/>
          <w:szCs w:val="18"/>
        </w:rPr>
        <w:t xml:space="preserve">Hungary v European Parliament, </w:t>
      </w:r>
      <w:r w:rsidR="00487848" w:rsidRPr="00F25F47">
        <w:rPr>
          <w:rFonts w:ascii="Garamond" w:hAnsi="Garamond"/>
          <w:sz w:val="18"/>
          <w:szCs w:val="18"/>
        </w:rPr>
        <w:t>E</w:t>
      </w:r>
      <w:r w:rsidRPr="00F25F47">
        <w:rPr>
          <w:rStyle w:val="outputecliaff"/>
          <w:rFonts w:ascii="Garamond" w:hAnsi="Garamond"/>
          <w:sz w:val="18"/>
          <w:szCs w:val="18"/>
        </w:rPr>
        <w:t>CLI:EU:C:2022:97 [129]-[132].</w:t>
      </w:r>
    </w:p>
  </w:footnote>
  <w:footnote w:id="53">
    <w:p w14:paraId="533EB167" w14:textId="79F9564A" w:rsidR="00471075" w:rsidRPr="00F25F47" w:rsidRDefault="00471075" w:rsidP="00CA401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CJEU, C</w:t>
      </w:r>
      <w:r w:rsidRPr="00F25F47">
        <w:rPr>
          <w:rFonts w:ascii="Garamond" w:hAnsi="Garamond"/>
          <w:sz w:val="18"/>
          <w:szCs w:val="18"/>
        </w:rPr>
        <w:noBreakHyphen/>
        <w:t xml:space="preserve">157/21, 16 February 2022, </w:t>
      </w:r>
      <w:r w:rsidRPr="00F25F47">
        <w:rPr>
          <w:rFonts w:ascii="Garamond" w:hAnsi="Garamond"/>
          <w:i/>
          <w:iCs/>
          <w:sz w:val="18"/>
          <w:szCs w:val="18"/>
        </w:rPr>
        <w:t>Poland v European Parliament,</w:t>
      </w:r>
      <w:r w:rsidRPr="00F25F47">
        <w:rPr>
          <w:rFonts w:ascii="Garamond" w:hAnsi="Garamond"/>
          <w:sz w:val="18"/>
          <w:szCs w:val="18"/>
        </w:rPr>
        <w:t xml:space="preserve"> </w:t>
      </w:r>
      <w:r w:rsidRPr="00F25F47">
        <w:rPr>
          <w:rStyle w:val="outputecli"/>
          <w:rFonts w:ascii="Garamond" w:hAnsi="Garamond"/>
          <w:sz w:val="18"/>
          <w:szCs w:val="18"/>
        </w:rPr>
        <w:t>ECLI:EU:C:2022:98</w:t>
      </w:r>
      <w:r w:rsidRPr="00F25F47">
        <w:rPr>
          <w:rFonts w:ascii="Garamond" w:hAnsi="Garamond"/>
          <w:sz w:val="18"/>
          <w:szCs w:val="18"/>
        </w:rPr>
        <w:t xml:space="preserve"> [150]-[190]</w:t>
      </w:r>
      <w:r w:rsidR="00CA401C" w:rsidRPr="00F25F47">
        <w:rPr>
          <w:rFonts w:ascii="Garamond" w:hAnsi="Garamond"/>
          <w:sz w:val="18"/>
          <w:szCs w:val="18"/>
        </w:rPr>
        <w:t>; CJEU, C</w:t>
      </w:r>
      <w:r w:rsidR="00CA401C" w:rsidRPr="00F25F47">
        <w:rPr>
          <w:rFonts w:ascii="Garamond" w:hAnsi="Garamond"/>
          <w:sz w:val="18"/>
          <w:szCs w:val="18"/>
        </w:rPr>
        <w:noBreakHyphen/>
        <w:t xml:space="preserve">156/21, 16 February 2022, </w:t>
      </w:r>
      <w:r w:rsidR="00CA401C" w:rsidRPr="00F25F47">
        <w:rPr>
          <w:rFonts w:ascii="Garamond" w:hAnsi="Garamond"/>
          <w:i/>
          <w:iCs/>
          <w:sz w:val="18"/>
          <w:szCs w:val="18"/>
        </w:rPr>
        <w:t xml:space="preserve">Hungary v European Parliament, </w:t>
      </w:r>
      <w:r w:rsidR="00487848" w:rsidRPr="00F25F47">
        <w:rPr>
          <w:rFonts w:ascii="Garamond" w:hAnsi="Garamond"/>
          <w:sz w:val="18"/>
          <w:szCs w:val="18"/>
        </w:rPr>
        <w:t>E</w:t>
      </w:r>
      <w:r w:rsidR="00CA401C" w:rsidRPr="00F25F47">
        <w:rPr>
          <w:rStyle w:val="outputecliaff"/>
          <w:rFonts w:ascii="Garamond" w:hAnsi="Garamond"/>
          <w:sz w:val="18"/>
          <w:szCs w:val="18"/>
        </w:rPr>
        <w:t>CLI:EU:C:2022:97 [134]-[198].</w:t>
      </w:r>
    </w:p>
  </w:footnote>
  <w:footnote w:id="54">
    <w:p w14:paraId="5B3A9AE6" w14:textId="139F48F0" w:rsidR="003B34AF" w:rsidRPr="00F25F47" w:rsidRDefault="003B34AF">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CA401C" w:rsidRPr="00F25F47">
        <w:rPr>
          <w:rFonts w:ascii="Garamond" w:hAnsi="Garamond"/>
          <w:sz w:val="18"/>
          <w:szCs w:val="18"/>
        </w:rPr>
        <w:t>CJEU, C</w:t>
      </w:r>
      <w:r w:rsidR="00CA401C" w:rsidRPr="00F25F47">
        <w:rPr>
          <w:rFonts w:ascii="Garamond" w:hAnsi="Garamond"/>
          <w:sz w:val="18"/>
          <w:szCs w:val="18"/>
        </w:rPr>
        <w:noBreakHyphen/>
        <w:t xml:space="preserve">157/21, 16 February 2022, </w:t>
      </w:r>
      <w:r w:rsidR="00CA401C" w:rsidRPr="00F25F47">
        <w:rPr>
          <w:rFonts w:ascii="Garamond" w:hAnsi="Garamond"/>
          <w:i/>
          <w:iCs/>
          <w:sz w:val="18"/>
          <w:szCs w:val="18"/>
        </w:rPr>
        <w:t>Poland v European Parliament,</w:t>
      </w:r>
      <w:r w:rsidR="00CA401C" w:rsidRPr="00F25F47">
        <w:rPr>
          <w:rFonts w:ascii="Garamond" w:hAnsi="Garamond"/>
          <w:sz w:val="18"/>
          <w:szCs w:val="18"/>
        </w:rPr>
        <w:t xml:space="preserve"> </w:t>
      </w:r>
      <w:r w:rsidR="00CA401C" w:rsidRPr="00F25F47">
        <w:rPr>
          <w:rStyle w:val="outputecli"/>
          <w:rFonts w:ascii="Garamond" w:hAnsi="Garamond"/>
          <w:sz w:val="18"/>
          <w:szCs w:val="18"/>
        </w:rPr>
        <w:t>ECLI:EU:C:2022:98</w:t>
      </w:r>
      <w:r w:rsidR="00CA401C" w:rsidRPr="00F25F47">
        <w:rPr>
          <w:rFonts w:ascii="Garamond" w:hAnsi="Garamond"/>
          <w:sz w:val="18"/>
          <w:szCs w:val="18"/>
        </w:rPr>
        <w:t>,</w:t>
      </w:r>
      <w:r w:rsidRPr="00F25F47">
        <w:rPr>
          <w:rFonts w:ascii="Garamond" w:hAnsi="Garamond"/>
          <w:sz w:val="18"/>
          <w:szCs w:val="18"/>
        </w:rPr>
        <w:t xml:space="preserve"> [147].</w:t>
      </w:r>
    </w:p>
  </w:footnote>
  <w:footnote w:id="55">
    <w:p w14:paraId="143882F2" w14:textId="05367D12" w:rsidR="003B34AF" w:rsidRPr="00F25F47" w:rsidRDefault="003B34AF">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[148].</w:t>
      </w:r>
    </w:p>
  </w:footnote>
  <w:footnote w:id="56">
    <w:p w14:paraId="76402768" w14:textId="566A1785" w:rsidR="005409E2" w:rsidRPr="00F25F47" w:rsidRDefault="005409E2">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84573E" w:rsidRPr="00F25F47">
        <w:rPr>
          <w:rFonts w:ascii="Garamond" w:hAnsi="Garamond"/>
          <w:sz w:val="18"/>
          <w:szCs w:val="18"/>
        </w:rPr>
        <w:tab/>
      </w:r>
      <w:r w:rsidR="003B34AF" w:rsidRPr="00F25F47">
        <w:rPr>
          <w:rFonts w:ascii="Garamond" w:hAnsi="Garamond"/>
          <w:sz w:val="18"/>
          <w:szCs w:val="18"/>
        </w:rPr>
        <w:t>Ibid [149].</w:t>
      </w:r>
    </w:p>
  </w:footnote>
  <w:footnote w:id="57">
    <w:p w14:paraId="4E28D6AB" w14:textId="5AD70686" w:rsidR="00633930" w:rsidRPr="00F25F47" w:rsidRDefault="00633930" w:rsidP="00C9563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C95634" w:rsidRPr="00F25F47">
        <w:rPr>
          <w:rFonts w:ascii="Garamond" w:hAnsi="Garamond"/>
          <w:sz w:val="18"/>
          <w:szCs w:val="18"/>
        </w:rPr>
        <w:t xml:space="preserve"> </w:t>
      </w:r>
      <w:r w:rsidR="00C95634" w:rsidRPr="00F25F47">
        <w:rPr>
          <w:rFonts w:ascii="Garamond" w:hAnsi="Garamond"/>
          <w:sz w:val="18"/>
          <w:szCs w:val="18"/>
        </w:rPr>
        <w:tab/>
      </w:r>
      <w:r w:rsidR="00B207E6" w:rsidRPr="00F25F47">
        <w:rPr>
          <w:rFonts w:ascii="Garamond" w:hAnsi="Garamond"/>
          <w:sz w:val="18"/>
          <w:szCs w:val="18"/>
        </w:rPr>
        <w:t>M. Fisicaro, ‘Protection of the Rule of Law and ‘Competence Creep’ via the Budget: The Court of Justice on the Legality of the Conditionality Regulation – ECJ Judgments of 16 February 2022, C-156/21, Hungary v Parliament and Council and C-157/21, Poland v Parliament and Council’ (2022) 18</w:t>
      </w:r>
      <w:r w:rsidR="00B207E6" w:rsidRPr="00F25F47">
        <w:rPr>
          <w:rFonts w:ascii="Garamond" w:hAnsi="Garamond"/>
          <w:i/>
          <w:iCs/>
          <w:sz w:val="18"/>
          <w:szCs w:val="18"/>
        </w:rPr>
        <w:t xml:space="preserve"> European Constitutional Law Review </w:t>
      </w:r>
      <w:r w:rsidR="00B207E6" w:rsidRPr="00F25F47">
        <w:rPr>
          <w:rFonts w:ascii="Garamond" w:hAnsi="Garamond"/>
          <w:sz w:val="18"/>
          <w:szCs w:val="18"/>
        </w:rPr>
        <w:t xml:space="preserve">334–56. </w:t>
      </w:r>
      <w:r w:rsidRPr="00F25F47">
        <w:rPr>
          <w:rFonts w:ascii="Garamond" w:hAnsi="Garamond"/>
          <w:sz w:val="18"/>
          <w:szCs w:val="18"/>
        </w:rPr>
        <w:t xml:space="preserve"> </w:t>
      </w:r>
    </w:p>
  </w:footnote>
  <w:footnote w:id="58">
    <w:p w14:paraId="6D9320CD" w14:textId="201CB59E" w:rsidR="00CE6D49" w:rsidRPr="00F25F47" w:rsidRDefault="00CE6D49" w:rsidP="00FD610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E446D8" w:rsidRPr="00F25F47">
        <w:rPr>
          <w:rFonts w:ascii="Garamond" w:hAnsi="Garamond"/>
          <w:sz w:val="18"/>
          <w:szCs w:val="18"/>
        </w:rPr>
        <w:tab/>
      </w:r>
      <w:r w:rsidR="00E15F22" w:rsidRPr="00F25F47">
        <w:rPr>
          <w:rFonts w:ascii="Garamond" w:hAnsi="Garamond"/>
          <w:sz w:val="18"/>
          <w:szCs w:val="18"/>
        </w:rPr>
        <w:t xml:space="preserve">R. </w:t>
      </w:r>
      <w:r w:rsidR="00E446D8" w:rsidRPr="00F25F47">
        <w:rPr>
          <w:rFonts w:ascii="Garamond" w:hAnsi="Garamond"/>
          <w:sz w:val="18"/>
          <w:szCs w:val="18"/>
        </w:rPr>
        <w:t>Gadbled</w:t>
      </w:r>
      <w:r w:rsidR="00E15F22" w:rsidRPr="00F25F47">
        <w:rPr>
          <w:rFonts w:ascii="Garamond" w:hAnsi="Garamond"/>
          <w:sz w:val="18"/>
          <w:szCs w:val="18"/>
        </w:rPr>
        <w:t>,</w:t>
      </w:r>
      <w:r w:rsidR="00E446D8" w:rsidRPr="00F25F47">
        <w:rPr>
          <w:rFonts w:ascii="Garamond" w:hAnsi="Garamond"/>
          <w:sz w:val="18"/>
          <w:szCs w:val="18"/>
        </w:rPr>
        <w:t xml:space="preserve"> </w:t>
      </w:r>
      <w:r w:rsidR="00E15F22" w:rsidRPr="00F25F47">
        <w:rPr>
          <w:rFonts w:ascii="Garamond" w:hAnsi="Garamond"/>
          <w:sz w:val="18"/>
          <w:szCs w:val="18"/>
        </w:rPr>
        <w:t>‘</w:t>
      </w:r>
      <w:r w:rsidR="00E446D8" w:rsidRPr="00F25F47">
        <w:rPr>
          <w:rFonts w:ascii="Garamond" w:hAnsi="Garamond"/>
          <w:sz w:val="18"/>
          <w:szCs w:val="18"/>
        </w:rPr>
        <w:t>Addressing System Deficiencies in the Protection of the Financial Interests of the EU: Preventing Harm and Incentivizing Change</w:t>
      </w:r>
      <w:r w:rsidR="00E15F22" w:rsidRPr="00F25F47">
        <w:rPr>
          <w:rFonts w:ascii="Garamond" w:hAnsi="Garamond"/>
          <w:sz w:val="18"/>
          <w:szCs w:val="18"/>
        </w:rPr>
        <w:t>’</w:t>
      </w:r>
      <w:r w:rsidR="00E446D8" w:rsidRPr="00F25F47">
        <w:rPr>
          <w:rFonts w:ascii="Garamond" w:hAnsi="Garamond"/>
          <w:sz w:val="18"/>
          <w:szCs w:val="18"/>
        </w:rPr>
        <w:t xml:space="preserve"> </w:t>
      </w:r>
      <w:r w:rsidR="00E15F22" w:rsidRPr="00F25F47">
        <w:rPr>
          <w:rFonts w:ascii="Garamond" w:hAnsi="Garamond"/>
          <w:sz w:val="18"/>
          <w:szCs w:val="18"/>
        </w:rPr>
        <w:t xml:space="preserve">2023 (24:6) </w:t>
      </w:r>
      <w:r w:rsidR="00E446D8" w:rsidRPr="00F25F47">
        <w:rPr>
          <w:rFonts w:ascii="Garamond" w:hAnsi="Garamond"/>
          <w:i/>
          <w:iCs/>
          <w:sz w:val="18"/>
          <w:szCs w:val="18"/>
        </w:rPr>
        <w:t>German Law Journal</w:t>
      </w:r>
      <w:r w:rsidR="00E446D8" w:rsidRPr="00F25F47">
        <w:rPr>
          <w:rFonts w:ascii="Garamond" w:hAnsi="Garamond"/>
          <w:sz w:val="18"/>
          <w:szCs w:val="18"/>
        </w:rPr>
        <w:t xml:space="preserve"> 1023</w:t>
      </w:r>
      <w:r w:rsidR="00E15F22" w:rsidRPr="00F25F47">
        <w:rPr>
          <w:rFonts w:ascii="Garamond" w:hAnsi="Garamond"/>
          <w:sz w:val="18"/>
          <w:szCs w:val="18"/>
        </w:rPr>
        <w:t>–</w:t>
      </w:r>
      <w:r w:rsidR="00E446D8" w:rsidRPr="00F25F47">
        <w:rPr>
          <w:rFonts w:ascii="Garamond" w:hAnsi="Garamond"/>
          <w:sz w:val="18"/>
          <w:szCs w:val="18"/>
        </w:rPr>
        <w:t xml:space="preserve">43. </w:t>
      </w:r>
    </w:p>
  </w:footnote>
  <w:footnote w:id="59">
    <w:p w14:paraId="243D2170" w14:textId="225EE3AB" w:rsidR="00633930" w:rsidRPr="00F25F47" w:rsidRDefault="00633930" w:rsidP="003B34AF">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2D1B08" w:rsidRPr="00F25F47">
        <w:rPr>
          <w:rFonts w:ascii="Garamond" w:hAnsi="Garamond"/>
          <w:sz w:val="18"/>
          <w:szCs w:val="18"/>
        </w:rPr>
        <w:tab/>
        <w:t xml:space="preserve">P. Bárd, ‘In </w:t>
      </w:r>
      <w:r w:rsidR="006B79BF" w:rsidRPr="00F25F47">
        <w:rPr>
          <w:rFonts w:ascii="Garamond" w:hAnsi="Garamond"/>
          <w:sz w:val="18"/>
          <w:szCs w:val="18"/>
        </w:rPr>
        <w:t>C</w:t>
      </w:r>
      <w:r w:rsidR="002D1B08" w:rsidRPr="00F25F47">
        <w:rPr>
          <w:rFonts w:ascii="Garamond" w:hAnsi="Garamond"/>
          <w:sz w:val="18"/>
          <w:szCs w:val="18"/>
        </w:rPr>
        <w:t xml:space="preserve">ourts </w:t>
      </w:r>
      <w:r w:rsidR="006B79BF" w:rsidRPr="00F25F47">
        <w:rPr>
          <w:rFonts w:ascii="Garamond" w:hAnsi="Garamond"/>
          <w:sz w:val="18"/>
          <w:szCs w:val="18"/>
        </w:rPr>
        <w:t>W</w:t>
      </w:r>
      <w:r w:rsidR="002D1B08" w:rsidRPr="00F25F47">
        <w:rPr>
          <w:rFonts w:ascii="Garamond" w:hAnsi="Garamond"/>
          <w:sz w:val="18"/>
          <w:szCs w:val="18"/>
        </w:rPr>
        <w:t xml:space="preserve">e </w:t>
      </w:r>
      <w:r w:rsidR="006B79BF" w:rsidRPr="00F25F47">
        <w:rPr>
          <w:rFonts w:ascii="Garamond" w:hAnsi="Garamond"/>
          <w:sz w:val="18"/>
          <w:szCs w:val="18"/>
        </w:rPr>
        <w:t>T</w:t>
      </w:r>
      <w:r w:rsidR="002D1B08" w:rsidRPr="00F25F47">
        <w:rPr>
          <w:rFonts w:ascii="Garamond" w:hAnsi="Garamond"/>
          <w:sz w:val="18"/>
          <w:szCs w:val="18"/>
        </w:rPr>
        <w:t xml:space="preserve">rust, or </w:t>
      </w:r>
      <w:r w:rsidR="006B79BF" w:rsidRPr="00F25F47">
        <w:rPr>
          <w:rFonts w:ascii="Garamond" w:hAnsi="Garamond"/>
          <w:sz w:val="18"/>
          <w:szCs w:val="18"/>
        </w:rPr>
        <w:t>S</w:t>
      </w:r>
      <w:r w:rsidR="002D1B08" w:rsidRPr="00F25F47">
        <w:rPr>
          <w:rFonts w:ascii="Garamond" w:hAnsi="Garamond"/>
          <w:sz w:val="18"/>
          <w:szCs w:val="18"/>
        </w:rPr>
        <w:t xml:space="preserve">hould </w:t>
      </w:r>
      <w:r w:rsidR="006B79BF" w:rsidRPr="00F25F47">
        <w:rPr>
          <w:rFonts w:ascii="Garamond" w:hAnsi="Garamond"/>
          <w:sz w:val="18"/>
          <w:szCs w:val="18"/>
        </w:rPr>
        <w:t>W</w:t>
      </w:r>
      <w:r w:rsidR="002D1B08" w:rsidRPr="00F25F47">
        <w:rPr>
          <w:rFonts w:ascii="Garamond" w:hAnsi="Garamond"/>
          <w:sz w:val="18"/>
          <w:szCs w:val="18"/>
        </w:rPr>
        <w:t xml:space="preserve">e? Judicial </w:t>
      </w:r>
      <w:r w:rsidR="006B79BF" w:rsidRPr="00F25F47">
        <w:rPr>
          <w:rFonts w:ascii="Garamond" w:hAnsi="Garamond"/>
          <w:sz w:val="18"/>
          <w:szCs w:val="18"/>
        </w:rPr>
        <w:t>I</w:t>
      </w:r>
      <w:r w:rsidR="002D1B08" w:rsidRPr="00F25F47">
        <w:rPr>
          <w:rFonts w:ascii="Garamond" w:hAnsi="Garamond"/>
          <w:sz w:val="18"/>
          <w:szCs w:val="18"/>
        </w:rPr>
        <w:t xml:space="preserve">ndependence as the </w:t>
      </w:r>
      <w:r w:rsidR="006B79BF" w:rsidRPr="00F25F47">
        <w:rPr>
          <w:rFonts w:ascii="Garamond" w:hAnsi="Garamond"/>
          <w:sz w:val="18"/>
          <w:szCs w:val="18"/>
        </w:rPr>
        <w:t>P</w:t>
      </w:r>
      <w:r w:rsidR="002D1B08" w:rsidRPr="00F25F47">
        <w:rPr>
          <w:rFonts w:ascii="Garamond" w:hAnsi="Garamond"/>
          <w:sz w:val="18"/>
          <w:szCs w:val="18"/>
        </w:rPr>
        <w:t xml:space="preserve">recondition for the </w:t>
      </w:r>
      <w:r w:rsidR="006B79BF" w:rsidRPr="00F25F47">
        <w:rPr>
          <w:rFonts w:ascii="Garamond" w:hAnsi="Garamond"/>
          <w:sz w:val="18"/>
          <w:szCs w:val="18"/>
        </w:rPr>
        <w:t>E</w:t>
      </w:r>
      <w:r w:rsidR="002D1B08" w:rsidRPr="00F25F47">
        <w:rPr>
          <w:rFonts w:ascii="Garamond" w:hAnsi="Garamond"/>
          <w:sz w:val="18"/>
          <w:szCs w:val="18"/>
        </w:rPr>
        <w:t xml:space="preserve">ffectiveness of EU law’ (2021) (21:1-3) </w:t>
      </w:r>
      <w:r w:rsidR="002D1B08" w:rsidRPr="00F25F47">
        <w:rPr>
          <w:rFonts w:ascii="Garamond" w:hAnsi="Garamond"/>
          <w:i/>
          <w:iCs/>
          <w:sz w:val="18"/>
          <w:szCs w:val="18"/>
        </w:rPr>
        <w:t>European Law Journal</w:t>
      </w:r>
      <w:r w:rsidR="002D1B08" w:rsidRPr="00F25F47">
        <w:rPr>
          <w:rFonts w:ascii="Garamond" w:hAnsi="Garamond"/>
          <w:sz w:val="18"/>
          <w:szCs w:val="18"/>
        </w:rPr>
        <w:t xml:space="preserve"> 185–210.</w:t>
      </w:r>
    </w:p>
  </w:footnote>
  <w:footnote w:id="60">
    <w:p w14:paraId="3AC7AF02" w14:textId="77777777" w:rsidR="001B51FF" w:rsidRPr="00F25F47" w:rsidRDefault="001B51FF" w:rsidP="001B51FF">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CJEU, C</w:t>
      </w:r>
      <w:r w:rsidRPr="00F25F47">
        <w:rPr>
          <w:rFonts w:ascii="Garamond" w:hAnsi="Garamond"/>
          <w:sz w:val="18"/>
          <w:szCs w:val="18"/>
        </w:rPr>
        <w:noBreakHyphen/>
        <w:t xml:space="preserve">157/21, 16 February 2022, </w:t>
      </w:r>
      <w:r w:rsidRPr="00F25F47">
        <w:rPr>
          <w:rFonts w:ascii="Garamond" w:hAnsi="Garamond"/>
          <w:i/>
          <w:iCs/>
          <w:sz w:val="18"/>
          <w:szCs w:val="18"/>
        </w:rPr>
        <w:t>Poland v European Parliament,</w:t>
      </w:r>
      <w:r w:rsidRPr="00F25F47">
        <w:rPr>
          <w:rFonts w:ascii="Garamond" w:hAnsi="Garamond"/>
          <w:sz w:val="18"/>
          <w:szCs w:val="18"/>
        </w:rPr>
        <w:t xml:space="preserve"> </w:t>
      </w:r>
      <w:r w:rsidRPr="00F25F47">
        <w:rPr>
          <w:rStyle w:val="outputecli"/>
          <w:rFonts w:ascii="Garamond" w:hAnsi="Garamond"/>
          <w:sz w:val="18"/>
          <w:szCs w:val="18"/>
        </w:rPr>
        <w:t>ECLI:EU:C:2022:98</w:t>
      </w:r>
      <w:r w:rsidRPr="00F25F47">
        <w:rPr>
          <w:rFonts w:ascii="Garamond" w:hAnsi="Garamond"/>
          <w:sz w:val="18"/>
          <w:szCs w:val="18"/>
        </w:rPr>
        <w:t>, [147].</w:t>
      </w:r>
    </w:p>
  </w:footnote>
  <w:footnote w:id="61">
    <w:p w14:paraId="5F21DDBE" w14:textId="3A74CD34" w:rsidR="00771135" w:rsidRPr="00F25F47" w:rsidRDefault="00771135" w:rsidP="00771135">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S. Grund and A. Ste</w:t>
      </w:r>
      <w:r w:rsidR="001C4C15" w:rsidRPr="00F25F47">
        <w:rPr>
          <w:rFonts w:ascii="Garamond" w:hAnsi="Garamond"/>
          <w:sz w:val="18"/>
          <w:szCs w:val="18"/>
        </w:rPr>
        <w:t>i</w:t>
      </w:r>
      <w:r w:rsidRPr="00F25F47">
        <w:rPr>
          <w:rFonts w:ascii="Garamond" w:hAnsi="Garamond"/>
          <w:sz w:val="18"/>
          <w:szCs w:val="18"/>
        </w:rPr>
        <w:t xml:space="preserve">nbach, ‘Debt-financing the EU’ (2024) 61 </w:t>
      </w:r>
      <w:r w:rsidRPr="00F25F47">
        <w:rPr>
          <w:rFonts w:ascii="Garamond" w:hAnsi="Garamond"/>
          <w:i/>
          <w:iCs/>
          <w:sz w:val="18"/>
          <w:szCs w:val="18"/>
        </w:rPr>
        <w:t>Common Market Law Review</w:t>
      </w:r>
      <w:r w:rsidRPr="00F25F47">
        <w:rPr>
          <w:rFonts w:ascii="Garamond" w:hAnsi="Garamond"/>
          <w:sz w:val="18"/>
          <w:szCs w:val="18"/>
        </w:rPr>
        <w:t xml:space="preserve"> 993–1018, 994.</w:t>
      </w:r>
    </w:p>
  </w:footnote>
  <w:footnote w:id="62">
    <w:p w14:paraId="08A615E3" w14:textId="19E0D585" w:rsidR="00FD6104" w:rsidRPr="00F25F47" w:rsidRDefault="00FD6104" w:rsidP="00FD610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64372B" w:rsidRPr="00F25F47">
        <w:rPr>
          <w:rFonts w:ascii="Garamond" w:hAnsi="Garamond"/>
          <w:sz w:val="18"/>
          <w:szCs w:val="18"/>
        </w:rPr>
        <w:t xml:space="preserve">E. </w:t>
      </w:r>
      <w:r w:rsidRPr="00F25F47">
        <w:rPr>
          <w:rFonts w:ascii="Garamond" w:eastAsiaTheme="minorHAnsi" w:hAnsi="Garamond" w:cstheme="minorBidi"/>
          <w:kern w:val="2"/>
          <w:sz w:val="18"/>
          <w:szCs w:val="18"/>
          <w:lang w:eastAsia="en-US"/>
          <w14:ligatures w14:val="standardContextual"/>
        </w:rPr>
        <w:t>Ostrom,</w:t>
      </w:r>
      <w:r w:rsidR="0064372B" w:rsidRPr="00F25F47">
        <w:rPr>
          <w:rFonts w:ascii="Garamond" w:eastAsiaTheme="minorHAnsi" w:hAnsi="Garamond" w:cstheme="minorBidi"/>
          <w:kern w:val="2"/>
          <w:sz w:val="18"/>
          <w:szCs w:val="18"/>
          <w:lang w:eastAsia="en-US"/>
          <w14:ligatures w14:val="standardContextual"/>
        </w:rPr>
        <w:t xml:space="preserve"> ‘</w:t>
      </w:r>
      <w:r w:rsidRPr="00F25F47">
        <w:rPr>
          <w:rFonts w:ascii="Garamond" w:eastAsiaTheme="minorHAnsi" w:hAnsi="Garamond" w:cstheme="minorBidi"/>
          <w:kern w:val="2"/>
          <w:sz w:val="18"/>
          <w:szCs w:val="18"/>
          <w:lang w:eastAsia="en-US"/>
          <w14:ligatures w14:val="standardContextual"/>
        </w:rPr>
        <w:t>The Challenge of Common-Pool Resources</w:t>
      </w:r>
      <w:r w:rsidR="0064372B" w:rsidRPr="00F25F47">
        <w:rPr>
          <w:rFonts w:ascii="Garamond" w:eastAsiaTheme="minorHAnsi" w:hAnsi="Garamond" w:cstheme="minorBidi"/>
          <w:kern w:val="2"/>
          <w:sz w:val="18"/>
          <w:szCs w:val="18"/>
          <w:lang w:eastAsia="en-US"/>
          <w14:ligatures w14:val="standardContextual"/>
        </w:rPr>
        <w:t xml:space="preserve">’ (2008) (50:4) </w:t>
      </w:r>
      <w:r w:rsidRPr="00F25F47">
        <w:rPr>
          <w:rFonts w:ascii="Garamond" w:eastAsiaTheme="minorHAnsi" w:hAnsi="Garamond" w:cstheme="minorBidi"/>
          <w:i/>
          <w:iCs/>
          <w:kern w:val="2"/>
          <w:sz w:val="18"/>
          <w:szCs w:val="18"/>
          <w:lang w:eastAsia="en-US"/>
          <w14:ligatures w14:val="standardContextual"/>
        </w:rPr>
        <w:t>Environment: Science and Policy for Sustainable Development</w:t>
      </w:r>
      <w:r w:rsidRPr="00F25F47">
        <w:rPr>
          <w:rFonts w:ascii="Garamond" w:eastAsiaTheme="minorHAnsi" w:hAnsi="Garamond" w:cstheme="minorBidi"/>
          <w:kern w:val="2"/>
          <w:sz w:val="18"/>
          <w:szCs w:val="18"/>
          <w:lang w:eastAsia="en-US"/>
          <w14:ligatures w14:val="standardContextual"/>
        </w:rPr>
        <w:t xml:space="preserve"> 8–21</w:t>
      </w:r>
      <w:r w:rsidRPr="00F25F47">
        <w:rPr>
          <w:rFonts w:ascii="Garamond" w:hAnsi="Garamond"/>
          <w:sz w:val="18"/>
          <w:szCs w:val="18"/>
        </w:rPr>
        <w:t>, 10</w:t>
      </w:r>
      <w:r w:rsidR="009411D3" w:rsidRPr="00F25F47">
        <w:rPr>
          <w:rFonts w:ascii="Garamond" w:hAnsi="Garamond"/>
          <w:sz w:val="18"/>
          <w:szCs w:val="18"/>
        </w:rPr>
        <w:t>–</w:t>
      </w:r>
      <w:r w:rsidRPr="00F25F47">
        <w:rPr>
          <w:rFonts w:ascii="Garamond" w:hAnsi="Garamond"/>
          <w:sz w:val="18"/>
          <w:szCs w:val="18"/>
        </w:rPr>
        <w:t>11</w:t>
      </w:r>
      <w:r w:rsidRPr="00F25F47">
        <w:rPr>
          <w:rFonts w:ascii="Garamond" w:eastAsiaTheme="minorHAnsi" w:hAnsi="Garamond" w:cstheme="minorBidi"/>
          <w:kern w:val="2"/>
          <w:sz w:val="18"/>
          <w:szCs w:val="18"/>
          <w:lang w:eastAsia="en-US"/>
          <w14:ligatures w14:val="standardContextual"/>
        </w:rPr>
        <w:t xml:space="preserve"> </w:t>
      </w:r>
      <w:r w:rsidRPr="00F25F47">
        <w:rPr>
          <w:rFonts w:ascii="Garamond" w:hAnsi="Garamond"/>
          <w:sz w:val="18"/>
          <w:szCs w:val="18"/>
        </w:rPr>
        <w:t>(footnote omitted).</w:t>
      </w:r>
    </w:p>
  </w:footnote>
  <w:footnote w:id="63">
    <w:p w14:paraId="79D5597F" w14:textId="677B70D2" w:rsidR="00FD6104" w:rsidRPr="00F25F47" w:rsidRDefault="00FD6104">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11 (footnote omitted).</w:t>
      </w:r>
    </w:p>
  </w:footnote>
  <w:footnote w:id="64">
    <w:p w14:paraId="316C1820" w14:textId="0870258D" w:rsidR="00FD6104" w:rsidRPr="00F25F47" w:rsidRDefault="00FD6104" w:rsidP="000E4AE1">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000E4AE1" w:rsidRPr="00F25F47">
        <w:rPr>
          <w:rFonts w:ascii="Garamond" w:hAnsi="Garamond"/>
          <w:sz w:val="18"/>
          <w:szCs w:val="18"/>
        </w:rPr>
        <w:t xml:space="preserve"> </w:t>
      </w:r>
      <w:r w:rsidR="000E4AE1" w:rsidRPr="00F25F47">
        <w:rPr>
          <w:rFonts w:ascii="Garamond" w:hAnsi="Garamond"/>
          <w:sz w:val="18"/>
          <w:szCs w:val="18"/>
        </w:rPr>
        <w:tab/>
        <w:t>F. Heinemann, P. Mohl and S. Osterloh</w:t>
      </w:r>
      <w:r w:rsidR="000E4AE1" w:rsidRPr="00F25F47">
        <w:rPr>
          <w:rFonts w:ascii="Garamond" w:hAnsi="Garamond"/>
          <w:i/>
          <w:iCs/>
          <w:sz w:val="18"/>
          <w:szCs w:val="18"/>
        </w:rPr>
        <w:t xml:space="preserve">, </w:t>
      </w:r>
      <w:r w:rsidR="000E4AE1" w:rsidRPr="00F25F47">
        <w:rPr>
          <w:rFonts w:ascii="Garamond" w:eastAsiaTheme="minorHAnsi" w:hAnsi="Garamond" w:cstheme="minorBidi"/>
          <w:i/>
          <w:iCs/>
          <w:sz w:val="18"/>
          <w:szCs w:val="18"/>
        </w:rPr>
        <w:t>Reform Options for the EU Own Resources System</w:t>
      </w:r>
      <w:r w:rsidR="000E4AE1" w:rsidRPr="00F25F47">
        <w:rPr>
          <w:rFonts w:ascii="Garamond" w:eastAsiaTheme="minorHAnsi" w:hAnsi="Garamond" w:cstheme="minorBidi"/>
          <w:b/>
          <w:bCs/>
          <w:sz w:val="18"/>
          <w:szCs w:val="18"/>
        </w:rPr>
        <w:t xml:space="preserve"> </w:t>
      </w:r>
      <w:r w:rsidR="000E4AE1" w:rsidRPr="00F25F47">
        <w:rPr>
          <w:rFonts w:ascii="Garamond" w:hAnsi="Garamond"/>
          <w:sz w:val="18"/>
          <w:szCs w:val="18"/>
        </w:rPr>
        <w:t>(Springer 2008) 27-9.</w:t>
      </w:r>
      <w:r w:rsidRPr="00F25F47">
        <w:rPr>
          <w:rFonts w:ascii="Garamond" w:hAnsi="Garamond"/>
          <w:sz w:val="18"/>
          <w:szCs w:val="18"/>
        </w:rPr>
        <w:t xml:space="preserve"> </w:t>
      </w:r>
    </w:p>
  </w:footnote>
  <w:footnote w:id="65">
    <w:p w14:paraId="51392BAD" w14:textId="1006527B" w:rsidR="000E4AE1" w:rsidRPr="00F25F47" w:rsidRDefault="000E4AE1" w:rsidP="00712C2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C91156" w:rsidRPr="00F25F47">
        <w:rPr>
          <w:rFonts w:ascii="Garamond" w:hAnsi="Garamond"/>
          <w:sz w:val="18"/>
          <w:szCs w:val="18"/>
        </w:rPr>
        <w:tab/>
      </w:r>
      <w:r w:rsidR="000A695E" w:rsidRPr="00F25F47">
        <w:rPr>
          <w:rFonts w:ascii="Garamond" w:hAnsi="Garamond"/>
          <w:sz w:val="18"/>
          <w:szCs w:val="18"/>
        </w:rPr>
        <w:t>S</w:t>
      </w:r>
      <w:r w:rsidR="002306C4" w:rsidRPr="00F25F47">
        <w:rPr>
          <w:rFonts w:ascii="Garamond" w:hAnsi="Garamond"/>
          <w:sz w:val="18"/>
          <w:szCs w:val="18"/>
        </w:rPr>
        <w:t>.</w:t>
      </w:r>
      <w:r w:rsidR="000A695E" w:rsidRPr="00F25F47">
        <w:rPr>
          <w:rFonts w:ascii="Garamond" w:hAnsi="Garamond"/>
          <w:sz w:val="18"/>
          <w:szCs w:val="18"/>
        </w:rPr>
        <w:t xml:space="preserve"> </w:t>
      </w:r>
      <w:r w:rsidR="00C91156" w:rsidRPr="00F25F47">
        <w:rPr>
          <w:rFonts w:ascii="Garamond" w:hAnsi="Garamond"/>
          <w:sz w:val="18"/>
          <w:szCs w:val="18"/>
        </w:rPr>
        <w:t>Gherghina</w:t>
      </w:r>
      <w:r w:rsidR="000A695E" w:rsidRPr="00F25F47">
        <w:rPr>
          <w:rFonts w:ascii="Garamond" w:hAnsi="Garamond"/>
          <w:sz w:val="18"/>
          <w:szCs w:val="18"/>
        </w:rPr>
        <w:t xml:space="preserve"> and C</w:t>
      </w:r>
      <w:r w:rsidR="002306C4" w:rsidRPr="00F25F47">
        <w:rPr>
          <w:rFonts w:ascii="Garamond" w:hAnsi="Garamond"/>
          <w:sz w:val="18"/>
          <w:szCs w:val="18"/>
        </w:rPr>
        <w:t>.</w:t>
      </w:r>
      <w:r w:rsidR="00C91156" w:rsidRPr="00F25F47">
        <w:rPr>
          <w:rFonts w:ascii="Garamond" w:hAnsi="Garamond"/>
          <w:sz w:val="18"/>
          <w:szCs w:val="18"/>
        </w:rPr>
        <w:t xml:space="preserve"> Volintiru, </w:t>
      </w:r>
      <w:r w:rsidR="000A695E" w:rsidRPr="00F25F47">
        <w:rPr>
          <w:rFonts w:ascii="Garamond" w:hAnsi="Garamond"/>
          <w:sz w:val="18"/>
          <w:szCs w:val="18"/>
        </w:rPr>
        <w:t>‘</w:t>
      </w:r>
      <w:r w:rsidR="00C91156" w:rsidRPr="00F25F47">
        <w:rPr>
          <w:rFonts w:ascii="Garamond" w:hAnsi="Garamond"/>
          <w:sz w:val="18"/>
          <w:szCs w:val="18"/>
        </w:rPr>
        <w:t>Budgetary Clientelism and Decentralization in Hungary and Romania</w:t>
      </w:r>
      <w:r w:rsidR="000A695E" w:rsidRPr="00F25F47">
        <w:rPr>
          <w:rFonts w:ascii="Garamond" w:hAnsi="Garamond"/>
          <w:sz w:val="18"/>
          <w:szCs w:val="18"/>
        </w:rPr>
        <w:t>’</w:t>
      </w:r>
      <w:r w:rsidR="00712C2C" w:rsidRPr="00F25F47">
        <w:rPr>
          <w:rFonts w:ascii="Garamond" w:hAnsi="Garamond"/>
          <w:sz w:val="18"/>
          <w:szCs w:val="18"/>
        </w:rPr>
        <w:t xml:space="preserve"> </w:t>
      </w:r>
      <w:r w:rsidR="000A695E" w:rsidRPr="00F25F47">
        <w:rPr>
          <w:rFonts w:ascii="Garamond" w:hAnsi="Garamond"/>
          <w:sz w:val="18"/>
          <w:szCs w:val="18"/>
        </w:rPr>
        <w:t xml:space="preserve">(2023) </w:t>
      </w:r>
      <w:r w:rsidR="0064372B" w:rsidRPr="00F25F47">
        <w:rPr>
          <w:rFonts w:ascii="Garamond" w:hAnsi="Garamond"/>
          <w:sz w:val="18"/>
          <w:szCs w:val="18"/>
        </w:rPr>
        <w:t>(</w:t>
      </w:r>
      <w:r w:rsidR="000A695E" w:rsidRPr="00F25F47">
        <w:rPr>
          <w:rFonts w:ascii="Garamond" w:hAnsi="Garamond"/>
          <w:sz w:val="18"/>
          <w:szCs w:val="18"/>
        </w:rPr>
        <w:t>39</w:t>
      </w:r>
      <w:r w:rsidR="0064372B" w:rsidRPr="00F25F47">
        <w:rPr>
          <w:rFonts w:ascii="Garamond" w:hAnsi="Garamond"/>
          <w:sz w:val="18"/>
          <w:szCs w:val="18"/>
        </w:rPr>
        <w:t>:</w:t>
      </w:r>
      <w:r w:rsidR="000A695E" w:rsidRPr="00F25F47">
        <w:rPr>
          <w:rFonts w:ascii="Garamond" w:hAnsi="Garamond"/>
          <w:sz w:val="18"/>
          <w:szCs w:val="18"/>
        </w:rPr>
        <w:t xml:space="preserve">1) </w:t>
      </w:r>
      <w:r w:rsidR="00C91156" w:rsidRPr="00F25F47">
        <w:rPr>
          <w:rFonts w:ascii="Garamond" w:hAnsi="Garamond"/>
          <w:i/>
          <w:iCs/>
          <w:sz w:val="18"/>
          <w:szCs w:val="18"/>
        </w:rPr>
        <w:t>Journal of Developing Societies</w:t>
      </w:r>
      <w:r w:rsidR="00C91156" w:rsidRPr="00F25F47">
        <w:rPr>
          <w:rFonts w:ascii="Garamond" w:hAnsi="Garamond"/>
          <w:sz w:val="18"/>
          <w:szCs w:val="18"/>
        </w:rPr>
        <w:t xml:space="preserve"> 40</w:t>
      </w:r>
      <w:r w:rsidR="009411D3" w:rsidRPr="00F25F47">
        <w:rPr>
          <w:rFonts w:ascii="Garamond" w:hAnsi="Garamond"/>
          <w:sz w:val="18"/>
          <w:szCs w:val="18"/>
        </w:rPr>
        <w:t>–</w:t>
      </w:r>
      <w:r w:rsidR="00C91156" w:rsidRPr="00F25F47">
        <w:rPr>
          <w:rFonts w:ascii="Garamond" w:hAnsi="Garamond"/>
          <w:sz w:val="18"/>
          <w:szCs w:val="18"/>
        </w:rPr>
        <w:t xml:space="preserve">62. </w:t>
      </w:r>
      <w:r w:rsidR="003B52E3" w:rsidRPr="00F25F47">
        <w:rPr>
          <w:rFonts w:ascii="Garamond" w:hAnsi="Garamond"/>
          <w:sz w:val="18"/>
          <w:szCs w:val="18"/>
        </w:rPr>
        <w:t>For other distinctions, see M</w:t>
      </w:r>
      <w:r w:rsidR="009411D3" w:rsidRPr="00F25F47">
        <w:rPr>
          <w:rFonts w:ascii="Garamond" w:hAnsi="Garamond"/>
          <w:sz w:val="18"/>
          <w:szCs w:val="18"/>
        </w:rPr>
        <w:t>.</w:t>
      </w:r>
      <w:r w:rsidR="003B52E3" w:rsidRPr="00F25F47">
        <w:rPr>
          <w:rFonts w:ascii="Garamond" w:hAnsi="Garamond"/>
          <w:sz w:val="18"/>
          <w:szCs w:val="18"/>
        </w:rPr>
        <w:t xml:space="preserve"> Banaszewska</w:t>
      </w:r>
      <w:r w:rsidR="000A695E" w:rsidRPr="00F25F47">
        <w:rPr>
          <w:rFonts w:ascii="Garamond" w:hAnsi="Garamond"/>
          <w:sz w:val="18"/>
          <w:szCs w:val="18"/>
        </w:rPr>
        <w:t xml:space="preserve"> and</w:t>
      </w:r>
      <w:r w:rsidR="003B52E3" w:rsidRPr="00F25F47">
        <w:rPr>
          <w:rFonts w:ascii="Garamond" w:hAnsi="Garamond"/>
          <w:sz w:val="18"/>
          <w:szCs w:val="18"/>
        </w:rPr>
        <w:t xml:space="preserve"> I</w:t>
      </w:r>
      <w:r w:rsidR="009411D3" w:rsidRPr="00F25F47">
        <w:rPr>
          <w:rFonts w:ascii="Garamond" w:hAnsi="Garamond"/>
          <w:sz w:val="18"/>
          <w:szCs w:val="18"/>
        </w:rPr>
        <w:t>.</w:t>
      </w:r>
      <w:r w:rsidR="003B52E3" w:rsidRPr="00F25F47">
        <w:rPr>
          <w:rFonts w:ascii="Garamond" w:hAnsi="Garamond"/>
          <w:sz w:val="18"/>
          <w:szCs w:val="18"/>
        </w:rPr>
        <w:t xml:space="preserve"> Bischoff,</w:t>
      </w:r>
      <w:r w:rsidR="00712C2C" w:rsidRPr="00F25F47">
        <w:rPr>
          <w:rFonts w:ascii="Garamond" w:hAnsi="Garamond"/>
          <w:sz w:val="18"/>
          <w:szCs w:val="18"/>
        </w:rPr>
        <w:t xml:space="preserve"> </w:t>
      </w:r>
      <w:r w:rsidR="000A695E" w:rsidRPr="00F25F47">
        <w:rPr>
          <w:rFonts w:ascii="Garamond" w:hAnsi="Garamond"/>
          <w:sz w:val="18"/>
          <w:szCs w:val="18"/>
        </w:rPr>
        <w:t>‘</w:t>
      </w:r>
      <w:r w:rsidR="003B52E3" w:rsidRPr="00F25F47">
        <w:rPr>
          <w:rFonts w:ascii="Garamond" w:hAnsi="Garamond"/>
          <w:sz w:val="18"/>
          <w:szCs w:val="18"/>
        </w:rPr>
        <w:t xml:space="preserve">Grants-in-aid and </w:t>
      </w:r>
      <w:r w:rsidR="006B79BF" w:rsidRPr="00F25F47">
        <w:rPr>
          <w:rFonts w:ascii="Garamond" w:hAnsi="Garamond"/>
          <w:sz w:val="18"/>
          <w:szCs w:val="18"/>
        </w:rPr>
        <w:t>E</w:t>
      </w:r>
      <w:r w:rsidR="003B52E3" w:rsidRPr="00F25F47">
        <w:rPr>
          <w:rFonts w:ascii="Garamond" w:hAnsi="Garamond"/>
          <w:sz w:val="18"/>
          <w:szCs w:val="18"/>
        </w:rPr>
        <w:t xml:space="preserve">lection </w:t>
      </w:r>
      <w:r w:rsidR="006B79BF" w:rsidRPr="00F25F47">
        <w:rPr>
          <w:rFonts w:ascii="Garamond" w:hAnsi="Garamond"/>
          <w:sz w:val="18"/>
          <w:szCs w:val="18"/>
        </w:rPr>
        <w:t>O</w:t>
      </w:r>
      <w:r w:rsidR="003B52E3" w:rsidRPr="00F25F47">
        <w:rPr>
          <w:rFonts w:ascii="Garamond" w:hAnsi="Garamond"/>
          <w:sz w:val="18"/>
          <w:szCs w:val="18"/>
        </w:rPr>
        <w:t xml:space="preserve">utcomes in </w:t>
      </w:r>
      <w:r w:rsidR="006B79BF" w:rsidRPr="00F25F47">
        <w:rPr>
          <w:rFonts w:ascii="Garamond" w:hAnsi="Garamond"/>
          <w:sz w:val="18"/>
          <w:szCs w:val="18"/>
        </w:rPr>
        <w:t>Re</w:t>
      </w:r>
      <w:r w:rsidR="003B52E3" w:rsidRPr="00F25F47">
        <w:rPr>
          <w:rFonts w:ascii="Garamond" w:hAnsi="Garamond"/>
          <w:sz w:val="18"/>
          <w:szCs w:val="18"/>
        </w:rPr>
        <w:t xml:space="preserve">cipient </w:t>
      </w:r>
      <w:r w:rsidR="006B79BF" w:rsidRPr="00F25F47">
        <w:rPr>
          <w:rFonts w:ascii="Garamond" w:hAnsi="Garamond"/>
          <w:sz w:val="18"/>
          <w:szCs w:val="18"/>
        </w:rPr>
        <w:t>J</w:t>
      </w:r>
      <w:r w:rsidR="003B52E3" w:rsidRPr="00F25F47">
        <w:rPr>
          <w:rFonts w:ascii="Garamond" w:hAnsi="Garamond"/>
          <w:sz w:val="18"/>
          <w:szCs w:val="18"/>
        </w:rPr>
        <w:t xml:space="preserve">urisdictions: The </w:t>
      </w:r>
      <w:r w:rsidR="006B79BF" w:rsidRPr="00F25F47">
        <w:rPr>
          <w:rFonts w:ascii="Garamond" w:hAnsi="Garamond"/>
          <w:sz w:val="18"/>
          <w:szCs w:val="18"/>
        </w:rPr>
        <w:t>I</w:t>
      </w:r>
      <w:r w:rsidR="003B52E3" w:rsidRPr="00F25F47">
        <w:rPr>
          <w:rFonts w:ascii="Garamond" w:hAnsi="Garamond"/>
          <w:sz w:val="18"/>
          <w:szCs w:val="18"/>
        </w:rPr>
        <w:t xml:space="preserve">mpact of EU funds on </w:t>
      </w:r>
      <w:r w:rsidR="006B79BF" w:rsidRPr="00F25F47">
        <w:rPr>
          <w:rFonts w:ascii="Garamond" w:hAnsi="Garamond"/>
          <w:sz w:val="18"/>
          <w:szCs w:val="18"/>
        </w:rPr>
        <w:t>M</w:t>
      </w:r>
      <w:r w:rsidR="003B52E3" w:rsidRPr="00F25F47">
        <w:rPr>
          <w:rFonts w:ascii="Garamond" w:hAnsi="Garamond"/>
          <w:sz w:val="18"/>
          <w:szCs w:val="18"/>
        </w:rPr>
        <w:t xml:space="preserve">ayoral </w:t>
      </w:r>
      <w:r w:rsidR="006B79BF" w:rsidRPr="00F25F47">
        <w:rPr>
          <w:rFonts w:ascii="Garamond" w:hAnsi="Garamond"/>
          <w:sz w:val="18"/>
          <w:szCs w:val="18"/>
        </w:rPr>
        <w:t>E</w:t>
      </w:r>
      <w:r w:rsidR="003B52E3" w:rsidRPr="00F25F47">
        <w:rPr>
          <w:rFonts w:ascii="Garamond" w:hAnsi="Garamond"/>
          <w:sz w:val="18"/>
          <w:szCs w:val="18"/>
        </w:rPr>
        <w:t>lections in Poland</w:t>
      </w:r>
      <w:r w:rsidR="000A695E" w:rsidRPr="00F25F47">
        <w:rPr>
          <w:rFonts w:ascii="Garamond" w:hAnsi="Garamond"/>
          <w:sz w:val="18"/>
          <w:szCs w:val="18"/>
        </w:rPr>
        <w:t xml:space="preserve">’ (2021) 68 </w:t>
      </w:r>
      <w:r w:rsidR="003B52E3" w:rsidRPr="00F25F47">
        <w:rPr>
          <w:rFonts w:ascii="Garamond" w:hAnsi="Garamond"/>
          <w:i/>
          <w:iCs/>
          <w:sz w:val="18"/>
          <w:szCs w:val="18"/>
        </w:rPr>
        <w:t>European Journal of Political Economy</w:t>
      </w:r>
      <w:r w:rsidR="000A695E" w:rsidRPr="00F25F47">
        <w:rPr>
          <w:rFonts w:ascii="Garamond" w:hAnsi="Garamond"/>
          <w:sz w:val="18"/>
          <w:szCs w:val="18"/>
        </w:rPr>
        <w:t xml:space="preserve"> </w:t>
      </w:r>
      <w:r w:rsidR="003B52E3" w:rsidRPr="00F25F47">
        <w:rPr>
          <w:rFonts w:ascii="Garamond" w:hAnsi="Garamond"/>
          <w:sz w:val="18"/>
          <w:szCs w:val="18"/>
        </w:rPr>
        <w:t>101993</w:t>
      </w:r>
      <w:r w:rsidR="000A695E" w:rsidRPr="00F25F47">
        <w:rPr>
          <w:rFonts w:ascii="Garamond" w:hAnsi="Garamond"/>
          <w:sz w:val="18"/>
          <w:szCs w:val="18"/>
        </w:rPr>
        <w:t>.</w:t>
      </w:r>
    </w:p>
  </w:footnote>
  <w:footnote w:id="66">
    <w:p w14:paraId="59D80DB7" w14:textId="7A042818" w:rsidR="003B52E3" w:rsidRPr="00F25F47" w:rsidRDefault="003B52E3" w:rsidP="002D1B08">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8850BD" w:rsidRPr="00F25F47">
        <w:rPr>
          <w:rFonts w:ascii="Garamond" w:hAnsi="Garamond"/>
          <w:sz w:val="18"/>
          <w:szCs w:val="18"/>
        </w:rPr>
        <w:tab/>
      </w:r>
      <w:r w:rsidR="002306C4" w:rsidRPr="00F25F47">
        <w:rPr>
          <w:rFonts w:ascii="Garamond" w:hAnsi="Garamond"/>
          <w:sz w:val="18"/>
          <w:szCs w:val="18"/>
        </w:rPr>
        <w:t>E.g.</w:t>
      </w:r>
      <w:r w:rsidR="002D1B08" w:rsidRPr="00F25F47">
        <w:rPr>
          <w:rFonts w:ascii="Garamond" w:hAnsi="Garamond"/>
          <w:sz w:val="18"/>
          <w:szCs w:val="18"/>
        </w:rPr>
        <w:t xml:space="preserve"> Greco reports mentioned in Proposal for a Council Implementation Decision on measures for the protection of the Union budget against breaches of the principles of the rule of law in Hungary, Brussels, 18.9.2022 COM(2022) 485 final, para 34 and 39.</w:t>
      </w:r>
    </w:p>
  </w:footnote>
  <w:footnote w:id="67">
    <w:p w14:paraId="335A22EE" w14:textId="2C412858" w:rsidR="003B52E3" w:rsidRPr="00F25F47" w:rsidRDefault="003B52E3" w:rsidP="000A695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8850BD" w:rsidRPr="00F25F47">
        <w:rPr>
          <w:rFonts w:ascii="Garamond" w:hAnsi="Garamond"/>
          <w:sz w:val="18"/>
          <w:szCs w:val="18"/>
        </w:rPr>
        <w:tab/>
      </w:r>
      <w:r w:rsidR="006B79BF" w:rsidRPr="00F25F47">
        <w:rPr>
          <w:rFonts w:ascii="Garamond" w:hAnsi="Garamond"/>
          <w:sz w:val="18"/>
          <w:szCs w:val="18"/>
        </w:rPr>
        <w:t>E.g.</w:t>
      </w:r>
      <w:r w:rsidR="008850BD" w:rsidRPr="00F25F47">
        <w:rPr>
          <w:rFonts w:ascii="Garamond" w:hAnsi="Garamond"/>
          <w:sz w:val="18"/>
          <w:szCs w:val="18"/>
        </w:rPr>
        <w:t xml:space="preserve"> </w:t>
      </w:r>
      <w:r w:rsidR="000A695E" w:rsidRPr="00F25F47">
        <w:rPr>
          <w:rFonts w:ascii="Garamond" w:hAnsi="Garamond"/>
          <w:sz w:val="18"/>
          <w:szCs w:val="18"/>
        </w:rPr>
        <w:t xml:space="preserve">E. </w:t>
      </w:r>
      <w:r w:rsidR="008850BD" w:rsidRPr="00F25F47">
        <w:rPr>
          <w:rFonts w:ascii="Garamond" w:hAnsi="Garamond"/>
          <w:sz w:val="18"/>
          <w:szCs w:val="18"/>
        </w:rPr>
        <w:t>Dávid-Barrett</w:t>
      </w:r>
      <w:r w:rsidR="000A695E" w:rsidRPr="00F25F47">
        <w:rPr>
          <w:rFonts w:ascii="Garamond" w:hAnsi="Garamond"/>
          <w:sz w:val="18"/>
          <w:szCs w:val="18"/>
        </w:rPr>
        <w:t xml:space="preserve"> and M</w:t>
      </w:r>
      <w:r w:rsidR="009411D3" w:rsidRPr="00F25F47">
        <w:rPr>
          <w:rFonts w:ascii="Garamond" w:hAnsi="Garamond"/>
          <w:sz w:val="18"/>
          <w:szCs w:val="18"/>
        </w:rPr>
        <w:t>.</w:t>
      </w:r>
      <w:r w:rsidR="000A695E" w:rsidRPr="00F25F47">
        <w:rPr>
          <w:rFonts w:ascii="Garamond" w:hAnsi="Garamond"/>
          <w:sz w:val="18"/>
          <w:szCs w:val="18"/>
        </w:rPr>
        <w:t xml:space="preserve"> </w:t>
      </w:r>
      <w:r w:rsidR="008850BD" w:rsidRPr="00F25F47">
        <w:rPr>
          <w:rFonts w:ascii="Garamond" w:hAnsi="Garamond"/>
          <w:sz w:val="18"/>
          <w:szCs w:val="18"/>
        </w:rPr>
        <w:t>Fazekas</w:t>
      </w:r>
      <w:r w:rsidR="000A695E" w:rsidRPr="00F25F47">
        <w:rPr>
          <w:rFonts w:ascii="Garamond" w:hAnsi="Garamond"/>
          <w:sz w:val="18"/>
          <w:szCs w:val="18"/>
        </w:rPr>
        <w:t xml:space="preserve"> ‘</w:t>
      </w:r>
      <w:r w:rsidR="008850BD" w:rsidRPr="00F25F47">
        <w:rPr>
          <w:rFonts w:ascii="Garamond" w:hAnsi="Garamond"/>
          <w:sz w:val="18"/>
          <w:szCs w:val="18"/>
        </w:rPr>
        <w:t xml:space="preserve">Grand </w:t>
      </w:r>
      <w:r w:rsidR="006B79BF" w:rsidRPr="00F25F47">
        <w:rPr>
          <w:rFonts w:ascii="Garamond" w:hAnsi="Garamond"/>
          <w:sz w:val="18"/>
          <w:szCs w:val="18"/>
        </w:rPr>
        <w:t>C</w:t>
      </w:r>
      <w:r w:rsidR="008850BD" w:rsidRPr="00F25F47">
        <w:rPr>
          <w:rFonts w:ascii="Garamond" w:hAnsi="Garamond"/>
          <w:sz w:val="18"/>
          <w:szCs w:val="18"/>
        </w:rPr>
        <w:t xml:space="preserve">orruption and </w:t>
      </w:r>
      <w:r w:rsidR="006B79BF" w:rsidRPr="00F25F47">
        <w:rPr>
          <w:rFonts w:ascii="Garamond" w:hAnsi="Garamond"/>
          <w:sz w:val="18"/>
          <w:szCs w:val="18"/>
        </w:rPr>
        <w:t>G</w:t>
      </w:r>
      <w:r w:rsidR="008850BD" w:rsidRPr="00F25F47">
        <w:rPr>
          <w:rFonts w:ascii="Garamond" w:hAnsi="Garamond"/>
          <w:sz w:val="18"/>
          <w:szCs w:val="18"/>
        </w:rPr>
        <w:t xml:space="preserve">overnment </w:t>
      </w:r>
      <w:r w:rsidR="006B79BF" w:rsidRPr="00F25F47">
        <w:rPr>
          <w:rFonts w:ascii="Garamond" w:hAnsi="Garamond"/>
          <w:sz w:val="18"/>
          <w:szCs w:val="18"/>
        </w:rPr>
        <w:t>C</w:t>
      </w:r>
      <w:r w:rsidR="008850BD" w:rsidRPr="00F25F47">
        <w:rPr>
          <w:rFonts w:ascii="Garamond" w:hAnsi="Garamond"/>
          <w:sz w:val="18"/>
          <w:szCs w:val="18"/>
        </w:rPr>
        <w:t xml:space="preserve">hange: </w:t>
      </w:r>
      <w:r w:rsidR="006B79BF" w:rsidRPr="00F25F47">
        <w:rPr>
          <w:rFonts w:ascii="Garamond" w:hAnsi="Garamond"/>
          <w:sz w:val="18"/>
          <w:szCs w:val="18"/>
        </w:rPr>
        <w:t>A</w:t>
      </w:r>
      <w:r w:rsidR="008850BD" w:rsidRPr="00F25F47">
        <w:rPr>
          <w:rFonts w:ascii="Garamond" w:hAnsi="Garamond"/>
          <w:sz w:val="18"/>
          <w:szCs w:val="18"/>
        </w:rPr>
        <w:t xml:space="preserve">n </w:t>
      </w:r>
      <w:r w:rsidR="006B79BF" w:rsidRPr="00F25F47">
        <w:rPr>
          <w:rFonts w:ascii="Garamond" w:hAnsi="Garamond"/>
          <w:sz w:val="18"/>
          <w:szCs w:val="18"/>
        </w:rPr>
        <w:t>A</w:t>
      </w:r>
      <w:r w:rsidR="008850BD" w:rsidRPr="00F25F47">
        <w:rPr>
          <w:rFonts w:ascii="Garamond" w:hAnsi="Garamond"/>
          <w:sz w:val="18"/>
          <w:szCs w:val="18"/>
        </w:rPr>
        <w:t xml:space="preserve">nalysis of </w:t>
      </w:r>
      <w:r w:rsidR="006B79BF" w:rsidRPr="00F25F47">
        <w:rPr>
          <w:rFonts w:ascii="Garamond" w:hAnsi="Garamond"/>
          <w:sz w:val="18"/>
          <w:szCs w:val="18"/>
        </w:rPr>
        <w:t>P</w:t>
      </w:r>
      <w:r w:rsidR="008850BD" w:rsidRPr="00F25F47">
        <w:rPr>
          <w:rFonts w:ascii="Garamond" w:hAnsi="Garamond"/>
          <w:sz w:val="18"/>
          <w:szCs w:val="18"/>
        </w:rPr>
        <w:t xml:space="preserve">artisan </w:t>
      </w:r>
      <w:r w:rsidR="006B79BF" w:rsidRPr="00F25F47">
        <w:rPr>
          <w:rFonts w:ascii="Garamond" w:hAnsi="Garamond"/>
          <w:sz w:val="18"/>
          <w:szCs w:val="18"/>
        </w:rPr>
        <w:t>F</w:t>
      </w:r>
      <w:r w:rsidR="008850BD" w:rsidRPr="00F25F47">
        <w:rPr>
          <w:rFonts w:ascii="Garamond" w:hAnsi="Garamond"/>
          <w:sz w:val="18"/>
          <w:szCs w:val="18"/>
        </w:rPr>
        <w:t xml:space="preserve">avoritism in </w:t>
      </w:r>
      <w:r w:rsidR="006B79BF" w:rsidRPr="00F25F47">
        <w:rPr>
          <w:rFonts w:ascii="Garamond" w:hAnsi="Garamond"/>
          <w:sz w:val="18"/>
          <w:szCs w:val="18"/>
        </w:rPr>
        <w:t>P</w:t>
      </w:r>
      <w:r w:rsidR="008850BD" w:rsidRPr="00F25F47">
        <w:rPr>
          <w:rFonts w:ascii="Garamond" w:hAnsi="Garamond"/>
          <w:sz w:val="18"/>
          <w:szCs w:val="18"/>
        </w:rPr>
        <w:t xml:space="preserve">ublic </w:t>
      </w:r>
      <w:r w:rsidR="006B79BF" w:rsidRPr="00F25F47">
        <w:rPr>
          <w:rFonts w:ascii="Garamond" w:hAnsi="Garamond"/>
          <w:sz w:val="18"/>
          <w:szCs w:val="18"/>
        </w:rPr>
        <w:t>P</w:t>
      </w:r>
      <w:r w:rsidR="008850BD" w:rsidRPr="00F25F47">
        <w:rPr>
          <w:rFonts w:ascii="Garamond" w:hAnsi="Garamond"/>
          <w:sz w:val="18"/>
          <w:szCs w:val="18"/>
        </w:rPr>
        <w:t>rocurement</w:t>
      </w:r>
      <w:r w:rsidR="000A695E" w:rsidRPr="00F25F47">
        <w:rPr>
          <w:rFonts w:ascii="Garamond" w:hAnsi="Garamond"/>
          <w:sz w:val="18"/>
          <w:szCs w:val="18"/>
        </w:rPr>
        <w:t>’ (2020) 26</w:t>
      </w:r>
      <w:r w:rsidR="008850BD" w:rsidRPr="00F25F47">
        <w:rPr>
          <w:rFonts w:ascii="Garamond" w:hAnsi="Garamond"/>
          <w:sz w:val="18"/>
          <w:szCs w:val="18"/>
        </w:rPr>
        <w:t xml:space="preserve"> </w:t>
      </w:r>
      <w:r w:rsidR="008850BD" w:rsidRPr="00F25F47">
        <w:rPr>
          <w:rFonts w:ascii="Garamond" w:hAnsi="Garamond"/>
          <w:i/>
          <w:iCs/>
          <w:sz w:val="18"/>
          <w:szCs w:val="18"/>
        </w:rPr>
        <w:t>Eur J Crim Policy Res</w:t>
      </w:r>
      <w:r w:rsidR="008850BD" w:rsidRPr="00F25F47">
        <w:rPr>
          <w:rFonts w:ascii="Garamond" w:hAnsi="Garamond"/>
          <w:sz w:val="18"/>
          <w:szCs w:val="18"/>
        </w:rPr>
        <w:t xml:space="preserve"> 411–30.</w:t>
      </w:r>
    </w:p>
  </w:footnote>
  <w:footnote w:id="68">
    <w:p w14:paraId="6A03D9D1" w14:textId="5B97AEAE" w:rsidR="003B52E3" w:rsidRPr="00F25F47" w:rsidRDefault="003B52E3" w:rsidP="000A695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M</w:t>
      </w:r>
      <w:r w:rsidR="009411D3" w:rsidRPr="00F25F47">
        <w:rPr>
          <w:rFonts w:ascii="Garamond" w:hAnsi="Garamond"/>
          <w:sz w:val="18"/>
          <w:szCs w:val="18"/>
        </w:rPr>
        <w:t>.</w:t>
      </w:r>
      <w:r w:rsidRPr="00F25F47">
        <w:rPr>
          <w:rFonts w:ascii="Garamond" w:hAnsi="Garamond"/>
          <w:sz w:val="18"/>
          <w:szCs w:val="18"/>
        </w:rPr>
        <w:t xml:space="preserve"> Bernatt</w:t>
      </w:r>
      <w:r w:rsidR="000A695E" w:rsidRPr="00F25F47">
        <w:rPr>
          <w:rFonts w:ascii="Garamond" w:hAnsi="Garamond"/>
          <w:sz w:val="18"/>
          <w:szCs w:val="18"/>
        </w:rPr>
        <w:t xml:space="preserve"> and</w:t>
      </w:r>
      <w:r w:rsidRPr="00F25F47">
        <w:rPr>
          <w:rFonts w:ascii="Garamond" w:hAnsi="Garamond"/>
          <w:sz w:val="18"/>
          <w:szCs w:val="18"/>
        </w:rPr>
        <w:t xml:space="preserve"> A</w:t>
      </w:r>
      <w:r w:rsidR="009411D3" w:rsidRPr="00F25F47">
        <w:rPr>
          <w:rFonts w:ascii="Garamond" w:hAnsi="Garamond"/>
          <w:sz w:val="18"/>
          <w:szCs w:val="18"/>
        </w:rPr>
        <w:t>.</w:t>
      </w:r>
      <w:r w:rsidRPr="00F25F47">
        <w:rPr>
          <w:rFonts w:ascii="Garamond" w:hAnsi="Garamond"/>
          <w:sz w:val="18"/>
          <w:szCs w:val="18"/>
        </w:rPr>
        <w:t xml:space="preserve"> Jones, </w:t>
      </w:r>
      <w:r w:rsidR="000A695E" w:rsidRPr="00F25F47">
        <w:rPr>
          <w:rFonts w:ascii="Garamond" w:hAnsi="Garamond"/>
          <w:sz w:val="18"/>
          <w:szCs w:val="18"/>
        </w:rPr>
        <w:t>‘</w:t>
      </w:r>
      <w:r w:rsidRPr="00F25F47">
        <w:rPr>
          <w:rFonts w:ascii="Garamond" w:hAnsi="Garamond"/>
          <w:sz w:val="18"/>
          <w:szCs w:val="18"/>
        </w:rPr>
        <w:t xml:space="preserve">Populism and </w:t>
      </w:r>
      <w:r w:rsidR="006B79BF" w:rsidRPr="00F25F47">
        <w:rPr>
          <w:rFonts w:ascii="Garamond" w:hAnsi="Garamond"/>
          <w:sz w:val="18"/>
          <w:szCs w:val="18"/>
        </w:rPr>
        <w:t>P</w:t>
      </w:r>
      <w:r w:rsidRPr="00F25F47">
        <w:rPr>
          <w:rFonts w:ascii="Garamond" w:hAnsi="Garamond"/>
          <w:sz w:val="18"/>
          <w:szCs w:val="18"/>
        </w:rPr>
        <w:t xml:space="preserve">ublic </w:t>
      </w:r>
      <w:r w:rsidR="006B79BF" w:rsidRPr="00F25F47">
        <w:rPr>
          <w:rFonts w:ascii="Garamond" w:hAnsi="Garamond"/>
          <w:sz w:val="18"/>
          <w:szCs w:val="18"/>
        </w:rPr>
        <w:t>P</w:t>
      </w:r>
      <w:r w:rsidRPr="00F25F47">
        <w:rPr>
          <w:rFonts w:ascii="Garamond" w:hAnsi="Garamond"/>
          <w:sz w:val="18"/>
          <w:szCs w:val="18"/>
        </w:rPr>
        <w:t xml:space="preserve">rocurement: </w:t>
      </w:r>
      <w:r w:rsidR="006B79BF" w:rsidRPr="00F25F47">
        <w:rPr>
          <w:rFonts w:ascii="Garamond" w:hAnsi="Garamond"/>
          <w:sz w:val="18"/>
          <w:szCs w:val="18"/>
        </w:rPr>
        <w:t>A</w:t>
      </w:r>
      <w:r w:rsidRPr="00F25F47">
        <w:rPr>
          <w:rFonts w:ascii="Garamond" w:hAnsi="Garamond"/>
          <w:sz w:val="18"/>
          <w:szCs w:val="18"/>
        </w:rPr>
        <w:t xml:space="preserve">n EU </w:t>
      </w:r>
      <w:r w:rsidR="006B79BF" w:rsidRPr="00F25F47">
        <w:rPr>
          <w:rFonts w:ascii="Garamond" w:hAnsi="Garamond"/>
          <w:sz w:val="18"/>
          <w:szCs w:val="18"/>
        </w:rPr>
        <w:t>R</w:t>
      </w:r>
      <w:r w:rsidRPr="00F25F47">
        <w:rPr>
          <w:rFonts w:ascii="Garamond" w:hAnsi="Garamond"/>
          <w:sz w:val="18"/>
          <w:szCs w:val="18"/>
        </w:rPr>
        <w:t xml:space="preserve">esponse to </w:t>
      </w:r>
      <w:r w:rsidR="006B79BF" w:rsidRPr="00F25F47">
        <w:rPr>
          <w:rFonts w:ascii="Garamond" w:hAnsi="Garamond"/>
          <w:sz w:val="18"/>
          <w:szCs w:val="18"/>
        </w:rPr>
        <w:t>I</w:t>
      </w:r>
      <w:r w:rsidRPr="00F25F47">
        <w:rPr>
          <w:rFonts w:ascii="Garamond" w:hAnsi="Garamond"/>
          <w:sz w:val="18"/>
          <w:szCs w:val="18"/>
        </w:rPr>
        <w:t xml:space="preserve">ncreased </w:t>
      </w:r>
      <w:r w:rsidR="006B79BF" w:rsidRPr="00F25F47">
        <w:rPr>
          <w:rFonts w:ascii="Garamond" w:hAnsi="Garamond"/>
          <w:sz w:val="18"/>
          <w:szCs w:val="18"/>
        </w:rPr>
        <w:t>C</w:t>
      </w:r>
      <w:r w:rsidRPr="00F25F47">
        <w:rPr>
          <w:rFonts w:ascii="Garamond" w:hAnsi="Garamond"/>
          <w:sz w:val="18"/>
          <w:szCs w:val="18"/>
        </w:rPr>
        <w:t xml:space="preserve">orruption and </w:t>
      </w:r>
      <w:r w:rsidR="006B79BF" w:rsidRPr="00F25F47">
        <w:rPr>
          <w:rFonts w:ascii="Garamond" w:hAnsi="Garamond"/>
          <w:sz w:val="18"/>
          <w:szCs w:val="18"/>
        </w:rPr>
        <w:t>C</w:t>
      </w:r>
      <w:r w:rsidRPr="00F25F47">
        <w:rPr>
          <w:rFonts w:ascii="Garamond" w:hAnsi="Garamond"/>
          <w:sz w:val="18"/>
          <w:szCs w:val="18"/>
        </w:rPr>
        <w:t xml:space="preserve">ollusion </w:t>
      </w:r>
      <w:r w:rsidR="006B79BF" w:rsidRPr="00F25F47">
        <w:rPr>
          <w:rFonts w:ascii="Garamond" w:hAnsi="Garamond"/>
          <w:sz w:val="18"/>
          <w:szCs w:val="18"/>
        </w:rPr>
        <w:t>R</w:t>
      </w:r>
      <w:r w:rsidRPr="00F25F47">
        <w:rPr>
          <w:rFonts w:ascii="Garamond" w:hAnsi="Garamond"/>
          <w:sz w:val="18"/>
          <w:szCs w:val="18"/>
        </w:rPr>
        <w:t>isks in Hungary and Poland</w:t>
      </w:r>
      <w:r w:rsidR="000A695E" w:rsidRPr="00F25F47">
        <w:rPr>
          <w:rFonts w:ascii="Garamond" w:hAnsi="Garamond"/>
          <w:sz w:val="18"/>
          <w:szCs w:val="18"/>
        </w:rPr>
        <w:t>’ (2022) 41</w:t>
      </w:r>
      <w:r w:rsidRPr="00F25F47">
        <w:rPr>
          <w:rFonts w:ascii="Garamond" w:hAnsi="Garamond"/>
          <w:sz w:val="18"/>
          <w:szCs w:val="18"/>
        </w:rPr>
        <w:t xml:space="preserve"> </w:t>
      </w:r>
      <w:r w:rsidRPr="00F25F47">
        <w:rPr>
          <w:rFonts w:ascii="Garamond" w:hAnsi="Garamond"/>
          <w:i/>
          <w:iCs/>
          <w:sz w:val="18"/>
          <w:szCs w:val="18"/>
        </w:rPr>
        <w:t>Yearbook of European Law</w:t>
      </w:r>
      <w:r w:rsidRPr="00F25F47">
        <w:rPr>
          <w:rFonts w:ascii="Garamond" w:hAnsi="Garamond"/>
          <w:sz w:val="18"/>
          <w:szCs w:val="18"/>
        </w:rPr>
        <w:t xml:space="preserve"> 11–47</w:t>
      </w:r>
      <w:r w:rsidR="000A695E" w:rsidRPr="00F25F47">
        <w:rPr>
          <w:rFonts w:ascii="Garamond" w:hAnsi="Garamond"/>
          <w:sz w:val="18"/>
          <w:szCs w:val="18"/>
        </w:rPr>
        <w:t>.</w:t>
      </w:r>
    </w:p>
  </w:footnote>
  <w:footnote w:id="69">
    <w:p w14:paraId="47BCB5EC" w14:textId="29ADEDF0" w:rsidR="003B52E3" w:rsidRPr="00F25F47" w:rsidRDefault="003B52E3">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w:t>
      </w:r>
    </w:p>
  </w:footnote>
  <w:footnote w:id="70">
    <w:p w14:paraId="6F035B38" w14:textId="3C938709" w:rsidR="003B52E3" w:rsidRPr="00F25F47" w:rsidRDefault="003B52E3" w:rsidP="00E27F8F">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487848" w:rsidRPr="00F25F47">
        <w:rPr>
          <w:rFonts w:ascii="Garamond" w:hAnsi="Garamond"/>
          <w:sz w:val="18"/>
          <w:szCs w:val="18"/>
        </w:rPr>
        <w:t>E.g.</w:t>
      </w:r>
      <w:r w:rsidR="00E27F8F" w:rsidRPr="00F25F47">
        <w:rPr>
          <w:rFonts w:ascii="Garamond" w:hAnsi="Garamond"/>
          <w:sz w:val="18"/>
          <w:szCs w:val="18"/>
        </w:rPr>
        <w:t xml:space="preserve"> Proposal for a Council Implementation Decision on measures for the protection of the Union budget against breaches of the principles of the rule of law in Hungary, Brussels, 18.9.2022 COM(2022) 485 final, recital (5), section 2.1, para 57-60 etc.</w:t>
      </w:r>
    </w:p>
  </w:footnote>
  <w:footnote w:id="71">
    <w:p w14:paraId="5A12B3F8" w14:textId="24ADF088" w:rsidR="00CA2E61" w:rsidRPr="00F25F47" w:rsidRDefault="00CA2E61" w:rsidP="00C95634">
      <w:pPr>
        <w:pStyle w:val="FootnoteText"/>
        <w:ind w:left="720" w:hanging="720"/>
        <w:jc w:val="both"/>
        <w:rPr>
          <w:rFonts w:ascii="Garamond" w:hAnsi="Garamond"/>
          <w:sz w:val="18"/>
          <w:szCs w:val="18"/>
          <w:lang w:val="fr-FR"/>
        </w:rPr>
      </w:pPr>
      <w:r w:rsidRPr="00F25F47">
        <w:rPr>
          <w:rStyle w:val="FootnoteReference"/>
          <w:rFonts w:ascii="Garamond" w:hAnsi="Garamond"/>
          <w:sz w:val="18"/>
          <w:szCs w:val="18"/>
        </w:rPr>
        <w:footnoteRef/>
      </w:r>
      <w:r w:rsidRPr="00F25F47">
        <w:rPr>
          <w:rFonts w:ascii="Garamond" w:hAnsi="Garamond"/>
          <w:sz w:val="18"/>
          <w:szCs w:val="18"/>
          <w:lang w:val="fr-FR"/>
        </w:rPr>
        <w:t xml:space="preserve"> </w:t>
      </w:r>
      <w:r w:rsidR="000921B1" w:rsidRPr="00F25F47">
        <w:rPr>
          <w:rFonts w:ascii="Garamond" w:hAnsi="Garamond"/>
          <w:sz w:val="18"/>
          <w:szCs w:val="18"/>
          <w:lang w:val="fr-FR"/>
        </w:rPr>
        <w:tab/>
      </w:r>
      <w:r w:rsidRPr="00F25F47">
        <w:rPr>
          <w:rFonts w:ascii="Garamond" w:hAnsi="Garamond"/>
          <w:sz w:val="18"/>
          <w:szCs w:val="18"/>
          <w:lang w:val="fr-FR"/>
        </w:rPr>
        <w:t xml:space="preserve">CJEU, C-77/ 11, </w:t>
      </w:r>
      <w:r w:rsidRPr="00F25F47">
        <w:rPr>
          <w:rFonts w:ascii="Garamond" w:hAnsi="Garamond"/>
          <w:i/>
          <w:iCs/>
          <w:sz w:val="18"/>
          <w:szCs w:val="18"/>
          <w:lang w:val="fr-FR"/>
        </w:rPr>
        <w:t xml:space="preserve">Council v Parliament, </w:t>
      </w:r>
      <w:r w:rsidRPr="00F25F47">
        <w:rPr>
          <w:rFonts w:ascii="Garamond" w:hAnsi="Garamond"/>
          <w:sz w:val="18"/>
          <w:szCs w:val="18"/>
          <w:lang w:val="fr-FR"/>
        </w:rPr>
        <w:t>17 September 2013, EU:C:2013:559 [59]</w:t>
      </w:r>
      <w:r w:rsidR="00E27F8F" w:rsidRPr="00F25F47">
        <w:rPr>
          <w:rFonts w:ascii="Garamond" w:hAnsi="Garamond"/>
          <w:sz w:val="18"/>
          <w:szCs w:val="18"/>
          <w:lang w:val="fr-FR"/>
        </w:rPr>
        <w:t xml:space="preserve">. </w:t>
      </w:r>
      <w:r w:rsidR="00E27F8F" w:rsidRPr="00F25F47">
        <w:rPr>
          <w:rFonts w:ascii="Garamond" w:hAnsi="Garamond"/>
          <w:i/>
          <w:iCs/>
          <w:sz w:val="18"/>
          <w:szCs w:val="18"/>
          <w:lang w:val="fr-FR"/>
        </w:rPr>
        <w:t>Cfr.</w:t>
      </w:r>
      <w:r w:rsidR="00E27F8F" w:rsidRPr="00F25F47">
        <w:rPr>
          <w:rFonts w:ascii="Garamond" w:hAnsi="Garamond"/>
          <w:sz w:val="18"/>
          <w:szCs w:val="18"/>
          <w:lang w:val="fr-FR"/>
        </w:rPr>
        <w:t xml:space="preserve"> Article 314 (9) TFEU.</w:t>
      </w:r>
    </w:p>
  </w:footnote>
  <w:footnote w:id="72">
    <w:p w14:paraId="6B6646A9" w14:textId="5A81DD94" w:rsidR="00CA2E61" w:rsidRPr="0054172A" w:rsidRDefault="00CA2E61">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0921B1" w:rsidRPr="00F25F47">
        <w:rPr>
          <w:rFonts w:ascii="Garamond" w:hAnsi="Garamond"/>
          <w:sz w:val="18"/>
          <w:szCs w:val="18"/>
        </w:rPr>
        <w:tab/>
      </w:r>
      <w:r w:rsidR="000921B1" w:rsidRPr="0054172A">
        <w:rPr>
          <w:rFonts w:ascii="Garamond" w:hAnsi="Garamond"/>
          <w:sz w:val="18"/>
          <w:szCs w:val="18"/>
        </w:rPr>
        <w:t xml:space="preserve">R. Crowe, ‘An EU </w:t>
      </w:r>
      <w:r w:rsidR="006B79BF" w:rsidRPr="0054172A">
        <w:rPr>
          <w:rFonts w:ascii="Garamond" w:hAnsi="Garamond"/>
          <w:sz w:val="18"/>
          <w:szCs w:val="18"/>
        </w:rPr>
        <w:t>B</w:t>
      </w:r>
      <w:r w:rsidR="000921B1" w:rsidRPr="0054172A">
        <w:rPr>
          <w:rFonts w:ascii="Garamond" w:hAnsi="Garamond"/>
          <w:sz w:val="18"/>
          <w:szCs w:val="18"/>
        </w:rPr>
        <w:t xml:space="preserve">udget of </w:t>
      </w:r>
      <w:r w:rsidR="006B79BF" w:rsidRPr="0054172A">
        <w:rPr>
          <w:rFonts w:ascii="Garamond" w:hAnsi="Garamond"/>
          <w:sz w:val="18"/>
          <w:szCs w:val="18"/>
        </w:rPr>
        <w:t>S</w:t>
      </w:r>
      <w:r w:rsidR="000921B1" w:rsidRPr="0054172A">
        <w:rPr>
          <w:rFonts w:ascii="Garamond" w:hAnsi="Garamond"/>
          <w:sz w:val="18"/>
          <w:szCs w:val="18"/>
        </w:rPr>
        <w:t xml:space="preserve">tates and </w:t>
      </w:r>
      <w:r w:rsidR="006B79BF" w:rsidRPr="0054172A">
        <w:rPr>
          <w:rFonts w:ascii="Garamond" w:hAnsi="Garamond"/>
          <w:sz w:val="18"/>
          <w:szCs w:val="18"/>
        </w:rPr>
        <w:t>C</w:t>
      </w:r>
      <w:r w:rsidR="000921B1" w:rsidRPr="0054172A">
        <w:rPr>
          <w:rFonts w:ascii="Garamond" w:hAnsi="Garamond"/>
          <w:sz w:val="18"/>
          <w:szCs w:val="18"/>
        </w:rPr>
        <w:t>itizens’ (2020) (26)</w:t>
      </w:r>
      <w:r w:rsidR="000921B1" w:rsidRPr="0054172A">
        <w:rPr>
          <w:rFonts w:ascii="Garamond" w:hAnsi="Garamond"/>
          <w:i/>
          <w:iCs/>
          <w:sz w:val="18"/>
          <w:szCs w:val="18"/>
        </w:rPr>
        <w:t xml:space="preserve"> Eur Law J</w:t>
      </w:r>
      <w:r w:rsidR="000921B1" w:rsidRPr="0054172A">
        <w:rPr>
          <w:rFonts w:ascii="Garamond" w:hAnsi="Garamond"/>
          <w:sz w:val="18"/>
          <w:szCs w:val="18"/>
        </w:rPr>
        <w:t xml:space="preserve"> 331–44, </w:t>
      </w:r>
      <w:r w:rsidRPr="0054172A">
        <w:rPr>
          <w:rFonts w:ascii="Garamond" w:hAnsi="Garamond"/>
          <w:sz w:val="18"/>
          <w:szCs w:val="18"/>
        </w:rPr>
        <w:t>331.</w:t>
      </w:r>
    </w:p>
  </w:footnote>
  <w:footnote w:id="73">
    <w:p w14:paraId="016C7FC5" w14:textId="6ABBFE4F" w:rsidR="00E87BC1" w:rsidRPr="0054172A" w:rsidRDefault="00E87BC1" w:rsidP="0054172A">
      <w:pPr>
        <w:pStyle w:val="FootnoteText"/>
        <w:ind w:left="720" w:hanging="720"/>
        <w:jc w:val="both"/>
        <w:rPr>
          <w:rFonts w:ascii="Garamond" w:hAnsi="Garamond"/>
          <w:sz w:val="18"/>
          <w:szCs w:val="18"/>
        </w:rPr>
      </w:pPr>
      <w:r w:rsidRPr="0054172A">
        <w:rPr>
          <w:rStyle w:val="FootnoteReference"/>
          <w:rFonts w:ascii="Garamond" w:hAnsi="Garamond"/>
          <w:sz w:val="18"/>
          <w:szCs w:val="18"/>
        </w:rPr>
        <w:footnoteRef/>
      </w:r>
      <w:r w:rsidRPr="0054172A">
        <w:rPr>
          <w:rFonts w:ascii="Garamond" w:hAnsi="Garamond"/>
          <w:sz w:val="18"/>
          <w:szCs w:val="18"/>
        </w:rPr>
        <w:t xml:space="preserve"> </w:t>
      </w:r>
      <w:r w:rsidRPr="0054172A">
        <w:rPr>
          <w:rFonts w:ascii="Garamond" w:hAnsi="Garamond"/>
          <w:sz w:val="18"/>
          <w:szCs w:val="18"/>
        </w:rPr>
        <w:tab/>
        <w:t xml:space="preserve">The European Court of Audit distinguishes between the non-repayable support part of </w:t>
      </w:r>
      <w:proofErr w:type="spellStart"/>
      <w:r w:rsidRPr="0054172A">
        <w:rPr>
          <w:rFonts w:ascii="Garamond" w:hAnsi="Garamond"/>
          <w:sz w:val="18"/>
          <w:szCs w:val="18"/>
        </w:rPr>
        <w:t>NextGenEU</w:t>
      </w:r>
      <w:proofErr w:type="spellEnd"/>
      <w:r w:rsidRPr="0054172A">
        <w:rPr>
          <w:rFonts w:ascii="Garamond" w:hAnsi="Garamond"/>
          <w:sz w:val="18"/>
          <w:szCs w:val="18"/>
        </w:rPr>
        <w:t xml:space="preserve"> financed by loans (on budget) on the one hand and the Recovery and Resilience Facility (RRF) loans financed by </w:t>
      </w:r>
      <w:proofErr w:type="spellStart"/>
      <w:r w:rsidRPr="0054172A">
        <w:rPr>
          <w:rFonts w:ascii="Garamond" w:hAnsi="Garamond"/>
          <w:sz w:val="18"/>
          <w:szCs w:val="18"/>
        </w:rPr>
        <w:t>NextGenEU</w:t>
      </w:r>
      <w:proofErr w:type="spellEnd"/>
      <w:r w:rsidRPr="0054172A">
        <w:rPr>
          <w:rFonts w:ascii="Garamond" w:hAnsi="Garamond"/>
          <w:sz w:val="18"/>
          <w:szCs w:val="18"/>
        </w:rPr>
        <w:t xml:space="preserve"> borrowing (off budget) on the other hand (see ECA, </w:t>
      </w:r>
      <w:r w:rsidRPr="0054172A">
        <w:rPr>
          <w:rFonts w:ascii="Garamond" w:hAnsi="Garamond"/>
          <w:i/>
          <w:iCs/>
          <w:sz w:val="18"/>
          <w:szCs w:val="18"/>
        </w:rPr>
        <w:t>The EU’s Financial Landscape – A Patchwork Construction Requiring Further Simplification and Accountability</w:t>
      </w:r>
      <w:r w:rsidRPr="0054172A">
        <w:rPr>
          <w:rFonts w:ascii="Garamond" w:hAnsi="Garamond"/>
          <w:sz w:val="18"/>
          <w:szCs w:val="18"/>
        </w:rPr>
        <w:t>, 2023, paras 17 and 18).</w:t>
      </w:r>
    </w:p>
  </w:footnote>
  <w:footnote w:id="74">
    <w:p w14:paraId="027F4572" w14:textId="58594541" w:rsidR="00E65D04" w:rsidRPr="0054172A" w:rsidRDefault="00E65D04">
      <w:pPr>
        <w:pStyle w:val="FootnoteText"/>
        <w:rPr>
          <w:rFonts w:ascii="Garamond" w:hAnsi="Garamond"/>
          <w:sz w:val="18"/>
          <w:szCs w:val="18"/>
        </w:rPr>
      </w:pPr>
      <w:r w:rsidRPr="0054172A">
        <w:rPr>
          <w:rStyle w:val="FootnoteReference"/>
          <w:rFonts w:ascii="Garamond" w:hAnsi="Garamond"/>
          <w:sz w:val="18"/>
          <w:szCs w:val="18"/>
        </w:rPr>
        <w:footnoteRef/>
      </w:r>
      <w:r w:rsidRPr="0054172A">
        <w:rPr>
          <w:rFonts w:ascii="Garamond" w:hAnsi="Garamond"/>
          <w:sz w:val="18"/>
          <w:szCs w:val="18"/>
        </w:rPr>
        <w:t xml:space="preserve"> </w:t>
      </w:r>
      <w:r w:rsidR="001828D1" w:rsidRPr="0054172A">
        <w:rPr>
          <w:rFonts w:ascii="Garamond" w:hAnsi="Garamond"/>
          <w:sz w:val="18"/>
          <w:szCs w:val="18"/>
        </w:rPr>
        <w:tab/>
        <w:t>Article 311 TFEU.</w:t>
      </w:r>
    </w:p>
  </w:footnote>
  <w:footnote w:id="75">
    <w:p w14:paraId="2F9479E0" w14:textId="6647E7F9" w:rsidR="00E65D04" w:rsidRPr="00F25F47" w:rsidRDefault="00E65D04" w:rsidP="001F184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0921B1" w:rsidRPr="00F25F47">
        <w:rPr>
          <w:rFonts w:ascii="Garamond" w:hAnsi="Garamond"/>
          <w:sz w:val="18"/>
          <w:szCs w:val="18"/>
        </w:rPr>
        <w:tab/>
      </w:r>
      <w:r w:rsidR="00F90AB2" w:rsidRPr="00F25F47">
        <w:rPr>
          <w:rFonts w:ascii="Garamond" w:hAnsi="Garamond"/>
          <w:sz w:val="18"/>
          <w:szCs w:val="18"/>
        </w:rPr>
        <w:t xml:space="preserve">Opening remarks by Commissioner Hahn at the Annual EU Budget Conference 2024 available at </w:t>
      </w:r>
      <w:hyperlink r:id="rId11" w:history="1">
        <w:r w:rsidR="001F1844" w:rsidRPr="00F25F47">
          <w:rPr>
            <w:rStyle w:val="Hyperlink"/>
            <w:rFonts w:ascii="Garamond" w:hAnsi="Garamond"/>
            <w:sz w:val="18"/>
            <w:szCs w:val="18"/>
          </w:rPr>
          <w:t>https://ec.europa.eu/commission/presscorner/detail/en/SPEECH_24_2361</w:t>
        </w:r>
      </w:hyperlink>
      <w:r w:rsidR="001F1844" w:rsidRPr="00F25F47">
        <w:rPr>
          <w:rFonts w:ascii="Garamond" w:hAnsi="Garamond"/>
          <w:sz w:val="18"/>
          <w:szCs w:val="18"/>
        </w:rPr>
        <w:t>. The exact phrasing is the following one: ‘let us envision our future together – cast in budgetary figures!’</w:t>
      </w:r>
    </w:p>
  </w:footnote>
  <w:footnote w:id="76">
    <w:p w14:paraId="05EBD0BE" w14:textId="74ED5897" w:rsidR="00A46BBE" w:rsidRPr="00F25F47" w:rsidRDefault="00A46BBE" w:rsidP="00A46BBE">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Opinion of AG Campos Sanchez-Bordona, C</w:t>
      </w:r>
      <w:r w:rsidRPr="00F25F47">
        <w:rPr>
          <w:rFonts w:ascii="Garamond" w:hAnsi="Garamond"/>
          <w:sz w:val="18"/>
          <w:szCs w:val="18"/>
        </w:rPr>
        <w:noBreakHyphen/>
        <w:t xml:space="preserve">156/21, 2 December 2021, </w:t>
      </w:r>
      <w:r w:rsidRPr="00F25F47">
        <w:rPr>
          <w:rFonts w:ascii="Garamond" w:hAnsi="Garamond"/>
          <w:i/>
          <w:iCs/>
          <w:sz w:val="18"/>
          <w:szCs w:val="18"/>
        </w:rPr>
        <w:t>Hungary v European Parliament and Council of the European Union</w:t>
      </w:r>
      <w:r w:rsidRPr="00F25F47">
        <w:rPr>
          <w:rFonts w:ascii="Garamond" w:hAnsi="Garamond"/>
          <w:sz w:val="18"/>
          <w:szCs w:val="18"/>
        </w:rPr>
        <w:t>,</w:t>
      </w:r>
      <w:r w:rsidRPr="00F25F47">
        <w:rPr>
          <w:rFonts w:ascii="Garamond" w:hAnsi="Garamond"/>
          <w:b/>
          <w:bCs/>
          <w:sz w:val="18"/>
          <w:szCs w:val="18"/>
        </w:rPr>
        <w:t xml:space="preserve"> </w:t>
      </w:r>
      <w:r w:rsidRPr="00F25F47">
        <w:rPr>
          <w:rFonts w:ascii="Garamond" w:hAnsi="Garamond"/>
          <w:sz w:val="18"/>
          <w:szCs w:val="18"/>
        </w:rPr>
        <w:t>ECLI:EU:C:2021:974 [96]</w:t>
      </w:r>
      <w:r w:rsidR="003B34AF" w:rsidRPr="00F25F47">
        <w:rPr>
          <w:rFonts w:ascii="Garamond" w:hAnsi="Garamond"/>
          <w:sz w:val="18"/>
          <w:szCs w:val="18"/>
        </w:rPr>
        <w:t xml:space="preserve"> (footnote omitted).</w:t>
      </w:r>
    </w:p>
  </w:footnote>
  <w:footnote w:id="77">
    <w:p w14:paraId="1C32FD47" w14:textId="7ED59F5D" w:rsidR="00EC6639" w:rsidRPr="00F25F47" w:rsidRDefault="00EC6639" w:rsidP="00EC6639">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r w:rsidR="006B79BF" w:rsidRPr="00F25F47">
        <w:rPr>
          <w:rFonts w:ascii="Garamond" w:hAnsi="Garamond"/>
          <w:sz w:val="18"/>
          <w:szCs w:val="18"/>
        </w:rPr>
        <w:t>Ibid</w:t>
      </w:r>
      <w:r w:rsidRPr="00F25F47">
        <w:rPr>
          <w:rFonts w:ascii="Garamond" w:hAnsi="Garamond"/>
          <w:sz w:val="18"/>
          <w:szCs w:val="18"/>
        </w:rPr>
        <w:t xml:space="preserve"> [110].</w:t>
      </w:r>
    </w:p>
  </w:footnote>
  <w:footnote w:id="78">
    <w:p w14:paraId="72D24C88" w14:textId="28FB8CA5" w:rsidR="00EC6639" w:rsidRPr="00F25F47" w:rsidRDefault="00EC6639">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[113] - [114].</w:t>
      </w:r>
    </w:p>
  </w:footnote>
  <w:footnote w:id="79">
    <w:p w14:paraId="1BE35D90" w14:textId="169B2FA4" w:rsidR="00EC6639" w:rsidRPr="00F25F47" w:rsidRDefault="00EC6639">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Ibid [115].</w:t>
      </w:r>
    </w:p>
  </w:footnote>
  <w:footnote w:id="80">
    <w:p w14:paraId="53E7B7C1" w14:textId="0EBD47D3" w:rsidR="00E65D04" w:rsidRPr="00F25F47" w:rsidRDefault="00E65D04">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E27F8F" w:rsidRPr="00F25F47">
        <w:rPr>
          <w:rFonts w:ascii="Garamond" w:hAnsi="Garamond"/>
          <w:sz w:val="18"/>
          <w:szCs w:val="18"/>
        </w:rPr>
        <w:tab/>
        <w:t>Recital 7.</w:t>
      </w:r>
    </w:p>
  </w:footnote>
  <w:footnote w:id="81">
    <w:p w14:paraId="7840F0AA" w14:textId="420EB181" w:rsidR="00487D97" w:rsidRPr="00F25F47" w:rsidRDefault="00487D97">
      <w:pPr>
        <w:pStyle w:val="FootnoteText"/>
        <w:rPr>
          <w:rFonts w:ascii="Garamond" w:hAnsi="Garamond"/>
          <w:sz w:val="18"/>
          <w:szCs w:val="18"/>
        </w:rPr>
      </w:pPr>
      <w:r w:rsidRPr="00F25F47">
        <w:rPr>
          <w:rStyle w:val="FootnoteReference"/>
          <w:rFonts w:ascii="Garamond" w:hAnsi="Garamond"/>
          <w:sz w:val="18"/>
          <w:szCs w:val="18"/>
        </w:rPr>
        <w:footnoteRef/>
      </w:r>
      <w:r w:rsidRPr="00F25F47">
        <w:rPr>
          <w:rStyle w:val="FootnoteReference"/>
          <w:rFonts w:ascii="Garamond" w:hAnsi="Garamond"/>
          <w:sz w:val="18"/>
          <w:szCs w:val="18"/>
        </w:rPr>
        <w:t xml:space="preserve"> </w:t>
      </w:r>
      <w:r w:rsidR="00487848" w:rsidRPr="00F25F47">
        <w:rPr>
          <w:rFonts w:ascii="Garamond" w:hAnsi="Garamond"/>
          <w:sz w:val="18"/>
          <w:szCs w:val="18"/>
        </w:rPr>
        <w:tab/>
        <w:t>Article 314 (9) TFEU.</w:t>
      </w:r>
    </w:p>
  </w:footnote>
  <w:footnote w:id="82">
    <w:p w14:paraId="19BC3E78" w14:textId="5C97E5E9" w:rsidR="000921B1" w:rsidRPr="00F25F47" w:rsidRDefault="00E65D04" w:rsidP="00C9563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5409E2" w:rsidRPr="00F25F47">
        <w:rPr>
          <w:rFonts w:ascii="Garamond" w:hAnsi="Garamond"/>
          <w:sz w:val="18"/>
          <w:szCs w:val="18"/>
        </w:rPr>
        <w:t xml:space="preserve"> </w:t>
      </w:r>
      <w:r w:rsidR="005409E2" w:rsidRPr="00F25F47">
        <w:rPr>
          <w:rFonts w:ascii="Garamond" w:hAnsi="Garamond"/>
          <w:sz w:val="18"/>
          <w:szCs w:val="18"/>
        </w:rPr>
        <w:tab/>
        <w:t>Regulation 2021/241 of the European Parliament and of the Council of 12 February 2021 establishing the Recovery and Resilience Facility</w:t>
      </w:r>
      <w:r w:rsidR="00B207E6" w:rsidRPr="00F25F47">
        <w:rPr>
          <w:rFonts w:ascii="Garamond" w:hAnsi="Garamond"/>
          <w:sz w:val="18"/>
          <w:szCs w:val="18"/>
        </w:rPr>
        <w:t xml:space="preserve">. </w:t>
      </w:r>
      <w:r w:rsidR="000921B1" w:rsidRPr="00F25F47">
        <w:rPr>
          <w:rFonts w:ascii="Garamond" w:hAnsi="Garamond"/>
          <w:sz w:val="18"/>
          <w:szCs w:val="18"/>
        </w:rPr>
        <w:t xml:space="preserve">the European Court of Audit distinguishes between the non-repayable support part of NextGenEU financed by loans (on budget) on the one hand and the Recovery and Resilience Facility (RRF) loans financed by NextGenEU borrowing (off budget) on the other hand (see ECA, </w:t>
      </w:r>
      <w:r w:rsidR="000921B1" w:rsidRPr="00F25F47">
        <w:rPr>
          <w:rFonts w:ascii="Garamond" w:hAnsi="Garamond"/>
          <w:i/>
          <w:iCs/>
          <w:sz w:val="18"/>
          <w:szCs w:val="18"/>
        </w:rPr>
        <w:t>The EU’s Financial Landscape – A Patchwork Construction Requiring Further Simplification and Accountability</w:t>
      </w:r>
      <w:r w:rsidR="000921B1" w:rsidRPr="00F25F47">
        <w:rPr>
          <w:rFonts w:ascii="Garamond" w:hAnsi="Garamond"/>
          <w:sz w:val="18"/>
          <w:szCs w:val="18"/>
        </w:rPr>
        <w:t>, 2023, paras 17 and 18).</w:t>
      </w:r>
    </w:p>
  </w:footnote>
  <w:footnote w:id="83">
    <w:p w14:paraId="4DA5FD11" w14:textId="03A548EE" w:rsidR="00E65D04" w:rsidRPr="00F25F47" w:rsidRDefault="00E65D04">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2D1B08" w:rsidRPr="00F25F47">
        <w:rPr>
          <w:rFonts w:ascii="Garamond" w:hAnsi="Garamond"/>
          <w:sz w:val="18"/>
          <w:szCs w:val="18"/>
        </w:rPr>
        <w:tab/>
        <w:t xml:space="preserve">ECA, </w:t>
      </w:r>
      <w:r w:rsidR="002D1B08" w:rsidRPr="00F25F47">
        <w:rPr>
          <w:rFonts w:ascii="Garamond" w:hAnsi="Garamond"/>
          <w:i/>
          <w:iCs/>
          <w:sz w:val="18"/>
          <w:szCs w:val="18"/>
        </w:rPr>
        <w:t>The EU’s Financial Landscape – A Patchwork Construction Requiring Further Simplification and Accountability</w:t>
      </w:r>
      <w:r w:rsidR="002D1B08" w:rsidRPr="00F25F47">
        <w:rPr>
          <w:rFonts w:ascii="Garamond" w:hAnsi="Garamond"/>
          <w:sz w:val="18"/>
          <w:szCs w:val="18"/>
        </w:rPr>
        <w:t>, 2023.</w:t>
      </w:r>
    </w:p>
  </w:footnote>
  <w:footnote w:id="84">
    <w:p w14:paraId="0B1E3FF2" w14:textId="348C4FBE" w:rsidR="00A56343" w:rsidRPr="00F25F47" w:rsidRDefault="00A56343" w:rsidP="002D1B08">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2D1B08" w:rsidRPr="00F25F47">
        <w:rPr>
          <w:rFonts w:ascii="Garamond" w:hAnsi="Garamond"/>
          <w:sz w:val="18"/>
          <w:szCs w:val="18"/>
        </w:rPr>
        <w:tab/>
      </w:r>
      <w:r w:rsidR="00487848" w:rsidRPr="00F25F47">
        <w:rPr>
          <w:rFonts w:ascii="Garamond" w:hAnsi="Garamond"/>
          <w:sz w:val="18"/>
          <w:szCs w:val="18"/>
        </w:rPr>
        <w:t>E.g.</w:t>
      </w:r>
      <w:r w:rsidR="002D1B08" w:rsidRPr="00F25F47">
        <w:rPr>
          <w:rFonts w:ascii="Garamond" w:hAnsi="Garamond"/>
          <w:sz w:val="18"/>
          <w:szCs w:val="18"/>
        </w:rPr>
        <w:t xml:space="preserve"> L. Baccaro, B. Bremer, and E. Neimanns, ‘Strategic </w:t>
      </w:r>
      <w:r w:rsidR="008A70A7" w:rsidRPr="00F25F47">
        <w:rPr>
          <w:rFonts w:ascii="Garamond" w:hAnsi="Garamond"/>
          <w:sz w:val="18"/>
          <w:szCs w:val="18"/>
        </w:rPr>
        <w:t>I</w:t>
      </w:r>
      <w:r w:rsidR="002D1B08" w:rsidRPr="00F25F47">
        <w:rPr>
          <w:rFonts w:ascii="Garamond" w:hAnsi="Garamond"/>
          <w:sz w:val="18"/>
          <w:szCs w:val="18"/>
        </w:rPr>
        <w:t xml:space="preserve">nterdependence and </w:t>
      </w:r>
      <w:r w:rsidR="008A70A7" w:rsidRPr="00F25F47">
        <w:rPr>
          <w:rFonts w:ascii="Garamond" w:hAnsi="Garamond"/>
          <w:sz w:val="18"/>
          <w:szCs w:val="18"/>
        </w:rPr>
        <w:t>P</w:t>
      </w:r>
      <w:r w:rsidR="002D1B08" w:rsidRPr="00F25F47">
        <w:rPr>
          <w:rFonts w:ascii="Garamond" w:hAnsi="Garamond"/>
          <w:sz w:val="18"/>
          <w:szCs w:val="18"/>
        </w:rPr>
        <w:t xml:space="preserve">references for </w:t>
      </w:r>
      <w:r w:rsidR="008A70A7" w:rsidRPr="00F25F47">
        <w:rPr>
          <w:rFonts w:ascii="Garamond" w:hAnsi="Garamond"/>
          <w:sz w:val="18"/>
          <w:szCs w:val="18"/>
        </w:rPr>
        <w:t>D</w:t>
      </w:r>
      <w:r w:rsidR="002D1B08" w:rsidRPr="00F25F47">
        <w:rPr>
          <w:rFonts w:ascii="Garamond" w:hAnsi="Garamond"/>
          <w:sz w:val="18"/>
          <w:szCs w:val="18"/>
        </w:rPr>
        <w:t xml:space="preserve">ebt </w:t>
      </w:r>
      <w:r w:rsidR="008A70A7" w:rsidRPr="00F25F47">
        <w:rPr>
          <w:rFonts w:ascii="Garamond" w:hAnsi="Garamond"/>
          <w:sz w:val="18"/>
          <w:szCs w:val="18"/>
        </w:rPr>
        <w:t>M</w:t>
      </w:r>
      <w:r w:rsidR="002D1B08" w:rsidRPr="00F25F47">
        <w:rPr>
          <w:rFonts w:ascii="Garamond" w:hAnsi="Garamond"/>
          <w:sz w:val="18"/>
          <w:szCs w:val="18"/>
        </w:rPr>
        <w:t xml:space="preserve">utualization in the </w:t>
      </w:r>
      <w:r w:rsidR="008A70A7" w:rsidRPr="00F25F47">
        <w:rPr>
          <w:rFonts w:ascii="Garamond" w:hAnsi="Garamond"/>
          <w:sz w:val="18"/>
          <w:szCs w:val="18"/>
        </w:rPr>
        <w:t>E</w:t>
      </w:r>
      <w:r w:rsidR="002D1B08" w:rsidRPr="00F25F47">
        <w:rPr>
          <w:rFonts w:ascii="Garamond" w:hAnsi="Garamond"/>
          <w:sz w:val="18"/>
          <w:szCs w:val="18"/>
        </w:rPr>
        <w:t xml:space="preserve">urozone’ (2022) (30:4) </w:t>
      </w:r>
      <w:r w:rsidR="002D1B08" w:rsidRPr="00F25F47">
        <w:rPr>
          <w:rFonts w:ascii="Garamond" w:hAnsi="Garamond"/>
          <w:i/>
          <w:iCs/>
          <w:sz w:val="18"/>
          <w:szCs w:val="18"/>
        </w:rPr>
        <w:t>Review of International Political Economy</w:t>
      </w:r>
      <w:r w:rsidR="002D1B08" w:rsidRPr="00F25F47">
        <w:rPr>
          <w:rFonts w:ascii="Garamond" w:hAnsi="Garamond"/>
          <w:sz w:val="18"/>
          <w:szCs w:val="18"/>
        </w:rPr>
        <w:t xml:space="preserve"> 1459–85.</w:t>
      </w:r>
    </w:p>
  </w:footnote>
  <w:footnote w:id="85">
    <w:p w14:paraId="65B25A7A" w14:textId="23654DBD" w:rsidR="00E65D04" w:rsidRPr="00F25F47" w:rsidRDefault="00E65D04">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1828D1" w:rsidRPr="00F25F47">
        <w:rPr>
          <w:rFonts w:ascii="Garamond" w:hAnsi="Garamond"/>
          <w:sz w:val="18"/>
          <w:szCs w:val="18"/>
        </w:rPr>
        <w:tab/>
        <w:t>Regulation 2020/2094, Recitals 9 and 10, Article 3 (1).</w:t>
      </w:r>
    </w:p>
  </w:footnote>
  <w:footnote w:id="86">
    <w:p w14:paraId="665164F4" w14:textId="249E5557" w:rsidR="00E05D18" w:rsidRPr="00F25F47" w:rsidRDefault="00E05D18" w:rsidP="004461BA">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4461BA" w:rsidRPr="00F25F47">
        <w:rPr>
          <w:rFonts w:ascii="Garamond" w:hAnsi="Garamond"/>
          <w:sz w:val="18"/>
          <w:szCs w:val="18"/>
        </w:rPr>
        <w:t xml:space="preserve"> </w:t>
      </w:r>
      <w:r w:rsidR="004461BA" w:rsidRPr="00F25F47">
        <w:rPr>
          <w:rFonts w:ascii="Garamond" w:hAnsi="Garamond"/>
          <w:sz w:val="18"/>
          <w:szCs w:val="18"/>
        </w:rPr>
        <w:tab/>
        <w:t>Communication from the Commission, Guidelines on the application of the Regulation 2020/2092 on a general regime of conditionality for the protection of the Union budget, Brussels, 2.3.2022 C(2022) 1382 final.</w:t>
      </w:r>
      <w:r w:rsidRPr="00F25F47">
        <w:rPr>
          <w:rFonts w:ascii="Garamond" w:hAnsi="Garamond"/>
          <w:sz w:val="18"/>
          <w:szCs w:val="18"/>
        </w:rPr>
        <w:t xml:space="preserve"> </w:t>
      </w:r>
    </w:p>
  </w:footnote>
  <w:footnote w:id="87">
    <w:p w14:paraId="56B1CDEC" w14:textId="06E9218C" w:rsidR="00E05D18" w:rsidRPr="00F25F47" w:rsidRDefault="00E05D18" w:rsidP="00BC0535">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BC0535" w:rsidRPr="00F25F47">
        <w:rPr>
          <w:rFonts w:ascii="Garamond" w:hAnsi="Garamond"/>
          <w:sz w:val="18"/>
          <w:szCs w:val="18"/>
        </w:rPr>
        <w:tab/>
        <w:t>L. Schramm and W. Wessels, ‘The European Council as a Crisis Manager and Fusion Driver: Assessing the EU’s Fiscal Response to the COVID-19 Pandemic’ (2022)</w:t>
      </w:r>
      <w:r w:rsidR="00BC0535" w:rsidRPr="00F25F47">
        <w:rPr>
          <w:rFonts w:ascii="Garamond" w:hAnsi="Garamond"/>
          <w:i/>
          <w:iCs/>
          <w:sz w:val="18"/>
          <w:szCs w:val="18"/>
        </w:rPr>
        <w:t xml:space="preserve"> (</w:t>
      </w:r>
      <w:r w:rsidR="00BC0535" w:rsidRPr="00F25F47">
        <w:rPr>
          <w:rFonts w:ascii="Garamond" w:hAnsi="Garamond"/>
          <w:sz w:val="18"/>
          <w:szCs w:val="18"/>
        </w:rPr>
        <w:t xml:space="preserve">45:2) </w:t>
      </w:r>
      <w:r w:rsidR="00BC0535" w:rsidRPr="00F25F47">
        <w:rPr>
          <w:rFonts w:ascii="Garamond" w:hAnsi="Garamond"/>
          <w:i/>
          <w:iCs/>
          <w:sz w:val="18"/>
          <w:szCs w:val="18"/>
        </w:rPr>
        <w:t>Journal of European Integration</w:t>
      </w:r>
      <w:r w:rsidR="00BC0535" w:rsidRPr="00F25F47">
        <w:rPr>
          <w:rFonts w:ascii="Garamond" w:hAnsi="Garamond"/>
          <w:sz w:val="18"/>
          <w:szCs w:val="18"/>
        </w:rPr>
        <w:t xml:space="preserve"> 257–73. </w:t>
      </w:r>
    </w:p>
  </w:footnote>
  <w:footnote w:id="88">
    <w:p w14:paraId="7A11C76B" w14:textId="77777777" w:rsidR="00487848" w:rsidRPr="00F25F47" w:rsidRDefault="00487848" w:rsidP="00487848">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CJEU, C</w:t>
      </w:r>
      <w:r w:rsidRPr="00F25F47">
        <w:rPr>
          <w:rFonts w:ascii="Garamond" w:hAnsi="Garamond"/>
          <w:sz w:val="18"/>
          <w:szCs w:val="18"/>
        </w:rPr>
        <w:noBreakHyphen/>
        <w:t xml:space="preserve">157/21, 16 February 2022, </w:t>
      </w:r>
      <w:r w:rsidRPr="00F25F47">
        <w:rPr>
          <w:rFonts w:ascii="Garamond" w:hAnsi="Garamond"/>
          <w:i/>
          <w:iCs/>
          <w:sz w:val="18"/>
          <w:szCs w:val="18"/>
        </w:rPr>
        <w:t>Poland v European Parliament,</w:t>
      </w:r>
      <w:r w:rsidRPr="00F25F47">
        <w:rPr>
          <w:rFonts w:ascii="Garamond" w:hAnsi="Garamond"/>
          <w:sz w:val="18"/>
          <w:szCs w:val="18"/>
        </w:rPr>
        <w:t xml:space="preserve"> </w:t>
      </w:r>
      <w:r w:rsidRPr="00F25F47">
        <w:rPr>
          <w:rStyle w:val="outputecli"/>
          <w:rFonts w:ascii="Garamond" w:hAnsi="Garamond"/>
          <w:sz w:val="18"/>
          <w:szCs w:val="18"/>
        </w:rPr>
        <w:t>ECLI:EU:C:2022:98</w:t>
      </w:r>
      <w:r w:rsidRPr="00F25F47">
        <w:rPr>
          <w:rFonts w:ascii="Garamond" w:hAnsi="Garamond"/>
          <w:sz w:val="18"/>
          <w:szCs w:val="18"/>
        </w:rPr>
        <w:t>, [147].</w:t>
      </w:r>
    </w:p>
  </w:footnote>
  <w:footnote w:id="89">
    <w:p w14:paraId="345F23E6" w14:textId="65CB3B30" w:rsidR="00E05D18" w:rsidRPr="00F25F47" w:rsidRDefault="00E05D18" w:rsidP="004461BA">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4461BA" w:rsidRPr="00F25F47">
        <w:rPr>
          <w:rFonts w:ascii="Garamond" w:hAnsi="Garamond"/>
          <w:sz w:val="18"/>
          <w:szCs w:val="18"/>
        </w:rPr>
        <w:t xml:space="preserve"> </w:t>
      </w:r>
      <w:r w:rsidR="004461BA" w:rsidRPr="00F25F47">
        <w:rPr>
          <w:rFonts w:ascii="Garamond" w:hAnsi="Garamond"/>
          <w:sz w:val="18"/>
          <w:szCs w:val="18"/>
        </w:rPr>
        <w:tab/>
        <w:t>Proposal for a Council Implementation Decision on measures for the protection of the Union budget against breaches of the principles of the rule of law in Hungary, Brussels, 18.9.2022 COM(2022) 485 final.</w:t>
      </w:r>
      <w:r w:rsidRPr="00F25F47">
        <w:rPr>
          <w:rFonts w:ascii="Garamond" w:hAnsi="Garamond"/>
          <w:sz w:val="18"/>
          <w:szCs w:val="18"/>
        </w:rPr>
        <w:t xml:space="preserve"> </w:t>
      </w:r>
    </w:p>
  </w:footnote>
  <w:footnote w:id="90">
    <w:p w14:paraId="11E1AA8E" w14:textId="69E1DF96" w:rsidR="00E05D18" w:rsidRPr="00F25F47" w:rsidRDefault="00E05D18" w:rsidP="004461BA">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4461BA" w:rsidRPr="00F25F47">
        <w:rPr>
          <w:rFonts w:ascii="Garamond" w:hAnsi="Garamond"/>
          <w:sz w:val="18"/>
          <w:szCs w:val="18"/>
        </w:rPr>
        <w:t xml:space="preserve"> </w:t>
      </w:r>
      <w:r w:rsidR="004461BA" w:rsidRPr="00F25F47">
        <w:rPr>
          <w:rFonts w:ascii="Garamond" w:hAnsi="Garamond"/>
          <w:sz w:val="18"/>
          <w:szCs w:val="18"/>
        </w:rPr>
        <w:tab/>
        <w:t xml:space="preserve">Council Implementation Decision 2022/2506 of 15 December 2022. </w:t>
      </w:r>
      <w:hyperlink r:id="rId12" w:history="1">
        <w:r w:rsidR="004461BA" w:rsidRPr="00F25F47">
          <w:rPr>
            <w:rStyle w:val="Hyperlink"/>
            <w:rFonts w:ascii="Garamond" w:hAnsi="Garamond"/>
            <w:sz w:val="18"/>
            <w:szCs w:val="18"/>
          </w:rPr>
          <w:t>https://www.consilium.europa.eu/en/press/press-releases/2022/12/12/rule-of-law-conditionality-mechanism/</w:t>
        </w:r>
      </w:hyperlink>
      <w:r w:rsidR="004461BA" w:rsidRPr="00F25F47">
        <w:rPr>
          <w:rFonts w:ascii="Garamond" w:hAnsi="Garamond"/>
          <w:sz w:val="18"/>
          <w:szCs w:val="18"/>
        </w:rPr>
        <w:t>. The Council decides to suspend €6.3 billion given only partial remedial action by Hungary.</w:t>
      </w:r>
    </w:p>
  </w:footnote>
  <w:footnote w:id="91">
    <w:p w14:paraId="028BCA06" w14:textId="5F56A8B2" w:rsidR="00E05D18" w:rsidRPr="00F25F47" w:rsidRDefault="00E05D18" w:rsidP="005F5FF8">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5F5FF8" w:rsidRPr="00F25F47">
        <w:rPr>
          <w:rFonts w:ascii="Garamond" w:hAnsi="Garamond"/>
          <w:sz w:val="18"/>
          <w:szCs w:val="18"/>
        </w:rPr>
        <w:tab/>
        <w:t>Commission Decision of 13.12.2023 on the reassessment, on the Commission’s initiative, of the fulfilment of the conditions under Article 4 of Regulation (EU, Euratom) 2020/2092 following Council Implementing Decision (EU) 2022/2506 of 15 December 2022 regarding Hungary, Brussels, 13.12.2023 C(2023) 8999 final.</w:t>
      </w:r>
    </w:p>
  </w:footnote>
  <w:footnote w:id="92">
    <w:p w14:paraId="285F6FB0" w14:textId="77777777" w:rsidR="00267740" w:rsidRPr="00F25F47" w:rsidRDefault="00267740" w:rsidP="00267740">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https://ec.europa.eu/commission/presscorner/detail/en/QANDA_23_6466.</w:t>
      </w:r>
    </w:p>
  </w:footnote>
  <w:footnote w:id="93">
    <w:p w14:paraId="3A5B5B89" w14:textId="4452CF9D" w:rsidR="00A30F81" w:rsidRPr="00F25F47" w:rsidRDefault="00A30F81" w:rsidP="00A30F81">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For one possible explanation about the distinct treatment of Poland and Hungary, see e.g. G. Hernandez and C. Closa, ‘Turning Assertive? EU Rule of Law Enforcement in the Aftermath of the War in Ukraine’ (2024) (47:4) </w:t>
      </w:r>
      <w:r w:rsidRPr="00F25F47">
        <w:rPr>
          <w:rFonts w:ascii="Garamond" w:hAnsi="Garamond"/>
          <w:i/>
          <w:iCs/>
          <w:sz w:val="18"/>
          <w:szCs w:val="18"/>
        </w:rPr>
        <w:t xml:space="preserve">West European Politics </w:t>
      </w:r>
      <w:r w:rsidRPr="00F25F47">
        <w:rPr>
          <w:rFonts w:ascii="Garamond" w:hAnsi="Garamond"/>
          <w:sz w:val="18"/>
          <w:szCs w:val="18"/>
        </w:rPr>
        <w:t>967–995.</w:t>
      </w:r>
    </w:p>
  </w:footnote>
  <w:footnote w:id="94">
    <w:p w14:paraId="15C4BA88" w14:textId="711DFC72" w:rsidR="00BC0535" w:rsidRPr="00F25F47" w:rsidRDefault="00BC0535" w:rsidP="00BC0535">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Commission Implementing Decision C(2023) 9014 of 13 December 2023 on the approval and signature of the Commission assessment, in accordance with Article 15(4) of Regulation (EU) 2021/1060, of the fulfilment of the horizontal enabling condition ‘3. Effective application and implementation of the Charter of Fundamental Rights’ with regard to the deficiencies in judicial independence in Hungary.</w:t>
      </w:r>
    </w:p>
  </w:footnote>
  <w:footnote w:id="95">
    <w:p w14:paraId="4EF89F66" w14:textId="2ADC5F89" w:rsidR="00E05D18" w:rsidRPr="00F25F47" w:rsidRDefault="00E05D18">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8F0599" w:rsidRPr="00F25F47">
        <w:rPr>
          <w:rFonts w:ascii="Garamond" w:hAnsi="Garamond"/>
          <w:sz w:val="18"/>
          <w:szCs w:val="18"/>
        </w:rPr>
        <w:tab/>
        <w:t xml:space="preserve">C-225/24, </w:t>
      </w:r>
      <w:r w:rsidR="008F0599" w:rsidRPr="00F25F47">
        <w:rPr>
          <w:rFonts w:ascii="Garamond" w:hAnsi="Garamond"/>
          <w:i/>
          <w:iCs/>
          <w:sz w:val="18"/>
          <w:szCs w:val="18"/>
        </w:rPr>
        <w:t>Parliament v Commission</w:t>
      </w:r>
      <w:r w:rsidR="008F0599" w:rsidRPr="00F25F47">
        <w:rPr>
          <w:rFonts w:ascii="Garamond" w:hAnsi="Garamond"/>
          <w:sz w:val="18"/>
          <w:szCs w:val="18"/>
        </w:rPr>
        <w:t>, application submitted on 25 March 2024.</w:t>
      </w:r>
    </w:p>
  </w:footnote>
  <w:footnote w:id="96">
    <w:p w14:paraId="7DDF98CC" w14:textId="194A4108" w:rsidR="004315EC" w:rsidRPr="00F25F47" w:rsidRDefault="004315EC" w:rsidP="004315E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Communication from the Commission to the European Parliament and the Council on the application of Regulation (EU, Euratom) 2020/2092, Brussels, 12.1.2024 COM(2024) 17 final, 7.</w:t>
      </w:r>
    </w:p>
  </w:footnote>
  <w:footnote w:id="97">
    <w:p w14:paraId="3785A198" w14:textId="77777777" w:rsidR="000C261F" w:rsidRPr="00F25F47" w:rsidRDefault="000C261F" w:rsidP="000C261F">
      <w:pPr>
        <w:pStyle w:val="FootnoteText"/>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h</w:t>
      </w:r>
      <w:hyperlink r:id="rId13" w:history="1">
        <w:r w:rsidRPr="00F25F47">
          <w:rPr>
            <w:rStyle w:val="Hyperlink"/>
            <w:rFonts w:ascii="Garamond" w:hAnsi="Garamond"/>
            <w:sz w:val="18"/>
            <w:szCs w:val="18"/>
            <w:lang w:val="en-US"/>
          </w:rPr>
          <w:t>ttps://www.eppo.europa.eu/en/news/letter-sent-european-commission-regarding-polands-refusal-cooperate-eppo</w:t>
        </w:r>
      </w:hyperlink>
      <w:r w:rsidRPr="00F25F47">
        <w:rPr>
          <w:rFonts w:ascii="Garamond" w:hAnsi="Garamond"/>
          <w:i/>
          <w:iCs/>
          <w:sz w:val="18"/>
          <w:szCs w:val="18"/>
          <w:lang w:val="en-US"/>
        </w:rPr>
        <w:t xml:space="preserve"> </w:t>
      </w:r>
      <w:r w:rsidRPr="00F25F47">
        <w:rPr>
          <w:rFonts w:ascii="Garamond" w:hAnsi="Garamond"/>
          <w:sz w:val="18"/>
          <w:szCs w:val="18"/>
        </w:rPr>
        <w:t>.</w:t>
      </w:r>
    </w:p>
  </w:footnote>
  <w:footnote w:id="98">
    <w:p w14:paraId="1736A0B3" w14:textId="37399B5A" w:rsidR="0013769C" w:rsidRPr="00F25F47" w:rsidRDefault="0013769C" w:rsidP="0013769C">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COM Decision (EU) 2024/807 of 29 February 2024.</w:t>
      </w:r>
    </w:p>
  </w:footnote>
  <w:footnote w:id="99">
    <w:p w14:paraId="59F67334" w14:textId="77777777" w:rsidR="000C261F" w:rsidRPr="00F25F47" w:rsidRDefault="000C261F" w:rsidP="000C261F">
      <w:pPr>
        <w:pStyle w:val="FootnoteText"/>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r>
      <w:hyperlink r:id="rId14" w:history="1">
        <w:r w:rsidRPr="00F25F47">
          <w:rPr>
            <w:rStyle w:val="Hyperlink"/>
            <w:rFonts w:ascii="Garamond" w:hAnsi="Garamond"/>
            <w:sz w:val="18"/>
            <w:szCs w:val="18"/>
          </w:rPr>
          <w:t>https://www.eppo.europa.eu/en/media/news/eppo-signs-working-arrangement-office-prosecutor-general-hungary</w:t>
        </w:r>
      </w:hyperlink>
      <w:r w:rsidRPr="00F25F47">
        <w:rPr>
          <w:rFonts w:ascii="Garamond" w:hAnsi="Garamond"/>
          <w:sz w:val="18"/>
          <w:szCs w:val="18"/>
        </w:rPr>
        <w:t xml:space="preserve">. </w:t>
      </w:r>
    </w:p>
  </w:footnote>
  <w:footnote w:id="100">
    <w:p w14:paraId="10588D25" w14:textId="11778A5D" w:rsidR="00BC0535" w:rsidRPr="00F25F47" w:rsidRDefault="00BC0535" w:rsidP="00BC0535">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D. Hegedus, ‘Same, Same but </w:t>
      </w:r>
      <w:proofErr w:type="gramStart"/>
      <w:r w:rsidRPr="00F25F47">
        <w:rPr>
          <w:rFonts w:ascii="Garamond" w:hAnsi="Garamond"/>
          <w:sz w:val="18"/>
          <w:szCs w:val="18"/>
        </w:rPr>
        <w:t>Different?:</w:t>
      </w:r>
      <w:proofErr w:type="gramEnd"/>
      <w:r w:rsidRPr="00F25F47">
        <w:rPr>
          <w:rFonts w:ascii="Garamond" w:hAnsi="Garamond"/>
          <w:sz w:val="18"/>
          <w:szCs w:val="18"/>
        </w:rPr>
        <w:t xml:space="preserve"> The Pitfalls in Unfreezing EU Funds’</w:t>
      </w:r>
      <w:r w:rsidRPr="00F25F47">
        <w:rPr>
          <w:rFonts w:ascii="Garamond" w:hAnsi="Garamond"/>
          <w:i/>
          <w:iCs/>
          <w:sz w:val="18"/>
          <w:szCs w:val="18"/>
        </w:rPr>
        <w:t>, VerfBlog,</w:t>
      </w:r>
      <w:r w:rsidRPr="00F25F47">
        <w:rPr>
          <w:rFonts w:ascii="Garamond" w:hAnsi="Garamond"/>
          <w:sz w:val="18"/>
          <w:szCs w:val="18"/>
        </w:rPr>
        <w:t xml:space="preserve"> 2023/12/21, https://verfassungsblog.de/same-same-but-different/.</w:t>
      </w:r>
    </w:p>
  </w:footnote>
  <w:footnote w:id="101">
    <w:p w14:paraId="0A6614BA" w14:textId="6D1F1F22" w:rsidR="000C261F" w:rsidRPr="00F25F47" w:rsidRDefault="000C261F">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Regulation </w:t>
      </w:r>
      <w:r w:rsidR="0013769C" w:rsidRPr="00F25F47">
        <w:rPr>
          <w:rFonts w:ascii="Garamond" w:hAnsi="Garamond"/>
          <w:sz w:val="18"/>
          <w:szCs w:val="18"/>
        </w:rPr>
        <w:t>2020/2092</w:t>
      </w:r>
      <w:r w:rsidRPr="00F25F47">
        <w:rPr>
          <w:rFonts w:ascii="Garamond" w:hAnsi="Garamond"/>
          <w:sz w:val="18"/>
          <w:szCs w:val="18"/>
        </w:rPr>
        <w:t>, Article 6 (1).</w:t>
      </w:r>
    </w:p>
  </w:footnote>
  <w:footnote w:id="102">
    <w:p w14:paraId="68943191" w14:textId="077413E5" w:rsidR="000C261F" w:rsidRPr="00F25F47" w:rsidRDefault="000C261F" w:rsidP="006A074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Communication from the Commission to the European Parliament and the Council on the application of Regulation (EU, Euratom) 2020/2092, Brussels, 12.1.2024 COM(2024) 17 final</w:t>
      </w:r>
      <w:r w:rsidR="006A074C" w:rsidRPr="00F25F47">
        <w:rPr>
          <w:rFonts w:ascii="Garamond" w:hAnsi="Garamond"/>
          <w:sz w:val="18"/>
          <w:szCs w:val="18"/>
        </w:rPr>
        <w:t xml:space="preserve">, 8-12. </w:t>
      </w:r>
    </w:p>
  </w:footnote>
  <w:footnote w:id="103">
    <w:p w14:paraId="5B2EBB53" w14:textId="5FEFDC0E" w:rsidR="0013769C" w:rsidRPr="00F25F47" w:rsidRDefault="0013769C" w:rsidP="006A074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Communication from the Commission to the European Parliament and the Council on the application of Regulation (EU, Euratom) 2020/2092, Brussels, 12.1.2024 COM(2024) 17 final, 9.</w:t>
      </w:r>
    </w:p>
  </w:footnote>
  <w:footnote w:id="104">
    <w:p w14:paraId="45E50427" w14:textId="497CA07A" w:rsidR="004C546D" w:rsidRPr="00F25F47" w:rsidRDefault="004C546D" w:rsidP="004C546D">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A special issue analysing the implementation trouble of the RRF in Italy is available in </w:t>
      </w:r>
      <w:r w:rsidRPr="00F25F47">
        <w:rPr>
          <w:rFonts w:ascii="Garamond" w:hAnsi="Garamond"/>
          <w:i/>
          <w:iCs/>
          <w:sz w:val="18"/>
          <w:szCs w:val="18"/>
        </w:rPr>
        <w:t>Contemporary Italian Politics</w:t>
      </w:r>
      <w:r w:rsidR="00580912" w:rsidRPr="00F25F47">
        <w:rPr>
          <w:rFonts w:ascii="Garamond" w:hAnsi="Garamond"/>
          <w:sz w:val="18"/>
          <w:szCs w:val="18"/>
        </w:rPr>
        <w:t xml:space="preserve"> (</w:t>
      </w:r>
      <w:r w:rsidRPr="00F25F47">
        <w:rPr>
          <w:rFonts w:ascii="Garamond" w:hAnsi="Garamond"/>
          <w:sz w:val="18"/>
          <w:szCs w:val="18"/>
        </w:rPr>
        <w:t>2023</w:t>
      </w:r>
      <w:r w:rsidR="00580912" w:rsidRPr="00F25F47">
        <w:rPr>
          <w:rFonts w:ascii="Garamond" w:hAnsi="Garamond"/>
          <w:sz w:val="18"/>
          <w:szCs w:val="18"/>
        </w:rPr>
        <w:t>)</w:t>
      </w:r>
      <w:r w:rsidRPr="00F25F47">
        <w:rPr>
          <w:rFonts w:ascii="Garamond" w:hAnsi="Garamond"/>
          <w:sz w:val="18"/>
          <w:szCs w:val="18"/>
        </w:rPr>
        <w:t>.</w:t>
      </w:r>
    </w:p>
  </w:footnote>
  <w:footnote w:id="105">
    <w:p w14:paraId="306757D6" w14:textId="352DCDD8" w:rsidR="001C7CBD" w:rsidRPr="00F25F47" w:rsidRDefault="001C7CBD">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6A074C" w:rsidRPr="00F25F47">
        <w:rPr>
          <w:rFonts w:ascii="Garamond" w:hAnsi="Garamond"/>
          <w:sz w:val="18"/>
          <w:szCs w:val="18"/>
        </w:rPr>
        <w:tab/>
      </w:r>
      <w:hyperlink r:id="rId15" w:history="1">
        <w:r w:rsidR="006A074C" w:rsidRPr="00F25F47">
          <w:rPr>
            <w:rStyle w:val="Hyperlink"/>
            <w:rFonts w:ascii="Garamond" w:hAnsi="Garamond"/>
            <w:sz w:val="18"/>
            <w:szCs w:val="18"/>
          </w:rPr>
          <w:t>https://www.politico.eu/article/italy-italian-prime-minister-mario-draghi-recovery-plan/</w:t>
        </w:r>
      </w:hyperlink>
      <w:r w:rsidR="006A074C" w:rsidRPr="00F25F47">
        <w:rPr>
          <w:rFonts w:ascii="Garamond" w:hAnsi="Garamond"/>
          <w:sz w:val="18"/>
          <w:szCs w:val="18"/>
        </w:rPr>
        <w:t xml:space="preserve">. </w:t>
      </w:r>
    </w:p>
  </w:footnote>
  <w:footnote w:id="106">
    <w:p w14:paraId="65E0A192" w14:textId="6156A52B" w:rsidR="00DD64A3" w:rsidRPr="00F25F47" w:rsidRDefault="00DD64A3" w:rsidP="00DD64A3">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F. Di Mascio and A. Natalini, ‘Implementing the NRRP </w:t>
      </w:r>
      <w:r w:rsidRPr="00DD64A3">
        <w:rPr>
          <w:rFonts w:ascii="Garamond" w:hAnsi="Garamond"/>
          <w:sz w:val="18"/>
          <w:szCs w:val="18"/>
        </w:rPr>
        <w:t>from the Draghi government to the government of Giorgia Meloni: Italian public administration</w:t>
      </w:r>
      <w:r w:rsidRPr="00F25F47">
        <w:rPr>
          <w:rFonts w:ascii="Garamond" w:hAnsi="Garamond"/>
          <w:sz w:val="18"/>
          <w:szCs w:val="18"/>
        </w:rPr>
        <w:t xml:space="preserve"> </w:t>
      </w:r>
      <w:r w:rsidRPr="00DD64A3">
        <w:rPr>
          <w:rFonts w:ascii="Garamond" w:hAnsi="Garamond"/>
          <w:sz w:val="18"/>
          <w:szCs w:val="18"/>
        </w:rPr>
        <w:t>under the pressure of too large a volume of resources</w:t>
      </w:r>
      <w:r w:rsidRPr="00F25F47">
        <w:rPr>
          <w:rFonts w:ascii="Garamond" w:hAnsi="Garamond"/>
          <w:sz w:val="18"/>
          <w:szCs w:val="18"/>
        </w:rPr>
        <w:t>’ (2023) (</w:t>
      </w:r>
      <w:r w:rsidRPr="00DD64A3">
        <w:rPr>
          <w:rFonts w:ascii="Garamond" w:hAnsi="Garamond"/>
          <w:sz w:val="18"/>
          <w:szCs w:val="18"/>
        </w:rPr>
        <w:t>15:2</w:t>
      </w:r>
      <w:r w:rsidRPr="00F25F47">
        <w:rPr>
          <w:rFonts w:ascii="Garamond" w:hAnsi="Garamond"/>
          <w:sz w:val="18"/>
          <w:szCs w:val="18"/>
        </w:rPr>
        <w:t xml:space="preserve">) </w:t>
      </w:r>
      <w:r w:rsidRPr="00DD64A3">
        <w:rPr>
          <w:rFonts w:ascii="Garamond" w:hAnsi="Garamond"/>
          <w:i/>
          <w:iCs/>
          <w:sz w:val="18"/>
          <w:szCs w:val="18"/>
        </w:rPr>
        <w:t>Contemporary Italian Politics</w:t>
      </w:r>
      <w:r w:rsidRPr="00F25F47">
        <w:rPr>
          <w:rFonts w:ascii="Garamond" w:hAnsi="Garamond"/>
          <w:sz w:val="18"/>
          <w:szCs w:val="18"/>
        </w:rPr>
        <w:t xml:space="preserve"> 237-251.</w:t>
      </w:r>
    </w:p>
  </w:footnote>
  <w:footnote w:id="107">
    <w:p w14:paraId="7F5DF743" w14:textId="4CD03328" w:rsidR="004C546D" w:rsidRPr="00F25F47" w:rsidRDefault="004C546D" w:rsidP="007562D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7562D4" w:rsidRPr="00F25F47">
        <w:rPr>
          <w:rFonts w:ascii="Garamond" w:hAnsi="Garamond"/>
          <w:sz w:val="18"/>
          <w:szCs w:val="18"/>
        </w:rPr>
        <w:tab/>
        <w:t>https://www.euractiv.com/section/eu-institutions/news/von-der-leyen-pressures-to-unlock-italys-third-recovery-plan-payment-sources/.</w:t>
      </w:r>
    </w:p>
  </w:footnote>
  <w:footnote w:id="108">
    <w:p w14:paraId="0D0B5C51" w14:textId="786E2B0B" w:rsidR="003574E9" w:rsidRPr="00F25F47" w:rsidRDefault="003574E9" w:rsidP="007562D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7562D4" w:rsidRPr="00F25F47">
        <w:rPr>
          <w:rFonts w:ascii="Garamond" w:hAnsi="Garamond"/>
          <w:sz w:val="18"/>
          <w:szCs w:val="18"/>
        </w:rPr>
        <w:tab/>
        <w:t>https://www.euractiv.com/section/economy-jobs/news/italys-recovery-funds-saga-a-test-for-eu-fiscal-integration/.</w:t>
      </w:r>
    </w:p>
  </w:footnote>
  <w:footnote w:id="109">
    <w:p w14:paraId="6F683C7F" w14:textId="7407D367" w:rsidR="007562D4" w:rsidRPr="00F25F47" w:rsidRDefault="007562D4" w:rsidP="007562D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https://www.euractiv.com/section/economy-jobs/podcast/push-for-permanent-rrf-faces-scrutiny-amidst-latest-e600m-fraud-in-italy/.</w:t>
      </w:r>
    </w:p>
  </w:footnote>
  <w:footnote w:id="110">
    <w:p w14:paraId="78692ED8" w14:textId="08620E6B" w:rsidR="001C7CBD" w:rsidRPr="00F25F47" w:rsidRDefault="001C7CBD" w:rsidP="006A074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000C261F" w:rsidRPr="00F25F47">
        <w:rPr>
          <w:rFonts w:ascii="Garamond" w:hAnsi="Garamond"/>
          <w:sz w:val="18"/>
          <w:szCs w:val="18"/>
        </w:rPr>
        <w:t xml:space="preserve"> </w:t>
      </w:r>
      <w:r w:rsidR="000C261F" w:rsidRPr="00F25F47">
        <w:rPr>
          <w:rFonts w:ascii="Garamond" w:hAnsi="Garamond"/>
          <w:sz w:val="18"/>
          <w:szCs w:val="18"/>
        </w:rPr>
        <w:tab/>
      </w:r>
      <w:hyperlink r:id="rId16" w:history="1">
        <w:r w:rsidR="000C261F" w:rsidRPr="00F25F47">
          <w:rPr>
            <w:rStyle w:val="Hyperlink"/>
            <w:rFonts w:ascii="Garamond" w:hAnsi="Garamond"/>
            <w:sz w:val="18"/>
            <w:szCs w:val="18"/>
          </w:rPr>
          <w:t>https://www.eppo.europa.eu/en/media/news/investigation-stop-carousel-eppo-dismantles-criminal-organisation-targeting-rrf-funds</w:t>
        </w:r>
      </w:hyperlink>
      <w:r w:rsidR="000C261F" w:rsidRPr="00F25F47">
        <w:rPr>
          <w:rFonts w:ascii="Garamond" w:hAnsi="Garamond"/>
          <w:sz w:val="18"/>
          <w:szCs w:val="18"/>
        </w:rPr>
        <w:t xml:space="preserve">. </w:t>
      </w:r>
      <w:r w:rsidRPr="00F25F47">
        <w:rPr>
          <w:rFonts w:ascii="Garamond" w:hAnsi="Garamond"/>
          <w:sz w:val="18"/>
          <w:szCs w:val="18"/>
        </w:rPr>
        <w:t xml:space="preserve"> </w:t>
      </w:r>
    </w:p>
  </w:footnote>
  <w:footnote w:id="111">
    <w:p w14:paraId="67E3C28A" w14:textId="42C35C3A" w:rsidR="001C7CBD" w:rsidRPr="00F25F47" w:rsidRDefault="001C7CBD">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6A074C" w:rsidRPr="00F25F47">
        <w:rPr>
          <w:rFonts w:ascii="Garamond" w:hAnsi="Garamond"/>
          <w:sz w:val="18"/>
          <w:szCs w:val="18"/>
        </w:rPr>
        <w:t xml:space="preserve"> </w:t>
      </w:r>
      <w:r w:rsidR="006A074C" w:rsidRPr="00F25F47">
        <w:rPr>
          <w:rFonts w:ascii="Garamond" w:hAnsi="Garamond"/>
          <w:sz w:val="18"/>
          <w:szCs w:val="18"/>
        </w:rPr>
        <w:tab/>
      </w:r>
      <w:hyperlink r:id="rId17" w:history="1">
        <w:r w:rsidR="006A074C" w:rsidRPr="00F25F47">
          <w:rPr>
            <w:rStyle w:val="Hyperlink"/>
            <w:rFonts w:ascii="Garamond" w:hAnsi="Garamond"/>
            <w:sz w:val="18"/>
            <w:szCs w:val="18"/>
          </w:rPr>
          <w:t>https://www.politico.eu/article/olaf-investigates-potential-fraud-involving-eu-recovery-funds/</w:t>
        </w:r>
      </w:hyperlink>
      <w:r w:rsidRPr="00F25F47">
        <w:rPr>
          <w:rFonts w:ascii="Garamond" w:hAnsi="Garamond"/>
          <w:sz w:val="18"/>
          <w:szCs w:val="18"/>
        </w:rPr>
        <w:t xml:space="preserve">. </w:t>
      </w:r>
    </w:p>
  </w:footnote>
  <w:footnote w:id="112">
    <w:p w14:paraId="16504ECA" w14:textId="5B8EABF9" w:rsidR="000921B1" w:rsidRPr="00F25F47" w:rsidRDefault="000921B1" w:rsidP="00A30F81">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00C95634" w:rsidRPr="00F25F47">
        <w:rPr>
          <w:rFonts w:ascii="Garamond" w:hAnsi="Garamond"/>
          <w:sz w:val="18"/>
          <w:szCs w:val="18"/>
        </w:rPr>
        <w:t xml:space="preserve"> </w:t>
      </w:r>
      <w:r w:rsidR="004C546D" w:rsidRPr="00F25F47">
        <w:rPr>
          <w:rFonts w:ascii="Garamond" w:hAnsi="Garamond"/>
          <w:sz w:val="18"/>
          <w:szCs w:val="18"/>
        </w:rPr>
        <w:tab/>
      </w:r>
      <w:r w:rsidR="00EA4C03" w:rsidRPr="00F25F47">
        <w:rPr>
          <w:rFonts w:ascii="Garamond" w:hAnsi="Garamond"/>
          <w:sz w:val="18"/>
          <w:szCs w:val="18"/>
        </w:rPr>
        <w:t xml:space="preserve">Article 212 TFEU. </w:t>
      </w:r>
      <w:hyperlink r:id="rId18" w:history="1">
        <w:r w:rsidRPr="00F25F47">
          <w:rPr>
            <w:rStyle w:val="Hyperlink"/>
            <w:rFonts w:ascii="Garamond" w:hAnsi="Garamond"/>
            <w:sz w:val="18"/>
            <w:szCs w:val="18"/>
          </w:rPr>
          <w:t>Council Decision (CFSP) 2021/509 of 22 March 2021</w:t>
        </w:r>
      </w:hyperlink>
      <w:r w:rsidRPr="00F25F47">
        <w:rPr>
          <w:rFonts w:ascii="Garamond" w:hAnsi="Garamond"/>
          <w:sz w:val="18"/>
          <w:szCs w:val="18"/>
        </w:rPr>
        <w:t xml:space="preserve"> establishing a European Peace Facility, </w:t>
      </w:r>
      <w:r w:rsidRPr="00F25F47">
        <w:rPr>
          <w:rStyle w:val="Emphasis"/>
          <w:rFonts w:ascii="Garamond" w:hAnsi="Garamond"/>
          <w:sz w:val="18"/>
          <w:szCs w:val="18"/>
        </w:rPr>
        <w:t xml:space="preserve">OJ L 2021, </w:t>
      </w:r>
      <w:r w:rsidRPr="00F25F47">
        <w:rPr>
          <w:rStyle w:val="Emphasis"/>
          <w:rFonts w:ascii="Garamond" w:hAnsi="Garamond"/>
          <w:i w:val="0"/>
          <w:iCs w:val="0"/>
          <w:sz w:val="18"/>
          <w:szCs w:val="18"/>
        </w:rPr>
        <w:t>102/14.</w:t>
      </w:r>
      <w:r w:rsidR="00C95634" w:rsidRPr="00F25F47">
        <w:rPr>
          <w:rStyle w:val="Emphasis"/>
          <w:rFonts w:ascii="Garamond" w:hAnsi="Garamond"/>
          <w:b/>
          <w:bCs/>
          <w:sz w:val="18"/>
          <w:szCs w:val="18"/>
          <w:u w:val="single"/>
        </w:rPr>
        <w:t xml:space="preserve"> </w:t>
      </w:r>
      <w:r w:rsidRPr="00F25F47">
        <w:rPr>
          <w:rFonts w:ascii="Garamond" w:hAnsi="Garamond"/>
          <w:sz w:val="18"/>
          <w:szCs w:val="18"/>
        </w:rPr>
        <w:t xml:space="preserve">Council Decision (CFSP) 2022/338 of 28 February 2022 on an assistance measure under the European Peace Facility for the supply to the Ukrainian Armed Forces of military equipment, and platforms, designed to deliver lethal force, </w:t>
      </w:r>
      <w:r w:rsidRPr="00F25F47">
        <w:rPr>
          <w:rStyle w:val="Emphasis"/>
          <w:rFonts w:ascii="Garamond" w:hAnsi="Garamond"/>
          <w:sz w:val="18"/>
          <w:szCs w:val="18"/>
        </w:rPr>
        <w:t xml:space="preserve">OJ L 60, </w:t>
      </w:r>
      <w:r w:rsidRPr="00F25F47">
        <w:rPr>
          <w:rStyle w:val="Emphasis"/>
          <w:rFonts w:ascii="Garamond" w:hAnsi="Garamond"/>
          <w:i w:val="0"/>
          <w:iCs w:val="0"/>
          <w:sz w:val="18"/>
          <w:szCs w:val="18"/>
        </w:rPr>
        <w:t>28.2.2022, 1–4;</w:t>
      </w:r>
      <w:r w:rsidRPr="00F25F47">
        <w:rPr>
          <w:rStyle w:val="Emphasis"/>
          <w:rFonts w:ascii="Garamond" w:hAnsi="Garamond"/>
          <w:sz w:val="18"/>
          <w:szCs w:val="18"/>
        </w:rPr>
        <w:t xml:space="preserve"> </w:t>
      </w:r>
      <w:r w:rsidRPr="00F25F47">
        <w:rPr>
          <w:rFonts w:ascii="Garamond" w:hAnsi="Garamond"/>
          <w:sz w:val="18"/>
          <w:szCs w:val="18"/>
        </w:rPr>
        <w:t xml:space="preserve">Council Decision (CFSP) 2022/339 of 28 February 2022 on an assistance measure under the European Peace Facility to support the Ukrainian Armed Forces, </w:t>
      </w:r>
      <w:r w:rsidRPr="00F25F47">
        <w:rPr>
          <w:rStyle w:val="Emphasis"/>
          <w:rFonts w:ascii="Garamond" w:hAnsi="Garamond"/>
          <w:sz w:val="18"/>
          <w:szCs w:val="18"/>
        </w:rPr>
        <w:t>OJ L 61</w:t>
      </w:r>
      <w:r w:rsidRPr="00F25F47">
        <w:rPr>
          <w:rStyle w:val="Emphasis"/>
          <w:rFonts w:ascii="Garamond" w:hAnsi="Garamond"/>
          <w:i w:val="0"/>
          <w:iCs w:val="0"/>
          <w:sz w:val="18"/>
          <w:szCs w:val="18"/>
        </w:rPr>
        <w:t>, 28.2.2022, 1–4</w:t>
      </w:r>
      <w:r w:rsidRPr="00F25F47">
        <w:rPr>
          <w:rStyle w:val="Emphasis"/>
          <w:rFonts w:ascii="Garamond" w:hAnsi="Garamond"/>
          <w:sz w:val="18"/>
          <w:szCs w:val="18"/>
        </w:rPr>
        <w:t xml:space="preserve">; </w:t>
      </w:r>
      <w:r w:rsidRPr="00F25F47">
        <w:rPr>
          <w:rFonts w:ascii="Garamond" w:hAnsi="Garamond"/>
          <w:sz w:val="18"/>
          <w:szCs w:val="18"/>
        </w:rPr>
        <w:t xml:space="preserve">Council Decision (CFSP) 2023/927 of 5 May 2023 on an assistance measure under the European Peace Facility to support the Ukrainian Armed Forces through the provision of ammunition, </w:t>
      </w:r>
      <w:r w:rsidRPr="00F25F47">
        <w:rPr>
          <w:rStyle w:val="Emphasis"/>
          <w:rFonts w:ascii="Garamond" w:hAnsi="Garamond"/>
          <w:sz w:val="18"/>
          <w:szCs w:val="18"/>
        </w:rPr>
        <w:t xml:space="preserve">OJ L 123, </w:t>
      </w:r>
      <w:r w:rsidRPr="00F25F47">
        <w:rPr>
          <w:rStyle w:val="Emphasis"/>
          <w:rFonts w:ascii="Garamond" w:hAnsi="Garamond"/>
          <w:i w:val="0"/>
          <w:iCs w:val="0"/>
          <w:sz w:val="18"/>
          <w:szCs w:val="18"/>
        </w:rPr>
        <w:t>8.5.2023, 27–31</w:t>
      </w:r>
      <w:r w:rsidRPr="00F25F47">
        <w:rPr>
          <w:rStyle w:val="Emphasis"/>
          <w:rFonts w:ascii="Garamond" w:hAnsi="Garamond"/>
          <w:sz w:val="18"/>
          <w:szCs w:val="18"/>
        </w:rPr>
        <w:t>.</w:t>
      </w:r>
      <w:r w:rsidR="00A30F81" w:rsidRPr="00F25F47">
        <w:rPr>
          <w:rStyle w:val="Emphasis"/>
          <w:rFonts w:ascii="Garamond" w:hAnsi="Garamond"/>
          <w:sz w:val="18"/>
          <w:szCs w:val="18"/>
        </w:rPr>
        <w:t xml:space="preserve"> </w:t>
      </w:r>
      <w:r w:rsidRPr="00F25F47">
        <w:rPr>
          <w:rStyle w:val="Emphasis"/>
          <w:rFonts w:ascii="Garamond" w:hAnsi="Garamond"/>
          <w:i w:val="0"/>
          <w:iCs w:val="0"/>
          <w:sz w:val="18"/>
          <w:szCs w:val="18"/>
        </w:rPr>
        <w:t>Information</w:t>
      </w:r>
      <w:r w:rsidRPr="00F25F47">
        <w:rPr>
          <w:rStyle w:val="Emphasis"/>
          <w:rFonts w:ascii="Garamond" w:hAnsi="Garamond"/>
          <w:sz w:val="18"/>
          <w:szCs w:val="18"/>
        </w:rPr>
        <w:t xml:space="preserve"> </w:t>
      </w:r>
      <w:r w:rsidRPr="00F25F47">
        <w:rPr>
          <w:rFonts w:ascii="Garamond" w:hAnsi="Garamond"/>
          <w:sz w:val="18"/>
          <w:szCs w:val="18"/>
        </w:rPr>
        <w:t xml:space="preserve">on the ways in which the European Peace Facility has been used in the EU neighbourhood is available on </w:t>
      </w:r>
      <w:hyperlink r:id="rId19" w:history="1">
        <w:r w:rsidRPr="00F25F47">
          <w:rPr>
            <w:rStyle w:val="Hyperlink"/>
            <w:rFonts w:ascii="Garamond" w:hAnsi="Garamond"/>
            <w:sz w:val="18"/>
            <w:szCs w:val="18"/>
          </w:rPr>
          <w:t>https://euneighbourseast.eu/tag/european-peace-facility/</w:t>
        </w:r>
      </w:hyperlink>
      <w:r w:rsidRPr="00F25F47">
        <w:rPr>
          <w:rFonts w:ascii="Garamond" w:hAnsi="Garamond"/>
          <w:sz w:val="18"/>
          <w:szCs w:val="18"/>
        </w:rPr>
        <w:t>.</w:t>
      </w:r>
      <w:r w:rsidR="00C76CB1" w:rsidRPr="00F25F47">
        <w:rPr>
          <w:rFonts w:ascii="Garamond" w:hAnsi="Garamond"/>
          <w:b/>
          <w:bCs/>
          <w:i/>
          <w:iCs/>
          <w:sz w:val="18"/>
          <w:szCs w:val="18"/>
          <w:u w:val="single"/>
        </w:rPr>
        <w:t xml:space="preserve"> </w:t>
      </w:r>
      <w:hyperlink r:id="rId20" w:history="1">
        <w:r w:rsidR="00C76CB1" w:rsidRPr="00F25F47">
          <w:rPr>
            <w:rStyle w:val="Hyperlink"/>
            <w:rFonts w:ascii="Garamond" w:hAnsi="Garamond"/>
            <w:sz w:val="18"/>
            <w:szCs w:val="18"/>
          </w:rPr>
          <w:t>https://www.consilium.europa.eu/en/press/press-releases/2024/03/18/ukraine-assistance-fund-council-allocates-5-billion-under-the-european-peace-facility-to-support-ukraine-militarily/</w:t>
        </w:r>
      </w:hyperlink>
      <w:r w:rsidRPr="00F25F47">
        <w:rPr>
          <w:rFonts w:ascii="Garamond" w:hAnsi="Garamond"/>
          <w:sz w:val="18"/>
          <w:szCs w:val="18"/>
        </w:rPr>
        <w:t>.</w:t>
      </w:r>
      <w:r w:rsidR="00C76CB1" w:rsidRPr="00F25F47">
        <w:rPr>
          <w:rFonts w:ascii="Garamond" w:hAnsi="Garamond"/>
          <w:sz w:val="18"/>
          <w:szCs w:val="18"/>
        </w:rPr>
        <w:t xml:space="preserve"> </w:t>
      </w:r>
      <w:hyperlink r:id="rId21" w:history="1">
        <w:r w:rsidR="00C76CB1" w:rsidRPr="00F25F47">
          <w:rPr>
            <w:rStyle w:val="Hyperlink"/>
            <w:rFonts w:ascii="Garamond" w:hAnsi="Garamond"/>
            <w:sz w:val="18"/>
            <w:szCs w:val="18"/>
          </w:rPr>
          <w:t>https://eu-solidarity-ukraine.ec.europa.eu/eu-assistance-ukraine/ukraine-facility_en</w:t>
        </w:r>
      </w:hyperlink>
      <w:r w:rsidRPr="00F25F47">
        <w:rPr>
          <w:rFonts w:ascii="Garamond" w:hAnsi="Garamond"/>
          <w:sz w:val="18"/>
          <w:szCs w:val="18"/>
        </w:rPr>
        <w:t xml:space="preserve">. Regulation 2024/792 of the European Parliament and of the Council of 29 February 2024 establishing the Ukraine Facility, </w:t>
      </w:r>
      <w:r w:rsidRPr="00F25F47">
        <w:rPr>
          <w:rStyle w:val="Emphasis"/>
          <w:rFonts w:ascii="Garamond" w:hAnsi="Garamond"/>
          <w:sz w:val="18"/>
          <w:szCs w:val="18"/>
        </w:rPr>
        <w:t xml:space="preserve">OJ L, </w:t>
      </w:r>
      <w:r w:rsidRPr="00F25F47">
        <w:rPr>
          <w:rStyle w:val="Emphasis"/>
          <w:rFonts w:ascii="Garamond" w:hAnsi="Garamond"/>
          <w:i w:val="0"/>
          <w:iCs w:val="0"/>
          <w:sz w:val="18"/>
          <w:szCs w:val="18"/>
        </w:rPr>
        <w:t>29.02.2024, 792.</w:t>
      </w:r>
      <w:r w:rsidR="009411D3" w:rsidRPr="00F25F47">
        <w:rPr>
          <w:rStyle w:val="Emphasis"/>
          <w:rFonts w:ascii="Garamond" w:hAnsi="Garamond"/>
          <w:sz w:val="18"/>
          <w:szCs w:val="18"/>
        </w:rPr>
        <w:t xml:space="preserve"> </w:t>
      </w:r>
      <w:r w:rsidRPr="00F25F47">
        <w:rPr>
          <w:rFonts w:ascii="Garamond" w:hAnsi="Garamond"/>
          <w:sz w:val="18"/>
          <w:szCs w:val="18"/>
        </w:rPr>
        <w:t>F. Fabbrini, ‘Funding the War in Ukraine: The European Peace Facility, the Macro</w:t>
      </w:r>
      <w:r w:rsidRPr="00F25F47">
        <w:rPr>
          <w:rFonts w:ascii="Cambria Math" w:hAnsi="Cambria Math" w:cs="Cambria Math"/>
          <w:sz w:val="18"/>
          <w:szCs w:val="18"/>
        </w:rPr>
        <w:t>‐</w:t>
      </w:r>
      <w:r w:rsidRPr="00F25F47">
        <w:rPr>
          <w:rFonts w:ascii="Garamond" w:hAnsi="Garamond"/>
          <w:sz w:val="18"/>
          <w:szCs w:val="18"/>
        </w:rPr>
        <w:t xml:space="preserve">Financial Assistance Instrument, and the Slow Rise of an EU Fiscal Capacity’ (2023) (11:4) </w:t>
      </w:r>
      <w:r w:rsidRPr="00F25F47">
        <w:rPr>
          <w:rFonts w:ascii="Garamond" w:hAnsi="Garamond"/>
          <w:i/>
          <w:iCs/>
          <w:sz w:val="18"/>
          <w:szCs w:val="18"/>
        </w:rPr>
        <w:t>Politics and Governance</w:t>
      </w:r>
      <w:r w:rsidRPr="00F25F47">
        <w:rPr>
          <w:rFonts w:ascii="Garamond" w:hAnsi="Garamond"/>
          <w:sz w:val="18"/>
          <w:szCs w:val="18"/>
        </w:rPr>
        <w:t xml:space="preserve"> 52–61.</w:t>
      </w:r>
    </w:p>
  </w:footnote>
  <w:footnote w:id="113">
    <w:p w14:paraId="7B76E20E" w14:textId="2B2421F1" w:rsidR="00300626" w:rsidRPr="00F25F47" w:rsidRDefault="00300626">
      <w:pPr>
        <w:pStyle w:val="FootnoteText"/>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932156" w:rsidRPr="00F25F47">
        <w:rPr>
          <w:rFonts w:ascii="Garamond" w:hAnsi="Garamond"/>
          <w:sz w:val="18"/>
          <w:szCs w:val="18"/>
        </w:rPr>
        <w:tab/>
      </w:r>
      <w:hyperlink r:id="rId22" w:history="1">
        <w:r w:rsidR="00932156" w:rsidRPr="00F25F47">
          <w:rPr>
            <w:rStyle w:val="Hyperlink"/>
            <w:rFonts w:ascii="Garamond" w:hAnsi="Garamond"/>
            <w:sz w:val="18"/>
            <w:szCs w:val="18"/>
          </w:rPr>
          <w:t>https://economy-finance.ec.europa.eu/system/files/2023-01/Memorandum%20of%20Understanding_EU-UA.pdf</w:t>
        </w:r>
      </w:hyperlink>
      <w:r w:rsidR="00932156" w:rsidRPr="00F25F47">
        <w:rPr>
          <w:rFonts w:ascii="Garamond" w:hAnsi="Garamond"/>
          <w:sz w:val="18"/>
          <w:szCs w:val="18"/>
        </w:rPr>
        <w:t xml:space="preserve">. </w:t>
      </w:r>
    </w:p>
  </w:footnote>
  <w:footnote w:id="114">
    <w:p w14:paraId="4B5A9F09" w14:textId="37B59D2D" w:rsidR="00C6274C" w:rsidRPr="00F25F47" w:rsidRDefault="00C6274C" w:rsidP="00C6274C">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Regulation (EU) 2022/2463 of the European Parliament and of the Council </w:t>
      </w:r>
      <w:r w:rsidRPr="00A30F81">
        <w:rPr>
          <w:rFonts w:ascii="Garamond" w:hAnsi="Garamond"/>
          <w:sz w:val="18"/>
          <w:szCs w:val="18"/>
        </w:rPr>
        <w:t>of 14 December 2022 establishing an instrument for providing support to Ukraine for 2023 (macro-financial assistance +)</w:t>
      </w:r>
      <w:r w:rsidRPr="00F25F47">
        <w:rPr>
          <w:rFonts w:ascii="Garamond" w:hAnsi="Garamond"/>
          <w:sz w:val="18"/>
          <w:szCs w:val="18"/>
        </w:rPr>
        <w:t>,</w:t>
      </w:r>
      <w:r w:rsidRPr="00F25F47">
        <w:rPr>
          <w:rFonts w:ascii="Garamond" w:hAnsi="Garamond"/>
          <w:i/>
          <w:iCs/>
          <w:sz w:val="18"/>
          <w:szCs w:val="18"/>
        </w:rPr>
        <w:t xml:space="preserve"> JO L </w:t>
      </w:r>
      <w:r w:rsidRPr="00F25F47">
        <w:rPr>
          <w:rFonts w:ascii="Garamond" w:hAnsi="Garamond"/>
          <w:sz w:val="18"/>
          <w:szCs w:val="18"/>
        </w:rPr>
        <w:t>322/1, 16.12.2022.</w:t>
      </w:r>
    </w:p>
  </w:footnote>
  <w:footnote w:id="115">
    <w:p w14:paraId="38661A39" w14:textId="046CC378" w:rsidR="00C6274C" w:rsidRPr="0054172A" w:rsidRDefault="00C6274C">
      <w:pPr>
        <w:pStyle w:val="FootnoteText"/>
        <w:rPr>
          <w:rFonts w:ascii="Garamond" w:hAnsi="Garamond"/>
          <w:sz w:val="18"/>
          <w:szCs w:val="18"/>
          <w:lang w:val="fr-FR"/>
        </w:rPr>
      </w:pPr>
      <w:r w:rsidRPr="00F25F47">
        <w:rPr>
          <w:rStyle w:val="FootnoteReference"/>
          <w:rFonts w:ascii="Garamond" w:hAnsi="Garamond"/>
          <w:sz w:val="18"/>
          <w:szCs w:val="18"/>
        </w:rPr>
        <w:footnoteRef/>
      </w:r>
      <w:r w:rsidRPr="00F25F47">
        <w:rPr>
          <w:rFonts w:ascii="Garamond" w:hAnsi="Garamond"/>
          <w:sz w:val="18"/>
          <w:szCs w:val="18"/>
          <w:lang w:val="fr-FR"/>
        </w:rPr>
        <w:t xml:space="preserve"> </w:t>
      </w:r>
      <w:r w:rsidRPr="00F25F47">
        <w:rPr>
          <w:rFonts w:ascii="Garamond" w:hAnsi="Garamond"/>
          <w:sz w:val="18"/>
          <w:szCs w:val="18"/>
          <w:lang w:val="fr-FR"/>
        </w:rPr>
        <w:tab/>
      </w:r>
      <w:r w:rsidRPr="0054172A">
        <w:rPr>
          <w:rFonts w:ascii="Garamond" w:hAnsi="Garamond"/>
          <w:sz w:val="18"/>
          <w:szCs w:val="18"/>
          <w:lang w:val="fr-FR"/>
        </w:rPr>
        <w:t xml:space="preserve">Regulation (EU) 2022/2463, Recital 14. </w:t>
      </w:r>
    </w:p>
  </w:footnote>
  <w:footnote w:id="116">
    <w:p w14:paraId="38658F04" w14:textId="5B937463" w:rsidR="00932156" w:rsidRPr="0054172A" w:rsidRDefault="00932156" w:rsidP="00C6274C">
      <w:pPr>
        <w:pStyle w:val="FootnoteText"/>
        <w:ind w:left="720" w:hanging="720"/>
        <w:jc w:val="both"/>
        <w:rPr>
          <w:rFonts w:ascii="Garamond" w:hAnsi="Garamond"/>
          <w:sz w:val="18"/>
          <w:szCs w:val="18"/>
          <w:lang w:val="fr-FR"/>
        </w:rPr>
      </w:pPr>
      <w:r w:rsidRPr="0054172A">
        <w:rPr>
          <w:rStyle w:val="FootnoteReference"/>
          <w:rFonts w:ascii="Garamond" w:hAnsi="Garamond"/>
          <w:sz w:val="18"/>
          <w:szCs w:val="18"/>
        </w:rPr>
        <w:footnoteRef/>
      </w:r>
      <w:r w:rsidRPr="0054172A">
        <w:rPr>
          <w:rFonts w:ascii="Garamond" w:hAnsi="Garamond"/>
          <w:sz w:val="18"/>
          <w:szCs w:val="18"/>
          <w:lang w:val="fr-FR"/>
        </w:rPr>
        <w:t xml:space="preserve"> </w:t>
      </w:r>
      <w:r w:rsidRPr="0054172A">
        <w:rPr>
          <w:rFonts w:ascii="Garamond" w:hAnsi="Garamond"/>
          <w:sz w:val="18"/>
          <w:szCs w:val="18"/>
          <w:lang w:val="fr-FR"/>
        </w:rPr>
        <w:tab/>
      </w:r>
      <w:r w:rsidR="00C6274C" w:rsidRPr="0054172A">
        <w:rPr>
          <w:rFonts w:ascii="Garamond" w:hAnsi="Garamond"/>
          <w:sz w:val="18"/>
          <w:szCs w:val="18"/>
          <w:lang w:val="fr-FR"/>
        </w:rPr>
        <w:t>MoU pt 12.</w:t>
      </w:r>
    </w:p>
  </w:footnote>
  <w:footnote w:id="117">
    <w:p w14:paraId="01580CD8" w14:textId="597E607C" w:rsidR="00EA4C03" w:rsidRPr="0054172A" w:rsidRDefault="00EA4C03">
      <w:pPr>
        <w:pStyle w:val="FootnoteText"/>
        <w:rPr>
          <w:rFonts w:ascii="Garamond" w:hAnsi="Garamond"/>
          <w:sz w:val="18"/>
          <w:szCs w:val="18"/>
          <w:lang w:val="fr-FR"/>
        </w:rPr>
      </w:pPr>
      <w:r w:rsidRPr="0054172A">
        <w:rPr>
          <w:rStyle w:val="FootnoteReference"/>
          <w:rFonts w:ascii="Garamond" w:hAnsi="Garamond"/>
          <w:sz w:val="18"/>
          <w:szCs w:val="18"/>
        </w:rPr>
        <w:footnoteRef/>
      </w:r>
      <w:r w:rsidRPr="0054172A">
        <w:rPr>
          <w:rFonts w:ascii="Garamond" w:hAnsi="Garamond"/>
          <w:sz w:val="18"/>
          <w:szCs w:val="18"/>
          <w:lang w:val="fr-FR"/>
        </w:rPr>
        <w:t xml:space="preserve"> </w:t>
      </w:r>
      <w:r w:rsidRPr="0054172A">
        <w:rPr>
          <w:rFonts w:ascii="Garamond" w:hAnsi="Garamond"/>
          <w:sz w:val="18"/>
          <w:szCs w:val="18"/>
          <w:lang w:val="fr-FR"/>
        </w:rPr>
        <w:tab/>
      </w:r>
      <w:proofErr w:type="spellStart"/>
      <w:r w:rsidRPr="0054172A">
        <w:rPr>
          <w:rFonts w:ascii="Garamond" w:hAnsi="Garamond"/>
          <w:sz w:val="18"/>
          <w:szCs w:val="18"/>
          <w:lang w:val="fr-FR"/>
        </w:rPr>
        <w:t>See</w:t>
      </w:r>
      <w:proofErr w:type="spellEnd"/>
      <w:r w:rsidRPr="0054172A">
        <w:rPr>
          <w:rFonts w:ascii="Garamond" w:hAnsi="Garamond"/>
          <w:sz w:val="18"/>
          <w:szCs w:val="18"/>
          <w:lang w:val="fr-FR"/>
        </w:rPr>
        <w:t xml:space="preserve"> </w:t>
      </w:r>
      <w:proofErr w:type="spellStart"/>
      <w:r w:rsidRPr="0054172A">
        <w:rPr>
          <w:rFonts w:ascii="Garamond" w:hAnsi="Garamond"/>
          <w:sz w:val="18"/>
          <w:szCs w:val="18"/>
          <w:lang w:val="fr-FR"/>
        </w:rPr>
        <w:t>above</w:t>
      </w:r>
      <w:proofErr w:type="spellEnd"/>
      <w:r w:rsidRPr="0054172A">
        <w:rPr>
          <w:rFonts w:ascii="Garamond" w:hAnsi="Garamond"/>
          <w:sz w:val="18"/>
          <w:szCs w:val="18"/>
          <w:lang w:val="fr-FR"/>
        </w:rPr>
        <w:t xml:space="preserve"> </w:t>
      </w:r>
      <w:proofErr w:type="spellStart"/>
      <w:r w:rsidRPr="0054172A">
        <w:rPr>
          <w:rFonts w:ascii="Garamond" w:hAnsi="Garamond"/>
          <w:sz w:val="18"/>
          <w:szCs w:val="18"/>
          <w:lang w:val="fr-FR"/>
        </w:rPr>
        <w:t>footnote</w:t>
      </w:r>
      <w:proofErr w:type="spellEnd"/>
      <w:r w:rsidRPr="0054172A">
        <w:rPr>
          <w:rFonts w:ascii="Garamond" w:hAnsi="Garamond"/>
          <w:sz w:val="18"/>
          <w:szCs w:val="18"/>
          <w:lang w:val="fr-FR"/>
        </w:rPr>
        <w:t xml:space="preserve"> </w:t>
      </w:r>
      <w:r w:rsidR="00BF5214" w:rsidRPr="0054172A">
        <w:rPr>
          <w:rFonts w:ascii="Garamond" w:hAnsi="Garamond"/>
          <w:sz w:val="18"/>
          <w:szCs w:val="18"/>
          <w:lang w:val="fr-FR"/>
        </w:rPr>
        <w:t>75.</w:t>
      </w:r>
    </w:p>
  </w:footnote>
  <w:footnote w:id="118">
    <w:p w14:paraId="5760838B" w14:textId="11358D78" w:rsidR="00C6274C" w:rsidRPr="00F25F47" w:rsidRDefault="00C6274C" w:rsidP="00C6274C">
      <w:pPr>
        <w:pStyle w:val="FootnoteText"/>
        <w:ind w:left="720" w:hanging="720"/>
        <w:jc w:val="both"/>
        <w:rPr>
          <w:rFonts w:ascii="Garamond" w:hAnsi="Garamond"/>
          <w:sz w:val="18"/>
          <w:szCs w:val="18"/>
          <w:lang w:val="fr-FR"/>
        </w:rPr>
      </w:pPr>
      <w:r w:rsidRPr="0054172A">
        <w:rPr>
          <w:rStyle w:val="FootnoteReference"/>
          <w:rFonts w:ascii="Garamond" w:hAnsi="Garamond"/>
          <w:sz w:val="18"/>
          <w:szCs w:val="18"/>
        </w:rPr>
        <w:footnoteRef/>
      </w:r>
      <w:r w:rsidRPr="0054172A">
        <w:rPr>
          <w:rFonts w:ascii="Garamond" w:hAnsi="Garamond"/>
          <w:sz w:val="18"/>
          <w:szCs w:val="18"/>
          <w:lang w:val="fr-FR"/>
        </w:rPr>
        <w:t xml:space="preserve"> </w:t>
      </w:r>
      <w:r w:rsidRPr="0054172A">
        <w:rPr>
          <w:rFonts w:ascii="Garamond" w:hAnsi="Garamond"/>
          <w:sz w:val="18"/>
          <w:szCs w:val="18"/>
          <w:lang w:val="fr-FR"/>
        </w:rPr>
        <w:tab/>
        <w:t>K. Lenaerts and S</w:t>
      </w:r>
      <w:r w:rsidRPr="00F25F47">
        <w:rPr>
          <w:rFonts w:ascii="Garamond" w:hAnsi="Garamond"/>
          <w:sz w:val="18"/>
          <w:szCs w:val="18"/>
          <w:lang w:val="fr-FR"/>
        </w:rPr>
        <w:t xml:space="preserve">. Adams, ‘La solidarité, valeur commune aux </w:t>
      </w:r>
      <w:r w:rsidRPr="00F25F47">
        <w:rPr>
          <w:rFonts w:ascii="Garamond" w:hAnsi="Garamond"/>
          <w:caps/>
          <w:sz w:val="18"/>
          <w:szCs w:val="18"/>
          <w:lang w:val="fr-FR"/>
        </w:rPr>
        <w:t>É</w:t>
      </w:r>
      <w:r w:rsidRPr="00F25F47">
        <w:rPr>
          <w:rFonts w:ascii="Garamond" w:hAnsi="Garamond"/>
          <w:sz w:val="18"/>
          <w:szCs w:val="18"/>
          <w:lang w:val="fr-FR"/>
        </w:rPr>
        <w:t xml:space="preserve">tats membres et principe fédératif de l’Union européenne’ (2021) 57 </w:t>
      </w:r>
      <w:r w:rsidRPr="00F25F47">
        <w:rPr>
          <w:rFonts w:ascii="Garamond" w:hAnsi="Garamond"/>
          <w:i/>
          <w:iCs/>
          <w:sz w:val="18"/>
          <w:szCs w:val="18"/>
          <w:lang w:val="fr-FR"/>
        </w:rPr>
        <w:t xml:space="preserve">Cahiers de droit européen </w:t>
      </w:r>
      <w:r w:rsidRPr="00F25F47">
        <w:rPr>
          <w:rFonts w:ascii="Garamond" w:hAnsi="Garamond"/>
          <w:sz w:val="18"/>
          <w:szCs w:val="18"/>
          <w:lang w:val="fr-FR"/>
        </w:rPr>
        <w:t>307–417, 414–415.</w:t>
      </w:r>
    </w:p>
  </w:footnote>
  <w:footnote w:id="119">
    <w:p w14:paraId="6AB77E91" w14:textId="2349358A" w:rsidR="005A7A9C" w:rsidRPr="00F25F47" w:rsidRDefault="005A7A9C" w:rsidP="005A7A9C">
      <w:pPr>
        <w:pStyle w:val="FootnoteText"/>
        <w:ind w:left="720" w:hanging="720"/>
        <w:jc w:val="both"/>
        <w:rPr>
          <w:rFonts w:ascii="Garamond" w:hAnsi="Garamond"/>
          <w:i/>
          <w:iCs/>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J. Tallberg, ‘Paths to Compliance: Enforcement, Management, and the European Union’ 2002 (56:3) </w:t>
      </w:r>
      <w:r w:rsidRPr="00F25F47">
        <w:rPr>
          <w:rFonts w:ascii="Garamond" w:hAnsi="Garamond"/>
          <w:i/>
          <w:iCs/>
          <w:sz w:val="18"/>
          <w:szCs w:val="18"/>
        </w:rPr>
        <w:t>International Organization</w:t>
      </w:r>
      <w:r w:rsidRPr="00F25F47">
        <w:rPr>
          <w:rFonts w:ascii="Garamond" w:hAnsi="Garamond"/>
          <w:sz w:val="18"/>
          <w:szCs w:val="18"/>
        </w:rPr>
        <w:t xml:space="preserve"> 609–43</w:t>
      </w:r>
      <w:r w:rsidRPr="00F25F47">
        <w:rPr>
          <w:rFonts w:ascii="Garamond" w:hAnsi="Garamond"/>
          <w:i/>
          <w:iCs/>
          <w:sz w:val="18"/>
          <w:szCs w:val="18"/>
        </w:rPr>
        <w:t>.</w:t>
      </w:r>
    </w:p>
  </w:footnote>
  <w:footnote w:id="120">
    <w:p w14:paraId="4EECC5B3" w14:textId="00769ECE" w:rsidR="00BB575E" w:rsidRPr="0054172A" w:rsidRDefault="00BB575E" w:rsidP="0054172A">
      <w:pPr>
        <w:pStyle w:val="FootnoteText"/>
        <w:ind w:left="720" w:hanging="720"/>
        <w:jc w:val="both"/>
        <w:rPr>
          <w:sz w:val="18"/>
          <w:szCs w:val="18"/>
        </w:rPr>
      </w:pPr>
      <w:r w:rsidRPr="0054172A">
        <w:rPr>
          <w:rStyle w:val="FootnoteReference"/>
          <w:sz w:val="18"/>
          <w:szCs w:val="18"/>
        </w:rPr>
        <w:footnoteRef/>
      </w:r>
      <w:r w:rsidRPr="0054172A">
        <w:rPr>
          <w:sz w:val="18"/>
          <w:szCs w:val="18"/>
        </w:rPr>
        <w:t xml:space="preserve"> </w:t>
      </w:r>
      <w:r w:rsidRPr="0054172A">
        <w:rPr>
          <w:sz w:val="18"/>
          <w:szCs w:val="18"/>
        </w:rPr>
        <w:tab/>
      </w:r>
      <w:r w:rsidRPr="0054172A">
        <w:rPr>
          <w:rFonts w:ascii="Garamond" w:hAnsi="Garamond"/>
          <w:sz w:val="18"/>
          <w:szCs w:val="18"/>
        </w:rPr>
        <w:t>Failing to meet these requirements might lead to drastically weaken the whole system. One possible solution would then to replace the European Commission by a less political, and possibly more technical entity (maybe the European Court of Auditors or some kinds of independent fiscal entities that are promoted by the new economic governance?) to maintain the trustworthiness of the system. I thank one of the anonymous reviewers for flagging this point.</w:t>
      </w:r>
      <w:r w:rsidRPr="0054172A">
        <w:rPr>
          <w:sz w:val="18"/>
          <w:szCs w:val="18"/>
        </w:rPr>
        <w:t xml:space="preserve"> </w:t>
      </w:r>
    </w:p>
  </w:footnote>
  <w:footnote w:id="121">
    <w:p w14:paraId="6E80281D" w14:textId="3F4B3318" w:rsidR="00A52E45" w:rsidRPr="00F25F47" w:rsidRDefault="00A52E45" w:rsidP="00C95634">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C95634" w:rsidRPr="00F25F47">
        <w:rPr>
          <w:rFonts w:ascii="Garamond" w:hAnsi="Garamond"/>
          <w:sz w:val="18"/>
          <w:szCs w:val="18"/>
        </w:rPr>
        <w:tab/>
      </w:r>
      <w:r w:rsidR="00B207E6" w:rsidRPr="00F25F47">
        <w:rPr>
          <w:rFonts w:ascii="Garamond" w:hAnsi="Garamond"/>
          <w:sz w:val="18"/>
          <w:szCs w:val="18"/>
        </w:rPr>
        <w:t>M. Fisicaro, ‘Protection of the Rule of Law and ‘Competence Creep’ via the Budget: The Court of Justice on the Legality of the Conditionality Regulation – ECJ Judgments of 16 February 2022, C-156/21, Hungary v Parliament and Council and C-157/21, Poland v Parliament and Council’ (2022) 18</w:t>
      </w:r>
      <w:r w:rsidR="00B207E6" w:rsidRPr="00F25F47">
        <w:rPr>
          <w:rFonts w:ascii="Garamond" w:hAnsi="Garamond"/>
          <w:i/>
          <w:iCs/>
          <w:sz w:val="18"/>
          <w:szCs w:val="18"/>
        </w:rPr>
        <w:t xml:space="preserve"> European Constitutional Law Review </w:t>
      </w:r>
      <w:r w:rsidR="00B207E6" w:rsidRPr="00F25F47">
        <w:rPr>
          <w:rFonts w:ascii="Garamond" w:hAnsi="Garamond"/>
          <w:sz w:val="18"/>
          <w:szCs w:val="18"/>
        </w:rPr>
        <w:t>334–56,</w:t>
      </w:r>
      <w:r w:rsidRPr="00F25F47">
        <w:rPr>
          <w:rFonts w:ascii="Garamond" w:hAnsi="Garamond"/>
          <w:sz w:val="18"/>
          <w:szCs w:val="18"/>
        </w:rPr>
        <w:t xml:space="preserve"> 354.</w:t>
      </w:r>
    </w:p>
  </w:footnote>
  <w:footnote w:id="122">
    <w:p w14:paraId="473CDD8E" w14:textId="148E229A" w:rsidR="00C96058" w:rsidRPr="00F25F47" w:rsidRDefault="00C96058" w:rsidP="00F25F47">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00F25F47" w:rsidRPr="00F25F47">
        <w:rPr>
          <w:rFonts w:ascii="Garamond" w:hAnsi="Garamond"/>
          <w:sz w:val="18"/>
          <w:szCs w:val="18"/>
        </w:rPr>
        <w:tab/>
        <w:t xml:space="preserve">J. Miró, M. Natili, and W. Schelkle, ‘Money </w:t>
      </w:r>
      <w:r w:rsidR="00386402">
        <w:rPr>
          <w:rFonts w:ascii="Garamond" w:hAnsi="Garamond"/>
          <w:sz w:val="18"/>
          <w:szCs w:val="18"/>
        </w:rPr>
        <w:t>M</w:t>
      </w:r>
      <w:r w:rsidR="00F25F47" w:rsidRPr="00F25F47">
        <w:rPr>
          <w:rFonts w:ascii="Garamond" w:hAnsi="Garamond"/>
          <w:sz w:val="18"/>
          <w:szCs w:val="18"/>
        </w:rPr>
        <w:t xml:space="preserve">akes the </w:t>
      </w:r>
      <w:r w:rsidR="00386402">
        <w:rPr>
          <w:rFonts w:ascii="Garamond" w:hAnsi="Garamond"/>
          <w:sz w:val="18"/>
          <w:szCs w:val="18"/>
        </w:rPr>
        <w:t>W</w:t>
      </w:r>
      <w:r w:rsidR="00F25F47" w:rsidRPr="00F25F47">
        <w:rPr>
          <w:rFonts w:ascii="Garamond" w:hAnsi="Garamond"/>
          <w:sz w:val="18"/>
          <w:szCs w:val="18"/>
        </w:rPr>
        <w:t xml:space="preserve">orld </w:t>
      </w:r>
      <w:r w:rsidR="00386402">
        <w:rPr>
          <w:rFonts w:ascii="Garamond" w:hAnsi="Garamond"/>
          <w:sz w:val="18"/>
          <w:szCs w:val="18"/>
        </w:rPr>
        <w:t>G</w:t>
      </w:r>
      <w:r w:rsidR="00F25F47" w:rsidRPr="00F25F47">
        <w:rPr>
          <w:rFonts w:ascii="Garamond" w:hAnsi="Garamond"/>
          <w:sz w:val="18"/>
          <w:szCs w:val="18"/>
        </w:rPr>
        <w:t xml:space="preserve">o </w:t>
      </w:r>
      <w:r w:rsidR="00386402">
        <w:rPr>
          <w:rFonts w:ascii="Garamond" w:hAnsi="Garamond"/>
          <w:sz w:val="18"/>
          <w:szCs w:val="18"/>
        </w:rPr>
        <w:t>R</w:t>
      </w:r>
      <w:r w:rsidR="00F25F47" w:rsidRPr="00F25F47">
        <w:rPr>
          <w:rFonts w:ascii="Garamond" w:hAnsi="Garamond"/>
          <w:sz w:val="18"/>
          <w:szCs w:val="18"/>
        </w:rPr>
        <w:t xml:space="preserve">ound: </w:t>
      </w:r>
      <w:r w:rsidR="00386402">
        <w:rPr>
          <w:rFonts w:ascii="Garamond" w:hAnsi="Garamond"/>
          <w:sz w:val="18"/>
          <w:szCs w:val="18"/>
        </w:rPr>
        <w:t>H</w:t>
      </w:r>
      <w:r w:rsidR="00F25F47" w:rsidRPr="00F25F47">
        <w:rPr>
          <w:rFonts w:ascii="Garamond" w:hAnsi="Garamond"/>
          <w:sz w:val="18"/>
          <w:szCs w:val="18"/>
        </w:rPr>
        <w:t xml:space="preserve">ow </w:t>
      </w:r>
      <w:r w:rsidR="00386402">
        <w:rPr>
          <w:rFonts w:ascii="Garamond" w:hAnsi="Garamond"/>
          <w:sz w:val="18"/>
          <w:szCs w:val="18"/>
        </w:rPr>
        <w:t>M</w:t>
      </w:r>
      <w:r w:rsidR="00F25F47" w:rsidRPr="00F25F47">
        <w:rPr>
          <w:rFonts w:ascii="Garamond" w:hAnsi="Garamond"/>
          <w:sz w:val="18"/>
          <w:szCs w:val="18"/>
        </w:rPr>
        <w:t xml:space="preserve">uch </w:t>
      </w:r>
      <w:r w:rsidR="00386402">
        <w:rPr>
          <w:rFonts w:ascii="Garamond" w:hAnsi="Garamond"/>
          <w:sz w:val="18"/>
          <w:szCs w:val="18"/>
        </w:rPr>
        <w:t>D</w:t>
      </w:r>
      <w:r w:rsidR="00F25F47" w:rsidRPr="00F25F47">
        <w:rPr>
          <w:rFonts w:ascii="Garamond" w:hAnsi="Garamond"/>
          <w:sz w:val="18"/>
          <w:szCs w:val="18"/>
        </w:rPr>
        <w:t xml:space="preserve">ifference </w:t>
      </w:r>
      <w:r w:rsidR="00386402">
        <w:rPr>
          <w:rFonts w:ascii="Garamond" w:hAnsi="Garamond"/>
          <w:sz w:val="18"/>
          <w:szCs w:val="18"/>
        </w:rPr>
        <w:t>D</w:t>
      </w:r>
      <w:r w:rsidR="00F25F47" w:rsidRPr="00F25F47">
        <w:rPr>
          <w:rFonts w:ascii="Garamond" w:hAnsi="Garamond"/>
          <w:sz w:val="18"/>
          <w:szCs w:val="18"/>
        </w:rPr>
        <w:t xml:space="preserve">o </w:t>
      </w:r>
      <w:r w:rsidR="00386402">
        <w:rPr>
          <w:rFonts w:ascii="Garamond" w:hAnsi="Garamond"/>
          <w:sz w:val="18"/>
          <w:szCs w:val="18"/>
        </w:rPr>
        <w:t>R</w:t>
      </w:r>
      <w:r w:rsidR="00F25F47" w:rsidRPr="00F25F47">
        <w:rPr>
          <w:rFonts w:ascii="Garamond" w:hAnsi="Garamond"/>
          <w:sz w:val="18"/>
          <w:szCs w:val="18"/>
        </w:rPr>
        <w:t xml:space="preserve">ecovery and </w:t>
      </w:r>
      <w:r w:rsidR="00386402">
        <w:rPr>
          <w:rFonts w:ascii="Garamond" w:hAnsi="Garamond"/>
          <w:sz w:val="18"/>
          <w:szCs w:val="18"/>
        </w:rPr>
        <w:t>R</w:t>
      </w:r>
      <w:r w:rsidR="00F25F47" w:rsidRPr="00F25F47">
        <w:rPr>
          <w:rFonts w:ascii="Garamond" w:hAnsi="Garamond"/>
          <w:sz w:val="18"/>
          <w:szCs w:val="18"/>
        </w:rPr>
        <w:t xml:space="preserve">esilience </w:t>
      </w:r>
      <w:r w:rsidR="00386402">
        <w:rPr>
          <w:rFonts w:ascii="Garamond" w:hAnsi="Garamond"/>
          <w:sz w:val="18"/>
          <w:szCs w:val="18"/>
        </w:rPr>
        <w:t>P</w:t>
      </w:r>
      <w:r w:rsidR="00F25F47" w:rsidRPr="00F25F47">
        <w:rPr>
          <w:rFonts w:ascii="Garamond" w:hAnsi="Garamond"/>
          <w:sz w:val="18"/>
          <w:szCs w:val="18"/>
        </w:rPr>
        <w:t xml:space="preserve">lans </w:t>
      </w:r>
      <w:r w:rsidR="00386402">
        <w:rPr>
          <w:rFonts w:ascii="Garamond" w:hAnsi="Garamond"/>
          <w:sz w:val="18"/>
          <w:szCs w:val="18"/>
        </w:rPr>
        <w:t>M</w:t>
      </w:r>
      <w:r w:rsidR="00F25F47" w:rsidRPr="00F25F47">
        <w:rPr>
          <w:rFonts w:ascii="Garamond" w:hAnsi="Garamond"/>
          <w:sz w:val="18"/>
          <w:szCs w:val="18"/>
        </w:rPr>
        <w:t xml:space="preserve">ake to </w:t>
      </w:r>
      <w:r w:rsidR="00386402">
        <w:rPr>
          <w:rFonts w:ascii="Garamond" w:hAnsi="Garamond"/>
          <w:sz w:val="18"/>
          <w:szCs w:val="18"/>
        </w:rPr>
        <w:t>EU</w:t>
      </w:r>
      <w:r w:rsidR="00F25F47" w:rsidRPr="00F25F47">
        <w:rPr>
          <w:rFonts w:ascii="Garamond" w:hAnsi="Garamond"/>
          <w:sz w:val="18"/>
          <w:szCs w:val="18"/>
        </w:rPr>
        <w:t xml:space="preserve"> </w:t>
      </w:r>
      <w:r w:rsidR="00386402">
        <w:rPr>
          <w:rFonts w:ascii="Garamond" w:hAnsi="Garamond"/>
          <w:sz w:val="18"/>
          <w:szCs w:val="18"/>
        </w:rPr>
        <w:t>R</w:t>
      </w:r>
      <w:r w:rsidR="00F25F47" w:rsidRPr="00F25F47">
        <w:rPr>
          <w:rFonts w:ascii="Garamond" w:hAnsi="Garamond"/>
          <w:sz w:val="18"/>
          <w:szCs w:val="18"/>
        </w:rPr>
        <w:t xml:space="preserve">eform </w:t>
      </w:r>
      <w:r w:rsidR="00386402">
        <w:rPr>
          <w:rFonts w:ascii="Garamond" w:hAnsi="Garamond"/>
          <w:sz w:val="18"/>
          <w:szCs w:val="18"/>
        </w:rPr>
        <w:t>G</w:t>
      </w:r>
      <w:r w:rsidR="00F25F47" w:rsidRPr="00F25F47">
        <w:rPr>
          <w:rFonts w:ascii="Garamond" w:hAnsi="Garamond"/>
          <w:sz w:val="18"/>
          <w:szCs w:val="18"/>
        </w:rPr>
        <w:t xml:space="preserve">overnance?’ (2023) </w:t>
      </w:r>
      <w:r w:rsidR="00F25F47" w:rsidRPr="00F25F47">
        <w:rPr>
          <w:rFonts w:ascii="Garamond" w:hAnsi="Garamond"/>
          <w:i/>
          <w:iCs/>
          <w:sz w:val="18"/>
          <w:szCs w:val="18"/>
        </w:rPr>
        <w:t>JCMS: Journal of Common Market Studies</w:t>
      </w:r>
      <w:r w:rsidR="00F25F47" w:rsidRPr="00F25F47">
        <w:rPr>
          <w:rFonts w:ascii="Garamond" w:hAnsi="Garamond"/>
          <w:sz w:val="18"/>
          <w:szCs w:val="18"/>
        </w:rPr>
        <w:t xml:space="preserve"> early view. https://doi.org/10.1111/jcms.13558.</w:t>
      </w:r>
    </w:p>
  </w:footnote>
  <w:footnote w:id="123">
    <w:p w14:paraId="07789D60" w14:textId="38B716C9" w:rsidR="00C96058" w:rsidRPr="00F25F47" w:rsidRDefault="00C96058" w:rsidP="00C96058">
      <w:pPr>
        <w:pStyle w:val="FootnoteText"/>
        <w:ind w:left="720" w:hanging="720"/>
        <w:jc w:val="both"/>
        <w:rPr>
          <w:rFonts w:ascii="Garamond" w:hAnsi="Garamond"/>
          <w:sz w:val="18"/>
          <w:szCs w:val="18"/>
        </w:rPr>
      </w:pPr>
      <w:r w:rsidRPr="00F25F47">
        <w:rPr>
          <w:rStyle w:val="FootnoteReference"/>
          <w:rFonts w:ascii="Garamond" w:hAnsi="Garamond"/>
          <w:sz w:val="18"/>
          <w:szCs w:val="18"/>
        </w:rPr>
        <w:footnoteRef/>
      </w:r>
      <w:r w:rsidRPr="00F25F47">
        <w:rPr>
          <w:rFonts w:ascii="Garamond" w:hAnsi="Garamond"/>
          <w:sz w:val="18"/>
          <w:szCs w:val="18"/>
        </w:rPr>
        <w:t xml:space="preserve"> </w:t>
      </w:r>
      <w:r w:rsidRPr="00F25F47">
        <w:rPr>
          <w:rFonts w:ascii="Garamond" w:hAnsi="Garamond"/>
          <w:sz w:val="18"/>
          <w:szCs w:val="18"/>
        </w:rPr>
        <w:tab/>
        <w:t xml:space="preserve">C. Kilpatrick, 'Explaining and Remedying the Near Absence of the Budget in EU Law Scholarship' (2024) (61:3) </w:t>
      </w:r>
      <w:r w:rsidRPr="00F25F47">
        <w:rPr>
          <w:rFonts w:ascii="Garamond" w:hAnsi="Garamond"/>
          <w:i/>
          <w:iCs/>
          <w:sz w:val="18"/>
          <w:szCs w:val="18"/>
        </w:rPr>
        <w:t>Common Market Law Review</w:t>
      </w:r>
      <w:r w:rsidRPr="00F25F47">
        <w:rPr>
          <w:rFonts w:ascii="Garamond" w:hAnsi="Garamond"/>
          <w:sz w:val="18"/>
          <w:szCs w:val="18"/>
        </w:rPr>
        <w:t xml:space="preserve"> 623-654.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836EF"/>
    <w:multiLevelType w:val="hybridMultilevel"/>
    <w:tmpl w:val="473665AA"/>
    <w:lvl w:ilvl="0" w:tplc="BBC4FC6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D902B02"/>
    <w:multiLevelType w:val="hybridMultilevel"/>
    <w:tmpl w:val="7938D524"/>
    <w:lvl w:ilvl="0" w:tplc="5F86FF8C">
      <w:start w:val="1"/>
      <w:numFmt w:val="upperRoman"/>
      <w:pStyle w:val="Heading1"/>
      <w:lvlText w:val="%1."/>
      <w:lvlJc w:val="right"/>
      <w:pPr>
        <w:ind w:left="72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4903746">
    <w:abstractNumId w:val="1"/>
  </w:num>
  <w:num w:numId="2" w16cid:durableId="626817730">
    <w:abstractNumId w:val="1"/>
  </w:num>
  <w:num w:numId="3" w16cid:durableId="424377864">
    <w:abstractNumId w:val="1"/>
  </w:num>
  <w:num w:numId="4" w16cid:durableId="1309749714">
    <w:abstractNumId w:val="1"/>
  </w:num>
  <w:num w:numId="5" w16cid:durableId="366639030">
    <w:abstractNumId w:val="1"/>
  </w:num>
  <w:num w:numId="6" w16cid:durableId="2103837298">
    <w:abstractNumId w:val="1"/>
  </w:num>
  <w:num w:numId="7" w16cid:durableId="1406298411">
    <w:abstractNumId w:val="1"/>
  </w:num>
  <w:num w:numId="8" w16cid:durableId="1990553982">
    <w:abstractNumId w:val="1"/>
  </w:num>
  <w:num w:numId="9" w16cid:durableId="1660230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88"/>
    <w:rsid w:val="00004FEB"/>
    <w:rsid w:val="000053FC"/>
    <w:rsid w:val="000275B0"/>
    <w:rsid w:val="0003376A"/>
    <w:rsid w:val="00034357"/>
    <w:rsid w:val="0004395C"/>
    <w:rsid w:val="000553ED"/>
    <w:rsid w:val="00067FE5"/>
    <w:rsid w:val="000776C4"/>
    <w:rsid w:val="000807F8"/>
    <w:rsid w:val="00086F3E"/>
    <w:rsid w:val="000921B1"/>
    <w:rsid w:val="000A695E"/>
    <w:rsid w:val="000A6D9B"/>
    <w:rsid w:val="000A6DED"/>
    <w:rsid w:val="000B0B87"/>
    <w:rsid w:val="000B4660"/>
    <w:rsid w:val="000C006E"/>
    <w:rsid w:val="000C261F"/>
    <w:rsid w:val="000D15F3"/>
    <w:rsid w:val="000D7148"/>
    <w:rsid w:val="000E1BD1"/>
    <w:rsid w:val="000E4AE1"/>
    <w:rsid w:val="00107636"/>
    <w:rsid w:val="0011735D"/>
    <w:rsid w:val="00120717"/>
    <w:rsid w:val="001212D1"/>
    <w:rsid w:val="00126C18"/>
    <w:rsid w:val="00132DDD"/>
    <w:rsid w:val="00134E56"/>
    <w:rsid w:val="0013769C"/>
    <w:rsid w:val="00143360"/>
    <w:rsid w:val="00143DFD"/>
    <w:rsid w:val="001560FD"/>
    <w:rsid w:val="00156FCF"/>
    <w:rsid w:val="001730E9"/>
    <w:rsid w:val="001808EC"/>
    <w:rsid w:val="001818A7"/>
    <w:rsid w:val="001828D1"/>
    <w:rsid w:val="00186388"/>
    <w:rsid w:val="00186770"/>
    <w:rsid w:val="00196FB2"/>
    <w:rsid w:val="001A0E6F"/>
    <w:rsid w:val="001A2D04"/>
    <w:rsid w:val="001B51FF"/>
    <w:rsid w:val="001C03A4"/>
    <w:rsid w:val="001C4C15"/>
    <w:rsid w:val="001C4F35"/>
    <w:rsid w:val="001C74D6"/>
    <w:rsid w:val="001C7CBD"/>
    <w:rsid w:val="001D5559"/>
    <w:rsid w:val="001D5858"/>
    <w:rsid w:val="001D6F06"/>
    <w:rsid w:val="001E5486"/>
    <w:rsid w:val="001F1844"/>
    <w:rsid w:val="001F1EB4"/>
    <w:rsid w:val="001F6640"/>
    <w:rsid w:val="0020282A"/>
    <w:rsid w:val="002125A6"/>
    <w:rsid w:val="002130DC"/>
    <w:rsid w:val="00214FCF"/>
    <w:rsid w:val="00226C40"/>
    <w:rsid w:val="00230447"/>
    <w:rsid w:val="002306C4"/>
    <w:rsid w:val="002328F8"/>
    <w:rsid w:val="00236350"/>
    <w:rsid w:val="00237CBB"/>
    <w:rsid w:val="00244733"/>
    <w:rsid w:val="0026071D"/>
    <w:rsid w:val="00260C00"/>
    <w:rsid w:val="0026746A"/>
    <w:rsid w:val="00267740"/>
    <w:rsid w:val="00273768"/>
    <w:rsid w:val="00276DEB"/>
    <w:rsid w:val="00280085"/>
    <w:rsid w:val="00283060"/>
    <w:rsid w:val="00284073"/>
    <w:rsid w:val="00286C28"/>
    <w:rsid w:val="00290AAD"/>
    <w:rsid w:val="00291589"/>
    <w:rsid w:val="00296386"/>
    <w:rsid w:val="002A16E1"/>
    <w:rsid w:val="002A1C5B"/>
    <w:rsid w:val="002A1F5D"/>
    <w:rsid w:val="002A370B"/>
    <w:rsid w:val="002A75B4"/>
    <w:rsid w:val="002B1C83"/>
    <w:rsid w:val="002B33C6"/>
    <w:rsid w:val="002B39C2"/>
    <w:rsid w:val="002D0F3A"/>
    <w:rsid w:val="002D1B08"/>
    <w:rsid w:val="002D20F1"/>
    <w:rsid w:val="002E4127"/>
    <w:rsid w:val="002E454E"/>
    <w:rsid w:val="002F1343"/>
    <w:rsid w:val="00300626"/>
    <w:rsid w:val="003066DF"/>
    <w:rsid w:val="00306E60"/>
    <w:rsid w:val="0031032D"/>
    <w:rsid w:val="00312139"/>
    <w:rsid w:val="00313548"/>
    <w:rsid w:val="00317135"/>
    <w:rsid w:val="003206D3"/>
    <w:rsid w:val="00336003"/>
    <w:rsid w:val="00341B28"/>
    <w:rsid w:val="0034650A"/>
    <w:rsid w:val="00350339"/>
    <w:rsid w:val="003513C0"/>
    <w:rsid w:val="00351D28"/>
    <w:rsid w:val="003574E9"/>
    <w:rsid w:val="0036056C"/>
    <w:rsid w:val="00372B94"/>
    <w:rsid w:val="00380BD8"/>
    <w:rsid w:val="00381A21"/>
    <w:rsid w:val="00386402"/>
    <w:rsid w:val="00387154"/>
    <w:rsid w:val="00397452"/>
    <w:rsid w:val="003B34AF"/>
    <w:rsid w:val="003B52E3"/>
    <w:rsid w:val="003B64B5"/>
    <w:rsid w:val="003C0E09"/>
    <w:rsid w:val="003C6B7C"/>
    <w:rsid w:val="003D11DD"/>
    <w:rsid w:val="003E0761"/>
    <w:rsid w:val="003E331F"/>
    <w:rsid w:val="003E3C99"/>
    <w:rsid w:val="003F43A1"/>
    <w:rsid w:val="00401C12"/>
    <w:rsid w:val="00404A6C"/>
    <w:rsid w:val="00405A2A"/>
    <w:rsid w:val="00407F43"/>
    <w:rsid w:val="004246C1"/>
    <w:rsid w:val="00425E44"/>
    <w:rsid w:val="004315EC"/>
    <w:rsid w:val="0043273A"/>
    <w:rsid w:val="00432F01"/>
    <w:rsid w:val="00441CB5"/>
    <w:rsid w:val="004453CA"/>
    <w:rsid w:val="004461BA"/>
    <w:rsid w:val="0045050F"/>
    <w:rsid w:val="00471075"/>
    <w:rsid w:val="0047397B"/>
    <w:rsid w:val="00477712"/>
    <w:rsid w:val="00486884"/>
    <w:rsid w:val="00487848"/>
    <w:rsid w:val="00487CFA"/>
    <w:rsid w:val="00487D97"/>
    <w:rsid w:val="00491ABF"/>
    <w:rsid w:val="00497180"/>
    <w:rsid w:val="004B2F2F"/>
    <w:rsid w:val="004B7041"/>
    <w:rsid w:val="004C546D"/>
    <w:rsid w:val="004E2ECC"/>
    <w:rsid w:val="004E58F4"/>
    <w:rsid w:val="004E6DEA"/>
    <w:rsid w:val="004F1F26"/>
    <w:rsid w:val="0050017E"/>
    <w:rsid w:val="00506319"/>
    <w:rsid w:val="00511F8A"/>
    <w:rsid w:val="00530EA6"/>
    <w:rsid w:val="00537AB2"/>
    <w:rsid w:val="005409E2"/>
    <w:rsid w:val="0054172A"/>
    <w:rsid w:val="005418CD"/>
    <w:rsid w:val="00550CD7"/>
    <w:rsid w:val="00556A52"/>
    <w:rsid w:val="00560E13"/>
    <w:rsid w:val="005641BE"/>
    <w:rsid w:val="00570405"/>
    <w:rsid w:val="00580912"/>
    <w:rsid w:val="0058415F"/>
    <w:rsid w:val="00592E0E"/>
    <w:rsid w:val="00595614"/>
    <w:rsid w:val="005A39D1"/>
    <w:rsid w:val="005A7A9C"/>
    <w:rsid w:val="005C0F98"/>
    <w:rsid w:val="005C3496"/>
    <w:rsid w:val="005D1CEF"/>
    <w:rsid w:val="005D3B0E"/>
    <w:rsid w:val="005F5FF8"/>
    <w:rsid w:val="006000D2"/>
    <w:rsid w:val="0060244E"/>
    <w:rsid w:val="0061085B"/>
    <w:rsid w:val="00615D28"/>
    <w:rsid w:val="006175D9"/>
    <w:rsid w:val="0062357E"/>
    <w:rsid w:val="00631EB6"/>
    <w:rsid w:val="00633930"/>
    <w:rsid w:val="0064065C"/>
    <w:rsid w:val="00642A2A"/>
    <w:rsid w:val="0064372B"/>
    <w:rsid w:val="00643F5C"/>
    <w:rsid w:val="00660ABA"/>
    <w:rsid w:val="00663BF9"/>
    <w:rsid w:val="00672A2C"/>
    <w:rsid w:val="006739BD"/>
    <w:rsid w:val="00681433"/>
    <w:rsid w:val="00683CCC"/>
    <w:rsid w:val="00686BA2"/>
    <w:rsid w:val="006931E8"/>
    <w:rsid w:val="006A074C"/>
    <w:rsid w:val="006A0E24"/>
    <w:rsid w:val="006A6EA8"/>
    <w:rsid w:val="006B36DF"/>
    <w:rsid w:val="006B79BF"/>
    <w:rsid w:val="006B7EE3"/>
    <w:rsid w:val="006C7B3F"/>
    <w:rsid w:val="006D3174"/>
    <w:rsid w:val="006D5232"/>
    <w:rsid w:val="006D726F"/>
    <w:rsid w:val="006D7418"/>
    <w:rsid w:val="006D796D"/>
    <w:rsid w:val="006E5FE1"/>
    <w:rsid w:val="00705E9E"/>
    <w:rsid w:val="0070793F"/>
    <w:rsid w:val="00712C2C"/>
    <w:rsid w:val="00713B02"/>
    <w:rsid w:val="007301EA"/>
    <w:rsid w:val="0073300E"/>
    <w:rsid w:val="00733D24"/>
    <w:rsid w:val="00743214"/>
    <w:rsid w:val="007452E0"/>
    <w:rsid w:val="007562D4"/>
    <w:rsid w:val="00763344"/>
    <w:rsid w:val="00763E14"/>
    <w:rsid w:val="0077020E"/>
    <w:rsid w:val="00770CF8"/>
    <w:rsid w:val="00771135"/>
    <w:rsid w:val="007806C6"/>
    <w:rsid w:val="00780D58"/>
    <w:rsid w:val="00785028"/>
    <w:rsid w:val="0079559C"/>
    <w:rsid w:val="007A46DB"/>
    <w:rsid w:val="007A707B"/>
    <w:rsid w:val="007B5DDD"/>
    <w:rsid w:val="007C0D25"/>
    <w:rsid w:val="007C3EEE"/>
    <w:rsid w:val="007C5147"/>
    <w:rsid w:val="007C7DFF"/>
    <w:rsid w:val="007D7578"/>
    <w:rsid w:val="007E1707"/>
    <w:rsid w:val="007E43E5"/>
    <w:rsid w:val="007E5D35"/>
    <w:rsid w:val="007F2046"/>
    <w:rsid w:val="00801319"/>
    <w:rsid w:val="00801C84"/>
    <w:rsid w:val="00813E55"/>
    <w:rsid w:val="008154E3"/>
    <w:rsid w:val="00831044"/>
    <w:rsid w:val="0084573E"/>
    <w:rsid w:val="00846C66"/>
    <w:rsid w:val="00851FF3"/>
    <w:rsid w:val="00855F91"/>
    <w:rsid w:val="00863953"/>
    <w:rsid w:val="0087378D"/>
    <w:rsid w:val="008779B0"/>
    <w:rsid w:val="008837C9"/>
    <w:rsid w:val="008850BD"/>
    <w:rsid w:val="00894FFF"/>
    <w:rsid w:val="00896F8C"/>
    <w:rsid w:val="008A4F29"/>
    <w:rsid w:val="008A6F65"/>
    <w:rsid w:val="008A70A7"/>
    <w:rsid w:val="008C1061"/>
    <w:rsid w:val="008C6296"/>
    <w:rsid w:val="008C75CC"/>
    <w:rsid w:val="008D20EA"/>
    <w:rsid w:val="008D54C0"/>
    <w:rsid w:val="008D5B64"/>
    <w:rsid w:val="008E0D4B"/>
    <w:rsid w:val="008E2584"/>
    <w:rsid w:val="008E3B5C"/>
    <w:rsid w:val="008E7161"/>
    <w:rsid w:val="008F0599"/>
    <w:rsid w:val="008F5266"/>
    <w:rsid w:val="00902151"/>
    <w:rsid w:val="00906068"/>
    <w:rsid w:val="00911200"/>
    <w:rsid w:val="009260EC"/>
    <w:rsid w:val="0093076F"/>
    <w:rsid w:val="00930F0A"/>
    <w:rsid w:val="00932156"/>
    <w:rsid w:val="00940AB2"/>
    <w:rsid w:val="009411D3"/>
    <w:rsid w:val="009434E8"/>
    <w:rsid w:val="009638B6"/>
    <w:rsid w:val="00967A86"/>
    <w:rsid w:val="009707CF"/>
    <w:rsid w:val="00970D4A"/>
    <w:rsid w:val="0097278A"/>
    <w:rsid w:val="00973349"/>
    <w:rsid w:val="009830E0"/>
    <w:rsid w:val="00985FFB"/>
    <w:rsid w:val="00987BC4"/>
    <w:rsid w:val="00990592"/>
    <w:rsid w:val="009A64B2"/>
    <w:rsid w:val="009B362E"/>
    <w:rsid w:val="009B393E"/>
    <w:rsid w:val="009C0A50"/>
    <w:rsid w:val="009D5A4B"/>
    <w:rsid w:val="009D6D1A"/>
    <w:rsid w:val="009D71AA"/>
    <w:rsid w:val="009D72C7"/>
    <w:rsid w:val="009E27E0"/>
    <w:rsid w:val="009E47CF"/>
    <w:rsid w:val="009E4C61"/>
    <w:rsid w:val="009E53A9"/>
    <w:rsid w:val="009F0C79"/>
    <w:rsid w:val="009F1AB2"/>
    <w:rsid w:val="00A12928"/>
    <w:rsid w:val="00A213C9"/>
    <w:rsid w:val="00A23397"/>
    <w:rsid w:val="00A30662"/>
    <w:rsid w:val="00A30F81"/>
    <w:rsid w:val="00A33529"/>
    <w:rsid w:val="00A43D8B"/>
    <w:rsid w:val="00A46BBE"/>
    <w:rsid w:val="00A46E4A"/>
    <w:rsid w:val="00A52E45"/>
    <w:rsid w:val="00A53A10"/>
    <w:rsid w:val="00A53DE0"/>
    <w:rsid w:val="00A55315"/>
    <w:rsid w:val="00A55FB6"/>
    <w:rsid w:val="00A56343"/>
    <w:rsid w:val="00A56D73"/>
    <w:rsid w:val="00A62EB1"/>
    <w:rsid w:val="00A72493"/>
    <w:rsid w:val="00A73824"/>
    <w:rsid w:val="00A922A5"/>
    <w:rsid w:val="00A94808"/>
    <w:rsid w:val="00A96A22"/>
    <w:rsid w:val="00AA2E42"/>
    <w:rsid w:val="00AA721D"/>
    <w:rsid w:val="00AB6932"/>
    <w:rsid w:val="00AC4F32"/>
    <w:rsid w:val="00AC5C87"/>
    <w:rsid w:val="00AF2DBF"/>
    <w:rsid w:val="00AF35DF"/>
    <w:rsid w:val="00B10AD0"/>
    <w:rsid w:val="00B1432F"/>
    <w:rsid w:val="00B207E6"/>
    <w:rsid w:val="00B23F29"/>
    <w:rsid w:val="00B2539A"/>
    <w:rsid w:val="00B53F03"/>
    <w:rsid w:val="00B6715E"/>
    <w:rsid w:val="00B72E96"/>
    <w:rsid w:val="00B73900"/>
    <w:rsid w:val="00B77B0B"/>
    <w:rsid w:val="00B85815"/>
    <w:rsid w:val="00B85C7F"/>
    <w:rsid w:val="00B87FC5"/>
    <w:rsid w:val="00B92ACE"/>
    <w:rsid w:val="00B92FE5"/>
    <w:rsid w:val="00B9500C"/>
    <w:rsid w:val="00B953A6"/>
    <w:rsid w:val="00BA7847"/>
    <w:rsid w:val="00BB2A72"/>
    <w:rsid w:val="00BB575E"/>
    <w:rsid w:val="00BC0535"/>
    <w:rsid w:val="00BD6429"/>
    <w:rsid w:val="00BD70C9"/>
    <w:rsid w:val="00BD7992"/>
    <w:rsid w:val="00BE2DD4"/>
    <w:rsid w:val="00BE2FB4"/>
    <w:rsid w:val="00BE378B"/>
    <w:rsid w:val="00BF2F4D"/>
    <w:rsid w:val="00BF5214"/>
    <w:rsid w:val="00BF5906"/>
    <w:rsid w:val="00BF6B77"/>
    <w:rsid w:val="00BF6C0A"/>
    <w:rsid w:val="00C05639"/>
    <w:rsid w:val="00C07CB8"/>
    <w:rsid w:val="00C145CF"/>
    <w:rsid w:val="00C24DA8"/>
    <w:rsid w:val="00C308A8"/>
    <w:rsid w:val="00C34B53"/>
    <w:rsid w:val="00C35913"/>
    <w:rsid w:val="00C37468"/>
    <w:rsid w:val="00C40341"/>
    <w:rsid w:val="00C4137C"/>
    <w:rsid w:val="00C467F4"/>
    <w:rsid w:val="00C50DCD"/>
    <w:rsid w:val="00C53BC6"/>
    <w:rsid w:val="00C55C32"/>
    <w:rsid w:val="00C57022"/>
    <w:rsid w:val="00C6274C"/>
    <w:rsid w:val="00C635CC"/>
    <w:rsid w:val="00C6674B"/>
    <w:rsid w:val="00C7502B"/>
    <w:rsid w:val="00C76CB1"/>
    <w:rsid w:val="00C85198"/>
    <w:rsid w:val="00C90C5F"/>
    <w:rsid w:val="00C91156"/>
    <w:rsid w:val="00C95634"/>
    <w:rsid w:val="00C958B1"/>
    <w:rsid w:val="00C96058"/>
    <w:rsid w:val="00C96C0B"/>
    <w:rsid w:val="00CA0590"/>
    <w:rsid w:val="00CA236C"/>
    <w:rsid w:val="00CA2E61"/>
    <w:rsid w:val="00CA401C"/>
    <w:rsid w:val="00CA4F22"/>
    <w:rsid w:val="00CB2E4D"/>
    <w:rsid w:val="00CC7BBE"/>
    <w:rsid w:val="00CD538E"/>
    <w:rsid w:val="00CD7EDF"/>
    <w:rsid w:val="00CE59B7"/>
    <w:rsid w:val="00CE6BE0"/>
    <w:rsid w:val="00CE6D49"/>
    <w:rsid w:val="00D01B2D"/>
    <w:rsid w:val="00D108AE"/>
    <w:rsid w:val="00D13F34"/>
    <w:rsid w:val="00D15A9B"/>
    <w:rsid w:val="00D2191C"/>
    <w:rsid w:val="00D327A6"/>
    <w:rsid w:val="00D344D8"/>
    <w:rsid w:val="00D35897"/>
    <w:rsid w:val="00D45EDA"/>
    <w:rsid w:val="00D52353"/>
    <w:rsid w:val="00D60C7C"/>
    <w:rsid w:val="00D60CBB"/>
    <w:rsid w:val="00D6225E"/>
    <w:rsid w:val="00D766FE"/>
    <w:rsid w:val="00D771FA"/>
    <w:rsid w:val="00D86023"/>
    <w:rsid w:val="00D9007C"/>
    <w:rsid w:val="00D95AF6"/>
    <w:rsid w:val="00DA4A70"/>
    <w:rsid w:val="00DA7822"/>
    <w:rsid w:val="00DA7FC0"/>
    <w:rsid w:val="00DC1D8A"/>
    <w:rsid w:val="00DC31BE"/>
    <w:rsid w:val="00DC3E57"/>
    <w:rsid w:val="00DC5166"/>
    <w:rsid w:val="00DC75FA"/>
    <w:rsid w:val="00DD4EA7"/>
    <w:rsid w:val="00DD5BB4"/>
    <w:rsid w:val="00DD64A3"/>
    <w:rsid w:val="00DE2C49"/>
    <w:rsid w:val="00DF0223"/>
    <w:rsid w:val="00DF5501"/>
    <w:rsid w:val="00DF62E2"/>
    <w:rsid w:val="00E05D18"/>
    <w:rsid w:val="00E116EF"/>
    <w:rsid w:val="00E15F22"/>
    <w:rsid w:val="00E25ACF"/>
    <w:rsid w:val="00E27F8F"/>
    <w:rsid w:val="00E335CA"/>
    <w:rsid w:val="00E3434B"/>
    <w:rsid w:val="00E37DB5"/>
    <w:rsid w:val="00E4116C"/>
    <w:rsid w:val="00E446D8"/>
    <w:rsid w:val="00E503D2"/>
    <w:rsid w:val="00E51F62"/>
    <w:rsid w:val="00E65D04"/>
    <w:rsid w:val="00E6658A"/>
    <w:rsid w:val="00E7505C"/>
    <w:rsid w:val="00E80476"/>
    <w:rsid w:val="00E86749"/>
    <w:rsid w:val="00E86E00"/>
    <w:rsid w:val="00E87BC1"/>
    <w:rsid w:val="00E90830"/>
    <w:rsid w:val="00E93A28"/>
    <w:rsid w:val="00EA3C27"/>
    <w:rsid w:val="00EA4360"/>
    <w:rsid w:val="00EA4C03"/>
    <w:rsid w:val="00EB0867"/>
    <w:rsid w:val="00EB1C88"/>
    <w:rsid w:val="00EC2124"/>
    <w:rsid w:val="00EC3AB6"/>
    <w:rsid w:val="00EC642B"/>
    <w:rsid w:val="00EC6639"/>
    <w:rsid w:val="00F01A39"/>
    <w:rsid w:val="00F07858"/>
    <w:rsid w:val="00F25D99"/>
    <w:rsid w:val="00F25F47"/>
    <w:rsid w:val="00F26381"/>
    <w:rsid w:val="00F3157A"/>
    <w:rsid w:val="00F365C1"/>
    <w:rsid w:val="00F40811"/>
    <w:rsid w:val="00F40B01"/>
    <w:rsid w:val="00F470EB"/>
    <w:rsid w:val="00F57802"/>
    <w:rsid w:val="00F60D50"/>
    <w:rsid w:val="00F636C8"/>
    <w:rsid w:val="00F705FB"/>
    <w:rsid w:val="00F7334C"/>
    <w:rsid w:val="00F742A7"/>
    <w:rsid w:val="00F76775"/>
    <w:rsid w:val="00F82520"/>
    <w:rsid w:val="00F87226"/>
    <w:rsid w:val="00F90AB2"/>
    <w:rsid w:val="00F9109A"/>
    <w:rsid w:val="00F91F13"/>
    <w:rsid w:val="00FA1BF7"/>
    <w:rsid w:val="00FA1C87"/>
    <w:rsid w:val="00FA3BFF"/>
    <w:rsid w:val="00FA5D69"/>
    <w:rsid w:val="00FA5DAA"/>
    <w:rsid w:val="00FB1C01"/>
    <w:rsid w:val="00FB4BC8"/>
    <w:rsid w:val="00FB5439"/>
    <w:rsid w:val="00FC4F94"/>
    <w:rsid w:val="00FC649C"/>
    <w:rsid w:val="00FD2727"/>
    <w:rsid w:val="00FD6104"/>
    <w:rsid w:val="00FD6797"/>
    <w:rsid w:val="00FE2835"/>
    <w:rsid w:val="00FF16D6"/>
    <w:rsid w:val="00FF1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8BD2C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CF8"/>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autoRedefine/>
    <w:uiPriority w:val="9"/>
    <w:qFormat/>
    <w:rsid w:val="00C76CB1"/>
    <w:pPr>
      <w:keepNext/>
      <w:keepLines/>
      <w:numPr>
        <w:numId w:val="1"/>
      </w:numPr>
      <w:spacing w:before="360" w:after="80"/>
      <w:outlineLvl w:val="0"/>
    </w:pPr>
    <w:rPr>
      <w:rFonts w:asciiTheme="majorHAnsi" w:eastAsiaTheme="majorEastAsia" w:hAnsiTheme="majorHAnsi" w:cstheme="majorBidi"/>
      <w:b/>
      <w:color w:val="156082" w:themeColor="accent1"/>
      <w:sz w:val="32"/>
      <w:szCs w:val="40"/>
      <w:u w:val="single"/>
    </w:rPr>
  </w:style>
  <w:style w:type="paragraph" w:styleId="Heading2">
    <w:name w:val="heading 2"/>
    <w:basedOn w:val="Normal"/>
    <w:next w:val="Normal"/>
    <w:link w:val="Heading2Char"/>
    <w:uiPriority w:val="9"/>
    <w:semiHidden/>
    <w:unhideWhenUsed/>
    <w:qFormat/>
    <w:rsid w:val="00EB1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C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C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C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C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CB1"/>
    <w:rPr>
      <w:rFonts w:asciiTheme="majorHAnsi" w:eastAsiaTheme="majorEastAsia" w:hAnsiTheme="majorHAnsi" w:cstheme="majorBidi"/>
      <w:b/>
      <w:color w:val="156082" w:themeColor="accent1"/>
      <w:kern w:val="0"/>
      <w:sz w:val="32"/>
      <w:szCs w:val="40"/>
      <w:u w:val="single"/>
      <w:lang w:eastAsia="en-GB"/>
      <w14:ligatures w14:val="none"/>
    </w:rPr>
  </w:style>
  <w:style w:type="character" w:customStyle="1" w:styleId="Heading2Char">
    <w:name w:val="Heading 2 Char"/>
    <w:basedOn w:val="DefaultParagraphFont"/>
    <w:link w:val="Heading2"/>
    <w:uiPriority w:val="9"/>
    <w:semiHidden/>
    <w:rsid w:val="00EB1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C88"/>
    <w:rPr>
      <w:rFonts w:eastAsiaTheme="majorEastAsia" w:cstheme="majorBidi"/>
      <w:color w:val="272727" w:themeColor="text1" w:themeTint="D8"/>
    </w:rPr>
  </w:style>
  <w:style w:type="paragraph" w:styleId="Title">
    <w:name w:val="Title"/>
    <w:basedOn w:val="Normal"/>
    <w:next w:val="Normal"/>
    <w:link w:val="TitleChar"/>
    <w:uiPriority w:val="10"/>
    <w:qFormat/>
    <w:rsid w:val="00EB1C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C88"/>
    <w:pPr>
      <w:spacing w:before="160"/>
      <w:jc w:val="center"/>
    </w:pPr>
    <w:rPr>
      <w:i/>
      <w:iCs/>
      <w:color w:val="404040" w:themeColor="text1" w:themeTint="BF"/>
    </w:rPr>
  </w:style>
  <w:style w:type="character" w:customStyle="1" w:styleId="QuoteChar">
    <w:name w:val="Quote Char"/>
    <w:basedOn w:val="DefaultParagraphFont"/>
    <w:link w:val="Quote"/>
    <w:uiPriority w:val="29"/>
    <w:rsid w:val="00EB1C88"/>
    <w:rPr>
      <w:i/>
      <w:iCs/>
      <w:color w:val="404040" w:themeColor="text1" w:themeTint="BF"/>
    </w:rPr>
  </w:style>
  <w:style w:type="paragraph" w:styleId="ListParagraph">
    <w:name w:val="List Paragraph"/>
    <w:basedOn w:val="Normal"/>
    <w:uiPriority w:val="34"/>
    <w:qFormat/>
    <w:rsid w:val="00EB1C88"/>
    <w:pPr>
      <w:ind w:left="720"/>
      <w:contextualSpacing/>
    </w:pPr>
  </w:style>
  <w:style w:type="character" w:styleId="IntenseEmphasis">
    <w:name w:val="Intense Emphasis"/>
    <w:basedOn w:val="DefaultParagraphFont"/>
    <w:uiPriority w:val="21"/>
    <w:qFormat/>
    <w:rsid w:val="00EB1C88"/>
    <w:rPr>
      <w:i/>
      <w:iCs/>
      <w:color w:val="0F4761" w:themeColor="accent1" w:themeShade="BF"/>
    </w:rPr>
  </w:style>
  <w:style w:type="paragraph" w:styleId="IntenseQuote">
    <w:name w:val="Intense Quote"/>
    <w:basedOn w:val="Normal"/>
    <w:next w:val="Normal"/>
    <w:link w:val="IntenseQuoteChar"/>
    <w:uiPriority w:val="30"/>
    <w:qFormat/>
    <w:rsid w:val="00EB1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C88"/>
    <w:rPr>
      <w:i/>
      <w:iCs/>
      <w:color w:val="0F4761" w:themeColor="accent1" w:themeShade="BF"/>
    </w:rPr>
  </w:style>
  <w:style w:type="character" w:styleId="IntenseReference">
    <w:name w:val="Intense Reference"/>
    <w:basedOn w:val="DefaultParagraphFont"/>
    <w:uiPriority w:val="32"/>
    <w:qFormat/>
    <w:rsid w:val="00EB1C88"/>
    <w:rPr>
      <w:b/>
      <w:bCs/>
      <w:smallCaps/>
      <w:color w:val="0F4761" w:themeColor="accent1" w:themeShade="BF"/>
      <w:spacing w:val="5"/>
    </w:rPr>
  </w:style>
  <w:style w:type="paragraph" w:styleId="FootnoteText">
    <w:name w:val="footnote text"/>
    <w:basedOn w:val="Normal"/>
    <w:link w:val="FootnoteTextChar"/>
    <w:uiPriority w:val="99"/>
    <w:unhideWhenUsed/>
    <w:rsid w:val="00EB1C88"/>
    <w:rPr>
      <w:sz w:val="20"/>
      <w:szCs w:val="20"/>
    </w:rPr>
  </w:style>
  <w:style w:type="character" w:customStyle="1" w:styleId="FootnoteTextChar">
    <w:name w:val="Footnote Text Char"/>
    <w:basedOn w:val="DefaultParagraphFont"/>
    <w:link w:val="FootnoteText"/>
    <w:uiPriority w:val="99"/>
    <w:rsid w:val="00EB1C88"/>
    <w:rPr>
      <w:sz w:val="20"/>
      <w:szCs w:val="20"/>
    </w:rPr>
  </w:style>
  <w:style w:type="character" w:styleId="FootnoteReference">
    <w:name w:val="footnote reference"/>
    <w:basedOn w:val="DefaultParagraphFont"/>
    <w:uiPriority w:val="99"/>
    <w:unhideWhenUsed/>
    <w:rsid w:val="00EB1C88"/>
    <w:rPr>
      <w:vertAlign w:val="superscript"/>
    </w:rPr>
  </w:style>
  <w:style w:type="paragraph" w:styleId="NormalWeb">
    <w:name w:val="Normal (Web)"/>
    <w:basedOn w:val="Normal"/>
    <w:uiPriority w:val="99"/>
    <w:semiHidden/>
    <w:unhideWhenUsed/>
    <w:rsid w:val="00CA2E61"/>
    <w:pPr>
      <w:spacing w:before="100" w:beforeAutospacing="1" w:after="100" w:afterAutospacing="1"/>
    </w:pPr>
  </w:style>
  <w:style w:type="character" w:customStyle="1" w:styleId="contributors">
    <w:name w:val="contributors"/>
    <w:basedOn w:val="DefaultParagraphFont"/>
    <w:rsid w:val="00AF2DBF"/>
  </w:style>
  <w:style w:type="character" w:customStyle="1" w:styleId="maintitle">
    <w:name w:val="maintitle"/>
    <w:basedOn w:val="DefaultParagraphFont"/>
    <w:rsid w:val="00AF2DBF"/>
  </w:style>
  <w:style w:type="character" w:customStyle="1" w:styleId="editors">
    <w:name w:val="editors"/>
    <w:basedOn w:val="DefaultParagraphFont"/>
    <w:rsid w:val="00AF2DBF"/>
  </w:style>
  <w:style w:type="character" w:styleId="Emphasis">
    <w:name w:val="Emphasis"/>
    <w:basedOn w:val="DefaultParagraphFont"/>
    <w:uiPriority w:val="20"/>
    <w:qFormat/>
    <w:rsid w:val="00AF2DBF"/>
    <w:rPr>
      <w:i/>
      <w:iCs/>
    </w:rPr>
  </w:style>
  <w:style w:type="character" w:customStyle="1" w:styleId="series-title">
    <w:name w:val="series-title"/>
    <w:basedOn w:val="DefaultParagraphFont"/>
    <w:rsid w:val="00AF2DBF"/>
  </w:style>
  <w:style w:type="character" w:customStyle="1" w:styleId="print-publication-date">
    <w:name w:val="print-publication-date"/>
    <w:basedOn w:val="DefaultParagraphFont"/>
    <w:rsid w:val="00AF2DBF"/>
  </w:style>
  <w:style w:type="character" w:customStyle="1" w:styleId="online-edition">
    <w:name w:val="online-edition"/>
    <w:basedOn w:val="DefaultParagraphFont"/>
    <w:rsid w:val="00AF2DBF"/>
  </w:style>
  <w:style w:type="character" w:customStyle="1" w:styleId="containing-site">
    <w:name w:val="containing-site"/>
    <w:basedOn w:val="DefaultParagraphFont"/>
    <w:rsid w:val="00AF2DBF"/>
  </w:style>
  <w:style w:type="character" w:customStyle="1" w:styleId="online-publication-date">
    <w:name w:val="online-publication-date"/>
    <w:basedOn w:val="DefaultParagraphFont"/>
    <w:rsid w:val="00AF2DBF"/>
  </w:style>
  <w:style w:type="character" w:styleId="CommentReference">
    <w:name w:val="annotation reference"/>
    <w:basedOn w:val="DefaultParagraphFont"/>
    <w:uiPriority w:val="99"/>
    <w:semiHidden/>
    <w:unhideWhenUsed/>
    <w:rsid w:val="00BE378B"/>
    <w:rPr>
      <w:sz w:val="16"/>
      <w:szCs w:val="16"/>
    </w:rPr>
  </w:style>
  <w:style w:type="paragraph" w:styleId="CommentText">
    <w:name w:val="annotation text"/>
    <w:basedOn w:val="Normal"/>
    <w:link w:val="CommentTextChar"/>
    <w:uiPriority w:val="99"/>
    <w:semiHidden/>
    <w:unhideWhenUsed/>
    <w:rsid w:val="00BE378B"/>
    <w:rPr>
      <w:sz w:val="20"/>
      <w:szCs w:val="20"/>
    </w:rPr>
  </w:style>
  <w:style w:type="character" w:customStyle="1" w:styleId="CommentTextChar">
    <w:name w:val="Comment Text Char"/>
    <w:basedOn w:val="DefaultParagraphFont"/>
    <w:link w:val="CommentText"/>
    <w:uiPriority w:val="99"/>
    <w:semiHidden/>
    <w:rsid w:val="00BE378B"/>
    <w:rPr>
      <w:sz w:val="20"/>
      <w:szCs w:val="20"/>
    </w:rPr>
  </w:style>
  <w:style w:type="paragraph" w:styleId="CommentSubject">
    <w:name w:val="annotation subject"/>
    <w:basedOn w:val="CommentText"/>
    <w:next w:val="CommentText"/>
    <w:link w:val="CommentSubjectChar"/>
    <w:uiPriority w:val="99"/>
    <w:semiHidden/>
    <w:unhideWhenUsed/>
    <w:rsid w:val="00BE378B"/>
    <w:rPr>
      <w:b/>
      <w:bCs/>
    </w:rPr>
  </w:style>
  <w:style w:type="character" w:customStyle="1" w:styleId="CommentSubjectChar">
    <w:name w:val="Comment Subject Char"/>
    <w:basedOn w:val="CommentTextChar"/>
    <w:link w:val="CommentSubject"/>
    <w:uiPriority w:val="99"/>
    <w:semiHidden/>
    <w:rsid w:val="00BE378B"/>
    <w:rPr>
      <w:b/>
      <w:bCs/>
      <w:sz w:val="20"/>
      <w:szCs w:val="20"/>
    </w:rPr>
  </w:style>
  <w:style w:type="character" w:styleId="Hyperlink">
    <w:name w:val="Hyperlink"/>
    <w:basedOn w:val="DefaultParagraphFont"/>
    <w:uiPriority w:val="99"/>
    <w:unhideWhenUsed/>
    <w:rsid w:val="001C7CBD"/>
    <w:rPr>
      <w:color w:val="467886" w:themeColor="hyperlink"/>
      <w:u w:val="single"/>
    </w:rPr>
  </w:style>
  <w:style w:type="character" w:styleId="UnresolvedMention">
    <w:name w:val="Unresolved Mention"/>
    <w:basedOn w:val="DefaultParagraphFont"/>
    <w:uiPriority w:val="99"/>
    <w:semiHidden/>
    <w:unhideWhenUsed/>
    <w:rsid w:val="001C7CBD"/>
    <w:rPr>
      <w:color w:val="605E5C"/>
      <w:shd w:val="clear" w:color="auto" w:fill="E1DFDD"/>
    </w:rPr>
  </w:style>
  <w:style w:type="character" w:customStyle="1" w:styleId="outputecli">
    <w:name w:val="outputecli"/>
    <w:basedOn w:val="DefaultParagraphFont"/>
    <w:rsid w:val="005409E2"/>
  </w:style>
  <w:style w:type="paragraph" w:customStyle="1" w:styleId="c01pointnumerotealtn">
    <w:name w:val="c01pointnumerotealtn"/>
    <w:basedOn w:val="Normal"/>
    <w:rsid w:val="005409E2"/>
    <w:pPr>
      <w:spacing w:before="100" w:beforeAutospacing="1" w:after="100" w:afterAutospacing="1"/>
    </w:pPr>
  </w:style>
  <w:style w:type="character" w:customStyle="1" w:styleId="accordion-tabbedtab-mobile">
    <w:name w:val="accordion-tabbed__tab-mobile"/>
    <w:basedOn w:val="DefaultParagraphFont"/>
    <w:rsid w:val="005409E2"/>
  </w:style>
  <w:style w:type="character" w:customStyle="1" w:styleId="comma-separator">
    <w:name w:val="comma-separator"/>
    <w:basedOn w:val="DefaultParagraphFont"/>
    <w:rsid w:val="005409E2"/>
  </w:style>
  <w:style w:type="character" w:customStyle="1" w:styleId="hoverunderline">
    <w:name w:val="hoverunderline"/>
    <w:basedOn w:val="DefaultParagraphFont"/>
    <w:rsid w:val="005409E2"/>
  </w:style>
  <w:style w:type="character" w:customStyle="1" w:styleId="pages">
    <w:name w:val="pages"/>
    <w:basedOn w:val="DefaultParagraphFont"/>
    <w:rsid w:val="000921B1"/>
  </w:style>
  <w:style w:type="character" w:styleId="FollowedHyperlink">
    <w:name w:val="FollowedHyperlink"/>
    <w:basedOn w:val="DefaultParagraphFont"/>
    <w:uiPriority w:val="99"/>
    <w:semiHidden/>
    <w:unhideWhenUsed/>
    <w:rsid w:val="000921B1"/>
    <w:rPr>
      <w:color w:val="96607D" w:themeColor="followedHyperlink"/>
      <w:u w:val="single"/>
    </w:rPr>
  </w:style>
  <w:style w:type="character" w:customStyle="1" w:styleId="field">
    <w:name w:val="field"/>
    <w:basedOn w:val="DefaultParagraphFont"/>
    <w:rsid w:val="004461BA"/>
  </w:style>
  <w:style w:type="character" w:customStyle="1" w:styleId="outputecliaff">
    <w:name w:val="outputecliaff"/>
    <w:basedOn w:val="DefaultParagraphFont"/>
    <w:rsid w:val="00C95634"/>
  </w:style>
  <w:style w:type="paragraph" w:customStyle="1" w:styleId="Footnotes">
    <w:name w:val="Footnotes"/>
    <w:basedOn w:val="FootnoteText"/>
    <w:link w:val="FootnotesChar"/>
    <w:autoRedefine/>
    <w:qFormat/>
    <w:rsid w:val="00EA3C27"/>
    <w:pPr>
      <w:spacing w:before="100" w:beforeAutospacing="1" w:after="100" w:afterAutospacing="1"/>
      <w:jc w:val="both"/>
    </w:pPr>
    <w:rPr>
      <w:szCs w:val="24"/>
    </w:rPr>
  </w:style>
  <w:style w:type="character" w:customStyle="1" w:styleId="FootnotesChar">
    <w:name w:val="Footnotes Char"/>
    <w:link w:val="Footnotes"/>
    <w:rsid w:val="00EA3C27"/>
    <w:rPr>
      <w:sz w:val="20"/>
    </w:rPr>
  </w:style>
  <w:style w:type="paragraph" w:styleId="Header">
    <w:name w:val="header"/>
    <w:basedOn w:val="Normal"/>
    <w:link w:val="HeaderChar"/>
    <w:uiPriority w:val="99"/>
    <w:unhideWhenUsed/>
    <w:rsid w:val="00B6715E"/>
    <w:pPr>
      <w:tabs>
        <w:tab w:val="center" w:pos="4513"/>
        <w:tab w:val="right" w:pos="9026"/>
      </w:tabs>
    </w:pPr>
  </w:style>
  <w:style w:type="character" w:customStyle="1" w:styleId="HeaderChar">
    <w:name w:val="Header Char"/>
    <w:basedOn w:val="DefaultParagraphFont"/>
    <w:link w:val="Header"/>
    <w:uiPriority w:val="99"/>
    <w:rsid w:val="00B6715E"/>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6715E"/>
    <w:pPr>
      <w:tabs>
        <w:tab w:val="center" w:pos="4513"/>
        <w:tab w:val="right" w:pos="9026"/>
      </w:tabs>
    </w:pPr>
  </w:style>
  <w:style w:type="character" w:customStyle="1" w:styleId="FooterChar">
    <w:name w:val="Footer Char"/>
    <w:basedOn w:val="DefaultParagraphFont"/>
    <w:link w:val="Footer"/>
    <w:uiPriority w:val="99"/>
    <w:rsid w:val="00B6715E"/>
    <w:rPr>
      <w:rFonts w:ascii="Times New Roman" w:eastAsia="Times New Roman" w:hAnsi="Times New Roman" w:cs="Times New Roman"/>
      <w:kern w:val="0"/>
      <w:lang w:eastAsia="en-GB"/>
      <w14:ligatures w14:val="none"/>
    </w:rPr>
  </w:style>
  <w:style w:type="paragraph" w:styleId="Revision">
    <w:name w:val="Revision"/>
    <w:hidden/>
    <w:uiPriority w:val="99"/>
    <w:semiHidden/>
    <w:rsid w:val="00432F01"/>
    <w:pPr>
      <w:spacing w:after="0" w:line="240" w:lineRule="auto"/>
    </w:pPr>
    <w:rPr>
      <w:rFonts w:ascii="Times New Roman" w:eastAsia="Times New Roman" w:hAnsi="Times New Roman" w:cs="Times New Roman"/>
      <w:kern w:val="0"/>
      <w:lang w:eastAsia="en-GB"/>
      <w14:ligatures w14:val="none"/>
    </w:rPr>
  </w:style>
  <w:style w:type="paragraph" w:styleId="TOCHeading">
    <w:name w:val="TOC Heading"/>
    <w:basedOn w:val="Heading1"/>
    <w:next w:val="Normal"/>
    <w:uiPriority w:val="39"/>
    <w:unhideWhenUsed/>
    <w:qFormat/>
    <w:rsid w:val="0087378D"/>
    <w:pPr>
      <w:numPr>
        <w:numId w:val="0"/>
      </w:numPr>
      <w:spacing w:before="480" w:after="0" w:line="276" w:lineRule="auto"/>
      <w:outlineLvl w:val="9"/>
    </w:pPr>
    <w:rPr>
      <w:bCs/>
      <w:color w:val="0F4761" w:themeColor="accent1" w:themeShade="BF"/>
      <w:sz w:val="28"/>
      <w:szCs w:val="28"/>
      <w:u w:val="none"/>
      <w:lang w:val="en-US" w:eastAsia="en-US"/>
    </w:rPr>
  </w:style>
  <w:style w:type="character" w:customStyle="1" w:styleId="person">
    <w:name w:val="person"/>
    <w:basedOn w:val="DefaultParagraphFont"/>
    <w:rsid w:val="0087378D"/>
  </w:style>
  <w:style w:type="character" w:customStyle="1" w:styleId="oj-super">
    <w:name w:val="oj-super"/>
    <w:basedOn w:val="DefaultParagraphFont"/>
    <w:rsid w:val="00A53DE0"/>
  </w:style>
  <w:style w:type="character" w:customStyle="1" w:styleId="highlight">
    <w:name w:val="highlight"/>
    <w:basedOn w:val="DefaultParagraphFont"/>
    <w:rsid w:val="00A53DE0"/>
  </w:style>
  <w:style w:type="paragraph" w:customStyle="1" w:styleId="title-bold">
    <w:name w:val="title-bold"/>
    <w:basedOn w:val="Normal"/>
    <w:rsid w:val="007452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2581">
      <w:bodyDiv w:val="1"/>
      <w:marLeft w:val="0"/>
      <w:marRight w:val="0"/>
      <w:marTop w:val="0"/>
      <w:marBottom w:val="0"/>
      <w:divBdr>
        <w:top w:val="none" w:sz="0" w:space="0" w:color="auto"/>
        <w:left w:val="none" w:sz="0" w:space="0" w:color="auto"/>
        <w:bottom w:val="none" w:sz="0" w:space="0" w:color="auto"/>
        <w:right w:val="none" w:sz="0" w:space="0" w:color="auto"/>
      </w:divBdr>
    </w:div>
    <w:div w:id="163933352">
      <w:bodyDiv w:val="1"/>
      <w:marLeft w:val="0"/>
      <w:marRight w:val="0"/>
      <w:marTop w:val="0"/>
      <w:marBottom w:val="0"/>
      <w:divBdr>
        <w:top w:val="none" w:sz="0" w:space="0" w:color="auto"/>
        <w:left w:val="none" w:sz="0" w:space="0" w:color="auto"/>
        <w:bottom w:val="none" w:sz="0" w:space="0" w:color="auto"/>
        <w:right w:val="none" w:sz="0" w:space="0" w:color="auto"/>
      </w:divBdr>
      <w:divsChild>
        <w:div w:id="1155141436">
          <w:marLeft w:val="0"/>
          <w:marRight w:val="0"/>
          <w:marTop w:val="0"/>
          <w:marBottom w:val="0"/>
          <w:divBdr>
            <w:top w:val="none" w:sz="0" w:space="0" w:color="auto"/>
            <w:left w:val="none" w:sz="0" w:space="0" w:color="auto"/>
            <w:bottom w:val="none" w:sz="0" w:space="0" w:color="auto"/>
            <w:right w:val="none" w:sz="0" w:space="0" w:color="auto"/>
          </w:divBdr>
        </w:div>
      </w:divsChild>
    </w:div>
    <w:div w:id="175853188">
      <w:bodyDiv w:val="1"/>
      <w:marLeft w:val="0"/>
      <w:marRight w:val="0"/>
      <w:marTop w:val="0"/>
      <w:marBottom w:val="0"/>
      <w:divBdr>
        <w:top w:val="none" w:sz="0" w:space="0" w:color="auto"/>
        <w:left w:val="none" w:sz="0" w:space="0" w:color="auto"/>
        <w:bottom w:val="none" w:sz="0" w:space="0" w:color="auto"/>
        <w:right w:val="none" w:sz="0" w:space="0" w:color="auto"/>
      </w:divBdr>
      <w:divsChild>
        <w:div w:id="665978190">
          <w:marLeft w:val="0"/>
          <w:marRight w:val="0"/>
          <w:marTop w:val="0"/>
          <w:marBottom w:val="0"/>
          <w:divBdr>
            <w:top w:val="none" w:sz="0" w:space="0" w:color="auto"/>
            <w:left w:val="none" w:sz="0" w:space="0" w:color="auto"/>
            <w:bottom w:val="none" w:sz="0" w:space="0" w:color="auto"/>
            <w:right w:val="none" w:sz="0" w:space="0" w:color="auto"/>
          </w:divBdr>
        </w:div>
      </w:divsChild>
    </w:div>
    <w:div w:id="310601950">
      <w:bodyDiv w:val="1"/>
      <w:marLeft w:val="0"/>
      <w:marRight w:val="0"/>
      <w:marTop w:val="0"/>
      <w:marBottom w:val="0"/>
      <w:divBdr>
        <w:top w:val="none" w:sz="0" w:space="0" w:color="auto"/>
        <w:left w:val="none" w:sz="0" w:space="0" w:color="auto"/>
        <w:bottom w:val="none" w:sz="0" w:space="0" w:color="auto"/>
        <w:right w:val="none" w:sz="0" w:space="0" w:color="auto"/>
      </w:divBdr>
    </w:div>
    <w:div w:id="341250884">
      <w:bodyDiv w:val="1"/>
      <w:marLeft w:val="0"/>
      <w:marRight w:val="0"/>
      <w:marTop w:val="0"/>
      <w:marBottom w:val="0"/>
      <w:divBdr>
        <w:top w:val="none" w:sz="0" w:space="0" w:color="auto"/>
        <w:left w:val="none" w:sz="0" w:space="0" w:color="auto"/>
        <w:bottom w:val="none" w:sz="0" w:space="0" w:color="auto"/>
        <w:right w:val="none" w:sz="0" w:space="0" w:color="auto"/>
      </w:divBdr>
    </w:div>
    <w:div w:id="395519744">
      <w:bodyDiv w:val="1"/>
      <w:marLeft w:val="0"/>
      <w:marRight w:val="0"/>
      <w:marTop w:val="0"/>
      <w:marBottom w:val="0"/>
      <w:divBdr>
        <w:top w:val="none" w:sz="0" w:space="0" w:color="auto"/>
        <w:left w:val="none" w:sz="0" w:space="0" w:color="auto"/>
        <w:bottom w:val="none" w:sz="0" w:space="0" w:color="auto"/>
        <w:right w:val="none" w:sz="0" w:space="0" w:color="auto"/>
      </w:divBdr>
    </w:div>
    <w:div w:id="458374595">
      <w:bodyDiv w:val="1"/>
      <w:marLeft w:val="0"/>
      <w:marRight w:val="0"/>
      <w:marTop w:val="0"/>
      <w:marBottom w:val="0"/>
      <w:divBdr>
        <w:top w:val="none" w:sz="0" w:space="0" w:color="auto"/>
        <w:left w:val="none" w:sz="0" w:space="0" w:color="auto"/>
        <w:bottom w:val="none" w:sz="0" w:space="0" w:color="auto"/>
        <w:right w:val="none" w:sz="0" w:space="0" w:color="auto"/>
      </w:divBdr>
    </w:div>
    <w:div w:id="507869630">
      <w:bodyDiv w:val="1"/>
      <w:marLeft w:val="0"/>
      <w:marRight w:val="0"/>
      <w:marTop w:val="0"/>
      <w:marBottom w:val="0"/>
      <w:divBdr>
        <w:top w:val="none" w:sz="0" w:space="0" w:color="auto"/>
        <w:left w:val="none" w:sz="0" w:space="0" w:color="auto"/>
        <w:bottom w:val="none" w:sz="0" w:space="0" w:color="auto"/>
        <w:right w:val="none" w:sz="0" w:space="0" w:color="auto"/>
      </w:divBdr>
    </w:div>
    <w:div w:id="552929697">
      <w:bodyDiv w:val="1"/>
      <w:marLeft w:val="0"/>
      <w:marRight w:val="0"/>
      <w:marTop w:val="0"/>
      <w:marBottom w:val="0"/>
      <w:divBdr>
        <w:top w:val="none" w:sz="0" w:space="0" w:color="auto"/>
        <w:left w:val="none" w:sz="0" w:space="0" w:color="auto"/>
        <w:bottom w:val="none" w:sz="0" w:space="0" w:color="auto"/>
        <w:right w:val="none" w:sz="0" w:space="0" w:color="auto"/>
      </w:divBdr>
    </w:div>
    <w:div w:id="557665142">
      <w:bodyDiv w:val="1"/>
      <w:marLeft w:val="0"/>
      <w:marRight w:val="0"/>
      <w:marTop w:val="0"/>
      <w:marBottom w:val="0"/>
      <w:divBdr>
        <w:top w:val="none" w:sz="0" w:space="0" w:color="auto"/>
        <w:left w:val="none" w:sz="0" w:space="0" w:color="auto"/>
        <w:bottom w:val="none" w:sz="0" w:space="0" w:color="auto"/>
        <w:right w:val="none" w:sz="0" w:space="0" w:color="auto"/>
      </w:divBdr>
      <w:divsChild>
        <w:div w:id="928661713">
          <w:marLeft w:val="0"/>
          <w:marRight w:val="0"/>
          <w:marTop w:val="0"/>
          <w:marBottom w:val="0"/>
          <w:divBdr>
            <w:top w:val="none" w:sz="0" w:space="0" w:color="auto"/>
            <w:left w:val="none" w:sz="0" w:space="0" w:color="auto"/>
            <w:bottom w:val="none" w:sz="0" w:space="0" w:color="auto"/>
            <w:right w:val="none" w:sz="0" w:space="0" w:color="auto"/>
          </w:divBdr>
          <w:divsChild>
            <w:div w:id="599878942">
              <w:marLeft w:val="0"/>
              <w:marRight w:val="0"/>
              <w:marTop w:val="0"/>
              <w:marBottom w:val="0"/>
              <w:divBdr>
                <w:top w:val="none" w:sz="0" w:space="0" w:color="auto"/>
                <w:left w:val="none" w:sz="0" w:space="0" w:color="auto"/>
                <w:bottom w:val="none" w:sz="0" w:space="0" w:color="auto"/>
                <w:right w:val="none" w:sz="0" w:space="0" w:color="auto"/>
              </w:divBdr>
            </w:div>
          </w:divsChild>
        </w:div>
        <w:div w:id="895121727">
          <w:marLeft w:val="0"/>
          <w:marRight w:val="0"/>
          <w:marTop w:val="0"/>
          <w:marBottom w:val="0"/>
          <w:divBdr>
            <w:top w:val="none" w:sz="0" w:space="0" w:color="auto"/>
            <w:left w:val="none" w:sz="0" w:space="0" w:color="auto"/>
            <w:bottom w:val="none" w:sz="0" w:space="0" w:color="auto"/>
            <w:right w:val="none" w:sz="0" w:space="0" w:color="auto"/>
          </w:divBdr>
        </w:div>
        <w:div w:id="1724714116">
          <w:marLeft w:val="0"/>
          <w:marRight w:val="0"/>
          <w:marTop w:val="0"/>
          <w:marBottom w:val="0"/>
          <w:divBdr>
            <w:top w:val="none" w:sz="0" w:space="0" w:color="auto"/>
            <w:left w:val="none" w:sz="0" w:space="0" w:color="auto"/>
            <w:bottom w:val="none" w:sz="0" w:space="0" w:color="auto"/>
            <w:right w:val="none" w:sz="0" w:space="0" w:color="auto"/>
          </w:divBdr>
          <w:divsChild>
            <w:div w:id="1697266491">
              <w:marLeft w:val="0"/>
              <w:marRight w:val="0"/>
              <w:marTop w:val="0"/>
              <w:marBottom w:val="0"/>
              <w:divBdr>
                <w:top w:val="none" w:sz="0" w:space="0" w:color="auto"/>
                <w:left w:val="none" w:sz="0" w:space="0" w:color="auto"/>
                <w:bottom w:val="none" w:sz="0" w:space="0" w:color="auto"/>
                <w:right w:val="none" w:sz="0" w:space="0" w:color="auto"/>
              </w:divBdr>
              <w:divsChild>
                <w:div w:id="1190291633">
                  <w:marLeft w:val="0"/>
                  <w:marRight w:val="0"/>
                  <w:marTop w:val="0"/>
                  <w:marBottom w:val="0"/>
                  <w:divBdr>
                    <w:top w:val="none" w:sz="0" w:space="0" w:color="auto"/>
                    <w:left w:val="none" w:sz="0" w:space="0" w:color="auto"/>
                    <w:bottom w:val="none" w:sz="0" w:space="0" w:color="auto"/>
                    <w:right w:val="none" w:sz="0" w:space="0" w:color="auto"/>
                  </w:divBdr>
                  <w:divsChild>
                    <w:div w:id="17126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2478">
      <w:bodyDiv w:val="1"/>
      <w:marLeft w:val="0"/>
      <w:marRight w:val="0"/>
      <w:marTop w:val="0"/>
      <w:marBottom w:val="0"/>
      <w:divBdr>
        <w:top w:val="none" w:sz="0" w:space="0" w:color="auto"/>
        <w:left w:val="none" w:sz="0" w:space="0" w:color="auto"/>
        <w:bottom w:val="none" w:sz="0" w:space="0" w:color="auto"/>
        <w:right w:val="none" w:sz="0" w:space="0" w:color="auto"/>
      </w:divBdr>
      <w:divsChild>
        <w:div w:id="321588112">
          <w:marLeft w:val="0"/>
          <w:marRight w:val="0"/>
          <w:marTop w:val="0"/>
          <w:marBottom w:val="0"/>
          <w:divBdr>
            <w:top w:val="none" w:sz="0" w:space="0" w:color="auto"/>
            <w:left w:val="none" w:sz="0" w:space="0" w:color="auto"/>
            <w:bottom w:val="none" w:sz="0" w:space="0" w:color="auto"/>
            <w:right w:val="none" w:sz="0" w:space="0" w:color="auto"/>
          </w:divBdr>
          <w:divsChild>
            <w:div w:id="15355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3526">
      <w:bodyDiv w:val="1"/>
      <w:marLeft w:val="0"/>
      <w:marRight w:val="0"/>
      <w:marTop w:val="0"/>
      <w:marBottom w:val="0"/>
      <w:divBdr>
        <w:top w:val="none" w:sz="0" w:space="0" w:color="auto"/>
        <w:left w:val="none" w:sz="0" w:space="0" w:color="auto"/>
        <w:bottom w:val="none" w:sz="0" w:space="0" w:color="auto"/>
        <w:right w:val="none" w:sz="0" w:space="0" w:color="auto"/>
      </w:divBdr>
      <w:divsChild>
        <w:div w:id="426848991">
          <w:marLeft w:val="0"/>
          <w:marRight w:val="0"/>
          <w:marTop w:val="0"/>
          <w:marBottom w:val="0"/>
          <w:divBdr>
            <w:top w:val="none" w:sz="0" w:space="0" w:color="auto"/>
            <w:left w:val="none" w:sz="0" w:space="0" w:color="auto"/>
            <w:bottom w:val="none" w:sz="0" w:space="0" w:color="auto"/>
            <w:right w:val="none" w:sz="0" w:space="0" w:color="auto"/>
          </w:divBdr>
          <w:divsChild>
            <w:div w:id="1990552080">
              <w:marLeft w:val="0"/>
              <w:marRight w:val="0"/>
              <w:marTop w:val="0"/>
              <w:marBottom w:val="0"/>
              <w:divBdr>
                <w:top w:val="none" w:sz="0" w:space="0" w:color="auto"/>
                <w:left w:val="none" w:sz="0" w:space="0" w:color="auto"/>
                <w:bottom w:val="none" w:sz="0" w:space="0" w:color="auto"/>
                <w:right w:val="none" w:sz="0" w:space="0" w:color="auto"/>
              </w:divBdr>
              <w:divsChild>
                <w:div w:id="4804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45837">
      <w:bodyDiv w:val="1"/>
      <w:marLeft w:val="0"/>
      <w:marRight w:val="0"/>
      <w:marTop w:val="0"/>
      <w:marBottom w:val="0"/>
      <w:divBdr>
        <w:top w:val="none" w:sz="0" w:space="0" w:color="auto"/>
        <w:left w:val="none" w:sz="0" w:space="0" w:color="auto"/>
        <w:bottom w:val="none" w:sz="0" w:space="0" w:color="auto"/>
        <w:right w:val="none" w:sz="0" w:space="0" w:color="auto"/>
      </w:divBdr>
    </w:div>
    <w:div w:id="963389729">
      <w:bodyDiv w:val="1"/>
      <w:marLeft w:val="0"/>
      <w:marRight w:val="0"/>
      <w:marTop w:val="0"/>
      <w:marBottom w:val="0"/>
      <w:divBdr>
        <w:top w:val="none" w:sz="0" w:space="0" w:color="auto"/>
        <w:left w:val="none" w:sz="0" w:space="0" w:color="auto"/>
        <w:bottom w:val="none" w:sz="0" w:space="0" w:color="auto"/>
        <w:right w:val="none" w:sz="0" w:space="0" w:color="auto"/>
      </w:divBdr>
      <w:divsChild>
        <w:div w:id="280461159">
          <w:marLeft w:val="0"/>
          <w:marRight w:val="0"/>
          <w:marTop w:val="0"/>
          <w:marBottom w:val="0"/>
          <w:divBdr>
            <w:top w:val="none" w:sz="0" w:space="0" w:color="auto"/>
            <w:left w:val="none" w:sz="0" w:space="0" w:color="auto"/>
            <w:bottom w:val="none" w:sz="0" w:space="0" w:color="auto"/>
            <w:right w:val="none" w:sz="0" w:space="0" w:color="auto"/>
          </w:divBdr>
          <w:divsChild>
            <w:div w:id="16731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4011">
      <w:bodyDiv w:val="1"/>
      <w:marLeft w:val="0"/>
      <w:marRight w:val="0"/>
      <w:marTop w:val="0"/>
      <w:marBottom w:val="0"/>
      <w:divBdr>
        <w:top w:val="none" w:sz="0" w:space="0" w:color="auto"/>
        <w:left w:val="none" w:sz="0" w:space="0" w:color="auto"/>
        <w:bottom w:val="none" w:sz="0" w:space="0" w:color="auto"/>
        <w:right w:val="none" w:sz="0" w:space="0" w:color="auto"/>
      </w:divBdr>
      <w:divsChild>
        <w:div w:id="2088528348">
          <w:marLeft w:val="0"/>
          <w:marRight w:val="0"/>
          <w:marTop w:val="0"/>
          <w:marBottom w:val="0"/>
          <w:divBdr>
            <w:top w:val="none" w:sz="0" w:space="0" w:color="auto"/>
            <w:left w:val="none" w:sz="0" w:space="0" w:color="auto"/>
            <w:bottom w:val="none" w:sz="0" w:space="0" w:color="auto"/>
            <w:right w:val="none" w:sz="0" w:space="0" w:color="auto"/>
          </w:divBdr>
          <w:divsChild>
            <w:div w:id="13676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3470">
      <w:bodyDiv w:val="1"/>
      <w:marLeft w:val="0"/>
      <w:marRight w:val="0"/>
      <w:marTop w:val="0"/>
      <w:marBottom w:val="0"/>
      <w:divBdr>
        <w:top w:val="none" w:sz="0" w:space="0" w:color="auto"/>
        <w:left w:val="none" w:sz="0" w:space="0" w:color="auto"/>
        <w:bottom w:val="none" w:sz="0" w:space="0" w:color="auto"/>
        <w:right w:val="none" w:sz="0" w:space="0" w:color="auto"/>
      </w:divBdr>
    </w:div>
    <w:div w:id="1095638448">
      <w:bodyDiv w:val="1"/>
      <w:marLeft w:val="0"/>
      <w:marRight w:val="0"/>
      <w:marTop w:val="0"/>
      <w:marBottom w:val="0"/>
      <w:divBdr>
        <w:top w:val="none" w:sz="0" w:space="0" w:color="auto"/>
        <w:left w:val="none" w:sz="0" w:space="0" w:color="auto"/>
        <w:bottom w:val="none" w:sz="0" w:space="0" w:color="auto"/>
        <w:right w:val="none" w:sz="0" w:space="0" w:color="auto"/>
      </w:divBdr>
    </w:div>
    <w:div w:id="1154645867">
      <w:bodyDiv w:val="1"/>
      <w:marLeft w:val="0"/>
      <w:marRight w:val="0"/>
      <w:marTop w:val="0"/>
      <w:marBottom w:val="0"/>
      <w:divBdr>
        <w:top w:val="none" w:sz="0" w:space="0" w:color="auto"/>
        <w:left w:val="none" w:sz="0" w:space="0" w:color="auto"/>
        <w:bottom w:val="none" w:sz="0" w:space="0" w:color="auto"/>
        <w:right w:val="none" w:sz="0" w:space="0" w:color="auto"/>
      </w:divBdr>
      <w:divsChild>
        <w:div w:id="1233656072">
          <w:marLeft w:val="0"/>
          <w:marRight w:val="0"/>
          <w:marTop w:val="0"/>
          <w:marBottom w:val="0"/>
          <w:divBdr>
            <w:top w:val="none" w:sz="0" w:space="0" w:color="auto"/>
            <w:left w:val="none" w:sz="0" w:space="0" w:color="auto"/>
            <w:bottom w:val="none" w:sz="0" w:space="0" w:color="auto"/>
            <w:right w:val="none" w:sz="0" w:space="0" w:color="auto"/>
          </w:divBdr>
        </w:div>
      </w:divsChild>
    </w:div>
    <w:div w:id="1170946462">
      <w:bodyDiv w:val="1"/>
      <w:marLeft w:val="0"/>
      <w:marRight w:val="0"/>
      <w:marTop w:val="0"/>
      <w:marBottom w:val="0"/>
      <w:divBdr>
        <w:top w:val="none" w:sz="0" w:space="0" w:color="auto"/>
        <w:left w:val="none" w:sz="0" w:space="0" w:color="auto"/>
        <w:bottom w:val="none" w:sz="0" w:space="0" w:color="auto"/>
        <w:right w:val="none" w:sz="0" w:space="0" w:color="auto"/>
      </w:divBdr>
    </w:div>
    <w:div w:id="1203054634">
      <w:bodyDiv w:val="1"/>
      <w:marLeft w:val="0"/>
      <w:marRight w:val="0"/>
      <w:marTop w:val="0"/>
      <w:marBottom w:val="0"/>
      <w:divBdr>
        <w:top w:val="none" w:sz="0" w:space="0" w:color="auto"/>
        <w:left w:val="none" w:sz="0" w:space="0" w:color="auto"/>
        <w:bottom w:val="none" w:sz="0" w:space="0" w:color="auto"/>
        <w:right w:val="none" w:sz="0" w:space="0" w:color="auto"/>
      </w:divBdr>
      <w:divsChild>
        <w:div w:id="440808013">
          <w:marLeft w:val="0"/>
          <w:marRight w:val="0"/>
          <w:marTop w:val="0"/>
          <w:marBottom w:val="0"/>
          <w:divBdr>
            <w:top w:val="none" w:sz="0" w:space="0" w:color="auto"/>
            <w:left w:val="none" w:sz="0" w:space="0" w:color="auto"/>
            <w:bottom w:val="none" w:sz="0" w:space="0" w:color="auto"/>
            <w:right w:val="none" w:sz="0" w:space="0" w:color="auto"/>
          </w:divBdr>
        </w:div>
      </w:divsChild>
    </w:div>
    <w:div w:id="1225293742">
      <w:bodyDiv w:val="1"/>
      <w:marLeft w:val="0"/>
      <w:marRight w:val="0"/>
      <w:marTop w:val="0"/>
      <w:marBottom w:val="0"/>
      <w:divBdr>
        <w:top w:val="none" w:sz="0" w:space="0" w:color="auto"/>
        <w:left w:val="none" w:sz="0" w:space="0" w:color="auto"/>
        <w:bottom w:val="none" w:sz="0" w:space="0" w:color="auto"/>
        <w:right w:val="none" w:sz="0" w:space="0" w:color="auto"/>
      </w:divBdr>
      <w:divsChild>
        <w:div w:id="1964537422">
          <w:marLeft w:val="0"/>
          <w:marRight w:val="0"/>
          <w:marTop w:val="0"/>
          <w:marBottom w:val="0"/>
          <w:divBdr>
            <w:top w:val="none" w:sz="0" w:space="0" w:color="auto"/>
            <w:left w:val="none" w:sz="0" w:space="0" w:color="auto"/>
            <w:bottom w:val="none" w:sz="0" w:space="0" w:color="auto"/>
            <w:right w:val="none" w:sz="0" w:space="0" w:color="auto"/>
          </w:divBdr>
          <w:divsChild>
            <w:div w:id="15604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5675">
      <w:bodyDiv w:val="1"/>
      <w:marLeft w:val="0"/>
      <w:marRight w:val="0"/>
      <w:marTop w:val="0"/>
      <w:marBottom w:val="0"/>
      <w:divBdr>
        <w:top w:val="none" w:sz="0" w:space="0" w:color="auto"/>
        <w:left w:val="none" w:sz="0" w:space="0" w:color="auto"/>
        <w:bottom w:val="none" w:sz="0" w:space="0" w:color="auto"/>
        <w:right w:val="none" w:sz="0" w:space="0" w:color="auto"/>
      </w:divBdr>
    </w:div>
    <w:div w:id="1358311283">
      <w:bodyDiv w:val="1"/>
      <w:marLeft w:val="0"/>
      <w:marRight w:val="0"/>
      <w:marTop w:val="0"/>
      <w:marBottom w:val="0"/>
      <w:divBdr>
        <w:top w:val="none" w:sz="0" w:space="0" w:color="auto"/>
        <w:left w:val="none" w:sz="0" w:space="0" w:color="auto"/>
        <w:bottom w:val="none" w:sz="0" w:space="0" w:color="auto"/>
        <w:right w:val="none" w:sz="0" w:space="0" w:color="auto"/>
      </w:divBdr>
    </w:div>
    <w:div w:id="1416904609">
      <w:bodyDiv w:val="1"/>
      <w:marLeft w:val="0"/>
      <w:marRight w:val="0"/>
      <w:marTop w:val="0"/>
      <w:marBottom w:val="0"/>
      <w:divBdr>
        <w:top w:val="none" w:sz="0" w:space="0" w:color="auto"/>
        <w:left w:val="none" w:sz="0" w:space="0" w:color="auto"/>
        <w:bottom w:val="none" w:sz="0" w:space="0" w:color="auto"/>
        <w:right w:val="none" w:sz="0" w:space="0" w:color="auto"/>
      </w:divBdr>
    </w:div>
    <w:div w:id="1491409606">
      <w:bodyDiv w:val="1"/>
      <w:marLeft w:val="0"/>
      <w:marRight w:val="0"/>
      <w:marTop w:val="0"/>
      <w:marBottom w:val="0"/>
      <w:divBdr>
        <w:top w:val="none" w:sz="0" w:space="0" w:color="auto"/>
        <w:left w:val="none" w:sz="0" w:space="0" w:color="auto"/>
        <w:bottom w:val="none" w:sz="0" w:space="0" w:color="auto"/>
        <w:right w:val="none" w:sz="0" w:space="0" w:color="auto"/>
      </w:divBdr>
    </w:div>
    <w:div w:id="1570076533">
      <w:bodyDiv w:val="1"/>
      <w:marLeft w:val="0"/>
      <w:marRight w:val="0"/>
      <w:marTop w:val="0"/>
      <w:marBottom w:val="0"/>
      <w:divBdr>
        <w:top w:val="none" w:sz="0" w:space="0" w:color="auto"/>
        <w:left w:val="none" w:sz="0" w:space="0" w:color="auto"/>
        <w:bottom w:val="none" w:sz="0" w:space="0" w:color="auto"/>
        <w:right w:val="none" w:sz="0" w:space="0" w:color="auto"/>
      </w:divBdr>
    </w:div>
    <w:div w:id="1602490282">
      <w:bodyDiv w:val="1"/>
      <w:marLeft w:val="0"/>
      <w:marRight w:val="0"/>
      <w:marTop w:val="0"/>
      <w:marBottom w:val="0"/>
      <w:divBdr>
        <w:top w:val="none" w:sz="0" w:space="0" w:color="auto"/>
        <w:left w:val="none" w:sz="0" w:space="0" w:color="auto"/>
        <w:bottom w:val="none" w:sz="0" w:space="0" w:color="auto"/>
        <w:right w:val="none" w:sz="0" w:space="0" w:color="auto"/>
      </w:divBdr>
      <w:divsChild>
        <w:div w:id="951593582">
          <w:marLeft w:val="0"/>
          <w:marRight w:val="0"/>
          <w:marTop w:val="0"/>
          <w:marBottom w:val="0"/>
          <w:divBdr>
            <w:top w:val="none" w:sz="0" w:space="0" w:color="auto"/>
            <w:left w:val="none" w:sz="0" w:space="0" w:color="auto"/>
            <w:bottom w:val="none" w:sz="0" w:space="0" w:color="auto"/>
            <w:right w:val="none" w:sz="0" w:space="0" w:color="auto"/>
          </w:divBdr>
          <w:divsChild>
            <w:div w:id="302083221">
              <w:marLeft w:val="0"/>
              <w:marRight w:val="0"/>
              <w:marTop w:val="0"/>
              <w:marBottom w:val="0"/>
              <w:divBdr>
                <w:top w:val="none" w:sz="0" w:space="0" w:color="auto"/>
                <w:left w:val="none" w:sz="0" w:space="0" w:color="auto"/>
                <w:bottom w:val="none" w:sz="0" w:space="0" w:color="auto"/>
                <w:right w:val="none" w:sz="0" w:space="0" w:color="auto"/>
              </w:divBdr>
              <w:divsChild>
                <w:div w:id="1814830156">
                  <w:marLeft w:val="0"/>
                  <w:marRight w:val="0"/>
                  <w:marTop w:val="0"/>
                  <w:marBottom w:val="0"/>
                  <w:divBdr>
                    <w:top w:val="none" w:sz="0" w:space="0" w:color="auto"/>
                    <w:left w:val="none" w:sz="0" w:space="0" w:color="auto"/>
                    <w:bottom w:val="none" w:sz="0" w:space="0" w:color="auto"/>
                    <w:right w:val="none" w:sz="0" w:space="0" w:color="auto"/>
                  </w:divBdr>
                  <w:divsChild>
                    <w:div w:id="20697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727852">
      <w:bodyDiv w:val="1"/>
      <w:marLeft w:val="0"/>
      <w:marRight w:val="0"/>
      <w:marTop w:val="0"/>
      <w:marBottom w:val="0"/>
      <w:divBdr>
        <w:top w:val="none" w:sz="0" w:space="0" w:color="auto"/>
        <w:left w:val="none" w:sz="0" w:space="0" w:color="auto"/>
        <w:bottom w:val="none" w:sz="0" w:space="0" w:color="auto"/>
        <w:right w:val="none" w:sz="0" w:space="0" w:color="auto"/>
      </w:divBdr>
      <w:divsChild>
        <w:div w:id="298148183">
          <w:marLeft w:val="0"/>
          <w:marRight w:val="0"/>
          <w:marTop w:val="0"/>
          <w:marBottom w:val="0"/>
          <w:divBdr>
            <w:top w:val="none" w:sz="0" w:space="0" w:color="auto"/>
            <w:left w:val="none" w:sz="0" w:space="0" w:color="auto"/>
            <w:bottom w:val="none" w:sz="0" w:space="0" w:color="auto"/>
            <w:right w:val="none" w:sz="0" w:space="0" w:color="auto"/>
          </w:divBdr>
          <w:divsChild>
            <w:div w:id="11425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99817">
      <w:bodyDiv w:val="1"/>
      <w:marLeft w:val="0"/>
      <w:marRight w:val="0"/>
      <w:marTop w:val="0"/>
      <w:marBottom w:val="0"/>
      <w:divBdr>
        <w:top w:val="none" w:sz="0" w:space="0" w:color="auto"/>
        <w:left w:val="none" w:sz="0" w:space="0" w:color="auto"/>
        <w:bottom w:val="none" w:sz="0" w:space="0" w:color="auto"/>
        <w:right w:val="none" w:sz="0" w:space="0" w:color="auto"/>
      </w:divBdr>
    </w:div>
    <w:div w:id="1985742852">
      <w:bodyDiv w:val="1"/>
      <w:marLeft w:val="0"/>
      <w:marRight w:val="0"/>
      <w:marTop w:val="0"/>
      <w:marBottom w:val="0"/>
      <w:divBdr>
        <w:top w:val="none" w:sz="0" w:space="0" w:color="auto"/>
        <w:left w:val="none" w:sz="0" w:space="0" w:color="auto"/>
        <w:bottom w:val="none" w:sz="0" w:space="0" w:color="auto"/>
        <w:right w:val="none" w:sz="0" w:space="0" w:color="auto"/>
      </w:divBdr>
    </w:div>
    <w:div w:id="1987393128">
      <w:bodyDiv w:val="1"/>
      <w:marLeft w:val="0"/>
      <w:marRight w:val="0"/>
      <w:marTop w:val="0"/>
      <w:marBottom w:val="0"/>
      <w:divBdr>
        <w:top w:val="none" w:sz="0" w:space="0" w:color="auto"/>
        <w:left w:val="none" w:sz="0" w:space="0" w:color="auto"/>
        <w:bottom w:val="none" w:sz="0" w:space="0" w:color="auto"/>
        <w:right w:val="none" w:sz="0" w:space="0" w:color="auto"/>
      </w:divBdr>
      <w:divsChild>
        <w:div w:id="1461849391">
          <w:marLeft w:val="0"/>
          <w:marRight w:val="0"/>
          <w:marTop w:val="0"/>
          <w:marBottom w:val="0"/>
          <w:divBdr>
            <w:top w:val="none" w:sz="0" w:space="0" w:color="auto"/>
            <w:left w:val="none" w:sz="0" w:space="0" w:color="auto"/>
            <w:bottom w:val="none" w:sz="0" w:space="0" w:color="auto"/>
            <w:right w:val="none" w:sz="0" w:space="0" w:color="auto"/>
          </w:divBdr>
          <w:divsChild>
            <w:div w:id="691106389">
              <w:marLeft w:val="0"/>
              <w:marRight w:val="0"/>
              <w:marTop w:val="0"/>
              <w:marBottom w:val="0"/>
              <w:divBdr>
                <w:top w:val="none" w:sz="0" w:space="0" w:color="auto"/>
                <w:left w:val="none" w:sz="0" w:space="0" w:color="auto"/>
                <w:bottom w:val="none" w:sz="0" w:space="0" w:color="auto"/>
                <w:right w:val="none" w:sz="0" w:space="0" w:color="auto"/>
              </w:divBdr>
            </w:div>
          </w:divsChild>
        </w:div>
        <w:div w:id="1087965012">
          <w:marLeft w:val="0"/>
          <w:marRight w:val="0"/>
          <w:marTop w:val="0"/>
          <w:marBottom w:val="0"/>
          <w:divBdr>
            <w:top w:val="none" w:sz="0" w:space="0" w:color="auto"/>
            <w:left w:val="none" w:sz="0" w:space="0" w:color="auto"/>
            <w:bottom w:val="none" w:sz="0" w:space="0" w:color="auto"/>
            <w:right w:val="none" w:sz="0" w:space="0" w:color="auto"/>
          </w:divBdr>
        </w:div>
        <w:div w:id="904031997">
          <w:marLeft w:val="0"/>
          <w:marRight w:val="0"/>
          <w:marTop w:val="0"/>
          <w:marBottom w:val="0"/>
          <w:divBdr>
            <w:top w:val="none" w:sz="0" w:space="0" w:color="auto"/>
            <w:left w:val="none" w:sz="0" w:space="0" w:color="auto"/>
            <w:bottom w:val="none" w:sz="0" w:space="0" w:color="auto"/>
            <w:right w:val="none" w:sz="0" w:space="0" w:color="auto"/>
          </w:divBdr>
          <w:divsChild>
            <w:div w:id="2053455951">
              <w:marLeft w:val="0"/>
              <w:marRight w:val="0"/>
              <w:marTop w:val="0"/>
              <w:marBottom w:val="0"/>
              <w:divBdr>
                <w:top w:val="none" w:sz="0" w:space="0" w:color="auto"/>
                <w:left w:val="none" w:sz="0" w:space="0" w:color="auto"/>
                <w:bottom w:val="none" w:sz="0" w:space="0" w:color="auto"/>
                <w:right w:val="none" w:sz="0" w:space="0" w:color="auto"/>
              </w:divBdr>
              <w:divsChild>
                <w:div w:id="485904990">
                  <w:marLeft w:val="0"/>
                  <w:marRight w:val="0"/>
                  <w:marTop w:val="0"/>
                  <w:marBottom w:val="0"/>
                  <w:divBdr>
                    <w:top w:val="none" w:sz="0" w:space="0" w:color="auto"/>
                    <w:left w:val="none" w:sz="0" w:space="0" w:color="auto"/>
                    <w:bottom w:val="none" w:sz="0" w:space="0" w:color="auto"/>
                    <w:right w:val="none" w:sz="0" w:space="0" w:color="auto"/>
                  </w:divBdr>
                  <w:divsChild>
                    <w:div w:id="9536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28909">
      <w:bodyDiv w:val="1"/>
      <w:marLeft w:val="0"/>
      <w:marRight w:val="0"/>
      <w:marTop w:val="0"/>
      <w:marBottom w:val="0"/>
      <w:divBdr>
        <w:top w:val="none" w:sz="0" w:space="0" w:color="auto"/>
        <w:left w:val="none" w:sz="0" w:space="0" w:color="auto"/>
        <w:bottom w:val="none" w:sz="0" w:space="0" w:color="auto"/>
        <w:right w:val="none" w:sz="0" w:space="0" w:color="auto"/>
      </w:divBdr>
    </w:div>
    <w:div w:id="2030835006">
      <w:bodyDiv w:val="1"/>
      <w:marLeft w:val="0"/>
      <w:marRight w:val="0"/>
      <w:marTop w:val="0"/>
      <w:marBottom w:val="0"/>
      <w:divBdr>
        <w:top w:val="none" w:sz="0" w:space="0" w:color="auto"/>
        <w:left w:val="none" w:sz="0" w:space="0" w:color="auto"/>
        <w:bottom w:val="none" w:sz="0" w:space="0" w:color="auto"/>
        <w:right w:val="none" w:sz="0" w:space="0" w:color="auto"/>
      </w:divBdr>
      <w:divsChild>
        <w:div w:id="1153639867">
          <w:marLeft w:val="0"/>
          <w:marRight w:val="0"/>
          <w:marTop w:val="0"/>
          <w:marBottom w:val="0"/>
          <w:divBdr>
            <w:top w:val="none" w:sz="0" w:space="0" w:color="auto"/>
            <w:left w:val="none" w:sz="0" w:space="0" w:color="auto"/>
            <w:bottom w:val="none" w:sz="0" w:space="0" w:color="auto"/>
            <w:right w:val="none" w:sz="0" w:space="0" w:color="auto"/>
          </w:divBdr>
          <w:divsChild>
            <w:div w:id="21066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7099">
      <w:bodyDiv w:val="1"/>
      <w:marLeft w:val="0"/>
      <w:marRight w:val="0"/>
      <w:marTop w:val="0"/>
      <w:marBottom w:val="0"/>
      <w:divBdr>
        <w:top w:val="none" w:sz="0" w:space="0" w:color="auto"/>
        <w:left w:val="none" w:sz="0" w:space="0" w:color="auto"/>
        <w:bottom w:val="none" w:sz="0" w:space="0" w:color="auto"/>
        <w:right w:val="none" w:sz="0" w:space="0" w:color="auto"/>
      </w:divBdr>
      <w:divsChild>
        <w:div w:id="1745712443">
          <w:marLeft w:val="0"/>
          <w:marRight w:val="0"/>
          <w:marTop w:val="0"/>
          <w:marBottom w:val="0"/>
          <w:divBdr>
            <w:top w:val="none" w:sz="0" w:space="0" w:color="auto"/>
            <w:left w:val="none" w:sz="0" w:space="0" w:color="auto"/>
            <w:bottom w:val="none" w:sz="0" w:space="0" w:color="auto"/>
            <w:right w:val="none" w:sz="0" w:space="0" w:color="auto"/>
          </w:divBdr>
          <w:divsChild>
            <w:div w:id="947663868">
              <w:marLeft w:val="0"/>
              <w:marRight w:val="0"/>
              <w:marTop w:val="0"/>
              <w:marBottom w:val="0"/>
              <w:divBdr>
                <w:top w:val="none" w:sz="0" w:space="0" w:color="auto"/>
                <w:left w:val="none" w:sz="0" w:space="0" w:color="auto"/>
                <w:bottom w:val="none" w:sz="0" w:space="0" w:color="auto"/>
                <w:right w:val="none" w:sz="0" w:space="0" w:color="auto"/>
              </w:divBdr>
              <w:divsChild>
                <w:div w:id="1525632180">
                  <w:marLeft w:val="0"/>
                  <w:marRight w:val="0"/>
                  <w:marTop w:val="0"/>
                  <w:marBottom w:val="0"/>
                  <w:divBdr>
                    <w:top w:val="none" w:sz="0" w:space="0" w:color="auto"/>
                    <w:left w:val="none" w:sz="0" w:space="0" w:color="auto"/>
                    <w:bottom w:val="none" w:sz="0" w:space="0" w:color="auto"/>
                    <w:right w:val="none" w:sz="0" w:space="0" w:color="auto"/>
                  </w:divBdr>
                  <w:divsChild>
                    <w:div w:id="12339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strategy-and-policy/eu-budget/eu-borrower-investor-relations/nextgenerationeu_en" TargetMode="External"/><Relationship Id="rId13" Type="http://schemas.openxmlformats.org/officeDocument/2006/relationships/hyperlink" Target="https://www.eppo.europa.eu/en/news/letter-sent-european-commission-regarding-polands-refusal-cooperate-eppo" TargetMode="External"/><Relationship Id="rId18" Type="http://schemas.openxmlformats.org/officeDocument/2006/relationships/hyperlink" Target="https://eur-lex.europa.eu/legal-content/EN/TXT/?uri=CELEX%3A32021D0509" TargetMode="External"/><Relationship Id="rId3" Type="http://schemas.openxmlformats.org/officeDocument/2006/relationships/hyperlink" Target="https://www.statista.com/chart/18794/net-contributors-to-eu-budget/" TargetMode="External"/><Relationship Id="rId21" Type="http://schemas.openxmlformats.org/officeDocument/2006/relationships/hyperlink" Target="https://eu-solidarity-ukraine.ec.europa.eu/eu-assistance-ukraine/ukraine-facility_en" TargetMode="External"/><Relationship Id="rId7" Type="http://schemas.openxmlformats.org/officeDocument/2006/relationships/hyperlink" Target="https://commission.europa.eu/strategy-and-policy/eu-budget/eu-borrower-investor-relations/eu-debt-securities-data_en" TargetMode="External"/><Relationship Id="rId12" Type="http://schemas.openxmlformats.org/officeDocument/2006/relationships/hyperlink" Target="https://www.consilium.europa.eu/en/press/press-releases/2022/12/12/rule-of-law-conditionality-mechanism/" TargetMode="External"/><Relationship Id="rId17" Type="http://schemas.openxmlformats.org/officeDocument/2006/relationships/hyperlink" Target="https://www.politico.eu/article/olaf-investigates-potential-fraud-involving-eu-recovery-funds/" TargetMode="External"/><Relationship Id="rId2" Type="http://schemas.openxmlformats.org/officeDocument/2006/relationships/hyperlink" Target="https://commission.europa.eu/strategy-and-policy/eu-budget/long-term-eu-budget/2021-2027/spending-and-revenue_en" TargetMode="External"/><Relationship Id="rId16" Type="http://schemas.openxmlformats.org/officeDocument/2006/relationships/hyperlink" Target="https://www.eppo.europa.eu/en/media/news/investigation-stop-carousel-eppo-dismantles-criminal-organisation-targeting-rrf-funds" TargetMode="External"/><Relationship Id="rId20" Type="http://schemas.openxmlformats.org/officeDocument/2006/relationships/hyperlink" Target="https://www.consilium.europa.eu/en/press/press-releases/2024/03/18/ukraine-assistance-fund-council-allocates-5-billion-under-the-european-peace-facility-to-support-ukraine-militarily/" TargetMode="External"/><Relationship Id="rId1" Type="http://schemas.openxmlformats.org/officeDocument/2006/relationships/hyperlink" Target="https://ndpr.nd.edu/reviews/political-solidarity/" TargetMode="External"/><Relationship Id="rId6" Type="http://schemas.openxmlformats.org/officeDocument/2006/relationships/hyperlink" Target="https://www.consilium.europa.eu/en/press/press-releases/2020/03/24/remarks-by-mario-centeno-following-the-eurogroup-meeting-of-24-march-2020/" TargetMode="External"/><Relationship Id="rId11" Type="http://schemas.openxmlformats.org/officeDocument/2006/relationships/hyperlink" Target="https://ec.europa.eu/commission/presscorner/detail/en/SPEECH_24_2361" TargetMode="External"/><Relationship Id="rId5" Type="http://schemas.openxmlformats.org/officeDocument/2006/relationships/hyperlink" Target="https://oeil.secure.europarl.europa.eu/oeil/popups/ficheprocedure.do?lang=en&amp;reference=2017/2131(INL)" TargetMode="External"/><Relationship Id="rId15" Type="http://schemas.openxmlformats.org/officeDocument/2006/relationships/hyperlink" Target="https://www.politico.eu/article/italy-italian-prime-minister-mario-draghi-recovery-plan/" TargetMode="External"/><Relationship Id="rId10" Type="http://schemas.openxmlformats.org/officeDocument/2006/relationships/hyperlink" Target="https://eur-lex.europa.eu/legal-content/EN/TXT/HTML/?uri=CELEX:32020R2094" TargetMode="External"/><Relationship Id="rId19" Type="http://schemas.openxmlformats.org/officeDocument/2006/relationships/hyperlink" Target="https://euneighbourseast.eu/tag/european-peace-facility/" TargetMode="External"/><Relationship Id="rId4" Type="http://schemas.openxmlformats.org/officeDocument/2006/relationships/hyperlink" Target="https://oeil.secure.europarl.europa.eu/oeil/popups/ficheprocedure.do?lang=en&amp;reference=2018/2541(RSP)" TargetMode="External"/><Relationship Id="rId9" Type="http://schemas.openxmlformats.org/officeDocument/2006/relationships/hyperlink" Target="https://eur-lex.europa.eu/legal-content/EN/TXT/HTML/?uri=CELEX:32020D2053" TargetMode="External"/><Relationship Id="rId14" Type="http://schemas.openxmlformats.org/officeDocument/2006/relationships/hyperlink" Target="https://www.eppo.europa.eu/en/media/news/eppo-signs-working-arrangement-office-prosecutor-general-hungary" TargetMode="External"/><Relationship Id="rId22" Type="http://schemas.openxmlformats.org/officeDocument/2006/relationships/hyperlink" Target="https://economy-finance.ec.europa.eu/system/files/2023-01/Memorandum%20of%20Understanding_EU-U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6917</Words>
  <Characters>39430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2024-11-26T22:25:00Z</dcterms:created>
  <dcterms:modified xsi:type="dcterms:W3CDTF">2024-11-30T15:13:00Z</dcterms:modified>
</cp:coreProperties>
</file>