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70307" w14:textId="7400CD22" w:rsidR="00B642CB" w:rsidRPr="00B642CB" w:rsidRDefault="00B642CB" w:rsidP="00B642CB">
      <w:pPr>
        <w:pStyle w:val="Authornames"/>
        <w:spacing w:line="276" w:lineRule="auto"/>
        <w:rPr>
          <w:rFonts w:ascii="Cambria" w:hAnsi="Cambria"/>
          <w:bCs/>
          <w:smallCaps/>
          <w:sz w:val="22"/>
          <w:szCs w:val="22"/>
        </w:rPr>
      </w:pPr>
      <w:r w:rsidRPr="00B642CB">
        <w:rPr>
          <w:rFonts w:ascii="Cambria" w:hAnsi="Cambria"/>
          <w:bCs/>
          <w:smallCaps/>
          <w:sz w:val="22"/>
          <w:szCs w:val="22"/>
        </w:rPr>
        <w:t>Accountable Language: Holding Medieval Governors and Officers to Account in Flanders</w:t>
      </w:r>
    </w:p>
    <w:p w14:paraId="4AC4037D" w14:textId="77777777" w:rsidR="00B642CB" w:rsidRPr="00B642CB" w:rsidRDefault="00B642CB" w:rsidP="00B642CB">
      <w:pPr>
        <w:pStyle w:val="Keywords"/>
        <w:spacing w:line="276" w:lineRule="auto"/>
        <w:jc w:val="both"/>
        <w:rPr>
          <w:rFonts w:ascii="Cambria" w:hAnsi="Cambria"/>
          <w:bCs/>
          <w:szCs w:val="22"/>
        </w:rPr>
      </w:pPr>
      <w:r w:rsidRPr="00B642CB">
        <w:rPr>
          <w:rFonts w:ascii="Cambria" w:hAnsi="Cambria"/>
          <w:bCs/>
          <w:szCs w:val="22"/>
        </w:rPr>
        <w:t xml:space="preserve">Abstract: This article calls for a comprehensive approach to medieval accountability. It combines digital text analysis with Critical Discourse Analysis, offering new insights into the words that counts, societal elites, local governors, and the middling sort used to hold rulers, governors, and officers to account in fifteenth-century Flanders. Although accountability is a modern and abstract concept, the belief in the responsibility, answerability, and liability of governors and officers was a crucial aspect of political life in the fifteenth-century county of Flanders. Moreover, this belief was articulated through concrete and consistent vocabularies, phrases, and discursive registers, forming what can be termed a medieval language of accountability. Spoken across various social strata, this language represents a truly </w:t>
      </w:r>
      <w:bookmarkStart w:id="0" w:name="_Hlk176851205"/>
      <w:r w:rsidRPr="00B642CB">
        <w:rPr>
          <w:rFonts w:ascii="Cambria" w:hAnsi="Cambria"/>
          <w:bCs/>
          <w:szCs w:val="22"/>
        </w:rPr>
        <w:t>omnipresent and omnidirectional</w:t>
      </w:r>
      <w:bookmarkEnd w:id="0"/>
      <w:r w:rsidRPr="00B642CB">
        <w:rPr>
          <w:rFonts w:ascii="Cambria" w:hAnsi="Cambria"/>
          <w:bCs/>
          <w:szCs w:val="22"/>
        </w:rPr>
        <w:t xml:space="preserve"> phenomenon.</w:t>
      </w:r>
    </w:p>
    <w:p w14:paraId="5CC69E16" w14:textId="77777777" w:rsidR="00B642CB" w:rsidRPr="00B642CB" w:rsidRDefault="00B642CB" w:rsidP="00B642CB">
      <w:pPr>
        <w:pStyle w:val="Keywords"/>
        <w:spacing w:line="276" w:lineRule="auto"/>
        <w:jc w:val="both"/>
        <w:rPr>
          <w:rFonts w:ascii="Cambria" w:hAnsi="Cambria"/>
          <w:bCs/>
          <w:szCs w:val="22"/>
        </w:rPr>
      </w:pPr>
      <w:r w:rsidRPr="00B642CB">
        <w:rPr>
          <w:rFonts w:ascii="Cambria" w:hAnsi="Cambria"/>
          <w:bCs/>
          <w:szCs w:val="22"/>
        </w:rPr>
        <w:t xml:space="preserve">Keywords: Accountability, Flanders, Fifteenth-century, Political History, Discourse Analysis, Political Interactions </w:t>
      </w:r>
    </w:p>
    <w:p w14:paraId="4AAB9D5D" w14:textId="77777777" w:rsidR="00B642CB" w:rsidRPr="00B642CB" w:rsidRDefault="00B642CB" w:rsidP="00B642CB">
      <w:pPr>
        <w:pStyle w:val="Heading1"/>
        <w:spacing w:line="276" w:lineRule="auto"/>
        <w:rPr>
          <w:rFonts w:ascii="Cambria" w:hAnsi="Cambria"/>
          <w:b w:val="0"/>
          <w:smallCaps/>
          <w:sz w:val="22"/>
          <w:szCs w:val="22"/>
        </w:rPr>
      </w:pPr>
      <w:r w:rsidRPr="00B642CB">
        <w:rPr>
          <w:rFonts w:ascii="Cambria" w:hAnsi="Cambria"/>
          <w:b w:val="0"/>
          <w:sz w:val="22"/>
          <w:szCs w:val="22"/>
        </w:rPr>
        <w:t>Introduction</w:t>
      </w:r>
    </w:p>
    <w:p w14:paraId="34C0DDCA"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rPr>
      </w:pPr>
      <w:r w:rsidRPr="00B642CB">
        <w:rPr>
          <w:rFonts w:ascii="Cambria" w:hAnsi="Cambria"/>
          <w:bCs/>
          <w:sz w:val="22"/>
          <w:szCs w:val="22"/>
          <w:highlight w:val="white"/>
        </w:rPr>
        <w:t>On Friday, 16 March 1477, Pieter Boudins was beheaded in Ghent for his ‘great force’ (‘</w:t>
      </w:r>
      <w:r w:rsidRPr="00B642CB">
        <w:rPr>
          <w:rFonts w:ascii="Cambria" w:hAnsi="Cambria"/>
          <w:bCs/>
          <w:i/>
          <w:iCs/>
          <w:sz w:val="22"/>
          <w:szCs w:val="22"/>
          <w:highlight w:val="white"/>
        </w:rPr>
        <w:t>grooter foortse</w:t>
      </w:r>
      <w:r w:rsidRPr="00B642CB">
        <w:rPr>
          <w:rFonts w:ascii="Cambria" w:hAnsi="Cambria"/>
          <w:bCs/>
          <w:sz w:val="22"/>
          <w:szCs w:val="22"/>
          <w:highlight w:val="white"/>
        </w:rPr>
        <w:t>’) and ‘excesses’ (‘</w:t>
      </w:r>
      <w:r w:rsidRPr="00B642CB">
        <w:rPr>
          <w:rFonts w:ascii="Cambria" w:hAnsi="Cambria"/>
          <w:bCs/>
          <w:i/>
          <w:iCs/>
          <w:sz w:val="22"/>
          <w:szCs w:val="22"/>
          <w:highlight w:val="white"/>
        </w:rPr>
        <w:t>overdadicheit</w:t>
      </w:r>
      <w:r w:rsidRPr="00B642CB">
        <w:rPr>
          <w:rFonts w:ascii="Cambria" w:hAnsi="Cambria"/>
          <w:bCs/>
          <w:sz w:val="22"/>
          <w:szCs w:val="22"/>
          <w:highlight w:val="white"/>
        </w:rPr>
        <w:t>’).</w:t>
      </w:r>
      <w:r w:rsidRPr="00B642CB">
        <w:rPr>
          <w:rStyle w:val="FootnoteReference"/>
          <w:rFonts w:ascii="Cambria" w:hAnsi="Cambria"/>
          <w:bCs/>
          <w:sz w:val="22"/>
          <w:szCs w:val="22"/>
        </w:rPr>
        <w:footnoteReference w:id="1"/>
      </w:r>
      <w:r w:rsidRPr="00B642CB">
        <w:rPr>
          <w:rFonts w:ascii="Cambria" w:hAnsi="Cambria"/>
          <w:bCs/>
          <w:sz w:val="22"/>
          <w:szCs w:val="22"/>
        </w:rPr>
        <w:t xml:space="preserve"> </w:t>
      </w:r>
      <w:r w:rsidRPr="00B642CB">
        <w:rPr>
          <w:rFonts w:ascii="Cambria" w:hAnsi="Cambria"/>
          <w:bCs/>
          <w:sz w:val="22"/>
          <w:szCs w:val="22"/>
          <w:highlight w:val="white"/>
        </w:rPr>
        <w:t>Boudins was a former urban governor of Ghent and personal secretary to the Burgundian dukes Philip the Good and Charles the Bold.</w:t>
      </w:r>
      <w:r w:rsidRPr="00B642CB">
        <w:rPr>
          <w:rStyle w:val="FootnoteReference"/>
          <w:rFonts w:ascii="Cambria" w:hAnsi="Cambria"/>
          <w:bCs/>
          <w:sz w:val="22"/>
          <w:szCs w:val="22"/>
        </w:rPr>
        <w:footnoteReference w:id="2"/>
      </w:r>
      <w:r w:rsidRPr="00B642CB">
        <w:rPr>
          <w:rFonts w:ascii="Cambria" w:hAnsi="Cambria"/>
          <w:bCs/>
          <w:sz w:val="22"/>
          <w:szCs w:val="22"/>
        </w:rPr>
        <w:t xml:space="preserve"> </w:t>
      </w:r>
      <w:r w:rsidRPr="00B642CB">
        <w:rPr>
          <w:rFonts w:ascii="Cambria" w:hAnsi="Cambria"/>
          <w:bCs/>
          <w:sz w:val="22"/>
          <w:szCs w:val="22"/>
          <w:highlight w:val="white"/>
        </w:rPr>
        <w:t>The Ghent ‘memory books’ record that just two days before his execution, citizens began to ‘murmur’ about the grave injustices  inflicted upon millers and other urban groups, who had lost their craft and were banished without reason.</w:t>
      </w:r>
      <w:r w:rsidRPr="00B642CB">
        <w:rPr>
          <w:rStyle w:val="FootnoteReference"/>
          <w:rFonts w:ascii="Cambria" w:hAnsi="Cambria"/>
          <w:bCs/>
          <w:sz w:val="22"/>
          <w:szCs w:val="22"/>
          <w:highlight w:val="white"/>
        </w:rPr>
        <w:footnoteReference w:id="3"/>
      </w:r>
      <w:r w:rsidRPr="00B642CB">
        <w:rPr>
          <w:rFonts w:ascii="Cambria" w:hAnsi="Cambria"/>
          <w:bCs/>
          <w:sz w:val="22"/>
          <w:szCs w:val="22"/>
        </w:rPr>
        <w:t xml:space="preserve"> </w:t>
      </w:r>
      <w:r w:rsidRPr="00B642CB">
        <w:rPr>
          <w:rFonts w:ascii="Cambria" w:hAnsi="Cambria"/>
          <w:bCs/>
          <w:sz w:val="22"/>
          <w:szCs w:val="22"/>
          <w:highlight w:val="white"/>
        </w:rPr>
        <w:t>To determine whether these ‘murmurs’ held any truth, the city’s councillors organised a meeting with the head deans and deans of Ghent’s craft guilds in the town hall.</w:t>
      </w:r>
      <w:r w:rsidRPr="00B642CB">
        <w:rPr>
          <w:rFonts w:ascii="Cambria" w:hAnsi="Cambria"/>
          <w:bCs/>
          <w:sz w:val="22"/>
          <w:szCs w:val="22"/>
        </w:rPr>
        <w:t xml:space="preserve"> </w:t>
      </w:r>
      <w:r w:rsidRPr="00B642CB">
        <w:rPr>
          <w:rFonts w:ascii="Cambria" w:hAnsi="Cambria"/>
          <w:bCs/>
          <w:sz w:val="22"/>
          <w:szCs w:val="22"/>
          <w:highlight w:val="white"/>
        </w:rPr>
        <w:t>Together, they initiated an investigation that identified several former governors, including Boudins, as the likely culprits.</w:t>
      </w:r>
      <w:r w:rsidRPr="00B642CB">
        <w:rPr>
          <w:rFonts w:ascii="Cambria" w:hAnsi="Cambria"/>
          <w:bCs/>
          <w:sz w:val="22"/>
          <w:szCs w:val="22"/>
        </w:rPr>
        <w:t xml:space="preserve"> </w:t>
      </w:r>
      <w:r w:rsidRPr="00B642CB">
        <w:rPr>
          <w:rFonts w:ascii="Cambria" w:hAnsi="Cambria"/>
          <w:bCs/>
          <w:sz w:val="22"/>
          <w:szCs w:val="22"/>
          <w:highlight w:val="white"/>
        </w:rPr>
        <w:t>The suspects were arrested, imprisoned, interrogated, and even tortured until four o’clock in the morning.</w:t>
      </w:r>
      <w:r w:rsidRPr="00B642CB">
        <w:rPr>
          <w:rFonts w:ascii="Cambria" w:hAnsi="Cambria"/>
          <w:bCs/>
          <w:sz w:val="22"/>
          <w:szCs w:val="22"/>
        </w:rPr>
        <w:t xml:space="preserve"> </w:t>
      </w:r>
      <w:r w:rsidRPr="00B642CB">
        <w:rPr>
          <w:rFonts w:ascii="Cambria" w:hAnsi="Cambria"/>
          <w:bCs/>
          <w:sz w:val="22"/>
          <w:szCs w:val="22"/>
          <w:highlight w:val="white"/>
        </w:rPr>
        <w:t>It was ‘in his pain’ that Boudins confessed to the great ‘excesses’ that would lead to his execution.</w:t>
      </w:r>
      <w:r w:rsidRPr="00B642CB">
        <w:rPr>
          <w:rStyle w:val="FootnoteReference"/>
          <w:rFonts w:ascii="Cambria" w:hAnsi="Cambria"/>
          <w:bCs/>
          <w:sz w:val="22"/>
          <w:szCs w:val="22"/>
          <w:highlight w:val="white"/>
        </w:rPr>
        <w:footnoteReference w:id="4"/>
      </w:r>
      <w:r w:rsidRPr="00B642CB">
        <w:rPr>
          <w:rFonts w:ascii="Cambria" w:hAnsi="Cambria"/>
          <w:bCs/>
          <w:sz w:val="22"/>
          <w:szCs w:val="22"/>
        </w:rPr>
        <w:t xml:space="preserve"> </w:t>
      </w:r>
      <w:r w:rsidRPr="00B642CB">
        <w:rPr>
          <w:rFonts w:ascii="Cambria" w:hAnsi="Cambria"/>
          <w:bCs/>
          <w:sz w:val="22"/>
          <w:szCs w:val="22"/>
          <w:highlight w:val="white"/>
        </w:rPr>
        <w:t>He pointed to a hidden drawer full of blank pieces of parchment that were validated with the count’s seal.</w:t>
      </w:r>
      <w:r w:rsidRPr="00B642CB">
        <w:rPr>
          <w:rFonts w:ascii="Cambria" w:hAnsi="Cambria"/>
          <w:bCs/>
          <w:sz w:val="22"/>
          <w:szCs w:val="22"/>
        </w:rPr>
        <w:t xml:space="preserve"> </w:t>
      </w:r>
      <w:r w:rsidRPr="00B642CB">
        <w:rPr>
          <w:rFonts w:ascii="Cambria" w:hAnsi="Cambria"/>
          <w:bCs/>
          <w:sz w:val="22"/>
          <w:szCs w:val="22"/>
          <w:highlight w:val="white"/>
        </w:rPr>
        <w:t>Every time Boudins and other former urban governors had wanted to banish or execute a Ghent citizen, they had filled in one of these and pretended that the order came from the Count.</w:t>
      </w:r>
      <w:r w:rsidRPr="00B642CB">
        <w:rPr>
          <w:rStyle w:val="FootnoteReference"/>
          <w:rFonts w:ascii="Cambria" w:hAnsi="Cambria"/>
          <w:bCs/>
          <w:sz w:val="22"/>
          <w:szCs w:val="22"/>
          <w:highlight w:val="white"/>
        </w:rPr>
        <w:footnoteReference w:id="5"/>
      </w:r>
      <w:r w:rsidRPr="00B642CB">
        <w:rPr>
          <w:rFonts w:ascii="Cambria" w:hAnsi="Cambria"/>
          <w:bCs/>
          <w:sz w:val="22"/>
          <w:szCs w:val="22"/>
          <w:highlight w:val="white"/>
        </w:rPr>
        <w:t xml:space="preserve"> Alongside falsifying legal documents, Boudins and his accomplices had committed many more corrupt acts, including bribery and violating the urban </w:t>
      </w:r>
      <w:r w:rsidRPr="00B642CB">
        <w:rPr>
          <w:rFonts w:ascii="Cambria" w:hAnsi="Cambria"/>
          <w:bCs/>
          <w:sz w:val="22"/>
          <w:szCs w:val="22"/>
          <w:highlight w:val="white"/>
        </w:rPr>
        <w:lastRenderedPageBreak/>
        <w:t>privileges of Ghent.</w:t>
      </w:r>
      <w:r w:rsidRPr="00B642CB">
        <w:rPr>
          <w:rFonts w:ascii="Cambria" w:hAnsi="Cambria"/>
          <w:bCs/>
          <w:sz w:val="22"/>
          <w:szCs w:val="22"/>
        </w:rPr>
        <w:t xml:space="preserve"> </w:t>
      </w:r>
      <w:r w:rsidRPr="00B642CB">
        <w:rPr>
          <w:rFonts w:ascii="Cambria" w:hAnsi="Cambria"/>
          <w:bCs/>
          <w:sz w:val="22"/>
          <w:szCs w:val="22"/>
          <w:highlight w:val="white"/>
        </w:rPr>
        <w:t>The Ghent ‘memory books’ thus conclude that they deserved nothing less than capital punishment. After Boudins and the other guilty urban governors had been executed over three consecutive days, the chronicle concludes that ‘justice was done’ (‘</w:t>
      </w:r>
      <w:r w:rsidRPr="00B642CB">
        <w:rPr>
          <w:rFonts w:ascii="Cambria" w:hAnsi="Cambria"/>
          <w:bCs/>
          <w:i/>
          <w:iCs/>
          <w:sz w:val="22"/>
          <w:szCs w:val="22"/>
          <w:highlight w:val="white"/>
        </w:rPr>
        <w:t>justicie ghedaen was</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6"/>
      </w:r>
    </w:p>
    <w:p w14:paraId="66096286"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rPr>
      </w:pPr>
      <w:r w:rsidRPr="00B642CB">
        <w:rPr>
          <w:rFonts w:ascii="Cambria" w:hAnsi="Cambria"/>
          <w:bCs/>
          <w:sz w:val="22"/>
          <w:szCs w:val="22"/>
          <w:highlight w:val="white"/>
        </w:rPr>
        <w:t xml:space="preserve">As this description of Pieter Boudins’ execution makes clear, official performance and governmental corruption were no laughing matters in the county of Flanders. </w:t>
      </w:r>
      <w:r w:rsidRPr="00B642CB">
        <w:rPr>
          <w:rFonts w:ascii="Cambria" w:hAnsi="Cambria"/>
          <w:bCs/>
          <w:sz w:val="22"/>
          <w:szCs w:val="22"/>
        </w:rPr>
        <w:t>Governors and officers were expected to govern well, act responsibly, and meet the obligations of their office</w:t>
      </w:r>
      <w:r w:rsidRPr="00B642CB">
        <w:rPr>
          <w:rFonts w:ascii="Cambria" w:hAnsi="Cambria"/>
          <w:bCs/>
          <w:sz w:val="22"/>
          <w:szCs w:val="22"/>
          <w:highlight w:val="white"/>
        </w:rPr>
        <w:t xml:space="preserve">. </w:t>
      </w:r>
      <w:r w:rsidRPr="00B642CB">
        <w:rPr>
          <w:rFonts w:ascii="Cambria" w:hAnsi="Cambria"/>
          <w:bCs/>
          <w:sz w:val="22"/>
          <w:szCs w:val="22"/>
        </w:rPr>
        <w:t>To ensure they did so, governors and officers were held answerable and regularly subjected to detailed investigations or inquiries</w:t>
      </w:r>
      <w:r w:rsidRPr="00B642CB">
        <w:rPr>
          <w:rFonts w:ascii="Cambria" w:hAnsi="Cambria"/>
          <w:bCs/>
          <w:sz w:val="22"/>
          <w:szCs w:val="22"/>
          <w:highlight w:val="white"/>
        </w:rPr>
        <w:t xml:space="preserve">. If their conduct was found wanting, they were held liable just as Boudins, who paid for his maladministration with his life. </w:t>
      </w:r>
      <w:r w:rsidRPr="00B642CB">
        <w:rPr>
          <w:rFonts w:ascii="Cambria" w:hAnsi="Cambria"/>
          <w:bCs/>
          <w:sz w:val="22"/>
          <w:szCs w:val="22"/>
        </w:rPr>
        <w:t xml:space="preserve">It is this dynamic of accountability —where governors and officers had to fulfil certain responsibilities, explain their actions, be subject to investigation, and face the consequences if they failed their duties—that takes centre stage in this article. </w:t>
      </w:r>
    </w:p>
    <w:p w14:paraId="1115AE36"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rPr>
      </w:pPr>
    </w:p>
    <w:p w14:paraId="07C906F1" w14:textId="77777777" w:rsidR="00B642CB" w:rsidRPr="00B642CB" w:rsidRDefault="00B642CB" w:rsidP="00B642CB">
      <w:pPr>
        <w:autoSpaceDE w:val="0"/>
        <w:autoSpaceDN w:val="0"/>
        <w:adjustRightInd w:val="0"/>
        <w:spacing w:line="276" w:lineRule="auto"/>
        <w:jc w:val="both"/>
        <w:rPr>
          <w:rFonts w:ascii="Cambria" w:hAnsi="Cambria"/>
          <w:bCs/>
          <w:sz w:val="22"/>
          <w:szCs w:val="22"/>
        </w:rPr>
      </w:pPr>
      <w:r w:rsidRPr="00B642CB">
        <w:rPr>
          <w:rFonts w:ascii="Cambria" w:hAnsi="Cambria"/>
          <w:bCs/>
          <w:sz w:val="22"/>
          <w:szCs w:val="22"/>
        </w:rPr>
        <w:t>In recent years, historians have enthusiastically investigated various forms of medieval accountability, and their research has revealed a strong belief in both the desirability and possibility thereof</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7"/>
      </w:r>
      <w:r w:rsidRPr="00B642CB">
        <w:rPr>
          <w:rFonts w:ascii="Cambria" w:hAnsi="Cambria"/>
          <w:bCs/>
          <w:sz w:val="22"/>
          <w:szCs w:val="22"/>
          <w:highlight w:val="white"/>
        </w:rPr>
        <w:t xml:space="preserve"> </w:t>
      </w:r>
      <w:r w:rsidRPr="00B642CB">
        <w:rPr>
          <w:rFonts w:ascii="Cambria" w:hAnsi="Cambria"/>
          <w:bCs/>
          <w:sz w:val="22"/>
          <w:szCs w:val="22"/>
        </w:rPr>
        <w:t>In the late medieval period people reflected on the responsibilities of governors and officers, their answerability, and liability for negligence. In addition, beginning in the twelfth and thirteenth centuries, there emerged a wave of regulations, processes, practices, and procedures aimed at monitoring governors and officers, and condemning them when necessary</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8"/>
      </w:r>
      <w:r w:rsidRPr="00B642CB">
        <w:rPr>
          <w:rFonts w:ascii="Cambria" w:hAnsi="Cambria"/>
          <w:bCs/>
          <w:sz w:val="22"/>
          <w:szCs w:val="22"/>
          <w:highlight w:val="white"/>
        </w:rPr>
        <w:t xml:space="preserve"> </w:t>
      </w:r>
      <w:r w:rsidRPr="00B642CB">
        <w:rPr>
          <w:rFonts w:ascii="Cambria" w:hAnsi="Cambria"/>
          <w:bCs/>
          <w:sz w:val="22"/>
          <w:szCs w:val="22"/>
        </w:rPr>
        <w:t>Whether through bureaucratic administration, large-scale inquiries, or legal procedures, all sorts of governors and officers were required to answer for their conduct. But what exactly is medieval accountability?</w:t>
      </w:r>
    </w:p>
    <w:p w14:paraId="461BFD4E"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rPr>
      </w:pPr>
      <w:r w:rsidRPr="00B642CB">
        <w:rPr>
          <w:rFonts w:ascii="Cambria" w:hAnsi="Cambria"/>
          <w:bCs/>
          <w:sz w:val="22"/>
          <w:szCs w:val="22"/>
        </w:rPr>
        <w:t>To this day, historians have not yet arrived at a clear answer to this question. Already in 2011, John Sabapathy argued that it is not always clear what scholars mean when they talk about accountability. He highlighted that there is not only academic uncertainty regarding the concept’s definition but also instability in its presumed content</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9"/>
      </w:r>
      <w:r w:rsidRPr="00B642CB">
        <w:rPr>
          <w:rFonts w:ascii="Cambria" w:hAnsi="Cambria"/>
          <w:bCs/>
          <w:sz w:val="22"/>
          <w:szCs w:val="22"/>
        </w:rPr>
        <w:t xml:space="preserve"> Ten years later, María Ángeles Martín Romera and Hans Ziegler still noted the ongoing uncertainty surrounding the definition of accountability.</w:t>
      </w:r>
      <w:r w:rsidRPr="00B642CB">
        <w:rPr>
          <w:rStyle w:val="FootnoteReference"/>
          <w:rFonts w:ascii="Cambria" w:hAnsi="Cambria"/>
          <w:bCs/>
          <w:sz w:val="22"/>
          <w:szCs w:val="22"/>
        </w:rPr>
        <w:footnoteReference w:id="10"/>
      </w:r>
      <w:r w:rsidRPr="00B642CB">
        <w:rPr>
          <w:rFonts w:ascii="Cambria" w:hAnsi="Cambria"/>
          <w:bCs/>
          <w:sz w:val="22"/>
          <w:szCs w:val="22"/>
        </w:rPr>
        <w:t xml:space="preserve"> This ambiguity is brought to a head by the concept’s many </w:t>
      </w:r>
      <w:r w:rsidRPr="00B642CB">
        <w:rPr>
          <w:rFonts w:ascii="Cambria" w:hAnsi="Cambria"/>
          <w:bCs/>
          <w:sz w:val="22"/>
          <w:szCs w:val="22"/>
          <w:highlight w:val="white"/>
        </w:rPr>
        <w:t>twenty-first-century connotations.</w:t>
      </w:r>
      <w:r w:rsidRPr="00B642CB">
        <w:rPr>
          <w:rFonts w:ascii="Cambria" w:hAnsi="Cambria"/>
          <w:bCs/>
          <w:sz w:val="22"/>
          <w:szCs w:val="22"/>
        </w:rPr>
        <w:t xml:space="preserve"> As argued by </w:t>
      </w:r>
      <w:r w:rsidRPr="00B642CB">
        <w:rPr>
          <w:rFonts w:ascii="Cambria" w:hAnsi="Cambria"/>
          <w:bCs/>
          <w:sz w:val="22"/>
          <w:szCs w:val="22"/>
          <w:highlight w:val="white"/>
        </w:rPr>
        <w:t xml:space="preserve">Ronald Kroez, André Vitória, and Guy Geltner, research on historical practices of anti-corruption has often been driven by ‘policy-oriented’ endeavours. Conceptions of corruption and accountability in historical contexts have, therefore, been subjected to modern </w:t>
      </w:r>
      <w:r w:rsidRPr="00B642CB">
        <w:rPr>
          <w:rFonts w:ascii="Cambria" w:hAnsi="Cambria"/>
          <w:bCs/>
          <w:sz w:val="22"/>
          <w:szCs w:val="22"/>
          <w:highlight w:val="white"/>
        </w:rPr>
        <w:lastRenderedPageBreak/>
        <w:t>associations, rather than being understood within the context in which they were originally formulated.</w:t>
      </w:r>
      <w:r w:rsidRPr="00B642CB">
        <w:rPr>
          <w:rStyle w:val="FootnoteReference"/>
          <w:rFonts w:ascii="Cambria" w:hAnsi="Cambria"/>
          <w:bCs/>
          <w:sz w:val="22"/>
          <w:szCs w:val="22"/>
          <w:highlight w:val="white"/>
        </w:rPr>
        <w:footnoteReference w:id="11"/>
      </w:r>
    </w:p>
    <w:p w14:paraId="3AD16431"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rPr>
      </w:pPr>
      <w:r w:rsidRPr="00B642CB">
        <w:rPr>
          <w:rFonts w:ascii="Cambria" w:hAnsi="Cambria"/>
          <w:bCs/>
          <w:sz w:val="22"/>
          <w:szCs w:val="22"/>
          <w:highlight w:val="white"/>
        </w:rPr>
        <w:t>This ongoing uncertainty about the nature of medieval accountability is also evident in the diverse perspectives through which current scholarship approaches the concept.</w:t>
      </w:r>
      <w:r w:rsidRPr="00B642CB">
        <w:rPr>
          <w:rFonts w:ascii="Cambria" w:hAnsi="Cambria"/>
          <w:bCs/>
          <w:sz w:val="22"/>
          <w:szCs w:val="22"/>
        </w:rPr>
        <w:t xml:space="preserve"> Until recently, researchers often studied accountability from a top-down perspective, concentrating on institutional processes, bureaucratic expansion, or the concept of the ‘state’</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12"/>
      </w:r>
      <w:r w:rsidRPr="00B642CB">
        <w:rPr>
          <w:rFonts w:ascii="Cambria" w:hAnsi="Cambria"/>
          <w:bCs/>
          <w:sz w:val="22"/>
          <w:szCs w:val="22"/>
          <w:highlight w:val="white"/>
        </w:rPr>
        <w:t xml:space="preserve"> </w:t>
      </w:r>
      <w:r w:rsidRPr="00B642CB">
        <w:rPr>
          <w:rFonts w:ascii="Cambria" w:hAnsi="Cambria"/>
          <w:bCs/>
          <w:sz w:val="22"/>
          <w:szCs w:val="22"/>
        </w:rPr>
        <w:t>Their focus on accountability at the ‘top’, however, meant that scholars often neglected those in the ‘middle’ or ‘bottom’</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13"/>
      </w:r>
      <w:r w:rsidRPr="00B642CB">
        <w:rPr>
          <w:rFonts w:ascii="Cambria" w:hAnsi="Cambria"/>
          <w:bCs/>
          <w:sz w:val="22"/>
          <w:szCs w:val="22"/>
          <w:highlight w:val="white"/>
        </w:rPr>
        <w:t xml:space="preserve"> This approach was countered in a 2020 article in this journal, in which María Ángeles Martín Romera advocated against the exclusiveness of the top-down approach. She argued that officeholders were accountable not only to higher-ranking officials or rulers, but also to the subjects with whom they interacted on a daily basis. Her work implemented a shift in perspective towards the many ways in which people in the Middle Ages held their governors and officers to account.</w:t>
      </w:r>
      <w:r w:rsidRPr="00B642CB">
        <w:rPr>
          <w:rStyle w:val="FootnoteReference"/>
          <w:rFonts w:ascii="Cambria" w:hAnsi="Cambria"/>
          <w:bCs/>
          <w:sz w:val="22"/>
          <w:szCs w:val="22"/>
          <w:highlight w:val="white"/>
        </w:rPr>
        <w:footnoteReference w:id="14"/>
      </w:r>
      <w:r w:rsidRPr="00B642CB">
        <w:rPr>
          <w:rFonts w:ascii="Cambria" w:hAnsi="Cambria"/>
          <w:bCs/>
          <w:sz w:val="22"/>
          <w:szCs w:val="22"/>
        </w:rPr>
        <w:t xml:space="preserve"> Both top-down and bottom-up studies have since revealed a rich landscape of medieval practices of accountability. However, they have also unintentionally, and perhaps unnecessarily, fragmented the research field. Scholars today tend to focus on just one or two aspects of medieval accountability, such as fiscal or administrative, examining it either from a top-down or bottom-up perspective.</w:t>
      </w:r>
      <w:r w:rsidRPr="00B642CB">
        <w:rPr>
          <w:rStyle w:val="FootnoteReference"/>
          <w:rFonts w:ascii="Cambria" w:hAnsi="Cambria"/>
          <w:bCs/>
          <w:sz w:val="22"/>
          <w:szCs w:val="22"/>
        </w:rPr>
        <w:footnoteReference w:id="15"/>
      </w:r>
    </w:p>
    <w:p w14:paraId="0DFD70E3"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rPr>
      </w:pPr>
      <w:r w:rsidRPr="00B642CB">
        <w:rPr>
          <w:rFonts w:ascii="Cambria" w:hAnsi="Cambria"/>
          <w:bCs/>
          <w:sz w:val="22"/>
          <w:szCs w:val="22"/>
        </w:rPr>
        <w:t>I argue that it is precisely this (over)-specialisation that has impeded current efforts to define medieval accountability. If we consider the various specialised and focused studies published in recent years simultaneously, it quickly becomes apparent that medieval accountability was a context-bound phenomenon with multiple dimensions, directions, and socially diverse advocates.</w:t>
      </w:r>
      <w:r w:rsidRPr="00B642CB">
        <w:rPr>
          <w:rStyle w:val="FootnoteReference"/>
          <w:rFonts w:ascii="Cambria" w:hAnsi="Cambria"/>
          <w:bCs/>
          <w:sz w:val="22"/>
          <w:szCs w:val="22"/>
        </w:rPr>
        <w:footnoteReference w:id="16"/>
      </w:r>
      <w:r w:rsidRPr="00B642CB">
        <w:rPr>
          <w:rFonts w:ascii="Cambria" w:hAnsi="Cambria"/>
          <w:bCs/>
          <w:sz w:val="22"/>
          <w:szCs w:val="22"/>
        </w:rPr>
        <w:t xml:space="preserve"> It needs to be studied comprehensively,  and in this article, I seek to develop a research design that bridges top-down and bottom-up perspectives, while also addressing a significant gap in current scholarship. In fact, as stressed by Martín Romera and Ziegler in 2021: ‘the vocabulary of accountability has barely been explored.’</w:t>
      </w:r>
      <w:r w:rsidRPr="00B642CB">
        <w:rPr>
          <w:rStyle w:val="FootnoteReference"/>
          <w:rFonts w:ascii="Cambria" w:hAnsi="Cambria"/>
          <w:bCs/>
          <w:sz w:val="22"/>
          <w:szCs w:val="22"/>
        </w:rPr>
        <w:footnoteReference w:id="17"/>
      </w:r>
      <w:r w:rsidRPr="00B642CB">
        <w:rPr>
          <w:rFonts w:ascii="Cambria" w:hAnsi="Cambria"/>
          <w:bCs/>
          <w:sz w:val="22"/>
          <w:szCs w:val="22"/>
        </w:rPr>
        <w:t xml:space="preserve"> The following analyses the words and phrases used by rulers, high-ranking officers, local governors, as well as socially diverse subjects to discuss various processes and procedures of accountability through the fifteenth-century and across different source-types and contexts. By means of this framework, </w:t>
      </w:r>
      <w:r w:rsidRPr="00B642CB">
        <w:rPr>
          <w:rFonts w:ascii="Cambria" w:hAnsi="Cambria"/>
          <w:bCs/>
          <w:sz w:val="22"/>
          <w:szCs w:val="22"/>
        </w:rPr>
        <w:lastRenderedPageBreak/>
        <w:t>the article more precisely discovers the contemporary meanings of medieval accountability.</w:t>
      </w:r>
      <w:r w:rsidRPr="00B642CB">
        <w:rPr>
          <w:rStyle w:val="FootnoteReference"/>
          <w:rFonts w:ascii="Cambria" w:hAnsi="Cambria"/>
          <w:bCs/>
          <w:sz w:val="22"/>
          <w:szCs w:val="22"/>
        </w:rPr>
        <w:footnoteReference w:id="18"/>
      </w:r>
      <w:r w:rsidRPr="00B642CB">
        <w:rPr>
          <w:rFonts w:ascii="Cambria" w:hAnsi="Cambria"/>
          <w:bCs/>
          <w:sz w:val="22"/>
          <w:szCs w:val="22"/>
        </w:rPr>
        <w:t xml:space="preserve"> While the concept itself is abstract and modern, the belief in the responsibility, answerability, and liability of governors and officers was discussed in the later Middle Ages by socially diverse groups in a clear, omnidirectional, and omnipresent accountable language. But before we can turn towards this medieval language of accountability, we first have to contextualise this study.</w:t>
      </w:r>
    </w:p>
    <w:p w14:paraId="4EE07A13" w14:textId="77777777" w:rsidR="00B642CB" w:rsidRPr="00B642CB" w:rsidRDefault="00B642CB" w:rsidP="00B642CB">
      <w:pPr>
        <w:pStyle w:val="Heading1"/>
        <w:spacing w:line="276" w:lineRule="auto"/>
        <w:jc w:val="both"/>
        <w:rPr>
          <w:rFonts w:ascii="Cambria" w:hAnsi="Cambria"/>
          <w:b w:val="0"/>
          <w:sz w:val="22"/>
          <w:szCs w:val="22"/>
        </w:rPr>
      </w:pPr>
      <w:r w:rsidRPr="00B642CB">
        <w:rPr>
          <w:rFonts w:ascii="Cambria" w:hAnsi="Cambria"/>
          <w:b w:val="0"/>
          <w:sz w:val="22"/>
          <w:szCs w:val="22"/>
        </w:rPr>
        <w:t xml:space="preserve">Negotiating Politics in Fifteenth-Century Flanders </w:t>
      </w:r>
    </w:p>
    <w:p w14:paraId="14B7FAEE" w14:textId="77777777" w:rsidR="00B642CB" w:rsidRPr="00B642CB" w:rsidRDefault="00B642CB" w:rsidP="00B642CB">
      <w:pPr>
        <w:spacing w:line="276" w:lineRule="auto"/>
        <w:jc w:val="both"/>
        <w:rPr>
          <w:rFonts w:ascii="Cambria" w:hAnsi="Cambria"/>
          <w:bCs/>
          <w:sz w:val="22"/>
          <w:szCs w:val="22"/>
          <w:highlight w:val="white"/>
        </w:rPr>
      </w:pPr>
      <w:r w:rsidRPr="00B642CB">
        <w:rPr>
          <w:rFonts w:ascii="Cambria" w:hAnsi="Cambria"/>
          <w:bCs/>
          <w:sz w:val="22"/>
          <w:szCs w:val="22"/>
        </w:rPr>
        <w:t xml:space="preserve">This article focuses on the fifteenth-century county of Flanders, an intriguing yet under-investigated case study in accountability studies. </w:t>
      </w:r>
      <w:r w:rsidRPr="00B642CB">
        <w:rPr>
          <w:rFonts w:ascii="Cambria" w:hAnsi="Cambria"/>
          <w:bCs/>
          <w:sz w:val="22"/>
          <w:szCs w:val="22"/>
          <w:highlight w:val="white"/>
        </w:rPr>
        <w:t>Situated in the heart of Northern Europe, Flanders was an influential and prosperous region.</w:t>
      </w:r>
      <w:r w:rsidRPr="00B642CB">
        <w:rPr>
          <w:rFonts w:ascii="Cambria" w:hAnsi="Cambria"/>
          <w:bCs/>
          <w:sz w:val="22"/>
          <w:szCs w:val="22"/>
        </w:rPr>
        <w:t xml:space="preserve"> </w:t>
      </w:r>
      <w:r w:rsidRPr="00B642CB">
        <w:rPr>
          <w:rFonts w:ascii="Cambria" w:hAnsi="Cambria"/>
          <w:bCs/>
          <w:sz w:val="22"/>
          <w:szCs w:val="22"/>
          <w:highlight w:val="white"/>
        </w:rPr>
        <w:t>Scholars agree that the counts, jurists, urban governors, and craft guilds were the most influential driving forces behind the county’s fifteenth-century political transformations</w:t>
      </w:r>
      <w:r w:rsidRPr="00B642CB">
        <w:rPr>
          <w:rFonts w:ascii="Cambria" w:hAnsi="Cambria"/>
          <w:bCs/>
          <w:sz w:val="22"/>
          <w:szCs w:val="22"/>
        </w:rPr>
        <w:t>.</w:t>
      </w:r>
      <w:r w:rsidRPr="00B642CB">
        <w:rPr>
          <w:rStyle w:val="FootnoteReference"/>
          <w:rFonts w:ascii="Cambria" w:hAnsi="Cambria"/>
          <w:bCs/>
          <w:sz w:val="22"/>
          <w:szCs w:val="22"/>
          <w:highlight w:val="white"/>
        </w:rPr>
        <w:footnoteReference w:id="19"/>
      </w:r>
      <w:r w:rsidRPr="00B642CB">
        <w:rPr>
          <w:rFonts w:ascii="Cambria" w:hAnsi="Cambria"/>
          <w:bCs/>
          <w:sz w:val="22"/>
          <w:szCs w:val="22"/>
        </w:rPr>
        <w:t xml:space="preserve"> </w:t>
      </w:r>
      <w:r w:rsidRPr="00B642CB">
        <w:rPr>
          <w:rFonts w:ascii="Cambria" w:hAnsi="Cambria"/>
          <w:bCs/>
          <w:sz w:val="22"/>
          <w:szCs w:val="22"/>
          <w:highlight w:val="white"/>
        </w:rPr>
        <w:t>As a result, these interlocutors form the central focus of our current exploration.</w:t>
      </w:r>
      <w:r w:rsidRPr="00B642CB">
        <w:rPr>
          <w:rFonts w:ascii="Cambria" w:hAnsi="Cambria"/>
          <w:bCs/>
          <w:sz w:val="22"/>
          <w:szCs w:val="22"/>
        </w:rPr>
        <w:t xml:space="preserve"> Starting at the top, </w:t>
      </w:r>
      <w:r w:rsidRPr="00B642CB">
        <w:rPr>
          <w:rFonts w:ascii="Cambria" w:hAnsi="Cambria"/>
          <w:bCs/>
          <w:sz w:val="22"/>
          <w:szCs w:val="22"/>
          <w:highlight w:val="white"/>
        </w:rPr>
        <w:t>the title of Count of Flanders was held by the Dukes of Burgundy during the fifteenth century.</w:t>
      </w:r>
      <w:r w:rsidRPr="00B642CB">
        <w:rPr>
          <w:rFonts w:ascii="Cambria" w:hAnsi="Cambria"/>
          <w:bCs/>
          <w:sz w:val="22"/>
          <w:szCs w:val="22"/>
        </w:rPr>
        <w:t xml:space="preserve"> </w:t>
      </w:r>
      <w:r w:rsidRPr="00B642CB">
        <w:rPr>
          <w:rFonts w:ascii="Cambria" w:hAnsi="Cambria"/>
          <w:bCs/>
          <w:sz w:val="22"/>
          <w:szCs w:val="22"/>
          <w:highlight w:val="white"/>
        </w:rPr>
        <w:t>In 1369 the heiress of Flanders, Margaret III (1350-1405), had married the Burgundian duke, Philip the Bold (1342-1404)</w:t>
      </w:r>
      <w:r w:rsidRPr="00B642CB">
        <w:rPr>
          <w:rFonts w:ascii="Cambria" w:hAnsi="Cambria"/>
          <w:bCs/>
          <w:sz w:val="22"/>
          <w:szCs w:val="22"/>
        </w:rPr>
        <w:t>.</w:t>
      </w:r>
      <w:r w:rsidRPr="00B642CB">
        <w:rPr>
          <w:rStyle w:val="FootnoteReference"/>
          <w:rFonts w:ascii="Cambria" w:hAnsi="Cambria"/>
          <w:bCs/>
          <w:sz w:val="22"/>
          <w:szCs w:val="22"/>
        </w:rPr>
        <w:footnoteReference w:id="20"/>
      </w:r>
      <w:r w:rsidRPr="00B642CB">
        <w:rPr>
          <w:rFonts w:ascii="Cambria" w:hAnsi="Cambria"/>
          <w:bCs/>
          <w:sz w:val="22"/>
          <w:szCs w:val="22"/>
        </w:rPr>
        <w:t xml:space="preserve"> Four successive dukes of Burgundy governed Flanders as counts before the title gradually passed to the Habsburg dynasty, beginning with Philip the Fair (1478-1506) and the later Holy Roman Emperor Charles V (1500-1558), the son and grandson of Mary of Burgundy (1457-82).</w:t>
      </w:r>
      <w:r w:rsidRPr="00B642CB">
        <w:rPr>
          <w:rStyle w:val="FootnoteReference"/>
          <w:rFonts w:ascii="Cambria" w:hAnsi="Cambria"/>
          <w:bCs/>
          <w:sz w:val="22"/>
          <w:szCs w:val="22"/>
        </w:rPr>
        <w:footnoteReference w:id="21"/>
      </w:r>
    </w:p>
    <w:p w14:paraId="71222FA2" w14:textId="77777777" w:rsidR="00B642CB" w:rsidRPr="00B642CB" w:rsidRDefault="00B642CB" w:rsidP="00B642CB">
      <w:pPr>
        <w:spacing w:line="276" w:lineRule="auto"/>
        <w:ind w:firstLine="708"/>
        <w:jc w:val="both"/>
        <w:rPr>
          <w:rFonts w:ascii="Cambria" w:hAnsi="Cambria"/>
          <w:bCs/>
          <w:sz w:val="22"/>
          <w:szCs w:val="22"/>
        </w:rPr>
      </w:pPr>
      <w:r w:rsidRPr="00B642CB">
        <w:rPr>
          <w:rFonts w:ascii="Cambria" w:hAnsi="Cambria"/>
          <w:bCs/>
          <w:sz w:val="22"/>
          <w:szCs w:val="22"/>
          <w:highlight w:val="white"/>
        </w:rPr>
        <w:t xml:space="preserve">The Dukes of Burgundy also succeeded in extending their authority over an impressive list of counties, duchies and lordships besides the county of Flanders, covering almost the entire Low Countries and </w:t>
      </w:r>
      <w:r w:rsidRPr="00B642CB">
        <w:rPr>
          <w:rFonts w:ascii="Cambria" w:hAnsi="Cambria"/>
          <w:bCs/>
          <w:sz w:val="22"/>
          <w:szCs w:val="22"/>
        </w:rPr>
        <w:t>Franche-Comté in eastern France. This expansion of their territories, material wealth, and networks greatly increased the political authority of the dukes</w:t>
      </w:r>
      <w:r w:rsidRPr="00B642CB">
        <w:rPr>
          <w:rFonts w:ascii="Cambria" w:hAnsi="Cambria"/>
          <w:bCs/>
          <w:sz w:val="22"/>
          <w:szCs w:val="22"/>
          <w:highlight w:val="white"/>
        </w:rPr>
        <w:t>.</w:t>
      </w:r>
      <w:r w:rsidRPr="00B642CB">
        <w:rPr>
          <w:rFonts w:ascii="Cambria" w:hAnsi="Cambria"/>
          <w:bCs/>
          <w:sz w:val="22"/>
          <w:szCs w:val="22"/>
        </w:rPr>
        <w:t xml:space="preserve"> </w:t>
      </w:r>
      <w:r w:rsidRPr="00B642CB">
        <w:rPr>
          <w:rFonts w:ascii="Cambria" w:hAnsi="Cambria"/>
          <w:bCs/>
          <w:sz w:val="22"/>
          <w:szCs w:val="22"/>
          <w:highlight w:val="white"/>
        </w:rPr>
        <w:t xml:space="preserve">On an international level, they played an important role within the histories of such diverse regions as the Kingdoms of France, England, Castile and </w:t>
      </w:r>
      <w:r w:rsidRPr="00B642CB">
        <w:rPr>
          <w:rFonts w:ascii="Cambria" w:hAnsi="Cambria"/>
          <w:bCs/>
          <w:sz w:val="22"/>
          <w:szCs w:val="22"/>
        </w:rPr>
        <w:t>León, and</w:t>
      </w:r>
      <w:r w:rsidRPr="00B642CB">
        <w:rPr>
          <w:rFonts w:ascii="Cambria" w:hAnsi="Cambria"/>
          <w:bCs/>
          <w:sz w:val="22"/>
          <w:szCs w:val="22"/>
          <w:highlight w:val="white"/>
        </w:rPr>
        <w:t xml:space="preserve"> the Holy Roman Empire.</w:t>
      </w:r>
      <w:r w:rsidRPr="00B642CB">
        <w:rPr>
          <w:rFonts w:ascii="Cambria" w:hAnsi="Cambria"/>
          <w:bCs/>
          <w:sz w:val="22"/>
          <w:szCs w:val="22"/>
        </w:rPr>
        <w:t xml:space="preserve"> </w:t>
      </w:r>
      <w:r w:rsidRPr="00B642CB">
        <w:rPr>
          <w:rFonts w:ascii="Cambria" w:hAnsi="Cambria"/>
          <w:bCs/>
          <w:sz w:val="22"/>
          <w:szCs w:val="22"/>
          <w:highlight w:val="white"/>
        </w:rPr>
        <w:t>Within the Low Countries, they gradually succeeded in developing a more centralised government, with its own regional and interregional courts and Chambers of Accounts. But the dukes were far from omnipotent.</w:t>
      </w:r>
      <w:r w:rsidRPr="00B642CB">
        <w:rPr>
          <w:rFonts w:ascii="Cambria" w:hAnsi="Cambria"/>
          <w:bCs/>
          <w:sz w:val="22"/>
          <w:szCs w:val="22"/>
        </w:rPr>
        <w:t xml:space="preserve"> </w:t>
      </w:r>
      <w:r w:rsidRPr="00B642CB">
        <w:rPr>
          <w:rFonts w:ascii="Cambria" w:hAnsi="Cambria"/>
          <w:bCs/>
          <w:sz w:val="22"/>
          <w:szCs w:val="22"/>
          <w:highlight w:val="white"/>
        </w:rPr>
        <w:t>Their rule and its key developments were only made possible through constant negotiations with their subjects.</w:t>
      </w:r>
      <w:r w:rsidRPr="00B642CB">
        <w:rPr>
          <w:rStyle w:val="FootnoteReference"/>
          <w:rFonts w:ascii="Cambria" w:hAnsi="Cambria"/>
          <w:bCs/>
          <w:sz w:val="22"/>
          <w:szCs w:val="22"/>
        </w:rPr>
        <w:footnoteReference w:id="22"/>
      </w:r>
    </w:p>
    <w:p w14:paraId="478A5C60" w14:textId="77777777" w:rsidR="00B642CB" w:rsidRPr="00B642CB" w:rsidRDefault="00B642CB" w:rsidP="00B642CB">
      <w:pPr>
        <w:spacing w:line="276" w:lineRule="auto"/>
        <w:ind w:firstLine="708"/>
        <w:jc w:val="both"/>
        <w:rPr>
          <w:rFonts w:ascii="Cambria" w:hAnsi="Cambria"/>
          <w:bCs/>
          <w:sz w:val="22"/>
          <w:szCs w:val="22"/>
        </w:rPr>
      </w:pPr>
      <w:r w:rsidRPr="00B642CB">
        <w:rPr>
          <w:rFonts w:ascii="Cambria" w:hAnsi="Cambria"/>
          <w:bCs/>
          <w:sz w:val="22"/>
          <w:szCs w:val="22"/>
          <w:highlight w:val="white"/>
        </w:rPr>
        <w:lastRenderedPageBreak/>
        <w:t>Like other fifteenth-century European rulers, the Dukes of Burgundy, first of all, strongly relied on the counsel of the nobility, learned officials, and increasingly, jurists.</w:t>
      </w:r>
      <w:r w:rsidRPr="00B642CB">
        <w:rPr>
          <w:rStyle w:val="FootnoteReference"/>
          <w:rFonts w:ascii="Cambria" w:hAnsi="Cambria"/>
          <w:bCs/>
          <w:sz w:val="22"/>
          <w:szCs w:val="22"/>
          <w:highlight w:val="white"/>
        </w:rPr>
        <w:footnoteReference w:id="23"/>
      </w:r>
      <w:r w:rsidRPr="00B642CB">
        <w:rPr>
          <w:rFonts w:ascii="Cambria" w:hAnsi="Cambria"/>
          <w:bCs/>
          <w:sz w:val="22"/>
          <w:szCs w:val="22"/>
        </w:rPr>
        <w:t xml:space="preserve"> Two prominent Flemish jurists, Jan van den Berghe (c. 1375-1439) and Philip Wielant (c. 1441-1520), lent considerable support to the Burgundian dukes and held significant political and judicial offices throughout their careers. Van den Berghe served as a councillor to the Burgundian Dukes John the Fearless (1371-1419) and Philip the Good (1396-1467), repeatedly held the office of alderman and mayor of the Liberty of Bruges that is, the rural district surrounding the city was a member of the Council of Flanders—the county’s central court of appeal—and regularly acted as bailiff</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24"/>
      </w:r>
      <w:r w:rsidRPr="00B642CB">
        <w:rPr>
          <w:rFonts w:ascii="Cambria" w:hAnsi="Cambria"/>
          <w:bCs/>
          <w:sz w:val="22"/>
          <w:szCs w:val="22"/>
        </w:rPr>
        <w:t xml:space="preserve"> Wielant, in turn, was a councillor to the Burgundian duke Charles the Bold (1433-77), Mary of Burgundy, Philip the Fair, and Charles V. He also served as an alderman and receiver-general of the Liberty of Bruges and was appointed as a councillor of the Great Council of the Burgundian Low Countries—the central court of appeals for the entire region.</w:t>
      </w:r>
      <w:r w:rsidRPr="00B642CB">
        <w:rPr>
          <w:rStyle w:val="FootnoteReference"/>
          <w:rFonts w:ascii="Cambria" w:hAnsi="Cambria"/>
          <w:bCs/>
          <w:sz w:val="22"/>
          <w:szCs w:val="22"/>
          <w:highlight w:val="white"/>
        </w:rPr>
        <w:footnoteReference w:id="25"/>
      </w:r>
      <w:r w:rsidRPr="00B642CB">
        <w:rPr>
          <w:rFonts w:ascii="Cambria" w:hAnsi="Cambria"/>
          <w:sz w:val="22"/>
          <w:szCs w:val="22"/>
        </w:rPr>
        <w:t xml:space="preserve"> </w:t>
      </w:r>
    </w:p>
    <w:p w14:paraId="2206B8E7" w14:textId="77777777" w:rsidR="00B642CB" w:rsidRPr="00B642CB" w:rsidRDefault="00B642CB" w:rsidP="00B642CB">
      <w:pPr>
        <w:spacing w:line="276" w:lineRule="auto"/>
        <w:ind w:firstLine="708"/>
        <w:jc w:val="both"/>
        <w:rPr>
          <w:rFonts w:ascii="Cambria" w:hAnsi="Cambria"/>
          <w:sz w:val="22"/>
          <w:szCs w:val="22"/>
        </w:rPr>
      </w:pPr>
      <w:r w:rsidRPr="00B642CB">
        <w:rPr>
          <w:rFonts w:ascii="Cambria" w:hAnsi="Cambria"/>
          <w:sz w:val="22"/>
          <w:szCs w:val="22"/>
        </w:rPr>
        <w:t>In addition to their impressive political and judicial careers, both Wielant and Van den Berghe were influential political thinkers and literary authors. As Elodie Lecuppre-Desjardin has demonstrated, the political views of the subjects of the Burgundian dukes were far from unequivocal. People held multiple, overlapping identities and did not yet align themselves behind a single man, idea, or vision of government.</w:t>
      </w:r>
      <w:r w:rsidRPr="00B642CB">
        <w:rPr>
          <w:rStyle w:val="FootnoteReference"/>
          <w:rFonts w:ascii="Cambria" w:hAnsi="Cambria"/>
          <w:sz w:val="22"/>
          <w:szCs w:val="22"/>
        </w:rPr>
        <w:footnoteReference w:id="26"/>
      </w:r>
      <w:r w:rsidRPr="00B642CB">
        <w:rPr>
          <w:rFonts w:ascii="Cambria" w:hAnsi="Cambria"/>
          <w:sz w:val="22"/>
          <w:szCs w:val="22"/>
        </w:rPr>
        <w:t xml:space="preserve"> Indeed, while Jan van den Berghe and Wielant were important supporters of the Burgundian dukes, they also lived in urban centres and were connected to various political networks.</w:t>
      </w:r>
      <w:r w:rsidRPr="00B642CB">
        <w:rPr>
          <w:rStyle w:val="FootnoteReference"/>
          <w:rFonts w:ascii="Cambria" w:hAnsi="Cambria"/>
          <w:sz w:val="22"/>
          <w:szCs w:val="22"/>
        </w:rPr>
        <w:footnoteReference w:id="27"/>
      </w:r>
      <w:r w:rsidRPr="00B642CB">
        <w:rPr>
          <w:rFonts w:ascii="Cambria" w:hAnsi="Cambria"/>
          <w:sz w:val="22"/>
          <w:szCs w:val="22"/>
        </w:rPr>
        <w:t xml:space="preserve"> Their attitudes were, moreover, changeable. After supporting the interests of the Burgundian dukes for nearly eighteen years, Wielant, for example, joined the ten-year Flemish resistance against Mary of Burgundy’s widower Maximilian of Austria (1459-1519) in 1482, which sought to establish a more decentralised central government.</w:t>
      </w:r>
      <w:r w:rsidRPr="00B642CB">
        <w:rPr>
          <w:rStyle w:val="FootnoteReference"/>
          <w:rFonts w:ascii="Cambria" w:hAnsi="Cambria"/>
          <w:sz w:val="22"/>
          <w:szCs w:val="22"/>
        </w:rPr>
        <w:footnoteReference w:id="28"/>
      </w:r>
      <w:r w:rsidRPr="00B642CB">
        <w:rPr>
          <w:rFonts w:ascii="Cambria" w:hAnsi="Cambria"/>
          <w:sz w:val="22"/>
          <w:szCs w:val="22"/>
        </w:rPr>
        <w:t xml:space="preserve"> Following this decade of resistance, Wielant once again entered the service of the dukes. The literary works and judicial treatises written by him and Van den Berghe thus form an intriguing source for exploring if and how fifteenth-century Flemish lower noblemen, learned officials, and jurists discussed accountable practices.</w:t>
      </w:r>
      <w:r w:rsidRPr="00B642CB">
        <w:rPr>
          <w:rStyle w:val="FootnoteReference"/>
          <w:rFonts w:ascii="Cambria" w:hAnsi="Cambria"/>
          <w:bCs/>
          <w:sz w:val="22"/>
          <w:szCs w:val="22"/>
          <w:highlight w:val="white"/>
        </w:rPr>
        <w:footnoteReference w:id="29"/>
      </w:r>
    </w:p>
    <w:p w14:paraId="76F02A37" w14:textId="77777777" w:rsidR="00B642CB" w:rsidRPr="00B642CB" w:rsidRDefault="00B642CB" w:rsidP="00B642CB">
      <w:pPr>
        <w:spacing w:line="276" w:lineRule="auto"/>
        <w:ind w:firstLine="708"/>
        <w:jc w:val="both"/>
        <w:rPr>
          <w:rFonts w:ascii="Cambria" w:hAnsi="Cambria"/>
          <w:bCs/>
          <w:sz w:val="22"/>
          <w:szCs w:val="22"/>
        </w:rPr>
      </w:pPr>
      <w:r w:rsidRPr="00B642CB">
        <w:rPr>
          <w:rFonts w:ascii="Cambria" w:hAnsi="Cambria"/>
          <w:bCs/>
          <w:sz w:val="22"/>
          <w:szCs w:val="22"/>
        </w:rPr>
        <w:t xml:space="preserve">Next, political negotiations in the county of Flanders were also significantly influenced by its towns. In effect, Flanders was one of the most urbanised regions of late medieval Europe, and </w:t>
      </w:r>
      <w:r w:rsidRPr="00B642CB">
        <w:rPr>
          <w:rFonts w:ascii="Cambria" w:hAnsi="Cambria"/>
          <w:bCs/>
          <w:sz w:val="22"/>
          <w:szCs w:val="22"/>
        </w:rPr>
        <w:lastRenderedPageBreak/>
        <w:t>as early as the thirteenth century, the county’s most influential cities—Ghent, Bruges, and Ypres—were among the largest in Europe outside of Italy</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30"/>
      </w:r>
      <w:r w:rsidRPr="00B642CB">
        <w:rPr>
          <w:rFonts w:ascii="Cambria" w:hAnsi="Cambria"/>
          <w:bCs/>
          <w:sz w:val="22"/>
          <w:szCs w:val="22"/>
        </w:rPr>
        <w:t xml:space="preserve"> Their economic and demographic growth throughout the late Middle Ages turned Flemish towns into influential political players that frequently negotiated with each other and their counts.</w:t>
      </w:r>
      <w:r w:rsidRPr="00B642CB">
        <w:rPr>
          <w:rStyle w:val="FootnoteReference"/>
          <w:rFonts w:ascii="Cambria" w:hAnsi="Cambria"/>
          <w:bCs/>
          <w:sz w:val="22"/>
          <w:szCs w:val="22"/>
        </w:rPr>
        <w:footnoteReference w:id="31"/>
      </w:r>
      <w:r w:rsidRPr="00B642CB">
        <w:rPr>
          <w:rFonts w:ascii="Cambria" w:hAnsi="Cambria"/>
          <w:bCs/>
          <w:sz w:val="22"/>
          <w:szCs w:val="22"/>
        </w:rPr>
        <w:t xml:space="preserve"> Over time, these negotiations were organised into the representative institution known as the Members of Flanders, which included delegates from Ghent, Bruges, Ypres, and occasionally the Liberty of Bruges.</w:t>
      </w:r>
      <w:r w:rsidRPr="00B642CB">
        <w:rPr>
          <w:rStyle w:val="FootnoteReference"/>
          <w:rFonts w:ascii="Cambria" w:hAnsi="Cambria"/>
          <w:bCs/>
          <w:sz w:val="22"/>
          <w:szCs w:val="22"/>
        </w:rPr>
        <w:footnoteReference w:id="32"/>
      </w:r>
      <w:r w:rsidRPr="00B642CB">
        <w:rPr>
          <w:rFonts w:ascii="Cambria" w:hAnsi="Cambria"/>
          <w:bCs/>
          <w:sz w:val="22"/>
          <w:szCs w:val="22"/>
        </w:rPr>
        <w:t xml:space="preserve"> In addition, Flemish towns were also able to organise their own governments. Initially, urban government was in the hands of a select group of wealthy merchants and landowners. Throughout the late Middle Ages their political monopoly was, however, increasingly questioned by other citizens. Besides the governing elite, we can divide the urban population, at the risk of oversimplification, into two further political groups: the middling sort of people and the lower social strata, which included wage workers and unskilled labourers</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33"/>
      </w:r>
      <w:r w:rsidRPr="00B642CB">
        <w:rPr>
          <w:rFonts w:ascii="Cambria" w:hAnsi="Cambria"/>
          <w:bCs/>
          <w:sz w:val="22"/>
          <w:szCs w:val="22"/>
        </w:rPr>
        <w:t xml:space="preserve"> </w:t>
      </w:r>
    </w:p>
    <w:p w14:paraId="769077F0" w14:textId="77777777" w:rsidR="00B642CB" w:rsidRPr="00B642CB" w:rsidRDefault="00B642CB" w:rsidP="00B642CB">
      <w:pPr>
        <w:spacing w:line="276" w:lineRule="auto"/>
        <w:ind w:firstLine="708"/>
        <w:jc w:val="both"/>
        <w:rPr>
          <w:rFonts w:ascii="Cambria" w:hAnsi="Cambria"/>
          <w:bCs/>
          <w:sz w:val="22"/>
          <w:szCs w:val="22"/>
        </w:rPr>
      </w:pPr>
      <w:r w:rsidRPr="00B642CB">
        <w:rPr>
          <w:rFonts w:ascii="Cambria" w:hAnsi="Cambria"/>
          <w:bCs/>
          <w:sz w:val="22"/>
          <w:szCs w:val="22"/>
        </w:rPr>
        <w:t>After years of struggle and a wave of political contention between 1280 and 1300, the middling sort, represented by the craft guilds, succeeded in gaining political representation</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34"/>
      </w:r>
      <w:r w:rsidRPr="00B642CB">
        <w:rPr>
          <w:rFonts w:ascii="Cambria" w:hAnsi="Cambria"/>
          <w:bCs/>
          <w:sz w:val="22"/>
          <w:szCs w:val="22"/>
        </w:rPr>
        <w:t xml:space="preserve"> Craft guilds can be loosely defined as associations of people with the same occupation. Sanctioned by urban governments, they were typically granted privileges that allowed them to organise leadership, control their members, and exercise limited jurisdiction over specific skills or materials</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35"/>
      </w:r>
      <w:r w:rsidRPr="00B642CB">
        <w:rPr>
          <w:rFonts w:ascii="Cambria" w:hAnsi="Cambria"/>
          <w:bCs/>
          <w:sz w:val="22"/>
          <w:szCs w:val="22"/>
          <w:highlight w:val="white"/>
        </w:rPr>
        <w:t xml:space="preserve"> </w:t>
      </w:r>
      <w:r w:rsidRPr="00B642CB">
        <w:rPr>
          <w:rFonts w:ascii="Cambria" w:hAnsi="Cambria"/>
          <w:bCs/>
          <w:sz w:val="22"/>
          <w:szCs w:val="22"/>
        </w:rPr>
        <w:t>In general, craft leadership was exercised by wealthier masters or prosperous craftsmen, who represented the interests of poorer journeymen and subcontracting masters</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36"/>
      </w:r>
      <w:r w:rsidRPr="00B642CB">
        <w:rPr>
          <w:rFonts w:ascii="Cambria" w:hAnsi="Cambria"/>
          <w:bCs/>
          <w:sz w:val="22"/>
          <w:szCs w:val="22"/>
        </w:rPr>
        <w:t xml:space="preserve"> An example of such a more affluent and influential craftsman is Anthonis De Roovere (c. 1430-82). Born into a family of Bruges craftsmen, De Roovere was both a stonemason and one of the most notable Flemish literary authors of the late medieval period. As such, he collaborated with the highest echelons of the Burgundian court, even helping to organise the celebrations for Charles the Bold’s marriage</w:t>
      </w:r>
      <w:r w:rsidRPr="00B642CB">
        <w:rPr>
          <w:rFonts w:ascii="Cambria" w:hAnsi="Cambria"/>
          <w:bCs/>
          <w:sz w:val="22"/>
          <w:szCs w:val="22"/>
          <w:highlight w:val="white"/>
        </w:rPr>
        <w:t>.</w:t>
      </w:r>
      <w:r w:rsidRPr="00B642CB">
        <w:rPr>
          <w:rStyle w:val="FootnoteReference"/>
          <w:rFonts w:ascii="Cambria" w:hAnsi="Cambria"/>
          <w:bCs/>
          <w:sz w:val="22"/>
          <w:szCs w:val="22"/>
        </w:rPr>
        <w:footnoteReference w:id="37"/>
      </w:r>
      <w:r w:rsidRPr="00B642CB">
        <w:rPr>
          <w:rFonts w:ascii="Cambria" w:hAnsi="Cambria"/>
          <w:bCs/>
          <w:sz w:val="22"/>
          <w:szCs w:val="22"/>
        </w:rPr>
        <w:t xml:space="preserve"> Besides their involvement in urban government, which was far from permanent throughout the late Middle Ages, craft guilds influenced politics by voicing their </w:t>
      </w:r>
      <w:r w:rsidRPr="00B642CB">
        <w:rPr>
          <w:rFonts w:ascii="Cambria" w:hAnsi="Cambria"/>
          <w:bCs/>
          <w:sz w:val="22"/>
          <w:szCs w:val="22"/>
        </w:rPr>
        <w:lastRenderedPageBreak/>
        <w:t>opinions, forming ever-changing alliances, or submitting petitions.</w:t>
      </w:r>
      <w:r w:rsidRPr="00B642CB">
        <w:rPr>
          <w:rStyle w:val="FootnoteReference"/>
          <w:rFonts w:ascii="Cambria" w:hAnsi="Cambria"/>
          <w:bCs/>
          <w:sz w:val="22"/>
          <w:szCs w:val="22"/>
          <w:highlight w:val="white"/>
        </w:rPr>
        <w:footnoteReference w:id="38"/>
      </w:r>
      <w:r w:rsidRPr="00B642CB">
        <w:rPr>
          <w:rFonts w:ascii="Cambria" w:hAnsi="Cambria"/>
          <w:bCs/>
          <w:sz w:val="22"/>
          <w:szCs w:val="22"/>
          <w:highlight w:val="white"/>
        </w:rPr>
        <w:t xml:space="preserve"> What did these craft guilds, the Counts of Flanders, jurists, and urban elites have to say about accountability?</w:t>
      </w:r>
    </w:p>
    <w:p w14:paraId="1F562B0D" w14:textId="77777777" w:rsidR="00B642CB" w:rsidRPr="00B642CB" w:rsidRDefault="00B642CB" w:rsidP="00B642CB">
      <w:pPr>
        <w:pStyle w:val="Heading1"/>
        <w:spacing w:line="276" w:lineRule="auto"/>
        <w:jc w:val="both"/>
        <w:rPr>
          <w:rFonts w:ascii="Cambria" w:hAnsi="Cambria"/>
          <w:b w:val="0"/>
          <w:sz w:val="22"/>
          <w:szCs w:val="22"/>
        </w:rPr>
      </w:pPr>
      <w:r w:rsidRPr="00B642CB">
        <w:rPr>
          <w:rFonts w:ascii="Cambria" w:hAnsi="Cambria"/>
          <w:b w:val="0"/>
          <w:sz w:val="22"/>
          <w:szCs w:val="22"/>
        </w:rPr>
        <w:t xml:space="preserve">Sources and Methodology </w:t>
      </w:r>
    </w:p>
    <w:p w14:paraId="47BE44C0" w14:textId="77777777" w:rsidR="00B642CB" w:rsidRPr="00B642CB" w:rsidRDefault="00B642CB" w:rsidP="00B642CB">
      <w:pPr>
        <w:spacing w:line="276" w:lineRule="auto"/>
        <w:jc w:val="both"/>
        <w:rPr>
          <w:rFonts w:ascii="Cambria" w:hAnsi="Cambria"/>
          <w:bCs/>
          <w:sz w:val="22"/>
          <w:szCs w:val="22"/>
        </w:rPr>
      </w:pPr>
      <w:r w:rsidRPr="00B642CB">
        <w:rPr>
          <w:rFonts w:ascii="Cambria" w:hAnsi="Cambria"/>
          <w:bCs/>
          <w:sz w:val="22"/>
          <w:szCs w:val="22"/>
        </w:rPr>
        <w:t>To address this question, I propose an innovative and comprehensive exploration of a diverse range of source-types from the period between 1400 and 1520, summarised in Appendix 1. These sources were written within the court of the Burgundian Dukes, courtrooms, town halls, and the houses of craft guilds. More specifically, I will examine literary works, political treatises, poems, and chronicles authored by Jan van den Berghe, Philip Wielant, and Anthonis De Roovere; privileges and remission letters issued by the Counts of Flanders; urban ordinances; an instruction for the Council of Flanders; letters written by Flemish noblemen and urban elites; petitions drafted by craft guilds; fragments of city accounts; and verdicts and administrative documents from Flanders’ Chamber of Accounts and the Great Council of the Burgundian Low Countries.</w:t>
      </w:r>
      <w:r w:rsidRPr="00B642CB">
        <w:rPr>
          <w:rStyle w:val="FootnoteReference"/>
          <w:rFonts w:ascii="Cambria" w:hAnsi="Cambria"/>
          <w:bCs/>
          <w:sz w:val="22"/>
          <w:szCs w:val="22"/>
        </w:rPr>
        <w:footnoteReference w:id="39"/>
      </w:r>
      <w:r w:rsidRPr="00B642CB">
        <w:rPr>
          <w:rFonts w:ascii="Cambria" w:hAnsi="Cambria"/>
          <w:bCs/>
          <w:sz w:val="22"/>
          <w:szCs w:val="22"/>
        </w:rPr>
        <w:t xml:space="preserve"> The simultaneous study of such a diverse range of source-types should not cause undue concern. Integrating multiple sources has, after all, already proven beneficial in accountability studies.</w:t>
      </w:r>
      <w:r w:rsidRPr="00B642CB">
        <w:rPr>
          <w:rStyle w:val="FootnoteReference"/>
          <w:rFonts w:ascii="Cambria" w:hAnsi="Cambria"/>
          <w:bCs/>
          <w:sz w:val="22"/>
          <w:szCs w:val="22"/>
        </w:rPr>
        <w:footnoteReference w:id="40"/>
      </w:r>
      <w:r w:rsidRPr="00B642CB">
        <w:rPr>
          <w:rFonts w:ascii="Cambria" w:hAnsi="Cambria"/>
          <w:bCs/>
          <w:sz w:val="22"/>
          <w:szCs w:val="22"/>
        </w:rPr>
        <w:t xml:space="preserve"> Moreover, it was modern scholars, not medieval writers, who imposed boundaries between different types of sources and genres. In the late medieval period, literary texts could unproblematically be historic, didactic, poetic, juridical, urban, or courtly and could easily contain (fragments of) privileges, laws or other types of sources.</w:t>
      </w:r>
      <w:r w:rsidRPr="00B642CB">
        <w:rPr>
          <w:rStyle w:val="FootnoteReference"/>
          <w:rFonts w:ascii="Cambria" w:hAnsi="Cambria"/>
          <w:bCs/>
          <w:sz w:val="22"/>
          <w:szCs w:val="22"/>
        </w:rPr>
        <w:footnoteReference w:id="41"/>
      </w:r>
      <w:r w:rsidRPr="00B642CB">
        <w:rPr>
          <w:rFonts w:ascii="Cambria" w:hAnsi="Cambria"/>
          <w:bCs/>
          <w:sz w:val="22"/>
          <w:szCs w:val="22"/>
        </w:rPr>
        <w:t xml:space="preserve"> </w:t>
      </w:r>
      <w:r w:rsidRPr="00B642CB">
        <w:rPr>
          <w:rFonts w:ascii="Cambria" w:hAnsi="Cambria"/>
          <w:bCs/>
          <w:sz w:val="22"/>
          <w:szCs w:val="22"/>
          <w:lang w:val="en-US"/>
        </w:rPr>
        <w:t xml:space="preserve">A case in point is Philip Wielant’s </w:t>
      </w:r>
      <w:r w:rsidRPr="00B642CB">
        <w:rPr>
          <w:rFonts w:ascii="Cambria" w:hAnsi="Cambria"/>
          <w:bCs/>
          <w:i/>
          <w:iCs/>
          <w:sz w:val="22"/>
          <w:szCs w:val="22"/>
          <w:lang w:val="en-US"/>
        </w:rPr>
        <w:t>Recueil des antiquités de Flandre</w:t>
      </w:r>
      <w:r w:rsidRPr="00B642CB">
        <w:rPr>
          <w:rFonts w:ascii="Cambria" w:hAnsi="Cambria"/>
          <w:bCs/>
          <w:sz w:val="22"/>
          <w:szCs w:val="22"/>
          <w:lang w:val="en-US"/>
        </w:rPr>
        <w:t xml:space="preserve"> (written between </w:t>
      </w:r>
      <w:r w:rsidRPr="00B642CB">
        <w:rPr>
          <w:rFonts w:ascii="Cambria" w:hAnsi="Cambria"/>
          <w:bCs/>
          <w:sz w:val="22"/>
          <w:szCs w:val="22"/>
        </w:rPr>
        <w:t>c. 1498-1520), which is primarily a political treatise on the history of the county of Flanders but also encompasses didactic passages and fragments of various privileges, urban ordinances, petitions, oaths, multiple chronicles, and more.</w:t>
      </w:r>
      <w:r w:rsidRPr="00B642CB">
        <w:rPr>
          <w:rStyle w:val="FootnoteReference"/>
          <w:rFonts w:ascii="Cambria" w:hAnsi="Cambria"/>
          <w:bCs/>
          <w:sz w:val="22"/>
          <w:szCs w:val="22"/>
        </w:rPr>
        <w:footnoteReference w:id="42"/>
      </w:r>
      <w:r w:rsidRPr="00B642CB">
        <w:rPr>
          <w:rFonts w:ascii="Cambria" w:hAnsi="Cambria"/>
          <w:bCs/>
          <w:sz w:val="22"/>
          <w:szCs w:val="22"/>
        </w:rPr>
        <w:t xml:space="preserve"> </w:t>
      </w:r>
    </w:p>
    <w:p w14:paraId="696047F9" w14:textId="77777777" w:rsidR="00B642CB" w:rsidRPr="00B642CB" w:rsidRDefault="00B642CB" w:rsidP="00B642CB">
      <w:pPr>
        <w:spacing w:line="276" w:lineRule="auto"/>
        <w:jc w:val="both"/>
        <w:rPr>
          <w:rFonts w:ascii="Cambria" w:hAnsi="Cambria"/>
          <w:bCs/>
          <w:color w:val="FF0000"/>
          <w:sz w:val="22"/>
          <w:szCs w:val="22"/>
        </w:rPr>
      </w:pPr>
      <w:r w:rsidRPr="00B642CB">
        <w:rPr>
          <w:rFonts w:ascii="Cambria" w:hAnsi="Cambria"/>
          <w:bCs/>
          <w:sz w:val="22"/>
          <w:szCs w:val="22"/>
        </w:rPr>
        <w:tab/>
        <w:t>To study the discursive registers surrounding various processes and procedures of medieval accountability, I have combined Critical Discourse Analysis with digital text analysis. In the first phase, I entered the investigated sources into MAXQDA, a database software for the analysis of qualitative data. I then conducted a Critical Discourse Analysis, examining the discourses used by the sources within their political, social, and discursive contexts.</w:t>
      </w:r>
      <w:r w:rsidRPr="00B642CB">
        <w:rPr>
          <w:rStyle w:val="FootnoteReference"/>
          <w:rFonts w:ascii="Cambria" w:hAnsi="Cambria"/>
          <w:bCs/>
          <w:sz w:val="22"/>
          <w:szCs w:val="22"/>
        </w:rPr>
        <w:footnoteReference w:id="43"/>
      </w:r>
      <w:r w:rsidRPr="00B642CB">
        <w:rPr>
          <w:rFonts w:ascii="Cambria" w:hAnsi="Cambria"/>
          <w:bCs/>
          <w:sz w:val="22"/>
          <w:szCs w:val="22"/>
        </w:rPr>
        <w:t xml:space="preserve"> Throughout this second phase of research, I also used MAXQDA’s coding tool, which allows researchers to mark all phrases, wording, or fragments that discuss a specific topic. For this study, I coded and later retrieved all fragments, sentences, and words that discussed the responsibility of governors and officers, their answerability, procedures for the monitoring thereof, inquiries, corruption </w:t>
      </w:r>
      <w:r w:rsidRPr="00B642CB">
        <w:rPr>
          <w:rFonts w:ascii="Cambria" w:hAnsi="Cambria"/>
          <w:bCs/>
          <w:sz w:val="22"/>
          <w:szCs w:val="22"/>
        </w:rPr>
        <w:lastRenderedPageBreak/>
        <w:t>cases, and liability for misgovernance. In the final phase of research, I used MAXQDA to retrieve all coded utterances, allowing me to explore fifteenth-century discourses on accountability not only within their specific historical contexts but also across diverse contexts, communities, social groups, throughout the entire fifteenth century and from both a bottom-up and top-down perspective.</w:t>
      </w:r>
      <w:r w:rsidRPr="00B642CB">
        <w:rPr>
          <w:rStyle w:val="FootnoteReference"/>
          <w:rFonts w:ascii="Cambria" w:hAnsi="Cambria"/>
          <w:bCs/>
          <w:sz w:val="22"/>
          <w:szCs w:val="22"/>
        </w:rPr>
        <w:footnoteReference w:id="44"/>
      </w:r>
      <w:r w:rsidRPr="00B642CB">
        <w:rPr>
          <w:rFonts w:ascii="Cambria" w:hAnsi="Cambria"/>
          <w:bCs/>
          <w:sz w:val="22"/>
          <w:szCs w:val="22"/>
        </w:rPr>
        <w:t xml:space="preserve"> </w:t>
      </w:r>
    </w:p>
    <w:p w14:paraId="2DB60D93" w14:textId="77777777" w:rsidR="00B642CB" w:rsidRPr="00B642CB" w:rsidRDefault="00B642CB" w:rsidP="00B642CB">
      <w:pPr>
        <w:pStyle w:val="Heading1"/>
        <w:spacing w:line="276" w:lineRule="auto"/>
        <w:rPr>
          <w:rFonts w:ascii="Cambria" w:hAnsi="Cambria"/>
          <w:b w:val="0"/>
          <w:sz w:val="22"/>
          <w:szCs w:val="22"/>
        </w:rPr>
      </w:pPr>
      <w:r w:rsidRPr="00B642CB">
        <w:rPr>
          <w:rFonts w:ascii="Cambria" w:hAnsi="Cambria"/>
          <w:b w:val="0"/>
          <w:sz w:val="22"/>
          <w:szCs w:val="22"/>
        </w:rPr>
        <w:t>Discussing Accountability in Medieval Terms</w:t>
      </w:r>
    </w:p>
    <w:p w14:paraId="3C338C61" w14:textId="77777777" w:rsidR="00B642CB" w:rsidRPr="00B642CB" w:rsidRDefault="00B642CB" w:rsidP="00B642CB">
      <w:pPr>
        <w:spacing w:line="276" w:lineRule="auto"/>
        <w:jc w:val="both"/>
        <w:rPr>
          <w:rFonts w:ascii="Cambria" w:hAnsi="Cambria"/>
          <w:bCs/>
          <w:sz w:val="22"/>
          <w:szCs w:val="22"/>
        </w:rPr>
      </w:pPr>
      <w:r w:rsidRPr="00B642CB">
        <w:rPr>
          <w:rFonts w:ascii="Cambria" w:hAnsi="Cambria"/>
          <w:bCs/>
          <w:sz w:val="22"/>
          <w:szCs w:val="22"/>
        </w:rPr>
        <w:t xml:space="preserve">At no point during the fifteenth century do the investigated sources explicitly mention accountability, but this does not mean that the concept was not discussed. In fact, the Counts of Flanders, jurists, urban elites, and craft guilds almost continuously discussed the responsibility, answerability, and liability of rulers, governors, and officers. They did so by means of a range of concrete and surprisingly consistent keywords and phrases, as summarised in Appendix 2. The counts, jurists, urban elites, and craft guilds emphasised that individual governors and officers were charged upon their ‘conscience’ when they undertook their duties. If they failed to uphold their responsibilities, these individuals risked both their ‘souls’ and their ‘eternal life’. On earth, governors and officers had ‘to give account’ through worldly means and were subject to various investigations designed ‘to inquire’ into their conduct. If this combination of moral and earthly accountability failed to prevent misgovernment, the counts, jurists, urban elites, and craft guilds insisted that the governor or officer in question must be held liable. They had ‘to make amends’ and could be ‘summoned before a court of law’, where they would be ‘judged’ and ‘corrected’. </w:t>
      </w:r>
    </w:p>
    <w:p w14:paraId="209D461F" w14:textId="77777777" w:rsidR="00B642CB" w:rsidRPr="00B642CB" w:rsidRDefault="00B642CB" w:rsidP="00B642CB">
      <w:pPr>
        <w:spacing w:line="276" w:lineRule="auto"/>
        <w:ind w:firstLine="708"/>
        <w:jc w:val="both"/>
        <w:rPr>
          <w:rFonts w:ascii="Cambria" w:hAnsi="Cambria"/>
          <w:bCs/>
          <w:sz w:val="22"/>
          <w:szCs w:val="22"/>
        </w:rPr>
      </w:pPr>
      <w:r w:rsidRPr="00B642CB">
        <w:rPr>
          <w:rFonts w:ascii="Cambria" w:hAnsi="Cambria"/>
          <w:bCs/>
          <w:sz w:val="22"/>
          <w:szCs w:val="22"/>
        </w:rPr>
        <w:t>The above language of accountability was spoken throughout the fifteenth-century. This observation is particularly noteworthy when considering that the political landscape of late medieval Europe became more closed off towards the end of the century and the beginning of the next.</w:t>
      </w:r>
      <w:r w:rsidRPr="00B642CB">
        <w:rPr>
          <w:rStyle w:val="FootnoteReference"/>
          <w:rFonts w:ascii="Cambria" w:hAnsi="Cambria"/>
          <w:bCs/>
          <w:sz w:val="22"/>
          <w:szCs w:val="22"/>
        </w:rPr>
        <w:footnoteReference w:id="45"/>
      </w:r>
      <w:r w:rsidRPr="00B642CB">
        <w:rPr>
          <w:rFonts w:ascii="Cambria" w:hAnsi="Cambria"/>
          <w:bCs/>
          <w:sz w:val="22"/>
          <w:szCs w:val="22"/>
        </w:rPr>
        <w:t xml:space="preserve"> In Flanders, later counts like Charles the Bold, Philip the Fair, and Charles V all favoured a more authoritarian form of government. The latter, for example, curtailed the autonomy of the craft guilds in various cities, confiscated their guild houses, and destroyed their archives.</w:t>
      </w:r>
      <w:r w:rsidRPr="00B642CB">
        <w:rPr>
          <w:rStyle w:val="FootnoteReference"/>
          <w:rFonts w:ascii="Cambria" w:hAnsi="Cambria"/>
          <w:bCs/>
          <w:sz w:val="22"/>
          <w:szCs w:val="22"/>
        </w:rPr>
        <w:footnoteReference w:id="46"/>
      </w:r>
      <w:r w:rsidRPr="00B642CB">
        <w:rPr>
          <w:rFonts w:ascii="Cambria" w:hAnsi="Cambria"/>
          <w:bCs/>
          <w:sz w:val="22"/>
          <w:szCs w:val="22"/>
        </w:rPr>
        <w:t xml:space="preserve"> These autocratic tendencies notwithstanding, socially-diverse groups continued to believe in—and actively discuss—the fact that governors and officers should act responsibly and could be subject to scrutiny and judgement. Furthermore, the language they used was not confined to intellectuals or political elites, nor was it limited to specific aspects, procedures, or practices. In contrast, it was a common language, in which local governors, urban elites, and craft guilds were all fluid participants. </w:t>
      </w:r>
    </w:p>
    <w:p w14:paraId="4C97E7C8" w14:textId="77777777" w:rsidR="00B642CB" w:rsidRPr="00B642CB" w:rsidRDefault="00B642CB" w:rsidP="00B642CB">
      <w:pPr>
        <w:spacing w:line="276" w:lineRule="auto"/>
        <w:ind w:firstLine="708"/>
        <w:jc w:val="both"/>
        <w:rPr>
          <w:rFonts w:ascii="Cambria" w:hAnsi="Cambria"/>
          <w:bCs/>
          <w:sz w:val="22"/>
          <w:szCs w:val="22"/>
        </w:rPr>
      </w:pPr>
      <w:r w:rsidRPr="00B642CB">
        <w:rPr>
          <w:rFonts w:ascii="Cambria" w:hAnsi="Cambria"/>
          <w:bCs/>
          <w:sz w:val="22"/>
          <w:szCs w:val="22"/>
        </w:rPr>
        <w:t xml:space="preserve">Throughout late medieval Flanders, accountability was thus constantly given meaning by socially diverse groups. Although the keywords and phrases they used to discuss accountability were surprisingly similar and consistent, it is not my intention to claim that these words were always interpreted in the same way. Rather, I assert that interpretations of the medieval language of accountability were context-dependent. In addition, while I advocate for a comprehensive approach to accountability, I do not claim exhaustiveness. It is entirely possible that people in the </w:t>
      </w:r>
      <w:r w:rsidRPr="00B642CB">
        <w:rPr>
          <w:rFonts w:ascii="Cambria" w:hAnsi="Cambria"/>
          <w:bCs/>
          <w:sz w:val="22"/>
          <w:szCs w:val="22"/>
        </w:rPr>
        <w:lastRenderedPageBreak/>
        <w:t xml:space="preserve">Late Middle Ages used additional words and phrases to discuss accountability. Still, the fact remains that the phrases and keywords summarized in Appendix 2 were spoken and interpreted across various social strata and historical contexts. It is the task of modern historians to carefully listen to and interpret them. </w:t>
      </w:r>
    </w:p>
    <w:p w14:paraId="7AA3B94C" w14:textId="77777777" w:rsidR="00B642CB" w:rsidRPr="00B642CB" w:rsidRDefault="00B642CB" w:rsidP="00B642CB">
      <w:pPr>
        <w:spacing w:line="276" w:lineRule="auto"/>
        <w:ind w:firstLine="708"/>
        <w:jc w:val="both"/>
        <w:rPr>
          <w:rFonts w:ascii="Cambria" w:hAnsi="Cambria"/>
          <w:bCs/>
          <w:color w:val="FF0000"/>
          <w:sz w:val="22"/>
          <w:szCs w:val="22"/>
        </w:rPr>
      </w:pPr>
      <w:r w:rsidRPr="00B642CB">
        <w:rPr>
          <w:rFonts w:ascii="Cambria" w:hAnsi="Cambria"/>
          <w:bCs/>
          <w:sz w:val="22"/>
          <w:szCs w:val="22"/>
        </w:rPr>
        <w:t>In the following sections, we will do exactly that. We will explore the meanings, interpretations, and context-specific uses of the keywords and phrases of the medieval language of accountability. In doing so, I will substantiate and give depth to the arguments presented above. Given the variety of phrases used, the different rows of Appendix 2 will be discussed separately. However, I do not intend to suggest that there was a fixed order in which accountability was thought to be reached.</w:t>
      </w:r>
      <w:r w:rsidRPr="00B642CB">
        <w:rPr>
          <w:rFonts w:ascii="Cambria" w:hAnsi="Cambria"/>
          <w:bCs/>
          <w:color w:val="FF0000"/>
          <w:sz w:val="22"/>
          <w:szCs w:val="22"/>
        </w:rPr>
        <w:t xml:space="preserve"> </w:t>
      </w:r>
      <w:r w:rsidRPr="00B642CB">
        <w:rPr>
          <w:rFonts w:ascii="Cambria" w:hAnsi="Cambria"/>
          <w:bCs/>
          <w:sz w:val="22"/>
          <w:szCs w:val="22"/>
        </w:rPr>
        <w:t>Nor, indeed, do I intend to suggest a clear semantic separation between the various rows of Appendix 2. The phrases used to talk about accountability overlapped and appeared in different combinations and sequences throughout fifteenth-century Flanders. We will begin our exploration of the medieval language of accountability, by examining the individual, responsible, and conscientious governor and officer.</w:t>
      </w:r>
    </w:p>
    <w:p w14:paraId="76088A0C" w14:textId="77777777" w:rsidR="00B642CB" w:rsidRPr="00B642CB" w:rsidRDefault="00B642CB" w:rsidP="00B642CB">
      <w:pPr>
        <w:pStyle w:val="Heading2"/>
        <w:spacing w:line="276" w:lineRule="auto"/>
        <w:jc w:val="both"/>
        <w:rPr>
          <w:rFonts w:ascii="Cambria" w:hAnsi="Cambria"/>
          <w:b/>
          <w:i/>
          <w:iCs/>
          <w:color w:val="auto"/>
          <w:sz w:val="22"/>
          <w:szCs w:val="22"/>
        </w:rPr>
      </w:pPr>
      <w:r w:rsidRPr="00B642CB">
        <w:rPr>
          <w:rFonts w:ascii="Cambria" w:hAnsi="Cambria"/>
          <w:color w:val="auto"/>
          <w:sz w:val="22"/>
          <w:szCs w:val="22"/>
        </w:rPr>
        <w:t xml:space="preserve">A Conscientious Governor and Officer </w:t>
      </w:r>
    </w:p>
    <w:p w14:paraId="40A4EEDD"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rPr>
      </w:pPr>
      <w:r w:rsidRPr="00B642CB">
        <w:rPr>
          <w:rFonts w:ascii="Cambria" w:hAnsi="Cambria"/>
          <w:bCs/>
          <w:sz w:val="22"/>
          <w:szCs w:val="22"/>
          <w:highlight w:val="white"/>
        </w:rPr>
        <w:t xml:space="preserve">In his </w:t>
      </w:r>
      <w:r w:rsidRPr="00B642CB">
        <w:rPr>
          <w:rFonts w:ascii="Cambria" w:hAnsi="Cambria"/>
          <w:bCs/>
          <w:i/>
          <w:iCs/>
          <w:sz w:val="22"/>
          <w:szCs w:val="22"/>
          <w:highlight w:val="white"/>
        </w:rPr>
        <w:t>Recueil des antiquités de Flandre</w:t>
      </w:r>
      <w:r w:rsidRPr="00B642CB">
        <w:rPr>
          <w:rFonts w:ascii="Cambria" w:hAnsi="Cambria"/>
          <w:bCs/>
          <w:sz w:val="22"/>
          <w:szCs w:val="22"/>
          <w:highlight w:val="white"/>
        </w:rPr>
        <w:t>, Philip Wielant noted that he and his fellow members of the Great Council of the Burgundian Low Countries were ‘charged upon their conscience’ (‘</w:t>
      </w:r>
      <w:r w:rsidRPr="00B642CB">
        <w:rPr>
          <w:rFonts w:ascii="Cambria" w:hAnsi="Cambria"/>
          <w:bCs/>
          <w:i/>
          <w:iCs/>
          <w:sz w:val="22"/>
          <w:szCs w:val="22"/>
        </w:rPr>
        <w:t>chargeant de ce leurs consciences</w:t>
      </w:r>
      <w:r w:rsidRPr="00B642CB">
        <w:rPr>
          <w:rFonts w:ascii="Cambria" w:hAnsi="Cambria"/>
          <w:bCs/>
          <w:sz w:val="22"/>
          <w:szCs w:val="22"/>
          <w:highlight w:val="white"/>
        </w:rPr>
        <w:t>’) with the responsibility to govern well and administer justice.</w:t>
      </w:r>
      <w:r w:rsidRPr="00B642CB">
        <w:rPr>
          <w:rStyle w:val="FootnoteReference"/>
          <w:rFonts w:ascii="Cambria" w:hAnsi="Cambria"/>
          <w:bCs/>
          <w:sz w:val="22"/>
          <w:szCs w:val="22"/>
        </w:rPr>
        <w:footnoteReference w:id="47"/>
      </w:r>
      <w:r w:rsidRPr="00B642CB">
        <w:rPr>
          <w:rFonts w:ascii="Cambria" w:hAnsi="Cambria"/>
          <w:bCs/>
          <w:sz w:val="22"/>
          <w:szCs w:val="22"/>
        </w:rPr>
        <w:t xml:space="preserve"> H</w:t>
      </w:r>
      <w:r w:rsidRPr="00B642CB">
        <w:rPr>
          <w:rFonts w:ascii="Cambria" w:hAnsi="Cambria"/>
          <w:bCs/>
          <w:sz w:val="22"/>
          <w:szCs w:val="22"/>
          <w:highlight w:val="white"/>
        </w:rPr>
        <w:t>e voiced a sentiment that was accepted throughout much of the medieval world: good government equates to good, responsible, and conscientious governors and officers.</w:t>
      </w:r>
      <w:r w:rsidRPr="00B642CB">
        <w:rPr>
          <w:rFonts w:ascii="Cambria" w:hAnsi="Cambria"/>
          <w:bCs/>
          <w:sz w:val="22"/>
          <w:szCs w:val="22"/>
        </w:rPr>
        <w:t xml:space="preserve"> </w:t>
      </w:r>
      <w:r w:rsidRPr="00B642CB">
        <w:rPr>
          <w:rFonts w:ascii="Cambria" w:hAnsi="Cambria"/>
          <w:bCs/>
          <w:sz w:val="22"/>
          <w:szCs w:val="22"/>
          <w:highlight w:val="white"/>
        </w:rPr>
        <w:t>They had a duty to govern well.</w:t>
      </w:r>
      <w:r w:rsidRPr="00B642CB">
        <w:rPr>
          <w:rStyle w:val="FootnoteReference"/>
          <w:rFonts w:ascii="Cambria" w:hAnsi="Cambria"/>
          <w:bCs/>
          <w:sz w:val="22"/>
          <w:szCs w:val="22"/>
          <w:highlight w:val="white"/>
        </w:rPr>
        <w:footnoteReference w:id="48"/>
      </w:r>
      <w:r w:rsidRPr="00B642CB">
        <w:rPr>
          <w:rFonts w:ascii="Cambria" w:hAnsi="Cambria"/>
          <w:bCs/>
          <w:sz w:val="22"/>
          <w:szCs w:val="22"/>
        </w:rPr>
        <w:t xml:space="preserve"> Across</w:t>
      </w:r>
      <w:r w:rsidRPr="00B642CB">
        <w:rPr>
          <w:rFonts w:ascii="Cambria" w:hAnsi="Cambria"/>
          <w:bCs/>
          <w:sz w:val="22"/>
          <w:szCs w:val="22"/>
          <w:highlight w:val="white"/>
        </w:rPr>
        <w:t xml:space="preserve"> fifteenth-century Flanders, we can find various detailed descriptions of what this entailed. My previous research indicates that the Counts of Flanders, jurists, urban elites, and craft guilds generally expected governors and officers to ensure a healthy economic climate, administer justice, maintain peace, and heed council.</w:t>
      </w:r>
      <w:r w:rsidRPr="00B642CB">
        <w:rPr>
          <w:rFonts w:ascii="Cambria" w:hAnsi="Cambria"/>
          <w:bCs/>
          <w:sz w:val="22"/>
          <w:szCs w:val="22"/>
        </w:rPr>
        <w:t xml:space="preserve"> </w:t>
      </w:r>
      <w:r w:rsidRPr="00B642CB">
        <w:rPr>
          <w:rFonts w:ascii="Cambria" w:hAnsi="Cambria"/>
          <w:bCs/>
          <w:sz w:val="22"/>
          <w:szCs w:val="22"/>
          <w:highlight w:val="white"/>
        </w:rPr>
        <w:t>In addition, they had to provide protection, be competent, accessible, active, and remain totally incorruptible.</w:t>
      </w:r>
      <w:r w:rsidRPr="00B642CB">
        <w:rPr>
          <w:rFonts w:ascii="Cambria" w:hAnsi="Cambria"/>
          <w:bCs/>
          <w:sz w:val="22"/>
          <w:szCs w:val="22"/>
        </w:rPr>
        <w:t xml:space="preserve"> </w:t>
      </w:r>
      <w:r w:rsidRPr="00B642CB">
        <w:rPr>
          <w:rFonts w:ascii="Cambria" w:hAnsi="Cambria"/>
          <w:bCs/>
          <w:sz w:val="22"/>
          <w:szCs w:val="22"/>
          <w:highlight w:val="white"/>
        </w:rPr>
        <w:t xml:space="preserve">The exact interpretations of these general expectations </w:t>
      </w:r>
      <w:r w:rsidRPr="00B642CB">
        <w:rPr>
          <w:rFonts w:ascii="Cambria" w:hAnsi="Cambria"/>
          <w:bCs/>
          <w:sz w:val="22"/>
          <w:szCs w:val="22"/>
        </w:rPr>
        <w:t>depended on</w:t>
      </w:r>
      <w:r w:rsidRPr="00B642CB">
        <w:rPr>
          <w:rFonts w:ascii="Cambria" w:hAnsi="Cambria"/>
          <w:bCs/>
          <w:sz w:val="22"/>
          <w:szCs w:val="22"/>
          <w:highlight w:val="white"/>
        </w:rPr>
        <w:t xml:space="preserve"> context, but were used as a benchmark to evaluate whether governors and officers acted responsibly.</w:t>
      </w:r>
      <w:r w:rsidRPr="00B642CB">
        <w:rPr>
          <w:rStyle w:val="FootnoteReference"/>
          <w:rFonts w:ascii="Cambria" w:hAnsi="Cambria"/>
          <w:bCs/>
          <w:sz w:val="22"/>
          <w:szCs w:val="22"/>
          <w:highlight w:val="white"/>
        </w:rPr>
        <w:footnoteReference w:id="49"/>
      </w:r>
      <w:r w:rsidRPr="00B642CB">
        <w:rPr>
          <w:rFonts w:ascii="Cambria" w:hAnsi="Cambria"/>
          <w:bCs/>
          <w:sz w:val="22"/>
          <w:szCs w:val="22"/>
        </w:rPr>
        <w:t xml:space="preserve"> Thus, these obligations were also part of the oath formulae that the Counts of Flanders, their comital officers, and urban and local governors had to take at the beginning of their reigns or tenures</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50"/>
      </w:r>
    </w:p>
    <w:p w14:paraId="126C5B8C" w14:textId="77777777" w:rsidR="00B642CB" w:rsidRPr="00B642CB" w:rsidRDefault="00B642CB" w:rsidP="00B642CB">
      <w:pPr>
        <w:autoSpaceDE w:val="0"/>
        <w:autoSpaceDN w:val="0"/>
        <w:adjustRightInd w:val="0"/>
        <w:spacing w:line="276" w:lineRule="auto"/>
        <w:ind w:firstLine="720"/>
        <w:jc w:val="both"/>
        <w:rPr>
          <w:rFonts w:ascii="Cambria" w:hAnsi="Cambria"/>
          <w:bCs/>
          <w:sz w:val="22"/>
          <w:szCs w:val="22"/>
        </w:rPr>
      </w:pPr>
      <w:r w:rsidRPr="00B642CB">
        <w:rPr>
          <w:rFonts w:ascii="Cambria" w:hAnsi="Cambria"/>
          <w:bCs/>
          <w:sz w:val="22"/>
          <w:szCs w:val="22"/>
          <w:highlight w:val="white"/>
        </w:rPr>
        <w:t>In addition to meet</w:t>
      </w:r>
      <w:r w:rsidRPr="00B642CB">
        <w:rPr>
          <w:rFonts w:ascii="Cambria" w:hAnsi="Cambria"/>
          <w:bCs/>
          <w:sz w:val="22"/>
          <w:szCs w:val="22"/>
        </w:rPr>
        <w:t xml:space="preserve">ing these expectations, great stress was placed on governors’ and officials’ virtues. People in the Middle Ages were well aware that for accountability to work, </w:t>
      </w:r>
      <w:r w:rsidRPr="00B642CB">
        <w:rPr>
          <w:rFonts w:ascii="Cambria" w:hAnsi="Cambria"/>
          <w:bCs/>
          <w:sz w:val="22"/>
          <w:szCs w:val="22"/>
        </w:rPr>
        <w:lastRenderedPageBreak/>
        <w:t>individual integrity and morality were crucial.</w:t>
      </w:r>
      <w:r w:rsidRPr="00B642CB">
        <w:rPr>
          <w:rStyle w:val="FootnoteReference"/>
          <w:rFonts w:ascii="Cambria" w:hAnsi="Cambria"/>
          <w:bCs/>
          <w:sz w:val="22"/>
          <w:szCs w:val="22"/>
        </w:rPr>
        <w:footnoteReference w:id="51"/>
      </w:r>
      <w:r w:rsidRPr="00B642CB">
        <w:rPr>
          <w:rFonts w:ascii="Cambria" w:hAnsi="Cambria"/>
          <w:bCs/>
          <w:sz w:val="22"/>
          <w:szCs w:val="22"/>
        </w:rPr>
        <w:t xml:space="preserve"> Building governors’ and officers’ character, therefore, quickly became a public concern. This is most evident in the great wealth of didactic literature, including mirrors-for-princes, </w:t>
      </w:r>
      <w:r w:rsidRPr="00B642CB">
        <w:rPr>
          <w:rFonts w:ascii="Cambria" w:hAnsi="Cambria"/>
          <w:bCs/>
          <w:i/>
          <w:iCs/>
          <w:sz w:val="22"/>
          <w:szCs w:val="22"/>
        </w:rPr>
        <w:t>Podestà</w:t>
      </w:r>
      <w:r w:rsidRPr="00B642CB">
        <w:rPr>
          <w:rFonts w:ascii="Cambria" w:hAnsi="Cambria"/>
          <w:bCs/>
          <w:sz w:val="22"/>
          <w:szCs w:val="22"/>
        </w:rPr>
        <w:t xml:space="preserve"> literature, urban lessons, and vernacular poetry, that was produced in this period.</w:t>
      </w:r>
      <w:r w:rsidRPr="00B642CB">
        <w:rPr>
          <w:rStyle w:val="FootnoteReference"/>
          <w:rFonts w:ascii="Cambria" w:hAnsi="Cambria"/>
          <w:bCs/>
          <w:sz w:val="22"/>
          <w:szCs w:val="22"/>
        </w:rPr>
        <w:footnoteReference w:id="52"/>
      </w:r>
      <w:r w:rsidRPr="00B642CB">
        <w:rPr>
          <w:rFonts w:ascii="Cambria" w:hAnsi="Cambria"/>
          <w:bCs/>
          <w:sz w:val="22"/>
          <w:szCs w:val="22"/>
        </w:rPr>
        <w:t xml:space="preserve"> As this article’s source-base makes clear, more diverse texts, such as petitions, privileges, or remission letters, were also concerned with the morality and character of governors and officers. Next to mastering the cardinal virtues, the sources under investigation stress that governors and officers had to be humble, merciful, generous, meticulous, honest, and loyal. While accountability per se might not have been a virtue, a virtuous consciousness was certainly regarded as a first important indicator of the likelihood that a governor or officer would act accountably.</w:t>
      </w:r>
    </w:p>
    <w:p w14:paraId="6200B35E" w14:textId="77777777" w:rsidR="00B642CB" w:rsidRPr="00B642CB" w:rsidRDefault="00B642CB" w:rsidP="00B642CB">
      <w:pPr>
        <w:autoSpaceDE w:val="0"/>
        <w:autoSpaceDN w:val="0"/>
        <w:adjustRightInd w:val="0"/>
        <w:spacing w:line="276" w:lineRule="auto"/>
        <w:ind w:firstLine="720"/>
        <w:jc w:val="both"/>
        <w:rPr>
          <w:rFonts w:ascii="Cambria" w:hAnsi="Cambria"/>
          <w:bCs/>
          <w:sz w:val="22"/>
          <w:szCs w:val="22"/>
          <w:highlight w:val="yellow"/>
        </w:rPr>
      </w:pPr>
      <w:r w:rsidRPr="00B642CB">
        <w:rPr>
          <w:rFonts w:ascii="Cambria" w:hAnsi="Cambria"/>
          <w:bCs/>
          <w:sz w:val="22"/>
          <w:szCs w:val="22"/>
        </w:rPr>
        <w:t>The outlining of obligations and the formation of character alone could not, of course, ensure governmental accountability. Conscientious governors and officers also needed ‘to give account’. This could be done by earthly means (discussed below) or by divine intervention. God knew everything about every Christian and would always make the Final Judgement or ‘</w:t>
      </w:r>
      <w:r w:rsidRPr="00B642CB">
        <w:rPr>
          <w:rFonts w:ascii="Cambria" w:hAnsi="Cambria"/>
          <w:bCs/>
          <w:i/>
          <w:iCs/>
          <w:sz w:val="22"/>
          <w:szCs w:val="22"/>
        </w:rPr>
        <w:t>oordeel</w:t>
      </w:r>
      <w:r w:rsidRPr="00B642CB">
        <w:rPr>
          <w:rFonts w:ascii="Cambria" w:hAnsi="Cambria"/>
          <w:bCs/>
          <w:sz w:val="22"/>
          <w:szCs w:val="22"/>
        </w:rPr>
        <w:t xml:space="preserve">’. In </w:t>
      </w:r>
      <w:r w:rsidRPr="00B642CB">
        <w:rPr>
          <w:rFonts w:ascii="Cambria" w:hAnsi="Cambria"/>
          <w:bCs/>
          <w:i/>
          <w:iCs/>
          <w:sz w:val="22"/>
          <w:szCs w:val="22"/>
        </w:rPr>
        <w:t>Dat Kaetspel Ghemoraliseert</w:t>
      </w:r>
      <w:r w:rsidRPr="00B642CB">
        <w:rPr>
          <w:rFonts w:ascii="Cambria" w:hAnsi="Cambria"/>
          <w:bCs/>
          <w:sz w:val="22"/>
          <w:szCs w:val="22"/>
        </w:rPr>
        <w:t xml:space="preserve"> —a didactic literary work that transforms a medieval ballgame into an allegory of the fifteenth-century Flemish justice system—Jan van den Berghe thus warned governors and officers that they risked eternal life when they acted irresponsibly: ‘because with the oath, he pledges his soul’ (‘</w:t>
      </w:r>
      <w:r w:rsidRPr="00B642CB">
        <w:rPr>
          <w:rFonts w:ascii="Cambria" w:hAnsi="Cambria"/>
          <w:bCs/>
          <w:i/>
          <w:iCs/>
          <w:sz w:val="22"/>
          <w:szCs w:val="22"/>
        </w:rPr>
        <w:t>want met den eede, hij stelt sine ziele te pande</w:t>
      </w:r>
      <w:r w:rsidRPr="00B642CB">
        <w:rPr>
          <w:rFonts w:ascii="Cambria" w:hAnsi="Cambria"/>
          <w:bCs/>
          <w:sz w:val="22"/>
          <w:szCs w:val="22"/>
        </w:rPr>
        <w:t>’).</w:t>
      </w:r>
      <w:r w:rsidRPr="00B642CB">
        <w:rPr>
          <w:rStyle w:val="FootnoteReference"/>
          <w:rFonts w:ascii="Cambria" w:hAnsi="Cambria"/>
          <w:bCs/>
          <w:sz w:val="22"/>
          <w:szCs w:val="22"/>
          <w:highlight w:val="white"/>
        </w:rPr>
        <w:footnoteReference w:id="53"/>
      </w:r>
      <w:r w:rsidRPr="00B642CB">
        <w:rPr>
          <w:rFonts w:ascii="Cambria" w:hAnsi="Cambria"/>
          <w:bCs/>
          <w:sz w:val="22"/>
          <w:szCs w:val="22"/>
        </w:rPr>
        <w:t xml:space="preserve"> By not acting conscientiously, governors and officers condemned their souls (‘</w:t>
      </w:r>
      <w:r w:rsidRPr="00B642CB">
        <w:rPr>
          <w:rFonts w:ascii="Cambria" w:hAnsi="Cambria"/>
          <w:bCs/>
          <w:i/>
          <w:iCs/>
          <w:sz w:val="22"/>
          <w:szCs w:val="22"/>
        </w:rPr>
        <w:t>ziele</w:t>
      </w:r>
      <w:r w:rsidRPr="00B642CB">
        <w:rPr>
          <w:rFonts w:ascii="Cambria" w:hAnsi="Cambria"/>
          <w:bCs/>
          <w:sz w:val="22"/>
          <w:szCs w:val="22"/>
        </w:rPr>
        <w:t>’, ‘</w:t>
      </w:r>
      <w:r w:rsidRPr="00B642CB">
        <w:rPr>
          <w:rFonts w:ascii="Cambria" w:hAnsi="Cambria"/>
          <w:bCs/>
          <w:i/>
          <w:iCs/>
          <w:sz w:val="22"/>
          <w:szCs w:val="22"/>
        </w:rPr>
        <w:t>âme</w:t>
      </w:r>
      <w:r w:rsidRPr="00B642CB">
        <w:rPr>
          <w:rFonts w:ascii="Cambria" w:hAnsi="Cambria"/>
          <w:bCs/>
          <w:sz w:val="22"/>
          <w:szCs w:val="22"/>
        </w:rPr>
        <w:t>’) and endangered the possibility of an eternal life (‘</w:t>
      </w:r>
      <w:r w:rsidRPr="00B642CB">
        <w:rPr>
          <w:rFonts w:ascii="Cambria" w:hAnsi="Cambria"/>
          <w:bCs/>
          <w:i/>
          <w:iCs/>
          <w:sz w:val="22"/>
          <w:szCs w:val="22"/>
        </w:rPr>
        <w:t>teewighe leven</w:t>
      </w:r>
      <w:r w:rsidRPr="00B642CB">
        <w:rPr>
          <w:rFonts w:ascii="Cambria" w:hAnsi="Cambria"/>
          <w:bCs/>
          <w:sz w:val="22"/>
          <w:szCs w:val="22"/>
        </w:rPr>
        <w:t>’) in heaven</w:t>
      </w:r>
      <w:r w:rsidRPr="00B642CB">
        <w:rPr>
          <w:rFonts w:ascii="Cambria" w:hAnsi="Cambria"/>
          <w:bCs/>
          <w:sz w:val="22"/>
          <w:szCs w:val="22"/>
          <w:highlight w:val="white"/>
        </w:rPr>
        <w:t>.</w:t>
      </w:r>
      <w:r w:rsidRPr="00B642CB">
        <w:rPr>
          <w:rFonts w:ascii="Cambria" w:hAnsi="Cambria"/>
          <w:bCs/>
          <w:sz w:val="22"/>
          <w:szCs w:val="22"/>
        </w:rPr>
        <w:t xml:space="preserve"> T</w:t>
      </w:r>
      <w:r w:rsidRPr="00B642CB">
        <w:rPr>
          <w:rFonts w:ascii="Cambria" w:hAnsi="Cambria"/>
          <w:bCs/>
          <w:sz w:val="22"/>
          <w:szCs w:val="22"/>
          <w:highlight w:val="white"/>
        </w:rPr>
        <w:t xml:space="preserve">he same sentiments can be found in other European regions, as demonstrated by Ionuț </w:t>
      </w:r>
      <w:r w:rsidRPr="00B642CB">
        <w:rPr>
          <w:rFonts w:ascii="Cambria" w:hAnsi="Cambria"/>
          <w:bCs/>
          <w:sz w:val="22"/>
          <w:szCs w:val="22"/>
        </w:rPr>
        <w:t>Epurescu-Pascovici</w:t>
      </w:r>
      <w:r w:rsidRPr="00B642CB">
        <w:rPr>
          <w:rFonts w:ascii="Cambria" w:hAnsi="Cambria"/>
          <w:bCs/>
          <w:sz w:val="22"/>
          <w:szCs w:val="22"/>
          <w:highlight w:val="white"/>
        </w:rPr>
        <w:t>, who also pointed to the biblical roots of the phrase ‘</w:t>
      </w:r>
      <w:r w:rsidRPr="00B642CB">
        <w:rPr>
          <w:rFonts w:ascii="Cambria" w:hAnsi="Cambria"/>
          <w:bCs/>
          <w:i/>
          <w:iCs/>
          <w:sz w:val="22"/>
          <w:szCs w:val="22"/>
          <w:highlight w:val="white"/>
        </w:rPr>
        <w:t>reddere rationem</w:t>
      </w:r>
      <w:r w:rsidRPr="00B642CB">
        <w:rPr>
          <w:rFonts w:ascii="Cambria" w:hAnsi="Cambria"/>
          <w:bCs/>
          <w:sz w:val="22"/>
          <w:szCs w:val="22"/>
          <w:highlight w:val="white"/>
        </w:rPr>
        <w:t>’ or ‘to render account’.</w:t>
      </w:r>
      <w:r w:rsidRPr="00B642CB">
        <w:rPr>
          <w:rStyle w:val="FootnoteReference"/>
          <w:rFonts w:ascii="Cambria" w:hAnsi="Cambria"/>
          <w:bCs/>
          <w:sz w:val="22"/>
          <w:szCs w:val="22"/>
          <w:highlight w:val="white"/>
        </w:rPr>
        <w:footnoteReference w:id="54"/>
      </w:r>
    </w:p>
    <w:p w14:paraId="4FEE0F1D" w14:textId="77777777" w:rsidR="00B642CB" w:rsidRPr="00B642CB" w:rsidRDefault="00B642CB" w:rsidP="00B642CB">
      <w:pPr>
        <w:pStyle w:val="Paragraph"/>
        <w:spacing w:before="0" w:line="276" w:lineRule="auto"/>
        <w:ind w:firstLine="720"/>
        <w:jc w:val="both"/>
        <w:rPr>
          <w:rFonts w:ascii="Cambria" w:hAnsi="Cambria"/>
          <w:bCs/>
          <w:sz w:val="22"/>
          <w:szCs w:val="22"/>
        </w:rPr>
      </w:pPr>
      <w:r w:rsidRPr="00B642CB">
        <w:rPr>
          <w:rFonts w:ascii="Cambria" w:hAnsi="Cambria"/>
          <w:bCs/>
          <w:sz w:val="22"/>
          <w:szCs w:val="22"/>
        </w:rPr>
        <w:t xml:space="preserve">Like van den Berghe, other </w:t>
      </w:r>
      <w:r w:rsidRPr="00B642CB">
        <w:rPr>
          <w:rFonts w:ascii="Cambria" w:hAnsi="Cambria"/>
          <w:bCs/>
          <w:sz w:val="22"/>
          <w:szCs w:val="22"/>
          <w:highlight w:val="white"/>
        </w:rPr>
        <w:t xml:space="preserve">people in fifteenth-century Flanders believed that God would actively hold governors and officers to account if they failed to meet the required obligations or virtues. </w:t>
      </w:r>
      <w:r w:rsidRPr="00B642CB">
        <w:rPr>
          <w:rFonts w:ascii="Cambria" w:hAnsi="Cambria"/>
          <w:bCs/>
          <w:sz w:val="22"/>
          <w:szCs w:val="22"/>
        </w:rPr>
        <w:t>God was believed to be able to do so not only in death but also in life</w:t>
      </w:r>
      <w:r w:rsidRPr="00B642CB">
        <w:rPr>
          <w:rFonts w:ascii="Cambria" w:hAnsi="Cambria"/>
          <w:bCs/>
          <w:sz w:val="22"/>
          <w:szCs w:val="22"/>
          <w:highlight w:val="white"/>
        </w:rPr>
        <w:t>.</w:t>
      </w:r>
      <w:r w:rsidRPr="00B642CB">
        <w:rPr>
          <w:rFonts w:ascii="Cambria" w:hAnsi="Cambria"/>
          <w:bCs/>
          <w:sz w:val="22"/>
          <w:szCs w:val="22"/>
        </w:rPr>
        <w:t xml:space="preserve"> </w:t>
      </w:r>
      <w:r w:rsidRPr="00B642CB">
        <w:rPr>
          <w:rFonts w:ascii="Cambria" w:hAnsi="Cambria"/>
          <w:bCs/>
          <w:sz w:val="22"/>
          <w:szCs w:val="22"/>
          <w:highlight w:val="white"/>
        </w:rPr>
        <w:t>In an attempt to bring an end to a current corrupt practice, in which legal officers kept sequestrations for their own profit, van den Berghe told an exemplum centring around the Roman emperor Julian (331-63).</w:t>
      </w:r>
      <w:r w:rsidRPr="00B642CB">
        <w:rPr>
          <w:rStyle w:val="FootnoteReference"/>
          <w:rFonts w:ascii="Cambria" w:hAnsi="Cambria"/>
          <w:bCs/>
          <w:sz w:val="22"/>
          <w:szCs w:val="22"/>
          <w:highlight w:val="white"/>
        </w:rPr>
        <w:footnoteReference w:id="55"/>
      </w:r>
      <w:r w:rsidRPr="00B642CB">
        <w:rPr>
          <w:rFonts w:ascii="Cambria" w:hAnsi="Cambria"/>
          <w:bCs/>
          <w:sz w:val="22"/>
          <w:szCs w:val="22"/>
        </w:rPr>
        <w:t xml:space="preserve"> </w:t>
      </w:r>
      <w:r w:rsidRPr="00B642CB">
        <w:rPr>
          <w:rFonts w:ascii="Cambria" w:hAnsi="Cambria"/>
          <w:bCs/>
          <w:sz w:val="22"/>
          <w:szCs w:val="22"/>
          <w:highlight w:val="white"/>
        </w:rPr>
        <w:t>According to him, this emperor, though pagan, had started out as a monk.</w:t>
      </w:r>
      <w:r w:rsidRPr="00B642CB">
        <w:rPr>
          <w:rFonts w:ascii="Cambria" w:hAnsi="Cambria"/>
          <w:bCs/>
          <w:sz w:val="22"/>
          <w:szCs w:val="22"/>
        </w:rPr>
        <w:t xml:space="preserve"> </w:t>
      </w:r>
      <w:r w:rsidRPr="00B642CB">
        <w:rPr>
          <w:rFonts w:ascii="Cambria" w:hAnsi="Cambria"/>
          <w:bCs/>
          <w:sz w:val="22"/>
          <w:szCs w:val="22"/>
          <w:highlight w:val="white"/>
        </w:rPr>
        <w:t>Believing he was a pious man, a woman entrusted him with the safekeeping of three pots of gold.</w:t>
      </w:r>
      <w:r w:rsidRPr="00B642CB">
        <w:rPr>
          <w:rFonts w:ascii="Cambria" w:hAnsi="Cambria"/>
          <w:bCs/>
          <w:sz w:val="22"/>
          <w:szCs w:val="22"/>
        </w:rPr>
        <w:t xml:space="preserve"> </w:t>
      </w:r>
      <w:r w:rsidRPr="00B642CB">
        <w:rPr>
          <w:rFonts w:ascii="Cambria" w:hAnsi="Cambria"/>
          <w:bCs/>
          <w:sz w:val="22"/>
          <w:szCs w:val="22"/>
          <w:highlight w:val="white"/>
        </w:rPr>
        <w:t xml:space="preserve">When she returned to collect her possessions, Julian denied </w:t>
      </w:r>
      <w:r w:rsidRPr="00B642CB">
        <w:rPr>
          <w:rFonts w:ascii="Cambria" w:hAnsi="Cambria"/>
          <w:bCs/>
          <w:sz w:val="22"/>
          <w:szCs w:val="22"/>
        </w:rPr>
        <w:t xml:space="preserve">ever having received anything from her. </w:t>
      </w:r>
      <w:r w:rsidRPr="00B642CB">
        <w:rPr>
          <w:rFonts w:ascii="Cambria" w:hAnsi="Cambria"/>
          <w:bCs/>
          <w:sz w:val="22"/>
          <w:szCs w:val="22"/>
          <w:highlight w:val="white"/>
        </w:rPr>
        <w:t xml:space="preserve">After </w:t>
      </w:r>
      <w:r w:rsidRPr="00B642CB">
        <w:rPr>
          <w:rFonts w:ascii="Cambria" w:hAnsi="Cambria"/>
          <w:bCs/>
          <w:sz w:val="22"/>
          <w:szCs w:val="22"/>
        </w:rPr>
        <w:t>successfully cheating the woman</w:t>
      </w:r>
      <w:r w:rsidRPr="00B642CB">
        <w:rPr>
          <w:rFonts w:ascii="Cambria" w:hAnsi="Cambria"/>
          <w:bCs/>
          <w:sz w:val="22"/>
          <w:szCs w:val="22"/>
          <w:highlight w:val="white"/>
        </w:rPr>
        <w:t xml:space="preserve"> out of her possessions, Julian used the gold to bribe his way through the Roman government.</w:t>
      </w:r>
      <w:r w:rsidRPr="00B642CB">
        <w:rPr>
          <w:rFonts w:ascii="Cambria" w:hAnsi="Cambria"/>
          <w:bCs/>
          <w:sz w:val="22"/>
          <w:szCs w:val="22"/>
        </w:rPr>
        <w:t xml:space="preserve"> </w:t>
      </w:r>
      <w:r w:rsidRPr="00B642CB">
        <w:rPr>
          <w:rFonts w:ascii="Cambria" w:hAnsi="Cambria"/>
          <w:bCs/>
          <w:sz w:val="22"/>
          <w:szCs w:val="22"/>
          <w:highlight w:val="white"/>
        </w:rPr>
        <w:t xml:space="preserve">Eventually, he succeeded in buying the office of emperor, where his corrupt </w:t>
      </w:r>
      <w:r w:rsidRPr="00B642CB">
        <w:rPr>
          <w:rFonts w:ascii="Cambria" w:hAnsi="Cambria"/>
          <w:bCs/>
          <w:sz w:val="22"/>
          <w:szCs w:val="22"/>
          <w:highlight w:val="white"/>
        </w:rPr>
        <w:lastRenderedPageBreak/>
        <w:t>nature led him to govern as a tyrant.</w:t>
      </w:r>
      <w:r w:rsidRPr="00B642CB">
        <w:rPr>
          <w:rFonts w:ascii="Cambria" w:hAnsi="Cambria"/>
          <w:bCs/>
          <w:sz w:val="22"/>
          <w:szCs w:val="22"/>
        </w:rPr>
        <w:t xml:space="preserve"> To hold Julian accountable, God resurrected a knight who took up his sword and killed the Roman emperor on the battlefield.</w:t>
      </w:r>
      <w:r w:rsidRPr="00B642CB">
        <w:rPr>
          <w:rStyle w:val="FootnoteReference"/>
          <w:rFonts w:ascii="Cambria" w:hAnsi="Cambria"/>
          <w:bCs/>
          <w:sz w:val="22"/>
          <w:szCs w:val="22"/>
        </w:rPr>
        <w:footnoteReference w:id="56"/>
      </w:r>
      <w:r w:rsidRPr="00B642CB">
        <w:rPr>
          <w:rFonts w:ascii="Cambria" w:hAnsi="Cambria"/>
          <w:bCs/>
          <w:sz w:val="22"/>
          <w:szCs w:val="22"/>
        </w:rPr>
        <w:t xml:space="preserve"> Accountability in the medieval period had a clear moral dimension and was often discussed by all social layers in terms of governors’ and officers’ obligation to govern well, their conscientiousness, virtuous character, and the condemnation of their eternal souls.</w:t>
      </w:r>
    </w:p>
    <w:p w14:paraId="7AC6AFF0" w14:textId="77777777" w:rsidR="00B642CB" w:rsidRPr="00B642CB" w:rsidRDefault="00B642CB" w:rsidP="00B642CB">
      <w:pPr>
        <w:pStyle w:val="Heading2"/>
        <w:spacing w:line="276" w:lineRule="auto"/>
        <w:jc w:val="both"/>
        <w:rPr>
          <w:rFonts w:ascii="Cambria" w:hAnsi="Cambria"/>
          <w:b/>
          <w:i/>
          <w:iCs/>
          <w:color w:val="auto"/>
          <w:sz w:val="22"/>
          <w:szCs w:val="22"/>
        </w:rPr>
      </w:pPr>
      <w:r w:rsidRPr="00B642CB">
        <w:rPr>
          <w:rFonts w:ascii="Cambria" w:hAnsi="Cambria"/>
          <w:color w:val="auto"/>
          <w:sz w:val="22"/>
          <w:szCs w:val="22"/>
        </w:rPr>
        <w:t xml:space="preserve">Answering by Earthly Means: Registering, Reporting, Rendering </w:t>
      </w:r>
    </w:p>
    <w:p w14:paraId="33587350" w14:textId="77777777" w:rsidR="00B642CB" w:rsidRPr="00B642CB" w:rsidRDefault="00B642CB" w:rsidP="00B642CB">
      <w:pPr>
        <w:autoSpaceDE w:val="0"/>
        <w:autoSpaceDN w:val="0"/>
        <w:adjustRightInd w:val="0"/>
        <w:spacing w:line="276" w:lineRule="auto"/>
        <w:jc w:val="both"/>
        <w:rPr>
          <w:rFonts w:ascii="Cambria" w:hAnsi="Cambria"/>
          <w:bCs/>
          <w:sz w:val="22"/>
          <w:szCs w:val="22"/>
        </w:rPr>
      </w:pPr>
      <w:r w:rsidRPr="00B642CB">
        <w:rPr>
          <w:rFonts w:ascii="Cambria" w:hAnsi="Cambria"/>
          <w:bCs/>
          <w:sz w:val="22"/>
          <w:szCs w:val="22"/>
        </w:rPr>
        <w:t>In addition to God, people in fifteenth-century Flanders placed their faith in earthly means to monitor the conduct of governors and officers</w:t>
      </w:r>
      <w:r w:rsidRPr="00B642CB">
        <w:rPr>
          <w:rFonts w:ascii="Cambria" w:hAnsi="Cambria"/>
          <w:bCs/>
          <w:sz w:val="22"/>
          <w:szCs w:val="22"/>
          <w:highlight w:val="white"/>
        </w:rPr>
        <w:t>. A first effective means to do so was to oblige them to keep a register (</w:t>
      </w:r>
      <w:r w:rsidRPr="00B642CB">
        <w:rPr>
          <w:rFonts w:ascii="Cambria" w:hAnsi="Cambria"/>
          <w:bCs/>
          <w:i/>
          <w:iCs/>
          <w:sz w:val="22"/>
          <w:szCs w:val="22"/>
          <w:highlight w:val="white"/>
        </w:rPr>
        <w:t>‘registre</w:t>
      </w:r>
      <w:r w:rsidRPr="00B642CB">
        <w:rPr>
          <w:rFonts w:ascii="Cambria" w:hAnsi="Cambria"/>
          <w:bCs/>
          <w:sz w:val="22"/>
          <w:szCs w:val="22"/>
          <w:highlight w:val="white"/>
        </w:rPr>
        <w:t>’, ‘</w:t>
      </w:r>
      <w:r w:rsidRPr="00B642CB">
        <w:rPr>
          <w:rFonts w:ascii="Cambria" w:hAnsi="Cambria"/>
          <w:bCs/>
          <w:i/>
          <w:iCs/>
          <w:sz w:val="22"/>
          <w:szCs w:val="22"/>
          <w:highlight w:val="white"/>
        </w:rPr>
        <w:t>houden registre</w:t>
      </w:r>
      <w:r w:rsidRPr="00B642CB">
        <w:rPr>
          <w:rFonts w:ascii="Cambria" w:hAnsi="Cambria"/>
          <w:bCs/>
          <w:sz w:val="22"/>
          <w:szCs w:val="22"/>
          <w:highlight w:val="white"/>
        </w:rPr>
        <w:t>’, ‘</w:t>
      </w:r>
      <w:r w:rsidRPr="00B642CB">
        <w:rPr>
          <w:rFonts w:ascii="Cambria" w:hAnsi="Cambria"/>
          <w:bCs/>
          <w:i/>
          <w:iCs/>
          <w:sz w:val="22"/>
          <w:szCs w:val="22"/>
          <w:highlight w:val="white"/>
        </w:rPr>
        <w:t>registreren up trolle</w:t>
      </w:r>
      <w:r w:rsidRPr="00B642CB">
        <w:rPr>
          <w:rFonts w:ascii="Cambria" w:hAnsi="Cambria"/>
          <w:bCs/>
          <w:sz w:val="22"/>
          <w:szCs w:val="22"/>
          <w:highlight w:val="white"/>
        </w:rPr>
        <w:t>’), report (‘</w:t>
      </w:r>
      <w:r w:rsidRPr="00B642CB">
        <w:rPr>
          <w:rFonts w:ascii="Cambria" w:hAnsi="Cambria"/>
          <w:bCs/>
          <w:i/>
          <w:iCs/>
          <w:sz w:val="22"/>
          <w:szCs w:val="22"/>
          <w:highlight w:val="white"/>
        </w:rPr>
        <w:t>relaes</w:t>
      </w:r>
      <w:r w:rsidRPr="00B642CB">
        <w:rPr>
          <w:rFonts w:ascii="Cambria" w:hAnsi="Cambria"/>
          <w:bCs/>
          <w:sz w:val="22"/>
          <w:szCs w:val="22"/>
          <w:highlight w:val="white"/>
        </w:rPr>
        <w:t>’), or inventory (‘</w:t>
      </w:r>
      <w:r w:rsidRPr="00B642CB">
        <w:rPr>
          <w:rFonts w:ascii="Cambria" w:hAnsi="Cambria"/>
          <w:bCs/>
          <w:i/>
          <w:iCs/>
          <w:sz w:val="22"/>
          <w:szCs w:val="22"/>
          <w:highlight w:val="white"/>
        </w:rPr>
        <w:t>inventoris</w:t>
      </w:r>
      <w:r w:rsidRPr="00B642CB">
        <w:rPr>
          <w:rFonts w:ascii="Cambria" w:hAnsi="Cambria"/>
          <w:bCs/>
          <w:sz w:val="22"/>
          <w:szCs w:val="22"/>
          <w:highlight w:val="white"/>
        </w:rPr>
        <w:t>’) in which they made known (‘</w:t>
      </w:r>
      <w:r w:rsidRPr="00B642CB">
        <w:rPr>
          <w:rFonts w:ascii="Cambria" w:hAnsi="Cambria"/>
          <w:bCs/>
          <w:i/>
          <w:iCs/>
          <w:sz w:val="22"/>
          <w:szCs w:val="22"/>
          <w:highlight w:val="white"/>
        </w:rPr>
        <w:t>te kennen gheven</w:t>
      </w:r>
      <w:r w:rsidRPr="00B642CB">
        <w:rPr>
          <w:rFonts w:ascii="Cambria" w:hAnsi="Cambria"/>
          <w:bCs/>
          <w:sz w:val="22"/>
          <w:szCs w:val="22"/>
          <w:highlight w:val="white"/>
        </w:rPr>
        <w:t>’), reported (‘</w:t>
      </w:r>
      <w:r w:rsidRPr="00B642CB">
        <w:rPr>
          <w:rFonts w:ascii="Cambria" w:hAnsi="Cambria"/>
          <w:bCs/>
          <w:i/>
          <w:iCs/>
          <w:sz w:val="22"/>
          <w:szCs w:val="22"/>
          <w:highlight w:val="white"/>
        </w:rPr>
        <w:t>relacie te doene</w:t>
      </w:r>
      <w:r w:rsidRPr="00B642CB">
        <w:rPr>
          <w:rFonts w:ascii="Cambria" w:hAnsi="Cambria"/>
          <w:bCs/>
          <w:sz w:val="22"/>
          <w:szCs w:val="22"/>
          <w:highlight w:val="white"/>
        </w:rPr>
        <w:t>’, ‘</w:t>
      </w:r>
      <w:r w:rsidRPr="00B642CB">
        <w:rPr>
          <w:rFonts w:ascii="Cambria" w:hAnsi="Cambria"/>
          <w:bCs/>
          <w:i/>
          <w:iCs/>
          <w:sz w:val="22"/>
          <w:szCs w:val="22"/>
          <w:highlight w:val="white"/>
        </w:rPr>
        <w:t>verhalene</w:t>
      </w:r>
      <w:r w:rsidRPr="00B642CB">
        <w:rPr>
          <w:rFonts w:ascii="Cambria" w:hAnsi="Cambria"/>
          <w:bCs/>
          <w:sz w:val="22"/>
          <w:szCs w:val="22"/>
          <w:highlight w:val="white"/>
        </w:rPr>
        <w:t>’,</w:t>
      </w:r>
      <w:r w:rsidRPr="00B642CB">
        <w:rPr>
          <w:rFonts w:ascii="Cambria" w:hAnsi="Cambria"/>
          <w:bCs/>
          <w:i/>
          <w:iCs/>
          <w:sz w:val="22"/>
          <w:szCs w:val="22"/>
          <w:highlight w:val="white"/>
        </w:rPr>
        <w:t xml:space="preserve"> </w:t>
      </w:r>
      <w:r w:rsidRPr="00B642CB">
        <w:rPr>
          <w:rFonts w:ascii="Cambria" w:hAnsi="Cambria"/>
          <w:bCs/>
          <w:sz w:val="22"/>
          <w:szCs w:val="22"/>
          <w:highlight w:val="white"/>
        </w:rPr>
        <w:t>‘</w:t>
      </w:r>
      <w:r w:rsidRPr="00B642CB">
        <w:rPr>
          <w:rFonts w:ascii="Cambria" w:hAnsi="Cambria"/>
          <w:bCs/>
          <w:i/>
          <w:iCs/>
          <w:sz w:val="22"/>
          <w:szCs w:val="22"/>
          <w:highlight w:val="white"/>
        </w:rPr>
        <w:t>rapporteert</w:t>
      </w:r>
      <w:r w:rsidRPr="00B642CB">
        <w:rPr>
          <w:rFonts w:ascii="Cambria" w:hAnsi="Cambria"/>
          <w:bCs/>
          <w:sz w:val="22"/>
          <w:szCs w:val="22"/>
          <w:highlight w:val="white"/>
        </w:rPr>
        <w:t>’), declared (‘</w:t>
      </w:r>
      <w:r w:rsidRPr="00B642CB">
        <w:rPr>
          <w:rFonts w:ascii="Cambria" w:hAnsi="Cambria"/>
          <w:bCs/>
          <w:i/>
          <w:iCs/>
          <w:sz w:val="22"/>
          <w:szCs w:val="22"/>
          <w:highlight w:val="white"/>
        </w:rPr>
        <w:t>relateert</w:t>
      </w:r>
      <w:r w:rsidRPr="00B642CB">
        <w:rPr>
          <w:rFonts w:ascii="Cambria" w:hAnsi="Cambria"/>
          <w:bCs/>
          <w:sz w:val="22"/>
          <w:szCs w:val="22"/>
          <w:highlight w:val="white"/>
        </w:rPr>
        <w:t>’), explained (‘</w:t>
      </w:r>
      <w:r w:rsidRPr="00B642CB">
        <w:rPr>
          <w:rFonts w:ascii="Cambria" w:hAnsi="Cambria"/>
          <w:bCs/>
          <w:i/>
          <w:iCs/>
          <w:sz w:val="22"/>
          <w:szCs w:val="22"/>
          <w:highlight w:val="white"/>
        </w:rPr>
        <w:t>verclaersen</w:t>
      </w:r>
      <w:r w:rsidRPr="00B642CB">
        <w:rPr>
          <w:rFonts w:ascii="Cambria" w:hAnsi="Cambria"/>
          <w:bCs/>
          <w:sz w:val="22"/>
          <w:szCs w:val="22"/>
          <w:highlight w:val="white"/>
        </w:rPr>
        <w:t>’, ‘</w:t>
      </w:r>
      <w:r w:rsidRPr="00B642CB">
        <w:rPr>
          <w:rFonts w:ascii="Cambria" w:hAnsi="Cambria"/>
          <w:bCs/>
          <w:i/>
          <w:iCs/>
          <w:sz w:val="22"/>
          <w:szCs w:val="22"/>
          <w:highlight w:val="white"/>
        </w:rPr>
        <w:t>tooghen</w:t>
      </w:r>
      <w:r w:rsidRPr="00B642CB">
        <w:rPr>
          <w:rFonts w:ascii="Cambria" w:hAnsi="Cambria"/>
          <w:bCs/>
          <w:sz w:val="22"/>
          <w:szCs w:val="22"/>
          <w:highlight w:val="white"/>
        </w:rPr>
        <w:t>’), or justified (‘</w:t>
      </w:r>
      <w:r w:rsidRPr="00B642CB">
        <w:rPr>
          <w:rFonts w:ascii="Cambria" w:hAnsi="Cambria"/>
          <w:bCs/>
          <w:i/>
          <w:iCs/>
          <w:sz w:val="22"/>
          <w:szCs w:val="22"/>
          <w:highlight w:val="white"/>
        </w:rPr>
        <w:t>verandwoorden ende doen blijckene</w:t>
      </w:r>
      <w:r w:rsidRPr="00B642CB">
        <w:rPr>
          <w:rFonts w:ascii="Cambria" w:hAnsi="Cambria"/>
          <w:bCs/>
          <w:sz w:val="22"/>
          <w:szCs w:val="22"/>
          <w:highlight w:val="white"/>
        </w:rPr>
        <w:t xml:space="preserve">’) their conduct. Moreover, </w:t>
      </w:r>
      <w:r w:rsidRPr="00B642CB">
        <w:rPr>
          <w:rFonts w:ascii="Cambria" w:hAnsi="Cambria"/>
          <w:bCs/>
          <w:sz w:val="22"/>
          <w:szCs w:val="22"/>
        </w:rPr>
        <w:t>governors and officers were obligated to draft accounts explaining where their revenues had gone and justifying their expenses (‘</w:t>
      </w:r>
      <w:r w:rsidRPr="00B642CB">
        <w:rPr>
          <w:rFonts w:ascii="Cambria" w:hAnsi="Cambria"/>
          <w:bCs/>
          <w:i/>
          <w:iCs/>
          <w:sz w:val="22"/>
          <w:szCs w:val="22"/>
        </w:rPr>
        <w:t>rendre compte</w:t>
      </w:r>
      <w:r w:rsidRPr="00B642CB">
        <w:rPr>
          <w:rFonts w:ascii="Cambria" w:hAnsi="Cambria"/>
          <w:bCs/>
          <w:sz w:val="22"/>
          <w:szCs w:val="22"/>
        </w:rPr>
        <w:t>’, ‘</w:t>
      </w:r>
      <w:r w:rsidRPr="00B642CB">
        <w:rPr>
          <w:rFonts w:ascii="Cambria" w:hAnsi="Cambria"/>
          <w:bCs/>
          <w:i/>
          <w:iCs/>
          <w:sz w:val="22"/>
          <w:szCs w:val="22"/>
        </w:rPr>
        <w:t>comptes</w:t>
      </w:r>
      <w:r w:rsidRPr="00B642CB">
        <w:rPr>
          <w:rFonts w:ascii="Cambria" w:hAnsi="Cambria"/>
          <w:bCs/>
          <w:sz w:val="22"/>
          <w:szCs w:val="22"/>
        </w:rPr>
        <w:t>’, ‘</w:t>
      </w:r>
      <w:r w:rsidRPr="00B642CB">
        <w:rPr>
          <w:rFonts w:ascii="Cambria" w:hAnsi="Cambria"/>
          <w:bCs/>
          <w:i/>
          <w:iCs/>
          <w:sz w:val="22"/>
          <w:szCs w:val="22"/>
        </w:rPr>
        <w:t>compter</w:t>
      </w:r>
      <w:r w:rsidRPr="00B642CB">
        <w:rPr>
          <w:rFonts w:ascii="Cambria" w:hAnsi="Cambria"/>
          <w:bCs/>
          <w:sz w:val="22"/>
          <w:szCs w:val="22"/>
        </w:rPr>
        <w:t>’, ‘</w:t>
      </w:r>
      <w:r w:rsidRPr="00B642CB">
        <w:rPr>
          <w:rFonts w:ascii="Cambria" w:hAnsi="Cambria"/>
          <w:bCs/>
          <w:i/>
          <w:iCs/>
          <w:sz w:val="22"/>
          <w:szCs w:val="22"/>
        </w:rPr>
        <w:t>rekeninghe doen</w:t>
      </w:r>
      <w:r w:rsidRPr="00B642CB">
        <w:rPr>
          <w:rFonts w:ascii="Cambria" w:hAnsi="Cambria"/>
          <w:bCs/>
          <w:sz w:val="22"/>
          <w:szCs w:val="22"/>
        </w:rPr>
        <w:t>’, ‘</w:t>
      </w:r>
      <w:r w:rsidRPr="00B642CB">
        <w:rPr>
          <w:rFonts w:ascii="Cambria" w:hAnsi="Cambria"/>
          <w:bCs/>
          <w:i/>
          <w:iCs/>
          <w:sz w:val="22"/>
          <w:szCs w:val="22"/>
        </w:rPr>
        <w:t>rekeninghe gheven</w:t>
      </w:r>
      <w:r w:rsidRPr="00B642CB">
        <w:rPr>
          <w:rFonts w:ascii="Cambria" w:hAnsi="Cambria"/>
          <w:bCs/>
          <w:sz w:val="22"/>
          <w:szCs w:val="22"/>
        </w:rPr>
        <w:t>’, ‘</w:t>
      </w:r>
      <w:r w:rsidRPr="00B642CB">
        <w:rPr>
          <w:rFonts w:ascii="Cambria" w:hAnsi="Cambria"/>
          <w:bCs/>
          <w:i/>
          <w:iCs/>
          <w:sz w:val="22"/>
          <w:szCs w:val="22"/>
        </w:rPr>
        <w:t>gherekent</w:t>
      </w:r>
      <w:r w:rsidRPr="00B642CB">
        <w:rPr>
          <w:rFonts w:ascii="Cambria" w:hAnsi="Cambria"/>
          <w:bCs/>
          <w:sz w:val="22"/>
          <w:szCs w:val="22"/>
        </w:rPr>
        <w:t>’). The practices of registering, reporting, and rendering accounts had continued to expand from the twelfth century onwards, constituting what some scholars have termed a ‘documentary revolution’.</w:t>
      </w:r>
      <w:r w:rsidRPr="00B642CB">
        <w:rPr>
          <w:rStyle w:val="FootnoteReference"/>
          <w:rFonts w:ascii="Cambria" w:hAnsi="Cambria"/>
          <w:bCs/>
          <w:sz w:val="22"/>
          <w:szCs w:val="22"/>
        </w:rPr>
        <w:footnoteReference w:id="57"/>
      </w:r>
      <w:r w:rsidRPr="00B642CB">
        <w:rPr>
          <w:rFonts w:ascii="Cambria" w:hAnsi="Cambria"/>
          <w:bCs/>
          <w:sz w:val="22"/>
          <w:szCs w:val="22"/>
        </w:rPr>
        <w:t xml:space="preserve"> The mass of parchments and papers was meant to support the bureaucratic expansions of the late Middle Ages and keep track of govern</w:t>
      </w:r>
      <w:r w:rsidRPr="00B642CB">
        <w:rPr>
          <w:rFonts w:ascii="Cambria" w:hAnsi="Cambria"/>
          <w:bCs/>
          <w:sz w:val="22"/>
          <w:szCs w:val="22"/>
          <w:highlight w:val="white"/>
        </w:rPr>
        <w:t>ors’ and officers’ movements, actions, decisions, and conduct.</w:t>
      </w:r>
      <w:r w:rsidRPr="00B642CB">
        <w:rPr>
          <w:rStyle w:val="FootnoteReference"/>
          <w:rFonts w:ascii="Cambria" w:hAnsi="Cambria"/>
          <w:bCs/>
          <w:sz w:val="22"/>
          <w:szCs w:val="22"/>
          <w:highlight w:val="white"/>
        </w:rPr>
        <w:footnoteReference w:id="58"/>
      </w:r>
    </w:p>
    <w:p w14:paraId="634C97E8"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rPr>
      </w:pPr>
      <w:r w:rsidRPr="00B642CB">
        <w:rPr>
          <w:rFonts w:ascii="Cambria" w:hAnsi="Cambria"/>
          <w:bCs/>
          <w:sz w:val="22"/>
          <w:szCs w:val="22"/>
        </w:rPr>
        <w:t xml:space="preserve">In the Council of Flanders, the </w:t>
      </w:r>
      <w:r w:rsidRPr="00B642CB">
        <w:rPr>
          <w:rFonts w:ascii="Cambria" w:hAnsi="Cambria"/>
          <w:bCs/>
          <w:i/>
          <w:iCs/>
          <w:sz w:val="22"/>
          <w:szCs w:val="22"/>
        </w:rPr>
        <w:t>procureur-generaal</w:t>
      </w:r>
      <w:r w:rsidRPr="00B642CB">
        <w:rPr>
          <w:rFonts w:ascii="Cambria" w:hAnsi="Cambria"/>
          <w:bCs/>
          <w:sz w:val="22"/>
          <w:szCs w:val="22"/>
        </w:rPr>
        <w:t xml:space="preserve">—a kind of public prosecutor charged with representing the Count’s interests in court—was, for instance, obliged </w:t>
      </w:r>
      <w:r w:rsidRPr="00B642CB">
        <w:rPr>
          <w:rFonts w:ascii="Cambria" w:hAnsi="Cambria"/>
          <w:bCs/>
          <w:sz w:val="22"/>
          <w:szCs w:val="22"/>
          <w:highlight w:val="white"/>
        </w:rPr>
        <w:t>‘to keep a register of all the things that he, as prosecutor, had pending before the said court’ (‘</w:t>
      </w:r>
      <w:r w:rsidRPr="00B642CB">
        <w:rPr>
          <w:rFonts w:ascii="Cambria" w:hAnsi="Cambria"/>
          <w:bCs/>
          <w:i/>
          <w:iCs/>
          <w:sz w:val="22"/>
          <w:szCs w:val="22"/>
          <w:highlight w:val="white"/>
        </w:rPr>
        <w:t>te houdene registre van allen den zaken die hij als procureur hanghende heeft in de voorseide</w:t>
      </w:r>
      <w:r w:rsidRPr="00B642CB">
        <w:rPr>
          <w:rFonts w:ascii="Cambria" w:hAnsi="Cambria"/>
          <w:bCs/>
          <w:i/>
          <w:iCs/>
          <w:sz w:val="22"/>
          <w:szCs w:val="22"/>
        </w:rPr>
        <w:t xml:space="preserve"> </w:t>
      </w:r>
      <w:r w:rsidRPr="00B642CB">
        <w:rPr>
          <w:rFonts w:ascii="Cambria" w:hAnsi="Cambria"/>
          <w:bCs/>
          <w:i/>
          <w:iCs/>
          <w:sz w:val="22"/>
          <w:szCs w:val="22"/>
          <w:highlight w:val="white"/>
        </w:rPr>
        <w:t>camere</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59"/>
      </w:r>
      <w:r w:rsidRPr="00B642CB">
        <w:rPr>
          <w:rFonts w:ascii="Cambria" w:hAnsi="Cambria"/>
          <w:bCs/>
          <w:sz w:val="22"/>
          <w:szCs w:val="22"/>
        </w:rPr>
        <w:t xml:space="preserve"> At the comital level as well, bailiffs, tasked with representing comital authority and maintaining public order, were prolific producers of accounts. They were responsible for detecting crime, gathering evidence, convening the aldermen, requesting them to sentence suspects, supervising convicted offenders, and executing verdicts. Bailiffs </w:t>
      </w:r>
      <w:r w:rsidRPr="00B642CB">
        <w:rPr>
          <w:rFonts w:ascii="Cambria" w:hAnsi="Cambria"/>
          <w:bCs/>
          <w:sz w:val="22"/>
          <w:szCs w:val="22"/>
          <w:highlight w:val="white"/>
        </w:rPr>
        <w:t>collected various fines, compositions—monetary settlements that allowed alleged offenders to buy their way out of prosecution— and other revenues that belonged to the comital treasury rather than to the bailiff himself.</w:t>
      </w:r>
      <w:r w:rsidRPr="00B642CB">
        <w:rPr>
          <w:rStyle w:val="FootnoteReference"/>
          <w:rFonts w:ascii="Cambria" w:hAnsi="Cambria"/>
          <w:bCs/>
          <w:sz w:val="22"/>
          <w:szCs w:val="22"/>
          <w:highlight w:val="white"/>
        </w:rPr>
        <w:footnoteReference w:id="60"/>
      </w:r>
      <w:r w:rsidRPr="00B642CB">
        <w:rPr>
          <w:rFonts w:ascii="Cambria" w:hAnsi="Cambria"/>
          <w:bCs/>
          <w:sz w:val="22"/>
          <w:szCs w:val="22"/>
        </w:rPr>
        <w:t xml:space="preserve"> </w:t>
      </w:r>
      <w:r w:rsidRPr="00B642CB">
        <w:rPr>
          <w:rFonts w:ascii="Cambria" w:hAnsi="Cambria"/>
          <w:bCs/>
          <w:sz w:val="22"/>
          <w:szCs w:val="22"/>
          <w:highlight w:val="white"/>
        </w:rPr>
        <w:t>The accounts that a bailiff had been required to draft were thus considered the best means ‘to account for the actions of his office’ (‘</w:t>
      </w:r>
      <w:r w:rsidRPr="00B642CB">
        <w:rPr>
          <w:rFonts w:ascii="Cambria" w:hAnsi="Cambria"/>
          <w:bCs/>
          <w:i/>
          <w:iCs/>
          <w:sz w:val="22"/>
          <w:szCs w:val="22"/>
          <w:highlight w:val="white"/>
        </w:rPr>
        <w:t>compter du fait de son office</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61"/>
      </w:r>
      <w:r w:rsidRPr="00B642CB">
        <w:rPr>
          <w:rFonts w:ascii="Cambria" w:hAnsi="Cambria"/>
          <w:bCs/>
          <w:sz w:val="22"/>
          <w:szCs w:val="22"/>
          <w:highlight w:val="white"/>
        </w:rPr>
        <w:t xml:space="preserve"> According to an instruction issued by the Flemish Chamber of Accounts, bailiffs had to carefully register all their revenues and expenses. Moreover</w:t>
      </w:r>
      <w:r w:rsidRPr="00B642CB">
        <w:rPr>
          <w:rFonts w:ascii="Cambria" w:hAnsi="Cambria"/>
          <w:bCs/>
          <w:sz w:val="22"/>
          <w:szCs w:val="22"/>
        </w:rPr>
        <w:t xml:space="preserve">, for some of </w:t>
      </w:r>
      <w:r w:rsidRPr="00B642CB">
        <w:rPr>
          <w:rFonts w:ascii="Cambria" w:hAnsi="Cambria"/>
          <w:bCs/>
          <w:sz w:val="22"/>
          <w:szCs w:val="22"/>
        </w:rPr>
        <w:lastRenderedPageBreak/>
        <w:t>their revenues and nearly all expenditures, the bailiffs also had to submit ‘letters of receipt, certificates, and verifications’ (‘</w:t>
      </w:r>
      <w:proofErr w:type="spellStart"/>
      <w:r w:rsidRPr="00B642CB">
        <w:rPr>
          <w:rFonts w:ascii="Cambria" w:hAnsi="Cambria"/>
          <w:bCs/>
          <w:i/>
          <w:iCs/>
          <w:sz w:val="22"/>
          <w:szCs w:val="22"/>
        </w:rPr>
        <w:t>lettres</w:t>
      </w:r>
      <w:proofErr w:type="spellEnd"/>
      <w:r w:rsidRPr="00B642CB">
        <w:rPr>
          <w:rFonts w:ascii="Cambria" w:hAnsi="Cambria"/>
          <w:bCs/>
          <w:i/>
          <w:iCs/>
          <w:sz w:val="22"/>
          <w:szCs w:val="22"/>
        </w:rPr>
        <w:t xml:space="preserve"> de quittance, </w:t>
      </w:r>
      <w:proofErr w:type="spellStart"/>
      <w:r w:rsidRPr="00B642CB">
        <w:rPr>
          <w:rFonts w:ascii="Cambria" w:hAnsi="Cambria"/>
          <w:bCs/>
          <w:i/>
          <w:iCs/>
          <w:sz w:val="22"/>
          <w:szCs w:val="22"/>
        </w:rPr>
        <w:t>certifficacions</w:t>
      </w:r>
      <w:proofErr w:type="spellEnd"/>
      <w:r w:rsidRPr="00B642CB">
        <w:rPr>
          <w:rFonts w:ascii="Cambria" w:hAnsi="Cambria"/>
          <w:bCs/>
          <w:i/>
          <w:iCs/>
          <w:sz w:val="22"/>
          <w:szCs w:val="22"/>
        </w:rPr>
        <w:t xml:space="preserve"> et </w:t>
      </w:r>
      <w:proofErr w:type="spellStart"/>
      <w:r w:rsidRPr="00B642CB">
        <w:rPr>
          <w:rFonts w:ascii="Cambria" w:hAnsi="Cambria"/>
          <w:bCs/>
          <w:i/>
          <w:iCs/>
          <w:sz w:val="22"/>
          <w:szCs w:val="22"/>
        </w:rPr>
        <w:t>verifficacions</w:t>
      </w:r>
      <w:proofErr w:type="spellEnd"/>
      <w:r w:rsidRPr="00B642CB">
        <w:rPr>
          <w:rFonts w:ascii="Cambria" w:hAnsi="Cambria"/>
          <w:bCs/>
          <w:sz w:val="22"/>
          <w:szCs w:val="22"/>
        </w:rPr>
        <w:t>’).</w:t>
      </w:r>
      <w:r w:rsidRPr="00B642CB">
        <w:rPr>
          <w:rStyle w:val="FootnoteReference"/>
          <w:rFonts w:ascii="Cambria" w:hAnsi="Cambria"/>
          <w:bCs/>
          <w:sz w:val="22"/>
          <w:szCs w:val="22"/>
        </w:rPr>
        <w:footnoteReference w:id="62"/>
      </w:r>
      <w:r w:rsidRPr="00B642CB">
        <w:rPr>
          <w:rFonts w:ascii="Cambria" w:hAnsi="Cambria"/>
          <w:bCs/>
          <w:sz w:val="22"/>
          <w:szCs w:val="22"/>
        </w:rPr>
        <w:t xml:space="preserve"> These supporting documents were deemed necessary,  since without them,</w:t>
      </w:r>
      <w:r w:rsidRPr="00B642CB">
        <w:rPr>
          <w:rFonts w:ascii="Cambria" w:hAnsi="Cambria"/>
          <w:bCs/>
          <w:sz w:val="22"/>
          <w:szCs w:val="22"/>
          <w:highlight w:val="white"/>
        </w:rPr>
        <w:t xml:space="preserve"> ‘one cannot truly know whether the said sums thus taken as expenses are paid’ (‘</w:t>
      </w:r>
      <w:r w:rsidRPr="00B642CB">
        <w:rPr>
          <w:rFonts w:ascii="Cambria" w:hAnsi="Cambria"/>
          <w:bCs/>
          <w:i/>
          <w:iCs/>
          <w:sz w:val="22"/>
          <w:szCs w:val="22"/>
          <w:highlight w:val="white"/>
        </w:rPr>
        <w:t xml:space="preserve">l’on ne </w:t>
      </w:r>
      <w:proofErr w:type="spellStart"/>
      <w:r w:rsidRPr="00B642CB">
        <w:rPr>
          <w:rFonts w:ascii="Cambria" w:hAnsi="Cambria"/>
          <w:bCs/>
          <w:i/>
          <w:iCs/>
          <w:sz w:val="22"/>
          <w:szCs w:val="22"/>
          <w:highlight w:val="white"/>
        </w:rPr>
        <w:t>peut</w:t>
      </w:r>
      <w:proofErr w:type="spellEnd"/>
      <w:r w:rsidRPr="00B642CB">
        <w:rPr>
          <w:rFonts w:ascii="Cambria" w:hAnsi="Cambria"/>
          <w:bCs/>
          <w:i/>
          <w:iCs/>
          <w:sz w:val="22"/>
          <w:szCs w:val="22"/>
          <w:highlight w:val="white"/>
        </w:rPr>
        <w:t xml:space="preserve"> savoir au vray se </w:t>
      </w:r>
      <w:proofErr w:type="spellStart"/>
      <w:r w:rsidRPr="00B642CB">
        <w:rPr>
          <w:rFonts w:ascii="Cambria" w:hAnsi="Cambria"/>
          <w:bCs/>
          <w:i/>
          <w:iCs/>
          <w:sz w:val="22"/>
          <w:szCs w:val="22"/>
          <w:highlight w:val="white"/>
        </w:rPr>
        <w:t>lesdites</w:t>
      </w:r>
      <w:proofErr w:type="spellEnd"/>
      <w:r w:rsidRPr="00B642CB">
        <w:rPr>
          <w:rFonts w:ascii="Cambria" w:hAnsi="Cambria"/>
          <w:bCs/>
          <w:i/>
          <w:iCs/>
          <w:sz w:val="22"/>
          <w:szCs w:val="22"/>
          <w:highlight w:val="white"/>
        </w:rPr>
        <w:t xml:space="preserve"> </w:t>
      </w:r>
      <w:proofErr w:type="spellStart"/>
      <w:r w:rsidRPr="00B642CB">
        <w:rPr>
          <w:rFonts w:ascii="Cambria" w:hAnsi="Cambria"/>
          <w:bCs/>
          <w:i/>
          <w:iCs/>
          <w:sz w:val="22"/>
          <w:szCs w:val="22"/>
          <w:highlight w:val="white"/>
        </w:rPr>
        <w:t>sommes</w:t>
      </w:r>
      <w:proofErr w:type="spellEnd"/>
      <w:r w:rsidRPr="00B642CB">
        <w:rPr>
          <w:rFonts w:ascii="Cambria" w:hAnsi="Cambria"/>
          <w:bCs/>
          <w:i/>
          <w:iCs/>
          <w:sz w:val="22"/>
          <w:szCs w:val="22"/>
          <w:highlight w:val="white"/>
        </w:rPr>
        <w:t xml:space="preserve"> </w:t>
      </w:r>
      <w:proofErr w:type="spellStart"/>
      <w:r w:rsidRPr="00B642CB">
        <w:rPr>
          <w:rFonts w:ascii="Cambria" w:hAnsi="Cambria"/>
          <w:bCs/>
          <w:i/>
          <w:iCs/>
          <w:sz w:val="22"/>
          <w:szCs w:val="22"/>
          <w:highlight w:val="white"/>
        </w:rPr>
        <w:t>ainsi</w:t>
      </w:r>
      <w:proofErr w:type="spellEnd"/>
      <w:r w:rsidRPr="00B642CB">
        <w:rPr>
          <w:rFonts w:ascii="Cambria" w:hAnsi="Cambria"/>
          <w:bCs/>
          <w:i/>
          <w:iCs/>
          <w:sz w:val="22"/>
          <w:szCs w:val="22"/>
          <w:highlight w:val="white"/>
        </w:rPr>
        <w:t xml:space="preserve"> </w:t>
      </w:r>
      <w:proofErr w:type="spellStart"/>
      <w:r w:rsidRPr="00B642CB">
        <w:rPr>
          <w:rFonts w:ascii="Cambria" w:hAnsi="Cambria"/>
          <w:bCs/>
          <w:i/>
          <w:iCs/>
          <w:sz w:val="22"/>
          <w:szCs w:val="22"/>
          <w:highlight w:val="white"/>
        </w:rPr>
        <w:t>prinses</w:t>
      </w:r>
      <w:proofErr w:type="spellEnd"/>
      <w:r w:rsidRPr="00B642CB">
        <w:rPr>
          <w:rFonts w:ascii="Cambria" w:hAnsi="Cambria"/>
          <w:bCs/>
          <w:i/>
          <w:iCs/>
          <w:sz w:val="22"/>
          <w:szCs w:val="22"/>
          <w:highlight w:val="white"/>
        </w:rPr>
        <w:t xml:space="preserve"> en </w:t>
      </w:r>
      <w:proofErr w:type="spellStart"/>
      <w:r w:rsidRPr="00B642CB">
        <w:rPr>
          <w:rFonts w:ascii="Cambria" w:hAnsi="Cambria"/>
          <w:bCs/>
          <w:i/>
          <w:iCs/>
          <w:sz w:val="22"/>
          <w:szCs w:val="22"/>
          <w:highlight w:val="white"/>
        </w:rPr>
        <w:t>despense</w:t>
      </w:r>
      <w:proofErr w:type="spellEnd"/>
      <w:r w:rsidRPr="00B642CB">
        <w:rPr>
          <w:rFonts w:ascii="Cambria" w:hAnsi="Cambria"/>
          <w:bCs/>
          <w:i/>
          <w:iCs/>
          <w:sz w:val="22"/>
          <w:szCs w:val="22"/>
          <w:highlight w:val="white"/>
        </w:rPr>
        <w:t xml:space="preserve"> sont payees</w:t>
      </w:r>
      <w:r w:rsidRPr="00B642CB">
        <w:rPr>
          <w:rFonts w:ascii="Cambria" w:hAnsi="Cambria"/>
          <w:bCs/>
          <w:sz w:val="22"/>
          <w:szCs w:val="22"/>
          <w:highlight w:val="white"/>
        </w:rPr>
        <w:t>’)</w:t>
      </w:r>
      <w:r w:rsidRPr="00B642CB">
        <w:rPr>
          <w:rFonts w:ascii="Cambria" w:hAnsi="Cambria"/>
          <w:bCs/>
          <w:sz w:val="22"/>
          <w:szCs w:val="22"/>
        </w:rPr>
        <w:t>.</w:t>
      </w:r>
      <w:r w:rsidRPr="00B642CB">
        <w:rPr>
          <w:rStyle w:val="FootnoteReference"/>
          <w:rFonts w:ascii="Cambria" w:hAnsi="Cambria"/>
          <w:bCs/>
          <w:sz w:val="22"/>
          <w:szCs w:val="22"/>
        </w:rPr>
        <w:footnoteReference w:id="63"/>
      </w:r>
    </w:p>
    <w:p w14:paraId="0C6C82F0"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rPr>
      </w:pPr>
      <w:r w:rsidRPr="00B642CB">
        <w:rPr>
          <w:rFonts w:ascii="Cambria" w:hAnsi="Cambria"/>
          <w:bCs/>
          <w:sz w:val="22"/>
          <w:szCs w:val="22"/>
          <w:highlight w:val="white"/>
        </w:rPr>
        <w:t>In</w:t>
      </w:r>
      <w:r w:rsidRPr="00B642CB">
        <w:rPr>
          <w:rFonts w:ascii="Cambria" w:hAnsi="Cambria"/>
          <w:bCs/>
          <w:sz w:val="22"/>
          <w:szCs w:val="22"/>
        </w:rPr>
        <w:t xml:space="preserve"> addition to bailiffs, the aldermen and urban officers of most large Flemish towns were also required to maintain detailed accounts of their revenues and expenses</w:t>
      </w:r>
      <w:r w:rsidRPr="00B642CB">
        <w:rPr>
          <w:rFonts w:ascii="Cambria" w:hAnsi="Cambria"/>
          <w:bCs/>
          <w:sz w:val="22"/>
          <w:szCs w:val="22"/>
          <w:highlight w:val="white"/>
        </w:rPr>
        <w:t xml:space="preserve">. This </w:t>
      </w:r>
      <w:r w:rsidRPr="00B642CB">
        <w:rPr>
          <w:rFonts w:ascii="Cambria" w:hAnsi="Cambria"/>
          <w:bCs/>
          <w:sz w:val="22"/>
          <w:szCs w:val="22"/>
        </w:rPr>
        <w:t>was not only to manage the common funds of the city, but also to explain to both the counts and their subjects where the money had gone</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64"/>
      </w:r>
      <w:r w:rsidRPr="00B642CB">
        <w:rPr>
          <w:rFonts w:ascii="Cambria" w:hAnsi="Cambria"/>
          <w:bCs/>
          <w:sz w:val="22"/>
          <w:szCs w:val="22"/>
          <w:highlight w:val="white"/>
        </w:rPr>
        <w:t xml:space="preserve"> On 17 April 1488, the craft guilds of Bruges wanted to verify where the money which various citizens had lent to urban government, together with other pennies, had been spent. To this end, they demanded to see the urban accounts: ‘Furthermore, they desire the accounts […] of the loans which the citizens and inhabitants of this city have granted, and where these, and all other pennies have gone’ (‘</w:t>
      </w:r>
      <w:r w:rsidRPr="00B642CB">
        <w:rPr>
          <w:rFonts w:ascii="Cambria" w:hAnsi="Cambria"/>
          <w:bCs/>
          <w:i/>
          <w:iCs/>
          <w:sz w:val="22"/>
          <w:szCs w:val="22"/>
          <w:highlight w:val="white"/>
        </w:rPr>
        <w:t xml:space="preserve">Voord zo begheeren zy rekenynghe […] van den leenynghe die den poorters ende </w:t>
      </w:r>
      <w:proofErr w:type="spellStart"/>
      <w:r w:rsidRPr="00B642CB">
        <w:rPr>
          <w:rFonts w:ascii="Cambria" w:hAnsi="Cambria"/>
          <w:bCs/>
          <w:i/>
          <w:iCs/>
          <w:sz w:val="22"/>
          <w:szCs w:val="22"/>
          <w:highlight w:val="white"/>
        </w:rPr>
        <w:t>inzetene</w:t>
      </w:r>
      <w:proofErr w:type="spellEnd"/>
      <w:r w:rsidRPr="00B642CB">
        <w:rPr>
          <w:rFonts w:ascii="Cambria" w:hAnsi="Cambria"/>
          <w:bCs/>
          <w:i/>
          <w:iCs/>
          <w:sz w:val="22"/>
          <w:szCs w:val="22"/>
          <w:highlight w:val="white"/>
        </w:rPr>
        <w:t xml:space="preserve"> van dezer stede es ghedaen doen, ende waer deze, ende alle andere </w:t>
      </w:r>
      <w:proofErr w:type="spellStart"/>
      <w:r w:rsidRPr="00B642CB">
        <w:rPr>
          <w:rFonts w:ascii="Cambria" w:hAnsi="Cambria"/>
          <w:bCs/>
          <w:i/>
          <w:iCs/>
          <w:sz w:val="22"/>
          <w:szCs w:val="22"/>
          <w:highlight w:val="white"/>
        </w:rPr>
        <w:t>pennighen</w:t>
      </w:r>
      <w:proofErr w:type="spellEnd"/>
      <w:r w:rsidRPr="00B642CB">
        <w:rPr>
          <w:rFonts w:ascii="Cambria" w:hAnsi="Cambria"/>
          <w:bCs/>
          <w:i/>
          <w:iCs/>
          <w:sz w:val="22"/>
          <w:szCs w:val="22"/>
          <w:highlight w:val="white"/>
        </w:rPr>
        <w:t xml:space="preserve"> ghenadert zijn</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65"/>
      </w:r>
    </w:p>
    <w:p w14:paraId="39E7FAFE"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rPr>
      </w:pPr>
      <w:r w:rsidRPr="00B642CB">
        <w:rPr>
          <w:rFonts w:ascii="Cambria" w:hAnsi="Cambria"/>
          <w:bCs/>
          <w:sz w:val="22"/>
          <w:szCs w:val="22"/>
        </w:rPr>
        <w:t>Both the commissioners of the Chamber of Accounts and the craft guilds of Bruges recognised the acts of registering, reporting, and rendering accounts or supporting documents as effective earthly means of monitoring official conduct</w:t>
      </w:r>
      <w:r w:rsidRPr="00B642CB">
        <w:rPr>
          <w:rFonts w:ascii="Cambria" w:hAnsi="Cambria"/>
          <w:bCs/>
          <w:sz w:val="22"/>
          <w:szCs w:val="22"/>
          <w:highlight w:val="white"/>
        </w:rPr>
        <w:t>.</w:t>
      </w:r>
      <w:r w:rsidRPr="00B642CB">
        <w:rPr>
          <w:rFonts w:ascii="Cambria" w:hAnsi="Cambria"/>
          <w:bCs/>
          <w:sz w:val="22"/>
          <w:szCs w:val="22"/>
        </w:rPr>
        <w:t xml:space="preserve"> But</w:t>
      </w:r>
      <w:r w:rsidRPr="00B642CB">
        <w:rPr>
          <w:rFonts w:ascii="Cambria" w:hAnsi="Cambria"/>
          <w:bCs/>
          <w:sz w:val="22"/>
          <w:szCs w:val="22"/>
          <w:highlight w:val="white"/>
        </w:rPr>
        <w:t xml:space="preserve"> could these accounts and registers be trusted without question? The short answer is not necessarily.</w:t>
      </w:r>
      <w:r w:rsidRPr="00B642CB">
        <w:rPr>
          <w:rFonts w:ascii="Cambria" w:hAnsi="Cambria"/>
          <w:bCs/>
          <w:sz w:val="22"/>
          <w:szCs w:val="22"/>
        </w:rPr>
        <w:t xml:space="preserve"> Indeed, a</w:t>
      </w:r>
      <w:r w:rsidRPr="00B642CB">
        <w:rPr>
          <w:rFonts w:ascii="Cambria" w:hAnsi="Cambria"/>
          <w:bCs/>
          <w:sz w:val="22"/>
          <w:szCs w:val="22"/>
          <w:highlight w:val="white"/>
        </w:rPr>
        <w:t>s Wielant observed, there was always a real risk that a governor or officer ‘writes differently from what is true’ (‘</w:t>
      </w:r>
      <w:r w:rsidRPr="00B642CB">
        <w:rPr>
          <w:rFonts w:ascii="Cambria" w:hAnsi="Cambria"/>
          <w:bCs/>
          <w:i/>
          <w:iCs/>
          <w:sz w:val="22"/>
          <w:szCs w:val="22"/>
          <w:highlight w:val="white"/>
        </w:rPr>
        <w:t>anders scryft dant waer es</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66"/>
      </w:r>
      <w:r w:rsidRPr="00B642CB">
        <w:rPr>
          <w:rFonts w:ascii="Cambria" w:hAnsi="Cambria"/>
          <w:bCs/>
          <w:sz w:val="22"/>
          <w:szCs w:val="22"/>
          <w:highlight w:val="white"/>
        </w:rPr>
        <w:t xml:space="preserve"> Whether through intention or </w:t>
      </w:r>
      <w:r w:rsidRPr="00B642CB">
        <w:rPr>
          <w:rFonts w:ascii="Cambria" w:hAnsi="Cambria"/>
          <w:bCs/>
          <w:sz w:val="22"/>
          <w:szCs w:val="22"/>
        </w:rPr>
        <w:t>oversight, governors’ and officers’ accounts could be</w:t>
      </w:r>
      <w:r w:rsidRPr="00B642CB">
        <w:rPr>
          <w:rFonts w:ascii="Cambria" w:hAnsi="Cambria"/>
          <w:bCs/>
          <w:sz w:val="22"/>
          <w:szCs w:val="22"/>
          <w:highlight w:val="white"/>
        </w:rPr>
        <w:t xml:space="preserve"> incomplete, incorrect, or even </w:t>
      </w:r>
      <w:r w:rsidRPr="00B642CB">
        <w:rPr>
          <w:rFonts w:ascii="Cambria" w:hAnsi="Cambria"/>
          <w:bCs/>
          <w:sz w:val="22"/>
          <w:szCs w:val="22"/>
        </w:rPr>
        <w:t>falsified. The possibility that their accounts could be false made informing, inquiring, and interrogating the next necessary steps towards establishing the truth.</w:t>
      </w:r>
    </w:p>
    <w:p w14:paraId="1394B8E5" w14:textId="77777777" w:rsidR="00B642CB" w:rsidRPr="00B642CB" w:rsidRDefault="00B642CB" w:rsidP="00B642CB">
      <w:pPr>
        <w:pStyle w:val="Heading2"/>
        <w:spacing w:line="276" w:lineRule="auto"/>
        <w:jc w:val="both"/>
        <w:rPr>
          <w:rFonts w:ascii="Cambria" w:hAnsi="Cambria"/>
          <w:b/>
          <w:i/>
          <w:iCs/>
          <w:color w:val="auto"/>
          <w:sz w:val="22"/>
          <w:szCs w:val="22"/>
        </w:rPr>
      </w:pPr>
      <w:r w:rsidRPr="00B642CB">
        <w:rPr>
          <w:rFonts w:ascii="Cambria" w:hAnsi="Cambria"/>
          <w:color w:val="auto"/>
          <w:sz w:val="22"/>
          <w:szCs w:val="22"/>
          <w:highlight w:val="white"/>
        </w:rPr>
        <w:t xml:space="preserve">Establishing the Truth: Informing, Inquiring, Interrogating </w:t>
      </w:r>
    </w:p>
    <w:p w14:paraId="4B85DBC5"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lang w:val="en-US"/>
        </w:rPr>
      </w:pPr>
      <w:r w:rsidRPr="00B642CB">
        <w:rPr>
          <w:rFonts w:ascii="Cambria" w:hAnsi="Cambria"/>
          <w:bCs/>
          <w:sz w:val="22"/>
          <w:szCs w:val="22"/>
          <w:highlight w:val="white"/>
          <w:lang w:val="en-US"/>
        </w:rPr>
        <w:t>Medieval governments and subjects set up various types of investigations to ensure that the records handed over by governors and officers were correct. These investigations took different forms but were generally guided by the scholastic belief that humans can establish the truth through systematic inquiry.</w:t>
      </w:r>
      <w:r w:rsidRPr="00B642CB">
        <w:rPr>
          <w:rStyle w:val="FootnoteReference"/>
          <w:rFonts w:ascii="Cambria" w:hAnsi="Cambria"/>
          <w:bCs/>
          <w:sz w:val="22"/>
          <w:szCs w:val="22"/>
          <w:highlight w:val="white"/>
        </w:rPr>
        <w:footnoteReference w:id="67"/>
      </w:r>
      <w:r w:rsidRPr="00B642CB">
        <w:rPr>
          <w:rFonts w:ascii="Cambria" w:hAnsi="Cambria"/>
          <w:bCs/>
          <w:sz w:val="22"/>
          <w:szCs w:val="22"/>
        </w:rPr>
        <w:t xml:space="preserve"> </w:t>
      </w:r>
      <w:r w:rsidRPr="00B642CB">
        <w:rPr>
          <w:rFonts w:ascii="Cambria" w:hAnsi="Cambria"/>
          <w:bCs/>
          <w:sz w:val="22"/>
          <w:szCs w:val="22"/>
          <w:highlight w:val="white"/>
          <w:lang w:val="en-US"/>
        </w:rPr>
        <w:t>They aimed to inspect (‘</w:t>
      </w:r>
      <w:r w:rsidRPr="00B642CB">
        <w:rPr>
          <w:rFonts w:ascii="Cambria" w:hAnsi="Cambria"/>
          <w:bCs/>
          <w:i/>
          <w:iCs/>
          <w:sz w:val="22"/>
          <w:szCs w:val="22"/>
          <w:highlight w:val="white"/>
          <w:lang w:val="en-US"/>
        </w:rPr>
        <w:t>zien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oversien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voir et visiter</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visitation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visenteren ende overlesen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contrerolle ghedaen</w:t>
      </w:r>
      <w:r w:rsidRPr="00B642CB">
        <w:rPr>
          <w:rFonts w:ascii="Cambria" w:hAnsi="Cambria"/>
          <w:bCs/>
          <w:sz w:val="22"/>
          <w:szCs w:val="22"/>
          <w:highlight w:val="white"/>
          <w:lang w:val="en-US"/>
        </w:rPr>
        <w:t>’), informing (‘</w:t>
      </w:r>
      <w:r w:rsidRPr="00B642CB">
        <w:rPr>
          <w:rFonts w:ascii="Cambria" w:hAnsi="Cambria"/>
          <w:bCs/>
          <w:i/>
          <w:iCs/>
          <w:sz w:val="22"/>
          <w:szCs w:val="22"/>
          <w:highlight w:val="white"/>
          <w:lang w:val="en-US"/>
        </w:rPr>
        <w:t>informacie nemen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informer</w:t>
      </w:r>
      <w:r w:rsidRPr="00B642CB">
        <w:rPr>
          <w:rFonts w:ascii="Cambria" w:hAnsi="Cambria"/>
          <w:bCs/>
          <w:sz w:val="22"/>
          <w:szCs w:val="22"/>
          <w:highlight w:val="white"/>
          <w:lang w:val="en-US"/>
        </w:rPr>
        <w:t>’), investigating (‘</w:t>
      </w:r>
      <w:r w:rsidRPr="00B642CB">
        <w:rPr>
          <w:rFonts w:ascii="Cambria" w:hAnsi="Cambria"/>
          <w:bCs/>
          <w:i/>
          <w:iCs/>
          <w:sz w:val="22"/>
          <w:szCs w:val="22"/>
          <w:highlight w:val="white"/>
          <w:lang w:val="en-US"/>
        </w:rPr>
        <w:t>ondersoucken</w:t>
      </w:r>
      <w:r w:rsidRPr="00B642CB">
        <w:rPr>
          <w:rFonts w:ascii="Cambria" w:hAnsi="Cambria"/>
          <w:bCs/>
          <w:sz w:val="22"/>
          <w:szCs w:val="22"/>
          <w:highlight w:val="white"/>
          <w:lang w:val="en-US"/>
        </w:rPr>
        <w:t>’), inquiring (‘</w:t>
      </w:r>
      <w:r w:rsidRPr="00B642CB">
        <w:rPr>
          <w:rFonts w:ascii="Cambria" w:hAnsi="Cambria"/>
          <w:bCs/>
          <w:i/>
          <w:iCs/>
          <w:sz w:val="22"/>
          <w:szCs w:val="22"/>
          <w:highlight w:val="white"/>
          <w:lang w:val="en-US"/>
        </w:rPr>
        <w:t>enquérir de l’estat des officiers</w:t>
      </w:r>
      <w:r w:rsidRPr="00B642CB">
        <w:rPr>
          <w:rFonts w:ascii="Cambria" w:hAnsi="Cambria"/>
          <w:bCs/>
          <w:sz w:val="22"/>
          <w:szCs w:val="22"/>
          <w:highlight w:val="white"/>
          <w:lang w:val="en-US"/>
        </w:rPr>
        <w:t>’), interrogating (‘</w:t>
      </w:r>
      <w:r w:rsidRPr="00B642CB">
        <w:rPr>
          <w:rFonts w:ascii="Cambria" w:hAnsi="Cambria"/>
          <w:bCs/>
          <w:i/>
          <w:iCs/>
          <w:sz w:val="22"/>
          <w:szCs w:val="22"/>
          <w:highlight w:val="white"/>
          <w:lang w:val="en-US"/>
        </w:rPr>
        <w:t>interrogierene</w:t>
      </w:r>
      <w:r w:rsidRPr="00B642CB">
        <w:rPr>
          <w:rFonts w:ascii="Cambria" w:hAnsi="Cambria"/>
          <w:bCs/>
          <w:sz w:val="22"/>
          <w:szCs w:val="22"/>
          <w:highlight w:val="white"/>
          <w:lang w:val="en-US"/>
        </w:rPr>
        <w:t>’), and auditing (‘</w:t>
      </w:r>
      <w:r w:rsidRPr="00B642CB">
        <w:rPr>
          <w:rFonts w:ascii="Cambria" w:hAnsi="Cambria"/>
          <w:bCs/>
          <w:i/>
          <w:iCs/>
          <w:sz w:val="22"/>
          <w:szCs w:val="22"/>
          <w:highlight w:val="white"/>
          <w:lang w:val="en-US"/>
        </w:rPr>
        <w:t>auditie</w:t>
      </w:r>
      <w:r w:rsidRPr="00B642CB">
        <w:rPr>
          <w:rFonts w:ascii="Cambria" w:hAnsi="Cambria"/>
          <w:bCs/>
          <w:sz w:val="22"/>
          <w:szCs w:val="22"/>
          <w:highlight w:val="white"/>
          <w:lang w:val="en-US"/>
        </w:rPr>
        <w:t>’) the registers and conduct of governors and officers.</w:t>
      </w:r>
    </w:p>
    <w:p w14:paraId="694CDF58"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lang w:val="en-US"/>
        </w:rPr>
      </w:pPr>
      <w:r w:rsidRPr="00B642CB">
        <w:rPr>
          <w:rFonts w:ascii="Cambria" w:hAnsi="Cambria"/>
          <w:bCs/>
          <w:i/>
          <w:iCs/>
          <w:sz w:val="22"/>
          <w:szCs w:val="22"/>
          <w:highlight w:val="white"/>
        </w:rPr>
        <w:lastRenderedPageBreak/>
        <w:tab/>
      </w:r>
      <w:r w:rsidRPr="00B642CB">
        <w:rPr>
          <w:rFonts w:ascii="Cambria" w:hAnsi="Cambria"/>
          <w:bCs/>
          <w:sz w:val="22"/>
          <w:szCs w:val="22"/>
          <w:highlight w:val="white"/>
          <w:lang w:val="en-US"/>
        </w:rPr>
        <w:t xml:space="preserve">At the level of the county of Flanders, the </w:t>
      </w:r>
      <w:r w:rsidRPr="00B642CB">
        <w:rPr>
          <w:rFonts w:ascii="Cambria" w:hAnsi="Cambria"/>
          <w:bCs/>
          <w:i/>
          <w:iCs/>
          <w:sz w:val="22"/>
          <w:szCs w:val="22"/>
          <w:highlight w:val="white"/>
          <w:lang w:val="en-US"/>
        </w:rPr>
        <w:t xml:space="preserve">procureur-generaal </w:t>
      </w:r>
      <w:r w:rsidRPr="00B642CB">
        <w:rPr>
          <w:rFonts w:ascii="Cambria" w:hAnsi="Cambria"/>
          <w:bCs/>
          <w:sz w:val="22"/>
          <w:szCs w:val="22"/>
          <w:highlight w:val="white"/>
          <w:lang w:val="en-US"/>
        </w:rPr>
        <w:t>of the Council of Flanders was obliged to hand over his register ‘once a month, and at all times that he is ordered to do so’ (‘</w:t>
      </w:r>
      <w:proofErr w:type="spellStart"/>
      <w:r w:rsidRPr="00B642CB">
        <w:rPr>
          <w:rFonts w:ascii="Cambria" w:hAnsi="Cambria"/>
          <w:bCs/>
          <w:i/>
          <w:iCs/>
          <w:sz w:val="22"/>
          <w:szCs w:val="22"/>
          <w:highlight w:val="white"/>
          <w:lang w:val="en-US"/>
        </w:rPr>
        <w:t>eens</w:t>
      </w:r>
      <w:proofErr w:type="spellEnd"/>
      <w:r w:rsidRPr="00B642CB">
        <w:rPr>
          <w:rFonts w:ascii="Cambria" w:hAnsi="Cambria"/>
          <w:bCs/>
          <w:i/>
          <w:iCs/>
          <w:sz w:val="22"/>
          <w:szCs w:val="22"/>
          <w:highlight w:val="white"/>
          <w:lang w:val="en-US"/>
        </w:rPr>
        <w:t xml:space="preserve"> de maent, ende </w:t>
      </w:r>
      <w:proofErr w:type="spellStart"/>
      <w:r w:rsidRPr="00B642CB">
        <w:rPr>
          <w:rFonts w:ascii="Cambria" w:hAnsi="Cambria"/>
          <w:bCs/>
          <w:i/>
          <w:iCs/>
          <w:sz w:val="22"/>
          <w:szCs w:val="22"/>
          <w:highlight w:val="white"/>
          <w:lang w:val="en-US"/>
        </w:rPr>
        <w:t>voort</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tallen</w:t>
      </w:r>
      <w:proofErr w:type="spellEnd"/>
      <w:r w:rsidRPr="00B642CB">
        <w:rPr>
          <w:rFonts w:ascii="Cambria" w:hAnsi="Cambria"/>
          <w:bCs/>
          <w:i/>
          <w:iCs/>
          <w:sz w:val="22"/>
          <w:szCs w:val="22"/>
          <w:highlight w:val="white"/>
          <w:lang w:val="en-US"/>
        </w:rPr>
        <w:t xml:space="preserve"> tijden als </w:t>
      </w:r>
      <w:proofErr w:type="spellStart"/>
      <w:r w:rsidRPr="00B642CB">
        <w:rPr>
          <w:rFonts w:ascii="Cambria" w:hAnsi="Cambria"/>
          <w:bCs/>
          <w:i/>
          <w:iCs/>
          <w:sz w:val="22"/>
          <w:szCs w:val="22"/>
          <w:highlight w:val="white"/>
          <w:lang w:val="en-US"/>
        </w:rPr>
        <w:t>hijs</w:t>
      </w:r>
      <w:proofErr w:type="spellEnd"/>
      <w:r w:rsidRPr="00B642CB">
        <w:rPr>
          <w:rFonts w:ascii="Cambria" w:hAnsi="Cambria"/>
          <w:bCs/>
          <w:i/>
          <w:iCs/>
          <w:sz w:val="22"/>
          <w:szCs w:val="22"/>
          <w:highlight w:val="white"/>
          <w:lang w:val="en-US"/>
        </w:rPr>
        <w:t xml:space="preserve"> vermaent werdt</w:t>
      </w:r>
      <w:r w:rsidRPr="00B642CB">
        <w:rPr>
          <w:rFonts w:ascii="Cambria" w:hAnsi="Cambria"/>
          <w:bCs/>
          <w:sz w:val="22"/>
          <w:szCs w:val="22"/>
          <w:highlight w:val="white"/>
          <w:lang w:val="en-US"/>
        </w:rPr>
        <w:t>’).</w:t>
      </w:r>
      <w:r w:rsidRPr="00B642CB">
        <w:rPr>
          <w:rStyle w:val="FootnoteReference"/>
          <w:rFonts w:ascii="Cambria" w:hAnsi="Cambria"/>
          <w:bCs/>
          <w:sz w:val="22"/>
          <w:szCs w:val="22"/>
        </w:rPr>
        <w:footnoteReference w:id="68"/>
      </w:r>
      <w:r w:rsidRPr="00B642CB">
        <w:rPr>
          <w:rFonts w:ascii="Cambria" w:hAnsi="Cambria"/>
          <w:bCs/>
          <w:sz w:val="22"/>
          <w:szCs w:val="22"/>
          <w:lang w:val="en-US"/>
        </w:rPr>
        <w:t xml:space="preserve"> Similarly</w:t>
      </w:r>
      <w:r w:rsidRPr="00B642CB">
        <w:rPr>
          <w:rFonts w:ascii="Cambria" w:hAnsi="Cambria"/>
          <w:bCs/>
          <w:sz w:val="22"/>
          <w:szCs w:val="22"/>
          <w:highlight w:val="white"/>
          <w:lang w:val="en-US"/>
        </w:rPr>
        <w:t>, bailiffs had to submit their accounts to the Flemish Chamber of Accounts ‘three times a year, each time for a whole week’ (‘</w:t>
      </w:r>
      <w:r w:rsidRPr="00B642CB">
        <w:rPr>
          <w:rFonts w:ascii="Cambria" w:hAnsi="Cambria"/>
          <w:bCs/>
          <w:i/>
          <w:iCs/>
          <w:sz w:val="22"/>
          <w:szCs w:val="22"/>
          <w:highlight w:val="white"/>
          <w:lang w:val="en-US"/>
        </w:rPr>
        <w:t xml:space="preserve">trois fois en l’an, </w:t>
      </w:r>
      <w:proofErr w:type="spellStart"/>
      <w:r w:rsidRPr="00B642CB">
        <w:rPr>
          <w:rFonts w:ascii="Cambria" w:hAnsi="Cambria"/>
          <w:bCs/>
          <w:i/>
          <w:iCs/>
          <w:sz w:val="22"/>
          <w:szCs w:val="22"/>
          <w:highlight w:val="white"/>
          <w:lang w:val="en-US"/>
        </w:rPr>
        <w:t>durant</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chacune</w:t>
      </w:r>
      <w:proofErr w:type="spellEnd"/>
      <w:r w:rsidRPr="00B642CB">
        <w:rPr>
          <w:rFonts w:ascii="Cambria" w:hAnsi="Cambria"/>
          <w:bCs/>
          <w:i/>
          <w:iCs/>
          <w:sz w:val="22"/>
          <w:szCs w:val="22"/>
          <w:highlight w:val="white"/>
          <w:lang w:val="en-US"/>
        </w:rPr>
        <w:t xml:space="preserve"> fois par une </w:t>
      </w:r>
      <w:proofErr w:type="spellStart"/>
      <w:r w:rsidRPr="00B642CB">
        <w:rPr>
          <w:rFonts w:ascii="Cambria" w:hAnsi="Cambria"/>
          <w:bCs/>
          <w:i/>
          <w:iCs/>
          <w:sz w:val="22"/>
          <w:szCs w:val="22"/>
          <w:highlight w:val="white"/>
          <w:lang w:val="en-US"/>
        </w:rPr>
        <w:t>sepmaine</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entiere</w:t>
      </w:r>
      <w:proofErr w:type="spellEnd"/>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69"/>
      </w:r>
      <w:r w:rsidRPr="00B642CB">
        <w:rPr>
          <w:rFonts w:ascii="Cambria" w:hAnsi="Cambria"/>
          <w:bCs/>
          <w:sz w:val="22"/>
          <w:szCs w:val="22"/>
          <w:lang w:val="en-US"/>
        </w:rPr>
        <w:t xml:space="preserve"> </w:t>
      </w:r>
      <w:r w:rsidRPr="00B642CB">
        <w:rPr>
          <w:rFonts w:ascii="Cambria" w:hAnsi="Cambria"/>
          <w:bCs/>
          <w:sz w:val="22"/>
          <w:szCs w:val="22"/>
          <w:highlight w:val="white"/>
          <w:lang w:val="en-US"/>
        </w:rPr>
        <w:t>During this time, the commissioners inspected the accounts to ensure they were complete, accurate, and supported by the necessary documents.</w:t>
      </w:r>
      <w:r w:rsidRPr="00B642CB">
        <w:rPr>
          <w:rFonts w:ascii="Cambria" w:hAnsi="Cambria"/>
          <w:bCs/>
          <w:sz w:val="22"/>
          <w:szCs w:val="22"/>
          <w:lang w:val="en-US"/>
        </w:rPr>
        <w:t xml:space="preserve"> If a bailiff’s account was found lacking, he was required to make corrections as quickly as possible</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70"/>
      </w:r>
      <w:r w:rsidRPr="00B642CB">
        <w:rPr>
          <w:rFonts w:ascii="Cambria" w:hAnsi="Cambria"/>
          <w:bCs/>
          <w:sz w:val="22"/>
          <w:szCs w:val="22"/>
          <w:highlight w:val="white"/>
          <w:lang w:val="en-US"/>
        </w:rPr>
        <w:t xml:space="preserve"> The same obligations applied to other governors and officers serving the Burgundian dukes, as demonstrated by the following example involving Wielant.</w:t>
      </w:r>
      <w:r w:rsidRPr="00B642CB">
        <w:rPr>
          <w:rFonts w:ascii="Cambria" w:hAnsi="Cambria"/>
          <w:bCs/>
          <w:sz w:val="22"/>
          <w:szCs w:val="22"/>
          <w:lang w:val="en-US"/>
        </w:rPr>
        <w:t xml:space="preserve"> </w:t>
      </w:r>
      <w:r w:rsidRPr="00B642CB">
        <w:rPr>
          <w:rFonts w:ascii="Cambria" w:hAnsi="Cambria"/>
          <w:bCs/>
          <w:sz w:val="22"/>
          <w:szCs w:val="22"/>
          <w:highlight w:val="white"/>
          <w:lang w:val="en-US"/>
        </w:rPr>
        <w:t>As a councillor of the Great Council of the Burgundian Low Countries, he had been sent to the county of Holland, which came under the authority of the Burgundian dukes in 1428.</w:t>
      </w:r>
      <w:r w:rsidRPr="00B642CB">
        <w:rPr>
          <w:rStyle w:val="FootnoteReference"/>
          <w:rFonts w:ascii="Cambria" w:hAnsi="Cambria"/>
          <w:bCs/>
          <w:sz w:val="22"/>
          <w:szCs w:val="22"/>
          <w:highlight w:val="white"/>
        </w:rPr>
        <w:footnoteReference w:id="71"/>
      </w:r>
      <w:r w:rsidRPr="00B642CB">
        <w:rPr>
          <w:rFonts w:ascii="Cambria" w:hAnsi="Cambria"/>
          <w:bCs/>
          <w:sz w:val="22"/>
          <w:szCs w:val="22"/>
          <w:lang w:val="en-US"/>
        </w:rPr>
        <w:t xml:space="preserve"> </w:t>
      </w:r>
      <w:r w:rsidRPr="00B642CB">
        <w:rPr>
          <w:rFonts w:ascii="Cambria" w:hAnsi="Cambria"/>
          <w:bCs/>
          <w:sz w:val="22"/>
          <w:szCs w:val="22"/>
          <w:highlight w:val="white"/>
          <w:lang w:val="en-US"/>
        </w:rPr>
        <w:t>Together with a fellow councillor, Wielant summoned Jan Gerytzone and Augustine van Teylinge.</w:t>
      </w:r>
      <w:r w:rsidRPr="00B642CB">
        <w:rPr>
          <w:rFonts w:ascii="Cambria" w:hAnsi="Cambria"/>
          <w:bCs/>
          <w:sz w:val="22"/>
          <w:szCs w:val="22"/>
          <w:lang w:val="en-US"/>
        </w:rPr>
        <w:t xml:space="preserve"> The order stated that the latter had collected an unspecified toll but only handed over</w:t>
      </w:r>
      <w:r w:rsidRPr="00B642CB">
        <w:rPr>
          <w:rFonts w:ascii="Cambria" w:hAnsi="Cambria"/>
          <w:bCs/>
          <w:sz w:val="22"/>
          <w:szCs w:val="22"/>
          <w:highlight w:val="white"/>
          <w:lang w:val="en-US"/>
        </w:rPr>
        <w:t xml:space="preserve"> ‘a dark account without any argumentation or other proof’ (‘</w:t>
      </w:r>
      <w:r w:rsidRPr="00B642CB">
        <w:rPr>
          <w:rFonts w:ascii="Cambria" w:hAnsi="Cambria"/>
          <w:bCs/>
          <w:i/>
          <w:iCs/>
          <w:sz w:val="22"/>
          <w:szCs w:val="22"/>
          <w:lang w:val="en-US"/>
        </w:rPr>
        <w:t>een doncker rekeninge sonder eenich argumenten of ander bewijs</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72"/>
      </w:r>
      <w:r w:rsidRPr="00B642CB">
        <w:rPr>
          <w:rFonts w:ascii="Cambria" w:hAnsi="Cambria"/>
          <w:bCs/>
          <w:sz w:val="22"/>
          <w:szCs w:val="22"/>
          <w:lang w:val="en-US"/>
        </w:rPr>
        <w:t xml:space="preserve"> In response to their negligence, Gerytzone and van Teylinge were summoned to Holland’s Chamber of Accounts in The Hague to provide sufficient evidence and clarifications. </w:t>
      </w:r>
      <w:r w:rsidRPr="00B642CB">
        <w:rPr>
          <w:rFonts w:ascii="Cambria" w:hAnsi="Cambria"/>
          <w:bCs/>
          <w:sz w:val="22"/>
          <w:szCs w:val="22"/>
          <w:highlight w:val="white"/>
          <w:lang w:val="en-US"/>
        </w:rPr>
        <w:t xml:space="preserve">Should they fail to do so, </w:t>
      </w:r>
      <w:r w:rsidRPr="00B642CB">
        <w:rPr>
          <w:rFonts w:ascii="Cambria" w:hAnsi="Cambria"/>
          <w:bCs/>
          <w:sz w:val="22"/>
          <w:szCs w:val="22"/>
          <w:lang w:val="en-US"/>
        </w:rPr>
        <w:t>Wielant was to fine them and take their case to the Great Council of the Burgundian Low Countries</w:t>
      </w:r>
      <w:r w:rsidRPr="00B642CB">
        <w:rPr>
          <w:rFonts w:ascii="Cambria" w:hAnsi="Cambria"/>
          <w:bCs/>
          <w:sz w:val="22"/>
          <w:szCs w:val="22"/>
          <w:highlight w:val="white"/>
          <w:lang w:val="en-US"/>
        </w:rPr>
        <w:t>.</w:t>
      </w:r>
      <w:r w:rsidRPr="00B642CB">
        <w:rPr>
          <w:rStyle w:val="FootnoteReference"/>
          <w:rFonts w:ascii="Cambria" w:hAnsi="Cambria"/>
          <w:bCs/>
          <w:sz w:val="22"/>
          <w:szCs w:val="22"/>
        </w:rPr>
        <w:footnoteReference w:id="73"/>
      </w:r>
    </w:p>
    <w:p w14:paraId="45211773" w14:textId="77777777" w:rsidR="00B642CB" w:rsidRPr="00B642CB" w:rsidRDefault="00B642CB" w:rsidP="00B642CB">
      <w:pPr>
        <w:autoSpaceDE w:val="0"/>
        <w:autoSpaceDN w:val="0"/>
        <w:adjustRightInd w:val="0"/>
        <w:spacing w:line="276" w:lineRule="auto"/>
        <w:jc w:val="both"/>
        <w:rPr>
          <w:rFonts w:ascii="Cambria" w:hAnsi="Cambria"/>
          <w:bCs/>
          <w:sz w:val="22"/>
          <w:szCs w:val="22"/>
        </w:rPr>
      </w:pPr>
      <w:r w:rsidRPr="00B642CB">
        <w:rPr>
          <w:rFonts w:ascii="Cambria" w:hAnsi="Cambria"/>
          <w:bCs/>
          <w:sz w:val="22"/>
          <w:szCs w:val="22"/>
          <w:highlight w:val="white"/>
          <w:lang w:val="en-US"/>
        </w:rPr>
        <w:tab/>
        <w:t>The inquiries mentioned above assessed whether the reports and accounts of comital officers met the necessary requirements. Verifying their factual accuracy was the responsibility of the Controller of the Officers of Flanders (‘</w:t>
      </w:r>
      <w:r w:rsidRPr="00B642CB">
        <w:rPr>
          <w:rFonts w:ascii="Cambria" w:hAnsi="Cambria"/>
          <w:bCs/>
          <w:i/>
          <w:iCs/>
          <w:sz w:val="22"/>
          <w:szCs w:val="22"/>
          <w:highlight w:val="white"/>
          <w:lang w:val="en-US"/>
        </w:rPr>
        <w:t>controlleur des officiers de Flandre</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74"/>
      </w:r>
      <w:r w:rsidRPr="00B642CB">
        <w:rPr>
          <w:rFonts w:ascii="Cambria" w:hAnsi="Cambria"/>
          <w:bCs/>
          <w:sz w:val="22"/>
          <w:szCs w:val="22"/>
          <w:highlight w:val="white"/>
        </w:rPr>
        <w:t xml:space="preserve"> </w:t>
      </w:r>
      <w:r w:rsidRPr="00B642CB">
        <w:rPr>
          <w:rFonts w:ascii="Cambria" w:hAnsi="Cambria"/>
          <w:bCs/>
          <w:sz w:val="22"/>
          <w:szCs w:val="22"/>
          <w:highlight w:val="white"/>
          <w:lang w:val="en-US"/>
        </w:rPr>
        <w:t>The Controller was tasked with investigating the financial management of various officers.</w:t>
      </w:r>
      <w:r w:rsidRPr="00B642CB">
        <w:rPr>
          <w:rStyle w:val="FootnoteReference"/>
          <w:rFonts w:ascii="Cambria" w:hAnsi="Cambria"/>
          <w:bCs/>
          <w:sz w:val="22"/>
          <w:szCs w:val="22"/>
        </w:rPr>
        <w:footnoteReference w:id="75"/>
      </w:r>
      <w:r w:rsidRPr="00B642CB">
        <w:rPr>
          <w:rFonts w:ascii="Cambria" w:hAnsi="Cambria"/>
          <w:bCs/>
          <w:sz w:val="22"/>
          <w:szCs w:val="22"/>
          <w:highlight w:val="white"/>
          <w:lang w:val="en-US"/>
        </w:rPr>
        <w:t xml:space="preserve"> </w:t>
      </w:r>
      <w:r w:rsidRPr="00B642CB">
        <w:rPr>
          <w:rFonts w:ascii="Cambria" w:hAnsi="Cambria"/>
          <w:bCs/>
          <w:sz w:val="22"/>
          <w:szCs w:val="22"/>
          <w:lang w:val="en-US"/>
        </w:rPr>
        <w:t>He had the authority to oversee inspections of bailiffs’ accounts and travel to their jurisdictions to</w:t>
      </w:r>
      <w:r w:rsidRPr="00B642CB">
        <w:rPr>
          <w:rFonts w:ascii="Cambria" w:hAnsi="Cambria"/>
          <w:bCs/>
          <w:sz w:val="22"/>
          <w:szCs w:val="22"/>
          <w:highlight w:val="white"/>
          <w:lang w:val="en-US"/>
        </w:rPr>
        <w:t xml:space="preserve"> ‘inform about their conduct’ (‘</w:t>
      </w:r>
      <w:proofErr w:type="spellStart"/>
      <w:r w:rsidRPr="00B642CB">
        <w:rPr>
          <w:rFonts w:ascii="Cambria" w:hAnsi="Cambria"/>
          <w:bCs/>
          <w:i/>
          <w:iCs/>
          <w:sz w:val="22"/>
          <w:szCs w:val="22"/>
          <w:highlight w:val="white"/>
          <w:lang w:val="en-US"/>
        </w:rPr>
        <w:t>infourmer</w:t>
      </w:r>
      <w:proofErr w:type="spellEnd"/>
      <w:r w:rsidRPr="00B642CB">
        <w:rPr>
          <w:rFonts w:ascii="Cambria" w:hAnsi="Cambria"/>
          <w:bCs/>
          <w:i/>
          <w:iCs/>
          <w:sz w:val="22"/>
          <w:szCs w:val="22"/>
          <w:highlight w:val="white"/>
          <w:lang w:val="en-US"/>
        </w:rPr>
        <w:t xml:space="preserve"> de leur </w:t>
      </w:r>
      <w:proofErr w:type="spellStart"/>
      <w:r w:rsidRPr="00B642CB">
        <w:rPr>
          <w:rFonts w:ascii="Cambria" w:hAnsi="Cambria"/>
          <w:bCs/>
          <w:i/>
          <w:iCs/>
          <w:sz w:val="22"/>
          <w:szCs w:val="22"/>
          <w:highlight w:val="white"/>
          <w:lang w:val="en-US"/>
        </w:rPr>
        <w:t>portement</w:t>
      </w:r>
      <w:proofErr w:type="spellEnd"/>
      <w:r w:rsidRPr="00B642CB">
        <w:rPr>
          <w:rFonts w:ascii="Cambria" w:hAnsi="Cambria"/>
          <w:bCs/>
          <w:sz w:val="22"/>
          <w:szCs w:val="22"/>
          <w:highlight w:val="white"/>
          <w:lang w:val="en-US"/>
        </w:rPr>
        <w:t>’) and ‘the exercise of their office’ (‘</w:t>
      </w:r>
      <w:proofErr w:type="spellStart"/>
      <w:r w:rsidRPr="00B642CB">
        <w:rPr>
          <w:rFonts w:ascii="Cambria" w:hAnsi="Cambria"/>
          <w:bCs/>
          <w:i/>
          <w:iCs/>
          <w:sz w:val="22"/>
          <w:szCs w:val="22"/>
          <w:highlight w:val="white"/>
          <w:lang w:val="en-US"/>
        </w:rPr>
        <w:t>l’excercice</w:t>
      </w:r>
      <w:proofErr w:type="spellEnd"/>
      <w:r w:rsidRPr="00B642CB">
        <w:rPr>
          <w:rFonts w:ascii="Cambria" w:hAnsi="Cambria"/>
          <w:bCs/>
          <w:i/>
          <w:iCs/>
          <w:sz w:val="22"/>
          <w:szCs w:val="22"/>
          <w:highlight w:val="white"/>
          <w:lang w:val="en-US"/>
        </w:rPr>
        <w:t xml:space="preserve"> de leurs offices</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76"/>
      </w:r>
      <w:r w:rsidRPr="00B642CB">
        <w:rPr>
          <w:rFonts w:ascii="Cambria" w:hAnsi="Cambria"/>
          <w:bCs/>
          <w:sz w:val="22"/>
          <w:szCs w:val="22"/>
        </w:rPr>
        <w:t xml:space="preserve"> </w:t>
      </w:r>
      <w:r w:rsidRPr="00B642CB">
        <w:rPr>
          <w:rFonts w:ascii="Cambria" w:hAnsi="Cambria"/>
          <w:bCs/>
          <w:sz w:val="22"/>
          <w:szCs w:val="22"/>
          <w:highlight w:val="white"/>
          <w:lang w:val="en-US"/>
        </w:rPr>
        <w:t>In 1480, for instance, Oste van der Mote conducted an investigation into the accounts of Cornelis Arcke, the bailiff of Damme.</w:t>
      </w:r>
      <w:r w:rsidRPr="00B642CB">
        <w:rPr>
          <w:rFonts w:ascii="Cambria" w:hAnsi="Cambria"/>
          <w:bCs/>
          <w:sz w:val="22"/>
          <w:szCs w:val="22"/>
          <w:lang w:val="en-US"/>
        </w:rPr>
        <w:t xml:space="preserve"> </w:t>
      </w:r>
      <w:r w:rsidRPr="00B642CB">
        <w:rPr>
          <w:rFonts w:ascii="Cambria" w:hAnsi="Cambria"/>
          <w:bCs/>
          <w:sz w:val="22"/>
          <w:szCs w:val="22"/>
          <w:highlight w:val="white"/>
          <w:lang w:val="en-US"/>
        </w:rPr>
        <w:t>After questioning local governors and various subjects, Oste concluded that Cornelis had consistently recorded sums lower than what he had actually collected and had even completely omitted several revenues from his accounts</w:t>
      </w:r>
      <w:r w:rsidRPr="00B642CB">
        <w:rPr>
          <w:rFonts w:ascii="Cambria" w:hAnsi="Cambria"/>
          <w:bCs/>
          <w:sz w:val="22"/>
          <w:szCs w:val="22"/>
        </w:rPr>
        <w:t>.</w:t>
      </w:r>
      <w:r w:rsidRPr="00B642CB">
        <w:rPr>
          <w:rStyle w:val="FootnoteReference"/>
          <w:rFonts w:ascii="Cambria" w:hAnsi="Cambria"/>
          <w:bCs/>
          <w:sz w:val="22"/>
          <w:szCs w:val="22"/>
        </w:rPr>
        <w:footnoteReference w:id="77"/>
      </w:r>
      <w:r w:rsidRPr="00B642CB">
        <w:rPr>
          <w:rFonts w:ascii="Cambria" w:hAnsi="Cambria"/>
          <w:bCs/>
          <w:sz w:val="22"/>
          <w:szCs w:val="22"/>
        </w:rPr>
        <w:t xml:space="preserve"> </w:t>
      </w:r>
    </w:p>
    <w:p w14:paraId="218D6082" w14:textId="77777777" w:rsidR="00B642CB" w:rsidRPr="00B642CB" w:rsidRDefault="00B642CB" w:rsidP="00B642CB">
      <w:pPr>
        <w:autoSpaceDE w:val="0"/>
        <w:autoSpaceDN w:val="0"/>
        <w:adjustRightInd w:val="0"/>
        <w:spacing w:line="276" w:lineRule="auto"/>
        <w:jc w:val="both"/>
        <w:rPr>
          <w:rFonts w:ascii="Cambria" w:hAnsi="Cambria"/>
          <w:bCs/>
          <w:sz w:val="22"/>
          <w:szCs w:val="22"/>
        </w:rPr>
      </w:pPr>
      <w:r w:rsidRPr="00B642CB">
        <w:rPr>
          <w:rFonts w:ascii="Cambria" w:hAnsi="Cambria"/>
          <w:bCs/>
          <w:sz w:val="22"/>
          <w:szCs w:val="22"/>
          <w:lang w:val="en-US"/>
        </w:rPr>
        <w:tab/>
        <w:t>At</w:t>
      </w:r>
      <w:r w:rsidRPr="00B642CB">
        <w:rPr>
          <w:rFonts w:ascii="Cambria" w:hAnsi="Cambria"/>
          <w:bCs/>
          <w:sz w:val="22"/>
          <w:szCs w:val="22"/>
          <w:highlight w:val="white"/>
          <w:lang w:val="en-US"/>
        </w:rPr>
        <w:t xml:space="preserve"> an urban level, local governors and officers had long been required to submit their accounts to comital commissioners on a fixed day for annual auditing</w:t>
      </w:r>
      <w:r w:rsidRPr="00B642CB">
        <w:rPr>
          <w:rFonts w:ascii="Cambria" w:hAnsi="Cambria"/>
          <w:bCs/>
          <w:sz w:val="22"/>
          <w:szCs w:val="22"/>
          <w:lang w:val="en-US"/>
        </w:rPr>
        <w:t xml:space="preserve">: </w:t>
      </w:r>
      <w:r w:rsidRPr="00B642CB">
        <w:rPr>
          <w:rFonts w:ascii="Cambria" w:hAnsi="Cambria"/>
          <w:bCs/>
          <w:sz w:val="22"/>
          <w:szCs w:val="22"/>
          <w:highlight w:val="white"/>
          <w:lang w:val="en-US"/>
        </w:rPr>
        <w:t>in 1279, Count Guy of Dampierre (1226-1305) had asked his liege lord, King Philip III of France (1245-85), to issue an ordinance which obliged Flemish cities to have their accounts checked annually.</w:t>
      </w:r>
      <w:r w:rsidRPr="00B642CB">
        <w:rPr>
          <w:rFonts w:ascii="Cambria" w:hAnsi="Cambria"/>
          <w:bCs/>
          <w:sz w:val="22"/>
          <w:szCs w:val="22"/>
          <w:lang w:val="en-US"/>
        </w:rPr>
        <w:t xml:space="preserve"> But the Count was not the only one interested in these accounts</w:t>
      </w:r>
      <w:r w:rsidRPr="00B642CB">
        <w:rPr>
          <w:rFonts w:ascii="Cambria" w:hAnsi="Cambria"/>
          <w:bCs/>
          <w:sz w:val="22"/>
          <w:szCs w:val="22"/>
          <w:highlight w:val="white"/>
          <w:lang w:val="en-US"/>
        </w:rPr>
        <w:t>.</w:t>
      </w:r>
      <w:r w:rsidRPr="00B642CB">
        <w:rPr>
          <w:rFonts w:ascii="Cambria" w:hAnsi="Cambria"/>
          <w:bCs/>
          <w:sz w:val="22"/>
          <w:szCs w:val="22"/>
          <w:lang w:val="en-US"/>
        </w:rPr>
        <w:t xml:space="preserve"> Flemish craft guilds also sought access and </w:t>
      </w:r>
      <w:r w:rsidRPr="00B642CB">
        <w:rPr>
          <w:rFonts w:ascii="Cambria" w:hAnsi="Cambria"/>
          <w:bCs/>
          <w:sz w:val="22"/>
          <w:szCs w:val="22"/>
          <w:lang w:val="en-US"/>
        </w:rPr>
        <w:lastRenderedPageBreak/>
        <w:t>opposed inspections</w:t>
      </w:r>
      <w:r w:rsidRPr="00B642CB">
        <w:rPr>
          <w:rFonts w:ascii="Cambria" w:hAnsi="Cambria"/>
          <w:bCs/>
          <w:sz w:val="22"/>
          <w:szCs w:val="22"/>
          <w:highlight w:val="white"/>
          <w:lang w:val="en-US"/>
        </w:rPr>
        <w:t xml:space="preserve"> of urban accounts ‘</w:t>
      </w:r>
      <w:r w:rsidRPr="00B642CB">
        <w:rPr>
          <w:rFonts w:ascii="Cambria" w:hAnsi="Cambria"/>
          <w:bCs/>
          <w:i/>
          <w:iCs/>
          <w:sz w:val="22"/>
          <w:szCs w:val="22"/>
          <w:highlight w:val="white"/>
          <w:lang w:val="en-US"/>
        </w:rPr>
        <w:t xml:space="preserve">in </w:t>
      </w:r>
      <w:proofErr w:type="spellStart"/>
      <w:r w:rsidRPr="00B642CB">
        <w:rPr>
          <w:rFonts w:ascii="Cambria" w:hAnsi="Cambria"/>
          <w:bCs/>
          <w:i/>
          <w:iCs/>
          <w:sz w:val="22"/>
          <w:szCs w:val="22"/>
          <w:highlight w:val="white"/>
          <w:lang w:val="en-US"/>
        </w:rPr>
        <w:t>secreto</w:t>
      </w:r>
      <w:proofErr w:type="spellEnd"/>
      <w:r w:rsidRPr="00B642CB">
        <w:rPr>
          <w:rFonts w:ascii="Cambria" w:hAnsi="Cambria"/>
          <w:bCs/>
          <w:sz w:val="22"/>
          <w:szCs w:val="22"/>
          <w:highlight w:val="white"/>
          <w:lang w:val="en-US"/>
        </w:rPr>
        <w:t>’.</w:t>
      </w:r>
      <w:r w:rsidRPr="00B642CB">
        <w:rPr>
          <w:rStyle w:val="FootnoteReference"/>
          <w:rFonts w:ascii="Cambria" w:hAnsi="Cambria"/>
          <w:bCs/>
          <w:sz w:val="22"/>
          <w:szCs w:val="22"/>
        </w:rPr>
        <w:footnoteReference w:id="78"/>
      </w:r>
      <w:r w:rsidRPr="00B642CB">
        <w:rPr>
          <w:rFonts w:ascii="Cambria" w:hAnsi="Cambria"/>
          <w:bCs/>
          <w:sz w:val="22"/>
          <w:szCs w:val="22"/>
          <w:highlight w:val="white"/>
          <w:lang w:val="en-US"/>
        </w:rPr>
        <w:t xml:space="preserve"> In 1280, for instance, the craft guilds of Bruges presented a petition to the Count, demanding that the urban governors also provide them with a copy of their accounts.</w:t>
      </w:r>
      <w:r w:rsidRPr="00B642CB">
        <w:rPr>
          <w:rStyle w:val="FootnoteReference"/>
          <w:rFonts w:ascii="Cambria" w:hAnsi="Cambria"/>
          <w:bCs/>
          <w:sz w:val="22"/>
          <w:szCs w:val="22"/>
        </w:rPr>
        <w:t xml:space="preserve"> </w:t>
      </w:r>
      <w:r w:rsidRPr="00B642CB">
        <w:rPr>
          <w:rFonts w:ascii="Cambria" w:hAnsi="Cambria"/>
          <w:bCs/>
          <w:sz w:val="22"/>
          <w:szCs w:val="22"/>
          <w:highlight w:val="white"/>
          <w:lang w:val="en-US"/>
        </w:rPr>
        <w:t>They argued that the ordinance issued a year earlier by Philip III had granted them the right to inspect accounts, but that the governors of Bruges, had yet to give them access.</w:t>
      </w:r>
      <w:r w:rsidRPr="00B642CB">
        <w:rPr>
          <w:rStyle w:val="FootnoteReference"/>
          <w:rFonts w:ascii="Cambria" w:hAnsi="Cambria"/>
          <w:bCs/>
          <w:sz w:val="22"/>
          <w:szCs w:val="22"/>
        </w:rPr>
        <w:footnoteReference w:id="79"/>
      </w:r>
      <w:r w:rsidRPr="00B642CB">
        <w:rPr>
          <w:rFonts w:ascii="Cambria" w:hAnsi="Cambria"/>
          <w:bCs/>
          <w:sz w:val="22"/>
          <w:szCs w:val="22"/>
        </w:rPr>
        <w:t xml:space="preserve"> </w:t>
      </w:r>
      <w:r w:rsidRPr="00B642CB">
        <w:rPr>
          <w:rFonts w:ascii="Cambria" w:hAnsi="Cambria"/>
          <w:bCs/>
          <w:sz w:val="22"/>
          <w:szCs w:val="22"/>
          <w:highlight w:val="white"/>
          <w:lang w:val="en-US"/>
        </w:rPr>
        <w:t>In addition, they called for urban accounts to be drafted in the vernacular, enabling their representatives to play a more active role in the auditing process.</w:t>
      </w:r>
      <w:r w:rsidRPr="00B642CB">
        <w:rPr>
          <w:rStyle w:val="FootnoteReference"/>
          <w:rFonts w:ascii="Cambria" w:hAnsi="Cambria"/>
          <w:bCs/>
          <w:sz w:val="22"/>
          <w:szCs w:val="22"/>
        </w:rPr>
        <w:footnoteReference w:id="80"/>
      </w:r>
      <w:r w:rsidRPr="00B642CB">
        <w:rPr>
          <w:rFonts w:ascii="Cambria" w:hAnsi="Cambria"/>
          <w:bCs/>
          <w:sz w:val="22"/>
          <w:szCs w:val="22"/>
          <w:lang w:val="en-US"/>
        </w:rPr>
        <w:t xml:space="preserve"> </w:t>
      </w:r>
      <w:r w:rsidRPr="00B642CB">
        <w:rPr>
          <w:rFonts w:ascii="Cambria" w:hAnsi="Cambria"/>
          <w:bCs/>
          <w:sz w:val="22"/>
          <w:szCs w:val="22"/>
          <w:highlight w:val="white"/>
          <w:lang w:val="en-US"/>
        </w:rPr>
        <w:t>With success.</w:t>
      </w:r>
      <w:r w:rsidRPr="00B642CB">
        <w:rPr>
          <w:rFonts w:ascii="Cambria" w:hAnsi="Cambria"/>
          <w:bCs/>
          <w:sz w:val="22"/>
          <w:szCs w:val="22"/>
          <w:lang w:val="en-US"/>
        </w:rPr>
        <w:t xml:space="preserve"> </w:t>
      </w:r>
      <w:r w:rsidRPr="00B642CB">
        <w:rPr>
          <w:rFonts w:ascii="Cambria" w:hAnsi="Cambria"/>
          <w:bCs/>
          <w:sz w:val="22"/>
          <w:szCs w:val="22"/>
          <w:highlight w:val="white"/>
          <w:lang w:val="en-US"/>
        </w:rPr>
        <w:t>From May 1302 onwards, the urban government of Bruges no longer drafted accounts in Latin.</w:t>
      </w:r>
      <w:r w:rsidRPr="00B642CB">
        <w:rPr>
          <w:rStyle w:val="FootnoteReference"/>
          <w:rFonts w:ascii="Cambria" w:hAnsi="Cambria"/>
          <w:bCs/>
          <w:sz w:val="22"/>
          <w:szCs w:val="22"/>
        </w:rPr>
        <w:footnoteReference w:id="81"/>
      </w:r>
      <w:r w:rsidRPr="00B642CB">
        <w:rPr>
          <w:rFonts w:ascii="Cambria" w:hAnsi="Cambria"/>
          <w:bCs/>
          <w:sz w:val="22"/>
          <w:szCs w:val="22"/>
          <w:highlight w:val="white"/>
          <w:lang w:val="en-US"/>
        </w:rPr>
        <w:t xml:space="preserve"> Yet, the role of the craft guilds during the auditing of urban accounts was not a foregone conclusion.</w:t>
      </w:r>
      <w:r w:rsidRPr="00B642CB">
        <w:rPr>
          <w:rFonts w:ascii="Cambria" w:hAnsi="Cambria"/>
          <w:bCs/>
          <w:sz w:val="22"/>
          <w:szCs w:val="22"/>
          <w:lang w:val="en-US"/>
        </w:rPr>
        <w:t xml:space="preserve"> </w:t>
      </w:r>
      <w:r w:rsidRPr="00B642CB">
        <w:rPr>
          <w:rFonts w:ascii="Cambria" w:hAnsi="Cambria"/>
          <w:bCs/>
          <w:sz w:val="22"/>
          <w:szCs w:val="22"/>
          <w:highlight w:val="white"/>
          <w:lang w:val="en-US"/>
        </w:rPr>
        <w:t>In fact, two centuries later, in 1488, the Bruges craft guilds still had to demand access to the urban accounts</w:t>
      </w:r>
      <w:r w:rsidRPr="00B642CB">
        <w:rPr>
          <w:rFonts w:ascii="Cambria" w:hAnsi="Cambria"/>
          <w:bCs/>
          <w:sz w:val="22"/>
          <w:szCs w:val="22"/>
        </w:rPr>
        <w:t>.</w:t>
      </w:r>
      <w:r w:rsidRPr="00B642CB">
        <w:rPr>
          <w:rStyle w:val="FootnoteReference"/>
          <w:rFonts w:ascii="Cambria" w:hAnsi="Cambria"/>
          <w:bCs/>
          <w:sz w:val="22"/>
          <w:szCs w:val="22"/>
        </w:rPr>
        <w:footnoteReference w:id="82"/>
      </w:r>
    </w:p>
    <w:p w14:paraId="47BC2AE0"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lang w:val="en-US"/>
        </w:rPr>
      </w:pPr>
      <w:r w:rsidRPr="00B642CB">
        <w:rPr>
          <w:rFonts w:ascii="Cambria" w:hAnsi="Cambria"/>
          <w:bCs/>
          <w:sz w:val="22"/>
          <w:szCs w:val="22"/>
          <w:highlight w:val="white"/>
          <w:lang w:val="en-US"/>
        </w:rPr>
        <w:tab/>
        <w:t xml:space="preserve">Next to officials’ accounts and registers, late medieval investigations could also centre around subjects’ testimonies and complaints. A well-investigated format of this type of inquiry was the so-called </w:t>
      </w:r>
      <w:r w:rsidRPr="00B642CB">
        <w:rPr>
          <w:rFonts w:ascii="Cambria" w:hAnsi="Cambria"/>
          <w:bCs/>
          <w:i/>
          <w:iCs/>
          <w:sz w:val="22"/>
          <w:szCs w:val="22"/>
          <w:highlight w:val="white"/>
          <w:lang w:val="en-US"/>
        </w:rPr>
        <w:t>sindacato</w:t>
      </w:r>
      <w:r w:rsidRPr="00B642CB">
        <w:rPr>
          <w:rFonts w:ascii="Cambria" w:hAnsi="Cambria"/>
          <w:bCs/>
          <w:sz w:val="22"/>
          <w:szCs w:val="22"/>
          <w:highlight w:val="white"/>
          <w:lang w:val="en-US"/>
        </w:rPr>
        <w:t>.</w:t>
      </w:r>
      <w:r w:rsidRPr="00B642CB">
        <w:rPr>
          <w:rFonts w:ascii="Cambria" w:hAnsi="Cambria"/>
          <w:bCs/>
          <w:sz w:val="22"/>
          <w:szCs w:val="22"/>
          <w:lang w:val="en-US"/>
        </w:rPr>
        <w:t xml:space="preserve"> </w:t>
      </w:r>
      <w:r w:rsidRPr="00B642CB">
        <w:rPr>
          <w:rFonts w:ascii="Cambria" w:hAnsi="Cambria"/>
          <w:bCs/>
          <w:sz w:val="22"/>
          <w:szCs w:val="22"/>
          <w:highlight w:val="white"/>
          <w:lang w:val="en-US"/>
        </w:rPr>
        <w:t xml:space="preserve">This procedure reappeared after the rediscovery of Roman law in the twelfth and thirteenth centuries and was implemented in various regions, including the Italian Peninsula, France, England,  Castile, and Aragon. The </w:t>
      </w:r>
      <w:r w:rsidRPr="00B642CB">
        <w:rPr>
          <w:rFonts w:ascii="Cambria" w:hAnsi="Cambria"/>
          <w:bCs/>
          <w:i/>
          <w:iCs/>
          <w:sz w:val="22"/>
          <w:szCs w:val="22"/>
          <w:highlight w:val="white"/>
          <w:lang w:val="en-US"/>
        </w:rPr>
        <w:t xml:space="preserve">sindacato </w:t>
      </w:r>
      <w:r w:rsidRPr="00B642CB">
        <w:rPr>
          <w:rFonts w:ascii="Cambria" w:hAnsi="Cambria"/>
          <w:bCs/>
          <w:sz w:val="22"/>
          <w:szCs w:val="22"/>
          <w:highlight w:val="white"/>
          <w:lang w:val="en-US"/>
        </w:rPr>
        <w:t>compelled an official to remain within his former city or jurisdiction after the end of his term to face any potential complaints from the inhabitants.</w:t>
      </w:r>
      <w:r w:rsidRPr="00B642CB">
        <w:rPr>
          <w:rStyle w:val="FootnoteReference"/>
          <w:rFonts w:ascii="Cambria" w:hAnsi="Cambria"/>
          <w:bCs/>
          <w:sz w:val="22"/>
          <w:szCs w:val="22"/>
        </w:rPr>
        <w:footnoteReference w:id="83"/>
      </w:r>
      <w:r w:rsidRPr="00B642CB">
        <w:rPr>
          <w:rFonts w:ascii="Cambria" w:hAnsi="Cambria"/>
          <w:bCs/>
          <w:sz w:val="22"/>
          <w:szCs w:val="22"/>
          <w:lang w:val="en-US"/>
        </w:rPr>
        <w:t xml:space="preserve"> </w:t>
      </w:r>
      <w:r w:rsidRPr="00B642CB">
        <w:rPr>
          <w:rFonts w:ascii="Cambria" w:hAnsi="Cambria"/>
          <w:bCs/>
          <w:sz w:val="22"/>
          <w:szCs w:val="22"/>
          <w:highlight w:val="white"/>
          <w:lang w:val="en-US"/>
        </w:rPr>
        <w:t>In this way, the procedu</w:t>
      </w:r>
      <w:r w:rsidRPr="00B642CB">
        <w:rPr>
          <w:rFonts w:ascii="Cambria" w:hAnsi="Cambria"/>
          <w:bCs/>
          <w:sz w:val="22"/>
          <w:szCs w:val="22"/>
          <w:lang w:val="en-US"/>
        </w:rPr>
        <w:t>re resembles th</w:t>
      </w:r>
      <w:r w:rsidRPr="00B642CB">
        <w:rPr>
          <w:rFonts w:ascii="Cambria" w:hAnsi="Cambria"/>
          <w:bCs/>
          <w:sz w:val="22"/>
          <w:szCs w:val="22"/>
          <w:highlight w:val="white"/>
          <w:lang w:val="en-US"/>
        </w:rPr>
        <w:t>e ‘complaints of the bailiffs of Flanders’ (‘</w:t>
      </w:r>
      <w:r w:rsidRPr="00B642CB">
        <w:rPr>
          <w:rFonts w:ascii="Cambria" w:hAnsi="Cambria"/>
          <w:bCs/>
          <w:i/>
          <w:iCs/>
          <w:sz w:val="22"/>
          <w:szCs w:val="22"/>
          <w:highlight w:val="white"/>
          <w:lang w:val="en-US"/>
        </w:rPr>
        <w:t xml:space="preserve">plaintes des </w:t>
      </w:r>
      <w:proofErr w:type="spellStart"/>
      <w:r w:rsidRPr="00B642CB">
        <w:rPr>
          <w:rFonts w:ascii="Cambria" w:hAnsi="Cambria"/>
          <w:bCs/>
          <w:i/>
          <w:iCs/>
          <w:sz w:val="22"/>
          <w:szCs w:val="22"/>
          <w:highlight w:val="white"/>
          <w:lang w:val="en-US"/>
        </w:rPr>
        <w:t>bail</w:t>
      </w:r>
      <w:r w:rsidRPr="00B642CB">
        <w:rPr>
          <w:rFonts w:ascii="Cambria" w:hAnsi="Cambria"/>
          <w:bCs/>
          <w:i/>
          <w:iCs/>
          <w:sz w:val="22"/>
          <w:szCs w:val="22"/>
          <w:lang w:val="en-US"/>
        </w:rPr>
        <w:t>lie</w:t>
      </w:r>
      <w:proofErr w:type="spellEnd"/>
      <w:r w:rsidRPr="00B642CB">
        <w:rPr>
          <w:rFonts w:ascii="Cambria" w:hAnsi="Cambria"/>
          <w:bCs/>
          <w:i/>
          <w:iCs/>
          <w:sz w:val="22"/>
          <w:szCs w:val="22"/>
          <w:lang w:val="en-US"/>
        </w:rPr>
        <w:t xml:space="preserve"> de Flandres</w:t>
      </w:r>
      <w:r w:rsidRPr="00B642CB">
        <w:rPr>
          <w:rFonts w:ascii="Cambria" w:hAnsi="Cambria"/>
          <w:bCs/>
          <w:sz w:val="22"/>
          <w:szCs w:val="22"/>
          <w:lang w:val="en-US"/>
        </w:rPr>
        <w:t>’).</w:t>
      </w:r>
      <w:r w:rsidRPr="00B642CB">
        <w:rPr>
          <w:rStyle w:val="FootnoteReference"/>
          <w:rFonts w:ascii="Cambria" w:hAnsi="Cambria"/>
          <w:bCs/>
          <w:sz w:val="22"/>
          <w:szCs w:val="22"/>
        </w:rPr>
        <w:footnoteReference w:id="84"/>
      </w:r>
      <w:r w:rsidRPr="00B642CB">
        <w:rPr>
          <w:rFonts w:ascii="Cambria" w:hAnsi="Cambria"/>
          <w:bCs/>
          <w:sz w:val="22"/>
          <w:szCs w:val="22"/>
          <w:lang w:val="en-US"/>
        </w:rPr>
        <w:t xml:space="preserve"> This special session of the Flemish Chamber of Accounts was to be organised whenever a bailiff submitted his accounts for auditing, and it had to be publicly announced throughout the jurisdiction</w:t>
      </w:r>
      <w:r w:rsidRPr="00B642CB">
        <w:rPr>
          <w:rFonts w:ascii="Cambria" w:hAnsi="Cambria"/>
          <w:bCs/>
          <w:sz w:val="22"/>
          <w:szCs w:val="22"/>
          <w:highlight w:val="white"/>
          <w:lang w:val="en-US"/>
        </w:rPr>
        <w:t xml:space="preserve"> so that everyone who ‘wanted to [...] complain about them [i.e. the bailiffs] or their sergeants or servants’ (‘</w:t>
      </w:r>
      <w:proofErr w:type="spellStart"/>
      <w:r w:rsidRPr="00B642CB">
        <w:rPr>
          <w:rFonts w:ascii="Cambria" w:hAnsi="Cambria"/>
          <w:bCs/>
          <w:i/>
          <w:iCs/>
          <w:sz w:val="22"/>
          <w:szCs w:val="22"/>
          <w:highlight w:val="white"/>
          <w:lang w:val="en-US"/>
        </w:rPr>
        <w:t>veulent</w:t>
      </w:r>
      <w:proofErr w:type="spellEnd"/>
      <w:r w:rsidRPr="00B642CB">
        <w:rPr>
          <w:rFonts w:ascii="Cambria" w:hAnsi="Cambria"/>
          <w:bCs/>
          <w:i/>
          <w:iCs/>
          <w:sz w:val="22"/>
          <w:szCs w:val="22"/>
          <w:highlight w:val="white"/>
          <w:lang w:val="en-US"/>
        </w:rPr>
        <w:t xml:space="preserve"> [...] </w:t>
      </w:r>
      <w:proofErr w:type="spellStart"/>
      <w:r w:rsidRPr="00B642CB">
        <w:rPr>
          <w:rFonts w:ascii="Cambria" w:hAnsi="Cambria"/>
          <w:bCs/>
          <w:i/>
          <w:iCs/>
          <w:sz w:val="22"/>
          <w:szCs w:val="22"/>
          <w:highlight w:val="white"/>
          <w:lang w:val="en-US"/>
        </w:rPr>
        <w:t>complaindre</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d’eulx</w:t>
      </w:r>
      <w:proofErr w:type="spellEnd"/>
      <w:r w:rsidRPr="00B642CB">
        <w:rPr>
          <w:rFonts w:ascii="Cambria" w:hAnsi="Cambria"/>
          <w:bCs/>
          <w:i/>
          <w:iCs/>
          <w:sz w:val="22"/>
          <w:szCs w:val="22"/>
          <w:highlight w:val="white"/>
          <w:lang w:val="en-US"/>
        </w:rPr>
        <w:t xml:space="preserve"> ou de leurs </w:t>
      </w:r>
      <w:proofErr w:type="spellStart"/>
      <w:r w:rsidRPr="00B642CB">
        <w:rPr>
          <w:rFonts w:ascii="Cambria" w:hAnsi="Cambria"/>
          <w:bCs/>
          <w:i/>
          <w:iCs/>
          <w:sz w:val="22"/>
          <w:szCs w:val="22"/>
          <w:highlight w:val="white"/>
          <w:lang w:val="en-US"/>
        </w:rPr>
        <w:t>sergens</w:t>
      </w:r>
      <w:proofErr w:type="spellEnd"/>
      <w:r w:rsidRPr="00B642CB">
        <w:rPr>
          <w:rFonts w:ascii="Cambria" w:hAnsi="Cambria"/>
          <w:bCs/>
          <w:i/>
          <w:iCs/>
          <w:sz w:val="22"/>
          <w:szCs w:val="22"/>
          <w:highlight w:val="white"/>
          <w:lang w:val="en-US"/>
        </w:rPr>
        <w:t xml:space="preserve"> ou serviteurs</w:t>
      </w:r>
      <w:r w:rsidRPr="00B642CB">
        <w:rPr>
          <w:rFonts w:ascii="Cambria" w:hAnsi="Cambria"/>
          <w:bCs/>
          <w:sz w:val="22"/>
          <w:szCs w:val="22"/>
          <w:highlight w:val="white"/>
          <w:lang w:val="en-US"/>
        </w:rPr>
        <w:t>’) had the ability to do so.</w:t>
      </w:r>
      <w:r w:rsidRPr="00B642CB">
        <w:rPr>
          <w:rStyle w:val="FootnoteReference"/>
          <w:rFonts w:ascii="Cambria" w:hAnsi="Cambria"/>
          <w:bCs/>
          <w:sz w:val="22"/>
          <w:szCs w:val="22"/>
          <w:highlight w:val="white"/>
        </w:rPr>
        <w:footnoteReference w:id="85"/>
      </w:r>
      <w:r w:rsidRPr="00B642CB">
        <w:rPr>
          <w:rFonts w:ascii="Cambria" w:hAnsi="Cambria"/>
          <w:bCs/>
          <w:sz w:val="22"/>
          <w:szCs w:val="22"/>
        </w:rPr>
        <w:t xml:space="preserve"> </w:t>
      </w:r>
      <w:r w:rsidRPr="00B642CB">
        <w:rPr>
          <w:rFonts w:ascii="Cambria" w:hAnsi="Cambria"/>
          <w:bCs/>
          <w:sz w:val="22"/>
          <w:szCs w:val="22"/>
          <w:highlight w:val="white"/>
          <w:lang w:val="en-US"/>
        </w:rPr>
        <w:t>The bailiffs themselves were also required to be present.</w:t>
      </w:r>
      <w:r w:rsidRPr="00B642CB">
        <w:rPr>
          <w:rStyle w:val="FootnoteReference"/>
          <w:rFonts w:ascii="Cambria" w:hAnsi="Cambria"/>
          <w:bCs/>
          <w:sz w:val="22"/>
          <w:szCs w:val="22"/>
          <w:highlight w:val="white"/>
        </w:rPr>
        <w:footnoteReference w:id="86"/>
      </w:r>
      <w:r w:rsidRPr="00B642CB">
        <w:rPr>
          <w:rFonts w:ascii="Cambria" w:hAnsi="Cambria"/>
          <w:bCs/>
          <w:sz w:val="22"/>
          <w:szCs w:val="22"/>
        </w:rPr>
        <w:t xml:space="preserve"> </w:t>
      </w:r>
      <w:r w:rsidRPr="00B642CB">
        <w:rPr>
          <w:rFonts w:ascii="Cambria" w:hAnsi="Cambria"/>
          <w:bCs/>
          <w:sz w:val="22"/>
          <w:szCs w:val="22"/>
          <w:highlight w:val="white"/>
          <w:lang w:val="en-US"/>
        </w:rPr>
        <w:t xml:space="preserve">Complaints raised during the ‘complaints of the bailiffs’ could themselves trigger further inquiry, as in 1467, when </w:t>
      </w:r>
      <w:proofErr w:type="spellStart"/>
      <w:r w:rsidRPr="00B642CB">
        <w:rPr>
          <w:rFonts w:ascii="Cambria" w:hAnsi="Cambria"/>
          <w:bCs/>
          <w:sz w:val="22"/>
          <w:szCs w:val="22"/>
          <w:highlight w:val="white"/>
          <w:lang w:val="en-US"/>
        </w:rPr>
        <w:t>Guildin</w:t>
      </w:r>
      <w:proofErr w:type="spellEnd"/>
      <w:r w:rsidRPr="00B642CB">
        <w:rPr>
          <w:rFonts w:ascii="Cambria" w:hAnsi="Cambria"/>
          <w:bCs/>
          <w:sz w:val="22"/>
          <w:szCs w:val="22"/>
          <w:highlight w:val="white"/>
          <w:lang w:val="en-US"/>
        </w:rPr>
        <w:t xml:space="preserve"> Gabriel, his father Joosse de Peau, and </w:t>
      </w:r>
      <w:proofErr w:type="spellStart"/>
      <w:r w:rsidRPr="00B642CB">
        <w:rPr>
          <w:rFonts w:ascii="Cambria" w:hAnsi="Cambria"/>
          <w:bCs/>
          <w:sz w:val="22"/>
          <w:szCs w:val="22"/>
          <w:highlight w:val="white"/>
          <w:lang w:val="en-US"/>
        </w:rPr>
        <w:t>Pietre</w:t>
      </w:r>
      <w:proofErr w:type="spellEnd"/>
      <w:r w:rsidRPr="00B642CB">
        <w:rPr>
          <w:rFonts w:ascii="Cambria" w:hAnsi="Cambria"/>
          <w:bCs/>
          <w:sz w:val="22"/>
          <w:szCs w:val="22"/>
          <w:highlight w:val="white"/>
          <w:lang w:val="en-US"/>
        </w:rPr>
        <w:t xml:space="preserve"> van </w:t>
      </w:r>
      <w:proofErr w:type="spellStart"/>
      <w:r w:rsidRPr="00B642CB">
        <w:rPr>
          <w:rFonts w:ascii="Cambria" w:hAnsi="Cambria"/>
          <w:bCs/>
          <w:sz w:val="22"/>
          <w:szCs w:val="22"/>
          <w:highlight w:val="white"/>
          <w:lang w:val="en-US"/>
        </w:rPr>
        <w:t>Ryeghem</w:t>
      </w:r>
      <w:proofErr w:type="spellEnd"/>
      <w:r w:rsidRPr="00B642CB">
        <w:rPr>
          <w:rFonts w:ascii="Cambria" w:hAnsi="Cambria"/>
          <w:bCs/>
          <w:sz w:val="22"/>
          <w:szCs w:val="22"/>
          <w:highlight w:val="white"/>
          <w:lang w:val="en-US"/>
        </w:rPr>
        <w:t xml:space="preserve"> appeared in the Chamber of Accounts to complain about the sergeants of the bailiff of Courtrai.</w:t>
      </w:r>
      <w:r w:rsidRPr="00B642CB">
        <w:rPr>
          <w:rFonts w:ascii="Cambria" w:hAnsi="Cambria"/>
          <w:bCs/>
          <w:sz w:val="22"/>
          <w:szCs w:val="22"/>
          <w:lang w:val="en-US"/>
        </w:rPr>
        <w:t xml:space="preserve"> </w:t>
      </w:r>
      <w:r w:rsidRPr="00B642CB">
        <w:rPr>
          <w:rFonts w:ascii="Cambria" w:hAnsi="Cambria"/>
          <w:bCs/>
          <w:sz w:val="22"/>
          <w:szCs w:val="22"/>
          <w:highlight w:val="white"/>
          <w:lang w:val="en-US"/>
        </w:rPr>
        <w:t>After they had been heard, the commissioners ordered the Controller of the Officers of Flanders to go to Courtrai to ‘inform well and correctly about the complaints and grievances of the said petitioners’ (‘</w:t>
      </w:r>
      <w:r w:rsidRPr="00B642CB">
        <w:rPr>
          <w:rFonts w:ascii="Cambria" w:hAnsi="Cambria"/>
          <w:bCs/>
          <w:i/>
          <w:iCs/>
          <w:sz w:val="22"/>
          <w:szCs w:val="22"/>
          <w:highlight w:val="white"/>
          <w:lang w:val="en-US"/>
        </w:rPr>
        <w:t xml:space="preserve">informer bien et </w:t>
      </w:r>
      <w:proofErr w:type="spellStart"/>
      <w:r w:rsidRPr="00B642CB">
        <w:rPr>
          <w:rFonts w:ascii="Cambria" w:hAnsi="Cambria"/>
          <w:bCs/>
          <w:i/>
          <w:iCs/>
          <w:sz w:val="22"/>
          <w:szCs w:val="22"/>
          <w:highlight w:val="white"/>
          <w:lang w:val="en-US"/>
        </w:rPr>
        <w:t>deuement</w:t>
      </w:r>
      <w:proofErr w:type="spellEnd"/>
      <w:r w:rsidRPr="00B642CB">
        <w:rPr>
          <w:rFonts w:ascii="Cambria" w:hAnsi="Cambria"/>
          <w:bCs/>
          <w:i/>
          <w:iCs/>
          <w:sz w:val="22"/>
          <w:szCs w:val="22"/>
          <w:highlight w:val="white"/>
          <w:lang w:val="en-US"/>
        </w:rPr>
        <w:t xml:space="preserve"> de et sur les complaints et </w:t>
      </w:r>
      <w:proofErr w:type="spellStart"/>
      <w:r w:rsidRPr="00B642CB">
        <w:rPr>
          <w:rFonts w:ascii="Cambria" w:hAnsi="Cambria"/>
          <w:bCs/>
          <w:i/>
          <w:iCs/>
          <w:sz w:val="22"/>
          <w:szCs w:val="22"/>
          <w:highlight w:val="white"/>
          <w:lang w:val="en-US"/>
        </w:rPr>
        <w:t>doleances</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desdits</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suppleans</w:t>
      </w:r>
      <w:proofErr w:type="spellEnd"/>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87"/>
      </w:r>
    </w:p>
    <w:p w14:paraId="18C5B070" w14:textId="77777777" w:rsidR="00B642CB" w:rsidRPr="00B642CB" w:rsidRDefault="00B642CB" w:rsidP="00B642CB">
      <w:pPr>
        <w:autoSpaceDE w:val="0"/>
        <w:autoSpaceDN w:val="0"/>
        <w:adjustRightInd w:val="0"/>
        <w:spacing w:line="276" w:lineRule="auto"/>
        <w:ind w:firstLine="720"/>
        <w:jc w:val="both"/>
        <w:rPr>
          <w:rFonts w:ascii="Cambria" w:hAnsi="Cambria"/>
          <w:bCs/>
          <w:sz w:val="22"/>
          <w:szCs w:val="22"/>
          <w:highlight w:val="white"/>
        </w:rPr>
      </w:pPr>
      <w:r w:rsidRPr="00B642CB">
        <w:rPr>
          <w:rFonts w:ascii="Cambria" w:hAnsi="Cambria"/>
          <w:bCs/>
          <w:sz w:val="22"/>
          <w:szCs w:val="22"/>
          <w:highlight w:val="white"/>
        </w:rPr>
        <w:lastRenderedPageBreak/>
        <w:t xml:space="preserve">In his </w:t>
      </w:r>
      <w:r w:rsidRPr="00B642CB">
        <w:rPr>
          <w:rFonts w:ascii="Cambria" w:hAnsi="Cambria"/>
          <w:bCs/>
          <w:i/>
          <w:iCs/>
          <w:sz w:val="22"/>
          <w:szCs w:val="22"/>
          <w:highlight w:val="white"/>
        </w:rPr>
        <w:t>Recueil</w:t>
      </w:r>
      <w:r w:rsidRPr="00B642CB">
        <w:rPr>
          <w:rFonts w:ascii="Cambria" w:hAnsi="Cambria"/>
          <w:bCs/>
          <w:sz w:val="22"/>
          <w:szCs w:val="22"/>
          <w:highlight w:val="white"/>
        </w:rPr>
        <w:t>, Wielant discusses a final common type of inquiry. He describes how Count Louis of Male (1330-84) had been forced to flee the county of Flanders during the political commotion in the period 1337/38-45.</w:t>
      </w:r>
      <w:r w:rsidRPr="00B642CB">
        <w:rPr>
          <w:rFonts w:ascii="Cambria" w:hAnsi="Cambria"/>
          <w:bCs/>
          <w:sz w:val="22"/>
          <w:szCs w:val="22"/>
        </w:rPr>
        <w:t xml:space="preserve"> </w:t>
      </w:r>
      <w:r w:rsidRPr="00B642CB">
        <w:rPr>
          <w:rFonts w:ascii="Cambria" w:hAnsi="Cambria"/>
          <w:bCs/>
          <w:sz w:val="22"/>
          <w:szCs w:val="22"/>
          <w:highlight w:val="white"/>
        </w:rPr>
        <w:t xml:space="preserve">After his return to Flanders, the Count: </w:t>
      </w:r>
    </w:p>
    <w:p w14:paraId="730E8317"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rPr>
      </w:pPr>
    </w:p>
    <w:p w14:paraId="0EC7F15C" w14:textId="77777777" w:rsidR="00B642CB" w:rsidRPr="00B642CB" w:rsidRDefault="00B642CB" w:rsidP="00B642CB">
      <w:pPr>
        <w:autoSpaceDE w:val="0"/>
        <w:autoSpaceDN w:val="0"/>
        <w:adjustRightInd w:val="0"/>
        <w:spacing w:line="276" w:lineRule="auto"/>
        <w:ind w:left="284" w:right="277"/>
        <w:jc w:val="both"/>
        <w:rPr>
          <w:rFonts w:ascii="Cambria" w:hAnsi="Cambria"/>
          <w:bCs/>
          <w:sz w:val="22"/>
          <w:szCs w:val="22"/>
          <w:highlight w:val="white"/>
        </w:rPr>
      </w:pPr>
      <w:r w:rsidRPr="00B642CB">
        <w:rPr>
          <w:rFonts w:ascii="Cambria" w:hAnsi="Cambria"/>
          <w:bCs/>
          <w:sz w:val="22"/>
          <w:szCs w:val="22"/>
          <w:highlight w:val="white"/>
        </w:rPr>
        <w:t>‘ordered commissioners to go from town to town and from place to place to hold audits and to inform themselves of the state and conduct of the officers, to receive any […] complaints and put everything in writing’ (‘</w:t>
      </w:r>
      <w:r w:rsidRPr="00B642CB">
        <w:rPr>
          <w:rFonts w:ascii="Cambria" w:hAnsi="Cambria"/>
          <w:bCs/>
          <w:i/>
          <w:iCs/>
          <w:sz w:val="22"/>
          <w:szCs w:val="22"/>
          <w:highlight w:val="white"/>
        </w:rPr>
        <w:t>ordonna commissaires pour aller de ville en ville et lieu en lieu pour tenir audience et euls informer de l’estat et conduitte des officiers, recepvoir touttes plaintes […] et le tout mectre par escript</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88"/>
      </w:r>
    </w:p>
    <w:p w14:paraId="27830E65"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rPr>
      </w:pPr>
    </w:p>
    <w:p w14:paraId="69CC0677"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rPr>
      </w:pPr>
      <w:r w:rsidRPr="00B642CB">
        <w:rPr>
          <w:rFonts w:ascii="Cambria" w:hAnsi="Cambria"/>
          <w:bCs/>
          <w:sz w:val="22"/>
          <w:szCs w:val="22"/>
          <w:highlight w:val="white"/>
        </w:rPr>
        <w:t>Comprehensive ‘</w:t>
      </w:r>
      <w:r w:rsidRPr="00B642CB">
        <w:rPr>
          <w:rFonts w:ascii="Cambria" w:hAnsi="Cambria"/>
          <w:bCs/>
          <w:i/>
          <w:iCs/>
          <w:sz w:val="22"/>
          <w:szCs w:val="22"/>
          <w:highlight w:val="white"/>
        </w:rPr>
        <w:t>visitations</w:t>
      </w:r>
      <w:r w:rsidRPr="00B642CB">
        <w:rPr>
          <w:rFonts w:ascii="Cambria" w:hAnsi="Cambria"/>
          <w:bCs/>
          <w:sz w:val="22"/>
          <w:szCs w:val="22"/>
          <w:highlight w:val="white"/>
        </w:rPr>
        <w:t>’ or ‘</w:t>
      </w:r>
      <w:r w:rsidRPr="00B642CB">
        <w:rPr>
          <w:rFonts w:ascii="Cambria" w:hAnsi="Cambria"/>
          <w:bCs/>
          <w:i/>
          <w:iCs/>
          <w:sz w:val="22"/>
          <w:szCs w:val="22"/>
          <w:highlight w:val="white"/>
        </w:rPr>
        <w:t>enquêtes</w:t>
      </w:r>
      <w:r w:rsidRPr="00B642CB">
        <w:rPr>
          <w:rFonts w:ascii="Cambria" w:hAnsi="Cambria"/>
          <w:bCs/>
          <w:sz w:val="22"/>
          <w:szCs w:val="22"/>
          <w:highlight w:val="white"/>
        </w:rPr>
        <w:t>’, like the one ordered by Count Louis of Male, were common to various regions in late medieval Europe.</w:t>
      </w:r>
      <w:r w:rsidRPr="00B642CB">
        <w:rPr>
          <w:rStyle w:val="FootnoteReference"/>
          <w:rFonts w:ascii="Cambria" w:hAnsi="Cambria"/>
          <w:bCs/>
          <w:sz w:val="22"/>
          <w:szCs w:val="22"/>
        </w:rPr>
        <w:footnoteReference w:id="89"/>
      </w:r>
      <w:r w:rsidRPr="00B642CB">
        <w:rPr>
          <w:rFonts w:ascii="Cambria" w:hAnsi="Cambria"/>
          <w:bCs/>
          <w:sz w:val="22"/>
          <w:szCs w:val="22"/>
        </w:rPr>
        <w:t xml:space="preserve"> </w:t>
      </w:r>
      <w:r w:rsidRPr="00B642CB">
        <w:rPr>
          <w:rFonts w:ascii="Cambria" w:hAnsi="Cambria"/>
          <w:bCs/>
          <w:sz w:val="22"/>
          <w:szCs w:val="22"/>
          <w:highlight w:val="white"/>
        </w:rPr>
        <w:t>In general, medievalists emphasise the great influence that central powers had during these ‘inquisitions’; it was the King, Prince, Duke or Count who held the necessary authority to institute inquiries and determine what to do with the results.</w:t>
      </w:r>
      <w:r w:rsidRPr="00B642CB">
        <w:rPr>
          <w:rFonts w:ascii="Cambria" w:hAnsi="Cambria"/>
          <w:bCs/>
          <w:sz w:val="22"/>
          <w:szCs w:val="22"/>
        </w:rPr>
        <w:t xml:space="preserve"> </w:t>
      </w:r>
      <w:r w:rsidRPr="00B642CB">
        <w:rPr>
          <w:rFonts w:ascii="Cambria" w:hAnsi="Cambria"/>
          <w:bCs/>
          <w:sz w:val="22"/>
          <w:szCs w:val="22"/>
          <w:highlight w:val="white"/>
        </w:rPr>
        <w:t>Furthermore, by ordering visitations, rulers not only gained essential information about the state of the realm but could also enhance their own accountabil</w:t>
      </w:r>
      <w:r w:rsidRPr="00B642CB">
        <w:rPr>
          <w:rFonts w:ascii="Cambria" w:hAnsi="Cambria"/>
          <w:bCs/>
          <w:sz w:val="22"/>
          <w:szCs w:val="22"/>
        </w:rPr>
        <w:t xml:space="preserve">ity and legitimacy. </w:t>
      </w:r>
      <w:r w:rsidRPr="00B642CB">
        <w:rPr>
          <w:rFonts w:ascii="Cambria" w:hAnsi="Cambria"/>
          <w:bCs/>
          <w:sz w:val="22"/>
          <w:szCs w:val="22"/>
          <w:highlight w:val="white"/>
        </w:rPr>
        <w:t>In a stark contrast, the role of the public was usually limited to that of witness.</w:t>
      </w:r>
      <w:r w:rsidRPr="00B642CB">
        <w:rPr>
          <w:rStyle w:val="FootnoteReference"/>
          <w:rFonts w:ascii="Cambria" w:hAnsi="Cambria"/>
          <w:bCs/>
          <w:sz w:val="22"/>
          <w:szCs w:val="22"/>
        </w:rPr>
        <w:footnoteReference w:id="90"/>
      </w:r>
      <w:r w:rsidRPr="00B642CB">
        <w:rPr>
          <w:rFonts w:ascii="Cambria" w:hAnsi="Cambria"/>
          <w:bCs/>
          <w:sz w:val="22"/>
          <w:szCs w:val="22"/>
        </w:rPr>
        <w:t xml:space="preserve"> Marc Boone has taken a different stance, suggesting </w:t>
      </w:r>
      <w:r w:rsidRPr="00B642CB">
        <w:rPr>
          <w:rFonts w:ascii="Cambria" w:hAnsi="Cambria"/>
          <w:bCs/>
          <w:sz w:val="22"/>
          <w:szCs w:val="22"/>
          <w:highlight w:val="white"/>
        </w:rPr>
        <w:t>that inquiries could function as a ‘double-edged sword’.</w:t>
      </w:r>
      <w:r w:rsidRPr="00B642CB">
        <w:rPr>
          <w:rStyle w:val="FootnoteReference"/>
          <w:rFonts w:ascii="Cambria" w:hAnsi="Cambria"/>
          <w:bCs/>
          <w:sz w:val="22"/>
          <w:szCs w:val="22"/>
        </w:rPr>
        <w:footnoteReference w:id="91"/>
      </w:r>
      <w:r w:rsidRPr="00B642CB">
        <w:rPr>
          <w:rFonts w:ascii="Cambria" w:hAnsi="Cambria"/>
          <w:bCs/>
          <w:sz w:val="22"/>
          <w:szCs w:val="22"/>
        </w:rPr>
        <w:t xml:space="preserve"> </w:t>
      </w:r>
      <w:r w:rsidRPr="00B642CB">
        <w:rPr>
          <w:rFonts w:ascii="Cambria" w:hAnsi="Cambria"/>
          <w:bCs/>
          <w:sz w:val="22"/>
          <w:szCs w:val="22"/>
          <w:highlight w:val="white"/>
        </w:rPr>
        <w:t>He argues that ‘</w:t>
      </w:r>
      <w:r w:rsidRPr="00B642CB">
        <w:rPr>
          <w:rFonts w:ascii="Cambria" w:hAnsi="Cambria"/>
          <w:bCs/>
          <w:i/>
          <w:iCs/>
          <w:sz w:val="22"/>
          <w:szCs w:val="22"/>
          <w:highlight w:val="white"/>
        </w:rPr>
        <w:t>enquêtes</w:t>
      </w:r>
      <w:r w:rsidRPr="00B642CB">
        <w:rPr>
          <w:rFonts w:ascii="Cambria" w:hAnsi="Cambria"/>
          <w:bCs/>
          <w:sz w:val="22"/>
          <w:szCs w:val="22"/>
          <w:highlight w:val="white"/>
        </w:rPr>
        <w:t>’ could also be used by subjects to advance their demands and challenge the political authority of their governors.</w:t>
      </w:r>
      <w:r w:rsidRPr="00B642CB">
        <w:rPr>
          <w:rFonts w:ascii="Cambria" w:hAnsi="Cambria"/>
          <w:bCs/>
          <w:sz w:val="22"/>
          <w:szCs w:val="22"/>
        </w:rPr>
        <w:t xml:space="preserve"> </w:t>
      </w:r>
      <w:r w:rsidRPr="00B642CB">
        <w:rPr>
          <w:rFonts w:ascii="Cambria" w:hAnsi="Cambria"/>
          <w:bCs/>
          <w:sz w:val="22"/>
          <w:szCs w:val="22"/>
          <w:highlight w:val="white"/>
        </w:rPr>
        <w:t>My findings for the fifteenth-century county of Flanders support his argument.</w:t>
      </w:r>
      <w:r w:rsidRPr="00B642CB">
        <w:rPr>
          <w:rFonts w:ascii="Cambria" w:hAnsi="Cambria"/>
          <w:bCs/>
          <w:sz w:val="22"/>
          <w:szCs w:val="22"/>
        </w:rPr>
        <w:t xml:space="preserve"> </w:t>
      </w:r>
      <w:r w:rsidRPr="00B642CB">
        <w:rPr>
          <w:rFonts w:ascii="Cambria" w:hAnsi="Cambria"/>
          <w:bCs/>
          <w:sz w:val="22"/>
          <w:szCs w:val="22"/>
          <w:highlight w:val="white"/>
        </w:rPr>
        <w:t>Indeed, on 17 April 1488, the craft guilds of Bruges submitted a petition to the Members of Flanders, expressing their suspicion that they had been misgoverned for years.</w:t>
      </w:r>
      <w:r w:rsidRPr="00B642CB">
        <w:rPr>
          <w:rFonts w:ascii="Cambria" w:hAnsi="Cambria"/>
          <w:bCs/>
          <w:sz w:val="22"/>
          <w:szCs w:val="22"/>
        </w:rPr>
        <w:t xml:space="preserve"> </w:t>
      </w:r>
      <w:r w:rsidRPr="00B642CB">
        <w:rPr>
          <w:rFonts w:ascii="Cambria" w:hAnsi="Cambria"/>
          <w:bCs/>
          <w:sz w:val="22"/>
          <w:szCs w:val="22"/>
          <w:highlight w:val="white"/>
        </w:rPr>
        <w:t>They requested that the Members ‘collect information’ (‘</w:t>
      </w:r>
      <w:r w:rsidRPr="00B642CB">
        <w:rPr>
          <w:rFonts w:ascii="Cambria" w:hAnsi="Cambria"/>
          <w:bCs/>
          <w:i/>
          <w:iCs/>
          <w:sz w:val="22"/>
          <w:szCs w:val="22"/>
          <w:highlight w:val="white"/>
        </w:rPr>
        <w:t>informacie neme</w:t>
      </w:r>
      <w:r w:rsidRPr="00B642CB">
        <w:rPr>
          <w:rFonts w:ascii="Cambria" w:hAnsi="Cambria"/>
          <w:bCs/>
          <w:sz w:val="22"/>
          <w:szCs w:val="22"/>
          <w:highlight w:val="white"/>
        </w:rPr>
        <w:t>’) regarding the former urban government.</w:t>
      </w:r>
      <w:r w:rsidRPr="00B642CB">
        <w:rPr>
          <w:rFonts w:ascii="Cambria" w:hAnsi="Cambria"/>
          <w:bCs/>
          <w:sz w:val="22"/>
          <w:szCs w:val="22"/>
        </w:rPr>
        <w:t xml:space="preserve"> </w:t>
      </w:r>
      <w:r w:rsidRPr="00B642CB">
        <w:rPr>
          <w:rFonts w:ascii="Cambria" w:hAnsi="Cambria"/>
          <w:bCs/>
          <w:sz w:val="22"/>
          <w:szCs w:val="22"/>
          <w:highlight w:val="white"/>
        </w:rPr>
        <w:t>In response, the Members agreed to initiate an investigation on their own accord.</w:t>
      </w:r>
      <w:r w:rsidRPr="00B642CB">
        <w:rPr>
          <w:rFonts w:ascii="Cambria" w:hAnsi="Cambria"/>
          <w:bCs/>
          <w:sz w:val="22"/>
          <w:szCs w:val="22"/>
        </w:rPr>
        <w:t xml:space="preserve"> </w:t>
      </w:r>
      <w:r w:rsidRPr="00B642CB">
        <w:rPr>
          <w:rFonts w:ascii="Cambria" w:hAnsi="Cambria"/>
          <w:bCs/>
          <w:sz w:val="22"/>
          <w:szCs w:val="22"/>
          <w:highlight w:val="white"/>
        </w:rPr>
        <w:t>Specifically, they would summon the former urban governors of Bruges to provide the necessary clarifications regarding their conduct.</w:t>
      </w:r>
      <w:r w:rsidRPr="00B642CB">
        <w:rPr>
          <w:rFonts w:ascii="Cambria" w:hAnsi="Cambria"/>
          <w:bCs/>
          <w:sz w:val="22"/>
          <w:szCs w:val="22"/>
        </w:rPr>
        <w:t xml:space="preserve"> Should they refuse, the Members of Flanders promised to</w:t>
      </w:r>
      <w:r w:rsidRPr="00B642CB">
        <w:rPr>
          <w:rFonts w:ascii="Cambria" w:hAnsi="Cambria"/>
          <w:bCs/>
          <w:sz w:val="22"/>
          <w:szCs w:val="22"/>
          <w:highlight w:val="white"/>
        </w:rPr>
        <w:t xml:space="preserve"> order the </w:t>
      </w:r>
      <w:r w:rsidRPr="00B642CB">
        <w:rPr>
          <w:rFonts w:ascii="Cambria" w:hAnsi="Cambria"/>
          <w:bCs/>
          <w:i/>
          <w:iCs/>
          <w:sz w:val="22"/>
          <w:szCs w:val="22"/>
          <w:highlight w:val="white"/>
        </w:rPr>
        <w:t>procureur-generaal</w:t>
      </w:r>
      <w:r w:rsidRPr="00B642CB">
        <w:rPr>
          <w:rFonts w:ascii="Cambria" w:hAnsi="Cambria"/>
          <w:bCs/>
          <w:sz w:val="22"/>
          <w:szCs w:val="22"/>
          <w:highlight w:val="white"/>
        </w:rPr>
        <w:t xml:space="preserve"> of the council of Flanders to make the necessary inquiries himself.</w:t>
      </w:r>
      <w:r w:rsidRPr="00B642CB">
        <w:rPr>
          <w:rStyle w:val="FootnoteReference"/>
          <w:rFonts w:ascii="Cambria" w:hAnsi="Cambria"/>
          <w:bCs/>
          <w:sz w:val="22"/>
          <w:szCs w:val="22"/>
        </w:rPr>
        <w:footnoteReference w:id="92"/>
      </w:r>
      <w:r w:rsidRPr="00B642CB">
        <w:rPr>
          <w:rFonts w:ascii="Cambria" w:hAnsi="Cambria"/>
          <w:bCs/>
          <w:sz w:val="22"/>
          <w:szCs w:val="22"/>
        </w:rPr>
        <w:t xml:space="preserve"> Thus, subjects could also demand and initiate extensive investigations.</w:t>
      </w:r>
    </w:p>
    <w:p w14:paraId="5320F1E6" w14:textId="77777777" w:rsidR="00B642CB" w:rsidRPr="00B642CB" w:rsidRDefault="00B642CB" w:rsidP="00B642CB">
      <w:pPr>
        <w:pStyle w:val="Heading2"/>
        <w:spacing w:line="276" w:lineRule="auto"/>
        <w:jc w:val="both"/>
        <w:rPr>
          <w:rFonts w:ascii="Cambria" w:hAnsi="Cambria"/>
          <w:b/>
          <w:i/>
          <w:iCs/>
          <w:color w:val="auto"/>
          <w:sz w:val="22"/>
          <w:szCs w:val="22"/>
        </w:rPr>
      </w:pPr>
      <w:r w:rsidRPr="00B642CB">
        <w:rPr>
          <w:rFonts w:ascii="Cambria" w:hAnsi="Cambria"/>
          <w:color w:val="auto"/>
          <w:sz w:val="22"/>
          <w:szCs w:val="22"/>
        </w:rPr>
        <w:t xml:space="preserve">Holding Governors and Officers Liable: Condemning, Convicting, Correcting </w:t>
      </w:r>
    </w:p>
    <w:p w14:paraId="31ECE942" w14:textId="77777777" w:rsidR="00B642CB" w:rsidRPr="00B642CB" w:rsidRDefault="00B642CB" w:rsidP="00B642CB">
      <w:pPr>
        <w:autoSpaceDE w:val="0"/>
        <w:autoSpaceDN w:val="0"/>
        <w:adjustRightInd w:val="0"/>
        <w:spacing w:line="276" w:lineRule="auto"/>
        <w:jc w:val="both"/>
        <w:rPr>
          <w:rFonts w:ascii="Cambria" w:hAnsi="Cambria"/>
          <w:bCs/>
          <w:sz w:val="22"/>
          <w:szCs w:val="22"/>
          <w:highlight w:val="white"/>
          <w:lang w:val="en-US"/>
        </w:rPr>
      </w:pPr>
      <w:r w:rsidRPr="00B642CB">
        <w:rPr>
          <w:rFonts w:ascii="Cambria" w:hAnsi="Cambria"/>
          <w:bCs/>
          <w:sz w:val="22"/>
          <w:szCs w:val="22"/>
          <w:highlight w:val="white"/>
          <w:lang w:val="en-US"/>
        </w:rPr>
        <w:t>As the cases of Cornelis Arcke and Pieter Boudins have already demonstrated, not all medieval governors and officers acted accountably.</w:t>
      </w:r>
      <w:r w:rsidRPr="00B642CB">
        <w:rPr>
          <w:rFonts w:ascii="Cambria" w:hAnsi="Cambria"/>
          <w:bCs/>
          <w:sz w:val="22"/>
          <w:szCs w:val="22"/>
          <w:lang w:val="en-US"/>
        </w:rPr>
        <w:t xml:space="preserve"> </w:t>
      </w:r>
      <w:r w:rsidRPr="00B642CB">
        <w:rPr>
          <w:rFonts w:ascii="Cambria" w:hAnsi="Cambria"/>
          <w:bCs/>
          <w:sz w:val="22"/>
          <w:szCs w:val="22"/>
          <w:highlight w:val="white"/>
          <w:lang w:val="en-US"/>
        </w:rPr>
        <w:t xml:space="preserve">In his </w:t>
      </w:r>
      <w:r w:rsidRPr="00B642CB">
        <w:rPr>
          <w:rFonts w:ascii="Cambria" w:hAnsi="Cambria"/>
          <w:bCs/>
          <w:i/>
          <w:iCs/>
          <w:sz w:val="22"/>
          <w:szCs w:val="22"/>
          <w:highlight w:val="white"/>
          <w:lang w:val="en-US"/>
        </w:rPr>
        <w:t>Recueil</w:t>
      </w:r>
      <w:r w:rsidRPr="00B642CB">
        <w:rPr>
          <w:rFonts w:ascii="Cambria" w:hAnsi="Cambria"/>
          <w:bCs/>
          <w:sz w:val="22"/>
          <w:szCs w:val="22"/>
          <w:highlight w:val="white"/>
          <w:lang w:val="en-US"/>
        </w:rPr>
        <w:t>, Wielant copies a letter that the Great Council of the Burgundian Low Countries had sent to Emperor Charles V regarding the organisation of the Council of Flanders, which even describes the responsibility of the Controller as ‘inquiring about the abuses that are being committed everywhere’ (‘</w:t>
      </w:r>
      <w:r w:rsidRPr="00B642CB">
        <w:rPr>
          <w:rFonts w:ascii="Cambria" w:hAnsi="Cambria"/>
          <w:bCs/>
          <w:i/>
          <w:iCs/>
          <w:sz w:val="22"/>
          <w:szCs w:val="22"/>
          <w:highlight w:val="white"/>
          <w:lang w:val="en-US"/>
        </w:rPr>
        <w:t xml:space="preserve">enquérir des abuz qui </w:t>
      </w:r>
      <w:r w:rsidRPr="00B642CB">
        <w:rPr>
          <w:rFonts w:ascii="Cambria" w:hAnsi="Cambria"/>
          <w:bCs/>
          <w:i/>
          <w:iCs/>
          <w:sz w:val="22"/>
          <w:szCs w:val="22"/>
          <w:highlight w:val="white"/>
          <w:lang w:val="en-US"/>
        </w:rPr>
        <w:lastRenderedPageBreak/>
        <w:t>partout se commectent</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93"/>
      </w:r>
      <w:r w:rsidRPr="00B642CB">
        <w:rPr>
          <w:rFonts w:ascii="Cambria" w:hAnsi="Cambria"/>
          <w:bCs/>
          <w:sz w:val="22"/>
          <w:szCs w:val="22"/>
          <w:lang w:val="en-US"/>
        </w:rPr>
        <w:t xml:space="preserve"> </w:t>
      </w:r>
      <w:r w:rsidRPr="00B642CB">
        <w:rPr>
          <w:rFonts w:ascii="Cambria" w:hAnsi="Cambria"/>
          <w:bCs/>
          <w:sz w:val="22"/>
          <w:szCs w:val="22"/>
          <w:highlight w:val="white"/>
          <w:lang w:val="en-US"/>
        </w:rPr>
        <w:t>Once again, counts, jurists, urban elites, and Flemish craft guilds express in unmistakably clear terms what must be done.</w:t>
      </w:r>
      <w:r w:rsidRPr="00B642CB">
        <w:rPr>
          <w:rFonts w:ascii="Cambria" w:hAnsi="Cambria"/>
          <w:bCs/>
          <w:sz w:val="22"/>
          <w:szCs w:val="22"/>
          <w:lang w:val="en-US"/>
        </w:rPr>
        <w:t xml:space="preserve"> </w:t>
      </w:r>
      <w:r w:rsidRPr="00B642CB">
        <w:rPr>
          <w:rFonts w:ascii="Cambria" w:hAnsi="Cambria"/>
          <w:bCs/>
          <w:sz w:val="22"/>
          <w:szCs w:val="22"/>
          <w:highlight w:val="white"/>
          <w:lang w:val="en-US"/>
        </w:rPr>
        <w:t>If divine and earthly measures have not prevented a governor or officer from acting irresponsibly, they must ‘answer for their abuses’ (‘</w:t>
      </w:r>
      <w:r w:rsidRPr="00B642CB">
        <w:rPr>
          <w:rFonts w:ascii="Cambria" w:hAnsi="Cambria"/>
          <w:bCs/>
          <w:i/>
          <w:iCs/>
          <w:sz w:val="22"/>
          <w:szCs w:val="22"/>
          <w:highlight w:val="white"/>
          <w:lang w:val="en-US"/>
        </w:rPr>
        <w:t>respondre de leur abuz</w:t>
      </w:r>
      <w:r w:rsidRPr="00B642CB">
        <w:rPr>
          <w:rFonts w:ascii="Cambria" w:hAnsi="Cambria"/>
          <w:bCs/>
          <w:sz w:val="22"/>
          <w:szCs w:val="22"/>
          <w:highlight w:val="white"/>
          <w:lang w:val="en-US"/>
        </w:rPr>
        <w:t>’), ‘repair the evil’ (‘</w:t>
      </w:r>
      <w:r w:rsidRPr="00B642CB">
        <w:rPr>
          <w:rFonts w:ascii="Cambria" w:hAnsi="Cambria"/>
          <w:bCs/>
          <w:i/>
          <w:iCs/>
          <w:sz w:val="22"/>
          <w:szCs w:val="22"/>
          <w:highlight w:val="white"/>
          <w:lang w:val="en-US"/>
        </w:rPr>
        <w:t>tquaet repareren</w:t>
      </w:r>
      <w:r w:rsidRPr="00B642CB">
        <w:rPr>
          <w:rFonts w:ascii="Cambria" w:hAnsi="Cambria"/>
          <w:bCs/>
          <w:sz w:val="22"/>
          <w:szCs w:val="22"/>
          <w:highlight w:val="white"/>
          <w:lang w:val="en-US"/>
        </w:rPr>
        <w:t>’) they have committed and ‘repair the damages’ (‘</w:t>
      </w:r>
      <w:r w:rsidRPr="00B642CB">
        <w:rPr>
          <w:rFonts w:ascii="Cambria" w:hAnsi="Cambria"/>
          <w:bCs/>
          <w:i/>
          <w:iCs/>
          <w:sz w:val="22"/>
          <w:szCs w:val="22"/>
          <w:highlight w:val="white"/>
          <w:lang w:val="en-US"/>
        </w:rPr>
        <w:t>restitueeren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dat te doen beterne</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remede daer jeghen te doene</w:t>
      </w:r>
      <w:r w:rsidRPr="00B642CB">
        <w:rPr>
          <w:rFonts w:ascii="Cambria" w:hAnsi="Cambria"/>
          <w:bCs/>
          <w:sz w:val="22"/>
          <w:szCs w:val="22"/>
          <w:highlight w:val="white"/>
          <w:lang w:val="en-US"/>
        </w:rPr>
        <w:t>’).</w:t>
      </w:r>
    </w:p>
    <w:p w14:paraId="68BD679C"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lang w:val="en-US"/>
        </w:rPr>
      </w:pPr>
      <w:r w:rsidRPr="00B642CB">
        <w:rPr>
          <w:rFonts w:ascii="Cambria" w:hAnsi="Cambria"/>
          <w:bCs/>
          <w:sz w:val="22"/>
          <w:szCs w:val="22"/>
          <w:highlight w:val="white"/>
          <w:lang w:val="en-US"/>
        </w:rPr>
        <w:t>Across the fifteenth-century county of Flanders, contemporaries recognised two ways in which this could be done.</w:t>
      </w:r>
      <w:r w:rsidRPr="00B642CB">
        <w:rPr>
          <w:rFonts w:ascii="Cambria" w:hAnsi="Cambria"/>
          <w:bCs/>
          <w:sz w:val="22"/>
          <w:szCs w:val="22"/>
          <w:lang w:val="en-US"/>
        </w:rPr>
        <w:t xml:space="preserve"> First, governors and officers could make the necessary corrections themselves, a preferred option according to Wielant</w:t>
      </w:r>
      <w:r w:rsidRPr="00B642CB">
        <w:rPr>
          <w:rFonts w:ascii="Cambria" w:hAnsi="Cambria"/>
          <w:bCs/>
          <w:sz w:val="22"/>
          <w:szCs w:val="22"/>
          <w:highlight w:val="white"/>
          <w:lang w:val="en-US"/>
        </w:rPr>
        <w:t>.</w:t>
      </w:r>
      <w:r w:rsidRPr="00B642CB">
        <w:rPr>
          <w:rFonts w:ascii="Cambria" w:hAnsi="Cambria"/>
          <w:bCs/>
          <w:sz w:val="22"/>
          <w:szCs w:val="22"/>
          <w:lang w:val="en-US"/>
        </w:rPr>
        <w:t xml:space="preserve"> </w:t>
      </w:r>
      <w:r w:rsidRPr="00B642CB">
        <w:rPr>
          <w:rFonts w:ascii="Cambria" w:hAnsi="Cambria"/>
          <w:bCs/>
          <w:sz w:val="22"/>
          <w:szCs w:val="22"/>
          <w:highlight w:val="white"/>
          <w:lang w:val="en-US"/>
        </w:rPr>
        <w:t>In his judicial treatise on criminal law, he writes, for example, that ‘the judge should not be ashamed to correct his mistake, because it is better that he correct himself than to be publicly disgraced for it’ (‘</w:t>
      </w:r>
      <w:r w:rsidRPr="00B642CB">
        <w:rPr>
          <w:rFonts w:ascii="Cambria" w:hAnsi="Cambria"/>
          <w:bCs/>
          <w:i/>
          <w:iCs/>
          <w:sz w:val="22"/>
          <w:szCs w:val="22"/>
          <w:highlight w:val="white"/>
          <w:lang w:val="en-US"/>
        </w:rPr>
        <w:t>de juge en behoort hem niet te scamene zyn erreur te corigierne, want beter eyst dat hy hemzelven corigiert dan dat hy openbaere scande daeromme lede</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94"/>
      </w:r>
      <w:r w:rsidRPr="00B642CB">
        <w:rPr>
          <w:rFonts w:ascii="Cambria" w:hAnsi="Cambria"/>
          <w:bCs/>
          <w:sz w:val="22"/>
          <w:szCs w:val="22"/>
        </w:rPr>
        <w:t xml:space="preserve"> </w:t>
      </w:r>
      <w:r w:rsidRPr="00B642CB">
        <w:rPr>
          <w:rFonts w:ascii="Cambria" w:hAnsi="Cambria"/>
          <w:bCs/>
          <w:sz w:val="22"/>
          <w:szCs w:val="22"/>
          <w:lang w:val="en-US"/>
        </w:rPr>
        <w:t xml:space="preserve">Unfortunately for late medieval governors and officers, very few offences could be repaired in this way. Because irresponsible governors or officers violated the rules of governance, their actions were commonly regarded as criminal offences. </w:t>
      </w:r>
      <w:r w:rsidRPr="00B642CB">
        <w:rPr>
          <w:rFonts w:ascii="Cambria" w:hAnsi="Cambria"/>
          <w:bCs/>
          <w:sz w:val="22"/>
          <w:szCs w:val="22"/>
          <w:highlight w:val="white"/>
          <w:lang w:val="en-US"/>
        </w:rPr>
        <w:t>The Flemish Privilege issued by Mary of Burgundy on 11 February 1477, for instance, stipulates that n</w:t>
      </w:r>
      <w:r w:rsidRPr="00B642CB">
        <w:rPr>
          <w:rFonts w:ascii="Cambria" w:hAnsi="Cambria"/>
          <w:bCs/>
          <w:sz w:val="22"/>
          <w:szCs w:val="22"/>
          <w:lang w:val="en-US"/>
        </w:rPr>
        <w:t>o officer may accept ‘gifts, corruption, or other things’ from those appearing before them, and that anyone ‘who acts to the contrary’ ‘will be punished and corrected as an offender of this ordinance’ (‘</w:t>
      </w:r>
      <w:proofErr w:type="spellStart"/>
      <w:r w:rsidRPr="00B642CB">
        <w:rPr>
          <w:rFonts w:ascii="Cambria" w:hAnsi="Cambria"/>
          <w:bCs/>
          <w:i/>
          <w:iCs/>
          <w:sz w:val="22"/>
          <w:szCs w:val="22"/>
          <w:lang w:val="en-US"/>
        </w:rPr>
        <w:t>wie</w:t>
      </w:r>
      <w:proofErr w:type="spellEnd"/>
      <w:r w:rsidRPr="00B642CB">
        <w:rPr>
          <w:rFonts w:ascii="Cambria" w:hAnsi="Cambria"/>
          <w:bCs/>
          <w:i/>
          <w:iCs/>
          <w:sz w:val="22"/>
          <w:szCs w:val="22"/>
          <w:lang w:val="en-US"/>
        </w:rPr>
        <w:t xml:space="preserve"> de contrarie </w:t>
      </w:r>
      <w:proofErr w:type="spellStart"/>
      <w:r w:rsidRPr="00B642CB">
        <w:rPr>
          <w:rFonts w:ascii="Cambria" w:hAnsi="Cambria"/>
          <w:bCs/>
          <w:i/>
          <w:iCs/>
          <w:sz w:val="22"/>
          <w:szCs w:val="22"/>
          <w:lang w:val="en-US"/>
        </w:rPr>
        <w:t>dade</w:t>
      </w:r>
      <w:proofErr w:type="spellEnd"/>
      <w:r w:rsidRPr="00B642CB">
        <w:rPr>
          <w:rFonts w:ascii="Cambria" w:hAnsi="Cambria"/>
          <w:bCs/>
          <w:i/>
          <w:iCs/>
          <w:sz w:val="22"/>
          <w:szCs w:val="22"/>
          <w:lang w:val="en-US"/>
        </w:rPr>
        <w:t xml:space="preserve">, dat hij </w:t>
      </w:r>
      <w:proofErr w:type="spellStart"/>
      <w:r w:rsidRPr="00B642CB">
        <w:rPr>
          <w:rFonts w:ascii="Cambria" w:hAnsi="Cambria"/>
          <w:bCs/>
          <w:i/>
          <w:iCs/>
          <w:sz w:val="22"/>
          <w:szCs w:val="22"/>
          <w:lang w:val="en-US"/>
        </w:rPr>
        <w:t>daeraf</w:t>
      </w:r>
      <w:proofErr w:type="spellEnd"/>
      <w:r w:rsidRPr="00B642CB">
        <w:rPr>
          <w:rFonts w:ascii="Cambria" w:hAnsi="Cambria"/>
          <w:bCs/>
          <w:i/>
          <w:iCs/>
          <w:sz w:val="22"/>
          <w:szCs w:val="22"/>
          <w:lang w:val="en-US"/>
        </w:rPr>
        <w:t xml:space="preserve"> </w:t>
      </w:r>
      <w:proofErr w:type="spellStart"/>
      <w:r w:rsidRPr="00B642CB">
        <w:rPr>
          <w:rFonts w:ascii="Cambria" w:hAnsi="Cambria"/>
          <w:bCs/>
          <w:i/>
          <w:iCs/>
          <w:sz w:val="22"/>
          <w:szCs w:val="22"/>
          <w:lang w:val="en-US"/>
        </w:rPr>
        <w:t>ghepugniert</w:t>
      </w:r>
      <w:proofErr w:type="spellEnd"/>
      <w:r w:rsidRPr="00B642CB">
        <w:rPr>
          <w:rFonts w:ascii="Cambria" w:hAnsi="Cambria"/>
          <w:bCs/>
          <w:i/>
          <w:iCs/>
          <w:sz w:val="22"/>
          <w:szCs w:val="22"/>
          <w:lang w:val="en-US"/>
        </w:rPr>
        <w:t xml:space="preserve"> ende ghecorrigiert zij als </w:t>
      </w:r>
      <w:proofErr w:type="spellStart"/>
      <w:r w:rsidRPr="00B642CB">
        <w:rPr>
          <w:rFonts w:ascii="Cambria" w:hAnsi="Cambria"/>
          <w:bCs/>
          <w:i/>
          <w:iCs/>
          <w:sz w:val="22"/>
          <w:szCs w:val="22"/>
          <w:lang w:val="en-US"/>
        </w:rPr>
        <w:t>overterdere</w:t>
      </w:r>
      <w:proofErr w:type="spellEnd"/>
      <w:r w:rsidRPr="00B642CB">
        <w:rPr>
          <w:rFonts w:ascii="Cambria" w:hAnsi="Cambria"/>
          <w:bCs/>
          <w:i/>
          <w:iCs/>
          <w:sz w:val="22"/>
          <w:szCs w:val="22"/>
          <w:lang w:val="en-US"/>
        </w:rPr>
        <w:t xml:space="preserve"> van deser </w:t>
      </w:r>
      <w:proofErr w:type="spellStart"/>
      <w:r w:rsidRPr="00B642CB">
        <w:rPr>
          <w:rFonts w:ascii="Cambria" w:hAnsi="Cambria"/>
          <w:bCs/>
          <w:i/>
          <w:iCs/>
          <w:sz w:val="22"/>
          <w:szCs w:val="22"/>
          <w:lang w:val="en-US"/>
        </w:rPr>
        <w:t>ordinancie</w:t>
      </w:r>
      <w:proofErr w:type="spellEnd"/>
      <w:r w:rsidRPr="00B642CB">
        <w:rPr>
          <w:rFonts w:ascii="Cambria" w:hAnsi="Cambria"/>
          <w:bCs/>
          <w:sz w:val="22"/>
          <w:szCs w:val="22"/>
          <w:lang w:val="en-US"/>
        </w:rPr>
        <w:t>’).</w:t>
      </w:r>
      <w:r w:rsidRPr="00B642CB">
        <w:rPr>
          <w:rStyle w:val="FootnoteReference"/>
          <w:rFonts w:ascii="Cambria" w:hAnsi="Cambria"/>
          <w:bCs/>
          <w:sz w:val="22"/>
          <w:szCs w:val="22"/>
        </w:rPr>
        <w:footnoteReference w:id="95"/>
      </w:r>
      <w:r w:rsidRPr="00B642CB">
        <w:rPr>
          <w:rFonts w:ascii="Cambria" w:hAnsi="Cambria"/>
          <w:bCs/>
          <w:sz w:val="22"/>
          <w:szCs w:val="22"/>
        </w:rPr>
        <w:t xml:space="preserve"> </w:t>
      </w:r>
      <w:r w:rsidRPr="00B642CB">
        <w:rPr>
          <w:rFonts w:ascii="Cambria" w:hAnsi="Cambria"/>
          <w:bCs/>
          <w:sz w:val="22"/>
          <w:szCs w:val="22"/>
          <w:lang w:val="en-US"/>
        </w:rPr>
        <w:t>I</w:t>
      </w:r>
      <w:r w:rsidRPr="00B642CB">
        <w:rPr>
          <w:rFonts w:ascii="Cambria" w:hAnsi="Cambria"/>
          <w:bCs/>
          <w:sz w:val="22"/>
          <w:szCs w:val="22"/>
        </w:rPr>
        <w:t>n a similar vein, Wielant stated that: ‘A judge who due to money favours one party and hurts the other, commits theft’</w:t>
      </w:r>
      <w:r w:rsidRPr="00B642CB">
        <w:rPr>
          <w:rFonts w:ascii="Cambria" w:hAnsi="Cambria"/>
          <w:bCs/>
          <w:sz w:val="22"/>
          <w:szCs w:val="22"/>
          <w:lang w:val="en-US"/>
        </w:rPr>
        <w:t xml:space="preserve"> (‘</w:t>
      </w:r>
      <w:r w:rsidRPr="00B642CB">
        <w:rPr>
          <w:rFonts w:ascii="Cambria" w:hAnsi="Cambria"/>
          <w:bCs/>
          <w:i/>
          <w:iCs/>
          <w:sz w:val="22"/>
          <w:szCs w:val="22"/>
          <w:lang w:val="en-US"/>
        </w:rPr>
        <w:t>Een juge die by ghelde favoriserende deen partie dandere quetst, committeert diefte</w:t>
      </w:r>
      <w:r w:rsidRPr="00B642CB">
        <w:rPr>
          <w:rFonts w:ascii="Cambria" w:hAnsi="Cambria"/>
          <w:bCs/>
          <w:sz w:val="22"/>
          <w:szCs w:val="22"/>
          <w:lang w:val="en-US"/>
        </w:rPr>
        <w:t>’).</w:t>
      </w:r>
      <w:r w:rsidRPr="00B642CB">
        <w:rPr>
          <w:rStyle w:val="FootnoteReference"/>
          <w:rFonts w:ascii="Cambria" w:hAnsi="Cambria"/>
          <w:bCs/>
          <w:sz w:val="22"/>
          <w:szCs w:val="22"/>
        </w:rPr>
        <w:footnoteReference w:id="96"/>
      </w:r>
      <w:r w:rsidRPr="00B642CB">
        <w:rPr>
          <w:rFonts w:ascii="Cambria" w:hAnsi="Cambria"/>
          <w:bCs/>
          <w:sz w:val="22"/>
          <w:szCs w:val="22"/>
          <w:lang w:val="en-US"/>
        </w:rPr>
        <w:t xml:space="preserve"> </w:t>
      </w:r>
      <w:r w:rsidRPr="00B642CB">
        <w:rPr>
          <w:rFonts w:ascii="Cambria" w:hAnsi="Cambria"/>
          <w:bCs/>
          <w:sz w:val="22"/>
          <w:szCs w:val="22"/>
          <w:highlight w:val="white"/>
          <w:lang w:val="en-US"/>
        </w:rPr>
        <w:t>Just like any other thief, irresponsible governors and officers should be held to justice.</w:t>
      </w:r>
    </w:p>
    <w:p w14:paraId="453CB552"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lang w:val="en-US"/>
        </w:rPr>
      </w:pPr>
      <w:r w:rsidRPr="00B642CB">
        <w:rPr>
          <w:rFonts w:ascii="Cambria" w:hAnsi="Cambria"/>
          <w:bCs/>
          <w:sz w:val="22"/>
          <w:szCs w:val="22"/>
          <w:highlight w:val="white"/>
          <w:lang w:val="en-US"/>
        </w:rPr>
        <w:t>To this end, the governor or officer alleged to have acted irresponsibly has to be summoned before a court of law (‘</w:t>
      </w:r>
      <w:r w:rsidRPr="00B642CB">
        <w:rPr>
          <w:rFonts w:ascii="Cambria" w:hAnsi="Cambria"/>
          <w:bCs/>
          <w:i/>
          <w:iCs/>
          <w:sz w:val="22"/>
          <w:szCs w:val="22"/>
          <w:highlight w:val="white"/>
          <w:lang w:val="en-US"/>
        </w:rPr>
        <w:t>brynghen voor tcollege</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indagen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sommez</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ghedaecht zyn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betrecken’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adjourner</w:t>
      </w:r>
      <w:r w:rsidRPr="00B642CB">
        <w:rPr>
          <w:rFonts w:ascii="Cambria" w:hAnsi="Cambria"/>
          <w:bCs/>
          <w:sz w:val="22"/>
          <w:szCs w:val="22"/>
          <w:highlight w:val="white"/>
          <w:lang w:val="en-US"/>
        </w:rPr>
        <w:t>’).</w:t>
      </w:r>
      <w:r w:rsidRPr="00B642CB">
        <w:rPr>
          <w:rFonts w:ascii="Cambria" w:hAnsi="Cambria"/>
          <w:bCs/>
          <w:sz w:val="22"/>
          <w:szCs w:val="22"/>
          <w:lang w:val="en-US"/>
        </w:rPr>
        <w:t xml:space="preserve"> Interestingly, all types of governors and officers, including even the Counts of Flanders themselves, could theoretically be summoned and held liable for their actions</w:t>
      </w:r>
      <w:r w:rsidRPr="00B642CB">
        <w:rPr>
          <w:rFonts w:ascii="Cambria" w:hAnsi="Cambria"/>
          <w:bCs/>
          <w:sz w:val="22"/>
          <w:szCs w:val="22"/>
          <w:highlight w:val="white"/>
          <w:lang w:val="en-US"/>
        </w:rPr>
        <w:t xml:space="preserve">. In his </w:t>
      </w:r>
      <w:r w:rsidRPr="00B642CB">
        <w:rPr>
          <w:rFonts w:ascii="Cambria" w:hAnsi="Cambria"/>
          <w:bCs/>
          <w:i/>
          <w:iCs/>
          <w:sz w:val="22"/>
          <w:szCs w:val="22"/>
          <w:highlight w:val="white"/>
          <w:lang w:val="en-US"/>
        </w:rPr>
        <w:t>Recueil</w:t>
      </w:r>
      <w:r w:rsidRPr="00B642CB">
        <w:rPr>
          <w:rFonts w:ascii="Cambria" w:hAnsi="Cambria"/>
          <w:bCs/>
          <w:sz w:val="22"/>
          <w:szCs w:val="22"/>
          <w:highlight w:val="white"/>
          <w:lang w:val="en-US"/>
        </w:rPr>
        <w:t>, Wielant describes a privilege of the city of Bruges that had been promulgated by Count Louis of Nevers in 1337.</w:t>
      </w:r>
      <w:r w:rsidRPr="00B642CB">
        <w:rPr>
          <w:rFonts w:ascii="Cambria" w:hAnsi="Cambria"/>
          <w:bCs/>
          <w:sz w:val="22"/>
          <w:szCs w:val="22"/>
          <w:lang w:val="en-US"/>
        </w:rPr>
        <w:t xml:space="preserve"> </w:t>
      </w:r>
      <w:r w:rsidRPr="00B642CB">
        <w:rPr>
          <w:rFonts w:ascii="Cambria" w:hAnsi="Cambria"/>
          <w:bCs/>
          <w:sz w:val="22"/>
          <w:szCs w:val="22"/>
          <w:highlight w:val="white"/>
          <w:lang w:val="en-US"/>
        </w:rPr>
        <w:t>According to Wielant, this privilege stipulated that if the count, bailiff, or receiver-general of Flanders—each a high-ranking officer—violated Bruges’ rights, liberties, or privileges, and did not make the necessary amends within ten days, the aldermen of Bruges had the right</w:t>
      </w:r>
      <w:r w:rsidRPr="00B642CB">
        <w:rPr>
          <w:rFonts w:ascii="Cambria" w:hAnsi="Cambria"/>
          <w:bCs/>
          <w:color w:val="FF0000"/>
          <w:sz w:val="22"/>
          <w:szCs w:val="22"/>
          <w:highlight w:val="white"/>
          <w:lang w:val="en-US"/>
        </w:rPr>
        <w:t xml:space="preserve"> </w:t>
      </w:r>
      <w:r w:rsidRPr="00B642CB">
        <w:rPr>
          <w:rFonts w:ascii="Cambria" w:hAnsi="Cambria"/>
          <w:bCs/>
          <w:sz w:val="22"/>
          <w:szCs w:val="22"/>
          <w:highlight w:val="white"/>
          <w:lang w:val="en-US"/>
        </w:rPr>
        <w:t>to cease administering justice in the name of the count, thus reducing both the count’s financial gain and – at least temporarily – his legal authority.</w:t>
      </w:r>
      <w:r w:rsidRPr="00B642CB">
        <w:rPr>
          <w:rFonts w:ascii="Cambria" w:hAnsi="Cambria"/>
          <w:bCs/>
          <w:sz w:val="22"/>
          <w:szCs w:val="22"/>
          <w:lang w:val="en-US"/>
        </w:rPr>
        <w:t xml:space="preserve"> </w:t>
      </w:r>
      <w:r w:rsidRPr="00B642CB">
        <w:rPr>
          <w:rFonts w:ascii="Cambria" w:hAnsi="Cambria"/>
          <w:bCs/>
          <w:sz w:val="22"/>
          <w:szCs w:val="22"/>
          <w:highlight w:val="white"/>
          <w:lang w:val="en-US"/>
        </w:rPr>
        <w:t>In addition, they could ‘</w:t>
      </w:r>
      <w:r w:rsidRPr="00B642CB">
        <w:rPr>
          <w:rFonts w:ascii="Cambria" w:hAnsi="Cambria"/>
          <w:bCs/>
          <w:i/>
          <w:iCs/>
          <w:sz w:val="22"/>
          <w:szCs w:val="22"/>
          <w:highlight w:val="white"/>
          <w:lang w:val="en-US"/>
        </w:rPr>
        <w:t>sommez</w:t>
      </w:r>
      <w:r w:rsidRPr="00B642CB">
        <w:rPr>
          <w:rFonts w:ascii="Cambria" w:hAnsi="Cambria"/>
          <w:bCs/>
          <w:sz w:val="22"/>
          <w:szCs w:val="22"/>
          <w:highlight w:val="white"/>
          <w:lang w:val="en-US"/>
        </w:rPr>
        <w:t>’ the offending officer.</w:t>
      </w:r>
      <w:r w:rsidRPr="00B642CB">
        <w:rPr>
          <w:rStyle w:val="FootnoteReference"/>
          <w:rFonts w:ascii="Cambria" w:hAnsi="Cambria"/>
          <w:bCs/>
          <w:sz w:val="22"/>
          <w:szCs w:val="22"/>
          <w:highlight w:val="white"/>
        </w:rPr>
        <w:footnoteReference w:id="97"/>
      </w:r>
      <w:r w:rsidRPr="00B642CB">
        <w:rPr>
          <w:rFonts w:ascii="Cambria" w:hAnsi="Cambria"/>
          <w:bCs/>
          <w:sz w:val="22"/>
          <w:szCs w:val="22"/>
          <w:highlight w:val="white"/>
          <w:lang w:val="en-US"/>
        </w:rPr>
        <w:t xml:space="preserve"> After governors and officers appeared in court (‘</w:t>
      </w:r>
      <w:r w:rsidRPr="00B642CB">
        <w:rPr>
          <w:rFonts w:ascii="Cambria" w:hAnsi="Cambria"/>
          <w:bCs/>
          <w:i/>
          <w:iCs/>
          <w:sz w:val="22"/>
          <w:szCs w:val="22"/>
          <w:highlight w:val="white"/>
          <w:lang w:val="en-US"/>
        </w:rPr>
        <w:t>compareeren</w:t>
      </w:r>
      <w:r w:rsidRPr="00B642CB">
        <w:rPr>
          <w:rFonts w:ascii="Cambria" w:hAnsi="Cambria"/>
          <w:bCs/>
          <w:sz w:val="22"/>
          <w:szCs w:val="22"/>
          <w:highlight w:val="white"/>
          <w:lang w:val="en-US"/>
        </w:rPr>
        <w:t>’, ‘</w:t>
      </w:r>
      <w:proofErr w:type="spellStart"/>
      <w:r w:rsidRPr="00B642CB">
        <w:rPr>
          <w:rFonts w:ascii="Cambria" w:hAnsi="Cambria"/>
          <w:bCs/>
          <w:i/>
          <w:iCs/>
          <w:sz w:val="22"/>
          <w:szCs w:val="22"/>
          <w:highlight w:val="white"/>
          <w:lang w:val="en-US"/>
        </w:rPr>
        <w:t>comparaître</w:t>
      </w:r>
      <w:proofErr w:type="spellEnd"/>
      <w:r w:rsidRPr="00B642CB">
        <w:rPr>
          <w:rFonts w:ascii="Cambria" w:hAnsi="Cambria"/>
          <w:bCs/>
          <w:sz w:val="22"/>
          <w:szCs w:val="22"/>
          <w:highlight w:val="white"/>
          <w:lang w:val="en-US"/>
        </w:rPr>
        <w:t>’), they had to face justice (‘</w:t>
      </w:r>
      <w:r w:rsidRPr="00B642CB">
        <w:rPr>
          <w:rFonts w:ascii="Cambria" w:hAnsi="Cambria"/>
          <w:bCs/>
          <w:i/>
          <w:iCs/>
          <w:sz w:val="22"/>
          <w:szCs w:val="22"/>
          <w:highlight w:val="white"/>
          <w:lang w:val="en-US"/>
        </w:rPr>
        <w:t>staen zullen te rechte</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ghestelt in justicien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vercrighene in handen van justicie</w:t>
      </w:r>
      <w:r w:rsidRPr="00B642CB">
        <w:rPr>
          <w:rFonts w:ascii="Cambria" w:hAnsi="Cambria"/>
          <w:bCs/>
          <w:sz w:val="22"/>
          <w:szCs w:val="22"/>
          <w:highlight w:val="white"/>
          <w:lang w:val="en-US"/>
        </w:rPr>
        <w:t>’) and would be prosecuted (‘</w:t>
      </w:r>
      <w:r w:rsidRPr="00B642CB">
        <w:rPr>
          <w:rFonts w:ascii="Cambria" w:hAnsi="Cambria"/>
          <w:bCs/>
          <w:i/>
          <w:iCs/>
          <w:sz w:val="22"/>
          <w:szCs w:val="22"/>
          <w:highlight w:val="white"/>
          <w:lang w:val="en-US"/>
        </w:rPr>
        <w:t>procéder contre luy</w:t>
      </w:r>
      <w:r w:rsidRPr="00B642CB">
        <w:rPr>
          <w:rFonts w:ascii="Cambria" w:hAnsi="Cambria"/>
          <w:bCs/>
          <w:sz w:val="22"/>
          <w:szCs w:val="22"/>
          <w:highlight w:val="white"/>
          <w:lang w:val="en-US"/>
        </w:rPr>
        <w:t>’).</w:t>
      </w:r>
      <w:r w:rsidRPr="00B642CB">
        <w:rPr>
          <w:rFonts w:ascii="Cambria" w:hAnsi="Cambria"/>
          <w:bCs/>
          <w:sz w:val="22"/>
          <w:szCs w:val="22"/>
          <w:lang w:val="en-US"/>
        </w:rPr>
        <w:t xml:space="preserve"> </w:t>
      </w:r>
      <w:r w:rsidRPr="00B642CB">
        <w:rPr>
          <w:rFonts w:ascii="Cambria" w:hAnsi="Cambria"/>
          <w:bCs/>
          <w:sz w:val="22"/>
          <w:szCs w:val="22"/>
          <w:highlight w:val="white"/>
          <w:lang w:val="en-US"/>
        </w:rPr>
        <w:t xml:space="preserve">But like other defendants, </w:t>
      </w:r>
      <w:r w:rsidRPr="00B642CB">
        <w:rPr>
          <w:rFonts w:ascii="Cambria" w:hAnsi="Cambria"/>
          <w:bCs/>
          <w:sz w:val="22"/>
          <w:szCs w:val="22"/>
          <w:highlight w:val="white"/>
          <w:lang w:val="en-US"/>
        </w:rPr>
        <w:lastRenderedPageBreak/>
        <w:t>they invariably had the right to respond to the accusations made against them (‘</w:t>
      </w:r>
      <w:r w:rsidRPr="00B642CB">
        <w:rPr>
          <w:rFonts w:ascii="Cambria" w:hAnsi="Cambria"/>
          <w:bCs/>
          <w:i/>
          <w:iCs/>
          <w:sz w:val="22"/>
          <w:szCs w:val="22"/>
          <w:highlight w:val="white"/>
          <w:lang w:val="en-US"/>
        </w:rPr>
        <w:t>respondre</w:t>
      </w:r>
      <w:r w:rsidRPr="00B642CB">
        <w:rPr>
          <w:rFonts w:ascii="Cambria" w:hAnsi="Cambria"/>
          <w:bCs/>
          <w:sz w:val="22"/>
          <w:szCs w:val="22"/>
          <w:highlight w:val="white"/>
          <w:lang w:val="en-US"/>
        </w:rPr>
        <w:t>’, ‘</w:t>
      </w:r>
      <w:proofErr w:type="spellStart"/>
      <w:r w:rsidRPr="00B642CB">
        <w:rPr>
          <w:rFonts w:ascii="Cambria" w:hAnsi="Cambria"/>
          <w:bCs/>
          <w:i/>
          <w:iCs/>
          <w:sz w:val="22"/>
          <w:szCs w:val="22"/>
          <w:highlight w:val="white"/>
          <w:lang w:val="en-US"/>
        </w:rPr>
        <w:t>replicqué</w:t>
      </w:r>
      <w:proofErr w:type="spellEnd"/>
      <w:r w:rsidRPr="00B642CB">
        <w:rPr>
          <w:rFonts w:ascii="Cambria" w:hAnsi="Cambria"/>
          <w:bCs/>
          <w:sz w:val="22"/>
          <w:szCs w:val="22"/>
          <w:highlight w:val="white"/>
          <w:lang w:val="en-US"/>
        </w:rPr>
        <w:t>’) and be heard in a court of law (‘</w:t>
      </w:r>
      <w:r w:rsidRPr="00B642CB">
        <w:rPr>
          <w:rFonts w:ascii="Cambria" w:hAnsi="Cambria"/>
          <w:bCs/>
          <w:i/>
          <w:iCs/>
          <w:sz w:val="22"/>
          <w:szCs w:val="22"/>
          <w:highlight w:val="white"/>
          <w:lang w:val="en-US"/>
        </w:rPr>
        <w:t>gehoort te wesene in justicie</w:t>
      </w:r>
      <w:r w:rsidRPr="00B642CB">
        <w:rPr>
          <w:rFonts w:ascii="Cambria" w:hAnsi="Cambria"/>
          <w:bCs/>
          <w:sz w:val="22"/>
          <w:szCs w:val="22"/>
          <w:highlight w:val="white"/>
          <w:lang w:val="en-US"/>
        </w:rPr>
        <w:t>’, ‘</w:t>
      </w:r>
      <w:proofErr w:type="spellStart"/>
      <w:r w:rsidRPr="00B642CB">
        <w:rPr>
          <w:rFonts w:ascii="Cambria" w:hAnsi="Cambria"/>
          <w:bCs/>
          <w:i/>
          <w:iCs/>
          <w:sz w:val="22"/>
          <w:szCs w:val="22"/>
          <w:highlight w:val="white"/>
          <w:lang w:val="en-US"/>
        </w:rPr>
        <w:t>ouïr</w:t>
      </w:r>
      <w:proofErr w:type="spellEnd"/>
      <w:r w:rsidRPr="00B642CB">
        <w:rPr>
          <w:rFonts w:ascii="Cambria" w:hAnsi="Cambria"/>
          <w:bCs/>
          <w:sz w:val="22"/>
          <w:szCs w:val="22"/>
          <w:highlight w:val="white"/>
          <w:lang w:val="en-US"/>
        </w:rPr>
        <w:t>’).</w:t>
      </w:r>
    </w:p>
    <w:p w14:paraId="4504E8F9"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lang w:val="en-US"/>
        </w:rPr>
      </w:pPr>
      <w:r w:rsidRPr="00B642CB">
        <w:rPr>
          <w:rFonts w:ascii="Cambria" w:hAnsi="Cambria"/>
          <w:bCs/>
          <w:sz w:val="22"/>
          <w:szCs w:val="22"/>
          <w:highlight w:val="white"/>
          <w:lang w:val="en-US"/>
        </w:rPr>
        <w:t>Who had the authority to bring governors and officers to court and to judge them?</w:t>
      </w:r>
      <w:r w:rsidRPr="00B642CB">
        <w:rPr>
          <w:rFonts w:ascii="Cambria" w:hAnsi="Cambria"/>
          <w:bCs/>
          <w:sz w:val="22"/>
          <w:szCs w:val="22"/>
          <w:lang w:val="en-US"/>
        </w:rPr>
        <w:t xml:space="preserve"> </w:t>
      </w:r>
      <w:r w:rsidRPr="00B642CB">
        <w:rPr>
          <w:rFonts w:ascii="Cambria" w:hAnsi="Cambria"/>
          <w:bCs/>
          <w:sz w:val="22"/>
          <w:szCs w:val="22"/>
          <w:highlight w:val="white"/>
          <w:lang w:val="en-US"/>
        </w:rPr>
        <w:t>Throughout late medieval Flanders, it was agreed that the Count had a duty to protect his subjects from misgovernance.</w:t>
      </w:r>
      <w:r w:rsidRPr="00B642CB">
        <w:rPr>
          <w:rFonts w:ascii="Cambria" w:hAnsi="Cambria"/>
          <w:bCs/>
          <w:sz w:val="22"/>
          <w:szCs w:val="22"/>
          <w:lang w:val="en-US"/>
        </w:rPr>
        <w:t xml:space="preserve"> </w:t>
      </w:r>
      <w:r w:rsidRPr="00B642CB">
        <w:rPr>
          <w:rFonts w:ascii="Cambria" w:hAnsi="Cambria"/>
          <w:bCs/>
          <w:sz w:val="22"/>
          <w:szCs w:val="22"/>
          <w:highlight w:val="white"/>
          <w:lang w:val="en-US"/>
        </w:rPr>
        <w:t>Summoning and judging corrupt governors and officers was considered an important part of this responsibility.</w:t>
      </w:r>
      <w:r w:rsidRPr="00B642CB">
        <w:rPr>
          <w:rFonts w:ascii="Cambria" w:hAnsi="Cambria"/>
          <w:bCs/>
          <w:sz w:val="22"/>
          <w:szCs w:val="22"/>
        </w:rPr>
        <w:t xml:space="preserve"> </w:t>
      </w:r>
      <w:r w:rsidRPr="00B642CB">
        <w:rPr>
          <w:rFonts w:ascii="Cambria" w:hAnsi="Cambria"/>
          <w:bCs/>
          <w:sz w:val="22"/>
          <w:szCs w:val="22"/>
          <w:highlight w:val="white"/>
          <w:lang w:val="en-US"/>
        </w:rPr>
        <w:t>In addition to the counts of Flanders, superior officers could also hold their subordinates accountable.</w:t>
      </w:r>
      <w:r w:rsidRPr="00B642CB">
        <w:rPr>
          <w:rFonts w:ascii="Cambria" w:hAnsi="Cambria"/>
          <w:bCs/>
          <w:sz w:val="22"/>
          <w:szCs w:val="22"/>
          <w:lang w:val="en-US"/>
        </w:rPr>
        <w:t xml:space="preserve"> </w:t>
      </w:r>
      <w:r w:rsidRPr="00B642CB">
        <w:rPr>
          <w:rFonts w:ascii="Cambria" w:hAnsi="Cambria"/>
          <w:bCs/>
          <w:sz w:val="22"/>
          <w:szCs w:val="22"/>
          <w:highlight w:val="white"/>
          <w:lang w:val="en-US"/>
        </w:rPr>
        <w:t>According to Wielant, this hierarchy of accountability was created because the counts of Flanders gradually granted their councillors, officers and governors the necessary authority.</w:t>
      </w:r>
      <w:r w:rsidRPr="00B642CB">
        <w:rPr>
          <w:rStyle w:val="FootnoteReference"/>
          <w:rFonts w:ascii="Cambria" w:hAnsi="Cambria"/>
          <w:bCs/>
          <w:sz w:val="22"/>
          <w:szCs w:val="22"/>
          <w:highlight w:val="white"/>
        </w:rPr>
        <w:footnoteReference w:id="98"/>
      </w:r>
      <w:r w:rsidRPr="00B642CB">
        <w:rPr>
          <w:rFonts w:ascii="Cambria" w:hAnsi="Cambria"/>
          <w:bCs/>
          <w:sz w:val="22"/>
          <w:szCs w:val="22"/>
          <w:lang w:val="en-US"/>
        </w:rPr>
        <w:t xml:space="preserve"> </w:t>
      </w:r>
      <w:r w:rsidRPr="00B642CB">
        <w:rPr>
          <w:rFonts w:ascii="Cambria" w:hAnsi="Cambria"/>
          <w:bCs/>
          <w:sz w:val="22"/>
          <w:szCs w:val="22"/>
          <w:highlight w:val="white"/>
          <w:lang w:val="en-US"/>
        </w:rPr>
        <w:t>His observation is consonant with the findings of modern scholars who argue that top-down procedures of accountability were based on the belief in a direct relationship between the delegation of power and the right to hold governors and officers to account.</w:t>
      </w:r>
      <w:r w:rsidRPr="00B642CB">
        <w:rPr>
          <w:rStyle w:val="FootnoteReference"/>
          <w:rFonts w:ascii="Cambria" w:hAnsi="Cambria"/>
          <w:bCs/>
          <w:sz w:val="22"/>
          <w:szCs w:val="22"/>
          <w:highlight w:val="white"/>
        </w:rPr>
        <w:footnoteReference w:id="99"/>
      </w:r>
      <w:r w:rsidRPr="00B642CB">
        <w:rPr>
          <w:rFonts w:ascii="Cambria" w:hAnsi="Cambria"/>
          <w:bCs/>
          <w:sz w:val="22"/>
          <w:szCs w:val="22"/>
        </w:rPr>
        <w:t xml:space="preserve"> </w:t>
      </w:r>
      <w:r w:rsidRPr="00B642CB">
        <w:rPr>
          <w:rFonts w:ascii="Cambria" w:hAnsi="Cambria"/>
          <w:bCs/>
          <w:sz w:val="22"/>
          <w:szCs w:val="22"/>
          <w:highlight w:val="white"/>
          <w:lang w:val="en-US"/>
        </w:rPr>
        <w:t>As argued by Sabapathy, forms of intermediary accountability also came into being by the increasing growth and complexity of medieval institutions across wide spaces.</w:t>
      </w:r>
      <w:r w:rsidRPr="00B642CB">
        <w:rPr>
          <w:rFonts w:ascii="Cambria" w:hAnsi="Cambria"/>
          <w:bCs/>
          <w:sz w:val="22"/>
          <w:szCs w:val="22"/>
          <w:lang w:val="en-US"/>
        </w:rPr>
        <w:t xml:space="preserve"> </w:t>
      </w:r>
      <w:r w:rsidRPr="00B642CB">
        <w:rPr>
          <w:rFonts w:ascii="Cambria" w:hAnsi="Cambria"/>
          <w:bCs/>
          <w:sz w:val="22"/>
          <w:szCs w:val="22"/>
          <w:highlight w:val="white"/>
          <w:lang w:val="en-US"/>
        </w:rPr>
        <w:t>When this happened, the ruler could not be everywhere at once, and the line between him and local officers could become very thin.</w:t>
      </w:r>
      <w:r w:rsidRPr="00B642CB">
        <w:rPr>
          <w:rStyle w:val="FootnoteReference"/>
          <w:rFonts w:ascii="Cambria" w:hAnsi="Cambria"/>
          <w:bCs/>
          <w:sz w:val="22"/>
          <w:szCs w:val="22"/>
          <w:highlight w:val="white"/>
        </w:rPr>
        <w:footnoteReference w:id="100"/>
      </w:r>
      <w:r w:rsidRPr="00B642CB">
        <w:rPr>
          <w:rFonts w:ascii="Cambria" w:hAnsi="Cambria"/>
          <w:bCs/>
          <w:sz w:val="22"/>
          <w:szCs w:val="22"/>
          <w:highlight w:val="white"/>
        </w:rPr>
        <w:t xml:space="preserve"> </w:t>
      </w:r>
      <w:r w:rsidRPr="00B642CB">
        <w:rPr>
          <w:rFonts w:ascii="Cambria" w:hAnsi="Cambria"/>
          <w:bCs/>
          <w:sz w:val="22"/>
          <w:szCs w:val="22"/>
          <w:highlight w:val="white"/>
          <w:lang w:val="en-US"/>
        </w:rPr>
        <w:t>Confirming this observation, Wielant wrote that Philip the Bold founded the Flemish Chamber of Accounts after considering that he was often away from the county of Flanders.</w:t>
      </w:r>
      <w:r w:rsidRPr="00B642CB">
        <w:rPr>
          <w:rStyle w:val="FootnoteReference"/>
          <w:rFonts w:ascii="Cambria" w:hAnsi="Cambria"/>
          <w:bCs/>
          <w:sz w:val="22"/>
          <w:szCs w:val="22"/>
          <w:highlight w:val="white"/>
        </w:rPr>
        <w:footnoteReference w:id="101"/>
      </w:r>
      <w:r w:rsidRPr="00B642CB">
        <w:rPr>
          <w:rFonts w:ascii="Cambria" w:hAnsi="Cambria"/>
          <w:bCs/>
          <w:sz w:val="22"/>
          <w:szCs w:val="22"/>
          <w:lang w:val="en-US"/>
        </w:rPr>
        <w:t xml:space="preserve"> </w:t>
      </w:r>
      <w:r w:rsidRPr="00B642CB">
        <w:rPr>
          <w:rFonts w:ascii="Cambria" w:hAnsi="Cambria"/>
          <w:bCs/>
          <w:sz w:val="22"/>
          <w:szCs w:val="22"/>
          <w:highlight w:val="white"/>
          <w:lang w:val="en-US"/>
        </w:rPr>
        <w:t>Amongst other duties, such as auditing the accounts of the bailiffs, he granted this council the authority ‘to inform about the state, conduct and government of such officers, to correct their excesses’ (‘</w:t>
      </w:r>
      <w:r w:rsidRPr="00B642CB">
        <w:rPr>
          <w:rFonts w:ascii="Cambria" w:hAnsi="Cambria"/>
          <w:bCs/>
          <w:i/>
          <w:iCs/>
          <w:sz w:val="22"/>
          <w:szCs w:val="22"/>
          <w:highlight w:val="white"/>
          <w:lang w:val="en-US"/>
        </w:rPr>
        <w:t>informer de l'estat, conduitte et gouvernement d'iceuls officiers, corriger leurs excès</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102"/>
      </w:r>
    </w:p>
    <w:p w14:paraId="686A7EA8"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rPr>
      </w:pPr>
      <w:r w:rsidRPr="00B642CB">
        <w:rPr>
          <w:rFonts w:ascii="Cambria" w:hAnsi="Cambria"/>
          <w:bCs/>
          <w:sz w:val="22"/>
          <w:szCs w:val="22"/>
          <w:highlight w:val="white"/>
          <w:lang w:val="en-US"/>
        </w:rPr>
        <w:t xml:space="preserve">But calls for accountability, as we have seen, could also come from below. A bird’s-eye view of four petitions submitted by the craft guilds of Bruges over the course of the fifteenth century is sufficient to reveal various instances of subjects attempting to hold governors and officers accountable in court. </w:t>
      </w:r>
      <w:r w:rsidRPr="00B642CB">
        <w:rPr>
          <w:rFonts w:ascii="Cambria" w:hAnsi="Cambria"/>
          <w:bCs/>
          <w:sz w:val="22"/>
          <w:szCs w:val="22"/>
          <w:lang w:val="en-US"/>
        </w:rPr>
        <w:t>T</w:t>
      </w:r>
      <w:r w:rsidRPr="00B642CB">
        <w:rPr>
          <w:rFonts w:ascii="Cambria" w:hAnsi="Cambria"/>
          <w:bCs/>
          <w:sz w:val="22"/>
          <w:szCs w:val="22"/>
          <w:highlight w:val="white"/>
          <w:lang w:val="en-US"/>
        </w:rPr>
        <w:t>aken together these petitions contain 10</w:t>
      </w:r>
      <w:r w:rsidRPr="00B642CB">
        <w:rPr>
          <w:rFonts w:ascii="Cambria" w:hAnsi="Cambria"/>
          <w:bCs/>
          <w:sz w:val="22"/>
          <w:szCs w:val="22"/>
          <w:lang w:val="en-US"/>
        </w:rPr>
        <w:t>4 complaints, 16% of which are aimed at holding governors and officers to account in a court of law.</w:t>
      </w:r>
      <w:r w:rsidRPr="00B642CB">
        <w:rPr>
          <w:rStyle w:val="FootnoteReference"/>
          <w:rFonts w:ascii="Cambria" w:hAnsi="Cambria"/>
          <w:bCs/>
          <w:sz w:val="22"/>
          <w:szCs w:val="22"/>
        </w:rPr>
        <w:footnoteReference w:id="103"/>
      </w:r>
      <w:r w:rsidRPr="00B642CB">
        <w:rPr>
          <w:rFonts w:ascii="Cambria" w:hAnsi="Cambria"/>
          <w:bCs/>
          <w:sz w:val="22"/>
          <w:szCs w:val="22"/>
        </w:rPr>
        <w:t xml:space="preserve"> </w:t>
      </w:r>
      <w:r w:rsidRPr="00B642CB">
        <w:rPr>
          <w:rFonts w:ascii="Cambria" w:hAnsi="Cambria"/>
          <w:bCs/>
          <w:sz w:val="22"/>
          <w:szCs w:val="22"/>
          <w:highlight w:val="white"/>
          <w:lang w:val="en-US"/>
        </w:rPr>
        <w:t>In March 1477, the craft guilds of Bruges, for example, demanded that t</w:t>
      </w:r>
      <w:r w:rsidRPr="00B642CB">
        <w:rPr>
          <w:rFonts w:ascii="Cambria" w:hAnsi="Cambria"/>
          <w:bCs/>
          <w:sz w:val="22"/>
          <w:szCs w:val="22"/>
          <w:highlight w:val="white"/>
        </w:rPr>
        <w:t>hose wronged by the water bailiff of Sluis be allowed to summon him before the aldermen of Bruges or Sint Anna ter Muiden, an outport of the city.</w:t>
      </w:r>
      <w:r w:rsidRPr="00B642CB">
        <w:rPr>
          <w:rStyle w:val="FootnoteReference"/>
          <w:rFonts w:ascii="Cambria" w:hAnsi="Cambria"/>
          <w:bCs/>
          <w:sz w:val="22"/>
          <w:szCs w:val="22"/>
        </w:rPr>
        <w:footnoteReference w:id="104"/>
      </w:r>
      <w:r w:rsidRPr="00B642CB">
        <w:rPr>
          <w:rFonts w:ascii="Cambria" w:hAnsi="Cambria"/>
          <w:bCs/>
          <w:sz w:val="22"/>
          <w:szCs w:val="22"/>
        </w:rPr>
        <w:t xml:space="preserve"> </w:t>
      </w:r>
      <w:r w:rsidRPr="00B642CB">
        <w:rPr>
          <w:rFonts w:ascii="Cambria" w:hAnsi="Cambria"/>
          <w:bCs/>
          <w:sz w:val="22"/>
          <w:szCs w:val="22"/>
          <w:highlight w:val="white"/>
        </w:rPr>
        <w:t>The craft guilds argued that the water bailiff, an officer charged with maintaining the count’s authority and jurisdiction in one of the most important seaports of Flanders, had caused ‘great inconvenience’ (‘</w:t>
      </w:r>
      <w:r w:rsidRPr="00B642CB">
        <w:rPr>
          <w:rFonts w:ascii="Cambria" w:hAnsi="Cambria"/>
          <w:bCs/>
          <w:i/>
          <w:iCs/>
          <w:sz w:val="22"/>
          <w:szCs w:val="22"/>
          <w:highlight w:val="white"/>
        </w:rPr>
        <w:t>groot overlast</w:t>
      </w:r>
      <w:r w:rsidRPr="00B642CB">
        <w:rPr>
          <w:rFonts w:ascii="Cambria" w:hAnsi="Cambria"/>
          <w:bCs/>
          <w:sz w:val="22"/>
          <w:szCs w:val="22"/>
          <w:highlight w:val="white"/>
        </w:rPr>
        <w:t>’) for merchants and other travellers.</w:t>
      </w:r>
      <w:r w:rsidRPr="00B642CB">
        <w:rPr>
          <w:rStyle w:val="FootnoteReference"/>
          <w:rFonts w:ascii="Cambria" w:hAnsi="Cambria"/>
          <w:bCs/>
          <w:sz w:val="22"/>
          <w:szCs w:val="22"/>
        </w:rPr>
        <w:footnoteReference w:id="105"/>
      </w:r>
      <w:r w:rsidRPr="00B642CB">
        <w:rPr>
          <w:rFonts w:ascii="Cambria" w:hAnsi="Cambria"/>
          <w:bCs/>
          <w:sz w:val="22"/>
          <w:szCs w:val="22"/>
        </w:rPr>
        <w:t xml:space="preserve"> To hold the bailiff liable, the craft gui</w:t>
      </w:r>
      <w:r w:rsidRPr="00B642CB">
        <w:rPr>
          <w:rFonts w:ascii="Cambria" w:hAnsi="Cambria"/>
          <w:bCs/>
          <w:sz w:val="22"/>
          <w:szCs w:val="22"/>
          <w:highlight w:val="white"/>
        </w:rPr>
        <w:t xml:space="preserve">lds desired ‘that the aforementioned bailiff and officers would henceforth stand </w:t>
      </w:r>
      <w:r w:rsidRPr="00B642CB">
        <w:rPr>
          <w:rFonts w:ascii="Cambria" w:hAnsi="Cambria"/>
          <w:bCs/>
          <w:sz w:val="22"/>
          <w:szCs w:val="22"/>
          <w:highlight w:val="white"/>
        </w:rPr>
        <w:lastRenderedPageBreak/>
        <w:t>in justice against the aforementioned foreign merchants and all others’ (‘</w:t>
      </w:r>
      <w:r w:rsidRPr="00B642CB">
        <w:rPr>
          <w:rFonts w:ascii="Cambria" w:hAnsi="Cambria"/>
          <w:bCs/>
          <w:i/>
          <w:iCs/>
          <w:sz w:val="22"/>
          <w:szCs w:val="22"/>
          <w:highlight w:val="white"/>
        </w:rPr>
        <w:t>dat de voornoemden bailliu ende dienaren voordanne staen zullen te rechte jeghens den voornoemden vreimden coopmannen, ende allen andren</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106"/>
      </w:r>
    </w:p>
    <w:p w14:paraId="5889E9F1"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lang w:val="en-US"/>
        </w:rPr>
      </w:pPr>
      <w:r w:rsidRPr="00B642CB">
        <w:rPr>
          <w:rFonts w:ascii="Cambria" w:hAnsi="Cambria"/>
          <w:bCs/>
          <w:sz w:val="22"/>
          <w:szCs w:val="22"/>
          <w:highlight w:val="white"/>
          <w:lang w:val="en-US"/>
        </w:rPr>
        <w:t>If found guilty, governors and officers would be convicted (‘</w:t>
      </w:r>
      <w:r w:rsidRPr="00B642CB">
        <w:rPr>
          <w:rFonts w:ascii="Cambria" w:hAnsi="Cambria"/>
          <w:bCs/>
          <w:i/>
          <w:iCs/>
          <w:sz w:val="22"/>
          <w:szCs w:val="22"/>
          <w:highlight w:val="white"/>
          <w:lang w:val="en-US"/>
        </w:rPr>
        <w:t>condempneren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condempna</w:t>
      </w:r>
      <w:r w:rsidRPr="00B642CB">
        <w:rPr>
          <w:rFonts w:ascii="Cambria" w:hAnsi="Cambria"/>
          <w:bCs/>
          <w:sz w:val="22"/>
          <w:szCs w:val="22"/>
          <w:highlight w:val="white"/>
          <w:lang w:val="en-US"/>
        </w:rPr>
        <w:t>’), receive their verdict (‘</w:t>
      </w:r>
      <w:r w:rsidRPr="00B642CB">
        <w:rPr>
          <w:rFonts w:ascii="Cambria" w:hAnsi="Cambria"/>
          <w:bCs/>
          <w:i/>
          <w:iCs/>
          <w:sz w:val="22"/>
          <w:szCs w:val="22"/>
          <w:highlight w:val="white"/>
          <w:lang w:val="en-US"/>
        </w:rPr>
        <w:t>jugement</w:t>
      </w:r>
      <w:r w:rsidRPr="00B642CB">
        <w:rPr>
          <w:rFonts w:ascii="Cambria" w:hAnsi="Cambria"/>
          <w:bCs/>
          <w:sz w:val="22"/>
          <w:szCs w:val="22"/>
          <w:highlight w:val="white"/>
          <w:lang w:val="en-US"/>
        </w:rPr>
        <w:t>’) and be punished (‘</w:t>
      </w:r>
      <w:r w:rsidRPr="00B642CB">
        <w:rPr>
          <w:rFonts w:ascii="Cambria" w:hAnsi="Cambria"/>
          <w:bCs/>
          <w:i/>
          <w:iCs/>
          <w:sz w:val="22"/>
          <w:szCs w:val="22"/>
          <w:highlight w:val="white"/>
          <w:lang w:val="en-US"/>
        </w:rPr>
        <w:t>ghecorrigiert thebbene</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corrigeren</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corriger</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corrections</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pugnierlic</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puissance</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punir</w:t>
      </w:r>
      <w:r w:rsidRPr="00B642CB">
        <w:rPr>
          <w:rFonts w:ascii="Cambria" w:hAnsi="Cambria"/>
          <w:bCs/>
          <w:sz w:val="22"/>
          <w:szCs w:val="22"/>
          <w:highlight w:val="white"/>
          <w:lang w:val="en-US"/>
        </w:rPr>
        <w:t>’, ‘</w:t>
      </w:r>
      <w:r w:rsidRPr="00B642CB">
        <w:rPr>
          <w:rFonts w:ascii="Cambria" w:hAnsi="Cambria"/>
          <w:bCs/>
          <w:i/>
          <w:iCs/>
          <w:sz w:val="22"/>
          <w:szCs w:val="22"/>
          <w:highlight w:val="white"/>
          <w:lang w:val="en-US"/>
        </w:rPr>
        <w:t>gepuniert te sine</w:t>
      </w:r>
      <w:r w:rsidRPr="00B642CB">
        <w:rPr>
          <w:rFonts w:ascii="Cambria" w:hAnsi="Cambria"/>
          <w:bCs/>
          <w:sz w:val="22"/>
          <w:szCs w:val="22"/>
          <w:highlight w:val="white"/>
          <w:lang w:val="en-US"/>
        </w:rPr>
        <w:t>’, ‘</w:t>
      </w:r>
      <w:r w:rsidRPr="00B642CB">
        <w:rPr>
          <w:rFonts w:ascii="Cambria" w:hAnsi="Cambria"/>
          <w:bCs/>
          <w:i/>
          <w:iCs/>
          <w:sz w:val="22"/>
          <w:szCs w:val="22"/>
          <w:lang w:val="en-US"/>
        </w:rPr>
        <w:t>gheplaecht</w:t>
      </w:r>
      <w:r w:rsidRPr="00B642CB">
        <w:rPr>
          <w:rFonts w:ascii="Cambria" w:hAnsi="Cambria"/>
          <w:bCs/>
          <w:sz w:val="22"/>
          <w:szCs w:val="22"/>
          <w:lang w:val="en-US"/>
        </w:rPr>
        <w:t>’, ‘</w:t>
      </w:r>
      <w:r w:rsidRPr="00B642CB">
        <w:rPr>
          <w:rFonts w:ascii="Cambria" w:hAnsi="Cambria"/>
          <w:bCs/>
          <w:i/>
          <w:iCs/>
          <w:sz w:val="22"/>
          <w:szCs w:val="22"/>
          <w:lang w:val="en-US"/>
        </w:rPr>
        <w:t>sentence</w:t>
      </w:r>
      <w:r w:rsidRPr="00B642CB">
        <w:rPr>
          <w:rFonts w:ascii="Cambria" w:hAnsi="Cambria"/>
          <w:bCs/>
          <w:sz w:val="22"/>
          <w:szCs w:val="22"/>
          <w:lang w:val="en-US"/>
        </w:rPr>
        <w:t>’, ‘</w:t>
      </w:r>
      <w:r w:rsidRPr="00B642CB">
        <w:rPr>
          <w:rFonts w:ascii="Cambria" w:hAnsi="Cambria"/>
          <w:bCs/>
          <w:i/>
          <w:iCs/>
          <w:sz w:val="22"/>
          <w:szCs w:val="22"/>
          <w:lang w:val="en-US"/>
        </w:rPr>
        <w:t>peine</w:t>
      </w:r>
      <w:r w:rsidRPr="00B642CB">
        <w:rPr>
          <w:rFonts w:ascii="Cambria" w:hAnsi="Cambria"/>
          <w:bCs/>
          <w:sz w:val="22"/>
          <w:szCs w:val="22"/>
          <w:lang w:val="en-US"/>
        </w:rPr>
        <w:t xml:space="preserve">’, </w:t>
      </w:r>
      <w:r w:rsidRPr="00B642CB">
        <w:rPr>
          <w:rFonts w:ascii="Cambria" w:hAnsi="Cambria"/>
          <w:bCs/>
          <w:i/>
          <w:iCs/>
          <w:sz w:val="22"/>
          <w:szCs w:val="22"/>
          <w:lang w:val="en-US"/>
        </w:rPr>
        <w:t>‘punition</w:t>
      </w:r>
      <w:r w:rsidRPr="00B642CB">
        <w:rPr>
          <w:rFonts w:ascii="Cambria" w:hAnsi="Cambria"/>
          <w:bCs/>
          <w:sz w:val="22"/>
          <w:szCs w:val="22"/>
          <w:lang w:val="en-US"/>
        </w:rPr>
        <w:t xml:space="preserve">’). </w:t>
      </w:r>
      <w:r w:rsidRPr="00B642CB">
        <w:rPr>
          <w:rFonts w:ascii="Cambria" w:hAnsi="Cambria"/>
          <w:bCs/>
          <w:sz w:val="22"/>
          <w:szCs w:val="22"/>
          <w:highlight w:val="white"/>
          <w:lang w:val="en-US"/>
        </w:rPr>
        <w:t>The counts, jurists, urban elites, and craft guilds proposed several severe punishments for convicted governors and officers.</w:t>
      </w:r>
      <w:r w:rsidRPr="00B642CB">
        <w:rPr>
          <w:rFonts w:ascii="Cambria" w:hAnsi="Cambria"/>
          <w:bCs/>
          <w:sz w:val="22"/>
          <w:szCs w:val="22"/>
          <w:lang w:val="en-US"/>
        </w:rPr>
        <w:t xml:space="preserve"> </w:t>
      </w:r>
      <w:r w:rsidRPr="00B642CB">
        <w:rPr>
          <w:rFonts w:ascii="Cambria" w:hAnsi="Cambria"/>
          <w:bCs/>
          <w:sz w:val="22"/>
          <w:szCs w:val="22"/>
          <w:highlight w:val="white"/>
          <w:lang w:val="en-US"/>
        </w:rPr>
        <w:t xml:space="preserve">Wielant writes in his </w:t>
      </w:r>
      <w:r w:rsidRPr="00B642CB">
        <w:rPr>
          <w:rFonts w:ascii="Cambria" w:hAnsi="Cambria"/>
          <w:bCs/>
          <w:i/>
          <w:iCs/>
          <w:sz w:val="22"/>
          <w:szCs w:val="22"/>
          <w:highlight w:val="white"/>
          <w:lang w:val="en-US"/>
        </w:rPr>
        <w:t>Recueil</w:t>
      </w:r>
      <w:r w:rsidRPr="00B642CB">
        <w:rPr>
          <w:rFonts w:ascii="Cambria" w:hAnsi="Cambria"/>
          <w:bCs/>
          <w:sz w:val="22"/>
          <w:szCs w:val="22"/>
          <w:highlight w:val="white"/>
          <w:lang w:val="en-US"/>
        </w:rPr>
        <w:t xml:space="preserve"> that those found guilty ‘will never have an office’ (‘</w:t>
      </w:r>
      <w:proofErr w:type="spellStart"/>
      <w:r w:rsidRPr="00B642CB">
        <w:rPr>
          <w:rFonts w:ascii="Cambria" w:hAnsi="Cambria"/>
          <w:bCs/>
          <w:i/>
          <w:iCs/>
          <w:sz w:val="22"/>
          <w:szCs w:val="22"/>
          <w:highlight w:val="white"/>
          <w:lang w:val="en-US"/>
        </w:rPr>
        <w:t>s’ilz</w:t>
      </w:r>
      <w:proofErr w:type="spellEnd"/>
      <w:r w:rsidRPr="00B642CB">
        <w:rPr>
          <w:rFonts w:ascii="Cambria" w:hAnsi="Cambria"/>
          <w:bCs/>
          <w:i/>
          <w:iCs/>
          <w:sz w:val="22"/>
          <w:szCs w:val="22"/>
          <w:highlight w:val="white"/>
          <w:lang w:val="en-US"/>
        </w:rPr>
        <w:t xml:space="preserve"> sont </w:t>
      </w:r>
      <w:proofErr w:type="spellStart"/>
      <w:r w:rsidRPr="00B642CB">
        <w:rPr>
          <w:rFonts w:ascii="Cambria" w:hAnsi="Cambria"/>
          <w:bCs/>
          <w:i/>
          <w:iCs/>
          <w:sz w:val="22"/>
          <w:szCs w:val="22"/>
          <w:highlight w:val="white"/>
          <w:lang w:val="en-US"/>
        </w:rPr>
        <w:t>trouvez</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coulpables</w:t>
      </w:r>
      <w:proofErr w:type="spellEnd"/>
      <w:r w:rsidRPr="00B642CB">
        <w:rPr>
          <w:rFonts w:ascii="Cambria" w:hAnsi="Cambria"/>
          <w:bCs/>
          <w:i/>
          <w:iCs/>
          <w:sz w:val="22"/>
          <w:szCs w:val="22"/>
          <w:highlight w:val="white"/>
          <w:lang w:val="en-US"/>
        </w:rPr>
        <w:t xml:space="preserve">, ne </w:t>
      </w:r>
      <w:proofErr w:type="spellStart"/>
      <w:r w:rsidRPr="00B642CB">
        <w:rPr>
          <w:rFonts w:ascii="Cambria" w:hAnsi="Cambria"/>
          <w:bCs/>
          <w:i/>
          <w:iCs/>
          <w:sz w:val="22"/>
          <w:szCs w:val="22"/>
          <w:highlight w:val="white"/>
          <w:lang w:val="en-US"/>
        </w:rPr>
        <w:t>poront</w:t>
      </w:r>
      <w:proofErr w:type="spellEnd"/>
      <w:r w:rsidRPr="00B642CB">
        <w:rPr>
          <w:rFonts w:ascii="Cambria" w:hAnsi="Cambria"/>
          <w:bCs/>
          <w:i/>
          <w:iCs/>
          <w:sz w:val="22"/>
          <w:szCs w:val="22"/>
          <w:highlight w:val="white"/>
          <w:lang w:val="en-US"/>
        </w:rPr>
        <w:t xml:space="preserve"> jamais avoir office</w:t>
      </w:r>
      <w:r w:rsidRPr="00B642CB">
        <w:rPr>
          <w:rFonts w:ascii="Cambria" w:hAnsi="Cambria"/>
          <w:bCs/>
          <w:sz w:val="22"/>
          <w:szCs w:val="22"/>
          <w:highlight w:val="white"/>
          <w:lang w:val="en-US"/>
        </w:rPr>
        <w:t>’).</w:t>
      </w:r>
      <w:r w:rsidRPr="00B642CB">
        <w:rPr>
          <w:rStyle w:val="FootnoteReference"/>
          <w:rFonts w:ascii="Cambria" w:hAnsi="Cambria"/>
          <w:bCs/>
          <w:sz w:val="22"/>
          <w:szCs w:val="22"/>
        </w:rPr>
        <w:footnoteReference w:id="107"/>
      </w:r>
      <w:r w:rsidRPr="00B642CB">
        <w:rPr>
          <w:rFonts w:ascii="Cambria" w:hAnsi="Cambria"/>
          <w:bCs/>
          <w:sz w:val="22"/>
          <w:szCs w:val="22"/>
          <w:lang w:val="en-US"/>
        </w:rPr>
        <w:t xml:space="preserve"> </w:t>
      </w:r>
      <w:r w:rsidRPr="00B642CB">
        <w:rPr>
          <w:rFonts w:ascii="Cambria" w:hAnsi="Cambria"/>
          <w:bCs/>
          <w:sz w:val="22"/>
          <w:szCs w:val="22"/>
          <w:highlight w:val="white"/>
          <w:lang w:val="en-US"/>
        </w:rPr>
        <w:t xml:space="preserve">A Bruges privilege issued by Mary of Burgundy on 21 April 1477, further stipulates that financial officers who corruptly used the city’s money would not only be required to repay four times the amount they had ‘misused, spent, or withheld’, but would also be subjected to three days </w:t>
      </w:r>
      <w:r w:rsidRPr="00B642CB">
        <w:rPr>
          <w:rFonts w:ascii="Cambria" w:hAnsi="Cambria"/>
          <w:bCs/>
          <w:sz w:val="22"/>
          <w:szCs w:val="22"/>
          <w:highlight w:val="white"/>
        </w:rPr>
        <w:t>in the pillory and barred from holding urban office in the future</w:t>
      </w:r>
      <w:r w:rsidRPr="00B642CB">
        <w:rPr>
          <w:rFonts w:ascii="Cambria" w:hAnsi="Cambria"/>
          <w:bCs/>
          <w:sz w:val="22"/>
          <w:szCs w:val="22"/>
          <w:highlight w:val="white"/>
          <w:lang w:val="en-US"/>
        </w:rPr>
        <w:t>.</w:t>
      </w:r>
      <w:r w:rsidRPr="00B642CB">
        <w:rPr>
          <w:rStyle w:val="FootnoteReference"/>
          <w:rFonts w:ascii="Cambria" w:hAnsi="Cambria"/>
          <w:bCs/>
          <w:sz w:val="22"/>
          <w:szCs w:val="22"/>
        </w:rPr>
        <w:footnoteReference w:id="108"/>
      </w:r>
      <w:r w:rsidRPr="00B642CB">
        <w:rPr>
          <w:rFonts w:ascii="Cambria" w:hAnsi="Cambria"/>
          <w:bCs/>
          <w:sz w:val="22"/>
          <w:szCs w:val="22"/>
          <w:highlight w:val="white"/>
          <w:lang w:val="en-US"/>
        </w:rPr>
        <w:t xml:space="preserve"> </w:t>
      </w:r>
      <w:r w:rsidRPr="00B642CB">
        <w:rPr>
          <w:rFonts w:ascii="Cambria" w:hAnsi="Cambria"/>
          <w:bCs/>
          <w:sz w:val="22"/>
          <w:szCs w:val="22"/>
          <w:lang w:val="en-US"/>
        </w:rPr>
        <w:t>In addition to such harsh penalties, fines, banishments, confiscations, and even capital punishment were considered</w:t>
      </w:r>
      <w:r w:rsidRPr="00B642CB">
        <w:rPr>
          <w:rFonts w:ascii="Cambria" w:hAnsi="Cambria"/>
          <w:bCs/>
          <w:sz w:val="22"/>
          <w:szCs w:val="22"/>
          <w:highlight w:val="white"/>
          <w:lang w:val="en-US"/>
        </w:rPr>
        <w:t>.</w:t>
      </w:r>
      <w:r w:rsidRPr="00B642CB">
        <w:rPr>
          <w:rFonts w:ascii="Cambria" w:hAnsi="Cambria"/>
          <w:bCs/>
          <w:sz w:val="22"/>
          <w:szCs w:val="22"/>
          <w:lang w:val="en-US"/>
        </w:rPr>
        <w:t xml:space="preserve"> </w:t>
      </w:r>
    </w:p>
    <w:p w14:paraId="3DE0A681"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lang w:val="en-US"/>
        </w:rPr>
      </w:pPr>
      <w:r w:rsidRPr="00B642CB">
        <w:rPr>
          <w:rFonts w:ascii="Cambria" w:hAnsi="Cambria"/>
          <w:bCs/>
          <w:sz w:val="22"/>
          <w:szCs w:val="22"/>
          <w:highlight w:val="white"/>
          <w:lang w:val="en-US"/>
        </w:rPr>
        <w:t>In his work on the punishment of officials in the fourteenth-century Kingdom of France, Romain Telliez asserts that contemporaries prescribed such harsh penalties for officers because they had broken the responsibility of defending the justice of the realm, the very foundation of the King’s power.</w:t>
      </w:r>
      <w:r w:rsidRPr="00B642CB">
        <w:rPr>
          <w:rStyle w:val="FootnoteReference"/>
          <w:rFonts w:ascii="Cambria" w:hAnsi="Cambria"/>
          <w:bCs/>
          <w:sz w:val="22"/>
          <w:szCs w:val="22"/>
          <w:highlight w:val="white"/>
        </w:rPr>
        <w:footnoteReference w:id="109"/>
      </w:r>
      <w:r w:rsidRPr="00B642CB">
        <w:rPr>
          <w:rFonts w:ascii="Cambria" w:hAnsi="Cambria"/>
          <w:bCs/>
          <w:sz w:val="22"/>
          <w:szCs w:val="22"/>
          <w:lang w:val="en-US"/>
        </w:rPr>
        <w:t xml:space="preserve"> </w:t>
      </w:r>
      <w:r w:rsidRPr="00B642CB">
        <w:rPr>
          <w:rFonts w:ascii="Cambria" w:hAnsi="Cambria"/>
          <w:bCs/>
          <w:sz w:val="22"/>
          <w:szCs w:val="22"/>
          <w:highlight w:val="white"/>
          <w:lang w:val="en-US"/>
        </w:rPr>
        <w:t>I would add that the gradation of punishment was also determined by the detrimental consequences of the governor’s or officer’s conduct</w:t>
      </w:r>
      <w:r w:rsidRPr="00B642CB">
        <w:rPr>
          <w:rFonts w:ascii="Cambria" w:hAnsi="Cambria"/>
          <w:bCs/>
          <w:sz w:val="22"/>
          <w:szCs w:val="22"/>
          <w:lang w:val="en-US"/>
        </w:rPr>
        <w:t xml:space="preserve">or, in the words of De Roovere, </w:t>
      </w:r>
      <w:r w:rsidRPr="00B642CB">
        <w:rPr>
          <w:rFonts w:ascii="Cambria" w:hAnsi="Cambria"/>
          <w:bCs/>
          <w:sz w:val="22"/>
          <w:szCs w:val="22"/>
          <w:highlight w:val="white"/>
          <w:lang w:val="en-US"/>
        </w:rPr>
        <w:t>alleged governors and officers had to be ‘thoroughly investigated’ so that they could be ‘corrected according to their crime’ (‘</w:t>
      </w:r>
      <w:proofErr w:type="spellStart"/>
      <w:r w:rsidRPr="00B642CB">
        <w:rPr>
          <w:rFonts w:ascii="Cambria" w:hAnsi="Cambria"/>
          <w:bCs/>
          <w:i/>
          <w:iCs/>
          <w:sz w:val="22"/>
          <w:szCs w:val="22"/>
          <w:highlight w:val="white"/>
          <w:lang w:val="en-US"/>
        </w:rPr>
        <w:t>scaerpelicke</w:t>
      </w:r>
      <w:proofErr w:type="spellEnd"/>
      <w:r w:rsidRPr="00B642CB">
        <w:rPr>
          <w:rFonts w:ascii="Cambria" w:hAnsi="Cambria"/>
          <w:bCs/>
          <w:i/>
          <w:iCs/>
          <w:sz w:val="22"/>
          <w:szCs w:val="22"/>
          <w:highlight w:val="white"/>
          <w:lang w:val="en-US"/>
        </w:rPr>
        <w:t xml:space="preserve"> te </w:t>
      </w:r>
      <w:proofErr w:type="spellStart"/>
      <w:r w:rsidRPr="00B642CB">
        <w:rPr>
          <w:rFonts w:ascii="Cambria" w:hAnsi="Cambria"/>
          <w:bCs/>
          <w:i/>
          <w:iCs/>
          <w:sz w:val="22"/>
          <w:szCs w:val="22"/>
          <w:highlight w:val="white"/>
          <w:lang w:val="en-US"/>
        </w:rPr>
        <w:t>ondersouckene</w:t>
      </w:r>
      <w:proofErr w:type="spellEnd"/>
      <w:r w:rsidRPr="00B642CB">
        <w:rPr>
          <w:rFonts w:ascii="Cambria" w:hAnsi="Cambria"/>
          <w:bCs/>
          <w:i/>
          <w:iCs/>
          <w:sz w:val="22"/>
          <w:szCs w:val="22"/>
          <w:highlight w:val="white"/>
          <w:lang w:val="en-US"/>
        </w:rPr>
        <w:t xml:space="preserve"> ende elken te </w:t>
      </w:r>
      <w:proofErr w:type="spellStart"/>
      <w:r w:rsidRPr="00B642CB">
        <w:rPr>
          <w:rFonts w:ascii="Cambria" w:hAnsi="Cambria"/>
          <w:bCs/>
          <w:i/>
          <w:iCs/>
          <w:sz w:val="22"/>
          <w:szCs w:val="22"/>
          <w:highlight w:val="white"/>
          <w:lang w:val="en-US"/>
        </w:rPr>
        <w:t>correngierene</w:t>
      </w:r>
      <w:proofErr w:type="spellEnd"/>
      <w:r w:rsidRPr="00B642CB">
        <w:rPr>
          <w:rFonts w:ascii="Cambria" w:hAnsi="Cambria"/>
          <w:bCs/>
          <w:i/>
          <w:iCs/>
          <w:sz w:val="22"/>
          <w:szCs w:val="22"/>
          <w:highlight w:val="white"/>
          <w:lang w:val="en-US"/>
        </w:rPr>
        <w:t xml:space="preserve"> naer zine mesdaet</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110"/>
      </w:r>
      <w:r w:rsidRPr="00B642CB">
        <w:rPr>
          <w:rFonts w:ascii="Cambria" w:hAnsi="Cambria"/>
          <w:bCs/>
          <w:sz w:val="22"/>
          <w:szCs w:val="22"/>
        </w:rPr>
        <w:t xml:space="preserve"> </w:t>
      </w:r>
      <w:r w:rsidRPr="00B642CB">
        <w:rPr>
          <w:rFonts w:ascii="Cambria" w:hAnsi="Cambria"/>
          <w:bCs/>
          <w:sz w:val="22"/>
          <w:szCs w:val="22"/>
          <w:highlight w:val="white"/>
          <w:lang w:val="en-US"/>
        </w:rPr>
        <w:t>What is more, a glance at the registers of the Flemish Chamber of Accounts reveals that the verdicts issued by the commissioners were often much more lenient in practice than the language of accountability prescribes.</w:t>
      </w:r>
      <w:r w:rsidRPr="00B642CB">
        <w:rPr>
          <w:rStyle w:val="FootnoteReference"/>
          <w:rFonts w:ascii="Cambria" w:hAnsi="Cambria"/>
          <w:bCs/>
          <w:sz w:val="22"/>
          <w:szCs w:val="22"/>
          <w:highlight w:val="white"/>
        </w:rPr>
        <w:footnoteReference w:id="111"/>
      </w:r>
    </w:p>
    <w:p w14:paraId="6E60888A"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lang w:val="en-US"/>
        </w:rPr>
      </w:pPr>
      <w:r w:rsidRPr="00B642CB">
        <w:rPr>
          <w:rFonts w:ascii="Cambria" w:hAnsi="Cambria"/>
          <w:bCs/>
          <w:sz w:val="22"/>
          <w:szCs w:val="22"/>
          <w:highlight w:val="white"/>
          <w:lang w:val="en-US"/>
        </w:rPr>
        <w:t>Consider the case of Jan de Stoppelare, who held the office of the bailiff of Oudburg and the district of Zomergem from 1454 to 1468.</w:t>
      </w:r>
      <w:r w:rsidRPr="00B642CB">
        <w:rPr>
          <w:rFonts w:ascii="Cambria" w:hAnsi="Cambria"/>
          <w:bCs/>
          <w:sz w:val="22"/>
          <w:szCs w:val="22"/>
          <w:lang w:val="en-US"/>
        </w:rPr>
        <w:t xml:space="preserve"> </w:t>
      </w:r>
      <w:r w:rsidRPr="00B642CB">
        <w:rPr>
          <w:rFonts w:ascii="Cambria" w:hAnsi="Cambria"/>
          <w:bCs/>
          <w:sz w:val="22"/>
          <w:szCs w:val="22"/>
          <w:highlight w:val="white"/>
          <w:lang w:val="en-US"/>
        </w:rPr>
        <w:t>Although he was convicted by the Chamber of Accounts for embezzling revenues in May 1467, Stoppelare was seemingly able to continue h</w:t>
      </w:r>
      <w:r w:rsidRPr="00B642CB">
        <w:rPr>
          <w:rFonts w:ascii="Cambria" w:hAnsi="Cambria"/>
          <w:bCs/>
          <w:sz w:val="22"/>
          <w:szCs w:val="22"/>
          <w:lang w:val="en-US"/>
        </w:rPr>
        <w:t>is irresponsible conduct</w:t>
      </w:r>
      <w:r w:rsidRPr="00B642CB">
        <w:rPr>
          <w:rFonts w:ascii="Cambria" w:hAnsi="Cambria"/>
          <w:bCs/>
          <w:sz w:val="22"/>
          <w:szCs w:val="22"/>
          <w:highlight w:val="white"/>
          <w:lang w:val="en-US"/>
        </w:rPr>
        <w:t>.</w:t>
      </w:r>
      <w:r w:rsidRPr="00B642CB">
        <w:rPr>
          <w:rFonts w:ascii="Cambria" w:hAnsi="Cambria"/>
          <w:bCs/>
          <w:sz w:val="22"/>
          <w:szCs w:val="22"/>
          <w:lang w:val="en-US"/>
        </w:rPr>
        <w:t xml:space="preserve"> </w:t>
      </w:r>
      <w:r w:rsidRPr="00B642CB">
        <w:rPr>
          <w:rFonts w:ascii="Cambria" w:hAnsi="Cambria"/>
          <w:bCs/>
          <w:sz w:val="22"/>
          <w:szCs w:val="22"/>
          <w:highlight w:val="white"/>
          <w:lang w:val="en-US"/>
        </w:rPr>
        <w:t>In fact, Pierre Lambert, who was the Controller of the Officers of Flanders at the time, already set up a new investigation into Stoppelare’s conduct in November 1467.</w:t>
      </w:r>
      <w:r w:rsidRPr="00B642CB">
        <w:rPr>
          <w:rStyle w:val="FootnoteReference"/>
          <w:rFonts w:ascii="Cambria" w:hAnsi="Cambria"/>
          <w:bCs/>
          <w:sz w:val="22"/>
          <w:szCs w:val="22"/>
          <w:highlight w:val="white"/>
        </w:rPr>
        <w:footnoteReference w:id="112"/>
      </w:r>
      <w:r w:rsidRPr="00B642CB">
        <w:rPr>
          <w:rFonts w:ascii="Cambria" w:hAnsi="Cambria"/>
          <w:bCs/>
          <w:sz w:val="22"/>
          <w:szCs w:val="22"/>
          <w:highlight w:val="white"/>
        </w:rPr>
        <w:t xml:space="preserve"> </w:t>
      </w:r>
      <w:r w:rsidRPr="00B642CB">
        <w:rPr>
          <w:rFonts w:ascii="Cambria" w:hAnsi="Cambria"/>
          <w:bCs/>
          <w:sz w:val="22"/>
          <w:szCs w:val="22"/>
          <w:highlight w:val="white"/>
          <w:lang w:val="en-US"/>
        </w:rPr>
        <w:t>Based on ‘certain information’ (‘</w:t>
      </w:r>
      <w:proofErr w:type="spellStart"/>
      <w:r w:rsidRPr="00B642CB">
        <w:rPr>
          <w:rFonts w:ascii="Cambria" w:hAnsi="Cambria"/>
          <w:bCs/>
          <w:i/>
          <w:iCs/>
          <w:sz w:val="22"/>
          <w:szCs w:val="22"/>
          <w:highlight w:val="white"/>
          <w:lang w:val="en-US"/>
        </w:rPr>
        <w:t>certaine</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informacion</w:t>
      </w:r>
      <w:proofErr w:type="spellEnd"/>
      <w:r w:rsidRPr="00B642CB">
        <w:rPr>
          <w:rFonts w:ascii="Cambria" w:hAnsi="Cambria"/>
          <w:bCs/>
          <w:sz w:val="22"/>
          <w:szCs w:val="22"/>
          <w:highlight w:val="white"/>
          <w:lang w:val="en-US"/>
        </w:rPr>
        <w:t>’) that he collected by ‘the disposition of multiple and a great number of witnesses’ (‘</w:t>
      </w:r>
      <w:r w:rsidRPr="00B642CB">
        <w:rPr>
          <w:rFonts w:ascii="Cambria" w:hAnsi="Cambria"/>
          <w:bCs/>
          <w:i/>
          <w:iCs/>
          <w:sz w:val="22"/>
          <w:szCs w:val="22"/>
          <w:highlight w:val="white"/>
          <w:lang w:val="en-US"/>
        </w:rPr>
        <w:t xml:space="preserve">la </w:t>
      </w:r>
      <w:proofErr w:type="spellStart"/>
      <w:r w:rsidRPr="00B642CB">
        <w:rPr>
          <w:rFonts w:ascii="Cambria" w:hAnsi="Cambria"/>
          <w:bCs/>
          <w:i/>
          <w:iCs/>
          <w:sz w:val="22"/>
          <w:szCs w:val="22"/>
          <w:highlight w:val="white"/>
          <w:lang w:val="en-US"/>
        </w:rPr>
        <w:t>deposicion</w:t>
      </w:r>
      <w:proofErr w:type="spellEnd"/>
      <w:r w:rsidRPr="00B642CB">
        <w:rPr>
          <w:rFonts w:ascii="Cambria" w:hAnsi="Cambria"/>
          <w:bCs/>
          <w:i/>
          <w:iCs/>
          <w:sz w:val="22"/>
          <w:szCs w:val="22"/>
          <w:highlight w:val="white"/>
          <w:lang w:val="en-US"/>
        </w:rPr>
        <w:t xml:space="preserve"> de </w:t>
      </w:r>
      <w:proofErr w:type="spellStart"/>
      <w:r w:rsidRPr="00B642CB">
        <w:rPr>
          <w:rFonts w:ascii="Cambria" w:hAnsi="Cambria"/>
          <w:bCs/>
          <w:i/>
          <w:iCs/>
          <w:sz w:val="22"/>
          <w:szCs w:val="22"/>
          <w:lang w:val="en-US"/>
        </w:rPr>
        <w:t>pluseurs</w:t>
      </w:r>
      <w:proofErr w:type="spellEnd"/>
      <w:r w:rsidRPr="00B642CB">
        <w:rPr>
          <w:rFonts w:ascii="Cambria" w:hAnsi="Cambria"/>
          <w:bCs/>
          <w:i/>
          <w:iCs/>
          <w:sz w:val="22"/>
          <w:szCs w:val="22"/>
          <w:lang w:val="en-US"/>
        </w:rPr>
        <w:t xml:space="preserve"> </w:t>
      </w:r>
      <w:r w:rsidRPr="00B642CB">
        <w:rPr>
          <w:rFonts w:ascii="Cambria" w:hAnsi="Cambria"/>
          <w:bCs/>
          <w:i/>
          <w:iCs/>
          <w:sz w:val="22"/>
          <w:szCs w:val="22"/>
          <w:highlight w:val="white"/>
          <w:lang w:val="en-US"/>
        </w:rPr>
        <w:t xml:space="preserve">et grant </w:t>
      </w:r>
      <w:proofErr w:type="spellStart"/>
      <w:r w:rsidRPr="00B642CB">
        <w:rPr>
          <w:rFonts w:ascii="Cambria" w:hAnsi="Cambria"/>
          <w:bCs/>
          <w:i/>
          <w:iCs/>
          <w:sz w:val="22"/>
          <w:szCs w:val="22"/>
          <w:highlight w:val="white"/>
          <w:lang w:val="en-US"/>
        </w:rPr>
        <w:t>nombre</w:t>
      </w:r>
      <w:proofErr w:type="spellEnd"/>
      <w:r w:rsidRPr="00B642CB">
        <w:rPr>
          <w:rFonts w:ascii="Cambria" w:hAnsi="Cambria"/>
          <w:bCs/>
          <w:i/>
          <w:iCs/>
          <w:sz w:val="22"/>
          <w:szCs w:val="22"/>
          <w:highlight w:val="white"/>
          <w:lang w:val="en-US"/>
        </w:rPr>
        <w:t xml:space="preserve"> de </w:t>
      </w:r>
      <w:proofErr w:type="spellStart"/>
      <w:r w:rsidRPr="00B642CB">
        <w:rPr>
          <w:rFonts w:ascii="Cambria" w:hAnsi="Cambria"/>
          <w:bCs/>
          <w:i/>
          <w:iCs/>
          <w:sz w:val="22"/>
          <w:szCs w:val="22"/>
          <w:highlight w:val="white"/>
          <w:lang w:val="en-US"/>
        </w:rPr>
        <w:t>tesmoings</w:t>
      </w:r>
      <w:proofErr w:type="spellEnd"/>
      <w:r w:rsidRPr="00B642CB">
        <w:rPr>
          <w:rFonts w:ascii="Cambria" w:hAnsi="Cambria"/>
          <w:bCs/>
          <w:sz w:val="22"/>
          <w:szCs w:val="22"/>
          <w:highlight w:val="white"/>
          <w:lang w:val="en-US"/>
        </w:rPr>
        <w:t>’), Lambert concluded that ‘Stoppelare had greatly misunderstood and misused his office and acted against his oath’ (‘</w:t>
      </w:r>
      <w:r w:rsidRPr="00B642CB">
        <w:rPr>
          <w:rFonts w:ascii="Cambria" w:hAnsi="Cambria"/>
          <w:bCs/>
          <w:i/>
          <w:iCs/>
          <w:sz w:val="22"/>
          <w:szCs w:val="22"/>
          <w:highlight w:val="white"/>
          <w:lang w:val="en-US"/>
        </w:rPr>
        <w:t xml:space="preserve">Stoppelare avoir </w:t>
      </w:r>
      <w:proofErr w:type="spellStart"/>
      <w:r w:rsidRPr="00B642CB">
        <w:rPr>
          <w:rFonts w:ascii="Cambria" w:hAnsi="Cambria"/>
          <w:bCs/>
          <w:i/>
          <w:iCs/>
          <w:sz w:val="22"/>
          <w:szCs w:val="22"/>
          <w:highlight w:val="white"/>
          <w:lang w:val="en-US"/>
        </w:rPr>
        <w:t>grandement</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mespris</w:t>
      </w:r>
      <w:proofErr w:type="spellEnd"/>
      <w:r w:rsidRPr="00B642CB">
        <w:rPr>
          <w:rFonts w:ascii="Cambria" w:hAnsi="Cambria"/>
          <w:bCs/>
          <w:i/>
          <w:iCs/>
          <w:sz w:val="22"/>
          <w:szCs w:val="22"/>
          <w:highlight w:val="white"/>
          <w:lang w:val="en-US"/>
        </w:rPr>
        <w:t xml:space="preserve"> et </w:t>
      </w:r>
      <w:proofErr w:type="spellStart"/>
      <w:r w:rsidRPr="00B642CB">
        <w:rPr>
          <w:rFonts w:ascii="Cambria" w:hAnsi="Cambria"/>
          <w:bCs/>
          <w:i/>
          <w:iCs/>
          <w:sz w:val="22"/>
          <w:szCs w:val="22"/>
          <w:highlight w:val="white"/>
          <w:lang w:val="en-US"/>
        </w:rPr>
        <w:t>mesusé</w:t>
      </w:r>
      <w:proofErr w:type="spellEnd"/>
      <w:r w:rsidRPr="00B642CB">
        <w:rPr>
          <w:rFonts w:ascii="Cambria" w:hAnsi="Cambria"/>
          <w:bCs/>
          <w:i/>
          <w:iCs/>
          <w:sz w:val="22"/>
          <w:szCs w:val="22"/>
          <w:highlight w:val="white"/>
          <w:lang w:val="en-US"/>
        </w:rPr>
        <w:t xml:space="preserve"> en </w:t>
      </w:r>
      <w:proofErr w:type="spellStart"/>
      <w:r w:rsidRPr="00B642CB">
        <w:rPr>
          <w:rFonts w:ascii="Cambria" w:hAnsi="Cambria"/>
          <w:bCs/>
          <w:i/>
          <w:iCs/>
          <w:sz w:val="22"/>
          <w:szCs w:val="22"/>
          <w:highlight w:val="white"/>
          <w:lang w:val="en-US"/>
        </w:rPr>
        <w:t>sondit</w:t>
      </w:r>
      <w:proofErr w:type="spellEnd"/>
      <w:r w:rsidRPr="00B642CB">
        <w:rPr>
          <w:rFonts w:ascii="Cambria" w:hAnsi="Cambria"/>
          <w:bCs/>
          <w:i/>
          <w:iCs/>
          <w:sz w:val="22"/>
          <w:szCs w:val="22"/>
          <w:highlight w:val="white"/>
          <w:lang w:val="en-US"/>
        </w:rPr>
        <w:t xml:space="preserve"> office </w:t>
      </w:r>
      <w:r w:rsidRPr="00B642CB">
        <w:rPr>
          <w:rFonts w:ascii="Cambria" w:hAnsi="Cambria"/>
          <w:bCs/>
          <w:i/>
          <w:iCs/>
          <w:sz w:val="22"/>
          <w:szCs w:val="22"/>
          <w:highlight w:val="white"/>
          <w:lang w:val="en-US"/>
        </w:rPr>
        <w:lastRenderedPageBreak/>
        <w:t xml:space="preserve">et fait contre son </w:t>
      </w:r>
      <w:proofErr w:type="spellStart"/>
      <w:r w:rsidRPr="00B642CB">
        <w:rPr>
          <w:rFonts w:ascii="Cambria" w:hAnsi="Cambria"/>
          <w:bCs/>
          <w:i/>
          <w:iCs/>
          <w:sz w:val="22"/>
          <w:szCs w:val="22"/>
          <w:highlight w:val="white"/>
          <w:lang w:val="en-US"/>
        </w:rPr>
        <w:t>serement</w:t>
      </w:r>
      <w:proofErr w:type="spellEnd"/>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113"/>
      </w:r>
      <w:r w:rsidRPr="00B642CB">
        <w:rPr>
          <w:rFonts w:ascii="Cambria" w:hAnsi="Cambria"/>
          <w:bCs/>
          <w:sz w:val="22"/>
          <w:szCs w:val="22"/>
          <w:lang w:val="en-US"/>
        </w:rPr>
        <w:t xml:space="preserve"> He accused the bailiff</w:t>
      </w:r>
      <w:r w:rsidRPr="00B642CB">
        <w:rPr>
          <w:rFonts w:ascii="Cambria" w:hAnsi="Cambria"/>
          <w:bCs/>
          <w:sz w:val="22"/>
          <w:szCs w:val="22"/>
          <w:highlight w:val="white"/>
          <w:lang w:val="en-US"/>
        </w:rPr>
        <w:t xml:space="preserve"> of embezzling a staggering 978 pounds.</w:t>
      </w:r>
      <w:r w:rsidRPr="00B642CB">
        <w:rPr>
          <w:rStyle w:val="FootnoteReference"/>
          <w:rFonts w:ascii="Cambria" w:hAnsi="Cambria"/>
          <w:bCs/>
          <w:sz w:val="22"/>
          <w:szCs w:val="22"/>
          <w:highlight w:val="white"/>
        </w:rPr>
        <w:footnoteReference w:id="114"/>
      </w:r>
      <w:r w:rsidRPr="00B642CB">
        <w:rPr>
          <w:rFonts w:ascii="Cambria" w:hAnsi="Cambria"/>
          <w:bCs/>
          <w:sz w:val="22"/>
          <w:szCs w:val="22"/>
        </w:rPr>
        <w:t xml:space="preserve"> </w:t>
      </w:r>
      <w:r w:rsidRPr="00B642CB">
        <w:rPr>
          <w:rFonts w:ascii="Cambria" w:hAnsi="Cambria"/>
          <w:bCs/>
          <w:sz w:val="22"/>
          <w:szCs w:val="22"/>
          <w:lang w:val="en-US"/>
        </w:rPr>
        <w:t>To hold Stoppelare liable, Lambert demanded that the bailiff be summoned before the Chamber of Accounts. He needed to</w:t>
      </w:r>
      <w:r w:rsidRPr="00B642CB">
        <w:rPr>
          <w:rFonts w:ascii="Cambria" w:hAnsi="Cambria"/>
          <w:bCs/>
          <w:sz w:val="22"/>
          <w:szCs w:val="22"/>
          <w:highlight w:val="white"/>
          <w:lang w:val="en-US"/>
        </w:rPr>
        <w:t xml:space="preserve"> ‘answer orally and by oath on each point and article of the aforementioned parts thus retained and concealed by confessing or denying them, offering further ample proof’ (‘</w:t>
      </w:r>
      <w:r w:rsidRPr="00B642CB">
        <w:rPr>
          <w:rFonts w:ascii="Cambria" w:hAnsi="Cambria"/>
          <w:bCs/>
          <w:i/>
          <w:iCs/>
          <w:sz w:val="22"/>
          <w:szCs w:val="22"/>
          <w:highlight w:val="white"/>
          <w:lang w:val="en-US"/>
        </w:rPr>
        <w:t xml:space="preserve">respondre de bouche et par </w:t>
      </w:r>
      <w:proofErr w:type="spellStart"/>
      <w:r w:rsidRPr="00B642CB">
        <w:rPr>
          <w:rFonts w:ascii="Cambria" w:hAnsi="Cambria"/>
          <w:bCs/>
          <w:i/>
          <w:iCs/>
          <w:sz w:val="22"/>
          <w:szCs w:val="22"/>
          <w:lang w:val="en-US"/>
        </w:rPr>
        <w:t>serement</w:t>
      </w:r>
      <w:proofErr w:type="spellEnd"/>
      <w:r w:rsidRPr="00B642CB">
        <w:rPr>
          <w:rFonts w:ascii="Cambria" w:hAnsi="Cambria"/>
          <w:bCs/>
          <w:i/>
          <w:iCs/>
          <w:sz w:val="22"/>
          <w:szCs w:val="22"/>
          <w:lang w:val="en-US"/>
        </w:rPr>
        <w:t xml:space="preserve"> </w:t>
      </w:r>
      <w:r w:rsidRPr="00B642CB">
        <w:rPr>
          <w:rFonts w:ascii="Cambria" w:hAnsi="Cambria"/>
          <w:bCs/>
          <w:i/>
          <w:iCs/>
          <w:sz w:val="22"/>
          <w:szCs w:val="22"/>
          <w:highlight w:val="white"/>
          <w:lang w:val="en-US"/>
        </w:rPr>
        <w:t xml:space="preserve">sur chacun point et article </w:t>
      </w:r>
      <w:proofErr w:type="spellStart"/>
      <w:r w:rsidRPr="00B642CB">
        <w:rPr>
          <w:rFonts w:ascii="Cambria" w:hAnsi="Cambria"/>
          <w:bCs/>
          <w:i/>
          <w:iCs/>
          <w:sz w:val="22"/>
          <w:szCs w:val="22"/>
          <w:highlight w:val="white"/>
          <w:lang w:val="en-US"/>
        </w:rPr>
        <w:t>desdites</w:t>
      </w:r>
      <w:proofErr w:type="spellEnd"/>
      <w:r w:rsidRPr="00B642CB">
        <w:rPr>
          <w:rFonts w:ascii="Cambria" w:hAnsi="Cambria"/>
          <w:bCs/>
          <w:i/>
          <w:iCs/>
          <w:sz w:val="22"/>
          <w:szCs w:val="22"/>
          <w:highlight w:val="white"/>
          <w:lang w:val="en-US"/>
        </w:rPr>
        <w:t xml:space="preserve"> parties </w:t>
      </w:r>
      <w:proofErr w:type="spellStart"/>
      <w:r w:rsidRPr="00B642CB">
        <w:rPr>
          <w:rFonts w:ascii="Cambria" w:hAnsi="Cambria"/>
          <w:bCs/>
          <w:i/>
          <w:iCs/>
          <w:sz w:val="22"/>
          <w:szCs w:val="22"/>
          <w:highlight w:val="white"/>
          <w:lang w:val="en-US"/>
        </w:rPr>
        <w:t>ainsi</w:t>
      </w:r>
      <w:proofErr w:type="spellEnd"/>
      <w:r w:rsidRPr="00B642CB">
        <w:rPr>
          <w:rFonts w:ascii="Cambria" w:hAnsi="Cambria"/>
          <w:bCs/>
          <w:i/>
          <w:iCs/>
          <w:sz w:val="22"/>
          <w:szCs w:val="22"/>
          <w:highlight w:val="white"/>
          <w:lang w:val="en-US"/>
        </w:rPr>
        <w:t xml:space="preserve"> </w:t>
      </w:r>
      <w:proofErr w:type="spellStart"/>
      <w:r w:rsidRPr="00B642CB">
        <w:rPr>
          <w:rFonts w:ascii="Cambria" w:hAnsi="Cambria"/>
          <w:bCs/>
          <w:i/>
          <w:iCs/>
          <w:sz w:val="22"/>
          <w:szCs w:val="22"/>
          <w:highlight w:val="white"/>
          <w:lang w:val="en-US"/>
        </w:rPr>
        <w:t>retenues</w:t>
      </w:r>
      <w:proofErr w:type="spellEnd"/>
      <w:r w:rsidRPr="00B642CB">
        <w:rPr>
          <w:rFonts w:ascii="Cambria" w:hAnsi="Cambria"/>
          <w:bCs/>
          <w:i/>
          <w:iCs/>
          <w:sz w:val="22"/>
          <w:szCs w:val="22"/>
          <w:highlight w:val="white"/>
          <w:lang w:val="en-US"/>
        </w:rPr>
        <w:t xml:space="preserve"> et </w:t>
      </w:r>
      <w:proofErr w:type="spellStart"/>
      <w:r w:rsidRPr="00B642CB">
        <w:rPr>
          <w:rFonts w:ascii="Cambria" w:hAnsi="Cambria"/>
          <w:bCs/>
          <w:i/>
          <w:iCs/>
          <w:sz w:val="22"/>
          <w:szCs w:val="22"/>
          <w:highlight w:val="white"/>
          <w:lang w:val="en-US"/>
        </w:rPr>
        <w:t>recelees</w:t>
      </w:r>
      <w:proofErr w:type="spellEnd"/>
      <w:r w:rsidRPr="00B642CB">
        <w:rPr>
          <w:rFonts w:ascii="Cambria" w:hAnsi="Cambria"/>
          <w:bCs/>
          <w:i/>
          <w:iCs/>
          <w:sz w:val="22"/>
          <w:szCs w:val="22"/>
          <w:highlight w:val="white"/>
          <w:lang w:val="en-US"/>
        </w:rPr>
        <w:t xml:space="preserve"> en les confessant ou </w:t>
      </w:r>
      <w:proofErr w:type="spellStart"/>
      <w:r w:rsidRPr="00B642CB">
        <w:rPr>
          <w:rFonts w:ascii="Cambria" w:hAnsi="Cambria"/>
          <w:bCs/>
          <w:i/>
          <w:iCs/>
          <w:sz w:val="22"/>
          <w:szCs w:val="22"/>
          <w:highlight w:val="white"/>
          <w:lang w:val="en-US"/>
        </w:rPr>
        <w:t>deniant</w:t>
      </w:r>
      <w:proofErr w:type="spellEnd"/>
      <w:r w:rsidRPr="00B642CB">
        <w:rPr>
          <w:rFonts w:ascii="Cambria" w:hAnsi="Cambria"/>
          <w:bCs/>
          <w:i/>
          <w:iCs/>
          <w:sz w:val="22"/>
          <w:szCs w:val="22"/>
          <w:highlight w:val="white"/>
          <w:lang w:val="en-US"/>
        </w:rPr>
        <w:t xml:space="preserve"> se </w:t>
      </w:r>
      <w:proofErr w:type="spellStart"/>
      <w:r w:rsidRPr="00B642CB">
        <w:rPr>
          <w:rFonts w:ascii="Cambria" w:hAnsi="Cambria"/>
          <w:bCs/>
          <w:i/>
          <w:iCs/>
          <w:sz w:val="22"/>
          <w:szCs w:val="22"/>
          <w:highlight w:val="white"/>
          <w:lang w:val="en-US"/>
        </w:rPr>
        <w:t>offrant</w:t>
      </w:r>
      <w:proofErr w:type="spellEnd"/>
      <w:r w:rsidRPr="00B642CB">
        <w:rPr>
          <w:rFonts w:ascii="Cambria" w:hAnsi="Cambria"/>
          <w:bCs/>
          <w:i/>
          <w:iCs/>
          <w:sz w:val="22"/>
          <w:szCs w:val="22"/>
          <w:highlight w:val="white"/>
          <w:lang w:val="en-US"/>
        </w:rPr>
        <w:t xml:space="preserve"> a plus ample preuve</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115"/>
      </w:r>
    </w:p>
    <w:p w14:paraId="086302A2" w14:textId="77777777" w:rsidR="00B642CB" w:rsidRPr="00B642CB" w:rsidRDefault="00B642CB" w:rsidP="00B642CB">
      <w:pPr>
        <w:autoSpaceDE w:val="0"/>
        <w:autoSpaceDN w:val="0"/>
        <w:adjustRightInd w:val="0"/>
        <w:spacing w:line="276" w:lineRule="auto"/>
        <w:ind w:firstLine="705"/>
        <w:jc w:val="both"/>
        <w:rPr>
          <w:rFonts w:ascii="Cambria" w:hAnsi="Cambria"/>
          <w:bCs/>
          <w:sz w:val="22"/>
          <w:szCs w:val="22"/>
          <w:highlight w:val="white"/>
          <w:lang w:val="en-US"/>
        </w:rPr>
      </w:pPr>
      <w:r w:rsidRPr="00B642CB">
        <w:rPr>
          <w:rFonts w:ascii="Cambria" w:hAnsi="Cambria"/>
          <w:bCs/>
          <w:sz w:val="22"/>
          <w:szCs w:val="22"/>
          <w:highlight w:val="white"/>
          <w:lang w:val="en-US"/>
        </w:rPr>
        <w:t>In the following weeks and months, the commissioners of the Chamber of Accounts regularly summoned Stoppelare, but the latter proved adept at navigating the Flemish legal landscape and manage</w:t>
      </w:r>
      <w:r w:rsidRPr="00B642CB">
        <w:rPr>
          <w:rFonts w:ascii="Cambria" w:hAnsi="Cambria"/>
          <w:bCs/>
          <w:sz w:val="22"/>
          <w:szCs w:val="22"/>
          <w:highlight w:val="white"/>
        </w:rPr>
        <w:t xml:space="preserve">d to delay his case multiple times, </w:t>
      </w:r>
      <w:r w:rsidRPr="00B642CB">
        <w:rPr>
          <w:rFonts w:ascii="Cambria" w:hAnsi="Cambria"/>
          <w:bCs/>
          <w:sz w:val="22"/>
          <w:szCs w:val="22"/>
        </w:rPr>
        <w:t>by arguing, for example, that he was unable to prepare his defence properly because a commotion in Ghent in February 1468 had caused him to lose track of all his registers, accounts, and documents</w:t>
      </w:r>
      <w:r w:rsidRPr="00B642CB">
        <w:rPr>
          <w:rFonts w:ascii="Cambria" w:hAnsi="Cambria"/>
          <w:bCs/>
          <w:sz w:val="22"/>
          <w:szCs w:val="22"/>
          <w:highlight w:val="white"/>
        </w:rPr>
        <w:t>.</w:t>
      </w:r>
      <w:r w:rsidRPr="00B642CB">
        <w:rPr>
          <w:rStyle w:val="FootnoteReference"/>
          <w:rFonts w:ascii="Cambria" w:hAnsi="Cambria"/>
          <w:bCs/>
          <w:sz w:val="22"/>
          <w:szCs w:val="22"/>
          <w:highlight w:val="white"/>
        </w:rPr>
        <w:footnoteReference w:id="116"/>
      </w:r>
      <w:r w:rsidRPr="00B642CB">
        <w:rPr>
          <w:rFonts w:ascii="Cambria" w:hAnsi="Cambria"/>
          <w:bCs/>
          <w:sz w:val="22"/>
          <w:szCs w:val="22"/>
          <w:highlight w:val="white"/>
        </w:rPr>
        <w:t xml:space="preserve"> In the end, Stoppelare only appeared </w:t>
      </w:r>
      <w:r w:rsidRPr="00B642CB">
        <w:rPr>
          <w:rFonts w:ascii="Cambria" w:hAnsi="Cambria"/>
          <w:bCs/>
          <w:sz w:val="22"/>
          <w:szCs w:val="22"/>
        </w:rPr>
        <w:t xml:space="preserve">before the </w:t>
      </w:r>
      <w:r w:rsidRPr="00B642CB">
        <w:rPr>
          <w:rFonts w:ascii="Cambria" w:hAnsi="Cambria"/>
          <w:bCs/>
          <w:sz w:val="22"/>
          <w:szCs w:val="22"/>
          <w:lang w:val="en-US"/>
        </w:rPr>
        <w:t xml:space="preserve">Chamber of Accounts in 1469. </w:t>
      </w:r>
      <w:r w:rsidRPr="00B642CB">
        <w:rPr>
          <w:rFonts w:ascii="Cambria" w:hAnsi="Cambria"/>
          <w:bCs/>
          <w:sz w:val="22"/>
          <w:szCs w:val="22"/>
          <w:highlight w:val="white"/>
          <w:lang w:val="en-US"/>
        </w:rPr>
        <w:t>He did not deny that he had withheld revenues, but claimed that he had only done so to cover the costs associated with the office of bailiff.</w:t>
      </w:r>
      <w:r w:rsidRPr="00B642CB">
        <w:rPr>
          <w:rStyle w:val="FootnoteReference"/>
          <w:rFonts w:ascii="Cambria" w:hAnsi="Cambria"/>
          <w:bCs/>
          <w:sz w:val="22"/>
          <w:szCs w:val="22"/>
          <w:highlight w:val="white"/>
        </w:rPr>
        <w:footnoteReference w:id="117"/>
      </w:r>
      <w:r w:rsidRPr="00B642CB">
        <w:rPr>
          <w:rFonts w:ascii="Cambria" w:hAnsi="Cambria"/>
          <w:bCs/>
          <w:sz w:val="22"/>
          <w:szCs w:val="22"/>
          <w:lang w:val="en-US"/>
        </w:rPr>
        <w:t xml:space="preserve"> Lambert argued that </w:t>
      </w:r>
      <w:r w:rsidRPr="00B642CB">
        <w:rPr>
          <w:rFonts w:ascii="Cambria" w:hAnsi="Cambria"/>
          <w:bCs/>
          <w:sz w:val="22"/>
          <w:szCs w:val="22"/>
          <w:highlight w:val="white"/>
          <w:lang w:val="en-US"/>
        </w:rPr>
        <w:t>this simply was not true and insisted that Stoppelare be required to repay the entire 978 pounds. Furthermore, Lambert demanded that Stoppelare also be forced to pay a fine of two to four times the amount he had embezzled.</w:t>
      </w:r>
      <w:r w:rsidRPr="00B642CB">
        <w:rPr>
          <w:rStyle w:val="FootnoteReference"/>
          <w:rFonts w:ascii="Cambria" w:hAnsi="Cambria"/>
          <w:bCs/>
          <w:sz w:val="22"/>
          <w:szCs w:val="22"/>
          <w:highlight w:val="white"/>
        </w:rPr>
        <w:footnoteReference w:id="118"/>
      </w:r>
      <w:r w:rsidRPr="00B642CB">
        <w:rPr>
          <w:rFonts w:ascii="Cambria" w:hAnsi="Cambria"/>
          <w:bCs/>
          <w:sz w:val="22"/>
          <w:szCs w:val="22"/>
          <w:highlight w:val="white"/>
        </w:rPr>
        <w:t xml:space="preserve"> </w:t>
      </w:r>
      <w:r w:rsidRPr="00B642CB">
        <w:rPr>
          <w:rFonts w:ascii="Cambria" w:hAnsi="Cambria"/>
          <w:bCs/>
          <w:sz w:val="22"/>
          <w:szCs w:val="22"/>
          <w:lang w:val="en-US"/>
        </w:rPr>
        <w:t>Although Lambert’s demands aligned with the regulations of the Chamber of Accounts, Stoppelare was ultimately ordered to repay only 400 pounds, with no additional fine</w:t>
      </w:r>
      <w:r w:rsidRPr="00B642CB">
        <w:rPr>
          <w:rFonts w:ascii="Cambria" w:hAnsi="Cambria"/>
          <w:bCs/>
          <w:sz w:val="22"/>
          <w:szCs w:val="22"/>
          <w:highlight w:val="white"/>
          <w:lang w:val="en-US"/>
        </w:rPr>
        <w:t>.</w:t>
      </w:r>
      <w:r w:rsidRPr="00B642CB">
        <w:rPr>
          <w:rStyle w:val="FootnoteReference"/>
          <w:rFonts w:ascii="Cambria" w:hAnsi="Cambria"/>
          <w:bCs/>
          <w:sz w:val="22"/>
          <w:szCs w:val="22"/>
          <w:highlight w:val="white"/>
        </w:rPr>
        <w:footnoteReference w:id="119"/>
      </w:r>
      <w:r w:rsidRPr="00B642CB">
        <w:rPr>
          <w:rFonts w:ascii="Cambria" w:hAnsi="Cambria"/>
          <w:bCs/>
          <w:sz w:val="22"/>
          <w:szCs w:val="22"/>
          <w:highlight w:val="white"/>
        </w:rPr>
        <w:t xml:space="preserve"> </w:t>
      </w:r>
    </w:p>
    <w:p w14:paraId="5968B4ED" w14:textId="77777777" w:rsidR="00B642CB" w:rsidRPr="00B642CB" w:rsidRDefault="00B642CB" w:rsidP="00B642CB">
      <w:pPr>
        <w:autoSpaceDE w:val="0"/>
        <w:autoSpaceDN w:val="0"/>
        <w:adjustRightInd w:val="0"/>
        <w:spacing w:line="276" w:lineRule="auto"/>
        <w:ind w:firstLine="703"/>
        <w:jc w:val="both"/>
        <w:rPr>
          <w:rFonts w:ascii="Cambria" w:hAnsi="Cambria"/>
          <w:bCs/>
          <w:sz w:val="22"/>
          <w:szCs w:val="22"/>
          <w:highlight w:val="white"/>
          <w:lang w:val="en-US"/>
        </w:rPr>
      </w:pPr>
      <w:r w:rsidRPr="00B642CB">
        <w:rPr>
          <w:rFonts w:ascii="Cambria" w:hAnsi="Cambria"/>
          <w:bCs/>
          <w:sz w:val="22"/>
          <w:szCs w:val="22"/>
          <w:highlight w:val="white"/>
          <w:lang w:val="en-US"/>
        </w:rPr>
        <w:t>As Jan van Rompaey’s extensive research on the bailiffs of Flanders reveals, lenient verdicts from the Flemish Chamber of Accounts were more the rule than the exception. Furthermore, it was not uncommon for bailiffs to only hand in one account per year instead of the prescribed three every four months, and throughout the entire fifteenth-century very few people actually travelled to the Chamber of Accounts to complain about the bailiffs.</w:t>
      </w:r>
      <w:r w:rsidRPr="00B642CB">
        <w:rPr>
          <w:rStyle w:val="FootnoteReference"/>
          <w:rFonts w:ascii="Cambria" w:hAnsi="Cambria"/>
          <w:bCs/>
          <w:sz w:val="22"/>
          <w:szCs w:val="22"/>
          <w:highlight w:val="white"/>
        </w:rPr>
        <w:footnoteReference w:id="120"/>
      </w:r>
      <w:r w:rsidRPr="00B642CB">
        <w:rPr>
          <w:rFonts w:ascii="Cambria" w:hAnsi="Cambria"/>
          <w:bCs/>
          <w:sz w:val="22"/>
          <w:szCs w:val="22"/>
          <w:highlight w:val="white"/>
        </w:rPr>
        <w:t xml:space="preserve"> </w:t>
      </w:r>
      <w:r w:rsidRPr="00B642CB">
        <w:rPr>
          <w:rFonts w:ascii="Cambria" w:hAnsi="Cambria"/>
          <w:bCs/>
          <w:sz w:val="22"/>
          <w:szCs w:val="22"/>
          <w:lang w:val="en-US"/>
        </w:rPr>
        <w:t>This gap between discourse and practice raises important questions about the effectiveness of medieval procedures of accountability</w:t>
      </w:r>
      <w:r w:rsidRPr="00B642CB">
        <w:rPr>
          <w:rFonts w:ascii="Cambria" w:hAnsi="Cambria"/>
          <w:bCs/>
          <w:sz w:val="22"/>
          <w:szCs w:val="22"/>
          <w:highlight w:val="white"/>
          <w:lang w:val="en-US"/>
        </w:rPr>
        <w:t>. As intriguing as these questions are, addressing them falls outside the scope of this article.</w:t>
      </w:r>
      <w:r w:rsidRPr="00B642CB">
        <w:rPr>
          <w:rFonts w:ascii="Cambria" w:hAnsi="Cambria"/>
          <w:bCs/>
          <w:sz w:val="22"/>
          <w:szCs w:val="22"/>
          <w:lang w:val="en-US"/>
        </w:rPr>
        <w:t xml:space="preserve"> </w:t>
      </w:r>
      <w:r w:rsidRPr="00B642CB">
        <w:rPr>
          <w:rFonts w:ascii="Cambria" w:hAnsi="Cambria"/>
          <w:bCs/>
          <w:sz w:val="22"/>
          <w:szCs w:val="22"/>
          <w:highlight w:val="white"/>
          <w:lang w:val="en-US"/>
        </w:rPr>
        <w:t xml:space="preserve">For the purpose of our current inquiry, I refer to Sabapathy’s argument that while accountability has a procedural relationship with justice, it is not inherently linked to it, nor does it necessarily produce it. Sabapathy has shown that contemporaries were well aware that medieval practices of accountability did not always result in more accountability. </w:t>
      </w:r>
      <w:r w:rsidRPr="00B642CB">
        <w:rPr>
          <w:rFonts w:ascii="Cambria" w:hAnsi="Cambria"/>
          <w:bCs/>
          <w:sz w:val="22"/>
          <w:szCs w:val="22"/>
          <w:lang w:val="en-US"/>
        </w:rPr>
        <w:t>Despite their imperfections, procedures of accountability created a space for evaluating the substantive content and performance of various offices and for voicing political concerns.</w:t>
      </w:r>
      <w:r w:rsidRPr="00B642CB">
        <w:rPr>
          <w:rFonts w:ascii="Cambria" w:hAnsi="Cambria"/>
          <w:bCs/>
          <w:sz w:val="22"/>
          <w:szCs w:val="22"/>
        </w:rPr>
        <w:t xml:space="preserve"> </w:t>
      </w:r>
      <w:r w:rsidRPr="00B642CB">
        <w:rPr>
          <w:rFonts w:ascii="Cambria" w:hAnsi="Cambria"/>
          <w:bCs/>
          <w:sz w:val="22"/>
          <w:szCs w:val="22"/>
          <w:highlight w:val="white"/>
          <w:lang w:val="en-US"/>
        </w:rPr>
        <w:t>As Sabapathy intriguingly put it: ‘A playing field may not be fair, but playing on—and I would add talking about—a field is a start.’</w:t>
      </w:r>
      <w:r w:rsidRPr="00B642CB">
        <w:rPr>
          <w:rStyle w:val="FootnoteReference"/>
          <w:rFonts w:ascii="Cambria" w:hAnsi="Cambria"/>
          <w:bCs/>
          <w:sz w:val="22"/>
          <w:szCs w:val="22"/>
          <w:highlight w:val="white"/>
        </w:rPr>
        <w:footnoteReference w:id="121"/>
      </w:r>
      <w:r w:rsidRPr="00B642CB">
        <w:rPr>
          <w:rFonts w:ascii="Cambria" w:hAnsi="Cambria"/>
          <w:bCs/>
          <w:sz w:val="22"/>
          <w:szCs w:val="22"/>
          <w:lang w:val="en-US"/>
        </w:rPr>
        <w:t xml:space="preserve"> </w:t>
      </w:r>
      <w:r w:rsidRPr="00B642CB">
        <w:rPr>
          <w:rFonts w:ascii="Cambria" w:hAnsi="Cambria"/>
          <w:bCs/>
          <w:sz w:val="22"/>
          <w:szCs w:val="22"/>
          <w:highlight w:val="white"/>
          <w:lang w:val="en-US"/>
        </w:rPr>
        <w:t xml:space="preserve">Throughout the fifteenth century, the counts of Flanders, jurists, urban elites, and craft </w:t>
      </w:r>
      <w:r w:rsidRPr="00B642CB">
        <w:rPr>
          <w:rFonts w:ascii="Cambria" w:hAnsi="Cambria"/>
          <w:bCs/>
          <w:sz w:val="22"/>
          <w:szCs w:val="22"/>
          <w:highlight w:val="white"/>
          <w:lang w:val="en-US"/>
        </w:rPr>
        <w:lastRenderedPageBreak/>
        <w:t>guilds continued to believe in the possibility of holding governors and officers accountable, whatever the limitations in practice.</w:t>
      </w:r>
      <w:r w:rsidRPr="00B642CB">
        <w:rPr>
          <w:rFonts w:ascii="Cambria" w:hAnsi="Cambria"/>
          <w:bCs/>
          <w:sz w:val="22"/>
          <w:szCs w:val="22"/>
          <w:lang w:val="en-US"/>
        </w:rPr>
        <w:t xml:space="preserve"> </w:t>
      </w:r>
      <w:r w:rsidRPr="00B642CB">
        <w:rPr>
          <w:rFonts w:ascii="Cambria" w:hAnsi="Cambria"/>
          <w:bCs/>
          <w:sz w:val="22"/>
          <w:szCs w:val="22"/>
          <w:highlight w:val="white"/>
          <w:lang w:val="en-US"/>
        </w:rPr>
        <w:t>They expressed this belief in clear, concrete, omnipresent, and omnidirectional terms, never dispensing with their accountable language.</w:t>
      </w:r>
    </w:p>
    <w:p w14:paraId="20F1CB28" w14:textId="77777777" w:rsidR="00B642CB" w:rsidRPr="00B642CB" w:rsidRDefault="00B642CB" w:rsidP="00B642CB">
      <w:pPr>
        <w:pStyle w:val="Heading1"/>
        <w:spacing w:line="276" w:lineRule="auto"/>
        <w:jc w:val="both"/>
        <w:rPr>
          <w:rFonts w:ascii="Cambria" w:hAnsi="Cambria"/>
          <w:b w:val="0"/>
          <w:sz w:val="22"/>
          <w:szCs w:val="22"/>
        </w:rPr>
      </w:pPr>
      <w:r w:rsidRPr="00B642CB">
        <w:rPr>
          <w:rFonts w:ascii="Cambria" w:hAnsi="Cambria"/>
          <w:b w:val="0"/>
          <w:sz w:val="22"/>
          <w:szCs w:val="22"/>
        </w:rPr>
        <w:t>Conclusion</w:t>
      </w:r>
    </w:p>
    <w:p w14:paraId="770B75F3" w14:textId="77777777" w:rsidR="00B642CB" w:rsidRPr="00B642CB" w:rsidRDefault="00B642CB" w:rsidP="00B642CB">
      <w:pPr>
        <w:spacing w:line="276" w:lineRule="auto"/>
        <w:jc w:val="both"/>
        <w:rPr>
          <w:rFonts w:ascii="Cambria" w:hAnsi="Cambria"/>
          <w:bCs/>
          <w:sz w:val="22"/>
          <w:szCs w:val="22"/>
        </w:rPr>
      </w:pPr>
      <w:r w:rsidRPr="00B642CB">
        <w:rPr>
          <w:rFonts w:ascii="Cambria" w:hAnsi="Cambria"/>
          <w:bCs/>
          <w:sz w:val="22"/>
          <w:szCs w:val="22"/>
        </w:rPr>
        <w:t>Pieter Boudins, his accomplices, Cornelis Arcke, and Jan Stoppelare should have known better. While ‘accountability’ is a modern and abstract notion, a belief in governmental accountability was undoubtedly also a medieval phenomenon. Counts, jurists, urban elites, and craft guilds maintained that governors and officers had an obligation to act responsibly, conscientiously, and virtuously. They believed in both godly and earthly means to oblige them to answer for their conduct, and if necessary, hold them liable.</w:t>
      </w:r>
    </w:p>
    <w:p w14:paraId="0DB8E2DE" w14:textId="77777777" w:rsidR="00B642CB" w:rsidRPr="00B642CB" w:rsidRDefault="00B642CB" w:rsidP="00B642CB">
      <w:pPr>
        <w:spacing w:line="276" w:lineRule="auto"/>
        <w:ind w:firstLine="720"/>
        <w:jc w:val="both"/>
        <w:rPr>
          <w:rFonts w:ascii="Cambria" w:hAnsi="Cambria"/>
          <w:bCs/>
          <w:sz w:val="22"/>
          <w:szCs w:val="22"/>
        </w:rPr>
      </w:pPr>
      <w:r w:rsidRPr="00B642CB">
        <w:rPr>
          <w:rFonts w:ascii="Cambria" w:hAnsi="Cambria"/>
          <w:bCs/>
          <w:sz w:val="22"/>
          <w:szCs w:val="22"/>
        </w:rPr>
        <w:t>In the fifteenth-century county of Flanders, this belief was expressed through concrete and consistent discursive registers, vocabularies, and phrases, forming what can be termed a medieval language of accountability. This language was voiced not only from the top down or the bottom up but in multiple directions. It was articulated by the counts of Flanders, influential jurists, financial commissioners, urban governors, and craft guilds alike. Even as autocratic tendencies became more pronounced towards the end of the Middle Ages or when the practical implementation of accountability procedures diverged from their discourses, these socially diverse groups continued to speak a language of accountability. They persistently discussed God’s judgement, accounts, reports, investigations, governmental responsibilities, inquiries, and legal actions albeit in a context very different from our own. I contend that this medieval language of accountability alleviates the need for historians to impose an all-encompassing definition upon medieval accountability. Rather than adopting modern definitions for the past or focusing on specific aspects, directions, or advocates, it is time to understand medieval accountability on its own comprehensive terms.</w:t>
      </w:r>
    </w:p>
    <w:p w14:paraId="08E40E3B" w14:textId="77777777" w:rsidR="00B642CB" w:rsidRDefault="00B642CB" w:rsidP="00B642CB">
      <w:pPr>
        <w:spacing w:line="276" w:lineRule="auto"/>
        <w:ind w:firstLine="720"/>
        <w:jc w:val="both"/>
        <w:rPr>
          <w:rFonts w:ascii="Cambria" w:hAnsi="Cambria"/>
          <w:bCs/>
          <w:sz w:val="22"/>
          <w:szCs w:val="22"/>
        </w:rPr>
      </w:pPr>
      <w:r w:rsidRPr="00B642CB">
        <w:rPr>
          <w:rFonts w:ascii="Cambria" w:hAnsi="Cambria"/>
          <w:bCs/>
          <w:sz w:val="22"/>
          <w:szCs w:val="22"/>
        </w:rPr>
        <w:t>Naturally, while the distinctiveness of this article’s Flemish case study influenced its findings, John Watts has demonstrated that broad segments of the populations in other fifteenth-century European polities also engaged in discussions about the conduct of governors and officers.</w:t>
      </w:r>
      <w:r w:rsidRPr="00B642CB">
        <w:rPr>
          <w:rStyle w:val="FootnoteReference"/>
          <w:rFonts w:ascii="Cambria" w:hAnsi="Cambria"/>
          <w:bCs/>
          <w:sz w:val="22"/>
          <w:szCs w:val="22"/>
        </w:rPr>
        <w:footnoteReference w:id="122"/>
      </w:r>
      <w:r w:rsidRPr="00B642CB">
        <w:rPr>
          <w:rFonts w:ascii="Cambria" w:hAnsi="Cambria"/>
          <w:bCs/>
          <w:sz w:val="22"/>
          <w:szCs w:val="22"/>
        </w:rPr>
        <w:t xml:space="preserve"> In addition, scholarship has shown that in such diverse regions as England, Castile, and Italy, the need for accountability was also often articulated through beliefs in morality, law, or correction.</w:t>
      </w:r>
      <w:r w:rsidRPr="00B642CB">
        <w:rPr>
          <w:rStyle w:val="FootnoteReference"/>
          <w:rFonts w:ascii="Cambria" w:hAnsi="Cambria"/>
          <w:bCs/>
          <w:sz w:val="22"/>
          <w:szCs w:val="22"/>
        </w:rPr>
        <w:footnoteReference w:id="123"/>
      </w:r>
      <w:r w:rsidRPr="00B642CB">
        <w:rPr>
          <w:rFonts w:ascii="Cambria" w:hAnsi="Cambria"/>
          <w:bCs/>
          <w:sz w:val="22"/>
          <w:szCs w:val="22"/>
        </w:rPr>
        <w:t xml:space="preserve"> The medieval language of accountability is thus certainly not only a Flemish phenomenon, and further research into the specific phrases and vocabularies of accountability used in these and other regions is necessary. Such research would also increase the comparability of the discourses and practices of accountability across borders. In short, it would make modern medievalists more attentive eavesdroppers on past discussions of accountability in medieval terms.</w:t>
      </w:r>
    </w:p>
    <w:p w14:paraId="5A78BCDC" w14:textId="77777777" w:rsidR="00B642CB" w:rsidRPr="00B642CB" w:rsidRDefault="00B642CB" w:rsidP="00B642CB">
      <w:pPr>
        <w:spacing w:line="276" w:lineRule="auto"/>
        <w:ind w:firstLine="720"/>
        <w:jc w:val="both"/>
        <w:rPr>
          <w:rFonts w:ascii="Cambria" w:hAnsi="Cambria"/>
          <w:bCs/>
          <w:sz w:val="22"/>
          <w:szCs w:val="22"/>
        </w:rPr>
      </w:pPr>
    </w:p>
    <w:p w14:paraId="3002AE06" w14:textId="77777777" w:rsidR="00B642CB" w:rsidRPr="00B642CB" w:rsidRDefault="00B642CB" w:rsidP="00B642CB">
      <w:pPr>
        <w:pStyle w:val="Heading1"/>
        <w:spacing w:line="276" w:lineRule="auto"/>
        <w:jc w:val="both"/>
        <w:rPr>
          <w:rFonts w:ascii="Cambria" w:hAnsi="Cambria"/>
          <w:b w:val="0"/>
          <w:sz w:val="22"/>
          <w:szCs w:val="22"/>
        </w:rPr>
      </w:pPr>
      <w:r w:rsidRPr="00B642CB">
        <w:rPr>
          <w:rFonts w:ascii="Cambria" w:hAnsi="Cambria"/>
          <w:b w:val="0"/>
          <w:sz w:val="22"/>
          <w:szCs w:val="22"/>
        </w:rPr>
        <w:t>Acknowledgements</w:t>
      </w:r>
    </w:p>
    <w:p w14:paraId="71DAE5AE" w14:textId="77777777" w:rsidR="00B642CB" w:rsidRPr="00B642CB" w:rsidRDefault="00B642CB" w:rsidP="00B642CB">
      <w:pPr>
        <w:pStyle w:val="Paragraph"/>
        <w:spacing w:before="0" w:line="276" w:lineRule="auto"/>
        <w:jc w:val="both"/>
        <w:rPr>
          <w:rFonts w:ascii="Cambria" w:hAnsi="Cambria"/>
          <w:bCs/>
          <w:sz w:val="22"/>
          <w:szCs w:val="22"/>
        </w:rPr>
      </w:pPr>
      <w:r w:rsidRPr="00B642CB">
        <w:rPr>
          <w:rFonts w:ascii="Cambria" w:hAnsi="Cambria"/>
          <w:bCs/>
          <w:sz w:val="22"/>
          <w:szCs w:val="22"/>
        </w:rPr>
        <w:t xml:space="preserve">I would like to express my sincere gratitude to the anonymous reviewers and the editorial board of the </w:t>
      </w:r>
      <w:r w:rsidRPr="00B642CB">
        <w:rPr>
          <w:rFonts w:ascii="Cambria" w:hAnsi="Cambria"/>
          <w:bCs/>
          <w:i/>
          <w:iCs/>
          <w:sz w:val="22"/>
          <w:szCs w:val="22"/>
        </w:rPr>
        <w:t>Journal of Medieval History</w:t>
      </w:r>
      <w:r w:rsidRPr="00B642CB">
        <w:rPr>
          <w:rFonts w:ascii="Cambria" w:hAnsi="Cambria"/>
          <w:bCs/>
          <w:sz w:val="22"/>
          <w:szCs w:val="22"/>
        </w:rPr>
        <w:t xml:space="preserve"> for their invaluable remarks and critiques. I am also deeply grateful to Jelle Haemers for his assistance in writing this article, as well as to the many generous scholars and colleagues with whom I had stimulating conversations about accountability in the </w:t>
      </w:r>
      <w:r w:rsidRPr="00B642CB">
        <w:rPr>
          <w:rFonts w:ascii="Cambria" w:hAnsi="Cambria"/>
          <w:bCs/>
          <w:sz w:val="22"/>
          <w:szCs w:val="22"/>
        </w:rPr>
        <w:lastRenderedPageBreak/>
        <w:t xml:space="preserve">late Middle Ages. </w:t>
      </w:r>
    </w:p>
    <w:p w14:paraId="1130517F" w14:textId="77777777" w:rsidR="00B642CB" w:rsidRDefault="00B642CB" w:rsidP="00B642CB">
      <w:pPr>
        <w:pStyle w:val="Heading1"/>
        <w:spacing w:line="276" w:lineRule="auto"/>
        <w:jc w:val="both"/>
        <w:rPr>
          <w:rFonts w:ascii="Cambria" w:hAnsi="Cambria"/>
          <w:b w:val="0"/>
          <w:sz w:val="22"/>
          <w:szCs w:val="22"/>
        </w:rPr>
      </w:pPr>
    </w:p>
    <w:p w14:paraId="52CAA592" w14:textId="2FA2BCC3" w:rsidR="00B642CB" w:rsidRPr="00B642CB" w:rsidRDefault="00B642CB" w:rsidP="00B642CB">
      <w:pPr>
        <w:pStyle w:val="Heading1"/>
        <w:spacing w:line="276" w:lineRule="auto"/>
        <w:jc w:val="both"/>
        <w:rPr>
          <w:rFonts w:ascii="Cambria" w:hAnsi="Cambria"/>
          <w:b w:val="0"/>
          <w:sz w:val="22"/>
          <w:szCs w:val="22"/>
        </w:rPr>
      </w:pPr>
      <w:r w:rsidRPr="00B642CB">
        <w:rPr>
          <w:rFonts w:ascii="Cambria" w:hAnsi="Cambria"/>
          <w:b w:val="0"/>
          <w:sz w:val="22"/>
          <w:szCs w:val="22"/>
        </w:rPr>
        <w:t xml:space="preserve">Funding </w:t>
      </w:r>
    </w:p>
    <w:p w14:paraId="433EA536" w14:textId="77777777" w:rsidR="00B642CB" w:rsidRPr="00B642CB" w:rsidRDefault="00B642CB" w:rsidP="00B642CB">
      <w:pPr>
        <w:spacing w:line="276" w:lineRule="auto"/>
        <w:jc w:val="both"/>
        <w:rPr>
          <w:rFonts w:ascii="Cambria" w:hAnsi="Cambria"/>
          <w:bCs/>
          <w:sz w:val="22"/>
          <w:szCs w:val="22"/>
        </w:rPr>
      </w:pPr>
      <w:r w:rsidRPr="00B642CB">
        <w:rPr>
          <w:rFonts w:ascii="Cambria" w:hAnsi="Cambria"/>
          <w:bCs/>
          <w:sz w:val="22"/>
          <w:szCs w:val="22"/>
        </w:rPr>
        <w:t xml:space="preserve">This research was financed by Internal Funds KU Leuven. In addition, the CROSSPOINT project of Lille University and KU Leuven funded a short research stay in Lille, where I was able to conduct the necessary archival research in the </w:t>
      </w:r>
      <w:r w:rsidRPr="00B642CB">
        <w:rPr>
          <w:rFonts w:ascii="Cambria" w:hAnsi="Cambria"/>
          <w:bCs/>
          <w:i/>
          <w:iCs/>
          <w:sz w:val="22"/>
          <w:szCs w:val="22"/>
        </w:rPr>
        <w:t xml:space="preserve">Archives Départementales du Nord </w:t>
      </w:r>
      <w:r w:rsidRPr="00B642CB">
        <w:rPr>
          <w:rFonts w:ascii="Cambria" w:hAnsi="Cambria"/>
          <w:bCs/>
          <w:sz w:val="22"/>
          <w:szCs w:val="22"/>
        </w:rPr>
        <w:t>for this article.</w:t>
      </w:r>
    </w:p>
    <w:p w14:paraId="5554D3EB" w14:textId="77777777" w:rsidR="00B642CB" w:rsidRPr="00B642CB" w:rsidRDefault="00B642CB" w:rsidP="00B642CB">
      <w:pPr>
        <w:spacing w:line="276" w:lineRule="auto"/>
        <w:jc w:val="both"/>
        <w:rPr>
          <w:rFonts w:ascii="Cambria" w:hAnsi="Cambria"/>
          <w:bCs/>
          <w:sz w:val="22"/>
          <w:szCs w:val="22"/>
        </w:rPr>
      </w:pPr>
    </w:p>
    <w:p w14:paraId="3252CD44" w14:textId="77777777" w:rsidR="00B642CB" w:rsidRPr="00B642CB" w:rsidRDefault="00B642CB" w:rsidP="00B642CB">
      <w:pPr>
        <w:pStyle w:val="Authornames"/>
        <w:spacing w:line="276" w:lineRule="auto"/>
        <w:jc w:val="both"/>
        <w:rPr>
          <w:rFonts w:ascii="Cambria" w:hAnsi="Cambria"/>
          <w:bCs/>
          <w:sz w:val="22"/>
          <w:szCs w:val="22"/>
        </w:rPr>
      </w:pPr>
      <w:r w:rsidRPr="00B642CB">
        <w:rPr>
          <w:rFonts w:ascii="Cambria" w:hAnsi="Cambria"/>
          <w:bCs/>
          <w:sz w:val="22"/>
          <w:szCs w:val="22"/>
        </w:rPr>
        <w:t xml:space="preserve">Notes on contributor: Minne De Boodt is a postdoctoral researcher with the Research Group Medieval History at KU Leuven and the Louvain Research Institute for Landscape, Architecture, Built Environment at UCLouvain. Her research encompasses the history of ideas, good governance, face-to-face discussions between governors and governed, power relations, daily urban life and the built environment of late medieval cities. She received her doctorate in June 2023 with a dissertation titled </w:t>
      </w:r>
      <w:r w:rsidRPr="00B642CB">
        <w:rPr>
          <w:rFonts w:ascii="Cambria" w:hAnsi="Cambria"/>
          <w:bCs/>
          <w:i/>
          <w:iCs/>
          <w:sz w:val="22"/>
          <w:szCs w:val="22"/>
        </w:rPr>
        <w:t>Inspiring Ideas</w:t>
      </w:r>
      <w:r w:rsidRPr="00B642CB">
        <w:rPr>
          <w:rFonts w:ascii="Cambria" w:hAnsi="Cambria"/>
          <w:bCs/>
          <w:sz w:val="22"/>
          <w:szCs w:val="22"/>
        </w:rPr>
        <w:t>, an exploration of how political thinking influenced various social groups during negotiations on good governance in the fifteenth-century county of Flanders.</w:t>
      </w:r>
    </w:p>
    <w:p w14:paraId="1F79112D" w14:textId="77777777" w:rsidR="00EE749A" w:rsidRPr="00B642CB" w:rsidRDefault="00EE749A" w:rsidP="00B642CB">
      <w:pPr>
        <w:spacing w:line="276" w:lineRule="auto"/>
        <w:rPr>
          <w:rFonts w:ascii="Cambria" w:hAnsi="Cambria"/>
          <w:sz w:val="22"/>
          <w:szCs w:val="22"/>
        </w:rPr>
      </w:pPr>
    </w:p>
    <w:sectPr w:rsidR="00EE749A" w:rsidRPr="00B642C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9F8A1" w14:textId="77777777" w:rsidR="00B642CB" w:rsidRDefault="00B642CB" w:rsidP="00B642CB">
      <w:pPr>
        <w:spacing w:line="240" w:lineRule="auto"/>
      </w:pPr>
      <w:r>
        <w:separator/>
      </w:r>
    </w:p>
  </w:endnote>
  <w:endnote w:type="continuationSeparator" w:id="0">
    <w:p w14:paraId="60410280" w14:textId="77777777" w:rsidR="00B642CB" w:rsidRDefault="00B642CB" w:rsidP="00B642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B368D" w14:textId="77777777" w:rsidR="00B642CB" w:rsidRDefault="00B642CB" w:rsidP="00B642CB">
      <w:pPr>
        <w:spacing w:line="240" w:lineRule="auto"/>
      </w:pPr>
      <w:r>
        <w:separator/>
      </w:r>
    </w:p>
  </w:footnote>
  <w:footnote w:type="continuationSeparator" w:id="0">
    <w:p w14:paraId="33B5D522" w14:textId="77777777" w:rsidR="00B642CB" w:rsidRDefault="00B642CB" w:rsidP="00B642CB">
      <w:pPr>
        <w:spacing w:line="240" w:lineRule="auto"/>
      </w:pPr>
      <w:r>
        <w:continuationSeparator/>
      </w:r>
    </w:p>
  </w:footnote>
  <w:footnote w:id="1">
    <w:p w14:paraId="2D997CF3" w14:textId="77777777" w:rsidR="00B642CB" w:rsidRPr="00F95F92" w:rsidRDefault="00B642CB" w:rsidP="00B642CB">
      <w:pPr>
        <w:pStyle w:val="FootnoteText"/>
        <w:rPr>
          <w:lang w:val="en-US"/>
        </w:rPr>
      </w:pPr>
      <w:r w:rsidRPr="00ED10CD">
        <w:rPr>
          <w:rStyle w:val="FootnoteReference"/>
          <w:rFonts w:cstheme="minorHAnsi"/>
        </w:rPr>
        <w:footnoteRef/>
      </w:r>
      <w:r w:rsidRPr="00ED10CD">
        <w:rPr>
          <w:lang w:val="nl-BE"/>
        </w:rPr>
        <w:t xml:space="preserve"> ‘De Chronike van den lande van Vlaendre: studie van het handschrift en uitgave van f°148v tot f°415v’, ed. </w:t>
      </w:r>
      <w:r w:rsidRPr="00F95F92">
        <w:rPr>
          <w:lang w:val="en-US"/>
        </w:rPr>
        <w:t>Simon Vandekerckhove (master’s thesis</w:t>
      </w:r>
      <w:r>
        <w:rPr>
          <w:lang w:val="en-US"/>
        </w:rPr>
        <w:t>.</w:t>
      </w:r>
      <w:r w:rsidRPr="00F95F92">
        <w:rPr>
          <w:lang w:val="en-US"/>
        </w:rPr>
        <w:t>, Ghent University, 2007), 167.</w:t>
      </w:r>
    </w:p>
  </w:footnote>
  <w:footnote w:id="2">
    <w:p w14:paraId="745B488C"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Jelle Haemers, </w:t>
      </w:r>
      <w:r w:rsidRPr="00086443">
        <w:rPr>
          <w:lang w:val="en-US"/>
        </w:rPr>
        <w:t>For the Common Good: State Power and Urban Revolts in the Reign of Mary of Burgundy (1477-1482)</w:t>
      </w:r>
      <w:r w:rsidRPr="005E022C">
        <w:rPr>
          <w:lang w:val="en-US"/>
        </w:rPr>
        <w:t xml:space="preserve"> (Brepols, 2009), 232</w:t>
      </w:r>
      <w:r>
        <w:rPr>
          <w:lang w:val="en-US"/>
        </w:rPr>
        <w:t>-3</w:t>
      </w:r>
      <w:r w:rsidRPr="005E022C">
        <w:rPr>
          <w:lang w:val="en-US"/>
        </w:rPr>
        <w:t>4.</w:t>
      </w:r>
    </w:p>
  </w:footnote>
  <w:footnote w:id="3">
    <w:p w14:paraId="6CFB0DA1" w14:textId="77777777" w:rsidR="00B642CB" w:rsidRPr="006E47A0" w:rsidRDefault="00B642CB" w:rsidP="00B642CB">
      <w:pPr>
        <w:pStyle w:val="FootnoteText"/>
        <w:rPr>
          <w:lang w:val="nl-BE"/>
        </w:rPr>
      </w:pPr>
      <w:r w:rsidRPr="005E022C">
        <w:rPr>
          <w:rStyle w:val="FootnoteReference"/>
          <w:rFonts w:cstheme="minorHAnsi"/>
        </w:rPr>
        <w:footnoteRef/>
      </w:r>
      <w:r>
        <w:rPr>
          <w:lang w:val="nl-BE"/>
        </w:rPr>
        <w:t xml:space="preserve"> </w:t>
      </w:r>
      <w:r w:rsidRPr="006E47A0">
        <w:rPr>
          <w:i/>
          <w:iCs/>
          <w:lang w:val="nl-BE"/>
        </w:rPr>
        <w:t xml:space="preserve">Memorieboek der stad </w:t>
      </w:r>
      <w:proofErr w:type="spellStart"/>
      <w:r w:rsidRPr="006E47A0">
        <w:rPr>
          <w:i/>
          <w:iCs/>
          <w:lang w:val="nl-BE"/>
        </w:rPr>
        <w:t>Ghendt</w:t>
      </w:r>
      <w:proofErr w:type="spellEnd"/>
      <w:r w:rsidRPr="006E47A0">
        <w:rPr>
          <w:i/>
          <w:iCs/>
          <w:lang w:val="nl-BE"/>
        </w:rPr>
        <w:t xml:space="preserve"> van ‘t jaer 1301 tot 1737</w:t>
      </w:r>
      <w:r>
        <w:rPr>
          <w:lang w:val="nl-BE"/>
        </w:rPr>
        <w:t xml:space="preserve">. </w:t>
      </w:r>
      <w:r w:rsidRPr="00D257FA">
        <w:rPr>
          <w:lang w:val="en-US"/>
        </w:rPr>
        <w:t xml:space="preserve">4 vols., ed. </w:t>
      </w:r>
      <w:r w:rsidRPr="00F95F92">
        <w:rPr>
          <w:lang w:val="en-US"/>
        </w:rPr>
        <w:t xml:space="preserve">Andreas van Heule (Ghent, 1852), 1: 298-300. </w:t>
      </w:r>
      <w:r w:rsidRPr="00095DAE">
        <w:t xml:space="preserve">The Ghent </w:t>
      </w:r>
      <w:r w:rsidRPr="006B3F41">
        <w:rPr>
          <w:i/>
          <w:iCs/>
        </w:rPr>
        <w:t>memorieboeken</w:t>
      </w:r>
      <w:r w:rsidRPr="00095DAE">
        <w:t xml:space="preserve"> or ‘memory books’ originated in the fourteenth century. They were based on lists of names of Ghent aldermen that were supplemented with historical notes and thus grew in</w:t>
      </w:r>
      <w:r w:rsidRPr="00613A28">
        <w:t xml:space="preserve">to chronicles. </w:t>
      </w:r>
      <w:r w:rsidRPr="00676098">
        <w:rPr>
          <w:lang w:val="nl-BE"/>
        </w:rPr>
        <w:t xml:space="preserve">For more information on this source, its </w:t>
      </w:r>
      <w:proofErr w:type="spellStart"/>
      <w:r w:rsidRPr="00676098">
        <w:rPr>
          <w:lang w:val="nl-BE"/>
        </w:rPr>
        <w:t>authors</w:t>
      </w:r>
      <w:proofErr w:type="spellEnd"/>
      <w:r>
        <w:rPr>
          <w:lang w:val="nl-BE"/>
        </w:rPr>
        <w:t>,</w:t>
      </w:r>
      <w:r w:rsidRPr="00676098">
        <w:rPr>
          <w:lang w:val="nl-BE"/>
        </w:rPr>
        <w:t xml:space="preserve"> and </w:t>
      </w:r>
      <w:r w:rsidRPr="006B3F41">
        <w:rPr>
          <w:lang w:val="nl-BE"/>
        </w:rPr>
        <w:t>origins see</w:t>
      </w:r>
      <w:r w:rsidRPr="006E47A0">
        <w:rPr>
          <w:lang w:val="nl-BE"/>
        </w:rPr>
        <w:t xml:space="preserve"> Anne-Laure van Bruaene, </w:t>
      </w:r>
      <w:r w:rsidRPr="006E47A0">
        <w:rPr>
          <w:i/>
          <w:iCs/>
          <w:lang w:val="nl-BE"/>
        </w:rPr>
        <w:t xml:space="preserve">De Gentse memorieboeken als </w:t>
      </w:r>
      <w:r>
        <w:rPr>
          <w:i/>
          <w:iCs/>
          <w:lang w:val="nl-BE"/>
        </w:rPr>
        <w:t>s</w:t>
      </w:r>
      <w:r w:rsidRPr="006E47A0">
        <w:rPr>
          <w:i/>
          <w:iCs/>
          <w:lang w:val="nl-BE"/>
        </w:rPr>
        <w:t>piegel van stedelijk historisch bewustzijn (14de tot 16de eeuw)</w:t>
      </w:r>
      <w:r w:rsidRPr="006E47A0">
        <w:rPr>
          <w:lang w:val="nl-BE"/>
        </w:rPr>
        <w:t xml:space="preserve"> (Maatschappij voor geschiedenis en oudheidkunde, 1998).</w:t>
      </w:r>
    </w:p>
  </w:footnote>
  <w:footnote w:id="4">
    <w:p w14:paraId="7646D38B" w14:textId="77777777" w:rsidR="00B642CB" w:rsidRPr="006E47A0" w:rsidRDefault="00B642CB" w:rsidP="00B642CB">
      <w:pPr>
        <w:pStyle w:val="FootnoteText"/>
        <w:rPr>
          <w:lang w:val="nl-BE"/>
        </w:rPr>
      </w:pPr>
      <w:r w:rsidRPr="005E022C">
        <w:rPr>
          <w:rStyle w:val="FootnoteReference"/>
          <w:rFonts w:cstheme="minorHAnsi"/>
        </w:rPr>
        <w:footnoteRef/>
      </w:r>
      <w:r>
        <w:rPr>
          <w:lang w:val="nl-BE"/>
        </w:rPr>
        <w:t xml:space="preserve"> </w:t>
      </w:r>
      <w:r w:rsidRPr="006E47A0">
        <w:rPr>
          <w:i/>
          <w:iCs/>
          <w:lang w:val="nl-BE"/>
        </w:rPr>
        <w:t xml:space="preserve">Memorieboek der stad </w:t>
      </w:r>
      <w:proofErr w:type="spellStart"/>
      <w:r w:rsidRPr="006E47A0">
        <w:rPr>
          <w:i/>
          <w:iCs/>
          <w:lang w:val="nl-BE"/>
        </w:rPr>
        <w:t>Ghendt</w:t>
      </w:r>
      <w:proofErr w:type="spellEnd"/>
      <w:r>
        <w:rPr>
          <w:lang w:val="nl-BE"/>
        </w:rPr>
        <w:t xml:space="preserve">, 1: </w:t>
      </w:r>
      <w:r w:rsidRPr="006E47A0">
        <w:rPr>
          <w:lang w:val="nl-BE"/>
        </w:rPr>
        <w:t>299</w:t>
      </w:r>
      <w:r>
        <w:rPr>
          <w:lang w:val="nl-BE"/>
        </w:rPr>
        <w:t xml:space="preserve"> (</w:t>
      </w:r>
      <w:r w:rsidRPr="006E47A0">
        <w:rPr>
          <w:lang w:val="nl-BE"/>
        </w:rPr>
        <w:t>‘</w:t>
      </w:r>
      <w:r w:rsidRPr="006E47A0">
        <w:rPr>
          <w:i/>
          <w:iCs/>
          <w:lang w:val="nl-BE"/>
        </w:rPr>
        <w:t xml:space="preserve">in zyne </w:t>
      </w:r>
      <w:proofErr w:type="spellStart"/>
      <w:r w:rsidRPr="006E47A0">
        <w:rPr>
          <w:i/>
          <w:iCs/>
          <w:lang w:val="nl-BE"/>
        </w:rPr>
        <w:t>pyne</w:t>
      </w:r>
      <w:proofErr w:type="spellEnd"/>
      <w:r w:rsidRPr="006E47A0">
        <w:rPr>
          <w:lang w:val="nl-BE"/>
        </w:rPr>
        <w:t>’</w:t>
      </w:r>
      <w:r>
        <w:rPr>
          <w:lang w:val="nl-BE"/>
        </w:rPr>
        <w:t>)</w:t>
      </w:r>
      <w:r w:rsidRPr="006E47A0">
        <w:rPr>
          <w:lang w:val="nl-BE"/>
        </w:rPr>
        <w:t>; ‘De Chronike van den lande van Vlaendre’, 167.</w:t>
      </w:r>
    </w:p>
  </w:footnote>
  <w:footnote w:id="5">
    <w:p w14:paraId="162E77A8" w14:textId="77777777" w:rsidR="00B642CB" w:rsidRPr="006E47A0" w:rsidRDefault="00B642CB" w:rsidP="00B642CB">
      <w:pPr>
        <w:pStyle w:val="FootnoteText"/>
        <w:rPr>
          <w:lang w:val="nl-BE"/>
        </w:rPr>
      </w:pPr>
      <w:r w:rsidRPr="005E022C">
        <w:rPr>
          <w:rStyle w:val="FootnoteReference"/>
          <w:rFonts w:cstheme="minorHAnsi"/>
        </w:rPr>
        <w:footnoteRef/>
      </w:r>
      <w:r>
        <w:rPr>
          <w:lang w:val="nl-BE"/>
        </w:rPr>
        <w:t xml:space="preserve"> </w:t>
      </w:r>
      <w:r w:rsidRPr="006E47A0">
        <w:rPr>
          <w:lang w:val="nl-BE"/>
        </w:rPr>
        <w:t>‘De Chronike van den lande van Vlaendre’, 167.</w:t>
      </w:r>
    </w:p>
  </w:footnote>
  <w:footnote w:id="6">
    <w:p w14:paraId="0FB11AC3" w14:textId="77777777" w:rsidR="00B642CB" w:rsidRPr="00693A19" w:rsidRDefault="00B642CB" w:rsidP="00B642CB">
      <w:pPr>
        <w:pStyle w:val="FootnoteText"/>
        <w:rPr>
          <w:lang w:val="en-US"/>
        </w:rPr>
      </w:pPr>
      <w:r w:rsidRPr="005E022C">
        <w:rPr>
          <w:rStyle w:val="FootnoteReference"/>
          <w:rFonts w:cstheme="minorHAnsi"/>
        </w:rPr>
        <w:footnoteRef/>
      </w:r>
      <w:r w:rsidRPr="00693A19">
        <w:rPr>
          <w:lang w:val="en-US"/>
        </w:rPr>
        <w:t xml:space="preserve"> </w:t>
      </w:r>
      <w:proofErr w:type="spellStart"/>
      <w:r w:rsidRPr="00693A19">
        <w:rPr>
          <w:lang w:val="en-US"/>
        </w:rPr>
        <w:t>Memorieboek</w:t>
      </w:r>
      <w:proofErr w:type="spellEnd"/>
      <w:r w:rsidRPr="00693A19">
        <w:rPr>
          <w:lang w:val="en-US"/>
        </w:rPr>
        <w:t xml:space="preserve"> der </w:t>
      </w:r>
      <w:proofErr w:type="spellStart"/>
      <w:r w:rsidRPr="00693A19">
        <w:rPr>
          <w:lang w:val="en-US"/>
        </w:rPr>
        <w:t>stad</w:t>
      </w:r>
      <w:proofErr w:type="spellEnd"/>
      <w:r w:rsidRPr="00693A19">
        <w:rPr>
          <w:lang w:val="en-US"/>
        </w:rPr>
        <w:t xml:space="preserve"> </w:t>
      </w:r>
      <w:proofErr w:type="spellStart"/>
      <w:r w:rsidRPr="00693A19">
        <w:rPr>
          <w:lang w:val="en-US"/>
        </w:rPr>
        <w:t>Ghendt</w:t>
      </w:r>
      <w:proofErr w:type="spellEnd"/>
      <w:r w:rsidRPr="00693A19">
        <w:rPr>
          <w:lang w:val="en-US"/>
        </w:rPr>
        <w:t>, 1: 300.</w:t>
      </w:r>
    </w:p>
  </w:footnote>
  <w:footnote w:id="7">
    <w:p w14:paraId="185C5D32"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w:t>
      </w:r>
      <w:r>
        <w:rPr>
          <w:lang w:val="en-US"/>
        </w:rPr>
        <w:t>See, for example,</w:t>
      </w:r>
      <w:r w:rsidRPr="005E022C">
        <w:rPr>
          <w:lang w:val="en-US"/>
        </w:rPr>
        <w:t xml:space="preserve"> John Sabapathy, Officers and Accountability in Medieval England 1170-1300 (Oxford University Press, 2014); María Ángeles Martín Romera and Hannes Ziegler</w:t>
      </w:r>
      <w:r>
        <w:rPr>
          <w:lang w:val="en-US"/>
        </w:rPr>
        <w:t xml:space="preserve">, </w:t>
      </w:r>
      <w:r w:rsidRPr="005E022C">
        <w:rPr>
          <w:lang w:val="en-US"/>
        </w:rPr>
        <w:t>ed</w:t>
      </w:r>
      <w:r>
        <w:rPr>
          <w:lang w:val="en-US"/>
        </w:rPr>
        <w:t>s</w:t>
      </w:r>
      <w:r w:rsidRPr="005E022C">
        <w:rPr>
          <w:lang w:val="en-US"/>
        </w:rPr>
        <w:t>. The Officer and the People: Accountability and Authority in Pre-Modern Europe (Oxford University Press, 2021); Ionuț Epurescu-Pascovici</w:t>
      </w:r>
      <w:r>
        <w:rPr>
          <w:lang w:val="en-US"/>
        </w:rPr>
        <w:t xml:space="preserve">, </w:t>
      </w:r>
      <w:r w:rsidRPr="005E022C">
        <w:rPr>
          <w:lang w:val="en-US"/>
        </w:rPr>
        <w:t>ed.</w:t>
      </w:r>
      <w:r>
        <w:rPr>
          <w:lang w:val="en-US"/>
        </w:rPr>
        <w:t xml:space="preserve"> </w:t>
      </w:r>
      <w:r w:rsidRPr="005E022C">
        <w:rPr>
          <w:lang w:val="en-US"/>
        </w:rPr>
        <w:t>Accounts and Accountability in Late Medieval Europe: Records, Procedures, and Socio-Political Impact (Brepols, 2020).</w:t>
      </w:r>
    </w:p>
  </w:footnote>
  <w:footnote w:id="8">
    <w:p w14:paraId="2A6FFD0A"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w:t>
      </w:r>
      <w:r w:rsidRPr="00201A1E">
        <w:rPr>
          <w:lang w:val="en-US"/>
        </w:rPr>
        <w:t>María Ángeles Martín Romera</w:t>
      </w:r>
      <w:r>
        <w:rPr>
          <w:lang w:val="en-US"/>
        </w:rPr>
        <w:t>, ‘</w:t>
      </w:r>
      <w:r w:rsidRPr="00453678">
        <w:rPr>
          <w:lang w:val="en-US"/>
        </w:rPr>
        <w:t xml:space="preserve">Accountable to the </w:t>
      </w:r>
      <w:r>
        <w:rPr>
          <w:lang w:val="en-US"/>
        </w:rPr>
        <w:t>C</w:t>
      </w:r>
      <w:r w:rsidRPr="00453678">
        <w:rPr>
          <w:lang w:val="en-US"/>
        </w:rPr>
        <w:t xml:space="preserve">ommunity? Medieval </w:t>
      </w:r>
      <w:r>
        <w:rPr>
          <w:lang w:val="en-US"/>
        </w:rPr>
        <w:t>O</w:t>
      </w:r>
      <w:r w:rsidRPr="00453678">
        <w:rPr>
          <w:lang w:val="en-US"/>
        </w:rPr>
        <w:t xml:space="preserve">fficials in Castile: </w:t>
      </w:r>
      <w:r>
        <w:rPr>
          <w:lang w:val="en-US"/>
        </w:rPr>
        <w:t>T</w:t>
      </w:r>
      <w:r w:rsidRPr="00453678">
        <w:rPr>
          <w:lang w:val="en-US"/>
        </w:rPr>
        <w:t xml:space="preserve">he </w:t>
      </w:r>
      <w:r>
        <w:rPr>
          <w:lang w:val="en-US"/>
        </w:rPr>
        <w:t>P</w:t>
      </w:r>
      <w:r w:rsidRPr="00453678">
        <w:rPr>
          <w:lang w:val="en-US"/>
        </w:rPr>
        <w:t xml:space="preserve">erspective from </w:t>
      </w:r>
      <w:r>
        <w:rPr>
          <w:lang w:val="en-US"/>
        </w:rPr>
        <w:t>B</w:t>
      </w:r>
      <w:r w:rsidRPr="00453678">
        <w:rPr>
          <w:lang w:val="en-US"/>
        </w:rPr>
        <w:t>elow</w:t>
      </w:r>
      <w:r>
        <w:rPr>
          <w:lang w:val="en-US"/>
        </w:rPr>
        <w:t xml:space="preserve">’, </w:t>
      </w:r>
      <w:r w:rsidRPr="00453678">
        <w:rPr>
          <w:i/>
          <w:iCs/>
          <w:lang w:val="en-US"/>
        </w:rPr>
        <w:t>Journal of Medieval History</w:t>
      </w:r>
      <w:r w:rsidRPr="00453678">
        <w:rPr>
          <w:lang w:val="en-US"/>
        </w:rPr>
        <w:t xml:space="preserve"> 46</w:t>
      </w:r>
      <w:r>
        <w:rPr>
          <w:lang w:val="en-US"/>
        </w:rPr>
        <w:t xml:space="preserve">, no. </w:t>
      </w:r>
      <w:r w:rsidRPr="00453678">
        <w:rPr>
          <w:lang w:val="en-US"/>
        </w:rPr>
        <w:t>5</w:t>
      </w:r>
      <w:r>
        <w:rPr>
          <w:lang w:val="en-US"/>
        </w:rPr>
        <w:t xml:space="preserve"> (2020): 552-71 (</w:t>
      </w:r>
      <w:r w:rsidRPr="005E022C">
        <w:rPr>
          <w:lang w:val="en-US"/>
        </w:rPr>
        <w:t>552</w:t>
      </w:r>
      <w:r>
        <w:rPr>
          <w:lang w:val="en-US"/>
        </w:rPr>
        <w:t>)</w:t>
      </w:r>
      <w:r w:rsidRPr="005E022C">
        <w:rPr>
          <w:lang w:val="en-US"/>
        </w:rPr>
        <w:t>.</w:t>
      </w:r>
    </w:p>
  </w:footnote>
  <w:footnote w:id="9">
    <w:p w14:paraId="254B331D"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w:t>
      </w:r>
      <w:r>
        <w:rPr>
          <w:lang w:val="en-US"/>
        </w:rPr>
        <w:t>John Sabapathy, ‘</w:t>
      </w:r>
      <w:r w:rsidRPr="00A96B01">
        <w:rPr>
          <w:lang w:val="en-US"/>
        </w:rPr>
        <w:t>A Medieval Officer and a Modern Mentality? Podestà and the Quality of Accountability</w:t>
      </w:r>
      <w:r>
        <w:rPr>
          <w:lang w:val="en-US"/>
        </w:rPr>
        <w:t xml:space="preserve">’, </w:t>
      </w:r>
      <w:r w:rsidRPr="00044F3F">
        <w:rPr>
          <w:i/>
          <w:iCs/>
          <w:lang w:val="en-US"/>
        </w:rPr>
        <w:t>The Mediaeval Journal</w:t>
      </w:r>
      <w:r>
        <w:rPr>
          <w:lang w:val="en-US"/>
        </w:rPr>
        <w:t xml:space="preserve"> 1, no. 2 (2011): 43-80 (</w:t>
      </w:r>
      <w:r w:rsidRPr="005E022C">
        <w:rPr>
          <w:lang w:val="en-US"/>
        </w:rPr>
        <w:t>44-</w:t>
      </w:r>
      <w:r>
        <w:rPr>
          <w:lang w:val="en-US"/>
        </w:rPr>
        <w:t>4</w:t>
      </w:r>
      <w:r w:rsidRPr="005E022C">
        <w:rPr>
          <w:lang w:val="en-US"/>
        </w:rPr>
        <w:t>7</w:t>
      </w:r>
      <w:r>
        <w:rPr>
          <w:lang w:val="en-US"/>
        </w:rPr>
        <w:t>)</w:t>
      </w:r>
      <w:r w:rsidRPr="005E022C">
        <w:rPr>
          <w:lang w:val="en-US"/>
        </w:rPr>
        <w:t xml:space="preserve">. </w:t>
      </w:r>
    </w:p>
  </w:footnote>
  <w:footnote w:id="10">
    <w:p w14:paraId="50F4A824" w14:textId="77777777" w:rsidR="00B642CB" w:rsidRPr="008C04E3" w:rsidRDefault="00B642CB" w:rsidP="00B642CB">
      <w:pPr>
        <w:pStyle w:val="FootnoteText"/>
        <w:rPr>
          <w:lang w:val="en-US"/>
        </w:rPr>
      </w:pPr>
      <w:r>
        <w:rPr>
          <w:rStyle w:val="FootnoteReference"/>
        </w:rPr>
        <w:footnoteRef/>
      </w:r>
      <w:r>
        <w:t xml:space="preserve"> </w:t>
      </w:r>
      <w:r w:rsidRPr="005E022C">
        <w:rPr>
          <w:lang w:val="en-US"/>
        </w:rPr>
        <w:t>María Ángeles Martín Romera and Hannes Ziegler, ‘Local Communities and Central Officers: The Rise of Public Accountability’, in</w:t>
      </w:r>
      <w:r>
        <w:rPr>
          <w:lang w:val="en-US"/>
        </w:rPr>
        <w:t xml:space="preserve"> </w:t>
      </w:r>
      <w:r w:rsidRPr="005E022C">
        <w:rPr>
          <w:lang w:val="en-US"/>
        </w:rPr>
        <w:t>Martín Romera</w:t>
      </w:r>
      <w:r w:rsidRPr="00D710F9">
        <w:rPr>
          <w:lang w:val="en-US"/>
        </w:rPr>
        <w:t xml:space="preserve"> </w:t>
      </w:r>
      <w:r w:rsidRPr="005E022C">
        <w:rPr>
          <w:lang w:val="en-US"/>
        </w:rPr>
        <w:t xml:space="preserve">and Ziegler </w:t>
      </w:r>
      <w:r w:rsidRPr="005E022C">
        <w:rPr>
          <w:i/>
          <w:iCs/>
          <w:lang w:val="en-US"/>
        </w:rPr>
        <w:t>The Officer and the People</w:t>
      </w:r>
      <w:r w:rsidRPr="005E022C">
        <w:rPr>
          <w:lang w:val="en-US"/>
        </w:rPr>
        <w:t>,</w:t>
      </w:r>
      <w:r>
        <w:rPr>
          <w:lang w:val="en-US"/>
        </w:rPr>
        <w:t xml:space="preserve"> 1-24</w:t>
      </w:r>
      <w:r w:rsidRPr="005E022C">
        <w:rPr>
          <w:lang w:val="en-US"/>
        </w:rPr>
        <w:t xml:space="preserve"> </w:t>
      </w:r>
      <w:r>
        <w:rPr>
          <w:lang w:val="en-US"/>
        </w:rPr>
        <w:t>(</w:t>
      </w:r>
      <w:r w:rsidRPr="005E022C">
        <w:rPr>
          <w:lang w:val="en-US"/>
        </w:rPr>
        <w:t>1</w:t>
      </w:r>
      <w:r>
        <w:rPr>
          <w:lang w:val="en-US"/>
        </w:rPr>
        <w:t>1).</w:t>
      </w:r>
    </w:p>
  </w:footnote>
  <w:footnote w:id="11">
    <w:p w14:paraId="54E3474A" w14:textId="77777777" w:rsidR="00B642CB" w:rsidRPr="005E022C" w:rsidRDefault="00B642CB" w:rsidP="00B642CB">
      <w:pPr>
        <w:pStyle w:val="FootnoteText"/>
        <w:rPr>
          <w:lang w:val="en-US"/>
        </w:rPr>
      </w:pPr>
      <w:r w:rsidRPr="005E022C">
        <w:rPr>
          <w:rStyle w:val="FootnoteReference"/>
          <w:rFonts w:cstheme="minorHAnsi"/>
        </w:rPr>
        <w:footnoteRef/>
      </w:r>
      <w:r w:rsidRPr="005C5A5C">
        <w:rPr>
          <w:lang w:val="en-US"/>
        </w:rPr>
        <w:t xml:space="preserve"> Ronald Kroeze, André Vitória and</w:t>
      </w:r>
      <w:r>
        <w:rPr>
          <w:lang w:val="en-US"/>
        </w:rPr>
        <w:t xml:space="preserve"> Guy Geltner, ‘Introduction: Debating Corruption and Anticorruption in History’, in </w:t>
      </w:r>
      <w:r>
        <w:rPr>
          <w:i/>
          <w:iCs/>
          <w:lang w:val="en-US"/>
        </w:rPr>
        <w:t>Anti-Corruption in History: From Antiquity to the Modern Era</w:t>
      </w:r>
      <w:r>
        <w:rPr>
          <w:lang w:val="en-US"/>
        </w:rPr>
        <w:t xml:space="preserve">, ed. </w:t>
      </w:r>
      <w:r w:rsidRPr="005C5A5C">
        <w:rPr>
          <w:lang w:val="en-US"/>
        </w:rPr>
        <w:t>Ronald Kroeze</w:t>
      </w:r>
      <w:r>
        <w:rPr>
          <w:lang w:val="en-US"/>
        </w:rPr>
        <w:t xml:space="preserve">, </w:t>
      </w:r>
      <w:r w:rsidRPr="005C5A5C">
        <w:rPr>
          <w:lang w:val="en-US"/>
        </w:rPr>
        <w:t>André Vitória and</w:t>
      </w:r>
      <w:r>
        <w:rPr>
          <w:lang w:val="en-US"/>
        </w:rPr>
        <w:t xml:space="preserve"> Guy Geltner (Oxford University Press, 2017), 1-17 (</w:t>
      </w:r>
      <w:r w:rsidRPr="005E022C">
        <w:rPr>
          <w:lang w:val="en-US"/>
        </w:rPr>
        <w:t>2-6</w:t>
      </w:r>
      <w:r>
        <w:rPr>
          <w:lang w:val="en-US"/>
        </w:rPr>
        <w:t>).</w:t>
      </w:r>
    </w:p>
  </w:footnote>
  <w:footnote w:id="12">
    <w:p w14:paraId="2E32D666"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For a historiographical overview of this top-down approach see</w:t>
      </w:r>
      <w:r>
        <w:rPr>
          <w:lang w:val="en-US"/>
        </w:rPr>
        <w:t xml:space="preserve"> </w:t>
      </w:r>
      <w:r w:rsidRPr="005E022C">
        <w:rPr>
          <w:lang w:val="en-US"/>
        </w:rPr>
        <w:t>Martín Romera, ‘Accountable to the Community?’</w:t>
      </w:r>
      <w:r>
        <w:rPr>
          <w:lang w:val="en-US"/>
        </w:rPr>
        <w:t>,</w:t>
      </w:r>
      <w:r w:rsidRPr="005E022C">
        <w:rPr>
          <w:lang w:val="en-US"/>
        </w:rPr>
        <w:t xml:space="preserve"> 553</w:t>
      </w:r>
      <w:r>
        <w:rPr>
          <w:lang w:val="en-US"/>
        </w:rPr>
        <w:t>-</w:t>
      </w:r>
      <w:r w:rsidRPr="005E022C">
        <w:rPr>
          <w:lang w:val="en-US"/>
        </w:rPr>
        <w:t>4; Martín Romera and Ziegler, ‘Local Communities and Central Officers</w:t>
      </w:r>
      <w:r>
        <w:rPr>
          <w:lang w:val="en-US"/>
        </w:rPr>
        <w:t>’</w:t>
      </w:r>
      <w:r w:rsidRPr="005E022C">
        <w:rPr>
          <w:lang w:val="en-US"/>
        </w:rPr>
        <w:t xml:space="preserve">, 1-24. </w:t>
      </w:r>
    </w:p>
  </w:footnote>
  <w:footnote w:id="13">
    <w:p w14:paraId="6F57CBD6" w14:textId="77777777" w:rsidR="00B642CB" w:rsidRPr="004D1613" w:rsidRDefault="00B642CB" w:rsidP="00B642CB">
      <w:pPr>
        <w:pStyle w:val="FootnoteText"/>
      </w:pPr>
      <w:r>
        <w:rPr>
          <w:rStyle w:val="FootnoteReference"/>
        </w:rPr>
        <w:footnoteRef/>
      </w:r>
      <w:r>
        <w:t xml:space="preserve"> As noted in </w:t>
      </w:r>
      <w:r w:rsidRPr="005E022C">
        <w:rPr>
          <w:lang w:val="en-US"/>
        </w:rPr>
        <w:t xml:space="preserve">Sabapathy, </w:t>
      </w:r>
      <w:r w:rsidRPr="00C03234">
        <w:rPr>
          <w:i/>
          <w:iCs/>
          <w:lang w:val="en-US"/>
        </w:rPr>
        <w:t>Officers and Accountability</w:t>
      </w:r>
      <w:r w:rsidRPr="005E022C">
        <w:rPr>
          <w:lang w:val="en-US"/>
        </w:rPr>
        <w:t>,</w:t>
      </w:r>
      <w:r>
        <w:rPr>
          <w:lang w:val="en-US"/>
        </w:rPr>
        <w:t xml:space="preserve"> </w:t>
      </w:r>
      <w:r>
        <w:t>13.</w:t>
      </w:r>
    </w:p>
  </w:footnote>
  <w:footnote w:id="14">
    <w:p w14:paraId="1633C735" w14:textId="77777777" w:rsidR="00B642CB" w:rsidRPr="00145E99" w:rsidRDefault="00B642CB" w:rsidP="00B642CB">
      <w:pPr>
        <w:pStyle w:val="FootnoteText"/>
        <w:rPr>
          <w:lang w:val="en-US"/>
        </w:rPr>
      </w:pPr>
      <w:r w:rsidRPr="00D257FA">
        <w:rPr>
          <w:rStyle w:val="FootnoteReference"/>
          <w:rFonts w:cstheme="minorHAnsi"/>
        </w:rPr>
        <w:footnoteRef/>
      </w:r>
      <w:r w:rsidRPr="00D257FA">
        <w:rPr>
          <w:lang w:val="en-US"/>
        </w:rPr>
        <w:t xml:space="preserve"> Martín Romera, ‘Accountable to the Community?’, 552-71. See also, the various contributions in Martín Romera and Ziegler, </w:t>
      </w:r>
      <w:r w:rsidRPr="00D257FA">
        <w:rPr>
          <w:i/>
          <w:iCs/>
          <w:lang w:val="en-US"/>
        </w:rPr>
        <w:t>The Officer and the People</w:t>
      </w:r>
      <w:r w:rsidRPr="00D257FA">
        <w:rPr>
          <w:lang w:val="en-US"/>
        </w:rPr>
        <w:t xml:space="preserve">, as well as those in ‘Popular Control in Pre-Modern Europe’, special issue of the  </w:t>
      </w:r>
      <w:r w:rsidRPr="00D257FA">
        <w:rPr>
          <w:i/>
          <w:iCs/>
          <w:lang w:val="en-US"/>
        </w:rPr>
        <w:t>Journal of Social History</w:t>
      </w:r>
      <w:r w:rsidRPr="00D257FA">
        <w:rPr>
          <w:lang w:val="en-US"/>
        </w:rPr>
        <w:t xml:space="preserve"> 58. no. 1 (2024), ed. María Ángeles Martín Romera and John Sabapathy.</w:t>
      </w:r>
    </w:p>
  </w:footnote>
  <w:footnote w:id="15">
    <w:p w14:paraId="5B6DF679" w14:textId="77777777" w:rsidR="00B642CB" w:rsidRPr="00D257FA" w:rsidRDefault="00B642CB" w:rsidP="00B642CB">
      <w:pPr>
        <w:pStyle w:val="FootnoteText"/>
        <w:rPr>
          <w:lang w:val="en-US"/>
        </w:rPr>
      </w:pPr>
      <w:r>
        <w:rPr>
          <w:rStyle w:val="FootnoteReference"/>
        </w:rPr>
        <w:footnoteRef/>
      </w:r>
      <w:r>
        <w:t xml:space="preserve"> See for example the various contributions in </w:t>
      </w:r>
      <w:r w:rsidRPr="00B54A11">
        <w:t>Epurescu-Pascovici</w:t>
      </w:r>
      <w:r>
        <w:t>,</w:t>
      </w:r>
      <w:r w:rsidRPr="00B54A11">
        <w:t xml:space="preserve"> </w:t>
      </w:r>
      <w:r w:rsidRPr="00B54A11">
        <w:rPr>
          <w:i/>
          <w:iCs/>
        </w:rPr>
        <w:t>Accounts and Accountability in Late Medieval Europe</w:t>
      </w:r>
      <w:r>
        <w:rPr>
          <w:i/>
          <w:iCs/>
        </w:rPr>
        <w:t xml:space="preserve">; </w:t>
      </w:r>
      <w:r>
        <w:t>a</w:t>
      </w:r>
      <w:proofErr w:type="spellStart"/>
      <w:r w:rsidRPr="00D257FA">
        <w:rPr>
          <w:lang w:val="en-US"/>
        </w:rPr>
        <w:t>lso</w:t>
      </w:r>
      <w:proofErr w:type="spellEnd"/>
      <w:r w:rsidRPr="00D257FA">
        <w:rPr>
          <w:lang w:val="en-US"/>
        </w:rPr>
        <w:t xml:space="preserve"> noted in: Sabapathy, </w:t>
      </w:r>
      <w:r w:rsidRPr="00D257FA">
        <w:rPr>
          <w:i/>
          <w:iCs/>
          <w:lang w:val="en-US"/>
        </w:rPr>
        <w:t>Officers and Accountability</w:t>
      </w:r>
      <w:r w:rsidRPr="00D257FA">
        <w:rPr>
          <w:lang w:val="en-US"/>
        </w:rPr>
        <w:t xml:space="preserve">, 16-17. </w:t>
      </w:r>
    </w:p>
  </w:footnote>
  <w:footnote w:id="16">
    <w:p w14:paraId="24955EF8" w14:textId="77777777" w:rsidR="00B642CB" w:rsidRPr="00CE68AA" w:rsidRDefault="00B642CB" w:rsidP="00B642CB">
      <w:pPr>
        <w:pStyle w:val="FootnoteText"/>
        <w:rPr>
          <w:lang w:val="en-US"/>
        </w:rPr>
      </w:pPr>
      <w:r w:rsidRPr="005E453F">
        <w:rPr>
          <w:rStyle w:val="FootnoteReference"/>
        </w:rPr>
        <w:footnoteRef/>
      </w:r>
      <w:r w:rsidRPr="00D23ECD">
        <w:rPr>
          <w:lang w:val="fr-BE"/>
        </w:rPr>
        <w:t xml:space="preserve"> </w:t>
      </w:r>
      <w:r w:rsidRPr="001238DC">
        <w:rPr>
          <w:lang w:val="fr-BE"/>
        </w:rPr>
        <w:t xml:space="preserve">To </w:t>
      </w:r>
      <w:proofErr w:type="spellStart"/>
      <w:r w:rsidRPr="001238DC">
        <w:rPr>
          <w:lang w:val="fr-BE"/>
        </w:rPr>
        <w:t>name</w:t>
      </w:r>
      <w:proofErr w:type="spellEnd"/>
      <w:r w:rsidRPr="001238DC">
        <w:rPr>
          <w:lang w:val="fr-BE"/>
        </w:rPr>
        <w:t xml:space="preserve"> </w:t>
      </w:r>
      <w:proofErr w:type="spellStart"/>
      <w:r w:rsidRPr="001238DC">
        <w:rPr>
          <w:lang w:val="fr-BE"/>
        </w:rPr>
        <w:t>just</w:t>
      </w:r>
      <w:proofErr w:type="spellEnd"/>
      <w:r w:rsidRPr="001238DC">
        <w:rPr>
          <w:lang w:val="fr-BE"/>
        </w:rPr>
        <w:t xml:space="preserve"> a few </w:t>
      </w:r>
      <w:proofErr w:type="spellStart"/>
      <w:r w:rsidRPr="001238DC">
        <w:rPr>
          <w:lang w:val="fr-BE"/>
        </w:rPr>
        <w:t>examples</w:t>
      </w:r>
      <w:proofErr w:type="spellEnd"/>
      <w:r w:rsidRPr="001238DC">
        <w:rPr>
          <w:lang w:val="fr-BE"/>
        </w:rPr>
        <w:t xml:space="preserve"> of excellent but specialised </w:t>
      </w:r>
      <w:proofErr w:type="spellStart"/>
      <w:r w:rsidRPr="001238DC">
        <w:rPr>
          <w:lang w:val="fr-BE"/>
        </w:rPr>
        <w:t>studies</w:t>
      </w:r>
      <w:proofErr w:type="spellEnd"/>
      <w:r>
        <w:rPr>
          <w:lang w:val="fr-BE"/>
        </w:rPr>
        <w:t xml:space="preserve">, see </w:t>
      </w:r>
      <w:r w:rsidRPr="00D23ECD">
        <w:rPr>
          <w:lang w:val="fr-BE"/>
        </w:rPr>
        <w:t xml:space="preserve">Marie Dejoux, </w:t>
      </w:r>
      <w:r w:rsidRPr="00D23ECD">
        <w:rPr>
          <w:i/>
          <w:iCs/>
          <w:lang w:val="fr-BE"/>
        </w:rPr>
        <w:t xml:space="preserve">Les enquêtes de Saint Louis: </w:t>
      </w:r>
      <w:r>
        <w:rPr>
          <w:i/>
          <w:iCs/>
          <w:lang w:val="fr-BE"/>
        </w:rPr>
        <w:t>G</w:t>
      </w:r>
      <w:r w:rsidRPr="00D23ECD">
        <w:rPr>
          <w:i/>
          <w:iCs/>
          <w:lang w:val="fr-BE"/>
        </w:rPr>
        <w:t>ouverner et sauver son âme</w:t>
      </w:r>
      <w:r>
        <w:rPr>
          <w:i/>
          <w:iCs/>
          <w:lang w:val="fr-BE"/>
        </w:rPr>
        <w:t xml:space="preserve"> </w:t>
      </w:r>
      <w:r>
        <w:rPr>
          <w:lang w:val="fr-BE"/>
        </w:rPr>
        <w:t>(</w:t>
      </w:r>
      <w:r w:rsidRPr="00D23ECD">
        <w:rPr>
          <w:lang w:val="fr-BE"/>
        </w:rPr>
        <w:t>Presses universitaires de Franc</w:t>
      </w:r>
      <w:r>
        <w:rPr>
          <w:lang w:val="fr-BE"/>
        </w:rPr>
        <w:t xml:space="preserve">e, 2014); </w:t>
      </w:r>
      <w:r w:rsidRPr="00BD38A3">
        <w:rPr>
          <w:lang w:val="fr-BE"/>
        </w:rPr>
        <w:t xml:space="preserve">Marc Boone, ‘Le comté de Flandre au XIVe siècle: </w:t>
      </w:r>
      <w:r>
        <w:rPr>
          <w:lang w:val="fr-BE"/>
        </w:rPr>
        <w:t>L</w:t>
      </w:r>
      <w:r w:rsidRPr="00BD38A3">
        <w:rPr>
          <w:lang w:val="fr-BE"/>
        </w:rPr>
        <w:t xml:space="preserve">es enquêtes administratives et juridiques comme armes politiques dans les conflits entre villes et prince’, in </w:t>
      </w:r>
      <w:r w:rsidRPr="00BD38A3">
        <w:rPr>
          <w:i/>
          <w:iCs/>
          <w:lang w:val="fr-BE"/>
        </w:rPr>
        <w:t>Quand gouverner c’est enquêter</w:t>
      </w:r>
      <w:r>
        <w:rPr>
          <w:i/>
          <w:iCs/>
          <w:lang w:val="fr-BE"/>
        </w:rPr>
        <w:t>:</w:t>
      </w:r>
      <w:r w:rsidRPr="00BD38A3">
        <w:rPr>
          <w:i/>
          <w:iCs/>
          <w:lang w:val="fr-BE"/>
        </w:rPr>
        <w:t xml:space="preserve"> Les pratiques politiques de l’enquête princière (Occident, XIIIe-XIVe </w:t>
      </w:r>
      <w:r>
        <w:rPr>
          <w:i/>
          <w:iCs/>
          <w:lang w:val="fr-BE"/>
        </w:rPr>
        <w:t>s</w:t>
      </w:r>
      <w:r w:rsidRPr="00BD38A3">
        <w:rPr>
          <w:i/>
          <w:iCs/>
          <w:lang w:val="fr-BE"/>
        </w:rPr>
        <w:t>iècles)</w:t>
      </w:r>
      <w:r w:rsidRPr="00BD38A3">
        <w:rPr>
          <w:lang w:val="fr-BE"/>
        </w:rPr>
        <w:t xml:space="preserve">, ed. </w:t>
      </w:r>
      <w:r w:rsidRPr="00BD38A3">
        <w:rPr>
          <w:lang w:val="en-US"/>
        </w:rPr>
        <w:t xml:space="preserve">Thierry </w:t>
      </w:r>
      <w:proofErr w:type="spellStart"/>
      <w:r w:rsidRPr="00BD38A3">
        <w:rPr>
          <w:lang w:val="en-US"/>
        </w:rPr>
        <w:t>Pécout</w:t>
      </w:r>
      <w:proofErr w:type="spellEnd"/>
      <w:r w:rsidRPr="00BD38A3">
        <w:rPr>
          <w:lang w:val="en-US"/>
        </w:rPr>
        <w:t xml:space="preserve"> (De Boccard, 2010), 461-80</w:t>
      </w:r>
      <w:r>
        <w:rPr>
          <w:lang w:val="en-US"/>
        </w:rPr>
        <w:t xml:space="preserve">; and the various contributions in </w:t>
      </w:r>
      <w:r w:rsidRPr="00B54A11">
        <w:t>Epurescu-Pascovici</w:t>
      </w:r>
      <w:r>
        <w:t>,</w:t>
      </w:r>
      <w:r w:rsidRPr="00B54A11">
        <w:t xml:space="preserve"> </w:t>
      </w:r>
      <w:r w:rsidRPr="00B54A11">
        <w:rPr>
          <w:i/>
          <w:iCs/>
        </w:rPr>
        <w:t>Accounts and Accountability in Late Medieval Europe</w:t>
      </w:r>
      <w:r>
        <w:t xml:space="preserve">. A notable exception is Sabapathy, </w:t>
      </w:r>
      <w:r w:rsidRPr="00C03234">
        <w:rPr>
          <w:i/>
          <w:iCs/>
          <w:lang w:val="en-US"/>
        </w:rPr>
        <w:t>Officers and Accountability</w:t>
      </w:r>
      <w:r>
        <w:rPr>
          <w:lang w:val="en-US"/>
        </w:rPr>
        <w:t xml:space="preserve">. </w:t>
      </w:r>
    </w:p>
  </w:footnote>
  <w:footnote w:id="17">
    <w:p w14:paraId="11690FDC"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Martín Romera and Ziegler, ‘Local Communities and Central Officers’, 13.</w:t>
      </w:r>
    </w:p>
  </w:footnote>
  <w:footnote w:id="18">
    <w:p w14:paraId="06923481" w14:textId="77777777" w:rsidR="00B642CB" w:rsidRPr="005C3D43" w:rsidRDefault="00B642CB" w:rsidP="00B642CB">
      <w:pPr>
        <w:pStyle w:val="FootnoteText"/>
        <w:rPr>
          <w:lang w:val="fr-BE"/>
        </w:rPr>
      </w:pPr>
      <w:r>
        <w:rPr>
          <w:rStyle w:val="FootnoteReference"/>
        </w:rPr>
        <w:footnoteRef/>
      </w:r>
      <w:r>
        <w:t xml:space="preserve"> </w:t>
      </w:r>
      <w:r w:rsidRPr="00C61843">
        <w:t xml:space="preserve">A similar and inspiring research design, in which the word is also given back to medieval people, has been developed and applied with great success on a much larger geographical and chronological scale by an interdisciplinary group of scholars exploring the concept of </w:t>
      </w:r>
      <w:r w:rsidRPr="00E83413">
        <w:rPr>
          <w:i/>
          <w:iCs/>
        </w:rPr>
        <w:t>reformatio</w:t>
      </w:r>
      <w:r>
        <w:t xml:space="preserve">. </w:t>
      </w:r>
      <w:r>
        <w:rPr>
          <w:lang w:val="fr-BE"/>
        </w:rPr>
        <w:t>S</w:t>
      </w:r>
      <w:r w:rsidRPr="00EC56CF">
        <w:rPr>
          <w:lang w:val="fr-BE"/>
        </w:rPr>
        <w:t>ee Marie Dejoux</w:t>
      </w:r>
      <w:r>
        <w:rPr>
          <w:lang w:val="fr-BE"/>
        </w:rPr>
        <w:t>,</w:t>
      </w:r>
      <w:r w:rsidRPr="00EC56CF">
        <w:rPr>
          <w:lang w:val="fr-BE"/>
        </w:rPr>
        <w:t xml:space="preserve"> ed. </w:t>
      </w:r>
      <w:r w:rsidRPr="00EC56CF">
        <w:rPr>
          <w:i/>
          <w:iCs/>
          <w:lang w:val="fr-BE"/>
        </w:rPr>
        <w:t xml:space="preserve">Reformatio? </w:t>
      </w:r>
      <w:r w:rsidRPr="005C3D43">
        <w:rPr>
          <w:i/>
          <w:iCs/>
          <w:lang w:val="fr-BE"/>
        </w:rPr>
        <w:t>Les mots pour dire la réforme au Moyen Âge</w:t>
      </w:r>
      <w:r w:rsidRPr="005C3D43">
        <w:rPr>
          <w:lang w:val="fr-BE"/>
        </w:rPr>
        <w:t xml:space="preserve"> (Éditions de la Sorbonne, 2023).</w:t>
      </w:r>
    </w:p>
  </w:footnote>
  <w:footnote w:id="19">
    <w:p w14:paraId="31F4FA94" w14:textId="77777777" w:rsidR="00B642CB" w:rsidRPr="005E022C" w:rsidRDefault="00B642CB" w:rsidP="00B642CB">
      <w:pPr>
        <w:pStyle w:val="FootnoteText"/>
        <w:rPr>
          <w:lang w:val="en-US"/>
        </w:rPr>
      </w:pPr>
      <w:r w:rsidRPr="005E022C">
        <w:rPr>
          <w:rStyle w:val="FootnoteReference"/>
          <w:rFonts w:cstheme="minorHAnsi"/>
        </w:rPr>
        <w:footnoteRef/>
      </w:r>
      <w:r w:rsidRPr="008E1C21">
        <w:rPr>
          <w:lang w:val="fr-BE"/>
        </w:rPr>
        <w:t xml:space="preserve"> See for example Robert Stein, </w:t>
      </w:r>
      <w:proofErr w:type="spellStart"/>
      <w:r w:rsidRPr="00D257FA">
        <w:rPr>
          <w:i/>
          <w:iCs/>
          <w:lang w:val="fr-BE"/>
        </w:rPr>
        <w:t>Magnanimous</w:t>
      </w:r>
      <w:proofErr w:type="spellEnd"/>
      <w:r w:rsidRPr="00D257FA">
        <w:rPr>
          <w:i/>
          <w:iCs/>
          <w:lang w:val="fr-BE"/>
        </w:rPr>
        <w:t xml:space="preserve"> </w:t>
      </w:r>
      <w:proofErr w:type="spellStart"/>
      <w:r w:rsidRPr="00D257FA">
        <w:rPr>
          <w:i/>
          <w:iCs/>
          <w:lang w:val="fr-BE"/>
        </w:rPr>
        <w:t>Dukes</w:t>
      </w:r>
      <w:proofErr w:type="spellEnd"/>
      <w:r w:rsidRPr="00D257FA">
        <w:rPr>
          <w:i/>
          <w:iCs/>
          <w:lang w:val="fr-BE"/>
        </w:rPr>
        <w:t xml:space="preserve"> and Rising States: The Unification of the Burgundian </w:t>
      </w:r>
      <w:proofErr w:type="spellStart"/>
      <w:r w:rsidRPr="00D257FA">
        <w:rPr>
          <w:i/>
          <w:iCs/>
          <w:lang w:val="fr-BE"/>
        </w:rPr>
        <w:t>Netherlands</w:t>
      </w:r>
      <w:proofErr w:type="spellEnd"/>
      <w:r w:rsidRPr="00D257FA">
        <w:rPr>
          <w:i/>
          <w:iCs/>
          <w:lang w:val="fr-BE"/>
        </w:rPr>
        <w:t xml:space="preserve">, </w:t>
      </w:r>
      <w:r w:rsidRPr="008E1C21">
        <w:rPr>
          <w:i/>
          <w:iCs/>
          <w:lang w:val="fr-BE"/>
        </w:rPr>
        <w:t>1380-1480</w:t>
      </w:r>
      <w:r w:rsidRPr="008E1C21">
        <w:rPr>
          <w:lang w:val="fr-BE"/>
        </w:rPr>
        <w:t xml:space="preserve"> (Oxford University Press, 2017); Marc Boone, ‘Les juristes et la construction de l’état Bourguignon aux Pays-Bas</w:t>
      </w:r>
      <w:r>
        <w:rPr>
          <w:lang w:val="fr-BE"/>
        </w:rPr>
        <w:t>:</w:t>
      </w:r>
      <w:r w:rsidRPr="008E1C21">
        <w:rPr>
          <w:lang w:val="fr-BE"/>
        </w:rPr>
        <w:t xml:space="preserve"> </w:t>
      </w:r>
      <w:r w:rsidRPr="00D257FA">
        <w:rPr>
          <w:lang w:val="fr-BE"/>
        </w:rPr>
        <w:t xml:space="preserve">État de la question, pistes de recherches’, </w:t>
      </w:r>
      <w:r w:rsidRPr="00D257FA">
        <w:rPr>
          <w:i/>
          <w:iCs/>
          <w:lang w:val="fr-BE"/>
        </w:rPr>
        <w:t xml:space="preserve">Archief en </w:t>
      </w:r>
      <w:proofErr w:type="spellStart"/>
      <w:r w:rsidRPr="00D257FA">
        <w:rPr>
          <w:i/>
          <w:iCs/>
          <w:lang w:val="fr-BE"/>
        </w:rPr>
        <w:t>bibliotheekwezen</w:t>
      </w:r>
      <w:proofErr w:type="spellEnd"/>
      <w:r w:rsidRPr="00D257FA">
        <w:rPr>
          <w:i/>
          <w:iCs/>
          <w:lang w:val="fr-BE"/>
        </w:rPr>
        <w:t xml:space="preserve"> in </w:t>
      </w:r>
      <w:proofErr w:type="spellStart"/>
      <w:r w:rsidRPr="00D257FA">
        <w:rPr>
          <w:i/>
          <w:iCs/>
          <w:lang w:val="fr-BE"/>
        </w:rPr>
        <w:t>Belgie</w:t>
      </w:r>
      <w:proofErr w:type="spellEnd"/>
      <w:r w:rsidRPr="00D257FA">
        <w:rPr>
          <w:lang w:val="fr-BE"/>
        </w:rPr>
        <w:t xml:space="preserve"> 53 (1996): 105–20; Wim Blockmans, </w:t>
      </w:r>
      <w:r w:rsidRPr="00D257FA">
        <w:rPr>
          <w:i/>
          <w:iCs/>
          <w:lang w:val="fr-BE"/>
        </w:rPr>
        <w:t>De volksvertegenwoordiging in Vlaanderen in de overgang van de middeleeuwen naar nieuwe tijden (1384-1506)</w:t>
      </w:r>
      <w:r w:rsidRPr="00D257FA">
        <w:rPr>
          <w:lang w:val="fr-BE"/>
        </w:rPr>
        <w:t xml:space="preserve"> (Koninklijke Academie voor Wetenschappen, Letteren, en Schone Kunsten van België, 1978); Jan Dumolyn, ‘</w:t>
      </w:r>
      <w:proofErr w:type="spellStart"/>
      <w:r w:rsidRPr="00D257FA">
        <w:rPr>
          <w:lang w:val="fr-BE"/>
        </w:rPr>
        <w:t>Guild</w:t>
      </w:r>
      <w:proofErr w:type="spellEnd"/>
      <w:r w:rsidRPr="00D257FA">
        <w:rPr>
          <w:lang w:val="fr-BE"/>
        </w:rPr>
        <w:t xml:space="preserve"> Politics and Political </w:t>
      </w:r>
      <w:proofErr w:type="spellStart"/>
      <w:r w:rsidRPr="00D257FA">
        <w:rPr>
          <w:lang w:val="fr-BE"/>
        </w:rPr>
        <w:t>Guilds</w:t>
      </w:r>
      <w:proofErr w:type="spellEnd"/>
      <w:r w:rsidRPr="00D257FA">
        <w:rPr>
          <w:lang w:val="fr-BE"/>
        </w:rPr>
        <w:t xml:space="preserve"> in Fourteenth-Century Flanders’ in </w:t>
      </w:r>
      <w:r w:rsidRPr="00D257FA">
        <w:rPr>
          <w:i/>
          <w:iCs/>
          <w:lang w:val="fr-BE"/>
        </w:rPr>
        <w:t xml:space="preserve">The </w:t>
      </w:r>
      <w:proofErr w:type="spellStart"/>
      <w:r w:rsidRPr="00D257FA">
        <w:rPr>
          <w:i/>
          <w:iCs/>
          <w:lang w:val="fr-BE"/>
        </w:rPr>
        <w:t>Voices</w:t>
      </w:r>
      <w:proofErr w:type="spellEnd"/>
      <w:r w:rsidRPr="00D257FA">
        <w:rPr>
          <w:i/>
          <w:iCs/>
          <w:lang w:val="fr-BE"/>
        </w:rPr>
        <w:t xml:space="preserve"> of the People in Late Medieval Europe: Communication and Popular Politics</w:t>
      </w:r>
      <w:r w:rsidRPr="00D257FA">
        <w:rPr>
          <w:lang w:val="fr-BE"/>
        </w:rPr>
        <w:t xml:space="preserve">, ed. </w:t>
      </w:r>
      <w:r w:rsidRPr="00F95F92">
        <w:rPr>
          <w:lang w:val="en-US"/>
        </w:rPr>
        <w:t xml:space="preserve">Jan Dumolyn, Vincent Challet, Jelle Haemers, </w:t>
      </w:r>
      <w:r>
        <w:rPr>
          <w:lang w:val="en-US"/>
        </w:rPr>
        <w:t xml:space="preserve">and </w:t>
      </w:r>
      <w:r w:rsidRPr="00F95F92">
        <w:rPr>
          <w:lang w:val="en-US"/>
        </w:rPr>
        <w:t xml:space="preserve">Hipólito Rafael Oliva Herrer </w:t>
      </w:r>
      <w:r w:rsidRPr="005E022C">
        <w:rPr>
          <w:lang w:val="en-US"/>
        </w:rPr>
        <w:t>(Brepols, 2014), 15</w:t>
      </w:r>
      <w:r>
        <w:rPr>
          <w:lang w:val="en-US"/>
        </w:rPr>
        <w:t>-</w:t>
      </w:r>
      <w:r w:rsidRPr="005E022C">
        <w:rPr>
          <w:lang w:val="en-US"/>
        </w:rPr>
        <w:t>48.</w:t>
      </w:r>
    </w:p>
  </w:footnote>
  <w:footnote w:id="20">
    <w:p w14:paraId="1E3DBEB5" w14:textId="77777777" w:rsidR="00B642CB" w:rsidRPr="00A407BD" w:rsidRDefault="00B642CB" w:rsidP="00B642CB">
      <w:pPr>
        <w:pStyle w:val="FootnoteText"/>
        <w:rPr>
          <w:lang w:val="en-US"/>
        </w:rPr>
      </w:pPr>
      <w:r>
        <w:rPr>
          <w:rStyle w:val="FootnoteReference"/>
        </w:rPr>
        <w:footnoteRef/>
      </w:r>
      <w:r>
        <w:t xml:space="preserve"> </w:t>
      </w:r>
      <w:r w:rsidRPr="00A85E9E">
        <w:t xml:space="preserve">Marc Boone, ‘Le </w:t>
      </w:r>
      <w:proofErr w:type="spellStart"/>
      <w:r w:rsidRPr="00A85E9E">
        <w:t>mariage</w:t>
      </w:r>
      <w:proofErr w:type="spellEnd"/>
      <w:r w:rsidRPr="00A85E9E">
        <w:t xml:space="preserve"> de Marguerite de Male et de Philippe </w:t>
      </w:r>
      <w:r>
        <w:t>l</w:t>
      </w:r>
      <w:r w:rsidRPr="00A85E9E">
        <w:t xml:space="preserve">e Hardi de Bourgogne: </w:t>
      </w:r>
      <w:r>
        <w:t>U</w:t>
      </w:r>
      <w:r w:rsidRPr="00A85E9E">
        <w:t xml:space="preserve">ne entrée royale dans la Flandre </w:t>
      </w:r>
      <w:proofErr w:type="spellStart"/>
      <w:r w:rsidRPr="00A85E9E">
        <w:t>comtale</w:t>
      </w:r>
      <w:proofErr w:type="spellEnd"/>
      <w:r w:rsidRPr="00A85E9E">
        <w:t xml:space="preserve">’, in </w:t>
      </w:r>
      <w:r w:rsidRPr="00E85557">
        <w:rPr>
          <w:i/>
          <w:iCs/>
        </w:rPr>
        <w:t xml:space="preserve">Die Erbtochter, Der Fremde Fürst </w:t>
      </w:r>
      <w:r>
        <w:rPr>
          <w:i/>
          <w:iCs/>
        </w:rPr>
        <w:t>u</w:t>
      </w:r>
      <w:r w:rsidRPr="00E85557">
        <w:rPr>
          <w:i/>
          <w:iCs/>
        </w:rPr>
        <w:t xml:space="preserve">nd Das Land: Die Ehe Johanns Des Blinden </w:t>
      </w:r>
      <w:r>
        <w:rPr>
          <w:i/>
          <w:iCs/>
        </w:rPr>
        <w:t>u</w:t>
      </w:r>
      <w:r w:rsidRPr="00E85557">
        <w:rPr>
          <w:i/>
          <w:iCs/>
        </w:rPr>
        <w:t xml:space="preserve">nd Elisabeths von Böhmen in </w:t>
      </w:r>
      <w:r>
        <w:rPr>
          <w:i/>
          <w:iCs/>
        </w:rPr>
        <w:t>V</w:t>
      </w:r>
      <w:r w:rsidRPr="00E85557">
        <w:rPr>
          <w:i/>
          <w:iCs/>
        </w:rPr>
        <w:t xml:space="preserve">ergleichender </w:t>
      </w:r>
      <w:r>
        <w:rPr>
          <w:i/>
          <w:iCs/>
        </w:rPr>
        <w:t>E</w:t>
      </w:r>
      <w:r w:rsidRPr="00E85557">
        <w:rPr>
          <w:i/>
          <w:iCs/>
        </w:rPr>
        <w:t>uropäischer Perspektive</w:t>
      </w:r>
      <w:r w:rsidRPr="00A85E9E">
        <w:t xml:space="preserve">, ed. </w:t>
      </w:r>
      <w:r w:rsidRPr="00A407BD">
        <w:rPr>
          <w:lang w:val="en-US"/>
        </w:rPr>
        <w:t>Michel Pauly (Centre luxembourgeois de documentation et d’études médiévales, 2013), 209-23.</w:t>
      </w:r>
    </w:p>
  </w:footnote>
  <w:footnote w:id="21">
    <w:p w14:paraId="41C9EF69"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w:t>
      </w:r>
      <w:r>
        <w:rPr>
          <w:lang w:val="en-US"/>
        </w:rPr>
        <w:t xml:space="preserve">For more information on the Burgundian rule of the Low Countries, see </w:t>
      </w:r>
      <w:r w:rsidRPr="005E022C">
        <w:rPr>
          <w:lang w:val="en-US"/>
        </w:rPr>
        <w:t xml:space="preserve">Wim Blockmans and Walter Prevenier, </w:t>
      </w:r>
      <w:r w:rsidRPr="005E022C">
        <w:rPr>
          <w:i/>
          <w:iCs/>
          <w:lang w:val="en-US"/>
        </w:rPr>
        <w:t xml:space="preserve">The Promised Lands: </w:t>
      </w:r>
      <w:r>
        <w:rPr>
          <w:i/>
          <w:iCs/>
          <w:lang w:val="en-US"/>
        </w:rPr>
        <w:t>T</w:t>
      </w:r>
      <w:r w:rsidRPr="005E022C">
        <w:rPr>
          <w:i/>
          <w:iCs/>
          <w:lang w:val="en-US"/>
        </w:rPr>
        <w:t xml:space="preserve">he Low Countries Under Burgundian Rule: 1369-1530 </w:t>
      </w:r>
      <w:r w:rsidRPr="005E022C">
        <w:rPr>
          <w:lang w:val="en-US"/>
        </w:rPr>
        <w:t xml:space="preserve">(University of Pennsylvania Press, 1999). </w:t>
      </w:r>
    </w:p>
  </w:footnote>
  <w:footnote w:id="22">
    <w:p w14:paraId="7AF257D2"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w:t>
      </w:r>
      <w:r w:rsidRPr="005E022C">
        <w:fldChar w:fldCharType="begin"/>
      </w:r>
      <w:r w:rsidRPr="005E022C">
        <w:rPr>
          <w:lang w:val="en-US"/>
        </w:rPr>
        <w:instrText xml:space="preserve"> ADDIN ZOTERO_ITEM CSL_CITATION {"citationID":"0kZRMuds","properties":{"formattedCitation":"Marc Boone, \\uc0\\u8220{}Le Mariage de Marguerite de Male et de Philippe Le Hardi de Bourgogne: Une Entr\\uc0\\u233{}e Royale Dans La Flandre Comtale,\\uc0\\u8221{} in {\\i{}Die Erbtochter, Der Fremde F\\uc0\\u252{}rst Und Das Land: Die Ehe Johanns Des Blinden Und Elisabeths von B\\uc0\\u246{}hmen in Vergleichender Europ\\uc0\\u228{}ischer Perspektive/ L\\uc0\\u8217{}h\\uc0\\u233{}riti\\uc0\\u232{}re, Le Prince \\uc0\\u201{}tranger et Le Pays: Le Mariage de Jean l\\uc0\\u8217{}Aveugle et d\\uc0\\u8217{}Elisabeth de Boh\\uc0\\u234{}me Dans Une Perspective Comparative Europ\\uc0\\u233{}enne}, ed. Michel Pauly (Luxembourg: Centre luxembourgeois de documentation et d\\uc0\\u8217{}\\uc0\\u233{}tudes m\\uc0\\u233{}di\\uc0\\u233{}vales, 2013), 209\\uc0\\u8211{}23; Robert Stein, {\\i{}Magnanimous Dukes and Rising States: The Unification of the Burgundian Netherlands, 1380-1480}, Oxford Studies in Medieval European History (Oxford: University Press, 2017); \\uc0\\u201{}lodie Lecuppre-Desjardin, {\\i{}The Illusion of the Burgundian State}, Manchester Medieval Studies 30 (Manchester: University Press, 2022).","plainCitation":"Marc Boone, “Le Mariage de Marguerite de Male et de Philippe Le Hardi de Bourgogne: Une Entrée Royale Dans La Flandre Comtale,” in Die Erbtochter, Der Fremde Fürst Und Das Land: Die Ehe Johanns Des Blinden Und Elisabeths von Böhmen in Vergleichender Europäischer Perspektive/ L’héritière, Le Prince Étranger et Le Pays: Le Mariage de Jean l’Aveugle et d’Elisabeth de Bohême Dans Une Perspective Comparative Européenne, ed. Michel Pauly (Luxembourg: Centre luxembourgeois de documentation et d’études médiévales, 2013), 209–23; Robert Stein, Magnanimous Dukes and Rising States: The Unification of the Burgundian Netherlands, 1380-1480, Oxford Studies in Medieval European History (Oxford: University Press, 2017); Élodie Lecuppre-Desjardin, The Illusion of the Burgundian State, Manchester Medieval Studies 30 (Manchester: University Press, 2022).","noteIndex":22},"citationItems":[{"id":2536,"uris":["http://zotero.org/users/7011751/items/P4UVAEKM"],"itemData":{"id":2536,"type":"chapter","container-title":"Die Erbtochter, Der Fremde Fürst Und Das Land: Die Ehe Johanns Des Blinden Und Elisabeths von Böhmen in Vergleichender Europäischer Perspektive/ L’héritière, Le Prince Étranger et Le Pays: Le Mariage de Jean l’Aveugle et d’Elisabeth de Bohême Dans Une Perspective Comparative Européenne","event-place":"Luxembourg","page":"209–223","publisher":"Centre luxembourgeois de documentation et d’études médiévales","publisher-place":"Luxembourg","title":"Le mariage de Marguerite de Male et de Philippe le Hardi de Bourgogne: une entrée royale dans la Flandre comtale","author":[{"family":"Boone","given":"Marc"}],"editor":[{"family":"Pauly","given":"Michel"}],"issued":{"date-parts":[["2013"]]}}},{"id":2573,"uris":["http://zotero.org/users/7011751/items/EAK5H6BK"],"itemData":{"id":2573,"type":"book","collection-title":"Oxford studies in medieval European history","event-place":"Oxford","ISBN":"978-0-19-875710-8","language":"eng","number-of-pages":"x+315","publisher":"University Press","publisher-place":"Oxford","source":"kuleuven.limo.libis.be","title":"Magnanimous dukes and rising states: the unification of the Burgundian Netherlands, 1380-1480","title-short":"Magnanimous dukes and rising states","author":[{"family":"Stein","given":"Robert"}],"issued":{"date-parts":[["2017"]]}}},{"id":2583,"uris":["http://zotero.org/users/7011751/items/TTCMQZQF"],"itemData":{"id":2583,"type":"book","collection-title":"Manchester medieval studies 30","event-place":"Manchester","ISBN":"978-1-5261-4433-1","language":"eng","number-of-pages":"viii+352","publisher":"University Press","publisher-place":"Manchester","source":"kuleuven.limo.libis.be","title":"The illusion of the Burgundian state","author":[{"family":"Lecuppre-Desjardin","given":"Élodie"}],"contributor":[{"family":"Fletcher","given":"Christopher"}],"issued":{"date-parts":[["2022"]]}}}],"schema":"https://github.com/citation-style-language/schema/raw/master/csl-citation.json"} </w:instrText>
      </w:r>
      <w:r w:rsidRPr="005E022C">
        <w:fldChar w:fldCharType="separate"/>
      </w:r>
      <w:r w:rsidRPr="005E022C">
        <w:rPr>
          <w:lang w:val="en-US"/>
        </w:rPr>
        <w:t xml:space="preserve">Stein, </w:t>
      </w:r>
      <w:r w:rsidRPr="005E022C">
        <w:rPr>
          <w:i/>
          <w:iCs/>
          <w:lang w:val="en-US"/>
        </w:rPr>
        <w:t>Magnanimous Dukes</w:t>
      </w:r>
      <w:r>
        <w:rPr>
          <w:lang w:val="en-US"/>
        </w:rPr>
        <w:t>, 1-14</w:t>
      </w:r>
      <w:r w:rsidRPr="005E022C">
        <w:rPr>
          <w:lang w:val="en-US"/>
        </w:rPr>
        <w:t xml:space="preserve">; Élodie Lecuppre-Desjardin, </w:t>
      </w:r>
      <w:r w:rsidRPr="005E022C">
        <w:rPr>
          <w:i/>
          <w:iCs/>
          <w:lang w:val="en-US"/>
        </w:rPr>
        <w:t>The Illusion of the Burgundian State</w:t>
      </w:r>
      <w:r>
        <w:rPr>
          <w:lang w:val="en-US"/>
        </w:rPr>
        <w:t xml:space="preserve"> </w:t>
      </w:r>
      <w:r w:rsidRPr="005E022C">
        <w:rPr>
          <w:lang w:val="en-US"/>
        </w:rPr>
        <w:t>(Manchester University Press, 2022).</w:t>
      </w:r>
      <w:r w:rsidRPr="005E022C">
        <w:fldChar w:fldCharType="end"/>
      </w:r>
    </w:p>
  </w:footnote>
  <w:footnote w:id="23">
    <w:p w14:paraId="3E201AD6"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John Watts, </w:t>
      </w:r>
      <w:r w:rsidRPr="005E022C">
        <w:rPr>
          <w:i/>
          <w:iCs/>
          <w:lang w:val="en-US"/>
        </w:rPr>
        <w:t>The Making of Polities</w:t>
      </w:r>
      <w:r>
        <w:rPr>
          <w:i/>
          <w:iCs/>
          <w:lang w:val="en-US"/>
        </w:rPr>
        <w:t xml:space="preserve">: Europe, 1300-1500 </w:t>
      </w:r>
      <w:r>
        <w:rPr>
          <w:lang w:val="en-US"/>
        </w:rPr>
        <w:t>(Cambridge University Press, 2009)</w:t>
      </w:r>
      <w:r w:rsidRPr="005E022C">
        <w:rPr>
          <w:lang w:val="en-US"/>
        </w:rPr>
        <w:t>, 258. For</w:t>
      </w:r>
      <w:r>
        <w:rPr>
          <w:lang w:val="en-US"/>
        </w:rPr>
        <w:t xml:space="preserve"> the</w:t>
      </w:r>
      <w:r w:rsidRPr="005E022C">
        <w:rPr>
          <w:lang w:val="en-US"/>
        </w:rPr>
        <w:t xml:space="preserve"> role of jurists in the Burgundian Low Countries specifically</w:t>
      </w:r>
      <w:r>
        <w:rPr>
          <w:lang w:val="en-US"/>
        </w:rPr>
        <w:t>,</w:t>
      </w:r>
      <w:r w:rsidRPr="005E022C">
        <w:rPr>
          <w:lang w:val="en-US"/>
        </w:rPr>
        <w:t xml:space="preserve"> see Boone, ‘Les </w:t>
      </w:r>
      <w:proofErr w:type="spellStart"/>
      <w:r w:rsidRPr="005E022C">
        <w:rPr>
          <w:lang w:val="en-US"/>
        </w:rPr>
        <w:t>juristes</w:t>
      </w:r>
      <w:proofErr w:type="spellEnd"/>
      <w:r w:rsidRPr="005E022C">
        <w:rPr>
          <w:lang w:val="en-US"/>
        </w:rPr>
        <w:t xml:space="preserve"> et la construction de </w:t>
      </w:r>
      <w:proofErr w:type="spellStart"/>
      <w:r w:rsidRPr="005E022C">
        <w:rPr>
          <w:lang w:val="en-US"/>
        </w:rPr>
        <w:t>l’état</w:t>
      </w:r>
      <w:proofErr w:type="spellEnd"/>
      <w:r w:rsidRPr="005E022C">
        <w:rPr>
          <w:lang w:val="en-US"/>
        </w:rPr>
        <w:t xml:space="preserve"> Bourguignon aux Pays-Bas’.</w:t>
      </w:r>
    </w:p>
  </w:footnote>
  <w:footnote w:id="24">
    <w:p w14:paraId="70B24DD8" w14:textId="77777777" w:rsidR="00B642CB" w:rsidRPr="005E022C" w:rsidRDefault="00B642CB" w:rsidP="00B642CB">
      <w:pPr>
        <w:pStyle w:val="FootnoteText"/>
        <w:rPr>
          <w:lang w:val="fr-BE"/>
        </w:rPr>
      </w:pPr>
      <w:r w:rsidRPr="005E022C">
        <w:rPr>
          <w:rStyle w:val="FootnoteReference"/>
          <w:rFonts w:cstheme="minorHAnsi"/>
        </w:rPr>
        <w:footnoteRef/>
      </w:r>
      <w:r w:rsidRPr="005E022C">
        <w:rPr>
          <w:lang w:val="fr-BE"/>
        </w:rPr>
        <w:t xml:space="preserve"> Egied I. Strubbe, ‘Jean van </w:t>
      </w:r>
      <w:r>
        <w:rPr>
          <w:lang w:val="fr-BE"/>
        </w:rPr>
        <w:t>d</w:t>
      </w:r>
      <w:r w:rsidRPr="005E022C">
        <w:rPr>
          <w:lang w:val="fr-BE"/>
        </w:rPr>
        <w:t xml:space="preserve">en Berghe, </w:t>
      </w:r>
      <w:r>
        <w:rPr>
          <w:lang w:val="fr-BE"/>
        </w:rPr>
        <w:t>é</w:t>
      </w:r>
      <w:r w:rsidRPr="005E022C">
        <w:rPr>
          <w:lang w:val="fr-BE"/>
        </w:rPr>
        <w:t xml:space="preserve">crivain et </w:t>
      </w:r>
      <w:r>
        <w:rPr>
          <w:lang w:val="fr-BE"/>
        </w:rPr>
        <w:t>j</w:t>
      </w:r>
      <w:r w:rsidRPr="005E022C">
        <w:rPr>
          <w:lang w:val="fr-BE"/>
        </w:rPr>
        <w:t xml:space="preserve">uriste Flamand (13..-1439)’, </w:t>
      </w:r>
      <w:r w:rsidRPr="005E022C">
        <w:rPr>
          <w:i/>
          <w:iCs/>
          <w:lang w:val="fr-BE"/>
        </w:rPr>
        <w:t xml:space="preserve">Bulletin de </w:t>
      </w:r>
      <w:r>
        <w:rPr>
          <w:i/>
          <w:iCs/>
          <w:lang w:val="fr-BE"/>
        </w:rPr>
        <w:t>l</w:t>
      </w:r>
      <w:r w:rsidRPr="005E022C">
        <w:rPr>
          <w:i/>
          <w:iCs/>
          <w:lang w:val="fr-BE"/>
        </w:rPr>
        <w:t>a Commission Royale</w:t>
      </w:r>
      <w:r>
        <w:rPr>
          <w:i/>
          <w:iCs/>
          <w:lang w:val="fr-BE"/>
        </w:rPr>
        <w:t xml:space="preserve"> d</w:t>
      </w:r>
      <w:r w:rsidRPr="005E022C">
        <w:rPr>
          <w:i/>
          <w:iCs/>
          <w:lang w:val="fr-BE"/>
        </w:rPr>
        <w:t>es Anciennes Lois et Ordonnances de Belgique</w:t>
      </w:r>
      <w:r w:rsidRPr="005E022C">
        <w:rPr>
          <w:lang w:val="fr-BE"/>
        </w:rPr>
        <w:t xml:space="preserve"> 12</w:t>
      </w:r>
      <w:r>
        <w:rPr>
          <w:lang w:val="fr-BE"/>
        </w:rPr>
        <w:t xml:space="preserve">, no. </w:t>
      </w:r>
      <w:r w:rsidRPr="005E022C">
        <w:rPr>
          <w:lang w:val="fr-BE"/>
        </w:rPr>
        <w:t>3 (1926): 174</w:t>
      </w:r>
      <w:r>
        <w:rPr>
          <w:lang w:val="fr-BE"/>
        </w:rPr>
        <w:t>-</w:t>
      </w:r>
      <w:r w:rsidRPr="005E022C">
        <w:rPr>
          <w:lang w:val="fr-BE"/>
        </w:rPr>
        <w:t>201.</w:t>
      </w:r>
    </w:p>
  </w:footnote>
  <w:footnote w:id="25">
    <w:p w14:paraId="036149F7" w14:textId="77777777" w:rsidR="00B642CB" w:rsidRPr="005E022C" w:rsidRDefault="00B642CB" w:rsidP="00B642CB">
      <w:pPr>
        <w:pStyle w:val="FootnoteText"/>
        <w:rPr>
          <w:lang w:val="en-US"/>
        </w:rPr>
      </w:pPr>
      <w:r w:rsidRPr="005E022C">
        <w:rPr>
          <w:rStyle w:val="FootnoteReference"/>
          <w:rFonts w:cstheme="minorHAnsi"/>
        </w:rPr>
        <w:footnoteRef/>
      </w:r>
      <w:r w:rsidRPr="006E47A0">
        <w:rPr>
          <w:lang w:val="nl-BE"/>
        </w:rPr>
        <w:t xml:space="preserve"> </w:t>
      </w:r>
      <w:r w:rsidRPr="005E022C">
        <w:fldChar w:fldCharType="begin"/>
      </w:r>
      <w:r w:rsidRPr="006E47A0">
        <w:rPr>
          <w:lang w:val="nl-BE"/>
        </w:rPr>
        <w:instrText xml:space="preserve"> ADDIN ZOTERO_ITEM CSL_CITATION {"citationID":"2a7boOCa","properties":{"formattedCitation":"Jan Buntinx, \\uc0\\u8220{}Wielant, Filips (ca. 1441-1520), Rechtsgeleerde, Hertogelijk Ambtenaar,\\uc0\\u8221{} in {\\i{}Nationaal Biografisch Woordenboek}, n.d.; Gilbert Tournoy, Dirk Van den Auweele, and Jos Monballyu, \\uc0\\u8220{}De Bibliotheek van Mr. Filips Wielant,\\uc0\\u8221{} {\\i{}Lias. Sources and Documents Relating to the Early Modern History of Ideas} 8 (1981): 145\\uc0\\u8211{}87.","plainCitation":"Jan Buntinx, “Wielant, Filips (ca. 1441-1520), Rechtsgeleerde, Hertogelijk Ambtenaar,” in Nationaal Biografisch Woordenboek, n.d.; Gilbert Tournoy, Dirk Van den Auweele, and Jos Monballyu, “De Bibliotheek van Mr. Filips Wielant,” Lias. Sources and Documents Relating to the Early Modern History of Ideas 8 (1981): 145–87.","noteIndex":26},"citationItems":[{"id":774,"uris":["http://zotero.org/users/7011751/items/4IXRK4PA"],"itemData":{"id":774,"type":"chapter","container-title":"Nationaal biografisch woordenboek","title":"Wielant, Filips (ca. 1441-1520), rechtsgeleerde, hertogelijk ambtenaar","author":[{"family":"Buntinx","given":"Jan"}]}},{"id":771,"uris":["http://zotero.org/users/7011751/items/IB5RMYH9"],"itemData":{"id":771,"type":"article-journal","container-title":"Lias. Sources and Documents relating to the Early Modern History of Ideas","page":"145-187","title":"De bibliotheek van mr. Filips Wielant","volume":"8","author":[{"family":"Tournoy","given":"Gilbert"},{"family":"Van den Auweele","given":"Dirk"},{"family":"Monballyu","given":"Jos"}],"issued":{"date-parts":[["1981"]]}}}],"schema":"https://github.com/citation-style-language/schema/raw/master/csl-citation.json"} </w:instrText>
      </w:r>
      <w:r w:rsidRPr="005E022C">
        <w:fldChar w:fldCharType="separate"/>
      </w:r>
      <w:r w:rsidRPr="006E47A0">
        <w:rPr>
          <w:lang w:val="nl-BE"/>
        </w:rPr>
        <w:t xml:space="preserve">Jan Buntinx, ‘Wielant, Filips (ca. 1441-1520), </w:t>
      </w:r>
      <w:r>
        <w:rPr>
          <w:lang w:val="nl-BE"/>
        </w:rPr>
        <w:t>r</w:t>
      </w:r>
      <w:r w:rsidRPr="006E47A0">
        <w:rPr>
          <w:lang w:val="nl-BE"/>
        </w:rPr>
        <w:t xml:space="preserve">echtsgeleerde, </w:t>
      </w:r>
      <w:r>
        <w:rPr>
          <w:lang w:val="nl-BE"/>
        </w:rPr>
        <w:t>h</w:t>
      </w:r>
      <w:r w:rsidRPr="006E47A0">
        <w:rPr>
          <w:lang w:val="nl-BE"/>
        </w:rPr>
        <w:t xml:space="preserve">ertogelijk </w:t>
      </w:r>
      <w:r>
        <w:rPr>
          <w:lang w:val="nl-BE"/>
        </w:rPr>
        <w:t>a</w:t>
      </w:r>
      <w:r w:rsidRPr="006E47A0">
        <w:rPr>
          <w:lang w:val="nl-BE"/>
        </w:rPr>
        <w:t xml:space="preserve">mbtenaar’, in </w:t>
      </w:r>
      <w:r w:rsidRPr="006E47A0">
        <w:rPr>
          <w:i/>
          <w:iCs/>
          <w:lang w:val="nl-BE"/>
        </w:rPr>
        <w:t>Nationaal Biografisch Woordenboek</w:t>
      </w:r>
      <w:r>
        <w:rPr>
          <w:lang w:val="nl-BE"/>
        </w:rPr>
        <w:t>, 25 vols.,</w:t>
      </w:r>
      <w:r w:rsidRPr="006E47A0">
        <w:rPr>
          <w:lang w:val="nl-BE"/>
        </w:rPr>
        <w:t xml:space="preserve"> ed. Jozef </w:t>
      </w:r>
      <w:proofErr w:type="spellStart"/>
      <w:r w:rsidRPr="006E47A0">
        <w:rPr>
          <w:lang w:val="nl-BE"/>
        </w:rPr>
        <w:t>Duverger</w:t>
      </w:r>
      <w:proofErr w:type="spellEnd"/>
      <w:r w:rsidRPr="006E47A0">
        <w:rPr>
          <w:lang w:val="nl-BE"/>
        </w:rPr>
        <w:t>,</w:t>
      </w:r>
      <w:r w:rsidRPr="007D367E">
        <w:rPr>
          <w:lang w:val="nl-BE"/>
        </w:rPr>
        <w:t xml:space="preserve"> G. De Smet, and Hans </w:t>
      </w:r>
      <w:proofErr w:type="spellStart"/>
      <w:r w:rsidRPr="007D367E">
        <w:rPr>
          <w:lang w:val="nl-BE"/>
        </w:rPr>
        <w:t>Rombaut</w:t>
      </w:r>
      <w:proofErr w:type="spellEnd"/>
      <w:r w:rsidRPr="007D367E">
        <w:rPr>
          <w:lang w:val="nl-BE"/>
        </w:rPr>
        <w:t xml:space="preserve"> </w:t>
      </w:r>
      <w:r w:rsidRPr="006E47A0">
        <w:rPr>
          <w:lang w:val="nl-BE"/>
        </w:rPr>
        <w:t>(Paleis der Academiën, 1972)</w:t>
      </w:r>
      <w:r>
        <w:rPr>
          <w:lang w:val="nl-BE"/>
        </w:rPr>
        <w:t xml:space="preserve">, 5: </w:t>
      </w:r>
      <w:r w:rsidRPr="006E47A0">
        <w:rPr>
          <w:lang w:val="nl-BE"/>
        </w:rPr>
        <w:t>1010-</w:t>
      </w:r>
      <w:r>
        <w:rPr>
          <w:lang w:val="nl-BE"/>
        </w:rPr>
        <w:t>1</w:t>
      </w:r>
      <w:r w:rsidRPr="006E47A0">
        <w:rPr>
          <w:lang w:val="nl-BE"/>
        </w:rPr>
        <w:t xml:space="preserve">9; Gilbert Tournoy, Dirk Van den Auweele, and Jos Monballyu, ‘De Bibliotheek van Mr. Filips Wielant’, </w:t>
      </w:r>
      <w:r w:rsidRPr="006E47A0">
        <w:rPr>
          <w:i/>
          <w:iCs/>
          <w:lang w:val="nl-BE"/>
        </w:rPr>
        <w:t xml:space="preserve">Lias. </w:t>
      </w:r>
      <w:r w:rsidRPr="005E022C">
        <w:rPr>
          <w:i/>
          <w:iCs/>
          <w:lang w:val="en-US"/>
        </w:rPr>
        <w:t>Sources and Documents Relating to the Early Modern History of Ideas</w:t>
      </w:r>
      <w:r w:rsidRPr="005E022C">
        <w:rPr>
          <w:lang w:val="en-US"/>
        </w:rPr>
        <w:t xml:space="preserve"> 8 (1981): 145</w:t>
      </w:r>
      <w:r>
        <w:rPr>
          <w:lang w:val="en-US"/>
        </w:rPr>
        <w:t>-</w:t>
      </w:r>
      <w:r w:rsidRPr="005E022C">
        <w:rPr>
          <w:lang w:val="en-US"/>
        </w:rPr>
        <w:t>87.</w:t>
      </w:r>
      <w:r w:rsidRPr="005E022C">
        <w:fldChar w:fldCharType="end"/>
      </w:r>
    </w:p>
  </w:footnote>
  <w:footnote w:id="26">
    <w:p w14:paraId="465F2AD3" w14:textId="77777777" w:rsidR="00B642CB" w:rsidRPr="00532C95" w:rsidRDefault="00B642CB" w:rsidP="00B642CB">
      <w:pPr>
        <w:pStyle w:val="FootnoteText"/>
        <w:rPr>
          <w:lang w:val="en-US"/>
        </w:rPr>
      </w:pPr>
      <w:r>
        <w:rPr>
          <w:rStyle w:val="FootnoteReference"/>
        </w:rPr>
        <w:footnoteRef/>
      </w:r>
      <w:r>
        <w:rPr>
          <w:lang w:val="en-US"/>
        </w:rPr>
        <w:t xml:space="preserve"> </w:t>
      </w:r>
      <w:r w:rsidRPr="0069655B">
        <w:rPr>
          <w:lang w:val="en-US"/>
        </w:rPr>
        <w:t xml:space="preserve">Lecuppre-Desjardin, </w:t>
      </w:r>
      <w:r w:rsidRPr="0069655B">
        <w:rPr>
          <w:i/>
          <w:iCs/>
          <w:lang w:val="en-US"/>
        </w:rPr>
        <w:t>The Illusion of the Burgundian State</w:t>
      </w:r>
      <w:r w:rsidRPr="0069655B">
        <w:t xml:space="preserve">, </w:t>
      </w:r>
      <w:r w:rsidRPr="0069655B">
        <w:rPr>
          <w:lang w:val="en-US"/>
        </w:rPr>
        <w:t xml:space="preserve">335. </w:t>
      </w:r>
    </w:p>
  </w:footnote>
  <w:footnote w:id="27">
    <w:p w14:paraId="4BFAACEE" w14:textId="77777777" w:rsidR="00B642CB" w:rsidRPr="00D257FA" w:rsidRDefault="00B642CB" w:rsidP="00B642CB">
      <w:pPr>
        <w:pStyle w:val="FootnoteText"/>
        <w:rPr>
          <w:lang w:val="nl-BE"/>
        </w:rPr>
      </w:pPr>
      <w:r w:rsidRPr="00532C95">
        <w:rPr>
          <w:rStyle w:val="FootnoteReference"/>
        </w:rPr>
        <w:footnoteRef/>
      </w:r>
      <w:r w:rsidRPr="00532C95">
        <w:t xml:space="preserve"> </w:t>
      </w:r>
      <w:r w:rsidRPr="00D257FA">
        <w:t xml:space="preserve">Van den Berghe was, for example, a member of one of Bruges’ most elite fraternities, </w:t>
      </w:r>
      <w:r w:rsidRPr="00D257FA">
        <w:rPr>
          <w:i/>
          <w:iCs/>
        </w:rPr>
        <w:t>Onze Lieve Vrouwen van den Drogen</w:t>
      </w:r>
      <w:r w:rsidRPr="00D257FA">
        <w:t xml:space="preserve">, while Wielant owned houses in Ghent, Bruges and Mechelen. </w:t>
      </w:r>
      <w:r w:rsidRPr="00D257FA">
        <w:rPr>
          <w:lang w:val="nl-BE"/>
        </w:rPr>
        <w:t xml:space="preserve">See </w:t>
      </w:r>
      <w:r w:rsidRPr="00D257FA">
        <w:rPr>
          <w:szCs w:val="18"/>
          <w:lang w:val="nl-BE"/>
        </w:rPr>
        <w:t xml:space="preserve">Lisa Demets, ‘Onvoltooid verleden. Politiek, historiografie en de </w:t>
      </w:r>
      <w:proofErr w:type="spellStart"/>
      <w:r w:rsidRPr="00D257FA">
        <w:rPr>
          <w:szCs w:val="18"/>
          <w:lang w:val="nl-BE"/>
        </w:rPr>
        <w:t>handschriftelijke</w:t>
      </w:r>
      <w:proofErr w:type="spellEnd"/>
      <w:r w:rsidRPr="00D257FA">
        <w:rPr>
          <w:szCs w:val="18"/>
          <w:lang w:val="nl-BE"/>
        </w:rPr>
        <w:t xml:space="preserve"> variatie van de Excellente Cronike van Vlaenderen (1400-1550)’ (PhD </w:t>
      </w:r>
      <w:proofErr w:type="spellStart"/>
      <w:r w:rsidRPr="00D257FA">
        <w:rPr>
          <w:szCs w:val="18"/>
          <w:lang w:val="nl-BE"/>
        </w:rPr>
        <w:t>diss</w:t>
      </w:r>
      <w:proofErr w:type="spellEnd"/>
      <w:r w:rsidRPr="00D257FA">
        <w:rPr>
          <w:szCs w:val="18"/>
          <w:lang w:val="nl-BE"/>
        </w:rPr>
        <w:t>., Ghent University, 2019), 118; Buntinx, ‘Wielant’, 1010.</w:t>
      </w:r>
    </w:p>
  </w:footnote>
  <w:footnote w:id="28">
    <w:p w14:paraId="6AC8FCDA" w14:textId="77777777" w:rsidR="00B642CB" w:rsidRPr="00532C95" w:rsidRDefault="00B642CB" w:rsidP="00B642CB">
      <w:pPr>
        <w:pStyle w:val="FootnoteText"/>
      </w:pPr>
      <w:r w:rsidRPr="00D257FA">
        <w:rPr>
          <w:rStyle w:val="FootnoteReference"/>
        </w:rPr>
        <w:footnoteRef/>
      </w:r>
      <w:r w:rsidRPr="00D257FA">
        <w:t xml:space="preserve"> See Minne De Boodt, ‘Inspiring Ideas. A Cross-Contextual Analysis of Political Thinking in Burgundian Flanders (1400-1520)’ (PhD diss., KU Leuven, 2023).</w:t>
      </w:r>
    </w:p>
  </w:footnote>
  <w:footnote w:id="29">
    <w:p w14:paraId="3B992198" w14:textId="77777777" w:rsidR="00B642CB" w:rsidRPr="00D257FA" w:rsidRDefault="00B642CB" w:rsidP="00B642CB">
      <w:pPr>
        <w:pStyle w:val="FootnoteText"/>
      </w:pPr>
      <w:r w:rsidRPr="00532C95">
        <w:rPr>
          <w:rStyle w:val="FootnoteReference"/>
        </w:rPr>
        <w:footnoteRef/>
      </w:r>
      <w:r w:rsidRPr="00D257FA">
        <w:t xml:space="preserve"> In the first round of analysis, I examined all of their literary works and judicial treatises. The second round of analysis focused only on the literary works and judicial treatises in which Van den Berghe and Wielant discussed accountable dynamics. See Appendix  for the full source references of these latter works. </w:t>
      </w:r>
    </w:p>
  </w:footnote>
  <w:footnote w:id="30">
    <w:p w14:paraId="7CAA9B5B"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Jan Dumolyn, ‘Privileges and Novelties: </w:t>
      </w:r>
      <w:r>
        <w:rPr>
          <w:lang w:val="en-US"/>
        </w:rPr>
        <w:t>T</w:t>
      </w:r>
      <w:r w:rsidRPr="005E022C">
        <w:rPr>
          <w:lang w:val="en-US"/>
        </w:rPr>
        <w:t xml:space="preserve">he Political Discourse of the Flemish Cities and Rural Districts in their Negotiations with the Dukes of Burgundy’, </w:t>
      </w:r>
      <w:r w:rsidRPr="005E022C">
        <w:rPr>
          <w:i/>
          <w:iCs/>
          <w:lang w:val="en-US"/>
        </w:rPr>
        <w:t xml:space="preserve">Urban History </w:t>
      </w:r>
      <w:r w:rsidRPr="005E022C">
        <w:rPr>
          <w:lang w:val="en-US"/>
        </w:rPr>
        <w:t>35</w:t>
      </w:r>
      <w:r>
        <w:rPr>
          <w:lang w:val="en-US"/>
        </w:rPr>
        <w:t xml:space="preserve">, no. </w:t>
      </w:r>
      <w:r w:rsidRPr="005E022C">
        <w:rPr>
          <w:lang w:val="en-US"/>
        </w:rPr>
        <w:t>1 (2008)</w:t>
      </w:r>
      <w:r>
        <w:rPr>
          <w:lang w:val="en-US"/>
        </w:rPr>
        <w:t>:</w:t>
      </w:r>
      <w:r w:rsidRPr="005E022C">
        <w:rPr>
          <w:lang w:val="en-US"/>
        </w:rPr>
        <w:t xml:space="preserve"> 5-23</w:t>
      </w:r>
      <w:r>
        <w:rPr>
          <w:lang w:val="en-US"/>
        </w:rPr>
        <w:t xml:space="preserve"> (</w:t>
      </w:r>
      <w:r w:rsidRPr="005E022C">
        <w:rPr>
          <w:lang w:val="en-US"/>
        </w:rPr>
        <w:t>5</w:t>
      </w:r>
      <w:r>
        <w:rPr>
          <w:lang w:val="en-US"/>
        </w:rPr>
        <w:t>)</w:t>
      </w:r>
      <w:r w:rsidRPr="005E022C">
        <w:rPr>
          <w:lang w:val="en-US"/>
        </w:rPr>
        <w:t>.</w:t>
      </w:r>
    </w:p>
  </w:footnote>
  <w:footnote w:id="31">
    <w:p w14:paraId="3816FBC7" w14:textId="77777777" w:rsidR="00B642CB" w:rsidRPr="005E022C" w:rsidRDefault="00B642CB" w:rsidP="00B642CB">
      <w:pPr>
        <w:pStyle w:val="FootnoteText"/>
        <w:rPr>
          <w:lang w:val="en-US"/>
        </w:rPr>
      </w:pPr>
      <w:r w:rsidRPr="005E022C">
        <w:rPr>
          <w:rStyle w:val="FootnoteReference"/>
          <w:rFonts w:cstheme="minorHAnsi"/>
        </w:rPr>
        <w:footnoteRef/>
      </w:r>
      <w:r w:rsidRPr="00F95F92">
        <w:rPr>
          <w:lang w:val="nl-BE"/>
        </w:rPr>
        <w:t xml:space="preserve"> Blockmans, </w:t>
      </w:r>
      <w:r w:rsidRPr="00F95F92">
        <w:rPr>
          <w:i/>
          <w:iCs/>
          <w:lang w:val="nl-BE"/>
        </w:rPr>
        <w:t>De volksvertegenwoordiging in Vlaanderen</w:t>
      </w:r>
      <w:r w:rsidRPr="00F95F92">
        <w:rPr>
          <w:lang w:val="nl-BE"/>
        </w:rPr>
        <w:t xml:space="preserve">. </w:t>
      </w:r>
      <w:r w:rsidRPr="005E022C">
        <w:rPr>
          <w:lang w:val="en-US"/>
        </w:rPr>
        <w:t>See also the discussion of Blockmans</w:t>
      </w:r>
      <w:r>
        <w:rPr>
          <w:lang w:val="en-US"/>
        </w:rPr>
        <w:t>’</w:t>
      </w:r>
      <w:r w:rsidRPr="005E022C">
        <w:rPr>
          <w:lang w:val="en-US"/>
        </w:rPr>
        <w:t xml:space="preserve"> results in Dumolyn, ‘Privileges and Novelties’</w:t>
      </w:r>
      <w:r>
        <w:rPr>
          <w:lang w:val="en-US"/>
        </w:rPr>
        <w:t xml:space="preserve">, </w:t>
      </w:r>
      <w:r w:rsidRPr="005E022C">
        <w:rPr>
          <w:lang w:val="en-US"/>
        </w:rPr>
        <w:t xml:space="preserve">7. </w:t>
      </w:r>
    </w:p>
  </w:footnote>
  <w:footnote w:id="32">
    <w:p w14:paraId="64C5D5BC" w14:textId="77777777" w:rsidR="00B642CB" w:rsidRPr="007D0275" w:rsidRDefault="00B642CB" w:rsidP="00B642CB">
      <w:pPr>
        <w:pStyle w:val="FootnoteText"/>
        <w:rPr>
          <w:lang w:val="en-US"/>
        </w:rPr>
      </w:pPr>
      <w:r w:rsidRPr="005E022C">
        <w:rPr>
          <w:rStyle w:val="FootnoteReference"/>
          <w:rFonts w:cstheme="minorHAnsi"/>
        </w:rPr>
        <w:footnoteRef/>
      </w:r>
      <w:r w:rsidRPr="007D0275">
        <w:rPr>
          <w:lang w:val="en-US"/>
        </w:rPr>
        <w:t xml:space="preserve"> Dumolyn, ‘Privileges and Novelties’</w:t>
      </w:r>
      <w:r>
        <w:rPr>
          <w:lang w:val="en-US"/>
        </w:rPr>
        <w:t>,</w:t>
      </w:r>
      <w:r w:rsidRPr="007D0275">
        <w:rPr>
          <w:lang w:val="en-US"/>
        </w:rPr>
        <w:t xml:space="preserve"> 6.</w:t>
      </w:r>
    </w:p>
  </w:footnote>
  <w:footnote w:id="33">
    <w:p w14:paraId="14A58256" w14:textId="77777777" w:rsidR="00B642CB" w:rsidRPr="00773AFD" w:rsidRDefault="00B642CB" w:rsidP="00B642CB">
      <w:pPr>
        <w:pStyle w:val="FootnoteText"/>
        <w:rPr>
          <w:lang w:val="en-US"/>
        </w:rPr>
      </w:pPr>
      <w:r>
        <w:rPr>
          <w:rStyle w:val="FootnoteReference"/>
        </w:rPr>
        <w:footnoteRef/>
      </w:r>
      <w:r w:rsidRPr="00773AFD">
        <w:rPr>
          <w:lang w:val="en-US"/>
        </w:rPr>
        <w:t xml:space="preserve"> Minne De Boodt, ‘</w:t>
      </w:r>
      <w:r>
        <w:rPr>
          <w:lang w:val="en-US"/>
        </w:rPr>
        <w:t>‘</w:t>
      </w:r>
      <w:r w:rsidRPr="00773AFD">
        <w:rPr>
          <w:lang w:val="en-US"/>
        </w:rPr>
        <w:t>How One</w:t>
      </w:r>
      <w:r>
        <w:rPr>
          <w:lang w:val="en-US"/>
        </w:rPr>
        <w:t xml:space="preserve"> Shall Govern a City’: The Polyphony of Urban Political Thought in the Fourteenth-Century Duchy of Brabant’, </w:t>
      </w:r>
      <w:r>
        <w:rPr>
          <w:i/>
          <w:iCs/>
          <w:lang w:val="en-US"/>
        </w:rPr>
        <w:t xml:space="preserve">Urban History </w:t>
      </w:r>
      <w:r>
        <w:rPr>
          <w:lang w:val="en-US"/>
        </w:rPr>
        <w:t>46, no. 4 (2019): 578-96 (584).</w:t>
      </w:r>
    </w:p>
  </w:footnote>
  <w:footnote w:id="34">
    <w:p w14:paraId="2C85EC71" w14:textId="77777777" w:rsidR="00B642CB" w:rsidRPr="006E47A0" w:rsidRDefault="00B642CB" w:rsidP="00B642CB">
      <w:pPr>
        <w:pStyle w:val="FootnoteText"/>
        <w:rPr>
          <w:lang w:val="nl-BE"/>
        </w:rPr>
      </w:pPr>
      <w:r w:rsidRPr="005E022C">
        <w:rPr>
          <w:rStyle w:val="FootnoteReference"/>
          <w:rFonts w:cstheme="minorHAnsi"/>
        </w:rPr>
        <w:footnoteRef/>
      </w:r>
      <w:r w:rsidRPr="006E47A0">
        <w:rPr>
          <w:lang w:val="nl-BE"/>
        </w:rPr>
        <w:t xml:space="preserve"> Haemers, ‘Een democratische strijd? Een studie van de bestuurlijke en economische politiek van de Negen Leden van Brugge op basis van het Charter van 1 juni 1488’, </w:t>
      </w:r>
      <w:r w:rsidRPr="006E47A0">
        <w:rPr>
          <w:i/>
          <w:iCs/>
          <w:lang w:val="nl-BE"/>
        </w:rPr>
        <w:t xml:space="preserve">Handelingen van het Genootschap voor Geschiedenis </w:t>
      </w:r>
      <w:r w:rsidRPr="006E47A0">
        <w:rPr>
          <w:lang w:val="nl-BE"/>
        </w:rPr>
        <w:t>158 (2021)</w:t>
      </w:r>
      <w:r>
        <w:rPr>
          <w:lang w:val="nl-BE"/>
        </w:rPr>
        <w:t>:</w:t>
      </w:r>
      <w:r w:rsidRPr="006E47A0">
        <w:rPr>
          <w:lang w:val="nl-BE"/>
        </w:rPr>
        <w:t xml:space="preserve"> 155</w:t>
      </w:r>
      <w:r>
        <w:rPr>
          <w:lang w:val="nl-BE"/>
        </w:rPr>
        <w:t>-</w:t>
      </w:r>
      <w:r w:rsidRPr="006E47A0">
        <w:rPr>
          <w:lang w:val="nl-BE"/>
        </w:rPr>
        <w:t xml:space="preserve">89; Bert De Munck and Jelle Haemers, ‘Het politiek zelfbewustzijn van ambachtslieden: een lange </w:t>
      </w:r>
      <w:proofErr w:type="spellStart"/>
      <w:r w:rsidRPr="006E47A0">
        <w:rPr>
          <w:lang w:val="nl-BE"/>
        </w:rPr>
        <w:t>termijn-perspectief</w:t>
      </w:r>
      <w:proofErr w:type="spellEnd"/>
      <w:r w:rsidRPr="006E47A0">
        <w:rPr>
          <w:lang w:val="nl-BE"/>
        </w:rPr>
        <w:t xml:space="preserve">’, </w:t>
      </w:r>
      <w:r w:rsidRPr="006E47A0">
        <w:rPr>
          <w:i/>
          <w:iCs/>
          <w:lang w:val="nl-BE"/>
        </w:rPr>
        <w:t xml:space="preserve">Noordbrabants Historisch Jaarboek </w:t>
      </w:r>
      <w:r w:rsidRPr="006E47A0">
        <w:rPr>
          <w:lang w:val="nl-BE"/>
        </w:rPr>
        <w:t>35 (2018)</w:t>
      </w:r>
      <w:r>
        <w:rPr>
          <w:lang w:val="nl-BE"/>
        </w:rPr>
        <w:t>:</w:t>
      </w:r>
      <w:r w:rsidRPr="006E47A0">
        <w:rPr>
          <w:lang w:val="nl-BE"/>
        </w:rPr>
        <w:t xml:space="preserve"> 23</w:t>
      </w:r>
      <w:r>
        <w:rPr>
          <w:lang w:val="nl-BE"/>
        </w:rPr>
        <w:t>-</w:t>
      </w:r>
      <w:r w:rsidRPr="006E47A0">
        <w:rPr>
          <w:lang w:val="nl-BE"/>
        </w:rPr>
        <w:t xml:space="preserve">49. </w:t>
      </w:r>
    </w:p>
  </w:footnote>
  <w:footnote w:id="35">
    <w:p w14:paraId="28CC84AB" w14:textId="77777777" w:rsidR="00B642CB" w:rsidRPr="005E022C" w:rsidRDefault="00B642CB" w:rsidP="00B642CB">
      <w:pPr>
        <w:pStyle w:val="FootnoteText"/>
        <w:rPr>
          <w:lang w:val="en-US"/>
        </w:rPr>
      </w:pPr>
      <w:r w:rsidRPr="005E022C">
        <w:rPr>
          <w:rStyle w:val="FootnoteReference"/>
          <w:rFonts w:cstheme="minorHAnsi"/>
        </w:rPr>
        <w:footnoteRef/>
      </w:r>
      <w:r w:rsidRPr="00112C15">
        <w:rPr>
          <w:lang w:val="en-US"/>
        </w:rPr>
        <w:t xml:space="preserve"> Nena Vandeweerdt, ‘Dismantling the Borders: </w:t>
      </w:r>
      <w:r w:rsidRPr="005E022C">
        <w:rPr>
          <w:lang w:val="en-US"/>
        </w:rPr>
        <w:t xml:space="preserve">A Comparative Analysis of Women’s Market Activities in Brabant and Biscay, c. 1420-c.1550’ (PhD </w:t>
      </w:r>
      <w:r>
        <w:rPr>
          <w:lang w:val="en-US"/>
        </w:rPr>
        <w:t>diss.</w:t>
      </w:r>
      <w:r w:rsidRPr="005E022C">
        <w:rPr>
          <w:lang w:val="en-US"/>
        </w:rPr>
        <w:t>, KU Leuven and Universidad de Cantabria, 2021), 16</w:t>
      </w:r>
      <w:r>
        <w:rPr>
          <w:lang w:val="en-US"/>
        </w:rPr>
        <w:t>-</w:t>
      </w:r>
      <w:r w:rsidRPr="005E022C">
        <w:rPr>
          <w:lang w:val="en-US"/>
        </w:rPr>
        <w:t>7.</w:t>
      </w:r>
      <w:r>
        <w:rPr>
          <w:lang w:val="en-US"/>
        </w:rPr>
        <w:t xml:space="preserve"> </w:t>
      </w:r>
    </w:p>
  </w:footnote>
  <w:footnote w:id="36">
    <w:p w14:paraId="490A50E3"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Dumolyn, ‘Guild Politics and Political Guilds’</w:t>
      </w:r>
      <w:r>
        <w:rPr>
          <w:lang w:val="en-US"/>
        </w:rPr>
        <w:t xml:space="preserve">, </w:t>
      </w:r>
      <w:r w:rsidRPr="005E022C">
        <w:rPr>
          <w:lang w:val="en-US"/>
        </w:rPr>
        <w:t>45.</w:t>
      </w:r>
    </w:p>
  </w:footnote>
  <w:footnote w:id="37">
    <w:p w14:paraId="2BCDFA38" w14:textId="77777777" w:rsidR="00B642CB" w:rsidRPr="00D257FA" w:rsidRDefault="00B642CB" w:rsidP="00B642CB">
      <w:pPr>
        <w:pStyle w:val="FootnoteText"/>
        <w:rPr>
          <w:lang w:val="en-US"/>
        </w:rPr>
      </w:pPr>
      <w:r w:rsidRPr="005E022C">
        <w:rPr>
          <w:rStyle w:val="FootnoteReference"/>
          <w:rFonts w:cstheme="minorHAnsi"/>
        </w:rPr>
        <w:footnoteRef/>
      </w:r>
      <w:r w:rsidRPr="009B03DA">
        <w:rPr>
          <w:lang w:val="en-US"/>
        </w:rPr>
        <w:t xml:space="preserve"> Anne-Laure van Bruaene, Om beters wille: </w:t>
      </w:r>
      <w:proofErr w:type="spellStart"/>
      <w:r w:rsidRPr="009B03DA">
        <w:rPr>
          <w:lang w:val="en-US"/>
        </w:rPr>
        <w:t>rederijkerskamers</w:t>
      </w:r>
      <w:proofErr w:type="spellEnd"/>
      <w:r w:rsidRPr="009B03DA">
        <w:rPr>
          <w:lang w:val="en-US"/>
        </w:rPr>
        <w:t xml:space="preserve"> en de </w:t>
      </w:r>
      <w:proofErr w:type="spellStart"/>
      <w:r w:rsidRPr="009B03DA">
        <w:rPr>
          <w:lang w:val="en-US"/>
        </w:rPr>
        <w:t>stedelijke</w:t>
      </w:r>
      <w:proofErr w:type="spellEnd"/>
      <w:r w:rsidRPr="009B03DA">
        <w:rPr>
          <w:lang w:val="en-US"/>
        </w:rPr>
        <w:t xml:space="preserve"> cultuur in de </w:t>
      </w:r>
      <w:proofErr w:type="spellStart"/>
      <w:r w:rsidRPr="009B03DA">
        <w:rPr>
          <w:lang w:val="en-US"/>
        </w:rPr>
        <w:t>Zuidelijke</w:t>
      </w:r>
      <w:proofErr w:type="spellEnd"/>
      <w:r w:rsidRPr="009B03DA">
        <w:rPr>
          <w:lang w:val="en-US"/>
        </w:rPr>
        <w:t xml:space="preserve"> </w:t>
      </w:r>
      <w:proofErr w:type="spellStart"/>
      <w:r w:rsidRPr="009B03DA">
        <w:rPr>
          <w:lang w:val="en-US"/>
        </w:rPr>
        <w:t>Nederlanden</w:t>
      </w:r>
      <w:proofErr w:type="spellEnd"/>
      <w:r w:rsidRPr="009B03DA">
        <w:rPr>
          <w:lang w:val="en-US"/>
        </w:rPr>
        <w:t xml:space="preserve"> (1400-1650) (Amsterdam University Press, 2008), 66; Lisa Demets, Onvoltooid verleden: </w:t>
      </w:r>
      <w:r>
        <w:rPr>
          <w:lang w:val="en-US"/>
        </w:rPr>
        <w:t>D</w:t>
      </w:r>
      <w:r w:rsidRPr="009B03DA">
        <w:rPr>
          <w:lang w:val="en-US"/>
        </w:rPr>
        <w:t xml:space="preserve">e </w:t>
      </w:r>
      <w:proofErr w:type="spellStart"/>
      <w:r w:rsidRPr="009B03DA">
        <w:rPr>
          <w:lang w:val="en-US"/>
        </w:rPr>
        <w:t>handschriften</w:t>
      </w:r>
      <w:proofErr w:type="spellEnd"/>
      <w:r w:rsidRPr="009B03DA">
        <w:rPr>
          <w:lang w:val="en-US"/>
        </w:rPr>
        <w:t xml:space="preserve"> van de ‘Excellente Cronike van Vlaenderen’ in de laatmiddeleeuwse Vlaamse steden (</w:t>
      </w:r>
      <w:proofErr w:type="spellStart"/>
      <w:r w:rsidRPr="009B03DA">
        <w:rPr>
          <w:lang w:val="en-US"/>
        </w:rPr>
        <w:t>Verloren</w:t>
      </w:r>
      <w:proofErr w:type="spellEnd"/>
      <w:r w:rsidRPr="009B03DA">
        <w:rPr>
          <w:lang w:val="en-US"/>
        </w:rPr>
        <w:t>, 2020), 101-15; Jan Dumolyn and Jelle Haemers, ‘Let Each Man Carry on with His Trade and Remain Silent: Middle-Class Ideology in the Urban Literature of the Late Medieval Low Countries’, Cultural and Social History 10</w:t>
      </w:r>
      <w:r>
        <w:rPr>
          <w:lang w:val="en-US"/>
        </w:rPr>
        <w:t>,</w:t>
      </w:r>
      <w:r w:rsidRPr="009B03DA">
        <w:rPr>
          <w:lang w:val="en-US"/>
        </w:rPr>
        <w:t xml:space="preserve"> no.</w:t>
      </w:r>
      <w:r>
        <w:rPr>
          <w:lang w:val="en-US"/>
        </w:rPr>
        <w:t xml:space="preserve"> </w:t>
      </w:r>
      <w:r w:rsidRPr="009B03DA">
        <w:rPr>
          <w:lang w:val="en-US"/>
        </w:rPr>
        <w:t xml:space="preserve">2 (2013): </w:t>
      </w:r>
      <w:r>
        <w:rPr>
          <w:lang w:val="en-US"/>
        </w:rPr>
        <w:t>169-89 (</w:t>
      </w:r>
      <w:r w:rsidRPr="009B03DA">
        <w:rPr>
          <w:lang w:val="en-US"/>
        </w:rPr>
        <w:t>169</w:t>
      </w:r>
      <w:r>
        <w:rPr>
          <w:lang w:val="en-US"/>
        </w:rPr>
        <w:t>-</w:t>
      </w:r>
      <w:r w:rsidRPr="009B03DA">
        <w:rPr>
          <w:lang w:val="en-US"/>
        </w:rPr>
        <w:t>70 and 172</w:t>
      </w:r>
      <w:r>
        <w:rPr>
          <w:lang w:val="en-US"/>
        </w:rPr>
        <w:t>-7</w:t>
      </w:r>
      <w:r w:rsidRPr="009B03DA">
        <w:rPr>
          <w:lang w:val="en-US"/>
        </w:rPr>
        <w:t>5</w:t>
      </w:r>
      <w:r>
        <w:rPr>
          <w:lang w:val="en-US"/>
        </w:rPr>
        <w:t>)</w:t>
      </w:r>
      <w:r w:rsidRPr="009B03DA">
        <w:rPr>
          <w:lang w:val="en-US"/>
        </w:rPr>
        <w:t xml:space="preserve">; Johan Oosterman, ‘Anthonis de Roovere. </w:t>
      </w:r>
      <w:r w:rsidRPr="00D257FA">
        <w:rPr>
          <w:lang w:val="en-US"/>
        </w:rPr>
        <w:t xml:space="preserve">Het </w:t>
      </w:r>
      <w:proofErr w:type="spellStart"/>
      <w:r w:rsidRPr="00D257FA">
        <w:rPr>
          <w:lang w:val="en-US"/>
        </w:rPr>
        <w:t>werk</w:t>
      </w:r>
      <w:proofErr w:type="spellEnd"/>
      <w:r w:rsidRPr="00D257FA">
        <w:rPr>
          <w:lang w:val="en-US"/>
        </w:rPr>
        <w:t xml:space="preserve">: </w:t>
      </w:r>
      <w:proofErr w:type="spellStart"/>
      <w:r w:rsidRPr="00D257FA">
        <w:rPr>
          <w:lang w:val="en-US"/>
        </w:rPr>
        <w:t>overlevering</w:t>
      </w:r>
      <w:proofErr w:type="spellEnd"/>
      <w:r w:rsidRPr="00D257FA">
        <w:rPr>
          <w:lang w:val="en-US"/>
        </w:rPr>
        <w:t xml:space="preserve">, </w:t>
      </w:r>
      <w:proofErr w:type="spellStart"/>
      <w:r w:rsidRPr="00D257FA">
        <w:rPr>
          <w:lang w:val="en-US"/>
        </w:rPr>
        <w:t>toeschrijving</w:t>
      </w:r>
      <w:proofErr w:type="spellEnd"/>
      <w:r w:rsidRPr="00D257FA">
        <w:rPr>
          <w:lang w:val="en-US"/>
        </w:rPr>
        <w:t xml:space="preserve"> en </w:t>
      </w:r>
      <w:proofErr w:type="spellStart"/>
      <w:r w:rsidRPr="00D257FA">
        <w:rPr>
          <w:lang w:val="en-US"/>
        </w:rPr>
        <w:t>plaatsbepaling</w:t>
      </w:r>
      <w:proofErr w:type="spellEnd"/>
      <w:r w:rsidRPr="00D257FA">
        <w:rPr>
          <w:lang w:val="en-US"/>
        </w:rPr>
        <w:t xml:space="preserve">’, </w:t>
      </w:r>
      <w:r w:rsidRPr="00D257FA">
        <w:rPr>
          <w:i/>
          <w:iCs/>
          <w:lang w:val="en-US"/>
        </w:rPr>
        <w:t>Jaarboek de Fonteine</w:t>
      </w:r>
      <w:r w:rsidRPr="00D257FA">
        <w:rPr>
          <w:lang w:val="en-US"/>
        </w:rPr>
        <w:t xml:space="preserve"> (1995-96): 29-140.</w:t>
      </w:r>
    </w:p>
  </w:footnote>
  <w:footnote w:id="38">
    <w:p w14:paraId="18050373" w14:textId="77777777" w:rsidR="00B642CB" w:rsidRPr="00DB24AB" w:rsidRDefault="00B642CB" w:rsidP="00B642CB">
      <w:pPr>
        <w:pStyle w:val="FootnoteText"/>
        <w:rPr>
          <w:lang w:val="es-ES"/>
        </w:rPr>
      </w:pPr>
      <w:r w:rsidRPr="005E022C">
        <w:rPr>
          <w:rStyle w:val="FootnoteReference"/>
          <w:rFonts w:cstheme="minorHAnsi"/>
        </w:rPr>
        <w:footnoteRef/>
      </w:r>
      <w:r w:rsidRPr="00D257FA">
        <w:rPr>
          <w:lang w:val="en-US"/>
        </w:rPr>
        <w:t xml:space="preserve"> Jelle Haemers, ‘Ad petitionem burgensium: </w:t>
      </w:r>
      <w:r w:rsidRPr="00F04D74">
        <w:rPr>
          <w:lang w:val="en-US"/>
        </w:rPr>
        <w:t>Petitions and peaceful resistance of craftsmen in Flanders and Mechelen (13th-16th centuries)</w:t>
      </w:r>
      <w:r>
        <w:rPr>
          <w:lang w:val="en-US"/>
        </w:rPr>
        <w:t xml:space="preserve">’, in </w:t>
      </w:r>
      <w:r w:rsidRPr="00615F3B">
        <w:rPr>
          <w:i/>
          <w:iCs/>
          <w:lang w:val="en-US"/>
        </w:rPr>
        <w:t>Los grupos populares en la ciudad medieval Europea</w:t>
      </w:r>
      <w:r>
        <w:rPr>
          <w:lang w:val="en-US"/>
        </w:rPr>
        <w:t xml:space="preserve">, ed. </w:t>
      </w:r>
      <w:r w:rsidRPr="00DB24AB">
        <w:rPr>
          <w:lang w:val="es-ES"/>
        </w:rPr>
        <w:t>Jesús Ángel Solórzano Telechea</w:t>
      </w:r>
      <w:r>
        <w:rPr>
          <w:lang w:val="es-ES"/>
        </w:rPr>
        <w:t xml:space="preserve">, </w:t>
      </w:r>
      <w:r w:rsidRPr="000E53B7">
        <w:rPr>
          <w:lang w:val="es-ES"/>
        </w:rPr>
        <w:t>Beatriz Arízaga</w:t>
      </w:r>
      <w:r w:rsidRPr="00D710F9">
        <w:rPr>
          <w:lang w:val="es-ES"/>
        </w:rPr>
        <w:t xml:space="preserve"> Bolumburu</w:t>
      </w:r>
      <w:r>
        <w:rPr>
          <w:lang w:val="es-ES"/>
        </w:rPr>
        <w:t xml:space="preserve"> and Jelle Haemers </w:t>
      </w:r>
      <w:r w:rsidRPr="00DB24AB">
        <w:rPr>
          <w:lang w:val="es-ES"/>
        </w:rPr>
        <w:t>(Instituto de Estudios Riojanos</w:t>
      </w:r>
      <w:r>
        <w:rPr>
          <w:lang w:val="es-ES"/>
        </w:rPr>
        <w:t>, 2014), 371-94.</w:t>
      </w:r>
    </w:p>
  </w:footnote>
  <w:footnote w:id="39">
    <w:p w14:paraId="136202BC"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For a complete overview of the sources used, please refer to Appendix 1, which includes the full source references. </w:t>
      </w:r>
    </w:p>
  </w:footnote>
  <w:footnote w:id="40">
    <w:p w14:paraId="320FA35D" w14:textId="77777777" w:rsidR="00B642CB" w:rsidRPr="005E022C" w:rsidRDefault="00B642CB" w:rsidP="00B642CB">
      <w:pPr>
        <w:pStyle w:val="FootnoteText"/>
        <w:rPr>
          <w:lang w:val="en-US"/>
        </w:rPr>
      </w:pPr>
      <w:r w:rsidRPr="005E022C">
        <w:rPr>
          <w:rStyle w:val="FootnoteReference"/>
          <w:rFonts w:cstheme="minorHAnsi"/>
        </w:rPr>
        <w:footnoteRef/>
      </w:r>
      <w:r w:rsidRPr="005E022C">
        <w:rPr>
          <w:lang w:val="en-US"/>
        </w:rPr>
        <w:t xml:space="preserve"> </w:t>
      </w:r>
      <w:r>
        <w:rPr>
          <w:lang w:val="en-US"/>
        </w:rPr>
        <w:t xml:space="preserve">See for example: </w:t>
      </w:r>
      <w:r w:rsidRPr="005E022C">
        <w:rPr>
          <w:lang w:val="en-US"/>
        </w:rPr>
        <w:t xml:space="preserve">Sabapathy, </w:t>
      </w:r>
      <w:r w:rsidRPr="00E4445C">
        <w:rPr>
          <w:i/>
          <w:iCs/>
          <w:lang w:val="en-US"/>
        </w:rPr>
        <w:t>Officers and Accountability</w:t>
      </w:r>
      <w:r w:rsidRPr="005E022C">
        <w:rPr>
          <w:lang w:val="en-US"/>
        </w:rPr>
        <w:t>.</w:t>
      </w:r>
    </w:p>
  </w:footnote>
  <w:footnote w:id="41">
    <w:p w14:paraId="1CFB020D" w14:textId="77777777" w:rsidR="00B642CB" w:rsidRPr="00AB4BFF" w:rsidRDefault="00B642CB" w:rsidP="00B642CB">
      <w:pPr>
        <w:pStyle w:val="FootnoteText"/>
        <w:rPr>
          <w:lang w:val="en-US"/>
        </w:rPr>
      </w:pPr>
      <w:r w:rsidRPr="005E022C">
        <w:rPr>
          <w:rStyle w:val="FootnoteReference"/>
          <w:rFonts w:cstheme="minorHAnsi"/>
        </w:rPr>
        <w:footnoteRef/>
      </w:r>
      <w:r w:rsidRPr="00AB4BFF">
        <w:rPr>
          <w:lang w:val="en-US"/>
        </w:rPr>
        <w:t xml:space="preserve"> I have developed this argument further in Minne De Boodt, ‘“Hoe haer die ghemeente sette jeghen die heren”: Politieke literatuur en opstanden in het veertiende-eeuwse Brabant’, </w:t>
      </w:r>
      <w:r w:rsidRPr="00AB4BFF">
        <w:rPr>
          <w:i/>
          <w:iCs/>
          <w:lang w:val="en-US"/>
        </w:rPr>
        <w:t>BMGN-The Low Countries Historical Review</w:t>
      </w:r>
      <w:r w:rsidRPr="00AB4BFF">
        <w:rPr>
          <w:lang w:val="en-US"/>
        </w:rPr>
        <w:t xml:space="preserve"> 134 no. 2 (2019): 71-95 (76-77). </w:t>
      </w:r>
    </w:p>
  </w:footnote>
  <w:footnote w:id="42">
    <w:p w14:paraId="648A6956" w14:textId="77777777" w:rsidR="00B642CB" w:rsidRPr="000A1507" w:rsidRDefault="00B642CB" w:rsidP="00B642CB">
      <w:pPr>
        <w:pStyle w:val="FootnoteText"/>
        <w:rPr>
          <w:lang w:val="en-US"/>
        </w:rPr>
      </w:pPr>
      <w:r w:rsidRPr="005E022C">
        <w:rPr>
          <w:rStyle w:val="FootnoteReference"/>
          <w:rFonts w:cstheme="minorHAnsi"/>
        </w:rPr>
        <w:footnoteRef/>
      </w:r>
      <w:r w:rsidRPr="00155030">
        <w:rPr>
          <w:lang w:val="fr-BE"/>
        </w:rPr>
        <w:t xml:space="preserve"> </w:t>
      </w:r>
      <w:r>
        <w:rPr>
          <w:lang w:val="fr-BE"/>
        </w:rPr>
        <w:t xml:space="preserve">Philip Wielant, </w:t>
      </w:r>
      <w:r w:rsidRPr="00155030">
        <w:rPr>
          <w:lang w:val="fr-BE"/>
        </w:rPr>
        <w:t xml:space="preserve">‘Recueil des antiquités de Flandre par le </w:t>
      </w:r>
      <w:proofErr w:type="spellStart"/>
      <w:r w:rsidRPr="00155030">
        <w:rPr>
          <w:lang w:val="fr-BE"/>
        </w:rPr>
        <w:t>president</w:t>
      </w:r>
      <w:proofErr w:type="spellEnd"/>
      <w:r w:rsidRPr="00155030">
        <w:rPr>
          <w:lang w:val="fr-BE"/>
        </w:rPr>
        <w:t xml:space="preserve"> Philip Wielant’,</w:t>
      </w:r>
      <w:r>
        <w:rPr>
          <w:lang w:val="fr-BE"/>
        </w:rPr>
        <w:t xml:space="preserve"> </w:t>
      </w:r>
      <w:r w:rsidRPr="00155030">
        <w:rPr>
          <w:lang w:val="fr-BE"/>
        </w:rPr>
        <w:t xml:space="preserve">in </w:t>
      </w:r>
      <w:r w:rsidRPr="00155030">
        <w:rPr>
          <w:i/>
          <w:iCs/>
          <w:lang w:val="fr-BE"/>
        </w:rPr>
        <w:t>Collection de chroniques belges inédits</w:t>
      </w:r>
      <w:r w:rsidRPr="00155030">
        <w:rPr>
          <w:lang w:val="fr-BE"/>
        </w:rPr>
        <w:t>, ed.</w:t>
      </w:r>
      <w:r>
        <w:rPr>
          <w:lang w:val="fr-BE"/>
        </w:rPr>
        <w:t xml:space="preserve"> </w:t>
      </w:r>
      <w:r w:rsidRPr="000A1507">
        <w:rPr>
          <w:lang w:val="en-US"/>
        </w:rPr>
        <w:t>Joseph J. De Smet (Brussels: 1865), 1-442.</w:t>
      </w:r>
    </w:p>
  </w:footnote>
  <w:footnote w:id="43">
    <w:p w14:paraId="2CF8066C" w14:textId="77777777" w:rsidR="00B642CB" w:rsidRPr="00D257FA" w:rsidRDefault="00B642CB" w:rsidP="00B642CB">
      <w:pPr>
        <w:pStyle w:val="FootnoteText"/>
        <w:rPr>
          <w:lang w:val="en-US"/>
        </w:rPr>
      </w:pPr>
      <w:r>
        <w:rPr>
          <w:rStyle w:val="FootnoteReference"/>
        </w:rPr>
        <w:footnoteRef/>
      </w:r>
      <w:r>
        <w:t xml:space="preserve"> For more information on the method of Critical Discourse Analysis, see </w:t>
      </w:r>
      <w:r w:rsidRPr="005E022C">
        <w:rPr>
          <w:lang w:val="en-US"/>
        </w:rPr>
        <w:t xml:space="preserve">Norman Fairclough, </w:t>
      </w:r>
      <w:r w:rsidRPr="005E022C">
        <w:rPr>
          <w:i/>
          <w:iCs/>
          <w:lang w:val="en-US"/>
        </w:rPr>
        <w:t xml:space="preserve">Critical Discourse Analysis: The Critical Study of Language </w:t>
      </w:r>
      <w:r w:rsidRPr="005E022C">
        <w:rPr>
          <w:lang w:val="en-US"/>
        </w:rPr>
        <w:t>(Pearsons Education Limited, 1995)</w:t>
      </w:r>
      <w:r>
        <w:rPr>
          <w:lang w:val="en-US"/>
        </w:rPr>
        <w:t xml:space="preserve"> and Marnix Beyen, </w:t>
      </w:r>
      <w:r>
        <w:rPr>
          <w:i/>
          <w:iCs/>
          <w:lang w:val="en-US"/>
        </w:rPr>
        <w:t xml:space="preserve">De taal van de Geschiedenis: </w:t>
      </w:r>
      <w:r w:rsidRPr="00D257FA">
        <w:rPr>
          <w:i/>
          <w:iCs/>
          <w:lang w:val="en-US"/>
        </w:rPr>
        <w:t xml:space="preserve">Hoe </w:t>
      </w:r>
      <w:proofErr w:type="spellStart"/>
      <w:r w:rsidRPr="00D257FA">
        <w:rPr>
          <w:i/>
          <w:iCs/>
          <w:lang w:val="en-US"/>
        </w:rPr>
        <w:t>historici</w:t>
      </w:r>
      <w:proofErr w:type="spellEnd"/>
      <w:r w:rsidRPr="00D257FA">
        <w:rPr>
          <w:i/>
          <w:iCs/>
          <w:lang w:val="en-US"/>
        </w:rPr>
        <w:t xml:space="preserve"> lezen en </w:t>
      </w:r>
      <w:proofErr w:type="spellStart"/>
      <w:r w:rsidRPr="00D257FA">
        <w:rPr>
          <w:i/>
          <w:iCs/>
          <w:lang w:val="en-US"/>
        </w:rPr>
        <w:t>schrijven</w:t>
      </w:r>
      <w:proofErr w:type="spellEnd"/>
      <w:r w:rsidRPr="00D257FA">
        <w:rPr>
          <w:i/>
          <w:iCs/>
          <w:lang w:val="en-US"/>
        </w:rPr>
        <w:t xml:space="preserve"> </w:t>
      </w:r>
      <w:r w:rsidRPr="00D257FA">
        <w:rPr>
          <w:lang w:val="en-US"/>
        </w:rPr>
        <w:t xml:space="preserve">(Leuven University Press, 2024). </w:t>
      </w:r>
    </w:p>
  </w:footnote>
  <w:footnote w:id="44">
    <w:p w14:paraId="421B3294" w14:textId="77777777" w:rsidR="00B642CB" w:rsidRPr="00D257FA" w:rsidRDefault="00B642CB" w:rsidP="00B642CB">
      <w:pPr>
        <w:pStyle w:val="FootnoteText"/>
        <w:rPr>
          <w:lang w:val="en-US"/>
        </w:rPr>
      </w:pPr>
      <w:r w:rsidRPr="005E022C">
        <w:rPr>
          <w:rStyle w:val="FootnoteReference"/>
          <w:rFonts w:cstheme="minorHAnsi"/>
        </w:rPr>
        <w:footnoteRef/>
      </w:r>
      <w:r w:rsidRPr="00D257FA">
        <w:rPr>
          <w:lang w:val="en-US"/>
        </w:rPr>
        <w:t xml:space="preserve"> ‘MAXQDA’, accessed on 23 September, 2024, </w:t>
      </w:r>
      <w:hyperlink r:id="rId1" w:history="1">
        <w:r w:rsidRPr="00D257FA">
          <w:rPr>
            <w:rStyle w:val="Hyperlink"/>
            <w:lang w:val="en-US"/>
          </w:rPr>
          <w:t>https://www.maxqda.com/</w:t>
        </w:r>
      </w:hyperlink>
      <w:r w:rsidRPr="00D257FA">
        <w:rPr>
          <w:lang w:val="en-US"/>
        </w:rPr>
        <w:t xml:space="preserve">. </w:t>
      </w:r>
    </w:p>
  </w:footnote>
  <w:footnote w:id="45">
    <w:p w14:paraId="28702D56" w14:textId="77777777" w:rsidR="00B642CB" w:rsidRPr="006E47A0" w:rsidRDefault="00B642CB" w:rsidP="00B642CB">
      <w:pPr>
        <w:pStyle w:val="FootnoteText"/>
        <w:rPr>
          <w:lang w:val="nl-BE"/>
        </w:rPr>
      </w:pPr>
      <w:r w:rsidRPr="005E022C">
        <w:rPr>
          <w:rStyle w:val="FootnoteReference"/>
          <w:rFonts w:cstheme="minorHAnsi"/>
        </w:rPr>
        <w:footnoteRef/>
      </w:r>
      <w:r w:rsidRPr="005E022C">
        <w:rPr>
          <w:lang w:val="en-US"/>
        </w:rPr>
        <w:t xml:space="preserve"> Peter Hoppenbrouwers, ‘Assemblies of Estates and Parliamentarism in Later Medieval Europe’, in </w:t>
      </w:r>
      <w:r w:rsidRPr="00ED663C">
        <w:rPr>
          <w:i/>
          <w:iCs/>
          <w:lang w:val="en-US"/>
        </w:rPr>
        <w:t>Political Representation: Communities, Ideas and Institutions in Europe (c. 1200-c. 1690)</w:t>
      </w:r>
      <w:r w:rsidRPr="005E022C">
        <w:rPr>
          <w:lang w:val="en-US"/>
        </w:rPr>
        <w:t>, ed. Mario Damen, Jelle Haemers, and Alastair J. Mann</w:t>
      </w:r>
      <w:r>
        <w:rPr>
          <w:lang w:val="en-US"/>
        </w:rPr>
        <w:t xml:space="preserve"> </w:t>
      </w:r>
      <w:r w:rsidRPr="005E022C">
        <w:rPr>
          <w:lang w:val="en-US"/>
        </w:rPr>
        <w:t>(Brill, 2018), 17</w:t>
      </w:r>
      <w:r>
        <w:rPr>
          <w:lang w:val="en-US"/>
        </w:rPr>
        <w:t>-</w:t>
      </w:r>
      <w:r w:rsidRPr="005E022C">
        <w:rPr>
          <w:lang w:val="en-US"/>
        </w:rPr>
        <w:t xml:space="preserve">53; Stephen Henry Rigby and Elizabeth Ewan, ‘Government, Power and Authority 1300-1540’, in </w:t>
      </w:r>
      <w:r w:rsidRPr="00ED663C">
        <w:rPr>
          <w:i/>
          <w:iCs/>
          <w:lang w:val="en-US"/>
        </w:rPr>
        <w:t>The Later Middle Ages 1300-1450</w:t>
      </w:r>
      <w:r w:rsidRPr="005E022C">
        <w:rPr>
          <w:lang w:val="en-US"/>
        </w:rPr>
        <w:t xml:space="preserve">, ed. </w:t>
      </w:r>
      <w:r w:rsidRPr="006E47A0">
        <w:rPr>
          <w:lang w:val="nl-BE"/>
        </w:rPr>
        <w:t xml:space="preserve">David M. </w:t>
      </w:r>
      <w:proofErr w:type="spellStart"/>
      <w:r w:rsidRPr="006E47A0">
        <w:rPr>
          <w:lang w:val="nl-BE"/>
        </w:rPr>
        <w:t>Palliser</w:t>
      </w:r>
      <w:proofErr w:type="spellEnd"/>
      <w:r w:rsidRPr="006E47A0">
        <w:rPr>
          <w:lang w:val="nl-BE"/>
        </w:rPr>
        <w:t xml:space="preserve"> (Cambridge University Press, 2000), 291</w:t>
      </w:r>
      <w:r>
        <w:rPr>
          <w:lang w:val="nl-BE"/>
        </w:rPr>
        <w:t>-</w:t>
      </w:r>
      <w:r w:rsidRPr="006E47A0">
        <w:rPr>
          <w:lang w:val="nl-BE"/>
        </w:rPr>
        <w:t>312.</w:t>
      </w:r>
    </w:p>
  </w:footnote>
  <w:footnote w:id="46">
    <w:p w14:paraId="72880059" w14:textId="77777777" w:rsidR="00B642CB" w:rsidRPr="006E47A0" w:rsidRDefault="00B642CB" w:rsidP="00B642CB">
      <w:pPr>
        <w:pStyle w:val="FootnoteText"/>
        <w:rPr>
          <w:lang w:val="nl-BE"/>
        </w:rPr>
      </w:pPr>
      <w:r w:rsidRPr="005E022C">
        <w:rPr>
          <w:rStyle w:val="FootnoteReference"/>
          <w:rFonts w:cstheme="minorHAnsi"/>
        </w:rPr>
        <w:footnoteRef/>
      </w:r>
      <w:r w:rsidRPr="006E47A0">
        <w:rPr>
          <w:lang w:val="nl-BE"/>
        </w:rPr>
        <w:t xml:space="preserve"> Jelle Haemers, </w:t>
      </w:r>
      <w:r w:rsidRPr="00E15667">
        <w:rPr>
          <w:lang w:val="nl-BE"/>
        </w:rPr>
        <w:t xml:space="preserve">De strijd om het regentschap over Filips de Schone: </w:t>
      </w:r>
      <w:r>
        <w:rPr>
          <w:lang w:val="nl-BE"/>
        </w:rPr>
        <w:t>O</w:t>
      </w:r>
      <w:r w:rsidRPr="00E15667">
        <w:rPr>
          <w:lang w:val="nl-BE"/>
        </w:rPr>
        <w:t>pstand, facties en geweld in Brugge, Gent en Ieper (1482-1488)</w:t>
      </w:r>
      <w:r w:rsidRPr="006E47A0">
        <w:rPr>
          <w:lang w:val="nl-BE"/>
        </w:rPr>
        <w:t xml:space="preserve"> (Academia Press, 2014), 287.</w:t>
      </w:r>
    </w:p>
  </w:footnote>
  <w:footnote w:id="47">
    <w:p w14:paraId="66825ACE" w14:textId="77777777" w:rsidR="00B642CB" w:rsidRPr="0066768B" w:rsidRDefault="00B642CB" w:rsidP="00B642CB">
      <w:pPr>
        <w:pStyle w:val="FootnoteText"/>
        <w:rPr>
          <w:lang w:val="fr-BE"/>
        </w:rPr>
      </w:pPr>
      <w:r>
        <w:rPr>
          <w:rStyle w:val="FootnoteReference"/>
        </w:rPr>
        <w:footnoteRef/>
      </w:r>
      <w:r w:rsidRPr="001C7A57">
        <w:rPr>
          <w:lang w:val="fr-BE"/>
        </w:rPr>
        <w:t xml:space="preserve"> </w:t>
      </w:r>
      <w:r>
        <w:rPr>
          <w:lang w:val="fr-BE"/>
        </w:rPr>
        <w:t>Philip Wielant,</w:t>
      </w:r>
      <w:r w:rsidRPr="005E022C">
        <w:rPr>
          <w:lang w:val="fr-BE"/>
        </w:rPr>
        <w:t xml:space="preserve"> ‘Recueil des antiquités’</w:t>
      </w:r>
      <w:r w:rsidRPr="0066768B">
        <w:rPr>
          <w:lang w:val="fr-BE"/>
        </w:rPr>
        <w:t>, 149.</w:t>
      </w:r>
    </w:p>
  </w:footnote>
  <w:footnote w:id="48">
    <w:p w14:paraId="31E27012" w14:textId="77777777" w:rsidR="00B642CB" w:rsidRPr="009872C0" w:rsidRDefault="00B642CB" w:rsidP="00B642CB">
      <w:pPr>
        <w:pStyle w:val="FootnoteText"/>
        <w:rPr>
          <w:lang w:val="es-ES"/>
        </w:rPr>
      </w:pPr>
      <w:r>
        <w:rPr>
          <w:rStyle w:val="FootnoteReference"/>
        </w:rPr>
        <w:footnoteRef/>
      </w:r>
      <w:r>
        <w:t xml:space="preserve"> </w:t>
      </w:r>
      <w:r w:rsidRPr="00F851D6">
        <w:t xml:space="preserve">John Watts, ‘The Problem of the Personal: Tackling Corruption in Later Medieval England, 1250-1550’, in </w:t>
      </w:r>
      <w:r w:rsidRPr="00F851D6">
        <w:rPr>
          <w:i/>
          <w:iCs/>
        </w:rPr>
        <w:t>Anticorruption in History: From Antiquity to the Modern Era</w:t>
      </w:r>
      <w:r w:rsidRPr="00F851D6">
        <w:t>, ed</w:t>
      </w:r>
      <w:r>
        <w:t>.</w:t>
      </w:r>
      <w:r w:rsidRPr="00F851D6">
        <w:t xml:space="preserve"> </w:t>
      </w:r>
      <w:r w:rsidRPr="00EB597A">
        <w:t>Ronald Kroeze, André Vitória and Guy Geltner</w:t>
      </w:r>
      <w:r w:rsidRPr="00F851D6">
        <w:t xml:space="preserve"> (Oxford University Press, 2018),</w:t>
      </w:r>
      <w:r>
        <w:t xml:space="preserve"> 91-102 (</w:t>
      </w:r>
      <w:r w:rsidRPr="00F851D6">
        <w:t>98</w:t>
      </w:r>
      <w:r>
        <w:t>); Sabapathy</w:t>
      </w:r>
      <w:r w:rsidRPr="009872C0">
        <w:t>, ‘A Medieval Officer and a Modern Mentality?’; David P.H</w:t>
      </w:r>
      <w:r>
        <w:t>.</w:t>
      </w:r>
      <w:r w:rsidRPr="009872C0">
        <w:t xml:space="preserve"> Napolitano, ‘Constructing a City of Peace and Justice</w:t>
      </w:r>
      <w:r>
        <w:t xml:space="preserve">: </w:t>
      </w:r>
      <w:r w:rsidRPr="009872C0">
        <w:t xml:space="preserve">Promises and Expectations of Good Government in the Mirrors-for- Magistrates’, in </w:t>
      </w:r>
      <w:r w:rsidRPr="009872C0">
        <w:rPr>
          <w:i/>
          <w:iCs/>
        </w:rPr>
        <w:t>Normativa y autoridad en la ciudad medieval atlántica (y más allá) / Law and Authority in Medieval Atlantic Europe (and Beyond)</w:t>
      </w:r>
      <w:r w:rsidRPr="009872C0">
        <w:t xml:space="preserve">, ed. </w:t>
      </w:r>
      <w:r w:rsidRPr="009872C0">
        <w:rPr>
          <w:lang w:val="es-ES"/>
        </w:rPr>
        <w:t>Jesús Ángel Sólórzano Telechea</w:t>
      </w:r>
      <w:r>
        <w:rPr>
          <w:lang w:val="es-ES"/>
        </w:rPr>
        <w:t xml:space="preserve"> and Jelle Haemers</w:t>
      </w:r>
      <w:r w:rsidRPr="009872C0">
        <w:rPr>
          <w:lang w:val="es-ES"/>
        </w:rPr>
        <w:t xml:space="preserve"> (Instituto de Estudios Riojanos, 2022), 3</w:t>
      </w:r>
      <w:r>
        <w:rPr>
          <w:lang w:val="es-ES"/>
        </w:rPr>
        <w:t>20-46.</w:t>
      </w:r>
    </w:p>
  </w:footnote>
  <w:footnote w:id="49">
    <w:p w14:paraId="56F23735" w14:textId="77777777" w:rsidR="00B642CB" w:rsidRPr="00E233E5" w:rsidRDefault="00B642CB" w:rsidP="00B642CB">
      <w:pPr>
        <w:pStyle w:val="FootnoteText"/>
        <w:rPr>
          <w:lang w:val="en-US"/>
        </w:rPr>
      </w:pPr>
      <w:r>
        <w:rPr>
          <w:rStyle w:val="FootnoteReference"/>
        </w:rPr>
        <w:footnoteRef/>
      </w:r>
      <w:r w:rsidRPr="00E233E5">
        <w:rPr>
          <w:lang w:val="en-US"/>
        </w:rPr>
        <w:t xml:space="preserve"> De Boodt, ‘Inspiring Ideas</w:t>
      </w:r>
      <w:r>
        <w:rPr>
          <w:lang w:val="en-US"/>
        </w:rPr>
        <w:t>’.</w:t>
      </w:r>
    </w:p>
  </w:footnote>
  <w:footnote w:id="50">
    <w:p w14:paraId="253CCFD6" w14:textId="77777777" w:rsidR="00B642CB" w:rsidRPr="00C91D02" w:rsidRDefault="00B642CB" w:rsidP="00B642CB">
      <w:pPr>
        <w:pStyle w:val="FootnoteText"/>
        <w:rPr>
          <w:lang w:val="en-US"/>
        </w:rPr>
      </w:pPr>
      <w:r>
        <w:rPr>
          <w:rStyle w:val="FootnoteReference"/>
        </w:rPr>
        <w:footnoteRef/>
      </w:r>
      <w:r w:rsidRPr="00C91D02">
        <w:rPr>
          <w:lang w:val="en-US"/>
        </w:rPr>
        <w:t xml:space="preserve"> De Boodt, ‘Inspiring Ideas’, 96-102; Jacoba Van Leeuwen, ‘Municipal Oaths, Political Virtues an</w:t>
      </w:r>
      <w:r>
        <w:rPr>
          <w:lang w:val="en-US"/>
        </w:rPr>
        <w:t xml:space="preserve">d the Centralised State: The Adaptation of Oaths of Office in Fifteenth-Century Flanders’, </w:t>
      </w:r>
      <w:r>
        <w:rPr>
          <w:i/>
          <w:iCs/>
          <w:lang w:val="en-US"/>
        </w:rPr>
        <w:t xml:space="preserve">Journal of Medieval History </w:t>
      </w:r>
      <w:r>
        <w:rPr>
          <w:lang w:val="en-US"/>
        </w:rPr>
        <w:t xml:space="preserve">31, no. 2 (2005): 185-210. </w:t>
      </w:r>
    </w:p>
  </w:footnote>
  <w:footnote w:id="51">
    <w:p w14:paraId="28FE0794" w14:textId="77777777" w:rsidR="00B642CB" w:rsidRPr="00F41C13" w:rsidRDefault="00B642CB" w:rsidP="00B642CB">
      <w:pPr>
        <w:pStyle w:val="FootnoteText"/>
        <w:rPr>
          <w:lang w:val="en-US"/>
        </w:rPr>
      </w:pPr>
      <w:r>
        <w:rPr>
          <w:rStyle w:val="FootnoteReference"/>
        </w:rPr>
        <w:footnoteRef/>
      </w:r>
      <w:r>
        <w:t xml:space="preserve"> </w:t>
      </w:r>
      <w:r>
        <w:rPr>
          <w:lang w:val="en-US"/>
        </w:rPr>
        <w:t xml:space="preserve">Sabapathy, ‘A Medieval Officer and a Modern Mentality’; </w:t>
      </w:r>
      <w:r w:rsidRPr="001A2402">
        <w:t>István Bejczy,</w:t>
      </w:r>
      <w:r w:rsidRPr="00355F53">
        <w:rPr>
          <w:i/>
          <w:iCs/>
        </w:rPr>
        <w:t xml:space="preserve"> The Cardinal Virtues in the Middle Ages: A Study in Moral Thought from the Fourth to the Fourteenth Century</w:t>
      </w:r>
      <w:r w:rsidRPr="001A2402">
        <w:t xml:space="preserve"> (Brill, 2011); Christopher Fletcher, ‘Morality and Office in Late Medieval England and France’, in </w:t>
      </w:r>
      <w:r w:rsidRPr="00355F53">
        <w:rPr>
          <w:i/>
          <w:iCs/>
        </w:rPr>
        <w:t>Fourteenth Century England</w:t>
      </w:r>
      <w:r>
        <w:t>. 13 vols.,</w:t>
      </w:r>
      <w:r w:rsidRPr="001A2402">
        <w:t xml:space="preserve"> ed. Saul Nigel (Boydell &amp; Brewer, 2008),</w:t>
      </w:r>
      <w:r>
        <w:t xml:space="preserve"> 5:</w:t>
      </w:r>
      <w:r w:rsidRPr="001A2402">
        <w:t xml:space="preserve"> 178</w:t>
      </w:r>
      <w:r>
        <w:t>-</w:t>
      </w:r>
      <w:r w:rsidRPr="001A2402">
        <w:t>90</w:t>
      </w:r>
      <w:r>
        <w:t>.</w:t>
      </w:r>
    </w:p>
  </w:footnote>
  <w:footnote w:id="52">
    <w:p w14:paraId="34759381" w14:textId="77777777" w:rsidR="00B642CB" w:rsidRPr="002453D5" w:rsidRDefault="00B642CB" w:rsidP="00B642CB">
      <w:pPr>
        <w:pStyle w:val="FootnoteText"/>
        <w:rPr>
          <w:lang w:val="en-US"/>
        </w:rPr>
      </w:pPr>
      <w:r>
        <w:rPr>
          <w:rStyle w:val="FootnoteReference"/>
        </w:rPr>
        <w:footnoteRef/>
      </w:r>
      <w:r>
        <w:t xml:space="preserve"> </w:t>
      </w:r>
      <w:r w:rsidRPr="006D39D4">
        <w:t xml:space="preserve">Watts, ‘The Problem of the Personal’, 98; Napolitano, ‘Constructing a City of Peace and Justice’; Heike Bierschwale and Jacoba Van Leeuwen, </w:t>
      </w:r>
      <w:r w:rsidRPr="006D39D4">
        <w:rPr>
          <w:i/>
          <w:iCs/>
        </w:rPr>
        <w:t xml:space="preserve">Wie man </w:t>
      </w:r>
      <w:proofErr w:type="spellStart"/>
      <w:r w:rsidRPr="006D39D4">
        <w:rPr>
          <w:i/>
          <w:iCs/>
        </w:rPr>
        <w:t>eine</w:t>
      </w:r>
      <w:proofErr w:type="spellEnd"/>
      <w:r w:rsidRPr="006D39D4">
        <w:rPr>
          <w:i/>
          <w:iCs/>
        </w:rPr>
        <w:t xml:space="preserve"> Stadt regieren Soll: Deutsche und Niederländische </w:t>
      </w:r>
      <w:proofErr w:type="spellStart"/>
      <w:r w:rsidRPr="006D39D4">
        <w:rPr>
          <w:i/>
          <w:iCs/>
        </w:rPr>
        <w:t>Stadtregimentslehren</w:t>
      </w:r>
      <w:proofErr w:type="spellEnd"/>
      <w:r w:rsidRPr="006D39D4">
        <w:rPr>
          <w:i/>
          <w:iCs/>
        </w:rPr>
        <w:t xml:space="preserve"> des </w:t>
      </w:r>
      <w:proofErr w:type="spellStart"/>
      <w:r w:rsidRPr="006D39D4">
        <w:rPr>
          <w:i/>
          <w:iCs/>
        </w:rPr>
        <w:t>Mittelalters</w:t>
      </w:r>
      <w:proofErr w:type="spellEnd"/>
      <w:r w:rsidRPr="006D39D4">
        <w:rPr>
          <w:i/>
          <w:iCs/>
        </w:rPr>
        <w:t xml:space="preserve"> </w:t>
      </w:r>
      <w:r w:rsidRPr="006D39D4">
        <w:t>(Lang, 2005)</w:t>
      </w:r>
      <w:r>
        <w:t xml:space="preserve">; De Boodt, ‘“How One Shall Govern A City”’. </w:t>
      </w:r>
    </w:p>
  </w:footnote>
  <w:footnote w:id="53">
    <w:p w14:paraId="1DA8946E" w14:textId="77777777" w:rsidR="00B642CB" w:rsidRPr="00F95F92" w:rsidRDefault="00B642CB" w:rsidP="00B642CB">
      <w:pPr>
        <w:pStyle w:val="FootnoteText"/>
        <w:rPr>
          <w:lang w:val="en-US"/>
        </w:rPr>
      </w:pPr>
      <w:r>
        <w:rPr>
          <w:rStyle w:val="FootnoteReference"/>
        </w:rPr>
        <w:footnoteRef/>
      </w:r>
      <w:r w:rsidRPr="002455BA">
        <w:rPr>
          <w:lang w:val="nl-BE"/>
        </w:rPr>
        <w:t xml:space="preserve"> </w:t>
      </w:r>
      <w:r>
        <w:rPr>
          <w:lang w:val="nl-BE"/>
        </w:rPr>
        <w:t xml:space="preserve">Jan van den Berghe, </w:t>
      </w:r>
      <w:r w:rsidRPr="002455BA">
        <w:rPr>
          <w:i/>
          <w:iCs/>
          <w:lang w:val="nl-BE"/>
        </w:rPr>
        <w:t>Dat Kaetspel Ghemoralizeert</w:t>
      </w:r>
      <w:r>
        <w:rPr>
          <w:i/>
          <w:iCs/>
          <w:lang w:val="nl-BE"/>
        </w:rPr>
        <w:t>:</w:t>
      </w:r>
      <w:r w:rsidRPr="002455BA">
        <w:rPr>
          <w:i/>
          <w:iCs/>
          <w:lang w:val="nl-BE"/>
        </w:rPr>
        <w:t xml:space="preserve"> </w:t>
      </w:r>
      <w:r w:rsidRPr="0011570D">
        <w:rPr>
          <w:i/>
          <w:iCs/>
          <w:lang w:val="nl-BE"/>
        </w:rPr>
        <w:t>Jan van den Berg</w:t>
      </w:r>
      <w:r w:rsidRPr="0011570D">
        <w:rPr>
          <w:lang w:val="nl-BE"/>
        </w:rPr>
        <w:t xml:space="preserve">, </w:t>
      </w:r>
      <w:r>
        <w:rPr>
          <w:lang w:val="nl-BE"/>
        </w:rPr>
        <w:t xml:space="preserve">ed. </w:t>
      </w:r>
      <w:r w:rsidRPr="00F95F92">
        <w:rPr>
          <w:lang w:val="en-US"/>
        </w:rPr>
        <w:t>Jacobus A. Roetert Frederikse (A.W. Sijthoff, 1915), 73.</w:t>
      </w:r>
    </w:p>
  </w:footnote>
  <w:footnote w:id="54">
    <w:p w14:paraId="67530E42" w14:textId="77777777" w:rsidR="00B642CB" w:rsidRPr="00D257FA" w:rsidRDefault="00B642CB" w:rsidP="00B642CB">
      <w:pPr>
        <w:pStyle w:val="FootnoteText"/>
        <w:rPr>
          <w:lang w:val="en-US"/>
        </w:rPr>
      </w:pPr>
      <w:r>
        <w:rPr>
          <w:rStyle w:val="FootnoteReference"/>
        </w:rPr>
        <w:footnoteRef/>
      </w:r>
      <w:r>
        <w:t xml:space="preserve"> </w:t>
      </w:r>
      <w:r w:rsidRPr="005E022C">
        <w:rPr>
          <w:lang w:val="en-US"/>
        </w:rPr>
        <w:t>Ionuț Epurescu-Pascovici, ‘From Auditing of Accounts to Institutional Accountability in Late Medieval Europe’, in</w:t>
      </w:r>
      <w:r w:rsidRPr="00E37980">
        <w:rPr>
          <w:lang w:val="en-US"/>
        </w:rPr>
        <w:t xml:space="preserve"> </w:t>
      </w:r>
      <w:r w:rsidRPr="005E022C">
        <w:rPr>
          <w:lang w:val="en-US"/>
        </w:rPr>
        <w:t>Epurescu-Pascovici</w:t>
      </w:r>
      <w:r>
        <w:rPr>
          <w:lang w:val="en-US"/>
        </w:rPr>
        <w:t>,</w:t>
      </w:r>
      <w:r w:rsidRPr="005E022C">
        <w:rPr>
          <w:lang w:val="en-US"/>
        </w:rPr>
        <w:t xml:space="preserve"> </w:t>
      </w:r>
      <w:r w:rsidRPr="005E022C">
        <w:rPr>
          <w:i/>
          <w:iCs/>
          <w:lang w:val="en-US"/>
        </w:rPr>
        <w:t>Accounts and Accountability in Late Medieval Europe</w:t>
      </w:r>
      <w:r w:rsidRPr="00D257FA">
        <w:rPr>
          <w:lang w:val="en-US"/>
        </w:rPr>
        <w:t>, 1-19 (5).</w:t>
      </w:r>
    </w:p>
  </w:footnote>
  <w:footnote w:id="55">
    <w:p w14:paraId="7856F30F" w14:textId="77777777" w:rsidR="00B642CB" w:rsidRPr="005875F0" w:rsidRDefault="00B642CB" w:rsidP="00B642CB">
      <w:pPr>
        <w:pStyle w:val="FootnoteText"/>
      </w:pPr>
      <w:r>
        <w:rPr>
          <w:rStyle w:val="FootnoteReference"/>
        </w:rPr>
        <w:footnoteRef/>
      </w:r>
      <w:r w:rsidRPr="00042799">
        <w:t xml:space="preserve"> </w:t>
      </w:r>
      <w:r w:rsidRPr="00042799">
        <w:rPr>
          <w:lang w:val="en-US"/>
        </w:rPr>
        <w:t>Sequestration is the act of temporarily taking possession of someone’s property until they have paid a debt or complied with a court order</w:t>
      </w:r>
      <w:r>
        <w:rPr>
          <w:lang w:val="en-US"/>
        </w:rPr>
        <w:t xml:space="preserve">. </w:t>
      </w:r>
      <w:r w:rsidRPr="005875F0">
        <w:rPr>
          <w:lang w:val="en-US"/>
        </w:rPr>
        <w:t>Definition</w:t>
      </w:r>
      <w:r w:rsidRPr="00D257FA">
        <w:rPr>
          <w:lang w:val="en-US"/>
        </w:rPr>
        <w:t xml:space="preserve"> taken from: ‘Sequestration’, accessed on 3 October, 2025, https://dictionary.cambridge.org/dictionary/english/sequestration</w:t>
      </w:r>
      <w:r>
        <w:rPr>
          <w:lang w:val="en-US"/>
        </w:rPr>
        <w:t>.</w:t>
      </w:r>
    </w:p>
  </w:footnote>
  <w:footnote w:id="56">
    <w:p w14:paraId="3AB774AB" w14:textId="77777777" w:rsidR="00B642CB" w:rsidRPr="0017230A" w:rsidRDefault="00B642CB" w:rsidP="00B642CB">
      <w:pPr>
        <w:pStyle w:val="FootnoteText"/>
        <w:rPr>
          <w:lang w:val="nl-BE"/>
        </w:rPr>
      </w:pPr>
      <w:r w:rsidRPr="005E022C">
        <w:rPr>
          <w:rStyle w:val="FootnoteReference"/>
          <w:rFonts w:cstheme="minorHAnsi"/>
        </w:rPr>
        <w:footnoteRef/>
      </w:r>
      <w:r w:rsidRPr="0017230A">
        <w:rPr>
          <w:lang w:val="nl-BE"/>
        </w:rPr>
        <w:t xml:space="preserve"> Jan van den Berghe, </w:t>
      </w:r>
      <w:r w:rsidRPr="0017230A">
        <w:rPr>
          <w:i/>
          <w:iCs/>
          <w:lang w:val="nl-BE"/>
        </w:rPr>
        <w:t>Dat Kaetspel Ghemoralizeert</w:t>
      </w:r>
      <w:r w:rsidRPr="0017230A">
        <w:rPr>
          <w:lang w:val="nl-BE"/>
        </w:rPr>
        <w:t xml:space="preserve">, </w:t>
      </w:r>
      <w:r>
        <w:rPr>
          <w:lang w:val="nl-BE"/>
        </w:rPr>
        <w:t>99</w:t>
      </w:r>
      <w:r w:rsidRPr="0017230A">
        <w:rPr>
          <w:lang w:val="nl-BE"/>
        </w:rPr>
        <w:t>-</w:t>
      </w:r>
      <w:r>
        <w:rPr>
          <w:lang w:val="nl-BE"/>
        </w:rPr>
        <w:t>10</w:t>
      </w:r>
      <w:r w:rsidRPr="0017230A">
        <w:rPr>
          <w:lang w:val="nl-BE"/>
        </w:rPr>
        <w:t>1.</w:t>
      </w:r>
    </w:p>
  </w:footnote>
  <w:footnote w:id="57">
    <w:p w14:paraId="2B03A574" w14:textId="77777777" w:rsidR="00B642CB" w:rsidRPr="00264225" w:rsidRDefault="00B642CB" w:rsidP="00B642CB">
      <w:pPr>
        <w:pStyle w:val="FootnoteText"/>
        <w:rPr>
          <w:lang w:val="fr-BE"/>
        </w:rPr>
      </w:pPr>
      <w:r>
        <w:rPr>
          <w:rStyle w:val="FootnoteReference"/>
        </w:rPr>
        <w:footnoteRef/>
      </w:r>
      <w:r w:rsidRPr="00264225">
        <w:rPr>
          <w:lang w:val="fr-BE"/>
        </w:rPr>
        <w:t xml:space="preserve"> </w:t>
      </w:r>
      <w:r w:rsidRPr="00B455B5">
        <w:rPr>
          <w:lang w:val="fr-BE"/>
        </w:rPr>
        <w:t xml:space="preserve">Paul Bertrand, Les </w:t>
      </w:r>
      <w:r>
        <w:rPr>
          <w:lang w:val="fr-BE"/>
        </w:rPr>
        <w:t>écritures ordinaires: Sociologie d’un temps de révolution documentaire (1250-1350) (Publications de la Sorbonne, 2015).</w:t>
      </w:r>
    </w:p>
  </w:footnote>
  <w:footnote w:id="58">
    <w:p w14:paraId="45EF2B1B" w14:textId="77777777" w:rsidR="00B642CB" w:rsidRPr="00EC56CF" w:rsidRDefault="00B642CB" w:rsidP="00B642CB">
      <w:pPr>
        <w:pStyle w:val="FootnoteText"/>
        <w:rPr>
          <w:lang w:val="en-US"/>
        </w:rPr>
      </w:pPr>
      <w:r>
        <w:rPr>
          <w:rStyle w:val="FootnoteReference"/>
        </w:rPr>
        <w:footnoteRef/>
      </w:r>
      <w:r w:rsidRPr="004E073C">
        <w:rPr>
          <w:lang w:val="en-US"/>
        </w:rPr>
        <w:t xml:space="preserve"> </w:t>
      </w:r>
      <w:r w:rsidRPr="005E022C">
        <w:rPr>
          <w:lang w:val="en-US"/>
        </w:rPr>
        <w:t>Epurescu-Pascovici, ‘From Auditing of Accounts</w:t>
      </w:r>
      <w:r>
        <w:rPr>
          <w:lang w:val="en-US"/>
        </w:rPr>
        <w:t xml:space="preserve">’, 8. </w:t>
      </w:r>
    </w:p>
  </w:footnote>
  <w:footnote w:id="59">
    <w:p w14:paraId="03558E18" w14:textId="77777777" w:rsidR="00B642CB" w:rsidRPr="00CF0310" w:rsidRDefault="00B642CB" w:rsidP="00B642CB">
      <w:pPr>
        <w:pStyle w:val="FootnoteText"/>
        <w:rPr>
          <w:lang w:val="nl-BE"/>
        </w:rPr>
      </w:pPr>
      <w:r>
        <w:rPr>
          <w:rStyle w:val="FootnoteReference"/>
        </w:rPr>
        <w:footnoteRef/>
      </w:r>
      <w:r w:rsidRPr="00CF324A">
        <w:rPr>
          <w:lang w:val="nl-BE"/>
        </w:rPr>
        <w:t xml:space="preserve"> Egied Idesbald Strubbe, ‘De verordening van 1483 voor den Raad van Vlaanderen’, </w:t>
      </w:r>
      <w:r w:rsidRPr="00CF324A">
        <w:rPr>
          <w:i/>
          <w:iCs/>
          <w:lang w:val="nl-BE"/>
        </w:rPr>
        <w:t xml:space="preserve">Annales de la Société </w:t>
      </w:r>
      <w:proofErr w:type="spellStart"/>
      <w:r w:rsidRPr="00CF324A">
        <w:rPr>
          <w:i/>
          <w:iCs/>
          <w:lang w:val="nl-BE"/>
        </w:rPr>
        <w:t>d’emulation</w:t>
      </w:r>
      <w:proofErr w:type="spellEnd"/>
      <w:r w:rsidRPr="00CF324A">
        <w:rPr>
          <w:i/>
          <w:iCs/>
          <w:lang w:val="nl-BE"/>
        </w:rPr>
        <w:t xml:space="preserve"> de Bruge</w:t>
      </w:r>
      <w:r w:rsidRPr="00CF324A">
        <w:rPr>
          <w:lang w:val="nl-BE"/>
        </w:rPr>
        <w:t>s 74 (1931)</w:t>
      </w:r>
      <w:r>
        <w:rPr>
          <w:lang w:val="nl-BE"/>
        </w:rPr>
        <w:t>: 160-82 (</w:t>
      </w:r>
      <w:r w:rsidRPr="00CF324A">
        <w:rPr>
          <w:lang w:val="nl-BE"/>
        </w:rPr>
        <w:t>171</w:t>
      </w:r>
      <w:r>
        <w:rPr>
          <w:lang w:val="nl-BE"/>
        </w:rPr>
        <w:t>)</w:t>
      </w:r>
      <w:r w:rsidRPr="00CF324A">
        <w:rPr>
          <w:lang w:val="nl-BE"/>
        </w:rPr>
        <w:t>.</w:t>
      </w:r>
      <w:r>
        <w:rPr>
          <w:lang w:val="nl-BE"/>
        </w:rPr>
        <w:t xml:space="preserve"> </w:t>
      </w:r>
      <w:r w:rsidRPr="00676098">
        <w:rPr>
          <w:lang w:val="nl-BE"/>
        </w:rPr>
        <w:t xml:space="preserve">For more information on the office of </w:t>
      </w:r>
      <w:r w:rsidRPr="00676098">
        <w:rPr>
          <w:i/>
          <w:iCs/>
          <w:lang w:val="nl-BE"/>
        </w:rPr>
        <w:t xml:space="preserve">procureur </w:t>
      </w:r>
      <w:r w:rsidRPr="00676098">
        <w:rPr>
          <w:lang w:val="nl-BE"/>
        </w:rPr>
        <w:t xml:space="preserve">and the Council of Flanders more </w:t>
      </w:r>
      <w:proofErr w:type="spellStart"/>
      <w:r w:rsidRPr="00676098">
        <w:rPr>
          <w:lang w:val="nl-BE"/>
        </w:rPr>
        <w:t>generally</w:t>
      </w:r>
      <w:proofErr w:type="spellEnd"/>
      <w:r w:rsidRPr="00676098">
        <w:rPr>
          <w:lang w:val="nl-BE"/>
        </w:rPr>
        <w:t>, see</w:t>
      </w:r>
      <w:r>
        <w:rPr>
          <w:lang w:val="nl-BE"/>
        </w:rPr>
        <w:t xml:space="preserve"> </w:t>
      </w:r>
      <w:r w:rsidRPr="00CF0310">
        <w:rPr>
          <w:lang w:val="nl-BE"/>
        </w:rPr>
        <w:t xml:space="preserve">Paul Van Peteghem, ‘Raad van Vlaanderen’, in </w:t>
      </w:r>
      <w:r w:rsidRPr="00CF0310">
        <w:rPr>
          <w:i/>
          <w:iCs/>
          <w:lang w:val="nl-BE"/>
        </w:rPr>
        <w:t>De gewestelijke en lokale overheidsinstellingen in Vlaanderen</w:t>
      </w:r>
      <w:r w:rsidRPr="00CF0310">
        <w:rPr>
          <w:lang w:val="nl-BE"/>
        </w:rPr>
        <w:t xml:space="preserve"> </w:t>
      </w:r>
      <w:r w:rsidRPr="00CF0310">
        <w:rPr>
          <w:i/>
          <w:iCs/>
          <w:lang w:val="nl-BE"/>
        </w:rPr>
        <w:t>tot</w:t>
      </w:r>
      <w:r w:rsidRPr="00CF0310">
        <w:rPr>
          <w:lang w:val="nl-BE"/>
        </w:rPr>
        <w:t xml:space="preserve"> </w:t>
      </w:r>
      <w:r w:rsidRPr="00CF0310">
        <w:rPr>
          <w:i/>
          <w:iCs/>
          <w:lang w:val="nl-BE"/>
        </w:rPr>
        <w:t>1795</w:t>
      </w:r>
      <w:r w:rsidRPr="00CF0310">
        <w:rPr>
          <w:lang w:val="nl-BE"/>
        </w:rPr>
        <w:t>, ed. Walter Prevenier</w:t>
      </w:r>
      <w:r>
        <w:rPr>
          <w:lang w:val="nl-BE"/>
        </w:rPr>
        <w:t xml:space="preserve"> </w:t>
      </w:r>
      <w:r w:rsidRPr="00CF0310">
        <w:rPr>
          <w:lang w:val="nl-BE"/>
        </w:rPr>
        <w:t>and Beatrijs Augustyn</w:t>
      </w:r>
      <w:r>
        <w:rPr>
          <w:lang w:val="nl-BE"/>
        </w:rPr>
        <w:t xml:space="preserve"> </w:t>
      </w:r>
      <w:r w:rsidRPr="00CF0310">
        <w:rPr>
          <w:lang w:val="nl-BE"/>
        </w:rPr>
        <w:t>(Algemeen Rijksarchief, 1997), 131</w:t>
      </w:r>
      <w:r>
        <w:rPr>
          <w:lang w:val="nl-BE"/>
        </w:rPr>
        <w:t>-</w:t>
      </w:r>
      <w:r w:rsidRPr="00CF0310">
        <w:rPr>
          <w:lang w:val="nl-BE"/>
        </w:rPr>
        <w:t>56.</w:t>
      </w:r>
    </w:p>
  </w:footnote>
  <w:footnote w:id="60">
    <w:p w14:paraId="0438D5AF" w14:textId="77777777" w:rsidR="00B642CB" w:rsidRPr="0025451C" w:rsidRDefault="00B642CB" w:rsidP="00B642CB">
      <w:pPr>
        <w:pStyle w:val="FootnoteText"/>
        <w:rPr>
          <w:lang w:val="nl-BE"/>
        </w:rPr>
      </w:pPr>
      <w:r>
        <w:rPr>
          <w:rStyle w:val="FootnoteReference"/>
        </w:rPr>
        <w:footnoteRef/>
      </w:r>
      <w:r w:rsidRPr="0025451C">
        <w:rPr>
          <w:lang w:val="nl-BE"/>
        </w:rPr>
        <w:t xml:space="preserve"> </w:t>
      </w:r>
      <w:r w:rsidRPr="00916238">
        <w:rPr>
          <w:lang w:val="nl-BE"/>
        </w:rPr>
        <w:t xml:space="preserve">For more information </w:t>
      </w:r>
      <w:r>
        <w:rPr>
          <w:lang w:val="nl-BE"/>
        </w:rPr>
        <w:t>o</w:t>
      </w:r>
      <w:r w:rsidRPr="00916238">
        <w:rPr>
          <w:lang w:val="nl-BE"/>
        </w:rPr>
        <w:t>n the office of bailiff</w:t>
      </w:r>
      <w:r>
        <w:rPr>
          <w:lang w:val="nl-BE"/>
        </w:rPr>
        <w:t>,</w:t>
      </w:r>
      <w:r w:rsidRPr="00916238">
        <w:rPr>
          <w:lang w:val="nl-BE"/>
        </w:rPr>
        <w:t xml:space="preserve"> see Jan van Rompaey, </w:t>
      </w:r>
      <w:r w:rsidRPr="00916238">
        <w:rPr>
          <w:i/>
          <w:iCs/>
          <w:lang w:val="nl-BE"/>
        </w:rPr>
        <w:t>Het grafelijk baljuwsambt in Vlaanderen tijdens de Boergondische periode</w:t>
      </w:r>
      <w:r w:rsidRPr="00916238">
        <w:rPr>
          <w:lang w:val="nl-BE"/>
        </w:rPr>
        <w:t xml:space="preserve"> (Paleis der Academiën, 1967).</w:t>
      </w:r>
    </w:p>
  </w:footnote>
  <w:footnote w:id="61">
    <w:p w14:paraId="136A5F70" w14:textId="77777777" w:rsidR="00B642CB" w:rsidRPr="00D257FA" w:rsidRDefault="00B642CB" w:rsidP="00B642CB">
      <w:pPr>
        <w:pStyle w:val="FootnoteText"/>
        <w:rPr>
          <w:lang w:val="nl-BE"/>
        </w:rPr>
      </w:pPr>
      <w:r>
        <w:rPr>
          <w:rStyle w:val="FootnoteReference"/>
        </w:rPr>
        <w:footnoteRef/>
      </w:r>
      <w:r>
        <w:rPr>
          <w:lang w:val="fr-BE"/>
        </w:rPr>
        <w:t xml:space="preserve"> Lille, </w:t>
      </w:r>
      <w:r w:rsidRPr="009C6487">
        <w:rPr>
          <w:lang w:val="fr-BE"/>
        </w:rPr>
        <w:t>Archives départementales du Nord</w:t>
      </w:r>
      <w:r>
        <w:rPr>
          <w:lang w:val="fr-BE"/>
        </w:rPr>
        <w:t xml:space="preserve"> (ADN)</w:t>
      </w:r>
      <w:r w:rsidRPr="009C6487">
        <w:rPr>
          <w:lang w:val="fr-BE"/>
        </w:rPr>
        <w:t xml:space="preserve"> B 32, f</w:t>
      </w:r>
      <w:r>
        <w:rPr>
          <w:lang w:val="fr-BE"/>
        </w:rPr>
        <w:t xml:space="preserve">ol. </w:t>
      </w:r>
      <w:r w:rsidRPr="009C6487">
        <w:rPr>
          <w:lang w:val="fr-BE"/>
        </w:rPr>
        <w:t>23</w:t>
      </w:r>
      <w:r>
        <w:rPr>
          <w:lang w:val="fr-BE"/>
        </w:rPr>
        <w:t>r</w:t>
      </w:r>
      <w:r w:rsidRPr="009C6487">
        <w:rPr>
          <w:lang w:val="fr-BE"/>
        </w:rPr>
        <w:t xml:space="preserve">. </w:t>
      </w:r>
      <w:r w:rsidRPr="00D257FA">
        <w:rPr>
          <w:lang w:val="nl-BE"/>
        </w:rPr>
        <w:t xml:space="preserve">Also </w:t>
      </w:r>
      <w:proofErr w:type="spellStart"/>
      <w:r w:rsidRPr="00D257FA">
        <w:rPr>
          <w:lang w:val="nl-BE"/>
        </w:rPr>
        <w:t>published</w:t>
      </w:r>
      <w:proofErr w:type="spellEnd"/>
      <w:r w:rsidRPr="00D257FA">
        <w:rPr>
          <w:lang w:val="nl-BE"/>
        </w:rPr>
        <w:t xml:space="preserve"> in: Van Rompaey, </w:t>
      </w:r>
      <w:r w:rsidRPr="00D257FA">
        <w:rPr>
          <w:i/>
          <w:iCs/>
          <w:lang w:val="nl-BE"/>
        </w:rPr>
        <w:t>Het grafelijk baljuwsambt</w:t>
      </w:r>
      <w:r w:rsidRPr="00D257FA">
        <w:rPr>
          <w:lang w:val="nl-BE"/>
        </w:rPr>
        <w:t>, 589.</w:t>
      </w:r>
    </w:p>
  </w:footnote>
  <w:footnote w:id="62">
    <w:p w14:paraId="72DBFC63" w14:textId="77777777" w:rsidR="00B642CB" w:rsidRPr="00D257FA" w:rsidRDefault="00B642CB" w:rsidP="00B642CB">
      <w:pPr>
        <w:pStyle w:val="FootnoteText"/>
        <w:rPr>
          <w:lang w:val="nl-BE"/>
        </w:rPr>
      </w:pPr>
      <w:r>
        <w:rPr>
          <w:rStyle w:val="FootnoteReference"/>
        </w:rPr>
        <w:footnoteRef/>
      </w:r>
      <w:r w:rsidRPr="00D257FA">
        <w:rPr>
          <w:lang w:val="nl-BE"/>
        </w:rPr>
        <w:t xml:space="preserve"> ABN, B 32, fol. 23</w:t>
      </w:r>
      <w:r>
        <w:rPr>
          <w:lang w:val="nl-BE"/>
        </w:rPr>
        <w:t>r</w:t>
      </w:r>
      <w:r w:rsidRPr="00D257FA">
        <w:rPr>
          <w:lang w:val="nl-BE"/>
        </w:rPr>
        <w:t>.</w:t>
      </w:r>
    </w:p>
  </w:footnote>
  <w:footnote w:id="63">
    <w:p w14:paraId="7C6E64B6" w14:textId="77777777" w:rsidR="00B642CB" w:rsidRPr="00D257FA" w:rsidRDefault="00B642CB" w:rsidP="00B642CB">
      <w:pPr>
        <w:pStyle w:val="FootnoteText"/>
        <w:rPr>
          <w:lang w:val="nl-BE"/>
        </w:rPr>
      </w:pPr>
      <w:r>
        <w:rPr>
          <w:rStyle w:val="FootnoteReference"/>
        </w:rPr>
        <w:footnoteRef/>
      </w:r>
      <w:r w:rsidRPr="00D257FA">
        <w:rPr>
          <w:lang w:val="nl-BE"/>
        </w:rPr>
        <w:t xml:space="preserve"> ABN, B 32, fol. 23</w:t>
      </w:r>
      <w:r>
        <w:rPr>
          <w:lang w:val="nl-BE"/>
        </w:rPr>
        <w:t>r</w:t>
      </w:r>
      <w:r w:rsidRPr="00D257FA">
        <w:rPr>
          <w:lang w:val="nl-BE"/>
        </w:rPr>
        <w:t>.</w:t>
      </w:r>
    </w:p>
  </w:footnote>
  <w:footnote w:id="64">
    <w:p w14:paraId="321A98F9" w14:textId="77777777" w:rsidR="00B642CB" w:rsidRPr="00676098" w:rsidRDefault="00B642CB" w:rsidP="00B642CB">
      <w:pPr>
        <w:pStyle w:val="FootnoteText"/>
        <w:rPr>
          <w:lang w:val="nl-BE"/>
        </w:rPr>
      </w:pPr>
      <w:r>
        <w:rPr>
          <w:rStyle w:val="FootnoteReference"/>
        </w:rPr>
        <w:footnoteRef/>
      </w:r>
      <w:r w:rsidRPr="00563771">
        <w:rPr>
          <w:lang w:val="nl-BE"/>
        </w:rPr>
        <w:t xml:space="preserve"> Carlos Wyffels and André Vandewalle, </w:t>
      </w:r>
      <w:r w:rsidRPr="00916238">
        <w:rPr>
          <w:i/>
          <w:iCs/>
          <w:lang w:val="nl-BE"/>
        </w:rPr>
        <w:t>De rekeningen van de stad Brugge (1280-1319)</w:t>
      </w:r>
      <w:r>
        <w:rPr>
          <w:i/>
          <w:iCs/>
          <w:lang w:val="nl-BE"/>
        </w:rPr>
        <w:t>:</w:t>
      </w:r>
      <w:r w:rsidRPr="00916238">
        <w:rPr>
          <w:i/>
          <w:iCs/>
          <w:lang w:val="nl-BE"/>
        </w:rPr>
        <w:t xml:space="preserve"> </w:t>
      </w:r>
      <w:r w:rsidRPr="00FF6D4B">
        <w:rPr>
          <w:i/>
          <w:iCs/>
          <w:lang w:val="nl-BE"/>
        </w:rPr>
        <w:t xml:space="preserve">Eerste deel, eerste stuk </w:t>
      </w:r>
      <w:r w:rsidRPr="00FF6D4B">
        <w:rPr>
          <w:lang w:val="nl-BE"/>
        </w:rPr>
        <w:t>(Paleis der Academiën, 1965)</w:t>
      </w:r>
      <w:r>
        <w:rPr>
          <w:lang w:val="nl-BE"/>
        </w:rPr>
        <w:t xml:space="preserve">; </w:t>
      </w:r>
      <w:r w:rsidRPr="00FF6D4B">
        <w:rPr>
          <w:lang w:val="nl-BE"/>
        </w:rPr>
        <w:t>Robert Stein, ‘Rekenschap en ‘informacie’</w:t>
      </w:r>
      <w:r>
        <w:rPr>
          <w:lang w:val="nl-BE"/>
        </w:rPr>
        <w:t>:</w:t>
      </w:r>
      <w:r w:rsidRPr="00FF6D4B">
        <w:rPr>
          <w:lang w:val="nl-BE"/>
        </w:rPr>
        <w:t xml:space="preserve"> </w:t>
      </w:r>
      <w:r w:rsidRPr="00916238">
        <w:rPr>
          <w:lang w:val="nl-BE"/>
        </w:rPr>
        <w:t xml:space="preserve">De verspreiding van stadsrekeningen in Holland anno 1514’, in </w:t>
      </w:r>
      <w:r w:rsidRPr="00916238">
        <w:rPr>
          <w:i/>
          <w:iCs/>
          <w:lang w:val="nl-BE"/>
        </w:rPr>
        <w:t xml:space="preserve">Macht, bezit en ruimte: </w:t>
      </w:r>
      <w:r>
        <w:rPr>
          <w:i/>
          <w:iCs/>
          <w:lang w:val="nl-BE"/>
        </w:rPr>
        <w:t>O</w:t>
      </w:r>
      <w:r w:rsidRPr="00916238">
        <w:rPr>
          <w:i/>
          <w:iCs/>
          <w:lang w:val="nl-BE"/>
        </w:rPr>
        <w:t>pstellen over de Noordelijke Nederlanden in de Middeleeuwen</w:t>
      </w:r>
      <w:r>
        <w:rPr>
          <w:i/>
          <w:iCs/>
          <w:lang w:val="nl-BE"/>
        </w:rPr>
        <w:t>.</w:t>
      </w:r>
      <w:r w:rsidRPr="00916238">
        <w:rPr>
          <w:i/>
          <w:iCs/>
          <w:lang w:val="nl-BE"/>
        </w:rPr>
        <w:t xml:space="preserve"> </w:t>
      </w:r>
      <w:r>
        <w:rPr>
          <w:i/>
          <w:iCs/>
          <w:lang w:val="nl-BE"/>
        </w:rPr>
        <w:t>A</w:t>
      </w:r>
      <w:r w:rsidRPr="00916238">
        <w:rPr>
          <w:i/>
          <w:iCs/>
          <w:lang w:val="nl-BE"/>
        </w:rPr>
        <w:t>angeboden aan Hans Mol bij zijn afscheid als bijzonder hoogleraar Geschiedenis van de Friese Landen in de Middeleeuwen aan de Universiteit Leiden</w:t>
      </w:r>
      <w:r w:rsidRPr="00916238">
        <w:rPr>
          <w:lang w:val="nl-BE"/>
        </w:rPr>
        <w:t xml:space="preserve">, ed. </w:t>
      </w:r>
      <w:r w:rsidRPr="00676098">
        <w:rPr>
          <w:lang w:val="nl-BE"/>
        </w:rPr>
        <w:t xml:space="preserve">Hildo Van </w:t>
      </w:r>
      <w:proofErr w:type="spellStart"/>
      <w:r w:rsidRPr="00676098">
        <w:rPr>
          <w:lang w:val="nl-BE"/>
        </w:rPr>
        <w:t>Engen</w:t>
      </w:r>
      <w:proofErr w:type="spellEnd"/>
      <w:r>
        <w:rPr>
          <w:lang w:val="nl-BE"/>
        </w:rPr>
        <w:t xml:space="preserve"> </w:t>
      </w:r>
      <w:r w:rsidRPr="00676098">
        <w:rPr>
          <w:lang w:val="nl-BE"/>
        </w:rPr>
        <w:t>and Han Nijdam (Verloren, 2021), 195-206.</w:t>
      </w:r>
    </w:p>
  </w:footnote>
  <w:footnote w:id="65">
    <w:p w14:paraId="416B4FDD" w14:textId="77777777" w:rsidR="00B642CB" w:rsidRPr="001003D2" w:rsidRDefault="00B642CB" w:rsidP="00B642CB">
      <w:pPr>
        <w:pStyle w:val="FootnoteText"/>
        <w:rPr>
          <w:lang w:val="fr-BE"/>
        </w:rPr>
      </w:pPr>
      <w:r>
        <w:rPr>
          <w:rStyle w:val="FootnoteReference"/>
        </w:rPr>
        <w:footnoteRef/>
      </w:r>
      <w:r w:rsidRPr="00F95F92">
        <w:rPr>
          <w:lang w:val="nl-BE"/>
        </w:rPr>
        <w:t xml:space="preserve"> Joseph Octave Delepierre, ‘Analectes brugeoises: III. </w:t>
      </w:r>
      <w:r w:rsidRPr="001003D2">
        <w:rPr>
          <w:lang w:val="fr-BE"/>
        </w:rPr>
        <w:t xml:space="preserve">Marie de Bourgogne et Maximilien’, </w:t>
      </w:r>
      <w:r w:rsidRPr="001003D2">
        <w:rPr>
          <w:i/>
          <w:iCs/>
          <w:lang w:val="fr-BE"/>
        </w:rPr>
        <w:t>Annales de la Société d’Émulation de Bruges</w:t>
      </w:r>
      <w:r w:rsidRPr="001003D2">
        <w:rPr>
          <w:lang w:val="fr-BE"/>
        </w:rPr>
        <w:t xml:space="preserve"> 4 (1842): </w:t>
      </w:r>
      <w:r>
        <w:rPr>
          <w:lang w:val="fr-BE"/>
        </w:rPr>
        <w:t>215-49 (</w:t>
      </w:r>
      <w:r w:rsidRPr="001003D2">
        <w:rPr>
          <w:lang w:val="fr-BE"/>
        </w:rPr>
        <w:t>246</w:t>
      </w:r>
      <w:r>
        <w:rPr>
          <w:lang w:val="fr-BE"/>
        </w:rPr>
        <w:t>)</w:t>
      </w:r>
      <w:r w:rsidRPr="001003D2">
        <w:rPr>
          <w:lang w:val="fr-BE"/>
        </w:rPr>
        <w:t>.</w:t>
      </w:r>
    </w:p>
  </w:footnote>
  <w:footnote w:id="66">
    <w:p w14:paraId="4CE3AF18" w14:textId="77777777" w:rsidR="00B642CB" w:rsidRPr="00F95F92" w:rsidRDefault="00B642CB" w:rsidP="00B642CB">
      <w:pPr>
        <w:pStyle w:val="FootnoteText"/>
        <w:rPr>
          <w:lang w:val="en-US"/>
        </w:rPr>
      </w:pPr>
      <w:r>
        <w:rPr>
          <w:rStyle w:val="FootnoteReference"/>
        </w:rPr>
        <w:footnoteRef/>
      </w:r>
      <w:r w:rsidRPr="00F95F92">
        <w:rPr>
          <w:lang w:val="nl-BE"/>
        </w:rPr>
        <w:t xml:space="preserve"> Philip Wielant, Filips Wielant. </w:t>
      </w:r>
      <w:r w:rsidRPr="00630885">
        <w:rPr>
          <w:lang w:val="nl-BE"/>
        </w:rPr>
        <w:t>Verzameld werk. I Corte instructie in materie criminele. Uitgegeven en toegelicht,</w:t>
      </w:r>
      <w:r>
        <w:rPr>
          <w:lang w:val="nl-BE"/>
        </w:rPr>
        <w:t xml:space="preserve"> ed. </w:t>
      </w:r>
      <w:r w:rsidRPr="00F95F92">
        <w:rPr>
          <w:lang w:val="en-US"/>
        </w:rPr>
        <w:t>Jos Monballyu (</w:t>
      </w:r>
      <w:proofErr w:type="spellStart"/>
      <w:r w:rsidRPr="00F95F92">
        <w:rPr>
          <w:lang w:val="en-US"/>
        </w:rPr>
        <w:t>Paleis</w:t>
      </w:r>
      <w:proofErr w:type="spellEnd"/>
      <w:r w:rsidRPr="00F95F92">
        <w:rPr>
          <w:lang w:val="en-US"/>
        </w:rPr>
        <w:t xml:space="preserve"> der </w:t>
      </w:r>
      <w:proofErr w:type="spellStart"/>
      <w:r w:rsidRPr="00F95F92">
        <w:rPr>
          <w:lang w:val="en-US"/>
        </w:rPr>
        <w:t>Academiën</w:t>
      </w:r>
      <w:proofErr w:type="spellEnd"/>
      <w:r w:rsidRPr="00F95F92">
        <w:rPr>
          <w:lang w:val="en-US"/>
        </w:rPr>
        <w:t>, 1995), 250.</w:t>
      </w:r>
    </w:p>
  </w:footnote>
  <w:footnote w:id="67">
    <w:p w14:paraId="55C11571" w14:textId="77777777" w:rsidR="00B642CB" w:rsidRPr="00F95F92" w:rsidRDefault="00B642CB" w:rsidP="00B642CB">
      <w:pPr>
        <w:pStyle w:val="FootnoteText"/>
        <w:rPr>
          <w:lang w:val="en-US"/>
        </w:rPr>
      </w:pPr>
      <w:r w:rsidRPr="005E022C">
        <w:rPr>
          <w:rStyle w:val="FootnoteReference"/>
        </w:rPr>
        <w:footnoteRef/>
      </w:r>
      <w:r w:rsidRPr="00F95F92">
        <w:rPr>
          <w:lang w:val="en-US"/>
        </w:rPr>
        <w:t xml:space="preserve"> Sabapathy, </w:t>
      </w:r>
      <w:r w:rsidRPr="00210279">
        <w:rPr>
          <w:lang w:val="en-US"/>
        </w:rPr>
        <w:t>Officers and Accountability</w:t>
      </w:r>
      <w:r w:rsidRPr="00F95F92">
        <w:rPr>
          <w:lang w:val="en-US"/>
        </w:rPr>
        <w:t>, 233-</w:t>
      </w:r>
      <w:r>
        <w:rPr>
          <w:lang w:val="en-US"/>
        </w:rPr>
        <w:t>3</w:t>
      </w:r>
      <w:r w:rsidRPr="00F95F92">
        <w:rPr>
          <w:lang w:val="en-US"/>
        </w:rPr>
        <w:t>6.</w:t>
      </w:r>
    </w:p>
  </w:footnote>
  <w:footnote w:id="68">
    <w:p w14:paraId="6B607534" w14:textId="77777777" w:rsidR="00B642CB" w:rsidRPr="00F95F92" w:rsidRDefault="00B642CB" w:rsidP="00B642CB">
      <w:pPr>
        <w:pStyle w:val="FootnoteText"/>
        <w:rPr>
          <w:lang w:val="en-US"/>
        </w:rPr>
      </w:pPr>
      <w:r w:rsidRPr="005E022C">
        <w:rPr>
          <w:rStyle w:val="FootnoteReference"/>
        </w:rPr>
        <w:footnoteRef/>
      </w:r>
      <w:r w:rsidRPr="00F95F92">
        <w:rPr>
          <w:lang w:val="en-US"/>
        </w:rPr>
        <w:t xml:space="preserve"> Strubbe, ‘De </w:t>
      </w:r>
      <w:proofErr w:type="spellStart"/>
      <w:r w:rsidRPr="00F95F92">
        <w:rPr>
          <w:lang w:val="en-US"/>
        </w:rPr>
        <w:t>verordening</w:t>
      </w:r>
      <w:proofErr w:type="spellEnd"/>
      <w:r w:rsidRPr="00F95F92">
        <w:rPr>
          <w:lang w:val="en-US"/>
        </w:rPr>
        <w:t xml:space="preserve"> van 1483’, 171.</w:t>
      </w:r>
    </w:p>
  </w:footnote>
  <w:footnote w:id="69">
    <w:p w14:paraId="6E7D2DF8" w14:textId="77777777" w:rsidR="00B642CB" w:rsidRPr="00916238" w:rsidRDefault="00B642CB" w:rsidP="00B642CB">
      <w:pPr>
        <w:pStyle w:val="FootnoteText"/>
        <w:rPr>
          <w:lang w:val="nl-BE"/>
        </w:rPr>
      </w:pPr>
      <w:r w:rsidRPr="005E022C">
        <w:rPr>
          <w:rStyle w:val="FootnoteReference"/>
        </w:rPr>
        <w:footnoteRef/>
      </w:r>
      <w:r w:rsidRPr="00916238">
        <w:rPr>
          <w:lang w:val="nl-BE"/>
        </w:rPr>
        <w:t xml:space="preserve"> </w:t>
      </w:r>
      <w:proofErr w:type="spellStart"/>
      <w:r>
        <w:rPr>
          <w:lang w:val="nl-BE"/>
        </w:rPr>
        <w:t>P</w:t>
      </w:r>
      <w:r w:rsidRPr="00916238">
        <w:rPr>
          <w:lang w:val="nl-BE"/>
        </w:rPr>
        <w:t>ublished</w:t>
      </w:r>
      <w:proofErr w:type="spellEnd"/>
      <w:r w:rsidRPr="00916238">
        <w:rPr>
          <w:lang w:val="nl-BE"/>
        </w:rPr>
        <w:t xml:space="preserve"> in: Van Rompaey, </w:t>
      </w:r>
      <w:r w:rsidRPr="00916238">
        <w:rPr>
          <w:i/>
          <w:iCs/>
          <w:lang w:val="nl-BE"/>
        </w:rPr>
        <w:t>Het grafelijk baljuwsambt</w:t>
      </w:r>
      <w:r w:rsidRPr="00916238">
        <w:rPr>
          <w:lang w:val="nl-BE"/>
        </w:rPr>
        <w:t>, 321</w:t>
      </w:r>
      <w:r>
        <w:rPr>
          <w:lang w:val="nl-BE"/>
        </w:rPr>
        <w:t xml:space="preserve">, </w:t>
      </w:r>
      <w:proofErr w:type="spellStart"/>
      <w:r w:rsidRPr="00676098">
        <w:rPr>
          <w:lang w:val="nl-BE"/>
        </w:rPr>
        <w:t>footnote</w:t>
      </w:r>
      <w:proofErr w:type="spellEnd"/>
      <w:r w:rsidRPr="00676098">
        <w:rPr>
          <w:lang w:val="nl-BE"/>
        </w:rPr>
        <w:t xml:space="preserve"> 5. </w:t>
      </w:r>
    </w:p>
  </w:footnote>
  <w:footnote w:id="70">
    <w:p w14:paraId="53597A74" w14:textId="77777777" w:rsidR="00B642CB" w:rsidRPr="00916238" w:rsidRDefault="00B642CB" w:rsidP="00B642CB">
      <w:pPr>
        <w:pStyle w:val="FootnoteText"/>
        <w:rPr>
          <w:lang w:val="nl-BE"/>
        </w:rPr>
      </w:pPr>
      <w:r w:rsidRPr="005E022C">
        <w:rPr>
          <w:rStyle w:val="FootnoteReference"/>
        </w:rPr>
        <w:footnoteRef/>
      </w:r>
      <w:r w:rsidRPr="00916238">
        <w:rPr>
          <w:lang w:val="nl-BE"/>
        </w:rPr>
        <w:t xml:space="preserve"> Van Rompaey, </w:t>
      </w:r>
      <w:r w:rsidRPr="00467446">
        <w:rPr>
          <w:i/>
          <w:iCs/>
          <w:lang w:val="nl-BE"/>
        </w:rPr>
        <w:t>Het grafelijk baljuwsamb</w:t>
      </w:r>
      <w:r w:rsidRPr="00916238">
        <w:rPr>
          <w:lang w:val="nl-BE"/>
        </w:rPr>
        <w:t>t, 405-20.</w:t>
      </w:r>
    </w:p>
  </w:footnote>
  <w:footnote w:id="71">
    <w:p w14:paraId="2ABB9B9E" w14:textId="77777777" w:rsidR="00B642CB" w:rsidRPr="00683D0F" w:rsidRDefault="00B642CB" w:rsidP="00B642CB">
      <w:pPr>
        <w:pStyle w:val="FootnoteText"/>
        <w:rPr>
          <w:lang w:val="en-US"/>
        </w:rPr>
      </w:pPr>
      <w:r w:rsidRPr="005E022C">
        <w:rPr>
          <w:rStyle w:val="FootnoteReference"/>
        </w:rPr>
        <w:footnoteRef/>
      </w:r>
      <w:r w:rsidRPr="00683D0F">
        <w:rPr>
          <w:lang w:val="en-US"/>
        </w:rPr>
        <w:t xml:space="preserve"> For more information on</w:t>
      </w:r>
      <w:r>
        <w:rPr>
          <w:lang w:val="en-US"/>
        </w:rPr>
        <w:t xml:space="preserve"> the county of Holland</w:t>
      </w:r>
      <w:r w:rsidRPr="00683D0F">
        <w:rPr>
          <w:lang w:val="en-US"/>
        </w:rPr>
        <w:t xml:space="preserve"> see Thimo De Nijs and Eelco Beukers, </w:t>
      </w:r>
      <w:r w:rsidRPr="00683D0F">
        <w:rPr>
          <w:i/>
          <w:iCs/>
          <w:lang w:val="en-US"/>
        </w:rPr>
        <w:t xml:space="preserve">Geschiedenis van Holland </w:t>
      </w:r>
      <w:r w:rsidRPr="00683D0F">
        <w:rPr>
          <w:lang w:val="en-US"/>
        </w:rPr>
        <w:t>(</w:t>
      </w:r>
      <w:proofErr w:type="spellStart"/>
      <w:r w:rsidRPr="00683D0F">
        <w:rPr>
          <w:lang w:val="en-US"/>
        </w:rPr>
        <w:t>Verloren</w:t>
      </w:r>
      <w:proofErr w:type="spellEnd"/>
      <w:r w:rsidRPr="00683D0F">
        <w:rPr>
          <w:lang w:val="en-US"/>
        </w:rPr>
        <w:t>, 2002)</w:t>
      </w:r>
      <w:r>
        <w:rPr>
          <w:lang w:val="en-US"/>
        </w:rPr>
        <w:t>.</w:t>
      </w:r>
      <w:r w:rsidRPr="00683D0F">
        <w:rPr>
          <w:lang w:val="en-US"/>
        </w:rPr>
        <w:t xml:space="preserve"> </w:t>
      </w:r>
    </w:p>
  </w:footnote>
  <w:footnote w:id="72">
    <w:p w14:paraId="7A4DD051" w14:textId="77777777" w:rsidR="00B642CB" w:rsidRPr="00916238" w:rsidRDefault="00B642CB" w:rsidP="00B642CB">
      <w:pPr>
        <w:pStyle w:val="FootnoteText"/>
        <w:rPr>
          <w:lang w:val="nl-BE"/>
        </w:rPr>
      </w:pPr>
      <w:r w:rsidRPr="005E022C">
        <w:rPr>
          <w:rStyle w:val="FootnoteReference"/>
        </w:rPr>
        <w:footnoteRef/>
      </w:r>
      <w:r>
        <w:rPr>
          <w:lang w:val="nl-BE"/>
        </w:rPr>
        <w:t xml:space="preserve"> Philip Wielant,</w:t>
      </w:r>
      <w:r w:rsidRPr="00916238">
        <w:rPr>
          <w:lang w:val="nl-BE"/>
        </w:rPr>
        <w:t xml:space="preserve"> </w:t>
      </w:r>
      <w:r w:rsidRPr="00467446">
        <w:rPr>
          <w:lang w:val="nl-BE"/>
        </w:rPr>
        <w:t xml:space="preserve">Philips Wielant en diens </w:t>
      </w:r>
      <w:proofErr w:type="spellStart"/>
      <w:r w:rsidRPr="00467446">
        <w:rPr>
          <w:lang w:val="nl-BE"/>
        </w:rPr>
        <w:t>corte</w:t>
      </w:r>
      <w:proofErr w:type="spellEnd"/>
      <w:r w:rsidRPr="00467446">
        <w:rPr>
          <w:lang w:val="nl-BE"/>
        </w:rPr>
        <w:t xml:space="preserve"> instructie omme jonghe practisienen in civile zaken</w:t>
      </w:r>
      <w:r w:rsidRPr="00916238">
        <w:rPr>
          <w:lang w:val="nl-BE"/>
        </w:rPr>
        <w:t>,</w:t>
      </w:r>
      <w:r>
        <w:rPr>
          <w:lang w:val="nl-BE"/>
        </w:rPr>
        <w:t xml:space="preserve"> ed.</w:t>
      </w:r>
      <w:r>
        <w:rPr>
          <w:lang w:val="nl-BE"/>
        </w:rPr>
        <w:br/>
      </w:r>
      <w:r w:rsidRPr="00916238">
        <w:rPr>
          <w:lang w:val="nl-BE"/>
        </w:rPr>
        <w:t>Herbert Paul Schaap</w:t>
      </w:r>
      <w:r>
        <w:rPr>
          <w:lang w:val="nl-BE"/>
        </w:rPr>
        <w:t xml:space="preserve"> </w:t>
      </w:r>
      <w:r w:rsidRPr="00916238">
        <w:rPr>
          <w:lang w:val="nl-BE"/>
        </w:rPr>
        <w:t>(Tjeenk Willink, 1927), 128.</w:t>
      </w:r>
    </w:p>
  </w:footnote>
  <w:footnote w:id="73">
    <w:p w14:paraId="163D9E0D" w14:textId="77777777" w:rsidR="00B642CB" w:rsidRPr="0017230A" w:rsidRDefault="00B642CB" w:rsidP="00B642CB">
      <w:pPr>
        <w:pStyle w:val="FootnoteText"/>
        <w:rPr>
          <w:lang w:val="fr-BE"/>
        </w:rPr>
      </w:pPr>
      <w:r w:rsidRPr="005E022C">
        <w:rPr>
          <w:rStyle w:val="FootnoteReference"/>
          <w:rFonts w:cstheme="minorHAnsi"/>
        </w:rPr>
        <w:footnoteRef/>
      </w:r>
      <w:r w:rsidRPr="0017230A">
        <w:rPr>
          <w:lang w:val="fr-BE"/>
        </w:rPr>
        <w:t xml:space="preserve"> Philip Wielant, Philips Wielant en </w:t>
      </w:r>
      <w:r>
        <w:rPr>
          <w:lang w:val="fr-BE"/>
        </w:rPr>
        <w:t xml:space="preserve">diens </w:t>
      </w:r>
      <w:proofErr w:type="spellStart"/>
      <w:r>
        <w:rPr>
          <w:lang w:val="fr-BE"/>
        </w:rPr>
        <w:t>corte</w:t>
      </w:r>
      <w:proofErr w:type="spellEnd"/>
      <w:r>
        <w:rPr>
          <w:lang w:val="fr-BE"/>
        </w:rPr>
        <w:t xml:space="preserve"> instructie, </w:t>
      </w:r>
      <w:r w:rsidRPr="0017230A">
        <w:rPr>
          <w:lang w:val="fr-BE"/>
        </w:rPr>
        <w:t>127-</w:t>
      </w:r>
      <w:r>
        <w:rPr>
          <w:lang w:val="fr-BE"/>
        </w:rPr>
        <w:t>2</w:t>
      </w:r>
      <w:r w:rsidRPr="0017230A">
        <w:rPr>
          <w:lang w:val="fr-BE"/>
        </w:rPr>
        <w:t>8.</w:t>
      </w:r>
    </w:p>
  </w:footnote>
  <w:footnote w:id="74">
    <w:p w14:paraId="54E51E7B" w14:textId="77777777" w:rsidR="00B642CB" w:rsidRPr="00BE0A5A" w:rsidRDefault="00B642CB" w:rsidP="00B642CB">
      <w:pPr>
        <w:pStyle w:val="FootnoteText"/>
        <w:rPr>
          <w:lang w:val="en-US"/>
        </w:rPr>
      </w:pPr>
      <w:r w:rsidRPr="005E022C">
        <w:rPr>
          <w:rStyle w:val="FootnoteReference"/>
        </w:rPr>
        <w:footnoteRef/>
      </w:r>
      <w:r w:rsidRPr="00BE0A5A">
        <w:rPr>
          <w:lang w:val="fr-BE"/>
        </w:rPr>
        <w:t xml:space="preserve"> </w:t>
      </w:r>
      <w:r>
        <w:rPr>
          <w:lang w:val="fr-BE"/>
        </w:rPr>
        <w:t>Philip Wielant</w:t>
      </w:r>
      <w:r w:rsidRPr="005E022C">
        <w:rPr>
          <w:lang w:val="fr-BE"/>
        </w:rPr>
        <w:t>, ‘Recueil des antiquités de Flandre’, 130.</w:t>
      </w:r>
      <w:r>
        <w:rPr>
          <w:lang w:val="fr-BE"/>
        </w:rPr>
        <w:t xml:space="preserve"> </w:t>
      </w:r>
      <w:r w:rsidRPr="00BE0A5A">
        <w:rPr>
          <w:lang w:val="en-US"/>
        </w:rPr>
        <w:t xml:space="preserve">For more information on the </w:t>
      </w:r>
      <w:r>
        <w:rPr>
          <w:lang w:val="en-US"/>
        </w:rPr>
        <w:t xml:space="preserve">office of Controller of the Officers of Flanders see </w:t>
      </w:r>
      <w:r w:rsidRPr="00BE0A5A">
        <w:rPr>
          <w:lang w:val="en-US"/>
        </w:rPr>
        <w:t xml:space="preserve">Van Rompaey, </w:t>
      </w:r>
      <w:r w:rsidRPr="00BE0A5A">
        <w:rPr>
          <w:i/>
          <w:iCs/>
          <w:lang w:val="en-US"/>
        </w:rPr>
        <w:t xml:space="preserve">Het </w:t>
      </w:r>
      <w:proofErr w:type="spellStart"/>
      <w:r w:rsidRPr="00BE0A5A">
        <w:rPr>
          <w:i/>
          <w:iCs/>
          <w:lang w:val="en-US"/>
        </w:rPr>
        <w:t>grafelijk</w:t>
      </w:r>
      <w:proofErr w:type="spellEnd"/>
      <w:r w:rsidRPr="00BE0A5A">
        <w:rPr>
          <w:i/>
          <w:iCs/>
          <w:lang w:val="en-US"/>
        </w:rPr>
        <w:t xml:space="preserve"> baljuwsambt</w:t>
      </w:r>
      <w:r w:rsidRPr="00BE0A5A">
        <w:rPr>
          <w:lang w:val="en-US"/>
        </w:rPr>
        <w:t xml:space="preserve">, 405-20. </w:t>
      </w:r>
    </w:p>
  </w:footnote>
  <w:footnote w:id="75">
    <w:p w14:paraId="74CF32A4" w14:textId="77777777" w:rsidR="00B642CB" w:rsidRPr="00916238" w:rsidRDefault="00B642CB" w:rsidP="00B642CB">
      <w:pPr>
        <w:pStyle w:val="FootnoteText"/>
        <w:rPr>
          <w:lang w:val="nl-BE"/>
        </w:rPr>
      </w:pPr>
      <w:r w:rsidRPr="005E022C">
        <w:rPr>
          <w:rStyle w:val="FootnoteReference"/>
        </w:rPr>
        <w:footnoteRef/>
      </w:r>
      <w:r w:rsidRPr="00916238">
        <w:rPr>
          <w:lang w:val="nl-BE"/>
        </w:rPr>
        <w:t xml:space="preserve"> Van Rompaey, </w:t>
      </w:r>
      <w:r w:rsidRPr="006A54EE">
        <w:rPr>
          <w:lang w:val="nl-BE"/>
        </w:rPr>
        <w:t>Het grafelijk baljuwsambt</w:t>
      </w:r>
      <w:r w:rsidRPr="00916238">
        <w:rPr>
          <w:lang w:val="nl-BE"/>
        </w:rPr>
        <w:t>, 420-39.</w:t>
      </w:r>
    </w:p>
  </w:footnote>
  <w:footnote w:id="76">
    <w:p w14:paraId="4BD6B53D" w14:textId="77777777" w:rsidR="00B642CB" w:rsidRPr="00676098" w:rsidRDefault="00B642CB" w:rsidP="00B642CB">
      <w:pPr>
        <w:pStyle w:val="FootnoteText"/>
        <w:rPr>
          <w:lang w:val="nl-BE"/>
        </w:rPr>
      </w:pPr>
      <w:r w:rsidRPr="005E022C">
        <w:rPr>
          <w:rStyle w:val="FootnoteReference"/>
        </w:rPr>
        <w:footnoteRef/>
      </w:r>
      <w:r w:rsidRPr="00155030">
        <w:rPr>
          <w:lang w:val="nl-BE"/>
        </w:rPr>
        <w:t xml:space="preserve"> </w:t>
      </w:r>
      <w:r w:rsidRPr="00916238">
        <w:rPr>
          <w:lang w:val="nl-BE"/>
        </w:rPr>
        <w:t xml:space="preserve">Van Rompaey, </w:t>
      </w:r>
      <w:r w:rsidRPr="006A54EE">
        <w:rPr>
          <w:i/>
          <w:iCs/>
          <w:lang w:val="nl-BE"/>
        </w:rPr>
        <w:t>Het grafelijk baljuwsambt</w:t>
      </w:r>
      <w:r w:rsidRPr="00916238">
        <w:rPr>
          <w:lang w:val="nl-BE"/>
        </w:rPr>
        <w:t>,</w:t>
      </w:r>
      <w:r w:rsidRPr="00155030">
        <w:rPr>
          <w:lang w:val="nl-BE"/>
        </w:rPr>
        <w:t xml:space="preserve"> 427</w:t>
      </w:r>
      <w:r>
        <w:rPr>
          <w:lang w:val="nl-BE"/>
        </w:rPr>
        <w:t xml:space="preserve">, </w:t>
      </w:r>
      <w:proofErr w:type="spellStart"/>
      <w:r w:rsidRPr="00676098">
        <w:rPr>
          <w:lang w:val="nl-BE"/>
        </w:rPr>
        <w:t>footnote</w:t>
      </w:r>
      <w:proofErr w:type="spellEnd"/>
      <w:r w:rsidRPr="00676098">
        <w:rPr>
          <w:lang w:val="nl-BE"/>
        </w:rPr>
        <w:t xml:space="preserve"> 2. </w:t>
      </w:r>
    </w:p>
  </w:footnote>
  <w:footnote w:id="77">
    <w:p w14:paraId="06F3C226" w14:textId="77777777" w:rsidR="00B642CB" w:rsidRPr="0017230A" w:rsidRDefault="00B642CB" w:rsidP="00B642CB">
      <w:pPr>
        <w:spacing w:line="240" w:lineRule="auto"/>
        <w:jc w:val="both"/>
        <w:rPr>
          <w:sz w:val="20"/>
          <w:szCs w:val="20"/>
          <w:lang w:val="nl-BE"/>
        </w:rPr>
      </w:pPr>
      <w:r w:rsidRPr="006A54EE">
        <w:rPr>
          <w:rStyle w:val="FootnoteReference"/>
          <w:rFonts w:cstheme="minorHAnsi"/>
          <w:b/>
          <w:bCs/>
          <w:sz w:val="20"/>
          <w:szCs w:val="20"/>
        </w:rPr>
        <w:footnoteRef/>
      </w:r>
      <w:r w:rsidRPr="0017230A">
        <w:rPr>
          <w:rFonts w:cstheme="minorHAnsi"/>
          <w:b/>
          <w:bCs/>
          <w:sz w:val="20"/>
          <w:szCs w:val="20"/>
          <w:lang w:val="nl-BE"/>
        </w:rPr>
        <w:t xml:space="preserve"> </w:t>
      </w:r>
      <w:r w:rsidRPr="0017230A">
        <w:rPr>
          <w:sz w:val="20"/>
          <w:szCs w:val="20"/>
          <w:lang w:val="nl-BE"/>
        </w:rPr>
        <w:t>Van Rompaey,</w:t>
      </w:r>
      <w:r w:rsidRPr="0017230A">
        <w:rPr>
          <w:i/>
          <w:iCs/>
          <w:sz w:val="20"/>
          <w:szCs w:val="20"/>
          <w:lang w:val="nl-BE"/>
        </w:rPr>
        <w:t xml:space="preserve"> Het grafelijk baljuwsambt</w:t>
      </w:r>
      <w:r w:rsidRPr="0017230A">
        <w:rPr>
          <w:sz w:val="20"/>
          <w:szCs w:val="20"/>
          <w:lang w:val="nl-BE"/>
        </w:rPr>
        <w:t xml:space="preserve">, </w:t>
      </w:r>
      <w:r w:rsidRPr="0017230A">
        <w:rPr>
          <w:rFonts w:cstheme="minorHAnsi"/>
          <w:sz w:val="20"/>
          <w:szCs w:val="20"/>
          <w:lang w:val="nl-BE"/>
        </w:rPr>
        <w:t>609-13.</w:t>
      </w:r>
    </w:p>
  </w:footnote>
  <w:footnote w:id="78">
    <w:p w14:paraId="506BEF3D" w14:textId="77777777" w:rsidR="00B642CB" w:rsidRPr="00D257FA" w:rsidRDefault="00B642CB" w:rsidP="00B642CB">
      <w:pPr>
        <w:pStyle w:val="FootnoteText"/>
        <w:rPr>
          <w:highlight w:val="yellow"/>
          <w:lang w:val="fr-BE"/>
        </w:rPr>
      </w:pPr>
      <w:r w:rsidRPr="005C09DB">
        <w:rPr>
          <w:rStyle w:val="FootnoteReference"/>
        </w:rPr>
        <w:footnoteRef/>
      </w:r>
      <w:r w:rsidRPr="00D257FA">
        <w:rPr>
          <w:lang w:val="fr-BE"/>
        </w:rPr>
        <w:t xml:space="preserve"> </w:t>
      </w:r>
      <w:r w:rsidRPr="005E022C">
        <w:rPr>
          <w:lang w:val="fr-FR"/>
        </w:rPr>
        <w:t xml:space="preserve">Wyffels and Vandewalle, </w:t>
      </w:r>
      <w:r w:rsidRPr="005E022C">
        <w:rPr>
          <w:i/>
          <w:iCs/>
          <w:lang w:val="fr-FR"/>
        </w:rPr>
        <w:t xml:space="preserve">De </w:t>
      </w:r>
      <w:proofErr w:type="spellStart"/>
      <w:r w:rsidRPr="005E022C">
        <w:rPr>
          <w:i/>
          <w:iCs/>
          <w:lang w:val="fr-FR"/>
        </w:rPr>
        <w:t>rekeningen</w:t>
      </w:r>
      <w:proofErr w:type="spellEnd"/>
      <w:r w:rsidRPr="005E022C">
        <w:rPr>
          <w:i/>
          <w:iCs/>
          <w:lang w:val="fr-FR"/>
        </w:rPr>
        <w:t xml:space="preserve"> van de </w:t>
      </w:r>
      <w:proofErr w:type="spellStart"/>
      <w:r w:rsidRPr="005E022C">
        <w:rPr>
          <w:i/>
          <w:iCs/>
          <w:lang w:val="fr-FR"/>
        </w:rPr>
        <w:t>stad</w:t>
      </w:r>
      <w:proofErr w:type="spellEnd"/>
      <w:r w:rsidRPr="005E022C">
        <w:rPr>
          <w:i/>
          <w:iCs/>
          <w:lang w:val="fr-FR"/>
        </w:rPr>
        <w:t xml:space="preserve"> Brugge</w:t>
      </w:r>
      <w:r w:rsidRPr="005E022C">
        <w:rPr>
          <w:lang w:val="fr-FR"/>
        </w:rPr>
        <w:t xml:space="preserve">, xiii; Walter Prevenier, ‘Conscience et perception de la condition sociale chez les gens du commun dans les anciens Pays-Bas des xiiie et </w:t>
      </w:r>
      <w:proofErr w:type="spellStart"/>
      <w:r w:rsidRPr="005E022C">
        <w:rPr>
          <w:lang w:val="fr-FR"/>
        </w:rPr>
        <w:t>xive</w:t>
      </w:r>
      <w:proofErr w:type="spellEnd"/>
      <w:r w:rsidRPr="005E022C">
        <w:rPr>
          <w:lang w:val="fr-FR"/>
        </w:rPr>
        <w:t xml:space="preserve"> siècles’, in </w:t>
      </w:r>
      <w:r w:rsidRPr="005E022C">
        <w:rPr>
          <w:i/>
          <w:iCs/>
          <w:lang w:val="fr-FR"/>
        </w:rPr>
        <w:t xml:space="preserve">Le petit peuple dans l’Occident médiéval: </w:t>
      </w:r>
      <w:r>
        <w:rPr>
          <w:i/>
          <w:iCs/>
          <w:lang w:val="fr-FR"/>
        </w:rPr>
        <w:t>T</w:t>
      </w:r>
      <w:r w:rsidRPr="005E022C">
        <w:rPr>
          <w:i/>
          <w:iCs/>
          <w:lang w:val="fr-FR"/>
        </w:rPr>
        <w:t>erminologies, perceptions, réalités</w:t>
      </w:r>
      <w:r w:rsidRPr="005E022C">
        <w:rPr>
          <w:lang w:val="fr-FR"/>
        </w:rPr>
        <w:t xml:space="preserve">, ed. Pierre </w:t>
      </w:r>
      <w:proofErr w:type="spellStart"/>
      <w:r w:rsidRPr="005E022C">
        <w:rPr>
          <w:lang w:val="fr-FR"/>
        </w:rPr>
        <w:t>Boglioni</w:t>
      </w:r>
      <w:proofErr w:type="spellEnd"/>
      <w:r w:rsidRPr="005E022C">
        <w:rPr>
          <w:lang w:val="fr-FR"/>
        </w:rPr>
        <w:t xml:space="preserve">, Robert Delort and Claude </w:t>
      </w:r>
      <w:proofErr w:type="spellStart"/>
      <w:r w:rsidRPr="005E022C">
        <w:rPr>
          <w:lang w:val="fr-FR"/>
        </w:rPr>
        <w:t>Gauvard</w:t>
      </w:r>
      <w:proofErr w:type="spellEnd"/>
      <w:r>
        <w:rPr>
          <w:lang w:val="fr-FR"/>
        </w:rPr>
        <w:t xml:space="preserve"> </w:t>
      </w:r>
      <w:r w:rsidRPr="005E022C">
        <w:rPr>
          <w:lang w:val="fr-FR"/>
        </w:rPr>
        <w:t xml:space="preserve">(Editions de la Sorbonne, 2019), </w:t>
      </w:r>
      <w:r>
        <w:rPr>
          <w:lang w:val="fr-FR"/>
        </w:rPr>
        <w:t>175-89 (</w:t>
      </w:r>
      <w:r w:rsidRPr="005E022C">
        <w:rPr>
          <w:lang w:val="fr-FR"/>
        </w:rPr>
        <w:t>179</w:t>
      </w:r>
      <w:r>
        <w:rPr>
          <w:lang w:val="fr-FR"/>
        </w:rPr>
        <w:t>)</w:t>
      </w:r>
      <w:r w:rsidRPr="005E022C">
        <w:rPr>
          <w:lang w:val="fr-FR"/>
        </w:rPr>
        <w:t xml:space="preserve">. </w:t>
      </w:r>
    </w:p>
  </w:footnote>
  <w:footnote w:id="79">
    <w:p w14:paraId="57C5E348" w14:textId="77777777" w:rsidR="00B642CB" w:rsidRPr="0017230A" w:rsidRDefault="00B642CB" w:rsidP="00B642CB">
      <w:pPr>
        <w:pStyle w:val="FootnoteText"/>
        <w:rPr>
          <w:highlight w:val="yellow"/>
          <w:lang w:val="nl-BE"/>
        </w:rPr>
      </w:pPr>
      <w:r w:rsidRPr="005E022C">
        <w:rPr>
          <w:rStyle w:val="FootnoteReference"/>
        </w:rPr>
        <w:footnoteRef/>
      </w:r>
      <w:r w:rsidRPr="00916238">
        <w:rPr>
          <w:lang w:val="nl-BE"/>
        </w:rPr>
        <w:t xml:space="preserve"> </w:t>
      </w:r>
      <w:r w:rsidRPr="005C09DB">
        <w:rPr>
          <w:lang w:val="nl-BE"/>
        </w:rPr>
        <w:t>Wyffels and Vandewalle</w:t>
      </w:r>
      <w:r>
        <w:rPr>
          <w:lang w:val="nl-BE"/>
        </w:rPr>
        <w:t xml:space="preserve">, </w:t>
      </w:r>
      <w:r w:rsidRPr="005C09DB">
        <w:rPr>
          <w:i/>
          <w:iCs/>
          <w:lang w:val="nl-BE"/>
        </w:rPr>
        <w:t>De rekeningen van de stad Brugge</w:t>
      </w:r>
      <w:r w:rsidRPr="005C09DB">
        <w:rPr>
          <w:lang w:val="nl-BE"/>
        </w:rPr>
        <w:t xml:space="preserve">, xiii. </w:t>
      </w:r>
    </w:p>
  </w:footnote>
  <w:footnote w:id="80">
    <w:p w14:paraId="5DAD1F1D" w14:textId="77777777" w:rsidR="00B642CB" w:rsidRPr="00916238" w:rsidRDefault="00B642CB" w:rsidP="00B642CB">
      <w:pPr>
        <w:pStyle w:val="FootnoteText"/>
        <w:rPr>
          <w:lang w:val="nl-BE"/>
        </w:rPr>
      </w:pPr>
      <w:r w:rsidRPr="005E022C">
        <w:rPr>
          <w:rStyle w:val="FootnoteReference"/>
        </w:rPr>
        <w:footnoteRef/>
      </w:r>
      <w:r w:rsidRPr="00916238">
        <w:rPr>
          <w:lang w:val="nl-BE"/>
        </w:rPr>
        <w:t xml:space="preserve"> Haemers, ‘Een democratische strijd?</w:t>
      </w:r>
      <w:r>
        <w:rPr>
          <w:lang w:val="nl-BE"/>
        </w:rPr>
        <w:t xml:space="preserve">’, </w:t>
      </w:r>
      <w:r w:rsidRPr="00916238">
        <w:rPr>
          <w:lang w:val="nl-BE"/>
        </w:rPr>
        <w:t>158.</w:t>
      </w:r>
    </w:p>
  </w:footnote>
  <w:footnote w:id="81">
    <w:p w14:paraId="558F9332" w14:textId="77777777" w:rsidR="00B642CB" w:rsidRPr="00916238" w:rsidRDefault="00B642CB" w:rsidP="00B642CB">
      <w:pPr>
        <w:pStyle w:val="FootnoteText"/>
        <w:rPr>
          <w:lang w:val="nl-BE"/>
        </w:rPr>
      </w:pPr>
      <w:r w:rsidRPr="005E022C">
        <w:rPr>
          <w:rStyle w:val="FootnoteReference"/>
        </w:rPr>
        <w:footnoteRef/>
      </w:r>
      <w:r w:rsidRPr="0017391F">
        <w:rPr>
          <w:lang w:val="nl-BE"/>
        </w:rPr>
        <w:t xml:space="preserve"> Carlos Wyffels and André Vandewalle, </w:t>
      </w:r>
      <w:r w:rsidRPr="00916238">
        <w:rPr>
          <w:lang w:val="nl-BE"/>
        </w:rPr>
        <w:t>De rekeningen van de stad Brugge (1280-1319)</w:t>
      </w:r>
      <w:r>
        <w:rPr>
          <w:lang w:val="nl-BE"/>
        </w:rPr>
        <w:t>:</w:t>
      </w:r>
      <w:r w:rsidRPr="00916238">
        <w:rPr>
          <w:lang w:val="nl-BE"/>
        </w:rPr>
        <w:t xml:space="preserve"> Tweede deel, eerste stuk (Paleis der academiën, 1995), ix. </w:t>
      </w:r>
    </w:p>
  </w:footnote>
  <w:footnote w:id="82">
    <w:p w14:paraId="000EC214" w14:textId="77777777" w:rsidR="00B642CB" w:rsidRPr="00155030" w:rsidRDefault="00B642CB" w:rsidP="00B642CB">
      <w:pPr>
        <w:pStyle w:val="FootnoteText"/>
        <w:rPr>
          <w:lang w:val="nl-BE"/>
        </w:rPr>
      </w:pPr>
      <w:r w:rsidRPr="005E022C">
        <w:rPr>
          <w:rStyle w:val="FootnoteReference"/>
        </w:rPr>
        <w:footnoteRef/>
      </w:r>
      <w:r w:rsidRPr="00155030">
        <w:rPr>
          <w:lang w:val="nl-BE"/>
        </w:rPr>
        <w:t xml:space="preserve"> Delepierre, ‘Analect brugeoises’, 233</w:t>
      </w:r>
      <w:r>
        <w:rPr>
          <w:lang w:val="nl-BE"/>
        </w:rPr>
        <w:t>-3</w:t>
      </w:r>
      <w:r w:rsidRPr="00155030">
        <w:rPr>
          <w:lang w:val="nl-BE"/>
        </w:rPr>
        <w:t xml:space="preserve">4 and 239. </w:t>
      </w:r>
    </w:p>
  </w:footnote>
  <w:footnote w:id="83">
    <w:p w14:paraId="513835BB" w14:textId="77777777" w:rsidR="00B642CB" w:rsidRPr="005E022C" w:rsidRDefault="00B642CB" w:rsidP="00B642CB">
      <w:pPr>
        <w:pStyle w:val="FootnoteText"/>
        <w:rPr>
          <w:lang w:val="fr-BE"/>
        </w:rPr>
      </w:pPr>
      <w:r w:rsidRPr="005E022C">
        <w:rPr>
          <w:rStyle w:val="FootnoteReference"/>
          <w:rFonts w:cstheme="minorHAnsi"/>
        </w:rPr>
        <w:footnoteRef/>
      </w:r>
      <w:r w:rsidRPr="00E35E14">
        <w:rPr>
          <w:lang w:val="nl-BE"/>
        </w:rPr>
        <w:t xml:space="preserve"> Martín Romera, ‘</w:t>
      </w:r>
      <w:proofErr w:type="spellStart"/>
      <w:r w:rsidRPr="00E35E14">
        <w:rPr>
          <w:lang w:val="nl-BE"/>
        </w:rPr>
        <w:t>Accountable</w:t>
      </w:r>
      <w:proofErr w:type="spellEnd"/>
      <w:r w:rsidRPr="00E35E14">
        <w:rPr>
          <w:lang w:val="nl-BE"/>
        </w:rPr>
        <w:t xml:space="preserve"> to the Community?’</w:t>
      </w:r>
      <w:r>
        <w:rPr>
          <w:lang w:val="nl-BE"/>
        </w:rPr>
        <w:t>,</w:t>
      </w:r>
      <w:r w:rsidRPr="00E35E14">
        <w:rPr>
          <w:lang w:val="nl-BE"/>
        </w:rPr>
        <w:t xml:space="preserve"> 555</w:t>
      </w:r>
      <w:r>
        <w:rPr>
          <w:lang w:val="nl-BE"/>
        </w:rPr>
        <w:t>-5</w:t>
      </w:r>
      <w:r w:rsidRPr="00E35E14">
        <w:rPr>
          <w:lang w:val="nl-BE"/>
        </w:rPr>
        <w:t xml:space="preserve">6; </w:t>
      </w:r>
      <w:r w:rsidRPr="0081752C">
        <w:rPr>
          <w:lang w:val="nl-BE"/>
        </w:rPr>
        <w:t>John Sabapathy, ‘</w:t>
      </w:r>
      <w:proofErr w:type="spellStart"/>
      <w:r w:rsidRPr="0081752C">
        <w:rPr>
          <w:lang w:val="nl-BE"/>
        </w:rPr>
        <w:t>Accountable</w:t>
      </w:r>
      <w:proofErr w:type="spellEnd"/>
      <w:r w:rsidRPr="0081752C">
        <w:rPr>
          <w:lang w:val="nl-BE"/>
        </w:rPr>
        <w:t xml:space="preserve"> </w:t>
      </w:r>
      <w:proofErr w:type="spellStart"/>
      <w:r w:rsidRPr="0081752C">
        <w:rPr>
          <w:lang w:val="nl-BE"/>
        </w:rPr>
        <w:t>Rectores</w:t>
      </w:r>
      <w:proofErr w:type="spellEnd"/>
      <w:r w:rsidRPr="0081752C">
        <w:rPr>
          <w:lang w:val="nl-BE"/>
        </w:rPr>
        <w:t xml:space="preserve"> in Comparative Perspective: The Theory and </w:t>
      </w:r>
      <w:proofErr w:type="spellStart"/>
      <w:r w:rsidRPr="0081752C">
        <w:rPr>
          <w:lang w:val="nl-BE"/>
        </w:rPr>
        <w:t>Practice</w:t>
      </w:r>
      <w:proofErr w:type="spellEnd"/>
      <w:r w:rsidRPr="0081752C">
        <w:rPr>
          <w:lang w:val="nl-BE"/>
        </w:rPr>
        <w:t xml:space="preserve"> of Holding Podestà to Account (Late </w:t>
      </w:r>
      <w:proofErr w:type="spellStart"/>
      <w:r w:rsidRPr="0081752C">
        <w:rPr>
          <w:lang w:val="nl-BE"/>
        </w:rPr>
        <w:t>Twelfth</w:t>
      </w:r>
      <w:proofErr w:type="spellEnd"/>
      <w:r w:rsidRPr="0081752C">
        <w:rPr>
          <w:lang w:val="nl-BE"/>
        </w:rPr>
        <w:t xml:space="preserve"> to </w:t>
      </w:r>
      <w:proofErr w:type="spellStart"/>
      <w:r w:rsidRPr="0081752C">
        <w:rPr>
          <w:lang w:val="nl-BE"/>
        </w:rPr>
        <w:t>Thirteenth</w:t>
      </w:r>
      <w:proofErr w:type="spellEnd"/>
      <w:r w:rsidRPr="0081752C">
        <w:rPr>
          <w:lang w:val="nl-BE"/>
        </w:rPr>
        <w:t xml:space="preserve"> Centuries)’</w:t>
      </w:r>
      <w:r w:rsidRPr="00E35E14">
        <w:rPr>
          <w:lang w:val="nl-BE"/>
        </w:rPr>
        <w:t xml:space="preserve">, in </w:t>
      </w:r>
      <w:r w:rsidRPr="0081752C">
        <w:rPr>
          <w:i/>
          <w:iCs/>
          <w:lang w:val="nl-BE"/>
        </w:rPr>
        <w:t xml:space="preserve">Hiérarchie des </w:t>
      </w:r>
      <w:proofErr w:type="spellStart"/>
      <w:r w:rsidRPr="0081752C">
        <w:rPr>
          <w:i/>
          <w:iCs/>
          <w:lang w:val="nl-BE"/>
        </w:rPr>
        <w:t>pouvoirs</w:t>
      </w:r>
      <w:proofErr w:type="spellEnd"/>
      <w:r w:rsidRPr="0081752C">
        <w:rPr>
          <w:i/>
          <w:iCs/>
          <w:lang w:val="nl-BE"/>
        </w:rPr>
        <w:t xml:space="preserve">, </w:t>
      </w:r>
      <w:proofErr w:type="spellStart"/>
      <w:r w:rsidRPr="0081752C">
        <w:rPr>
          <w:i/>
          <w:iCs/>
          <w:lang w:val="nl-BE"/>
        </w:rPr>
        <w:t>délégation</w:t>
      </w:r>
      <w:proofErr w:type="spellEnd"/>
      <w:r w:rsidRPr="0081752C">
        <w:rPr>
          <w:i/>
          <w:iCs/>
          <w:lang w:val="nl-BE"/>
        </w:rPr>
        <w:t xml:space="preserve"> de pouvoir et </w:t>
      </w:r>
      <w:proofErr w:type="spellStart"/>
      <w:r w:rsidRPr="0081752C">
        <w:rPr>
          <w:i/>
          <w:iCs/>
          <w:lang w:val="nl-BE"/>
        </w:rPr>
        <w:t>responsabilité</w:t>
      </w:r>
      <w:proofErr w:type="spellEnd"/>
      <w:r w:rsidRPr="0081752C">
        <w:rPr>
          <w:i/>
          <w:iCs/>
          <w:lang w:val="nl-BE"/>
        </w:rPr>
        <w:t xml:space="preserve"> des administrateurs dans </w:t>
      </w:r>
      <w:proofErr w:type="spellStart"/>
      <w:r w:rsidRPr="0081752C">
        <w:rPr>
          <w:i/>
          <w:iCs/>
          <w:lang w:val="nl-BE"/>
        </w:rPr>
        <w:t>l’Antiquité</w:t>
      </w:r>
      <w:proofErr w:type="spellEnd"/>
      <w:r w:rsidRPr="0081752C">
        <w:rPr>
          <w:i/>
          <w:iCs/>
          <w:lang w:val="nl-BE"/>
        </w:rPr>
        <w:t xml:space="preserve"> et au Moyen Âge</w:t>
      </w:r>
      <w:r>
        <w:rPr>
          <w:i/>
          <w:iCs/>
          <w:lang w:val="nl-BE"/>
        </w:rPr>
        <w:t>:</w:t>
      </w:r>
      <w:r w:rsidRPr="0081752C">
        <w:rPr>
          <w:i/>
          <w:iCs/>
          <w:lang w:val="nl-BE"/>
        </w:rPr>
        <w:t xml:space="preserve"> </w:t>
      </w:r>
      <w:proofErr w:type="spellStart"/>
      <w:r w:rsidRPr="00D257FA">
        <w:rPr>
          <w:i/>
          <w:iCs/>
          <w:lang w:val="nl-BE"/>
        </w:rPr>
        <w:t>Actes</w:t>
      </w:r>
      <w:proofErr w:type="spellEnd"/>
      <w:r w:rsidRPr="00D257FA">
        <w:rPr>
          <w:i/>
          <w:iCs/>
          <w:lang w:val="nl-BE"/>
        </w:rPr>
        <w:t xml:space="preserve"> du </w:t>
      </w:r>
      <w:proofErr w:type="spellStart"/>
      <w:r w:rsidRPr="00D257FA">
        <w:rPr>
          <w:i/>
          <w:iCs/>
          <w:lang w:val="nl-BE"/>
        </w:rPr>
        <w:t>colloque</w:t>
      </w:r>
      <w:proofErr w:type="spellEnd"/>
      <w:r w:rsidRPr="00D257FA">
        <w:rPr>
          <w:i/>
          <w:iCs/>
          <w:lang w:val="nl-BE"/>
        </w:rPr>
        <w:t xml:space="preserve"> de Metz, 16-18 Juin 2011</w:t>
      </w:r>
      <w:r w:rsidRPr="00D257FA">
        <w:rPr>
          <w:lang w:val="nl-BE"/>
        </w:rPr>
        <w:t xml:space="preserve">, ed. </w:t>
      </w:r>
      <w:r w:rsidRPr="005E022C">
        <w:rPr>
          <w:lang w:val="fr-BE"/>
        </w:rPr>
        <w:t>Agnès Bérenger</w:t>
      </w:r>
      <w:r w:rsidRPr="005A0ED7">
        <w:rPr>
          <w:lang w:val="fr-BE"/>
        </w:rPr>
        <w:t xml:space="preserve"> </w:t>
      </w:r>
      <w:r w:rsidRPr="005E022C">
        <w:rPr>
          <w:lang w:val="fr-BE"/>
        </w:rPr>
        <w:t>and Frédérique Lachaud</w:t>
      </w:r>
      <w:r>
        <w:rPr>
          <w:lang w:val="fr-BE"/>
        </w:rPr>
        <w:t xml:space="preserve"> </w:t>
      </w:r>
      <w:r w:rsidRPr="005E022C">
        <w:rPr>
          <w:lang w:val="fr-BE"/>
        </w:rPr>
        <w:t>(Centre de recherche universitaire lorrain d’histoire, 2012), 201</w:t>
      </w:r>
      <w:r>
        <w:rPr>
          <w:lang w:val="fr-BE"/>
        </w:rPr>
        <w:t>-</w:t>
      </w:r>
      <w:r w:rsidRPr="005E022C">
        <w:rPr>
          <w:lang w:val="fr-BE"/>
        </w:rPr>
        <w:t>30.</w:t>
      </w:r>
    </w:p>
  </w:footnote>
  <w:footnote w:id="84">
    <w:p w14:paraId="7472372D" w14:textId="77777777" w:rsidR="00B642CB" w:rsidRPr="00F95F92" w:rsidRDefault="00B642CB" w:rsidP="00B642CB">
      <w:pPr>
        <w:pStyle w:val="FootnoteText"/>
        <w:rPr>
          <w:lang w:val="nl-BE"/>
        </w:rPr>
      </w:pPr>
      <w:r w:rsidRPr="005E022C">
        <w:rPr>
          <w:rStyle w:val="FootnoteReference"/>
        </w:rPr>
        <w:footnoteRef/>
      </w:r>
      <w:r w:rsidRPr="00F95F92">
        <w:rPr>
          <w:lang w:val="nl-BE"/>
        </w:rPr>
        <w:t xml:space="preserve"> ADN, B 31, fol. 7v.</w:t>
      </w:r>
    </w:p>
  </w:footnote>
  <w:footnote w:id="85">
    <w:p w14:paraId="5CBBA492" w14:textId="77777777" w:rsidR="00B642CB" w:rsidRPr="00916238" w:rsidRDefault="00B642CB" w:rsidP="00B642CB">
      <w:pPr>
        <w:pStyle w:val="FootnoteText"/>
        <w:rPr>
          <w:lang w:val="nl-BE"/>
        </w:rPr>
      </w:pPr>
      <w:r w:rsidRPr="005E022C">
        <w:rPr>
          <w:rStyle w:val="FootnoteReference"/>
        </w:rPr>
        <w:footnoteRef/>
      </w:r>
      <w:r w:rsidRPr="00916238">
        <w:rPr>
          <w:lang w:val="nl-BE"/>
        </w:rPr>
        <w:t xml:space="preserve"> Van Rompaey, </w:t>
      </w:r>
      <w:r w:rsidRPr="00453FB0">
        <w:rPr>
          <w:lang w:val="nl-BE"/>
        </w:rPr>
        <w:t>Het grafelijk baljuwsambt in Vlaanderen</w:t>
      </w:r>
      <w:r w:rsidRPr="00916238">
        <w:rPr>
          <w:lang w:val="nl-BE"/>
        </w:rPr>
        <w:t>, 440</w:t>
      </w:r>
      <w:r>
        <w:rPr>
          <w:lang w:val="nl-BE"/>
        </w:rPr>
        <w:t xml:space="preserve">, </w:t>
      </w:r>
      <w:proofErr w:type="spellStart"/>
      <w:r w:rsidRPr="00676098">
        <w:rPr>
          <w:lang w:val="nl-BE"/>
        </w:rPr>
        <w:t>footnote</w:t>
      </w:r>
      <w:proofErr w:type="spellEnd"/>
      <w:r w:rsidRPr="00676098">
        <w:rPr>
          <w:lang w:val="nl-BE"/>
        </w:rPr>
        <w:t xml:space="preserve"> 1. </w:t>
      </w:r>
    </w:p>
  </w:footnote>
  <w:footnote w:id="86">
    <w:p w14:paraId="25A54C2F" w14:textId="77777777" w:rsidR="00B642CB" w:rsidRPr="0017230A" w:rsidRDefault="00B642CB" w:rsidP="00B642CB">
      <w:pPr>
        <w:pStyle w:val="FootnoteText"/>
        <w:rPr>
          <w:lang w:val="nl-BE"/>
        </w:rPr>
      </w:pPr>
      <w:r w:rsidRPr="00ED0B26">
        <w:rPr>
          <w:rStyle w:val="FootnoteReference"/>
        </w:rPr>
        <w:footnoteRef/>
      </w:r>
      <w:r w:rsidRPr="0017230A">
        <w:rPr>
          <w:lang w:val="nl-BE"/>
        </w:rPr>
        <w:t xml:space="preserve"> </w:t>
      </w:r>
      <w:r w:rsidRPr="002376A8">
        <w:rPr>
          <w:lang w:val="nl-BE"/>
        </w:rPr>
        <w:t>Van Rompaey,</w:t>
      </w:r>
      <w:r w:rsidRPr="0017230A">
        <w:rPr>
          <w:lang w:val="nl-BE"/>
        </w:rPr>
        <w:t xml:space="preserve"> Het grafelijk baljuwsambt in Vlaanderen, 439-43.</w:t>
      </w:r>
    </w:p>
  </w:footnote>
  <w:footnote w:id="87">
    <w:p w14:paraId="51686411" w14:textId="77777777" w:rsidR="00B642CB" w:rsidRPr="002873C0" w:rsidRDefault="00B642CB" w:rsidP="00B642CB">
      <w:pPr>
        <w:pStyle w:val="FootnoteText"/>
        <w:rPr>
          <w:lang w:val="fr-BE"/>
        </w:rPr>
      </w:pPr>
      <w:r w:rsidRPr="005E022C">
        <w:rPr>
          <w:rStyle w:val="FootnoteReference"/>
          <w:rFonts w:cstheme="minorHAnsi"/>
        </w:rPr>
        <w:footnoteRef/>
      </w:r>
      <w:r w:rsidRPr="002873C0">
        <w:rPr>
          <w:lang w:val="fr-BE"/>
        </w:rPr>
        <w:t xml:space="preserve"> ADN, B 32, fol. 122r.</w:t>
      </w:r>
    </w:p>
  </w:footnote>
  <w:footnote w:id="88">
    <w:p w14:paraId="2CD3B479" w14:textId="77777777" w:rsidR="00B642CB" w:rsidRPr="005E022C" w:rsidRDefault="00B642CB" w:rsidP="00B642CB">
      <w:pPr>
        <w:pStyle w:val="FootnoteText"/>
        <w:rPr>
          <w:lang w:val="fr-BE"/>
        </w:rPr>
      </w:pPr>
      <w:r w:rsidRPr="005E022C">
        <w:rPr>
          <w:rStyle w:val="FootnoteReference"/>
          <w:rFonts w:cstheme="minorHAnsi"/>
        </w:rPr>
        <w:footnoteRef/>
      </w:r>
      <w:r w:rsidRPr="005E022C">
        <w:rPr>
          <w:lang w:val="fr-BE"/>
        </w:rPr>
        <w:t xml:space="preserve"> </w:t>
      </w:r>
      <w:r>
        <w:rPr>
          <w:lang w:val="fr-BE"/>
        </w:rPr>
        <w:t>Philip Wielant</w:t>
      </w:r>
      <w:r w:rsidRPr="005E022C">
        <w:rPr>
          <w:lang w:val="fr-BE"/>
        </w:rPr>
        <w:t>, ‘Recueil des antiquités de Flandre’, 109.</w:t>
      </w:r>
    </w:p>
  </w:footnote>
  <w:footnote w:id="89">
    <w:p w14:paraId="50BF46B2" w14:textId="77777777" w:rsidR="00B642CB" w:rsidRPr="005E022C" w:rsidRDefault="00B642CB" w:rsidP="00B642CB">
      <w:pPr>
        <w:pStyle w:val="FootnoteText"/>
        <w:rPr>
          <w:lang w:val="fr-BE"/>
        </w:rPr>
      </w:pPr>
      <w:r w:rsidRPr="005E022C">
        <w:rPr>
          <w:rStyle w:val="FootnoteReference"/>
          <w:rFonts w:cstheme="minorHAnsi"/>
        </w:rPr>
        <w:footnoteRef/>
      </w:r>
      <w:r w:rsidRPr="005E022C">
        <w:rPr>
          <w:lang w:val="fr-BE"/>
        </w:rPr>
        <w:t xml:space="preserve"> Dejoux, </w:t>
      </w:r>
      <w:r w:rsidRPr="00CE7099">
        <w:rPr>
          <w:i/>
          <w:iCs/>
          <w:lang w:val="fr-BE"/>
        </w:rPr>
        <w:t>Les enquêtes de Saint Louis</w:t>
      </w:r>
      <w:r w:rsidRPr="005E022C">
        <w:rPr>
          <w:lang w:val="fr-BE"/>
        </w:rPr>
        <w:t xml:space="preserve">; Henri Ernest Adolphe </w:t>
      </w:r>
      <w:proofErr w:type="spellStart"/>
      <w:r w:rsidRPr="005E022C">
        <w:rPr>
          <w:lang w:val="fr-BE"/>
        </w:rPr>
        <w:t>Nowé</w:t>
      </w:r>
      <w:proofErr w:type="spellEnd"/>
      <w:r w:rsidRPr="005E022C">
        <w:rPr>
          <w:lang w:val="fr-BE"/>
        </w:rPr>
        <w:t>, ‘Plaintes et enquêtes relatives à la gestion des baillis comtaux de Flandre aux XIIIe et XIVe siècles’,</w:t>
      </w:r>
      <w:r w:rsidRPr="005E022C">
        <w:rPr>
          <w:i/>
          <w:iCs/>
          <w:lang w:val="fr-BE"/>
        </w:rPr>
        <w:t xml:space="preserve"> Revue belge de Philologie et d’Histoire</w:t>
      </w:r>
      <w:r w:rsidRPr="005E022C">
        <w:rPr>
          <w:lang w:val="fr-BE"/>
        </w:rPr>
        <w:t xml:space="preserve"> 3</w:t>
      </w:r>
      <w:r>
        <w:rPr>
          <w:lang w:val="fr-BE"/>
        </w:rPr>
        <w:t xml:space="preserve">, no. </w:t>
      </w:r>
      <w:r w:rsidRPr="005E022C">
        <w:rPr>
          <w:lang w:val="fr-BE"/>
        </w:rPr>
        <w:t>1 (1924)</w:t>
      </w:r>
      <w:r>
        <w:rPr>
          <w:lang w:val="fr-BE"/>
        </w:rPr>
        <w:t>:</w:t>
      </w:r>
      <w:r w:rsidRPr="005E022C">
        <w:rPr>
          <w:lang w:val="fr-BE"/>
        </w:rPr>
        <w:t xml:space="preserve"> 75</w:t>
      </w:r>
      <w:r>
        <w:rPr>
          <w:lang w:val="fr-BE"/>
        </w:rPr>
        <w:t>-</w:t>
      </w:r>
      <w:r w:rsidRPr="005E022C">
        <w:rPr>
          <w:lang w:val="fr-BE"/>
        </w:rPr>
        <w:t xml:space="preserve">105; </w:t>
      </w:r>
      <w:r>
        <w:rPr>
          <w:lang w:val="fr-BE"/>
        </w:rPr>
        <w:t xml:space="preserve">John </w:t>
      </w:r>
      <w:r w:rsidRPr="005E022C">
        <w:rPr>
          <w:lang w:val="fr-BE"/>
        </w:rPr>
        <w:t>Sabapathy, ‘</w:t>
      </w:r>
      <w:r w:rsidRPr="007C16D5">
        <w:rPr>
          <w:lang w:val="fr-BE"/>
        </w:rPr>
        <w:t xml:space="preserve">Making Public </w:t>
      </w:r>
      <w:proofErr w:type="spellStart"/>
      <w:r w:rsidRPr="007C16D5">
        <w:rPr>
          <w:lang w:val="fr-BE"/>
        </w:rPr>
        <w:t>Knowledge</w:t>
      </w:r>
      <w:proofErr w:type="spellEnd"/>
      <w:r w:rsidRPr="007C16D5">
        <w:rPr>
          <w:lang w:val="fr-BE"/>
        </w:rPr>
        <w:t xml:space="preserve">—Making </w:t>
      </w:r>
      <w:proofErr w:type="spellStart"/>
      <w:r w:rsidRPr="007C16D5">
        <w:rPr>
          <w:lang w:val="fr-BE"/>
        </w:rPr>
        <w:t>Knowledge</w:t>
      </w:r>
      <w:proofErr w:type="spellEnd"/>
      <w:r w:rsidRPr="007C16D5">
        <w:rPr>
          <w:lang w:val="fr-BE"/>
        </w:rPr>
        <w:t xml:space="preserve"> Public: The Territorial, </w:t>
      </w:r>
      <w:proofErr w:type="spellStart"/>
      <w:r w:rsidRPr="007C16D5">
        <w:rPr>
          <w:lang w:val="fr-BE"/>
        </w:rPr>
        <w:t>Reparative</w:t>
      </w:r>
      <w:proofErr w:type="spellEnd"/>
      <w:r w:rsidRPr="007C16D5">
        <w:rPr>
          <w:lang w:val="fr-BE"/>
        </w:rPr>
        <w:t xml:space="preserve">, </w:t>
      </w:r>
      <w:proofErr w:type="spellStart"/>
      <w:r w:rsidRPr="007C16D5">
        <w:rPr>
          <w:lang w:val="fr-BE"/>
        </w:rPr>
        <w:t>Heretical</w:t>
      </w:r>
      <w:proofErr w:type="spellEnd"/>
      <w:r w:rsidRPr="007C16D5">
        <w:rPr>
          <w:lang w:val="fr-BE"/>
        </w:rPr>
        <w:t xml:space="preserve">, and </w:t>
      </w:r>
      <w:proofErr w:type="spellStart"/>
      <w:r w:rsidRPr="007C16D5">
        <w:rPr>
          <w:lang w:val="fr-BE"/>
        </w:rPr>
        <w:t>Canonization</w:t>
      </w:r>
      <w:proofErr w:type="spellEnd"/>
      <w:r w:rsidRPr="007C16D5">
        <w:rPr>
          <w:lang w:val="fr-BE"/>
        </w:rPr>
        <w:t xml:space="preserve"> </w:t>
      </w:r>
      <w:proofErr w:type="spellStart"/>
      <w:r w:rsidRPr="007C16D5">
        <w:rPr>
          <w:lang w:val="fr-BE"/>
        </w:rPr>
        <w:t>Inquiries</w:t>
      </w:r>
      <w:proofErr w:type="spellEnd"/>
      <w:r w:rsidRPr="007C16D5">
        <w:rPr>
          <w:lang w:val="fr-BE"/>
        </w:rPr>
        <w:t xml:space="preserve"> of Gui </w:t>
      </w:r>
      <w:proofErr w:type="spellStart"/>
      <w:r w:rsidRPr="007C16D5">
        <w:rPr>
          <w:lang w:val="fr-BE"/>
        </w:rPr>
        <w:t>Foucois</w:t>
      </w:r>
      <w:proofErr w:type="spellEnd"/>
      <w:r w:rsidRPr="007C16D5">
        <w:rPr>
          <w:lang w:val="fr-BE"/>
        </w:rPr>
        <w:t xml:space="preserve"> (ca. 1200–1268)</w:t>
      </w:r>
      <w:r w:rsidRPr="005E022C">
        <w:rPr>
          <w:lang w:val="fr-BE"/>
        </w:rPr>
        <w:t>’</w:t>
      </w:r>
      <w:r>
        <w:rPr>
          <w:lang w:val="fr-BE"/>
        </w:rPr>
        <w:t xml:space="preserve">, </w:t>
      </w:r>
      <w:r>
        <w:rPr>
          <w:i/>
          <w:iCs/>
          <w:lang w:val="fr-BE"/>
        </w:rPr>
        <w:t xml:space="preserve">Journal for the History of </w:t>
      </w:r>
      <w:proofErr w:type="spellStart"/>
      <w:r>
        <w:rPr>
          <w:i/>
          <w:iCs/>
          <w:lang w:val="fr-BE"/>
        </w:rPr>
        <w:t>Knowledge</w:t>
      </w:r>
      <w:proofErr w:type="spellEnd"/>
      <w:r>
        <w:rPr>
          <w:i/>
          <w:iCs/>
          <w:lang w:val="fr-BE"/>
        </w:rPr>
        <w:t xml:space="preserve"> </w:t>
      </w:r>
      <w:r>
        <w:rPr>
          <w:lang w:val="fr-BE"/>
        </w:rPr>
        <w:t>1, no. 1 (2020): 1-21</w:t>
      </w:r>
      <w:r w:rsidRPr="005E022C">
        <w:rPr>
          <w:lang w:val="fr-BE"/>
        </w:rPr>
        <w:t>; Martín Romera, ‘</w:t>
      </w:r>
      <w:proofErr w:type="spellStart"/>
      <w:r w:rsidRPr="005E022C">
        <w:rPr>
          <w:lang w:val="fr-BE"/>
        </w:rPr>
        <w:t>Accountable</w:t>
      </w:r>
      <w:proofErr w:type="spellEnd"/>
      <w:r w:rsidRPr="005E022C">
        <w:rPr>
          <w:lang w:val="fr-BE"/>
        </w:rPr>
        <w:t xml:space="preserve"> to the Community?’.</w:t>
      </w:r>
    </w:p>
  </w:footnote>
  <w:footnote w:id="90">
    <w:p w14:paraId="5507F21B" w14:textId="77777777" w:rsidR="00B642CB" w:rsidRPr="005E022C" w:rsidRDefault="00B642CB" w:rsidP="00B642CB">
      <w:pPr>
        <w:pStyle w:val="FootnoteText"/>
        <w:rPr>
          <w:i/>
          <w:iCs/>
          <w:lang w:val="fr-BE"/>
        </w:rPr>
      </w:pPr>
      <w:r w:rsidRPr="005E022C">
        <w:rPr>
          <w:rStyle w:val="FootnoteReference"/>
          <w:rFonts w:cstheme="minorHAnsi"/>
        </w:rPr>
        <w:footnoteRef/>
      </w:r>
      <w:r w:rsidRPr="005E022C">
        <w:rPr>
          <w:lang w:val="fr-BE"/>
        </w:rPr>
        <w:t xml:space="preserve"> Martín Romera, ‘</w:t>
      </w:r>
      <w:proofErr w:type="spellStart"/>
      <w:r w:rsidRPr="005E022C">
        <w:rPr>
          <w:lang w:val="fr-BE"/>
        </w:rPr>
        <w:t>Accountable</w:t>
      </w:r>
      <w:proofErr w:type="spellEnd"/>
      <w:r w:rsidRPr="005E022C">
        <w:rPr>
          <w:lang w:val="fr-BE"/>
        </w:rPr>
        <w:t xml:space="preserve"> to the Community?’</w:t>
      </w:r>
      <w:r>
        <w:rPr>
          <w:lang w:val="fr-BE"/>
        </w:rPr>
        <w:t>,</w:t>
      </w:r>
      <w:r w:rsidRPr="005E022C">
        <w:rPr>
          <w:lang w:val="fr-BE"/>
        </w:rPr>
        <w:t xml:space="preserve"> 559; Dejoux, </w:t>
      </w:r>
      <w:r w:rsidRPr="005E022C">
        <w:rPr>
          <w:i/>
          <w:iCs/>
          <w:lang w:val="fr-BE"/>
        </w:rPr>
        <w:t>Les enquêtes de Saint Louis.</w:t>
      </w:r>
    </w:p>
  </w:footnote>
  <w:footnote w:id="91">
    <w:p w14:paraId="2CDFCEAD" w14:textId="77777777" w:rsidR="00B642CB" w:rsidRPr="005E022C" w:rsidRDefault="00B642CB" w:rsidP="00B642CB">
      <w:pPr>
        <w:pStyle w:val="FootnoteText"/>
        <w:rPr>
          <w:lang w:val="fr-BE"/>
        </w:rPr>
      </w:pPr>
      <w:r w:rsidRPr="005E022C">
        <w:rPr>
          <w:rStyle w:val="FootnoteReference"/>
          <w:rFonts w:cstheme="minorHAnsi"/>
        </w:rPr>
        <w:footnoteRef/>
      </w:r>
      <w:r w:rsidRPr="005E022C">
        <w:rPr>
          <w:lang w:val="fr-BE"/>
        </w:rPr>
        <w:t xml:space="preserve"> Boone, ‘</w:t>
      </w:r>
      <w:r w:rsidRPr="00FB7308">
        <w:rPr>
          <w:lang w:val="fr-BE"/>
        </w:rPr>
        <w:t>Le comté de Flandre au XIVe siècle</w:t>
      </w:r>
      <w:r w:rsidRPr="005E022C">
        <w:rPr>
          <w:lang w:val="fr-BE"/>
        </w:rPr>
        <w:t>’</w:t>
      </w:r>
      <w:r>
        <w:rPr>
          <w:lang w:val="fr-BE"/>
        </w:rPr>
        <w:t>, 461-80. See in particular: 472 (</w:t>
      </w:r>
      <w:r w:rsidRPr="005E022C">
        <w:rPr>
          <w:lang w:val="fr-BE"/>
        </w:rPr>
        <w:t>‘</w:t>
      </w:r>
      <w:r w:rsidRPr="00136171">
        <w:rPr>
          <w:i/>
          <w:iCs/>
          <w:lang w:val="fr-BE"/>
        </w:rPr>
        <w:t>arme à double tranchant</w:t>
      </w:r>
      <w:r w:rsidRPr="005E022C">
        <w:rPr>
          <w:lang w:val="fr-BE"/>
        </w:rPr>
        <w:t>’</w:t>
      </w:r>
      <w:r>
        <w:rPr>
          <w:lang w:val="fr-BE"/>
        </w:rPr>
        <w:t>)</w:t>
      </w:r>
      <w:r w:rsidRPr="005E022C">
        <w:rPr>
          <w:lang w:val="fr-BE"/>
        </w:rPr>
        <w:t>.</w:t>
      </w:r>
    </w:p>
  </w:footnote>
  <w:footnote w:id="92">
    <w:p w14:paraId="210886A9" w14:textId="77777777" w:rsidR="00B642CB" w:rsidRPr="005E022C" w:rsidRDefault="00B642CB" w:rsidP="00B642CB">
      <w:pPr>
        <w:pStyle w:val="FootnoteText"/>
        <w:rPr>
          <w:lang w:val="fr-BE"/>
        </w:rPr>
      </w:pPr>
      <w:r w:rsidRPr="005E022C">
        <w:rPr>
          <w:rStyle w:val="FootnoteReference"/>
          <w:rFonts w:cstheme="minorHAnsi"/>
        </w:rPr>
        <w:footnoteRef/>
      </w:r>
      <w:r w:rsidRPr="005E022C">
        <w:rPr>
          <w:lang w:val="fr-BE"/>
        </w:rPr>
        <w:t xml:space="preserve"> Boone, ‘</w:t>
      </w:r>
      <w:r w:rsidRPr="00FB7308">
        <w:rPr>
          <w:lang w:val="fr-BE"/>
        </w:rPr>
        <w:t>Le comté de Flandre au XIVe siècle</w:t>
      </w:r>
      <w:r>
        <w:rPr>
          <w:lang w:val="fr-BE"/>
        </w:rPr>
        <w:t xml:space="preserve">; </w:t>
      </w:r>
      <w:r w:rsidRPr="005E022C">
        <w:rPr>
          <w:lang w:val="fr-BE"/>
        </w:rPr>
        <w:t>Delepierre, ‘Analect brugeoises’, 246.</w:t>
      </w:r>
    </w:p>
  </w:footnote>
  <w:footnote w:id="93">
    <w:p w14:paraId="5F22C3A1" w14:textId="77777777" w:rsidR="00B642CB" w:rsidRPr="00541EFC" w:rsidRDefault="00B642CB" w:rsidP="00B642CB">
      <w:pPr>
        <w:pStyle w:val="FootnoteText"/>
        <w:rPr>
          <w:lang w:val="fr-BE"/>
        </w:rPr>
      </w:pPr>
      <w:r w:rsidRPr="005E022C">
        <w:rPr>
          <w:rStyle w:val="FootnoteReference"/>
        </w:rPr>
        <w:footnoteRef/>
      </w:r>
      <w:r w:rsidRPr="005E022C">
        <w:rPr>
          <w:lang w:val="fr-BE"/>
        </w:rPr>
        <w:t xml:space="preserve"> </w:t>
      </w:r>
      <w:r>
        <w:rPr>
          <w:lang w:val="fr-BE"/>
        </w:rPr>
        <w:t>Philip Wielant</w:t>
      </w:r>
      <w:r w:rsidRPr="005E022C">
        <w:rPr>
          <w:lang w:val="fr-BE"/>
        </w:rPr>
        <w:t>, ‘Recueil des antiquités de Flandre’, 120-33</w:t>
      </w:r>
      <w:r>
        <w:rPr>
          <w:lang w:val="fr-BE"/>
        </w:rPr>
        <w:t xml:space="preserve"> (130)</w:t>
      </w:r>
      <w:r w:rsidRPr="005E022C">
        <w:rPr>
          <w:lang w:val="fr-BE"/>
        </w:rPr>
        <w:t>.</w:t>
      </w:r>
      <w:r>
        <w:rPr>
          <w:lang w:val="fr-BE"/>
        </w:rPr>
        <w:t xml:space="preserve"> </w:t>
      </w:r>
    </w:p>
  </w:footnote>
  <w:footnote w:id="94">
    <w:p w14:paraId="53B7E735" w14:textId="77777777" w:rsidR="00B642CB" w:rsidRPr="00C7748F" w:rsidRDefault="00B642CB" w:rsidP="00B642CB">
      <w:pPr>
        <w:pStyle w:val="FootnoteText"/>
        <w:rPr>
          <w:lang w:val="nl-BE"/>
        </w:rPr>
      </w:pPr>
      <w:r w:rsidRPr="005E022C">
        <w:rPr>
          <w:rStyle w:val="FootnoteReference"/>
        </w:rPr>
        <w:footnoteRef/>
      </w:r>
      <w:r w:rsidRPr="00D257FA">
        <w:rPr>
          <w:lang w:val="nl-BE"/>
        </w:rPr>
        <w:t xml:space="preserve"> Philip Wielant, Filips Wielant. </w:t>
      </w:r>
      <w:r w:rsidRPr="00046CA6">
        <w:rPr>
          <w:lang w:val="nl-BE"/>
        </w:rPr>
        <w:t>Verzameld werk. I Corte instructie in materie criminele</w:t>
      </w:r>
      <w:r w:rsidRPr="00C7748F">
        <w:rPr>
          <w:lang w:val="nl-BE"/>
        </w:rPr>
        <w:t>, 177.</w:t>
      </w:r>
    </w:p>
  </w:footnote>
  <w:footnote w:id="95">
    <w:p w14:paraId="512DAF6C" w14:textId="77777777" w:rsidR="00B642CB" w:rsidRPr="00136171" w:rsidRDefault="00B642CB" w:rsidP="00B642CB">
      <w:pPr>
        <w:pStyle w:val="FootnoteText"/>
        <w:rPr>
          <w:lang w:val="nl-BE"/>
        </w:rPr>
      </w:pPr>
      <w:r w:rsidRPr="005E022C">
        <w:rPr>
          <w:rStyle w:val="FootnoteReference"/>
        </w:rPr>
        <w:footnoteRef/>
      </w:r>
      <w:r w:rsidRPr="00916238">
        <w:rPr>
          <w:lang w:val="nl-BE"/>
        </w:rPr>
        <w:t xml:space="preserve"> Wim Blockmans, ‘</w:t>
      </w:r>
      <w:r w:rsidRPr="00CD082E">
        <w:rPr>
          <w:lang w:val="nl-BE"/>
        </w:rPr>
        <w:t>Breuk of continuïteit? De Vlaamse privilegiën van 1477 in het licht van het staatsvormingsproces met Franse samenvatting en uitgave van het privilegie voor het graafschap Vlaanderen, 11 februari 1477</w:t>
      </w:r>
      <w:r w:rsidRPr="00916238">
        <w:rPr>
          <w:lang w:val="nl-BE"/>
        </w:rPr>
        <w:t xml:space="preserve">’ </w:t>
      </w:r>
      <w:r>
        <w:rPr>
          <w:lang w:val="nl-BE"/>
        </w:rPr>
        <w:t>i</w:t>
      </w:r>
      <w:r w:rsidRPr="00916238">
        <w:rPr>
          <w:lang w:val="nl-BE"/>
        </w:rPr>
        <w:t xml:space="preserve">n </w:t>
      </w:r>
      <w:r w:rsidRPr="00916238">
        <w:rPr>
          <w:i/>
          <w:iCs/>
          <w:lang w:val="nl-BE"/>
        </w:rPr>
        <w:t>Het algemene en de gewestelijke privilegiën van Maria van Bourgondië voor de Nederlanden</w:t>
      </w:r>
      <w:r w:rsidRPr="00916238">
        <w:rPr>
          <w:lang w:val="nl-BE"/>
        </w:rPr>
        <w:t xml:space="preserve">, </w:t>
      </w:r>
      <w:r>
        <w:rPr>
          <w:lang w:val="nl-BE"/>
        </w:rPr>
        <w:t>ed.</w:t>
      </w:r>
      <w:r w:rsidRPr="00916238">
        <w:rPr>
          <w:lang w:val="nl-BE"/>
        </w:rPr>
        <w:t xml:space="preserve"> </w:t>
      </w:r>
      <w:r w:rsidRPr="00136171">
        <w:rPr>
          <w:lang w:val="nl-BE"/>
        </w:rPr>
        <w:t xml:space="preserve">Wim Blockmans (UGA, 1985), </w:t>
      </w:r>
      <w:r>
        <w:rPr>
          <w:lang w:val="nl-BE"/>
        </w:rPr>
        <w:t>97-1</w:t>
      </w:r>
      <w:r w:rsidRPr="00136171">
        <w:rPr>
          <w:lang w:val="nl-BE"/>
        </w:rPr>
        <w:t>44</w:t>
      </w:r>
      <w:r>
        <w:rPr>
          <w:lang w:val="nl-BE"/>
        </w:rPr>
        <w:t xml:space="preserve"> (</w:t>
      </w:r>
      <w:r w:rsidRPr="00916238">
        <w:rPr>
          <w:lang w:val="nl-BE"/>
        </w:rPr>
        <w:t>130</w:t>
      </w:r>
      <w:r>
        <w:rPr>
          <w:lang w:val="nl-BE"/>
        </w:rPr>
        <w:t>-31).</w:t>
      </w:r>
      <w:r w:rsidRPr="00916238">
        <w:rPr>
          <w:lang w:val="nl-BE"/>
        </w:rPr>
        <w:t xml:space="preserve"> </w:t>
      </w:r>
    </w:p>
  </w:footnote>
  <w:footnote w:id="96">
    <w:p w14:paraId="60AFB3E6" w14:textId="77777777" w:rsidR="00B642CB" w:rsidRPr="00D257FA" w:rsidRDefault="00B642CB" w:rsidP="00B642CB">
      <w:pPr>
        <w:pStyle w:val="FootnoteText"/>
        <w:rPr>
          <w:lang w:val="nl-BE"/>
        </w:rPr>
      </w:pPr>
      <w:r w:rsidRPr="005E022C">
        <w:rPr>
          <w:rStyle w:val="FootnoteReference"/>
        </w:rPr>
        <w:footnoteRef/>
      </w:r>
      <w:r w:rsidRPr="00916238">
        <w:rPr>
          <w:lang w:val="nl-BE"/>
        </w:rPr>
        <w:t xml:space="preserve"> </w:t>
      </w:r>
      <w:r w:rsidRPr="00CF1999">
        <w:rPr>
          <w:lang w:val="nl-BE"/>
        </w:rPr>
        <w:t xml:space="preserve">Philip Wielant, Filips Wielant. </w:t>
      </w:r>
      <w:r w:rsidRPr="00046CA6">
        <w:rPr>
          <w:lang w:val="nl-BE"/>
        </w:rPr>
        <w:t xml:space="preserve">Verzameld werk. </w:t>
      </w:r>
      <w:r w:rsidRPr="00D257FA">
        <w:rPr>
          <w:lang w:val="nl-BE"/>
        </w:rPr>
        <w:t>I Corte instructie in materie criminele, 105.</w:t>
      </w:r>
    </w:p>
  </w:footnote>
  <w:footnote w:id="97">
    <w:p w14:paraId="4F956D73" w14:textId="77777777" w:rsidR="00B642CB" w:rsidRPr="005E022C" w:rsidRDefault="00B642CB" w:rsidP="00B642CB">
      <w:pPr>
        <w:pStyle w:val="FootnoteText"/>
        <w:rPr>
          <w:lang w:val="fr-BE"/>
        </w:rPr>
      </w:pPr>
      <w:r w:rsidRPr="005E022C">
        <w:rPr>
          <w:rStyle w:val="FootnoteReference"/>
        </w:rPr>
        <w:footnoteRef/>
      </w:r>
      <w:r w:rsidRPr="005E022C">
        <w:rPr>
          <w:lang w:val="fr-BE"/>
        </w:rPr>
        <w:t xml:space="preserve"> </w:t>
      </w:r>
      <w:r>
        <w:rPr>
          <w:lang w:val="fr-BE"/>
        </w:rPr>
        <w:t>Philip Wielant</w:t>
      </w:r>
      <w:r w:rsidRPr="005E022C">
        <w:rPr>
          <w:lang w:val="fr-BE"/>
        </w:rPr>
        <w:t>, ‘Recueil des antiquités de Flandre’, 250</w:t>
      </w:r>
      <w:r>
        <w:rPr>
          <w:lang w:val="fr-BE"/>
        </w:rPr>
        <w:t xml:space="preserve">: </w:t>
      </w:r>
      <w:r w:rsidRPr="005E022C">
        <w:rPr>
          <w:lang w:val="fr-BE"/>
        </w:rPr>
        <w:t>‘</w:t>
      </w:r>
      <w:r w:rsidRPr="00CF1999">
        <w:rPr>
          <w:lang w:val="fr-BE"/>
        </w:rPr>
        <w:t xml:space="preserve">que, se le conte ou son </w:t>
      </w:r>
      <w:proofErr w:type="spellStart"/>
      <w:r w:rsidRPr="00CF1999">
        <w:rPr>
          <w:lang w:val="fr-BE"/>
        </w:rPr>
        <w:t>bailly</w:t>
      </w:r>
      <w:proofErr w:type="spellEnd"/>
      <w:r w:rsidRPr="00CF1999">
        <w:rPr>
          <w:lang w:val="fr-BE"/>
        </w:rPr>
        <w:t xml:space="preserve"> ou son </w:t>
      </w:r>
      <w:proofErr w:type="spellStart"/>
      <w:r w:rsidRPr="00CF1999">
        <w:rPr>
          <w:lang w:val="fr-BE"/>
        </w:rPr>
        <w:t>recepveur</w:t>
      </w:r>
      <w:proofErr w:type="spellEnd"/>
      <w:r w:rsidRPr="00CF1999">
        <w:rPr>
          <w:lang w:val="fr-BE"/>
        </w:rPr>
        <w:t xml:space="preserve"> de Flandre </w:t>
      </w:r>
      <w:proofErr w:type="spellStart"/>
      <w:r w:rsidRPr="00CF1999">
        <w:rPr>
          <w:lang w:val="fr-BE"/>
        </w:rPr>
        <w:t>feissent</w:t>
      </w:r>
      <w:proofErr w:type="spellEnd"/>
      <w:r w:rsidRPr="00CF1999">
        <w:rPr>
          <w:lang w:val="fr-BE"/>
        </w:rPr>
        <w:t xml:space="preserve"> </w:t>
      </w:r>
      <w:proofErr w:type="spellStart"/>
      <w:r w:rsidRPr="00CF1999">
        <w:rPr>
          <w:lang w:val="fr-BE"/>
        </w:rPr>
        <w:t>aulcun</w:t>
      </w:r>
      <w:proofErr w:type="spellEnd"/>
      <w:r w:rsidRPr="00CF1999">
        <w:rPr>
          <w:lang w:val="fr-BE"/>
        </w:rPr>
        <w:t xml:space="preserve"> tort à la ville contre leur </w:t>
      </w:r>
      <w:proofErr w:type="spellStart"/>
      <w:r w:rsidRPr="00CF1999">
        <w:rPr>
          <w:lang w:val="fr-BE"/>
        </w:rPr>
        <w:t>privilége</w:t>
      </w:r>
      <w:proofErr w:type="spellEnd"/>
      <w:r w:rsidRPr="00CF1999">
        <w:rPr>
          <w:lang w:val="fr-BE"/>
        </w:rPr>
        <w:t xml:space="preserve"> et qu'ilz ne </w:t>
      </w:r>
      <w:proofErr w:type="spellStart"/>
      <w:r w:rsidRPr="00CF1999">
        <w:rPr>
          <w:lang w:val="fr-BE"/>
        </w:rPr>
        <w:t>reparassent</w:t>
      </w:r>
      <w:proofErr w:type="spellEnd"/>
      <w:r w:rsidRPr="00CF1999">
        <w:rPr>
          <w:lang w:val="fr-BE"/>
        </w:rPr>
        <w:t xml:space="preserve"> en </w:t>
      </w:r>
      <w:proofErr w:type="spellStart"/>
      <w:r w:rsidRPr="00CF1999">
        <w:rPr>
          <w:lang w:val="fr-BE"/>
        </w:rPr>
        <w:t>dedens</w:t>
      </w:r>
      <w:proofErr w:type="spellEnd"/>
      <w:r w:rsidRPr="00CF1999">
        <w:rPr>
          <w:lang w:val="fr-BE"/>
        </w:rPr>
        <w:t xml:space="preserve"> dix jours après, qu'ilz en seroient sommez</w:t>
      </w:r>
      <w:r w:rsidRPr="005E022C">
        <w:rPr>
          <w:lang w:val="fr-BE"/>
        </w:rPr>
        <w:t>’.</w:t>
      </w:r>
    </w:p>
  </w:footnote>
  <w:footnote w:id="98">
    <w:p w14:paraId="3294A806" w14:textId="77777777" w:rsidR="00B642CB" w:rsidRPr="005E022C" w:rsidRDefault="00B642CB" w:rsidP="00B642CB">
      <w:pPr>
        <w:pStyle w:val="FootnoteText"/>
        <w:rPr>
          <w:lang w:val="fr-BE"/>
        </w:rPr>
      </w:pPr>
      <w:r w:rsidRPr="005E022C">
        <w:rPr>
          <w:rStyle w:val="FootnoteReference"/>
        </w:rPr>
        <w:footnoteRef/>
      </w:r>
      <w:r w:rsidRPr="005E022C">
        <w:rPr>
          <w:lang w:val="fr-BE"/>
        </w:rPr>
        <w:t xml:space="preserve"> </w:t>
      </w:r>
      <w:r>
        <w:rPr>
          <w:lang w:val="fr-BE"/>
        </w:rPr>
        <w:t>Philip Wielant</w:t>
      </w:r>
      <w:r w:rsidRPr="005E022C">
        <w:rPr>
          <w:lang w:val="fr-BE"/>
        </w:rPr>
        <w:t>, ‘Recueil des antiquités de Flandre’, 107.</w:t>
      </w:r>
    </w:p>
  </w:footnote>
  <w:footnote w:id="99">
    <w:p w14:paraId="0BFEC074" w14:textId="77777777" w:rsidR="00B642CB" w:rsidRPr="005E022C" w:rsidRDefault="00B642CB" w:rsidP="00B642CB">
      <w:pPr>
        <w:pStyle w:val="FootnoteText"/>
        <w:rPr>
          <w:lang w:val="en-US"/>
        </w:rPr>
      </w:pPr>
      <w:r w:rsidRPr="005E022C">
        <w:rPr>
          <w:rStyle w:val="FootnoteReference"/>
        </w:rPr>
        <w:footnoteRef/>
      </w:r>
      <w:r w:rsidRPr="005E022C">
        <w:rPr>
          <w:lang w:val="en-US"/>
        </w:rPr>
        <w:t xml:space="preserve"> Martín Romera, ‘Accountable to the Community?’</w:t>
      </w:r>
      <w:r>
        <w:rPr>
          <w:lang w:val="en-US"/>
        </w:rPr>
        <w:t xml:space="preserve">, </w:t>
      </w:r>
      <w:r w:rsidRPr="005E022C">
        <w:rPr>
          <w:lang w:val="en-US"/>
        </w:rPr>
        <w:t xml:space="preserve">562; Sabapathy, ‘Accountable </w:t>
      </w:r>
      <w:proofErr w:type="spellStart"/>
      <w:r w:rsidRPr="005E022C">
        <w:rPr>
          <w:lang w:val="en-US"/>
        </w:rPr>
        <w:t>Rectores</w:t>
      </w:r>
      <w:proofErr w:type="spellEnd"/>
      <w:r w:rsidRPr="005E022C">
        <w:rPr>
          <w:lang w:val="en-US"/>
        </w:rPr>
        <w:t xml:space="preserve"> in Comparative Perspective’, 225; Sabapathy, </w:t>
      </w:r>
      <w:r w:rsidRPr="005E022C">
        <w:rPr>
          <w:i/>
          <w:iCs/>
          <w:lang w:val="en-US"/>
        </w:rPr>
        <w:t>Officers and Accountability</w:t>
      </w:r>
      <w:r w:rsidRPr="005E022C">
        <w:rPr>
          <w:lang w:val="en-US"/>
        </w:rPr>
        <w:t>, 227</w:t>
      </w:r>
      <w:r>
        <w:rPr>
          <w:lang w:val="en-US"/>
        </w:rPr>
        <w:t>-2</w:t>
      </w:r>
      <w:r w:rsidRPr="005E022C">
        <w:rPr>
          <w:lang w:val="en-US"/>
        </w:rPr>
        <w:t>9.</w:t>
      </w:r>
    </w:p>
  </w:footnote>
  <w:footnote w:id="100">
    <w:p w14:paraId="4729E68D" w14:textId="77777777" w:rsidR="00B642CB" w:rsidRPr="00C7748F" w:rsidRDefault="00B642CB" w:rsidP="00B642CB">
      <w:pPr>
        <w:pStyle w:val="FootnoteText"/>
        <w:rPr>
          <w:lang w:val="fr-BE"/>
        </w:rPr>
      </w:pPr>
      <w:r w:rsidRPr="005E022C">
        <w:rPr>
          <w:rStyle w:val="FootnoteReference"/>
        </w:rPr>
        <w:footnoteRef/>
      </w:r>
      <w:r w:rsidRPr="00C7748F">
        <w:rPr>
          <w:lang w:val="fr-BE"/>
        </w:rPr>
        <w:t xml:space="preserve"> Sabapathy,</w:t>
      </w:r>
      <w:r w:rsidRPr="00A37FE7">
        <w:rPr>
          <w:lang w:val="fr-BE"/>
        </w:rPr>
        <w:t xml:space="preserve"> Officers and Accountability</w:t>
      </w:r>
      <w:r w:rsidRPr="00C7748F">
        <w:rPr>
          <w:lang w:val="fr-BE"/>
        </w:rPr>
        <w:t>, 229</w:t>
      </w:r>
      <w:r>
        <w:rPr>
          <w:lang w:val="fr-BE"/>
        </w:rPr>
        <w:t>-</w:t>
      </w:r>
      <w:r w:rsidRPr="00C7748F">
        <w:rPr>
          <w:lang w:val="fr-BE"/>
        </w:rPr>
        <w:t>30.</w:t>
      </w:r>
    </w:p>
  </w:footnote>
  <w:footnote w:id="101">
    <w:p w14:paraId="2D7E82D8" w14:textId="77777777" w:rsidR="00B642CB" w:rsidRPr="005E022C" w:rsidRDefault="00B642CB" w:rsidP="00B642CB">
      <w:pPr>
        <w:pStyle w:val="FootnoteText"/>
        <w:rPr>
          <w:lang w:val="fr-BE"/>
        </w:rPr>
      </w:pPr>
      <w:r w:rsidRPr="005E022C">
        <w:rPr>
          <w:rStyle w:val="FootnoteReference"/>
        </w:rPr>
        <w:footnoteRef/>
      </w:r>
      <w:r w:rsidRPr="005E022C">
        <w:rPr>
          <w:lang w:val="fr-BE"/>
        </w:rPr>
        <w:t xml:space="preserve"> </w:t>
      </w:r>
      <w:r>
        <w:rPr>
          <w:lang w:val="fr-BE"/>
        </w:rPr>
        <w:t>Philip Wielant</w:t>
      </w:r>
      <w:r w:rsidRPr="005E022C">
        <w:rPr>
          <w:lang w:val="fr-BE"/>
        </w:rPr>
        <w:t>, ‘Recueil des antiquités de Flandre’, 110</w:t>
      </w:r>
      <w:r>
        <w:rPr>
          <w:lang w:val="fr-BE"/>
        </w:rPr>
        <w:t xml:space="preserve"> : </w:t>
      </w:r>
      <w:r w:rsidRPr="005E022C">
        <w:rPr>
          <w:lang w:val="fr-BE"/>
        </w:rPr>
        <w:t>‘</w:t>
      </w:r>
      <w:r w:rsidRPr="00CF1999">
        <w:rPr>
          <w:lang w:val="fr-BE"/>
        </w:rPr>
        <w:t xml:space="preserve">considérant que souvent luy </w:t>
      </w:r>
      <w:proofErr w:type="spellStart"/>
      <w:r w:rsidRPr="00CF1999">
        <w:rPr>
          <w:lang w:val="fr-BE"/>
        </w:rPr>
        <w:t>convenoit</w:t>
      </w:r>
      <w:proofErr w:type="spellEnd"/>
      <w:r w:rsidRPr="00CF1999">
        <w:rPr>
          <w:lang w:val="fr-BE"/>
        </w:rPr>
        <w:t xml:space="preserve"> estre absent et esbigné du pays</w:t>
      </w:r>
      <w:r w:rsidRPr="005E022C">
        <w:rPr>
          <w:lang w:val="fr-BE"/>
        </w:rPr>
        <w:t>’.</w:t>
      </w:r>
    </w:p>
  </w:footnote>
  <w:footnote w:id="102">
    <w:p w14:paraId="696E6737" w14:textId="77777777" w:rsidR="00B642CB" w:rsidRPr="0017230A" w:rsidRDefault="00B642CB" w:rsidP="00B642CB">
      <w:pPr>
        <w:pStyle w:val="FootnoteText"/>
        <w:rPr>
          <w:lang w:val="fr-BE"/>
        </w:rPr>
      </w:pPr>
      <w:r w:rsidRPr="005E022C">
        <w:rPr>
          <w:rStyle w:val="FootnoteReference"/>
        </w:rPr>
        <w:footnoteRef/>
      </w:r>
      <w:r w:rsidRPr="0017230A">
        <w:rPr>
          <w:lang w:val="fr-BE"/>
        </w:rPr>
        <w:t xml:space="preserve"> </w:t>
      </w:r>
      <w:r>
        <w:rPr>
          <w:lang w:val="fr-BE"/>
        </w:rPr>
        <w:t>Philip Wielant</w:t>
      </w:r>
      <w:r w:rsidRPr="005E022C">
        <w:rPr>
          <w:lang w:val="fr-BE"/>
        </w:rPr>
        <w:t>, ‘Recueil des antiquités de Flandre’, 110</w:t>
      </w:r>
      <w:r w:rsidRPr="0017230A">
        <w:rPr>
          <w:lang w:val="fr-BE"/>
        </w:rPr>
        <w:t xml:space="preserve">. </w:t>
      </w:r>
    </w:p>
  </w:footnote>
  <w:footnote w:id="103">
    <w:p w14:paraId="4B7AA583" w14:textId="77777777" w:rsidR="00B642CB" w:rsidRPr="00A31EDA" w:rsidRDefault="00B642CB" w:rsidP="00B642CB">
      <w:pPr>
        <w:pStyle w:val="FootnoteText"/>
        <w:rPr>
          <w:lang w:val="en-US"/>
        </w:rPr>
      </w:pPr>
      <w:r w:rsidRPr="005E022C">
        <w:rPr>
          <w:rStyle w:val="FootnoteReference"/>
        </w:rPr>
        <w:footnoteRef/>
      </w:r>
      <w:r w:rsidRPr="005E022C">
        <w:rPr>
          <w:lang w:val="en-US"/>
        </w:rPr>
        <w:t xml:space="preserve"> </w:t>
      </w:r>
      <w:r>
        <w:rPr>
          <w:lang w:val="en-US"/>
        </w:rPr>
        <w:t>I here</w:t>
      </w:r>
      <w:r w:rsidRPr="005E022C">
        <w:rPr>
          <w:lang w:val="en-US"/>
        </w:rPr>
        <w:t xml:space="preserve"> investigated the petitions submitted by the </w:t>
      </w:r>
      <w:r>
        <w:rPr>
          <w:lang w:val="en-US"/>
        </w:rPr>
        <w:t>craft guilds of Bruges</w:t>
      </w:r>
      <w:r w:rsidRPr="005E022C">
        <w:rPr>
          <w:lang w:val="en-US"/>
        </w:rPr>
        <w:t xml:space="preserve"> on 8 October 1411, between 7 and 20 March 1477, on 23 February 1488, and on 17 April 1488. </w:t>
      </w:r>
      <w:r w:rsidRPr="00A31EDA">
        <w:rPr>
          <w:lang w:val="en-US"/>
        </w:rPr>
        <w:t xml:space="preserve">Please </w:t>
      </w:r>
      <w:r>
        <w:rPr>
          <w:lang w:val="en-US"/>
        </w:rPr>
        <w:t>refer to</w:t>
      </w:r>
      <w:r w:rsidRPr="00A31EDA">
        <w:rPr>
          <w:lang w:val="en-US"/>
        </w:rPr>
        <w:t xml:space="preserve"> Appendix 1 for the full source references</w:t>
      </w:r>
      <w:r>
        <w:rPr>
          <w:lang w:val="en-US"/>
        </w:rPr>
        <w:t xml:space="preserve">. </w:t>
      </w:r>
    </w:p>
  </w:footnote>
  <w:footnote w:id="104">
    <w:p w14:paraId="3B2C6815" w14:textId="77777777" w:rsidR="00B642CB" w:rsidRPr="005F50D9" w:rsidRDefault="00B642CB" w:rsidP="00B642CB">
      <w:pPr>
        <w:pStyle w:val="FootnoteText"/>
        <w:rPr>
          <w:lang w:val="nl-BE"/>
        </w:rPr>
      </w:pPr>
      <w:r w:rsidRPr="005E022C">
        <w:rPr>
          <w:rStyle w:val="FootnoteReference"/>
        </w:rPr>
        <w:footnoteRef/>
      </w:r>
      <w:r w:rsidRPr="00F95F92">
        <w:rPr>
          <w:lang w:val="en-US"/>
        </w:rPr>
        <w:t xml:space="preserve"> Jelle Haemers,</w:t>
      </w:r>
      <w:r>
        <w:rPr>
          <w:lang w:val="en-US"/>
        </w:rPr>
        <w:t xml:space="preserve"> </w:t>
      </w:r>
      <w:r w:rsidRPr="00F95F92">
        <w:rPr>
          <w:lang w:val="en-US"/>
        </w:rPr>
        <w:t>‘</w:t>
      </w:r>
      <w:proofErr w:type="spellStart"/>
      <w:r w:rsidRPr="00F95F92">
        <w:rPr>
          <w:lang w:val="en-US"/>
        </w:rPr>
        <w:t>Geletterd</w:t>
      </w:r>
      <w:proofErr w:type="spellEnd"/>
      <w:r w:rsidRPr="00F95F92">
        <w:rPr>
          <w:lang w:val="en-US"/>
        </w:rPr>
        <w:t xml:space="preserve"> </w:t>
      </w:r>
      <w:proofErr w:type="spellStart"/>
      <w:r w:rsidRPr="00F95F92">
        <w:rPr>
          <w:lang w:val="en-US"/>
        </w:rPr>
        <w:t>verzet</w:t>
      </w:r>
      <w:proofErr w:type="spellEnd"/>
      <w:r w:rsidRPr="00F95F92">
        <w:rPr>
          <w:lang w:val="en-US"/>
        </w:rPr>
        <w:t xml:space="preserve">. </w:t>
      </w:r>
      <w:r w:rsidRPr="005F50D9">
        <w:rPr>
          <w:lang w:val="nl-BE"/>
        </w:rPr>
        <w:t>Diplomatiek, politiek en herinneringscultuur van opstandelingen in de laatmiddeleeuwse en vroegmoderne stad (casus: Gent en Brugge)</w:t>
      </w:r>
      <w:r>
        <w:rPr>
          <w:lang w:val="nl-BE"/>
        </w:rPr>
        <w:t xml:space="preserve">’, </w:t>
      </w:r>
      <w:r w:rsidRPr="005F50D9">
        <w:rPr>
          <w:i/>
          <w:iCs/>
          <w:lang w:val="nl-BE"/>
        </w:rPr>
        <w:t>Handelingen van de Koninklijke Commissie voor Geschiedenis</w:t>
      </w:r>
      <w:r>
        <w:rPr>
          <w:i/>
          <w:iCs/>
          <w:lang w:val="nl-BE"/>
        </w:rPr>
        <w:t xml:space="preserve"> </w:t>
      </w:r>
      <w:r>
        <w:rPr>
          <w:lang w:val="nl-BE"/>
        </w:rPr>
        <w:t>176, no. 1 (2010): 5-54 (</w:t>
      </w:r>
      <w:r w:rsidRPr="005F50D9">
        <w:rPr>
          <w:lang w:val="nl-BE"/>
        </w:rPr>
        <w:t>42</w:t>
      </w:r>
      <w:r>
        <w:rPr>
          <w:lang w:val="nl-BE"/>
        </w:rPr>
        <w:t>)</w:t>
      </w:r>
      <w:r w:rsidRPr="005F50D9">
        <w:rPr>
          <w:lang w:val="nl-BE"/>
        </w:rPr>
        <w:t>.</w:t>
      </w:r>
    </w:p>
  </w:footnote>
  <w:footnote w:id="105">
    <w:p w14:paraId="31A1D123" w14:textId="77777777" w:rsidR="00B642CB" w:rsidRPr="003A50A4" w:rsidRDefault="00B642CB" w:rsidP="00B642CB">
      <w:pPr>
        <w:pStyle w:val="FootnoteText"/>
        <w:rPr>
          <w:lang w:val="en-US"/>
        </w:rPr>
      </w:pPr>
      <w:r w:rsidRPr="005E022C">
        <w:rPr>
          <w:rStyle w:val="FootnoteReference"/>
        </w:rPr>
        <w:footnoteRef/>
      </w:r>
      <w:r>
        <w:rPr>
          <w:lang w:val="en-US"/>
        </w:rPr>
        <w:t xml:space="preserve"> </w:t>
      </w:r>
      <w:r w:rsidRPr="003A50A4">
        <w:rPr>
          <w:lang w:val="en-US"/>
        </w:rPr>
        <w:t>Haemers, ‘</w:t>
      </w:r>
      <w:proofErr w:type="spellStart"/>
      <w:r w:rsidRPr="003A50A4">
        <w:rPr>
          <w:lang w:val="en-US"/>
        </w:rPr>
        <w:t>Geletterd</w:t>
      </w:r>
      <w:proofErr w:type="spellEnd"/>
      <w:r w:rsidRPr="003A50A4">
        <w:rPr>
          <w:lang w:val="en-US"/>
        </w:rPr>
        <w:t xml:space="preserve"> </w:t>
      </w:r>
      <w:proofErr w:type="spellStart"/>
      <w:r w:rsidRPr="003A50A4">
        <w:rPr>
          <w:lang w:val="en-US"/>
        </w:rPr>
        <w:t>verzet</w:t>
      </w:r>
      <w:proofErr w:type="spellEnd"/>
      <w:r w:rsidRPr="003A50A4">
        <w:rPr>
          <w:lang w:val="en-US"/>
        </w:rPr>
        <w:t>’</w:t>
      </w:r>
      <w:r>
        <w:rPr>
          <w:lang w:val="en-US"/>
        </w:rPr>
        <w:t>,</w:t>
      </w:r>
      <w:r w:rsidRPr="003A50A4">
        <w:rPr>
          <w:lang w:val="en-US"/>
        </w:rPr>
        <w:t xml:space="preserve"> 42. </w:t>
      </w:r>
      <w:r w:rsidRPr="005E022C">
        <w:rPr>
          <w:lang w:val="en-US"/>
        </w:rPr>
        <w:t xml:space="preserve">For more information on the office of water bailiff and the seaport of Sluis see Bart Lambert, ‘Merchants on the Margins: Fifteenth-Century Bruges and the Informal Market’, </w:t>
      </w:r>
      <w:r w:rsidRPr="005E022C">
        <w:rPr>
          <w:i/>
          <w:iCs/>
          <w:lang w:val="en-US"/>
        </w:rPr>
        <w:t>Journal of Medieval History</w:t>
      </w:r>
      <w:r w:rsidRPr="005E022C">
        <w:rPr>
          <w:lang w:val="en-US"/>
        </w:rPr>
        <w:t xml:space="preserve"> 42</w:t>
      </w:r>
      <w:r>
        <w:rPr>
          <w:lang w:val="en-US"/>
        </w:rPr>
        <w:t xml:space="preserve">, no. </w:t>
      </w:r>
      <w:r w:rsidRPr="005E022C">
        <w:rPr>
          <w:lang w:val="en-US"/>
        </w:rPr>
        <w:t>2 (2016)</w:t>
      </w:r>
      <w:r>
        <w:rPr>
          <w:lang w:val="en-US"/>
        </w:rPr>
        <w:t>:</w:t>
      </w:r>
      <w:r w:rsidRPr="005E022C">
        <w:rPr>
          <w:lang w:val="en-US"/>
        </w:rPr>
        <w:t xml:space="preserve"> 226</w:t>
      </w:r>
      <w:r>
        <w:rPr>
          <w:lang w:val="en-US"/>
        </w:rPr>
        <w:t>-</w:t>
      </w:r>
      <w:r w:rsidRPr="005E022C">
        <w:rPr>
          <w:lang w:val="en-US"/>
        </w:rPr>
        <w:t xml:space="preserve">53. </w:t>
      </w:r>
    </w:p>
  </w:footnote>
  <w:footnote w:id="106">
    <w:p w14:paraId="27E0E796" w14:textId="77777777" w:rsidR="00B642CB" w:rsidRPr="00676098" w:rsidRDefault="00B642CB" w:rsidP="00B642CB">
      <w:pPr>
        <w:pStyle w:val="FootnoteText"/>
        <w:rPr>
          <w:lang w:val="fr-BE"/>
        </w:rPr>
      </w:pPr>
      <w:r w:rsidRPr="005E022C">
        <w:rPr>
          <w:rStyle w:val="FootnoteReference"/>
        </w:rPr>
        <w:footnoteRef/>
      </w:r>
      <w:r w:rsidRPr="00676098">
        <w:rPr>
          <w:lang w:val="fr-BE"/>
        </w:rPr>
        <w:t xml:space="preserve"> Haemers, ‘</w:t>
      </w:r>
      <w:proofErr w:type="spellStart"/>
      <w:r w:rsidRPr="00676098">
        <w:rPr>
          <w:lang w:val="fr-BE"/>
        </w:rPr>
        <w:t>Geletterd</w:t>
      </w:r>
      <w:proofErr w:type="spellEnd"/>
      <w:r w:rsidRPr="00676098">
        <w:rPr>
          <w:lang w:val="fr-BE"/>
        </w:rPr>
        <w:t xml:space="preserve"> </w:t>
      </w:r>
      <w:proofErr w:type="spellStart"/>
      <w:r w:rsidRPr="00676098">
        <w:rPr>
          <w:lang w:val="fr-BE"/>
        </w:rPr>
        <w:t>verzet</w:t>
      </w:r>
      <w:proofErr w:type="spellEnd"/>
      <w:r w:rsidRPr="00676098">
        <w:rPr>
          <w:lang w:val="fr-BE"/>
        </w:rPr>
        <w:t>’</w:t>
      </w:r>
      <w:r>
        <w:rPr>
          <w:lang w:val="fr-BE"/>
        </w:rPr>
        <w:t>,</w:t>
      </w:r>
      <w:r w:rsidRPr="00676098">
        <w:rPr>
          <w:lang w:val="fr-BE"/>
        </w:rPr>
        <w:t xml:space="preserve"> 42.</w:t>
      </w:r>
    </w:p>
  </w:footnote>
  <w:footnote w:id="107">
    <w:p w14:paraId="7A211DFC" w14:textId="77777777" w:rsidR="00B642CB" w:rsidRPr="00676098" w:rsidRDefault="00B642CB" w:rsidP="00B642CB">
      <w:pPr>
        <w:pStyle w:val="FootnoteText"/>
        <w:rPr>
          <w:lang w:val="fr-BE"/>
        </w:rPr>
      </w:pPr>
      <w:r w:rsidRPr="005E022C">
        <w:rPr>
          <w:rStyle w:val="FootnoteReference"/>
        </w:rPr>
        <w:footnoteRef/>
      </w:r>
      <w:r w:rsidRPr="00676098">
        <w:rPr>
          <w:lang w:val="fr-BE"/>
        </w:rPr>
        <w:t xml:space="preserve"> </w:t>
      </w:r>
      <w:r>
        <w:rPr>
          <w:lang w:val="fr-BE"/>
        </w:rPr>
        <w:t>Philip Wielant,</w:t>
      </w:r>
      <w:r w:rsidRPr="00676098">
        <w:rPr>
          <w:lang w:val="fr-BE"/>
        </w:rPr>
        <w:t xml:space="preserve"> ‘Recueil des antiquités de Flandre’, 305. </w:t>
      </w:r>
    </w:p>
  </w:footnote>
  <w:footnote w:id="108">
    <w:p w14:paraId="63884B19" w14:textId="77777777" w:rsidR="00B642CB" w:rsidRPr="005E022C" w:rsidRDefault="00B642CB" w:rsidP="00B642CB">
      <w:pPr>
        <w:pStyle w:val="FootnoteText"/>
        <w:rPr>
          <w:lang w:val="en-US"/>
        </w:rPr>
      </w:pPr>
      <w:r w:rsidRPr="005E022C">
        <w:rPr>
          <w:rStyle w:val="FootnoteReference"/>
        </w:rPr>
        <w:footnoteRef/>
      </w:r>
      <w:r w:rsidRPr="00916238">
        <w:rPr>
          <w:lang w:val="nl-BE"/>
        </w:rPr>
        <w:t xml:space="preserve"> </w:t>
      </w:r>
      <w:r>
        <w:rPr>
          <w:lang w:val="nl-BE"/>
        </w:rPr>
        <w:t xml:space="preserve">Bruges, </w:t>
      </w:r>
      <w:r w:rsidRPr="00916238">
        <w:rPr>
          <w:lang w:val="nl-BE"/>
        </w:rPr>
        <w:t xml:space="preserve">City </w:t>
      </w:r>
      <w:proofErr w:type="spellStart"/>
      <w:r w:rsidRPr="00916238">
        <w:rPr>
          <w:lang w:val="nl-BE"/>
        </w:rPr>
        <w:t>Archiv</w:t>
      </w:r>
      <w:r>
        <w:rPr>
          <w:lang w:val="nl-BE"/>
        </w:rPr>
        <w:t>e</w:t>
      </w:r>
      <w:proofErr w:type="spellEnd"/>
      <w:r w:rsidRPr="00916238">
        <w:rPr>
          <w:lang w:val="nl-BE"/>
        </w:rPr>
        <w:t xml:space="preserve">, </w:t>
      </w:r>
      <w:r w:rsidRPr="006636C6">
        <w:rPr>
          <w:lang w:val="nl-BE"/>
        </w:rPr>
        <w:t>Politieke Oorkond</w:t>
      </w:r>
      <w:r w:rsidRPr="00BC6842">
        <w:rPr>
          <w:lang w:val="nl-BE"/>
        </w:rPr>
        <w:t>en</w:t>
      </w:r>
      <w:r>
        <w:rPr>
          <w:lang w:val="nl-BE"/>
        </w:rPr>
        <w:t xml:space="preserve"> </w:t>
      </w:r>
      <w:r w:rsidRPr="00916238">
        <w:rPr>
          <w:lang w:val="nl-BE"/>
        </w:rPr>
        <w:t>1155</w:t>
      </w:r>
      <w:r>
        <w:rPr>
          <w:lang w:val="nl-BE"/>
        </w:rPr>
        <w:t xml:space="preserve">: </w:t>
      </w:r>
      <w:r w:rsidRPr="00916238">
        <w:rPr>
          <w:lang w:val="nl-BE"/>
        </w:rPr>
        <w:t>‘</w:t>
      </w:r>
      <w:r w:rsidRPr="00A61176">
        <w:rPr>
          <w:lang w:val="nl-BE"/>
        </w:rPr>
        <w:t>d</w:t>
      </w:r>
      <w:r w:rsidRPr="001B28A6">
        <w:rPr>
          <w:lang w:val="nl-BE"/>
        </w:rPr>
        <w:t xml:space="preserve">at zij voor elken penning, vier penninghen gheven zullen voort, dat men dien stellen soude drie daghen lang up </w:t>
      </w:r>
      <w:proofErr w:type="spellStart"/>
      <w:r w:rsidRPr="001B28A6">
        <w:rPr>
          <w:lang w:val="nl-BE"/>
        </w:rPr>
        <w:t>tpilloryn</w:t>
      </w:r>
      <w:proofErr w:type="spellEnd"/>
      <w:r w:rsidRPr="001B28A6">
        <w:rPr>
          <w:lang w:val="nl-BE"/>
        </w:rPr>
        <w:t xml:space="preserve"> met </w:t>
      </w:r>
      <w:proofErr w:type="spellStart"/>
      <w:r w:rsidRPr="001B28A6">
        <w:rPr>
          <w:lang w:val="nl-BE"/>
        </w:rPr>
        <w:t>sinen</w:t>
      </w:r>
      <w:proofErr w:type="spellEnd"/>
      <w:r w:rsidRPr="001B28A6">
        <w:rPr>
          <w:lang w:val="nl-BE"/>
        </w:rPr>
        <w:t xml:space="preserve"> </w:t>
      </w:r>
      <w:proofErr w:type="spellStart"/>
      <w:r w:rsidRPr="001B28A6">
        <w:rPr>
          <w:lang w:val="nl-BE"/>
        </w:rPr>
        <w:t>tytele</w:t>
      </w:r>
      <w:proofErr w:type="spellEnd"/>
      <w:r w:rsidRPr="001B28A6">
        <w:rPr>
          <w:lang w:val="nl-BE"/>
        </w:rPr>
        <w:t xml:space="preserve"> voor hem ende daer naer </w:t>
      </w:r>
      <w:proofErr w:type="spellStart"/>
      <w:r w:rsidRPr="001B28A6">
        <w:rPr>
          <w:lang w:val="nl-BE"/>
        </w:rPr>
        <w:t>gheset</w:t>
      </w:r>
      <w:proofErr w:type="spellEnd"/>
      <w:r w:rsidRPr="001B28A6">
        <w:rPr>
          <w:lang w:val="nl-BE"/>
        </w:rPr>
        <w:t xml:space="preserve"> </w:t>
      </w:r>
      <w:proofErr w:type="spellStart"/>
      <w:r w:rsidRPr="001B28A6">
        <w:rPr>
          <w:lang w:val="nl-BE"/>
        </w:rPr>
        <w:t>nemmermeer</w:t>
      </w:r>
      <w:proofErr w:type="spellEnd"/>
      <w:r w:rsidRPr="001B28A6">
        <w:rPr>
          <w:lang w:val="nl-BE"/>
        </w:rPr>
        <w:t xml:space="preserve"> in Wetten te commene</w:t>
      </w:r>
      <w:r w:rsidRPr="00916238">
        <w:rPr>
          <w:lang w:val="nl-BE"/>
        </w:rPr>
        <w:t xml:space="preserve">’. </w:t>
      </w:r>
      <w:r w:rsidRPr="005E022C">
        <w:rPr>
          <w:lang w:val="en-US"/>
        </w:rPr>
        <w:t xml:space="preserve">See also the draft version of this privilege: </w:t>
      </w:r>
      <w:r>
        <w:rPr>
          <w:lang w:val="en-US"/>
        </w:rPr>
        <w:t xml:space="preserve">Bruges, </w:t>
      </w:r>
      <w:r w:rsidRPr="005E022C">
        <w:t>City Archive</w:t>
      </w:r>
      <w:r w:rsidRPr="005E022C">
        <w:rPr>
          <w:lang w:val="en-US"/>
        </w:rPr>
        <w:t xml:space="preserve">, </w:t>
      </w:r>
      <w:r w:rsidRPr="00BC6842">
        <w:rPr>
          <w:lang w:val="en-US"/>
        </w:rPr>
        <w:t>Politieke Oorkonden</w:t>
      </w:r>
      <w:r>
        <w:rPr>
          <w:lang w:val="en-US"/>
        </w:rPr>
        <w:t xml:space="preserve"> </w:t>
      </w:r>
      <w:r w:rsidRPr="005E022C">
        <w:rPr>
          <w:lang w:val="en-US"/>
        </w:rPr>
        <w:t xml:space="preserve">1143. </w:t>
      </w:r>
    </w:p>
  </w:footnote>
  <w:footnote w:id="109">
    <w:p w14:paraId="7EB5F657" w14:textId="77777777" w:rsidR="00B642CB" w:rsidRPr="005E022C" w:rsidRDefault="00B642CB" w:rsidP="00B642CB">
      <w:pPr>
        <w:pStyle w:val="FootnoteText"/>
        <w:rPr>
          <w:lang w:val="fr-BE"/>
        </w:rPr>
      </w:pPr>
      <w:r w:rsidRPr="005E022C">
        <w:rPr>
          <w:rStyle w:val="FootnoteReference"/>
        </w:rPr>
        <w:footnoteRef/>
      </w:r>
      <w:r w:rsidRPr="005E022C">
        <w:rPr>
          <w:lang w:val="fr-BE"/>
        </w:rPr>
        <w:t xml:space="preserve"> Romain Telliez,</w:t>
      </w:r>
      <w:r w:rsidRPr="00CE0784">
        <w:rPr>
          <w:lang w:val="fr-BE"/>
        </w:rPr>
        <w:t xml:space="preserve"> Officiers devant la justice dans le royaume de France au XIVe siècle: </w:t>
      </w:r>
      <w:r>
        <w:rPr>
          <w:lang w:val="fr-BE"/>
        </w:rPr>
        <w:t>P</w:t>
      </w:r>
      <w:r w:rsidRPr="00CE0784">
        <w:rPr>
          <w:lang w:val="fr-BE"/>
        </w:rPr>
        <w:t xml:space="preserve">er </w:t>
      </w:r>
      <w:proofErr w:type="spellStart"/>
      <w:r w:rsidRPr="00CE0784">
        <w:rPr>
          <w:lang w:val="fr-BE"/>
        </w:rPr>
        <w:t>potentiam</w:t>
      </w:r>
      <w:proofErr w:type="spellEnd"/>
      <w:r w:rsidRPr="00CE0784">
        <w:rPr>
          <w:lang w:val="fr-BE"/>
        </w:rPr>
        <w:t xml:space="preserve"> </w:t>
      </w:r>
      <w:proofErr w:type="spellStart"/>
      <w:r w:rsidRPr="00CE0784">
        <w:rPr>
          <w:lang w:val="fr-BE"/>
        </w:rPr>
        <w:t>officii</w:t>
      </w:r>
      <w:proofErr w:type="spellEnd"/>
      <w:r w:rsidRPr="00CE0784">
        <w:rPr>
          <w:lang w:val="fr-BE"/>
        </w:rPr>
        <w:t xml:space="preserve">’ </w:t>
      </w:r>
      <w:r w:rsidRPr="005E022C">
        <w:rPr>
          <w:lang w:val="fr-BE"/>
        </w:rPr>
        <w:t>(H. Champion, 2005), 679</w:t>
      </w:r>
      <w:r>
        <w:rPr>
          <w:lang w:val="fr-BE"/>
        </w:rPr>
        <w:t>-</w:t>
      </w:r>
      <w:r w:rsidRPr="005E022C">
        <w:rPr>
          <w:lang w:val="fr-BE"/>
        </w:rPr>
        <w:t>85.</w:t>
      </w:r>
    </w:p>
  </w:footnote>
  <w:footnote w:id="110">
    <w:p w14:paraId="25B855E7" w14:textId="77777777" w:rsidR="00B642CB" w:rsidRPr="00916238" w:rsidRDefault="00B642CB" w:rsidP="00B642CB">
      <w:pPr>
        <w:pStyle w:val="FootnoteText"/>
        <w:rPr>
          <w:lang w:val="nl-BE"/>
        </w:rPr>
      </w:pPr>
      <w:r w:rsidRPr="005E022C">
        <w:rPr>
          <w:rStyle w:val="FootnoteReference"/>
        </w:rPr>
        <w:footnoteRef/>
      </w:r>
      <w:r>
        <w:rPr>
          <w:lang w:val="nl-BE"/>
        </w:rPr>
        <w:t xml:space="preserve"> </w:t>
      </w:r>
      <w:r w:rsidRPr="00916238">
        <w:rPr>
          <w:lang w:val="nl-BE"/>
        </w:rPr>
        <w:t xml:space="preserve">‘De Chronike van den lande van Vlaendre’, 191. </w:t>
      </w:r>
    </w:p>
  </w:footnote>
  <w:footnote w:id="111">
    <w:p w14:paraId="2BC440C8" w14:textId="77777777" w:rsidR="00B642CB" w:rsidRPr="00155030" w:rsidRDefault="00B642CB" w:rsidP="00B642CB">
      <w:pPr>
        <w:pStyle w:val="FootnoteText"/>
        <w:rPr>
          <w:lang w:val="nl-BE"/>
        </w:rPr>
      </w:pPr>
      <w:r w:rsidRPr="005E022C">
        <w:rPr>
          <w:rStyle w:val="FootnoteReference"/>
        </w:rPr>
        <w:footnoteRef/>
      </w:r>
      <w:r w:rsidRPr="00155030">
        <w:rPr>
          <w:lang w:val="nl-BE"/>
        </w:rPr>
        <w:t xml:space="preserve"> ADN, B 31</w:t>
      </w:r>
      <w:r>
        <w:rPr>
          <w:lang w:val="nl-BE"/>
        </w:rPr>
        <w:t xml:space="preserve"> and 32.</w:t>
      </w:r>
      <w:r w:rsidRPr="00155030">
        <w:rPr>
          <w:lang w:val="nl-BE"/>
        </w:rPr>
        <w:t xml:space="preserve"> </w:t>
      </w:r>
    </w:p>
  </w:footnote>
  <w:footnote w:id="112">
    <w:p w14:paraId="22F60589" w14:textId="77777777" w:rsidR="00B642CB" w:rsidRPr="00916238" w:rsidRDefault="00B642CB" w:rsidP="00B642CB">
      <w:pPr>
        <w:pStyle w:val="FootnoteText"/>
        <w:rPr>
          <w:lang w:val="nl-BE"/>
        </w:rPr>
      </w:pPr>
      <w:r w:rsidRPr="005E022C">
        <w:rPr>
          <w:rStyle w:val="FootnoteReference"/>
        </w:rPr>
        <w:footnoteRef/>
      </w:r>
      <w:r w:rsidRPr="00916238">
        <w:rPr>
          <w:lang w:val="nl-BE"/>
        </w:rPr>
        <w:t xml:space="preserve"> Van Rompaey, </w:t>
      </w:r>
      <w:r w:rsidRPr="00CE0784">
        <w:rPr>
          <w:lang w:val="nl-BE"/>
        </w:rPr>
        <w:t>Het grafelijk baljuwsambt</w:t>
      </w:r>
      <w:r w:rsidRPr="00916238">
        <w:rPr>
          <w:lang w:val="nl-BE"/>
        </w:rPr>
        <w:t>, 447-9.</w:t>
      </w:r>
    </w:p>
  </w:footnote>
  <w:footnote w:id="113">
    <w:p w14:paraId="533F1A2E" w14:textId="77777777" w:rsidR="00B642CB" w:rsidRPr="00CE0784" w:rsidRDefault="00B642CB" w:rsidP="00B642CB">
      <w:pPr>
        <w:pStyle w:val="FootnoteText"/>
        <w:rPr>
          <w:lang w:val="en-US"/>
        </w:rPr>
      </w:pPr>
      <w:r w:rsidRPr="005E022C">
        <w:rPr>
          <w:rStyle w:val="FootnoteReference"/>
        </w:rPr>
        <w:footnoteRef/>
      </w:r>
      <w:r w:rsidRPr="00CE0784">
        <w:rPr>
          <w:lang w:val="en-US"/>
        </w:rPr>
        <w:t xml:space="preserve"> ADN, B 32, fol. 148v. Also published in: Van Rompaey, </w:t>
      </w:r>
      <w:r w:rsidRPr="00CE0784">
        <w:rPr>
          <w:i/>
          <w:iCs/>
          <w:lang w:val="en-US"/>
        </w:rPr>
        <w:t xml:space="preserve">Het </w:t>
      </w:r>
      <w:proofErr w:type="spellStart"/>
      <w:r w:rsidRPr="00CE0784">
        <w:rPr>
          <w:i/>
          <w:iCs/>
          <w:lang w:val="en-US"/>
        </w:rPr>
        <w:t>grafelijk</w:t>
      </w:r>
      <w:proofErr w:type="spellEnd"/>
      <w:r w:rsidRPr="00CE0784">
        <w:rPr>
          <w:i/>
          <w:iCs/>
          <w:lang w:val="en-US"/>
        </w:rPr>
        <w:t xml:space="preserve"> baljuwsambt</w:t>
      </w:r>
      <w:r w:rsidRPr="00CE0784">
        <w:rPr>
          <w:lang w:val="en-US"/>
        </w:rPr>
        <w:t xml:space="preserve">, 599. </w:t>
      </w:r>
    </w:p>
  </w:footnote>
  <w:footnote w:id="114">
    <w:p w14:paraId="36DC4681" w14:textId="77777777" w:rsidR="00B642CB" w:rsidRPr="00CE0784" w:rsidRDefault="00B642CB" w:rsidP="00B642CB">
      <w:pPr>
        <w:pStyle w:val="FootnoteText"/>
        <w:rPr>
          <w:lang w:val="en-US"/>
        </w:rPr>
      </w:pPr>
      <w:r w:rsidRPr="005E022C">
        <w:rPr>
          <w:rStyle w:val="FootnoteReference"/>
        </w:rPr>
        <w:footnoteRef/>
      </w:r>
      <w:r w:rsidRPr="00CE0784">
        <w:rPr>
          <w:lang w:val="en-US"/>
        </w:rPr>
        <w:t xml:space="preserve"> ADN, B 32, fol. 149r. </w:t>
      </w:r>
    </w:p>
  </w:footnote>
  <w:footnote w:id="115">
    <w:p w14:paraId="3B899D01" w14:textId="77777777" w:rsidR="00B642CB" w:rsidRPr="00CE0784" w:rsidRDefault="00B642CB" w:rsidP="00B642CB">
      <w:pPr>
        <w:pStyle w:val="FootnoteText"/>
        <w:rPr>
          <w:lang w:val="en-US"/>
        </w:rPr>
      </w:pPr>
      <w:r w:rsidRPr="005E022C">
        <w:rPr>
          <w:rStyle w:val="FootnoteReference"/>
        </w:rPr>
        <w:footnoteRef/>
      </w:r>
      <w:r w:rsidRPr="00CE0784">
        <w:rPr>
          <w:lang w:val="en-US"/>
        </w:rPr>
        <w:t xml:space="preserve"> ADN, B 32, fol. 148v. </w:t>
      </w:r>
    </w:p>
  </w:footnote>
  <w:footnote w:id="116">
    <w:p w14:paraId="2958F68C" w14:textId="77777777" w:rsidR="00B642CB" w:rsidRPr="005E022C" w:rsidRDefault="00B642CB" w:rsidP="00B642CB">
      <w:pPr>
        <w:pStyle w:val="FootnoteText"/>
        <w:rPr>
          <w:lang w:val="fr-BE"/>
        </w:rPr>
      </w:pPr>
      <w:r w:rsidRPr="005E022C">
        <w:rPr>
          <w:rStyle w:val="FootnoteReference"/>
        </w:rPr>
        <w:footnoteRef/>
      </w:r>
      <w:r w:rsidRPr="002347C2">
        <w:rPr>
          <w:lang w:val="nl-BE"/>
        </w:rPr>
        <w:t xml:space="preserve"> Van Rompaey, </w:t>
      </w:r>
      <w:r w:rsidRPr="002347C2">
        <w:rPr>
          <w:i/>
          <w:iCs/>
          <w:lang w:val="nl-BE"/>
        </w:rPr>
        <w:t>Het grafelijk baljuwsambt</w:t>
      </w:r>
      <w:r w:rsidRPr="002347C2">
        <w:rPr>
          <w:lang w:val="nl-BE"/>
        </w:rPr>
        <w:t xml:space="preserve">, 447-9. </w:t>
      </w:r>
      <w:proofErr w:type="spellStart"/>
      <w:r w:rsidRPr="00676098">
        <w:rPr>
          <w:lang w:val="fr-BE"/>
        </w:rPr>
        <w:t>Quoted</w:t>
      </w:r>
      <w:proofErr w:type="spellEnd"/>
      <w:r w:rsidRPr="00676098">
        <w:rPr>
          <w:lang w:val="fr-BE"/>
        </w:rPr>
        <w:t xml:space="preserve"> </w:t>
      </w:r>
      <w:r>
        <w:rPr>
          <w:lang w:val="fr-BE"/>
        </w:rPr>
        <w:t xml:space="preserve">on </w:t>
      </w:r>
      <w:r w:rsidRPr="005E022C">
        <w:rPr>
          <w:lang w:val="fr-BE"/>
        </w:rPr>
        <w:t>448</w:t>
      </w:r>
      <w:r>
        <w:rPr>
          <w:lang w:val="fr-BE"/>
        </w:rPr>
        <w:t xml:space="preserve"> : </w:t>
      </w:r>
      <w:r w:rsidRPr="005E022C">
        <w:rPr>
          <w:lang w:val="fr-BE"/>
        </w:rPr>
        <w:t>‘</w:t>
      </w:r>
      <w:r w:rsidRPr="00CE0784">
        <w:rPr>
          <w:lang w:val="fr-BE"/>
        </w:rPr>
        <w:t xml:space="preserve">que sur son </w:t>
      </w:r>
      <w:proofErr w:type="spellStart"/>
      <w:r w:rsidRPr="00CE0784">
        <w:rPr>
          <w:lang w:val="fr-BE"/>
        </w:rPr>
        <w:t>ame</w:t>
      </w:r>
      <w:proofErr w:type="spellEnd"/>
      <w:r w:rsidRPr="00CE0784">
        <w:rPr>
          <w:lang w:val="fr-BE"/>
        </w:rPr>
        <w:t xml:space="preserve">, il n’avoit pas encore bien </w:t>
      </w:r>
      <w:proofErr w:type="spellStart"/>
      <w:r w:rsidRPr="00CE0784">
        <w:rPr>
          <w:lang w:val="fr-BE"/>
        </w:rPr>
        <w:t>veu</w:t>
      </w:r>
      <w:proofErr w:type="spellEnd"/>
      <w:r w:rsidRPr="00CE0784">
        <w:rPr>
          <w:lang w:val="fr-BE"/>
        </w:rPr>
        <w:t xml:space="preserve"> ne regardé les parties dont le </w:t>
      </w:r>
      <w:proofErr w:type="spellStart"/>
      <w:r w:rsidRPr="00CE0784">
        <w:rPr>
          <w:lang w:val="fr-BE"/>
        </w:rPr>
        <w:t>contrerolleur</w:t>
      </w:r>
      <w:proofErr w:type="spellEnd"/>
      <w:r w:rsidRPr="00CE0784">
        <w:rPr>
          <w:lang w:val="fr-BE"/>
        </w:rPr>
        <w:t xml:space="preserve"> le </w:t>
      </w:r>
      <w:proofErr w:type="spellStart"/>
      <w:r w:rsidRPr="00CE0784">
        <w:rPr>
          <w:lang w:val="fr-BE"/>
        </w:rPr>
        <w:t>chargeoit</w:t>
      </w:r>
      <w:proofErr w:type="spellEnd"/>
      <w:r w:rsidRPr="00CE0784">
        <w:rPr>
          <w:lang w:val="fr-BE"/>
        </w:rPr>
        <w:t xml:space="preserve">, disant qu’il avoit a la </w:t>
      </w:r>
      <w:proofErr w:type="spellStart"/>
      <w:r w:rsidRPr="00CE0784">
        <w:rPr>
          <w:lang w:val="fr-BE"/>
        </w:rPr>
        <w:t>commocion</w:t>
      </w:r>
      <w:proofErr w:type="spellEnd"/>
      <w:r w:rsidRPr="00CE0784">
        <w:rPr>
          <w:lang w:val="fr-BE"/>
        </w:rPr>
        <w:t xml:space="preserve"> de février de Gand perdu tous ses papiers, ou ce dont il estoit </w:t>
      </w:r>
      <w:proofErr w:type="spellStart"/>
      <w:r w:rsidRPr="00CE0784">
        <w:rPr>
          <w:lang w:val="fr-BE"/>
        </w:rPr>
        <w:t>chargié</w:t>
      </w:r>
      <w:proofErr w:type="spellEnd"/>
      <w:r w:rsidRPr="00CE0784">
        <w:rPr>
          <w:lang w:val="fr-BE"/>
        </w:rPr>
        <w:t xml:space="preserve"> estoit escript</w:t>
      </w:r>
      <w:r w:rsidRPr="005E022C">
        <w:rPr>
          <w:lang w:val="fr-BE"/>
        </w:rPr>
        <w:t xml:space="preserve">’. </w:t>
      </w:r>
    </w:p>
  </w:footnote>
  <w:footnote w:id="117">
    <w:p w14:paraId="54F721C3" w14:textId="77777777" w:rsidR="00B642CB" w:rsidRPr="005E022C" w:rsidRDefault="00B642CB" w:rsidP="00B642CB">
      <w:pPr>
        <w:pStyle w:val="FootnoteText"/>
        <w:rPr>
          <w:lang w:val="fr-BE"/>
        </w:rPr>
      </w:pPr>
      <w:r w:rsidRPr="005E022C">
        <w:rPr>
          <w:rStyle w:val="FootnoteReference"/>
        </w:rPr>
        <w:footnoteRef/>
      </w:r>
      <w:r w:rsidRPr="005E022C">
        <w:rPr>
          <w:lang w:val="fr-BE"/>
        </w:rPr>
        <w:t xml:space="preserve"> A</w:t>
      </w:r>
      <w:r>
        <w:rPr>
          <w:lang w:val="fr-BE"/>
        </w:rPr>
        <w:t>DN</w:t>
      </w:r>
      <w:r w:rsidRPr="005E022C">
        <w:rPr>
          <w:lang w:val="fr-BE"/>
        </w:rPr>
        <w:t>, B 32, f</w:t>
      </w:r>
      <w:r>
        <w:rPr>
          <w:lang w:val="fr-BE"/>
        </w:rPr>
        <w:t xml:space="preserve">ol. </w:t>
      </w:r>
      <w:r w:rsidRPr="005E022C">
        <w:rPr>
          <w:lang w:val="fr-BE"/>
        </w:rPr>
        <w:t>149r</w:t>
      </w:r>
      <w:r>
        <w:rPr>
          <w:lang w:val="fr-BE"/>
        </w:rPr>
        <w:t> : ‘</w:t>
      </w:r>
      <w:r w:rsidRPr="00CE0784">
        <w:rPr>
          <w:lang w:val="fr-BE"/>
        </w:rPr>
        <w:t xml:space="preserve">il </w:t>
      </w:r>
      <w:proofErr w:type="spellStart"/>
      <w:r w:rsidRPr="00CE0784">
        <w:rPr>
          <w:lang w:val="fr-BE"/>
        </w:rPr>
        <w:t>devoit</w:t>
      </w:r>
      <w:proofErr w:type="spellEnd"/>
      <w:r w:rsidRPr="00CE0784">
        <w:rPr>
          <w:lang w:val="fr-BE"/>
        </w:rPr>
        <w:t xml:space="preserve"> </w:t>
      </w:r>
      <w:proofErr w:type="spellStart"/>
      <w:r w:rsidRPr="00CE0784">
        <w:rPr>
          <w:lang w:val="fr-BE"/>
        </w:rPr>
        <w:t>demourer</w:t>
      </w:r>
      <w:proofErr w:type="spellEnd"/>
      <w:r w:rsidRPr="00CE0784">
        <w:rPr>
          <w:lang w:val="fr-BE"/>
        </w:rPr>
        <w:t xml:space="preserve"> quitte des </w:t>
      </w:r>
      <w:proofErr w:type="spellStart"/>
      <w:r w:rsidRPr="00CE0784">
        <w:rPr>
          <w:lang w:val="fr-BE"/>
        </w:rPr>
        <w:t>accusacions</w:t>
      </w:r>
      <w:proofErr w:type="spellEnd"/>
      <w:r w:rsidRPr="00CE0784">
        <w:rPr>
          <w:lang w:val="fr-BE"/>
        </w:rPr>
        <w:t xml:space="preserve"> et </w:t>
      </w:r>
      <w:proofErr w:type="spellStart"/>
      <w:r w:rsidRPr="00CE0784">
        <w:rPr>
          <w:lang w:val="fr-BE"/>
        </w:rPr>
        <w:t>calenges</w:t>
      </w:r>
      <w:proofErr w:type="spellEnd"/>
      <w:r w:rsidRPr="00CE0784">
        <w:rPr>
          <w:lang w:val="fr-BE"/>
        </w:rPr>
        <w:t xml:space="preserve"> dudit </w:t>
      </w:r>
      <w:proofErr w:type="spellStart"/>
      <w:r w:rsidRPr="00CE0784">
        <w:rPr>
          <w:lang w:val="fr-BE"/>
        </w:rPr>
        <w:t>contreroleur</w:t>
      </w:r>
      <w:proofErr w:type="spellEnd"/>
      <w:r w:rsidRPr="00CE0784">
        <w:rPr>
          <w:lang w:val="fr-BE"/>
        </w:rPr>
        <w:t xml:space="preserve">, car ce qu’il avoit retenu </w:t>
      </w:r>
      <w:proofErr w:type="spellStart"/>
      <w:r w:rsidRPr="00CE0784">
        <w:rPr>
          <w:lang w:val="fr-BE"/>
        </w:rPr>
        <w:t>desdiz</w:t>
      </w:r>
      <w:proofErr w:type="spellEnd"/>
      <w:r w:rsidRPr="00CE0784">
        <w:rPr>
          <w:lang w:val="fr-BE"/>
        </w:rPr>
        <w:t xml:space="preserve"> </w:t>
      </w:r>
      <w:proofErr w:type="spellStart"/>
      <w:r w:rsidRPr="00CE0784">
        <w:rPr>
          <w:lang w:val="fr-BE"/>
        </w:rPr>
        <w:t>exploiz</w:t>
      </w:r>
      <w:proofErr w:type="spellEnd"/>
      <w:r w:rsidRPr="00CE0784">
        <w:rPr>
          <w:lang w:val="fr-BE"/>
        </w:rPr>
        <w:t xml:space="preserve"> et meilleurs </w:t>
      </w:r>
      <w:proofErr w:type="spellStart"/>
      <w:r w:rsidRPr="00CE0784">
        <w:rPr>
          <w:lang w:val="fr-BE"/>
        </w:rPr>
        <w:t>catheilz</w:t>
      </w:r>
      <w:proofErr w:type="spellEnd"/>
      <w:r w:rsidRPr="00CE0784">
        <w:rPr>
          <w:lang w:val="fr-BE"/>
        </w:rPr>
        <w:t xml:space="preserve"> ne </w:t>
      </w:r>
      <w:proofErr w:type="spellStart"/>
      <w:r w:rsidRPr="00CE0784">
        <w:rPr>
          <w:lang w:val="fr-BE"/>
        </w:rPr>
        <w:t>souffissoit</w:t>
      </w:r>
      <w:proofErr w:type="spellEnd"/>
      <w:r w:rsidRPr="00CE0784">
        <w:rPr>
          <w:lang w:val="fr-BE"/>
        </w:rPr>
        <w:t xml:space="preserve"> pas a </w:t>
      </w:r>
      <w:proofErr w:type="spellStart"/>
      <w:r w:rsidRPr="00CE0784">
        <w:rPr>
          <w:lang w:val="fr-BE"/>
        </w:rPr>
        <w:t>beaucop</w:t>
      </w:r>
      <w:proofErr w:type="spellEnd"/>
      <w:r w:rsidRPr="00CE0784">
        <w:rPr>
          <w:lang w:val="fr-BE"/>
        </w:rPr>
        <w:t xml:space="preserve"> </w:t>
      </w:r>
      <w:proofErr w:type="spellStart"/>
      <w:r w:rsidRPr="00CE0784">
        <w:rPr>
          <w:lang w:val="fr-BE"/>
        </w:rPr>
        <w:t>prez</w:t>
      </w:r>
      <w:proofErr w:type="spellEnd"/>
      <w:r w:rsidRPr="00CE0784">
        <w:rPr>
          <w:lang w:val="fr-BE"/>
        </w:rPr>
        <w:t xml:space="preserve"> pour </w:t>
      </w:r>
      <w:proofErr w:type="spellStart"/>
      <w:r w:rsidRPr="00CE0784">
        <w:rPr>
          <w:lang w:val="fr-BE"/>
        </w:rPr>
        <w:t>soustenir</w:t>
      </w:r>
      <w:proofErr w:type="spellEnd"/>
      <w:r w:rsidRPr="00CE0784">
        <w:rPr>
          <w:lang w:val="fr-BE"/>
        </w:rPr>
        <w:t xml:space="preserve"> les charges dudit office, </w:t>
      </w:r>
      <w:proofErr w:type="spellStart"/>
      <w:r w:rsidRPr="00CE0784">
        <w:rPr>
          <w:lang w:val="fr-BE"/>
        </w:rPr>
        <w:t>ainçois</w:t>
      </w:r>
      <w:proofErr w:type="spellEnd"/>
      <w:r w:rsidRPr="00CE0784">
        <w:rPr>
          <w:lang w:val="fr-BE"/>
        </w:rPr>
        <w:t xml:space="preserve"> y avoit </w:t>
      </w:r>
      <w:proofErr w:type="spellStart"/>
      <w:r w:rsidRPr="00CE0784">
        <w:rPr>
          <w:lang w:val="fr-BE"/>
        </w:rPr>
        <w:t>encores</w:t>
      </w:r>
      <w:proofErr w:type="spellEnd"/>
      <w:r w:rsidRPr="00CE0784">
        <w:rPr>
          <w:lang w:val="fr-BE"/>
        </w:rPr>
        <w:t xml:space="preserve"> </w:t>
      </w:r>
      <w:proofErr w:type="spellStart"/>
      <w:r w:rsidRPr="00CE0784">
        <w:rPr>
          <w:lang w:val="fr-BE"/>
        </w:rPr>
        <w:t>beaucop</w:t>
      </w:r>
      <w:proofErr w:type="spellEnd"/>
      <w:r w:rsidRPr="00CE0784">
        <w:rPr>
          <w:lang w:val="fr-BE"/>
        </w:rPr>
        <w:t xml:space="preserve"> </w:t>
      </w:r>
      <w:proofErr w:type="spellStart"/>
      <w:r w:rsidRPr="00CE0784">
        <w:rPr>
          <w:lang w:val="fr-BE"/>
        </w:rPr>
        <w:t>fraié</w:t>
      </w:r>
      <w:proofErr w:type="spellEnd"/>
      <w:r w:rsidRPr="00CE0784">
        <w:rPr>
          <w:lang w:val="fr-BE"/>
        </w:rPr>
        <w:t xml:space="preserve"> et mis du sien et ne s’i estoit point </w:t>
      </w:r>
      <w:proofErr w:type="spellStart"/>
      <w:r w:rsidRPr="00CE0784">
        <w:rPr>
          <w:lang w:val="fr-BE"/>
        </w:rPr>
        <w:t>enrichy</w:t>
      </w:r>
      <w:proofErr w:type="spellEnd"/>
      <w:r w:rsidRPr="005E022C">
        <w:rPr>
          <w:lang w:val="fr-BE"/>
        </w:rPr>
        <w:t>’.</w:t>
      </w:r>
    </w:p>
  </w:footnote>
  <w:footnote w:id="118">
    <w:p w14:paraId="27D72BEE" w14:textId="77777777" w:rsidR="00B642CB" w:rsidRPr="005E022C" w:rsidRDefault="00B642CB" w:rsidP="00B642CB">
      <w:pPr>
        <w:pStyle w:val="FootnoteText"/>
        <w:rPr>
          <w:lang w:val="en-US"/>
        </w:rPr>
      </w:pPr>
      <w:r w:rsidRPr="005E022C">
        <w:rPr>
          <w:rStyle w:val="FootnoteReference"/>
        </w:rPr>
        <w:footnoteRef/>
      </w:r>
      <w:r w:rsidRPr="005E022C">
        <w:rPr>
          <w:lang w:val="en-US"/>
        </w:rPr>
        <w:t xml:space="preserve"> </w:t>
      </w:r>
      <w:r w:rsidRPr="0017230A">
        <w:rPr>
          <w:lang w:val="en-US"/>
        </w:rPr>
        <w:t>ADN, B 32</w:t>
      </w:r>
      <w:r w:rsidRPr="005E022C">
        <w:rPr>
          <w:lang w:val="en-US"/>
        </w:rPr>
        <w:t>, f</w:t>
      </w:r>
      <w:r>
        <w:rPr>
          <w:lang w:val="en-US"/>
        </w:rPr>
        <w:t xml:space="preserve">ol. </w:t>
      </w:r>
      <w:r w:rsidRPr="005E022C">
        <w:rPr>
          <w:lang w:val="en-US"/>
        </w:rPr>
        <w:t>149r-v.</w:t>
      </w:r>
    </w:p>
  </w:footnote>
  <w:footnote w:id="119">
    <w:p w14:paraId="04BD0722" w14:textId="77777777" w:rsidR="00B642CB" w:rsidRPr="005E022C" w:rsidRDefault="00B642CB" w:rsidP="00B642CB">
      <w:pPr>
        <w:pStyle w:val="FootnoteText"/>
        <w:rPr>
          <w:lang w:val="en-US"/>
        </w:rPr>
      </w:pPr>
      <w:r w:rsidRPr="005E022C">
        <w:rPr>
          <w:rStyle w:val="FootnoteReference"/>
        </w:rPr>
        <w:footnoteRef/>
      </w:r>
      <w:r w:rsidRPr="005E022C">
        <w:rPr>
          <w:lang w:val="en-US"/>
        </w:rPr>
        <w:t xml:space="preserve"> </w:t>
      </w:r>
      <w:r w:rsidRPr="0017230A">
        <w:rPr>
          <w:lang w:val="en-US"/>
        </w:rPr>
        <w:t>ADN, B 32</w:t>
      </w:r>
      <w:r w:rsidRPr="005E022C">
        <w:rPr>
          <w:lang w:val="en-US"/>
        </w:rPr>
        <w:t>, f</w:t>
      </w:r>
      <w:r>
        <w:rPr>
          <w:lang w:val="en-US"/>
        </w:rPr>
        <w:t xml:space="preserve">ol. </w:t>
      </w:r>
      <w:r w:rsidRPr="005E022C">
        <w:rPr>
          <w:lang w:val="en-US"/>
        </w:rPr>
        <w:t>148v-149v.</w:t>
      </w:r>
    </w:p>
  </w:footnote>
  <w:footnote w:id="120">
    <w:p w14:paraId="62C74345" w14:textId="77777777" w:rsidR="00B642CB" w:rsidRPr="007269D4" w:rsidRDefault="00B642CB" w:rsidP="00B642CB">
      <w:pPr>
        <w:pStyle w:val="FootnoteText"/>
        <w:rPr>
          <w:lang w:val="nl-BE"/>
        </w:rPr>
      </w:pPr>
      <w:r w:rsidRPr="005E022C">
        <w:rPr>
          <w:rStyle w:val="FootnoteReference"/>
        </w:rPr>
        <w:footnoteRef/>
      </w:r>
      <w:r w:rsidRPr="007269D4">
        <w:rPr>
          <w:lang w:val="nl-BE"/>
        </w:rPr>
        <w:t xml:space="preserve"> </w:t>
      </w:r>
      <w:r w:rsidRPr="00916238">
        <w:rPr>
          <w:lang w:val="nl-BE"/>
        </w:rPr>
        <w:t xml:space="preserve">Van Rompaey, </w:t>
      </w:r>
      <w:r w:rsidRPr="00916238">
        <w:rPr>
          <w:i/>
          <w:iCs/>
          <w:lang w:val="nl-BE"/>
        </w:rPr>
        <w:t>Het grafelijk baljuwsambt</w:t>
      </w:r>
      <w:r w:rsidRPr="007269D4">
        <w:rPr>
          <w:lang w:val="nl-BE"/>
        </w:rPr>
        <w:t>, 322-</w:t>
      </w:r>
      <w:r>
        <w:rPr>
          <w:lang w:val="nl-BE"/>
        </w:rPr>
        <w:t>2</w:t>
      </w:r>
      <w:r w:rsidRPr="007269D4">
        <w:rPr>
          <w:lang w:val="nl-BE"/>
        </w:rPr>
        <w:t>3, 440-</w:t>
      </w:r>
      <w:r>
        <w:rPr>
          <w:lang w:val="nl-BE"/>
        </w:rPr>
        <w:t>4</w:t>
      </w:r>
      <w:r w:rsidRPr="007269D4">
        <w:rPr>
          <w:lang w:val="nl-BE"/>
        </w:rPr>
        <w:t>3 and 450.</w:t>
      </w:r>
    </w:p>
  </w:footnote>
  <w:footnote w:id="121">
    <w:p w14:paraId="116C9672" w14:textId="77777777" w:rsidR="00B642CB" w:rsidRPr="005E022C" w:rsidRDefault="00B642CB" w:rsidP="00B642CB">
      <w:pPr>
        <w:pStyle w:val="FootnoteText"/>
        <w:rPr>
          <w:lang w:val="en-US"/>
        </w:rPr>
      </w:pPr>
      <w:r w:rsidRPr="005E022C">
        <w:rPr>
          <w:rStyle w:val="FootnoteReference"/>
        </w:rPr>
        <w:footnoteRef/>
      </w:r>
      <w:r w:rsidRPr="005E022C">
        <w:rPr>
          <w:lang w:val="en-US"/>
        </w:rPr>
        <w:t xml:space="preserve"> Sabapathy, ‘A Medieval Officer and a Modern Mentality’</w:t>
      </w:r>
      <w:r>
        <w:rPr>
          <w:lang w:val="en-US"/>
        </w:rPr>
        <w:t>,</w:t>
      </w:r>
      <w:r w:rsidRPr="005E022C">
        <w:rPr>
          <w:lang w:val="en-US"/>
        </w:rPr>
        <w:t xml:space="preserve"> 73.</w:t>
      </w:r>
    </w:p>
  </w:footnote>
  <w:footnote w:id="122">
    <w:p w14:paraId="0DD447DE" w14:textId="77777777" w:rsidR="00B642CB" w:rsidRPr="009723BB" w:rsidRDefault="00B642CB" w:rsidP="00B642CB">
      <w:pPr>
        <w:pStyle w:val="FootnoteText"/>
      </w:pPr>
      <w:r>
        <w:rPr>
          <w:rStyle w:val="FootnoteReference"/>
        </w:rPr>
        <w:footnoteRef/>
      </w:r>
      <w:r>
        <w:t xml:space="preserve"> Watts, The Making of Polities, 415-16. </w:t>
      </w:r>
    </w:p>
  </w:footnote>
  <w:footnote w:id="123">
    <w:p w14:paraId="23D5C8D2" w14:textId="77777777" w:rsidR="00B642CB" w:rsidRPr="001348F0" w:rsidRDefault="00B642CB" w:rsidP="00B642CB">
      <w:pPr>
        <w:pStyle w:val="FootnoteText"/>
        <w:rPr>
          <w:lang w:val="en-US"/>
        </w:rPr>
      </w:pPr>
      <w:r>
        <w:rPr>
          <w:rStyle w:val="FootnoteReference"/>
        </w:rPr>
        <w:footnoteRef/>
      </w:r>
      <w:r>
        <w:t xml:space="preserve"> See for example: Sabapathy, ‘A Medieval Officer and a Modern Mentality?’, 52; Martín Romera, ‘Accountable to the Community?’; or the various contributions in </w:t>
      </w:r>
      <w:r w:rsidRPr="005E022C">
        <w:rPr>
          <w:lang w:val="en-US"/>
        </w:rPr>
        <w:t>Martín Romera and Ziegler</w:t>
      </w:r>
      <w:r>
        <w:rPr>
          <w:lang w:val="en-US"/>
        </w:rPr>
        <w:t xml:space="preserve">, </w:t>
      </w:r>
      <w:r w:rsidRPr="005E022C">
        <w:rPr>
          <w:i/>
          <w:iCs/>
          <w:lang w:val="en-US"/>
        </w:rPr>
        <w:t>The Officer and the People</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29E7" w14:textId="77777777" w:rsidR="00B642CB" w:rsidRDefault="00B642CB" w:rsidP="00B642CB">
    <w:pPr>
      <w:tabs>
        <w:tab w:val="left" w:pos="142"/>
      </w:tabs>
      <w:spacing w:line="276" w:lineRule="auto"/>
      <w:ind w:left="284"/>
      <w:rPr>
        <w:rFonts w:ascii="Cambria" w:hAnsi="Cambria"/>
        <w:b/>
        <w:bCs/>
        <w:sz w:val="22"/>
        <w:szCs w:val="22"/>
      </w:rPr>
    </w:pPr>
    <w:r w:rsidRPr="00B642CB">
      <w:rPr>
        <w:rFonts w:ascii="Cambria" w:hAnsi="Cambria"/>
        <w:b/>
        <w:bCs/>
        <w:sz w:val="22"/>
        <w:szCs w:val="22"/>
      </w:rPr>
      <w:t xml:space="preserve">The version of Record of this manuscript has been published and is available in the Journal of Medieval History (24 December 2025), </w:t>
    </w:r>
    <w:hyperlink r:id="rId1" w:history="1">
      <w:r w:rsidRPr="000B5FB9">
        <w:rPr>
          <w:rStyle w:val="Hyperlink"/>
          <w:rFonts w:ascii="Cambria" w:hAnsi="Cambria"/>
          <w:b/>
          <w:bCs/>
          <w:sz w:val="22"/>
          <w:szCs w:val="22"/>
        </w:rPr>
        <w:t>https://www.tandfonline.com/doi/full/10.1080/03044181.2025.2593905?mi=j8qs3m</w:t>
      </w:r>
    </w:hyperlink>
  </w:p>
  <w:p w14:paraId="4BE7D346" w14:textId="77777777" w:rsidR="00B642CB" w:rsidRDefault="00B642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F20F3B"/>
    <w:multiLevelType w:val="hybridMultilevel"/>
    <w:tmpl w:val="331E7D0E"/>
    <w:lvl w:ilvl="0" w:tplc="076C1DCA">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7930EA4"/>
    <w:multiLevelType w:val="hybridMultilevel"/>
    <w:tmpl w:val="07A83958"/>
    <w:lvl w:ilvl="0" w:tplc="8200CC68">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6A82376"/>
    <w:multiLevelType w:val="hybridMultilevel"/>
    <w:tmpl w:val="5C98D116"/>
    <w:lvl w:ilvl="0" w:tplc="8200CC68">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4907759">
    <w:abstractNumId w:val="17"/>
  </w:num>
  <w:num w:numId="2" w16cid:durableId="1860704750">
    <w:abstractNumId w:val="22"/>
  </w:num>
  <w:num w:numId="3" w16cid:durableId="2145078704">
    <w:abstractNumId w:val="1"/>
  </w:num>
  <w:num w:numId="4" w16cid:durableId="2053529664">
    <w:abstractNumId w:val="2"/>
  </w:num>
  <w:num w:numId="5" w16cid:durableId="1734964381">
    <w:abstractNumId w:val="3"/>
  </w:num>
  <w:num w:numId="6" w16cid:durableId="213808141">
    <w:abstractNumId w:val="4"/>
  </w:num>
  <w:num w:numId="7" w16cid:durableId="1744376733">
    <w:abstractNumId w:val="9"/>
  </w:num>
  <w:num w:numId="8" w16cid:durableId="1293515503">
    <w:abstractNumId w:val="5"/>
  </w:num>
  <w:num w:numId="9" w16cid:durableId="902913045">
    <w:abstractNumId w:val="7"/>
  </w:num>
  <w:num w:numId="10" w16cid:durableId="377322013">
    <w:abstractNumId w:val="6"/>
  </w:num>
  <w:num w:numId="11" w16cid:durableId="2026857063">
    <w:abstractNumId w:val="10"/>
  </w:num>
  <w:num w:numId="12" w16cid:durableId="1350642115">
    <w:abstractNumId w:val="8"/>
  </w:num>
  <w:num w:numId="13" w16cid:durableId="210265205">
    <w:abstractNumId w:val="19"/>
  </w:num>
  <w:num w:numId="14" w16cid:durableId="506793654">
    <w:abstractNumId w:val="23"/>
  </w:num>
  <w:num w:numId="15" w16cid:durableId="502358782">
    <w:abstractNumId w:val="16"/>
  </w:num>
  <w:num w:numId="16" w16cid:durableId="1144933986">
    <w:abstractNumId w:val="18"/>
  </w:num>
  <w:num w:numId="17" w16cid:durableId="1844928642">
    <w:abstractNumId w:val="11"/>
  </w:num>
  <w:num w:numId="18" w16cid:durableId="2030332658">
    <w:abstractNumId w:val="0"/>
  </w:num>
  <w:num w:numId="19" w16cid:durableId="9529774">
    <w:abstractNumId w:val="12"/>
  </w:num>
  <w:num w:numId="20" w16cid:durableId="399138559">
    <w:abstractNumId w:val="20"/>
  </w:num>
  <w:num w:numId="21" w16cid:durableId="1634823569">
    <w:abstractNumId w:val="24"/>
  </w:num>
  <w:num w:numId="22" w16cid:durableId="1868830610">
    <w:abstractNumId w:val="25"/>
  </w:num>
  <w:num w:numId="23" w16cid:durableId="795369929">
    <w:abstractNumId w:val="15"/>
  </w:num>
  <w:num w:numId="24" w16cid:durableId="205682418">
    <w:abstractNumId w:val="26"/>
  </w:num>
  <w:num w:numId="25" w16cid:durableId="1866090240">
    <w:abstractNumId w:val="13"/>
  </w:num>
  <w:num w:numId="26" w16cid:durableId="182742194">
    <w:abstractNumId w:val="21"/>
  </w:num>
  <w:num w:numId="27" w16cid:durableId="13468322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CB"/>
    <w:rsid w:val="003B4F1C"/>
    <w:rsid w:val="006D7EAC"/>
    <w:rsid w:val="00823958"/>
    <w:rsid w:val="00864AF9"/>
    <w:rsid w:val="00B537F7"/>
    <w:rsid w:val="00B642CB"/>
    <w:rsid w:val="00DB4511"/>
    <w:rsid w:val="00EE749A"/>
    <w:rsid w:val="00F7471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8C06"/>
  <w15:chartTrackingRefBased/>
  <w15:docId w15:val="{4311BEC9-718E-40A8-9290-3438FD0B2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2CB"/>
    <w:pPr>
      <w:spacing w:after="0" w:line="48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qFormat/>
    <w:rsid w:val="006D7EAC"/>
    <w:pPr>
      <w:keepNext/>
      <w:keepLines/>
      <w:outlineLvl w:val="0"/>
    </w:pPr>
    <w:rPr>
      <w:rFonts w:eastAsiaTheme="majorEastAsia" w:cstheme="majorBidi"/>
      <w:b/>
      <w:szCs w:val="32"/>
    </w:rPr>
  </w:style>
  <w:style w:type="paragraph" w:styleId="Heading2">
    <w:name w:val="heading 2"/>
    <w:basedOn w:val="Normal"/>
    <w:next w:val="Normal"/>
    <w:link w:val="Heading2Char"/>
    <w:unhideWhenUsed/>
    <w:qFormat/>
    <w:rsid w:val="00B64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642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nhideWhenUsed/>
    <w:qFormat/>
    <w:rsid w:val="00B642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642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642C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42C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42C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42C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DB4511"/>
    <w:pPr>
      <w:spacing w:line="240" w:lineRule="auto"/>
    </w:pPr>
    <w:rPr>
      <w:i/>
      <w:iCs/>
      <w:sz w:val="18"/>
      <w:szCs w:val="18"/>
    </w:rPr>
  </w:style>
  <w:style w:type="character" w:customStyle="1" w:styleId="Heading1Char">
    <w:name w:val="Heading 1 Char"/>
    <w:basedOn w:val="DefaultParagraphFont"/>
    <w:link w:val="Heading1"/>
    <w:rsid w:val="006D7EAC"/>
    <w:rPr>
      <w:rFonts w:ascii="Cambria" w:eastAsiaTheme="majorEastAsia" w:hAnsi="Cambria" w:cstheme="majorBidi"/>
      <w:b/>
      <w:szCs w:val="32"/>
    </w:rPr>
  </w:style>
  <w:style w:type="character" w:customStyle="1" w:styleId="Heading2Char">
    <w:name w:val="Heading 2 Char"/>
    <w:basedOn w:val="DefaultParagraphFont"/>
    <w:link w:val="Heading2"/>
    <w:rsid w:val="00B642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B642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642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42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4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2CB"/>
    <w:rPr>
      <w:rFonts w:eastAsiaTheme="majorEastAsia" w:cstheme="majorBidi"/>
      <w:color w:val="272727" w:themeColor="text1" w:themeTint="D8"/>
    </w:rPr>
  </w:style>
  <w:style w:type="paragraph" w:styleId="Title">
    <w:name w:val="Title"/>
    <w:basedOn w:val="Normal"/>
    <w:next w:val="Normal"/>
    <w:link w:val="TitleChar"/>
    <w:uiPriority w:val="10"/>
    <w:qFormat/>
    <w:rsid w:val="00B64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2C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2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42CB"/>
    <w:rPr>
      <w:rFonts w:ascii="Cambria" w:hAnsi="Cambria"/>
      <w:i/>
      <w:iCs/>
      <w:color w:val="404040" w:themeColor="text1" w:themeTint="BF"/>
    </w:rPr>
  </w:style>
  <w:style w:type="paragraph" w:styleId="ListParagraph">
    <w:name w:val="List Paragraph"/>
    <w:basedOn w:val="Normal"/>
    <w:uiPriority w:val="34"/>
    <w:qFormat/>
    <w:rsid w:val="00B642CB"/>
    <w:pPr>
      <w:ind w:left="720"/>
      <w:contextualSpacing/>
    </w:pPr>
  </w:style>
  <w:style w:type="character" w:styleId="IntenseEmphasis">
    <w:name w:val="Intense Emphasis"/>
    <w:basedOn w:val="DefaultParagraphFont"/>
    <w:uiPriority w:val="21"/>
    <w:qFormat/>
    <w:rsid w:val="00B642CB"/>
    <w:rPr>
      <w:i/>
      <w:iCs/>
      <w:color w:val="0F4761" w:themeColor="accent1" w:themeShade="BF"/>
    </w:rPr>
  </w:style>
  <w:style w:type="paragraph" w:styleId="IntenseQuote">
    <w:name w:val="Intense Quote"/>
    <w:basedOn w:val="Normal"/>
    <w:next w:val="Normal"/>
    <w:link w:val="IntenseQuoteChar"/>
    <w:uiPriority w:val="30"/>
    <w:qFormat/>
    <w:rsid w:val="00B64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42CB"/>
    <w:rPr>
      <w:rFonts w:ascii="Cambria" w:hAnsi="Cambria"/>
      <w:i/>
      <w:iCs/>
      <w:color w:val="0F4761" w:themeColor="accent1" w:themeShade="BF"/>
    </w:rPr>
  </w:style>
  <w:style w:type="character" w:styleId="IntenseReference">
    <w:name w:val="Intense Reference"/>
    <w:basedOn w:val="DefaultParagraphFont"/>
    <w:uiPriority w:val="32"/>
    <w:qFormat/>
    <w:rsid w:val="00B642CB"/>
    <w:rPr>
      <w:b/>
      <w:bCs/>
      <w:smallCaps/>
      <w:color w:val="0F4761" w:themeColor="accent1" w:themeShade="BF"/>
      <w:spacing w:val="5"/>
    </w:rPr>
  </w:style>
  <w:style w:type="paragraph" w:customStyle="1" w:styleId="Articletitle">
    <w:name w:val="Article title"/>
    <w:basedOn w:val="Normal"/>
    <w:next w:val="Normal"/>
    <w:qFormat/>
    <w:rsid w:val="00B642CB"/>
    <w:pPr>
      <w:spacing w:after="120" w:line="360" w:lineRule="auto"/>
    </w:pPr>
    <w:rPr>
      <w:b/>
      <w:sz w:val="28"/>
    </w:rPr>
  </w:style>
  <w:style w:type="paragraph" w:customStyle="1" w:styleId="Authornames">
    <w:name w:val="Author names"/>
    <w:basedOn w:val="Normal"/>
    <w:next w:val="Normal"/>
    <w:qFormat/>
    <w:rsid w:val="00B642CB"/>
    <w:pPr>
      <w:spacing w:before="240" w:line="360" w:lineRule="auto"/>
    </w:pPr>
    <w:rPr>
      <w:sz w:val="28"/>
    </w:rPr>
  </w:style>
  <w:style w:type="paragraph" w:customStyle="1" w:styleId="Affiliation">
    <w:name w:val="Affiliation"/>
    <w:basedOn w:val="Normal"/>
    <w:qFormat/>
    <w:rsid w:val="00B642CB"/>
    <w:pPr>
      <w:spacing w:before="240" w:line="360" w:lineRule="auto"/>
    </w:pPr>
    <w:rPr>
      <w:i/>
    </w:rPr>
  </w:style>
  <w:style w:type="paragraph" w:customStyle="1" w:styleId="Receiveddates">
    <w:name w:val="Received dates"/>
    <w:basedOn w:val="Affiliation"/>
    <w:next w:val="Normal"/>
    <w:qFormat/>
    <w:rsid w:val="00B642CB"/>
  </w:style>
  <w:style w:type="paragraph" w:customStyle="1" w:styleId="Abstract">
    <w:name w:val="Abstract"/>
    <w:basedOn w:val="Normal"/>
    <w:next w:val="Keywords"/>
    <w:qFormat/>
    <w:rsid w:val="00B642CB"/>
    <w:pPr>
      <w:spacing w:before="360" w:after="300" w:line="360" w:lineRule="auto"/>
      <w:ind w:left="720" w:right="567"/>
    </w:pPr>
    <w:rPr>
      <w:sz w:val="22"/>
    </w:rPr>
  </w:style>
  <w:style w:type="paragraph" w:customStyle="1" w:styleId="Keywords">
    <w:name w:val="Keywords"/>
    <w:basedOn w:val="Normal"/>
    <w:next w:val="Paragraph"/>
    <w:qFormat/>
    <w:rsid w:val="00B642CB"/>
    <w:pPr>
      <w:spacing w:before="240" w:after="240" w:line="360" w:lineRule="auto"/>
      <w:ind w:left="720" w:right="567"/>
    </w:pPr>
    <w:rPr>
      <w:sz w:val="22"/>
    </w:rPr>
  </w:style>
  <w:style w:type="paragraph" w:customStyle="1" w:styleId="Correspondencedetails">
    <w:name w:val="Correspondence details"/>
    <w:basedOn w:val="Normal"/>
    <w:qFormat/>
    <w:rsid w:val="00B642CB"/>
    <w:pPr>
      <w:spacing w:before="240" w:line="360" w:lineRule="auto"/>
    </w:pPr>
  </w:style>
  <w:style w:type="paragraph" w:customStyle="1" w:styleId="Displayedquotation">
    <w:name w:val="Displayed quotation"/>
    <w:basedOn w:val="Normal"/>
    <w:qFormat/>
    <w:rsid w:val="00B642CB"/>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B642CB"/>
    <w:pPr>
      <w:widowControl/>
      <w:numPr>
        <w:numId w:val="13"/>
      </w:numPr>
      <w:spacing w:after="240"/>
      <w:contextualSpacing/>
    </w:pPr>
  </w:style>
  <w:style w:type="paragraph" w:customStyle="1" w:styleId="Displayedequation">
    <w:name w:val="Displayed equation"/>
    <w:basedOn w:val="Normal"/>
    <w:next w:val="Paragraph"/>
    <w:qFormat/>
    <w:rsid w:val="00B642CB"/>
    <w:pPr>
      <w:tabs>
        <w:tab w:val="center" w:pos="4253"/>
        <w:tab w:val="right" w:pos="8222"/>
      </w:tabs>
      <w:spacing w:before="240" w:after="240"/>
      <w:jc w:val="center"/>
    </w:pPr>
  </w:style>
  <w:style w:type="paragraph" w:customStyle="1" w:styleId="Acknowledgements">
    <w:name w:val="Acknowledgements"/>
    <w:basedOn w:val="Normal"/>
    <w:next w:val="Normal"/>
    <w:qFormat/>
    <w:rsid w:val="00B642CB"/>
    <w:pPr>
      <w:spacing w:before="120" w:line="360" w:lineRule="auto"/>
    </w:pPr>
    <w:rPr>
      <w:sz w:val="22"/>
    </w:rPr>
  </w:style>
  <w:style w:type="paragraph" w:customStyle="1" w:styleId="Tabletitle">
    <w:name w:val="Table title"/>
    <w:basedOn w:val="Normal"/>
    <w:next w:val="Normal"/>
    <w:qFormat/>
    <w:rsid w:val="00B642CB"/>
    <w:pPr>
      <w:spacing w:before="240" w:line="360" w:lineRule="auto"/>
    </w:pPr>
  </w:style>
  <w:style w:type="paragraph" w:customStyle="1" w:styleId="Figurecaption">
    <w:name w:val="Figure caption"/>
    <w:basedOn w:val="Normal"/>
    <w:next w:val="Normal"/>
    <w:qFormat/>
    <w:rsid w:val="00B642CB"/>
    <w:pPr>
      <w:spacing w:before="240" w:line="360" w:lineRule="auto"/>
    </w:pPr>
  </w:style>
  <w:style w:type="paragraph" w:customStyle="1" w:styleId="Footnotes">
    <w:name w:val="Footnotes"/>
    <w:basedOn w:val="Normal"/>
    <w:qFormat/>
    <w:rsid w:val="00B642CB"/>
    <w:pPr>
      <w:spacing w:before="120" w:line="360" w:lineRule="auto"/>
      <w:ind w:left="482" w:hanging="482"/>
      <w:contextualSpacing/>
    </w:pPr>
    <w:rPr>
      <w:sz w:val="22"/>
    </w:rPr>
  </w:style>
  <w:style w:type="paragraph" w:customStyle="1" w:styleId="Notesoncontributors">
    <w:name w:val="Notes on contributors"/>
    <w:basedOn w:val="Normal"/>
    <w:qFormat/>
    <w:rsid w:val="00B642CB"/>
    <w:pPr>
      <w:spacing w:before="240" w:line="360" w:lineRule="auto"/>
    </w:pPr>
    <w:rPr>
      <w:sz w:val="22"/>
    </w:rPr>
  </w:style>
  <w:style w:type="paragraph" w:customStyle="1" w:styleId="Normalparagraphstyle">
    <w:name w:val="Normal paragraph style"/>
    <w:basedOn w:val="Normal"/>
    <w:next w:val="Normal"/>
    <w:rsid w:val="00B642CB"/>
  </w:style>
  <w:style w:type="paragraph" w:customStyle="1" w:styleId="Paragraph">
    <w:name w:val="Paragraph"/>
    <w:basedOn w:val="Normal"/>
    <w:next w:val="Newparagraph"/>
    <w:qFormat/>
    <w:rsid w:val="00B642CB"/>
    <w:pPr>
      <w:widowControl w:val="0"/>
      <w:spacing w:before="240"/>
    </w:pPr>
  </w:style>
  <w:style w:type="paragraph" w:customStyle="1" w:styleId="Newparagraph">
    <w:name w:val="New paragraph"/>
    <w:basedOn w:val="Normal"/>
    <w:qFormat/>
    <w:rsid w:val="00B642CB"/>
    <w:pPr>
      <w:ind w:firstLine="720"/>
    </w:pPr>
  </w:style>
  <w:style w:type="paragraph" w:styleId="NormalIndent">
    <w:name w:val="Normal Indent"/>
    <w:basedOn w:val="Normal"/>
    <w:rsid w:val="00B642CB"/>
    <w:pPr>
      <w:ind w:left="720"/>
    </w:pPr>
  </w:style>
  <w:style w:type="paragraph" w:customStyle="1" w:styleId="References">
    <w:name w:val="References"/>
    <w:basedOn w:val="Normal"/>
    <w:qFormat/>
    <w:rsid w:val="00B642CB"/>
    <w:pPr>
      <w:spacing w:before="120" w:line="360" w:lineRule="auto"/>
      <w:ind w:left="720" w:hanging="720"/>
      <w:contextualSpacing/>
    </w:pPr>
  </w:style>
  <w:style w:type="paragraph" w:customStyle="1" w:styleId="Subjectcodes">
    <w:name w:val="Subject codes"/>
    <w:basedOn w:val="Keywords"/>
    <w:next w:val="Paragraph"/>
    <w:qFormat/>
    <w:rsid w:val="00B642CB"/>
  </w:style>
  <w:style w:type="paragraph" w:customStyle="1" w:styleId="Bulletedlist">
    <w:name w:val="Bulleted list"/>
    <w:basedOn w:val="Paragraph"/>
    <w:next w:val="Paragraph"/>
    <w:qFormat/>
    <w:rsid w:val="00B642CB"/>
    <w:pPr>
      <w:widowControl/>
      <w:numPr>
        <w:numId w:val="14"/>
      </w:numPr>
      <w:spacing w:after="240"/>
      <w:contextualSpacing/>
    </w:pPr>
  </w:style>
  <w:style w:type="paragraph" w:styleId="FootnoteText">
    <w:name w:val="footnote text"/>
    <w:basedOn w:val="Normal"/>
    <w:link w:val="FootnoteTextChar"/>
    <w:autoRedefine/>
    <w:uiPriority w:val="99"/>
    <w:qFormat/>
    <w:rsid w:val="00B642CB"/>
    <w:pPr>
      <w:tabs>
        <w:tab w:val="left" w:pos="142"/>
      </w:tabs>
      <w:spacing w:line="240" w:lineRule="auto"/>
      <w:jc w:val="both"/>
    </w:pPr>
    <w:rPr>
      <w:sz w:val="20"/>
      <w:szCs w:val="20"/>
    </w:rPr>
  </w:style>
  <w:style w:type="character" w:customStyle="1" w:styleId="FootnoteTextChar">
    <w:name w:val="Footnote Text Char"/>
    <w:basedOn w:val="DefaultParagraphFont"/>
    <w:link w:val="FootnoteText"/>
    <w:uiPriority w:val="99"/>
    <w:rsid w:val="00B642CB"/>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basedOn w:val="DefaultParagraphFont"/>
    <w:uiPriority w:val="99"/>
    <w:rsid w:val="00B642CB"/>
    <w:rPr>
      <w:vertAlign w:val="superscript"/>
    </w:rPr>
  </w:style>
  <w:style w:type="paragraph" w:styleId="EndnoteText">
    <w:name w:val="endnote text"/>
    <w:basedOn w:val="Normal"/>
    <w:link w:val="EndnoteTextChar"/>
    <w:autoRedefine/>
    <w:rsid w:val="00B642CB"/>
    <w:pPr>
      <w:ind w:left="284" w:hanging="284"/>
    </w:pPr>
    <w:rPr>
      <w:sz w:val="22"/>
      <w:szCs w:val="20"/>
    </w:rPr>
  </w:style>
  <w:style w:type="character" w:customStyle="1" w:styleId="EndnoteTextChar">
    <w:name w:val="Endnote Text Char"/>
    <w:basedOn w:val="DefaultParagraphFont"/>
    <w:link w:val="EndnoteText"/>
    <w:rsid w:val="00B642CB"/>
    <w:rPr>
      <w:rFonts w:ascii="Times New Roman" w:eastAsia="Times New Roman" w:hAnsi="Times New Roman" w:cs="Times New Roman"/>
      <w:kern w:val="0"/>
      <w:szCs w:val="20"/>
      <w:lang w:val="en-GB" w:eastAsia="en-GB"/>
      <w14:ligatures w14:val="none"/>
    </w:rPr>
  </w:style>
  <w:style w:type="character" w:styleId="EndnoteReference">
    <w:name w:val="endnote reference"/>
    <w:basedOn w:val="DefaultParagraphFont"/>
    <w:rsid w:val="00B642CB"/>
    <w:rPr>
      <w:vertAlign w:val="superscript"/>
    </w:rPr>
  </w:style>
  <w:style w:type="paragraph" w:styleId="Header">
    <w:name w:val="header"/>
    <w:basedOn w:val="Normal"/>
    <w:link w:val="HeaderChar"/>
    <w:rsid w:val="00B642CB"/>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B642CB"/>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rsid w:val="00B642CB"/>
    <w:pPr>
      <w:tabs>
        <w:tab w:val="center" w:pos="4320"/>
        <w:tab w:val="right" w:pos="8640"/>
      </w:tabs>
      <w:spacing w:before="240" w:line="240" w:lineRule="auto"/>
      <w:contextualSpacing/>
    </w:pPr>
  </w:style>
  <w:style w:type="character" w:customStyle="1" w:styleId="FooterChar">
    <w:name w:val="Footer Char"/>
    <w:basedOn w:val="DefaultParagraphFont"/>
    <w:link w:val="Footer"/>
    <w:rsid w:val="00B642CB"/>
    <w:rPr>
      <w:rFonts w:ascii="Times New Roman" w:eastAsia="Times New Roman" w:hAnsi="Times New Roman" w:cs="Times New Roman"/>
      <w:kern w:val="0"/>
      <w:sz w:val="24"/>
      <w:szCs w:val="24"/>
      <w:lang w:val="en-GB" w:eastAsia="en-GB"/>
      <w14:ligatures w14:val="none"/>
    </w:rPr>
  </w:style>
  <w:style w:type="paragraph" w:customStyle="1" w:styleId="Heading4Paragraph">
    <w:name w:val="Heading 4 + Paragraph"/>
    <w:basedOn w:val="Paragraph"/>
    <w:next w:val="Newparagraph"/>
    <w:qFormat/>
    <w:rsid w:val="00B642CB"/>
    <w:pPr>
      <w:widowControl/>
      <w:spacing w:before="360"/>
    </w:pPr>
  </w:style>
  <w:style w:type="character" w:styleId="Hyperlink">
    <w:name w:val="Hyperlink"/>
    <w:basedOn w:val="DefaultParagraphFont"/>
    <w:unhideWhenUsed/>
    <w:rsid w:val="00B642CB"/>
    <w:rPr>
      <w:color w:val="467886" w:themeColor="hyperlink"/>
      <w:u w:val="single"/>
    </w:rPr>
  </w:style>
  <w:style w:type="character" w:styleId="UnresolvedMention">
    <w:name w:val="Unresolved Mention"/>
    <w:basedOn w:val="DefaultParagraphFont"/>
    <w:uiPriority w:val="99"/>
    <w:semiHidden/>
    <w:unhideWhenUsed/>
    <w:rsid w:val="00B642CB"/>
    <w:rPr>
      <w:color w:val="605E5C"/>
      <w:shd w:val="clear" w:color="auto" w:fill="E1DFDD"/>
    </w:rPr>
  </w:style>
  <w:style w:type="table" w:customStyle="1" w:styleId="TableGrid1">
    <w:name w:val="Table Grid1"/>
    <w:basedOn w:val="TableNormal"/>
    <w:next w:val="TableGrid"/>
    <w:uiPriority w:val="39"/>
    <w:rsid w:val="00B64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642CB"/>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42CB"/>
    <w:pPr>
      <w:autoSpaceDE w:val="0"/>
      <w:autoSpaceDN w:val="0"/>
      <w:adjustRightInd w:val="0"/>
      <w:spacing w:after="0" w:line="240" w:lineRule="auto"/>
    </w:pPr>
    <w:rPr>
      <w:rFonts w:ascii="Cambria" w:hAnsi="Cambria" w:cs="Cambria"/>
      <w:color w:val="000000"/>
      <w:kern w:val="0"/>
      <w:sz w:val="24"/>
      <w:szCs w:val="24"/>
    </w:rPr>
  </w:style>
  <w:style w:type="character" w:styleId="CommentReference">
    <w:name w:val="annotation reference"/>
    <w:basedOn w:val="DefaultParagraphFont"/>
    <w:semiHidden/>
    <w:unhideWhenUsed/>
    <w:rsid w:val="00B642CB"/>
    <w:rPr>
      <w:sz w:val="16"/>
      <w:szCs w:val="16"/>
    </w:rPr>
  </w:style>
  <w:style w:type="paragraph" w:styleId="CommentText">
    <w:name w:val="annotation text"/>
    <w:basedOn w:val="Normal"/>
    <w:link w:val="CommentTextChar"/>
    <w:unhideWhenUsed/>
    <w:rsid w:val="00B642CB"/>
    <w:pPr>
      <w:spacing w:line="240" w:lineRule="auto"/>
    </w:pPr>
    <w:rPr>
      <w:sz w:val="20"/>
      <w:szCs w:val="20"/>
    </w:rPr>
  </w:style>
  <w:style w:type="character" w:customStyle="1" w:styleId="CommentTextChar">
    <w:name w:val="Comment Text Char"/>
    <w:basedOn w:val="DefaultParagraphFont"/>
    <w:link w:val="CommentText"/>
    <w:rsid w:val="00B642CB"/>
    <w:rPr>
      <w:rFonts w:ascii="Times New Roman" w:eastAsia="Times New Roman" w:hAnsi="Times New Roman" w:cs="Times New Roman"/>
      <w:kern w:val="0"/>
      <w:sz w:val="20"/>
      <w:szCs w:val="20"/>
      <w:lang w:val="en-GB" w:eastAsia="en-GB"/>
      <w14:ligatures w14:val="none"/>
    </w:rPr>
  </w:style>
  <w:style w:type="paragraph" w:styleId="CommentSubject">
    <w:name w:val="annotation subject"/>
    <w:basedOn w:val="CommentText"/>
    <w:next w:val="CommentText"/>
    <w:link w:val="CommentSubjectChar"/>
    <w:semiHidden/>
    <w:unhideWhenUsed/>
    <w:rsid w:val="00B642CB"/>
    <w:rPr>
      <w:b/>
      <w:bCs/>
    </w:rPr>
  </w:style>
  <w:style w:type="character" w:customStyle="1" w:styleId="CommentSubjectChar">
    <w:name w:val="Comment Subject Char"/>
    <w:basedOn w:val="CommentTextChar"/>
    <w:link w:val="CommentSubject"/>
    <w:semiHidden/>
    <w:rsid w:val="00B642CB"/>
    <w:rPr>
      <w:rFonts w:ascii="Times New Roman" w:eastAsia="Times New Roman" w:hAnsi="Times New Roman" w:cs="Times New Roman"/>
      <w:b/>
      <w:bCs/>
      <w:kern w:val="0"/>
      <w:sz w:val="20"/>
      <w:szCs w:val="20"/>
      <w:lang w:val="en-GB" w:eastAsia="en-GB"/>
      <w14:ligatures w14:val="none"/>
    </w:rPr>
  </w:style>
  <w:style w:type="paragraph" w:styleId="Revision">
    <w:name w:val="Revision"/>
    <w:hidden/>
    <w:semiHidden/>
    <w:rsid w:val="00B642CB"/>
    <w:pPr>
      <w:spacing w:after="0" w:line="24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axqda.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tandfonline.com/doi/full/10.1080/03044181.2025.2593905?mi=j8qs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8897</Words>
  <Characters>48939</Characters>
  <Application>Microsoft Office Word</Application>
  <DocSecurity>0</DocSecurity>
  <Lines>407</Lines>
  <Paragraphs>115</Paragraphs>
  <ScaleCrop>false</ScaleCrop>
  <Company>KU Leuven</Company>
  <LinksUpToDate>false</LinksUpToDate>
  <CharactersWithSpaces>57721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Minne De Boodt</dc:creator>
  <cp:keywords/>
  <dc:description/>
  <cp:lastModifiedBy>Minne De Boodt</cp:lastModifiedBy>
  <cp:revision>1</cp:revision>
  <dcterms:created xsi:type="dcterms:W3CDTF">2026-01-05T17:06:00Z</dcterms:created>
  <dcterms:modified xsi:type="dcterms:W3CDTF">2026-01-05T17:13:00Z</dcterms:modified>
</cp:coreProperties>
</file>