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46313" w14:textId="7B7C8C92" w:rsidR="00184B7E" w:rsidRPr="00640C4F" w:rsidRDefault="00184B7E" w:rsidP="00640C4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nl-BE"/>
        </w:rPr>
      </w:pPr>
      <w:r w:rsidRPr="00D46C36">
        <w:rPr>
          <w:rFonts w:ascii="Arial" w:hAnsi="Arial" w:cs="Arial"/>
          <w:b/>
          <w:sz w:val="20"/>
          <w:szCs w:val="20"/>
          <w:lang w:val="en-US"/>
        </w:rPr>
        <w:t>Background and Aims:</w:t>
      </w:r>
      <w:r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H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epatitis C (HCV)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recurrence after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liver transplantation (LT)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is universal if HCV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-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RNA persists at time of LT and progression to fibrosis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can occur rapidly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.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Nowadays, sustained virological response (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>SVR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)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is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obtained in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>97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% of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HCV-infected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patients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treated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with direct acting antivirals (DAA)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after LT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. Fibrosis diminishes in HCV patients after SVR but there is paucity of data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 on fibrosis regression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occurring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after SVR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following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LT. In addition, most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>studies evaluate fibrosis with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non-invasive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techniques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while these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>are not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validated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after LT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because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of LT-specific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complications. </w:t>
      </w:r>
      <w:r w:rsidR="00640C4F" w:rsidRPr="00C26DAB">
        <w:rPr>
          <w:rFonts w:ascii="Arial" w:eastAsia="Times New Roman" w:hAnsi="Arial" w:cs="Arial"/>
          <w:sz w:val="20"/>
          <w:szCs w:val="20"/>
          <w:lang w:eastAsia="nl-BE"/>
        </w:rPr>
        <w:t xml:space="preserve">There are no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data</w:t>
      </w:r>
      <w:r w:rsidR="00640C4F" w:rsidRPr="00C26DAB">
        <w:rPr>
          <w:rFonts w:ascii="Arial" w:eastAsia="Times New Roman" w:hAnsi="Arial" w:cs="Arial"/>
          <w:sz w:val="20"/>
          <w:szCs w:val="20"/>
          <w:lang w:eastAsia="nl-BE"/>
        </w:rPr>
        <w:t xml:space="preserve"> evaluating long-term evolution of fibrosis after SVR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since the introduction of</w:t>
      </w:r>
      <w:r w:rsidR="00640C4F" w:rsidRPr="00AA0586">
        <w:rPr>
          <w:rFonts w:ascii="Arial" w:eastAsia="Times New Roman" w:hAnsi="Arial" w:cs="Arial"/>
          <w:sz w:val="20"/>
          <w:szCs w:val="20"/>
          <w:lang w:eastAsia="nl-BE"/>
        </w:rPr>
        <w:t xml:space="preserve"> DAA treatment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s </w:t>
      </w:r>
      <w:r w:rsidR="00640C4F" w:rsidRPr="00C26DAB">
        <w:rPr>
          <w:rFonts w:ascii="Arial" w:eastAsia="Times New Roman" w:hAnsi="Arial" w:cs="Arial"/>
          <w:sz w:val="20"/>
          <w:szCs w:val="20"/>
          <w:lang w:eastAsia="nl-BE"/>
        </w:rPr>
        <w:t>(&gt; 5 - 10 years).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The aim of this study is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to histologically evaluate liver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 fibrosis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evolution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in 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>short and long term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follow-up biopsies after HCV-elimination in LT-patients</w:t>
      </w:r>
      <w:r w:rsidR="00640C4F" w:rsidRPr="00311115">
        <w:rPr>
          <w:rFonts w:ascii="Arial" w:eastAsia="Times New Roman" w:hAnsi="Arial" w:cs="Arial"/>
          <w:sz w:val="20"/>
          <w:szCs w:val="20"/>
          <w:lang w:eastAsia="nl-BE"/>
        </w:rPr>
        <w:t>.</w:t>
      </w:r>
    </w:p>
    <w:p w14:paraId="75F9859F" w14:textId="77777777" w:rsidR="00184B7E" w:rsidRPr="00D46C36" w:rsidRDefault="00184B7E" w:rsidP="00184B7E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14:paraId="00882E09" w14:textId="7E0EDF22" w:rsidR="00184B7E" w:rsidRPr="00D46C36" w:rsidRDefault="00184B7E" w:rsidP="00640C4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D46C36">
        <w:rPr>
          <w:rFonts w:ascii="Arial" w:hAnsi="Arial" w:cs="Arial"/>
          <w:b/>
          <w:sz w:val="20"/>
          <w:szCs w:val="20"/>
          <w:lang w:val="en-US"/>
        </w:rPr>
        <w:t>Method:</w:t>
      </w:r>
      <w:r w:rsidRPr="00D46C36">
        <w:rPr>
          <w:rFonts w:ascii="Arial" w:hAnsi="Arial" w:cs="Arial"/>
          <w:sz w:val="20"/>
          <w:szCs w:val="20"/>
          <w:lang w:val="en-US"/>
        </w:rPr>
        <w:t xml:space="preserve">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In this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retrospective monocentric cohort study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, w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e evaluated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32 patients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with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SVR after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recurrent HCV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following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LT and treated with IFN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(n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=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4) or DAA (n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=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28)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. Protocolar liver biopsies were collected between 2011 and 2020.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We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compared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liver biopsies before HCV treatment,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with those taken during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short-term follow-up (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&lt;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2 years) and long-term follow-up (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≥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3 years). </w:t>
      </w:r>
      <w:proofErr w:type="spellStart"/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Massons</w:t>
      </w:r>
      <w:proofErr w:type="spellEnd"/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’ trichrome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(MTC)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sli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d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es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were used for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METAVIR- and LAF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scor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ing. </w:t>
      </w:r>
      <w:proofErr w:type="spellStart"/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Picro</w:t>
      </w:r>
      <w:proofErr w:type="spellEnd"/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-Sirius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-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>red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(PSR) slides were used for both a semi-quantitative assessment of fibrosis expressed as total fibrosis area (%) and an automated morphometric assessment of fibrosis with </w:t>
      </w:r>
      <w:r w:rsidR="00640C4F" w:rsidRPr="00753861">
        <w:rPr>
          <w:rFonts w:ascii="Arial" w:eastAsia="Times New Roman" w:hAnsi="Arial" w:cs="Arial"/>
          <w:sz w:val="20"/>
          <w:szCs w:val="20"/>
          <w:lang w:eastAsia="nl-BE"/>
        </w:rPr>
        <w:t xml:space="preserve">artificial intelligence (AI) based technology </w:t>
      </w:r>
      <w:proofErr w:type="spellStart"/>
      <w:r w:rsidR="00640C4F" w:rsidRPr="00753861">
        <w:rPr>
          <w:rFonts w:ascii="Arial" w:eastAsia="Times New Roman" w:hAnsi="Arial" w:cs="Arial"/>
          <w:sz w:val="20"/>
          <w:szCs w:val="20"/>
          <w:lang w:eastAsia="nl-BE"/>
        </w:rPr>
        <w:t>MorphoQuant</w:t>
      </w:r>
      <w:proofErr w:type="spellEnd"/>
      <w:r w:rsidR="00640C4F">
        <w:rPr>
          <w:rFonts w:ascii="Arial" w:eastAsia="Times New Roman" w:hAnsi="Arial" w:cs="Arial"/>
          <w:sz w:val="20"/>
          <w:szCs w:val="20"/>
          <w:lang w:eastAsia="nl-BE"/>
        </w:rPr>
        <w:t>.</w:t>
      </w:r>
    </w:p>
    <w:p w14:paraId="035AB9C2" w14:textId="77777777" w:rsidR="00184B7E" w:rsidRDefault="00184B7E" w:rsidP="00184B7E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14:paraId="505DE075" w14:textId="1C39187C" w:rsidR="00184B7E" w:rsidRPr="00D46C36" w:rsidRDefault="00184B7E" w:rsidP="00640C4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D46C36">
        <w:rPr>
          <w:rFonts w:ascii="Arial" w:hAnsi="Arial" w:cs="Arial"/>
          <w:b/>
          <w:sz w:val="20"/>
          <w:szCs w:val="20"/>
          <w:lang w:val="en-US"/>
        </w:rPr>
        <w:t>Results: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All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32 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patients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reached SVR</w:t>
      </w:r>
      <w:r w:rsidR="00640C4F" w:rsidRPr="00BD627B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after LT, including 24 with follow-up biopsies. Scoring and AI-based analyses were performed on 19 and 24 patients, respectively. 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 xml:space="preserve">PSR 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>analysis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showed a significant reduction in t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 xml:space="preserve">otal fibrosis area 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>on the short-term biopsies (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>-4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>.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>9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 xml:space="preserve">%, 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>p &lt; 0.002)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>in 73% of patients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 xml:space="preserve">, which remained stable even after long-term assessment (-4.9%, p &lt; 0.001). MTC based scoring confirmed 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 xml:space="preserve">fibrosis 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 xml:space="preserve">regression in the long-term biopsies, according to either 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>M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>ETAVIR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(-0.8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>,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p &lt; 0.01)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or 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>LAF-Score (-1.5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>,</w:t>
      </w:r>
      <w:r w:rsidR="00640C4F" w:rsidRPr="00753861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p &lt; 0.02)</w:t>
      </w:r>
      <w:r w:rsidR="00640C4F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but not in the short-term biopsies. 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AI-based analysis showed a significant reduction of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collagen proportionate area i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>n the short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-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>term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 biopsies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 after HCV treatment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, and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a 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stabilization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over time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 (-3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.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>2%, p &lt; 0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.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001). This reduction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was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notably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 significant in the perivascular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area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 (-2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.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>5%, p &lt; 0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.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>002), but not in the peri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-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sinusoidal or septal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area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 xml:space="preserve">. Finally, 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 xml:space="preserve">collagen fibres were smaller after short-term evaluation 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>(-0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.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>18%, p &lt; 0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.</w:t>
      </w:r>
      <w:r w:rsidR="00640C4F" w:rsidRPr="00C30AD9">
        <w:rPr>
          <w:rFonts w:ascii="Arial" w:eastAsia="Times New Roman" w:hAnsi="Arial" w:cs="Arial"/>
          <w:sz w:val="20"/>
          <w:szCs w:val="20"/>
          <w:lang w:eastAsia="nl-BE"/>
        </w:rPr>
        <w:t>02)</w:t>
      </w:r>
      <w:r w:rsidR="00640C4F">
        <w:rPr>
          <w:rFonts w:ascii="Arial" w:eastAsia="Times New Roman" w:hAnsi="Arial" w:cs="Arial"/>
          <w:sz w:val="20"/>
          <w:szCs w:val="20"/>
          <w:lang w:eastAsia="nl-BE"/>
        </w:rPr>
        <w:t>, which was confirmed in long-term follow-up biopsies.</w:t>
      </w:r>
    </w:p>
    <w:p w14:paraId="7E182EE8" w14:textId="77777777" w:rsidR="00184B7E" w:rsidRPr="00D46C36" w:rsidRDefault="00184B7E" w:rsidP="00184B7E">
      <w:pPr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14:paraId="00CC7A43" w14:textId="522C6B15" w:rsidR="00184B7E" w:rsidRPr="00D46C36" w:rsidRDefault="00184B7E" w:rsidP="00640C4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D46C36">
        <w:rPr>
          <w:rFonts w:ascii="Arial" w:hAnsi="Arial" w:cs="Arial"/>
          <w:b/>
          <w:sz w:val="20"/>
          <w:szCs w:val="20"/>
          <w:lang w:val="en-US"/>
        </w:rPr>
        <w:t>Conclusion:</w:t>
      </w:r>
      <w:r w:rsidRPr="00D46C36">
        <w:rPr>
          <w:rFonts w:ascii="Arial" w:hAnsi="Arial" w:cs="Arial"/>
          <w:sz w:val="20"/>
          <w:szCs w:val="20"/>
          <w:lang w:val="en-US"/>
        </w:rPr>
        <w:t xml:space="preserve">  </w:t>
      </w:r>
      <w:r w:rsidR="00640C4F" w:rsidRPr="00640C4F">
        <w:rPr>
          <w:rFonts w:ascii="Arial" w:eastAsia="Times New Roman" w:hAnsi="Arial" w:cs="Arial"/>
          <w:sz w:val="20"/>
          <w:szCs w:val="20"/>
          <w:lang w:val="en-US" w:eastAsia="nl-BE"/>
        </w:rPr>
        <w:t>Achieving SVR after post-LT HCV-recurrence results in swift reduction of fibrosis with stabilization on the long term. AI-based analyses show earlier changes than the classical histological scoring systems.</w:t>
      </w:r>
    </w:p>
    <w:sectPr w:rsidR="00184B7E" w:rsidRPr="00D46C36" w:rsidSect="00527424">
      <w:pgSz w:w="11906" w:h="16838"/>
      <w:pgMar w:top="1843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SortMethod w:val="00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B37"/>
    <w:rsid w:val="000D5E46"/>
    <w:rsid w:val="00184B7E"/>
    <w:rsid w:val="00255ECB"/>
    <w:rsid w:val="00527424"/>
    <w:rsid w:val="00640C4F"/>
    <w:rsid w:val="00C97E13"/>
    <w:rsid w:val="00D46C36"/>
    <w:rsid w:val="00DC31AB"/>
    <w:rsid w:val="00E1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2B9AE0"/>
  <w15:chartTrackingRefBased/>
  <w15:docId w15:val="{A8F240F3-313D-46EE-A57A-E306EC24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46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link w:val="Koptekst"/>
    <w:uiPriority w:val="99"/>
    <w:rsid w:val="00D46C36"/>
    <w:rPr>
      <w:sz w:val="22"/>
      <w:szCs w:val="22"/>
      <w:lang w:val="en-GB"/>
    </w:rPr>
  </w:style>
  <w:style w:type="paragraph" w:styleId="Voettekst">
    <w:name w:val="footer"/>
    <w:basedOn w:val="Standaard"/>
    <w:link w:val="VoettekstChar"/>
    <w:uiPriority w:val="99"/>
    <w:unhideWhenUsed/>
    <w:rsid w:val="00D46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link w:val="Voettekst"/>
    <w:uiPriority w:val="99"/>
    <w:rsid w:val="00D46C36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oehrle\Downloads\abstract%20template.dot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1BA40EA770EA4CA7146C26CE808CEE" ma:contentTypeVersion="6" ma:contentTypeDescription="Create a new document." ma:contentTypeScope="" ma:versionID="57cea80fa16f504631bf8cf1f277b0eb">
  <xsd:schema xmlns:xsd="http://www.w3.org/2001/XMLSchema" xmlns:xs="http://www.w3.org/2001/XMLSchema" xmlns:p="http://schemas.microsoft.com/office/2006/metadata/properties" xmlns:ns2="521b6ead-e5be-4d3b-9860-b6e03b66e706" xmlns:ns3="3eedaddb-5fc5-4aa6-949a-49b49a2899ba" xmlns:ns4="e7e64743-84de-4dc1-8f84-814f03f9b725" xmlns:ns5="e8282bc9-d012-4bc8-a553-87c6a942cc89" targetNamespace="http://schemas.microsoft.com/office/2006/metadata/properties" ma:root="true" ma:fieldsID="02a2bbb4027df2f0be3f3ba4fe9eeaab" ns2:_="" ns3:_="" ns4:_="" ns5:_="">
    <xsd:import namespace="521b6ead-e5be-4d3b-9860-b6e03b66e706"/>
    <xsd:import namespace="3eedaddb-5fc5-4aa6-949a-49b49a2899ba"/>
    <xsd:import namespace="e7e64743-84de-4dc1-8f84-814f03f9b725"/>
    <xsd:import namespace="e8282bc9-d012-4bc8-a553-87c6a942c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Test" minOccurs="0"/>
                <xsd:element ref="ns2:MediaServiceObjectDetectorVersions" minOccurs="0"/>
                <xsd:element ref="ns4:TaxCatchAll" minOccurs="0"/>
                <xsd:element ref="ns5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b6ead-e5be-4d3b-9860-b6e03b66e7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Test" ma:index="21" nillable="true" ma:displayName="Test" ma:format="DateOnly" ma:internalName="Test">
      <xsd:simpleType>
        <xsd:restriction base="dms:DateTim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edaddb-5fc5-4aa6-949a-49b49a2899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e64743-84de-4dc1-8f84-814f03f9b72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4592b08-b215-4cd8-b948-cf64026cfd4f}" ma:internalName="TaxCatchAll" ma:showField="CatchAllData" ma:web="e7e64743-84de-4dc1-8f84-814f03f9b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282bc9-d012-4bc8-a553-87c6a942cc8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541184b-64da-461f-be6c-88eaa40d6a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e64743-84de-4dc1-8f84-814f03f9b725"/>
    <lcf76f155ced4ddcb4097134ff3c332f xmlns="e8282bc9-d012-4bc8-a553-87c6a942cc89">
      <Terms xmlns="http://schemas.microsoft.com/office/infopath/2007/PartnerControls"/>
    </lcf76f155ced4ddcb4097134ff3c332f>
    <Test xmlns="521b6ead-e5be-4d3b-9860-b6e03b66e706" xsi:nil="true"/>
  </documentManagement>
</p:properties>
</file>

<file path=customXml/itemProps1.xml><?xml version="1.0" encoding="utf-8"?>
<ds:datastoreItem xmlns:ds="http://schemas.openxmlformats.org/officeDocument/2006/customXml" ds:itemID="{CA064246-316F-42A6-8AEA-90C9C7118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1b6ead-e5be-4d3b-9860-b6e03b66e706"/>
    <ds:schemaRef ds:uri="3eedaddb-5fc5-4aa6-949a-49b49a2899ba"/>
    <ds:schemaRef ds:uri="e7e64743-84de-4dc1-8f84-814f03f9b725"/>
    <ds:schemaRef ds:uri="e8282bc9-d012-4bc8-a553-87c6a942c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4BBAA-330A-4DA8-90DC-445B666DA1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34EAF1-805E-43B7-AE7B-8EB128D85BF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A99CFCD-B002-48DC-9985-28551B54772C}">
  <ds:schemaRefs>
    <ds:schemaRef ds:uri="http://schemas.microsoft.com/office/2006/metadata/properties"/>
    <ds:schemaRef ds:uri="http://schemas.microsoft.com/office/infopath/2007/PartnerControls"/>
    <ds:schemaRef ds:uri="e7e64743-84de-4dc1-8f84-814f03f9b725"/>
    <ds:schemaRef ds:uri="e8282bc9-d012-4bc8-a553-87c6a942cc89"/>
    <ds:schemaRef ds:uri="521b6ead-e5be-4d3b-9860-b6e03b66e70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abstract template</Template>
  <TotalTime>1</TotalTime>
  <Pages>1</Pages>
  <Words>433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 PARTNER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Wöhrle</dc:creator>
  <cp:keywords/>
  <cp:lastModifiedBy>Tibo Lemmens</cp:lastModifiedBy>
  <cp:revision>2</cp:revision>
  <cp:lastPrinted>1900-12-31T22:00:00Z</cp:lastPrinted>
  <dcterms:created xsi:type="dcterms:W3CDTF">2024-01-15T19:23:00Z</dcterms:created>
  <dcterms:modified xsi:type="dcterms:W3CDTF">2024-01-15T19:23:00Z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0x010100E60C5A1ADA32944B9CA922516FE791AC</vt:lpwstr>
  </property>
  <property fmtid="{D5CDD505-2E9C-101B-9397-08002B2CF9AE}" pid="3" name="display_urn:schemas-microsoft-com:office:office#Author">
    <vt:lpwstr>Celine Santo</vt:lpwstr>
  </property>
  <property fmtid="{D5CDD505-2E9C-101B-9397-08002B2CF9AE}" pid="4" name="display_urn:schemas-microsoft-com:office:office#Editor">
    <vt:lpwstr>Celine Santo</vt:lpwstr>
  </property>
  <property fmtid="{D5CDD505-2E9C-101B-9397-08002B2CF9AE}" pid="5" name="IsMyDocuments">
    <vt:bool>true</vt:bool>
  </property>
  <property fmtid="{D5CDD505-2E9C-101B-9397-08002B2CF9AE}" pid="6" name="key">
    <vt:lpwstr>5b11a5b2-b854-471e-a6f9-74ad2599063b</vt:lpwstr>
  </property>
  <property fmtid="{D5CDD505-2E9C-101B-9397-08002B2CF9AE}" pid="7" name="Order">
    <vt:lpwstr>242719300.000000</vt:lpwstr>
  </property>
</Properties>
</file>