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D07D8" w14:textId="091D314B" w:rsidR="008F06FA" w:rsidRPr="008F06FA" w:rsidRDefault="008F06FA">
      <w:pPr>
        <w:rPr>
          <w:lang w:val="en-US"/>
        </w:rPr>
      </w:pPr>
      <w:r w:rsidRPr="008F06FA">
        <w:rPr>
          <w:rFonts w:ascii="Times" w:hAnsi="Times"/>
          <w:color w:val="000000"/>
          <w:sz w:val="22"/>
          <w:szCs w:val="22"/>
          <w:lang w:val="en-US"/>
        </w:rPr>
        <w:t xml:space="preserve">The EU’s Stringent Jurisdictional Protection of Its Surface Waters’, </w:t>
      </w:r>
      <w:r w:rsidRPr="008F06FA">
        <w:rPr>
          <w:rFonts w:ascii="Times" w:hAnsi="Times"/>
          <w:i/>
          <w:iCs/>
          <w:color w:val="000000"/>
          <w:sz w:val="22"/>
          <w:szCs w:val="22"/>
          <w:lang w:val="en-US"/>
        </w:rPr>
        <w:t>JEE&amp;PL</w:t>
      </w:r>
      <w:r w:rsidRPr="008F06FA">
        <w:rPr>
          <w:rFonts w:ascii="Times" w:hAnsi="Times"/>
          <w:color w:val="000000"/>
          <w:sz w:val="22"/>
          <w:szCs w:val="22"/>
          <w:lang w:val="en-US"/>
        </w:rPr>
        <w:t xml:space="preserve">  20 (2023) 169–184, with G. Martens. </w:t>
      </w:r>
      <w:r w:rsidRPr="008F06FA">
        <w:rPr>
          <w:rFonts w:ascii="Calibri" w:hAnsi="Calibri" w:cs="Calibri"/>
          <w:color w:val="000000"/>
          <w:lang w:val="en-US"/>
        </w:rPr>
        <w:t> </w:t>
      </w:r>
    </w:p>
    <w:sectPr w:rsidR="008F06FA" w:rsidRPr="008F06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6FA"/>
    <w:rsid w:val="008F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CFF8F1"/>
  <w15:chartTrackingRefBased/>
  <w15:docId w15:val="{B7697780-CA86-224B-8355-E3335BD3F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Gaëlle Hoogsteyn</dc:creator>
  <cp:keywords/>
  <dc:description/>
  <cp:lastModifiedBy>Gaëlle Hoogsteyn</cp:lastModifiedBy>
  <cp:revision>1</cp:revision>
  <dcterms:created xsi:type="dcterms:W3CDTF">2023-11-21T10:35:00Z</dcterms:created>
  <dcterms:modified xsi:type="dcterms:W3CDTF">2023-11-21T10:36:00Z</dcterms:modified>
</cp:coreProperties>
</file>