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6E5871" w14:textId="45542C89" w:rsidR="00FB3E0A" w:rsidRPr="00C22ABE" w:rsidRDefault="00081315">
      <w:pPr>
        <w:rPr>
          <w:rFonts w:cstheme="minorHAnsi"/>
          <w:b/>
          <w:bCs/>
          <w:color w:val="0000FF"/>
          <w:sz w:val="40"/>
          <w:szCs w:val="40"/>
        </w:rPr>
      </w:pPr>
      <w:r w:rsidRPr="00C22ABE">
        <w:rPr>
          <w:rFonts w:cstheme="minorHAnsi"/>
          <w:b/>
          <w:bCs/>
          <w:color w:val="0000FF"/>
          <w:sz w:val="40"/>
          <w:szCs w:val="40"/>
        </w:rPr>
        <w:t>Ostéoradionécrose</w:t>
      </w:r>
      <w:r w:rsidR="003E4CA0" w:rsidRPr="00C22ABE">
        <w:rPr>
          <w:rFonts w:cstheme="minorHAnsi"/>
          <w:b/>
          <w:bCs/>
          <w:color w:val="0000FF"/>
          <w:sz w:val="40"/>
          <w:szCs w:val="40"/>
        </w:rPr>
        <w:t>s</w:t>
      </w:r>
      <w:r w:rsidR="00254510" w:rsidRPr="00C22ABE">
        <w:rPr>
          <w:rFonts w:cstheme="minorHAnsi"/>
          <w:b/>
          <w:bCs/>
          <w:color w:val="0000FF"/>
          <w:sz w:val="40"/>
          <w:szCs w:val="40"/>
        </w:rPr>
        <w:t xml:space="preserve"> des mâchoires</w:t>
      </w:r>
    </w:p>
    <w:p w14:paraId="19CDA6BB" w14:textId="641719B3" w:rsidR="003E4CA0" w:rsidRPr="00C22ABE" w:rsidRDefault="003E4CA0">
      <w:pPr>
        <w:rPr>
          <w:rFonts w:cstheme="minorHAnsi"/>
          <w:b/>
          <w:bCs/>
          <w:color w:val="0000FF"/>
          <w:sz w:val="40"/>
          <w:szCs w:val="40"/>
        </w:rPr>
      </w:pPr>
      <w:r w:rsidRPr="00C22ABE">
        <w:rPr>
          <w:rFonts w:cstheme="minorHAnsi"/>
          <w:b/>
          <w:bCs/>
          <w:color w:val="0000FF"/>
          <w:sz w:val="40"/>
          <w:szCs w:val="40"/>
        </w:rPr>
        <w:t>22-043-H-10</w:t>
      </w:r>
    </w:p>
    <w:p w14:paraId="1E8319C3" w14:textId="77777777" w:rsidR="003E4CA0" w:rsidRPr="00C22ABE" w:rsidRDefault="003E4CA0" w:rsidP="003E4CA0">
      <w:pPr>
        <w:pStyle w:val="Sansinterligne"/>
        <w:rPr>
          <w:rFonts w:cstheme="minorHAnsi"/>
          <w:sz w:val="24"/>
          <w:szCs w:val="24"/>
        </w:rPr>
      </w:pPr>
    </w:p>
    <w:p w14:paraId="268003CA" w14:textId="0D6C4189" w:rsidR="003E4CA0" w:rsidRPr="00C22ABE" w:rsidRDefault="003E4CA0" w:rsidP="003E4CA0">
      <w:pPr>
        <w:pStyle w:val="Sansinterligne"/>
        <w:rPr>
          <w:rFonts w:cstheme="minorHAnsi"/>
          <w:sz w:val="24"/>
          <w:szCs w:val="24"/>
        </w:rPr>
      </w:pPr>
      <w:r w:rsidRPr="00C22ABE">
        <w:rPr>
          <w:rFonts w:cstheme="minorHAnsi"/>
          <w:sz w:val="24"/>
          <w:szCs w:val="24"/>
        </w:rPr>
        <w:t>Ambre PERRILLAT</w:t>
      </w:r>
      <w:r w:rsidR="00A60A71" w:rsidRPr="00C22ABE">
        <w:rPr>
          <w:rFonts w:cstheme="minorHAnsi"/>
          <w:sz w:val="24"/>
          <w:szCs w:val="24"/>
        </w:rPr>
        <w:t xml:space="preserve">, </w:t>
      </w:r>
    </w:p>
    <w:p w14:paraId="58D108DD" w14:textId="7BBD2EEB" w:rsidR="003E4CA0" w:rsidRPr="00C22ABE" w:rsidRDefault="003E4CA0" w:rsidP="003E4CA0">
      <w:pPr>
        <w:pStyle w:val="Sansinterligne"/>
        <w:rPr>
          <w:rFonts w:cstheme="minorHAnsi"/>
          <w:sz w:val="24"/>
          <w:szCs w:val="24"/>
        </w:rPr>
      </w:pPr>
      <w:r w:rsidRPr="00C22ABE">
        <w:rPr>
          <w:rFonts w:cstheme="minorHAnsi"/>
          <w:sz w:val="24"/>
          <w:szCs w:val="24"/>
        </w:rPr>
        <w:t>Jean de ROISSART</w:t>
      </w:r>
      <w:r w:rsidR="00A60A71" w:rsidRPr="00C22ABE">
        <w:rPr>
          <w:rFonts w:cstheme="minorHAnsi"/>
          <w:sz w:val="24"/>
          <w:szCs w:val="24"/>
        </w:rPr>
        <w:t xml:space="preserve">, </w:t>
      </w:r>
    </w:p>
    <w:p w14:paraId="664DE0DF" w14:textId="28EF347C" w:rsidR="003E4CA0" w:rsidRPr="00C22ABE" w:rsidRDefault="003E4CA0" w:rsidP="003E4CA0">
      <w:pPr>
        <w:pStyle w:val="Sansinterligne"/>
        <w:rPr>
          <w:rFonts w:cstheme="minorHAnsi"/>
          <w:sz w:val="24"/>
          <w:szCs w:val="24"/>
        </w:rPr>
      </w:pPr>
      <w:r w:rsidRPr="00C22ABE">
        <w:rPr>
          <w:rFonts w:cstheme="minorHAnsi"/>
          <w:sz w:val="24"/>
          <w:szCs w:val="24"/>
        </w:rPr>
        <w:t>Michèle MAGREMANNE</w:t>
      </w:r>
      <w:r w:rsidR="00A60A71" w:rsidRPr="00C22ABE">
        <w:rPr>
          <w:rFonts w:cstheme="minorHAnsi"/>
          <w:sz w:val="24"/>
          <w:szCs w:val="24"/>
        </w:rPr>
        <w:t xml:space="preserve">, </w:t>
      </w:r>
    </w:p>
    <w:p w14:paraId="54B8BC01" w14:textId="77777777" w:rsidR="003E4CA0" w:rsidRPr="00C22ABE" w:rsidRDefault="003E4CA0" w:rsidP="003E4CA0">
      <w:pPr>
        <w:pStyle w:val="Sansinterligne"/>
        <w:rPr>
          <w:rFonts w:cstheme="minorHAnsi"/>
          <w:sz w:val="24"/>
          <w:szCs w:val="24"/>
        </w:rPr>
      </w:pPr>
      <w:r w:rsidRPr="00C22ABE">
        <w:rPr>
          <w:rFonts w:cstheme="minorHAnsi"/>
          <w:sz w:val="24"/>
          <w:szCs w:val="24"/>
        </w:rPr>
        <w:t>Service de Stomatologie et Chirurgie maxillo-faciale</w:t>
      </w:r>
    </w:p>
    <w:p w14:paraId="4E1148E8" w14:textId="062E766C" w:rsidR="003E4CA0" w:rsidRPr="00C22ABE" w:rsidRDefault="003E4CA0" w:rsidP="003E4CA0">
      <w:pPr>
        <w:pStyle w:val="Sansinterligne"/>
        <w:rPr>
          <w:rFonts w:cstheme="minorHAnsi"/>
          <w:sz w:val="24"/>
          <w:szCs w:val="24"/>
        </w:rPr>
      </w:pPr>
      <w:r w:rsidRPr="00C22ABE">
        <w:rPr>
          <w:rFonts w:cstheme="minorHAnsi"/>
          <w:sz w:val="24"/>
          <w:szCs w:val="24"/>
        </w:rPr>
        <w:t>Cliniques Universitaires Saint-Luc,</w:t>
      </w:r>
      <w:r w:rsidR="00541DE1">
        <w:rPr>
          <w:rFonts w:cstheme="minorHAnsi"/>
          <w:sz w:val="24"/>
          <w:szCs w:val="24"/>
        </w:rPr>
        <w:t xml:space="preserve"> Université Catholique de Louvain,</w:t>
      </w:r>
      <w:r w:rsidRPr="00C22ABE">
        <w:rPr>
          <w:rFonts w:cstheme="minorHAnsi"/>
          <w:sz w:val="24"/>
          <w:szCs w:val="24"/>
        </w:rPr>
        <w:t xml:space="preserve"> Avenue Hippocrate 10, 1200 Bruxelles, Belgique</w:t>
      </w:r>
    </w:p>
    <w:p w14:paraId="0826BE42" w14:textId="77777777" w:rsidR="003E4CA0" w:rsidRPr="00C22ABE" w:rsidRDefault="003E4CA0" w:rsidP="003E4CA0">
      <w:pPr>
        <w:pStyle w:val="Sansinterligne"/>
        <w:rPr>
          <w:rFonts w:cstheme="minorHAnsi"/>
          <w:sz w:val="24"/>
          <w:szCs w:val="24"/>
        </w:rPr>
      </w:pPr>
      <w:r w:rsidRPr="00C22ABE">
        <w:rPr>
          <w:rFonts w:cstheme="minorHAnsi"/>
          <w:sz w:val="24"/>
          <w:szCs w:val="24"/>
        </w:rPr>
        <w:t>Tel 003227645711</w:t>
      </w:r>
    </w:p>
    <w:p w14:paraId="515D9283" w14:textId="77777777" w:rsidR="003E4CA0" w:rsidRPr="00C22ABE" w:rsidRDefault="003E4CA0" w:rsidP="00281AF6">
      <w:pPr>
        <w:pStyle w:val="Sansinterligne"/>
        <w:jc w:val="center"/>
        <w:rPr>
          <w:rFonts w:cstheme="minorHAnsi"/>
          <w:sz w:val="24"/>
          <w:szCs w:val="24"/>
        </w:rPr>
      </w:pPr>
    </w:p>
    <w:p w14:paraId="0DCA8FB3" w14:textId="77777777" w:rsidR="003E4CA0" w:rsidRPr="00C22ABE" w:rsidRDefault="003E4CA0" w:rsidP="003E4CA0">
      <w:pPr>
        <w:pStyle w:val="Sansinterligne"/>
        <w:rPr>
          <w:rFonts w:cstheme="minorHAnsi"/>
          <w:sz w:val="24"/>
          <w:szCs w:val="24"/>
        </w:rPr>
      </w:pPr>
    </w:p>
    <w:p w14:paraId="2EF76CEB" w14:textId="4A58AA60" w:rsidR="003E4CA0" w:rsidRPr="00C22ABE" w:rsidRDefault="00517DC0" w:rsidP="003E4CA0">
      <w:pPr>
        <w:pStyle w:val="Sansinterligne"/>
        <w:rPr>
          <w:rFonts w:cstheme="minorHAnsi"/>
          <w:sz w:val="24"/>
          <w:szCs w:val="24"/>
        </w:rPr>
      </w:pPr>
      <w:r w:rsidRPr="00C22ABE">
        <w:rPr>
          <w:rFonts w:cstheme="minorHAnsi"/>
          <w:sz w:val="24"/>
          <w:szCs w:val="24"/>
        </w:rPr>
        <w:t>a</w:t>
      </w:r>
      <w:r w:rsidR="003E4CA0" w:rsidRPr="00C22ABE">
        <w:rPr>
          <w:rFonts w:cstheme="minorHAnsi"/>
          <w:sz w:val="24"/>
          <w:szCs w:val="24"/>
        </w:rPr>
        <w:t>mbre.perrillat@gmail.com</w:t>
      </w:r>
    </w:p>
    <w:p w14:paraId="38E0B287" w14:textId="6B00CC70" w:rsidR="003E4CA0" w:rsidRPr="00C22ABE" w:rsidRDefault="00A60A71" w:rsidP="003E4CA0">
      <w:pPr>
        <w:pStyle w:val="Sansinterligne"/>
        <w:rPr>
          <w:rFonts w:cstheme="minorHAnsi"/>
          <w:sz w:val="24"/>
          <w:szCs w:val="24"/>
        </w:rPr>
      </w:pPr>
      <w:r w:rsidRPr="00C22ABE">
        <w:rPr>
          <w:rFonts w:cstheme="minorHAnsi"/>
          <w:sz w:val="24"/>
          <w:szCs w:val="24"/>
        </w:rPr>
        <w:t>deroissartjean@gmail.com</w:t>
      </w:r>
    </w:p>
    <w:p w14:paraId="1F2DC10F" w14:textId="77777777" w:rsidR="003E4CA0" w:rsidRPr="00C22ABE" w:rsidRDefault="005E1CE4" w:rsidP="003E4CA0">
      <w:pPr>
        <w:pStyle w:val="Sansinterligne"/>
        <w:rPr>
          <w:rFonts w:cstheme="minorHAnsi"/>
          <w:sz w:val="24"/>
          <w:szCs w:val="24"/>
        </w:rPr>
      </w:pPr>
      <w:hyperlink r:id="rId8" w:history="1">
        <w:r w:rsidR="003E4CA0" w:rsidRPr="00C22ABE">
          <w:rPr>
            <w:rStyle w:val="Lienhypertexte"/>
            <w:rFonts w:cstheme="minorHAnsi"/>
            <w:sz w:val="24"/>
            <w:szCs w:val="24"/>
          </w:rPr>
          <w:t>magremanne.michele@gmail.com</w:t>
        </w:r>
      </w:hyperlink>
    </w:p>
    <w:p w14:paraId="39541206" w14:textId="77777777" w:rsidR="003E4CA0" w:rsidRPr="00C22ABE" w:rsidRDefault="003E4CA0" w:rsidP="003E4CA0">
      <w:pPr>
        <w:pStyle w:val="Sansinterligne"/>
        <w:rPr>
          <w:rFonts w:cstheme="minorHAnsi"/>
          <w:sz w:val="24"/>
          <w:szCs w:val="24"/>
        </w:rPr>
      </w:pPr>
    </w:p>
    <w:p w14:paraId="69444525" w14:textId="77777777" w:rsidR="003E4CA0" w:rsidRPr="00C22ABE" w:rsidRDefault="003E4CA0" w:rsidP="003E4CA0">
      <w:pPr>
        <w:pStyle w:val="Sansinterligne"/>
        <w:rPr>
          <w:rFonts w:cstheme="minorHAnsi"/>
          <w:sz w:val="24"/>
          <w:szCs w:val="24"/>
        </w:rPr>
      </w:pPr>
    </w:p>
    <w:p w14:paraId="7B1D9BE4" w14:textId="77777777" w:rsidR="003E4CA0" w:rsidRPr="00C22ABE" w:rsidRDefault="003E4CA0" w:rsidP="003E4CA0">
      <w:pPr>
        <w:pStyle w:val="Sansinterligne"/>
        <w:rPr>
          <w:rFonts w:cstheme="minorHAnsi"/>
          <w:sz w:val="24"/>
          <w:szCs w:val="24"/>
          <w:u w:val="single"/>
        </w:rPr>
      </w:pPr>
      <w:r w:rsidRPr="00C22ABE">
        <w:rPr>
          <w:rFonts w:cstheme="minorHAnsi"/>
          <w:sz w:val="24"/>
          <w:szCs w:val="24"/>
          <w:u w:val="single"/>
        </w:rPr>
        <w:t>Auteur correspondant</w:t>
      </w:r>
    </w:p>
    <w:p w14:paraId="39F278E8" w14:textId="77777777" w:rsidR="003E4CA0" w:rsidRPr="00C22ABE" w:rsidRDefault="003E4CA0" w:rsidP="003E4CA0">
      <w:pPr>
        <w:pStyle w:val="Sansinterligne"/>
        <w:rPr>
          <w:rFonts w:cstheme="minorHAnsi"/>
          <w:sz w:val="24"/>
          <w:szCs w:val="24"/>
        </w:rPr>
      </w:pPr>
      <w:r w:rsidRPr="00C22ABE">
        <w:rPr>
          <w:rFonts w:cstheme="minorHAnsi"/>
          <w:sz w:val="24"/>
          <w:szCs w:val="24"/>
        </w:rPr>
        <w:t>Dr Michèle MAGREMANNE</w:t>
      </w:r>
    </w:p>
    <w:p w14:paraId="26153885" w14:textId="77777777" w:rsidR="003E4CA0" w:rsidRPr="00C22ABE" w:rsidRDefault="003E4CA0" w:rsidP="003E4CA0">
      <w:pPr>
        <w:pStyle w:val="Sansinterligne"/>
        <w:rPr>
          <w:rFonts w:cstheme="minorHAnsi"/>
          <w:sz w:val="24"/>
          <w:szCs w:val="24"/>
        </w:rPr>
      </w:pPr>
      <w:r w:rsidRPr="00C22ABE">
        <w:rPr>
          <w:rFonts w:cstheme="minorHAnsi"/>
          <w:sz w:val="24"/>
          <w:szCs w:val="24"/>
        </w:rPr>
        <w:t>Service de Stomatologie et Chirurgie maxillo-faciale</w:t>
      </w:r>
    </w:p>
    <w:p w14:paraId="172610CC" w14:textId="77777777" w:rsidR="003E4CA0" w:rsidRPr="00C22ABE" w:rsidRDefault="003E4CA0" w:rsidP="003E4CA0">
      <w:pPr>
        <w:pStyle w:val="Sansinterligne"/>
        <w:rPr>
          <w:rFonts w:cstheme="minorHAnsi"/>
          <w:sz w:val="24"/>
          <w:szCs w:val="24"/>
        </w:rPr>
      </w:pPr>
      <w:r w:rsidRPr="00C22ABE">
        <w:rPr>
          <w:rFonts w:cstheme="minorHAnsi"/>
          <w:sz w:val="24"/>
          <w:szCs w:val="24"/>
        </w:rPr>
        <w:t xml:space="preserve">Cliniques Universitaires Saint-Luc, </w:t>
      </w:r>
    </w:p>
    <w:p w14:paraId="2A5F2AB7" w14:textId="4ABFF98E" w:rsidR="003E4CA0" w:rsidRPr="00C22ABE" w:rsidRDefault="003E4CA0" w:rsidP="003E4CA0">
      <w:pPr>
        <w:pStyle w:val="Sansinterligne"/>
        <w:rPr>
          <w:rFonts w:cstheme="minorHAnsi"/>
          <w:sz w:val="24"/>
          <w:szCs w:val="24"/>
        </w:rPr>
      </w:pPr>
      <w:r w:rsidRPr="00C22ABE">
        <w:rPr>
          <w:rFonts w:cstheme="minorHAnsi"/>
          <w:sz w:val="24"/>
          <w:szCs w:val="24"/>
        </w:rPr>
        <w:t>Avenue Hippocrate 10</w:t>
      </w:r>
    </w:p>
    <w:p w14:paraId="1FF688B2" w14:textId="77777777" w:rsidR="003E4CA0" w:rsidRPr="00C22ABE" w:rsidRDefault="003E4CA0" w:rsidP="003E4CA0">
      <w:pPr>
        <w:pStyle w:val="Sansinterligne"/>
        <w:rPr>
          <w:rFonts w:cstheme="minorHAnsi"/>
          <w:sz w:val="24"/>
          <w:szCs w:val="24"/>
        </w:rPr>
      </w:pPr>
      <w:r w:rsidRPr="00C22ABE">
        <w:rPr>
          <w:rFonts w:cstheme="minorHAnsi"/>
          <w:sz w:val="24"/>
          <w:szCs w:val="24"/>
        </w:rPr>
        <w:t xml:space="preserve">1200 Bruxelles, </w:t>
      </w:r>
    </w:p>
    <w:p w14:paraId="4FE6E2D0" w14:textId="77777777" w:rsidR="003E4CA0" w:rsidRPr="00C22ABE" w:rsidRDefault="003E4CA0" w:rsidP="003E4CA0">
      <w:pPr>
        <w:pStyle w:val="Sansinterligne"/>
        <w:rPr>
          <w:rFonts w:cstheme="minorHAnsi"/>
          <w:sz w:val="24"/>
          <w:szCs w:val="24"/>
        </w:rPr>
      </w:pPr>
      <w:r w:rsidRPr="00C22ABE">
        <w:rPr>
          <w:rFonts w:cstheme="minorHAnsi"/>
          <w:sz w:val="24"/>
          <w:szCs w:val="24"/>
        </w:rPr>
        <w:t>Belgique</w:t>
      </w:r>
    </w:p>
    <w:p w14:paraId="679830B5" w14:textId="4602ACBC" w:rsidR="003E4CA0" w:rsidRPr="00C22ABE" w:rsidRDefault="00A60A71" w:rsidP="003E4CA0">
      <w:pPr>
        <w:pStyle w:val="Sansinterligne"/>
        <w:rPr>
          <w:rFonts w:cstheme="minorHAnsi"/>
          <w:sz w:val="24"/>
          <w:szCs w:val="24"/>
        </w:rPr>
      </w:pPr>
      <w:r w:rsidRPr="00C22ABE">
        <w:rPr>
          <w:rFonts w:cstheme="minorHAnsi"/>
          <w:sz w:val="24"/>
          <w:szCs w:val="24"/>
        </w:rPr>
        <w:t>m</w:t>
      </w:r>
      <w:r w:rsidR="003E4CA0" w:rsidRPr="00C22ABE">
        <w:rPr>
          <w:rFonts w:cstheme="minorHAnsi"/>
          <w:sz w:val="24"/>
          <w:szCs w:val="24"/>
        </w:rPr>
        <w:t>agremanne.michele@gmail.com</w:t>
      </w:r>
    </w:p>
    <w:p w14:paraId="6541DDAA" w14:textId="3FD0916F" w:rsidR="003E4CA0" w:rsidRPr="00C22ABE" w:rsidRDefault="000E45FF">
      <w:pPr>
        <w:rPr>
          <w:rFonts w:cstheme="minorHAnsi"/>
        </w:rPr>
      </w:pPr>
      <w:r w:rsidRPr="00541DE1">
        <w:rPr>
          <w:rFonts w:cstheme="minorHAnsi"/>
        </w:rPr>
        <w:t>T</w:t>
      </w:r>
      <w:r w:rsidR="00A60A71" w:rsidRPr="00541DE1">
        <w:rPr>
          <w:rFonts w:cstheme="minorHAnsi"/>
        </w:rPr>
        <w:t>el</w:t>
      </w:r>
      <w:r w:rsidR="00A60A71" w:rsidRPr="00C22ABE">
        <w:rPr>
          <w:rFonts w:cstheme="minorHAnsi"/>
        </w:rPr>
        <w:t xml:space="preserve"> 0033650798214</w:t>
      </w:r>
    </w:p>
    <w:p w14:paraId="78934893" w14:textId="468CF174" w:rsidR="003E4CA0" w:rsidRPr="00C22ABE" w:rsidRDefault="003E4CA0">
      <w:pPr>
        <w:rPr>
          <w:rFonts w:cstheme="minorHAnsi"/>
          <w:b/>
          <w:bCs/>
          <w:color w:val="0000FF"/>
          <w:sz w:val="40"/>
          <w:szCs w:val="40"/>
        </w:rPr>
      </w:pPr>
    </w:p>
    <w:p w14:paraId="2817BB0B" w14:textId="316F6EE9" w:rsidR="00517DC0" w:rsidRPr="00C22ABE" w:rsidRDefault="00517DC0">
      <w:pPr>
        <w:rPr>
          <w:rFonts w:cstheme="minorHAnsi"/>
          <w:b/>
          <w:bCs/>
          <w:color w:val="0000FF"/>
          <w:sz w:val="40"/>
          <w:szCs w:val="40"/>
        </w:rPr>
      </w:pPr>
    </w:p>
    <w:p w14:paraId="1AFEB94A" w14:textId="3916FACA" w:rsidR="00517DC0" w:rsidRPr="00C22ABE" w:rsidRDefault="00517DC0">
      <w:pPr>
        <w:rPr>
          <w:rFonts w:cstheme="minorHAnsi"/>
          <w:b/>
          <w:bCs/>
          <w:color w:val="0000FF"/>
          <w:sz w:val="40"/>
          <w:szCs w:val="40"/>
        </w:rPr>
      </w:pPr>
    </w:p>
    <w:p w14:paraId="419FE5FC" w14:textId="2E46BCC7" w:rsidR="00517DC0" w:rsidRPr="00C22ABE" w:rsidRDefault="00517DC0">
      <w:pPr>
        <w:rPr>
          <w:rFonts w:cstheme="minorHAnsi"/>
          <w:b/>
          <w:bCs/>
          <w:color w:val="0000FF"/>
          <w:sz w:val="40"/>
          <w:szCs w:val="40"/>
        </w:rPr>
      </w:pPr>
    </w:p>
    <w:p w14:paraId="6AC4FC07" w14:textId="22057B4D" w:rsidR="00517DC0" w:rsidRPr="00C22ABE" w:rsidRDefault="00517DC0">
      <w:pPr>
        <w:rPr>
          <w:rFonts w:cstheme="minorHAnsi"/>
          <w:b/>
          <w:bCs/>
          <w:color w:val="0000FF"/>
          <w:sz w:val="40"/>
          <w:szCs w:val="40"/>
        </w:rPr>
      </w:pPr>
    </w:p>
    <w:p w14:paraId="4757FC09" w14:textId="156CAE8D" w:rsidR="00517DC0" w:rsidRPr="00C22ABE" w:rsidRDefault="00517DC0">
      <w:pPr>
        <w:rPr>
          <w:rFonts w:cstheme="minorHAnsi"/>
          <w:b/>
          <w:bCs/>
          <w:color w:val="0000FF"/>
          <w:sz w:val="40"/>
          <w:szCs w:val="40"/>
        </w:rPr>
      </w:pPr>
    </w:p>
    <w:p w14:paraId="0571236E" w14:textId="6068DC05" w:rsidR="00517DC0" w:rsidRPr="00C22ABE" w:rsidRDefault="00517DC0">
      <w:pPr>
        <w:rPr>
          <w:rFonts w:cstheme="minorHAnsi"/>
          <w:b/>
          <w:bCs/>
          <w:color w:val="0000FF"/>
          <w:sz w:val="40"/>
          <w:szCs w:val="40"/>
        </w:rPr>
      </w:pPr>
    </w:p>
    <w:p w14:paraId="31CD9A56" w14:textId="77777777" w:rsidR="00517DC0" w:rsidRPr="00C22ABE" w:rsidRDefault="00517DC0">
      <w:pPr>
        <w:rPr>
          <w:rFonts w:cstheme="minorHAnsi"/>
          <w:b/>
          <w:bCs/>
          <w:color w:val="0000FF"/>
          <w:sz w:val="40"/>
          <w:szCs w:val="40"/>
        </w:rPr>
      </w:pPr>
    </w:p>
    <w:p w14:paraId="684CA6A4" w14:textId="77777777" w:rsidR="00894602" w:rsidRPr="00C22ABE" w:rsidRDefault="00894602" w:rsidP="00894602">
      <w:pPr>
        <w:rPr>
          <w:rFonts w:cstheme="minorHAnsi"/>
          <w:b/>
          <w:bCs/>
          <w:color w:val="0000FF"/>
          <w:sz w:val="32"/>
          <w:szCs w:val="32"/>
          <w:lang w:val="fr-FR"/>
        </w:rPr>
      </w:pPr>
      <w:r w:rsidRPr="00C22ABE">
        <w:rPr>
          <w:rFonts w:cstheme="minorHAnsi"/>
          <w:b/>
          <w:bCs/>
          <w:color w:val="0000FF"/>
          <w:sz w:val="32"/>
          <w:szCs w:val="32"/>
          <w:lang w:val="fr-FR"/>
        </w:rPr>
        <w:lastRenderedPageBreak/>
        <w:t>Résumé :</w:t>
      </w:r>
    </w:p>
    <w:p w14:paraId="5FA1C72E" w14:textId="16886060" w:rsidR="00894602" w:rsidRPr="00C22ABE" w:rsidRDefault="00894602" w:rsidP="00894602">
      <w:pPr>
        <w:rPr>
          <w:rFonts w:cstheme="minorHAnsi"/>
          <w:bCs/>
          <w:sz w:val="20"/>
          <w:szCs w:val="20"/>
          <w:lang w:val="fr-FR"/>
        </w:rPr>
      </w:pPr>
      <w:r w:rsidRPr="00C22ABE">
        <w:rPr>
          <w:rFonts w:cstheme="minorHAnsi"/>
          <w:bCs/>
          <w:sz w:val="20"/>
          <w:szCs w:val="20"/>
          <w:lang w:val="fr-FR"/>
        </w:rPr>
        <w:t>L’ostéoradionécrose est une pathologie fréquente, dont la prévention est un élément clé et la thérapeutique sans consensus pri</w:t>
      </w:r>
      <w:r w:rsidR="000466C9" w:rsidRPr="00C22ABE">
        <w:rPr>
          <w:rFonts w:cstheme="minorHAnsi"/>
          <w:bCs/>
          <w:sz w:val="20"/>
          <w:szCs w:val="20"/>
          <w:lang w:val="fr-FR"/>
        </w:rPr>
        <w:t>s</w:t>
      </w:r>
      <w:r w:rsidRPr="00C22ABE">
        <w:rPr>
          <w:rFonts w:cstheme="minorHAnsi"/>
          <w:bCs/>
          <w:sz w:val="20"/>
          <w:szCs w:val="20"/>
          <w:lang w:val="fr-FR"/>
        </w:rPr>
        <w:t xml:space="preserve"> par les sociétés savantes. Les facteurs de risque de nécrose osseuse après un traitement par radiothérapie sont multiples et doivent être pri</w:t>
      </w:r>
      <w:r w:rsidR="000466C9" w:rsidRPr="00C22ABE">
        <w:rPr>
          <w:rFonts w:cstheme="minorHAnsi"/>
          <w:bCs/>
          <w:sz w:val="20"/>
          <w:szCs w:val="20"/>
          <w:lang w:val="fr-FR"/>
        </w:rPr>
        <w:t>s</w:t>
      </w:r>
      <w:r w:rsidRPr="00C22ABE">
        <w:rPr>
          <w:rFonts w:cstheme="minorHAnsi"/>
          <w:bCs/>
          <w:sz w:val="20"/>
          <w:szCs w:val="20"/>
          <w:lang w:val="fr-FR"/>
        </w:rPr>
        <w:t xml:space="preserve"> en considération, particulièrement ceux liés à l’hygiène et aux soins bucco</w:t>
      </w:r>
      <w:r w:rsidR="000466C9" w:rsidRPr="00C22ABE">
        <w:rPr>
          <w:rFonts w:cstheme="minorHAnsi"/>
          <w:bCs/>
          <w:sz w:val="20"/>
          <w:szCs w:val="20"/>
          <w:lang w:val="fr-FR"/>
        </w:rPr>
        <w:t>-</w:t>
      </w:r>
      <w:r w:rsidRPr="00C22ABE">
        <w:rPr>
          <w:rFonts w:cstheme="minorHAnsi"/>
          <w:bCs/>
          <w:sz w:val="20"/>
          <w:szCs w:val="20"/>
          <w:lang w:val="fr-FR"/>
        </w:rPr>
        <w:t xml:space="preserve">dentaires. En effet la décision de pratiquer des avulsions dentaires doit être prise selon des critères afin de ne pas causer des lésions sur un tissu fragile par avulsion traumatique ou par infection d’une dent conservée. </w:t>
      </w:r>
      <w:r w:rsidRPr="00C22ABE">
        <w:rPr>
          <w:rFonts w:cstheme="minorHAnsi"/>
          <w:bCs/>
          <w:sz w:val="20"/>
          <w:szCs w:val="20"/>
          <w:lang w:val="fr-FR"/>
        </w:rPr>
        <w:br/>
        <w:t>Une fois diagnostiquée, l’ostéoradionécrose des mâchoires fait l’objet d’une surveillance accrue et d’un traitement médical ou chirurgical. Ce traitement multimodal a pour objectif de réduire la symptomatologie et d’éviter la progression de l’ostéoradionécrose. En première intention le traitement sera préférentiellement conservateur associant des mesures générales hygiéno-diététique</w:t>
      </w:r>
      <w:r w:rsidR="000466C9" w:rsidRPr="00C22ABE">
        <w:rPr>
          <w:rFonts w:cstheme="minorHAnsi"/>
          <w:bCs/>
          <w:sz w:val="20"/>
          <w:szCs w:val="20"/>
          <w:lang w:val="fr-FR"/>
        </w:rPr>
        <w:t>s</w:t>
      </w:r>
      <w:r w:rsidRPr="00C22ABE">
        <w:rPr>
          <w:rFonts w:cstheme="minorHAnsi"/>
          <w:bCs/>
          <w:sz w:val="20"/>
          <w:szCs w:val="20"/>
          <w:lang w:val="fr-FR"/>
        </w:rPr>
        <w:t xml:space="preserve"> et un traitement médical dont les protocoles varient selon les équipes. La prescription d’antibiotique</w:t>
      </w:r>
      <w:r w:rsidR="000466C9" w:rsidRPr="00C22ABE">
        <w:rPr>
          <w:rFonts w:cstheme="minorHAnsi"/>
          <w:bCs/>
          <w:sz w:val="20"/>
          <w:szCs w:val="20"/>
          <w:lang w:val="fr-FR"/>
        </w:rPr>
        <w:t>s</w:t>
      </w:r>
      <w:r w:rsidRPr="00C22ABE">
        <w:rPr>
          <w:rFonts w:cstheme="minorHAnsi"/>
          <w:bCs/>
          <w:sz w:val="20"/>
          <w:szCs w:val="20"/>
          <w:lang w:val="fr-FR"/>
        </w:rPr>
        <w:t>, d’antalgique</w:t>
      </w:r>
      <w:r w:rsidR="000466C9" w:rsidRPr="00C22ABE">
        <w:rPr>
          <w:rFonts w:cstheme="minorHAnsi"/>
          <w:bCs/>
          <w:sz w:val="20"/>
          <w:szCs w:val="20"/>
          <w:lang w:val="fr-FR"/>
        </w:rPr>
        <w:t>s</w:t>
      </w:r>
      <w:r w:rsidRPr="00C22ABE">
        <w:rPr>
          <w:rFonts w:cstheme="minorHAnsi"/>
          <w:bCs/>
          <w:sz w:val="20"/>
          <w:szCs w:val="20"/>
          <w:lang w:val="fr-FR"/>
        </w:rPr>
        <w:t xml:space="preserve"> et de </w:t>
      </w:r>
      <w:r w:rsidR="000466C9" w:rsidRPr="00C22ABE">
        <w:rPr>
          <w:rFonts w:cstheme="minorHAnsi"/>
          <w:bCs/>
          <w:sz w:val="20"/>
          <w:szCs w:val="20"/>
          <w:lang w:val="fr-FR"/>
        </w:rPr>
        <w:t>bains de bouche</w:t>
      </w:r>
      <w:r w:rsidRPr="00C22ABE">
        <w:rPr>
          <w:rFonts w:cstheme="minorHAnsi"/>
          <w:bCs/>
          <w:sz w:val="20"/>
          <w:szCs w:val="20"/>
          <w:lang w:val="fr-FR"/>
        </w:rPr>
        <w:t xml:space="preserve"> semble être la base de la prise en charge. Selon les études, l’oxygénothérapie hyperbare serait à l’origine d’une majoration de l’oxygénation tissulaire, d’une stimulation de l’angiogenèse, de la régénération osseuse et présente un effet inhibiteur de la croissance bactérienne. Les limites sont principalement le co</w:t>
      </w:r>
      <w:r w:rsidR="000466C9" w:rsidRPr="00C22ABE">
        <w:rPr>
          <w:rFonts w:cstheme="minorHAnsi"/>
          <w:bCs/>
          <w:sz w:val="20"/>
          <w:szCs w:val="20"/>
          <w:lang w:val="fr-FR"/>
        </w:rPr>
        <w:t>û</w:t>
      </w:r>
      <w:r w:rsidRPr="00C22ABE">
        <w:rPr>
          <w:rFonts w:cstheme="minorHAnsi"/>
          <w:bCs/>
          <w:sz w:val="20"/>
          <w:szCs w:val="20"/>
          <w:lang w:val="fr-FR"/>
        </w:rPr>
        <w:t xml:space="preserve">t et les effets secondaires. L’association </w:t>
      </w:r>
      <w:r w:rsidR="000466C9" w:rsidRPr="00C22ABE">
        <w:rPr>
          <w:rFonts w:cstheme="minorHAnsi"/>
          <w:bCs/>
          <w:sz w:val="20"/>
          <w:szCs w:val="20"/>
          <w:lang w:val="fr-FR"/>
        </w:rPr>
        <w:t xml:space="preserve">Pentoxifylline </w:t>
      </w:r>
      <w:r w:rsidRPr="00C22ABE">
        <w:rPr>
          <w:rFonts w:cstheme="minorHAnsi"/>
          <w:bCs/>
          <w:sz w:val="20"/>
          <w:szCs w:val="20"/>
          <w:lang w:val="fr-FR"/>
        </w:rPr>
        <w:t>To</w:t>
      </w:r>
      <w:r w:rsidR="000466C9" w:rsidRPr="00C22ABE">
        <w:rPr>
          <w:rFonts w:cstheme="minorHAnsi"/>
          <w:bCs/>
          <w:sz w:val="20"/>
          <w:szCs w:val="20"/>
          <w:lang w:val="fr-FR"/>
        </w:rPr>
        <w:t xml:space="preserve">cophérol et </w:t>
      </w:r>
      <w:r w:rsidRPr="00C22ABE">
        <w:rPr>
          <w:rFonts w:cstheme="minorHAnsi"/>
          <w:bCs/>
          <w:sz w:val="20"/>
          <w:szCs w:val="20"/>
          <w:lang w:val="fr-FR"/>
        </w:rPr>
        <w:t>Clo</w:t>
      </w:r>
      <w:r w:rsidR="000466C9" w:rsidRPr="00C22ABE">
        <w:rPr>
          <w:rFonts w:cstheme="minorHAnsi"/>
          <w:bCs/>
          <w:sz w:val="20"/>
          <w:szCs w:val="20"/>
          <w:lang w:val="fr-FR"/>
        </w:rPr>
        <w:t>dronate</w:t>
      </w:r>
      <w:r w:rsidRPr="00C22ABE">
        <w:rPr>
          <w:rFonts w:cstheme="minorHAnsi"/>
          <w:bCs/>
          <w:sz w:val="20"/>
          <w:szCs w:val="20"/>
          <w:lang w:val="fr-FR"/>
        </w:rPr>
        <w:t xml:space="preserve"> joue un rôle antioxydant et </w:t>
      </w:r>
      <w:proofErr w:type="spellStart"/>
      <w:r w:rsidRPr="00C22ABE">
        <w:rPr>
          <w:rFonts w:cstheme="minorHAnsi"/>
          <w:bCs/>
          <w:sz w:val="20"/>
          <w:szCs w:val="20"/>
          <w:lang w:val="fr-FR"/>
        </w:rPr>
        <w:t>antifibrotique</w:t>
      </w:r>
      <w:proofErr w:type="spellEnd"/>
      <w:r w:rsidRPr="00C22ABE">
        <w:rPr>
          <w:rFonts w:cstheme="minorHAnsi"/>
          <w:bCs/>
          <w:sz w:val="20"/>
          <w:szCs w:val="20"/>
          <w:lang w:val="fr-FR"/>
        </w:rPr>
        <w:t xml:space="preserve"> grâce à son rôle bénéfique sur les myofibroblastes </w:t>
      </w:r>
      <w:proofErr w:type="spellStart"/>
      <w:r w:rsidRPr="00C22ABE">
        <w:rPr>
          <w:rFonts w:cstheme="minorHAnsi"/>
          <w:bCs/>
          <w:sz w:val="20"/>
          <w:szCs w:val="20"/>
          <w:lang w:val="fr-FR"/>
        </w:rPr>
        <w:t>proinflamma</w:t>
      </w:r>
      <w:r w:rsidR="000466C9" w:rsidRPr="00C22ABE">
        <w:rPr>
          <w:rFonts w:cstheme="minorHAnsi"/>
          <w:bCs/>
          <w:sz w:val="20"/>
          <w:szCs w:val="20"/>
          <w:lang w:val="fr-FR"/>
        </w:rPr>
        <w:t>t</w:t>
      </w:r>
      <w:r w:rsidRPr="00C22ABE">
        <w:rPr>
          <w:rFonts w:cstheme="minorHAnsi"/>
          <w:bCs/>
          <w:sz w:val="20"/>
          <w:szCs w:val="20"/>
          <w:lang w:val="fr-FR"/>
        </w:rPr>
        <w:t>oires</w:t>
      </w:r>
      <w:proofErr w:type="spellEnd"/>
      <w:r w:rsidRPr="00C22ABE">
        <w:rPr>
          <w:rFonts w:cstheme="minorHAnsi"/>
          <w:bCs/>
          <w:sz w:val="20"/>
          <w:szCs w:val="20"/>
          <w:lang w:val="fr-FR"/>
        </w:rPr>
        <w:t>. Ce traitement prescrit plus de 6 mois semble permettre une cicatrisation clinique et radiologique.</w:t>
      </w:r>
      <w:r w:rsidRPr="00C22ABE">
        <w:rPr>
          <w:rFonts w:cstheme="minorHAnsi"/>
          <w:bCs/>
          <w:sz w:val="20"/>
          <w:szCs w:val="20"/>
          <w:lang w:val="fr-FR"/>
        </w:rPr>
        <w:br/>
        <w:t xml:space="preserve">Le traitement chirurgical est plus invasif et souvent plus couteux, il est réservé aux échecs de traitements médicaux et aux stades élevés. Il consiste à réaliser la résection large, avec des marges vasculaires et à reconstruire l’os par un lambeau. </w:t>
      </w:r>
      <w:r w:rsidR="000466C9" w:rsidRPr="00C22ABE">
        <w:rPr>
          <w:rFonts w:cstheme="minorHAnsi"/>
          <w:bCs/>
          <w:sz w:val="20"/>
          <w:szCs w:val="20"/>
          <w:lang w:val="fr-FR"/>
        </w:rPr>
        <w:t>La prévention dentaire avant radiothérapie joue un rôle important.</w:t>
      </w:r>
    </w:p>
    <w:p w14:paraId="4B14E329" w14:textId="412B5531" w:rsidR="00894602" w:rsidRPr="00C22ABE" w:rsidRDefault="00894602" w:rsidP="00894602">
      <w:pPr>
        <w:rPr>
          <w:rFonts w:cstheme="minorHAnsi"/>
          <w:bCs/>
          <w:sz w:val="20"/>
          <w:szCs w:val="20"/>
          <w:lang w:val="fr-FR"/>
        </w:rPr>
      </w:pPr>
    </w:p>
    <w:p w14:paraId="3670144A" w14:textId="77777777" w:rsidR="00894602" w:rsidRPr="00C22ABE" w:rsidRDefault="00894602" w:rsidP="00894602">
      <w:pPr>
        <w:rPr>
          <w:rFonts w:cstheme="minorHAnsi"/>
          <w:sz w:val="16"/>
          <w:szCs w:val="16"/>
          <w:u w:val="single"/>
          <w:lang w:val="fr-FR"/>
        </w:rPr>
      </w:pPr>
    </w:p>
    <w:p w14:paraId="772F8052" w14:textId="691F6796" w:rsidR="00FB3E0A" w:rsidRPr="00C22ABE" w:rsidRDefault="00FB3E0A">
      <w:pPr>
        <w:rPr>
          <w:rFonts w:cstheme="minorHAnsi"/>
          <w:sz w:val="20"/>
          <w:szCs w:val="20"/>
        </w:rPr>
      </w:pPr>
      <w:r w:rsidRPr="00C22ABE">
        <w:rPr>
          <w:rFonts w:cstheme="minorHAnsi"/>
          <w:sz w:val="20"/>
          <w:szCs w:val="20"/>
          <w:u w:val="single"/>
        </w:rPr>
        <w:t>Mots-clés :</w:t>
      </w:r>
      <w:r w:rsidRPr="00C22ABE">
        <w:rPr>
          <w:rFonts w:cstheme="minorHAnsi"/>
          <w:b/>
          <w:bCs/>
          <w:sz w:val="20"/>
          <w:szCs w:val="20"/>
        </w:rPr>
        <w:t xml:space="preserve"> </w:t>
      </w:r>
      <w:r w:rsidRPr="00C22ABE">
        <w:rPr>
          <w:rFonts w:cstheme="minorHAnsi"/>
          <w:sz w:val="20"/>
          <w:szCs w:val="20"/>
        </w:rPr>
        <w:t>ostéoradionécrose, remodelage osseux, oxygénothérapie, pentoxifylline, tocophérol, hygiène bucco-dentaire, fluor</w:t>
      </w:r>
    </w:p>
    <w:p w14:paraId="283F581B" w14:textId="77777777" w:rsidR="00F85BD7" w:rsidRPr="00C22ABE" w:rsidRDefault="00F85BD7">
      <w:pPr>
        <w:rPr>
          <w:rFonts w:cstheme="minorHAnsi"/>
          <w:b/>
          <w:bCs/>
          <w:color w:val="0000FF"/>
          <w:sz w:val="28"/>
          <w:szCs w:val="28"/>
          <w:u w:val="single"/>
        </w:rPr>
      </w:pPr>
    </w:p>
    <w:p w14:paraId="73B98BFD" w14:textId="1A5EDE08" w:rsidR="00F85BD7" w:rsidRPr="00C22ABE" w:rsidRDefault="0060512D">
      <w:pPr>
        <w:rPr>
          <w:rFonts w:cstheme="minorHAnsi"/>
          <w:sz w:val="20"/>
          <w:szCs w:val="20"/>
        </w:rPr>
      </w:pPr>
      <w:r w:rsidRPr="00C22ABE">
        <w:rPr>
          <w:rFonts w:cstheme="minorHAnsi"/>
          <w:sz w:val="20"/>
          <w:szCs w:val="20"/>
          <w:u w:val="single"/>
        </w:rPr>
        <w:t>Liens d’intérêts</w:t>
      </w:r>
      <w:r w:rsidRPr="00C22ABE">
        <w:rPr>
          <w:rFonts w:cstheme="minorHAnsi"/>
          <w:sz w:val="20"/>
          <w:szCs w:val="20"/>
        </w:rPr>
        <w:t> : les auteurs déclarent ne pas avoir de liens d’intérêts.</w:t>
      </w:r>
    </w:p>
    <w:p w14:paraId="16E18326" w14:textId="77777777" w:rsidR="00F85BD7" w:rsidRPr="00C22ABE" w:rsidRDefault="00F85BD7">
      <w:pPr>
        <w:rPr>
          <w:rFonts w:cstheme="minorHAnsi"/>
          <w:b/>
          <w:bCs/>
          <w:color w:val="0000FF"/>
          <w:sz w:val="28"/>
          <w:szCs w:val="28"/>
          <w:u w:val="single"/>
        </w:rPr>
      </w:pPr>
    </w:p>
    <w:p w14:paraId="5C51D5EC" w14:textId="77777777" w:rsidR="00F85BD7" w:rsidRPr="00C22ABE" w:rsidRDefault="00F85BD7">
      <w:pPr>
        <w:rPr>
          <w:rFonts w:cstheme="minorHAnsi"/>
          <w:b/>
          <w:bCs/>
          <w:color w:val="0000FF"/>
          <w:sz w:val="28"/>
          <w:szCs w:val="28"/>
          <w:u w:val="single"/>
        </w:rPr>
      </w:pPr>
    </w:p>
    <w:p w14:paraId="795442E7" w14:textId="77777777" w:rsidR="00F85BD7" w:rsidRPr="00C22ABE" w:rsidRDefault="00F85BD7">
      <w:pPr>
        <w:rPr>
          <w:rFonts w:cstheme="minorHAnsi"/>
          <w:b/>
          <w:bCs/>
          <w:color w:val="0000FF"/>
          <w:sz w:val="28"/>
          <w:szCs w:val="28"/>
          <w:u w:val="single"/>
        </w:rPr>
      </w:pPr>
    </w:p>
    <w:p w14:paraId="409FE702" w14:textId="77777777" w:rsidR="00F85BD7" w:rsidRPr="00C22ABE" w:rsidRDefault="00F85BD7">
      <w:pPr>
        <w:rPr>
          <w:rFonts w:cstheme="minorHAnsi"/>
          <w:b/>
          <w:bCs/>
          <w:color w:val="0000FF"/>
          <w:sz w:val="28"/>
          <w:szCs w:val="28"/>
          <w:u w:val="single"/>
        </w:rPr>
      </w:pPr>
    </w:p>
    <w:p w14:paraId="07EF4A7B" w14:textId="77777777" w:rsidR="00F85BD7" w:rsidRPr="00C22ABE" w:rsidRDefault="00F85BD7">
      <w:pPr>
        <w:rPr>
          <w:rFonts w:cstheme="minorHAnsi"/>
          <w:b/>
          <w:bCs/>
          <w:color w:val="0000FF"/>
          <w:sz w:val="28"/>
          <w:szCs w:val="28"/>
          <w:u w:val="single"/>
        </w:rPr>
      </w:pPr>
    </w:p>
    <w:p w14:paraId="2CD7E2C0" w14:textId="77777777" w:rsidR="00F85BD7" w:rsidRPr="00C22ABE" w:rsidRDefault="00F85BD7">
      <w:pPr>
        <w:rPr>
          <w:rFonts w:cstheme="minorHAnsi"/>
          <w:b/>
          <w:bCs/>
          <w:color w:val="0000FF"/>
          <w:sz w:val="28"/>
          <w:szCs w:val="28"/>
          <w:u w:val="single"/>
        </w:rPr>
      </w:pPr>
    </w:p>
    <w:p w14:paraId="5CA6D97C" w14:textId="2F5AE6E5" w:rsidR="00F85BD7" w:rsidRPr="00C22ABE" w:rsidRDefault="00F85BD7">
      <w:pPr>
        <w:rPr>
          <w:rFonts w:cstheme="minorHAnsi"/>
          <w:b/>
          <w:bCs/>
          <w:color w:val="0000FF"/>
          <w:sz w:val="28"/>
          <w:szCs w:val="28"/>
          <w:u w:val="single"/>
        </w:rPr>
      </w:pPr>
    </w:p>
    <w:p w14:paraId="4D58AF84" w14:textId="37A6AC03" w:rsidR="005F3102" w:rsidRPr="00C22ABE" w:rsidRDefault="005F3102">
      <w:pPr>
        <w:rPr>
          <w:rFonts w:cstheme="minorHAnsi"/>
          <w:b/>
          <w:bCs/>
          <w:color w:val="0000FF"/>
          <w:sz w:val="28"/>
          <w:szCs w:val="28"/>
          <w:u w:val="single"/>
        </w:rPr>
      </w:pPr>
    </w:p>
    <w:p w14:paraId="39D06715" w14:textId="08D1C293" w:rsidR="00A60A71" w:rsidRPr="00C22ABE" w:rsidRDefault="00A60A71">
      <w:pPr>
        <w:rPr>
          <w:rFonts w:cstheme="minorHAnsi"/>
          <w:b/>
          <w:bCs/>
          <w:color w:val="0000FF"/>
          <w:sz w:val="28"/>
          <w:szCs w:val="28"/>
          <w:u w:val="single"/>
        </w:rPr>
      </w:pPr>
    </w:p>
    <w:p w14:paraId="72222DFB" w14:textId="77777777" w:rsidR="00F169F3" w:rsidRPr="00C22ABE" w:rsidRDefault="00F169F3">
      <w:pPr>
        <w:rPr>
          <w:rFonts w:cstheme="minorHAnsi"/>
          <w:b/>
          <w:bCs/>
          <w:color w:val="0000FF"/>
          <w:sz w:val="28"/>
          <w:szCs w:val="28"/>
          <w:u w:val="single"/>
        </w:rPr>
      </w:pPr>
    </w:p>
    <w:p w14:paraId="0BA64B3E" w14:textId="4D98F828" w:rsidR="00D143E4" w:rsidRPr="00C22ABE" w:rsidRDefault="00D143E4">
      <w:pPr>
        <w:rPr>
          <w:rFonts w:cstheme="minorHAnsi"/>
          <w:b/>
          <w:bCs/>
          <w:color w:val="0000FF"/>
          <w:sz w:val="28"/>
          <w:szCs w:val="28"/>
          <w:u w:val="single"/>
        </w:rPr>
      </w:pPr>
    </w:p>
    <w:p w14:paraId="15454F97" w14:textId="7FE0B562" w:rsidR="005631A4" w:rsidRPr="00C22ABE" w:rsidRDefault="005631A4" w:rsidP="00894602">
      <w:pPr>
        <w:spacing w:after="120" w:line="240" w:lineRule="auto"/>
        <w:rPr>
          <w:rFonts w:cstheme="minorHAnsi"/>
          <w:b/>
          <w:bCs/>
          <w:color w:val="0000FF"/>
          <w:sz w:val="36"/>
          <w:szCs w:val="36"/>
          <w:u w:val="single"/>
        </w:rPr>
      </w:pPr>
      <w:r w:rsidRPr="00C22ABE">
        <w:rPr>
          <w:rFonts w:cstheme="minorHAnsi"/>
          <w:b/>
          <w:bCs/>
          <w:color w:val="0000FF"/>
          <w:sz w:val="36"/>
          <w:szCs w:val="36"/>
          <w:u w:val="single"/>
        </w:rPr>
        <w:lastRenderedPageBreak/>
        <w:t xml:space="preserve">Plan </w:t>
      </w:r>
    </w:p>
    <w:p w14:paraId="2E9C9371" w14:textId="77777777" w:rsidR="005631A4" w:rsidRPr="00C22ABE" w:rsidRDefault="005631A4" w:rsidP="005631A4">
      <w:pPr>
        <w:pStyle w:val="Paragraphedeliste"/>
        <w:numPr>
          <w:ilvl w:val="0"/>
          <w:numId w:val="17"/>
        </w:numPr>
        <w:spacing w:after="120" w:line="240" w:lineRule="auto"/>
        <w:rPr>
          <w:rFonts w:cstheme="minorHAnsi"/>
          <w:sz w:val="24"/>
        </w:rPr>
      </w:pPr>
      <w:r w:rsidRPr="00C22ABE">
        <w:rPr>
          <w:rFonts w:cstheme="minorHAnsi"/>
          <w:sz w:val="24"/>
        </w:rPr>
        <w:t>Introduction</w:t>
      </w:r>
    </w:p>
    <w:p w14:paraId="51851FCD" w14:textId="0B79B079" w:rsidR="00894602" w:rsidRPr="00C22ABE" w:rsidRDefault="00C22ABE" w:rsidP="005631A4">
      <w:pPr>
        <w:pStyle w:val="Paragraphedeliste"/>
        <w:numPr>
          <w:ilvl w:val="0"/>
          <w:numId w:val="17"/>
        </w:numPr>
        <w:spacing w:after="120" w:line="240" w:lineRule="auto"/>
        <w:rPr>
          <w:rFonts w:cstheme="minorHAnsi"/>
          <w:sz w:val="24"/>
        </w:rPr>
      </w:pPr>
      <w:r w:rsidRPr="00C22ABE">
        <w:rPr>
          <w:rFonts w:cstheme="minorHAnsi"/>
          <w:sz w:val="24"/>
        </w:rPr>
        <w:t>R</w:t>
      </w:r>
      <w:r w:rsidR="00894602" w:rsidRPr="00C22ABE">
        <w:rPr>
          <w:rFonts w:cstheme="minorHAnsi"/>
          <w:sz w:val="24"/>
        </w:rPr>
        <w:t xml:space="preserve">adiothérapie </w:t>
      </w:r>
    </w:p>
    <w:p w14:paraId="6CD8D7CA" w14:textId="77777777" w:rsidR="005631A4" w:rsidRPr="00C22ABE" w:rsidRDefault="00894602" w:rsidP="00894602">
      <w:pPr>
        <w:pStyle w:val="Paragraphedeliste"/>
        <w:numPr>
          <w:ilvl w:val="1"/>
          <w:numId w:val="17"/>
        </w:numPr>
        <w:spacing w:after="120" w:line="240" w:lineRule="auto"/>
        <w:rPr>
          <w:rFonts w:cstheme="minorHAnsi"/>
          <w:sz w:val="24"/>
        </w:rPr>
      </w:pPr>
      <w:r w:rsidRPr="00C22ABE">
        <w:rPr>
          <w:rFonts w:cstheme="minorHAnsi"/>
          <w:sz w:val="24"/>
        </w:rPr>
        <w:t>Technique thérapeutique</w:t>
      </w:r>
    </w:p>
    <w:p w14:paraId="67B7D9D7" w14:textId="79C74617" w:rsidR="00894602" w:rsidRPr="00C22ABE" w:rsidRDefault="00894602" w:rsidP="00894602">
      <w:pPr>
        <w:pStyle w:val="Paragraphedeliste"/>
        <w:numPr>
          <w:ilvl w:val="1"/>
          <w:numId w:val="17"/>
        </w:numPr>
        <w:spacing w:after="120" w:line="240" w:lineRule="auto"/>
        <w:rPr>
          <w:rFonts w:cstheme="minorHAnsi"/>
          <w:sz w:val="24"/>
        </w:rPr>
      </w:pPr>
      <w:r w:rsidRPr="00C22ABE">
        <w:rPr>
          <w:rFonts w:cstheme="minorHAnsi"/>
          <w:sz w:val="24"/>
        </w:rPr>
        <w:t>Effets secondaires</w:t>
      </w:r>
    </w:p>
    <w:p w14:paraId="132D0B70" w14:textId="67DADF45" w:rsidR="00894602" w:rsidRPr="00C22ABE" w:rsidRDefault="00894602" w:rsidP="005631A4">
      <w:pPr>
        <w:pStyle w:val="Paragraphedeliste"/>
        <w:numPr>
          <w:ilvl w:val="0"/>
          <w:numId w:val="17"/>
        </w:numPr>
        <w:spacing w:after="120" w:line="240" w:lineRule="auto"/>
        <w:rPr>
          <w:rFonts w:cstheme="minorHAnsi"/>
          <w:sz w:val="24"/>
        </w:rPr>
      </w:pPr>
      <w:r w:rsidRPr="00C22ABE">
        <w:rPr>
          <w:rFonts w:cstheme="minorHAnsi"/>
          <w:sz w:val="24"/>
        </w:rPr>
        <w:t>F</w:t>
      </w:r>
      <w:r w:rsidR="00517DC0" w:rsidRPr="00C22ABE">
        <w:rPr>
          <w:rFonts w:cstheme="minorHAnsi"/>
          <w:sz w:val="24"/>
        </w:rPr>
        <w:t xml:space="preserve">acteurs de risque </w:t>
      </w:r>
    </w:p>
    <w:p w14:paraId="35FC3FA4" w14:textId="77777777" w:rsidR="005631A4" w:rsidRPr="00C22ABE" w:rsidRDefault="005631A4" w:rsidP="00894602">
      <w:pPr>
        <w:pStyle w:val="Paragraphedeliste"/>
        <w:numPr>
          <w:ilvl w:val="0"/>
          <w:numId w:val="17"/>
        </w:numPr>
        <w:spacing w:after="120" w:line="240" w:lineRule="auto"/>
        <w:rPr>
          <w:rFonts w:cstheme="minorHAnsi"/>
          <w:sz w:val="24"/>
        </w:rPr>
      </w:pPr>
      <w:r w:rsidRPr="00C22ABE">
        <w:rPr>
          <w:rFonts w:cstheme="minorHAnsi"/>
          <w:sz w:val="24"/>
        </w:rPr>
        <w:t>D</w:t>
      </w:r>
      <w:r w:rsidR="00517DC0" w:rsidRPr="00C22ABE">
        <w:rPr>
          <w:rFonts w:cstheme="minorHAnsi"/>
          <w:sz w:val="24"/>
        </w:rPr>
        <w:t>iagnosti</w:t>
      </w:r>
      <w:r w:rsidRPr="00C22ABE">
        <w:rPr>
          <w:rFonts w:cstheme="minorHAnsi"/>
          <w:sz w:val="24"/>
        </w:rPr>
        <w:t>c</w:t>
      </w:r>
    </w:p>
    <w:p w14:paraId="58A89167" w14:textId="206C03E1" w:rsidR="005631A4" w:rsidRPr="00C22ABE" w:rsidRDefault="00894602" w:rsidP="00894602">
      <w:pPr>
        <w:pStyle w:val="Paragraphedeliste"/>
        <w:numPr>
          <w:ilvl w:val="0"/>
          <w:numId w:val="17"/>
        </w:numPr>
        <w:spacing w:after="120" w:line="240" w:lineRule="auto"/>
        <w:rPr>
          <w:rFonts w:cstheme="minorHAnsi"/>
          <w:sz w:val="24"/>
        </w:rPr>
      </w:pPr>
      <w:r w:rsidRPr="00C22ABE">
        <w:rPr>
          <w:rFonts w:cstheme="minorHAnsi"/>
          <w:sz w:val="24"/>
        </w:rPr>
        <w:t>Classification des ORN</w:t>
      </w:r>
    </w:p>
    <w:p w14:paraId="7F0DC12C" w14:textId="4F1E468C" w:rsidR="00894602" w:rsidRPr="00C22ABE" w:rsidRDefault="00894602" w:rsidP="00894602">
      <w:pPr>
        <w:pStyle w:val="Paragraphedeliste"/>
        <w:numPr>
          <w:ilvl w:val="0"/>
          <w:numId w:val="17"/>
        </w:numPr>
        <w:spacing w:after="120" w:line="240" w:lineRule="auto"/>
        <w:rPr>
          <w:rFonts w:cstheme="minorHAnsi"/>
          <w:sz w:val="24"/>
        </w:rPr>
      </w:pPr>
      <w:r w:rsidRPr="00C22ABE">
        <w:rPr>
          <w:rFonts w:cstheme="minorHAnsi"/>
          <w:sz w:val="24"/>
        </w:rPr>
        <w:t xml:space="preserve">Physiopathologie </w:t>
      </w:r>
    </w:p>
    <w:p w14:paraId="1044E375" w14:textId="30BE0349" w:rsidR="00894602" w:rsidRPr="00C22ABE" w:rsidRDefault="00894602" w:rsidP="005D4B64">
      <w:pPr>
        <w:pStyle w:val="Paragraphedeliste"/>
        <w:numPr>
          <w:ilvl w:val="0"/>
          <w:numId w:val="17"/>
        </w:numPr>
        <w:spacing w:after="120" w:line="240" w:lineRule="auto"/>
        <w:rPr>
          <w:rFonts w:cstheme="minorHAnsi"/>
          <w:sz w:val="24"/>
        </w:rPr>
      </w:pPr>
      <w:r w:rsidRPr="00C22ABE">
        <w:rPr>
          <w:rFonts w:cstheme="minorHAnsi"/>
          <w:sz w:val="24"/>
        </w:rPr>
        <w:t>Hypothèse génétique</w:t>
      </w:r>
    </w:p>
    <w:p w14:paraId="3DD6BED2" w14:textId="54EF16DC" w:rsidR="00894602" w:rsidRPr="00C22ABE" w:rsidRDefault="00894602" w:rsidP="00C22ABE">
      <w:pPr>
        <w:pStyle w:val="Paragraphedeliste"/>
        <w:numPr>
          <w:ilvl w:val="0"/>
          <w:numId w:val="17"/>
        </w:numPr>
        <w:spacing w:after="0" w:line="240" w:lineRule="auto"/>
        <w:rPr>
          <w:rFonts w:cstheme="minorHAnsi"/>
          <w:sz w:val="24"/>
        </w:rPr>
      </w:pPr>
      <w:r w:rsidRPr="00C22ABE">
        <w:rPr>
          <w:rFonts w:cstheme="minorHAnsi"/>
          <w:sz w:val="24"/>
        </w:rPr>
        <w:t>Traitements </w:t>
      </w:r>
    </w:p>
    <w:p w14:paraId="7263446B" w14:textId="77777777" w:rsidR="00894602" w:rsidRPr="00C22ABE" w:rsidRDefault="00894602" w:rsidP="00C22ABE">
      <w:pPr>
        <w:spacing w:after="0" w:line="240" w:lineRule="auto"/>
        <w:rPr>
          <w:rFonts w:cstheme="minorHAnsi"/>
          <w:sz w:val="24"/>
        </w:rPr>
      </w:pPr>
      <w:r w:rsidRPr="00C22ABE">
        <w:rPr>
          <w:rFonts w:cstheme="minorHAnsi"/>
          <w:sz w:val="24"/>
        </w:rPr>
        <w:tab/>
        <w:t>Mesures générales</w:t>
      </w:r>
    </w:p>
    <w:p w14:paraId="3898C216" w14:textId="6AD7CFE0" w:rsidR="00894602" w:rsidRPr="00C22ABE" w:rsidRDefault="00894602" w:rsidP="00C22ABE">
      <w:pPr>
        <w:spacing w:after="0" w:line="240" w:lineRule="auto"/>
        <w:rPr>
          <w:rFonts w:cstheme="minorHAnsi"/>
          <w:sz w:val="24"/>
        </w:rPr>
      </w:pPr>
      <w:r w:rsidRPr="00C22ABE">
        <w:rPr>
          <w:rFonts w:cstheme="minorHAnsi"/>
          <w:sz w:val="24"/>
        </w:rPr>
        <w:tab/>
        <w:t>Tra</w:t>
      </w:r>
      <w:r w:rsidR="00C22ABE" w:rsidRPr="00C22ABE">
        <w:rPr>
          <w:rFonts w:cstheme="minorHAnsi"/>
          <w:sz w:val="24"/>
        </w:rPr>
        <w:t>itements conservateurs médicaux</w:t>
      </w:r>
      <w:r w:rsidR="005D4B64" w:rsidRPr="00C22ABE">
        <w:rPr>
          <w:rFonts w:cstheme="minorHAnsi"/>
          <w:sz w:val="24"/>
        </w:rPr>
        <w:t xml:space="preserve"> et </w:t>
      </w:r>
      <w:r w:rsidRPr="00C22ABE">
        <w:rPr>
          <w:rFonts w:cstheme="minorHAnsi"/>
          <w:sz w:val="24"/>
        </w:rPr>
        <w:t xml:space="preserve">chirurgicaux </w:t>
      </w:r>
    </w:p>
    <w:p w14:paraId="3B00680D" w14:textId="7E844FA1" w:rsidR="00894602" w:rsidRPr="00C22ABE" w:rsidRDefault="00894602" w:rsidP="005D4B64">
      <w:pPr>
        <w:spacing w:after="0" w:line="240" w:lineRule="auto"/>
        <w:rPr>
          <w:rFonts w:cstheme="minorHAnsi"/>
          <w:sz w:val="24"/>
        </w:rPr>
      </w:pPr>
      <w:r w:rsidRPr="00C22ABE">
        <w:rPr>
          <w:rFonts w:cstheme="minorHAnsi"/>
          <w:sz w:val="24"/>
        </w:rPr>
        <w:tab/>
        <w:t xml:space="preserve">Traitements </w:t>
      </w:r>
      <w:r w:rsidR="005631A4" w:rsidRPr="00C22ABE">
        <w:rPr>
          <w:rFonts w:cstheme="minorHAnsi"/>
          <w:sz w:val="24"/>
        </w:rPr>
        <w:t>chirurgicaux invasifs</w:t>
      </w:r>
      <w:r w:rsidRPr="00C22ABE">
        <w:rPr>
          <w:rFonts w:cstheme="minorHAnsi"/>
          <w:sz w:val="24"/>
        </w:rPr>
        <w:t xml:space="preserve"> </w:t>
      </w:r>
    </w:p>
    <w:p w14:paraId="19A47B77" w14:textId="77777777" w:rsidR="00894602" w:rsidRPr="00C22ABE" w:rsidRDefault="00894602" w:rsidP="005D4B64">
      <w:pPr>
        <w:spacing w:after="0" w:line="240" w:lineRule="auto"/>
        <w:rPr>
          <w:rFonts w:cstheme="minorHAnsi"/>
          <w:sz w:val="24"/>
        </w:rPr>
      </w:pPr>
      <w:r w:rsidRPr="00C22ABE">
        <w:rPr>
          <w:rFonts w:cstheme="minorHAnsi"/>
          <w:sz w:val="24"/>
        </w:rPr>
        <w:tab/>
        <w:t>Avenir des cellules souches</w:t>
      </w:r>
    </w:p>
    <w:p w14:paraId="5621354F" w14:textId="569A56EB" w:rsidR="00894602" w:rsidRPr="00C22ABE" w:rsidRDefault="00894602" w:rsidP="005631A4">
      <w:pPr>
        <w:pStyle w:val="Paragraphedeliste"/>
        <w:numPr>
          <w:ilvl w:val="0"/>
          <w:numId w:val="17"/>
        </w:numPr>
        <w:spacing w:after="120" w:line="240" w:lineRule="auto"/>
        <w:rPr>
          <w:rFonts w:cstheme="minorHAnsi"/>
          <w:sz w:val="24"/>
        </w:rPr>
      </w:pPr>
      <w:r w:rsidRPr="00C22ABE">
        <w:rPr>
          <w:rFonts w:cstheme="minorHAnsi"/>
          <w:sz w:val="24"/>
        </w:rPr>
        <w:t>Prévention du risque d’ORN</w:t>
      </w:r>
    </w:p>
    <w:p w14:paraId="091336CF" w14:textId="77777777" w:rsidR="005631A4" w:rsidRPr="00C22ABE" w:rsidRDefault="00894602" w:rsidP="005631A4">
      <w:pPr>
        <w:pStyle w:val="Paragraphedeliste"/>
        <w:numPr>
          <w:ilvl w:val="1"/>
          <w:numId w:val="17"/>
        </w:numPr>
        <w:spacing w:after="120" w:line="240" w:lineRule="auto"/>
        <w:rPr>
          <w:rFonts w:cstheme="minorHAnsi"/>
          <w:sz w:val="24"/>
        </w:rPr>
      </w:pPr>
      <w:r w:rsidRPr="00C22ABE">
        <w:rPr>
          <w:rFonts w:cstheme="minorHAnsi"/>
          <w:sz w:val="24"/>
        </w:rPr>
        <w:t xml:space="preserve">Avant </w:t>
      </w:r>
      <w:r w:rsidR="00517DC0" w:rsidRPr="00C22ABE">
        <w:rPr>
          <w:rFonts w:cstheme="minorHAnsi"/>
          <w:sz w:val="24"/>
        </w:rPr>
        <w:t>radiothérapie</w:t>
      </w:r>
    </w:p>
    <w:p w14:paraId="43E1B0A9" w14:textId="42E5E872" w:rsidR="00894602" w:rsidRPr="00C22ABE" w:rsidRDefault="00894602" w:rsidP="005631A4">
      <w:pPr>
        <w:pStyle w:val="Paragraphedeliste"/>
        <w:numPr>
          <w:ilvl w:val="1"/>
          <w:numId w:val="17"/>
        </w:numPr>
        <w:spacing w:after="120" w:line="240" w:lineRule="auto"/>
        <w:rPr>
          <w:rFonts w:cstheme="minorHAnsi"/>
          <w:sz w:val="24"/>
        </w:rPr>
      </w:pPr>
      <w:r w:rsidRPr="00C22ABE">
        <w:rPr>
          <w:rFonts w:cstheme="minorHAnsi"/>
          <w:sz w:val="24"/>
        </w:rPr>
        <w:t xml:space="preserve">Pendant </w:t>
      </w:r>
      <w:r w:rsidR="00517DC0" w:rsidRPr="00C22ABE">
        <w:rPr>
          <w:rFonts w:cstheme="minorHAnsi"/>
          <w:sz w:val="24"/>
        </w:rPr>
        <w:t>radiothérapie</w:t>
      </w:r>
    </w:p>
    <w:p w14:paraId="444316A4" w14:textId="7196B04A" w:rsidR="00894602" w:rsidRPr="00C22ABE" w:rsidRDefault="00894602" w:rsidP="005631A4">
      <w:pPr>
        <w:pStyle w:val="Paragraphedeliste"/>
        <w:numPr>
          <w:ilvl w:val="1"/>
          <w:numId w:val="17"/>
        </w:numPr>
        <w:spacing w:after="120" w:line="240" w:lineRule="auto"/>
        <w:rPr>
          <w:rFonts w:cstheme="minorHAnsi"/>
          <w:sz w:val="24"/>
        </w:rPr>
      </w:pPr>
      <w:r w:rsidRPr="00C22ABE">
        <w:rPr>
          <w:rFonts w:cstheme="minorHAnsi"/>
          <w:sz w:val="24"/>
        </w:rPr>
        <w:t xml:space="preserve">Après </w:t>
      </w:r>
      <w:r w:rsidR="00517DC0" w:rsidRPr="00C22ABE">
        <w:rPr>
          <w:rFonts w:cstheme="minorHAnsi"/>
          <w:sz w:val="24"/>
        </w:rPr>
        <w:t>radiothérapie</w:t>
      </w:r>
    </w:p>
    <w:p w14:paraId="5CC863D9" w14:textId="3C55F941" w:rsidR="00894602" w:rsidRPr="00C22ABE" w:rsidRDefault="00894602" w:rsidP="005631A4">
      <w:pPr>
        <w:pStyle w:val="Paragraphedeliste"/>
        <w:numPr>
          <w:ilvl w:val="0"/>
          <w:numId w:val="17"/>
        </w:numPr>
        <w:spacing w:after="120" w:line="240" w:lineRule="auto"/>
        <w:rPr>
          <w:rFonts w:cstheme="minorHAnsi"/>
          <w:sz w:val="24"/>
        </w:rPr>
      </w:pPr>
      <w:r w:rsidRPr="00C22ABE">
        <w:rPr>
          <w:rFonts w:cstheme="minorHAnsi"/>
          <w:sz w:val="24"/>
        </w:rPr>
        <w:t xml:space="preserve">Point sur les extractions </w:t>
      </w:r>
    </w:p>
    <w:p w14:paraId="0EAB669C" w14:textId="71D49B3A" w:rsidR="00894602" w:rsidRPr="00C22ABE" w:rsidRDefault="00894602" w:rsidP="005631A4">
      <w:pPr>
        <w:pStyle w:val="Paragraphedeliste"/>
        <w:numPr>
          <w:ilvl w:val="0"/>
          <w:numId w:val="17"/>
        </w:numPr>
        <w:spacing w:after="120" w:line="240" w:lineRule="auto"/>
        <w:rPr>
          <w:rFonts w:cstheme="minorHAnsi"/>
          <w:sz w:val="24"/>
        </w:rPr>
      </w:pPr>
      <w:r w:rsidRPr="00C22ABE">
        <w:rPr>
          <w:rFonts w:cstheme="minorHAnsi"/>
          <w:sz w:val="24"/>
        </w:rPr>
        <w:t>Point sur les implants</w:t>
      </w:r>
    </w:p>
    <w:p w14:paraId="0453E501" w14:textId="15CB55A6" w:rsidR="00CF30D0" w:rsidRPr="00C22ABE" w:rsidRDefault="00CF30D0" w:rsidP="005631A4">
      <w:pPr>
        <w:pStyle w:val="Paragraphedeliste"/>
        <w:numPr>
          <w:ilvl w:val="0"/>
          <w:numId w:val="17"/>
        </w:numPr>
        <w:spacing w:after="120" w:line="240" w:lineRule="auto"/>
        <w:rPr>
          <w:rFonts w:cstheme="minorHAnsi"/>
          <w:sz w:val="24"/>
        </w:rPr>
      </w:pPr>
      <w:r w:rsidRPr="00C22ABE">
        <w:rPr>
          <w:rFonts w:cstheme="minorHAnsi"/>
          <w:sz w:val="24"/>
        </w:rPr>
        <w:t xml:space="preserve">Conclusion </w:t>
      </w:r>
    </w:p>
    <w:p w14:paraId="608C1BED" w14:textId="2804C08B" w:rsidR="00894602" w:rsidRPr="00C22ABE" w:rsidRDefault="00894602" w:rsidP="005631A4">
      <w:pPr>
        <w:pStyle w:val="Paragraphedeliste"/>
        <w:numPr>
          <w:ilvl w:val="0"/>
          <w:numId w:val="17"/>
        </w:numPr>
        <w:spacing w:after="120" w:line="240" w:lineRule="auto"/>
        <w:rPr>
          <w:rFonts w:cstheme="minorHAnsi"/>
          <w:sz w:val="24"/>
        </w:rPr>
      </w:pPr>
      <w:r w:rsidRPr="00C22ABE">
        <w:rPr>
          <w:rFonts w:cstheme="minorHAnsi"/>
          <w:sz w:val="24"/>
        </w:rPr>
        <w:t>Bibliographie</w:t>
      </w:r>
    </w:p>
    <w:p w14:paraId="74B6C934" w14:textId="045463D2" w:rsidR="00517DC0" w:rsidRPr="00C22ABE" w:rsidRDefault="00517DC0">
      <w:pPr>
        <w:rPr>
          <w:rFonts w:cstheme="minorHAnsi"/>
          <w:b/>
          <w:bCs/>
          <w:color w:val="0000FF"/>
          <w:sz w:val="40"/>
          <w:szCs w:val="36"/>
          <w:u w:val="single"/>
        </w:rPr>
      </w:pPr>
    </w:p>
    <w:p w14:paraId="348628FC" w14:textId="19DF2025" w:rsidR="005631A4" w:rsidRPr="00C22ABE" w:rsidRDefault="005631A4">
      <w:pPr>
        <w:rPr>
          <w:rFonts w:cstheme="minorHAnsi"/>
          <w:b/>
          <w:bCs/>
          <w:color w:val="0000FF"/>
          <w:sz w:val="28"/>
          <w:szCs w:val="28"/>
          <w:u w:val="single"/>
        </w:rPr>
      </w:pPr>
    </w:p>
    <w:p w14:paraId="1FE0E1B1" w14:textId="113F0A43" w:rsidR="005631A4" w:rsidRPr="00C22ABE" w:rsidRDefault="005631A4">
      <w:pPr>
        <w:rPr>
          <w:rFonts w:cstheme="minorHAnsi"/>
          <w:b/>
          <w:bCs/>
          <w:color w:val="0000FF"/>
          <w:sz w:val="28"/>
          <w:szCs w:val="28"/>
          <w:u w:val="single"/>
        </w:rPr>
      </w:pPr>
    </w:p>
    <w:p w14:paraId="3A796057" w14:textId="5D71C5B1" w:rsidR="005631A4" w:rsidRPr="00C22ABE" w:rsidRDefault="005631A4">
      <w:pPr>
        <w:rPr>
          <w:rFonts w:cstheme="minorHAnsi"/>
          <w:b/>
          <w:bCs/>
          <w:color w:val="0000FF"/>
          <w:sz w:val="28"/>
          <w:szCs w:val="28"/>
          <w:u w:val="single"/>
        </w:rPr>
      </w:pPr>
    </w:p>
    <w:p w14:paraId="70B9FA34" w14:textId="29C0941A" w:rsidR="005631A4" w:rsidRPr="00C22ABE" w:rsidRDefault="005631A4">
      <w:pPr>
        <w:rPr>
          <w:rFonts w:cstheme="minorHAnsi"/>
          <w:b/>
          <w:bCs/>
          <w:color w:val="0000FF"/>
          <w:sz w:val="28"/>
          <w:szCs w:val="28"/>
          <w:u w:val="single"/>
        </w:rPr>
      </w:pPr>
    </w:p>
    <w:p w14:paraId="5BFE82FC" w14:textId="4DF3D9B5" w:rsidR="005631A4" w:rsidRPr="00C22ABE" w:rsidRDefault="005631A4">
      <w:pPr>
        <w:rPr>
          <w:rFonts w:cstheme="minorHAnsi"/>
          <w:b/>
          <w:bCs/>
          <w:color w:val="0000FF"/>
          <w:sz w:val="28"/>
          <w:szCs w:val="28"/>
          <w:u w:val="single"/>
        </w:rPr>
      </w:pPr>
    </w:p>
    <w:p w14:paraId="1EF3DEA1" w14:textId="34EFBDBD" w:rsidR="005631A4" w:rsidRPr="00C22ABE" w:rsidRDefault="005631A4">
      <w:pPr>
        <w:rPr>
          <w:rFonts w:cstheme="minorHAnsi"/>
          <w:b/>
          <w:bCs/>
          <w:color w:val="0000FF"/>
          <w:sz w:val="28"/>
          <w:szCs w:val="28"/>
          <w:u w:val="single"/>
        </w:rPr>
      </w:pPr>
    </w:p>
    <w:p w14:paraId="6C4EC503" w14:textId="210EF9EC" w:rsidR="005631A4" w:rsidRPr="00C22ABE" w:rsidRDefault="005631A4">
      <w:pPr>
        <w:rPr>
          <w:rFonts w:cstheme="minorHAnsi"/>
          <w:b/>
          <w:bCs/>
          <w:color w:val="0000FF"/>
          <w:sz w:val="28"/>
          <w:szCs w:val="28"/>
          <w:u w:val="single"/>
        </w:rPr>
      </w:pPr>
    </w:p>
    <w:p w14:paraId="5696A561" w14:textId="6C53617D" w:rsidR="005D4B64" w:rsidRPr="00C22ABE" w:rsidRDefault="005D4B64">
      <w:pPr>
        <w:rPr>
          <w:rFonts w:cstheme="minorHAnsi"/>
          <w:b/>
          <w:bCs/>
          <w:color w:val="0000FF"/>
          <w:sz w:val="28"/>
          <w:szCs w:val="28"/>
          <w:u w:val="single"/>
        </w:rPr>
      </w:pPr>
    </w:p>
    <w:p w14:paraId="55CFDDCA" w14:textId="227C5F15" w:rsidR="005D4B64" w:rsidRPr="00C22ABE" w:rsidRDefault="005D4B64">
      <w:pPr>
        <w:rPr>
          <w:rFonts w:cstheme="minorHAnsi"/>
          <w:b/>
          <w:bCs/>
          <w:color w:val="0000FF"/>
          <w:sz w:val="28"/>
          <w:szCs w:val="28"/>
          <w:u w:val="single"/>
        </w:rPr>
      </w:pPr>
    </w:p>
    <w:p w14:paraId="18587429" w14:textId="146CFFF8" w:rsidR="005D4B64" w:rsidRPr="00C22ABE" w:rsidRDefault="005D4B64">
      <w:pPr>
        <w:rPr>
          <w:rFonts w:cstheme="minorHAnsi"/>
          <w:b/>
          <w:bCs/>
          <w:color w:val="0000FF"/>
          <w:sz w:val="28"/>
          <w:szCs w:val="28"/>
          <w:u w:val="single"/>
        </w:rPr>
      </w:pPr>
    </w:p>
    <w:p w14:paraId="2AFFAEDF" w14:textId="2850DBE2" w:rsidR="005631A4" w:rsidRPr="00C22ABE" w:rsidRDefault="005631A4">
      <w:pPr>
        <w:rPr>
          <w:rFonts w:cstheme="minorHAnsi"/>
          <w:b/>
          <w:bCs/>
          <w:color w:val="0000FF"/>
          <w:sz w:val="28"/>
          <w:szCs w:val="28"/>
          <w:u w:val="single"/>
        </w:rPr>
      </w:pPr>
    </w:p>
    <w:p w14:paraId="713BC544" w14:textId="0846582D" w:rsidR="00081315" w:rsidRPr="00C22ABE" w:rsidRDefault="00F85BD7" w:rsidP="005631A4">
      <w:pPr>
        <w:pStyle w:val="Paragraphedeliste"/>
        <w:numPr>
          <w:ilvl w:val="0"/>
          <w:numId w:val="18"/>
        </w:numPr>
        <w:rPr>
          <w:rFonts w:cstheme="minorHAnsi"/>
          <w:b/>
          <w:bCs/>
          <w:color w:val="0000FF"/>
          <w:sz w:val="28"/>
          <w:szCs w:val="28"/>
          <w:u w:val="single"/>
        </w:rPr>
      </w:pPr>
      <w:r w:rsidRPr="00C22ABE">
        <w:rPr>
          <w:rFonts w:cstheme="minorHAnsi"/>
          <w:b/>
          <w:bCs/>
          <w:color w:val="0000FF"/>
          <w:sz w:val="28"/>
          <w:szCs w:val="28"/>
          <w:u w:val="single"/>
        </w:rPr>
        <w:lastRenderedPageBreak/>
        <w:t>Introduction</w:t>
      </w:r>
    </w:p>
    <w:p w14:paraId="38E020E4" w14:textId="5427AFC6" w:rsidR="00E27EC9" w:rsidRPr="000E45FF" w:rsidRDefault="00081315" w:rsidP="00541DE1">
      <w:pPr>
        <w:rPr>
          <w:rFonts w:cstheme="minorHAnsi"/>
          <w:strike/>
          <w:sz w:val="20"/>
          <w:szCs w:val="18"/>
        </w:rPr>
      </w:pPr>
      <w:r w:rsidRPr="00541DE1">
        <w:rPr>
          <w:rFonts w:cstheme="minorHAnsi"/>
          <w:sz w:val="20"/>
          <w:szCs w:val="18"/>
        </w:rPr>
        <w:t>L’</w:t>
      </w:r>
      <w:r w:rsidR="00C228EB" w:rsidRPr="00541DE1">
        <w:rPr>
          <w:rFonts w:cstheme="minorHAnsi"/>
          <w:sz w:val="20"/>
          <w:szCs w:val="18"/>
        </w:rPr>
        <w:t>ostéoradionécrose</w:t>
      </w:r>
      <w:r w:rsidR="00BA175A" w:rsidRPr="00541DE1">
        <w:rPr>
          <w:rFonts w:cstheme="minorHAnsi"/>
          <w:sz w:val="20"/>
          <w:szCs w:val="18"/>
        </w:rPr>
        <w:t xml:space="preserve"> </w:t>
      </w:r>
      <w:r w:rsidR="005C157E" w:rsidRPr="00541DE1">
        <w:rPr>
          <w:rFonts w:cstheme="minorHAnsi"/>
          <w:sz w:val="20"/>
          <w:szCs w:val="18"/>
        </w:rPr>
        <w:t>(ORN)</w:t>
      </w:r>
      <w:r w:rsidR="000E45FF" w:rsidRPr="00541DE1">
        <w:rPr>
          <w:rFonts w:cstheme="minorHAnsi"/>
          <w:sz w:val="20"/>
          <w:szCs w:val="18"/>
        </w:rPr>
        <w:t xml:space="preserve"> décrite pour la première fois en</w:t>
      </w:r>
      <w:r w:rsidR="005C157E" w:rsidRPr="00541DE1">
        <w:rPr>
          <w:rFonts w:cstheme="minorHAnsi"/>
          <w:sz w:val="20"/>
          <w:szCs w:val="18"/>
        </w:rPr>
        <w:t xml:space="preserve"> </w:t>
      </w:r>
      <w:r w:rsidR="000E45FF" w:rsidRPr="00541DE1">
        <w:rPr>
          <w:rFonts w:cstheme="minorHAnsi"/>
          <w:sz w:val="20"/>
          <w:szCs w:val="18"/>
        </w:rPr>
        <w:t xml:space="preserve">1922 </w:t>
      </w:r>
      <w:r w:rsidR="00541DE1" w:rsidRPr="00541DE1">
        <w:rPr>
          <w:rFonts w:cstheme="minorHAnsi"/>
          <w:sz w:val="20"/>
          <w:szCs w:val="18"/>
        </w:rPr>
        <w:t xml:space="preserve">par </w:t>
      </w:r>
      <w:proofErr w:type="spellStart"/>
      <w:r w:rsidR="00541DE1" w:rsidRPr="00541DE1">
        <w:rPr>
          <w:rFonts w:cstheme="minorHAnsi"/>
          <w:sz w:val="20"/>
          <w:szCs w:val="18"/>
        </w:rPr>
        <w:t>Regaud</w:t>
      </w:r>
      <w:proofErr w:type="spellEnd"/>
      <w:r w:rsidR="00541DE1" w:rsidRPr="00541DE1">
        <w:rPr>
          <w:rFonts w:cstheme="minorHAnsi"/>
          <w:sz w:val="20"/>
          <w:szCs w:val="18"/>
        </w:rPr>
        <w:t xml:space="preserve"> </w:t>
      </w:r>
      <w:r w:rsidR="000E45FF" w:rsidRPr="00541DE1">
        <w:rPr>
          <w:rFonts w:cstheme="minorHAnsi"/>
          <w:sz w:val="20"/>
          <w:szCs w:val="18"/>
        </w:rPr>
        <w:fldChar w:fldCharType="begin"/>
      </w:r>
      <w:r w:rsidR="000E45FF" w:rsidRPr="00541DE1">
        <w:rPr>
          <w:rFonts w:cstheme="minorHAnsi"/>
          <w:sz w:val="20"/>
          <w:szCs w:val="18"/>
        </w:rPr>
        <w:instrText xml:space="preserve"> ADDIN ZOTERO_ITEM CSL_CITATION {"citationID":"U5RPZDIK","properties":{"formattedCitation":"(1)","plainCitation":"(1)","noteIndex":0},"citationItems":[{"id":266,"uris":["http://zotero.org/users/local/Om3YyEnU/items/XT83KKSZ"],"uri":["http://zotero.org/users/local/Om3YyEnU/items/XT83KKSZ"],"itemData":{"id":266,"type":"article-journal","container-title":"Comp Rand Soc Biol","page":"629-932","title":"Sur la sensibilité du tissu osseux normal vis-à-vis des rayons X et gamma et sur le mécanisme de l’ostéoradionécrose","volume":"87","author":[{"family":"Regaud","given":"C"}],"issued":{"date-parts":[["1922"]]}}}],"schema":"https://github.com/citation-style-language/schema/raw/master/csl-citation.json"} </w:instrText>
      </w:r>
      <w:r w:rsidR="000E45FF" w:rsidRPr="00541DE1">
        <w:rPr>
          <w:rFonts w:cstheme="minorHAnsi"/>
          <w:sz w:val="20"/>
          <w:szCs w:val="18"/>
        </w:rPr>
        <w:fldChar w:fldCharType="separate"/>
      </w:r>
      <w:r w:rsidR="000E45FF" w:rsidRPr="00541DE1">
        <w:rPr>
          <w:rFonts w:cstheme="minorHAnsi"/>
          <w:sz w:val="20"/>
        </w:rPr>
        <w:t>(1)</w:t>
      </w:r>
      <w:r w:rsidR="000E45FF" w:rsidRPr="00541DE1">
        <w:rPr>
          <w:rFonts w:cstheme="minorHAnsi"/>
          <w:sz w:val="20"/>
          <w:szCs w:val="18"/>
        </w:rPr>
        <w:fldChar w:fldCharType="end"/>
      </w:r>
      <w:r w:rsidR="000E45FF" w:rsidRPr="00541DE1">
        <w:rPr>
          <w:rFonts w:cstheme="minorHAnsi"/>
          <w:sz w:val="20"/>
          <w:szCs w:val="18"/>
        </w:rPr>
        <w:t xml:space="preserve"> </w:t>
      </w:r>
      <w:r w:rsidR="00BA175A" w:rsidRPr="00541DE1">
        <w:rPr>
          <w:rFonts w:cstheme="minorHAnsi"/>
          <w:sz w:val="20"/>
          <w:szCs w:val="18"/>
        </w:rPr>
        <w:t>est une comp</w:t>
      </w:r>
      <w:r w:rsidR="00C660E2" w:rsidRPr="00541DE1">
        <w:rPr>
          <w:rFonts w:cstheme="minorHAnsi"/>
          <w:sz w:val="20"/>
          <w:szCs w:val="18"/>
        </w:rPr>
        <w:t>lication d’évolution irréversible</w:t>
      </w:r>
      <w:r w:rsidRPr="00541DE1">
        <w:rPr>
          <w:rFonts w:cstheme="minorHAnsi"/>
          <w:sz w:val="20"/>
          <w:szCs w:val="18"/>
        </w:rPr>
        <w:t xml:space="preserve"> </w:t>
      </w:r>
      <w:r w:rsidR="000E45FF" w:rsidRPr="00541DE1">
        <w:rPr>
          <w:rFonts w:cstheme="minorHAnsi"/>
          <w:sz w:val="20"/>
          <w:szCs w:val="18"/>
        </w:rPr>
        <w:t>de l’os irradié. Elle apparait</w:t>
      </w:r>
      <w:r w:rsidR="00BA175A" w:rsidRPr="00C22ABE">
        <w:rPr>
          <w:rFonts w:cstheme="minorHAnsi"/>
          <w:sz w:val="20"/>
          <w:szCs w:val="18"/>
        </w:rPr>
        <w:t xml:space="preserve"> quelques semaines à quelques années après l’arrêt du traitement par radiations ionisantes</w:t>
      </w:r>
      <w:r w:rsidR="00117917" w:rsidRPr="00C22ABE">
        <w:rPr>
          <w:rFonts w:cstheme="minorHAnsi"/>
          <w:sz w:val="20"/>
          <w:szCs w:val="18"/>
        </w:rPr>
        <w:t>, caractérisée par une nécrose osseuse et une incapacité de cicatrisation.</w:t>
      </w:r>
    </w:p>
    <w:p w14:paraId="49B60605" w14:textId="334732C9" w:rsidR="00281722" w:rsidRPr="00C22ABE" w:rsidRDefault="00A24FBB" w:rsidP="00281722">
      <w:pPr>
        <w:rPr>
          <w:rFonts w:cstheme="minorHAnsi"/>
          <w:sz w:val="20"/>
          <w:szCs w:val="18"/>
        </w:rPr>
      </w:pPr>
      <w:r w:rsidRPr="00C22ABE">
        <w:rPr>
          <w:rFonts w:cstheme="minorHAnsi"/>
          <w:sz w:val="20"/>
          <w:szCs w:val="18"/>
        </w:rPr>
        <w:t>Il existe de multiples définitions de l’</w:t>
      </w:r>
      <w:r w:rsidR="00E27EC9" w:rsidRPr="00C22ABE">
        <w:rPr>
          <w:rFonts w:cstheme="minorHAnsi"/>
          <w:sz w:val="20"/>
          <w:szCs w:val="18"/>
        </w:rPr>
        <w:t>ORN</w:t>
      </w:r>
      <w:r w:rsidR="0029444A" w:rsidRPr="00C22ABE">
        <w:rPr>
          <w:rFonts w:cstheme="minorHAnsi"/>
          <w:sz w:val="20"/>
          <w:szCs w:val="18"/>
        </w:rPr>
        <w:t>, mais l</w:t>
      </w:r>
      <w:r w:rsidR="007263BB" w:rsidRPr="00C22ABE">
        <w:rPr>
          <w:rFonts w:cstheme="minorHAnsi"/>
          <w:sz w:val="20"/>
          <w:szCs w:val="18"/>
        </w:rPr>
        <w:t>a définition suivante est la plus souvent utilisé</w:t>
      </w:r>
      <w:r w:rsidR="006F06A5" w:rsidRPr="00C22ABE">
        <w:rPr>
          <w:rFonts w:cstheme="minorHAnsi"/>
          <w:sz w:val="20"/>
          <w:szCs w:val="18"/>
        </w:rPr>
        <w:t>e</w:t>
      </w:r>
      <w:r w:rsidR="00C228EB" w:rsidRPr="00C22ABE">
        <w:rPr>
          <w:rFonts w:cstheme="minorHAnsi"/>
          <w:sz w:val="20"/>
          <w:szCs w:val="18"/>
        </w:rPr>
        <w:t> : il s’agit d’un os irradié et exposé</w:t>
      </w:r>
      <w:r w:rsidR="002E3149" w:rsidRPr="00C22ABE">
        <w:rPr>
          <w:rFonts w:cstheme="minorHAnsi"/>
          <w:sz w:val="20"/>
          <w:szCs w:val="18"/>
        </w:rPr>
        <w:t xml:space="preserve"> à travers la peau ou la muqueuse </w:t>
      </w:r>
      <w:r w:rsidR="00741C36" w:rsidRPr="00C22ABE">
        <w:rPr>
          <w:rFonts w:cstheme="minorHAnsi"/>
          <w:sz w:val="20"/>
          <w:szCs w:val="18"/>
        </w:rPr>
        <w:t>présentant une</w:t>
      </w:r>
      <w:r w:rsidR="002E3149" w:rsidRPr="00C22ABE">
        <w:rPr>
          <w:rFonts w:cstheme="minorHAnsi"/>
          <w:sz w:val="20"/>
          <w:szCs w:val="18"/>
        </w:rPr>
        <w:t xml:space="preserve"> absence de cicatrisation après une période de 3 mois et </w:t>
      </w:r>
      <w:r w:rsidR="00AA35A1" w:rsidRPr="00C22ABE">
        <w:rPr>
          <w:rFonts w:cstheme="minorHAnsi"/>
          <w:sz w:val="20"/>
          <w:szCs w:val="18"/>
        </w:rPr>
        <w:t xml:space="preserve">ce </w:t>
      </w:r>
      <w:r w:rsidR="002E3149" w:rsidRPr="00C22ABE">
        <w:rPr>
          <w:rFonts w:cstheme="minorHAnsi"/>
          <w:sz w:val="20"/>
          <w:szCs w:val="18"/>
        </w:rPr>
        <w:t xml:space="preserve">en l’absence de tumeur résiduelle ou de récidive </w:t>
      </w:r>
      <w:r w:rsidR="002E3149" w:rsidRPr="00C22ABE">
        <w:rPr>
          <w:rFonts w:cstheme="minorHAnsi"/>
          <w:sz w:val="20"/>
          <w:szCs w:val="18"/>
        </w:rPr>
        <w:fldChar w:fldCharType="begin"/>
      </w:r>
      <w:r w:rsidR="00281722" w:rsidRPr="00C22ABE">
        <w:rPr>
          <w:rFonts w:cstheme="minorHAnsi"/>
          <w:sz w:val="20"/>
          <w:szCs w:val="18"/>
        </w:rPr>
        <w:instrText xml:space="preserve"> ADDIN ZOTERO_ITEM CSL_CITATION {"citationID":"JPakzLZc","properties":{"formattedCitation":"(2,3)","plainCitation":"(2,3)","noteIndex":0},"citationItems":[{"id":165,"uris":["http://zotero.org/users/local/Om3YyEnU/items/E2FP89WH"],"uri":["http://zotero.org/users/local/Om3YyEnU/items/E2FP89WH"],"itemData":{"id":165,"type":"article-journal","container-title":"International Dental Journal","DOI":"10.1111/idj.12318","ISSN":"00206539","issue":"1","journalAbbreviation":"Int Dent J","language":"en","page":"22-30","source":"DOI.org (Crossref)","title":"Osteoradionecrosis of the jaws: definition, epidemiology, staging and clinical and radiological findings. A concise review","title-short":"Osteoradionecrosis of the jaws","volume":"68","author":[{"family":"Chronopoulos","given":"Aristeidis"},{"family":"Zarra","given":"Theodora"},{"family":"Ehrenfeld","given":"Michael"},{"family":"Otto","given":"Sven"}],"issued":{"date-parts":[["2018",2]]}}},{"id":167,"uris":["http://zotero.org/users/local/Om3YyEnU/items/JSKXEBGS"],"uri":["http://zotero.org/users/local/Om3YyEnU/items/JSKXEBGS"],"itemData":{"id":167,"type":"article-journal","container-title":"International Journal of Oral and Maxillofacial Surgery","DOI":"10.1016/j.ijom.2019.06.015","ISSN":"09015027","issue":"3","journalAbbreviation":"International Journal of Oral and Maxillofacial Surgery","language":"en","page":"411-419","source":"DOI.org (Crossref)","title":"Chinese expert group consensus on diagnosis and clinical management of osteoradionecrosis of the mandible","volume":"49","author":[{"family":"He","given":"Y."},{"family":"Ma","given":"C."},{"family":"Hou","given":"J."},{"family":"Li","given":"X."},{"family":"Peng","given":"X."},{"family":"Wang","given":"H."},{"family":"Wang","given":"S."},{"family":"Liu","given":"L."},{"family":"Liu","given":"B."},{"family":"Tian","given":"L."},{"family":"Liu","given":"Z."},{"family":"Liu","given":"X."},{"family":"Xu","given":"X."},{"family":"Zhang","given":"D."},{"family":"Jiang","given":"C."},{"family":"Wang","given":"J."},{"family":"Yao","given":"Y."},{"family":"Zhu","given":"G."},{"family":"Bai","given":"Y."},{"family":"Wang","given":"S."},{"family":"Sun","given":"C."},{"family":"Li","given":"J."},{"family":"He","given":"S."},{"family":"Wang","given":"C."},{"family":"Zhang","given":"Z."},{"family":"Qiu","given":"W."}],"issued":{"date-parts":[["2020",3]]}}}],"schema":"https://github.com/citation-style-language/schema/raw/master/csl-citation.json"} </w:instrText>
      </w:r>
      <w:r w:rsidR="002E3149" w:rsidRPr="00C22ABE">
        <w:rPr>
          <w:rFonts w:cstheme="minorHAnsi"/>
          <w:sz w:val="20"/>
          <w:szCs w:val="18"/>
        </w:rPr>
        <w:fldChar w:fldCharType="separate"/>
      </w:r>
      <w:r w:rsidR="00281722" w:rsidRPr="00C22ABE">
        <w:rPr>
          <w:rFonts w:cstheme="minorHAnsi"/>
          <w:sz w:val="20"/>
        </w:rPr>
        <w:t>(2,3)</w:t>
      </w:r>
      <w:r w:rsidR="002E3149" w:rsidRPr="00C22ABE">
        <w:rPr>
          <w:rFonts w:cstheme="minorHAnsi"/>
          <w:sz w:val="20"/>
          <w:szCs w:val="18"/>
        </w:rPr>
        <w:fldChar w:fldCharType="end"/>
      </w:r>
      <w:r w:rsidR="002E3149" w:rsidRPr="00C22ABE">
        <w:rPr>
          <w:rFonts w:cstheme="minorHAnsi"/>
          <w:sz w:val="20"/>
          <w:szCs w:val="18"/>
        </w:rPr>
        <w:t xml:space="preserve">. </w:t>
      </w:r>
      <w:r w:rsidR="00741C36" w:rsidRPr="00C22ABE">
        <w:rPr>
          <w:rFonts w:cstheme="minorHAnsi"/>
          <w:sz w:val="20"/>
          <w:szCs w:val="18"/>
        </w:rPr>
        <w:t>Le temps d’exposition osseuse varie</w:t>
      </w:r>
      <w:r w:rsidR="002E3149" w:rsidRPr="00C22ABE">
        <w:rPr>
          <w:rFonts w:cstheme="minorHAnsi"/>
          <w:sz w:val="20"/>
          <w:szCs w:val="18"/>
        </w:rPr>
        <w:t xml:space="preserve"> de 1</w:t>
      </w:r>
      <w:r w:rsidR="0029444A" w:rsidRPr="00C22ABE">
        <w:rPr>
          <w:rFonts w:cstheme="minorHAnsi"/>
          <w:sz w:val="20"/>
          <w:szCs w:val="18"/>
        </w:rPr>
        <w:t xml:space="preserve"> mois</w:t>
      </w:r>
      <w:r w:rsidR="002E3149" w:rsidRPr="00C22ABE">
        <w:rPr>
          <w:rFonts w:cstheme="minorHAnsi"/>
          <w:sz w:val="20"/>
          <w:szCs w:val="18"/>
        </w:rPr>
        <w:t xml:space="preserve"> à 6 mois dans la littérature </w:t>
      </w:r>
      <w:r w:rsidR="002E3149" w:rsidRPr="00C22ABE">
        <w:rPr>
          <w:rFonts w:cstheme="minorHAnsi"/>
          <w:sz w:val="20"/>
          <w:szCs w:val="18"/>
        </w:rPr>
        <w:fldChar w:fldCharType="begin"/>
      </w:r>
      <w:r w:rsidR="00281722" w:rsidRPr="00C22ABE">
        <w:rPr>
          <w:rFonts w:cstheme="minorHAnsi"/>
          <w:sz w:val="20"/>
          <w:szCs w:val="18"/>
        </w:rPr>
        <w:instrText xml:space="preserve"> ADDIN ZOTERO_ITEM CSL_CITATION {"citationID":"vjaTEqXa","properties":{"formattedCitation":"(4)","plainCitation":"(4)","noteIndex":0},"citationItems":[{"id":166,"uris":["http://zotero.org/users/local/Om3YyEnU/items/X4JN8KCA"],"uri":["http://zotero.org/users/local/Om3YyEnU/items/X4JN8KCA"],"itemData":{"id":166,"type":"article-journal","container-title":"Oral Diseases","DOI":"10.1111/odi.13485","ISSN":"1354-523X, 1601-0825","journalAbbreviation":"Oral Dis","language":"en","page":"odi.13485","source":"DOI.org (Crossref)","title":"Tooth extraction before radiotherapy is a risk factor for developing osteoradionecrosis of the jaws: A systematic review","title-short":"Tooth extraction before radiotherapy is a risk factor for developing osteoradionecrosis of the jaws","author":[{"family":"Lajolo","given":"Carlo"},{"family":"Gioco","given":"Gioele"},{"family":"Rupe","given":"Cosimo"},{"family":"Troiano","given":"Giuseppe"},{"family":"Cordaro","given":"Massimo"},{"family":"Lucchese","given":"Alberta"},{"family":"Paludetti","given":"Gaetano"},{"family":"Giuliani","given":"Michele"}],"issued":{"date-parts":[["2020",7,7]]}}}],"schema":"https://github.com/citation-style-language/schema/raw/master/csl-citation.json"} </w:instrText>
      </w:r>
      <w:r w:rsidR="002E3149" w:rsidRPr="00C22ABE">
        <w:rPr>
          <w:rFonts w:cstheme="minorHAnsi"/>
          <w:sz w:val="20"/>
          <w:szCs w:val="18"/>
        </w:rPr>
        <w:fldChar w:fldCharType="separate"/>
      </w:r>
      <w:r w:rsidR="00281722" w:rsidRPr="00C22ABE">
        <w:rPr>
          <w:rFonts w:cstheme="minorHAnsi"/>
          <w:sz w:val="20"/>
        </w:rPr>
        <w:t>(4)</w:t>
      </w:r>
      <w:r w:rsidR="002E3149" w:rsidRPr="00C22ABE">
        <w:rPr>
          <w:rFonts w:cstheme="minorHAnsi"/>
          <w:sz w:val="20"/>
          <w:szCs w:val="18"/>
        </w:rPr>
        <w:fldChar w:fldCharType="end"/>
      </w:r>
      <w:r w:rsidR="002E3149" w:rsidRPr="00C22ABE">
        <w:rPr>
          <w:rFonts w:cstheme="minorHAnsi"/>
          <w:sz w:val="20"/>
          <w:szCs w:val="18"/>
        </w:rPr>
        <w:t xml:space="preserve">. Si </w:t>
      </w:r>
      <w:r w:rsidR="00741C36" w:rsidRPr="00C22ABE">
        <w:rPr>
          <w:rFonts w:cstheme="minorHAnsi"/>
          <w:sz w:val="20"/>
          <w:szCs w:val="18"/>
        </w:rPr>
        <w:t>la</w:t>
      </w:r>
      <w:r w:rsidR="002E3149" w:rsidRPr="00C22ABE">
        <w:rPr>
          <w:rFonts w:cstheme="minorHAnsi"/>
          <w:sz w:val="20"/>
          <w:szCs w:val="18"/>
        </w:rPr>
        <w:t xml:space="preserve"> durée </w:t>
      </w:r>
      <w:r w:rsidR="005C157E" w:rsidRPr="00C22ABE">
        <w:rPr>
          <w:rFonts w:cstheme="minorHAnsi"/>
          <w:sz w:val="20"/>
          <w:szCs w:val="18"/>
        </w:rPr>
        <w:t xml:space="preserve">d’exposition </w:t>
      </w:r>
      <w:r w:rsidR="002E3149" w:rsidRPr="00C22ABE">
        <w:rPr>
          <w:rFonts w:cstheme="minorHAnsi"/>
          <w:sz w:val="20"/>
          <w:szCs w:val="18"/>
        </w:rPr>
        <w:t xml:space="preserve">est trop courte, le diagnostic </w:t>
      </w:r>
      <w:r w:rsidR="00E27EC9" w:rsidRPr="00C22ABE">
        <w:rPr>
          <w:rFonts w:cstheme="minorHAnsi"/>
          <w:sz w:val="20"/>
          <w:szCs w:val="18"/>
        </w:rPr>
        <w:t>différentiel</w:t>
      </w:r>
      <w:r w:rsidR="002E3149" w:rsidRPr="00C22ABE">
        <w:rPr>
          <w:rFonts w:cstheme="minorHAnsi"/>
          <w:sz w:val="20"/>
          <w:szCs w:val="18"/>
        </w:rPr>
        <w:t xml:space="preserve"> </w:t>
      </w:r>
      <w:r w:rsidR="00E27EC9" w:rsidRPr="00C22ABE">
        <w:rPr>
          <w:rFonts w:cstheme="minorHAnsi"/>
          <w:sz w:val="20"/>
          <w:szCs w:val="18"/>
        </w:rPr>
        <w:t xml:space="preserve">doit être fait </w:t>
      </w:r>
      <w:r w:rsidR="00741C36" w:rsidRPr="00C22ABE">
        <w:rPr>
          <w:rFonts w:cstheme="minorHAnsi"/>
          <w:sz w:val="20"/>
          <w:szCs w:val="18"/>
        </w:rPr>
        <w:t xml:space="preserve">avec une simple ulcération muqueuse traumatique ou encore un </w:t>
      </w:r>
      <w:r w:rsidR="002E3149" w:rsidRPr="00C22ABE">
        <w:rPr>
          <w:rFonts w:cstheme="minorHAnsi"/>
          <w:sz w:val="20"/>
          <w:szCs w:val="18"/>
        </w:rPr>
        <w:t xml:space="preserve">retard de cicatrisation </w:t>
      </w:r>
      <w:r w:rsidR="00741C36" w:rsidRPr="00C22ABE">
        <w:rPr>
          <w:rFonts w:cstheme="minorHAnsi"/>
          <w:sz w:val="20"/>
          <w:szCs w:val="18"/>
        </w:rPr>
        <w:t xml:space="preserve">d’un site d’extraction dentaire </w:t>
      </w:r>
      <w:r w:rsidR="00AA35A1" w:rsidRPr="00C22ABE">
        <w:rPr>
          <w:rFonts w:cstheme="minorHAnsi"/>
          <w:sz w:val="20"/>
          <w:szCs w:val="18"/>
        </w:rPr>
        <w:t xml:space="preserve">avec présence de petites esquilles osseuses </w:t>
      </w:r>
      <w:r w:rsidR="002E3149" w:rsidRPr="00C22ABE">
        <w:rPr>
          <w:rFonts w:cstheme="minorHAnsi"/>
          <w:sz w:val="20"/>
          <w:szCs w:val="18"/>
        </w:rPr>
        <w:t>ou MBS (Minor Bone Spicules)</w:t>
      </w:r>
      <w:r w:rsidR="00F85BD7" w:rsidRPr="00C22ABE">
        <w:rPr>
          <w:rFonts w:cstheme="minorHAnsi"/>
          <w:sz w:val="20"/>
          <w:szCs w:val="18"/>
        </w:rPr>
        <w:t xml:space="preserve">. </w:t>
      </w:r>
      <w:r w:rsidR="00281722" w:rsidRPr="00C22ABE">
        <w:rPr>
          <w:rFonts w:cstheme="minorHAnsi"/>
          <w:sz w:val="20"/>
          <w:szCs w:val="18"/>
        </w:rPr>
        <w:t>C</w:t>
      </w:r>
      <w:r w:rsidR="00867143" w:rsidRPr="00C22ABE">
        <w:rPr>
          <w:rFonts w:cstheme="minorHAnsi"/>
          <w:sz w:val="20"/>
          <w:szCs w:val="18"/>
        </w:rPr>
        <w:t xml:space="preserve">es MBS sont des </w:t>
      </w:r>
      <w:r w:rsidR="000466C9" w:rsidRPr="00C22ABE">
        <w:rPr>
          <w:rFonts w:cstheme="minorHAnsi"/>
          <w:sz w:val="20"/>
          <w:szCs w:val="18"/>
        </w:rPr>
        <w:t>esquill</w:t>
      </w:r>
      <w:r w:rsidR="00867143" w:rsidRPr="00C22ABE">
        <w:rPr>
          <w:rFonts w:cstheme="minorHAnsi"/>
          <w:sz w:val="20"/>
          <w:szCs w:val="18"/>
        </w:rPr>
        <w:t xml:space="preserve">es osseuses de moins de 20 mm2 s’exprimant à travers la muqueuse en l’absence d’anomalies radiologiques </w:t>
      </w:r>
      <w:r w:rsidR="00867143" w:rsidRPr="00C22ABE">
        <w:rPr>
          <w:rFonts w:cstheme="minorHAnsi"/>
          <w:sz w:val="20"/>
          <w:szCs w:val="18"/>
        </w:rPr>
        <w:fldChar w:fldCharType="begin"/>
      </w:r>
      <w:r w:rsidR="00281722" w:rsidRPr="00C22ABE">
        <w:rPr>
          <w:rFonts w:cstheme="minorHAnsi"/>
          <w:sz w:val="20"/>
          <w:szCs w:val="18"/>
        </w:rPr>
        <w:instrText xml:space="preserve"> ADDIN ZOTERO_ITEM CSL_CITATION {"citationID":"EsrViUpr","properties":{"formattedCitation":"(5)","plainCitation":"(5)","noteIndex":0},"citationItems":[{"id":168,"uris":["http://zotero.org/users/local/Om3YyEnU/items/8PRNQP8R"],"uri":["http://zotero.org/users/local/Om3YyEnU/items/8PRNQP8R"],"itemData":{"id":168,"type":"article-journal","container-title":"Oral Oncology","DOI":"10.1016/j.oraloncology.2016.12.002","ISSN":"13688375","journalAbbreviation":"Oral Oncology","language":"en","page":"73-77","source":"DOI.org (Crossref)","title":"Refining the definition of mandibular osteoradionecrosis in clinical trials: The cancer research UK HOPON trial (Hyperbaric Oxygen for the Prevention of Osteoradionecrosis)","title-short":"Refining the definition of mandibular osteoradionecrosis in clinical trials","volume":"64","author":[{"family":"Shaw","given":"Richard"},{"family":"Tesfaye","given":"Binyam"},{"family":"Bickerstaff","given":"Matt"},{"family":"Silcocks","given":"Paul"},{"family":"Butterworth","given":"Christopher"}],"issued":{"date-parts":[["2017",1]]}}}],"schema":"https://github.com/citation-style-language/schema/raw/master/csl-citation.json"} </w:instrText>
      </w:r>
      <w:r w:rsidR="00867143" w:rsidRPr="00C22ABE">
        <w:rPr>
          <w:rFonts w:cstheme="minorHAnsi"/>
          <w:sz w:val="20"/>
          <w:szCs w:val="18"/>
        </w:rPr>
        <w:fldChar w:fldCharType="separate"/>
      </w:r>
      <w:r w:rsidR="00281722" w:rsidRPr="00C22ABE">
        <w:rPr>
          <w:rFonts w:cstheme="minorHAnsi"/>
          <w:sz w:val="20"/>
        </w:rPr>
        <w:t>(5)</w:t>
      </w:r>
      <w:r w:rsidR="00867143" w:rsidRPr="00C22ABE">
        <w:rPr>
          <w:rFonts w:cstheme="minorHAnsi"/>
          <w:sz w:val="20"/>
          <w:szCs w:val="18"/>
        </w:rPr>
        <w:fldChar w:fldCharType="end"/>
      </w:r>
      <w:r w:rsidR="000A3B69" w:rsidRPr="00C22ABE">
        <w:rPr>
          <w:rFonts w:cstheme="minorHAnsi"/>
          <w:sz w:val="20"/>
          <w:szCs w:val="18"/>
        </w:rPr>
        <w:t>. Au-delà de 20 mm2</w:t>
      </w:r>
      <w:r w:rsidR="00EC4F14" w:rsidRPr="00C22ABE">
        <w:rPr>
          <w:rFonts w:cstheme="minorHAnsi"/>
          <w:sz w:val="20"/>
          <w:szCs w:val="18"/>
        </w:rPr>
        <w:t xml:space="preserve"> d’exposition osseuse, on parle</w:t>
      </w:r>
      <w:r w:rsidR="00AA35A1" w:rsidRPr="00C22ABE">
        <w:rPr>
          <w:rFonts w:cstheme="minorHAnsi"/>
          <w:sz w:val="20"/>
          <w:szCs w:val="18"/>
        </w:rPr>
        <w:t>ra</w:t>
      </w:r>
      <w:r w:rsidR="000A3B69" w:rsidRPr="00C22ABE">
        <w:rPr>
          <w:rFonts w:cstheme="minorHAnsi"/>
          <w:sz w:val="20"/>
          <w:szCs w:val="18"/>
        </w:rPr>
        <w:t xml:space="preserve"> d’ORN</w:t>
      </w:r>
      <w:r w:rsidR="00007B9A" w:rsidRPr="00C22ABE">
        <w:rPr>
          <w:rFonts w:cstheme="minorHAnsi"/>
          <w:sz w:val="20"/>
          <w:szCs w:val="18"/>
        </w:rPr>
        <w:t>.</w:t>
      </w:r>
      <w:r w:rsidR="00281722" w:rsidRPr="00C22ABE">
        <w:rPr>
          <w:rFonts w:cstheme="minorHAnsi"/>
          <w:sz w:val="20"/>
          <w:szCs w:val="18"/>
        </w:rPr>
        <w:t xml:space="preserve"> Si une attente de 6 mois est nécessaire au diagnostic, on s’expose à un retard de la prise en charge de l’ORN.</w:t>
      </w:r>
    </w:p>
    <w:p w14:paraId="47D3FC35" w14:textId="26B869D5" w:rsidR="00007B9A" w:rsidRPr="00C22ABE" w:rsidRDefault="00007B9A" w:rsidP="00081315">
      <w:pPr>
        <w:rPr>
          <w:rFonts w:cstheme="minorHAnsi"/>
          <w:sz w:val="20"/>
          <w:szCs w:val="18"/>
        </w:rPr>
      </w:pPr>
      <w:r w:rsidRPr="00C22ABE">
        <w:rPr>
          <w:rFonts w:cstheme="minorHAnsi"/>
          <w:sz w:val="20"/>
          <w:szCs w:val="18"/>
        </w:rPr>
        <w:t xml:space="preserve">L’ORN atteint plus d’hommes que de femmes. La moyenne d’âge est de 50 ans </w:t>
      </w:r>
      <w:r w:rsidR="0029444A" w:rsidRPr="00C22ABE">
        <w:rPr>
          <w:rFonts w:cstheme="minorHAnsi"/>
          <w:sz w:val="20"/>
          <w:szCs w:val="18"/>
        </w:rPr>
        <w:fldChar w:fldCharType="begin"/>
      </w:r>
      <w:r w:rsidR="00281722" w:rsidRPr="00C22ABE">
        <w:rPr>
          <w:rFonts w:cstheme="minorHAnsi"/>
          <w:sz w:val="20"/>
          <w:szCs w:val="18"/>
        </w:rPr>
        <w:instrText xml:space="preserve"> ADDIN ZOTERO_ITEM CSL_CITATION {"citationID":"0P9dqanc","properties":{"formattedCitation":"(2)","plainCitation":"(2)","noteIndex":0},"citationItems":[{"id":165,"uris":["http://zotero.org/users/local/Om3YyEnU/items/E2FP89WH"],"uri":["http://zotero.org/users/local/Om3YyEnU/items/E2FP89WH"],"itemData":{"id":165,"type":"article-journal","container-title":"International Dental Journal","DOI":"10.1111/idj.12318","ISSN":"00206539","issue":"1","journalAbbreviation":"Int Dent J","language":"en","page":"22-30","source":"DOI.org (Crossref)","title":"Osteoradionecrosis of the jaws: definition, epidemiology, staging and clinical and radiological findings. A concise review","title-short":"Osteoradionecrosis of the jaws","volume":"68","author":[{"family":"Chronopoulos","given":"Aristeidis"},{"family":"Zarra","given":"Theodora"},{"family":"Ehrenfeld","given":"Michael"},{"family":"Otto","given":"Sven"}],"issued":{"date-parts":[["2018",2]]}}}],"schema":"https://github.com/citation-style-language/schema/raw/master/csl-citation.json"} </w:instrText>
      </w:r>
      <w:r w:rsidR="0029444A" w:rsidRPr="00C22ABE">
        <w:rPr>
          <w:rFonts w:cstheme="minorHAnsi"/>
          <w:sz w:val="20"/>
          <w:szCs w:val="18"/>
        </w:rPr>
        <w:fldChar w:fldCharType="separate"/>
      </w:r>
      <w:r w:rsidR="00281722" w:rsidRPr="00C22ABE">
        <w:rPr>
          <w:rFonts w:cstheme="minorHAnsi"/>
          <w:sz w:val="20"/>
        </w:rPr>
        <w:t>(2)</w:t>
      </w:r>
      <w:r w:rsidR="0029444A" w:rsidRPr="00C22ABE">
        <w:rPr>
          <w:rFonts w:cstheme="minorHAnsi"/>
          <w:sz w:val="20"/>
          <w:szCs w:val="18"/>
        </w:rPr>
        <w:fldChar w:fldCharType="end"/>
      </w:r>
      <w:r w:rsidR="00AA35A1" w:rsidRPr="00C22ABE">
        <w:rPr>
          <w:rFonts w:cstheme="minorHAnsi"/>
          <w:sz w:val="20"/>
          <w:szCs w:val="18"/>
        </w:rPr>
        <w:t xml:space="preserve"> </w:t>
      </w:r>
      <w:r w:rsidR="001042BE" w:rsidRPr="00C22ABE">
        <w:rPr>
          <w:rFonts w:cstheme="minorHAnsi"/>
          <w:sz w:val="20"/>
          <w:szCs w:val="18"/>
        </w:rPr>
        <w:t xml:space="preserve">et </w:t>
      </w:r>
      <w:r w:rsidR="00AA35A1" w:rsidRPr="00C22ABE">
        <w:rPr>
          <w:rFonts w:cstheme="minorHAnsi"/>
          <w:sz w:val="20"/>
          <w:szCs w:val="18"/>
        </w:rPr>
        <w:t>est le reflet de la population oncologique des cancers des voies aérodigestives supérieures.</w:t>
      </w:r>
    </w:p>
    <w:p w14:paraId="69339D47" w14:textId="44D55A60" w:rsidR="00E27EC9" w:rsidRPr="00C22ABE" w:rsidRDefault="00867143" w:rsidP="002E3149">
      <w:pPr>
        <w:tabs>
          <w:tab w:val="left" w:pos="7110"/>
        </w:tabs>
        <w:rPr>
          <w:rFonts w:cstheme="minorHAnsi"/>
          <w:sz w:val="20"/>
          <w:szCs w:val="18"/>
        </w:rPr>
      </w:pPr>
      <w:r w:rsidRPr="00C22ABE">
        <w:rPr>
          <w:rFonts w:cstheme="minorHAnsi"/>
          <w:sz w:val="20"/>
          <w:szCs w:val="18"/>
        </w:rPr>
        <w:t>L’atteinte est essentiellement mandibulaire et survient dans 70%</w:t>
      </w:r>
      <w:r w:rsidR="00FF4BC1" w:rsidRPr="00C22ABE">
        <w:rPr>
          <w:rFonts w:cstheme="minorHAnsi"/>
          <w:sz w:val="20"/>
          <w:szCs w:val="18"/>
        </w:rPr>
        <w:t xml:space="preserve"> à 94% </w:t>
      </w:r>
      <w:r w:rsidRPr="00C22ABE">
        <w:rPr>
          <w:rFonts w:cstheme="minorHAnsi"/>
          <w:sz w:val="20"/>
          <w:szCs w:val="18"/>
        </w:rPr>
        <w:t xml:space="preserve"> des cas durant les 3 années </w:t>
      </w:r>
      <w:r w:rsidRPr="00541DE1">
        <w:rPr>
          <w:rFonts w:cstheme="minorHAnsi"/>
          <w:sz w:val="20"/>
          <w:szCs w:val="18"/>
        </w:rPr>
        <w:t>suivant la fin du traitement</w:t>
      </w:r>
      <w:r w:rsidR="00741C36" w:rsidRPr="00541DE1">
        <w:rPr>
          <w:rFonts w:cstheme="minorHAnsi"/>
          <w:sz w:val="20"/>
          <w:szCs w:val="18"/>
        </w:rPr>
        <w:t>, avec un pic entre 6 et 24 mois</w:t>
      </w:r>
      <w:r w:rsidRPr="00541DE1">
        <w:rPr>
          <w:rFonts w:cstheme="minorHAnsi"/>
          <w:sz w:val="20"/>
          <w:szCs w:val="18"/>
        </w:rPr>
        <w:t xml:space="preserve"> </w:t>
      </w:r>
      <w:r w:rsidRPr="00541DE1">
        <w:rPr>
          <w:rFonts w:cstheme="minorHAnsi"/>
          <w:sz w:val="20"/>
          <w:szCs w:val="18"/>
        </w:rPr>
        <w:fldChar w:fldCharType="begin"/>
      </w:r>
      <w:r w:rsidR="00177394" w:rsidRPr="00541DE1">
        <w:rPr>
          <w:rFonts w:cstheme="minorHAnsi"/>
          <w:sz w:val="20"/>
          <w:szCs w:val="18"/>
        </w:rPr>
        <w:instrText xml:space="preserve"> ADDIN ZOTERO_ITEM CSL_CITATION {"citationID":"u6S1VjP8","properties":{"formattedCitation":"(6\\uc0\\u8211{}9)","plainCitation":"(6–9)","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W."}],"issued":{"date-parts":[["2016",11]]}}},{"id":280,"uris":["http://zotero.org/users/local/Om3YyEnU/items/EDSLGKCZ"],"uri":["http://zotero.org/users/local/Om3YyEnU/items/EDSLGKCZ"],"itemData":{"id":280,"type":"article-journal","abstract":"BACKGROUND: The purpose of this study was to investigate the risk factors, especially the use of certain drugs and the dental procedures, for osteoradionecrosis of the jaw (ORNJ) in patients with head and neck cancer undergoing irradiation as their primary treatment.\nMETHODS: The cohort was composed of 23,527 patients with head and neck cancer. Cox proportional hazard models were used for risk factors analysis.\nRESULTS: The overall incidence of ORNJ is 3.93 per 100 person-years. Buccal cancer carried the highest ORNJ risk. The use of steroids had a protective effect. Preradiotherapy extraction posed no excess risk, whereas postradiotherapy extraction was associated with gradually increased risk of ORNJ over time that peaked at 4 to 5 years.\nCONCLUSION: ORNJ warrants life-long attention for head and neck cancer survivors. The present study strongly confirms the role of preirradiation dental extractions. Meanwhile, efforts should be made to prevent posttreatment extractions, especially in the first posttreatment 4 years. © 2017 Wiley Periodicals, Inc. Head Neck 39: 1313-1321, 2017.","container-title":"Head &amp; Neck","DOI":"10.1002/hed.24761","ISSN":"1097-0347","issue":"7","journalAbbreviation":"Head Neck","language":"eng","note":"PMID: 28370713","page":"1313-1321","source":"PubMed","title":"Risk factors for and the role of dental extractions in osteoradionecrosis of the jaws: A national-based cohort study","title-short":"Risk factors for and the role of dental extractions in osteoradionecrosis of the jaws","volume":"39","author":[{"family":"Wang","given":"Ti-Hao"},{"family":"Liu","given":"Chia-Jen"},{"family":"Chao","given":"Tze-Fan"},{"family":"Chen","given":"Tzeng-Ji"},{"family":"Hu","given":"Yu-Wen"}],"issued":{"date-parts":[["2017",7]]}}},{"id":282,"uris":["http://zotero.org/users/local/Om3YyEnU/items/IUQDP2RY"],"uri":["http://zotero.org/users/local/Om3YyEnU/items/IUQDP2RY"],"itemData":{"id":282,"type":"article-journal","abstract":"PURPOSE: To review the conservative and surgical management options of osteoradionecrosis, in particular, highlighting the recent the use of anti-radiation fibrosis drugs (pentoxifylline, tocopherol and clodronate).\nMATERIAL AND METHODS: We performed a literature review. The management options were divided into two groups, conservative and surgical management.\nRESULTS: Over the years several treatment options have been proposed including; conservative management (antibiotics, analgesics, oral hygiene), ultrasound therapy, hyperbaric oxygen therapy, surgical resection with reconstruction and more recently the use of anti-radiation fibrosis drugs (pentoxifylline, tocopherol and clodronate). Early or low grade ORN can be managed conservatively using a combination of treatment options. In advanced or refractory cases of ORN (pathological fracture, orocutaneous fistula) surgical treatment, at present, remains the only treatment option available. A new understanding of the pathophysiology of ORN (radiation induced fibroatrophic process) has lead to the development of new therapeutic management regimes.\nCONCLUSION: In advanced or refractory cases of ORN surgical treatment, including microvascular reconstructive techniques for bone and soft tissue, remains the only option available.","container-title":"The Surgeon: Journal of the Royal Colleges of Surgeons of Edinburgh and Ireland","DOI":"10.1016/j.surge.2014.07.003","ISSN":"1479-666X","issue":"2","journalAbbreviation":"Surgeon","language":"eng","note":"PMID: 25084627","page":"101-109","source":"PubMed","title":"The management of osteoradionecrosis of the jaws--a review","volume":"13","author":[{"family":"Rice","given":"Niamh"},{"family":"Polyzois","given":"Ioannis"},{"family":"Ekanayake","given":"Kumara"},{"family":"Omer","given":"Osama"},{"family":"Stassen","given":"Leo F. A."}],"issued":{"date-parts":[["2015",4]]}}},{"id":304,"uris":["http://zotero.org/users/local/Om3YyEnU/items/JIX8XLW2"],"uri":["http://zotero.org/users/local/Om3YyEnU/items/JIX8XLW2"],"itemData":{"id":304,"type":"article-journal","abstract":"The mandible is among the bones most frequently affected by irradiation. The most severe post-radiation injury of the mandible is osteoradionecrosis (ORN). Conflicting data have been reported on the incidence of this complication, its aetiology and management. The incidence of mandibular ORN in head and neck cancer patients managed with radical or postoperative irradiation, has varied widely in the literature from 0.4% to 56%. The interpretation of data derived from particular series are difficult due to the different scoring methods and classification systems used for the evaluation of post-radiation bone damage. Although ORN occurs typically in the first three years after radiotherapy, patients probably remain at indefinite risk. The diagnosis of ORN is principally based on the clinical picture of chronically exposed bone. Radiological symptoms include decreased bone density with fractures, cortical destruction and loss of spongiosa trabeculation. Numerous factors that may be associated with the risk of ORN include treatment-related variables (for example, total radiotherapy dose, biologically effective dose, photon energy, brachytherapy dose rate, combination of external beam irradiation and interstitial brachytherapy, field size, fraction size, volume of the mandible irradiated with a high dose), patient-related variables (like deep parodontitis, pre-irradiation bone surgery, bad oral hygiene, alcohol and tobacco abuse, bone inflammation, dental extraction after radiotherapy) and tumour-related factors (tumour size or stage, proximity of the tumour to bone, anatomic tumour site). Primary management of post-radiation bone lesions include conservative modalities such as saline irrigations, antibiotics during infectious episodes, topically applied antiseptics, gentle sequestrectomy and removal of visibly loosened bone elements as well as treatment with hyperbaric oxygen (HBO). Surgery is reserved for persistent ORN and includes radical resection of the lesion(sequestrectomy, hemimandibulectomy etc.) with reconstruction. In recent years the introduction of preventive oral hygiene measures and meticulous dental evaluations before and after irradiation, improvement in radiotherapy techniques and the development of reliable diagnostic and therapeutic procedures have resulted in a decreased incidence of ORN. Nevertheless, given the severe impact of ORN on patient quality of life, research should be continued to further ameliorate this problem.","container-title":"Cancer Treatment Reviews","DOI":"10.1053/ctrv.2002.0254","ISSN":"0305-7372","issue":"1","journalAbbreviation":"Cancer Treat Rev","language":"eng","note":"PMID: 12027415","page":"65-74","source":"PubMed","title":"Radiotherapy-induced mandibular bone complications","volume":"28","author":[{"family":"Jereczek-Fossa","given":"Barbara A."},{"family":"Orecchia","given":"Roberto"}],"issued":{"date-parts":[["2002",2]]}}}],"schema":"https://github.com/citation-style-language/schema/raw/master/csl-citation.json"} </w:instrText>
      </w:r>
      <w:r w:rsidRPr="00541DE1">
        <w:rPr>
          <w:rFonts w:cstheme="minorHAnsi"/>
          <w:sz w:val="20"/>
          <w:szCs w:val="18"/>
        </w:rPr>
        <w:fldChar w:fldCharType="separate"/>
      </w:r>
      <w:r w:rsidR="00177394" w:rsidRPr="00541DE1">
        <w:rPr>
          <w:rFonts w:cstheme="minorHAnsi"/>
          <w:sz w:val="20"/>
          <w:szCs w:val="24"/>
        </w:rPr>
        <w:t>(6–9)</w:t>
      </w:r>
      <w:r w:rsidRPr="00541DE1">
        <w:rPr>
          <w:rFonts w:cstheme="minorHAnsi"/>
          <w:sz w:val="20"/>
          <w:szCs w:val="18"/>
        </w:rPr>
        <w:fldChar w:fldCharType="end"/>
      </w:r>
      <w:r w:rsidRPr="00541DE1">
        <w:rPr>
          <w:rFonts w:cstheme="minorHAnsi"/>
          <w:sz w:val="20"/>
          <w:szCs w:val="18"/>
        </w:rPr>
        <w:t>. Il</w:t>
      </w:r>
      <w:r w:rsidR="00E27EC9" w:rsidRPr="00541DE1">
        <w:rPr>
          <w:rFonts w:cstheme="minorHAnsi"/>
          <w:sz w:val="20"/>
          <w:szCs w:val="18"/>
        </w:rPr>
        <w:t xml:space="preserve"> peut s’agir d’un processus d’évolution</w:t>
      </w:r>
      <w:r w:rsidR="000E45FF" w:rsidRPr="00541DE1">
        <w:rPr>
          <w:rFonts w:cstheme="minorHAnsi"/>
          <w:sz w:val="20"/>
          <w:szCs w:val="18"/>
        </w:rPr>
        <w:t xml:space="preserve"> lent</w:t>
      </w:r>
      <w:r w:rsidRPr="00541DE1">
        <w:rPr>
          <w:rFonts w:cstheme="minorHAnsi"/>
          <w:sz w:val="20"/>
          <w:szCs w:val="18"/>
        </w:rPr>
        <w:t>,</w:t>
      </w:r>
      <w:r w:rsidRPr="00C22ABE">
        <w:rPr>
          <w:rFonts w:cstheme="minorHAnsi"/>
          <w:sz w:val="20"/>
          <w:szCs w:val="18"/>
        </w:rPr>
        <w:t xml:space="preserve"> ou d’un processus plus agressif</w:t>
      </w:r>
      <w:r w:rsidR="005C157E" w:rsidRPr="00C22ABE">
        <w:rPr>
          <w:rFonts w:cstheme="minorHAnsi"/>
          <w:sz w:val="20"/>
          <w:szCs w:val="18"/>
        </w:rPr>
        <w:t xml:space="preserve"> d’emblée</w:t>
      </w:r>
      <w:r w:rsidRPr="00C22ABE">
        <w:rPr>
          <w:rFonts w:cstheme="minorHAnsi"/>
          <w:sz w:val="20"/>
          <w:szCs w:val="18"/>
        </w:rPr>
        <w:t xml:space="preserve"> avec une vaste </w:t>
      </w:r>
      <w:r w:rsidR="00741C36" w:rsidRPr="00C22ABE">
        <w:rPr>
          <w:rFonts w:cstheme="minorHAnsi"/>
          <w:sz w:val="20"/>
          <w:szCs w:val="18"/>
        </w:rPr>
        <w:t>zone d’</w:t>
      </w:r>
      <w:r w:rsidRPr="00C22ABE">
        <w:rPr>
          <w:rFonts w:cstheme="minorHAnsi"/>
          <w:sz w:val="20"/>
          <w:szCs w:val="18"/>
        </w:rPr>
        <w:t xml:space="preserve">exposition osseuse et une fracture mandibulaire </w:t>
      </w:r>
      <w:r w:rsidRPr="00C22ABE">
        <w:rPr>
          <w:rFonts w:cstheme="minorHAnsi"/>
          <w:sz w:val="20"/>
          <w:szCs w:val="18"/>
        </w:rPr>
        <w:fldChar w:fldCharType="begin"/>
      </w:r>
      <w:r w:rsidR="00281722" w:rsidRPr="00C22ABE">
        <w:rPr>
          <w:rFonts w:cstheme="minorHAnsi"/>
          <w:sz w:val="20"/>
          <w:szCs w:val="18"/>
        </w:rPr>
        <w:instrText xml:space="preserve"> ADDIN ZOTERO_ITEM CSL_CITATION {"citationID":"cK0msJ11","properties":{"formattedCitation":"(2)","plainCitation":"(2)","noteIndex":0},"citationItems":[{"id":165,"uris":["http://zotero.org/users/local/Om3YyEnU/items/E2FP89WH"],"uri":["http://zotero.org/users/local/Om3YyEnU/items/E2FP89WH"],"itemData":{"id":165,"type":"article-journal","container-title":"International Dental Journal","DOI":"10.1111/idj.12318","ISSN":"00206539","issue":"1","journalAbbreviation":"Int Dent J","language":"en","page":"22-30","source":"DOI.org (Crossref)","title":"Osteoradionecrosis of the jaws: definition, epidemiology, staging and clinical and radiological findings. A concise review","title-short":"Osteoradionecrosis of the jaws","volume":"68","author":[{"family":"Chronopoulos","given":"Aristeidis"},{"family":"Zarra","given":"Theodora"},{"family":"Ehrenfeld","given":"Michael"},{"family":"Otto","given":"Sven"}],"issued":{"date-parts":[["2018",2]]}}}],"schema":"https://github.com/citation-style-language/schema/raw/master/csl-citation.json"} </w:instrText>
      </w:r>
      <w:r w:rsidRPr="00C22ABE">
        <w:rPr>
          <w:rFonts w:cstheme="minorHAnsi"/>
          <w:sz w:val="20"/>
          <w:szCs w:val="18"/>
        </w:rPr>
        <w:fldChar w:fldCharType="separate"/>
      </w:r>
      <w:r w:rsidR="00281722" w:rsidRPr="00C22ABE">
        <w:rPr>
          <w:rFonts w:cstheme="minorHAnsi"/>
          <w:sz w:val="20"/>
        </w:rPr>
        <w:t>(2)</w:t>
      </w:r>
      <w:r w:rsidRPr="00C22ABE">
        <w:rPr>
          <w:rFonts w:cstheme="minorHAnsi"/>
          <w:sz w:val="20"/>
          <w:szCs w:val="18"/>
        </w:rPr>
        <w:fldChar w:fldCharType="end"/>
      </w:r>
      <w:r w:rsidR="00741C36" w:rsidRPr="00C22ABE">
        <w:rPr>
          <w:rFonts w:cstheme="minorHAnsi"/>
          <w:sz w:val="20"/>
          <w:szCs w:val="18"/>
        </w:rPr>
        <w:t>.</w:t>
      </w:r>
    </w:p>
    <w:p w14:paraId="73B548A1" w14:textId="182B4E1A" w:rsidR="00281722" w:rsidRPr="00C22ABE" w:rsidRDefault="00281722" w:rsidP="00281722">
      <w:pPr>
        <w:rPr>
          <w:rFonts w:cstheme="minorHAnsi"/>
          <w:color w:val="000000" w:themeColor="text1"/>
          <w:sz w:val="20"/>
          <w:szCs w:val="18"/>
        </w:rPr>
      </w:pPr>
      <w:r w:rsidRPr="00C22ABE">
        <w:rPr>
          <w:rFonts w:cstheme="minorHAnsi"/>
          <w:color w:val="000000" w:themeColor="text1"/>
          <w:sz w:val="20"/>
          <w:szCs w:val="18"/>
        </w:rPr>
        <w:t xml:space="preserve">L’incidence de l’ORN varie de 0,4 à 56% </w:t>
      </w:r>
      <w:r w:rsidRPr="00C22ABE">
        <w:rPr>
          <w:rFonts w:cstheme="minorHAnsi"/>
          <w:color w:val="000000" w:themeColor="text1"/>
          <w:sz w:val="20"/>
          <w:szCs w:val="18"/>
        </w:rPr>
        <w:fldChar w:fldCharType="begin"/>
      </w:r>
      <w:r w:rsidRPr="00C22ABE">
        <w:rPr>
          <w:rFonts w:cstheme="minorHAnsi"/>
          <w:color w:val="000000" w:themeColor="text1"/>
          <w:sz w:val="20"/>
          <w:szCs w:val="18"/>
        </w:rPr>
        <w:instrText xml:space="preserve"> ADDIN ZOTERO_ITEM CSL_CITATION {"citationID":"hzVNEQhH","properties":{"formattedCitation":"(9)","plainCitation":"(9)","noteIndex":0},"citationItems":[{"id":304,"uris":["http://zotero.org/users/local/Om3YyEnU/items/JIX8XLW2"],"uri":["http://zotero.org/users/local/Om3YyEnU/items/JIX8XLW2"],"itemData":{"id":304,"type":"article-journal","abstract":"The mandible is among the bones most frequently affected by irradiation. The most severe post-radiation injury of the mandible is osteoradionecrosis (ORN). Conflicting data have been reported on the incidence of this complication, its aetiology and management. The incidence of mandibular ORN in head and neck cancer patients managed with radical or postoperative irradiation, has varied widely in the literature from 0.4% to 56%. The interpretation of data derived from particular series are difficult due to the different scoring methods and classification systems used for the evaluation of post-radiation bone damage. Although ORN occurs typically in the first three years after radiotherapy, patients probably remain at indefinite risk. The diagnosis of ORN is principally based on the clinical picture of chronically exposed bone. Radiological symptoms include decreased bone density with fractures, cortical destruction and loss of spongiosa trabeculation. Numerous factors that may be associated with the risk of ORN include treatment-related variables (for example, total radiotherapy dose, biologically effective dose, photon energy, brachytherapy dose rate, combination of external beam irradiation and interstitial brachytherapy, field size, fraction size, volume of the mandible irradiated with a high dose), patient-related variables (like deep parodontitis, pre-irradiation bone surgery, bad oral hygiene, alcohol and tobacco abuse, bone inflammation, dental extraction after radiotherapy) and tumour-related factors (tumour size or stage, proximity of the tumour to bone, anatomic tumour site). Primary management of post-radiation bone lesions include conservative modalities such as saline irrigations, antibiotics during infectious episodes, topically applied antiseptics, gentle sequestrectomy and removal of visibly loosened bone elements as well as treatment with hyperbaric oxygen (HBO). Surgery is reserved for persistent ORN and includes radical resection of the lesion(sequestrectomy, hemimandibulectomy etc.) with reconstruction. In recent years the introduction of preventive oral hygiene measures and meticulous dental evaluations before and after irradiation, improvement in radiotherapy techniques and the development of reliable diagnostic and therapeutic procedures have resulted in a decreased incidence of ORN. Nevertheless, given the severe impact of ORN on patient quality of life, research should be continued to further ameliorate this problem.","container-title":"Cancer Treatment Reviews","DOI":"10.1053/ctrv.2002.0254","ISSN":"0305-7372","issue":"1","journalAbbreviation":"Cancer Treat Rev","language":"eng","note":"PMID: 12027415","page":"65-74","source":"PubMed","title":"Radiotherapy-induced mandibular bone complications","volume":"28","author":[{"family":"Jereczek-Fossa","given":"Barbara A."},{"family":"Orecchia","given":"Roberto"}],"issued":{"date-parts":[["2002",2]]}}}],"schema":"https://github.com/citation-style-language/schema/raw/master/csl-citation.json"} </w:instrText>
      </w:r>
      <w:r w:rsidRPr="00C22ABE">
        <w:rPr>
          <w:rFonts w:cstheme="minorHAnsi"/>
          <w:color w:val="000000" w:themeColor="text1"/>
          <w:sz w:val="20"/>
          <w:szCs w:val="18"/>
        </w:rPr>
        <w:fldChar w:fldCharType="separate"/>
      </w:r>
      <w:r w:rsidRPr="00C22ABE">
        <w:rPr>
          <w:rFonts w:cstheme="minorHAnsi"/>
          <w:color w:val="000000" w:themeColor="text1"/>
          <w:sz w:val="20"/>
        </w:rPr>
        <w:t>(9)</w:t>
      </w:r>
      <w:r w:rsidRPr="00C22ABE">
        <w:rPr>
          <w:rFonts w:cstheme="minorHAnsi"/>
          <w:color w:val="000000" w:themeColor="text1"/>
          <w:sz w:val="20"/>
          <w:szCs w:val="18"/>
        </w:rPr>
        <w:fldChar w:fldCharType="end"/>
      </w:r>
      <w:r w:rsidRPr="00C22ABE">
        <w:rPr>
          <w:rFonts w:cstheme="minorHAnsi"/>
          <w:color w:val="000000" w:themeColor="text1"/>
          <w:sz w:val="20"/>
          <w:szCs w:val="18"/>
        </w:rPr>
        <w:t xml:space="preserve"> avec des valeurs habituellement comprises entre 1,2 à 22%. </w:t>
      </w:r>
      <w:r w:rsidR="00866A18" w:rsidRPr="00C22ABE">
        <w:rPr>
          <w:rFonts w:cstheme="minorHAnsi"/>
          <w:color w:val="000000" w:themeColor="text1"/>
          <w:sz w:val="20"/>
          <w:szCs w:val="18"/>
        </w:rPr>
        <w:t>Ce chiff</w:t>
      </w:r>
      <w:r w:rsidR="004762E0" w:rsidRPr="00C22ABE">
        <w:rPr>
          <w:rFonts w:cstheme="minorHAnsi"/>
          <w:color w:val="000000" w:themeColor="text1"/>
          <w:sz w:val="20"/>
          <w:szCs w:val="18"/>
        </w:rPr>
        <w:t>re</w:t>
      </w:r>
      <w:r w:rsidR="00866A18" w:rsidRPr="00C22ABE">
        <w:rPr>
          <w:rFonts w:cstheme="minorHAnsi"/>
          <w:color w:val="000000" w:themeColor="text1"/>
          <w:sz w:val="20"/>
          <w:szCs w:val="18"/>
        </w:rPr>
        <w:t xml:space="preserve"> p</w:t>
      </w:r>
      <w:r w:rsidRPr="00C22ABE">
        <w:rPr>
          <w:rFonts w:cstheme="minorHAnsi"/>
          <w:color w:val="000000" w:themeColor="text1"/>
          <w:sz w:val="20"/>
          <w:szCs w:val="18"/>
        </w:rPr>
        <w:t xml:space="preserve">ourrait être sous-estimé, </w:t>
      </w:r>
      <w:r w:rsidR="000466C9" w:rsidRPr="00C22ABE">
        <w:rPr>
          <w:rFonts w:cstheme="minorHAnsi"/>
          <w:color w:val="000000" w:themeColor="text1"/>
          <w:sz w:val="20"/>
          <w:szCs w:val="18"/>
        </w:rPr>
        <w:t>en raison d’</w:t>
      </w:r>
      <w:r w:rsidR="004762E0" w:rsidRPr="00C22ABE">
        <w:rPr>
          <w:rFonts w:cstheme="minorHAnsi"/>
          <w:color w:val="000000" w:themeColor="text1"/>
          <w:sz w:val="20"/>
          <w:szCs w:val="18"/>
        </w:rPr>
        <w:t>une</w:t>
      </w:r>
      <w:r w:rsidRPr="00C22ABE">
        <w:rPr>
          <w:rFonts w:cstheme="minorHAnsi"/>
          <w:color w:val="000000" w:themeColor="text1"/>
          <w:sz w:val="20"/>
          <w:szCs w:val="18"/>
        </w:rPr>
        <w:t xml:space="preserve"> absence de </w:t>
      </w:r>
      <w:r w:rsidR="004762E0" w:rsidRPr="00C22ABE">
        <w:rPr>
          <w:rFonts w:cstheme="minorHAnsi"/>
          <w:color w:val="000000" w:themeColor="text1"/>
          <w:sz w:val="20"/>
          <w:szCs w:val="18"/>
        </w:rPr>
        <w:t>suivi</w:t>
      </w:r>
      <w:r w:rsidRPr="00C22ABE">
        <w:rPr>
          <w:rFonts w:cstheme="minorHAnsi"/>
          <w:color w:val="000000" w:themeColor="text1"/>
          <w:sz w:val="20"/>
          <w:szCs w:val="18"/>
        </w:rPr>
        <w:t xml:space="preserve"> oncologique et dentaire régulier</w:t>
      </w:r>
      <w:r w:rsidR="004762E0" w:rsidRPr="00C22ABE">
        <w:rPr>
          <w:rFonts w:cstheme="minorHAnsi"/>
          <w:color w:val="000000" w:themeColor="text1"/>
          <w:sz w:val="20"/>
          <w:szCs w:val="18"/>
        </w:rPr>
        <w:t xml:space="preserve"> </w:t>
      </w:r>
      <w:r w:rsidRPr="00C22ABE">
        <w:rPr>
          <w:rFonts w:cstheme="minorHAnsi"/>
          <w:color w:val="000000" w:themeColor="text1"/>
          <w:sz w:val="20"/>
          <w:szCs w:val="18"/>
        </w:rPr>
        <w:t xml:space="preserve"> </w:t>
      </w:r>
      <w:r w:rsidRPr="00C22ABE">
        <w:rPr>
          <w:rFonts w:cstheme="minorHAnsi"/>
          <w:color w:val="000000" w:themeColor="text1"/>
          <w:sz w:val="20"/>
          <w:szCs w:val="18"/>
        </w:rPr>
        <w:fldChar w:fldCharType="begin"/>
      </w:r>
      <w:r w:rsidRPr="00C22ABE">
        <w:rPr>
          <w:rFonts w:cstheme="minorHAnsi"/>
          <w:color w:val="000000" w:themeColor="text1"/>
          <w:sz w:val="20"/>
          <w:szCs w:val="18"/>
        </w:rPr>
        <w:instrText xml:space="preserve"> ADDIN ZOTERO_ITEM CSL_CITATION {"citationID":"U6D2dKGS","properties":{"formattedCitation":"(3,6,10)","plainCitation":"(3,6,10)","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W."}],"issued":{"date-parts":[["2016",11]]}}},{"id":167,"uris":["http://zotero.org/users/local/Om3YyEnU/items/JSKXEBGS"],"uri":["http://zotero.org/users/local/Om3YyEnU/items/JSKXEBGS"],"itemData":{"id":167,"type":"article-journal","container-title":"International Journal of Oral and Maxillofacial Surgery","DOI":"10.1016/j.ijom.2019.06.015","ISSN":"09015027","issue":"3","journalAbbreviation":"International Journal of Oral and Maxillofacial Surgery","language":"en","page":"411-419","source":"DOI.org (Crossref)","title":"Chinese expert group consensus on diagnosis and clinical management of osteoradionecrosis of the mandible","volume":"49","author":[{"family":"He","given":"Y."},{"family":"Ma","given":"C."},{"family":"Hou","given":"J."},{"family":"Li","given":"X."},{"family":"Peng","given":"X."},{"family":"Wang","given":"H."},{"family":"Wang","given":"S."},{"family":"Liu","given":"L."},{"family":"Liu","given":"B."},{"family":"Tian","given":"L."},{"family":"Liu","given":"Z."},{"family":"Liu","given":"X."},{"family":"Xu","given":"X."},{"family":"Zhang","given":"D."},{"family":"Jiang","given":"C."},{"family":"Wang","given":"J."},{"family":"Yao","given":"Y."},{"family":"Zhu","given":"G."},{"family":"Bai","given":"Y."},{"family":"Wang","given":"S."},{"family":"Sun","given":"C."},{"family":"Li","given":"J."},{"family":"He","given":"S."},{"family":"Wang","given":"C."},{"family":"Zhang","given":"Z."},{"family":"Qiu","given":"W."}],"issued":{"date-parts":[["2020",3]]}}},{"id":170,"uris":["http://zotero.org/users/local/Om3YyEnU/items/SPNPLPUX"],"uri":["http://zotero.org/users/local/Om3YyEnU/items/SPNPLPUX"],"itemData":{"id":170,"type":"article-journal","container-title":"Cochrane Database of Systematic Reviews","DOI":"10.1002/14651858.CD011559.pub2","ISSN":"14651858","language":"en","source":"DOI.org (Crossref)","title":"Interventions for preventing osteoradionecrosis of the jaws in adults receiving head and neck radiotherapy","URL":"http://doi.wiley.com/10.1002/14651858.CD011559.pub2","author":[{"family":"El-Rabbany","given":"Mohamed"},{"family":"Duchnay","given":"Michael"},{"family":"Raziee","given":"Hamid Reza"},{"family":"Zych","given":"Maria"},{"family":"Tenenbaum","given":"Howard"},{"family":"Shah","given":"Prakeshkumar S"},{"family":"Azarpazhooh","given":"Amir"}],"editor":[{"literal":"Cochrane Oral Health Group"}],"accessed":{"date-parts":[["2020",12,6]]},"issued":{"date-parts":[["2019",11,20]]}}}],"schema":"https://github.com/citation-style-language/schema/raw/master/csl-citation.json"} </w:instrText>
      </w:r>
      <w:r w:rsidRPr="00C22ABE">
        <w:rPr>
          <w:rFonts w:cstheme="minorHAnsi"/>
          <w:color w:val="000000" w:themeColor="text1"/>
          <w:sz w:val="20"/>
          <w:szCs w:val="18"/>
        </w:rPr>
        <w:fldChar w:fldCharType="separate"/>
      </w:r>
      <w:r w:rsidRPr="00C22ABE">
        <w:rPr>
          <w:rFonts w:cstheme="minorHAnsi"/>
          <w:color w:val="000000" w:themeColor="text1"/>
          <w:sz w:val="20"/>
        </w:rPr>
        <w:t>(3,6,10)</w:t>
      </w:r>
      <w:r w:rsidRPr="00C22ABE">
        <w:rPr>
          <w:rFonts w:cstheme="minorHAnsi"/>
          <w:color w:val="000000" w:themeColor="text1"/>
          <w:sz w:val="20"/>
          <w:szCs w:val="18"/>
        </w:rPr>
        <w:fldChar w:fldCharType="end"/>
      </w:r>
      <w:r w:rsidRPr="00C22ABE">
        <w:rPr>
          <w:rFonts w:cstheme="minorHAnsi"/>
          <w:color w:val="000000" w:themeColor="text1"/>
          <w:sz w:val="20"/>
          <w:szCs w:val="18"/>
        </w:rPr>
        <w:t xml:space="preserve">. Pour d’autres, on observe une tendance à la diminution de l’incidence (inférieure à 5 %) grâce aux nouvelles technologies d’irradiation et à la systémisation </w:t>
      </w:r>
      <w:r w:rsidRPr="00541DE1">
        <w:rPr>
          <w:rFonts w:cstheme="minorHAnsi"/>
          <w:color w:val="000000" w:themeColor="text1"/>
          <w:sz w:val="20"/>
          <w:szCs w:val="18"/>
        </w:rPr>
        <w:t xml:space="preserve">de </w:t>
      </w:r>
      <w:r w:rsidR="005C66E1" w:rsidRPr="00541DE1">
        <w:rPr>
          <w:rFonts w:cstheme="minorHAnsi"/>
          <w:color w:val="000000" w:themeColor="text1"/>
          <w:sz w:val="20"/>
          <w:szCs w:val="18"/>
        </w:rPr>
        <w:t>l’assainissement</w:t>
      </w:r>
      <w:r w:rsidR="005C66E1">
        <w:rPr>
          <w:rFonts w:cstheme="minorHAnsi"/>
          <w:color w:val="000000" w:themeColor="text1"/>
          <w:sz w:val="20"/>
          <w:szCs w:val="18"/>
        </w:rPr>
        <w:t xml:space="preserve"> </w:t>
      </w:r>
      <w:r w:rsidRPr="00C22ABE">
        <w:rPr>
          <w:rFonts w:cstheme="minorHAnsi"/>
          <w:color w:val="000000" w:themeColor="text1"/>
          <w:sz w:val="20"/>
          <w:szCs w:val="18"/>
        </w:rPr>
        <w:t xml:space="preserve">dentaire avant traitement irradiant. Les extractions dentaires sont le facteur de risque le plus souvent pointé du doigt dans la genèse d’une ORN </w:t>
      </w:r>
      <w:r w:rsidRPr="00C22ABE">
        <w:rPr>
          <w:rFonts w:cstheme="minorHAnsi"/>
          <w:color w:val="000000" w:themeColor="text1"/>
          <w:sz w:val="20"/>
          <w:szCs w:val="18"/>
        </w:rPr>
        <w:fldChar w:fldCharType="begin"/>
      </w:r>
      <w:r w:rsidRPr="00C22ABE">
        <w:rPr>
          <w:rFonts w:cstheme="minorHAnsi"/>
          <w:color w:val="000000" w:themeColor="text1"/>
          <w:sz w:val="20"/>
          <w:szCs w:val="18"/>
        </w:rPr>
        <w:instrText xml:space="preserve"> ADDIN ZOTERO_ITEM CSL_CITATION {"citationID":"QcnjVZP4","properties":{"formattedCitation":"(11)","plainCitation":"(11)","noteIndex":0},"citationItems":[{"id":212,"uris":["http://zotero.org/users/local/Om3YyEnU/items/PMPCDG3G"],"uri":["http://zotero.org/users/local/Om3YyEnU/items/PMPCDG3G"],"itemData":{"id":212,"type":"article-journal","abstract":"This systematic review aims to identify and review the best available evidence to answer the clinical question 'What are the incidence and the factors influencing the development of osteoradionecrosis after tooth extraction in irradiated patients?'. A systematic review of published articles on post-irradiation extraction was performed via electronic search of the Medline, Ovid, Embase and Cochrane Library databases. Additional studies were identified by manual reference list search. Evaluation and critical appraisal were done in 3 stages by two independent reviewers and any disagreement was resolved by discussion with a third party. 19 articles were selected for the final analysis. The total incidence of osteoradionecrosis after tooth extraction in irradiated patients was 7%. When extractions were performed in conjunction with prophylactic hyperbaric oxygen, the incidence was 4% while extraction in conjunction with antibiotics gave an incidence of 6%. This systematic review found that while the incidence of osteoradionecrosis after post-irradiation tooth extractions is low, the extraction of mandibular teeth within the radiation field in patients who received a radiation dose higher than 60Gy represents the highest risk of developing osteoradionecrosis. Based on weak evidence, prophylactic hyperbaric oxygen is effective in reducing the risk of developing osteoradionecrosis after post-radiation extractions.","container-title":"International Journal of Oral and Maxillofacial Surgery","DOI":"10.1016/j.ijom.2010.10.005","ISSN":"1399-0020","issue":"3","journalAbbreviation":"Int J Oral Maxillofac Surg","language":"eng","note":"PMID: 21115324","page":"229-243","source":"PubMed","title":"Incidence and prevention of osteoradionecrosis after dental extraction in irradiated patients: a systematic review","title-short":"Incidence and prevention of osteoradionecrosis after dental extraction in irradiated patients","volume":"40","author":[{"family":"Nabil","given":"S."},{"family":"Samman","given":"N."}],"issued":{"date-parts":[["2011",3]]}}}],"schema":"https://github.com/citation-style-language/schema/raw/master/csl-citation.json"} </w:instrText>
      </w:r>
      <w:r w:rsidRPr="00C22ABE">
        <w:rPr>
          <w:rFonts w:cstheme="minorHAnsi"/>
          <w:color w:val="000000" w:themeColor="text1"/>
          <w:sz w:val="20"/>
          <w:szCs w:val="18"/>
        </w:rPr>
        <w:fldChar w:fldCharType="separate"/>
      </w:r>
      <w:r w:rsidRPr="00C22ABE">
        <w:rPr>
          <w:rFonts w:cstheme="minorHAnsi"/>
          <w:color w:val="000000" w:themeColor="text1"/>
          <w:sz w:val="20"/>
        </w:rPr>
        <w:t>(11)</w:t>
      </w:r>
      <w:r w:rsidRPr="00C22ABE">
        <w:rPr>
          <w:rFonts w:cstheme="minorHAnsi"/>
          <w:color w:val="000000" w:themeColor="text1"/>
          <w:sz w:val="20"/>
          <w:szCs w:val="18"/>
        </w:rPr>
        <w:fldChar w:fldCharType="end"/>
      </w:r>
      <w:r w:rsidRPr="00C22ABE">
        <w:rPr>
          <w:rFonts w:cstheme="minorHAnsi"/>
          <w:color w:val="000000" w:themeColor="text1"/>
          <w:sz w:val="20"/>
          <w:szCs w:val="18"/>
        </w:rPr>
        <w:t>.</w:t>
      </w:r>
      <w:r w:rsidR="0060512D" w:rsidRPr="00C22ABE">
        <w:rPr>
          <w:rFonts w:cstheme="minorHAnsi"/>
          <w:color w:val="000000" w:themeColor="text1"/>
          <w:sz w:val="20"/>
          <w:szCs w:val="18"/>
        </w:rPr>
        <w:t xml:space="preserve"> </w:t>
      </w:r>
      <w:r w:rsidR="00117917" w:rsidRPr="00C22ABE">
        <w:rPr>
          <w:rFonts w:cstheme="minorHAnsi"/>
          <w:color w:val="000000" w:themeColor="text1"/>
          <w:sz w:val="20"/>
          <w:szCs w:val="18"/>
        </w:rPr>
        <w:t xml:space="preserve">Pour d’autres encore, l’incidence serait trois fois plus élevée chez les patients dentés, suite à une infection ou une extraction dentaire </w:t>
      </w:r>
      <w:r w:rsidR="00117917" w:rsidRPr="00C22ABE">
        <w:rPr>
          <w:rFonts w:cstheme="minorHAnsi"/>
          <w:color w:val="000000" w:themeColor="text1"/>
          <w:sz w:val="20"/>
          <w:szCs w:val="18"/>
        </w:rPr>
        <w:fldChar w:fldCharType="begin"/>
      </w:r>
      <w:r w:rsidR="00117917" w:rsidRPr="00C22ABE">
        <w:rPr>
          <w:rFonts w:cstheme="minorHAnsi"/>
          <w:color w:val="000000" w:themeColor="text1"/>
          <w:sz w:val="20"/>
          <w:szCs w:val="18"/>
        </w:rPr>
        <w:instrText xml:space="preserve"> ADDIN ZOTERO_ITEM CSL_CITATION {"citationID":"G4kxtchV","properties":{"formattedCitation":"(12)","plainCitation":"(12)","noteIndex":0},"citationItems":[{"id":317,"uris":["http://zotero.org/users/local/Om3YyEnU/items/UMEQ2XFD"],"uri":["http://zotero.org/users/local/Om3YyEnU/items/UMEQ2XFD"],"itemData":{"id":317,"type":"article-journal","abstract":"PURPOSE: The aim of this paper is to explore the current theories about definition, classification, incidence and physiopathology of osteoradionecrosis (ORN) of the jaws. Moreover, it is discussed the predisposing and risk factors for the development of osteoradionecrosis based on the literature review.\nDISCUSSION: Osteoradionecrosis is one of the most serious oral complications of head and neck cancer treatment. Osteoradionecrosis is a severe delayed radiation-induced injury, characterised by bone tissue necrosis and failure to heal. Osteoradionecrosis either stabilises or gradually worsens and is notoriously difficult to manage. The most widely accepted theory to explain its cause until recently was the theory of hypoxia, hypovascularity and hypocellularity. A new theory for the pathogenesis of osteoradionecrosis was proposed. The clinical presentations of osteoradionecrosis are pain, drainage and fistulation of the mucosa or skin that is related to exposed bone in an area that has been irradiated. The tumour size and location, radiation dose, local trauma, dental extractions, infection, immune defects and malnutrition can predispose its development.\nCONCLUSIONS: A better understanding of risk factors for the development ORN and of the underlying pathophysiology may improve our ability to prevent this complication and help to improve the prognosis for those being treated for osteoradionecrosis.","container-title":"Oral and Maxillofacial Surgery","DOI":"10.1007/s10006-009-0198-9","ISSN":"1865-1569","issue":"1","journalAbbreviation":"Oral Maxillofac Surg","language":"eng","note":"PMID: 20119841","page":"3-16","source":"PubMed","title":"Osteoradionecrosis of the jaws--a current overview--part 1: Physiopathology and risk and predisposing factors","title-short":"Osteoradionecrosis of the jaws--a current overview--part 1","volume":"14","author":[{"family":"Chrcanovic","given":"Bruno Ramos"},{"family":"Reher","given":"Peter"},{"family":"Sousa","given":"Alexandre Andrade"},{"family":"Harris","given":"Malcolm"}],"issued":{"date-parts":[["2010",3]]}}}],"schema":"https://github.com/citation-style-language/schema/raw/master/csl-citation.json"} </w:instrText>
      </w:r>
      <w:r w:rsidR="00117917" w:rsidRPr="00C22ABE">
        <w:rPr>
          <w:rFonts w:cstheme="minorHAnsi"/>
          <w:color w:val="000000" w:themeColor="text1"/>
          <w:sz w:val="20"/>
          <w:szCs w:val="18"/>
        </w:rPr>
        <w:fldChar w:fldCharType="separate"/>
      </w:r>
      <w:r w:rsidR="00117917" w:rsidRPr="00C22ABE">
        <w:rPr>
          <w:rFonts w:cstheme="minorHAnsi"/>
          <w:color w:val="000000" w:themeColor="text1"/>
          <w:sz w:val="20"/>
        </w:rPr>
        <w:t>(12)</w:t>
      </w:r>
      <w:r w:rsidR="00117917" w:rsidRPr="00C22ABE">
        <w:rPr>
          <w:rFonts w:cstheme="minorHAnsi"/>
          <w:color w:val="000000" w:themeColor="text1"/>
          <w:sz w:val="20"/>
          <w:szCs w:val="18"/>
        </w:rPr>
        <w:fldChar w:fldCharType="end"/>
      </w:r>
      <w:r w:rsidR="00117917" w:rsidRPr="00C22ABE">
        <w:rPr>
          <w:rFonts w:cstheme="minorHAnsi"/>
          <w:color w:val="000000" w:themeColor="text1"/>
          <w:sz w:val="20"/>
          <w:szCs w:val="18"/>
        </w:rPr>
        <w:t>.</w:t>
      </w:r>
      <w:r w:rsidR="0078630E" w:rsidRPr="00C22ABE">
        <w:rPr>
          <w:rFonts w:cstheme="minorHAnsi"/>
          <w:color w:val="000000" w:themeColor="text1"/>
          <w:sz w:val="20"/>
          <w:szCs w:val="18"/>
        </w:rPr>
        <w:t xml:space="preserve"> Le risque d’ORN ne disparaît pas avec le temps.</w:t>
      </w:r>
    </w:p>
    <w:p w14:paraId="01C52D22" w14:textId="2C96A379" w:rsidR="00EC4F14" w:rsidRPr="00C22ABE" w:rsidRDefault="00852EBC" w:rsidP="00625371">
      <w:pPr>
        <w:tabs>
          <w:tab w:val="left" w:pos="7110"/>
        </w:tabs>
        <w:rPr>
          <w:rFonts w:cstheme="minorHAnsi"/>
          <w:sz w:val="20"/>
          <w:szCs w:val="18"/>
        </w:rPr>
      </w:pPr>
      <w:r w:rsidRPr="00C22ABE">
        <w:rPr>
          <w:rFonts w:cstheme="minorHAnsi"/>
          <w:sz w:val="20"/>
          <w:szCs w:val="18"/>
        </w:rPr>
        <w:t>La radiothérapie</w:t>
      </w:r>
      <w:r w:rsidR="00001929" w:rsidRPr="00C22ABE">
        <w:rPr>
          <w:rFonts w:cstheme="minorHAnsi"/>
          <w:sz w:val="20"/>
          <w:szCs w:val="18"/>
        </w:rPr>
        <w:t xml:space="preserve"> (</w:t>
      </w:r>
      <w:proofErr w:type="spellStart"/>
      <w:r w:rsidR="00001929" w:rsidRPr="00C22ABE">
        <w:rPr>
          <w:rFonts w:cstheme="minorHAnsi"/>
          <w:sz w:val="20"/>
          <w:szCs w:val="18"/>
        </w:rPr>
        <w:t>Rth</w:t>
      </w:r>
      <w:proofErr w:type="spellEnd"/>
      <w:r w:rsidR="00001929" w:rsidRPr="00C22ABE">
        <w:rPr>
          <w:rFonts w:cstheme="minorHAnsi"/>
          <w:sz w:val="20"/>
          <w:szCs w:val="18"/>
        </w:rPr>
        <w:t>)</w:t>
      </w:r>
      <w:r w:rsidR="005C4EEC" w:rsidRPr="00C22ABE">
        <w:rPr>
          <w:rFonts w:cstheme="minorHAnsi"/>
          <w:sz w:val="20"/>
          <w:szCs w:val="18"/>
        </w:rPr>
        <w:t xml:space="preserve"> fait partie d</w:t>
      </w:r>
      <w:r w:rsidR="00141B46" w:rsidRPr="00C22ABE">
        <w:rPr>
          <w:rFonts w:cstheme="minorHAnsi"/>
          <w:sz w:val="20"/>
          <w:szCs w:val="18"/>
        </w:rPr>
        <w:t xml:space="preserve">e l’arsenal </w:t>
      </w:r>
      <w:r w:rsidR="005C4EEC" w:rsidRPr="00C22ABE">
        <w:rPr>
          <w:rFonts w:cstheme="minorHAnsi"/>
          <w:sz w:val="20"/>
          <w:szCs w:val="18"/>
        </w:rPr>
        <w:t>thérapeutique de</w:t>
      </w:r>
      <w:r w:rsidR="005C157E" w:rsidRPr="00C22ABE">
        <w:rPr>
          <w:rFonts w:cstheme="minorHAnsi"/>
          <w:sz w:val="20"/>
          <w:szCs w:val="18"/>
        </w:rPr>
        <w:t>s cancers de</w:t>
      </w:r>
      <w:r w:rsidR="00AA35A1" w:rsidRPr="00C22ABE">
        <w:rPr>
          <w:rFonts w:cstheme="minorHAnsi"/>
          <w:sz w:val="20"/>
          <w:szCs w:val="18"/>
        </w:rPr>
        <w:t>s voies aérodigestives supérieures</w:t>
      </w:r>
      <w:r w:rsidR="005C4EEC" w:rsidRPr="00C22ABE">
        <w:rPr>
          <w:rFonts w:cstheme="minorHAnsi"/>
          <w:sz w:val="20"/>
          <w:szCs w:val="18"/>
        </w:rPr>
        <w:t xml:space="preserve"> dans environ 70% des cas</w:t>
      </w:r>
      <w:r w:rsidR="005C157E" w:rsidRPr="00C22ABE">
        <w:rPr>
          <w:rFonts w:cstheme="minorHAnsi"/>
          <w:sz w:val="20"/>
          <w:szCs w:val="18"/>
        </w:rPr>
        <w:t xml:space="preserve">, soit </w:t>
      </w:r>
      <w:r w:rsidR="004762E0" w:rsidRPr="00C22ABE">
        <w:rPr>
          <w:rFonts w:cstheme="minorHAnsi"/>
          <w:sz w:val="20"/>
          <w:szCs w:val="18"/>
        </w:rPr>
        <w:t xml:space="preserve">isolément, soit en association avec d’autres modalités thérapeutiques. </w:t>
      </w:r>
      <w:r w:rsidR="00FC6A55" w:rsidRPr="00C22ABE">
        <w:rPr>
          <w:rFonts w:cstheme="minorHAnsi"/>
          <w:sz w:val="20"/>
          <w:szCs w:val="18"/>
        </w:rPr>
        <w:t xml:space="preserve">Les indications d’une radiothérapie post-opératoire sont des tumeurs </w:t>
      </w:r>
      <w:proofErr w:type="spellStart"/>
      <w:r w:rsidR="00FC6A55" w:rsidRPr="00C22ABE">
        <w:rPr>
          <w:rFonts w:cstheme="minorHAnsi"/>
          <w:sz w:val="20"/>
          <w:szCs w:val="18"/>
        </w:rPr>
        <w:t>stadifiées</w:t>
      </w:r>
      <w:proofErr w:type="spellEnd"/>
      <w:r w:rsidR="00FC6A55" w:rsidRPr="00C22ABE">
        <w:rPr>
          <w:rFonts w:cstheme="minorHAnsi"/>
          <w:sz w:val="20"/>
          <w:szCs w:val="18"/>
        </w:rPr>
        <w:t xml:space="preserve"> pT3-4, ou</w:t>
      </w:r>
      <w:r w:rsidR="005C4EEC" w:rsidRPr="00C22ABE">
        <w:rPr>
          <w:rFonts w:cstheme="minorHAnsi"/>
          <w:color w:val="202124"/>
          <w:sz w:val="21"/>
          <w:szCs w:val="21"/>
          <w:shd w:val="clear" w:color="auto" w:fill="FFFFFF"/>
        </w:rPr>
        <w:t> ≥</w:t>
      </w:r>
      <w:r w:rsidR="005C4EEC" w:rsidRPr="00C22ABE">
        <w:rPr>
          <w:rFonts w:cstheme="minorHAnsi"/>
          <w:sz w:val="20"/>
          <w:szCs w:val="18"/>
        </w:rPr>
        <w:t xml:space="preserve"> </w:t>
      </w:r>
      <w:r w:rsidR="00FC6A55" w:rsidRPr="00C22ABE">
        <w:rPr>
          <w:rFonts w:cstheme="minorHAnsi"/>
          <w:sz w:val="20"/>
          <w:szCs w:val="18"/>
        </w:rPr>
        <w:t xml:space="preserve">2 adénopathies positives </w:t>
      </w:r>
      <w:r w:rsidR="005C4EEC" w:rsidRPr="00C22ABE">
        <w:rPr>
          <w:rFonts w:cstheme="minorHAnsi"/>
          <w:sz w:val="20"/>
          <w:szCs w:val="18"/>
        </w:rPr>
        <w:t>sans rupture capsulaire</w:t>
      </w:r>
      <w:r w:rsidR="005C157E" w:rsidRPr="00C22ABE">
        <w:rPr>
          <w:rFonts w:cstheme="minorHAnsi"/>
          <w:sz w:val="20"/>
          <w:szCs w:val="18"/>
        </w:rPr>
        <w:t>,</w:t>
      </w:r>
      <w:r w:rsidR="00FC6A55" w:rsidRPr="00C22ABE">
        <w:rPr>
          <w:rFonts w:cstheme="minorHAnsi"/>
          <w:sz w:val="20"/>
          <w:szCs w:val="18"/>
        </w:rPr>
        <w:t xml:space="preserve"> </w:t>
      </w:r>
      <w:r w:rsidR="005C4EEC" w:rsidRPr="00C22ABE">
        <w:rPr>
          <w:rFonts w:cstheme="minorHAnsi"/>
          <w:sz w:val="20"/>
          <w:szCs w:val="18"/>
        </w:rPr>
        <w:t xml:space="preserve">des envahissements </w:t>
      </w:r>
      <w:proofErr w:type="spellStart"/>
      <w:r w:rsidR="005C4EEC" w:rsidRPr="00C22ABE">
        <w:rPr>
          <w:rFonts w:cstheme="minorHAnsi"/>
          <w:sz w:val="20"/>
          <w:szCs w:val="18"/>
        </w:rPr>
        <w:t>périnerveux</w:t>
      </w:r>
      <w:proofErr w:type="spellEnd"/>
      <w:r w:rsidR="005C4EEC" w:rsidRPr="00C22ABE">
        <w:rPr>
          <w:rFonts w:cstheme="minorHAnsi"/>
          <w:sz w:val="20"/>
          <w:szCs w:val="18"/>
        </w:rPr>
        <w:t xml:space="preserve"> </w:t>
      </w:r>
      <w:r w:rsidR="006F06A5" w:rsidRPr="00C22ABE">
        <w:rPr>
          <w:rFonts w:cstheme="minorHAnsi"/>
          <w:sz w:val="20"/>
          <w:szCs w:val="18"/>
        </w:rPr>
        <w:t>et/</w:t>
      </w:r>
      <w:r w:rsidR="005C4EEC" w:rsidRPr="00C22ABE">
        <w:rPr>
          <w:rFonts w:cstheme="minorHAnsi"/>
          <w:sz w:val="20"/>
          <w:szCs w:val="18"/>
        </w:rPr>
        <w:t xml:space="preserve">ou </w:t>
      </w:r>
      <w:proofErr w:type="spellStart"/>
      <w:r w:rsidR="005C4EEC" w:rsidRPr="00C22ABE">
        <w:rPr>
          <w:rFonts w:cstheme="minorHAnsi"/>
          <w:sz w:val="20"/>
          <w:szCs w:val="18"/>
        </w:rPr>
        <w:t>lymphovasculaires</w:t>
      </w:r>
      <w:proofErr w:type="spellEnd"/>
      <w:r w:rsidR="005C4EEC" w:rsidRPr="00C22ABE">
        <w:rPr>
          <w:rFonts w:cstheme="minorHAnsi"/>
          <w:sz w:val="20"/>
          <w:szCs w:val="18"/>
        </w:rPr>
        <w:t xml:space="preserve">. Une </w:t>
      </w:r>
      <w:proofErr w:type="spellStart"/>
      <w:r w:rsidR="005C4EEC" w:rsidRPr="00C22ABE">
        <w:rPr>
          <w:rFonts w:cstheme="minorHAnsi"/>
          <w:sz w:val="20"/>
          <w:szCs w:val="18"/>
        </w:rPr>
        <w:t>radiochimiothérapie</w:t>
      </w:r>
      <w:proofErr w:type="spellEnd"/>
      <w:r w:rsidR="005C4EEC" w:rsidRPr="00C22ABE">
        <w:rPr>
          <w:rFonts w:cstheme="minorHAnsi"/>
          <w:sz w:val="20"/>
          <w:szCs w:val="18"/>
        </w:rPr>
        <w:t xml:space="preserve"> concomitante post-opératoire est indiquée en cas de marges envahies microscopiq</w:t>
      </w:r>
      <w:r w:rsidR="006F06A5" w:rsidRPr="00C22ABE">
        <w:rPr>
          <w:rFonts w:cstheme="minorHAnsi"/>
          <w:sz w:val="20"/>
          <w:szCs w:val="18"/>
        </w:rPr>
        <w:t>ues</w:t>
      </w:r>
      <w:r w:rsidR="005C4EEC" w:rsidRPr="00C22ABE">
        <w:rPr>
          <w:rFonts w:cstheme="minorHAnsi"/>
          <w:sz w:val="20"/>
          <w:szCs w:val="18"/>
        </w:rPr>
        <w:t xml:space="preserve"> (R1) ou macroscopiqu</w:t>
      </w:r>
      <w:r w:rsidR="006F06A5" w:rsidRPr="00C22ABE">
        <w:rPr>
          <w:rFonts w:cstheme="minorHAnsi"/>
          <w:sz w:val="20"/>
          <w:szCs w:val="18"/>
        </w:rPr>
        <w:t>es</w:t>
      </w:r>
      <w:r w:rsidR="005C4EEC" w:rsidRPr="00C22ABE">
        <w:rPr>
          <w:rFonts w:cstheme="minorHAnsi"/>
          <w:sz w:val="20"/>
          <w:szCs w:val="18"/>
        </w:rPr>
        <w:t xml:space="preserve"> (R2),</w:t>
      </w:r>
      <w:r w:rsidR="00EC4F14" w:rsidRPr="00C22ABE">
        <w:rPr>
          <w:rFonts w:cstheme="minorHAnsi"/>
          <w:sz w:val="20"/>
          <w:szCs w:val="18"/>
        </w:rPr>
        <w:t xml:space="preserve"> </w:t>
      </w:r>
      <w:r w:rsidR="006F06A5" w:rsidRPr="00C22ABE">
        <w:rPr>
          <w:rFonts w:cstheme="minorHAnsi"/>
          <w:sz w:val="20"/>
          <w:szCs w:val="18"/>
        </w:rPr>
        <w:t xml:space="preserve">et/ou </w:t>
      </w:r>
      <w:r w:rsidR="005C4EEC" w:rsidRPr="00C22ABE">
        <w:rPr>
          <w:rFonts w:cstheme="minorHAnsi"/>
          <w:sz w:val="20"/>
          <w:szCs w:val="18"/>
        </w:rPr>
        <w:t>en présence d’adénopathie</w:t>
      </w:r>
      <w:r w:rsidR="006F06A5" w:rsidRPr="00C22ABE">
        <w:rPr>
          <w:rFonts w:cstheme="minorHAnsi"/>
          <w:sz w:val="20"/>
          <w:szCs w:val="18"/>
        </w:rPr>
        <w:t>(s)</w:t>
      </w:r>
      <w:r w:rsidR="005C4EEC" w:rsidRPr="00C22ABE">
        <w:rPr>
          <w:rFonts w:cstheme="minorHAnsi"/>
          <w:sz w:val="20"/>
          <w:szCs w:val="18"/>
        </w:rPr>
        <w:t xml:space="preserve"> en rupture capsulaire</w:t>
      </w:r>
      <w:r w:rsidR="00FC6A55" w:rsidRPr="00C22ABE">
        <w:rPr>
          <w:rFonts w:cstheme="minorHAnsi"/>
          <w:sz w:val="20"/>
          <w:szCs w:val="18"/>
        </w:rPr>
        <w:t>. La radiothérapie débute classiquement 4 à 6 semaines après la chirurgie, pour limiter le risque de récidive</w:t>
      </w:r>
      <w:r w:rsidR="005C157E" w:rsidRPr="00C22ABE">
        <w:rPr>
          <w:rFonts w:cstheme="minorHAnsi"/>
          <w:sz w:val="20"/>
          <w:szCs w:val="18"/>
        </w:rPr>
        <w:t xml:space="preserve">. </w:t>
      </w:r>
    </w:p>
    <w:p w14:paraId="1B7305DA" w14:textId="44141FD3" w:rsidR="00EC4F14" w:rsidRPr="00C22ABE" w:rsidRDefault="00491F60" w:rsidP="00625371">
      <w:pPr>
        <w:tabs>
          <w:tab w:val="left" w:pos="7110"/>
        </w:tabs>
        <w:rPr>
          <w:rFonts w:cstheme="minorHAnsi"/>
          <w:sz w:val="20"/>
          <w:szCs w:val="18"/>
        </w:rPr>
      </w:pPr>
      <w:r w:rsidRPr="00C22ABE">
        <w:rPr>
          <w:rFonts w:cstheme="minorHAnsi"/>
          <w:sz w:val="20"/>
          <w:szCs w:val="18"/>
        </w:rPr>
        <w:t xml:space="preserve">La </w:t>
      </w:r>
      <w:r w:rsidR="00654A88" w:rsidRPr="00C22ABE">
        <w:rPr>
          <w:rFonts w:cstheme="minorHAnsi"/>
          <w:sz w:val="20"/>
          <w:szCs w:val="18"/>
        </w:rPr>
        <w:t>radiothérapie</w:t>
      </w:r>
      <w:r w:rsidRPr="00C22ABE">
        <w:rPr>
          <w:rFonts w:cstheme="minorHAnsi"/>
          <w:sz w:val="20"/>
          <w:szCs w:val="18"/>
        </w:rPr>
        <w:t xml:space="preserve"> </w:t>
      </w:r>
      <w:r w:rsidR="00AF67CB" w:rsidRPr="00C22ABE">
        <w:rPr>
          <w:rFonts w:cstheme="minorHAnsi"/>
          <w:sz w:val="20"/>
          <w:szCs w:val="18"/>
        </w:rPr>
        <w:t>est</w:t>
      </w:r>
      <w:r w:rsidR="007452BD" w:rsidRPr="00C22ABE">
        <w:rPr>
          <w:rFonts w:cstheme="minorHAnsi"/>
          <w:sz w:val="20"/>
          <w:szCs w:val="18"/>
        </w:rPr>
        <w:t xml:space="preserve"> </w:t>
      </w:r>
      <w:r w:rsidRPr="00C22ABE">
        <w:rPr>
          <w:rFonts w:cstheme="minorHAnsi"/>
          <w:sz w:val="20"/>
          <w:szCs w:val="18"/>
        </w:rPr>
        <w:t xml:space="preserve">également </w:t>
      </w:r>
      <w:r w:rsidR="00AF67CB" w:rsidRPr="00C22ABE">
        <w:rPr>
          <w:rFonts w:cstheme="minorHAnsi"/>
          <w:sz w:val="20"/>
          <w:szCs w:val="18"/>
        </w:rPr>
        <w:t xml:space="preserve">utilisée dans </w:t>
      </w:r>
      <w:r w:rsidR="007452BD" w:rsidRPr="00C22ABE">
        <w:rPr>
          <w:rFonts w:cstheme="minorHAnsi"/>
          <w:sz w:val="20"/>
          <w:szCs w:val="18"/>
        </w:rPr>
        <w:t>des indications pall</w:t>
      </w:r>
      <w:r w:rsidRPr="00C22ABE">
        <w:rPr>
          <w:rFonts w:cstheme="minorHAnsi"/>
          <w:sz w:val="20"/>
          <w:szCs w:val="18"/>
        </w:rPr>
        <w:t>iative</w:t>
      </w:r>
      <w:r w:rsidR="007452BD" w:rsidRPr="00C22ABE">
        <w:rPr>
          <w:rFonts w:cstheme="minorHAnsi"/>
          <w:sz w:val="20"/>
          <w:szCs w:val="18"/>
        </w:rPr>
        <w:t>s</w:t>
      </w:r>
      <w:r w:rsidRPr="00C22ABE">
        <w:rPr>
          <w:rFonts w:cstheme="minorHAnsi"/>
          <w:sz w:val="20"/>
          <w:szCs w:val="18"/>
        </w:rPr>
        <w:t xml:space="preserve">, ou encore </w:t>
      </w:r>
      <w:r w:rsidR="00654A88" w:rsidRPr="00C22ABE">
        <w:rPr>
          <w:rFonts w:cstheme="minorHAnsi"/>
          <w:sz w:val="20"/>
          <w:szCs w:val="18"/>
        </w:rPr>
        <w:t xml:space="preserve">à visée </w:t>
      </w:r>
      <w:r w:rsidRPr="00C22ABE">
        <w:rPr>
          <w:rFonts w:cstheme="minorHAnsi"/>
          <w:sz w:val="20"/>
          <w:szCs w:val="18"/>
        </w:rPr>
        <w:t xml:space="preserve">purement symptomatique (radiothérapie antalgique). </w:t>
      </w:r>
    </w:p>
    <w:p w14:paraId="1A30918E" w14:textId="3113BF4A" w:rsidR="00C12D67" w:rsidRPr="00541DE1" w:rsidRDefault="005C157E" w:rsidP="00AF67CB">
      <w:pPr>
        <w:tabs>
          <w:tab w:val="left" w:pos="7110"/>
        </w:tabs>
        <w:rPr>
          <w:rFonts w:cstheme="minorHAnsi"/>
          <w:sz w:val="20"/>
          <w:szCs w:val="18"/>
        </w:rPr>
      </w:pPr>
      <w:r w:rsidRPr="00C22ABE">
        <w:rPr>
          <w:rFonts w:cstheme="minorHAnsi"/>
          <w:sz w:val="20"/>
          <w:szCs w:val="18"/>
        </w:rPr>
        <w:t>Les indications des traitements oncologiques font l’objet de discussion en RCP (CMO en Belgique)</w:t>
      </w:r>
      <w:r w:rsidR="00654A88" w:rsidRPr="00C22ABE">
        <w:rPr>
          <w:rFonts w:cstheme="minorHAnsi"/>
          <w:sz w:val="20"/>
          <w:szCs w:val="18"/>
        </w:rPr>
        <w:t xml:space="preserve">. La majeure partie des tumeurs nécessitant une irradiation des structures osseuses sont des carcinomes épidermoïdes dont la </w:t>
      </w:r>
      <w:r w:rsidR="00654A88" w:rsidRPr="00541DE1">
        <w:rPr>
          <w:rFonts w:cstheme="minorHAnsi"/>
          <w:sz w:val="20"/>
          <w:szCs w:val="18"/>
        </w:rPr>
        <w:t xml:space="preserve">radiosensibilité est intermédiaire et justifie des doses </w:t>
      </w:r>
      <w:r w:rsidR="00EC4F14" w:rsidRPr="00541DE1">
        <w:rPr>
          <w:rFonts w:cstheme="minorHAnsi"/>
          <w:sz w:val="20"/>
          <w:szCs w:val="18"/>
        </w:rPr>
        <w:t xml:space="preserve">importantes </w:t>
      </w:r>
      <w:r w:rsidR="00654A88" w:rsidRPr="00541DE1">
        <w:rPr>
          <w:rFonts w:cstheme="minorHAnsi"/>
          <w:sz w:val="20"/>
          <w:szCs w:val="18"/>
        </w:rPr>
        <w:t>sur le site tumoral comprises entre 50 et 70 Gy.</w:t>
      </w:r>
    </w:p>
    <w:p w14:paraId="60F13F60" w14:textId="4A4F388B" w:rsidR="00001929" w:rsidRPr="00C22ABE" w:rsidRDefault="000B1DAC" w:rsidP="00A109C9">
      <w:pPr>
        <w:autoSpaceDE w:val="0"/>
        <w:autoSpaceDN w:val="0"/>
        <w:adjustRightInd w:val="0"/>
        <w:spacing w:after="0" w:line="240" w:lineRule="auto"/>
        <w:rPr>
          <w:rFonts w:cstheme="minorHAnsi"/>
          <w:bCs/>
          <w:sz w:val="20"/>
          <w:szCs w:val="18"/>
        </w:rPr>
      </w:pPr>
      <w:r w:rsidRPr="00541DE1">
        <w:rPr>
          <w:rFonts w:cstheme="minorHAnsi"/>
          <w:bCs/>
          <w:sz w:val="20"/>
          <w:szCs w:val="18"/>
        </w:rPr>
        <w:t xml:space="preserve">Les ORN ont non seulement </w:t>
      </w:r>
      <w:r w:rsidR="005C66E1" w:rsidRPr="00541DE1">
        <w:rPr>
          <w:rFonts w:cstheme="minorHAnsi"/>
          <w:bCs/>
          <w:sz w:val="20"/>
          <w:szCs w:val="18"/>
        </w:rPr>
        <w:t>une</w:t>
      </w:r>
      <w:r w:rsidRPr="00541DE1">
        <w:rPr>
          <w:rFonts w:cstheme="minorHAnsi"/>
          <w:bCs/>
          <w:sz w:val="20"/>
          <w:szCs w:val="18"/>
        </w:rPr>
        <w:t xml:space="preserve"> répercussion sur la qualité de vie des patients, mais sont un problème de santé publique par le coût qu’elles entrainent, par exemple l’usage de l’oxygénothérapie hyperbare</w:t>
      </w:r>
      <w:r w:rsidR="00330D9D" w:rsidRPr="00541DE1">
        <w:rPr>
          <w:rFonts w:cstheme="minorHAnsi"/>
          <w:bCs/>
          <w:sz w:val="20"/>
          <w:szCs w:val="18"/>
        </w:rPr>
        <w:t xml:space="preserve"> et la reconstruction par lambeaux libres</w:t>
      </w:r>
      <w:r w:rsidRPr="00541DE1">
        <w:rPr>
          <w:rFonts w:cstheme="minorHAnsi"/>
          <w:bCs/>
          <w:sz w:val="20"/>
          <w:szCs w:val="18"/>
        </w:rPr>
        <w:t xml:space="preserve"> </w:t>
      </w:r>
      <w:r w:rsidRPr="00541DE1">
        <w:rPr>
          <w:rFonts w:cstheme="minorHAnsi"/>
          <w:bCs/>
          <w:sz w:val="20"/>
          <w:szCs w:val="18"/>
        </w:rPr>
        <w:fldChar w:fldCharType="begin"/>
      </w:r>
      <w:r w:rsidR="00117917" w:rsidRPr="00541DE1">
        <w:rPr>
          <w:rFonts w:cstheme="minorHAnsi"/>
          <w:bCs/>
          <w:sz w:val="20"/>
          <w:szCs w:val="18"/>
        </w:rPr>
        <w:instrText xml:space="preserve"> ADDIN ZOTERO_ITEM CSL_CITATION {"citationID":"bO2SHUKj","properties":{"formattedCitation":"(13)","plainCitation":"(13)","noteIndex":0},"citationItems":[{"id":242,"uris":["http://zotero.org/users/local/Om3YyEnU/items/2CNYVACC"],"uri":["http://zotero.org/users/local/Om3YyEnU/items/2CNYVACC"],"itemData":{"id":242,"type":"article-journal","abstract":"Abstract\n            \n              Objective:\n              Osteoradionecrosis is a significant complication of head and neck cancer treatment, and its most severe form (grade III) necessitates radical surgery. This study aimed to compare the cost of free-flap reconstructive surgery for grade III osteoradionecrosis and similar non-osteoradionecrosis cases in order to assess the cost burden of osteoradionecrosis treatment.\n            \n            \n              Methods:\n              All patients who underwent free-flap reconstructive surgery for osteoradionecrosis between July 2004 and July 2010 at Auckland City Hospital (19 patients) were identified, and relevant data were collected retrospectively. These patients were matched in terms of age and sex with patients who underwent free-flap reconstructive surgery.\n            \n            \n              Results:\n              The treatment cost was 44 per cent higher in osteoradionecrosis patients when compared to non-osteoradionecrosis patients.\n            \n            \n              Conclusion:\n              The significant financial burden on the health system, and the growing evidence for the effectiveness of pentoxifylline, tocopherol and clodronate, should prompt us to explore this alternative treatment further.","container-title":"The Journal of Laryngology &amp; Otology","DOI":"10.1017/S0022215116009956","ISSN":"0022-2151, 1748-5460","issue":"4","journalAbbreviation":"J. Laryngol. Otol.","language":"en","page":"303-308","source":"DOI.org (Crossref)","title":"Cost analysis of osteoradionecrosis","volume":"131","author":[{"family":"Park","given":"L"},{"family":"Lilic","given":"N"},{"family":"Addison","given":"B"},{"family":"Patel","given":"R"}],"issued":{"date-parts":[["2017",4]]}}}],"schema":"https://github.com/citation-style-language/schema/raw/master/csl-citation.json"} </w:instrText>
      </w:r>
      <w:r w:rsidRPr="00541DE1">
        <w:rPr>
          <w:rFonts w:cstheme="minorHAnsi"/>
          <w:bCs/>
          <w:sz w:val="20"/>
          <w:szCs w:val="18"/>
        </w:rPr>
        <w:fldChar w:fldCharType="separate"/>
      </w:r>
      <w:r w:rsidR="00117917" w:rsidRPr="00541DE1">
        <w:rPr>
          <w:rFonts w:cstheme="minorHAnsi"/>
          <w:sz w:val="20"/>
        </w:rPr>
        <w:t>(13)</w:t>
      </w:r>
      <w:r w:rsidRPr="00541DE1">
        <w:rPr>
          <w:rFonts w:cstheme="minorHAnsi"/>
          <w:bCs/>
          <w:sz w:val="20"/>
          <w:szCs w:val="18"/>
        </w:rPr>
        <w:fldChar w:fldCharType="end"/>
      </w:r>
      <w:r w:rsidR="00F85BD7" w:rsidRPr="00541DE1">
        <w:rPr>
          <w:rFonts w:cstheme="minorHAnsi"/>
          <w:bCs/>
          <w:sz w:val="20"/>
          <w:szCs w:val="18"/>
        </w:rPr>
        <w:t>.</w:t>
      </w:r>
    </w:p>
    <w:p w14:paraId="3D5FE441" w14:textId="47F8F708" w:rsidR="00F85BD7" w:rsidRDefault="00F85BD7" w:rsidP="00B13BA1">
      <w:pPr>
        <w:tabs>
          <w:tab w:val="left" w:pos="7110"/>
        </w:tabs>
        <w:rPr>
          <w:rFonts w:cstheme="minorHAnsi"/>
          <w:b/>
          <w:bCs/>
          <w:color w:val="0000FF"/>
          <w:sz w:val="24"/>
          <w:u w:val="single"/>
        </w:rPr>
      </w:pPr>
    </w:p>
    <w:p w14:paraId="3529C5CC" w14:textId="77777777" w:rsidR="00541DE1" w:rsidRPr="00C22ABE" w:rsidRDefault="00541DE1" w:rsidP="00B13BA1">
      <w:pPr>
        <w:tabs>
          <w:tab w:val="left" w:pos="7110"/>
        </w:tabs>
        <w:rPr>
          <w:rFonts w:cstheme="minorHAnsi"/>
          <w:b/>
          <w:bCs/>
          <w:color w:val="0000FF"/>
          <w:sz w:val="24"/>
          <w:u w:val="single"/>
        </w:rPr>
      </w:pPr>
    </w:p>
    <w:p w14:paraId="56BB1E7E" w14:textId="327FC732" w:rsidR="00F85BD7" w:rsidRPr="00C22ABE" w:rsidRDefault="00F85BD7" w:rsidP="00B13BA1">
      <w:pPr>
        <w:tabs>
          <w:tab w:val="left" w:pos="7110"/>
        </w:tabs>
        <w:rPr>
          <w:rFonts w:cstheme="minorHAnsi"/>
          <w:b/>
          <w:bCs/>
          <w:color w:val="0000FF"/>
          <w:sz w:val="24"/>
          <w:u w:val="single"/>
        </w:rPr>
      </w:pPr>
    </w:p>
    <w:p w14:paraId="6B09985C" w14:textId="77777777" w:rsidR="00D30E52" w:rsidRPr="00C22ABE" w:rsidRDefault="00D30E52" w:rsidP="00B13BA1">
      <w:pPr>
        <w:tabs>
          <w:tab w:val="left" w:pos="7110"/>
        </w:tabs>
        <w:rPr>
          <w:rFonts w:cstheme="minorHAnsi"/>
          <w:b/>
          <w:bCs/>
          <w:color w:val="0000FF"/>
          <w:sz w:val="24"/>
          <w:u w:val="single"/>
        </w:rPr>
      </w:pPr>
    </w:p>
    <w:p w14:paraId="77F7D14C" w14:textId="6836FD2F" w:rsidR="00F85BD7" w:rsidRDefault="00C22ABE" w:rsidP="005631A4">
      <w:pPr>
        <w:pStyle w:val="Paragraphedeliste"/>
        <w:numPr>
          <w:ilvl w:val="0"/>
          <w:numId w:val="18"/>
        </w:numPr>
        <w:tabs>
          <w:tab w:val="left" w:pos="7110"/>
        </w:tabs>
        <w:rPr>
          <w:rFonts w:cstheme="minorHAnsi"/>
          <w:b/>
          <w:bCs/>
          <w:color w:val="0000FF"/>
          <w:sz w:val="28"/>
          <w:u w:val="single"/>
        </w:rPr>
      </w:pPr>
      <w:r w:rsidRPr="00C22ABE">
        <w:rPr>
          <w:rFonts w:cstheme="minorHAnsi"/>
          <w:b/>
          <w:bCs/>
          <w:color w:val="0000FF"/>
          <w:sz w:val="28"/>
          <w:u w:val="single"/>
        </w:rPr>
        <w:lastRenderedPageBreak/>
        <w:t>R</w:t>
      </w:r>
      <w:r w:rsidR="00F85BD7" w:rsidRPr="00C22ABE">
        <w:rPr>
          <w:rFonts w:cstheme="minorHAnsi"/>
          <w:b/>
          <w:bCs/>
          <w:color w:val="0000FF"/>
          <w:sz w:val="28"/>
          <w:u w:val="single"/>
        </w:rPr>
        <w:t>adiothérapie</w:t>
      </w:r>
    </w:p>
    <w:p w14:paraId="209BE824" w14:textId="77777777" w:rsidR="00C22ABE" w:rsidRPr="00C22ABE" w:rsidRDefault="00C22ABE" w:rsidP="00C22ABE">
      <w:pPr>
        <w:pStyle w:val="Paragraphedeliste"/>
        <w:tabs>
          <w:tab w:val="left" w:pos="7110"/>
        </w:tabs>
        <w:rPr>
          <w:rFonts w:cstheme="minorHAnsi"/>
          <w:b/>
          <w:bCs/>
          <w:color w:val="0000FF"/>
          <w:sz w:val="28"/>
          <w:u w:val="single"/>
        </w:rPr>
      </w:pPr>
    </w:p>
    <w:p w14:paraId="65784615" w14:textId="1137C54D" w:rsidR="00B13BA1" w:rsidRPr="00C22ABE" w:rsidRDefault="00F85BD7" w:rsidP="005631A4">
      <w:pPr>
        <w:pStyle w:val="Paragraphedeliste"/>
        <w:numPr>
          <w:ilvl w:val="1"/>
          <w:numId w:val="18"/>
        </w:numPr>
        <w:tabs>
          <w:tab w:val="left" w:pos="7110"/>
        </w:tabs>
        <w:rPr>
          <w:rFonts w:cstheme="minorHAnsi"/>
          <w:b/>
          <w:bCs/>
          <w:color w:val="0000FF"/>
          <w:sz w:val="24"/>
          <w:u w:val="single"/>
        </w:rPr>
      </w:pPr>
      <w:r w:rsidRPr="00C22ABE">
        <w:rPr>
          <w:rFonts w:cstheme="minorHAnsi"/>
          <w:b/>
          <w:bCs/>
          <w:color w:val="0000FF"/>
          <w:sz w:val="24"/>
          <w:u w:val="single"/>
        </w:rPr>
        <w:t>Technique thérapeutique</w:t>
      </w:r>
    </w:p>
    <w:p w14:paraId="52257E2D" w14:textId="03516139" w:rsidR="00B13BA1" w:rsidRPr="00C22ABE" w:rsidRDefault="00B13BA1" w:rsidP="00B13BA1">
      <w:pPr>
        <w:spacing w:line="256" w:lineRule="auto"/>
        <w:rPr>
          <w:rFonts w:cstheme="minorHAnsi"/>
          <w:sz w:val="20"/>
          <w:szCs w:val="18"/>
        </w:rPr>
      </w:pPr>
      <w:r w:rsidRPr="00C22ABE">
        <w:rPr>
          <w:rFonts w:cstheme="minorHAnsi"/>
          <w:sz w:val="20"/>
          <w:szCs w:val="18"/>
        </w:rPr>
        <w:t>Le choix de la source de radiations ionisantes dépend du site à traiter et du but du traitement. Deux types de sources sont utilisées</w:t>
      </w:r>
      <w:r w:rsidR="00517DC0" w:rsidRPr="00C22ABE">
        <w:rPr>
          <w:rFonts w:cstheme="minorHAnsi"/>
          <w:sz w:val="20"/>
          <w:szCs w:val="18"/>
        </w:rPr>
        <w:t> : externe et interne</w:t>
      </w:r>
      <w:r w:rsidRPr="00C22ABE">
        <w:rPr>
          <w:rFonts w:cstheme="minorHAnsi"/>
          <w:sz w:val="20"/>
          <w:szCs w:val="18"/>
        </w:rPr>
        <w:t>.</w:t>
      </w:r>
    </w:p>
    <w:p w14:paraId="0366696E" w14:textId="033AC316" w:rsidR="00B13BA1" w:rsidRPr="00C22ABE" w:rsidRDefault="00517DC0" w:rsidP="00B13BA1">
      <w:pPr>
        <w:spacing w:line="256" w:lineRule="auto"/>
        <w:rPr>
          <w:rFonts w:cstheme="minorHAnsi"/>
          <w:sz w:val="20"/>
          <w:szCs w:val="18"/>
        </w:rPr>
      </w:pPr>
      <w:r w:rsidRPr="00C22ABE">
        <w:rPr>
          <w:rFonts w:cstheme="minorHAnsi"/>
          <w:sz w:val="20"/>
          <w:szCs w:val="18"/>
        </w:rPr>
        <w:t>L</w:t>
      </w:r>
      <w:r w:rsidR="00B13BA1" w:rsidRPr="00C22ABE">
        <w:rPr>
          <w:rFonts w:cstheme="minorHAnsi"/>
          <w:sz w:val="20"/>
          <w:szCs w:val="18"/>
        </w:rPr>
        <w:t xml:space="preserve">a </w:t>
      </w:r>
      <w:r w:rsidR="00B13BA1" w:rsidRPr="00C22ABE">
        <w:rPr>
          <w:rFonts w:cstheme="minorHAnsi"/>
          <w:sz w:val="20"/>
          <w:szCs w:val="18"/>
          <w:u w:val="single"/>
        </w:rPr>
        <w:t>radiothérapie conformationnelle</w:t>
      </w:r>
      <w:r w:rsidR="00B13BA1" w:rsidRPr="00C22ABE">
        <w:rPr>
          <w:rFonts w:cstheme="minorHAnsi"/>
          <w:sz w:val="20"/>
          <w:szCs w:val="18"/>
        </w:rPr>
        <w:t xml:space="preserve"> avec modulation d’intensité (RCMI) ou IMRT (</w:t>
      </w:r>
      <w:proofErr w:type="spellStart"/>
      <w:r w:rsidR="00B13BA1" w:rsidRPr="00C22ABE">
        <w:rPr>
          <w:rFonts w:cstheme="minorHAnsi"/>
          <w:sz w:val="20"/>
          <w:szCs w:val="18"/>
        </w:rPr>
        <w:t>Intensity-modulated</w:t>
      </w:r>
      <w:proofErr w:type="spellEnd"/>
      <w:r w:rsidR="00B13BA1" w:rsidRPr="00C22ABE">
        <w:rPr>
          <w:rFonts w:cstheme="minorHAnsi"/>
          <w:sz w:val="20"/>
          <w:szCs w:val="18"/>
        </w:rPr>
        <w:t xml:space="preserve"> </w:t>
      </w:r>
      <w:proofErr w:type="spellStart"/>
      <w:r w:rsidR="00B13BA1" w:rsidRPr="00C22ABE">
        <w:rPr>
          <w:rFonts w:cstheme="minorHAnsi"/>
          <w:sz w:val="20"/>
          <w:szCs w:val="18"/>
        </w:rPr>
        <w:t>radiotherapy</w:t>
      </w:r>
      <w:proofErr w:type="spellEnd"/>
      <w:r w:rsidR="00B13BA1" w:rsidRPr="00C22ABE">
        <w:rPr>
          <w:rFonts w:cstheme="minorHAnsi"/>
          <w:sz w:val="20"/>
          <w:szCs w:val="18"/>
        </w:rPr>
        <w:t>)</w:t>
      </w:r>
      <w:r w:rsidRPr="00C22ABE">
        <w:rPr>
          <w:rFonts w:cstheme="minorHAnsi"/>
          <w:sz w:val="20"/>
          <w:szCs w:val="18"/>
        </w:rPr>
        <w:t xml:space="preserve"> utilise une source externe</w:t>
      </w:r>
      <w:r w:rsidR="00B13BA1" w:rsidRPr="00C22ABE">
        <w:rPr>
          <w:rFonts w:cstheme="minorHAnsi"/>
          <w:sz w:val="20"/>
          <w:szCs w:val="18"/>
        </w:rPr>
        <w:t>. C</w:t>
      </w:r>
      <w:r w:rsidR="00F85BD7" w:rsidRPr="00C22ABE">
        <w:rPr>
          <w:rFonts w:cstheme="minorHAnsi"/>
          <w:sz w:val="20"/>
          <w:szCs w:val="18"/>
        </w:rPr>
        <w:t>’</w:t>
      </w:r>
      <w:r w:rsidR="00B13BA1" w:rsidRPr="00C22ABE">
        <w:rPr>
          <w:rFonts w:cstheme="minorHAnsi"/>
          <w:sz w:val="20"/>
          <w:szCs w:val="18"/>
        </w:rPr>
        <w:t xml:space="preserve">est la technique de référence actuelle </w:t>
      </w:r>
      <w:r w:rsidR="0078630E" w:rsidRPr="00C22ABE">
        <w:rPr>
          <w:rFonts w:cstheme="minorHAnsi"/>
          <w:sz w:val="20"/>
          <w:szCs w:val="18"/>
        </w:rPr>
        <w:t>qui</w:t>
      </w:r>
      <w:r w:rsidR="00B13BA1" w:rsidRPr="00C22ABE">
        <w:rPr>
          <w:rFonts w:cstheme="minorHAnsi"/>
          <w:sz w:val="20"/>
          <w:szCs w:val="18"/>
        </w:rPr>
        <w:t xml:space="preserve"> perme</w:t>
      </w:r>
      <w:r w:rsidR="00F85BD7" w:rsidRPr="00C22ABE">
        <w:rPr>
          <w:rFonts w:cstheme="minorHAnsi"/>
          <w:sz w:val="20"/>
          <w:szCs w:val="18"/>
        </w:rPr>
        <w:t>t de</w:t>
      </w:r>
      <w:r w:rsidR="00B13BA1" w:rsidRPr="00C22ABE">
        <w:rPr>
          <w:rFonts w:cstheme="minorHAnsi"/>
          <w:sz w:val="20"/>
          <w:szCs w:val="18"/>
        </w:rPr>
        <w:t xml:space="preserve"> </w:t>
      </w:r>
      <w:proofErr w:type="spellStart"/>
      <w:r w:rsidR="00B13BA1" w:rsidRPr="00C22ABE">
        <w:rPr>
          <w:rFonts w:cstheme="minorHAnsi"/>
          <w:sz w:val="20"/>
          <w:szCs w:val="18"/>
        </w:rPr>
        <w:t>contourer</w:t>
      </w:r>
      <w:proofErr w:type="spellEnd"/>
      <w:r w:rsidR="00B13BA1" w:rsidRPr="00C22ABE">
        <w:rPr>
          <w:rFonts w:cstheme="minorHAnsi"/>
          <w:sz w:val="20"/>
          <w:szCs w:val="18"/>
        </w:rPr>
        <w:t xml:space="preserve"> la tumeur dans les 3 plans de l’espace par l’utilisation de collimateurs </w:t>
      </w:r>
      <w:proofErr w:type="spellStart"/>
      <w:r w:rsidR="00B13BA1" w:rsidRPr="00C22ABE">
        <w:rPr>
          <w:rFonts w:cstheme="minorHAnsi"/>
          <w:sz w:val="20"/>
          <w:szCs w:val="18"/>
        </w:rPr>
        <w:t>multilames</w:t>
      </w:r>
      <w:proofErr w:type="spellEnd"/>
      <w:r w:rsidR="00B13BA1" w:rsidRPr="00C22ABE">
        <w:rPr>
          <w:rFonts w:cstheme="minorHAnsi"/>
          <w:sz w:val="20"/>
          <w:szCs w:val="18"/>
        </w:rPr>
        <w:t xml:space="preserve">. La RCMI permet d’épargner la toxicité sur les tissus adjacents, par exemple les glandes salivaires, réduisant ainsi la xérostomie </w:t>
      </w:r>
      <w:r w:rsidR="00B13BA1" w:rsidRPr="00C22ABE">
        <w:rPr>
          <w:rFonts w:cstheme="minorHAnsi"/>
          <w:sz w:val="20"/>
          <w:szCs w:val="18"/>
        </w:rPr>
        <w:fldChar w:fldCharType="begin"/>
      </w:r>
      <w:r w:rsidR="00B13BA1" w:rsidRPr="00C22ABE">
        <w:rPr>
          <w:rFonts w:cstheme="minorHAnsi"/>
          <w:sz w:val="20"/>
          <w:szCs w:val="18"/>
        </w:rPr>
        <w:instrText xml:space="preserve"> ADDIN ZOTERO_ITEM CSL_CITATION {"citationID":"sRpEWZbU","properties":{"formattedCitation":"(14)","plainCitation":"(14)","noteIndex":0},"citationItems":[{"id":254,"uris":["http://zotero.org/users/local/Om3YyEnU/items/I67ISG7U"],"uri":["http://zotero.org/users/local/Om3YyEnU/items/I67ISG7U"],"itemData":{"id":254,"type":"article-journal","abstract":"Intensity-modulated radiation therapy (IMRT) is the gold standard for head and neck irradiation. It allows better protection to the organs at risk such as salivary glands and mandible, and can reduce the frequency of xerostomia, trismus and osteoradionecrosis. At the time of treatment planning, the mean dose to a single parotid gland should be kept below 26Gy, the mean dose to a single submandibular gland below 39Gy, the mean dose to the mandible below 60 to 65Gy and the D2% to a single temporomandibular joint below 65Gy. These dose constraints could be further improved with data extracted from cohorts of patients receiving IMRT exclusively. The dose administered to the target volumes should not be lessened to spare the salivary glands or mandible.","container-title":"Cancer Radiotherapie: Journal De La Societe Francaise De Radiotherapie Oncologique","DOI":"10.1016/j.canrad.2016.07.066","ISSN":"1769-6658","issue":"6-7","journalAbbreviation":"Cancer Radiother","language":"fre","note":"PMID: 27614524","page":"445-451","source":"PubMed","title":"[Intensity-modulated radiotherapy for head and neck cancer. Dose constraint for salivary gland and mandible]","volume":"20","author":[{"family":"Pointreau","given":"Y."},{"family":"Lizée","given":"T."},{"family":"Bensadoun","given":"R.-J."},{"family":"Boisselier","given":"P."},{"family":"Racadot","given":"S."},{"family":"Thariat","given":"J."},{"family":"Graff","given":"P."}],"issued":{"date-parts":[["2016",10]]}}}],"schema":"https://github.com/citation-style-language/schema/raw/master/csl-citation.json"} </w:instrText>
      </w:r>
      <w:r w:rsidR="00B13BA1" w:rsidRPr="00C22ABE">
        <w:rPr>
          <w:rFonts w:cstheme="minorHAnsi"/>
          <w:sz w:val="20"/>
          <w:szCs w:val="18"/>
        </w:rPr>
        <w:fldChar w:fldCharType="separate"/>
      </w:r>
      <w:r w:rsidR="00B13BA1" w:rsidRPr="00C22ABE">
        <w:rPr>
          <w:rFonts w:cstheme="minorHAnsi"/>
          <w:sz w:val="20"/>
        </w:rPr>
        <w:t>(14)</w:t>
      </w:r>
      <w:r w:rsidR="00B13BA1" w:rsidRPr="00C22ABE">
        <w:rPr>
          <w:rFonts w:cstheme="minorHAnsi"/>
          <w:sz w:val="20"/>
          <w:szCs w:val="18"/>
        </w:rPr>
        <w:fldChar w:fldCharType="end"/>
      </w:r>
      <w:r w:rsidR="00B13BA1" w:rsidRPr="00C22ABE">
        <w:rPr>
          <w:rFonts w:cstheme="minorHAnsi"/>
          <w:sz w:val="20"/>
          <w:szCs w:val="18"/>
        </w:rPr>
        <w:t xml:space="preserve">. </w:t>
      </w:r>
      <w:r w:rsidRPr="00C22ABE">
        <w:rPr>
          <w:rFonts w:cstheme="minorHAnsi"/>
          <w:sz w:val="20"/>
          <w:szCs w:val="18"/>
        </w:rPr>
        <w:t>La RCMI</w:t>
      </w:r>
      <w:r w:rsidR="00B13BA1" w:rsidRPr="00C22ABE">
        <w:rPr>
          <w:rFonts w:cstheme="minorHAnsi"/>
          <w:sz w:val="20"/>
          <w:szCs w:val="18"/>
        </w:rPr>
        <w:t xml:space="preserve"> remplac</w:t>
      </w:r>
      <w:r w:rsidRPr="00C22ABE">
        <w:rPr>
          <w:rFonts w:cstheme="minorHAnsi"/>
          <w:sz w:val="20"/>
          <w:szCs w:val="18"/>
        </w:rPr>
        <w:t>e</w:t>
      </w:r>
      <w:r w:rsidR="00B13BA1" w:rsidRPr="00C22ABE">
        <w:rPr>
          <w:rFonts w:cstheme="minorHAnsi"/>
          <w:sz w:val="20"/>
          <w:szCs w:val="18"/>
        </w:rPr>
        <w:t xml:space="preserve"> la radiothérapie conventionnelle « bidimensionnelle » et son usage a permis de faire diminuer le taux d’ORN.</w:t>
      </w:r>
    </w:p>
    <w:p w14:paraId="0AE755B7" w14:textId="691AC508" w:rsidR="00B13BA1" w:rsidRPr="00C22ABE" w:rsidRDefault="00B13BA1" w:rsidP="00B13BA1">
      <w:pPr>
        <w:rPr>
          <w:rFonts w:cstheme="minorHAnsi"/>
          <w:sz w:val="20"/>
          <w:szCs w:val="18"/>
        </w:rPr>
      </w:pPr>
      <w:r w:rsidRPr="00C22ABE">
        <w:rPr>
          <w:rFonts w:cstheme="minorHAnsi"/>
          <w:sz w:val="20"/>
          <w:szCs w:val="18"/>
        </w:rPr>
        <w:t xml:space="preserve">La </w:t>
      </w:r>
      <w:proofErr w:type="spellStart"/>
      <w:r w:rsidRPr="00C22ABE">
        <w:rPr>
          <w:rFonts w:cstheme="minorHAnsi"/>
          <w:sz w:val="20"/>
          <w:szCs w:val="18"/>
          <w:u w:val="single"/>
        </w:rPr>
        <w:t>brachyth</w:t>
      </w:r>
      <w:r w:rsidR="00517DC0" w:rsidRPr="00C22ABE">
        <w:rPr>
          <w:rFonts w:cstheme="minorHAnsi"/>
          <w:sz w:val="20"/>
          <w:szCs w:val="18"/>
          <w:u w:val="single"/>
        </w:rPr>
        <w:t>é</w:t>
      </w:r>
      <w:r w:rsidRPr="00C22ABE">
        <w:rPr>
          <w:rFonts w:cstheme="minorHAnsi"/>
          <w:sz w:val="20"/>
          <w:szCs w:val="18"/>
          <w:u w:val="single"/>
        </w:rPr>
        <w:t>rapie</w:t>
      </w:r>
      <w:proofErr w:type="spellEnd"/>
      <w:r w:rsidRPr="00C22ABE">
        <w:rPr>
          <w:rFonts w:cstheme="minorHAnsi"/>
          <w:sz w:val="20"/>
          <w:szCs w:val="18"/>
          <w:u w:val="single"/>
        </w:rPr>
        <w:t xml:space="preserve"> </w:t>
      </w:r>
      <w:r w:rsidRPr="00C22ABE">
        <w:rPr>
          <w:rFonts w:cstheme="minorHAnsi"/>
          <w:sz w:val="20"/>
          <w:szCs w:val="18"/>
        </w:rPr>
        <w:t>(ou curiethérapie) utilis</w:t>
      </w:r>
      <w:r w:rsidR="00517DC0" w:rsidRPr="00C22ABE">
        <w:rPr>
          <w:rFonts w:cstheme="minorHAnsi"/>
          <w:sz w:val="20"/>
          <w:szCs w:val="18"/>
        </w:rPr>
        <w:t>e</w:t>
      </w:r>
      <w:r w:rsidRPr="00C22ABE">
        <w:rPr>
          <w:rFonts w:cstheme="minorHAnsi"/>
          <w:sz w:val="20"/>
          <w:szCs w:val="18"/>
        </w:rPr>
        <w:t xml:space="preserve"> une source radioactive placée </w:t>
      </w:r>
      <w:r w:rsidR="00F85BD7" w:rsidRPr="00C22ABE">
        <w:rPr>
          <w:rFonts w:cstheme="minorHAnsi"/>
          <w:sz w:val="20"/>
          <w:szCs w:val="18"/>
        </w:rPr>
        <w:t>au sein de la tumeur ou à proximité</w:t>
      </w:r>
      <w:r w:rsidRPr="00C22ABE">
        <w:rPr>
          <w:rFonts w:cstheme="minorHAnsi"/>
          <w:sz w:val="20"/>
          <w:szCs w:val="18"/>
        </w:rPr>
        <w:t xml:space="preserve"> (implant interstitiel ou matériel endocavitaire). Elle peut être utilisée comme une technique de boost après radiothérapie externe ou comme seul traitement pour des tumeurs de petite taille. La curiethérapie existe aussi sous forme intravasculaire </w:t>
      </w:r>
      <w:r w:rsidR="00A80EB0" w:rsidRPr="00C22ABE">
        <w:rPr>
          <w:rFonts w:cstheme="minorHAnsi"/>
          <w:sz w:val="20"/>
          <w:szCs w:val="18"/>
        </w:rPr>
        <w:t>(</w:t>
      </w:r>
      <w:r w:rsidRPr="00C22ABE">
        <w:rPr>
          <w:rFonts w:cstheme="minorHAnsi"/>
          <w:sz w:val="20"/>
          <w:szCs w:val="18"/>
        </w:rPr>
        <w:t>Iode 131*</w:t>
      </w:r>
      <w:r w:rsidR="00A80EB0" w:rsidRPr="00C22ABE">
        <w:rPr>
          <w:rFonts w:cstheme="minorHAnsi"/>
          <w:sz w:val="20"/>
          <w:szCs w:val="18"/>
        </w:rPr>
        <w:t>)</w:t>
      </w:r>
      <w:r w:rsidRPr="00C22ABE">
        <w:rPr>
          <w:rFonts w:cstheme="minorHAnsi"/>
          <w:sz w:val="20"/>
          <w:szCs w:val="18"/>
        </w:rPr>
        <w:t>.</w:t>
      </w:r>
    </w:p>
    <w:p w14:paraId="570AB53C" w14:textId="64995104" w:rsidR="00B13BA1" w:rsidRPr="00C22ABE" w:rsidRDefault="00B13BA1" w:rsidP="00D30E52">
      <w:pPr>
        <w:rPr>
          <w:rFonts w:cstheme="minorHAnsi"/>
          <w:sz w:val="20"/>
          <w:szCs w:val="18"/>
        </w:rPr>
      </w:pPr>
      <w:r w:rsidRPr="00C22ABE">
        <w:rPr>
          <w:rFonts w:cstheme="minorHAnsi"/>
          <w:sz w:val="20"/>
          <w:szCs w:val="18"/>
        </w:rPr>
        <w:t xml:space="preserve">Il existe plusieurs types de radiations ionisantes : les rayonnements d’ondes électromagnétiques ou photons (rayons X et rayons gamma) </w:t>
      </w:r>
      <w:r w:rsidR="00D30E52" w:rsidRPr="00C22ABE">
        <w:rPr>
          <w:rFonts w:cstheme="minorHAnsi"/>
          <w:sz w:val="20"/>
          <w:szCs w:val="18"/>
        </w:rPr>
        <w:t xml:space="preserve">et </w:t>
      </w:r>
      <w:r w:rsidRPr="00C22ABE">
        <w:rPr>
          <w:rFonts w:cstheme="minorHAnsi"/>
          <w:sz w:val="20"/>
          <w:szCs w:val="18"/>
        </w:rPr>
        <w:t>les rayonnements de particules (protons, électrons, neutrons)</w:t>
      </w:r>
      <w:r w:rsidR="00D30E52" w:rsidRPr="00C22ABE">
        <w:rPr>
          <w:rFonts w:cstheme="minorHAnsi"/>
          <w:sz w:val="20"/>
          <w:szCs w:val="18"/>
        </w:rPr>
        <w:t>.</w:t>
      </w:r>
    </w:p>
    <w:p w14:paraId="50D79B68" w14:textId="365CD033" w:rsidR="00B13BA1" w:rsidRPr="00C22ABE" w:rsidRDefault="0078630E" w:rsidP="00B13BA1">
      <w:pPr>
        <w:rPr>
          <w:rFonts w:cstheme="minorHAnsi"/>
          <w:sz w:val="20"/>
          <w:szCs w:val="18"/>
        </w:rPr>
      </w:pPr>
      <w:r w:rsidRPr="00C22ABE">
        <w:rPr>
          <w:rFonts w:cstheme="minorHAnsi"/>
          <w:sz w:val="20"/>
          <w:szCs w:val="18"/>
        </w:rPr>
        <w:t>Les radiations ionisantes produisent leurs effets biologiques par le transfert de leur énergie aux tissus. L’importance de l’énergie conditionne la profondeur de pénétration</w:t>
      </w:r>
      <w:r w:rsidR="00B13BA1" w:rsidRPr="00C22ABE">
        <w:rPr>
          <w:rFonts w:cstheme="minorHAnsi"/>
          <w:sz w:val="20"/>
          <w:szCs w:val="18"/>
        </w:rPr>
        <w:t xml:space="preserve">. </w:t>
      </w:r>
      <w:r w:rsidRPr="00C22ABE">
        <w:rPr>
          <w:rFonts w:cstheme="minorHAnsi"/>
          <w:sz w:val="20"/>
          <w:szCs w:val="18"/>
        </w:rPr>
        <w:t xml:space="preserve">Les tumeurs tête et cou étant relativement peu profondes, l’énergie des rayons est plus basse par rapport à des sites viscéraux. L’os absorbe jusqu’à 6 fois plus de radiations ionisantes que les tissus mous avoisinants. </w:t>
      </w:r>
      <w:r w:rsidR="00B13BA1" w:rsidRPr="00C22ABE">
        <w:rPr>
          <w:rFonts w:cstheme="minorHAnsi"/>
          <w:sz w:val="20"/>
          <w:szCs w:val="18"/>
        </w:rPr>
        <w:t xml:space="preserve">La dose absorbée correspond à la quantité d’énergie absorbée par unité de matière </w:t>
      </w:r>
      <w:r w:rsidR="00C22ABE" w:rsidRPr="00C22ABE">
        <w:rPr>
          <w:rFonts w:cstheme="minorHAnsi"/>
          <w:sz w:val="20"/>
          <w:szCs w:val="18"/>
        </w:rPr>
        <w:t xml:space="preserve">et </w:t>
      </w:r>
      <w:r w:rsidR="00B13BA1" w:rsidRPr="00C22ABE">
        <w:rPr>
          <w:rFonts w:cstheme="minorHAnsi"/>
          <w:sz w:val="20"/>
          <w:szCs w:val="18"/>
        </w:rPr>
        <w:t xml:space="preserve">est mesurée en Gray (Gy) (1 Gy = 1 Joule absorbé par kilo de matière). Une partie du rayonnement est déviée (diffusion) et explique l’irradiation de zones adjacentes. </w:t>
      </w:r>
    </w:p>
    <w:p w14:paraId="0B550A45" w14:textId="34FC2715" w:rsidR="00E339BA" w:rsidRPr="00C22ABE" w:rsidRDefault="00B13BA1" w:rsidP="00DD29FB">
      <w:pPr>
        <w:rPr>
          <w:rFonts w:cstheme="minorHAnsi"/>
          <w:sz w:val="20"/>
          <w:szCs w:val="18"/>
        </w:rPr>
      </w:pPr>
      <w:r w:rsidRPr="00C22ABE">
        <w:rPr>
          <w:rFonts w:cstheme="minorHAnsi"/>
          <w:sz w:val="20"/>
          <w:szCs w:val="18"/>
        </w:rPr>
        <w:t>Le but du traitement est l’altération de l’ADN des cellules tumorales. Des radicaux libres sont générés, qui créent des lésions des chaines simples et doubles de l’ADN et une perte de la capacité de reproduction cellulaire. La réponse aux lésions de l'ADN nécessaire au maintien de l'intégrité génomique est altérée. Les rayonnements ionisants modifient également la membrane cellulaire. L’oxygène présent dans les tissus entraine la formation de ROS (espèces réactives d’oxygène), dont la durée de vie est longue.</w:t>
      </w:r>
    </w:p>
    <w:p w14:paraId="23758B73" w14:textId="6CD74EC0" w:rsidR="00B13BA1" w:rsidRPr="00C22ABE" w:rsidRDefault="006E5577" w:rsidP="00B13BA1">
      <w:pPr>
        <w:rPr>
          <w:rFonts w:cstheme="minorHAnsi"/>
          <w:sz w:val="20"/>
          <w:szCs w:val="18"/>
        </w:rPr>
      </w:pPr>
      <w:r w:rsidRPr="00C22ABE">
        <w:rPr>
          <w:rFonts w:cstheme="minorHAnsi"/>
          <w:sz w:val="20"/>
          <w:szCs w:val="18"/>
        </w:rPr>
        <w:t xml:space="preserve">On note deux types de toxicité. </w:t>
      </w:r>
      <w:r w:rsidR="00B13BA1" w:rsidRPr="00C22ABE">
        <w:rPr>
          <w:rFonts w:cstheme="minorHAnsi"/>
          <w:sz w:val="20"/>
          <w:szCs w:val="18"/>
        </w:rPr>
        <w:t>La "r</w:t>
      </w:r>
      <w:r w:rsidR="00B13BA1" w:rsidRPr="00C22ABE">
        <w:rPr>
          <w:rFonts w:cstheme="minorHAnsi"/>
          <w:sz w:val="20"/>
          <w:szCs w:val="18"/>
          <w:u w:val="single"/>
        </w:rPr>
        <w:t>adiotoxicité</w:t>
      </w:r>
      <w:r w:rsidR="00B13BA1" w:rsidRPr="00C22ABE">
        <w:rPr>
          <w:rFonts w:cstheme="minorHAnsi"/>
          <w:sz w:val="20"/>
          <w:szCs w:val="18"/>
        </w:rPr>
        <w:t xml:space="preserve">" est une modification ou un effet indésirable temporaire ou permanent des tissus normaux et/ou des symptômes connexes résultant de la radiothérapie. La </w:t>
      </w:r>
      <w:r w:rsidR="00B13BA1" w:rsidRPr="00C22ABE">
        <w:rPr>
          <w:rFonts w:cstheme="minorHAnsi"/>
          <w:sz w:val="20"/>
          <w:szCs w:val="18"/>
          <w:u w:val="single"/>
        </w:rPr>
        <w:t>"radiosensibilité</w:t>
      </w:r>
      <w:r w:rsidR="00B13BA1" w:rsidRPr="00C22ABE">
        <w:rPr>
          <w:rFonts w:cstheme="minorHAnsi"/>
          <w:sz w:val="20"/>
          <w:szCs w:val="18"/>
        </w:rPr>
        <w:t>" est la sensibilité des cellules à l'irradiation in vitro</w:t>
      </w:r>
      <w:r w:rsidR="002C6F4C" w:rsidRPr="00C22ABE">
        <w:rPr>
          <w:rFonts w:cstheme="minorHAnsi"/>
          <w:sz w:val="20"/>
          <w:szCs w:val="18"/>
        </w:rPr>
        <w:t>.</w:t>
      </w:r>
      <w:r w:rsidR="00B13BA1" w:rsidRPr="00C22ABE">
        <w:rPr>
          <w:rFonts w:cstheme="minorHAnsi"/>
          <w:i/>
          <w:iCs/>
          <w:sz w:val="20"/>
          <w:szCs w:val="18"/>
        </w:rPr>
        <w:t xml:space="preserve"> </w:t>
      </w:r>
      <w:r w:rsidR="00B13BA1" w:rsidRPr="00C22ABE">
        <w:rPr>
          <w:rFonts w:cstheme="minorHAnsi"/>
          <w:sz w:val="20"/>
          <w:szCs w:val="18"/>
        </w:rPr>
        <w:t xml:space="preserve">La radiosensibilité est plus importante à certains moments du cycle cellulaire dont les phases G2 de préparation et M de division cellulaire. On constate aussi que l’hypoxie est un facteur de sensibilité moindre voire de résistance à la radiothérapie et nécessite des doses plus importantes pour obtenir une réponse. </w:t>
      </w:r>
    </w:p>
    <w:p w14:paraId="7ABA459B" w14:textId="19AC730D" w:rsidR="00B13BA1" w:rsidRPr="00C22ABE" w:rsidRDefault="00B13BA1" w:rsidP="0035427A">
      <w:pPr>
        <w:rPr>
          <w:rFonts w:cstheme="minorHAnsi"/>
          <w:sz w:val="20"/>
          <w:szCs w:val="18"/>
        </w:rPr>
      </w:pPr>
      <w:r w:rsidRPr="00C22ABE">
        <w:rPr>
          <w:rFonts w:cstheme="minorHAnsi"/>
          <w:sz w:val="20"/>
          <w:szCs w:val="18"/>
        </w:rPr>
        <w:t xml:space="preserve">L’altération du </w:t>
      </w:r>
      <w:r w:rsidRPr="00C22ABE">
        <w:rPr>
          <w:rFonts w:cstheme="minorHAnsi"/>
          <w:bCs/>
          <w:sz w:val="20"/>
          <w:szCs w:val="18"/>
        </w:rPr>
        <w:t>remodelage osseux</w:t>
      </w:r>
      <w:r w:rsidRPr="00C22ABE">
        <w:rPr>
          <w:rFonts w:cstheme="minorHAnsi"/>
          <w:sz w:val="20"/>
          <w:szCs w:val="18"/>
        </w:rPr>
        <w:t xml:space="preserve"> peut être la conséquence de lésions directes des cellules osseu</w:t>
      </w:r>
      <w:r w:rsidR="00A80EB0" w:rsidRPr="00C22ABE">
        <w:rPr>
          <w:rFonts w:cstheme="minorHAnsi"/>
          <w:sz w:val="20"/>
          <w:szCs w:val="18"/>
        </w:rPr>
        <w:t>ses</w:t>
      </w:r>
      <w:r w:rsidRPr="00C22ABE">
        <w:rPr>
          <w:rFonts w:cstheme="minorHAnsi"/>
          <w:sz w:val="20"/>
          <w:szCs w:val="18"/>
        </w:rPr>
        <w:t xml:space="preserve"> par la radiothérapie, indirectes par des lésions vasculaires radio induites ou une combinaison des deux. </w:t>
      </w:r>
    </w:p>
    <w:p w14:paraId="6C1BB95B" w14:textId="6D066819" w:rsidR="00B13BA1" w:rsidRPr="00C22ABE" w:rsidRDefault="00B13BA1" w:rsidP="005631A4">
      <w:pPr>
        <w:pStyle w:val="Paragraphedeliste"/>
        <w:numPr>
          <w:ilvl w:val="1"/>
          <w:numId w:val="18"/>
        </w:numPr>
        <w:rPr>
          <w:rFonts w:cstheme="minorHAnsi"/>
          <w:b/>
          <w:bCs/>
          <w:color w:val="0000FF"/>
          <w:sz w:val="24"/>
          <w:u w:val="single"/>
        </w:rPr>
      </w:pPr>
      <w:r w:rsidRPr="00C22ABE">
        <w:rPr>
          <w:rFonts w:cstheme="minorHAnsi"/>
          <w:b/>
          <w:bCs/>
          <w:color w:val="0000FF"/>
          <w:sz w:val="24"/>
          <w:u w:val="single"/>
        </w:rPr>
        <w:t>Effets secondaires</w:t>
      </w:r>
    </w:p>
    <w:p w14:paraId="7EA2BD49" w14:textId="24B89F00" w:rsidR="00B13BA1" w:rsidRPr="00C22ABE" w:rsidRDefault="00B13BA1" w:rsidP="00B13BA1">
      <w:pPr>
        <w:rPr>
          <w:rFonts w:cstheme="minorHAnsi"/>
          <w:sz w:val="20"/>
          <w:szCs w:val="18"/>
        </w:rPr>
      </w:pPr>
      <w:r w:rsidRPr="00C22ABE">
        <w:rPr>
          <w:rFonts w:cstheme="minorHAnsi"/>
          <w:sz w:val="20"/>
          <w:szCs w:val="18"/>
        </w:rPr>
        <w:t xml:space="preserve">On distingue </w:t>
      </w:r>
      <w:r w:rsidR="00C22ABE" w:rsidRPr="00C22ABE">
        <w:rPr>
          <w:rFonts w:cstheme="minorHAnsi"/>
          <w:sz w:val="20"/>
          <w:szCs w:val="18"/>
        </w:rPr>
        <w:t>des effets secondaires précoces</w:t>
      </w:r>
      <w:r w:rsidRPr="00C22ABE">
        <w:rPr>
          <w:rFonts w:cstheme="minorHAnsi"/>
          <w:sz w:val="20"/>
          <w:szCs w:val="18"/>
        </w:rPr>
        <w:t xml:space="preserve"> </w:t>
      </w:r>
      <w:r w:rsidR="00C22ABE" w:rsidRPr="00C22ABE">
        <w:rPr>
          <w:rFonts w:cstheme="minorHAnsi"/>
          <w:sz w:val="20"/>
          <w:szCs w:val="18"/>
        </w:rPr>
        <w:t>(</w:t>
      </w:r>
      <w:r w:rsidRPr="00C22ABE">
        <w:rPr>
          <w:rFonts w:cstheme="minorHAnsi"/>
          <w:sz w:val="20"/>
          <w:szCs w:val="18"/>
        </w:rPr>
        <w:t>dans les 6 mois</w:t>
      </w:r>
      <w:r w:rsidR="00C22ABE" w:rsidRPr="00C22ABE">
        <w:rPr>
          <w:rFonts w:cstheme="minorHAnsi"/>
          <w:sz w:val="20"/>
          <w:szCs w:val="18"/>
        </w:rPr>
        <w:t>)</w:t>
      </w:r>
      <w:r w:rsidRPr="00C22ABE">
        <w:rPr>
          <w:rFonts w:cstheme="minorHAnsi"/>
          <w:sz w:val="20"/>
          <w:szCs w:val="18"/>
        </w:rPr>
        <w:t xml:space="preserve"> et tardifs, à plus de 6 mois de la fin du traitement de radiothérapie.</w:t>
      </w:r>
    </w:p>
    <w:p w14:paraId="44449992" w14:textId="5918A035" w:rsidR="00B13BA1" w:rsidRPr="00C22ABE" w:rsidRDefault="00B13BA1" w:rsidP="00B13BA1">
      <w:pPr>
        <w:tabs>
          <w:tab w:val="left" w:pos="7110"/>
        </w:tabs>
        <w:rPr>
          <w:rFonts w:cstheme="minorHAnsi"/>
          <w:sz w:val="20"/>
          <w:szCs w:val="18"/>
        </w:rPr>
      </w:pPr>
      <w:r w:rsidRPr="00C22ABE">
        <w:rPr>
          <w:rFonts w:cstheme="minorHAnsi"/>
          <w:sz w:val="20"/>
          <w:szCs w:val="18"/>
        </w:rPr>
        <w:t xml:space="preserve">Les </w:t>
      </w:r>
      <w:r w:rsidRPr="00C22ABE">
        <w:rPr>
          <w:rFonts w:cstheme="minorHAnsi"/>
          <w:sz w:val="20"/>
          <w:szCs w:val="18"/>
          <w:u w:val="single"/>
        </w:rPr>
        <w:t>effets secondaires précoces et aigus</w:t>
      </w:r>
      <w:r w:rsidRPr="00C22ABE">
        <w:rPr>
          <w:rFonts w:cstheme="minorHAnsi"/>
          <w:sz w:val="20"/>
          <w:szCs w:val="18"/>
        </w:rPr>
        <w:t xml:space="preserve"> (mucite, dermite) apparaissent très rapidement après le début du traitement et se résolvent en quelques semaines ou mois après la fin du traitement. La mucite peut apparaître dès la deuxième semaine de traitement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XaD5C4zS","properties":{"formattedCitation":"(15)","plainCitation":"(15)","noteIndex":0},"citationItems":[{"id":256,"uris":["http://zotero.org/users/local/Om3YyEnU/items/ATQ4UT42"],"uri":["http://zotero.org/users/local/Om3YyEnU/items/ATQ4UT42"],"itemData":{"id":256,"type":"article-journal","abstract":"In France, in 2005, there were approximately 16,000 new cases of head and neck cancer. These cancers have an unfavourable prognosis: the survival rates at 3 and 10 years are 50% and 10% respectively. The consumption of alcohol and tobacco is the most important risk factor; in some countries HPV infection was identified as a risk factor of head and neck tumours. Furthermore, a poor oral hygiene seems to raise this risk. We found many decay and periodontium problems in patients with an upper aerodigestive tract cancer. An evaluation of dental state is necessary before any cancer treatment. Treatments by radiotherapy engender noxious effects: hypocellular, hypovascularization, hypoxie of the irradiated tissues, which lead to immediate and chronically oral complications such as mucositis, fibrosis, xerostomia, decay, or osteoradionecrosis. An oral follow-up of these patients can prevent these complications, or reduce the severity of oral complications, and promote a good oral state.","container-title":"Cancer Radiotherapie: Journal De La Societe Francaise De Radiotherapie Oncologique","DOI":"10.1016/j.canrad.2015.01.004","ISSN":"1769-6658","issue":"3","journalAbbreviation":"Cancer Radiother","language":"fre","note":"PMID: 25937188","page":"205-210; quiz 230, 234","source":"PubMed","title":"[Dental state in patients with head and neck cancers]","volume":"19","author":[{"family":"Rouers","given":"M."},{"family":"Truntzer","given":"P."},{"family":"Dubourg","given":"S."},{"family":"Guihard","given":"S."},{"family":"Antoni","given":"D."},{"family":"Noël","given":"G."}],"issued":{"date-parts":[["2015",5]]}}}],"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(15)</w:t>
      </w:r>
      <w:r w:rsidRPr="00C22ABE">
        <w:rPr>
          <w:rFonts w:cstheme="minorHAnsi"/>
          <w:sz w:val="20"/>
          <w:szCs w:val="18"/>
        </w:rPr>
        <w:fldChar w:fldCharType="end"/>
      </w:r>
      <w:r w:rsidRPr="00C22ABE">
        <w:rPr>
          <w:rFonts w:cstheme="minorHAnsi"/>
          <w:sz w:val="20"/>
          <w:szCs w:val="18"/>
        </w:rPr>
        <w:t xml:space="preserve">. Les mucites altèrent la capacité d’élocution, d’alimentation, avec des dysphagies parfois importantes nécessitant la mise en place d’une sonde nasogastrique ou d’une gastrostomie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rhLuaFtg","properties":{"formattedCitation":"(16)","plainCitation":"(16)","noteIndex":0},"citationItems":[{"id":295,"uris":["http://zotero.org/users/local/Om3YyEnU/items/VL2X7YYP"],"uri":["http://zotero.org/users/local/Om3YyEnU/items/VL2X7YYP"],"itemData":{"id":295,"type":"article-journal","abstract":"A diagnosis of head and neck cancer (HNC) is typically followed by therapy that is associated with immediate and long-lasting toxic consequences. HNC patients' oral health needs may be complex and are best addressed in multidisciplinary collaborative teams including surgical, medical, and radiation oncologists, dental providers, nutrition, speech/swallow specialists, and physical therapists. Oral health maintenance also requires patient compliance and caregiver support. The role of dental providers begins prior to cancer diagnosis and continues through survivorship. This includes oral screening and health maintenance, management of common oral complications such as mucositis, pain, infection, salivary dysfunction, altered taste, and dental decay, as well as complex issues that include soft tissue fibrosis, osteoradionecrosis of the jaw, dysphagia, and recurrent/new primary malignancies. As the number of potential therapeutic interventions for HNC increase, so do the spectrum of side effects affecting the oral cavity, oropharynx, and dentition. Specific approaches to oral care must be tailored to the idiosyncrasies of the patient and his/her therapy and condition. Oral and dental care is impacted by the patient's oral and dental status prior to cancer therapy, as well as the specific cancer type, location, stage, and its treatment and potential comorbid conditions. Communication between the dental professional and the oncology team is required for appropriate therapy and is best accomplished by integrated healthcare teams.","container-title":"Cancer Treatment and Research","DOI":"10.1007/978-3-319-65421-8_4","ISSN":"0927-3042","journalAbbreviation":"Cancer Treat Res","language":"eng","note":"PMID: 29435836","page":"43-57","source":"PubMed","title":"Oral and Dental Health in Head and Neck Cancer Patients","volume":"174","author":[{"family":"Epstein","given":"Joel B."},{"family":"Barasch","given":"Andrei"}],"issued":{"date-parts":[["2018"]]}}}],"schema":"https://github.com/citation-style-language/schema/raw/master/csl-citation.json"}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(16)</w:t>
      </w:r>
      <w:r w:rsidRPr="00C22ABE">
        <w:rPr>
          <w:rFonts w:cstheme="minorHAnsi"/>
          <w:sz w:val="20"/>
          <w:szCs w:val="18"/>
        </w:rPr>
        <w:fldChar w:fldCharType="end"/>
      </w:r>
      <w:r w:rsidRPr="00C22ABE">
        <w:rPr>
          <w:rFonts w:cstheme="minorHAnsi"/>
          <w:sz w:val="20"/>
          <w:szCs w:val="18"/>
        </w:rPr>
        <w:t xml:space="preserve">. Ces effets secondaires nécessitent parfois l’interruption du traitement </w:t>
      </w:r>
      <w:r w:rsidRPr="00C22ABE">
        <w:rPr>
          <w:rFonts w:cstheme="minorHAnsi"/>
          <w:sz w:val="20"/>
          <w:szCs w:val="18"/>
        </w:rPr>
        <w:fldChar w:fldCharType="begin"/>
      </w:r>
      <w:r w:rsidRPr="00C22ABE">
        <w:rPr>
          <w:rFonts w:cstheme="minorHAnsi"/>
          <w:sz w:val="20"/>
          <w:szCs w:val="18"/>
        </w:rPr>
        <w:instrText xml:space="preserve"> ADDIN ZOTERO_ITEM CSL_CITATION {"citationID":"fk6TDl1o","properties":{"formattedCitation":"(12)","plainCitation":"(12)","noteIndex":0},"citationItems":[{"id":317,"uris":["http://zotero.org/users/local/Om3YyEnU/items/UMEQ2XFD"],"uri":["http://zotero.org/users/local/Om3YyEnU/items/UMEQ2XFD"],"itemData":{"id":317,"type":"article-journal","abstract":"PURPOSE: The aim of this paper is to explore the current theories about definition, classification, incidence and physiopathology of osteoradionecrosis (ORN) of the jaws. Moreover, it is discussed the predisposing and risk factors for the development of osteoradionecrosis based on the literature review.\nDISCUSSION: Osteoradionecrosis is one of the most serious oral complications of head and neck cancer treatment. Osteoradionecrosis is a severe delayed radiation-induced injury, characterised by bone tissue necrosis and failure to heal. Osteoradionecrosis either stabilises or gradually worsens and is notoriously difficult to manage. The most widely accepted theory to explain its cause until recently was the theory of hypoxia, hypovascularity and hypocellularity. A new theory for the pathogenesis of osteoradionecrosis was proposed. The clinical presentations of osteoradionecrosis are pain, drainage and fistulation of the mucosa or skin that is related to exposed bone in an area that has been irradiated. The tumour size and location, radiation dose, local trauma, dental extractions, infection, immune defects and malnutrition can predispose its development.\nCONCLUSIONS: A better understanding of risk factors for the development ORN and of the underlying pathophysiology may improve our ability to prevent this complication and help to improve the prognosis for those being treated for osteoradionecrosis.","container-title":"Oral and Maxillofacial Surgery","DOI":"10.1007/s10006-009-0198-9","ISSN":"1865-1569","issue":"1","journalAbbreviation":"Oral Maxillofac Surg","language":"eng","note":"PMID: 20119841","page":"3-16","source":"PubMed","title":"Osteoradionecrosis of the jaws--a current overview--part 1: Physiopathology and risk and predisposing factors","title-short":"Osteoradionecrosis of the jaws--a current overview--part 1","volume":"14","author":[{"family":"Chrcanovic","given":"Bruno Ramos"},{"family":"Reher","given":"Peter"},{"family":"Sousa","given":"Alexandre Andrade"},{"family":"Harris","given":"Malcolm"}],"issued":{"date-parts":[["2010",3]]}}}],"schema":"https://github.com/citation-style-language/schema/raw/master/csl-citation.json"} </w:instrText>
      </w:r>
      <w:r w:rsidRPr="00C22ABE">
        <w:rPr>
          <w:rFonts w:cstheme="minorHAnsi"/>
          <w:sz w:val="20"/>
          <w:szCs w:val="18"/>
        </w:rPr>
        <w:fldChar w:fldCharType="separate"/>
      </w:r>
      <w:r w:rsidRPr="00C22ABE">
        <w:rPr>
          <w:rFonts w:cstheme="minorHAnsi"/>
          <w:sz w:val="20"/>
        </w:rPr>
        <w:t>(12)</w:t>
      </w:r>
      <w:r w:rsidRPr="00C22ABE">
        <w:rPr>
          <w:rFonts w:cstheme="minorHAnsi"/>
          <w:sz w:val="20"/>
          <w:szCs w:val="18"/>
        </w:rPr>
        <w:fldChar w:fldCharType="end"/>
      </w:r>
      <w:r w:rsidRPr="00C22ABE">
        <w:rPr>
          <w:rFonts w:cstheme="minorHAnsi"/>
          <w:sz w:val="20"/>
          <w:szCs w:val="18"/>
        </w:rPr>
        <w:t>.</w:t>
      </w:r>
    </w:p>
    <w:p w14:paraId="16C46037" w14:textId="5874D2D2" w:rsidR="00B13BA1" w:rsidRPr="00C22ABE" w:rsidRDefault="00B13BA1" w:rsidP="00B13BA1">
      <w:pPr>
        <w:tabs>
          <w:tab w:val="left" w:pos="7110"/>
        </w:tabs>
        <w:rPr>
          <w:rFonts w:cstheme="minorHAnsi"/>
          <w:sz w:val="20"/>
          <w:szCs w:val="18"/>
        </w:rPr>
      </w:pPr>
      <w:r w:rsidRPr="00C22ABE">
        <w:rPr>
          <w:rFonts w:cstheme="minorHAnsi"/>
          <w:sz w:val="20"/>
          <w:szCs w:val="18"/>
        </w:rPr>
        <w:lastRenderedPageBreak/>
        <w:t xml:space="preserve">On note également des </w:t>
      </w:r>
      <w:r w:rsidRPr="00C22ABE">
        <w:rPr>
          <w:rFonts w:cstheme="minorHAnsi"/>
          <w:sz w:val="20"/>
          <w:szCs w:val="18"/>
          <w:u w:val="single"/>
        </w:rPr>
        <w:t>effets secondaires</w:t>
      </w:r>
      <w:r w:rsidRPr="00C22ABE">
        <w:rPr>
          <w:rFonts w:cstheme="minorHAnsi"/>
          <w:sz w:val="20"/>
          <w:szCs w:val="18"/>
        </w:rPr>
        <w:t xml:space="preserve"> </w:t>
      </w:r>
      <w:r w:rsidRPr="00C22ABE">
        <w:rPr>
          <w:rFonts w:cstheme="minorHAnsi"/>
          <w:sz w:val="20"/>
          <w:szCs w:val="18"/>
          <w:u w:val="single"/>
        </w:rPr>
        <w:t>précoces et chroniques</w:t>
      </w:r>
      <w:r w:rsidRPr="00C22ABE">
        <w:rPr>
          <w:rFonts w:cstheme="minorHAnsi"/>
          <w:sz w:val="20"/>
          <w:szCs w:val="18"/>
        </w:rPr>
        <w:t xml:space="preserve"> (agueusie, sécheresse buccale) dont la résolution est plus aléatoire.  La xérostomie est due à une dégénérescence plus rapide des acini séreux par rapport aux acini muqueux. La salive devient plus épaisse et plus visqueuse. Elle perd son pouvoir tampon par diminution du pH, et la quantité d’ions fluorures et calciques diminue. La salive perd son rôle de lubrification, d’effet antimicrobien, de protection des surfaces dentaires, et de nettoyage. Si la dose cumulée est supérieure à 75 Gy, une dégénérescence irréversible des acini est notée </w:t>
      </w:r>
      <w:r w:rsidRPr="00C22ABE">
        <w:rPr>
          <w:rFonts w:cstheme="minorHAnsi"/>
          <w:sz w:val="20"/>
          <w:szCs w:val="18"/>
        </w:rPr>
        <w:fldChar w:fldCharType="begin"/>
      </w:r>
      <w:r w:rsidRPr="00C22ABE">
        <w:rPr>
          <w:rFonts w:cstheme="minorHAnsi"/>
          <w:sz w:val="20"/>
          <w:szCs w:val="18"/>
        </w:rPr>
        <w:instrText xml:space="preserve"> ADDIN ZOTERO_ITEM CSL_CITATION {"citationID":"RBIT4sFa","properties":{"formattedCitation":"(14)","plainCitation":"(14)","noteIndex":0},"citationItems":[{"id":254,"uris":["http://zotero.org/users/local/Om3YyEnU/items/I67ISG7U"],"uri":["http://zotero.org/users/local/Om3YyEnU/items/I67ISG7U"],"itemData":{"id":254,"type":"article-journal","abstract":"Intensity-modulated radiation therapy (IMRT) is the gold standard for head and neck irradiation. It allows better protection to the organs at risk such as salivary glands and mandible, and can reduce the frequency of xerostomia, trismus and osteoradionecrosis. At the time of treatment planning, the mean dose to a single parotid gland should be kept below 26Gy, the mean dose to a single submandibular gland below 39Gy, the mean dose to the mandible below 60 to 65Gy and the D2% to a single temporomandibular joint below 65Gy. These dose constraints could be further improved with data extracted from cohorts of patients receiving IMRT exclusively. The dose administered to the target volumes should not be lessened to spare the salivary glands or mandible.","container-title":"Cancer Radiotherapie: Journal De La Societe Francaise De Radiotherapie Oncologique","DOI":"10.1016/j.canrad.2016.07.066","ISSN":"1769-6658","issue":"6-7","journalAbbreviation":"Cancer Radiother","language":"fre","note":"PMID: 27614524","page":"445-451","source":"PubMed","title":"[Intensity-modulated radiotherapy for head and neck cancer. Dose constraint for salivary gland and mandible]","volume":"20","author":[{"family":"Pointreau","given":"Y."},{"family":"Lizée","given":"T."},{"family":"Bensadoun","given":"R.-J."},{"family":"Boisselier","given":"P."},{"family":"Racadot","given":"S."},{"family":"Thariat","given":"J."},{"family":"Graff","given":"P."}],"issued":{"date-parts":[["2016",10]]}}}],"schema":"https://github.com/citation-style-language/schema/raw/master/csl-citation.json"} </w:instrText>
      </w:r>
      <w:r w:rsidRPr="00C22ABE">
        <w:rPr>
          <w:rFonts w:cstheme="minorHAnsi"/>
          <w:sz w:val="20"/>
          <w:szCs w:val="18"/>
        </w:rPr>
        <w:fldChar w:fldCharType="separate"/>
      </w:r>
      <w:r w:rsidRPr="00C22ABE">
        <w:rPr>
          <w:rFonts w:cstheme="minorHAnsi"/>
          <w:sz w:val="20"/>
        </w:rPr>
        <w:t>(14)</w:t>
      </w:r>
      <w:r w:rsidRPr="00C22ABE">
        <w:rPr>
          <w:rFonts w:cstheme="minorHAnsi"/>
          <w:sz w:val="20"/>
          <w:szCs w:val="18"/>
        </w:rPr>
        <w:fldChar w:fldCharType="end"/>
      </w:r>
      <w:r w:rsidRPr="00C22ABE">
        <w:rPr>
          <w:rFonts w:cstheme="minorHAnsi"/>
          <w:sz w:val="20"/>
          <w:szCs w:val="18"/>
        </w:rPr>
        <w:t xml:space="preserve">. Cette sécheresse peut également être responsable de mycoses buccales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YU7zMLF0","properties":{"formattedCitation":"(15)","plainCitation":"(15)","noteIndex":0},"citationItems":[{"id":256,"uris":["http://zotero.org/users/local/Om3YyEnU/items/ATQ4UT42"],"uri":["http://zotero.org/users/local/Om3YyEnU/items/ATQ4UT42"],"itemData":{"id":256,"type":"article-journal","abstract":"In France, in 2005, there were approximately 16,000 new cases of head and neck cancer. These cancers have an unfavourable prognosis: the survival rates at 3 and 10 years are 50% and 10% respectively. The consumption of alcohol and tobacco is the most important risk factor; in some countries HPV infection was identified as a risk factor of head and neck tumours. Furthermore, a poor oral hygiene seems to raise this risk. We found many decay and periodontium problems in patients with an upper aerodigestive tract cancer. An evaluation of dental state is necessary before any cancer treatment. Treatments by radiotherapy engender noxious effects: hypocellular, hypovascularization, hypoxie of the irradiated tissues, which lead to immediate and chronically oral complications such as mucositis, fibrosis, xerostomia, decay, or osteoradionecrosis. An oral follow-up of these patients can prevent these complications, or reduce the severity of oral complications, and promote a good oral state.","container-title":"Cancer Radiotherapie: Journal De La Societe Francaise De Radiotherapie Oncologique","DOI":"10.1016/j.canrad.2015.01.004","ISSN":"1769-6658","issue":"3","journalAbbreviation":"Cancer Radiother","language":"fre","note":"PMID: 25937188","page":"205-210; quiz 230, 234","source":"PubMed","title":"[Dental state in patients with head and neck cancers]","volume":"19","author":[{"family":"Rouers","given":"M."},{"family":"Truntzer","given":"P."},{"family":"Dubourg","given":"S."},{"family":"Guihard","given":"S."},{"family":"Antoni","given":"D."},{"family":"Noël","given":"G."}],"issued":{"date-parts":[["2015",5]]}}}],"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(15)</w:t>
      </w:r>
      <w:r w:rsidRPr="00C22ABE">
        <w:rPr>
          <w:rFonts w:cstheme="minorHAnsi"/>
          <w:sz w:val="20"/>
          <w:szCs w:val="18"/>
        </w:rPr>
        <w:fldChar w:fldCharType="end"/>
      </w:r>
      <w:r w:rsidRPr="00C22ABE">
        <w:rPr>
          <w:rFonts w:cstheme="minorHAnsi"/>
          <w:sz w:val="20"/>
          <w:szCs w:val="18"/>
        </w:rPr>
        <w:t>.</w:t>
      </w:r>
    </w:p>
    <w:p w14:paraId="4DB0DAC6" w14:textId="379FC658" w:rsidR="00610B95" w:rsidRPr="00C22ABE" w:rsidRDefault="00B13BA1" w:rsidP="00DF5FF8">
      <w:pPr>
        <w:tabs>
          <w:tab w:val="left" w:pos="7110"/>
        </w:tabs>
        <w:rPr>
          <w:rFonts w:cstheme="minorHAnsi"/>
          <w:sz w:val="20"/>
          <w:szCs w:val="18"/>
        </w:rPr>
      </w:pPr>
      <w:r w:rsidRPr="00C22ABE">
        <w:rPr>
          <w:rFonts w:cstheme="minorHAnsi"/>
          <w:sz w:val="20"/>
          <w:szCs w:val="18"/>
        </w:rPr>
        <w:t xml:space="preserve">Les </w:t>
      </w:r>
      <w:r w:rsidRPr="00C22ABE">
        <w:rPr>
          <w:rFonts w:cstheme="minorHAnsi"/>
          <w:sz w:val="20"/>
          <w:szCs w:val="18"/>
          <w:u w:val="single"/>
        </w:rPr>
        <w:t>effets secondaires tardifs</w:t>
      </w:r>
      <w:r w:rsidRPr="00C22ABE">
        <w:rPr>
          <w:rFonts w:cstheme="minorHAnsi"/>
          <w:sz w:val="20"/>
          <w:szCs w:val="18"/>
        </w:rPr>
        <w:t xml:space="preserve"> surviennent plus de 3 mois après la fin du traitement</w:t>
      </w:r>
      <w:r w:rsidR="0078630E" w:rsidRPr="00C22ABE">
        <w:rPr>
          <w:rFonts w:cstheme="minorHAnsi"/>
          <w:sz w:val="20"/>
          <w:szCs w:val="18"/>
        </w:rPr>
        <w:t xml:space="preserve"> et consistent en</w:t>
      </w:r>
      <w:r w:rsidRPr="00C22ABE">
        <w:rPr>
          <w:rFonts w:cstheme="minorHAnsi"/>
          <w:sz w:val="20"/>
          <w:szCs w:val="18"/>
        </w:rPr>
        <w:t xml:space="preserve"> xérostomie, dysphagie, trismus, ORN, fibrose, atrophie musculaire, pigmentation cutanée, télangiectasies, altération du goût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gjhffchX","properties":{"formattedCitation":"(17,18)","plainCitation":"(17,18)","noteIndex":0},"citationItems":[{"id":172,"uris":["http://zotero.org/users/local/Om3YyEnU/items/SCWBHJLC"],"uri":["http://zotero.org/users/local/Om3YyEnU/items/SCWBHJLC"],"itemData":{"id":172,"type":"article-journal","container-title":"Cancer Treatment Reviews","DOI":"10.1016/j.ctrv.2017.07.003","ISSN":"03057372","journalAbbreviation":"Cancer Treatment Reviews","language":"en","page":"79-92","source":"DOI.org (Crossref)","title":"Treatment of late sequelae after radiotherapy for head and neck cancer","volume":"59","author":[{"family":"Strojan","given":"Primož"},{"family":"Hutcheson","given":"Katherine A."},{"family":"Eisbruch","given":"Avraham"},{"family":"Beitler","given":"Jonathan J."},{"family":"Langendijk","given":"Johannes A."},{"family":"Lee","given":"Anne W.M."},{"family":"Corry","given":"June"},{"family":"Mendenhall","given":"William M."},{"family":"Smee","given":"Robert"},{"family":"Rinaldo","given":"Alessandra"},{"family":"Ferlito","given":"Alfio"}],"issued":{"date-parts":[["2017",9]]}}},{"id":187,"uris":["http://zotero.org/users/local/Om3YyEnU/items/XDB9PZEV"],"uri":["http://zotero.org/users/local/Om3YyEnU/items/XDB9PZEV"],"itemData":{"id":187,"type":"article-journal","container-title":"Medicina Oral Patología Oral y Cirugia Bucal","DOI":"10.4317/medoral.24132","ISSN":"16986946","journalAbbreviation":"Med Oral","page":"0-0","source":"DOI.org (Crossref)","title":"Therapeutic alternatives in the management of osteoradionecrosis of the jaws. Systematic review","author":[{"family":"Camolesi","given":"Gc."},{"family":"Ortega","given":"Kl."},{"family":"Medina","given":"Jb."},{"family":"Campos","given":"L."},{"family":"Lorenzo Pouso","given":"Ai."},{"family":"Gándara Vila","given":"P."},{"family":"Pérez Sayáns","given":"M."}],"issued":{"date-parts":[["2020"]]}}}],"schema":"https://github.com/citation-style-language/schema/raw/master/csl-citation.json"}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(17,18)</w:t>
      </w:r>
      <w:r w:rsidRPr="00C22ABE">
        <w:rPr>
          <w:rFonts w:cstheme="minorHAnsi"/>
          <w:sz w:val="20"/>
          <w:szCs w:val="18"/>
        </w:rPr>
        <w:fldChar w:fldCharType="end"/>
      </w:r>
      <w:r w:rsidRPr="00C22ABE">
        <w:rPr>
          <w:rFonts w:cstheme="minorHAnsi"/>
          <w:sz w:val="20"/>
          <w:szCs w:val="18"/>
        </w:rPr>
        <w:t xml:space="preserve">. </w:t>
      </w:r>
      <w:r w:rsidR="006E5577" w:rsidRPr="00C22ABE">
        <w:rPr>
          <w:rFonts w:cstheme="minorHAnsi"/>
          <w:sz w:val="20"/>
          <w:szCs w:val="18"/>
        </w:rPr>
        <w:t>La xérostomie est un effet secondaire invalidant limité depuis l’usage de l’IMRT.</w:t>
      </w:r>
      <w:r w:rsidR="005C66E1">
        <w:rPr>
          <w:rFonts w:cstheme="minorHAnsi"/>
          <w:sz w:val="20"/>
          <w:szCs w:val="18"/>
        </w:rPr>
        <w:t xml:space="preserve"> </w:t>
      </w:r>
      <w:r w:rsidRPr="00C22ABE">
        <w:rPr>
          <w:rFonts w:cstheme="minorHAnsi"/>
          <w:sz w:val="20"/>
          <w:szCs w:val="18"/>
        </w:rPr>
        <w:t xml:space="preserve">Les glandes salivaires accessoires sont plus résistantes au rayonnement que les glandes salivaires majeures. </w:t>
      </w:r>
      <w:r w:rsidR="006E5577" w:rsidRPr="00C22ABE">
        <w:rPr>
          <w:rFonts w:cstheme="minorHAnsi"/>
          <w:sz w:val="20"/>
          <w:szCs w:val="18"/>
        </w:rPr>
        <w:t xml:space="preserve">La salivation peut très légèrement s’améliorer </w:t>
      </w:r>
      <w:r w:rsidRPr="00C22ABE">
        <w:rPr>
          <w:rFonts w:cstheme="minorHAnsi"/>
          <w:sz w:val="20"/>
          <w:szCs w:val="18"/>
        </w:rPr>
        <w:t xml:space="preserve">1 à 2 ans après la </w:t>
      </w:r>
      <w:proofErr w:type="spellStart"/>
      <w:r w:rsidRPr="00C22ABE">
        <w:rPr>
          <w:rFonts w:cstheme="minorHAnsi"/>
          <w:sz w:val="20"/>
          <w:szCs w:val="18"/>
        </w:rPr>
        <w:t>Rth</w:t>
      </w:r>
      <w:proofErr w:type="spellEnd"/>
      <w:r w:rsidRPr="00C22ABE">
        <w:rPr>
          <w:rFonts w:cstheme="minorHAnsi"/>
          <w:sz w:val="20"/>
          <w:szCs w:val="18"/>
        </w:rPr>
        <w:t xml:space="preserve">. Le trismus peut atteindre jusqu’à 15 % des patients et est la conséquence d’une inflammation et fibrose des muscles ptérygoïdien médial et masséter. La xérostomie et le trismus sont des facteurs qui favorisent l’ORN par diminution de l’accessibilité à une hygiène </w:t>
      </w:r>
      <w:r w:rsidRPr="00541DE1">
        <w:rPr>
          <w:rFonts w:cstheme="minorHAnsi"/>
          <w:sz w:val="20"/>
          <w:szCs w:val="18"/>
        </w:rPr>
        <w:t>buccodentaire correcte</w:t>
      </w:r>
      <w:r w:rsidR="000E45FF" w:rsidRPr="00541DE1">
        <w:rPr>
          <w:rFonts w:cstheme="minorHAnsi"/>
          <w:sz w:val="20"/>
          <w:szCs w:val="18"/>
        </w:rPr>
        <w:t xml:space="preserve"> et</w:t>
      </w:r>
      <w:r w:rsidRPr="00541DE1">
        <w:rPr>
          <w:rFonts w:cstheme="minorHAnsi"/>
          <w:sz w:val="20"/>
          <w:szCs w:val="18"/>
        </w:rPr>
        <w:t xml:space="preserve"> les dents plus</w:t>
      </w:r>
      <w:r w:rsidRPr="00C22ABE">
        <w:rPr>
          <w:rFonts w:cstheme="minorHAnsi"/>
          <w:sz w:val="20"/>
          <w:szCs w:val="18"/>
        </w:rPr>
        <w:t xml:space="preserve"> sensibles à la carie dentaire. Ces</w:t>
      </w:r>
      <w:r w:rsidRPr="00C22ABE">
        <w:rPr>
          <w:rFonts w:cstheme="minorHAnsi"/>
          <w:i/>
          <w:iCs/>
          <w:sz w:val="20"/>
          <w:szCs w:val="18"/>
        </w:rPr>
        <w:t xml:space="preserve"> </w:t>
      </w:r>
      <w:r w:rsidRPr="00C22ABE">
        <w:rPr>
          <w:rFonts w:cstheme="minorHAnsi"/>
          <w:sz w:val="20"/>
          <w:szCs w:val="18"/>
        </w:rPr>
        <w:t xml:space="preserve">caries post-radiques apparaissent en général 4 à 6 mois après la </w:t>
      </w:r>
      <w:proofErr w:type="spellStart"/>
      <w:r w:rsidRPr="00C22ABE">
        <w:rPr>
          <w:rFonts w:cstheme="minorHAnsi"/>
          <w:sz w:val="20"/>
          <w:szCs w:val="18"/>
        </w:rPr>
        <w:t>Rth</w:t>
      </w:r>
      <w:proofErr w:type="spellEnd"/>
      <w:r w:rsidRPr="00C22ABE">
        <w:rPr>
          <w:rFonts w:cstheme="minorHAnsi"/>
          <w:sz w:val="20"/>
          <w:szCs w:val="18"/>
        </w:rPr>
        <w:t xml:space="preserve">. Il s’agit </w:t>
      </w:r>
      <w:r w:rsidR="0078630E" w:rsidRPr="00C22ABE">
        <w:rPr>
          <w:rFonts w:cstheme="minorHAnsi"/>
          <w:sz w:val="20"/>
          <w:szCs w:val="18"/>
        </w:rPr>
        <w:t>classiqueme</w:t>
      </w:r>
      <w:r w:rsidRPr="00C22ABE">
        <w:rPr>
          <w:rFonts w:cstheme="minorHAnsi"/>
          <w:sz w:val="20"/>
          <w:szCs w:val="18"/>
        </w:rPr>
        <w:t xml:space="preserve">nt de caries de collet. </w:t>
      </w:r>
    </w:p>
    <w:p w14:paraId="40798849" w14:textId="77777777" w:rsidR="0035427A" w:rsidRPr="00C22ABE" w:rsidRDefault="0035427A" w:rsidP="00625371">
      <w:pPr>
        <w:spacing w:line="240" w:lineRule="auto"/>
        <w:rPr>
          <w:rFonts w:cstheme="minorHAnsi"/>
          <w:b/>
          <w:bCs/>
          <w:color w:val="0000FF"/>
          <w:sz w:val="24"/>
          <w:u w:val="single"/>
        </w:rPr>
      </w:pPr>
    </w:p>
    <w:p w14:paraId="0E844D42" w14:textId="1360DD00" w:rsidR="00001929" w:rsidRPr="00C22ABE" w:rsidRDefault="00001929" w:rsidP="005631A4">
      <w:pPr>
        <w:pStyle w:val="Paragraphedeliste"/>
        <w:numPr>
          <w:ilvl w:val="0"/>
          <w:numId w:val="18"/>
        </w:numPr>
        <w:spacing w:line="240" w:lineRule="auto"/>
        <w:rPr>
          <w:rFonts w:cstheme="minorHAnsi"/>
          <w:b/>
          <w:bCs/>
          <w:color w:val="0000FF"/>
          <w:sz w:val="28"/>
          <w:szCs w:val="24"/>
          <w:u w:val="single"/>
        </w:rPr>
      </w:pPr>
      <w:r w:rsidRPr="00C22ABE">
        <w:rPr>
          <w:rFonts w:cstheme="minorHAnsi"/>
          <w:b/>
          <w:bCs/>
          <w:color w:val="0000FF"/>
          <w:sz w:val="28"/>
          <w:szCs w:val="24"/>
          <w:u w:val="single"/>
        </w:rPr>
        <w:t>Facteurs de risque</w:t>
      </w:r>
    </w:p>
    <w:p w14:paraId="7AADDE13" w14:textId="077D724D" w:rsidR="00FD2FF0" w:rsidRPr="00C22ABE" w:rsidRDefault="00625371" w:rsidP="00625371">
      <w:pPr>
        <w:spacing w:line="240" w:lineRule="auto"/>
        <w:rPr>
          <w:rFonts w:cstheme="minorHAnsi"/>
          <w:b/>
          <w:bCs/>
          <w:sz w:val="20"/>
          <w:szCs w:val="18"/>
          <w:u w:val="single"/>
        </w:rPr>
      </w:pPr>
      <w:r w:rsidRPr="00C22ABE">
        <w:rPr>
          <w:rFonts w:cstheme="minorHAnsi"/>
          <w:sz w:val="20"/>
          <w:szCs w:val="18"/>
        </w:rPr>
        <w:t xml:space="preserve">Différents </w:t>
      </w:r>
      <w:r w:rsidR="00FD2FF0" w:rsidRPr="00C22ABE">
        <w:rPr>
          <w:rFonts w:cstheme="minorHAnsi"/>
          <w:sz w:val="20"/>
          <w:szCs w:val="18"/>
        </w:rPr>
        <w:t xml:space="preserve">facteurs de risque </w:t>
      </w:r>
      <w:r w:rsidR="00EC4F14" w:rsidRPr="00C22ABE">
        <w:rPr>
          <w:rFonts w:cstheme="minorHAnsi"/>
          <w:sz w:val="20"/>
          <w:szCs w:val="18"/>
        </w:rPr>
        <w:t xml:space="preserve">d’ORN </w:t>
      </w:r>
      <w:r w:rsidR="00FD2FF0" w:rsidRPr="00C22ABE">
        <w:rPr>
          <w:rFonts w:cstheme="minorHAnsi"/>
          <w:sz w:val="20"/>
          <w:szCs w:val="18"/>
        </w:rPr>
        <w:t>sont d</w:t>
      </w:r>
      <w:r w:rsidRPr="00C22ABE">
        <w:rPr>
          <w:rFonts w:cstheme="minorHAnsi"/>
          <w:sz w:val="20"/>
          <w:szCs w:val="18"/>
        </w:rPr>
        <w:t>écrits</w:t>
      </w:r>
      <w:r w:rsidR="002A77B2" w:rsidRPr="00C22ABE">
        <w:rPr>
          <w:rFonts w:cstheme="minorHAnsi"/>
          <w:sz w:val="20"/>
          <w:szCs w:val="18"/>
        </w:rPr>
        <w:t xml:space="preserve"> (</w:t>
      </w:r>
      <w:r w:rsidR="002A77B2" w:rsidRPr="00541DE1">
        <w:rPr>
          <w:rFonts w:cstheme="minorHAnsi"/>
          <w:color w:val="000000" w:themeColor="text1"/>
          <w:sz w:val="20"/>
          <w:szCs w:val="18"/>
        </w:rPr>
        <w:t>tableau 1)</w:t>
      </w:r>
      <w:r w:rsidR="008913D4" w:rsidRPr="00541DE1">
        <w:rPr>
          <w:rFonts w:cstheme="minorHAnsi"/>
          <w:color w:val="000000" w:themeColor="text1"/>
          <w:sz w:val="20"/>
          <w:szCs w:val="18"/>
        </w:rPr>
        <w:t xml:space="preserve"> </w:t>
      </w:r>
      <w:r w:rsidR="008913D4" w:rsidRPr="00C22ABE">
        <w:rPr>
          <w:rFonts w:cstheme="minorHAnsi"/>
          <w:sz w:val="20"/>
          <w:szCs w:val="18"/>
        </w:rPr>
        <w:fldChar w:fldCharType="begin"/>
      </w:r>
      <w:r w:rsidR="00DD29FB" w:rsidRPr="00C22ABE">
        <w:rPr>
          <w:rFonts w:cstheme="minorHAnsi"/>
          <w:sz w:val="20"/>
          <w:szCs w:val="18"/>
        </w:rPr>
        <w:instrText xml:space="preserve"> ADDIN ZOTERO_ITEM CSL_CITATION {"citationID":"Gt1vZQuK","properties":{"formattedCitation":"(2\\uc0\\u8211{}4,6,19\\uc0\\u8211{}21)","plainCitation":"(2–4,6,19–21)","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W."}],"issued":{"date-parts":[["2016",11]]}}},{"id":167,"uris":["http://zotero.org/users/local/Om3YyEnU/items/JSKXEBGS"],"uri":["http://zotero.org/users/local/Om3YyEnU/items/JSKXEBGS"],"itemData":{"id":167,"type":"article-journal","container-title":"International Journal of Oral and Maxillofacial Surgery","DOI":"10.1016/j.ijom.2019.06.015","ISSN":"09015027","issue":"3","journalAbbreviation":"International Journal of Oral and Maxillofacial Surgery","language":"en","page":"411-419","source":"DOI.org (Crossref)","title":"Chinese expert group consensus on diagnosis and clinical management of osteoradionecrosis of the mandible","volume":"49","author":[{"family":"He","given":"Y."},{"family":"Ma","given":"C."},{"family":"Hou","given":"J."},{"family":"Li","given":"X."},{"family":"Peng","given":"X."},{"family":"Wang","given":"H."},{"family":"Wang","given":"S."},{"family":"Liu","given":"L."},{"family":"Liu","given":"B."},{"family":"Tian","given":"L."},{"family":"Liu","given":"Z."},{"family":"Liu","given":"X."},{"family":"Xu","given":"X."},{"family":"Zhang","given":"D."},{"family":"Jiang","given":"C."},{"family":"Wang","given":"J."},{"family":"Yao","given":"Y."},{"family":"Zhu","given":"G."},{"family":"Bai","given":"Y."},{"family":"Wang","given":"S."},{"family":"Sun","given":"C."},{"family":"Li","given":"J."},{"family":"He","given":"S."},{"family":"Wang","given":"C."},{"family":"Zhang","given":"Z."},{"family":"Qiu","given":"W."}],"issued":{"date-parts":[["2020",3]]}}},{"id":165,"uris":["http://zotero.org/users/local/Om3YyEnU/items/E2FP89WH"],"uri":["http://zotero.org/users/local/Om3YyEnU/items/E2FP89WH"],"itemData":{"id":165,"type":"article-journal","container-title":"International Dental Journal","DOI":"10.1111/idj.12318","ISSN":"00206539","issue":"1","journalAbbreviation":"Int Dent J","language":"en","page":"22-30","source":"DOI.org (Crossref)","title":"Osteoradionecrosis of the jaws: definition, epidemiology, staging and clinical and radiological findings. A concise review","title-short":"Osteoradionecrosis of the jaws","volume":"68","author":[{"family":"Chronopoulos","given":"Aristeidis"},{"family":"Zarra","given":"Theodora"},{"family":"Ehrenfeld","given":"Michael"},{"family":"Otto","given":"Sven"}],"issued":{"date-parts":[["2018",2]]}}},{"id":166,"uris":["http://zotero.org/users/local/Om3YyEnU/items/X4JN8KCA"],"uri":["http://zotero.org/users/local/Om3YyEnU/items/X4JN8KCA"],"itemData":{"id":166,"type":"article-journal","container-title":"Oral Diseases","DOI":"10.1111/odi.13485","ISSN":"1354-523X, 1601-0825","journalAbbreviation":"Oral Dis","language":"en","page":"odi.13485","source":"DOI.org (Crossref)","title":"Tooth extraction before radiotherapy is a risk factor for developing osteoradionecrosis of the jaws: A systematic review","title-short":"Tooth extraction before radiotherapy is a risk factor for developing osteoradionecrosis of the jaws","author":[{"family":"Lajolo","given":"Carlo"},{"family":"Gioco","given":"Gioele"},{"family":"Rupe","given":"Cosimo"},{"family":"Troiano","given":"Giuseppe"},{"family":"Cordaro","given":"Massimo"},{"family":"Lucchese","given":"Alberta"},{"family":"Paludetti","given":"Gaetano"},{"family":"Giuliani","given":"Michele"}],"issued":{"date-parts":[["2020",7,7]]}}},{"id":201,"uris":["http://zotero.org/users/local/Om3YyEnU/items/HPAKGBKC"],"uri":["http://zotero.org/users/local/Om3YyEnU/items/HPAKGBKC"],"itemData":{"id":201,"type":"article-journal","container-title":"Radiotherapy and Oncology","DOI":"10.1016/j.radonc.2004.08.021","ISSN":"01678140","issue":"2","journalAbbreviation":"Radiotherapy and Oncology","language":"en","page":"119-131","source":"DOI.org (Crossref)","title":"The radiation-induced fibroatrophic process: therapeutic perspective via the antioxidant pathway","title-short":"The radiation-induced fibroatrophic process","volume":"73","author":[{"family":"Delanian","given":"Sylvie"},{"family":"Lefaix","given":"Jean-Louis"}],"issued":{"date-parts":[["2004",11]]}}},{"id":284,"uris":["http://zotero.org/users/local/Om3YyEnU/items/NU2YJ8AM"],"uri":["http://zotero.org/users/local/Om3YyEnU/items/NU2YJ8AM"],"itemData":{"id":284,"type":"article-journal","abstract":"OBJECTIVE: To determine the prevalence and correlation of various risk factors [radiation dose, periodontal status, alcohol and smoking] to the development of osteoradionecrosis (ORN).\nPATIENTS AND METHODS: The records of 1023 patients treated with IMRT for oral cavity cancer (OCC) and oropharyngeal cancer (OPC) between 2004 and 2013 were retrospectively reviewed to identify patients who developed ORN. Fisher exact tests were used to analyze patient characteristics between ORN patients with OCC and OPC. Paired Wilcoxon tests were used to compare the dose volumes to the ORN and contralateral non-ORN sites. To evaluate an association between ORN and risk factors, a case-control comparison was performed. One to 2 ORN-free patients were selected to match each ORN patient by gender, tumor site and size. General estimation equations models were used to compare the risk factors in ORN cases and matched controls.\nRESULTS: 44 (4.3%) patients developed ORN during a median follow-up time of 52.5months. In 82% of patients, ORN occurred spontaneously. Patients with OPC are prone to develop ORN earlier compared to patients with OCC (P=0.03). OPC patients received a higher Dmax compared to OCC patients (P=0.01). In the matched case-control analysis the significant risk factors on univariate analysis were poor periodontal status, history of alcohol use and radiation dose (P=0.03, 0.002 and 0.009, respectively) and on multivariate analysis were alcohol use and radiation dose (P=0.004 and 0.026, respectively).\nCONCLUSION: In our study, higher radiation dose, poor periodontal status and alcohol use are significantly related to the risk of developing ORN.","container-title":"Oral Oncology","DOI":"10.1016/j.oraloncology.2016.11.015","ISSN":"1879-0593","journalAbbreviation":"Oral Oncol","language":"eng","note":"PMID: 28024723\nPMCID: PMC5560021","page":"44-51","source":"PubMed","title":"The prevalence and risk factors associated with osteoradionecrosis of the jaw in oral and oropharyngeal cancer patients treated with intensity-modulated radiation therapy (IMRT): The Memorial Sloan Kettering Cancer Center experience","title-short":"The prevalence and risk factors associated with osteoradionecrosis of the jaw in oral and oropharyngeal cancer patients treated with intensity-modulated radiation therapy (IMRT)","volume":"64","author":[{"family":"Owosho","given":"Adepitan A."},{"family":"Tsai","given":"C. Jillian"},{"family":"Lee","given":"Ryan S."},{"family":"Freymiller","given":"Haley"},{"family":"Kadempour","given":"Arvin"},{"family":"Varthis","given":"Spyridon"},{"family":"Sax","given":"Adi Z."},{"family":"Rosen","given":"Evan B."},{"family":"Yom","given":"SaeHee K."},{"family":"Randazzo","given":"Joseph"},{"family":"Drill","given":"Esther"},{"family":"Riedel","given":"Elyn"},{"family":"Patel","given":"Snehal"},{"family":"Lee","given":"Nancy Y."},{"family":"Huryn","given":"Joseph M."},{"family":"Estilo","given":"Cherry L."}],"issued":{"date-parts":[["2017",1]]}}},{"id":289,"uris":["http://zotero.org/users/local/Om3YyEnU/items/78HSW594"],"uri":["http://zotero.org/users/local/Om3YyEnU/items/78HSW594"],"itemData":{"id":289,"type":"article-journal","abstract":"BACKGROUND: This study was done to determine if pre-radiotherapy (pre-RT) dental extractions reduce the risk of osteoradionecrosis (ORN).\nMETHODS: Between 1987 and 2004, 413 patients with oropharyngeal carcinomas were treated with definitive RT at the University of Florida. Dentate patients underwent pretreatment dental evaluation. Teeth in the RT field were usually extracted if thought to have poor long-term prognosis from dental disease. The endpoint was &gt; or = grade 2 ORN using a modified staging system. Patients were excluded for local recurrence, additional RT above the clavicles, or head and neck surgery besides neck dissection.\nRESULTS: ORN rates were as follows: edentulous, &lt;1%; teeth in-field with pre-RT extractions, 15%; and teeth in-field without pre-RT extractions, 9%. Patients with poor in-field teeth and pre-RT extractions had a higher 5-year incidence of ORN than those who did not have pre-RT extractions (16% vs 6%, p = .48). Likewise, for those with in-field teeth in good condition and pre-RT extractions, the 5-year ORN incidence was higher than for those who did not undergo extractions (15% vs 2%, p = .42). Multivariate analysis revealed increased ORN risk with doses of &gt;70 Gy, once-daily fractionation, or brachytherapy.\nCONCLUSION: Pre-RT extractions do not appear to reduce the risk of ORN.","container-title":"Head &amp; Neck","DOI":"10.1002/hed.20538","ISSN":"1043-3074","issue":"6","journalAbbreviation":"Head Neck","language":"eng","note":"PMID: 17230555","page":"528-536","source":"PubMed","title":"Do pre-irradiation dental extractions reduce the risk of osteoradionecrosis of the mandible?","volume":"29","author":[{"family":"Chang","given":"Daniel T."},{"family":"Sandow","given":"Pamela R."},{"family":"Morris","given":"Christopher G."},{"family":"Hollander","given":"Rachel"},{"family":"Scarborough","given":"Lauren"},{"family":"Amdur","given":"Robert J."},{"family":"Mendenhall","given":"William M."}],"issued":{"date-parts":[["2007",6]]}}}],"schema":"https://github.com/citation-style-language/schema/raw/master/csl-citation.json"} </w:instrText>
      </w:r>
      <w:r w:rsidR="008913D4" w:rsidRPr="00C22ABE">
        <w:rPr>
          <w:rFonts w:cstheme="minorHAnsi"/>
          <w:sz w:val="20"/>
          <w:szCs w:val="18"/>
        </w:rPr>
        <w:fldChar w:fldCharType="separate"/>
      </w:r>
      <w:r w:rsidR="00DD29FB" w:rsidRPr="00C22ABE">
        <w:rPr>
          <w:rFonts w:cstheme="minorHAnsi"/>
          <w:sz w:val="20"/>
          <w:szCs w:val="24"/>
        </w:rPr>
        <w:t>(2–4,6,19–21)</w:t>
      </w:r>
      <w:r w:rsidR="008913D4" w:rsidRPr="00C22ABE">
        <w:rPr>
          <w:rFonts w:cstheme="minorHAnsi"/>
          <w:sz w:val="20"/>
          <w:szCs w:val="18"/>
        </w:rPr>
        <w:fldChar w:fldCharType="end"/>
      </w:r>
      <w:r w:rsidR="00AF408C" w:rsidRPr="00C22ABE">
        <w:rPr>
          <w:rFonts w:cstheme="minorHAnsi"/>
          <w:sz w:val="20"/>
          <w:szCs w:val="18"/>
        </w:rPr>
        <w:t>.</w:t>
      </w:r>
    </w:p>
    <w:p w14:paraId="489DC9BD" w14:textId="08AEC94A" w:rsidR="006F06A5" w:rsidRPr="00C22ABE" w:rsidRDefault="006F06A5" w:rsidP="002E3149">
      <w:pPr>
        <w:tabs>
          <w:tab w:val="left" w:pos="7110"/>
        </w:tabs>
        <w:rPr>
          <w:rFonts w:cstheme="minorHAnsi"/>
          <w:bCs/>
          <w:sz w:val="20"/>
          <w:szCs w:val="18"/>
        </w:rPr>
      </w:pPr>
      <w:r w:rsidRPr="00C22ABE">
        <w:rPr>
          <w:rFonts w:cstheme="minorHAnsi"/>
          <w:bCs/>
          <w:sz w:val="20"/>
          <w:szCs w:val="18"/>
          <w:u w:val="single"/>
        </w:rPr>
        <w:t>Facteurs liés au traitement</w:t>
      </w:r>
      <w:r w:rsidRPr="00C22ABE">
        <w:rPr>
          <w:rFonts w:cstheme="minorHAnsi"/>
          <w:bCs/>
          <w:sz w:val="20"/>
          <w:szCs w:val="18"/>
        </w:rPr>
        <w:t> </w:t>
      </w:r>
    </w:p>
    <w:p w14:paraId="5536BEE4" w14:textId="72F7D088" w:rsidR="006F06A5" w:rsidRPr="00C22ABE" w:rsidRDefault="00AE0F65" w:rsidP="00AF408C">
      <w:pPr>
        <w:tabs>
          <w:tab w:val="left" w:pos="7110"/>
        </w:tabs>
        <w:spacing w:after="0"/>
        <w:rPr>
          <w:rFonts w:cstheme="minorHAnsi"/>
          <w:bCs/>
          <w:sz w:val="20"/>
          <w:szCs w:val="18"/>
        </w:rPr>
      </w:pPr>
      <w:r w:rsidRPr="00C22ABE">
        <w:rPr>
          <w:rFonts w:cstheme="minorHAnsi"/>
          <w:bCs/>
          <w:sz w:val="20"/>
          <w:szCs w:val="18"/>
        </w:rPr>
        <w:t xml:space="preserve">L’ORN est décrite pour des doses de </w:t>
      </w:r>
      <w:proofErr w:type="spellStart"/>
      <w:r w:rsidRPr="00C22ABE">
        <w:rPr>
          <w:rFonts w:cstheme="minorHAnsi"/>
          <w:bCs/>
          <w:sz w:val="20"/>
          <w:szCs w:val="18"/>
        </w:rPr>
        <w:t>Rth</w:t>
      </w:r>
      <w:proofErr w:type="spellEnd"/>
      <w:r w:rsidRPr="00C22ABE">
        <w:rPr>
          <w:rFonts w:cstheme="minorHAnsi"/>
          <w:bCs/>
          <w:sz w:val="20"/>
          <w:szCs w:val="18"/>
        </w:rPr>
        <w:t xml:space="preserve"> </w:t>
      </w:r>
      <w:r w:rsidR="006F06A5" w:rsidRPr="00C22ABE">
        <w:rPr>
          <w:rFonts w:cstheme="minorHAnsi"/>
          <w:bCs/>
          <w:sz w:val="20"/>
          <w:szCs w:val="18"/>
        </w:rPr>
        <w:t>supérieures à 60</w:t>
      </w:r>
      <w:r w:rsidRPr="00C22ABE">
        <w:rPr>
          <w:rFonts w:cstheme="minorHAnsi"/>
          <w:bCs/>
          <w:sz w:val="20"/>
          <w:szCs w:val="18"/>
        </w:rPr>
        <w:t xml:space="preserve"> Gy. </w:t>
      </w:r>
      <w:r w:rsidR="006F06A5" w:rsidRPr="00C22ABE">
        <w:rPr>
          <w:rFonts w:cstheme="minorHAnsi"/>
          <w:bCs/>
          <w:sz w:val="20"/>
          <w:szCs w:val="18"/>
        </w:rPr>
        <w:t xml:space="preserve">Le risque augmente </w:t>
      </w:r>
      <w:r w:rsidR="00DF5FF8" w:rsidRPr="00C22ABE">
        <w:rPr>
          <w:rFonts w:cstheme="minorHAnsi"/>
          <w:bCs/>
          <w:sz w:val="20"/>
          <w:szCs w:val="18"/>
        </w:rPr>
        <w:t>proportionnellement à la dose</w:t>
      </w:r>
      <w:r w:rsidR="00A11B4A" w:rsidRPr="00C22ABE">
        <w:rPr>
          <w:rFonts w:cstheme="minorHAnsi"/>
          <w:bCs/>
          <w:sz w:val="20"/>
          <w:szCs w:val="18"/>
        </w:rPr>
        <w:t xml:space="preserve"> et </w:t>
      </w:r>
      <w:r w:rsidR="006F06A5" w:rsidRPr="00C22ABE">
        <w:rPr>
          <w:rFonts w:cstheme="minorHAnsi"/>
          <w:bCs/>
          <w:sz w:val="20"/>
          <w:szCs w:val="18"/>
        </w:rPr>
        <w:t xml:space="preserve">est nettement majoré </w:t>
      </w:r>
      <w:r w:rsidR="00DF5FF8" w:rsidRPr="00C22ABE">
        <w:rPr>
          <w:rFonts w:cstheme="minorHAnsi"/>
          <w:bCs/>
          <w:sz w:val="20"/>
          <w:szCs w:val="18"/>
        </w:rPr>
        <w:t xml:space="preserve">à compter </w:t>
      </w:r>
      <w:r w:rsidR="006F06A5" w:rsidRPr="00C22ABE">
        <w:rPr>
          <w:rFonts w:cstheme="minorHAnsi"/>
          <w:bCs/>
          <w:sz w:val="20"/>
          <w:szCs w:val="18"/>
        </w:rPr>
        <w:t xml:space="preserve">de 70 Gy </w:t>
      </w:r>
      <w:r w:rsidR="006F06A5" w:rsidRPr="00C22ABE">
        <w:rPr>
          <w:rFonts w:cstheme="minorHAnsi"/>
          <w:bCs/>
          <w:sz w:val="20"/>
          <w:szCs w:val="18"/>
        </w:rPr>
        <w:fldChar w:fldCharType="begin"/>
      </w:r>
      <w:r w:rsidR="00DD29FB" w:rsidRPr="00C22ABE">
        <w:rPr>
          <w:rFonts w:cstheme="minorHAnsi"/>
          <w:bCs/>
          <w:sz w:val="20"/>
          <w:szCs w:val="18"/>
        </w:rPr>
        <w:instrText xml:space="preserve"> ADDIN ZOTERO_ITEM CSL_CITATION {"citationID":"2PkdXNpD","properties":{"formattedCitation":"(21)","plainCitation":"(21)","noteIndex":0},"citationItems":[{"id":289,"uris":["http://zotero.org/users/local/Om3YyEnU/items/78HSW594"],"uri":["http://zotero.org/users/local/Om3YyEnU/items/78HSW594"],"itemData":{"id":289,"type":"article-journal","abstract":"BACKGROUND: This study was done to determine if pre-radiotherapy (pre-RT) dental extractions reduce the risk of osteoradionecrosis (ORN).\nMETHODS: Between 1987 and 2004, 413 patients with oropharyngeal carcinomas were treated with definitive RT at the University of Florida. Dentate patients underwent pretreatment dental evaluation. Teeth in the RT field were usually extracted if thought to have poor long-term prognosis from dental disease. The endpoint was &gt; or = grade 2 ORN using a modified staging system. Patients were excluded for local recurrence, additional RT above the clavicles, or head and neck surgery besides neck dissection.\nRESULTS: ORN rates were as follows: edentulous, &lt;1%; teeth in-field with pre-RT extractions, 15%; and teeth in-field without pre-RT extractions, 9%. Patients with poor in-field teeth and pre-RT extractions had a higher 5-year incidence of ORN than those who did not have pre-RT extractions (16% vs 6%, p = .48). Likewise, for those with in-field teeth in good condition and pre-RT extractions, the 5-year ORN incidence was higher than for those who did not undergo extractions (15% vs 2%, p = .42). Multivariate analysis revealed increased ORN risk with doses of &gt;70 Gy, once-daily fractionation, or brachytherapy.\nCONCLUSION: Pre-RT extractions do not appear to reduce the risk of ORN.","container-title":"Head &amp; Neck","DOI":"10.1002/hed.20538","ISSN":"1043-3074","issue":"6","journalAbbreviation":"Head Neck","language":"eng","note":"PMID: 17230555","page":"528-536","source":"PubMed","title":"Do pre-irradiation dental extractions reduce the risk of osteoradionecrosis of the mandible?","volume":"29","author":[{"family":"Chang","given":"Daniel T."},{"family":"Sandow","given":"Pamela R."},{"family":"Morris","given":"Christopher G."},{"family":"Hollander","given":"Rachel"},{"family":"Scarborough","given":"Lauren"},{"family":"Amdur","given":"Robert J."},{"family":"Mendenhall","given":"William M."}],"issued":{"date-parts":[["2007",6]]}}}],"schema":"https://github.com/citation-style-language/schema/raw/master/csl-citation.json"} </w:instrText>
      </w:r>
      <w:r w:rsidR="006F06A5" w:rsidRPr="00C22ABE">
        <w:rPr>
          <w:rFonts w:cstheme="minorHAnsi"/>
          <w:bCs/>
          <w:sz w:val="20"/>
          <w:szCs w:val="18"/>
        </w:rPr>
        <w:fldChar w:fldCharType="separate"/>
      </w:r>
      <w:r w:rsidR="00DD29FB" w:rsidRPr="00C22ABE">
        <w:rPr>
          <w:rFonts w:cstheme="minorHAnsi"/>
          <w:sz w:val="20"/>
        </w:rPr>
        <w:t>(21)</w:t>
      </w:r>
      <w:r w:rsidR="006F06A5" w:rsidRPr="00C22ABE">
        <w:rPr>
          <w:rFonts w:cstheme="minorHAnsi"/>
          <w:bCs/>
          <w:sz w:val="20"/>
          <w:szCs w:val="18"/>
        </w:rPr>
        <w:fldChar w:fldCharType="end"/>
      </w:r>
      <w:r w:rsidR="006F06A5" w:rsidRPr="00C22ABE">
        <w:rPr>
          <w:rFonts w:cstheme="minorHAnsi"/>
          <w:bCs/>
          <w:sz w:val="20"/>
          <w:szCs w:val="18"/>
        </w:rPr>
        <w:t xml:space="preserve">. </w:t>
      </w:r>
      <w:r w:rsidRPr="00C22ABE">
        <w:rPr>
          <w:rFonts w:cstheme="minorHAnsi"/>
          <w:bCs/>
          <w:sz w:val="20"/>
          <w:szCs w:val="18"/>
        </w:rPr>
        <w:t xml:space="preserve">Des doses </w:t>
      </w:r>
      <w:r w:rsidR="006F06A5" w:rsidRPr="00C22ABE">
        <w:rPr>
          <w:rFonts w:cstheme="minorHAnsi"/>
          <w:bCs/>
          <w:sz w:val="20"/>
          <w:szCs w:val="18"/>
        </w:rPr>
        <w:t>inférieures</w:t>
      </w:r>
      <w:r w:rsidRPr="00C22ABE">
        <w:rPr>
          <w:rFonts w:cstheme="minorHAnsi"/>
          <w:bCs/>
          <w:sz w:val="20"/>
          <w:szCs w:val="18"/>
        </w:rPr>
        <w:t xml:space="preserve"> à 50 Gy sont rarement responsables d’ORN </w:t>
      </w:r>
      <w:r w:rsidRPr="00C22ABE">
        <w:rPr>
          <w:rFonts w:cstheme="minorHAnsi"/>
          <w:bCs/>
          <w:sz w:val="20"/>
          <w:szCs w:val="18"/>
        </w:rPr>
        <w:fldChar w:fldCharType="begin"/>
      </w:r>
      <w:r w:rsidRPr="00C22ABE">
        <w:rPr>
          <w:rFonts w:cstheme="minorHAnsi"/>
          <w:bCs/>
          <w:sz w:val="20"/>
          <w:szCs w:val="18"/>
        </w:rPr>
        <w:instrText xml:space="preserve"> ADDIN ZOTERO_ITEM CSL_CITATION {"citationID":"mtvAXT9f","properties":{"formattedCitation":"(12)","plainCitation":"(12)","noteIndex":0},"citationItems":[{"id":317,"uris":["http://zotero.org/users/local/Om3YyEnU/items/UMEQ2XFD"],"uri":["http://zotero.org/users/local/Om3YyEnU/items/UMEQ2XFD"],"itemData":{"id":317,"type":"article-journal","abstract":"PURPOSE: The aim of this paper is to explore the current theories about definition, classification, incidence and physiopathology of osteoradionecrosis (ORN) of the jaws. Moreover, it is discussed the predisposing and risk factors for the development of osteoradionecrosis based on the literature review.\nDISCUSSION: Osteoradionecrosis is one of the most serious oral complications of head and neck cancer treatment. Osteoradionecrosis is a severe delayed radiation-induced injury, characterised by bone tissue necrosis and failure to heal. Osteoradionecrosis either stabilises or gradually worsens and is notoriously difficult to manage. The most widely accepted theory to explain its cause until recently was the theory of hypoxia, hypovascularity and hypocellularity. A new theory for the pathogenesis of osteoradionecrosis was proposed. The clinical presentations of osteoradionecrosis are pain, drainage and fistulation of the mucosa or skin that is related to exposed bone in an area that has been irradiated. The tumour size and location, radiation dose, local trauma, dental extractions, infection, immune defects and malnutrition can predispose its development.\nCONCLUSIONS: A better understanding of risk factors for the development ORN and of the underlying pathophysiology may improve our ability to prevent this complication and help to improve the prognosis for those being treated for osteoradionecrosis.","container-title":"Oral and Maxillofacial Surgery","DOI":"10.1007/s10006-009-0198-9","ISSN":"1865-1569","issue":"1","journalAbbreviation":"Oral Maxillofac Surg","language":"eng","note":"PMID: 20119841","page":"3-16","source":"PubMed","title":"Osteoradionecrosis of the jaws--a current overview--part 1: Physiopathology and risk and predisposing factors","title-short":"Osteoradionecrosis of the jaws--a current overview--part 1","volume":"14","author":[{"family":"Chrcanovic","given":"Bruno Ramos"},{"family":"Reher","given":"Peter"},{"family":"Sousa","given":"Alexandre Andrade"},{"family":"Harris","given":"Malcolm"}],"issued":{"date-parts":[["2010",3]]}}}],"schema":"https://github.com/citation-style-language/schema/raw/master/csl-citation.json"} </w:instrText>
      </w:r>
      <w:r w:rsidRPr="00C22ABE">
        <w:rPr>
          <w:rFonts w:cstheme="minorHAnsi"/>
          <w:bCs/>
          <w:sz w:val="20"/>
          <w:szCs w:val="18"/>
        </w:rPr>
        <w:fldChar w:fldCharType="separate"/>
      </w:r>
      <w:r w:rsidRPr="00C22ABE">
        <w:rPr>
          <w:rFonts w:cstheme="minorHAnsi"/>
          <w:sz w:val="20"/>
        </w:rPr>
        <w:t>(12)</w:t>
      </w:r>
      <w:r w:rsidRPr="00C22ABE">
        <w:rPr>
          <w:rFonts w:cstheme="minorHAnsi"/>
          <w:bCs/>
          <w:sz w:val="20"/>
          <w:szCs w:val="18"/>
        </w:rPr>
        <w:fldChar w:fldCharType="end"/>
      </w:r>
      <w:r w:rsidR="006F06A5" w:rsidRPr="00C22ABE">
        <w:rPr>
          <w:rFonts w:cstheme="minorHAnsi"/>
          <w:bCs/>
          <w:sz w:val="20"/>
          <w:szCs w:val="18"/>
        </w:rPr>
        <w:t>.</w:t>
      </w:r>
      <w:r w:rsidR="00A11B4A" w:rsidRPr="00C22ABE">
        <w:rPr>
          <w:rFonts w:cstheme="minorHAnsi"/>
          <w:bCs/>
          <w:sz w:val="20"/>
          <w:szCs w:val="18"/>
        </w:rPr>
        <w:t xml:space="preserve"> </w:t>
      </w:r>
      <w:r w:rsidR="006F06A5" w:rsidRPr="00C22ABE">
        <w:rPr>
          <w:rFonts w:cstheme="minorHAnsi"/>
          <w:sz w:val="20"/>
          <w:szCs w:val="18"/>
        </w:rPr>
        <w:t xml:space="preserve">Le risque augmente avec </w:t>
      </w:r>
      <w:r w:rsidR="00AF408C" w:rsidRPr="00C22ABE">
        <w:rPr>
          <w:rFonts w:cstheme="minorHAnsi"/>
          <w:sz w:val="20"/>
          <w:szCs w:val="18"/>
        </w:rPr>
        <w:t>l’</w:t>
      </w:r>
      <w:proofErr w:type="spellStart"/>
      <w:r w:rsidR="00AF408C" w:rsidRPr="00C22ABE">
        <w:rPr>
          <w:rFonts w:cstheme="minorHAnsi"/>
          <w:sz w:val="20"/>
          <w:szCs w:val="18"/>
        </w:rPr>
        <w:t>hypofractionnement</w:t>
      </w:r>
      <w:proofErr w:type="spellEnd"/>
      <w:r w:rsidR="00AF408C" w:rsidRPr="00C22ABE">
        <w:rPr>
          <w:rFonts w:cstheme="minorHAnsi"/>
          <w:sz w:val="20"/>
          <w:szCs w:val="18"/>
        </w:rPr>
        <w:t xml:space="preserve"> </w:t>
      </w:r>
      <w:r w:rsidR="008753C2" w:rsidRPr="00C22ABE">
        <w:rPr>
          <w:rFonts w:cstheme="minorHAnsi"/>
          <w:sz w:val="20"/>
          <w:szCs w:val="18"/>
        </w:rPr>
        <w:t>pour</w:t>
      </w:r>
      <w:r w:rsidR="006F06A5" w:rsidRPr="00C22ABE">
        <w:rPr>
          <w:rFonts w:cstheme="minorHAnsi"/>
          <w:sz w:val="20"/>
          <w:szCs w:val="18"/>
        </w:rPr>
        <w:t xml:space="preserve"> des doses par fraction&gt; 2 Gy ou l’</w:t>
      </w:r>
      <w:proofErr w:type="spellStart"/>
      <w:r w:rsidR="006F06A5" w:rsidRPr="00C22ABE">
        <w:rPr>
          <w:rFonts w:cstheme="minorHAnsi"/>
          <w:sz w:val="20"/>
          <w:szCs w:val="18"/>
        </w:rPr>
        <w:t>hyperfractionnement</w:t>
      </w:r>
      <w:proofErr w:type="spellEnd"/>
      <w:r w:rsidR="006F06A5" w:rsidRPr="00C22ABE">
        <w:rPr>
          <w:rFonts w:cstheme="minorHAnsi"/>
          <w:sz w:val="20"/>
          <w:szCs w:val="18"/>
        </w:rPr>
        <w:t xml:space="preserve"> si les séances sont trop rapprochées </w:t>
      </w:r>
      <w:r w:rsidR="00A72BB9" w:rsidRPr="00C22ABE">
        <w:rPr>
          <w:rFonts w:cstheme="minorHAnsi"/>
          <w:sz w:val="20"/>
          <w:szCs w:val="18"/>
        </w:rPr>
        <w:t>(moins de 6 h entre 2 séances).</w:t>
      </w:r>
    </w:p>
    <w:p w14:paraId="0669B126" w14:textId="78331DD8" w:rsidR="00D31A54" w:rsidRPr="00C22ABE" w:rsidRDefault="00D31A54" w:rsidP="00AF408C">
      <w:pPr>
        <w:tabs>
          <w:tab w:val="left" w:pos="7110"/>
        </w:tabs>
        <w:spacing w:after="0"/>
        <w:rPr>
          <w:rFonts w:cstheme="minorHAnsi"/>
          <w:sz w:val="20"/>
          <w:szCs w:val="18"/>
        </w:rPr>
      </w:pPr>
      <w:r w:rsidRPr="00C22ABE">
        <w:rPr>
          <w:rFonts w:cstheme="minorHAnsi"/>
          <w:sz w:val="20"/>
          <w:szCs w:val="18"/>
        </w:rPr>
        <w:t xml:space="preserve">Les gestes chirurgicaux sur les mâchoires tels que mandibulectomie marginale, </w:t>
      </w:r>
      <w:r w:rsidR="00DF5FF8" w:rsidRPr="00C22ABE">
        <w:rPr>
          <w:rFonts w:cstheme="minorHAnsi"/>
          <w:sz w:val="20"/>
          <w:szCs w:val="18"/>
        </w:rPr>
        <w:t xml:space="preserve">la </w:t>
      </w:r>
      <w:r w:rsidRPr="00C22ABE">
        <w:rPr>
          <w:rFonts w:cstheme="minorHAnsi"/>
          <w:sz w:val="20"/>
          <w:szCs w:val="18"/>
        </w:rPr>
        <w:t>mandibulectomie interruptrice</w:t>
      </w:r>
      <w:r w:rsidR="00DF5FF8" w:rsidRPr="00C22ABE">
        <w:rPr>
          <w:rFonts w:cstheme="minorHAnsi"/>
          <w:sz w:val="20"/>
          <w:szCs w:val="18"/>
        </w:rPr>
        <w:t xml:space="preserve"> ou la </w:t>
      </w:r>
      <w:r w:rsidRPr="00C22ABE">
        <w:rPr>
          <w:rFonts w:cstheme="minorHAnsi"/>
          <w:sz w:val="20"/>
          <w:szCs w:val="18"/>
        </w:rPr>
        <w:t xml:space="preserve">voie d’abord </w:t>
      </w:r>
      <w:proofErr w:type="spellStart"/>
      <w:r w:rsidRPr="00C22ABE">
        <w:rPr>
          <w:rFonts w:cstheme="minorHAnsi"/>
          <w:sz w:val="20"/>
          <w:szCs w:val="18"/>
        </w:rPr>
        <w:t>transmandibulaire</w:t>
      </w:r>
      <w:proofErr w:type="spellEnd"/>
      <w:r w:rsidRPr="00C22ABE">
        <w:rPr>
          <w:rFonts w:cstheme="minorHAnsi"/>
          <w:sz w:val="20"/>
          <w:szCs w:val="18"/>
        </w:rPr>
        <w:t xml:space="preserve"> favorisent une ORN, le </w:t>
      </w:r>
      <w:proofErr w:type="spellStart"/>
      <w:r w:rsidR="00AF408C" w:rsidRPr="00C22ABE">
        <w:rPr>
          <w:rFonts w:cstheme="minorHAnsi"/>
          <w:sz w:val="20"/>
          <w:szCs w:val="18"/>
        </w:rPr>
        <w:t>dépériostage</w:t>
      </w:r>
      <w:proofErr w:type="spellEnd"/>
      <w:r w:rsidR="00AF408C" w:rsidRPr="00C22ABE">
        <w:rPr>
          <w:rFonts w:cstheme="minorHAnsi"/>
          <w:sz w:val="20"/>
          <w:szCs w:val="18"/>
        </w:rPr>
        <w:t xml:space="preserve"> étant</w:t>
      </w:r>
      <w:r w:rsidRPr="00C22ABE">
        <w:rPr>
          <w:rFonts w:cstheme="minorHAnsi"/>
          <w:sz w:val="20"/>
          <w:szCs w:val="18"/>
        </w:rPr>
        <w:t xml:space="preserve"> mis en cause.</w:t>
      </w:r>
    </w:p>
    <w:p w14:paraId="5D9D95B6" w14:textId="77777777" w:rsidR="00AF408C" w:rsidRPr="00C22ABE" w:rsidRDefault="00AF408C" w:rsidP="00AF408C">
      <w:pPr>
        <w:tabs>
          <w:tab w:val="left" w:pos="7110"/>
        </w:tabs>
        <w:spacing w:after="0"/>
        <w:rPr>
          <w:rFonts w:cstheme="minorHAnsi"/>
          <w:bCs/>
          <w:sz w:val="20"/>
          <w:szCs w:val="18"/>
        </w:rPr>
      </w:pPr>
    </w:p>
    <w:p w14:paraId="20DCE480" w14:textId="40C97857" w:rsidR="006F06A5" w:rsidRPr="00C22ABE" w:rsidRDefault="00D31A54" w:rsidP="002E3149">
      <w:pPr>
        <w:tabs>
          <w:tab w:val="left" w:pos="7110"/>
        </w:tabs>
        <w:rPr>
          <w:rFonts w:cstheme="minorHAnsi"/>
          <w:bCs/>
          <w:sz w:val="20"/>
          <w:szCs w:val="18"/>
          <w:u w:val="single"/>
        </w:rPr>
      </w:pPr>
      <w:r w:rsidRPr="00C22ABE">
        <w:rPr>
          <w:rFonts w:cstheme="minorHAnsi"/>
          <w:bCs/>
          <w:sz w:val="20"/>
          <w:szCs w:val="18"/>
          <w:u w:val="single"/>
        </w:rPr>
        <w:t>Facteurs liés à la tumeur</w:t>
      </w:r>
    </w:p>
    <w:p w14:paraId="69AD1FA9" w14:textId="66A3B031" w:rsidR="00D31A54" w:rsidRPr="00C22ABE" w:rsidRDefault="00D31A54" w:rsidP="00D31A54">
      <w:pPr>
        <w:tabs>
          <w:tab w:val="left" w:pos="7110"/>
        </w:tabs>
        <w:rPr>
          <w:rFonts w:cstheme="minorHAnsi"/>
          <w:sz w:val="20"/>
          <w:szCs w:val="18"/>
        </w:rPr>
      </w:pPr>
      <w:r w:rsidRPr="00C22ABE">
        <w:rPr>
          <w:rFonts w:cstheme="minorHAnsi"/>
          <w:bCs/>
          <w:sz w:val="20"/>
          <w:szCs w:val="18"/>
        </w:rPr>
        <w:t xml:space="preserve">La localisation tumorale proche de la mandibule </w:t>
      </w:r>
      <w:r w:rsidRPr="00C22ABE">
        <w:rPr>
          <w:rFonts w:cstheme="minorHAnsi"/>
          <w:sz w:val="20"/>
          <w:szCs w:val="18"/>
        </w:rPr>
        <w:t xml:space="preserve">(langue, trigone </w:t>
      </w:r>
      <w:proofErr w:type="spellStart"/>
      <w:r w:rsidRPr="00C22ABE">
        <w:rPr>
          <w:rFonts w:cstheme="minorHAnsi"/>
          <w:sz w:val="20"/>
          <w:szCs w:val="18"/>
        </w:rPr>
        <w:t>rétromolaire</w:t>
      </w:r>
      <w:proofErr w:type="spellEnd"/>
      <w:r w:rsidRPr="00C22ABE">
        <w:rPr>
          <w:rFonts w:cstheme="minorHAnsi"/>
          <w:sz w:val="20"/>
          <w:szCs w:val="18"/>
        </w:rPr>
        <w:t>, plancher buccal, oropharynx) et un stade tumoral élevé sont des facteurs favorisants</w:t>
      </w:r>
      <w:r w:rsidR="00EB2422" w:rsidRPr="00C22ABE">
        <w:rPr>
          <w:rFonts w:cstheme="minorHAnsi"/>
          <w:sz w:val="20"/>
          <w:szCs w:val="18"/>
        </w:rPr>
        <w:t>.</w:t>
      </w:r>
    </w:p>
    <w:p w14:paraId="0C1A66EB" w14:textId="3D3656C2" w:rsidR="00D31A54" w:rsidRPr="00541DE1" w:rsidRDefault="00D31A54" w:rsidP="002E3149">
      <w:pPr>
        <w:tabs>
          <w:tab w:val="left" w:pos="7110"/>
        </w:tabs>
        <w:rPr>
          <w:rFonts w:cstheme="minorHAnsi"/>
          <w:bCs/>
          <w:sz w:val="20"/>
          <w:szCs w:val="20"/>
          <w:u w:val="single"/>
        </w:rPr>
      </w:pPr>
      <w:r w:rsidRPr="00541DE1">
        <w:rPr>
          <w:rFonts w:cstheme="minorHAnsi"/>
          <w:bCs/>
          <w:sz w:val="20"/>
          <w:szCs w:val="20"/>
          <w:u w:val="single"/>
        </w:rPr>
        <w:t>Facteurs liés au patient</w:t>
      </w:r>
    </w:p>
    <w:p w14:paraId="7CE4F9B8" w14:textId="6715A31B" w:rsidR="003A48FD" w:rsidRPr="00541DE1" w:rsidRDefault="000E45FF" w:rsidP="00AF408C">
      <w:pPr>
        <w:tabs>
          <w:tab w:val="left" w:pos="7110"/>
        </w:tabs>
        <w:spacing w:after="0"/>
        <w:rPr>
          <w:rFonts w:cstheme="minorHAnsi"/>
          <w:color w:val="000000" w:themeColor="text1"/>
          <w:sz w:val="20"/>
          <w:szCs w:val="20"/>
        </w:rPr>
      </w:pPr>
      <w:r w:rsidRPr="00541DE1">
        <w:rPr>
          <w:rFonts w:cstheme="minorHAnsi"/>
          <w:color w:val="000000" w:themeColor="text1"/>
          <w:sz w:val="20"/>
          <w:szCs w:val="20"/>
        </w:rPr>
        <w:t>La majorité des</w:t>
      </w:r>
      <w:r w:rsidR="0025058B" w:rsidRPr="00541DE1">
        <w:rPr>
          <w:rFonts w:cstheme="minorHAnsi"/>
          <w:color w:val="000000" w:themeColor="text1"/>
          <w:sz w:val="20"/>
          <w:szCs w:val="20"/>
        </w:rPr>
        <w:t xml:space="preserve"> </w:t>
      </w:r>
      <w:r w:rsidR="002A77B2" w:rsidRPr="00541DE1">
        <w:rPr>
          <w:rFonts w:cstheme="minorHAnsi"/>
          <w:color w:val="000000" w:themeColor="text1"/>
          <w:sz w:val="20"/>
          <w:szCs w:val="20"/>
        </w:rPr>
        <w:t>patients</w:t>
      </w:r>
      <w:r w:rsidRPr="00541DE1">
        <w:rPr>
          <w:rFonts w:cstheme="minorHAnsi"/>
          <w:color w:val="000000" w:themeColor="text1"/>
          <w:sz w:val="20"/>
          <w:szCs w:val="20"/>
        </w:rPr>
        <w:t xml:space="preserve"> sont</w:t>
      </w:r>
      <w:r w:rsidR="002A77B2" w:rsidRPr="00541DE1">
        <w:rPr>
          <w:rFonts w:cstheme="minorHAnsi"/>
          <w:color w:val="000000" w:themeColor="text1"/>
          <w:sz w:val="20"/>
          <w:szCs w:val="20"/>
        </w:rPr>
        <w:t xml:space="preserve"> âgés de plus de </w:t>
      </w:r>
      <w:r w:rsidR="00D31A54" w:rsidRPr="00541DE1">
        <w:rPr>
          <w:rFonts w:cstheme="minorHAnsi"/>
          <w:color w:val="000000" w:themeColor="text1"/>
          <w:sz w:val="20"/>
          <w:szCs w:val="20"/>
        </w:rPr>
        <w:t>55</w:t>
      </w:r>
      <w:r w:rsidR="00E339BA" w:rsidRPr="00541DE1">
        <w:rPr>
          <w:rFonts w:cstheme="minorHAnsi"/>
          <w:color w:val="000000" w:themeColor="text1"/>
          <w:sz w:val="20"/>
          <w:szCs w:val="20"/>
        </w:rPr>
        <w:t xml:space="preserve"> </w:t>
      </w:r>
      <w:r w:rsidR="00D31A54" w:rsidRPr="00541DE1">
        <w:rPr>
          <w:rFonts w:cstheme="minorHAnsi"/>
          <w:color w:val="000000" w:themeColor="text1"/>
          <w:sz w:val="20"/>
          <w:szCs w:val="20"/>
        </w:rPr>
        <w:t>ans</w:t>
      </w:r>
      <w:r w:rsidR="00541DE1" w:rsidRPr="00541DE1">
        <w:rPr>
          <w:rFonts w:cstheme="minorHAnsi"/>
          <w:color w:val="000000" w:themeColor="text1"/>
          <w:sz w:val="20"/>
          <w:szCs w:val="20"/>
        </w:rPr>
        <w:t>, correspondant à l’âge de survenue des carcinomes épidermoïdes</w:t>
      </w:r>
      <w:r w:rsidRPr="00541DE1">
        <w:rPr>
          <w:rFonts w:cstheme="minorHAnsi"/>
          <w:color w:val="000000" w:themeColor="text1"/>
          <w:sz w:val="20"/>
          <w:szCs w:val="20"/>
        </w:rPr>
        <w:t xml:space="preserve">. </w:t>
      </w:r>
      <w:r w:rsidR="0025058B" w:rsidRPr="00541DE1">
        <w:rPr>
          <w:rFonts w:cstheme="minorHAnsi"/>
          <w:color w:val="000000" w:themeColor="text1"/>
          <w:sz w:val="20"/>
          <w:szCs w:val="20"/>
        </w:rPr>
        <w:t>La consommation a</w:t>
      </w:r>
      <w:r w:rsidR="00D31A54" w:rsidRPr="00541DE1">
        <w:rPr>
          <w:rFonts w:cstheme="minorHAnsi"/>
          <w:color w:val="000000" w:themeColor="text1"/>
          <w:sz w:val="20"/>
          <w:szCs w:val="20"/>
        </w:rPr>
        <w:t>lcoolo</w:t>
      </w:r>
      <w:r w:rsidR="00A11B4A" w:rsidRPr="00541DE1">
        <w:rPr>
          <w:rFonts w:cstheme="minorHAnsi"/>
          <w:color w:val="000000" w:themeColor="text1"/>
          <w:sz w:val="20"/>
          <w:szCs w:val="20"/>
        </w:rPr>
        <w:t>-</w:t>
      </w:r>
      <w:r w:rsidR="00D31A54" w:rsidRPr="00541DE1">
        <w:rPr>
          <w:rFonts w:cstheme="minorHAnsi"/>
          <w:color w:val="000000" w:themeColor="text1"/>
          <w:sz w:val="20"/>
          <w:szCs w:val="20"/>
        </w:rPr>
        <w:t>tabagi</w:t>
      </w:r>
      <w:r w:rsidR="0025058B" w:rsidRPr="00541DE1">
        <w:rPr>
          <w:rFonts w:cstheme="minorHAnsi"/>
          <w:color w:val="000000" w:themeColor="text1"/>
          <w:sz w:val="20"/>
          <w:szCs w:val="20"/>
        </w:rPr>
        <w:t>que</w:t>
      </w:r>
      <w:r w:rsidR="003A48FD" w:rsidRPr="00541DE1">
        <w:rPr>
          <w:rFonts w:cstheme="minorHAnsi"/>
          <w:color w:val="000000" w:themeColor="text1"/>
          <w:sz w:val="20"/>
          <w:szCs w:val="20"/>
        </w:rPr>
        <w:t xml:space="preserve"> </w:t>
      </w:r>
      <w:r w:rsidR="0087223C" w:rsidRPr="00541DE1">
        <w:rPr>
          <w:rFonts w:cstheme="minorHAnsi"/>
          <w:color w:val="000000" w:themeColor="text1"/>
          <w:sz w:val="20"/>
          <w:szCs w:val="20"/>
        </w:rPr>
        <w:t xml:space="preserve">est un facteur favorisant et </w:t>
      </w:r>
      <w:r w:rsidR="0025058B" w:rsidRPr="00541DE1">
        <w:rPr>
          <w:rFonts w:cstheme="minorHAnsi"/>
          <w:color w:val="000000" w:themeColor="text1"/>
          <w:sz w:val="20"/>
          <w:szCs w:val="20"/>
        </w:rPr>
        <w:t xml:space="preserve">un facteur </w:t>
      </w:r>
      <w:r w:rsidR="001E6D9A" w:rsidRPr="00541DE1">
        <w:rPr>
          <w:rFonts w:cstheme="minorHAnsi"/>
          <w:color w:val="000000" w:themeColor="text1"/>
          <w:sz w:val="20"/>
          <w:szCs w:val="20"/>
        </w:rPr>
        <w:t xml:space="preserve">d’aggravation des ORN </w:t>
      </w:r>
      <w:r w:rsidR="001E6D9A" w:rsidRPr="00541DE1">
        <w:rPr>
          <w:rFonts w:cstheme="minorHAnsi"/>
          <w:color w:val="000000" w:themeColor="text1"/>
          <w:sz w:val="20"/>
          <w:szCs w:val="20"/>
        </w:rPr>
        <w:fldChar w:fldCharType="begin"/>
      </w:r>
      <w:r w:rsidR="00DD29FB" w:rsidRPr="00541DE1">
        <w:rPr>
          <w:rFonts w:cstheme="minorHAnsi"/>
          <w:color w:val="000000" w:themeColor="text1"/>
          <w:sz w:val="20"/>
          <w:szCs w:val="20"/>
        </w:rPr>
        <w:instrText xml:space="preserve"> ADDIN ZOTERO_ITEM CSL_CITATION {"citationID":"vDhp64HB","properties":{"formattedCitation":"(22)","plainCitation":"(22)","noteIndex":0},"citationItems":[{"id":287,"uris":["http://zotero.org/users/local/Om3YyEnU/items/A9PPXF8X"],"uri":["http://zotero.org/users/local/Om3YyEnU/items/A9PPXF8X"],"itemData":{"id":287,"type":"article-journal","abstract":"BACKGROUND: Numerous factors have been associated with the development of osteoradionecrosis (ORN) of the jaws. The purpose of this study was to investigate the factors that are linked to the severity of mandibular ORN.\nMETHODS: A retrospective study was conducted which included all ORN cases treated in the Department of Oral and Maxillofacial Surgery in Munich (LMU) between 2003 and 2012. The cases were categorized according to the necrosis stage and several variables were evaluated in order to identify possible correlation between them and the severity of the necrosis.\nRESULTS: A total of 115 patients with 153 osteonecrosis lesions were included in the study. Twenty-three cases were of stage I, 31 were of stage II and 99 were of stage III. The initial tumors were predominantly located in the floor of the mouth, the tongue or the pharynx. Diabetes mellitus (OR: 4.955, 95% Cl: 1.965-12.495), active smoking (OR: 13.542, 95% Cl: 2.085-87.947), excessive alcohol consumption (OR: 5.428, 95% Cl: 1.622-18.171) and dental treatment and/or local pathological conditions (OR: 0.237, 95% Cl: 0.086-0.655) were significant predictors for stage III necrosis.\nCONCLUSIONS: The aforementioned factors are predictive of ORN severity and can guide its prophylaxis and management.","container-title":"Journal of Cranio-Maxillo-Facial Surgery: Official Publication of the European Association for Cranio-Maxillo-Facial Surgery","DOI":"10.1016/j.jcms.2015.03.024","ISSN":"1878-4119","issue":"6","journalAbbreviation":"J Craniomaxillofac Surg","language":"eng","note":"PMID: 25939311","page":"837-846","source":"PubMed","title":"Osteoradionecrosis of the mandible: A ten year single-center retrospective study","title-short":"Osteoradionecrosis of the mandible","volume":"43","author":[{"family":"Chronopoulos","given":"Aristeidis"},{"family":"Zarra","given":"Theodora"},{"family":"Tröltzsch","given":"Matthias"},{"family":"Mahaini","given":"Salah"},{"family":"Ehrenfeld","given":"Michael"},{"family":"Otto","given":"Sven"}],"issued":{"date-parts":[["2015",7]]}}}],"schema":"https://github.com/citation-style-language/schema/raw/master/csl-citation.json"} </w:instrText>
      </w:r>
      <w:r w:rsidR="001E6D9A" w:rsidRPr="00541DE1">
        <w:rPr>
          <w:rFonts w:cstheme="minorHAnsi"/>
          <w:color w:val="000000" w:themeColor="text1"/>
          <w:sz w:val="20"/>
          <w:szCs w:val="20"/>
        </w:rPr>
        <w:fldChar w:fldCharType="separate"/>
      </w:r>
      <w:r w:rsidR="00DD29FB" w:rsidRPr="00541DE1">
        <w:rPr>
          <w:rFonts w:cstheme="minorHAnsi"/>
          <w:sz w:val="20"/>
        </w:rPr>
        <w:t>(22)</w:t>
      </w:r>
      <w:r w:rsidR="001E6D9A" w:rsidRPr="00541DE1">
        <w:rPr>
          <w:rFonts w:cstheme="minorHAnsi"/>
          <w:color w:val="000000" w:themeColor="text1"/>
          <w:sz w:val="20"/>
          <w:szCs w:val="20"/>
        </w:rPr>
        <w:fldChar w:fldCharType="end"/>
      </w:r>
      <w:r w:rsidR="001E6D9A" w:rsidRPr="00541DE1">
        <w:rPr>
          <w:rFonts w:cstheme="minorHAnsi"/>
          <w:color w:val="000000" w:themeColor="text1"/>
          <w:sz w:val="20"/>
          <w:szCs w:val="20"/>
        </w:rPr>
        <w:t>.</w:t>
      </w:r>
    </w:p>
    <w:p w14:paraId="5575A8B7" w14:textId="3E0E8D00" w:rsidR="001F287E" w:rsidRPr="00541DE1" w:rsidRDefault="003A48FD" w:rsidP="00AF408C">
      <w:pPr>
        <w:tabs>
          <w:tab w:val="left" w:pos="7110"/>
        </w:tabs>
        <w:spacing w:after="0"/>
        <w:rPr>
          <w:rFonts w:cstheme="minorHAnsi"/>
          <w:color w:val="000000" w:themeColor="text1"/>
          <w:sz w:val="20"/>
          <w:szCs w:val="18"/>
        </w:rPr>
      </w:pPr>
      <w:r w:rsidRPr="00541DE1">
        <w:rPr>
          <w:rFonts w:cstheme="minorHAnsi"/>
          <w:color w:val="000000" w:themeColor="text1"/>
          <w:sz w:val="20"/>
          <w:szCs w:val="20"/>
        </w:rPr>
        <w:t xml:space="preserve">Le rôle de la dénutrition </w:t>
      </w:r>
      <w:r w:rsidR="00A11B4A" w:rsidRPr="00541DE1">
        <w:rPr>
          <w:rFonts w:cstheme="minorHAnsi"/>
          <w:color w:val="000000" w:themeColor="text1"/>
          <w:sz w:val="20"/>
          <w:szCs w:val="20"/>
        </w:rPr>
        <w:t>est à prendre en co</w:t>
      </w:r>
      <w:r w:rsidR="00D143E4" w:rsidRPr="00541DE1">
        <w:rPr>
          <w:rFonts w:cstheme="minorHAnsi"/>
          <w:color w:val="000000" w:themeColor="text1"/>
          <w:sz w:val="20"/>
          <w:szCs w:val="20"/>
        </w:rPr>
        <w:t>mpte</w:t>
      </w:r>
      <w:r w:rsidRPr="00541DE1">
        <w:rPr>
          <w:rFonts w:cstheme="minorHAnsi"/>
          <w:color w:val="000000" w:themeColor="text1"/>
          <w:sz w:val="20"/>
          <w:szCs w:val="20"/>
        </w:rPr>
        <w:t>. Dans leur étude sur 107 patients,  Hu</w:t>
      </w:r>
      <w:r w:rsidR="00D31A54" w:rsidRPr="00541DE1">
        <w:rPr>
          <w:rFonts w:cstheme="minorHAnsi"/>
          <w:color w:val="000000" w:themeColor="text1"/>
          <w:sz w:val="20"/>
          <w:szCs w:val="20"/>
        </w:rPr>
        <w:t xml:space="preserve">ang et al </w:t>
      </w:r>
      <w:r w:rsidRPr="00541DE1">
        <w:rPr>
          <w:rFonts w:cstheme="minorHAnsi"/>
          <w:color w:val="000000" w:themeColor="text1"/>
          <w:sz w:val="20"/>
          <w:szCs w:val="20"/>
        </w:rPr>
        <w:fldChar w:fldCharType="begin"/>
      </w:r>
      <w:r w:rsidR="00DD29FB" w:rsidRPr="00541DE1">
        <w:rPr>
          <w:rFonts w:cstheme="minorHAnsi"/>
          <w:color w:val="000000" w:themeColor="text1"/>
          <w:sz w:val="20"/>
          <w:szCs w:val="20"/>
        </w:rPr>
        <w:instrText xml:space="preserve"> ADDIN ZOTERO_ITEM CSL_CITATION {"citationID":"avrK2mxT","properties":{"formattedCitation":"(23)","plainCitation":"(23)","noteIndex":0},"citationItems":[{"id":329,"uris":["http://zotero.org/users/local/Om3YyEnU/items/RGAF7CJW"],"uri":["http://zotero.org/users/local/Om3YyEnU/items/RGAF7CJW"],"itemData":{"id":329,"type":"article-journal","abstract":"BACKGROUND: Mandibular osteoradionecrosis (ORN) is a devastating complication secondary to the radiotherapy of head and neck cancer. The nutritional status of ORN patients is compromised, but remains rarely studied. We aimed to evaluate the overall nutritional status of patients with ORN and explore the risk factors behind poor nutrition.\nMETHODS: This is a single-institution cross-sectional study. Patients diagnosed with ORN were consecutively recruited in a tertiary teaching hospital from July 2017 to August 2019. Multiple laboratory markers and physical indicators were examined to profile their nutritional status. The potential risk factors of poor nutrition were explored by logistic regression.\nRESULTS: A total of 107 patients with ORN were recruited. Among them, almost all patients (95.3%) had at least one laboratory marker lower than the normal physiological range. A total of 40 (37.5%) patients were categorized as undernutrition, who had lower serum albumin (mean difference: 1.8 ± 0.8 g/L; p=0.02), prealbumin (mean difference: 26.8 ± 10.8 mg/L; p= 0.02), and BMI (3.8 ± 0.4 kg/m2 ; p&lt;0.0001) compared to patients of normal nutrition. Notably, the multivariate logistic regression indicated that patients with semi-liquid diet had 14.41 (95% CI: 3.03-68.54, p=0.001) times; patients with liquid diet had 5.70 (95% CI: 1.55-20.98, p=0.009) times more likely to be in undernutrition, as compared to patients with regular diets.\nCONCLUSIONS: This is the first study characterizing the poor nutritional status in ORN patients. Patients having semi-liquid or liquid diets tended to have poorer nutritional status. The nutritional status of ORN patients should be underlined for professional nutritional supports so as to enhance their quality of life. More studies are warranted.","container-title":"Oral Diseases","DOI":"10.1111/odi.13762","ISSN":"1601-0825","journalAbbreviation":"Oral Dis","language":"eng","note":"PMID: 33370490","source":"PubMed","title":"Nutritional Status in Patients of Mandibular Osteoradionecrosis: A Single-Institution Experience","title-short":"Nutritional Status in Patients of Mandibular Osteoradionecrosis","author":[{"family":"Huang","given":"Qiuyu"},{"family":"He","given":"Xingfang"},{"family":"Yang","given":"Wei-Fa"},{"family":"Ye","given":"Jingjing"},{"family":"Lin","given":"Zhumei"},{"family":"Xiong","given":"Caibing"},{"family":"Liang","given":"Yu-Jie"}],"issued":{"date-parts":[["2020",12,28]]}}}],"schema":"https://github.com/citation-style-language/schema/raw/master/csl-citation.json"} </w:instrText>
      </w:r>
      <w:r w:rsidRPr="00541DE1">
        <w:rPr>
          <w:rFonts w:cstheme="minorHAnsi"/>
          <w:color w:val="000000" w:themeColor="text1"/>
          <w:sz w:val="20"/>
          <w:szCs w:val="20"/>
        </w:rPr>
        <w:fldChar w:fldCharType="separate"/>
      </w:r>
      <w:r w:rsidR="00DD29FB" w:rsidRPr="00541DE1">
        <w:rPr>
          <w:rFonts w:cstheme="minorHAnsi"/>
          <w:sz w:val="20"/>
        </w:rPr>
        <w:t>(23)</w:t>
      </w:r>
      <w:r w:rsidRPr="00541DE1">
        <w:rPr>
          <w:rFonts w:cstheme="minorHAnsi"/>
          <w:color w:val="000000" w:themeColor="text1"/>
          <w:sz w:val="20"/>
          <w:szCs w:val="20"/>
        </w:rPr>
        <w:fldChar w:fldCharType="end"/>
      </w:r>
      <w:r w:rsidR="00D31A54" w:rsidRPr="00541DE1">
        <w:rPr>
          <w:rFonts w:cstheme="minorHAnsi"/>
          <w:color w:val="000000" w:themeColor="text1"/>
          <w:sz w:val="20"/>
          <w:szCs w:val="20"/>
        </w:rPr>
        <w:t xml:space="preserve"> </w:t>
      </w:r>
      <w:r w:rsidRPr="00541DE1">
        <w:rPr>
          <w:rFonts w:cstheme="minorHAnsi"/>
          <w:color w:val="000000" w:themeColor="text1"/>
          <w:sz w:val="20"/>
          <w:szCs w:val="20"/>
        </w:rPr>
        <w:t>ont mesuré le taux d’albumine</w:t>
      </w:r>
      <w:r w:rsidR="00D31A54" w:rsidRPr="00541DE1">
        <w:rPr>
          <w:rFonts w:cstheme="minorHAnsi"/>
          <w:color w:val="000000" w:themeColor="text1"/>
          <w:sz w:val="20"/>
          <w:szCs w:val="20"/>
        </w:rPr>
        <w:t xml:space="preserve">, </w:t>
      </w:r>
      <w:r w:rsidRPr="00541DE1">
        <w:rPr>
          <w:rFonts w:cstheme="minorHAnsi"/>
          <w:color w:val="000000" w:themeColor="text1"/>
          <w:sz w:val="20"/>
          <w:szCs w:val="20"/>
        </w:rPr>
        <w:t xml:space="preserve">de </w:t>
      </w:r>
      <w:proofErr w:type="spellStart"/>
      <w:r w:rsidR="00D31A54" w:rsidRPr="00541DE1">
        <w:rPr>
          <w:rFonts w:cstheme="minorHAnsi"/>
          <w:color w:val="000000" w:themeColor="text1"/>
          <w:sz w:val="20"/>
          <w:szCs w:val="20"/>
        </w:rPr>
        <w:t>préalbumine</w:t>
      </w:r>
      <w:proofErr w:type="spellEnd"/>
      <w:r w:rsidR="0087223C" w:rsidRPr="00541DE1">
        <w:rPr>
          <w:rFonts w:cstheme="minorHAnsi"/>
          <w:color w:val="000000" w:themeColor="text1"/>
          <w:sz w:val="20"/>
          <w:szCs w:val="20"/>
        </w:rPr>
        <w:t xml:space="preserve"> et</w:t>
      </w:r>
      <w:r w:rsidRPr="00541DE1">
        <w:rPr>
          <w:rFonts w:cstheme="minorHAnsi"/>
          <w:color w:val="000000" w:themeColor="text1"/>
          <w:sz w:val="20"/>
          <w:szCs w:val="20"/>
        </w:rPr>
        <w:t xml:space="preserve"> </w:t>
      </w:r>
      <w:r w:rsidR="00D9256A" w:rsidRPr="00541DE1">
        <w:rPr>
          <w:rFonts w:cstheme="minorHAnsi"/>
          <w:color w:val="000000" w:themeColor="text1"/>
          <w:sz w:val="20"/>
          <w:szCs w:val="20"/>
        </w:rPr>
        <w:t>l’in</w:t>
      </w:r>
      <w:r w:rsidR="0087223C" w:rsidRPr="00541DE1">
        <w:rPr>
          <w:rFonts w:cstheme="minorHAnsi"/>
          <w:color w:val="000000" w:themeColor="text1"/>
          <w:sz w:val="20"/>
          <w:szCs w:val="20"/>
        </w:rPr>
        <w:t>dice</w:t>
      </w:r>
      <w:r w:rsidR="00D9256A" w:rsidRPr="00541DE1">
        <w:rPr>
          <w:rFonts w:cstheme="minorHAnsi"/>
          <w:color w:val="000000" w:themeColor="text1"/>
          <w:sz w:val="20"/>
          <w:szCs w:val="20"/>
        </w:rPr>
        <w:t xml:space="preserve"> de masse corporelle (</w:t>
      </w:r>
      <w:r w:rsidR="0087223C" w:rsidRPr="00541DE1">
        <w:rPr>
          <w:rFonts w:cstheme="minorHAnsi"/>
          <w:color w:val="000000" w:themeColor="text1"/>
          <w:sz w:val="20"/>
          <w:szCs w:val="20"/>
        </w:rPr>
        <w:t>IMC</w:t>
      </w:r>
      <w:r w:rsidR="00D9256A" w:rsidRPr="00541DE1">
        <w:rPr>
          <w:rFonts w:cstheme="minorHAnsi"/>
          <w:color w:val="000000" w:themeColor="text1"/>
          <w:sz w:val="20"/>
          <w:szCs w:val="20"/>
        </w:rPr>
        <w:t>)</w:t>
      </w:r>
      <w:r w:rsidRPr="00541DE1">
        <w:rPr>
          <w:rFonts w:cstheme="minorHAnsi"/>
          <w:color w:val="000000" w:themeColor="text1"/>
          <w:sz w:val="20"/>
          <w:szCs w:val="20"/>
        </w:rPr>
        <w:t xml:space="preserve">, qui sont moins élevés dans le groupe ORN </w:t>
      </w:r>
      <w:r w:rsidR="00D31A54" w:rsidRPr="00541DE1">
        <w:rPr>
          <w:rFonts w:cstheme="minorHAnsi"/>
          <w:color w:val="000000" w:themeColor="text1"/>
          <w:sz w:val="20"/>
          <w:szCs w:val="20"/>
        </w:rPr>
        <w:t xml:space="preserve">par rapport à une population normale. </w:t>
      </w:r>
      <w:r w:rsidRPr="00541DE1">
        <w:rPr>
          <w:rFonts w:cstheme="minorHAnsi"/>
          <w:color w:val="000000" w:themeColor="text1"/>
          <w:sz w:val="20"/>
          <w:szCs w:val="20"/>
        </w:rPr>
        <w:t>Les patients irradiés</w:t>
      </w:r>
      <w:r w:rsidR="0087223C" w:rsidRPr="00541DE1">
        <w:rPr>
          <w:rFonts w:cstheme="minorHAnsi"/>
          <w:color w:val="000000" w:themeColor="text1"/>
          <w:sz w:val="20"/>
          <w:szCs w:val="20"/>
        </w:rPr>
        <w:t xml:space="preserve"> majorent leur risque de dénutrition</w:t>
      </w:r>
      <w:r w:rsidRPr="00541DE1">
        <w:rPr>
          <w:rFonts w:cstheme="minorHAnsi"/>
          <w:color w:val="000000" w:themeColor="text1"/>
          <w:sz w:val="20"/>
          <w:szCs w:val="20"/>
        </w:rPr>
        <w:t xml:space="preserve"> </w:t>
      </w:r>
      <w:r w:rsidR="00541DE1" w:rsidRPr="00541DE1">
        <w:rPr>
          <w:rFonts w:cstheme="minorHAnsi"/>
          <w:color w:val="000000" w:themeColor="text1"/>
          <w:sz w:val="20"/>
          <w:szCs w:val="20"/>
        </w:rPr>
        <w:t xml:space="preserve">par </w:t>
      </w:r>
      <w:r w:rsidR="0087223C" w:rsidRPr="00541DE1">
        <w:rPr>
          <w:rFonts w:cstheme="minorHAnsi"/>
          <w:color w:val="000000" w:themeColor="text1"/>
          <w:sz w:val="20"/>
          <w:szCs w:val="20"/>
        </w:rPr>
        <w:t>la présence</w:t>
      </w:r>
      <w:r w:rsidRPr="00541DE1">
        <w:rPr>
          <w:rFonts w:cstheme="minorHAnsi"/>
          <w:color w:val="000000" w:themeColor="text1"/>
          <w:sz w:val="20"/>
          <w:szCs w:val="20"/>
        </w:rPr>
        <w:t xml:space="preserve"> </w:t>
      </w:r>
      <w:r w:rsidR="0087223C" w:rsidRPr="00541DE1">
        <w:rPr>
          <w:rFonts w:cstheme="minorHAnsi"/>
          <w:color w:val="000000" w:themeColor="text1"/>
          <w:sz w:val="20"/>
          <w:szCs w:val="20"/>
        </w:rPr>
        <w:t>d’</w:t>
      </w:r>
      <w:r w:rsidRPr="00541DE1">
        <w:rPr>
          <w:rFonts w:cstheme="minorHAnsi"/>
          <w:color w:val="000000" w:themeColor="text1"/>
          <w:sz w:val="20"/>
          <w:szCs w:val="20"/>
        </w:rPr>
        <w:t>un trismus, une fibrose cervicale</w:t>
      </w:r>
      <w:r w:rsidR="0087223C" w:rsidRPr="00541DE1">
        <w:rPr>
          <w:rFonts w:cstheme="minorHAnsi"/>
          <w:color w:val="000000" w:themeColor="text1"/>
          <w:sz w:val="20"/>
          <w:szCs w:val="20"/>
        </w:rPr>
        <w:t xml:space="preserve"> ou</w:t>
      </w:r>
      <w:r w:rsidRPr="00541DE1">
        <w:rPr>
          <w:rFonts w:cstheme="minorHAnsi"/>
          <w:color w:val="000000" w:themeColor="text1"/>
          <w:sz w:val="20"/>
          <w:szCs w:val="20"/>
        </w:rPr>
        <w:t xml:space="preserve"> une dysphagie, ne permettant qu’une alimentation liquide</w:t>
      </w:r>
      <w:r w:rsidR="00D31A54" w:rsidRPr="00541DE1">
        <w:rPr>
          <w:rFonts w:cstheme="minorHAnsi"/>
          <w:color w:val="000000" w:themeColor="text1"/>
          <w:sz w:val="20"/>
          <w:szCs w:val="20"/>
        </w:rPr>
        <w:t>. Ce mauvais statu</w:t>
      </w:r>
      <w:r w:rsidR="00DF5FF8" w:rsidRPr="00541DE1">
        <w:rPr>
          <w:rFonts w:cstheme="minorHAnsi"/>
          <w:color w:val="000000" w:themeColor="text1"/>
          <w:sz w:val="20"/>
          <w:szCs w:val="20"/>
        </w:rPr>
        <w:t>t</w:t>
      </w:r>
      <w:r w:rsidR="00D31A54" w:rsidRPr="00541DE1">
        <w:rPr>
          <w:rFonts w:cstheme="minorHAnsi"/>
          <w:color w:val="000000" w:themeColor="text1"/>
          <w:sz w:val="20"/>
          <w:szCs w:val="20"/>
        </w:rPr>
        <w:t xml:space="preserve"> nutritionnel est aussi un frein à une chirurgie lourde </w:t>
      </w:r>
      <w:r w:rsidRPr="00541DE1">
        <w:rPr>
          <w:rFonts w:cstheme="minorHAnsi"/>
          <w:color w:val="000000" w:themeColor="text1"/>
          <w:sz w:val="20"/>
          <w:szCs w:val="20"/>
        </w:rPr>
        <w:t xml:space="preserve">par </w:t>
      </w:r>
      <w:r w:rsidR="00D31A54" w:rsidRPr="00541DE1">
        <w:rPr>
          <w:rFonts w:cstheme="minorHAnsi"/>
          <w:color w:val="000000" w:themeColor="text1"/>
          <w:sz w:val="20"/>
          <w:szCs w:val="20"/>
        </w:rPr>
        <w:t>augment</w:t>
      </w:r>
      <w:r w:rsidRPr="00541DE1">
        <w:rPr>
          <w:rFonts w:cstheme="minorHAnsi"/>
          <w:color w:val="000000" w:themeColor="text1"/>
          <w:sz w:val="20"/>
          <w:szCs w:val="20"/>
        </w:rPr>
        <w:t>ation de</w:t>
      </w:r>
      <w:r w:rsidR="00D31A54" w:rsidRPr="00541DE1">
        <w:rPr>
          <w:rFonts w:cstheme="minorHAnsi"/>
          <w:color w:val="000000" w:themeColor="text1"/>
          <w:sz w:val="20"/>
          <w:szCs w:val="20"/>
        </w:rPr>
        <w:t xml:space="preserve"> la morbidité</w:t>
      </w:r>
      <w:r w:rsidRPr="00541DE1">
        <w:rPr>
          <w:rFonts w:cstheme="minorHAnsi"/>
          <w:color w:val="000000" w:themeColor="text1"/>
          <w:sz w:val="20"/>
          <w:szCs w:val="20"/>
        </w:rPr>
        <w:t>. Les valeurs considérées comme toxiques sont un</w:t>
      </w:r>
      <w:r w:rsidR="00D31A54" w:rsidRPr="00541DE1">
        <w:rPr>
          <w:rFonts w:cstheme="minorHAnsi"/>
          <w:color w:val="000000" w:themeColor="text1"/>
          <w:sz w:val="20"/>
          <w:szCs w:val="20"/>
        </w:rPr>
        <w:t xml:space="preserve"> </w:t>
      </w:r>
      <w:r w:rsidR="0087223C" w:rsidRPr="00541DE1">
        <w:rPr>
          <w:rFonts w:cstheme="minorHAnsi"/>
          <w:color w:val="000000" w:themeColor="text1"/>
          <w:sz w:val="20"/>
          <w:szCs w:val="20"/>
        </w:rPr>
        <w:t>IMC</w:t>
      </w:r>
      <w:r w:rsidR="00D31A54" w:rsidRPr="00541DE1">
        <w:rPr>
          <w:rFonts w:cstheme="minorHAnsi"/>
          <w:color w:val="000000" w:themeColor="text1"/>
          <w:sz w:val="20"/>
          <w:szCs w:val="20"/>
        </w:rPr>
        <w:t xml:space="preserve"> &lt; 18.5</w:t>
      </w:r>
      <w:r w:rsidRPr="00541DE1">
        <w:rPr>
          <w:rFonts w:cstheme="minorHAnsi"/>
          <w:color w:val="000000" w:themeColor="text1"/>
          <w:sz w:val="20"/>
          <w:szCs w:val="20"/>
        </w:rPr>
        <w:t>, une albumine sérique</w:t>
      </w:r>
      <w:r w:rsidR="00D31A54" w:rsidRPr="00541DE1">
        <w:rPr>
          <w:rFonts w:cstheme="minorHAnsi"/>
          <w:color w:val="000000" w:themeColor="text1"/>
          <w:sz w:val="20"/>
          <w:szCs w:val="20"/>
        </w:rPr>
        <w:t xml:space="preserve"> &lt; 35 g/L. </w:t>
      </w:r>
      <w:r w:rsidR="0025058B" w:rsidRPr="00541DE1">
        <w:rPr>
          <w:rFonts w:cstheme="minorHAnsi"/>
          <w:color w:val="000000" w:themeColor="text1"/>
          <w:sz w:val="20"/>
          <w:szCs w:val="20"/>
        </w:rPr>
        <w:t>Un</w:t>
      </w:r>
      <w:r w:rsidRPr="00541DE1">
        <w:rPr>
          <w:rFonts w:cstheme="minorHAnsi"/>
          <w:color w:val="000000" w:themeColor="text1"/>
          <w:sz w:val="20"/>
          <w:szCs w:val="20"/>
        </w:rPr>
        <w:t xml:space="preserve"> niveau d’hémoglobine et de protéines totales </w:t>
      </w:r>
      <w:r w:rsidR="0025058B" w:rsidRPr="00541DE1">
        <w:rPr>
          <w:rFonts w:cstheme="minorHAnsi"/>
          <w:color w:val="000000" w:themeColor="text1"/>
          <w:sz w:val="20"/>
          <w:szCs w:val="20"/>
        </w:rPr>
        <w:t xml:space="preserve">bas </w:t>
      </w:r>
      <w:r w:rsidRPr="00541DE1">
        <w:rPr>
          <w:rFonts w:cstheme="minorHAnsi"/>
          <w:color w:val="000000" w:themeColor="text1"/>
          <w:sz w:val="20"/>
          <w:szCs w:val="20"/>
        </w:rPr>
        <w:t>est également considéré.</w:t>
      </w:r>
      <w:r w:rsidR="002A77B2" w:rsidRPr="00541DE1">
        <w:rPr>
          <w:rFonts w:cstheme="minorHAnsi"/>
          <w:color w:val="000000" w:themeColor="text1"/>
          <w:sz w:val="20"/>
          <w:szCs w:val="20"/>
        </w:rPr>
        <w:t xml:space="preserve"> </w:t>
      </w:r>
      <w:r w:rsidR="002A77B2" w:rsidRPr="00541DE1">
        <w:rPr>
          <w:rFonts w:cstheme="minorHAnsi"/>
          <w:color w:val="000000" w:themeColor="text1"/>
          <w:sz w:val="20"/>
          <w:szCs w:val="18"/>
        </w:rPr>
        <w:t>Pour certains, pour chaque point d’augmentation d</w:t>
      </w:r>
      <w:r w:rsidR="00541DE1">
        <w:rPr>
          <w:rFonts w:cstheme="minorHAnsi"/>
          <w:color w:val="000000" w:themeColor="text1"/>
          <w:sz w:val="20"/>
          <w:szCs w:val="18"/>
        </w:rPr>
        <w:t>e l’</w:t>
      </w:r>
      <w:r w:rsidR="002A77B2" w:rsidRPr="00541DE1">
        <w:rPr>
          <w:rFonts w:cstheme="minorHAnsi"/>
          <w:color w:val="000000" w:themeColor="text1"/>
          <w:sz w:val="20"/>
          <w:szCs w:val="18"/>
        </w:rPr>
        <w:t xml:space="preserve"> I</w:t>
      </w:r>
      <w:r w:rsidR="0087223C" w:rsidRPr="00541DE1">
        <w:rPr>
          <w:rFonts w:cstheme="minorHAnsi"/>
          <w:color w:val="000000" w:themeColor="text1"/>
          <w:sz w:val="20"/>
          <w:szCs w:val="18"/>
        </w:rPr>
        <w:t>MC</w:t>
      </w:r>
      <w:r w:rsidR="002A77B2" w:rsidRPr="00541DE1">
        <w:rPr>
          <w:rFonts w:cstheme="minorHAnsi"/>
          <w:color w:val="000000" w:themeColor="text1"/>
          <w:sz w:val="20"/>
          <w:szCs w:val="18"/>
        </w:rPr>
        <w:t xml:space="preserve">, le risque d’ORN diminue de 27% </w:t>
      </w:r>
      <w:r w:rsidR="002A77B2" w:rsidRPr="00541DE1">
        <w:rPr>
          <w:rFonts w:cstheme="minorHAnsi"/>
          <w:color w:val="000000" w:themeColor="text1"/>
          <w:sz w:val="20"/>
          <w:szCs w:val="18"/>
        </w:rPr>
        <w:fldChar w:fldCharType="begin"/>
      </w:r>
      <w:r w:rsidR="00DD29FB" w:rsidRPr="00541DE1">
        <w:rPr>
          <w:rFonts w:cstheme="minorHAnsi"/>
          <w:color w:val="000000" w:themeColor="text1"/>
          <w:sz w:val="20"/>
          <w:szCs w:val="18"/>
        </w:rPr>
        <w:instrText xml:space="preserve"> ADDIN ZOTERO_ITEM CSL_CITATION {"citationID":"olzBQZu0","properties":{"formattedCitation":"(24)","plainCitation":"(24)","noteIndex":0},"citationItems":[{"id":335,"uris":["http://zotero.org/users/local/Om3YyEnU/items/MSPWWQRU"],"uri":["http://zotero.org/users/local/Om3YyEnU/items/MSPWWQRU"],"itemData":{"id":335,"type":"article-journal","abstract":"PURPOSE: Osteoradionecrosis (ORN) of the jaws has been extensively studied. However, controversy still exists regarding its etiology, risk factors, and the underlying mechanism of disease. The purpose of this study was to identify and evaluate significant risk factors for the development of ORN.\nPATIENTS AND METHODS: This was a retrospective cohort study of 82 Massachusetts General Hospital patients radiated for head and neck cancer between 1984 and 2005. Patient records were reviewed to collect demographic information, medical and dental history (including dental intervention or trauma), tumor specific data, treatment details, and follow-up. Biologic variables (ie, age and gender) of potential significance were also evaluated. The major outcome variable was the development of ORN or lack of development of ORN. The time from radiation to ORN, or for non-ORN patients, time to last follow-up visit, was computed. Univariate analyses identified candidate variables associated with ORN (P &lt; .15). Cox proportional hazards regression was used to evaluate these candidate variables as well as biologically relevant variables. Significant prognostic factors for the development of ORN (P &lt; .05) were identified.\nRESULTS: Multivariate regression identified the following variables as significantly associated with decreased ORN risk: higher body mass index (P = .02) and use of steroids (P = .02). Radiation dose greater than 66 Gray (P = .03) was associated with an increased ORN risk.\nCONCLUSIONS: Optimization of nutritional status, use of steroids, and limitation of total radiation dose may minimize the risk of ORN.","container-title":"Journal of Oral and Maxillofacial Surgery: Official Journal of the American Association of Oral and Maxillofacial Surgeons","DOI":"10.1016/j.joms.2007.05.021","ISSN":"0278-2391","issue":"11","journalAbbreviation":"J Oral Maxillofac Surg","language":"eng","note":"PMID: 17954330","page":"2311-2316","source":"PubMed","title":"Risk factor assessment for the development of osteoradionecrosis","volume":"65","author":[{"family":"Goldwaser","given":"Batya R."},{"family":"Chuang","given":"Sung-Kiang"},{"family":"Kaban","given":"Leonard B."},{"family":"August","given":"Meredith"}],"issued":{"date-parts":[["2007",11]]}}}],"schema":"https://github.com/citation-style-language/schema/raw/master/csl-citation.json"} </w:instrText>
      </w:r>
      <w:r w:rsidR="002A77B2" w:rsidRPr="00541DE1">
        <w:rPr>
          <w:rFonts w:cstheme="minorHAnsi"/>
          <w:color w:val="000000" w:themeColor="text1"/>
          <w:sz w:val="20"/>
          <w:szCs w:val="18"/>
        </w:rPr>
        <w:fldChar w:fldCharType="separate"/>
      </w:r>
      <w:r w:rsidR="00DD29FB" w:rsidRPr="00541DE1">
        <w:rPr>
          <w:rFonts w:cstheme="minorHAnsi"/>
          <w:sz w:val="20"/>
        </w:rPr>
        <w:t>(24)</w:t>
      </w:r>
      <w:r w:rsidR="002A77B2" w:rsidRPr="00541DE1">
        <w:rPr>
          <w:rFonts w:cstheme="minorHAnsi"/>
          <w:color w:val="000000" w:themeColor="text1"/>
          <w:sz w:val="20"/>
          <w:szCs w:val="18"/>
        </w:rPr>
        <w:fldChar w:fldCharType="end"/>
      </w:r>
      <w:r w:rsidR="002A77B2" w:rsidRPr="00541DE1">
        <w:rPr>
          <w:rFonts w:cstheme="minorHAnsi"/>
          <w:color w:val="000000" w:themeColor="text1"/>
          <w:sz w:val="20"/>
          <w:szCs w:val="18"/>
        </w:rPr>
        <w:t>.</w:t>
      </w:r>
      <w:r w:rsidR="00550A8A" w:rsidRPr="00541DE1">
        <w:rPr>
          <w:rFonts w:cstheme="minorHAnsi"/>
          <w:color w:val="000000" w:themeColor="text1"/>
          <w:sz w:val="20"/>
          <w:szCs w:val="18"/>
        </w:rPr>
        <w:t xml:space="preserve"> </w:t>
      </w:r>
    </w:p>
    <w:p w14:paraId="270E153F" w14:textId="5A18D997" w:rsidR="00550A8A" w:rsidRPr="00541DE1" w:rsidRDefault="00550A8A" w:rsidP="00550A8A">
      <w:pPr>
        <w:rPr>
          <w:rFonts w:cstheme="minorHAnsi"/>
          <w:sz w:val="20"/>
          <w:szCs w:val="18"/>
        </w:rPr>
      </w:pPr>
      <w:r w:rsidRPr="00541DE1">
        <w:rPr>
          <w:rFonts w:cstheme="minorHAnsi"/>
          <w:sz w:val="20"/>
          <w:szCs w:val="18"/>
        </w:rPr>
        <w:t xml:space="preserve">Certains facteurs génétiques sont parfois retrouvés </w:t>
      </w:r>
      <w:r w:rsidRPr="00541DE1">
        <w:rPr>
          <w:rFonts w:cstheme="minorHAnsi"/>
          <w:sz w:val="20"/>
          <w:szCs w:val="18"/>
        </w:rPr>
        <w:fldChar w:fldCharType="begin"/>
      </w:r>
      <w:r w:rsidR="00DD29FB" w:rsidRPr="00541DE1">
        <w:rPr>
          <w:rFonts w:cstheme="minorHAnsi"/>
          <w:sz w:val="20"/>
          <w:szCs w:val="18"/>
        </w:rPr>
        <w:instrText xml:space="preserve"> ADDIN ZOTERO_ITEM CSL_CITATION {"citationID":"NFU5oVqz","properties":{"formattedCitation":"(18)","plainCitation":"(18)","noteIndex":0},"citationItems":[{"id":187,"uris":["http://zotero.org/users/local/Om3YyEnU/items/XDB9PZEV"],"uri":["http://zotero.org/users/local/Om3YyEnU/items/XDB9PZEV"],"itemData":{"id":187,"type":"article-journal","container-title":"Medicina Oral Patología Oral y Cirugia Bucal","DOI":"10.4317/medoral.24132","ISSN":"16986946","journalAbbreviation":"Med Oral","page":"0-0","source":"DOI.org (Crossref)","title":"Therapeutic alternatives in the management of osteoradionecrosis of the jaws. Systematic review","author":[{"family":"Camolesi","given":"Gc."},{"family":"Ortega","given":"Kl."},{"family":"Medina","given":"Jb."},{"family":"Campos","given":"L."},{"family":"Lorenzo Pouso","given":"Ai."},{"family":"Gándara Vila","given":"P."},{"family":"Pérez Sayáns","given":"M."}],"issued":{"date-parts":[["2020"]]}}}],"schema":"https://github.com/citation-style-language/schema/raw/master/csl-citation.json"} </w:instrText>
      </w:r>
      <w:r w:rsidRPr="00541DE1">
        <w:rPr>
          <w:rFonts w:cstheme="minorHAnsi"/>
          <w:sz w:val="20"/>
          <w:szCs w:val="18"/>
        </w:rPr>
        <w:fldChar w:fldCharType="separate"/>
      </w:r>
      <w:r w:rsidR="00DD29FB" w:rsidRPr="00541DE1">
        <w:rPr>
          <w:rFonts w:cstheme="minorHAnsi"/>
          <w:sz w:val="20"/>
        </w:rPr>
        <w:t>(18)</w:t>
      </w:r>
      <w:r w:rsidRPr="00541DE1">
        <w:rPr>
          <w:rFonts w:cstheme="minorHAnsi"/>
          <w:sz w:val="20"/>
          <w:szCs w:val="18"/>
        </w:rPr>
        <w:fldChar w:fldCharType="end"/>
      </w:r>
      <w:r w:rsidRPr="00541DE1">
        <w:rPr>
          <w:rFonts w:cstheme="minorHAnsi"/>
          <w:sz w:val="20"/>
          <w:szCs w:val="18"/>
        </w:rPr>
        <w:t>.</w:t>
      </w:r>
    </w:p>
    <w:p w14:paraId="6D88C3B3" w14:textId="77086D48" w:rsidR="00D31A54" w:rsidRPr="00541DE1" w:rsidRDefault="00D31A54" w:rsidP="002E3149">
      <w:pPr>
        <w:tabs>
          <w:tab w:val="left" w:pos="7110"/>
        </w:tabs>
        <w:rPr>
          <w:rFonts w:cstheme="minorHAnsi"/>
          <w:bCs/>
          <w:sz w:val="20"/>
          <w:szCs w:val="20"/>
          <w:u w:val="single"/>
        </w:rPr>
      </w:pPr>
      <w:r w:rsidRPr="00541DE1">
        <w:rPr>
          <w:rFonts w:cstheme="minorHAnsi"/>
          <w:bCs/>
          <w:sz w:val="20"/>
          <w:szCs w:val="20"/>
          <w:u w:val="single"/>
        </w:rPr>
        <w:t>Facteurs liés aux dents</w:t>
      </w:r>
    </w:p>
    <w:p w14:paraId="762DF449" w14:textId="5210D714" w:rsidR="00C22ABE" w:rsidRDefault="005B5A13" w:rsidP="00894602">
      <w:pPr>
        <w:tabs>
          <w:tab w:val="left" w:pos="7110"/>
        </w:tabs>
        <w:spacing w:after="0"/>
        <w:rPr>
          <w:rFonts w:cstheme="minorHAnsi"/>
          <w:color w:val="000000" w:themeColor="text1"/>
          <w:sz w:val="20"/>
          <w:szCs w:val="18"/>
        </w:rPr>
      </w:pPr>
      <w:r w:rsidRPr="00541DE1">
        <w:rPr>
          <w:rFonts w:cstheme="minorHAnsi"/>
          <w:bCs/>
          <w:sz w:val="20"/>
          <w:szCs w:val="20"/>
        </w:rPr>
        <w:t xml:space="preserve">Ils se rapportent à une </w:t>
      </w:r>
      <w:r w:rsidR="00610B95" w:rsidRPr="00541DE1">
        <w:rPr>
          <w:rFonts w:cstheme="minorHAnsi"/>
          <w:bCs/>
          <w:sz w:val="20"/>
          <w:szCs w:val="20"/>
        </w:rPr>
        <w:t>hygiène</w:t>
      </w:r>
      <w:r w:rsidRPr="00541DE1">
        <w:rPr>
          <w:rFonts w:cstheme="minorHAnsi"/>
          <w:bCs/>
          <w:sz w:val="20"/>
          <w:szCs w:val="20"/>
        </w:rPr>
        <w:t xml:space="preserve"> buccodentaire médiocre</w:t>
      </w:r>
      <w:r w:rsidR="0025058B" w:rsidRPr="00541DE1">
        <w:rPr>
          <w:rFonts w:cstheme="minorHAnsi"/>
          <w:bCs/>
          <w:sz w:val="20"/>
          <w:szCs w:val="20"/>
        </w:rPr>
        <w:t>, à la présence d’infection dentaire</w:t>
      </w:r>
      <w:r w:rsidRPr="00541DE1">
        <w:rPr>
          <w:rFonts w:cstheme="minorHAnsi"/>
          <w:bCs/>
          <w:sz w:val="20"/>
          <w:szCs w:val="20"/>
        </w:rPr>
        <w:t xml:space="preserve"> et aux extractions dentaires. Celles-ci seront idéalement </w:t>
      </w:r>
      <w:r w:rsidR="00610B95" w:rsidRPr="00541DE1">
        <w:rPr>
          <w:rFonts w:cstheme="minorHAnsi"/>
          <w:bCs/>
          <w:sz w:val="20"/>
          <w:szCs w:val="20"/>
        </w:rPr>
        <w:t>réalisées</w:t>
      </w:r>
      <w:r w:rsidRPr="00541DE1">
        <w:rPr>
          <w:rFonts w:cstheme="minorHAnsi"/>
          <w:bCs/>
          <w:sz w:val="20"/>
          <w:szCs w:val="20"/>
        </w:rPr>
        <w:t xml:space="preserve"> 21 jours avant le début de la radiothérapie, mais </w:t>
      </w:r>
      <w:r w:rsidR="0087223C" w:rsidRPr="00541DE1">
        <w:rPr>
          <w:rFonts w:cstheme="minorHAnsi"/>
          <w:bCs/>
          <w:sz w:val="20"/>
          <w:szCs w:val="20"/>
        </w:rPr>
        <w:t>il existe une tolérance pour un délai</w:t>
      </w:r>
      <w:r w:rsidRPr="00541DE1">
        <w:rPr>
          <w:rFonts w:cstheme="minorHAnsi"/>
          <w:bCs/>
          <w:sz w:val="20"/>
          <w:szCs w:val="20"/>
        </w:rPr>
        <w:t xml:space="preserve"> de 10 à 14 jours</w:t>
      </w:r>
      <w:r w:rsidR="002A77B2" w:rsidRPr="00541DE1">
        <w:rPr>
          <w:rFonts w:cstheme="minorHAnsi"/>
          <w:bCs/>
          <w:sz w:val="20"/>
          <w:szCs w:val="20"/>
        </w:rPr>
        <w:t xml:space="preserve">. Les extractions post radiothérapie </w:t>
      </w:r>
      <w:r w:rsidR="00610B95" w:rsidRPr="00541DE1">
        <w:rPr>
          <w:rFonts w:cstheme="minorHAnsi"/>
          <w:bCs/>
          <w:sz w:val="20"/>
          <w:szCs w:val="20"/>
        </w:rPr>
        <w:t xml:space="preserve">nécessaires </w:t>
      </w:r>
      <w:r w:rsidR="002A77B2" w:rsidRPr="00541DE1">
        <w:rPr>
          <w:rFonts w:cstheme="minorHAnsi"/>
          <w:bCs/>
          <w:sz w:val="20"/>
          <w:szCs w:val="20"/>
        </w:rPr>
        <w:t xml:space="preserve">sont conseillées </w:t>
      </w:r>
      <w:r w:rsidR="00610B95" w:rsidRPr="00541DE1">
        <w:rPr>
          <w:rFonts w:cstheme="minorHAnsi"/>
          <w:bCs/>
          <w:sz w:val="20"/>
          <w:szCs w:val="20"/>
        </w:rPr>
        <w:t xml:space="preserve">dans la première année de la fin du traitement </w:t>
      </w:r>
      <w:r w:rsidR="00610B95" w:rsidRPr="00541DE1">
        <w:rPr>
          <w:rFonts w:cstheme="minorHAnsi"/>
          <w:bCs/>
          <w:sz w:val="20"/>
          <w:szCs w:val="20"/>
        </w:rPr>
        <w:fldChar w:fldCharType="begin"/>
      </w:r>
      <w:r w:rsidR="00610B95" w:rsidRPr="00541DE1">
        <w:rPr>
          <w:rFonts w:cstheme="minorHAnsi"/>
          <w:bCs/>
          <w:sz w:val="20"/>
          <w:szCs w:val="20"/>
        </w:rPr>
        <w:instrText xml:space="preserve"> ADDIN ZOTERO_ITEM CSL_CITATION {"citationID":"aNUd3gou","properties":{"formattedCitation":"(11)","plainCitation":"(11)","noteIndex":0},"citationItems":[{"id":212,"uris":["http://zotero.org/users/local/Om3YyEnU/items/PMPCDG3G"],"uri":["http://zotero.org/users/local/Om3YyEnU/items/PMPCDG3G"],"itemData":{"id":212,"type":"article-journal","abstract":"This systematic review aims to identify and review the best available evidence to answer the clinical question 'What are the incidence and the factors influencing the development of osteoradionecrosis after tooth extraction in irradiated patients?'. A systematic review of published articles on post-irradiation extraction was performed via electronic search of the Medline, Ovid, Embase and Cochrane Library databases. Additional studies were identified by manual reference list search. Evaluation and critical appraisal were done in 3 stages by two independent reviewers and any disagreement was resolved by discussion with a third party. 19 articles were selected for the final analysis. The total incidence of osteoradionecrosis after tooth extraction in irradiated patients was 7%. When extractions were performed in conjunction with prophylactic hyperbaric oxygen, the incidence was 4% while extraction in conjunction with antibiotics gave an incidence of 6%. This systematic review found that while the incidence of osteoradionecrosis after post-irradiation tooth extractions is low, the extraction of mandibular teeth within the radiation field in patients who received a radiation dose higher than 60Gy represents the highest risk of developing osteoradionecrosis. Based on weak evidence, prophylactic hyperbaric oxygen is effective in reducing the risk of developing osteoradionecrosis after post-radiation extractions.","container-title":"International Journal of Oral and Maxillofacial Surgery","DOI":"10.1016/j.ijom.2010.10.005","ISSN":"1399-0020","issue":"3","journalAbbreviation":"Int J Oral Maxillofac Surg","language":"eng","note":"PMID: 21115324","page":"229-243","source":"PubMed","title":"Incidence and prevention of osteoradionecrosis after dental extraction in irradiated patients: a systematic review","title-short":"Incidence and prevention of osteoradionecrosis after dental extraction in irradiated patients","volume":"40","author":[{"family":"Nabil","given":"S."},{"family":"Samman","given":"N."}],"issued":{"date-parts":[["2011",3]]}}}],"schema":"https://github.com/citation-style-language/schema/raw/master/csl-citation.json"} </w:instrText>
      </w:r>
      <w:r w:rsidR="00610B95" w:rsidRPr="00541DE1">
        <w:rPr>
          <w:rFonts w:cstheme="minorHAnsi"/>
          <w:bCs/>
          <w:sz w:val="20"/>
          <w:szCs w:val="20"/>
        </w:rPr>
        <w:fldChar w:fldCharType="separate"/>
      </w:r>
      <w:r w:rsidR="00610B95" w:rsidRPr="00541DE1">
        <w:rPr>
          <w:rFonts w:cstheme="minorHAnsi"/>
          <w:sz w:val="20"/>
        </w:rPr>
        <w:t>(11)</w:t>
      </w:r>
      <w:r w:rsidR="00610B95" w:rsidRPr="00541DE1">
        <w:rPr>
          <w:rFonts w:cstheme="minorHAnsi"/>
          <w:bCs/>
          <w:sz w:val="20"/>
          <w:szCs w:val="20"/>
        </w:rPr>
        <w:fldChar w:fldCharType="end"/>
      </w:r>
      <w:r w:rsidR="00610B95" w:rsidRPr="00541DE1">
        <w:rPr>
          <w:rFonts w:cstheme="minorHAnsi"/>
          <w:bCs/>
          <w:sz w:val="20"/>
          <w:szCs w:val="20"/>
        </w:rPr>
        <w:t>.</w:t>
      </w:r>
      <w:r w:rsidR="00F71076" w:rsidRPr="00541DE1">
        <w:rPr>
          <w:rFonts w:cstheme="minorHAnsi"/>
          <w:bCs/>
          <w:sz w:val="20"/>
          <w:szCs w:val="20"/>
        </w:rPr>
        <w:t xml:space="preserve"> </w:t>
      </w:r>
      <w:r w:rsidR="001F287E" w:rsidRPr="00541DE1">
        <w:rPr>
          <w:rFonts w:cstheme="minorHAnsi"/>
          <w:color w:val="000000" w:themeColor="text1"/>
          <w:sz w:val="20"/>
          <w:szCs w:val="18"/>
        </w:rPr>
        <w:t xml:space="preserve">Un traumatisme prothétique est parfois </w:t>
      </w:r>
      <w:r w:rsidR="00D9256A" w:rsidRPr="00541DE1">
        <w:rPr>
          <w:rFonts w:cstheme="minorHAnsi"/>
          <w:color w:val="000000" w:themeColor="text1"/>
          <w:sz w:val="20"/>
          <w:szCs w:val="18"/>
        </w:rPr>
        <w:t>en cause</w:t>
      </w:r>
      <w:r w:rsidR="001F287E" w:rsidRPr="00541DE1">
        <w:rPr>
          <w:rFonts w:cstheme="minorHAnsi"/>
          <w:color w:val="000000" w:themeColor="text1"/>
          <w:sz w:val="20"/>
          <w:szCs w:val="18"/>
        </w:rPr>
        <w:t>.</w:t>
      </w:r>
    </w:p>
    <w:p w14:paraId="6B17FDC5" w14:textId="77777777" w:rsidR="0087223C" w:rsidRPr="00C22ABE" w:rsidRDefault="0087223C" w:rsidP="00894602">
      <w:pPr>
        <w:tabs>
          <w:tab w:val="left" w:pos="7110"/>
        </w:tabs>
        <w:spacing w:after="0"/>
        <w:rPr>
          <w:rFonts w:cstheme="minorHAnsi"/>
          <w:color w:val="000000" w:themeColor="text1"/>
          <w:sz w:val="20"/>
          <w:szCs w:val="18"/>
        </w:rPr>
      </w:pPr>
    </w:p>
    <w:p w14:paraId="19555905" w14:textId="6B4846DC" w:rsidR="00D31A54" w:rsidRPr="00C22ABE" w:rsidRDefault="00D31A54" w:rsidP="002E3149">
      <w:pPr>
        <w:tabs>
          <w:tab w:val="left" w:pos="7110"/>
        </w:tabs>
        <w:rPr>
          <w:rFonts w:cstheme="minorHAnsi"/>
          <w:bCs/>
          <w:sz w:val="20"/>
          <w:szCs w:val="20"/>
          <w:u w:val="single"/>
        </w:rPr>
      </w:pPr>
      <w:r w:rsidRPr="00C22ABE">
        <w:rPr>
          <w:rFonts w:cstheme="minorHAnsi"/>
          <w:bCs/>
          <w:sz w:val="20"/>
          <w:szCs w:val="20"/>
          <w:u w:val="single"/>
        </w:rPr>
        <w:lastRenderedPageBreak/>
        <w:t>Facteurs anatomiques</w:t>
      </w:r>
    </w:p>
    <w:p w14:paraId="06E691A2" w14:textId="1D0D0C43" w:rsidR="002A77B2" w:rsidRPr="00C22ABE" w:rsidRDefault="002A77B2" w:rsidP="002A77B2">
      <w:pPr>
        <w:tabs>
          <w:tab w:val="left" w:pos="7110"/>
        </w:tabs>
        <w:rPr>
          <w:rFonts w:cstheme="minorHAnsi"/>
          <w:sz w:val="20"/>
          <w:szCs w:val="20"/>
        </w:rPr>
      </w:pPr>
      <w:r w:rsidRPr="0065120B">
        <w:rPr>
          <w:rFonts w:cstheme="minorHAnsi"/>
          <w:sz w:val="20"/>
          <w:szCs w:val="20"/>
        </w:rPr>
        <w:t xml:space="preserve">La mandibule est fréquemment atteinte, </w:t>
      </w:r>
      <w:r w:rsidR="00DF5FF8" w:rsidRPr="0065120B">
        <w:rPr>
          <w:rFonts w:cstheme="minorHAnsi"/>
          <w:sz w:val="20"/>
          <w:szCs w:val="20"/>
        </w:rPr>
        <w:t>particulièrement</w:t>
      </w:r>
      <w:r w:rsidRPr="0065120B">
        <w:rPr>
          <w:rFonts w:cstheme="minorHAnsi"/>
          <w:sz w:val="20"/>
          <w:szCs w:val="20"/>
        </w:rPr>
        <w:t xml:space="preserve"> dans la région prémolaire et molaire, </w:t>
      </w:r>
      <w:r w:rsidR="00DF5FF8" w:rsidRPr="0065120B">
        <w:rPr>
          <w:rFonts w:cstheme="minorHAnsi"/>
          <w:sz w:val="20"/>
          <w:szCs w:val="20"/>
        </w:rPr>
        <w:t xml:space="preserve">au niveau </w:t>
      </w:r>
      <w:r w:rsidRPr="0065120B">
        <w:rPr>
          <w:rFonts w:cstheme="minorHAnsi"/>
          <w:sz w:val="20"/>
          <w:szCs w:val="20"/>
        </w:rPr>
        <w:t>de l’angle lors de radiothérapie externe</w:t>
      </w:r>
      <w:r w:rsidR="00DF5FF8" w:rsidRPr="0065120B">
        <w:rPr>
          <w:rFonts w:cstheme="minorHAnsi"/>
          <w:sz w:val="20"/>
          <w:szCs w:val="20"/>
        </w:rPr>
        <w:t xml:space="preserve"> ainsi que sur le versant </w:t>
      </w:r>
      <w:r w:rsidRPr="0065120B">
        <w:rPr>
          <w:rFonts w:cstheme="minorHAnsi"/>
          <w:sz w:val="20"/>
          <w:szCs w:val="20"/>
        </w:rPr>
        <w:t>lingual lors d’une curiethérapie. L’os mandibulaire étant très compact absorbe plus de radiation</w:t>
      </w:r>
      <w:r w:rsidR="00EB2422" w:rsidRPr="0065120B">
        <w:rPr>
          <w:rFonts w:cstheme="minorHAnsi"/>
          <w:sz w:val="20"/>
          <w:szCs w:val="20"/>
        </w:rPr>
        <w:t>s</w:t>
      </w:r>
      <w:r w:rsidRPr="0065120B">
        <w:rPr>
          <w:rFonts w:cstheme="minorHAnsi"/>
          <w:sz w:val="20"/>
          <w:szCs w:val="20"/>
        </w:rPr>
        <w:t xml:space="preserve"> et son apport vasculaire est limité par rapport au maxillaire </w:t>
      </w:r>
      <w:r w:rsidRPr="0065120B">
        <w:rPr>
          <w:rFonts w:cstheme="minorHAnsi"/>
          <w:sz w:val="20"/>
          <w:szCs w:val="20"/>
        </w:rPr>
        <w:fldChar w:fldCharType="begin"/>
      </w:r>
      <w:r w:rsidRPr="0065120B">
        <w:rPr>
          <w:rFonts w:cstheme="minorHAnsi"/>
          <w:sz w:val="20"/>
          <w:szCs w:val="20"/>
        </w:rPr>
        <w:instrText xml:space="preserve"> ADDIN ZOTERO_ITEM CSL_CITATION {"citationID":"3eD3fooq","properties":{"formattedCitation":"(6)","plainCitation":"(6)","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W."}],"issued":{"date-parts":[["2016",11]]}}}],"schema":"https://github.com/citation-style-language/schema/raw/master/csl-citation.json"} </w:instrText>
      </w:r>
      <w:r w:rsidRPr="0065120B">
        <w:rPr>
          <w:rFonts w:cstheme="minorHAnsi"/>
          <w:sz w:val="20"/>
          <w:szCs w:val="20"/>
        </w:rPr>
        <w:fldChar w:fldCharType="separate"/>
      </w:r>
      <w:r w:rsidRPr="0065120B">
        <w:rPr>
          <w:rFonts w:cstheme="minorHAnsi"/>
          <w:sz w:val="20"/>
          <w:szCs w:val="20"/>
        </w:rPr>
        <w:t>(6)</w:t>
      </w:r>
      <w:r w:rsidRPr="0065120B">
        <w:rPr>
          <w:rFonts w:cstheme="minorHAnsi"/>
          <w:sz w:val="20"/>
          <w:szCs w:val="20"/>
        </w:rPr>
        <w:fldChar w:fldCharType="end"/>
      </w:r>
      <w:r w:rsidRPr="0065120B">
        <w:rPr>
          <w:rFonts w:cstheme="minorHAnsi"/>
          <w:sz w:val="20"/>
          <w:szCs w:val="20"/>
        </w:rPr>
        <w:t xml:space="preserve">. La vascularisation mandibulaire est assurée par l’artère alvéolaire inférieure (vascularisation médullaire) et </w:t>
      </w:r>
      <w:r w:rsidR="00DF5FF8" w:rsidRPr="0065120B">
        <w:rPr>
          <w:rFonts w:cstheme="minorHAnsi"/>
          <w:sz w:val="20"/>
          <w:szCs w:val="20"/>
        </w:rPr>
        <w:t>par l’artère faciale (vascularisation périostée)</w:t>
      </w:r>
      <w:r w:rsidR="00FD653E" w:rsidRPr="0065120B">
        <w:rPr>
          <w:rFonts w:cstheme="minorHAnsi"/>
          <w:sz w:val="20"/>
          <w:szCs w:val="20"/>
        </w:rPr>
        <w:t xml:space="preserve"> fréquemment endommagées par la </w:t>
      </w:r>
      <w:r w:rsidR="00D9256A" w:rsidRPr="0065120B">
        <w:rPr>
          <w:rFonts w:cstheme="minorHAnsi"/>
          <w:sz w:val="20"/>
          <w:szCs w:val="20"/>
        </w:rPr>
        <w:t xml:space="preserve">chirurgie </w:t>
      </w:r>
      <w:r w:rsidR="0065120B" w:rsidRPr="0065120B">
        <w:rPr>
          <w:rFonts w:cstheme="minorHAnsi"/>
          <w:sz w:val="20"/>
          <w:szCs w:val="20"/>
        </w:rPr>
        <w:t>et/</w:t>
      </w:r>
      <w:r w:rsidR="0087223C" w:rsidRPr="0065120B">
        <w:rPr>
          <w:rFonts w:cstheme="minorHAnsi"/>
          <w:sz w:val="20"/>
          <w:szCs w:val="20"/>
        </w:rPr>
        <w:t>ou</w:t>
      </w:r>
      <w:r w:rsidR="00D9256A" w:rsidRPr="0065120B">
        <w:rPr>
          <w:rFonts w:cstheme="minorHAnsi"/>
          <w:sz w:val="20"/>
          <w:szCs w:val="20"/>
        </w:rPr>
        <w:t xml:space="preserve"> la </w:t>
      </w:r>
      <w:proofErr w:type="spellStart"/>
      <w:r w:rsidR="00FD653E" w:rsidRPr="0065120B">
        <w:rPr>
          <w:rFonts w:cstheme="minorHAnsi"/>
          <w:sz w:val="20"/>
          <w:szCs w:val="20"/>
        </w:rPr>
        <w:t>Rth</w:t>
      </w:r>
      <w:proofErr w:type="spellEnd"/>
      <w:r w:rsidRPr="0065120B">
        <w:rPr>
          <w:rFonts w:cstheme="minorHAnsi"/>
          <w:sz w:val="20"/>
          <w:szCs w:val="20"/>
        </w:rPr>
        <w:t>. Par ailleurs, la muqueuse de recouvrement est fine</w:t>
      </w:r>
      <w:r w:rsidR="00FD653E" w:rsidRPr="0065120B">
        <w:rPr>
          <w:rFonts w:cstheme="minorHAnsi"/>
          <w:sz w:val="20"/>
          <w:szCs w:val="20"/>
        </w:rPr>
        <w:t>,</w:t>
      </w:r>
      <w:r w:rsidRPr="0065120B">
        <w:rPr>
          <w:rFonts w:cstheme="minorHAnsi"/>
          <w:sz w:val="20"/>
          <w:szCs w:val="20"/>
        </w:rPr>
        <w:t xml:space="preserve"> les forces de mastication sont responsables d’un remodelage osseux très important</w:t>
      </w:r>
      <w:r w:rsidR="00FD653E" w:rsidRPr="0065120B">
        <w:rPr>
          <w:rFonts w:cstheme="minorHAnsi"/>
          <w:sz w:val="20"/>
          <w:szCs w:val="20"/>
        </w:rPr>
        <w:t xml:space="preserve">, </w:t>
      </w:r>
      <w:r w:rsidRPr="0065120B">
        <w:rPr>
          <w:rFonts w:cstheme="minorHAnsi"/>
          <w:sz w:val="20"/>
          <w:szCs w:val="20"/>
        </w:rPr>
        <w:t xml:space="preserve">la chirurgie de résection tumorale </w:t>
      </w:r>
      <w:r w:rsidR="00FD653E" w:rsidRPr="0065120B">
        <w:rPr>
          <w:rFonts w:cstheme="minorHAnsi"/>
          <w:sz w:val="20"/>
          <w:szCs w:val="20"/>
        </w:rPr>
        <w:t xml:space="preserve">et le </w:t>
      </w:r>
      <w:proofErr w:type="spellStart"/>
      <w:r w:rsidR="00FD653E" w:rsidRPr="0065120B">
        <w:rPr>
          <w:rFonts w:cstheme="minorHAnsi"/>
          <w:sz w:val="20"/>
          <w:szCs w:val="20"/>
        </w:rPr>
        <w:t>dépériostage</w:t>
      </w:r>
      <w:proofErr w:type="spellEnd"/>
      <w:r w:rsidR="00FD653E" w:rsidRPr="0065120B">
        <w:rPr>
          <w:rFonts w:cstheme="minorHAnsi"/>
          <w:sz w:val="20"/>
          <w:szCs w:val="20"/>
        </w:rPr>
        <w:t xml:space="preserve"> de la mandibule</w:t>
      </w:r>
      <w:r w:rsidRPr="0065120B">
        <w:rPr>
          <w:rFonts w:cstheme="minorHAnsi"/>
          <w:sz w:val="20"/>
          <w:szCs w:val="20"/>
        </w:rPr>
        <w:t xml:space="preserve"> lèse</w:t>
      </w:r>
      <w:r w:rsidR="00FD653E" w:rsidRPr="0065120B">
        <w:rPr>
          <w:rFonts w:cstheme="minorHAnsi"/>
          <w:sz w:val="20"/>
          <w:szCs w:val="20"/>
        </w:rPr>
        <w:t>nt</w:t>
      </w:r>
      <w:r w:rsidRPr="0065120B">
        <w:rPr>
          <w:rFonts w:cstheme="minorHAnsi"/>
          <w:sz w:val="20"/>
          <w:szCs w:val="20"/>
        </w:rPr>
        <w:t xml:space="preserve"> </w:t>
      </w:r>
      <w:r w:rsidR="00D9256A" w:rsidRPr="0065120B">
        <w:rPr>
          <w:rFonts w:cstheme="minorHAnsi"/>
          <w:sz w:val="20"/>
          <w:szCs w:val="20"/>
        </w:rPr>
        <w:t>sa</w:t>
      </w:r>
      <w:r w:rsidRPr="0065120B">
        <w:rPr>
          <w:rFonts w:cstheme="minorHAnsi"/>
          <w:sz w:val="20"/>
          <w:szCs w:val="20"/>
        </w:rPr>
        <w:t xml:space="preserve"> vascularisation </w:t>
      </w:r>
      <w:r w:rsidRPr="0065120B">
        <w:rPr>
          <w:rFonts w:cstheme="minorHAnsi"/>
          <w:sz w:val="20"/>
          <w:szCs w:val="20"/>
        </w:rPr>
        <w:fldChar w:fldCharType="begin"/>
      </w:r>
      <w:r w:rsidRPr="0065120B">
        <w:rPr>
          <w:rFonts w:cstheme="minorHAnsi"/>
          <w:sz w:val="20"/>
          <w:szCs w:val="20"/>
        </w:rPr>
        <w:instrText xml:space="preserve"> ADDIN ZOTERO_ITEM CSL_CITATION {"citationID":"EMgcmGnc","properties":{"formattedCitation":"(12)","plainCitation":"(12)","noteIndex":0},"citationItems":[{"id":317,"uris":["http://zotero.org/users/local/Om3YyEnU/items/UMEQ2XFD"],"uri":["http://zotero.org/users/local/Om3YyEnU/items/UMEQ2XFD"],"itemData":{"id":317,"type":"article-journal","abstract":"PURPOSE: The aim of this paper is to explore the current theories about definition, classification, incidence and physiopathology of osteoradionecrosis (ORN) of the jaws. Moreover, it is discussed the predisposing and risk factors for the development of osteoradionecrosis based on the literature review.\nDISCUSSION: Osteoradionecrosis is one of the most serious oral complications of head and neck cancer treatment. Osteoradionecrosis is a severe delayed radiation-induced injury, characterised by bone tissue necrosis and failure to heal. Osteoradionecrosis either stabilises or gradually worsens and is notoriously difficult to manage. The most widely accepted theory to explain its cause until recently was the theory of hypoxia, hypovascularity and hypocellularity. A new theory for the pathogenesis of osteoradionecrosis was proposed. The clinical presentations of osteoradionecrosis are pain, drainage and fistulation of the mucosa or skin that is related to exposed bone in an area that has been irradiated. The tumour size and location, radiation dose, local trauma, dental extractions, infection, immune defects and malnutrition can predispose its development.\nCONCLUSIONS: A better understanding of risk factors for the development ORN and of the underlying pathophysiology may improve our ability to prevent this complication and help to improve the prognosis for those being treated for osteoradionecrosis.","container-title":"Oral and Maxillofacial Surgery","DOI":"10.1007/s10006-009-0198-9","ISSN":"1865-1569","issue":"1","journalAbbreviation":"Oral Maxillofac Surg","language":"eng","note":"PMID: 20119841","page":"3-16","source":"PubMed","title":"Osteoradionecrosis of the jaws--a current overview--part 1: Physiopathology and risk and predisposing factors","title-short":"Osteoradionecrosis of the jaws--a current overview--part 1","volume":"14","author":[{"family":"Chrcanovic","given":"Bruno Ramos"},{"family":"Reher","given":"Peter"},{"family":"Sousa","given":"Alexandre Andrade"},{"family":"Harris","given":"Malcolm"}],"issued":{"date-parts":[["2010",3]]}}}],"schema":"https://github.com/citation-style-language/schema/raw/master/csl-citation.json"} </w:instrText>
      </w:r>
      <w:r w:rsidRPr="0065120B">
        <w:rPr>
          <w:rFonts w:cstheme="minorHAnsi"/>
          <w:sz w:val="20"/>
          <w:szCs w:val="20"/>
        </w:rPr>
        <w:fldChar w:fldCharType="separate"/>
      </w:r>
      <w:r w:rsidRPr="0065120B">
        <w:rPr>
          <w:rFonts w:cstheme="minorHAnsi"/>
          <w:sz w:val="20"/>
          <w:szCs w:val="20"/>
        </w:rPr>
        <w:t>(12)</w:t>
      </w:r>
      <w:r w:rsidRPr="0065120B">
        <w:rPr>
          <w:rFonts w:cstheme="minorHAnsi"/>
          <w:sz w:val="20"/>
          <w:szCs w:val="20"/>
        </w:rPr>
        <w:fldChar w:fldCharType="end"/>
      </w:r>
      <w:r w:rsidR="00FD653E" w:rsidRPr="00C22ABE">
        <w:rPr>
          <w:rFonts w:cstheme="minorHAnsi"/>
          <w:sz w:val="20"/>
          <w:szCs w:val="20"/>
        </w:rPr>
        <w:t>.</w:t>
      </w:r>
    </w:p>
    <w:p w14:paraId="73CBB659" w14:textId="6BD34675" w:rsidR="00C12D67" w:rsidRPr="00C22ABE" w:rsidRDefault="00FF4BC1" w:rsidP="002A77B2">
      <w:pPr>
        <w:tabs>
          <w:tab w:val="left" w:pos="7110"/>
        </w:tabs>
        <w:rPr>
          <w:rFonts w:cstheme="minorHAnsi"/>
          <w:bCs/>
          <w:sz w:val="20"/>
          <w:szCs w:val="18"/>
        </w:rPr>
      </w:pPr>
      <w:r w:rsidRPr="00C22ABE">
        <w:rPr>
          <w:rFonts w:cstheme="minorHAnsi"/>
          <w:bCs/>
          <w:sz w:val="20"/>
          <w:szCs w:val="18"/>
        </w:rPr>
        <w:t>L’étude rétrospective de Wang</w:t>
      </w:r>
      <w:r w:rsidR="00001929" w:rsidRPr="00C22ABE">
        <w:rPr>
          <w:rFonts w:cstheme="minorHAnsi"/>
          <w:bCs/>
          <w:sz w:val="20"/>
          <w:szCs w:val="18"/>
        </w:rPr>
        <w:t xml:space="preserve"> et al en 2017 </w:t>
      </w:r>
      <w:r w:rsidR="00001929" w:rsidRPr="00C22ABE">
        <w:rPr>
          <w:rFonts w:cstheme="minorHAnsi"/>
          <w:bCs/>
          <w:sz w:val="20"/>
          <w:szCs w:val="18"/>
        </w:rPr>
        <w:fldChar w:fldCharType="begin"/>
      </w:r>
      <w:r w:rsidR="00281722" w:rsidRPr="00C22ABE">
        <w:rPr>
          <w:rFonts w:cstheme="minorHAnsi"/>
          <w:bCs/>
          <w:sz w:val="20"/>
          <w:szCs w:val="18"/>
        </w:rPr>
        <w:instrText xml:space="preserve"> ADDIN ZOTERO_ITEM CSL_CITATION {"citationID":"HvncoTK5","properties":{"formattedCitation":"(7)","plainCitation":"(7)","noteIndex":0},"citationItems":[{"id":280,"uris":["http://zotero.org/users/local/Om3YyEnU/items/EDSLGKCZ"],"uri":["http://zotero.org/users/local/Om3YyEnU/items/EDSLGKCZ"],"itemData":{"id":280,"type":"article-journal","abstract":"BACKGROUND: The purpose of this study was to investigate the risk factors, especially the use of certain drugs and the dental procedures, for osteoradionecrosis of the jaw (ORNJ) in patients with head and neck cancer undergoing irradiation as their primary treatment.\nMETHODS: The cohort was composed of 23,527 patients with head and neck cancer. Cox proportional hazard models were used for risk factors analysis.\nRESULTS: The overall incidence of ORNJ is 3.93 per 100 person-years. Buccal cancer carried the highest ORNJ risk. The use of steroids had a protective effect. Preradiotherapy extraction posed no excess risk, whereas postradiotherapy extraction was associated with gradually increased risk of ORNJ over time that peaked at 4 to 5 years.\nCONCLUSION: ORNJ warrants life-long attention for head and neck cancer survivors. The present study strongly confirms the role of preirradiation dental extractions. Meanwhile, efforts should be made to prevent posttreatment extractions, especially in the first posttreatment 4 years. © 2017 Wiley Periodicals, Inc. Head Neck 39: 1313-1321, 2017.","container-title":"Head &amp; Neck","DOI":"10.1002/hed.24761","ISSN":"1097-0347","issue":"7","journalAbbreviation":"Head Neck","language":"eng","note":"PMID: 28370713","page":"1313-1321","source":"PubMed","title":"Risk factors for and the role of dental extractions in osteoradionecrosis of the jaws: A national-based cohort study","title-short":"Risk factors for and the role of dental extractions in osteoradionecrosis of the jaws","volume":"39","author":[{"family":"Wang","given":"Ti-Hao"},{"family":"Liu","given":"Chia-Jen"},{"family":"Chao","given":"Tze-Fan"},{"family":"Chen","given":"Tzeng-Ji"},{"family":"Hu","given":"Yu-Wen"}],"issued":{"date-parts":[["2017",7]]}}}],"schema":"https://github.com/citation-style-language/schema/raw/master/csl-citation.json"} </w:instrText>
      </w:r>
      <w:r w:rsidR="00001929" w:rsidRPr="00C22ABE">
        <w:rPr>
          <w:rFonts w:cstheme="minorHAnsi"/>
          <w:bCs/>
          <w:sz w:val="20"/>
          <w:szCs w:val="18"/>
        </w:rPr>
        <w:fldChar w:fldCharType="separate"/>
      </w:r>
      <w:r w:rsidR="00281722" w:rsidRPr="00C22ABE">
        <w:rPr>
          <w:rFonts w:cstheme="minorHAnsi"/>
          <w:sz w:val="20"/>
        </w:rPr>
        <w:t>(7)</w:t>
      </w:r>
      <w:r w:rsidR="00001929" w:rsidRPr="00C22ABE">
        <w:rPr>
          <w:rFonts w:cstheme="minorHAnsi"/>
          <w:bCs/>
          <w:sz w:val="20"/>
          <w:szCs w:val="18"/>
        </w:rPr>
        <w:fldChar w:fldCharType="end"/>
      </w:r>
      <w:r w:rsidRPr="00C22ABE">
        <w:rPr>
          <w:rFonts w:cstheme="minorHAnsi"/>
          <w:bCs/>
          <w:sz w:val="20"/>
          <w:szCs w:val="18"/>
        </w:rPr>
        <w:t xml:space="preserve"> </w:t>
      </w:r>
      <w:r w:rsidR="00001929" w:rsidRPr="00C22ABE">
        <w:rPr>
          <w:rFonts w:cstheme="minorHAnsi"/>
          <w:bCs/>
          <w:sz w:val="20"/>
          <w:szCs w:val="18"/>
        </w:rPr>
        <w:t xml:space="preserve">portant sur </w:t>
      </w:r>
      <w:r w:rsidRPr="00C22ABE">
        <w:rPr>
          <w:rFonts w:cstheme="minorHAnsi"/>
          <w:bCs/>
          <w:sz w:val="20"/>
          <w:szCs w:val="18"/>
        </w:rPr>
        <w:t>23527 patients</w:t>
      </w:r>
      <w:r w:rsidR="00001929" w:rsidRPr="00C22ABE">
        <w:rPr>
          <w:rFonts w:cstheme="minorHAnsi"/>
          <w:bCs/>
          <w:sz w:val="20"/>
          <w:szCs w:val="18"/>
        </w:rPr>
        <w:t xml:space="preserve"> (étude de cohorte nationale) </w:t>
      </w:r>
      <w:r w:rsidRPr="00C22ABE">
        <w:rPr>
          <w:rFonts w:cstheme="minorHAnsi"/>
          <w:bCs/>
          <w:sz w:val="20"/>
          <w:szCs w:val="18"/>
        </w:rPr>
        <w:t>montr</w:t>
      </w:r>
      <w:r w:rsidR="000B1DAC" w:rsidRPr="00C22ABE">
        <w:rPr>
          <w:rFonts w:cstheme="minorHAnsi"/>
          <w:bCs/>
          <w:sz w:val="20"/>
          <w:szCs w:val="18"/>
        </w:rPr>
        <w:t>ait</w:t>
      </w:r>
      <w:r w:rsidRPr="00C22ABE">
        <w:rPr>
          <w:rFonts w:cstheme="minorHAnsi"/>
          <w:bCs/>
          <w:sz w:val="20"/>
          <w:szCs w:val="18"/>
        </w:rPr>
        <w:t xml:space="preserve"> une incidence d’ORN de 3,93/100000 personnes/années, </w:t>
      </w:r>
      <w:r w:rsidR="00001929" w:rsidRPr="00C22ABE">
        <w:rPr>
          <w:rFonts w:cstheme="minorHAnsi"/>
          <w:bCs/>
          <w:sz w:val="20"/>
          <w:szCs w:val="18"/>
        </w:rPr>
        <w:t xml:space="preserve">avec un temps </w:t>
      </w:r>
      <w:r w:rsidR="000B1DAC" w:rsidRPr="00C22ABE">
        <w:rPr>
          <w:rFonts w:cstheme="minorHAnsi"/>
          <w:bCs/>
          <w:sz w:val="20"/>
          <w:szCs w:val="18"/>
        </w:rPr>
        <w:t>médian</w:t>
      </w:r>
      <w:r w:rsidR="00001929" w:rsidRPr="00C22ABE">
        <w:rPr>
          <w:rFonts w:cstheme="minorHAnsi"/>
          <w:bCs/>
          <w:sz w:val="20"/>
          <w:szCs w:val="18"/>
        </w:rPr>
        <w:t xml:space="preserve"> de développement de l’ORN de  </w:t>
      </w:r>
      <w:r w:rsidRPr="00C22ABE">
        <w:rPr>
          <w:rFonts w:cstheme="minorHAnsi"/>
          <w:bCs/>
          <w:sz w:val="20"/>
          <w:szCs w:val="18"/>
        </w:rPr>
        <w:t>222 jours (95-674,5). Le cancer de la cavité orale était plus à risque, ainsi que les extractions post-</w:t>
      </w:r>
      <w:proofErr w:type="spellStart"/>
      <w:r w:rsidRPr="00C22ABE">
        <w:rPr>
          <w:rFonts w:cstheme="minorHAnsi"/>
          <w:bCs/>
          <w:sz w:val="20"/>
          <w:szCs w:val="18"/>
        </w:rPr>
        <w:t>Rth</w:t>
      </w:r>
      <w:proofErr w:type="spellEnd"/>
      <w:r w:rsidRPr="00C22ABE">
        <w:rPr>
          <w:rFonts w:cstheme="minorHAnsi"/>
          <w:bCs/>
          <w:sz w:val="20"/>
          <w:szCs w:val="18"/>
        </w:rPr>
        <w:t>, avec un pic après 4 ou 5 ans. Les auteurs préconis</w:t>
      </w:r>
      <w:r w:rsidR="00001929" w:rsidRPr="00C22ABE">
        <w:rPr>
          <w:rFonts w:cstheme="minorHAnsi"/>
          <w:bCs/>
          <w:sz w:val="20"/>
          <w:szCs w:val="18"/>
        </w:rPr>
        <w:t>ai</w:t>
      </w:r>
      <w:r w:rsidRPr="00C22ABE">
        <w:rPr>
          <w:rFonts w:cstheme="minorHAnsi"/>
          <w:bCs/>
          <w:sz w:val="20"/>
          <w:szCs w:val="18"/>
        </w:rPr>
        <w:t xml:space="preserve">ent </w:t>
      </w:r>
      <w:r w:rsidR="000B1DAC" w:rsidRPr="00C22ABE">
        <w:rPr>
          <w:rFonts w:cstheme="minorHAnsi"/>
          <w:bCs/>
          <w:sz w:val="20"/>
          <w:szCs w:val="18"/>
        </w:rPr>
        <w:t xml:space="preserve">de réaliser les </w:t>
      </w:r>
      <w:r w:rsidRPr="00C22ABE">
        <w:rPr>
          <w:rFonts w:cstheme="minorHAnsi"/>
          <w:bCs/>
          <w:sz w:val="20"/>
          <w:szCs w:val="18"/>
        </w:rPr>
        <w:t xml:space="preserve">extractions avant radiothérapie. </w:t>
      </w:r>
    </w:p>
    <w:p w14:paraId="51EC72A8" w14:textId="60DEF317" w:rsidR="00C12D67" w:rsidRPr="00C22ABE" w:rsidRDefault="00330D9D" w:rsidP="002E3149">
      <w:pPr>
        <w:tabs>
          <w:tab w:val="left" w:pos="7110"/>
        </w:tabs>
        <w:rPr>
          <w:rFonts w:cstheme="minorHAnsi"/>
          <w:bCs/>
          <w:sz w:val="20"/>
          <w:szCs w:val="18"/>
        </w:rPr>
      </w:pPr>
      <w:r w:rsidRPr="00C22ABE">
        <w:rPr>
          <w:rFonts w:cstheme="minorHAnsi"/>
          <w:color w:val="000000" w:themeColor="text1"/>
          <w:sz w:val="20"/>
          <w:szCs w:val="18"/>
        </w:rPr>
        <w:t>Dans la série de</w:t>
      </w:r>
      <w:r w:rsidRPr="00C22ABE">
        <w:rPr>
          <w:rFonts w:cstheme="minorHAnsi"/>
          <w:bCs/>
          <w:sz w:val="20"/>
          <w:szCs w:val="18"/>
        </w:rPr>
        <w:t xml:space="preserve"> 1023 patients de </w:t>
      </w:r>
      <w:proofErr w:type="spellStart"/>
      <w:r w:rsidR="005A755A" w:rsidRPr="00C22ABE">
        <w:rPr>
          <w:rFonts w:cstheme="minorHAnsi"/>
          <w:color w:val="000000" w:themeColor="text1"/>
          <w:sz w:val="20"/>
          <w:szCs w:val="18"/>
        </w:rPr>
        <w:t>Owosho</w:t>
      </w:r>
      <w:proofErr w:type="spellEnd"/>
      <w:r w:rsidR="005A755A" w:rsidRPr="00C22ABE">
        <w:rPr>
          <w:rFonts w:cstheme="minorHAnsi"/>
          <w:color w:val="000000" w:themeColor="text1"/>
          <w:sz w:val="20"/>
          <w:szCs w:val="18"/>
        </w:rPr>
        <w:t xml:space="preserve"> et al  </w:t>
      </w:r>
      <w:r w:rsidRPr="00C22ABE">
        <w:rPr>
          <w:rFonts w:cstheme="minorHAnsi"/>
          <w:color w:val="000000" w:themeColor="text1"/>
          <w:sz w:val="20"/>
          <w:szCs w:val="18"/>
        </w:rPr>
        <w:fldChar w:fldCharType="begin"/>
      </w:r>
      <w:r w:rsidR="00DD29FB" w:rsidRPr="00C22ABE">
        <w:rPr>
          <w:rFonts w:cstheme="minorHAnsi"/>
          <w:color w:val="000000" w:themeColor="text1"/>
          <w:sz w:val="20"/>
          <w:szCs w:val="18"/>
        </w:rPr>
        <w:instrText xml:space="preserve"> ADDIN ZOTERO_ITEM CSL_CITATION {"citationID":"jCymkCdN","properties":{"formattedCitation":"(20)","plainCitation":"(20)","noteIndex":0},"citationItems":[{"id":284,"uris":["http://zotero.org/users/local/Om3YyEnU/items/NU2YJ8AM"],"uri":["http://zotero.org/users/local/Om3YyEnU/items/NU2YJ8AM"],"itemData":{"id":284,"type":"article-journal","abstract":"OBJECTIVE: To determine the prevalence and correlation of various risk factors [radiation dose, periodontal status, alcohol and smoking] to the development of osteoradionecrosis (ORN).\nPATIENTS AND METHODS: The records of 1023 patients treated with IMRT for oral cavity cancer (OCC) and oropharyngeal cancer (OPC) between 2004 and 2013 were retrospectively reviewed to identify patients who developed ORN. Fisher exact tests were used to analyze patient characteristics between ORN patients with OCC and OPC. Paired Wilcoxon tests were used to compare the dose volumes to the ORN and contralateral non-ORN sites. To evaluate an association between ORN and risk factors, a case-control comparison was performed. One to 2 ORN-free patients were selected to match each ORN patient by gender, tumor site and size. General estimation equations models were used to compare the risk factors in ORN cases and matched controls.\nRESULTS: 44 (4.3%) patients developed ORN during a median follow-up time of 52.5months. In 82% of patients, ORN occurred spontaneously. Patients with OPC are prone to develop ORN earlier compared to patients with OCC (P=0.03). OPC patients received a higher Dmax compared to OCC patients (P=0.01). In the matched case-control analysis the significant risk factors on univariate analysis were poor periodontal status, history of alcohol use and radiation dose (P=0.03, 0.002 and 0.009, respectively) and on multivariate analysis were alcohol use and radiation dose (P=0.004 and 0.026, respectively).\nCONCLUSION: In our study, higher radiation dose, poor periodontal status and alcohol use are significantly related to the risk of developing ORN.","container-title":"Oral Oncology","DOI":"10.1016/j.oraloncology.2016.11.015","ISSN":"1879-0593","journalAbbreviation":"Oral Oncol","language":"eng","note":"PMID: 28024723\nPMCID: PMC5560021","page":"44-51","source":"PubMed","title":"The prevalence and risk factors associated with osteoradionecrosis of the jaw in oral and oropharyngeal cancer patients treated with intensity-modulated radiation therapy (IMRT): The Memorial Sloan Kettering Cancer Center experience","title-short":"The prevalence and risk factors associated with osteoradionecrosis of the jaw in oral and oropharyngeal cancer patients treated with intensity-modulated radiation therapy (IMRT)","volume":"64","author":[{"family":"Owosho","given":"Adepitan A."},{"family":"Tsai","given":"C. Jillian"},{"family":"Lee","given":"Ryan S."},{"family":"Freymiller","given":"Haley"},{"family":"Kadempour","given":"Arvin"},{"family":"Varthis","given":"Spyridon"},{"family":"Sax","given":"Adi Z."},{"family":"Rosen","given":"Evan B."},{"family":"Yom","given":"SaeHee K."},{"family":"Randazzo","given":"Joseph"},{"family":"Drill","given":"Esther"},{"family":"Riedel","given":"Elyn"},{"family":"Patel","given":"Snehal"},{"family":"Lee","given":"Nancy Y."},{"family":"Huryn","given":"Joseph M."},{"family":"Estilo","given":"Cherry L."}],"issued":{"date-parts":[["2017",1]]}}}],"schema":"https://github.com/citation-style-language/schema/raw/master/csl-citation.json"} </w:instrText>
      </w:r>
      <w:r w:rsidRPr="00C22ABE">
        <w:rPr>
          <w:rFonts w:cstheme="minorHAnsi"/>
          <w:color w:val="000000" w:themeColor="text1"/>
          <w:sz w:val="20"/>
          <w:szCs w:val="18"/>
        </w:rPr>
        <w:fldChar w:fldCharType="separate"/>
      </w:r>
      <w:r w:rsidR="00DD29FB" w:rsidRPr="00C22ABE">
        <w:rPr>
          <w:rFonts w:cstheme="minorHAnsi"/>
          <w:sz w:val="20"/>
        </w:rPr>
        <w:t>(20)</w:t>
      </w:r>
      <w:r w:rsidRPr="00C22ABE">
        <w:rPr>
          <w:rFonts w:cstheme="minorHAnsi"/>
          <w:color w:val="000000" w:themeColor="text1"/>
          <w:sz w:val="20"/>
          <w:szCs w:val="18"/>
        </w:rPr>
        <w:fldChar w:fldCharType="end"/>
      </w:r>
      <w:r w:rsidRPr="00C22ABE">
        <w:rPr>
          <w:rFonts w:cstheme="minorHAnsi"/>
          <w:color w:val="000000" w:themeColor="text1"/>
          <w:sz w:val="20"/>
          <w:szCs w:val="18"/>
        </w:rPr>
        <w:t xml:space="preserve"> en </w:t>
      </w:r>
      <w:r w:rsidR="005A755A" w:rsidRPr="00C22ABE">
        <w:rPr>
          <w:rFonts w:cstheme="minorHAnsi"/>
          <w:color w:val="000000" w:themeColor="text1"/>
          <w:sz w:val="20"/>
          <w:szCs w:val="18"/>
        </w:rPr>
        <w:t>2017</w:t>
      </w:r>
      <w:r w:rsidR="005A755A" w:rsidRPr="00C22ABE">
        <w:rPr>
          <w:rFonts w:cstheme="minorHAnsi"/>
          <w:bCs/>
          <w:sz w:val="20"/>
          <w:szCs w:val="18"/>
        </w:rPr>
        <w:t xml:space="preserve">, 44 ORN </w:t>
      </w:r>
      <w:r w:rsidRPr="00C22ABE">
        <w:rPr>
          <w:rFonts w:cstheme="minorHAnsi"/>
          <w:bCs/>
          <w:sz w:val="20"/>
          <w:szCs w:val="18"/>
        </w:rPr>
        <w:t xml:space="preserve">ont été mise en évidence </w:t>
      </w:r>
      <w:r w:rsidR="005A755A" w:rsidRPr="00C22ABE">
        <w:rPr>
          <w:rFonts w:cstheme="minorHAnsi"/>
          <w:bCs/>
          <w:sz w:val="20"/>
          <w:szCs w:val="18"/>
        </w:rPr>
        <w:t>dont 82% d’apparition spontanée</w:t>
      </w:r>
      <w:r w:rsidRPr="00C22ABE">
        <w:rPr>
          <w:rFonts w:cstheme="minorHAnsi"/>
          <w:bCs/>
          <w:sz w:val="20"/>
          <w:szCs w:val="18"/>
        </w:rPr>
        <w:t xml:space="preserve">. Pour les auteurs, cela signifiait sans </w:t>
      </w:r>
      <w:r w:rsidR="005A755A" w:rsidRPr="00C22ABE">
        <w:rPr>
          <w:rFonts w:cstheme="minorHAnsi"/>
          <w:bCs/>
          <w:sz w:val="20"/>
          <w:szCs w:val="18"/>
        </w:rPr>
        <w:t xml:space="preserve">extraction ni procédure dentoalvéolaire, mais </w:t>
      </w:r>
      <w:r w:rsidRPr="00C22ABE">
        <w:rPr>
          <w:rFonts w:cstheme="minorHAnsi"/>
          <w:bCs/>
          <w:sz w:val="20"/>
          <w:szCs w:val="18"/>
        </w:rPr>
        <w:t xml:space="preserve">le </w:t>
      </w:r>
      <w:r w:rsidR="005A755A" w:rsidRPr="00C22ABE">
        <w:rPr>
          <w:rFonts w:cstheme="minorHAnsi"/>
          <w:bCs/>
          <w:sz w:val="20"/>
          <w:szCs w:val="18"/>
        </w:rPr>
        <w:t>statu</w:t>
      </w:r>
      <w:r w:rsidR="00FD653E" w:rsidRPr="00C22ABE">
        <w:rPr>
          <w:rFonts w:cstheme="minorHAnsi"/>
          <w:bCs/>
          <w:sz w:val="20"/>
          <w:szCs w:val="18"/>
        </w:rPr>
        <w:t>t</w:t>
      </w:r>
      <w:r w:rsidR="005A755A" w:rsidRPr="00C22ABE">
        <w:rPr>
          <w:rFonts w:cstheme="minorHAnsi"/>
          <w:bCs/>
          <w:sz w:val="20"/>
          <w:szCs w:val="18"/>
        </w:rPr>
        <w:t xml:space="preserve"> paro</w:t>
      </w:r>
      <w:r w:rsidRPr="00C22ABE">
        <w:rPr>
          <w:rFonts w:cstheme="minorHAnsi"/>
          <w:bCs/>
          <w:sz w:val="20"/>
          <w:szCs w:val="18"/>
        </w:rPr>
        <w:t>dontal de leur série était</w:t>
      </w:r>
      <w:r w:rsidR="002A77B2" w:rsidRPr="00C22ABE">
        <w:rPr>
          <w:rFonts w:cstheme="minorHAnsi"/>
          <w:bCs/>
          <w:sz w:val="20"/>
          <w:szCs w:val="18"/>
        </w:rPr>
        <w:t xml:space="preserve"> peu favorable</w:t>
      </w:r>
      <w:r w:rsidRPr="00C22ABE">
        <w:rPr>
          <w:rFonts w:cstheme="minorHAnsi"/>
          <w:bCs/>
          <w:sz w:val="20"/>
          <w:szCs w:val="18"/>
        </w:rPr>
        <w:t>. L’apparition d’ORN était p</w:t>
      </w:r>
      <w:r w:rsidR="005A755A" w:rsidRPr="00C22ABE">
        <w:rPr>
          <w:rFonts w:cstheme="minorHAnsi"/>
          <w:bCs/>
          <w:sz w:val="20"/>
          <w:szCs w:val="18"/>
        </w:rPr>
        <w:t xml:space="preserve">lus précoce </w:t>
      </w:r>
      <w:r w:rsidRPr="00C22ABE">
        <w:rPr>
          <w:rFonts w:cstheme="minorHAnsi"/>
          <w:bCs/>
          <w:sz w:val="20"/>
          <w:szCs w:val="18"/>
        </w:rPr>
        <w:t xml:space="preserve">pour les traitements de </w:t>
      </w:r>
      <w:r w:rsidR="002A77B2" w:rsidRPr="00C22ABE">
        <w:rPr>
          <w:rFonts w:cstheme="minorHAnsi"/>
          <w:bCs/>
          <w:sz w:val="20"/>
          <w:szCs w:val="18"/>
        </w:rPr>
        <w:t xml:space="preserve">cancers de </w:t>
      </w:r>
      <w:r w:rsidRPr="00C22ABE">
        <w:rPr>
          <w:rFonts w:cstheme="minorHAnsi"/>
          <w:bCs/>
          <w:sz w:val="20"/>
          <w:szCs w:val="18"/>
        </w:rPr>
        <w:t xml:space="preserve">l’oropharynx que pour ceux de la </w:t>
      </w:r>
      <w:r w:rsidR="005A755A" w:rsidRPr="00C22ABE">
        <w:rPr>
          <w:rFonts w:cstheme="minorHAnsi"/>
          <w:bCs/>
          <w:sz w:val="20"/>
          <w:szCs w:val="18"/>
        </w:rPr>
        <w:t>cavité orale</w:t>
      </w:r>
      <w:r w:rsidRPr="00C22ABE">
        <w:rPr>
          <w:rFonts w:cstheme="minorHAnsi"/>
          <w:bCs/>
          <w:sz w:val="20"/>
          <w:szCs w:val="18"/>
        </w:rPr>
        <w:t>.</w:t>
      </w:r>
    </w:p>
    <w:p w14:paraId="57FC825E" w14:textId="243319AB" w:rsidR="00A05EBA" w:rsidRPr="00C22ABE" w:rsidRDefault="00A05EBA" w:rsidP="00A05EBA">
      <w:pPr>
        <w:tabs>
          <w:tab w:val="left" w:pos="7110"/>
        </w:tabs>
        <w:rPr>
          <w:rFonts w:cstheme="minorHAnsi"/>
          <w:sz w:val="20"/>
          <w:szCs w:val="18"/>
        </w:rPr>
      </w:pPr>
      <w:proofErr w:type="spellStart"/>
      <w:r w:rsidRPr="00C22ABE">
        <w:rPr>
          <w:rFonts w:cstheme="minorHAnsi"/>
          <w:sz w:val="20"/>
          <w:szCs w:val="18"/>
        </w:rPr>
        <w:t>Kojima</w:t>
      </w:r>
      <w:proofErr w:type="spellEnd"/>
      <w:r w:rsidRPr="00C22ABE">
        <w:rPr>
          <w:rFonts w:cstheme="minorHAnsi"/>
          <w:sz w:val="20"/>
          <w:szCs w:val="18"/>
        </w:rPr>
        <w:t xml:space="preserve"> et al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kRQqPqdC","properties":{"formattedCitation":"(25)","plainCitation":"(25)","noteIndex":0},"citationItems":[{"id":291,"uris":["http://zotero.org/users/local/Om3YyEnU/items/YE2XP7NP"],"uri":["http://zotero.org/users/local/Om3YyEnU/items/YE2XP7NP"],"itemData":{"id":291,"type":"article-journal","container-title":"Oral Surgery, Oral Medicine, Oral Pathology and Oral Radiology","DOI":"10.1016/j.oooo.2017.04.012","ISSN":"22124403","issue":"2","journalAbbreviation":"Oral Surgery, Oral Medicine, Oral Pathology and Oral Radiology","language":"en","page":"139-145","source":"DOI.org (Crossref)","title":"Relationship between dental status and development of osteoradionecrosis of the jaw: a multicenter retrospective study","title-short":"Relationship between dental status and development of osteoradionecrosis of the jaw","volume":"124","author":[{"family":"Kojima","given":"Yuka"},{"family":"Yanamoto","given":"Souichi"},{"family":"Umeda","given":"Masahiro"},{"family":"Kawashita","given":"Yumiko"},{"family":"Saito","given":"Izumi"},{"family":"Hasegawa","given":"Takumi"},{"family":"Komori","given":"Takahide"},{"family":"Ueda","given":"Nobuhiro"},{"family":"Kirita","given":"Tadaaki"},{"family":"Yamada","given":"Shin-ichi"},{"family":"Kurita","given":"Hiroshi"},{"family":"Senga","given":"Yasuko"},{"family":"Shibuya","given":"Yasuyuki"},{"family":"Iwai","given":"Hiroshi"}],"issued":{"date-parts":[["2017",8]]}}}],"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(25)</w:t>
      </w:r>
      <w:r w:rsidRPr="00C22ABE">
        <w:rPr>
          <w:rFonts w:cstheme="minorHAnsi"/>
          <w:sz w:val="20"/>
          <w:szCs w:val="18"/>
        </w:rPr>
        <w:fldChar w:fldCharType="end"/>
      </w:r>
      <w:r w:rsidRPr="00C22ABE">
        <w:rPr>
          <w:rFonts w:cstheme="minorHAnsi"/>
          <w:sz w:val="20"/>
          <w:szCs w:val="18"/>
        </w:rPr>
        <w:t xml:space="preserve"> ont évalué la relation entre le statu</w:t>
      </w:r>
      <w:r w:rsidR="00FD653E" w:rsidRPr="00C22ABE">
        <w:rPr>
          <w:rFonts w:cstheme="minorHAnsi"/>
          <w:sz w:val="20"/>
          <w:szCs w:val="18"/>
        </w:rPr>
        <w:t>t</w:t>
      </w:r>
      <w:r w:rsidRPr="00C22ABE">
        <w:rPr>
          <w:rFonts w:cstheme="minorHAnsi"/>
          <w:sz w:val="20"/>
          <w:szCs w:val="18"/>
        </w:rPr>
        <w:t xml:space="preserve"> dentaire et le risque d’ORN dans leur étude rétrospective de 302 patients comprenant 30 ORN. Ils ont recherché le statu</w:t>
      </w:r>
      <w:r w:rsidR="00FD653E" w:rsidRPr="00C22ABE">
        <w:rPr>
          <w:rFonts w:cstheme="minorHAnsi"/>
          <w:sz w:val="20"/>
          <w:szCs w:val="18"/>
        </w:rPr>
        <w:t>t</w:t>
      </w:r>
      <w:r w:rsidRPr="00C22ABE">
        <w:rPr>
          <w:rFonts w:cstheme="minorHAnsi"/>
          <w:sz w:val="20"/>
          <w:szCs w:val="18"/>
        </w:rPr>
        <w:t xml:space="preserve"> dentaire (denté/édenté), les périodontites et lésions </w:t>
      </w:r>
      <w:proofErr w:type="spellStart"/>
      <w:r w:rsidRPr="00C22ABE">
        <w:rPr>
          <w:rFonts w:cstheme="minorHAnsi"/>
          <w:sz w:val="20"/>
          <w:szCs w:val="18"/>
        </w:rPr>
        <w:t>périapicales</w:t>
      </w:r>
      <w:proofErr w:type="spellEnd"/>
      <w:r w:rsidRPr="00C22ABE">
        <w:rPr>
          <w:rFonts w:cstheme="minorHAnsi"/>
          <w:sz w:val="20"/>
          <w:szCs w:val="18"/>
        </w:rPr>
        <w:t xml:space="preserve"> diagnostiquées par radiographie, les périodontites marginales, les péricoronarites, les délabrements dentaires avec résidus radiculaires, les extractions </w:t>
      </w:r>
      <w:proofErr w:type="spellStart"/>
      <w:r w:rsidRPr="00C22ABE">
        <w:rPr>
          <w:rFonts w:cstheme="minorHAnsi"/>
          <w:sz w:val="20"/>
          <w:szCs w:val="18"/>
        </w:rPr>
        <w:t>préRth</w:t>
      </w:r>
      <w:proofErr w:type="spellEnd"/>
      <w:r w:rsidRPr="00C22ABE">
        <w:rPr>
          <w:rFonts w:cstheme="minorHAnsi"/>
          <w:sz w:val="20"/>
          <w:szCs w:val="18"/>
        </w:rPr>
        <w:t xml:space="preserve"> et </w:t>
      </w:r>
      <w:proofErr w:type="spellStart"/>
      <w:r w:rsidRPr="00C22ABE">
        <w:rPr>
          <w:rFonts w:cstheme="minorHAnsi"/>
          <w:sz w:val="20"/>
          <w:szCs w:val="18"/>
        </w:rPr>
        <w:t>postRth</w:t>
      </w:r>
      <w:proofErr w:type="spellEnd"/>
      <w:r w:rsidRPr="00C22ABE">
        <w:rPr>
          <w:rFonts w:cstheme="minorHAnsi"/>
          <w:sz w:val="20"/>
          <w:szCs w:val="18"/>
        </w:rPr>
        <w:t>. Il n’était pas toujours possible de réaliser les extractions avant radiothérapie, par manque de temps, ou par refus du patient. Pour les auteurs, la localisation tumorale au niveau de l’oropharynx ou de la cavité orale, un</w:t>
      </w:r>
      <w:r w:rsidR="001F287E" w:rsidRPr="00C22ABE">
        <w:rPr>
          <w:rFonts w:cstheme="minorHAnsi"/>
          <w:sz w:val="20"/>
          <w:szCs w:val="18"/>
        </w:rPr>
        <w:t xml:space="preserve">e parodontite </w:t>
      </w:r>
      <w:r w:rsidRPr="00C22ABE">
        <w:rPr>
          <w:rFonts w:cstheme="minorHAnsi"/>
          <w:sz w:val="20"/>
          <w:szCs w:val="18"/>
        </w:rPr>
        <w:t xml:space="preserve">et une extraction post </w:t>
      </w:r>
      <w:proofErr w:type="spellStart"/>
      <w:r w:rsidR="00FD653E" w:rsidRPr="00C22ABE">
        <w:rPr>
          <w:rFonts w:cstheme="minorHAnsi"/>
          <w:sz w:val="20"/>
          <w:szCs w:val="18"/>
        </w:rPr>
        <w:t>Rth</w:t>
      </w:r>
      <w:proofErr w:type="spellEnd"/>
      <w:r w:rsidRPr="00C22ABE">
        <w:rPr>
          <w:rFonts w:cstheme="minorHAnsi"/>
          <w:sz w:val="20"/>
          <w:szCs w:val="18"/>
        </w:rPr>
        <w:t xml:space="preserve"> constituaient les facteurs de risque d’ORN.</w:t>
      </w:r>
    </w:p>
    <w:p w14:paraId="2E76AAB3" w14:textId="51CE0A40" w:rsidR="00610B95" w:rsidRPr="00C22ABE" w:rsidRDefault="00610B95" w:rsidP="00610B95">
      <w:pPr>
        <w:rPr>
          <w:rFonts w:cstheme="minorHAnsi"/>
          <w:sz w:val="20"/>
          <w:szCs w:val="18"/>
        </w:rPr>
      </w:pPr>
      <w:r w:rsidRPr="00C22ABE">
        <w:rPr>
          <w:rFonts w:cstheme="minorHAnsi"/>
          <w:sz w:val="20"/>
          <w:szCs w:val="18"/>
        </w:rPr>
        <w:t>D’</w:t>
      </w:r>
      <w:proofErr w:type="spellStart"/>
      <w:r w:rsidR="00D9256A">
        <w:rPr>
          <w:rFonts w:cstheme="minorHAnsi"/>
          <w:sz w:val="20"/>
          <w:szCs w:val="18"/>
        </w:rPr>
        <w:t>H</w:t>
      </w:r>
      <w:r w:rsidRPr="00C22ABE">
        <w:rPr>
          <w:rFonts w:cstheme="minorHAnsi"/>
          <w:sz w:val="20"/>
          <w:szCs w:val="18"/>
        </w:rPr>
        <w:t>authuille</w:t>
      </w:r>
      <w:proofErr w:type="spellEnd"/>
      <w:r w:rsidRPr="00C22ABE">
        <w:rPr>
          <w:rFonts w:cstheme="minorHAnsi"/>
          <w:sz w:val="20"/>
          <w:szCs w:val="18"/>
        </w:rPr>
        <w:t xml:space="preserve"> et al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88BXXeCm","properties":{"formattedCitation":"(26)","plainCitation":"(26)","noteIndex":0},"citationItems":[{"id":267,"uris":["http://zotero.org/users/local/Om3YyEnU/items/EAERN6TR"],"uri":["http://zotero.org/users/local/Om3YyEnU/items/EAERN6TR"],"itemData":{"id":267,"type":"article-journal","container-title":"Revue de Stomatologie et de Chirurgie Maxillo-faciale","DOI":"10.1016/j.stomax.2007.05.003","ISSN":"00351768","issue":"6","journalAbbreviation":"Revue de Stomatologie et de Chirurgie Maxillo-faciale","language":"fr","page":"513-525","source":"DOI.org (Crossref)","title":"Ostéoradionécroses mandibulaires: partie I: facteurs de gravité","title-short":"Ostéoradionécroses mandibulaires","volume":"108","author":[{"family":"Hauthuille","given":"C.","non-dropping-particle":"d'"},{"family":"Testelin","given":"S."},{"family":"Taha","given":"F."},{"family":"Bitar","given":"G."},{"family":"Devauchelle","given":"B."}],"issued":{"date-parts":[["2007",12]]}}}],"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(26)</w:t>
      </w:r>
      <w:r w:rsidRPr="00C22ABE">
        <w:rPr>
          <w:rFonts w:cstheme="minorHAnsi"/>
          <w:sz w:val="20"/>
          <w:szCs w:val="18"/>
        </w:rPr>
        <w:fldChar w:fldCharType="end"/>
      </w:r>
      <w:r w:rsidRPr="00C22ABE">
        <w:rPr>
          <w:rFonts w:cstheme="minorHAnsi"/>
          <w:sz w:val="20"/>
          <w:szCs w:val="18"/>
        </w:rPr>
        <w:t xml:space="preserve"> ont établi des critères de gravité de l’ORN dépendant</w:t>
      </w:r>
      <w:r w:rsidR="008753C2" w:rsidRPr="00C22ABE">
        <w:rPr>
          <w:rFonts w:cstheme="minorHAnsi"/>
          <w:sz w:val="20"/>
          <w:szCs w:val="18"/>
        </w:rPr>
        <w:t> :</w:t>
      </w:r>
    </w:p>
    <w:p w14:paraId="197F5937" w14:textId="77777777" w:rsidR="00610B95" w:rsidRPr="00C22ABE" w:rsidRDefault="00610B95" w:rsidP="00610B95">
      <w:pPr>
        <w:pStyle w:val="Paragraphedeliste"/>
        <w:numPr>
          <w:ilvl w:val="0"/>
          <w:numId w:val="11"/>
        </w:numPr>
        <w:rPr>
          <w:rFonts w:cstheme="minorHAnsi"/>
          <w:sz w:val="20"/>
          <w:szCs w:val="18"/>
        </w:rPr>
      </w:pPr>
      <w:r w:rsidRPr="00C22ABE">
        <w:rPr>
          <w:rFonts w:cstheme="minorHAnsi"/>
          <w:sz w:val="20"/>
          <w:szCs w:val="18"/>
        </w:rPr>
        <w:t>de l’irradiation : Importance de l’irradiation, proximité os/tumeur, atteinte osseuse bilatérale, chimiothérapie associée</w:t>
      </w:r>
    </w:p>
    <w:p w14:paraId="458E51B2" w14:textId="77777777" w:rsidR="00610B95" w:rsidRPr="00C22ABE" w:rsidRDefault="00610B95" w:rsidP="00610B95">
      <w:pPr>
        <w:pStyle w:val="Paragraphedeliste"/>
        <w:numPr>
          <w:ilvl w:val="0"/>
          <w:numId w:val="11"/>
        </w:numPr>
        <w:rPr>
          <w:rFonts w:cstheme="minorHAnsi"/>
          <w:sz w:val="20"/>
          <w:szCs w:val="18"/>
        </w:rPr>
      </w:pPr>
      <w:r w:rsidRPr="00C22ABE">
        <w:rPr>
          <w:rFonts w:cstheme="minorHAnsi"/>
          <w:sz w:val="20"/>
          <w:szCs w:val="18"/>
        </w:rPr>
        <w:t>de la vascularisation : atteinte symphysaire, absence de séquestre osseux, ligature de l’artère faciale, persistance du tabagisme</w:t>
      </w:r>
    </w:p>
    <w:p w14:paraId="7FE0F4C6" w14:textId="77777777" w:rsidR="00610B95" w:rsidRPr="00C22ABE" w:rsidRDefault="00610B95" w:rsidP="00610B95">
      <w:pPr>
        <w:pStyle w:val="Paragraphedeliste"/>
        <w:numPr>
          <w:ilvl w:val="0"/>
          <w:numId w:val="11"/>
        </w:numPr>
        <w:rPr>
          <w:rFonts w:cstheme="minorHAnsi"/>
          <w:sz w:val="20"/>
          <w:szCs w:val="18"/>
        </w:rPr>
      </w:pPr>
      <w:r w:rsidRPr="00C22ABE">
        <w:rPr>
          <w:rFonts w:cstheme="minorHAnsi"/>
          <w:sz w:val="20"/>
          <w:szCs w:val="18"/>
        </w:rPr>
        <w:t>de l’infection : association à une actinomycose</w:t>
      </w:r>
    </w:p>
    <w:p w14:paraId="44FA3287" w14:textId="36DA4317" w:rsidR="00FD653E" w:rsidRPr="00C22ABE" w:rsidRDefault="00610B95" w:rsidP="00894602">
      <w:pPr>
        <w:pStyle w:val="Paragraphedeliste"/>
        <w:numPr>
          <w:ilvl w:val="0"/>
          <w:numId w:val="11"/>
        </w:numPr>
        <w:rPr>
          <w:rFonts w:cstheme="minorHAnsi"/>
          <w:sz w:val="20"/>
          <w:szCs w:val="18"/>
        </w:rPr>
      </w:pPr>
      <w:r w:rsidRPr="00C22ABE">
        <w:rPr>
          <w:rFonts w:cstheme="minorHAnsi"/>
          <w:sz w:val="20"/>
          <w:szCs w:val="18"/>
        </w:rPr>
        <w:t>du patient : persistance de l’intoxication par le tabac, absence d’observance du traitement médical</w:t>
      </w:r>
    </w:p>
    <w:p w14:paraId="5A83FB6C" w14:textId="3AFA7909" w:rsidR="004762E0" w:rsidRPr="00C22ABE" w:rsidRDefault="004762E0" w:rsidP="00A05EBA">
      <w:pPr>
        <w:tabs>
          <w:tab w:val="left" w:pos="7110"/>
        </w:tabs>
        <w:rPr>
          <w:rFonts w:cstheme="minorHAnsi"/>
          <w:sz w:val="20"/>
          <w:szCs w:val="18"/>
        </w:rPr>
      </w:pPr>
      <w:r w:rsidRPr="00C22ABE">
        <w:rPr>
          <w:rFonts w:cstheme="minorHAnsi"/>
          <w:sz w:val="20"/>
          <w:szCs w:val="18"/>
        </w:rPr>
        <w:t>Deux facteurs de « protection » de l’ORN sont évoqué</w:t>
      </w:r>
      <w:r w:rsidR="001F287E" w:rsidRPr="00C22ABE">
        <w:rPr>
          <w:rFonts w:cstheme="minorHAnsi"/>
          <w:sz w:val="20"/>
          <w:szCs w:val="18"/>
        </w:rPr>
        <w:t>s :</w:t>
      </w:r>
    </w:p>
    <w:p w14:paraId="3602123B" w14:textId="09E8818C" w:rsidR="001F287E" w:rsidRPr="00C22ABE" w:rsidRDefault="001F287E" w:rsidP="001F287E">
      <w:pPr>
        <w:pStyle w:val="Paragraphedeliste"/>
        <w:numPr>
          <w:ilvl w:val="0"/>
          <w:numId w:val="15"/>
        </w:numPr>
        <w:tabs>
          <w:tab w:val="left" w:pos="7110"/>
        </w:tabs>
        <w:rPr>
          <w:rFonts w:cstheme="minorHAnsi"/>
          <w:sz w:val="20"/>
          <w:szCs w:val="18"/>
        </w:rPr>
      </w:pPr>
      <w:r w:rsidRPr="00C22ABE">
        <w:rPr>
          <w:rFonts w:cstheme="minorHAnsi"/>
          <w:bCs/>
          <w:sz w:val="20"/>
          <w:szCs w:val="18"/>
        </w:rPr>
        <w:t xml:space="preserve">Dans l’étude de Wang et al en 2017 </w:t>
      </w:r>
      <w:r w:rsidRPr="00C22ABE">
        <w:rPr>
          <w:rFonts w:cstheme="minorHAnsi"/>
          <w:bCs/>
          <w:sz w:val="20"/>
          <w:szCs w:val="18"/>
        </w:rPr>
        <w:fldChar w:fldCharType="begin"/>
      </w:r>
      <w:r w:rsidRPr="00C22ABE">
        <w:rPr>
          <w:rFonts w:cstheme="minorHAnsi"/>
          <w:bCs/>
          <w:sz w:val="20"/>
          <w:szCs w:val="18"/>
        </w:rPr>
        <w:instrText xml:space="preserve"> ADDIN ZOTERO_ITEM CSL_CITATION {"citationID":"Yb3jO2eW","properties":{"formattedCitation":"(7)","plainCitation":"(7)","noteIndex":0},"citationItems":[{"id":280,"uris":["http://zotero.org/users/local/Om3YyEnU/items/EDSLGKCZ"],"uri":["http://zotero.org/users/local/Om3YyEnU/items/EDSLGKCZ"],"itemData":{"id":280,"type":"article-journal","abstract":"BACKGROUND: The purpose of this study was to investigate the risk factors, especially the use of certain drugs and the dental procedures, for osteoradionecrosis of the jaw (ORNJ) in patients with head and neck cancer undergoing irradiation as their primary treatment.\nMETHODS: The cohort was composed of 23,527 patients with head and neck cancer. Cox proportional hazard models were used for risk factors analysis.\nRESULTS: The overall incidence of ORNJ is 3.93 per 100 person-years. Buccal cancer carried the highest ORNJ risk. The use of steroids had a protective effect. Preradiotherapy extraction posed no excess risk, whereas postradiotherapy extraction was associated with gradually increased risk of ORNJ over time that peaked at 4 to 5 years.\nCONCLUSION: ORNJ warrants life-long attention for head and neck cancer survivors. The present study strongly confirms the role of preirradiation dental extractions. Meanwhile, efforts should be made to prevent posttreatment extractions, especially in the first posttreatment 4 years. © 2017 Wiley Periodicals, Inc. Head Neck 39: 1313-1321, 2017.","container-title":"Head &amp; Neck","DOI":"10.1002/hed.24761","ISSN":"1097-0347","issue":"7","journalAbbreviation":"Head Neck","language":"eng","note":"PMID: 28370713","page":"1313-1321","source":"PubMed","title":"Risk factors for and the role of dental extractions in osteoradionecrosis of the jaws: A national-based cohort study","title-short":"Risk factors for and the role of dental extractions in osteoradionecrosis of the jaws","volume":"39","author":[{"family":"Wang","given":"Ti-Hao"},{"family":"Liu","given":"Chia-Jen"},{"family":"Chao","given":"Tze-Fan"},{"family":"Chen","given":"Tzeng-Ji"},{"family":"Hu","given":"Yu-Wen"}],"issued":{"date-parts":[["2017",7]]}}}],"schema":"https://github.com/citation-style-language/schema/raw/master/csl-citation.json"} </w:instrText>
      </w:r>
      <w:r w:rsidRPr="00C22ABE">
        <w:rPr>
          <w:rFonts w:cstheme="minorHAnsi"/>
          <w:bCs/>
          <w:sz w:val="20"/>
          <w:szCs w:val="18"/>
        </w:rPr>
        <w:fldChar w:fldCharType="separate"/>
      </w:r>
      <w:r w:rsidRPr="00C22ABE">
        <w:rPr>
          <w:rFonts w:cstheme="minorHAnsi"/>
          <w:sz w:val="20"/>
        </w:rPr>
        <w:t>(7)</w:t>
      </w:r>
      <w:r w:rsidRPr="00C22ABE">
        <w:rPr>
          <w:rFonts w:cstheme="minorHAnsi"/>
          <w:bCs/>
          <w:sz w:val="20"/>
          <w:szCs w:val="18"/>
        </w:rPr>
        <w:fldChar w:fldCharType="end"/>
      </w:r>
      <w:r w:rsidRPr="00C22ABE">
        <w:rPr>
          <w:rFonts w:cstheme="minorHAnsi"/>
          <w:bCs/>
          <w:sz w:val="20"/>
          <w:szCs w:val="18"/>
        </w:rPr>
        <w:t xml:space="preserve">, l’usage de stéroïdes diminuait de 30% le risque d’ORN (sans précision sur le type, la durée et le mode d’administration des stéroïdes). Leur hypothèse est que les </w:t>
      </w:r>
      <w:r w:rsidR="00FD653E" w:rsidRPr="00C22ABE">
        <w:rPr>
          <w:rFonts w:cstheme="minorHAnsi"/>
          <w:bCs/>
          <w:sz w:val="20"/>
          <w:szCs w:val="18"/>
        </w:rPr>
        <w:t>stéroïdes</w:t>
      </w:r>
      <w:r w:rsidRPr="00C22ABE">
        <w:rPr>
          <w:rFonts w:cstheme="minorHAnsi"/>
          <w:bCs/>
          <w:sz w:val="20"/>
          <w:szCs w:val="18"/>
        </w:rPr>
        <w:t xml:space="preserve"> réduiraient le risque de fibrose radioinduite et agiraient comme agents antiinflammatoires.</w:t>
      </w:r>
    </w:p>
    <w:p w14:paraId="37795BA9" w14:textId="016C5822" w:rsidR="00AF408C" w:rsidRPr="00C22ABE" w:rsidRDefault="001F287E" w:rsidP="001E6D9A">
      <w:pPr>
        <w:pStyle w:val="Paragraphedeliste"/>
        <w:numPr>
          <w:ilvl w:val="0"/>
          <w:numId w:val="15"/>
        </w:numPr>
        <w:tabs>
          <w:tab w:val="left" w:pos="7110"/>
        </w:tabs>
        <w:rPr>
          <w:rFonts w:cstheme="minorHAnsi"/>
          <w:sz w:val="20"/>
          <w:szCs w:val="18"/>
        </w:rPr>
      </w:pPr>
      <w:proofErr w:type="spellStart"/>
      <w:r w:rsidRPr="00C22ABE">
        <w:rPr>
          <w:rFonts w:cstheme="minorHAnsi"/>
          <w:bCs/>
          <w:sz w:val="20"/>
          <w:szCs w:val="18"/>
        </w:rPr>
        <w:t>Chrcanovic</w:t>
      </w:r>
      <w:proofErr w:type="spellEnd"/>
      <w:r w:rsidRPr="00C22ABE">
        <w:rPr>
          <w:rFonts w:cstheme="minorHAnsi"/>
          <w:bCs/>
          <w:sz w:val="20"/>
          <w:szCs w:val="18"/>
        </w:rPr>
        <w:t xml:space="preserve"> et al</w:t>
      </w:r>
      <w:r w:rsidRPr="00C22ABE">
        <w:rPr>
          <w:rFonts w:cstheme="minorHAnsi"/>
          <w:bCs/>
          <w:sz w:val="20"/>
          <w:szCs w:val="18"/>
        </w:rPr>
        <w:fldChar w:fldCharType="begin"/>
      </w:r>
      <w:r w:rsidRPr="00C22ABE">
        <w:rPr>
          <w:rFonts w:cstheme="minorHAnsi"/>
          <w:bCs/>
          <w:sz w:val="20"/>
          <w:szCs w:val="18"/>
        </w:rPr>
        <w:instrText xml:space="preserve"> ADDIN ZOTERO_ITEM CSL_CITATION {"citationID":"Tmw34Coj","properties":{"formattedCitation":"(12)","plainCitation":"(12)","noteIndex":0},"citationItems":[{"id":317,"uris":["http://zotero.org/users/local/Om3YyEnU/items/UMEQ2XFD"],"uri":["http://zotero.org/users/local/Om3YyEnU/items/UMEQ2XFD"],"itemData":{"id":317,"type":"article-journal","abstract":"PURPOSE: The aim of this paper is to explore the current theories about definition, classification, incidence and physiopathology of osteoradionecrosis (ORN) of the jaws. Moreover, it is discussed the predisposing and risk factors for the development of osteoradionecrosis based on the literature review.\nDISCUSSION: Osteoradionecrosis is one of the most serious oral complications of head and neck cancer treatment. Osteoradionecrosis is a severe delayed radiation-induced injury, characterised by bone tissue necrosis and failure to heal. Osteoradionecrosis either stabilises or gradually worsens and is notoriously difficult to manage. The most widely accepted theory to explain its cause until recently was the theory of hypoxia, hypovascularity and hypocellularity. A new theory for the pathogenesis of osteoradionecrosis was proposed. The clinical presentations of osteoradionecrosis are pain, drainage and fistulation of the mucosa or skin that is related to exposed bone in an area that has been irradiated. The tumour size and location, radiation dose, local trauma, dental extractions, infection, immune defects and malnutrition can predispose its development.\nCONCLUSIONS: A better understanding of risk factors for the development ORN and of the underlying pathophysiology may improve our ability to prevent this complication and help to improve the prognosis for those being treated for osteoradionecrosis.","container-title":"Oral and Maxillofacial Surgery","DOI":"10.1007/s10006-009-0198-9","ISSN":"1865-1569","issue":"1","journalAbbreviation":"Oral Maxillofac Surg","language":"eng","note":"PMID: 20119841","page":"3-16","source":"PubMed","title":"Osteoradionecrosis of the jaws--a current overview--part 1: Physiopathology and risk and predisposing factors","title-short":"Osteoradionecrosis of the jaws--a current overview--part 1","volume":"14","author":[{"family":"Chrcanovic","given":"Bruno Ramos"},{"family":"Reher","given":"Peter"},{"family":"Sousa","given":"Alexandre Andrade"},{"family":"Harris","given":"Malcolm"}],"issued":{"date-parts":[["2010",3]]}}}],"schema":"https://github.com/citation-style-language/schema/raw/master/csl-citation.json"} </w:instrText>
      </w:r>
      <w:r w:rsidRPr="00C22ABE">
        <w:rPr>
          <w:rFonts w:cstheme="minorHAnsi"/>
          <w:bCs/>
          <w:sz w:val="20"/>
          <w:szCs w:val="18"/>
        </w:rPr>
        <w:fldChar w:fldCharType="separate"/>
      </w:r>
      <w:r w:rsidRPr="00C22ABE">
        <w:rPr>
          <w:rFonts w:cstheme="minorHAnsi"/>
          <w:sz w:val="20"/>
        </w:rPr>
        <w:t>(12)</w:t>
      </w:r>
      <w:r w:rsidRPr="00C22ABE">
        <w:rPr>
          <w:rFonts w:cstheme="minorHAnsi"/>
          <w:bCs/>
          <w:sz w:val="20"/>
          <w:szCs w:val="18"/>
        </w:rPr>
        <w:fldChar w:fldCharType="end"/>
      </w:r>
      <w:r w:rsidRPr="00C22ABE">
        <w:rPr>
          <w:rFonts w:cstheme="minorHAnsi"/>
          <w:bCs/>
          <w:sz w:val="20"/>
          <w:szCs w:val="18"/>
        </w:rPr>
        <w:t xml:space="preserve"> décrivent un effet protecteur des anticoagulants.</w:t>
      </w:r>
    </w:p>
    <w:p w14:paraId="35BF0AFE" w14:textId="77777777" w:rsidR="00C22ABE" w:rsidRPr="00C22ABE" w:rsidRDefault="00C22ABE" w:rsidP="001E6D9A">
      <w:pPr>
        <w:tabs>
          <w:tab w:val="left" w:pos="7110"/>
        </w:tabs>
        <w:rPr>
          <w:rFonts w:cstheme="minorHAnsi"/>
          <w:b/>
          <w:bCs/>
          <w:color w:val="0000FF"/>
          <w:sz w:val="32"/>
          <w:szCs w:val="28"/>
          <w:u w:val="single"/>
        </w:rPr>
      </w:pPr>
    </w:p>
    <w:p w14:paraId="4AB7F633" w14:textId="72C961D0" w:rsidR="00D143E4" w:rsidRPr="00C22ABE" w:rsidRDefault="00D143E4" w:rsidP="001E6D9A">
      <w:pPr>
        <w:tabs>
          <w:tab w:val="left" w:pos="7110"/>
        </w:tabs>
        <w:rPr>
          <w:rFonts w:cstheme="minorHAnsi"/>
          <w:b/>
          <w:bCs/>
          <w:color w:val="0000FF"/>
          <w:sz w:val="32"/>
          <w:szCs w:val="28"/>
          <w:u w:val="single"/>
        </w:rPr>
      </w:pPr>
    </w:p>
    <w:p w14:paraId="4DA52AC0" w14:textId="3C43F51F" w:rsidR="00C22ABE" w:rsidRDefault="00C22ABE" w:rsidP="001E6D9A">
      <w:pPr>
        <w:tabs>
          <w:tab w:val="left" w:pos="7110"/>
        </w:tabs>
        <w:rPr>
          <w:rFonts w:cstheme="minorHAnsi"/>
          <w:b/>
          <w:bCs/>
          <w:color w:val="0000FF"/>
          <w:sz w:val="32"/>
          <w:szCs w:val="28"/>
          <w:u w:val="single"/>
        </w:rPr>
      </w:pPr>
    </w:p>
    <w:p w14:paraId="014ED3D3" w14:textId="189C31B8" w:rsidR="00D143E4" w:rsidRDefault="00D143E4" w:rsidP="001E6D9A">
      <w:pPr>
        <w:tabs>
          <w:tab w:val="left" w:pos="7110"/>
        </w:tabs>
        <w:rPr>
          <w:rFonts w:cstheme="minorHAnsi"/>
          <w:b/>
          <w:bCs/>
          <w:color w:val="0000FF"/>
          <w:sz w:val="32"/>
          <w:szCs w:val="28"/>
          <w:u w:val="single"/>
        </w:rPr>
      </w:pPr>
    </w:p>
    <w:p w14:paraId="3B2C2F58" w14:textId="77777777" w:rsidR="0065120B" w:rsidRPr="00C22ABE" w:rsidRDefault="0065120B" w:rsidP="001E6D9A">
      <w:pPr>
        <w:tabs>
          <w:tab w:val="left" w:pos="7110"/>
        </w:tabs>
        <w:rPr>
          <w:rFonts w:cstheme="minorHAnsi"/>
          <w:b/>
          <w:bCs/>
          <w:color w:val="0000FF"/>
          <w:sz w:val="32"/>
          <w:szCs w:val="28"/>
          <w:u w:val="single"/>
        </w:rPr>
      </w:pPr>
    </w:p>
    <w:p w14:paraId="74BFF55D" w14:textId="77777777" w:rsidR="0065120B" w:rsidRDefault="0065120B" w:rsidP="00D437C1">
      <w:pPr>
        <w:pStyle w:val="Paragraphedeliste"/>
        <w:tabs>
          <w:tab w:val="left" w:pos="7110"/>
        </w:tabs>
        <w:rPr>
          <w:rFonts w:cstheme="minorHAnsi"/>
          <w:b/>
          <w:bCs/>
          <w:color w:val="0000FF"/>
          <w:sz w:val="28"/>
          <w:szCs w:val="28"/>
          <w:u w:val="single"/>
        </w:rPr>
      </w:pPr>
    </w:p>
    <w:p w14:paraId="01CF5180" w14:textId="408B76FC" w:rsidR="001F287E" w:rsidRPr="0065120B" w:rsidRDefault="001F287E" w:rsidP="0065120B">
      <w:pPr>
        <w:pStyle w:val="Paragraphedeliste"/>
        <w:numPr>
          <w:ilvl w:val="0"/>
          <w:numId w:val="27"/>
        </w:numPr>
        <w:tabs>
          <w:tab w:val="left" w:pos="7110"/>
        </w:tabs>
        <w:rPr>
          <w:rFonts w:cstheme="minorHAnsi"/>
          <w:b/>
          <w:bCs/>
          <w:color w:val="0000FF"/>
          <w:sz w:val="28"/>
          <w:szCs w:val="28"/>
          <w:u w:val="single"/>
        </w:rPr>
      </w:pPr>
      <w:r w:rsidRPr="0065120B">
        <w:rPr>
          <w:rFonts w:cstheme="minorHAnsi"/>
          <w:b/>
          <w:bCs/>
          <w:color w:val="0000FF"/>
          <w:sz w:val="28"/>
          <w:szCs w:val="28"/>
          <w:u w:val="single"/>
        </w:rPr>
        <w:lastRenderedPageBreak/>
        <w:t>Diagnostic</w:t>
      </w:r>
    </w:p>
    <w:p w14:paraId="22F99B41" w14:textId="734DD8F9" w:rsidR="001E6D9A" w:rsidRPr="00C22ABE" w:rsidRDefault="00AF408C" w:rsidP="001E6D9A">
      <w:pPr>
        <w:tabs>
          <w:tab w:val="left" w:pos="7110"/>
        </w:tabs>
        <w:rPr>
          <w:rFonts w:cstheme="minorHAnsi"/>
          <w:b/>
          <w:bCs/>
          <w:color w:val="0000FF"/>
          <w:szCs w:val="20"/>
          <w:u w:val="single"/>
        </w:rPr>
      </w:pPr>
      <w:r w:rsidRPr="00C22ABE">
        <w:rPr>
          <w:rFonts w:cstheme="minorHAnsi"/>
          <w:b/>
          <w:bCs/>
          <w:color w:val="0000FF"/>
          <w:sz w:val="24"/>
          <w:u w:val="single"/>
        </w:rPr>
        <w:t>Symptomatologie</w:t>
      </w:r>
    </w:p>
    <w:p w14:paraId="5CC5C675" w14:textId="48E682FF" w:rsidR="001E6D9A" w:rsidRPr="00C22ABE" w:rsidRDefault="001E6D9A" w:rsidP="001E6D9A">
      <w:pPr>
        <w:tabs>
          <w:tab w:val="left" w:pos="7110"/>
        </w:tabs>
        <w:rPr>
          <w:rFonts w:cstheme="minorHAnsi"/>
          <w:sz w:val="20"/>
          <w:szCs w:val="20"/>
        </w:rPr>
      </w:pPr>
      <w:r w:rsidRPr="00C22ABE">
        <w:rPr>
          <w:rFonts w:cstheme="minorHAnsi"/>
          <w:sz w:val="20"/>
          <w:szCs w:val="20"/>
        </w:rPr>
        <w:t xml:space="preserve">Elle est peu spécifique et discrète ou peut altérer rapidement et profondément la qualité de vie des patients </w:t>
      </w:r>
      <w:r w:rsidRPr="00C22ABE">
        <w:rPr>
          <w:rFonts w:cstheme="minorHAnsi"/>
          <w:sz w:val="20"/>
          <w:szCs w:val="20"/>
        </w:rPr>
        <w:fldChar w:fldCharType="begin"/>
      </w:r>
      <w:r w:rsidR="00DD29FB" w:rsidRPr="00C22ABE">
        <w:rPr>
          <w:rFonts w:cstheme="minorHAnsi"/>
          <w:sz w:val="20"/>
          <w:szCs w:val="20"/>
        </w:rPr>
        <w:instrText xml:space="preserve"> ADDIN ZOTERO_ITEM CSL_CITATION {"citationID":"imULp2oI","properties":{"formattedCitation":"(27)","plainCitation":"(27)","noteIndex":0},"citationItems":[{"id":297,"uris":["http://zotero.org/users/local/Om3YyEnU/items/L5CCRS8C"],"uri":["http://zotero.org/users/local/Om3YyEnU/items/L5CCRS8C"],"itemData":{"id":297,"type":"article-journal","abstract":"PURPOSE OF REVIEW: This article aims to provide an update on literature data related to mandibular osteoradionecrosis (MORN) secondary to the irradiation of the head and neck region.\nRECENT FINDINGS: Radiotherapy (RT) plays a crucial role in the contemporary management of head and neck cancer (HNC) patients and, despite intensity-modulated technique (IMRT), mandibular osteoradionecrosis (MORN) remains a significant RT-related complication. Based on its clinical manifestation, MORN can negatively affect patients' quality of life. Preventive interventions should be prioritized. This manuscript is expected to represent an opportunity to guide a clear proposal for clinical measures in the individual MORN situations.","container-title":"Current Oncology Reports","DOI":"10.1007/s11912-020-00954-3","ISSN":"1534-6269","issue":"9","journalAbbreviation":"Curr Oncol Rep","language":"eng","note":"PMID: 32642937","page":"89","source":"PubMed","title":"Radiation Therapy and Mandibular Osteoradionecrosis: State of the Art","title-short":"Radiation Therapy and Mandibular Osteoradionecrosis","volume":"22","author":[{"family":"De Felice","given":"Francesca"},{"family":"Tombolini","given":"Vincenzo"},{"family":"Musio","given":"Daniela"},{"family":"Polimeni","given":"Antonella"}],"issued":{"date-parts":[["2020",7,9]]}}}],"schema":"https://github.com/citation-style-language/schema/raw/master/csl-citation.json"} </w:instrText>
      </w:r>
      <w:r w:rsidRPr="00C22ABE">
        <w:rPr>
          <w:rFonts w:cstheme="minorHAnsi"/>
          <w:sz w:val="20"/>
          <w:szCs w:val="20"/>
        </w:rPr>
        <w:fldChar w:fldCharType="separate"/>
      </w:r>
      <w:r w:rsidR="00DD29FB" w:rsidRPr="00C22ABE">
        <w:rPr>
          <w:rFonts w:cstheme="minorHAnsi"/>
          <w:sz w:val="20"/>
        </w:rPr>
        <w:t>(27)</w:t>
      </w:r>
      <w:r w:rsidRPr="00C22ABE">
        <w:rPr>
          <w:rFonts w:cstheme="minorHAnsi"/>
          <w:sz w:val="20"/>
          <w:szCs w:val="20"/>
        </w:rPr>
        <w:fldChar w:fldCharType="end"/>
      </w:r>
      <w:r w:rsidR="00FD653E" w:rsidRPr="00C22ABE">
        <w:rPr>
          <w:rFonts w:cstheme="minorHAnsi"/>
          <w:sz w:val="20"/>
          <w:szCs w:val="20"/>
        </w:rPr>
        <w:t>.</w:t>
      </w:r>
    </w:p>
    <w:p w14:paraId="0D7382A4" w14:textId="7E1BF327" w:rsidR="001E6D9A" w:rsidRPr="00C22ABE" w:rsidRDefault="00FD653E" w:rsidP="001E6D9A">
      <w:pPr>
        <w:tabs>
          <w:tab w:val="left" w:pos="7110"/>
        </w:tabs>
        <w:rPr>
          <w:rFonts w:cstheme="minorHAnsi"/>
          <w:sz w:val="20"/>
          <w:szCs w:val="20"/>
        </w:rPr>
      </w:pPr>
      <w:r w:rsidRPr="00C22ABE">
        <w:rPr>
          <w:rFonts w:cstheme="minorHAnsi"/>
          <w:sz w:val="20"/>
          <w:szCs w:val="20"/>
        </w:rPr>
        <w:t>Les plaintes les plus fréquentes et précoces sont</w:t>
      </w:r>
      <w:r w:rsidR="001E6D9A" w:rsidRPr="00C22ABE">
        <w:rPr>
          <w:rFonts w:cstheme="minorHAnsi"/>
          <w:sz w:val="20"/>
          <w:szCs w:val="20"/>
        </w:rPr>
        <w:t xml:space="preserve"> une ulcération de la muqueuse, une </w:t>
      </w:r>
      <w:r w:rsidRPr="00C22ABE">
        <w:rPr>
          <w:rFonts w:cstheme="minorHAnsi"/>
          <w:sz w:val="20"/>
          <w:szCs w:val="20"/>
        </w:rPr>
        <w:t>exposition osseuse</w:t>
      </w:r>
      <w:r w:rsidR="001F62AC" w:rsidRPr="00C22ABE">
        <w:rPr>
          <w:rFonts w:cstheme="minorHAnsi"/>
          <w:sz w:val="20"/>
          <w:szCs w:val="20"/>
        </w:rPr>
        <w:t xml:space="preserve"> (Fig.1)</w:t>
      </w:r>
      <w:r w:rsidRPr="00C22ABE">
        <w:rPr>
          <w:rFonts w:cstheme="minorHAnsi"/>
          <w:sz w:val="20"/>
          <w:szCs w:val="20"/>
        </w:rPr>
        <w:t>, ainsi qu’une douleur locale ou des tissus avoisinants. La conséquence mécanique est l’apparition secondaire d’un tr</w:t>
      </w:r>
      <w:r w:rsidR="001E6D9A" w:rsidRPr="00C22ABE">
        <w:rPr>
          <w:rFonts w:cstheme="minorHAnsi"/>
          <w:sz w:val="20"/>
          <w:szCs w:val="20"/>
        </w:rPr>
        <w:t xml:space="preserve">ismus, une malocclusion, une déformation faciale, ou encore une fracture pathologique </w:t>
      </w:r>
      <w:r w:rsidR="001E6D9A" w:rsidRPr="00C22ABE">
        <w:rPr>
          <w:rFonts w:cstheme="minorHAnsi"/>
          <w:sz w:val="20"/>
          <w:szCs w:val="20"/>
        </w:rPr>
        <w:fldChar w:fldCharType="begin"/>
      </w:r>
      <w:r w:rsidR="001E6D9A" w:rsidRPr="00C22ABE">
        <w:rPr>
          <w:rFonts w:cstheme="minorHAnsi"/>
          <w:sz w:val="20"/>
          <w:szCs w:val="20"/>
        </w:rPr>
        <w:instrText xml:space="preserve"> ADDIN ZOTERO_ITEM CSL_CITATION {"citationID":"3FH7HdO9","properties":{"formattedCitation":"(2)","plainCitation":"(2)","noteIndex":0},"citationItems":[{"id":165,"uris":["http://zotero.org/users/local/Om3YyEnU/items/E2FP89WH"],"uri":["http://zotero.org/users/local/Om3YyEnU/items/E2FP89WH"],"itemData":{"id":165,"type":"article-journal","container-title":"International Dental Journal","DOI":"10.1111/idj.12318","ISSN":"00206539","issue":"1","journalAbbreviation":"Int Dent J","language":"en","page":"22-30","source":"DOI.org (Crossref)","title":"Osteoradionecrosis of the jaws: definition, epidemiology, staging and clinical and radiological findings. A concise review","title-short":"Osteoradionecrosis of the jaws","volume":"68","author":[{"family":"Chronopoulos","given":"Aristeidis"},{"family":"Zarra","given":"Theodora"},{"family":"Ehrenfeld","given":"Michael"},{"family":"Otto","given":"Sven"}],"issued":{"date-parts":[["2018",2]]}}}],"schema":"https://github.com/citation-style-language/schema/raw/master/csl-citation.json"} </w:instrText>
      </w:r>
      <w:r w:rsidR="001E6D9A" w:rsidRPr="00C22ABE">
        <w:rPr>
          <w:rFonts w:cstheme="minorHAnsi"/>
          <w:sz w:val="20"/>
          <w:szCs w:val="20"/>
        </w:rPr>
        <w:fldChar w:fldCharType="separate"/>
      </w:r>
      <w:r w:rsidR="001E6D9A" w:rsidRPr="00C22ABE">
        <w:rPr>
          <w:rFonts w:cstheme="minorHAnsi"/>
          <w:sz w:val="20"/>
        </w:rPr>
        <w:t>(2)</w:t>
      </w:r>
      <w:r w:rsidR="001E6D9A" w:rsidRPr="00C22ABE">
        <w:rPr>
          <w:rFonts w:cstheme="minorHAnsi"/>
          <w:sz w:val="20"/>
          <w:szCs w:val="20"/>
        </w:rPr>
        <w:fldChar w:fldCharType="end"/>
      </w:r>
      <w:r w:rsidR="001E6D9A" w:rsidRPr="00C22ABE">
        <w:rPr>
          <w:rFonts w:cstheme="minorHAnsi"/>
          <w:sz w:val="20"/>
          <w:szCs w:val="20"/>
        </w:rPr>
        <w:t>.</w:t>
      </w:r>
    </w:p>
    <w:p w14:paraId="23679549" w14:textId="78812249" w:rsidR="001E6D9A" w:rsidRPr="00C22ABE" w:rsidRDefault="003E0499" w:rsidP="001E6D9A">
      <w:pPr>
        <w:tabs>
          <w:tab w:val="left" w:pos="7110"/>
        </w:tabs>
        <w:rPr>
          <w:rFonts w:cstheme="minorHAnsi"/>
          <w:sz w:val="20"/>
          <w:szCs w:val="20"/>
        </w:rPr>
      </w:pPr>
      <w:r w:rsidRPr="00C22ABE">
        <w:rPr>
          <w:rFonts w:cstheme="minorHAnsi"/>
          <w:sz w:val="20"/>
          <w:szCs w:val="20"/>
        </w:rPr>
        <w:t xml:space="preserve">Des symptômes </w:t>
      </w:r>
      <w:r w:rsidR="001E6D9A" w:rsidRPr="00C22ABE">
        <w:rPr>
          <w:rFonts w:cstheme="minorHAnsi"/>
          <w:sz w:val="20"/>
          <w:szCs w:val="20"/>
        </w:rPr>
        <w:t>neurologique</w:t>
      </w:r>
      <w:r w:rsidRPr="00C22ABE">
        <w:rPr>
          <w:rFonts w:cstheme="minorHAnsi"/>
          <w:sz w:val="20"/>
          <w:szCs w:val="20"/>
        </w:rPr>
        <w:t xml:space="preserve">s sont décrits : </w:t>
      </w:r>
      <w:r w:rsidR="001E6D9A" w:rsidRPr="00C22ABE">
        <w:rPr>
          <w:rFonts w:cstheme="minorHAnsi"/>
          <w:sz w:val="20"/>
          <w:szCs w:val="20"/>
        </w:rPr>
        <w:t>douleurs locales, dysesthésies, paresthésies, anesthésie.</w:t>
      </w:r>
    </w:p>
    <w:p w14:paraId="57D6E4D7" w14:textId="133197DD" w:rsidR="001E6D9A" w:rsidRPr="00C22ABE" w:rsidRDefault="003E0499" w:rsidP="001E6D9A">
      <w:pPr>
        <w:tabs>
          <w:tab w:val="left" w:pos="7110"/>
        </w:tabs>
        <w:rPr>
          <w:rFonts w:cstheme="minorHAnsi"/>
          <w:sz w:val="20"/>
          <w:szCs w:val="20"/>
        </w:rPr>
      </w:pPr>
      <w:r w:rsidRPr="00C22ABE">
        <w:rPr>
          <w:rFonts w:cstheme="minorHAnsi"/>
          <w:sz w:val="20"/>
          <w:szCs w:val="20"/>
        </w:rPr>
        <w:t>L’examen clinique peut relever d’autres problématiques associées telles que l’</w:t>
      </w:r>
      <w:r w:rsidR="001E6D9A" w:rsidRPr="00C22ABE">
        <w:rPr>
          <w:rFonts w:cstheme="minorHAnsi"/>
          <w:sz w:val="20"/>
          <w:szCs w:val="20"/>
        </w:rPr>
        <w:t xml:space="preserve">halitose, </w:t>
      </w:r>
      <w:r w:rsidRPr="00C22ABE">
        <w:rPr>
          <w:rFonts w:cstheme="minorHAnsi"/>
          <w:sz w:val="20"/>
          <w:szCs w:val="20"/>
        </w:rPr>
        <w:t xml:space="preserve">la </w:t>
      </w:r>
      <w:r w:rsidR="001E6D9A" w:rsidRPr="00C22ABE">
        <w:rPr>
          <w:rFonts w:cstheme="minorHAnsi"/>
          <w:sz w:val="20"/>
          <w:szCs w:val="20"/>
        </w:rPr>
        <w:t xml:space="preserve">dysgueusie, </w:t>
      </w:r>
      <w:r w:rsidRPr="00C22ABE">
        <w:rPr>
          <w:rFonts w:cstheme="minorHAnsi"/>
          <w:sz w:val="20"/>
          <w:szCs w:val="20"/>
        </w:rPr>
        <w:t>le</w:t>
      </w:r>
      <w:r w:rsidR="001E6D9A" w:rsidRPr="00C22ABE">
        <w:rPr>
          <w:rFonts w:cstheme="minorHAnsi"/>
          <w:sz w:val="20"/>
          <w:szCs w:val="20"/>
        </w:rPr>
        <w:t xml:space="preserve"> bourrage alimentaire,</w:t>
      </w:r>
      <w:r w:rsidRPr="00C22ABE">
        <w:rPr>
          <w:rFonts w:cstheme="minorHAnsi"/>
          <w:sz w:val="20"/>
          <w:szCs w:val="20"/>
        </w:rPr>
        <w:t xml:space="preserve"> souvent à l’origine de conséquences infectieuses, </w:t>
      </w:r>
      <w:r w:rsidR="001E6D9A" w:rsidRPr="00C22ABE">
        <w:rPr>
          <w:rFonts w:cstheme="minorHAnsi"/>
          <w:sz w:val="20"/>
          <w:szCs w:val="20"/>
        </w:rPr>
        <w:t xml:space="preserve">suppuration, fistule </w:t>
      </w:r>
      <w:r w:rsidRPr="00C22ABE">
        <w:rPr>
          <w:rFonts w:cstheme="minorHAnsi"/>
          <w:sz w:val="20"/>
          <w:szCs w:val="20"/>
        </w:rPr>
        <w:t xml:space="preserve">et œdème </w:t>
      </w:r>
      <w:proofErr w:type="spellStart"/>
      <w:r w:rsidRPr="00C22ABE">
        <w:rPr>
          <w:rFonts w:cstheme="minorHAnsi"/>
          <w:sz w:val="20"/>
          <w:szCs w:val="20"/>
        </w:rPr>
        <w:t>endobuccal</w:t>
      </w:r>
      <w:proofErr w:type="spellEnd"/>
      <w:r w:rsidRPr="00C22ABE">
        <w:rPr>
          <w:rFonts w:cstheme="minorHAnsi"/>
          <w:sz w:val="20"/>
          <w:szCs w:val="20"/>
        </w:rPr>
        <w:t xml:space="preserve"> ou cutané, c</w:t>
      </w:r>
      <w:r w:rsidR="001E6D9A" w:rsidRPr="00C22ABE">
        <w:rPr>
          <w:rFonts w:cstheme="minorHAnsi"/>
          <w:sz w:val="20"/>
          <w:szCs w:val="20"/>
        </w:rPr>
        <w:t>ellulite, infection</w:t>
      </w:r>
      <w:r w:rsidRPr="00C22ABE">
        <w:rPr>
          <w:rFonts w:cstheme="minorHAnsi"/>
          <w:sz w:val="20"/>
          <w:szCs w:val="20"/>
        </w:rPr>
        <w:t xml:space="preserve"> </w:t>
      </w:r>
      <w:r w:rsidR="001E6D9A" w:rsidRPr="00C22ABE">
        <w:rPr>
          <w:rFonts w:cstheme="minorHAnsi"/>
          <w:sz w:val="20"/>
          <w:szCs w:val="20"/>
        </w:rPr>
        <w:t>systémique.</w:t>
      </w:r>
    </w:p>
    <w:p w14:paraId="6A15E558" w14:textId="1AACE40D" w:rsidR="001E6D9A" w:rsidRPr="00C22ABE" w:rsidRDefault="001E6D9A" w:rsidP="001E6D9A">
      <w:pPr>
        <w:tabs>
          <w:tab w:val="left" w:pos="7110"/>
        </w:tabs>
        <w:rPr>
          <w:rFonts w:cstheme="minorHAnsi"/>
          <w:sz w:val="20"/>
          <w:szCs w:val="20"/>
        </w:rPr>
      </w:pPr>
      <w:r w:rsidRPr="00C22ABE">
        <w:rPr>
          <w:rFonts w:cstheme="minorHAnsi"/>
          <w:sz w:val="20"/>
          <w:szCs w:val="20"/>
        </w:rPr>
        <w:t xml:space="preserve">Le patient présente ensuite des </w:t>
      </w:r>
      <w:r w:rsidR="003E0499" w:rsidRPr="00C22ABE">
        <w:rPr>
          <w:rFonts w:cstheme="minorHAnsi"/>
          <w:sz w:val="20"/>
          <w:szCs w:val="20"/>
        </w:rPr>
        <w:t xml:space="preserve">symptômes plus tardifs tels que dysphagie et dysarthrie délétères sur sa vie sociale, associés à une détresse psychologique </w:t>
      </w:r>
      <w:r w:rsidRPr="00C22ABE">
        <w:rPr>
          <w:rFonts w:cstheme="minorHAnsi"/>
          <w:sz w:val="20"/>
          <w:szCs w:val="20"/>
        </w:rPr>
        <w:fldChar w:fldCharType="begin"/>
      </w:r>
      <w:r w:rsidR="00DD29FB" w:rsidRPr="00C22ABE">
        <w:rPr>
          <w:rFonts w:cstheme="minorHAnsi"/>
          <w:sz w:val="20"/>
          <w:szCs w:val="20"/>
        </w:rPr>
        <w:instrText xml:space="preserve"> ADDIN ZOTERO_ITEM CSL_CITATION {"citationID":"PRXd5meP","properties":{"formattedCitation":"(6,27)","plainCitation":"(6,27)","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W."}],"issued":{"date-parts":[["2016",11]]}}},{"id":297,"uris":["http://zotero.org/users/local/Om3YyEnU/items/L5CCRS8C"],"uri":["http://zotero.org/users/local/Om3YyEnU/items/L5CCRS8C"],"itemData":{"id":297,"type":"article-journal","abstract":"PURPOSE OF REVIEW: This article aims to provide an update on literature data related to mandibular osteoradionecrosis (MORN) secondary to the irradiation of the head and neck region.\nRECENT FINDINGS: Radiotherapy (RT) plays a crucial role in the contemporary management of head and neck cancer (HNC) patients and, despite intensity-modulated technique (IMRT), mandibular osteoradionecrosis (MORN) remains a significant RT-related complication. Based on its clinical manifestation, MORN can negatively affect patients' quality of life. Preventive interventions should be prioritized. This manuscript is expected to represent an opportunity to guide a clear proposal for clinical measures in the individual MORN situations.","container-title":"Current Oncology Reports","DOI":"10.1007/s11912-020-00954-3","ISSN":"1534-6269","issue":"9","journalAbbreviation":"Curr Oncol Rep","language":"eng","note":"PMID: 32642937","page":"89","source":"PubMed","title":"Radiation Therapy and Mandibular Osteoradionecrosis: State of the Art","title-short":"Radiation Therapy and Mandibular Osteoradionecrosis","volume":"22","author":[{"family":"De Felice","given":"Francesca"},{"family":"Tombolini","given":"Vincenzo"},{"family":"Musio","given":"Daniela"},{"family":"Polimeni","given":"Antonella"}],"issued":{"date-parts":[["2020",7,9]]}}}],"schema":"https://github.com/citation-style-language/schema/raw/master/csl-citation.json"} </w:instrText>
      </w:r>
      <w:r w:rsidRPr="00C22ABE">
        <w:rPr>
          <w:rFonts w:cstheme="minorHAnsi"/>
          <w:sz w:val="20"/>
          <w:szCs w:val="20"/>
        </w:rPr>
        <w:fldChar w:fldCharType="separate"/>
      </w:r>
      <w:r w:rsidR="00DD29FB" w:rsidRPr="00C22ABE">
        <w:rPr>
          <w:rFonts w:cstheme="minorHAnsi"/>
          <w:sz w:val="20"/>
        </w:rPr>
        <w:t>(6,27)</w:t>
      </w:r>
      <w:r w:rsidRPr="00C22ABE">
        <w:rPr>
          <w:rFonts w:cstheme="minorHAnsi"/>
          <w:sz w:val="20"/>
          <w:szCs w:val="20"/>
        </w:rPr>
        <w:fldChar w:fldCharType="end"/>
      </w:r>
      <w:r w:rsidRPr="00C22ABE">
        <w:rPr>
          <w:rFonts w:cstheme="minorHAnsi"/>
          <w:sz w:val="20"/>
          <w:szCs w:val="20"/>
        </w:rPr>
        <w:t>.</w:t>
      </w:r>
    </w:p>
    <w:p w14:paraId="21C976CB" w14:textId="51C4F63C" w:rsidR="001E6D9A" w:rsidRPr="00C22ABE" w:rsidRDefault="00550A8A" w:rsidP="001E6D9A">
      <w:pPr>
        <w:tabs>
          <w:tab w:val="left" w:pos="7110"/>
        </w:tabs>
        <w:rPr>
          <w:rFonts w:cstheme="minorHAnsi"/>
          <w:sz w:val="20"/>
          <w:szCs w:val="20"/>
        </w:rPr>
      </w:pPr>
      <w:r w:rsidRPr="00C22ABE">
        <w:rPr>
          <w:rFonts w:cstheme="minorHAnsi"/>
          <w:sz w:val="20"/>
          <w:szCs w:val="20"/>
        </w:rPr>
        <w:t>Le d</w:t>
      </w:r>
      <w:r w:rsidR="001E6D9A" w:rsidRPr="00C22ABE">
        <w:rPr>
          <w:rFonts w:cstheme="minorHAnsi"/>
          <w:sz w:val="20"/>
          <w:szCs w:val="20"/>
        </w:rPr>
        <w:t>iagnostic différentiel</w:t>
      </w:r>
      <w:r w:rsidRPr="00C22ABE">
        <w:rPr>
          <w:rFonts w:cstheme="minorHAnsi"/>
          <w:sz w:val="20"/>
          <w:szCs w:val="20"/>
        </w:rPr>
        <w:t xml:space="preserve"> doit </w:t>
      </w:r>
      <w:r w:rsidR="003E0499" w:rsidRPr="00C22ABE">
        <w:rPr>
          <w:rFonts w:cstheme="minorHAnsi"/>
          <w:sz w:val="20"/>
          <w:szCs w:val="20"/>
        </w:rPr>
        <w:t xml:space="preserve">prendre en compte </w:t>
      </w:r>
      <w:r w:rsidRPr="00C22ABE">
        <w:rPr>
          <w:rFonts w:cstheme="minorHAnsi"/>
          <w:sz w:val="20"/>
          <w:szCs w:val="20"/>
        </w:rPr>
        <w:t>une</w:t>
      </w:r>
      <w:r w:rsidR="001E6D9A" w:rsidRPr="00C22ABE">
        <w:rPr>
          <w:rFonts w:cstheme="minorHAnsi"/>
          <w:sz w:val="20"/>
          <w:szCs w:val="20"/>
        </w:rPr>
        <w:t xml:space="preserve"> récidive tumorale, </w:t>
      </w:r>
      <w:r w:rsidRPr="00C22ABE">
        <w:rPr>
          <w:rFonts w:cstheme="minorHAnsi"/>
          <w:sz w:val="20"/>
          <w:szCs w:val="20"/>
        </w:rPr>
        <w:t xml:space="preserve">une </w:t>
      </w:r>
      <w:r w:rsidR="001E6D9A" w:rsidRPr="00C22ABE">
        <w:rPr>
          <w:rFonts w:cstheme="minorHAnsi"/>
          <w:sz w:val="20"/>
          <w:szCs w:val="20"/>
        </w:rPr>
        <w:t xml:space="preserve">métastase, </w:t>
      </w:r>
      <w:r w:rsidRPr="00C22ABE">
        <w:rPr>
          <w:rFonts w:cstheme="minorHAnsi"/>
          <w:sz w:val="20"/>
          <w:szCs w:val="20"/>
        </w:rPr>
        <w:t xml:space="preserve">une </w:t>
      </w:r>
      <w:r w:rsidR="001E6D9A" w:rsidRPr="00C22ABE">
        <w:rPr>
          <w:rFonts w:cstheme="minorHAnsi"/>
          <w:sz w:val="20"/>
          <w:szCs w:val="20"/>
        </w:rPr>
        <w:t>2</w:t>
      </w:r>
      <w:r w:rsidR="001E6D9A" w:rsidRPr="00C22ABE">
        <w:rPr>
          <w:rFonts w:cstheme="minorHAnsi"/>
          <w:sz w:val="20"/>
          <w:szCs w:val="20"/>
          <w:vertAlign w:val="superscript"/>
        </w:rPr>
        <w:t>e</w:t>
      </w:r>
      <w:r w:rsidR="001E6D9A" w:rsidRPr="00C22ABE">
        <w:rPr>
          <w:rFonts w:cstheme="minorHAnsi"/>
          <w:sz w:val="20"/>
          <w:szCs w:val="20"/>
        </w:rPr>
        <w:t xml:space="preserve"> localisation tumorale, </w:t>
      </w:r>
      <w:r w:rsidRPr="00C22ABE">
        <w:rPr>
          <w:rFonts w:cstheme="minorHAnsi"/>
          <w:sz w:val="20"/>
          <w:szCs w:val="20"/>
        </w:rPr>
        <w:t xml:space="preserve">ou encore une </w:t>
      </w:r>
      <w:r w:rsidR="001E6D9A" w:rsidRPr="00C22ABE">
        <w:rPr>
          <w:rFonts w:cstheme="minorHAnsi"/>
          <w:sz w:val="20"/>
          <w:szCs w:val="20"/>
        </w:rPr>
        <w:t xml:space="preserve">ostéonécrose </w:t>
      </w:r>
      <w:r w:rsidR="00AF408C" w:rsidRPr="00C22ABE">
        <w:rPr>
          <w:rFonts w:cstheme="minorHAnsi"/>
          <w:sz w:val="20"/>
          <w:szCs w:val="20"/>
        </w:rPr>
        <w:t>à la suite d’un</w:t>
      </w:r>
      <w:r w:rsidR="001E6D9A" w:rsidRPr="00C22ABE">
        <w:rPr>
          <w:rFonts w:cstheme="minorHAnsi"/>
          <w:sz w:val="20"/>
          <w:szCs w:val="20"/>
        </w:rPr>
        <w:t xml:space="preserve"> autre traitement (antirésorbeurs osseux</w:t>
      </w:r>
      <w:r w:rsidRPr="00C22ABE">
        <w:rPr>
          <w:rFonts w:cstheme="minorHAnsi"/>
          <w:sz w:val="20"/>
          <w:szCs w:val="20"/>
        </w:rPr>
        <w:t xml:space="preserve"> par exemple</w:t>
      </w:r>
      <w:r w:rsidR="001E6D9A" w:rsidRPr="00C22ABE">
        <w:rPr>
          <w:rFonts w:cstheme="minorHAnsi"/>
          <w:sz w:val="20"/>
          <w:szCs w:val="20"/>
        </w:rPr>
        <w:t>)</w:t>
      </w:r>
      <w:r w:rsidR="003E0499" w:rsidRPr="00C22ABE">
        <w:rPr>
          <w:rFonts w:cstheme="minorHAnsi"/>
          <w:sz w:val="20"/>
          <w:szCs w:val="20"/>
        </w:rPr>
        <w:t>.</w:t>
      </w:r>
      <w:r w:rsidR="00D9256A">
        <w:rPr>
          <w:rFonts w:cstheme="minorHAnsi"/>
          <w:sz w:val="20"/>
          <w:szCs w:val="20"/>
        </w:rPr>
        <w:t xml:space="preserve"> </w:t>
      </w:r>
    </w:p>
    <w:p w14:paraId="2541B7CA" w14:textId="15285A9F" w:rsidR="00634602" w:rsidRPr="00C22ABE" w:rsidRDefault="008753C2" w:rsidP="00634602">
      <w:pPr>
        <w:tabs>
          <w:tab w:val="left" w:pos="7110"/>
        </w:tabs>
        <w:rPr>
          <w:rFonts w:cstheme="minorHAnsi"/>
          <w:b/>
          <w:bCs/>
          <w:color w:val="0000FF"/>
          <w:sz w:val="24"/>
          <w:szCs w:val="24"/>
          <w:u w:val="single"/>
        </w:rPr>
      </w:pPr>
      <w:r w:rsidRPr="00C22ABE">
        <w:rPr>
          <w:rFonts w:cstheme="minorHAnsi"/>
          <w:b/>
          <w:bCs/>
          <w:color w:val="0000FF"/>
          <w:sz w:val="24"/>
          <w:szCs w:val="24"/>
          <w:u w:val="single"/>
        </w:rPr>
        <w:t>Imagerie</w:t>
      </w:r>
    </w:p>
    <w:p w14:paraId="6DA33C58" w14:textId="59C70B6D" w:rsidR="00634602" w:rsidRPr="00C22ABE" w:rsidRDefault="00634602" w:rsidP="00634602">
      <w:pPr>
        <w:tabs>
          <w:tab w:val="left" w:pos="7110"/>
        </w:tabs>
        <w:rPr>
          <w:rFonts w:cstheme="minorHAnsi"/>
          <w:sz w:val="20"/>
          <w:szCs w:val="18"/>
        </w:rPr>
      </w:pPr>
      <w:r w:rsidRPr="00C22ABE">
        <w:rPr>
          <w:rFonts w:cstheme="minorHAnsi"/>
          <w:sz w:val="20"/>
          <w:szCs w:val="18"/>
        </w:rPr>
        <w:t>L’ORN est peu visible à l’imagerie aux stades précoces</w:t>
      </w:r>
      <w:r w:rsidR="0035427A" w:rsidRPr="00C22ABE">
        <w:rPr>
          <w:rFonts w:cstheme="minorHAnsi"/>
          <w:sz w:val="20"/>
          <w:szCs w:val="18"/>
        </w:rPr>
        <w:t xml:space="preserve"> avec une </w:t>
      </w:r>
      <w:r w:rsidRPr="00C22ABE">
        <w:rPr>
          <w:rFonts w:cstheme="minorHAnsi"/>
          <w:sz w:val="20"/>
          <w:szCs w:val="18"/>
        </w:rPr>
        <w:t xml:space="preserve">discordance </w:t>
      </w:r>
      <w:proofErr w:type="spellStart"/>
      <w:r w:rsidR="003E0499" w:rsidRPr="00C22ABE">
        <w:rPr>
          <w:rFonts w:cstheme="minorHAnsi"/>
          <w:sz w:val="20"/>
          <w:szCs w:val="18"/>
        </w:rPr>
        <w:t>clinico</w:t>
      </w:r>
      <w:proofErr w:type="spellEnd"/>
      <w:r w:rsidR="003E0499" w:rsidRPr="00C22ABE">
        <w:rPr>
          <w:rFonts w:cstheme="minorHAnsi"/>
          <w:sz w:val="20"/>
          <w:szCs w:val="18"/>
        </w:rPr>
        <w:t>-radiologique majeure.</w:t>
      </w:r>
    </w:p>
    <w:p w14:paraId="2A4EECF6" w14:textId="6B173AC0" w:rsidR="00634602" w:rsidRPr="00C22ABE" w:rsidRDefault="00634602" w:rsidP="00634602">
      <w:pPr>
        <w:tabs>
          <w:tab w:val="left" w:pos="7110"/>
        </w:tabs>
        <w:rPr>
          <w:rFonts w:cstheme="minorHAnsi"/>
          <w:sz w:val="20"/>
          <w:szCs w:val="18"/>
        </w:rPr>
      </w:pPr>
      <w:r w:rsidRPr="00C22ABE">
        <w:rPr>
          <w:rFonts w:cstheme="minorHAnsi"/>
          <w:sz w:val="20"/>
          <w:szCs w:val="18"/>
        </w:rPr>
        <w:t>L’</w:t>
      </w:r>
      <w:r w:rsidRPr="00C22ABE">
        <w:rPr>
          <w:rFonts w:cstheme="minorHAnsi"/>
          <w:b/>
          <w:bCs/>
          <w:sz w:val="20"/>
          <w:szCs w:val="18"/>
        </w:rPr>
        <w:t>orthopantomogramme</w:t>
      </w:r>
      <w:r w:rsidRPr="00C22ABE">
        <w:rPr>
          <w:rFonts w:cstheme="minorHAnsi"/>
          <w:sz w:val="20"/>
          <w:szCs w:val="18"/>
        </w:rPr>
        <w:t xml:space="preserve"> </w:t>
      </w:r>
      <w:r w:rsidR="001F287E" w:rsidRPr="00C22ABE">
        <w:rPr>
          <w:rFonts w:cstheme="minorHAnsi"/>
          <w:sz w:val="20"/>
          <w:szCs w:val="18"/>
        </w:rPr>
        <w:t xml:space="preserve">(OPG) </w:t>
      </w:r>
      <w:r w:rsidRPr="00C22ABE">
        <w:rPr>
          <w:rFonts w:cstheme="minorHAnsi"/>
          <w:sz w:val="20"/>
          <w:szCs w:val="18"/>
        </w:rPr>
        <w:t>est d’accès rapide</w:t>
      </w:r>
      <w:r w:rsidR="001F287E" w:rsidRPr="00C22ABE">
        <w:rPr>
          <w:rFonts w:cstheme="minorHAnsi"/>
          <w:sz w:val="20"/>
          <w:szCs w:val="18"/>
        </w:rPr>
        <w:t>,</w:t>
      </w:r>
      <w:r w:rsidRPr="00C22ABE">
        <w:rPr>
          <w:rFonts w:cstheme="minorHAnsi"/>
          <w:sz w:val="20"/>
          <w:szCs w:val="18"/>
        </w:rPr>
        <w:t xml:space="preserve"> aisé</w:t>
      </w:r>
      <w:r w:rsidR="001F287E" w:rsidRPr="00C22ABE">
        <w:rPr>
          <w:rFonts w:cstheme="minorHAnsi"/>
          <w:sz w:val="20"/>
          <w:szCs w:val="18"/>
        </w:rPr>
        <w:t>,</w:t>
      </w:r>
      <w:r w:rsidRPr="00C22ABE">
        <w:rPr>
          <w:rFonts w:cstheme="minorHAnsi"/>
          <w:sz w:val="20"/>
          <w:szCs w:val="18"/>
        </w:rPr>
        <w:t xml:space="preserve"> et</w:t>
      </w:r>
      <w:r w:rsidR="001F287E" w:rsidRPr="00C22ABE">
        <w:rPr>
          <w:rFonts w:cstheme="minorHAnsi"/>
          <w:sz w:val="20"/>
          <w:szCs w:val="18"/>
        </w:rPr>
        <w:t xml:space="preserve"> </w:t>
      </w:r>
      <w:r w:rsidRPr="00C22ABE">
        <w:rPr>
          <w:rFonts w:cstheme="minorHAnsi"/>
          <w:sz w:val="20"/>
          <w:szCs w:val="18"/>
        </w:rPr>
        <w:t xml:space="preserve">peu onéreux. </w:t>
      </w:r>
      <w:r w:rsidR="003E0499" w:rsidRPr="00C22ABE">
        <w:rPr>
          <w:rFonts w:cstheme="minorHAnsi"/>
          <w:sz w:val="20"/>
          <w:szCs w:val="18"/>
        </w:rPr>
        <w:t xml:space="preserve">Il est fait en première intention comme examen de débrouillage. </w:t>
      </w:r>
      <w:r w:rsidRPr="00C22ABE">
        <w:rPr>
          <w:rFonts w:cstheme="minorHAnsi"/>
          <w:sz w:val="20"/>
          <w:szCs w:val="18"/>
        </w:rPr>
        <w:t xml:space="preserve">Les lésions sont visibles </w:t>
      </w:r>
      <w:r w:rsidR="003E0499" w:rsidRPr="00C22ABE">
        <w:rPr>
          <w:rFonts w:cstheme="minorHAnsi"/>
          <w:sz w:val="20"/>
          <w:szCs w:val="18"/>
        </w:rPr>
        <w:t xml:space="preserve">à un stade tardif lorsque </w:t>
      </w:r>
      <w:r w:rsidRPr="00C22ABE">
        <w:rPr>
          <w:rFonts w:cstheme="minorHAnsi"/>
          <w:sz w:val="20"/>
          <w:szCs w:val="18"/>
        </w:rPr>
        <w:t xml:space="preserve">l’altération osseuse est conséquente, à savoir une perte de 30% de la minéralisation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IRvpDva4","properties":{"formattedCitation":"(28)","plainCitation":"(28)","noteIndex":0},"citationItems":[{"id":175,"uris":["http://zotero.org/users/local/Om3YyEnU/items/FAGBCEJ3"],"uri":["http://zotero.org/users/local/Om3YyEnU/items/FAGBCEJ3"],"itemData":{"id":175,"type":"article-journal","container-title":"Oral Diseases","DOI":"10.1111/odi.13534","ISSN":"1354-523X, 1601-0825","journalAbbreviation":"Oral Dis","language":"en","page":"odi.13534","source":"DOI.org (Crossref)","title":"Osteomyelitis, osteoradionecrosis, or medication‐related osteonecrosis of the jaws? Can CBCT enhance radiographic diagnosis?","title-short":"Osteomyelitis, osteoradionecrosis, or medication‐related osteonecrosis of the jaws?","author":[{"family":"Gaêta‐Araujo","given":"Hugo"},{"family":"Vanderhaeghen","given":"Olivier"},{"family":"Vasconcelos","given":"Karla de Faria"},{"family":"Coucke","given":"Wim"},{"family":"Coropciuc","given":"Ruxandra"},{"family":"Politis","given":"Constantinus"},{"family":"Jacobs","given":"Reinhilde"}],"issued":{"date-parts":[["2020",8]]}}}],"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(28)</w:t>
      </w:r>
      <w:r w:rsidRPr="00C22ABE">
        <w:rPr>
          <w:rFonts w:cstheme="minorHAnsi"/>
          <w:sz w:val="20"/>
          <w:szCs w:val="18"/>
        </w:rPr>
        <w:fldChar w:fldCharType="end"/>
      </w:r>
      <w:r w:rsidRPr="00C22ABE">
        <w:rPr>
          <w:rFonts w:cstheme="minorHAnsi"/>
          <w:sz w:val="20"/>
          <w:szCs w:val="18"/>
        </w:rPr>
        <w:t xml:space="preserve">.  </w:t>
      </w:r>
      <w:r w:rsidR="003E0499" w:rsidRPr="00C22ABE">
        <w:rPr>
          <w:rFonts w:cstheme="minorHAnsi"/>
          <w:sz w:val="20"/>
          <w:szCs w:val="18"/>
        </w:rPr>
        <w:t xml:space="preserve">Les signes sont </w:t>
      </w:r>
      <w:r w:rsidRPr="00C22ABE">
        <w:rPr>
          <w:rFonts w:cstheme="minorHAnsi"/>
          <w:sz w:val="20"/>
          <w:szCs w:val="18"/>
        </w:rPr>
        <w:t xml:space="preserve">une </w:t>
      </w:r>
      <w:proofErr w:type="spellStart"/>
      <w:r w:rsidRPr="00C22ABE">
        <w:rPr>
          <w:rFonts w:cstheme="minorHAnsi"/>
          <w:sz w:val="20"/>
          <w:szCs w:val="18"/>
        </w:rPr>
        <w:t>radioclarté</w:t>
      </w:r>
      <w:proofErr w:type="spellEnd"/>
      <w:r w:rsidRPr="00C22ABE">
        <w:rPr>
          <w:rFonts w:cstheme="minorHAnsi"/>
          <w:sz w:val="20"/>
          <w:szCs w:val="18"/>
        </w:rPr>
        <w:t xml:space="preserve"> mal définie, ou une zone radio</w:t>
      </w:r>
      <w:r w:rsidR="003E0499" w:rsidRPr="00C22ABE">
        <w:rPr>
          <w:rFonts w:cstheme="minorHAnsi"/>
          <w:sz w:val="20"/>
          <w:szCs w:val="18"/>
        </w:rPr>
        <w:t>-</w:t>
      </w:r>
      <w:r w:rsidRPr="00C22ABE">
        <w:rPr>
          <w:rFonts w:cstheme="minorHAnsi"/>
          <w:sz w:val="20"/>
          <w:szCs w:val="18"/>
        </w:rPr>
        <w:t xml:space="preserve">opaque en cas de séquestre, ou une fracture. </w:t>
      </w:r>
      <w:r w:rsidR="003E0499" w:rsidRPr="00C22ABE">
        <w:rPr>
          <w:rFonts w:cstheme="minorHAnsi"/>
          <w:sz w:val="20"/>
          <w:szCs w:val="18"/>
        </w:rPr>
        <w:t xml:space="preserve">Les </w:t>
      </w:r>
      <w:r w:rsidRPr="00C22ABE">
        <w:rPr>
          <w:rFonts w:cstheme="minorHAnsi"/>
          <w:sz w:val="20"/>
          <w:szCs w:val="18"/>
        </w:rPr>
        <w:t xml:space="preserve">cicatrices des sites d’extraction </w:t>
      </w:r>
      <w:r w:rsidR="003E0499" w:rsidRPr="00C22ABE">
        <w:rPr>
          <w:rFonts w:cstheme="minorHAnsi"/>
          <w:sz w:val="20"/>
          <w:szCs w:val="18"/>
        </w:rPr>
        <w:t xml:space="preserve">sont visibles </w:t>
      </w:r>
      <w:r w:rsidRPr="00C22ABE">
        <w:rPr>
          <w:rFonts w:cstheme="minorHAnsi"/>
          <w:sz w:val="20"/>
          <w:szCs w:val="18"/>
        </w:rPr>
        <w:t xml:space="preserve">même plus d’un an après celles-ci </w:t>
      </w:r>
      <w:r w:rsidR="001F62AC" w:rsidRPr="00C22ABE">
        <w:rPr>
          <w:rFonts w:cstheme="minorHAnsi"/>
          <w:sz w:val="20"/>
          <w:szCs w:val="18"/>
        </w:rPr>
        <w:t>(Fig.2</w:t>
      </w:r>
      <w:r w:rsidR="00620661" w:rsidRPr="00C22ABE">
        <w:rPr>
          <w:rFonts w:cstheme="minorHAnsi"/>
          <w:sz w:val="20"/>
          <w:szCs w:val="18"/>
        </w:rPr>
        <w:t>)</w:t>
      </w:r>
      <w:r w:rsidRPr="00C22ABE">
        <w:rPr>
          <w:rFonts w:cstheme="minorHAnsi"/>
          <w:sz w:val="20"/>
          <w:szCs w:val="18"/>
        </w:rPr>
        <w:fldChar w:fldCharType="begin"/>
      </w:r>
      <w:r w:rsidRPr="00C22ABE">
        <w:rPr>
          <w:rFonts w:cstheme="minorHAnsi"/>
          <w:sz w:val="20"/>
          <w:szCs w:val="18"/>
        </w:rPr>
        <w:instrText xml:space="preserve"> ADDIN ZOTERO_ITEM CSL_CITATION {"citationID":"IQuUBBZC","properties":{"formattedCitation":"(6)","plainCitation":"(6)","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W."}],"issued":{"date-parts":[["2016",11]]}}}],"schema":"https://github.com/citation-style-language/schema/raw/master/csl-citation.json"} </w:instrText>
      </w:r>
      <w:r w:rsidRPr="00C22ABE">
        <w:rPr>
          <w:rFonts w:cstheme="minorHAnsi"/>
          <w:sz w:val="20"/>
          <w:szCs w:val="18"/>
        </w:rPr>
        <w:fldChar w:fldCharType="separate"/>
      </w:r>
      <w:r w:rsidRPr="00C22ABE">
        <w:rPr>
          <w:rFonts w:cstheme="minorHAnsi"/>
          <w:sz w:val="20"/>
        </w:rPr>
        <w:t>(6)</w:t>
      </w:r>
      <w:r w:rsidRPr="00C22ABE">
        <w:rPr>
          <w:rFonts w:cstheme="minorHAnsi"/>
          <w:sz w:val="20"/>
          <w:szCs w:val="18"/>
        </w:rPr>
        <w:fldChar w:fldCharType="end"/>
      </w:r>
      <w:r w:rsidRPr="00C22ABE">
        <w:rPr>
          <w:rFonts w:cstheme="minorHAnsi"/>
          <w:sz w:val="20"/>
          <w:szCs w:val="18"/>
        </w:rPr>
        <w:t>.</w:t>
      </w:r>
    </w:p>
    <w:p w14:paraId="297AEF4D" w14:textId="0AB647D4" w:rsidR="00634602" w:rsidRPr="00C22ABE" w:rsidRDefault="00634602" w:rsidP="00634602">
      <w:pPr>
        <w:tabs>
          <w:tab w:val="left" w:pos="7110"/>
        </w:tabs>
        <w:rPr>
          <w:rFonts w:cstheme="minorHAnsi"/>
          <w:sz w:val="20"/>
          <w:szCs w:val="18"/>
        </w:rPr>
      </w:pPr>
      <w:r w:rsidRPr="00C22ABE">
        <w:rPr>
          <w:rFonts w:cstheme="minorHAnsi"/>
          <w:sz w:val="20"/>
          <w:szCs w:val="18"/>
        </w:rPr>
        <w:t xml:space="preserve">Le </w:t>
      </w:r>
      <w:r w:rsidRPr="00C22ABE">
        <w:rPr>
          <w:rFonts w:cstheme="minorHAnsi"/>
          <w:b/>
          <w:bCs/>
          <w:sz w:val="20"/>
          <w:szCs w:val="18"/>
        </w:rPr>
        <w:t>CBCT</w:t>
      </w:r>
      <w:r w:rsidRPr="00C22ABE">
        <w:rPr>
          <w:rFonts w:cstheme="minorHAnsi"/>
          <w:sz w:val="20"/>
          <w:szCs w:val="18"/>
        </w:rPr>
        <w:t xml:space="preserve"> </w:t>
      </w:r>
      <w:r w:rsidR="001F287E" w:rsidRPr="00C22ABE">
        <w:rPr>
          <w:rFonts w:cstheme="minorHAnsi"/>
          <w:sz w:val="20"/>
          <w:szCs w:val="18"/>
        </w:rPr>
        <w:t>(</w:t>
      </w:r>
      <w:proofErr w:type="spellStart"/>
      <w:r w:rsidR="001F287E" w:rsidRPr="00C22ABE">
        <w:rPr>
          <w:rFonts w:cstheme="minorHAnsi"/>
          <w:sz w:val="20"/>
          <w:szCs w:val="18"/>
        </w:rPr>
        <w:t>cone</w:t>
      </w:r>
      <w:proofErr w:type="spellEnd"/>
      <w:r w:rsidR="001F287E" w:rsidRPr="00C22ABE">
        <w:rPr>
          <w:rFonts w:cstheme="minorHAnsi"/>
          <w:sz w:val="20"/>
          <w:szCs w:val="18"/>
        </w:rPr>
        <w:t xml:space="preserve"> </w:t>
      </w:r>
      <w:proofErr w:type="spellStart"/>
      <w:r w:rsidR="001F287E" w:rsidRPr="00C22ABE">
        <w:rPr>
          <w:rFonts w:cstheme="minorHAnsi"/>
          <w:sz w:val="20"/>
          <w:szCs w:val="18"/>
        </w:rPr>
        <w:t>beam</w:t>
      </w:r>
      <w:proofErr w:type="spellEnd"/>
      <w:r w:rsidR="001F287E" w:rsidRPr="00C22ABE">
        <w:rPr>
          <w:rFonts w:cstheme="minorHAnsi"/>
          <w:sz w:val="20"/>
          <w:szCs w:val="18"/>
        </w:rPr>
        <w:t xml:space="preserve"> </w:t>
      </w:r>
      <w:proofErr w:type="spellStart"/>
      <w:r w:rsidR="001F287E" w:rsidRPr="00C22ABE">
        <w:rPr>
          <w:rFonts w:cstheme="minorHAnsi"/>
          <w:sz w:val="20"/>
          <w:szCs w:val="18"/>
        </w:rPr>
        <w:t>computed</w:t>
      </w:r>
      <w:proofErr w:type="spellEnd"/>
      <w:r w:rsidR="001F287E" w:rsidRPr="00C22ABE">
        <w:rPr>
          <w:rFonts w:cstheme="minorHAnsi"/>
          <w:sz w:val="20"/>
          <w:szCs w:val="18"/>
        </w:rPr>
        <w:t xml:space="preserve"> </w:t>
      </w:r>
      <w:proofErr w:type="spellStart"/>
      <w:r w:rsidR="001F287E" w:rsidRPr="00C22ABE">
        <w:rPr>
          <w:rFonts w:cstheme="minorHAnsi"/>
          <w:sz w:val="20"/>
          <w:szCs w:val="18"/>
        </w:rPr>
        <w:t>to</w:t>
      </w:r>
      <w:r w:rsidR="00EB2422" w:rsidRPr="00C22ABE">
        <w:rPr>
          <w:rFonts w:cstheme="minorHAnsi"/>
          <w:sz w:val="20"/>
          <w:szCs w:val="18"/>
        </w:rPr>
        <w:t>mo</w:t>
      </w:r>
      <w:r w:rsidR="001F287E" w:rsidRPr="00C22ABE">
        <w:rPr>
          <w:rFonts w:cstheme="minorHAnsi"/>
          <w:sz w:val="20"/>
          <w:szCs w:val="18"/>
        </w:rPr>
        <w:t>graphy</w:t>
      </w:r>
      <w:proofErr w:type="spellEnd"/>
      <w:r w:rsidR="001F287E" w:rsidRPr="00C22ABE">
        <w:rPr>
          <w:rFonts w:cstheme="minorHAnsi"/>
          <w:sz w:val="20"/>
          <w:szCs w:val="18"/>
        </w:rPr>
        <w:t xml:space="preserve">) </w:t>
      </w:r>
      <w:r w:rsidRPr="00C22ABE">
        <w:rPr>
          <w:rFonts w:cstheme="minorHAnsi"/>
          <w:sz w:val="20"/>
          <w:szCs w:val="18"/>
        </w:rPr>
        <w:t>évalue correctement le statu</w:t>
      </w:r>
      <w:r w:rsidR="003E0499" w:rsidRPr="00C22ABE">
        <w:rPr>
          <w:rFonts w:cstheme="minorHAnsi"/>
          <w:sz w:val="20"/>
          <w:szCs w:val="18"/>
        </w:rPr>
        <w:t>t</w:t>
      </w:r>
      <w:r w:rsidRPr="00C22ABE">
        <w:rPr>
          <w:rFonts w:cstheme="minorHAnsi"/>
          <w:sz w:val="20"/>
          <w:szCs w:val="18"/>
        </w:rPr>
        <w:t xml:space="preserve"> osseux dans 90% des cas alors que l</w:t>
      </w:r>
      <w:r w:rsidR="001F287E" w:rsidRPr="00C22ABE">
        <w:rPr>
          <w:rFonts w:cstheme="minorHAnsi"/>
          <w:sz w:val="20"/>
          <w:szCs w:val="18"/>
        </w:rPr>
        <w:t>’OPG</w:t>
      </w:r>
      <w:r w:rsidRPr="00C22ABE">
        <w:rPr>
          <w:rFonts w:cstheme="minorHAnsi"/>
          <w:sz w:val="20"/>
          <w:szCs w:val="18"/>
        </w:rPr>
        <w:t xml:space="preserve"> ne le fait que dans 74% des cas</w:t>
      </w:r>
      <w:r w:rsidR="001F287E" w:rsidRPr="00C22ABE">
        <w:rPr>
          <w:rFonts w:cstheme="minorHAnsi"/>
          <w:sz w:val="20"/>
          <w:szCs w:val="18"/>
        </w:rPr>
        <w:t xml:space="preserve">, </w:t>
      </w:r>
      <w:r w:rsidR="00244C6A" w:rsidRPr="00C22ABE">
        <w:rPr>
          <w:rFonts w:cstheme="minorHAnsi"/>
          <w:sz w:val="20"/>
          <w:szCs w:val="18"/>
        </w:rPr>
        <w:t xml:space="preserve">et est </w:t>
      </w:r>
      <w:r w:rsidRPr="00C22ABE">
        <w:rPr>
          <w:rFonts w:cstheme="minorHAnsi"/>
          <w:sz w:val="20"/>
          <w:szCs w:val="18"/>
        </w:rPr>
        <w:t xml:space="preserve">plus efficace dans les stades précoces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IVSIqYic","properties":{"formattedCitation":"(28)","plainCitation":"(28)","noteIndex":0},"citationItems":[{"id":175,"uris":["http://zotero.org/users/local/Om3YyEnU/items/FAGBCEJ3"],"uri":["http://zotero.org/users/local/Om3YyEnU/items/FAGBCEJ3"],"itemData":{"id":175,"type":"article-journal","container-title":"Oral Diseases","DOI":"10.1111/odi.13534","ISSN":"1354-523X, 1601-0825","journalAbbreviation":"Oral Dis","language":"en","page":"odi.13534","source":"DOI.org (Crossref)","title":"Osteomyelitis, osteoradionecrosis, or medication‐related osteonecrosis of the jaws? Can CBCT enhance radiographic diagnosis?","title-short":"Osteomyelitis, osteoradionecrosis, or medication‐related osteonecrosis of the jaws?","author":[{"family":"Gaêta‐Araujo","given":"Hugo"},{"family":"Vanderhaeghen","given":"Olivier"},{"family":"Vasconcelos","given":"Karla de Faria"},{"family":"Coucke","given":"Wim"},{"family":"Coropciuc","given":"Ruxandra"},{"family":"Politis","given":"Constantinus"},{"family":"Jacobs","given":"Reinhilde"}],"issued":{"date-parts":[["2020",8]]}}}],"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(28)</w:t>
      </w:r>
      <w:r w:rsidRPr="00C22ABE">
        <w:rPr>
          <w:rFonts w:cstheme="minorHAnsi"/>
          <w:sz w:val="20"/>
          <w:szCs w:val="18"/>
        </w:rPr>
        <w:fldChar w:fldCharType="end"/>
      </w:r>
      <w:r w:rsidRPr="00C22ABE">
        <w:rPr>
          <w:rFonts w:cstheme="minorHAnsi"/>
          <w:sz w:val="20"/>
          <w:szCs w:val="18"/>
        </w:rPr>
        <w:t>.</w:t>
      </w:r>
    </w:p>
    <w:p w14:paraId="6C3B1AC9" w14:textId="15ED7216" w:rsidR="00634602" w:rsidRPr="00C22ABE" w:rsidRDefault="00634602" w:rsidP="00634602">
      <w:pPr>
        <w:tabs>
          <w:tab w:val="left" w:pos="7110"/>
        </w:tabs>
        <w:rPr>
          <w:rFonts w:cstheme="minorHAnsi"/>
          <w:sz w:val="20"/>
          <w:szCs w:val="18"/>
        </w:rPr>
      </w:pPr>
      <w:r w:rsidRPr="00C22ABE">
        <w:rPr>
          <w:rFonts w:cstheme="minorHAnsi"/>
          <w:sz w:val="20"/>
          <w:szCs w:val="18"/>
        </w:rPr>
        <w:t xml:space="preserve">Le </w:t>
      </w:r>
      <w:r w:rsidRPr="00C22ABE">
        <w:rPr>
          <w:rFonts w:cstheme="minorHAnsi"/>
          <w:b/>
          <w:bCs/>
          <w:sz w:val="20"/>
          <w:szCs w:val="18"/>
        </w:rPr>
        <w:t xml:space="preserve">scanner (tomodensitométrie) </w:t>
      </w:r>
      <w:r w:rsidRPr="00C22ABE">
        <w:rPr>
          <w:rFonts w:cstheme="minorHAnsi"/>
          <w:sz w:val="20"/>
          <w:szCs w:val="18"/>
        </w:rPr>
        <w:t>identifie les lésions ostéolytiques, interruptions de la corticale, perte de trabéculation de la spongieuse</w:t>
      </w:r>
      <w:r w:rsidR="001F62AC" w:rsidRPr="00C22ABE">
        <w:rPr>
          <w:rFonts w:cstheme="minorHAnsi"/>
          <w:sz w:val="20"/>
          <w:szCs w:val="18"/>
        </w:rPr>
        <w:t xml:space="preserve"> (Fig.3)</w:t>
      </w:r>
      <w:r w:rsidRPr="00C22ABE">
        <w:rPr>
          <w:rFonts w:cstheme="minorHAnsi"/>
          <w:sz w:val="20"/>
          <w:szCs w:val="18"/>
        </w:rPr>
        <w:t xml:space="preserve">, infiltration des tissus mous. On peut également visualiser un séquestre ou une fracture, une communication bucco-sinusale ou bucco-nasale. Le principal diagnostic différentiel est celui d’une tumeur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MoKUMnqc","properties":{"formattedCitation":"(28)","plainCitation":"(28)","noteIndex":0},"citationItems":[{"id":175,"uris":["http://zotero.org/users/local/Om3YyEnU/items/FAGBCEJ3"],"uri":["http://zotero.org/users/local/Om3YyEnU/items/FAGBCEJ3"],"itemData":{"id":175,"type":"article-journal","container-title":"Oral Diseases","DOI":"10.1111/odi.13534","ISSN":"1354-523X, 1601-0825","journalAbbreviation":"Oral Dis","language":"en","page":"odi.13534","source":"DOI.org (Crossref)","title":"Osteomyelitis, osteoradionecrosis, or medication‐related osteonecrosis of the jaws? Can CBCT enhance radiographic diagnosis?","title-short":"Osteomyelitis, osteoradionecrosis, or medication‐related osteonecrosis of the jaws?","author":[{"family":"Gaêta‐Araujo","given":"Hugo"},{"family":"Vanderhaeghen","given":"Olivier"},{"family":"Vasconcelos","given":"Karla de Faria"},{"family":"Coucke","given":"Wim"},{"family":"Coropciuc","given":"Ruxandra"},{"family":"Politis","given":"Constantinus"},{"family":"Jacobs","given":"Reinhilde"}],"issued":{"date-parts":[["2020",8]]}}}],"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(28)</w:t>
      </w:r>
      <w:r w:rsidRPr="00C22ABE">
        <w:rPr>
          <w:rFonts w:cstheme="minorHAnsi"/>
          <w:sz w:val="20"/>
          <w:szCs w:val="18"/>
        </w:rPr>
        <w:fldChar w:fldCharType="end"/>
      </w:r>
      <w:r w:rsidRPr="00C22ABE">
        <w:rPr>
          <w:rFonts w:cstheme="minorHAnsi"/>
          <w:sz w:val="20"/>
          <w:szCs w:val="18"/>
        </w:rPr>
        <w:t>.</w:t>
      </w:r>
    </w:p>
    <w:p w14:paraId="327F8B9A" w14:textId="58017C63" w:rsidR="00634602" w:rsidRPr="00C22ABE" w:rsidRDefault="00634602" w:rsidP="00634602">
      <w:pPr>
        <w:tabs>
          <w:tab w:val="left" w:pos="7110"/>
        </w:tabs>
        <w:rPr>
          <w:rFonts w:cstheme="minorHAnsi"/>
          <w:sz w:val="20"/>
          <w:szCs w:val="18"/>
        </w:rPr>
      </w:pPr>
      <w:r w:rsidRPr="00C22ABE">
        <w:rPr>
          <w:rFonts w:cstheme="minorHAnsi"/>
          <w:sz w:val="20"/>
          <w:szCs w:val="18"/>
        </w:rPr>
        <w:t>A l’</w:t>
      </w:r>
      <w:r w:rsidRPr="00C22ABE">
        <w:rPr>
          <w:rFonts w:cstheme="minorHAnsi"/>
          <w:b/>
          <w:bCs/>
          <w:sz w:val="20"/>
          <w:szCs w:val="18"/>
        </w:rPr>
        <w:t>IRM</w:t>
      </w:r>
      <w:r w:rsidRPr="00C22ABE">
        <w:rPr>
          <w:rFonts w:cstheme="minorHAnsi"/>
          <w:sz w:val="20"/>
          <w:szCs w:val="18"/>
        </w:rPr>
        <w:t xml:space="preserve"> , la moelle paraît </w:t>
      </w:r>
      <w:proofErr w:type="spellStart"/>
      <w:r w:rsidRPr="00C22ABE">
        <w:rPr>
          <w:rFonts w:cstheme="minorHAnsi"/>
          <w:sz w:val="20"/>
          <w:szCs w:val="18"/>
        </w:rPr>
        <w:t>hypointense</w:t>
      </w:r>
      <w:proofErr w:type="spellEnd"/>
      <w:r w:rsidRPr="00C22ABE">
        <w:rPr>
          <w:rFonts w:cstheme="minorHAnsi"/>
          <w:sz w:val="20"/>
          <w:szCs w:val="18"/>
        </w:rPr>
        <w:t xml:space="preserve"> dans les séquences T1 et </w:t>
      </w:r>
      <w:proofErr w:type="spellStart"/>
      <w:r w:rsidRPr="00C22ABE">
        <w:rPr>
          <w:rFonts w:cstheme="minorHAnsi"/>
          <w:sz w:val="20"/>
          <w:szCs w:val="18"/>
        </w:rPr>
        <w:t>hyperintense</w:t>
      </w:r>
      <w:proofErr w:type="spellEnd"/>
      <w:r w:rsidRPr="00C22ABE">
        <w:rPr>
          <w:rFonts w:cstheme="minorHAnsi"/>
          <w:sz w:val="20"/>
          <w:szCs w:val="18"/>
        </w:rPr>
        <w:t xml:space="preserve"> en T2, avec un renforcement après contraste </w:t>
      </w:r>
      <w:r w:rsidRPr="00C22ABE">
        <w:rPr>
          <w:rFonts w:cstheme="minorHAnsi"/>
          <w:sz w:val="20"/>
          <w:szCs w:val="18"/>
        </w:rPr>
        <w:fldChar w:fldCharType="begin"/>
      </w:r>
      <w:r w:rsidRPr="00C22ABE">
        <w:rPr>
          <w:rFonts w:cstheme="minorHAnsi"/>
          <w:sz w:val="20"/>
          <w:szCs w:val="18"/>
        </w:rPr>
        <w:instrText xml:space="preserve"> ADDIN ZOTERO_ITEM CSL_CITATION {"citationID":"ed0phPxU","properties":{"formattedCitation":"(3)","plainCitation":"(3)","noteIndex":0},"citationItems":[{"id":167,"uris":["http://zotero.org/users/local/Om3YyEnU/items/JSKXEBGS"],"uri":["http://zotero.org/users/local/Om3YyEnU/items/JSKXEBGS"],"itemData":{"id":167,"type":"article-journal","container-title":"International Journal of Oral and Maxillofacial Surgery","DOI":"10.1016/j.ijom.2019.06.015","ISSN":"09015027","issue":"3","journalAbbreviation":"International Journal of Oral and Maxillofacial Surgery","language":"en","page":"411-419","source":"DOI.org (Crossref)","title":"Chinese expert group consensus on diagnosis and clinical management of osteoradionecrosis of the mandible","volume":"49","author":[{"family":"He","given":"Y."},{"family":"Ma","given":"C."},{"family":"Hou","given":"J."},{"family":"Li","given":"X."},{"family":"Peng","given":"X."},{"family":"Wang","given":"H."},{"family":"Wang","given":"S."},{"family":"Liu","given":"L."},{"family":"Liu","given":"B."},{"family":"Tian","given":"L."},{"family":"Liu","given":"Z."},{"family":"Liu","given":"X."},{"family":"Xu","given":"X."},{"family":"Zhang","given":"D."},{"family":"Jiang","given":"C."},{"family":"Wang","given":"J."},{"family":"Yao","given":"Y."},{"family":"Zhu","given":"G."},{"family":"Bai","given":"Y."},{"family":"Wang","given":"S."},{"family":"Sun","given":"C."},{"family":"Li","given":"J."},{"family":"He","given":"S."},{"family":"Wang","given":"C."},{"family":"Zhang","given":"Z."},{"family":"Qiu","given":"W."}],"issued":{"date-parts":[["2020",3]]}}}],"schema":"https://github.com/citation-style-language/schema/raw/master/csl-citation.json"} </w:instrText>
      </w:r>
      <w:r w:rsidRPr="00C22ABE">
        <w:rPr>
          <w:rFonts w:cstheme="minorHAnsi"/>
          <w:sz w:val="20"/>
          <w:szCs w:val="18"/>
        </w:rPr>
        <w:fldChar w:fldCharType="separate"/>
      </w:r>
      <w:r w:rsidRPr="00C22ABE">
        <w:rPr>
          <w:rFonts w:cstheme="minorHAnsi"/>
          <w:sz w:val="20"/>
        </w:rPr>
        <w:t>(3)</w:t>
      </w:r>
      <w:r w:rsidRPr="00C22ABE">
        <w:rPr>
          <w:rFonts w:cstheme="minorHAnsi"/>
          <w:sz w:val="20"/>
          <w:szCs w:val="18"/>
        </w:rPr>
        <w:fldChar w:fldCharType="end"/>
      </w:r>
      <w:r w:rsidRPr="00C22ABE">
        <w:rPr>
          <w:rFonts w:cstheme="minorHAnsi"/>
          <w:sz w:val="20"/>
          <w:szCs w:val="18"/>
        </w:rPr>
        <w:t>. La définition des corticales osseuses est difficile.</w:t>
      </w:r>
    </w:p>
    <w:p w14:paraId="48A52015" w14:textId="0245E323" w:rsidR="00B13BA1" w:rsidRPr="00C22ABE" w:rsidRDefault="00634602" w:rsidP="00DE5BB4">
      <w:pPr>
        <w:rPr>
          <w:rFonts w:cstheme="minorHAnsi"/>
          <w:sz w:val="20"/>
          <w:szCs w:val="20"/>
        </w:rPr>
      </w:pPr>
      <w:r w:rsidRPr="00C22ABE">
        <w:rPr>
          <w:rFonts w:cstheme="minorHAnsi"/>
          <w:sz w:val="20"/>
          <w:szCs w:val="20"/>
        </w:rPr>
        <w:t xml:space="preserve">La </w:t>
      </w:r>
      <w:r w:rsidRPr="00C22ABE">
        <w:rPr>
          <w:rFonts w:cstheme="minorHAnsi"/>
          <w:b/>
          <w:bCs/>
          <w:sz w:val="20"/>
          <w:szCs w:val="20"/>
        </w:rPr>
        <w:t xml:space="preserve">Scintigraphie </w:t>
      </w:r>
      <w:r w:rsidR="00DE5BB4" w:rsidRPr="00C22ABE">
        <w:rPr>
          <w:rFonts w:cstheme="minorHAnsi"/>
          <w:b/>
          <w:bCs/>
          <w:sz w:val="20"/>
          <w:szCs w:val="20"/>
        </w:rPr>
        <w:t xml:space="preserve">osseuse </w:t>
      </w:r>
      <w:r w:rsidR="00DE5BB4" w:rsidRPr="00C22ABE">
        <w:rPr>
          <w:rFonts w:cstheme="minorHAnsi"/>
          <w:sz w:val="20"/>
          <w:szCs w:val="20"/>
        </w:rPr>
        <w:t>et la</w:t>
      </w:r>
      <w:r w:rsidR="00DE5BB4" w:rsidRPr="00C22ABE">
        <w:rPr>
          <w:rFonts w:cstheme="minorHAnsi"/>
          <w:b/>
          <w:bCs/>
          <w:sz w:val="20"/>
          <w:szCs w:val="20"/>
        </w:rPr>
        <w:t xml:space="preserve"> TEP-SCAN</w:t>
      </w:r>
      <w:r w:rsidR="00DE5BB4" w:rsidRPr="00C22ABE">
        <w:rPr>
          <w:rFonts w:cstheme="minorHAnsi"/>
          <w:sz w:val="20"/>
          <w:szCs w:val="20"/>
        </w:rPr>
        <w:t>, réalisées dans le cadre de la pathologie oncologique, permettent de mettre en évidence des lésions souvent négligées.</w:t>
      </w:r>
    </w:p>
    <w:p w14:paraId="7401A0A7" w14:textId="77777777" w:rsidR="001F287E" w:rsidRPr="00C22ABE" w:rsidRDefault="001F287E" w:rsidP="001F287E">
      <w:pPr>
        <w:rPr>
          <w:rFonts w:cstheme="minorHAnsi"/>
          <w:b/>
          <w:bCs/>
          <w:color w:val="0000FF"/>
          <w:sz w:val="24"/>
          <w:u w:val="single"/>
        </w:rPr>
      </w:pPr>
      <w:r w:rsidRPr="00C22ABE">
        <w:rPr>
          <w:rFonts w:cstheme="minorHAnsi"/>
          <w:b/>
          <w:bCs/>
          <w:color w:val="0000FF"/>
          <w:sz w:val="24"/>
          <w:u w:val="single"/>
        </w:rPr>
        <w:t>Anatomopathologie</w:t>
      </w:r>
    </w:p>
    <w:p w14:paraId="20B93BB8" w14:textId="4977360C" w:rsidR="0087223C" w:rsidRPr="0065120B" w:rsidRDefault="0087223C" w:rsidP="005A2B63">
      <w:pPr>
        <w:rPr>
          <w:rFonts w:cstheme="minorHAnsi"/>
          <w:sz w:val="20"/>
          <w:szCs w:val="18"/>
        </w:rPr>
      </w:pPr>
      <w:r w:rsidRPr="0065120B">
        <w:rPr>
          <w:rFonts w:cstheme="minorHAnsi"/>
          <w:sz w:val="20"/>
          <w:szCs w:val="18"/>
        </w:rPr>
        <w:t xml:space="preserve">Une biopsie est indispensable au diagnostic </w:t>
      </w:r>
      <w:r w:rsidR="0065120B">
        <w:rPr>
          <w:rFonts w:cstheme="minorHAnsi"/>
          <w:sz w:val="20"/>
          <w:szCs w:val="18"/>
        </w:rPr>
        <w:t xml:space="preserve">initial </w:t>
      </w:r>
      <w:r w:rsidRPr="0065120B">
        <w:rPr>
          <w:rFonts w:cstheme="minorHAnsi"/>
          <w:sz w:val="20"/>
          <w:szCs w:val="18"/>
        </w:rPr>
        <w:t xml:space="preserve">d’ORN </w:t>
      </w:r>
      <w:r w:rsidR="0065120B">
        <w:rPr>
          <w:rFonts w:cstheme="minorHAnsi"/>
          <w:sz w:val="20"/>
          <w:szCs w:val="18"/>
        </w:rPr>
        <w:t xml:space="preserve">et lors d’ORN réfractaires au traitement, </w:t>
      </w:r>
      <w:r w:rsidRPr="0065120B">
        <w:rPr>
          <w:rFonts w:cstheme="minorHAnsi"/>
          <w:sz w:val="20"/>
          <w:szCs w:val="18"/>
        </w:rPr>
        <w:t xml:space="preserve">dans le but d’exclure </w:t>
      </w:r>
      <w:r w:rsidR="005A2B63" w:rsidRPr="0065120B">
        <w:rPr>
          <w:rFonts w:cstheme="minorHAnsi"/>
          <w:sz w:val="20"/>
          <w:szCs w:val="18"/>
        </w:rPr>
        <w:t>une nouvelle localisation tumorale, la persistance ou de la récidive de la tumeur traitée, ou une lésion métastatique.</w:t>
      </w:r>
    </w:p>
    <w:p w14:paraId="29FBA7CF" w14:textId="7D6159B3" w:rsidR="00620661" w:rsidRDefault="001F287E" w:rsidP="009E0681">
      <w:pPr>
        <w:rPr>
          <w:rFonts w:cstheme="minorHAnsi"/>
          <w:sz w:val="20"/>
          <w:szCs w:val="18"/>
        </w:rPr>
      </w:pPr>
      <w:r w:rsidRPr="0065120B">
        <w:rPr>
          <w:rFonts w:cstheme="minorHAnsi"/>
          <w:sz w:val="20"/>
          <w:szCs w:val="18"/>
        </w:rPr>
        <w:t>Au stade précoce de l’ORN, on note</w:t>
      </w:r>
      <w:r w:rsidRPr="00C22ABE">
        <w:rPr>
          <w:rFonts w:cstheme="minorHAnsi"/>
          <w:sz w:val="20"/>
          <w:szCs w:val="18"/>
        </w:rPr>
        <w:t xml:space="preserve"> des remaniements de l’os lamellaire, des lacunes ostéocytaires vides et des zones de </w:t>
      </w:r>
      <w:proofErr w:type="spellStart"/>
      <w:r w:rsidRPr="00C22ABE">
        <w:rPr>
          <w:rFonts w:cstheme="minorHAnsi"/>
          <w:sz w:val="20"/>
          <w:szCs w:val="18"/>
        </w:rPr>
        <w:t>microfractures</w:t>
      </w:r>
      <w:proofErr w:type="spellEnd"/>
      <w:r w:rsidRPr="00C22ABE">
        <w:rPr>
          <w:rFonts w:cstheme="minorHAnsi"/>
          <w:sz w:val="20"/>
          <w:szCs w:val="18"/>
        </w:rPr>
        <w:t>. Ensuite, on note une absence d’ostéocytes, d’ostéoblastes et le remplacement progressif de la trame par une structure fibreuse collagénique. Il existe des plages d’os nécrotique</w:t>
      </w:r>
      <w:r w:rsidR="00244C6A" w:rsidRPr="00C22ABE">
        <w:rPr>
          <w:rFonts w:cstheme="minorHAnsi"/>
          <w:sz w:val="20"/>
          <w:szCs w:val="18"/>
        </w:rPr>
        <w:t>, l</w:t>
      </w:r>
      <w:r w:rsidRPr="00C22ABE">
        <w:rPr>
          <w:rFonts w:cstheme="minorHAnsi"/>
          <w:sz w:val="20"/>
          <w:szCs w:val="18"/>
        </w:rPr>
        <w:t>es cellules de la moelle osseuse sont lésées et remplacées par du tissu fibreux. Les vaisseaux sanguins sont en nombre limité, ont perdu leurs cellules endothéliales et adventitielles. On note une hyalinisation des vaisseaux et une thrombose</w:t>
      </w:r>
      <w:r w:rsidR="00D143E4" w:rsidRPr="00C22ABE">
        <w:rPr>
          <w:rFonts w:cstheme="minorHAnsi"/>
          <w:sz w:val="20"/>
          <w:szCs w:val="18"/>
        </w:rPr>
        <w:t xml:space="preserve"> </w:t>
      </w:r>
      <w:r w:rsidRPr="00C22ABE">
        <w:rPr>
          <w:rFonts w:cstheme="minorHAnsi"/>
          <w:sz w:val="20"/>
          <w:szCs w:val="18"/>
          <w:lang w:val="en-US"/>
        </w:rPr>
        <w:fldChar w:fldCharType="begin"/>
      </w:r>
      <w:r w:rsidR="00DD29FB" w:rsidRPr="00C22ABE">
        <w:rPr>
          <w:rFonts w:cstheme="minorHAnsi"/>
          <w:sz w:val="20"/>
          <w:szCs w:val="18"/>
        </w:rPr>
        <w:instrText xml:space="preserve"> ADDIN ZOTERO_ITEM CSL_CITATION {"citationID":"tRBrHg0W","properties":{"formattedCitation":"(3,29)","plainCitation":"(3,29)","noteIndex":0},"citationItems":[{"id":167,"uris":["http://zotero.org/users/local/Om3YyEnU/items/JSKXEBGS"],"uri":["http://zotero.org/users/local/Om3YyEnU/items/JSKXEBGS"],"itemData":{"id":167,"type":"article-journal","container-title":"International Journal of Oral and Maxillofacial Surgery","DOI":"10.1016/j.ijom.2019.06.015","ISSN":"09015027","issue":"3","journalAbbreviation":"International Journal of Oral and Maxillofacial Surgery","language":"en","page":"411-419","source":"DOI.org (Crossref)","title":"Chinese expert group consensus on diagnosis and clinical management of osteoradionecrosis of the mandible","volume":"49","author":[{"family":"He","given":"Y."},{"family":"Ma","given":"C."},{"family":"Hou","given":"J."},{"family":"Li","given":"X."},{"family":"Peng","given":"X."},{"family":"Wang","given":"H."},{"family":"Wang","given":"S."},{"family":"Liu","given":"L."},{"family":"Liu","given":"B."},{"family":"Tian","given":"L."},{"family":"Liu","given":"Z."},{"family":"Liu","given":"X."},{"family":"Xu","given":"X."},{"family":"Zhang","given":"D."},{"family":"Jiang","given":"C."},{"family":"Wang","given":"J."},{"family":"Yao","given":"Y."},{"family":"Zhu","given":"G."},{"family":"Bai","given":"Y."},{"family":"Wang","given":"S."},{"family":"Sun","given":"C."},{"family":"Li","given":"J."},{"family":"He","given":"S."},{"family":"Wang","given":"C."},{"family":"Zhang","given":"Z."},{"family":"Qiu","given":"W."}],"issued":{"date-parts":[["2020",3]]}}},{"id":301,"uris":["http://zotero.org/users/local/Om3YyEnU/items/MAJFKH2J"],"uri":["http://zotero.org/users/local/Om3YyEnU/items/MAJFKH2J"],"itemData":{"id":301,"type":"article-journal","abstract":"The purpose of this study was to compare the histopathological parameters of chronic/suppurative osteomyelitis, medication-related osteonecrosis of the jaw (MRONJ), and osteoradionecrosis (ORN), and to examine the hypothesis that distinct histological features can be related to a specific disease, allowing for diagnosis based on microscopic evaluation alone. One hundred and ten samples were reviewed by two examiners in a blinded fashion, and a semi-quantitative histomorphometric analysis was performed. The parameters evaluated included the presence or absence of necrotic bone, inflammation, reactive bone formation, bacteria, and osteoclasts. No statistically significant differences were found between groups for any parameter. Necrotic bone was common to all three diagnoses. Inflammation and reactive bone formation were present in all three diagnoses. The presence of bacteria was a prominent feature in all cases. Osteoclasts were scarce in MRONJ and osteomyelitis, and non-existent in ORN. The results of this study failed to identify distinctive microscopic characteristics in any of the three entities that could be used to differentiate between them. Therefore, it is impossible to reach a specific final diagnosis based on microscopic findings alone. The role of microscopic analysis is to serve as an aid to diagnosis that must be complemented by the patient's history and imaging.","container-title":"International Journal of Oral and Maxillofacial Surgery","DOI":"10.1016/j.ijom.2018.07.002","ISSN":"1399-0020","issue":"1","journalAbbreviation":"Int J Oral Maxillofac Surg","language":"eng","note":"PMID: 30054185","page":"17-22","source":"PubMed","title":"Comparison of the histopathological characteristics of osteomyelitis, medication-related osteonecrosis of the jaw, and osteoradionecrosis","volume":"48","author":[{"family":"Shuster","given":"A."},{"family":"Reiser","given":"V."},{"family":"Trejo","given":"L."},{"family":"Ianculovici","given":"C."},{"family":"Kleinman","given":"S."},{"family":"Kaplan","given":"I."}],"issued":{"date-parts":[["2019",1]]}}}],"schema":"https://github.com/citation-style-language/schema/raw/master/csl-citation.json"} </w:instrText>
      </w:r>
      <w:r w:rsidRPr="00C22ABE">
        <w:rPr>
          <w:rFonts w:cstheme="minorHAnsi"/>
          <w:sz w:val="20"/>
          <w:szCs w:val="18"/>
          <w:lang w:val="en-US"/>
        </w:rPr>
        <w:fldChar w:fldCharType="separate"/>
      </w:r>
      <w:r w:rsidR="00DD29FB" w:rsidRPr="00C22ABE">
        <w:rPr>
          <w:rFonts w:cstheme="minorHAnsi"/>
          <w:sz w:val="20"/>
        </w:rPr>
        <w:t>(3,29)</w:t>
      </w:r>
      <w:r w:rsidRPr="00C22ABE">
        <w:rPr>
          <w:rFonts w:cstheme="minorHAnsi"/>
          <w:sz w:val="20"/>
          <w:szCs w:val="18"/>
          <w:lang w:val="en-US"/>
        </w:rPr>
        <w:fldChar w:fldCharType="end"/>
      </w:r>
      <w:r w:rsidR="00D143E4" w:rsidRPr="00C22ABE">
        <w:rPr>
          <w:rFonts w:cstheme="minorHAnsi"/>
          <w:sz w:val="20"/>
          <w:szCs w:val="18"/>
        </w:rPr>
        <w:t>.</w:t>
      </w:r>
    </w:p>
    <w:p w14:paraId="1ABB2516" w14:textId="188A769D" w:rsidR="0065120B" w:rsidRDefault="0065120B" w:rsidP="009E0681">
      <w:pPr>
        <w:rPr>
          <w:rFonts w:cstheme="minorHAnsi"/>
          <w:sz w:val="20"/>
          <w:szCs w:val="18"/>
        </w:rPr>
      </w:pPr>
    </w:p>
    <w:p w14:paraId="12F532AA" w14:textId="77777777" w:rsidR="0065120B" w:rsidRPr="00C22ABE" w:rsidRDefault="0065120B" w:rsidP="009E0681">
      <w:pPr>
        <w:rPr>
          <w:rFonts w:cstheme="minorHAnsi"/>
          <w:sz w:val="20"/>
          <w:szCs w:val="18"/>
        </w:rPr>
      </w:pPr>
    </w:p>
    <w:p w14:paraId="666F4B6A" w14:textId="7556DFB3" w:rsidR="003A7229" w:rsidRPr="00C22ABE" w:rsidRDefault="003A7229" w:rsidP="0065120B">
      <w:pPr>
        <w:pStyle w:val="Paragraphedeliste"/>
        <w:numPr>
          <w:ilvl w:val="0"/>
          <w:numId w:val="27"/>
        </w:numPr>
        <w:rPr>
          <w:rFonts w:cstheme="minorHAnsi"/>
          <w:b/>
          <w:bCs/>
          <w:color w:val="0000FF"/>
          <w:sz w:val="28"/>
          <w:u w:val="single"/>
        </w:rPr>
      </w:pPr>
      <w:r w:rsidRPr="00C22ABE">
        <w:rPr>
          <w:rFonts w:cstheme="minorHAnsi"/>
          <w:b/>
          <w:bCs/>
          <w:color w:val="0000FF"/>
          <w:sz w:val="28"/>
          <w:u w:val="single"/>
        </w:rPr>
        <w:lastRenderedPageBreak/>
        <w:t>Classification</w:t>
      </w:r>
    </w:p>
    <w:p w14:paraId="20E1A73B" w14:textId="510CEB4A" w:rsidR="009E0681" w:rsidRPr="00C22ABE" w:rsidRDefault="009E0681" w:rsidP="009E0681">
      <w:pPr>
        <w:rPr>
          <w:rFonts w:cstheme="minorHAnsi"/>
          <w:sz w:val="20"/>
          <w:szCs w:val="18"/>
        </w:rPr>
      </w:pPr>
      <w:r w:rsidRPr="00C22ABE">
        <w:rPr>
          <w:rFonts w:cstheme="minorHAnsi"/>
          <w:sz w:val="20"/>
          <w:szCs w:val="18"/>
        </w:rPr>
        <w:t xml:space="preserve">Il existe </w:t>
      </w:r>
      <w:r w:rsidR="008E6D7F" w:rsidRPr="00C22ABE">
        <w:rPr>
          <w:rFonts w:cstheme="minorHAnsi"/>
          <w:sz w:val="20"/>
          <w:szCs w:val="18"/>
        </w:rPr>
        <w:t>plus</w:t>
      </w:r>
      <w:r w:rsidR="00F63274" w:rsidRPr="00C22ABE">
        <w:rPr>
          <w:rFonts w:cstheme="minorHAnsi"/>
          <w:sz w:val="20"/>
          <w:szCs w:val="18"/>
        </w:rPr>
        <w:t xml:space="preserve">ieurs </w:t>
      </w:r>
      <w:r w:rsidRPr="00C22ABE">
        <w:rPr>
          <w:rFonts w:cstheme="minorHAnsi"/>
          <w:sz w:val="20"/>
          <w:szCs w:val="18"/>
        </w:rPr>
        <w:t xml:space="preserve">classifications de l’ORN, basées sur la clinique, l’imagerie, </w:t>
      </w:r>
      <w:r w:rsidR="008E6D7F" w:rsidRPr="00C22ABE">
        <w:rPr>
          <w:rFonts w:cstheme="minorHAnsi"/>
          <w:sz w:val="20"/>
          <w:szCs w:val="18"/>
        </w:rPr>
        <w:t xml:space="preserve">ou encore </w:t>
      </w:r>
      <w:r w:rsidRPr="00C22ABE">
        <w:rPr>
          <w:rFonts w:cstheme="minorHAnsi"/>
          <w:sz w:val="20"/>
          <w:szCs w:val="18"/>
        </w:rPr>
        <w:t>la réponse au traitement</w:t>
      </w:r>
      <w:r w:rsidR="00007B9A" w:rsidRPr="00C22ABE">
        <w:rPr>
          <w:rFonts w:cstheme="minorHAnsi"/>
          <w:sz w:val="20"/>
          <w:szCs w:val="18"/>
        </w:rPr>
        <w:t xml:space="preserve">. </w:t>
      </w:r>
    </w:p>
    <w:p w14:paraId="361C5B20" w14:textId="07B710A2" w:rsidR="003836D6" w:rsidRPr="00C22ABE" w:rsidRDefault="003836D6" w:rsidP="009E0681">
      <w:pPr>
        <w:rPr>
          <w:rFonts w:cstheme="minorHAnsi"/>
          <w:sz w:val="20"/>
          <w:szCs w:val="18"/>
        </w:rPr>
      </w:pPr>
      <w:r w:rsidRPr="00C22ABE">
        <w:rPr>
          <w:rFonts w:cstheme="minorHAnsi"/>
          <w:sz w:val="20"/>
          <w:szCs w:val="18"/>
        </w:rPr>
        <w:t xml:space="preserve">La classification de Marx </w:t>
      </w:r>
      <w:r w:rsidRPr="0065120B">
        <w:rPr>
          <w:rFonts w:cstheme="minorHAnsi"/>
          <w:sz w:val="20"/>
          <w:szCs w:val="18"/>
        </w:rPr>
        <w:fldChar w:fldCharType="begin"/>
      </w:r>
      <w:r w:rsidRPr="0065120B">
        <w:rPr>
          <w:rFonts w:cstheme="minorHAnsi"/>
          <w:sz w:val="20"/>
          <w:szCs w:val="18"/>
        </w:rPr>
        <w:instrText xml:space="preserve"> ADDIN ZOTERO_ITEM CSL_CITATION {"citationID":"FG3NVaxX","properties":{"formattedCitation":"(30)","plainCitation":"(30)","noteIndex":0},"citationItems":[{"id":176,"uris":["http://zotero.org/users/local/Om3YyEnU/items/XBENZNC2"],"uri":["http://zotero.org/users/local/Om3YyEnU/items/XBENZNC2"],"itemData":{"id":176,"type":"article-journal","container-title":"Journal of Oral and Maxillofacial Surgery","DOI":"10.1016/0278-2391(83)90294-X","ISSN":"02782391","issue":"5","journalAbbreviation":"Journal of Oral and Maxillofacial Surgery","language":"en","page":"283-288","source":"DOI.org (Crossref)","title":"Osteoradionecrosis: A new concept of its pathophysiology","title-short":"Osteoradionecrosis","volume":"41","author":[{"family":"Marx","given":"Robert E."}],"issued":{"date-parts":[["1983",5]]}}}],"schema":"https://github.com/citation-style-language/schema/raw/master/csl-citation.json"} </w:instrText>
      </w:r>
      <w:r w:rsidRPr="0065120B">
        <w:rPr>
          <w:rFonts w:cstheme="minorHAnsi"/>
          <w:sz w:val="20"/>
          <w:szCs w:val="18"/>
        </w:rPr>
        <w:fldChar w:fldCharType="separate"/>
      </w:r>
      <w:r w:rsidRPr="0065120B">
        <w:rPr>
          <w:rFonts w:cstheme="minorHAnsi"/>
          <w:sz w:val="20"/>
          <w:szCs w:val="28"/>
        </w:rPr>
        <w:t>(30)</w:t>
      </w:r>
      <w:r w:rsidRPr="0065120B">
        <w:rPr>
          <w:rFonts w:cstheme="minorHAnsi"/>
          <w:sz w:val="20"/>
          <w:szCs w:val="18"/>
        </w:rPr>
        <w:fldChar w:fldCharType="end"/>
      </w:r>
      <w:r w:rsidRPr="0065120B">
        <w:rPr>
          <w:rFonts w:cstheme="minorHAnsi"/>
          <w:sz w:val="20"/>
          <w:szCs w:val="18"/>
        </w:rPr>
        <w:t xml:space="preserve"> </w:t>
      </w:r>
      <w:r w:rsidR="005A2B63" w:rsidRPr="0065120B">
        <w:rPr>
          <w:rFonts w:cstheme="minorHAnsi"/>
          <w:sz w:val="20"/>
          <w:szCs w:val="18"/>
        </w:rPr>
        <w:t>se fonde</w:t>
      </w:r>
      <w:r w:rsidRPr="0065120B">
        <w:rPr>
          <w:rFonts w:cstheme="minorHAnsi"/>
          <w:sz w:val="20"/>
          <w:szCs w:val="18"/>
        </w:rPr>
        <w:t xml:space="preserve"> sur la réponse à l’oxygénothérapie hyperbare, celle d’Epstein </w:t>
      </w:r>
      <w:r w:rsidRPr="0065120B">
        <w:rPr>
          <w:rFonts w:cstheme="minorHAnsi"/>
          <w:sz w:val="20"/>
          <w:szCs w:val="18"/>
        </w:rPr>
        <w:fldChar w:fldCharType="begin"/>
      </w:r>
      <w:r w:rsidRPr="0065120B">
        <w:rPr>
          <w:rFonts w:cstheme="minorHAnsi"/>
          <w:sz w:val="20"/>
          <w:szCs w:val="18"/>
        </w:rPr>
        <w:instrText xml:space="preserve"> ADDIN ZOTERO_ITEM CSL_CITATION {"citationID":"ZxORcJdC","properties":{"formattedCitation":"(31)","plainCitation":"(31)","noteIndex":0},"citationItems":[{"id":177,"uris":["http://zotero.org/users/local/Om3YyEnU/items/MFI2I67F"],"uri":["http://zotero.org/users/local/Om3YyEnU/items/MFI2I67F"],"itemData":{"id":177,"type":"article-journal","container-title":"Journal of Oral and Maxillofacial Surgery","DOI":"10.1016/0278-2391(87)90399-5","ISSN":"02782391","issue":"2","journalAbbreviation":"Journal of Oral and Maxillofacial Surgery","language":"en","page":"104-110","source":"DOI.org (Crossref)","title":"Osteoradionecrosis: Clinical experience and a proposal for classification","title-short":"Osteoradionecrosis","volume":"45","author":[{"family":"Epstein","given":"Joel B."},{"family":"Wong","given":"Frances L.W."},{"family":"Stevenson-Moore","given":"P."}],"issued":{"date-parts":[["1987",2]]}}}],"schema":"https://github.com/citation-style-language/schema/raw/master/csl-citation.json"} </w:instrText>
      </w:r>
      <w:r w:rsidRPr="0065120B">
        <w:rPr>
          <w:rFonts w:cstheme="minorHAnsi"/>
          <w:sz w:val="20"/>
          <w:szCs w:val="18"/>
        </w:rPr>
        <w:fldChar w:fldCharType="separate"/>
      </w:r>
      <w:r w:rsidRPr="0065120B">
        <w:rPr>
          <w:rFonts w:cstheme="minorHAnsi"/>
          <w:sz w:val="20"/>
          <w:szCs w:val="28"/>
        </w:rPr>
        <w:t>(31)</w:t>
      </w:r>
      <w:r w:rsidRPr="0065120B">
        <w:rPr>
          <w:rFonts w:cstheme="minorHAnsi"/>
          <w:sz w:val="20"/>
          <w:szCs w:val="18"/>
        </w:rPr>
        <w:fldChar w:fldCharType="end"/>
      </w:r>
      <w:r w:rsidRPr="0065120B">
        <w:rPr>
          <w:rFonts w:cstheme="minorHAnsi"/>
          <w:sz w:val="20"/>
          <w:szCs w:val="18"/>
        </w:rPr>
        <w:t xml:space="preserve"> sur la pr</w:t>
      </w:r>
      <w:r w:rsidR="005A2B63" w:rsidRPr="0065120B">
        <w:rPr>
          <w:rFonts w:cstheme="minorHAnsi"/>
          <w:sz w:val="20"/>
          <w:szCs w:val="18"/>
        </w:rPr>
        <w:t>ogression clinique et</w:t>
      </w:r>
      <w:r w:rsidRPr="0065120B">
        <w:rPr>
          <w:rFonts w:cstheme="minorHAnsi"/>
          <w:sz w:val="20"/>
          <w:szCs w:val="18"/>
        </w:rPr>
        <w:t xml:space="preserve"> celle de </w:t>
      </w:r>
      <w:proofErr w:type="spellStart"/>
      <w:r w:rsidRPr="0065120B">
        <w:rPr>
          <w:rFonts w:cstheme="minorHAnsi"/>
          <w:sz w:val="20"/>
          <w:szCs w:val="18"/>
        </w:rPr>
        <w:t>Glanzmann</w:t>
      </w:r>
      <w:proofErr w:type="spellEnd"/>
      <w:r w:rsidRPr="0065120B">
        <w:rPr>
          <w:rFonts w:cstheme="minorHAnsi"/>
          <w:sz w:val="20"/>
          <w:szCs w:val="18"/>
        </w:rPr>
        <w:t xml:space="preserve"> and </w:t>
      </w:r>
      <w:proofErr w:type="spellStart"/>
      <w:r w:rsidRPr="0065120B">
        <w:rPr>
          <w:rFonts w:cstheme="minorHAnsi"/>
          <w:sz w:val="20"/>
          <w:szCs w:val="18"/>
        </w:rPr>
        <w:t>Gratz</w:t>
      </w:r>
      <w:proofErr w:type="spellEnd"/>
      <w:r w:rsidRPr="0065120B">
        <w:rPr>
          <w:rFonts w:cstheme="minorHAnsi"/>
          <w:sz w:val="20"/>
          <w:szCs w:val="18"/>
        </w:rPr>
        <w:t xml:space="preserve"> </w:t>
      </w:r>
      <w:r w:rsidRPr="0065120B">
        <w:rPr>
          <w:rFonts w:cstheme="minorHAnsi"/>
          <w:sz w:val="20"/>
          <w:szCs w:val="18"/>
        </w:rPr>
        <w:fldChar w:fldCharType="begin"/>
      </w:r>
      <w:r w:rsidRPr="0065120B">
        <w:rPr>
          <w:rFonts w:cstheme="minorHAnsi"/>
          <w:sz w:val="20"/>
          <w:szCs w:val="18"/>
        </w:rPr>
        <w:instrText xml:space="preserve"> ADDIN ZOTERO_ITEM CSL_CITATION {"citationID":"nVITr37s","properties":{"formattedCitation":"(32)","plainCitation":"(32)","noteIndex":0},"citationItems":[{"id":178,"uris":["http://zotero.org/users/local/Om3YyEnU/items/MN5EGCSI"],"uri":["http://zotero.org/users/local/Om3YyEnU/items/MN5EGCSI"],"itemData":{"id":178,"type":"article-journal","abstract":"We analysed the incidence of a mandibular osteonecrosis (ON) in 189 patients irradiated for a cancer of the oral cavity, or of the oropharynx or epipharynx, with a total target dose of at least 60 Gy between 1980 and January 1994. Target doses per fraction were between 2.0 and 1.2 Gy, number of sessions per week was between 5 and 10, and total target doses were between 60 and 78.2 Gy. No instance of ON has been observed after target doses between 60 and 65 Gy. Cumulative incidence of an ON needing a mandibular resection was: 24.8% in patients treated with a mandibular dose per fraction between 2.00 and 2.22 Gy and a total mandibular dose between 66.00 and 79.70 Gy; 19.6% in patients treated with a mandibular dose per fraction between 1.80 and 1.90 Gy and a total mandibular dose between 69.00 and 75.60 Gy, 2.2% in patients treated with two fractions of 1.20 Gy per day for 5 days in the week with or without simultaneous application of cis-platinum and a total mandibular dose between 75.20 and 82.00 Gy. Dose per fraction, association of the tumour with bone, and the volume of the horizontal ramus of the mandibula irradiated with a high dose were observed to be significant risk factors.","container-title":"Radiotherapy and Oncology: Journal of the European Society for Therapeutic Radiology and Oncology","DOI":"10.1016/0167-8140(95)01583-3","ISSN":"0167-8140","issue":"2","journalAbbreviation":"Radiother Oncol","language":"eng","note":"PMID: 7501817","page":"94-100","source":"PubMed","title":"Radionecrosis of the mandibula: a retrospective analysis of the incidence and risk factors","title-short":"Radionecrosis of the mandibula","volume":"36","author":[{"family":"Glanzmann","given":"C."},{"family":"Grätz","given":"K. W."}],"issued":{"date-parts":[["1995",8]]}}}],"schema":"https://github.com/citation-style-language/schema/raw/master/csl-citation.json"} </w:instrText>
      </w:r>
      <w:r w:rsidRPr="0065120B">
        <w:rPr>
          <w:rFonts w:cstheme="minorHAnsi"/>
          <w:sz w:val="20"/>
          <w:szCs w:val="18"/>
        </w:rPr>
        <w:fldChar w:fldCharType="separate"/>
      </w:r>
      <w:r w:rsidRPr="0065120B">
        <w:rPr>
          <w:rFonts w:cstheme="minorHAnsi"/>
          <w:sz w:val="20"/>
          <w:szCs w:val="28"/>
        </w:rPr>
        <w:t>(32)</w:t>
      </w:r>
      <w:r w:rsidRPr="0065120B">
        <w:rPr>
          <w:rFonts w:cstheme="minorHAnsi"/>
          <w:sz w:val="20"/>
          <w:szCs w:val="18"/>
        </w:rPr>
        <w:fldChar w:fldCharType="end"/>
      </w:r>
      <w:r w:rsidRPr="0065120B">
        <w:rPr>
          <w:rFonts w:cstheme="minorHAnsi"/>
          <w:sz w:val="20"/>
          <w:szCs w:val="18"/>
        </w:rPr>
        <w:t xml:space="preserve"> sur </w:t>
      </w:r>
      <w:r w:rsidR="0065120B">
        <w:rPr>
          <w:rFonts w:cstheme="minorHAnsi"/>
          <w:sz w:val="20"/>
          <w:szCs w:val="18"/>
        </w:rPr>
        <w:t xml:space="preserve">le </w:t>
      </w:r>
      <w:r w:rsidRPr="0065120B">
        <w:rPr>
          <w:rFonts w:cstheme="minorHAnsi"/>
          <w:sz w:val="20"/>
          <w:szCs w:val="18"/>
        </w:rPr>
        <w:t>temps d’exposition osseu</w:t>
      </w:r>
      <w:r w:rsidR="00620661" w:rsidRPr="0065120B">
        <w:rPr>
          <w:rFonts w:cstheme="minorHAnsi"/>
          <w:sz w:val="20"/>
          <w:szCs w:val="18"/>
        </w:rPr>
        <w:t>se</w:t>
      </w:r>
      <w:r w:rsidRPr="0065120B">
        <w:rPr>
          <w:rFonts w:cstheme="minorHAnsi"/>
          <w:sz w:val="20"/>
          <w:szCs w:val="18"/>
        </w:rPr>
        <w:t xml:space="preserve"> et la nécessité de traitement. La classification de Store and </w:t>
      </w:r>
      <w:proofErr w:type="spellStart"/>
      <w:r w:rsidRPr="0065120B">
        <w:rPr>
          <w:rFonts w:cstheme="minorHAnsi"/>
          <w:sz w:val="20"/>
          <w:szCs w:val="18"/>
        </w:rPr>
        <w:t>Boysen</w:t>
      </w:r>
      <w:proofErr w:type="spellEnd"/>
      <w:r w:rsidRPr="0065120B">
        <w:rPr>
          <w:rFonts w:cstheme="minorHAnsi"/>
          <w:sz w:val="20"/>
          <w:szCs w:val="18"/>
        </w:rPr>
        <w:t xml:space="preserve"> </w:t>
      </w:r>
      <w:r w:rsidRPr="0065120B">
        <w:rPr>
          <w:rFonts w:cstheme="minorHAnsi"/>
          <w:sz w:val="20"/>
          <w:szCs w:val="18"/>
        </w:rPr>
        <w:fldChar w:fldCharType="begin"/>
      </w:r>
      <w:r w:rsidRPr="0065120B">
        <w:rPr>
          <w:rFonts w:cstheme="minorHAnsi"/>
          <w:sz w:val="20"/>
          <w:szCs w:val="18"/>
        </w:rPr>
        <w:instrText xml:space="preserve"> ADDIN ZOTERO_ITEM CSL_CITATION {"citationID":"sZYoy4rR","properties":{"formattedCitation":"(33)","plainCitation":"(33)","noteIndex":0},"citationItems":[{"id":180,"uris":["http://zotero.org/users/local/Om3YyEnU/items/IYDBWYAD"],"uri":["http://zotero.org/users/local/Om3YyEnU/items/IYDBWYAD"],"itemData":{"id":180,"type":"article-journal","container-title":"Clinical Otolaryngology and Allied Sciences","DOI":"10.1046/j.1365-2273.2000.00367.x","ISSN":"0307-7772, 1365-2273","issue":"5","journalAbbreviation":"Clin Otolaryngol","language":"en","page":"378-384","source":"DOI.org (Crossref)","title":"Mandibular osteoradionecrosis: clinical behaviour and diagnostic aspects","title-short":"Mandibular osteoradionecrosis","volume":"25","author":[{"family":"Store","given":"G."},{"family":"Boysen","given":"M."}],"issued":{"date-parts":[["2000",10]]}}}],"schema":"https://github.com/citation-style-language/schema/raw/master/csl-citation.json"} </w:instrText>
      </w:r>
      <w:r w:rsidRPr="0065120B">
        <w:rPr>
          <w:rFonts w:cstheme="minorHAnsi"/>
          <w:sz w:val="20"/>
          <w:szCs w:val="18"/>
        </w:rPr>
        <w:fldChar w:fldCharType="separate"/>
      </w:r>
      <w:r w:rsidRPr="0065120B">
        <w:rPr>
          <w:rFonts w:cstheme="minorHAnsi"/>
          <w:sz w:val="20"/>
          <w:szCs w:val="28"/>
        </w:rPr>
        <w:t>(33)</w:t>
      </w:r>
      <w:r w:rsidRPr="0065120B">
        <w:rPr>
          <w:rFonts w:cstheme="minorHAnsi"/>
          <w:sz w:val="20"/>
          <w:szCs w:val="18"/>
        </w:rPr>
        <w:fldChar w:fldCharType="end"/>
      </w:r>
      <w:r w:rsidRPr="0065120B">
        <w:rPr>
          <w:rFonts w:cstheme="minorHAnsi"/>
          <w:sz w:val="20"/>
          <w:szCs w:val="18"/>
        </w:rPr>
        <w:t xml:space="preserve"> est </w:t>
      </w:r>
      <w:proofErr w:type="spellStart"/>
      <w:r w:rsidRPr="0065120B">
        <w:rPr>
          <w:rFonts w:cstheme="minorHAnsi"/>
          <w:sz w:val="20"/>
          <w:szCs w:val="18"/>
        </w:rPr>
        <w:t>radioclinique</w:t>
      </w:r>
      <w:proofErr w:type="spellEnd"/>
      <w:r w:rsidRPr="0065120B">
        <w:rPr>
          <w:rFonts w:cstheme="minorHAnsi"/>
          <w:sz w:val="20"/>
          <w:szCs w:val="18"/>
        </w:rPr>
        <w:t xml:space="preserve"> , comme celle de Schwartz and Kagan </w:t>
      </w:r>
      <w:r w:rsidRPr="0065120B">
        <w:rPr>
          <w:rFonts w:cstheme="minorHAnsi"/>
          <w:sz w:val="20"/>
          <w:szCs w:val="18"/>
        </w:rPr>
        <w:fldChar w:fldCharType="begin"/>
      </w:r>
      <w:r w:rsidRPr="0065120B">
        <w:rPr>
          <w:rFonts w:cstheme="minorHAnsi"/>
          <w:sz w:val="20"/>
          <w:szCs w:val="18"/>
        </w:rPr>
        <w:instrText xml:space="preserve"> ADDIN ZOTERO_ITEM CSL_CITATION {"citationID":"utD9vpH9","properties":{"formattedCitation":"(34)","plainCitation":"(34)","noteIndex":0},"citationItems":[{"id":181,"uris":["http://zotero.org/users/local/Om3YyEnU/items/MK46GR9A"],"uri":["http://zotero.org/users/local/Om3YyEnU/items/MK46GR9A"],"itemData":{"id":181,"type":"article-journal","abstract":"Osteoradionecrosis of the mandible can be a serious complication of radiotherapy for head and neck cancer. The disorder generally presents in one of several distinct clinical variations. This is probably because of a complex interaction of etiologic factors. A clinical staging system for the disorder is described. Such a system is necessary for the conduct of clinical research, and for the development and assessment of treatment regimens.","container-title":"American Journal of Clinical Oncology","DOI":"10.1097/00000421-200204000-00013","ISSN":"0277-3732","issue":"2","journalAbbreviation":"Am J Clin Oncol","language":"eng","note":"PMID: 11943896","page":"168-171","source":"PubMed","title":"Osteoradionecrosis of the mandible: scientific basis for clinical staging","title-short":"Osteoradionecrosis of the mandible","volume":"25","author":[{"family":"Schwartz","given":"Harry C."},{"family":"Kagan","given":"A. Robert"}],"issued":{"date-parts":[["2002",4]]}}}],"schema":"https://github.com/citation-style-language/schema/raw/master/csl-citation.json"} </w:instrText>
      </w:r>
      <w:r w:rsidRPr="0065120B">
        <w:rPr>
          <w:rFonts w:cstheme="minorHAnsi"/>
          <w:sz w:val="20"/>
          <w:szCs w:val="18"/>
        </w:rPr>
        <w:fldChar w:fldCharType="separate"/>
      </w:r>
      <w:r w:rsidRPr="0065120B">
        <w:rPr>
          <w:rFonts w:cstheme="minorHAnsi"/>
          <w:sz w:val="20"/>
          <w:szCs w:val="28"/>
        </w:rPr>
        <w:t>(34)</w:t>
      </w:r>
      <w:r w:rsidRPr="0065120B">
        <w:rPr>
          <w:rFonts w:cstheme="minorHAnsi"/>
          <w:sz w:val="20"/>
          <w:szCs w:val="18"/>
        </w:rPr>
        <w:fldChar w:fldCharType="end"/>
      </w:r>
      <w:r w:rsidR="00BE3478" w:rsidRPr="0065120B">
        <w:rPr>
          <w:rFonts w:cstheme="minorHAnsi"/>
          <w:sz w:val="20"/>
          <w:szCs w:val="18"/>
        </w:rPr>
        <w:t xml:space="preserve">. La classification de </w:t>
      </w:r>
      <w:proofErr w:type="spellStart"/>
      <w:r w:rsidR="00BE3478" w:rsidRPr="0065120B">
        <w:rPr>
          <w:rFonts w:cstheme="minorHAnsi"/>
          <w:sz w:val="20"/>
          <w:szCs w:val="18"/>
        </w:rPr>
        <w:t>Notani</w:t>
      </w:r>
      <w:proofErr w:type="spellEnd"/>
      <w:r w:rsidR="00BE3478" w:rsidRPr="0065120B">
        <w:rPr>
          <w:rFonts w:cstheme="minorHAnsi"/>
          <w:sz w:val="20"/>
          <w:szCs w:val="18"/>
        </w:rPr>
        <w:t xml:space="preserve"> </w:t>
      </w:r>
      <w:r w:rsidR="00BE3478" w:rsidRPr="0065120B">
        <w:rPr>
          <w:rFonts w:cstheme="minorHAnsi"/>
          <w:sz w:val="20"/>
          <w:szCs w:val="18"/>
        </w:rPr>
        <w:fldChar w:fldCharType="begin"/>
      </w:r>
      <w:r w:rsidR="00BE3478" w:rsidRPr="0065120B">
        <w:rPr>
          <w:rFonts w:cstheme="minorHAnsi"/>
          <w:sz w:val="20"/>
          <w:szCs w:val="18"/>
        </w:rPr>
        <w:instrText xml:space="preserve"> ADDIN ZOTERO_ITEM CSL_CITATION {"citationID":"Cb5WhIXz","properties":{"formattedCitation":"(35)","plainCitation":"(35)","noteIndex":0},"citationItems":[{"id":185,"uris":["http://zotero.org/users/local/Om3YyEnU/items/J9NPE4RI"],"uri":["http://zotero.org/users/local/Om3YyEnU/items/J9NPE4RI"],"itemData":{"id":185,"type":"article-journal","container-title":"Asian Journal of Oral and Maxillofacial Surgery","DOI":"10.1016/S0915-6992(02)80014-0","ISSN":"09156992","issue":"1","journalAbbreviation":"Asian Journal of Oral and Maxillofacial Surgery","language":"en","page":"5-9","source":"DOI.org (Crossref)","title":"Osteoradionecrosis of the Mandible — Factors Influencing Severity","volume":"14","author":[{"family":"Notani","given":"Ken-ichi"},{"family":"Yamazaki","given":"Yutaka"},{"family":"Moriya","given":"Shingo"},{"family":"Sakakibara","given":"Noriyuki"},{"family":"Nakamura","given":"Hiroyuki"},{"family":"Watanabe","given":"Masaaki"},{"family":"Fukuda","given":"Hiroshi"}],"issued":{"date-parts":[["2002",3]]}}}],"schema":"https://github.com/citation-style-language/schema/raw/master/csl-citation.json"} </w:instrText>
      </w:r>
      <w:r w:rsidR="00BE3478" w:rsidRPr="0065120B">
        <w:rPr>
          <w:rFonts w:cstheme="minorHAnsi"/>
          <w:sz w:val="20"/>
          <w:szCs w:val="18"/>
        </w:rPr>
        <w:fldChar w:fldCharType="separate"/>
      </w:r>
      <w:r w:rsidR="00BE3478" w:rsidRPr="0065120B">
        <w:rPr>
          <w:rFonts w:cstheme="minorHAnsi"/>
          <w:sz w:val="20"/>
          <w:szCs w:val="28"/>
        </w:rPr>
        <w:t>(35)</w:t>
      </w:r>
      <w:r w:rsidR="00BE3478" w:rsidRPr="0065120B">
        <w:rPr>
          <w:rFonts w:cstheme="minorHAnsi"/>
          <w:sz w:val="20"/>
          <w:szCs w:val="18"/>
        </w:rPr>
        <w:fldChar w:fldCharType="end"/>
      </w:r>
      <w:r w:rsidR="00BE3478" w:rsidRPr="0065120B">
        <w:rPr>
          <w:rFonts w:cstheme="minorHAnsi"/>
          <w:sz w:val="20"/>
          <w:szCs w:val="18"/>
        </w:rPr>
        <w:t xml:space="preserve"> est basée sur</w:t>
      </w:r>
      <w:r w:rsidR="00BE3478" w:rsidRPr="00C22ABE">
        <w:rPr>
          <w:rFonts w:cstheme="minorHAnsi"/>
          <w:sz w:val="20"/>
          <w:szCs w:val="18"/>
        </w:rPr>
        <w:t xml:space="preserve"> la clinique et l’extension de la lésion</w:t>
      </w:r>
      <w:r w:rsidR="00BC1FA1" w:rsidRPr="00C22ABE">
        <w:rPr>
          <w:rFonts w:cstheme="minorHAnsi"/>
          <w:sz w:val="20"/>
          <w:szCs w:val="18"/>
        </w:rPr>
        <w:t xml:space="preserve"> (tableau 2)</w:t>
      </w:r>
      <w:r w:rsidR="00BE3478" w:rsidRPr="00C22ABE">
        <w:rPr>
          <w:rFonts w:cstheme="minorHAnsi"/>
          <w:sz w:val="20"/>
          <w:szCs w:val="18"/>
        </w:rPr>
        <w:t>.</w:t>
      </w:r>
    </w:p>
    <w:p w14:paraId="05A98685" w14:textId="77777777" w:rsidR="00620661" w:rsidRPr="00C22ABE" w:rsidRDefault="004C577A" w:rsidP="00620661">
      <w:pPr>
        <w:tabs>
          <w:tab w:val="left" w:pos="7110"/>
        </w:tabs>
        <w:rPr>
          <w:rFonts w:cstheme="minorHAnsi"/>
          <w:sz w:val="20"/>
          <w:szCs w:val="20"/>
        </w:rPr>
      </w:pPr>
      <w:r w:rsidRPr="00C22ABE">
        <w:rPr>
          <w:rFonts w:cstheme="minorHAnsi"/>
          <w:color w:val="000000" w:themeColor="text1"/>
          <w:sz w:val="20"/>
          <w:szCs w:val="20"/>
        </w:rPr>
        <w:t>Enfin, l’échelle LENT SOMA (</w:t>
      </w:r>
      <w:proofErr w:type="spellStart"/>
      <w:r w:rsidRPr="00C22ABE">
        <w:rPr>
          <w:rFonts w:cstheme="minorHAnsi"/>
          <w:sz w:val="20"/>
          <w:szCs w:val="20"/>
        </w:rPr>
        <w:t>Late</w:t>
      </w:r>
      <w:proofErr w:type="spellEnd"/>
      <w:r w:rsidRPr="00C22ABE">
        <w:rPr>
          <w:rFonts w:cstheme="minorHAnsi"/>
          <w:sz w:val="20"/>
          <w:szCs w:val="20"/>
        </w:rPr>
        <w:t xml:space="preserve"> </w:t>
      </w:r>
      <w:proofErr w:type="spellStart"/>
      <w:r w:rsidRPr="00C22ABE">
        <w:rPr>
          <w:rFonts w:cstheme="minorHAnsi"/>
          <w:sz w:val="20"/>
          <w:szCs w:val="20"/>
        </w:rPr>
        <w:t>Effects</w:t>
      </w:r>
      <w:proofErr w:type="spellEnd"/>
      <w:r w:rsidRPr="00C22ABE">
        <w:rPr>
          <w:rFonts w:cstheme="minorHAnsi"/>
          <w:sz w:val="20"/>
          <w:szCs w:val="20"/>
        </w:rPr>
        <w:t xml:space="preserve"> of Normal Tissues/ Subjective Objective Management </w:t>
      </w:r>
      <w:proofErr w:type="spellStart"/>
      <w:r w:rsidRPr="00C22ABE">
        <w:rPr>
          <w:rFonts w:cstheme="minorHAnsi"/>
          <w:sz w:val="20"/>
          <w:szCs w:val="20"/>
        </w:rPr>
        <w:t>Analytic</w:t>
      </w:r>
      <w:proofErr w:type="spellEnd"/>
      <w:r w:rsidRPr="00C22ABE">
        <w:rPr>
          <w:rFonts w:cstheme="minorHAnsi"/>
          <w:color w:val="000000" w:themeColor="text1"/>
          <w:sz w:val="20"/>
          <w:szCs w:val="20"/>
        </w:rPr>
        <w:t xml:space="preserve">) </w:t>
      </w:r>
      <w:r w:rsidR="00D143E4" w:rsidRPr="00C22ABE">
        <w:rPr>
          <w:rFonts w:cstheme="minorHAnsi"/>
          <w:color w:val="000000" w:themeColor="text1"/>
          <w:sz w:val="20"/>
          <w:szCs w:val="20"/>
        </w:rPr>
        <w:t>évalue</w:t>
      </w:r>
      <w:r w:rsidRPr="00C22ABE">
        <w:rPr>
          <w:rFonts w:cstheme="minorHAnsi"/>
          <w:color w:val="000000" w:themeColor="text1"/>
          <w:sz w:val="20"/>
          <w:szCs w:val="20"/>
        </w:rPr>
        <w:t xml:space="preserve"> </w:t>
      </w:r>
      <w:r w:rsidR="00D143E4" w:rsidRPr="00C22ABE">
        <w:rPr>
          <w:rFonts w:cstheme="minorHAnsi"/>
          <w:color w:val="000000" w:themeColor="text1"/>
          <w:sz w:val="20"/>
          <w:szCs w:val="20"/>
        </w:rPr>
        <w:t>l</w:t>
      </w:r>
      <w:r w:rsidRPr="00C22ABE">
        <w:rPr>
          <w:rFonts w:cstheme="minorHAnsi"/>
          <w:color w:val="000000" w:themeColor="text1"/>
          <w:sz w:val="20"/>
          <w:szCs w:val="20"/>
        </w:rPr>
        <w:t xml:space="preserve">es effets tardifs des radiations sur les tissus </w:t>
      </w:r>
      <w:r w:rsidR="00BC1FA1" w:rsidRPr="00C22ABE">
        <w:rPr>
          <w:rFonts w:cstheme="minorHAnsi"/>
          <w:color w:val="000000" w:themeColor="text1"/>
          <w:sz w:val="20"/>
          <w:szCs w:val="20"/>
        </w:rPr>
        <w:t>(tableau 3)</w:t>
      </w:r>
      <w:r w:rsidRPr="00C22ABE">
        <w:rPr>
          <w:rFonts w:cstheme="minorHAnsi"/>
          <w:color w:val="000000" w:themeColor="text1"/>
          <w:sz w:val="20"/>
          <w:szCs w:val="20"/>
        </w:rPr>
        <w:t xml:space="preserve"> </w:t>
      </w:r>
      <w:r w:rsidRPr="00C22ABE">
        <w:rPr>
          <w:rFonts w:cstheme="minorHAnsi"/>
          <w:color w:val="000000" w:themeColor="text1"/>
          <w:sz w:val="20"/>
          <w:szCs w:val="20"/>
        </w:rPr>
        <w:fldChar w:fldCharType="begin"/>
      </w:r>
      <w:r w:rsidR="00DD29FB" w:rsidRPr="00C22ABE">
        <w:rPr>
          <w:rFonts w:cstheme="minorHAnsi"/>
          <w:color w:val="000000" w:themeColor="text1"/>
          <w:sz w:val="20"/>
          <w:szCs w:val="20"/>
        </w:rPr>
        <w:instrText xml:space="preserve"> ADDIN ZOTERO_ITEM CSL_CITATION {"citationID":"VZiKnzFk","properties":{"formattedCitation":"(36)","plainCitation":"(36)","noteIndex":0},"citationItems":[{"id":327,"uris":["http://zotero.org/users/local/Om3YyEnU/items/2EU5JGB7"],"uri":["http://zotero.org/users/local/Om3YyEnU/items/2EU5JGB7"],"itemData":{"id":327,"type":"article-journal","container-title":"Radiotherapy and Oncology: Journal of the European Society for Therapeutic Radiology and Oncology","ISSN":"0167-8140","issue":"1","journalAbbreviation":"Radiother Oncol","language":"eng","note":"PMID: 7569012","page":"17-60","source":"PubMed","title":"LENT SOMA tables","volume":"35","issued":{"date-parts":[["1995",4]]}}}],"schema":"https://github.com/citation-style-language/schema/raw/master/csl-citation.json"} </w:instrText>
      </w:r>
      <w:r w:rsidRPr="00C22ABE">
        <w:rPr>
          <w:rFonts w:cstheme="minorHAnsi"/>
          <w:color w:val="000000" w:themeColor="text1"/>
          <w:sz w:val="20"/>
          <w:szCs w:val="20"/>
        </w:rPr>
        <w:fldChar w:fldCharType="separate"/>
      </w:r>
      <w:r w:rsidR="00DD29FB" w:rsidRPr="00C22ABE">
        <w:rPr>
          <w:rFonts w:cstheme="minorHAnsi"/>
          <w:sz w:val="20"/>
        </w:rPr>
        <w:t>(36)</w:t>
      </w:r>
      <w:r w:rsidRPr="00C22ABE">
        <w:rPr>
          <w:rFonts w:cstheme="minorHAnsi"/>
          <w:color w:val="000000" w:themeColor="text1"/>
          <w:sz w:val="20"/>
          <w:szCs w:val="20"/>
        </w:rPr>
        <w:fldChar w:fldCharType="end"/>
      </w:r>
      <w:r w:rsidR="00D143E4" w:rsidRPr="00C22ABE">
        <w:rPr>
          <w:rFonts w:cstheme="minorHAnsi"/>
          <w:sz w:val="20"/>
          <w:szCs w:val="20"/>
        </w:rPr>
        <w:t>.</w:t>
      </w:r>
    </w:p>
    <w:p w14:paraId="29043669" w14:textId="624119AF" w:rsidR="00DB7A3F" w:rsidRPr="00C22ABE" w:rsidRDefault="006945D1" w:rsidP="0065120B">
      <w:pPr>
        <w:pStyle w:val="Paragraphedeliste"/>
        <w:numPr>
          <w:ilvl w:val="0"/>
          <w:numId w:val="27"/>
        </w:numPr>
        <w:tabs>
          <w:tab w:val="left" w:pos="7110"/>
        </w:tabs>
        <w:rPr>
          <w:rFonts w:cstheme="minorHAnsi"/>
          <w:b/>
          <w:bCs/>
          <w:color w:val="0000FF"/>
          <w:szCs w:val="20"/>
        </w:rPr>
      </w:pPr>
      <w:r w:rsidRPr="00C22ABE">
        <w:rPr>
          <w:rFonts w:cstheme="minorHAnsi"/>
          <w:b/>
          <w:bCs/>
          <w:color w:val="0000FF"/>
          <w:sz w:val="28"/>
          <w:u w:val="single"/>
        </w:rPr>
        <w:t>Physiopathologie.</w:t>
      </w:r>
      <w:r w:rsidR="00BC1FA1" w:rsidRPr="00C22ABE">
        <w:rPr>
          <w:rFonts w:cstheme="minorHAnsi"/>
          <w:b/>
          <w:bCs/>
          <w:color w:val="0000FF"/>
          <w:sz w:val="28"/>
          <w:u w:val="single"/>
        </w:rPr>
        <w:t xml:space="preserve"> </w:t>
      </w:r>
    </w:p>
    <w:p w14:paraId="4B681A5D" w14:textId="17AF2B64" w:rsidR="0012112D" w:rsidRPr="00C22ABE" w:rsidRDefault="00171D36" w:rsidP="0012112D">
      <w:pPr>
        <w:spacing w:line="256" w:lineRule="auto"/>
        <w:rPr>
          <w:rFonts w:cstheme="minorHAnsi"/>
          <w:sz w:val="20"/>
          <w:szCs w:val="18"/>
        </w:rPr>
      </w:pPr>
      <w:r w:rsidRPr="00C22ABE">
        <w:rPr>
          <w:rFonts w:cstheme="minorHAnsi"/>
          <w:sz w:val="20"/>
          <w:szCs w:val="18"/>
        </w:rPr>
        <w:t>L’ORN est un mécanisme complexe et multifactoriel</w:t>
      </w:r>
      <w:r w:rsidR="003F6666" w:rsidRPr="00C22ABE">
        <w:rPr>
          <w:rFonts w:cstheme="minorHAnsi"/>
          <w:sz w:val="20"/>
          <w:szCs w:val="18"/>
        </w:rPr>
        <w:t>. L</w:t>
      </w:r>
      <w:r w:rsidR="003B7842" w:rsidRPr="00C22ABE">
        <w:rPr>
          <w:rFonts w:cstheme="minorHAnsi"/>
          <w:sz w:val="20"/>
          <w:szCs w:val="18"/>
        </w:rPr>
        <w:t xml:space="preserve">a pathophysiologie </w:t>
      </w:r>
      <w:r w:rsidR="00814CA8" w:rsidRPr="00C22ABE">
        <w:rPr>
          <w:rFonts w:cstheme="minorHAnsi"/>
          <w:sz w:val="20"/>
          <w:szCs w:val="18"/>
        </w:rPr>
        <w:t xml:space="preserve">exacte </w:t>
      </w:r>
      <w:r w:rsidR="003B7842" w:rsidRPr="00C22ABE">
        <w:rPr>
          <w:rFonts w:cstheme="minorHAnsi"/>
          <w:sz w:val="20"/>
          <w:szCs w:val="18"/>
        </w:rPr>
        <w:t>des lésions tissulaires radioinduites est mal connue</w:t>
      </w:r>
      <w:r w:rsidR="00814CA8" w:rsidRPr="00C22ABE">
        <w:rPr>
          <w:rFonts w:cstheme="minorHAnsi"/>
          <w:sz w:val="20"/>
          <w:szCs w:val="18"/>
        </w:rPr>
        <w:t>, mais différentes théories sont décrites</w:t>
      </w:r>
      <w:r w:rsidR="00620661" w:rsidRPr="00C22ABE">
        <w:rPr>
          <w:rFonts w:cstheme="minorHAnsi"/>
          <w:sz w:val="20"/>
          <w:szCs w:val="18"/>
        </w:rPr>
        <w:t xml:space="preserve"> (Fig.5)</w:t>
      </w:r>
      <w:r w:rsidR="003B7842" w:rsidRPr="00C22ABE">
        <w:rPr>
          <w:rFonts w:cstheme="minorHAnsi"/>
          <w:sz w:val="20"/>
          <w:szCs w:val="18"/>
        </w:rPr>
        <w:t>.</w:t>
      </w:r>
    </w:p>
    <w:p w14:paraId="69E38288" w14:textId="112D5D7A" w:rsidR="00171D36" w:rsidRPr="00C22ABE" w:rsidRDefault="00171D36" w:rsidP="002E3149">
      <w:pPr>
        <w:tabs>
          <w:tab w:val="left" w:pos="7110"/>
        </w:tabs>
        <w:rPr>
          <w:rFonts w:cstheme="minorHAnsi"/>
          <w:sz w:val="20"/>
          <w:szCs w:val="18"/>
        </w:rPr>
      </w:pPr>
      <w:r w:rsidRPr="00C22ABE">
        <w:rPr>
          <w:rFonts w:cstheme="minorHAnsi"/>
          <w:sz w:val="20"/>
          <w:szCs w:val="18"/>
        </w:rPr>
        <w:t>Des lésions vasculaires endothéliales, périvasculaires et microvasculaires, et des lésions intra</w:t>
      </w:r>
      <w:r w:rsidR="00244C6A" w:rsidRPr="00C22ABE">
        <w:rPr>
          <w:rFonts w:cstheme="minorHAnsi"/>
          <w:sz w:val="20"/>
          <w:szCs w:val="18"/>
        </w:rPr>
        <w:t>-</w:t>
      </w:r>
      <w:r w:rsidRPr="00C22ABE">
        <w:rPr>
          <w:rFonts w:cstheme="minorHAnsi"/>
          <w:sz w:val="20"/>
          <w:szCs w:val="18"/>
        </w:rPr>
        <w:t xml:space="preserve"> et extracellulaires induites par la radiothérapie vont </w:t>
      </w:r>
      <w:r w:rsidR="008E6D7F" w:rsidRPr="00C22ABE">
        <w:rPr>
          <w:rFonts w:cstheme="minorHAnsi"/>
          <w:sz w:val="20"/>
          <w:szCs w:val="18"/>
        </w:rPr>
        <w:t xml:space="preserve">aboutir à </w:t>
      </w:r>
      <w:r w:rsidRPr="00C22ABE">
        <w:rPr>
          <w:rFonts w:cstheme="minorHAnsi"/>
          <w:sz w:val="20"/>
          <w:szCs w:val="18"/>
        </w:rPr>
        <w:t xml:space="preserve">une dysrégulation de l’activité fibroblastique, </w:t>
      </w:r>
      <w:r w:rsidR="00814CA8" w:rsidRPr="00C22ABE">
        <w:rPr>
          <w:rFonts w:cstheme="minorHAnsi"/>
          <w:sz w:val="20"/>
          <w:szCs w:val="18"/>
        </w:rPr>
        <w:t xml:space="preserve">à </w:t>
      </w:r>
      <w:r w:rsidRPr="00C22ABE">
        <w:rPr>
          <w:rFonts w:cstheme="minorHAnsi"/>
          <w:sz w:val="20"/>
          <w:szCs w:val="18"/>
        </w:rPr>
        <w:t>une surexpression de cytokines (</w:t>
      </w:r>
      <w:proofErr w:type="spellStart"/>
      <w:r w:rsidRPr="00C22ABE">
        <w:rPr>
          <w:rFonts w:cstheme="minorHAnsi"/>
          <w:sz w:val="20"/>
          <w:szCs w:val="18"/>
        </w:rPr>
        <w:t>CK</w:t>
      </w:r>
      <w:r w:rsidR="00E46FB0" w:rsidRPr="00C22ABE">
        <w:rPr>
          <w:rFonts w:cstheme="minorHAnsi"/>
          <w:sz w:val="20"/>
          <w:szCs w:val="18"/>
        </w:rPr>
        <w:t>s</w:t>
      </w:r>
      <w:proofErr w:type="spellEnd"/>
      <w:r w:rsidRPr="00C22ABE">
        <w:rPr>
          <w:rFonts w:cstheme="minorHAnsi"/>
          <w:sz w:val="20"/>
          <w:szCs w:val="18"/>
        </w:rPr>
        <w:t xml:space="preserve">) inflammatoires et de facteurs de croissance. </w:t>
      </w:r>
    </w:p>
    <w:p w14:paraId="697ED35F" w14:textId="289B64F3" w:rsidR="00506348" w:rsidRPr="00C22ABE" w:rsidRDefault="00506348" w:rsidP="00506348">
      <w:pPr>
        <w:tabs>
          <w:tab w:val="left" w:pos="7110"/>
        </w:tabs>
        <w:rPr>
          <w:rFonts w:cstheme="minorHAnsi"/>
          <w:sz w:val="20"/>
          <w:szCs w:val="18"/>
        </w:rPr>
      </w:pPr>
      <w:r w:rsidRPr="00C22ABE">
        <w:rPr>
          <w:rFonts w:cstheme="minorHAnsi"/>
          <w:sz w:val="20"/>
          <w:szCs w:val="18"/>
        </w:rPr>
        <w:t>Dans leur ét</w:t>
      </w:r>
      <w:r w:rsidR="0012112D" w:rsidRPr="00C22ABE">
        <w:rPr>
          <w:rFonts w:cstheme="minorHAnsi"/>
          <w:sz w:val="20"/>
          <w:szCs w:val="18"/>
        </w:rPr>
        <w:t xml:space="preserve">ude par anticorps CD34 sur la vascularisation </w:t>
      </w:r>
      <w:r w:rsidRPr="00C22ABE">
        <w:rPr>
          <w:rFonts w:cstheme="minorHAnsi"/>
          <w:sz w:val="20"/>
          <w:szCs w:val="18"/>
        </w:rPr>
        <w:t xml:space="preserve">de la mandibule irradiée (20 patients) comparée à la mandibule normale (24 patients), Dekker et al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8G8m6LNC","properties":{"formattedCitation":"(37)","plainCitation":"(37)","noteIndex":0},"citationItems":[{"id":189,"uris":["http://zotero.org/users/local/Om3YyEnU/items/YAVSM8CV"],"uri":["http://zotero.org/users/local/Om3YyEnU/items/YAVSM8CV"],"itemData":{"id":189,"type":"article-journal","abstract":"OBJECTIVES: Hypovascularisation is thought to play an important role in the pathogenesis of osteoradionecrosis. The objective of this study was to assess the microvascular system in the irradiated mandibular bone marrow.\nMATERIALS AND METHODS: Mandibular bone biopsies were taken from 20 irradiated patients and 24 controls. Blood vessels were visualized using CD34 antibody stain to detect endothelial cells. The vascular density (VD) and vascular area fraction (VAF) were measured. Mean vessel lumen area, perimeter and diameter of the vessels were calculated for each vessel. A distinction was made between large and small vessels (cut-off point &lt;400 µm2).\nRESULTS: Vascular density and vascular area fraction were lower in the irradiated group. The mean vascular perimeter and mean vascular diameter were higher in samples with a local radiation dose of ≥50 Gy, whereas the percentage of small vessels was lower. Larger vessel perimeter is associated with higher radiation dose. A longer interval between biopsy and radiotherapy is associated with a larger mean vessel perimeter and a lower percentage of small vessels.\nCONCLUSIONS: Radiation dosages higher than 50 Gy mainly affect the smaller vessels. With increased time after irradiation, the share of smaller vessels in the mandibular bone marrow seems to decrease. In search of the exact mechanisms of irradiation damage and osteoradionecrosis of the mandible, the role of the microvascular system in the mandibular bone marrow should be further explored.","container-title":"Oral Oncology","DOI":"10.1016/j.oraloncology.2018.10.030","ISSN":"1879-0593","journalAbbreviation":"Oral Oncol","language":"eng","note":"PMID: 30527227","page":"126-130","source":"PubMed","title":"The irradiated human mandible: A quantitative study on bone vascularity","title-short":"The irradiated human mandible","volume":"87","author":[{"family":"Dekker","given":"H."},{"family":"Bravenboer","given":"N."},{"family":"Dijk","given":"D.","non-dropping-particle":"van"},{"family":"Bloemena","given":"E."},{"family":"Rietveld","given":"D. H. F."},{"family":"Ten Bruggenkate","given":"Chr M."},{"family":"Schulten","given":"E. a. J. M."}],"issued":{"date-parts":[["2018"]]}}}],"schema":"https://github.com/citation-style-language/schema/raw/master/csl-citation.json"}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(37)</w:t>
      </w:r>
      <w:r w:rsidRPr="00C22ABE">
        <w:rPr>
          <w:rFonts w:cstheme="minorHAnsi"/>
          <w:sz w:val="20"/>
          <w:szCs w:val="18"/>
        </w:rPr>
        <w:fldChar w:fldCharType="end"/>
      </w:r>
      <w:r w:rsidRPr="00C22ABE">
        <w:rPr>
          <w:rFonts w:cstheme="minorHAnsi"/>
          <w:sz w:val="20"/>
          <w:szCs w:val="18"/>
        </w:rPr>
        <w:t xml:space="preserve"> démontre</w:t>
      </w:r>
      <w:r w:rsidR="00363E01" w:rsidRPr="00C22ABE">
        <w:rPr>
          <w:rFonts w:cstheme="minorHAnsi"/>
          <w:sz w:val="20"/>
          <w:szCs w:val="18"/>
        </w:rPr>
        <w:t>nt</w:t>
      </w:r>
      <w:r w:rsidRPr="00C22ABE">
        <w:rPr>
          <w:rFonts w:cstheme="minorHAnsi"/>
          <w:sz w:val="20"/>
          <w:szCs w:val="18"/>
        </w:rPr>
        <w:t xml:space="preserve"> que la densité vasculaire (nombre de vaisseaux/mm2 de moelle osseuse) est moins élevée dans le groupe </w:t>
      </w:r>
      <w:r w:rsidR="00071388" w:rsidRPr="00C22ABE">
        <w:rPr>
          <w:rFonts w:cstheme="minorHAnsi"/>
          <w:sz w:val="20"/>
          <w:szCs w:val="18"/>
        </w:rPr>
        <w:t>irradié</w:t>
      </w:r>
      <w:r w:rsidRPr="00C22ABE">
        <w:rPr>
          <w:rFonts w:cstheme="minorHAnsi"/>
          <w:sz w:val="20"/>
          <w:szCs w:val="18"/>
        </w:rPr>
        <w:t>. Le périmètre et le diamètre vasculaire sont plus élevés en cas de dose ≥ 50 Gy, et le pourcentage de petits vaisseaux est moindre. Ils concluent qu’une dose ≥ 50 Gy atteint préférentiellement les petits vaisseaux.</w:t>
      </w:r>
      <w:r w:rsidR="0012112D" w:rsidRPr="00C22ABE">
        <w:rPr>
          <w:rFonts w:cstheme="minorHAnsi"/>
          <w:sz w:val="20"/>
          <w:szCs w:val="18"/>
        </w:rPr>
        <w:t xml:space="preserve"> </w:t>
      </w:r>
    </w:p>
    <w:p w14:paraId="2C141316" w14:textId="68B0C102" w:rsidR="003F6666" w:rsidRPr="00C22ABE" w:rsidRDefault="003F6666" w:rsidP="00506348">
      <w:pPr>
        <w:tabs>
          <w:tab w:val="left" w:pos="7110"/>
        </w:tabs>
        <w:rPr>
          <w:rFonts w:cstheme="minorHAnsi"/>
          <w:sz w:val="20"/>
          <w:szCs w:val="18"/>
        </w:rPr>
      </w:pPr>
      <w:r w:rsidRPr="00C22ABE">
        <w:rPr>
          <w:rFonts w:cstheme="minorHAnsi"/>
          <w:sz w:val="20"/>
          <w:szCs w:val="18"/>
        </w:rPr>
        <w:t xml:space="preserve">Différentes hypothèses </w:t>
      </w:r>
      <w:proofErr w:type="spellStart"/>
      <w:r w:rsidRPr="00C22ABE">
        <w:rPr>
          <w:rFonts w:cstheme="minorHAnsi"/>
          <w:sz w:val="20"/>
          <w:szCs w:val="18"/>
        </w:rPr>
        <w:t>étiopathogéniques</w:t>
      </w:r>
      <w:proofErr w:type="spellEnd"/>
      <w:r w:rsidRPr="00C22ABE">
        <w:rPr>
          <w:rFonts w:cstheme="minorHAnsi"/>
          <w:sz w:val="20"/>
          <w:szCs w:val="18"/>
        </w:rPr>
        <w:t xml:space="preserve"> sont décrites dans la littérature, dont les principales retenues sont celles de Meyer en 1970, Marx en 1983 et </w:t>
      </w:r>
      <w:proofErr w:type="spellStart"/>
      <w:r w:rsidRPr="00C22ABE">
        <w:rPr>
          <w:rFonts w:cstheme="minorHAnsi"/>
          <w:sz w:val="20"/>
          <w:szCs w:val="18"/>
        </w:rPr>
        <w:t>Delanian</w:t>
      </w:r>
      <w:proofErr w:type="spellEnd"/>
      <w:r w:rsidRPr="00C22ABE">
        <w:rPr>
          <w:rFonts w:cstheme="minorHAnsi"/>
          <w:sz w:val="20"/>
          <w:szCs w:val="18"/>
        </w:rPr>
        <w:t xml:space="preserve"> en 2004.</w:t>
      </w:r>
    </w:p>
    <w:p w14:paraId="61A8FCA7" w14:textId="7B74B642" w:rsidR="00506348" w:rsidRPr="00C22ABE" w:rsidRDefault="00506348" w:rsidP="00506348">
      <w:pPr>
        <w:tabs>
          <w:tab w:val="left" w:pos="7110"/>
        </w:tabs>
        <w:rPr>
          <w:rFonts w:cstheme="minorHAnsi"/>
          <w:sz w:val="20"/>
          <w:szCs w:val="18"/>
        </w:rPr>
      </w:pPr>
      <w:r w:rsidRPr="00C22ABE">
        <w:rPr>
          <w:rFonts w:cstheme="minorHAnsi"/>
          <w:sz w:val="20"/>
          <w:szCs w:val="18"/>
        </w:rPr>
        <w:t xml:space="preserve">L’hypothèse de </w:t>
      </w:r>
      <w:r w:rsidRPr="00C22ABE">
        <w:rPr>
          <w:rFonts w:cstheme="minorHAnsi"/>
          <w:b/>
          <w:sz w:val="20"/>
          <w:szCs w:val="18"/>
        </w:rPr>
        <w:t>Meyer</w:t>
      </w:r>
      <w:r w:rsidR="00521C9C" w:rsidRPr="00C22ABE">
        <w:rPr>
          <w:rFonts w:cstheme="minorHAnsi"/>
          <w:sz w:val="20"/>
          <w:szCs w:val="18"/>
        </w:rPr>
        <w:t xml:space="preserve"> </w:t>
      </w:r>
      <w:r w:rsidR="00521C9C" w:rsidRPr="00C22ABE">
        <w:rPr>
          <w:rFonts w:cstheme="minorHAnsi"/>
          <w:sz w:val="20"/>
          <w:szCs w:val="18"/>
        </w:rPr>
        <w:fldChar w:fldCharType="begin"/>
      </w:r>
      <w:r w:rsidR="00DD29FB" w:rsidRPr="00C22ABE">
        <w:rPr>
          <w:rFonts w:cstheme="minorHAnsi"/>
          <w:sz w:val="20"/>
          <w:szCs w:val="18"/>
        </w:rPr>
        <w:instrText xml:space="preserve"> ADDIN ZOTERO_ITEM CSL_CITATION {"citationID":"Jegd9EGq","properties":{"formattedCitation":"(38)","plainCitation":"(38)","noteIndex":0},"citationItems":[{"id":192,"uris":["http://zotero.org/users/local/Om3YyEnU/items/FBRTG2P6"],"uri":["http://zotero.org/users/local/Om3YyEnU/items/FBRTG2P6"],"itemData":{"id":192,"type":"article-journal","container-title":"Journal of Oral Surgery (American Dental Association: 1965)","ISSN":"0022-3255","issue":"1","journalAbbreviation":"J Oral Surg","language":"eng","note":"PMID: 5262227","page":"17-26","source":"PubMed","title":"Infectious diseases of the jaws","volume":"28","author":[{"family":"Meyer","given":"I."}],"issued":{"date-parts":[["1970",1]]}}}],"schema":"https://github.com/citation-style-language/schema/raw/master/csl-citation.json"} </w:instrText>
      </w:r>
      <w:r w:rsidR="00521C9C" w:rsidRPr="00C22ABE">
        <w:rPr>
          <w:rFonts w:cstheme="minorHAnsi"/>
          <w:sz w:val="20"/>
          <w:szCs w:val="18"/>
        </w:rPr>
        <w:fldChar w:fldCharType="separate"/>
      </w:r>
      <w:r w:rsidR="00DD29FB" w:rsidRPr="00C22ABE">
        <w:rPr>
          <w:rFonts w:cstheme="minorHAnsi"/>
          <w:sz w:val="20"/>
        </w:rPr>
        <w:t>(38)</w:t>
      </w:r>
      <w:r w:rsidR="00521C9C" w:rsidRPr="00C22ABE">
        <w:rPr>
          <w:rFonts w:cstheme="minorHAnsi"/>
          <w:sz w:val="20"/>
          <w:szCs w:val="18"/>
        </w:rPr>
        <w:fldChar w:fldCharType="end"/>
      </w:r>
      <w:r w:rsidRPr="00C22ABE">
        <w:rPr>
          <w:rFonts w:cstheme="minorHAnsi"/>
          <w:sz w:val="20"/>
          <w:szCs w:val="18"/>
        </w:rPr>
        <w:t xml:space="preserve"> en 1970 </w:t>
      </w:r>
      <w:r w:rsidR="006945D1" w:rsidRPr="00C22ABE">
        <w:rPr>
          <w:rFonts w:cstheme="minorHAnsi"/>
          <w:sz w:val="20"/>
          <w:szCs w:val="18"/>
        </w:rPr>
        <w:t xml:space="preserve">décrit </w:t>
      </w:r>
      <w:r w:rsidR="009B165C" w:rsidRPr="00C22ABE">
        <w:rPr>
          <w:rFonts w:cstheme="minorHAnsi"/>
          <w:sz w:val="20"/>
          <w:szCs w:val="18"/>
        </w:rPr>
        <w:t xml:space="preserve">l’ORN </w:t>
      </w:r>
      <w:r w:rsidR="008A4997" w:rsidRPr="00C22ABE">
        <w:rPr>
          <w:rFonts w:cstheme="minorHAnsi"/>
          <w:sz w:val="20"/>
          <w:szCs w:val="18"/>
        </w:rPr>
        <w:t xml:space="preserve">comme </w:t>
      </w:r>
      <w:r w:rsidR="009B165C" w:rsidRPr="00C22ABE">
        <w:rPr>
          <w:rFonts w:cstheme="minorHAnsi"/>
          <w:sz w:val="20"/>
          <w:szCs w:val="18"/>
        </w:rPr>
        <w:t>une maladie infectieuse</w:t>
      </w:r>
      <w:r w:rsidR="006945D1" w:rsidRPr="00C22ABE">
        <w:rPr>
          <w:rFonts w:cstheme="minorHAnsi"/>
          <w:sz w:val="20"/>
          <w:szCs w:val="18"/>
        </w:rPr>
        <w:t xml:space="preserve"> </w:t>
      </w:r>
      <w:r w:rsidR="00CD4B1F" w:rsidRPr="00C22ABE">
        <w:rPr>
          <w:rFonts w:cstheme="minorHAnsi"/>
          <w:sz w:val="20"/>
          <w:szCs w:val="18"/>
        </w:rPr>
        <w:t xml:space="preserve">basée sur la triade « radiation, traumatisme, infection ». </w:t>
      </w:r>
      <w:r w:rsidR="00A24FBB" w:rsidRPr="00C22ABE">
        <w:rPr>
          <w:rFonts w:cstheme="minorHAnsi"/>
          <w:sz w:val="20"/>
          <w:szCs w:val="18"/>
        </w:rPr>
        <w:t xml:space="preserve">Un traumatisme de la muqueuse induit une colonisation bactérienne de l’os par les germes de la flore buccale, </w:t>
      </w:r>
      <w:r w:rsidR="008A4997" w:rsidRPr="00C22ABE">
        <w:rPr>
          <w:rFonts w:cstheme="minorHAnsi"/>
          <w:sz w:val="20"/>
          <w:szCs w:val="18"/>
        </w:rPr>
        <w:t>provoquant</w:t>
      </w:r>
      <w:r w:rsidR="00A24FBB" w:rsidRPr="00C22ABE">
        <w:rPr>
          <w:rFonts w:cstheme="minorHAnsi"/>
          <w:sz w:val="20"/>
          <w:szCs w:val="18"/>
        </w:rPr>
        <w:t xml:space="preserve"> une infection chronique</w:t>
      </w:r>
      <w:r w:rsidR="003F6666" w:rsidRPr="00C22ABE">
        <w:rPr>
          <w:rFonts w:cstheme="minorHAnsi"/>
          <w:sz w:val="20"/>
          <w:szCs w:val="18"/>
        </w:rPr>
        <w:t>.</w:t>
      </w:r>
    </w:p>
    <w:p w14:paraId="05741341" w14:textId="25E3C334" w:rsidR="00A9638E" w:rsidRPr="00C22ABE" w:rsidRDefault="009B165C" w:rsidP="00A9638E">
      <w:pPr>
        <w:rPr>
          <w:rFonts w:cstheme="minorHAnsi"/>
          <w:sz w:val="20"/>
          <w:szCs w:val="18"/>
        </w:rPr>
      </w:pPr>
      <w:r w:rsidRPr="00C22ABE">
        <w:rPr>
          <w:rFonts w:cstheme="minorHAnsi"/>
          <w:sz w:val="20"/>
          <w:szCs w:val="18"/>
        </w:rPr>
        <w:t xml:space="preserve">En 1983, </w:t>
      </w:r>
      <w:r w:rsidRPr="00C22ABE">
        <w:rPr>
          <w:rFonts w:cstheme="minorHAnsi"/>
          <w:b/>
          <w:bCs/>
          <w:sz w:val="20"/>
          <w:szCs w:val="18"/>
        </w:rPr>
        <w:t>Marx</w:t>
      </w:r>
      <w:r w:rsidRPr="00C22ABE">
        <w:rPr>
          <w:rFonts w:cstheme="minorHAnsi"/>
          <w:sz w:val="20"/>
          <w:szCs w:val="18"/>
        </w:rPr>
        <w:t xml:space="preserve"> </w:t>
      </w:r>
      <w:r w:rsidR="00A9638E" w:rsidRPr="00C22ABE">
        <w:rPr>
          <w:rFonts w:cstheme="minorHAnsi"/>
          <w:sz w:val="20"/>
          <w:szCs w:val="18"/>
        </w:rPr>
        <w:fldChar w:fldCharType="begin"/>
      </w:r>
      <w:r w:rsidR="00DD29FB" w:rsidRPr="00C22ABE">
        <w:rPr>
          <w:rFonts w:cstheme="minorHAnsi"/>
          <w:sz w:val="20"/>
          <w:szCs w:val="18"/>
        </w:rPr>
        <w:instrText xml:space="preserve"> ADDIN ZOTERO_ITEM CSL_CITATION {"citationID":"Ltyf7eRB","properties":{"formattedCitation":"(30)","plainCitation":"(30)","noteIndex":0},"citationItems":[{"id":176,"uris":["http://zotero.org/users/local/Om3YyEnU/items/XBENZNC2"],"uri":["http://zotero.org/users/local/Om3YyEnU/items/XBENZNC2"],"itemData":{"id":176,"type":"article-journal","container-title":"Journal of Oral and Maxillofacial Surgery","DOI":"10.1016/0278-2391(83)90294-X","ISSN":"02782391","issue":"5","journalAbbreviation":"Journal of Oral and Maxillofacial Surgery","language":"en","page":"283-288","source":"DOI.org (Crossref)","title":"Osteoradionecrosis: A new concept of its pathophysiology","title-short":"Osteoradionecrosis","volume":"41","author":[{"family":"Marx","given":"Robert E."}],"issued":{"date-parts":[["1983",5]]}}}],"schema":"https://github.com/citation-style-language/schema/raw/master/csl-citation.json"} </w:instrText>
      </w:r>
      <w:r w:rsidR="00A9638E" w:rsidRPr="00C22ABE">
        <w:rPr>
          <w:rFonts w:cstheme="minorHAnsi"/>
          <w:sz w:val="20"/>
          <w:szCs w:val="18"/>
        </w:rPr>
        <w:fldChar w:fldCharType="separate"/>
      </w:r>
      <w:r w:rsidR="00DD29FB" w:rsidRPr="00C22ABE">
        <w:rPr>
          <w:rFonts w:cstheme="minorHAnsi"/>
          <w:sz w:val="20"/>
        </w:rPr>
        <w:t>(30)</w:t>
      </w:r>
      <w:r w:rsidR="00A9638E" w:rsidRPr="00C22ABE">
        <w:rPr>
          <w:rFonts w:cstheme="minorHAnsi"/>
          <w:sz w:val="20"/>
          <w:szCs w:val="18"/>
        </w:rPr>
        <w:fldChar w:fldCharType="end"/>
      </w:r>
      <w:r w:rsidR="00A9638E" w:rsidRPr="00C22ABE">
        <w:rPr>
          <w:rFonts w:cstheme="minorHAnsi"/>
          <w:sz w:val="20"/>
          <w:szCs w:val="18"/>
        </w:rPr>
        <w:t xml:space="preserve"> </w:t>
      </w:r>
      <w:r w:rsidRPr="00C22ABE">
        <w:rPr>
          <w:rFonts w:cstheme="minorHAnsi"/>
          <w:sz w:val="20"/>
          <w:szCs w:val="18"/>
        </w:rPr>
        <w:t xml:space="preserve">propose sa théorie </w:t>
      </w:r>
      <w:r w:rsidR="00A9638E" w:rsidRPr="00C22ABE">
        <w:rPr>
          <w:rFonts w:cstheme="minorHAnsi"/>
          <w:sz w:val="20"/>
          <w:szCs w:val="18"/>
        </w:rPr>
        <w:t>des 3 H </w:t>
      </w:r>
      <w:r w:rsidR="00CD4B1F" w:rsidRPr="00C22ABE">
        <w:rPr>
          <w:rFonts w:cstheme="minorHAnsi"/>
          <w:sz w:val="20"/>
          <w:szCs w:val="18"/>
        </w:rPr>
        <w:t>« </w:t>
      </w:r>
      <w:proofErr w:type="spellStart"/>
      <w:r w:rsidR="00CD4B1F" w:rsidRPr="00C22ABE">
        <w:rPr>
          <w:rFonts w:cstheme="minorHAnsi"/>
          <w:sz w:val="20"/>
          <w:szCs w:val="18"/>
        </w:rPr>
        <w:t>hypovascularisation</w:t>
      </w:r>
      <w:proofErr w:type="spellEnd"/>
      <w:r w:rsidR="00CD4B1F" w:rsidRPr="00C22ABE">
        <w:rPr>
          <w:rFonts w:cstheme="minorHAnsi"/>
          <w:sz w:val="20"/>
          <w:szCs w:val="18"/>
        </w:rPr>
        <w:t xml:space="preserve">, hypoxie, </w:t>
      </w:r>
      <w:proofErr w:type="spellStart"/>
      <w:r w:rsidR="00CD4B1F" w:rsidRPr="00C22ABE">
        <w:rPr>
          <w:rFonts w:cstheme="minorHAnsi"/>
          <w:sz w:val="20"/>
          <w:szCs w:val="18"/>
        </w:rPr>
        <w:t>hypocellularité</w:t>
      </w:r>
      <w:proofErr w:type="spellEnd"/>
      <w:r w:rsidR="00CD4B1F" w:rsidRPr="00C22ABE">
        <w:rPr>
          <w:rFonts w:cstheme="minorHAnsi"/>
          <w:sz w:val="20"/>
          <w:szCs w:val="18"/>
        </w:rPr>
        <w:t> »</w:t>
      </w:r>
      <w:r w:rsidR="00F71076" w:rsidRPr="00C22ABE">
        <w:rPr>
          <w:rFonts w:cstheme="minorHAnsi"/>
          <w:sz w:val="20"/>
          <w:szCs w:val="18"/>
        </w:rPr>
        <w:t xml:space="preserve"> </w:t>
      </w:r>
      <w:r w:rsidR="00A9638E" w:rsidRPr="00C22ABE">
        <w:rPr>
          <w:rFonts w:cstheme="minorHAnsi"/>
          <w:sz w:val="20"/>
          <w:szCs w:val="18"/>
        </w:rPr>
        <w:t xml:space="preserve">: les lésions cellulaires radioinduites, entre autres l’endartérite, créent une </w:t>
      </w:r>
      <w:proofErr w:type="spellStart"/>
      <w:r w:rsidR="00A9638E" w:rsidRPr="00C22ABE">
        <w:rPr>
          <w:rFonts w:cstheme="minorHAnsi"/>
          <w:b/>
          <w:bCs/>
          <w:sz w:val="20"/>
          <w:szCs w:val="18"/>
        </w:rPr>
        <w:t>H</w:t>
      </w:r>
      <w:r w:rsidR="00A9638E" w:rsidRPr="00C22ABE">
        <w:rPr>
          <w:rFonts w:cstheme="minorHAnsi"/>
          <w:sz w:val="20"/>
          <w:szCs w:val="18"/>
        </w:rPr>
        <w:t>ypovascularisation</w:t>
      </w:r>
      <w:proofErr w:type="spellEnd"/>
      <w:r w:rsidR="00A9638E" w:rsidRPr="00C22ABE">
        <w:rPr>
          <w:rFonts w:cstheme="minorHAnsi"/>
          <w:sz w:val="20"/>
          <w:szCs w:val="18"/>
        </w:rPr>
        <w:t xml:space="preserve"> </w:t>
      </w:r>
      <w:r w:rsidR="00363E01" w:rsidRPr="00C22ABE">
        <w:rPr>
          <w:rFonts w:cstheme="minorHAnsi"/>
          <w:sz w:val="20"/>
          <w:szCs w:val="18"/>
        </w:rPr>
        <w:t>suivie d’</w:t>
      </w:r>
      <w:r w:rsidR="00A9638E" w:rsidRPr="00C22ABE">
        <w:rPr>
          <w:rFonts w:cstheme="minorHAnsi"/>
          <w:sz w:val="20"/>
          <w:szCs w:val="18"/>
        </w:rPr>
        <w:t xml:space="preserve">une </w:t>
      </w:r>
      <w:r w:rsidR="00A9638E" w:rsidRPr="00C22ABE">
        <w:rPr>
          <w:rFonts w:cstheme="minorHAnsi"/>
          <w:b/>
          <w:bCs/>
          <w:sz w:val="20"/>
          <w:szCs w:val="18"/>
        </w:rPr>
        <w:t>H</w:t>
      </w:r>
      <w:r w:rsidR="00A9638E" w:rsidRPr="00C22ABE">
        <w:rPr>
          <w:rFonts w:cstheme="minorHAnsi"/>
          <w:sz w:val="20"/>
          <w:szCs w:val="18"/>
        </w:rPr>
        <w:t>ypoxie, et provoque</w:t>
      </w:r>
      <w:r w:rsidR="003F6666" w:rsidRPr="00C22ABE">
        <w:rPr>
          <w:rFonts w:cstheme="minorHAnsi"/>
          <w:sz w:val="20"/>
          <w:szCs w:val="18"/>
        </w:rPr>
        <w:t>nt</w:t>
      </w:r>
      <w:r w:rsidR="00A9638E" w:rsidRPr="00C22ABE">
        <w:rPr>
          <w:rFonts w:cstheme="minorHAnsi"/>
          <w:sz w:val="20"/>
          <w:szCs w:val="18"/>
        </w:rPr>
        <w:t xml:space="preserve"> une </w:t>
      </w:r>
      <w:proofErr w:type="spellStart"/>
      <w:r w:rsidR="00A9638E" w:rsidRPr="00C22ABE">
        <w:rPr>
          <w:rFonts w:cstheme="minorHAnsi"/>
          <w:b/>
          <w:bCs/>
          <w:sz w:val="20"/>
          <w:szCs w:val="18"/>
        </w:rPr>
        <w:t>H</w:t>
      </w:r>
      <w:r w:rsidR="00A9638E" w:rsidRPr="00C22ABE">
        <w:rPr>
          <w:rFonts w:cstheme="minorHAnsi"/>
          <w:sz w:val="20"/>
          <w:szCs w:val="18"/>
        </w:rPr>
        <w:t>ypocellularité</w:t>
      </w:r>
      <w:proofErr w:type="spellEnd"/>
      <w:r w:rsidR="00A9638E" w:rsidRPr="00C22ABE">
        <w:rPr>
          <w:rFonts w:cstheme="minorHAnsi"/>
          <w:sz w:val="20"/>
          <w:szCs w:val="18"/>
        </w:rPr>
        <w:t xml:space="preserve"> et la mort cellulaire. Il en résulte une diminution de la capacité de remodelage</w:t>
      </w:r>
      <w:r w:rsidR="00071388" w:rsidRPr="00C22ABE">
        <w:rPr>
          <w:rFonts w:cstheme="minorHAnsi"/>
          <w:sz w:val="20"/>
          <w:szCs w:val="18"/>
        </w:rPr>
        <w:t xml:space="preserve"> de l’os</w:t>
      </w:r>
      <w:r w:rsidR="00A9638E" w:rsidRPr="00C22ABE">
        <w:rPr>
          <w:rFonts w:cstheme="minorHAnsi"/>
          <w:sz w:val="20"/>
          <w:szCs w:val="18"/>
        </w:rPr>
        <w:t xml:space="preserve">, avec l’absence de guérison des plaies, et ensuite une ORN. Cette théorie débouche sur le protocole d’oxygénothérapie hyperbare (OHB). </w:t>
      </w:r>
      <w:r w:rsidR="0044118C" w:rsidRPr="00C22ABE">
        <w:rPr>
          <w:rFonts w:cstheme="minorHAnsi"/>
          <w:sz w:val="20"/>
          <w:szCs w:val="18"/>
        </w:rPr>
        <w:t>L</w:t>
      </w:r>
      <w:r w:rsidR="00CD4B1F" w:rsidRPr="00C22ABE">
        <w:rPr>
          <w:rFonts w:cstheme="minorHAnsi"/>
          <w:sz w:val="20"/>
          <w:szCs w:val="18"/>
        </w:rPr>
        <w:t xml:space="preserve">e rayonnement produit des radicaux libres qui vont léser l’ADN, l’ARN et les enzymes et altérer ainsi le fonctionnement des cellules. </w:t>
      </w:r>
      <w:r w:rsidR="0044118C" w:rsidRPr="00C22ABE">
        <w:rPr>
          <w:rFonts w:cstheme="minorHAnsi"/>
          <w:sz w:val="20"/>
          <w:szCs w:val="18"/>
        </w:rPr>
        <w:t>Pour Marx, les microorganismes jouent un rôle de contaminant secondaire.</w:t>
      </w:r>
    </w:p>
    <w:p w14:paraId="120220C8" w14:textId="691482DC" w:rsidR="00C12D67" w:rsidRPr="00C22ABE" w:rsidRDefault="00A9638E" w:rsidP="00A9638E">
      <w:pPr>
        <w:rPr>
          <w:rFonts w:cstheme="minorHAnsi"/>
          <w:sz w:val="20"/>
          <w:szCs w:val="18"/>
        </w:rPr>
      </w:pPr>
      <w:r w:rsidRPr="00C22ABE">
        <w:rPr>
          <w:rFonts w:cstheme="minorHAnsi"/>
          <w:sz w:val="20"/>
          <w:szCs w:val="18"/>
        </w:rPr>
        <w:t>Cette théorie a été</w:t>
      </w:r>
      <w:r w:rsidR="00C22ABE" w:rsidRPr="00C22ABE">
        <w:rPr>
          <w:rFonts w:cstheme="minorHAnsi"/>
          <w:sz w:val="20"/>
          <w:szCs w:val="18"/>
        </w:rPr>
        <w:t xml:space="preserve"> remise en question récemment, l</w:t>
      </w:r>
      <w:r w:rsidRPr="00C22ABE">
        <w:rPr>
          <w:rFonts w:cstheme="minorHAnsi"/>
          <w:sz w:val="20"/>
          <w:szCs w:val="18"/>
        </w:rPr>
        <w:t>’hypoxie des tissus atteints par l’ORN n’a</w:t>
      </w:r>
      <w:r w:rsidR="009412C2" w:rsidRPr="00C22ABE">
        <w:rPr>
          <w:rFonts w:cstheme="minorHAnsi"/>
          <w:sz w:val="20"/>
          <w:szCs w:val="18"/>
        </w:rPr>
        <w:t>yant</w:t>
      </w:r>
      <w:r w:rsidRPr="00C22ABE">
        <w:rPr>
          <w:rFonts w:cstheme="minorHAnsi"/>
          <w:sz w:val="20"/>
          <w:szCs w:val="18"/>
        </w:rPr>
        <w:t xml:space="preserve"> pas été prouvée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VD5auZrz","properties":{"formattedCitation":"(39)","plainCitation":"(39)","noteIndex":0},"citationItems":[{"id":194,"uris":["http://zotero.org/users/local/Om3YyEnU/items/27HZTWHA"],"uri":["http://zotero.org/users/local/Om3YyEnU/items/27HZTWHA"],"itemData":{"id":194,"type":"article-journal","abstract":"OBJECTIVE: Reconstructing irradiated mandibles with biomaterials is still a challenge but little investigated. We collected data that could help us understand studies in the field of regeneration with biomaterials and irradiated bone.\nSTUDY DESIGN: Systematic review of the literature.\nRESULTS: Delay and duration of radiation delivery and total equivalent dose are the most variable parameters in the various studies, resulting in confusion when interpreting the literature. Most reproducible experiments show that radiation reduces osteogenic cell numbers, alters cytokine capacity, and delays and damages bone remodeling. Interindividual variations and how such changes become irreversible lesions are still uncertain. In the case of regeneration using biomaterials, most studies have addressed the question of reconstruction in previously irradiated bone. The results show that osseointegration is often possible, although the failure rate is higher. The sooner the implantation takes place after the end of the radiation, the higher the likelihood of failure. Few studies have focused on primary reconstruction followed by early irradiation, and most of the currently available engineering models would be altered by radiation. Good outcomes have been obtained with bone morphogenetic protein and with total bone marrow transplanation.\nCONCLUSION: This review points out the difficulties in achieving reproducible experiments and interpreting literature in this underinvestigated field.","container-title":"Oral Surgery, Oral Medicine, Oral Pathology, Oral Radiology, and Endodontics","DOI":"10.1016/j.tripleo.2009.10.001","ISSN":"1528-395X","issue":"2","journalAbbreviation":"Oral Surg Oral Med Oral Pathol Oral Radiol Endod","language":"eng","note":"PMID: 20123406","page":"173-184","source":"PubMed","title":"Radiation effects on bone healing and reconstruction: interpretation of the literature","title-short":"Radiation effects on bone healing and reconstruction","volume":"109","author":[{"family":"Jegoux","given":"Franck"},{"family":"Malard","given":"Olivier"},{"family":"Goyenvalle","given":"E."},{"family":"Aguado","given":"E."},{"family":"Daculsi","given":"G."}],"issued":{"date-parts":[["2010",2]]}}}],"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(39)</w:t>
      </w:r>
      <w:r w:rsidRPr="00C22ABE">
        <w:rPr>
          <w:rFonts w:cstheme="minorHAnsi"/>
          <w:sz w:val="20"/>
          <w:szCs w:val="18"/>
        </w:rPr>
        <w:fldChar w:fldCharType="end"/>
      </w:r>
      <w:r w:rsidR="00620661" w:rsidRPr="00C22ABE">
        <w:rPr>
          <w:rFonts w:cstheme="minorHAnsi"/>
          <w:sz w:val="20"/>
          <w:szCs w:val="18"/>
        </w:rPr>
        <w:t>.</w:t>
      </w:r>
    </w:p>
    <w:p w14:paraId="79BB5513" w14:textId="0665BDA6" w:rsidR="003B7842" w:rsidRPr="00C22ABE" w:rsidRDefault="00BA175A" w:rsidP="00A9638E">
      <w:pPr>
        <w:rPr>
          <w:rFonts w:cstheme="minorHAnsi"/>
          <w:sz w:val="20"/>
          <w:szCs w:val="18"/>
        </w:rPr>
      </w:pPr>
      <w:r w:rsidRPr="00C22ABE">
        <w:rPr>
          <w:rFonts w:cstheme="minorHAnsi"/>
          <w:sz w:val="20"/>
          <w:szCs w:val="18"/>
        </w:rPr>
        <w:t>En 2004</w:t>
      </w:r>
      <w:r w:rsidR="0081390C" w:rsidRPr="00C22ABE">
        <w:rPr>
          <w:rFonts w:cstheme="minorHAnsi"/>
          <w:sz w:val="20"/>
          <w:szCs w:val="18"/>
        </w:rPr>
        <w:t>,</w:t>
      </w:r>
      <w:r w:rsidRPr="00C22ABE">
        <w:rPr>
          <w:rFonts w:cstheme="minorHAnsi"/>
          <w:sz w:val="20"/>
          <w:szCs w:val="18"/>
        </w:rPr>
        <w:t> </w:t>
      </w:r>
      <w:r w:rsidRPr="00C22ABE">
        <w:rPr>
          <w:rFonts w:cstheme="minorHAnsi"/>
          <w:b/>
          <w:bCs/>
          <w:sz w:val="20"/>
          <w:szCs w:val="18"/>
        </w:rPr>
        <w:t xml:space="preserve"> </w:t>
      </w:r>
      <w:proofErr w:type="spellStart"/>
      <w:r w:rsidRPr="00C22ABE">
        <w:rPr>
          <w:rFonts w:cstheme="minorHAnsi"/>
          <w:b/>
          <w:bCs/>
          <w:sz w:val="20"/>
          <w:szCs w:val="18"/>
        </w:rPr>
        <w:t>Delania</w:t>
      </w:r>
      <w:r w:rsidR="00F74929" w:rsidRPr="00C22ABE">
        <w:rPr>
          <w:rFonts w:cstheme="minorHAnsi"/>
          <w:b/>
          <w:bCs/>
          <w:sz w:val="20"/>
          <w:szCs w:val="18"/>
        </w:rPr>
        <w:t>n</w:t>
      </w:r>
      <w:proofErr w:type="spellEnd"/>
      <w:r w:rsidRPr="00C22ABE">
        <w:rPr>
          <w:rFonts w:cstheme="minorHAnsi"/>
          <w:b/>
          <w:bCs/>
          <w:sz w:val="20"/>
          <w:szCs w:val="18"/>
        </w:rPr>
        <w:t xml:space="preserve"> et </w:t>
      </w:r>
      <w:proofErr w:type="spellStart"/>
      <w:r w:rsidRPr="00C22ABE">
        <w:rPr>
          <w:rFonts w:cstheme="minorHAnsi"/>
          <w:b/>
          <w:bCs/>
          <w:sz w:val="20"/>
          <w:szCs w:val="18"/>
        </w:rPr>
        <w:t>Lefaix</w:t>
      </w:r>
      <w:proofErr w:type="spellEnd"/>
      <w:r w:rsidRPr="00C22ABE">
        <w:rPr>
          <w:rFonts w:cstheme="minorHAnsi"/>
          <w:sz w:val="20"/>
          <w:szCs w:val="18"/>
        </w:rPr>
        <w:t xml:space="preserve"> </w:t>
      </w:r>
      <w:r w:rsidR="00653774" w:rsidRPr="00C22ABE">
        <w:rPr>
          <w:rFonts w:cstheme="minorHAnsi"/>
          <w:sz w:val="20"/>
          <w:szCs w:val="18"/>
        </w:rPr>
        <w:fldChar w:fldCharType="begin"/>
      </w:r>
      <w:r w:rsidR="00DD29FB" w:rsidRPr="00C22ABE">
        <w:rPr>
          <w:rFonts w:cstheme="minorHAnsi"/>
          <w:sz w:val="20"/>
          <w:szCs w:val="18"/>
        </w:rPr>
        <w:instrText xml:space="preserve"> ADDIN ZOTERO_ITEM CSL_CITATION {"citationID":"E7JmOw2O","properties":{"formattedCitation":"(19)","plainCitation":"(19)","noteIndex":0},"citationItems":[{"id":201,"uris":["http://zotero.org/users/local/Om3YyEnU/items/HPAKGBKC"],"uri":["http://zotero.org/users/local/Om3YyEnU/items/HPAKGBKC"],"itemData":{"id":201,"type":"article-journal","container-title":"Radiotherapy and Oncology","DOI":"10.1016/j.radonc.2004.08.021","ISSN":"01678140","issue":"2","journalAbbreviation":"Radiotherapy and Oncology","language":"en","page":"119-131","source":"DOI.org (Crossref)","title":"The radiation-induced fibroatrophic process: therapeutic perspective via the antioxidant pathway","title-short":"The radiation-induced fibroatrophic process","volume":"73","author":[{"family":"Delanian","given":"Sylvie"},{"family":"Lefaix","given":"Jean-Louis"}],"issued":{"date-parts":[["2004",11]]}}}],"schema":"https://github.com/citation-style-language/schema/raw/master/csl-citation.json"} </w:instrText>
      </w:r>
      <w:r w:rsidR="00653774" w:rsidRPr="00C22ABE">
        <w:rPr>
          <w:rFonts w:cstheme="minorHAnsi"/>
          <w:sz w:val="20"/>
          <w:szCs w:val="18"/>
        </w:rPr>
        <w:fldChar w:fldCharType="separate"/>
      </w:r>
      <w:r w:rsidR="00DD29FB" w:rsidRPr="00C22ABE">
        <w:rPr>
          <w:rFonts w:cstheme="minorHAnsi"/>
          <w:sz w:val="20"/>
        </w:rPr>
        <w:t>(19)</w:t>
      </w:r>
      <w:r w:rsidR="00653774" w:rsidRPr="00C22ABE">
        <w:rPr>
          <w:rFonts w:cstheme="minorHAnsi"/>
          <w:sz w:val="20"/>
          <w:szCs w:val="18"/>
        </w:rPr>
        <w:fldChar w:fldCharType="end"/>
      </w:r>
      <w:r w:rsidR="0002184A" w:rsidRPr="00C22ABE">
        <w:rPr>
          <w:rFonts w:cstheme="minorHAnsi"/>
          <w:sz w:val="20"/>
          <w:szCs w:val="18"/>
        </w:rPr>
        <w:t xml:space="preserve"> </w:t>
      </w:r>
      <w:r w:rsidRPr="00C22ABE">
        <w:rPr>
          <w:rFonts w:cstheme="minorHAnsi"/>
          <w:sz w:val="20"/>
          <w:szCs w:val="18"/>
        </w:rPr>
        <w:t>propose</w:t>
      </w:r>
      <w:r w:rsidR="00F74929" w:rsidRPr="00C22ABE">
        <w:rPr>
          <w:rFonts w:cstheme="minorHAnsi"/>
          <w:sz w:val="20"/>
          <w:szCs w:val="18"/>
        </w:rPr>
        <w:t>nt</w:t>
      </w:r>
      <w:r w:rsidRPr="00C22ABE">
        <w:rPr>
          <w:rFonts w:cstheme="minorHAnsi"/>
          <w:sz w:val="20"/>
          <w:szCs w:val="18"/>
        </w:rPr>
        <w:t xml:space="preserve"> la théorie de la fibrose </w:t>
      </w:r>
      <w:r w:rsidR="003B7842" w:rsidRPr="00C22ABE">
        <w:rPr>
          <w:rFonts w:cstheme="minorHAnsi"/>
          <w:sz w:val="20"/>
          <w:szCs w:val="18"/>
        </w:rPr>
        <w:t>radioinduite</w:t>
      </w:r>
      <w:r w:rsidR="0002184A" w:rsidRPr="00C22ABE">
        <w:rPr>
          <w:rFonts w:cstheme="minorHAnsi"/>
          <w:sz w:val="20"/>
          <w:szCs w:val="18"/>
        </w:rPr>
        <w:t xml:space="preserve"> (RIF : </w:t>
      </w:r>
      <w:proofErr w:type="spellStart"/>
      <w:r w:rsidR="0002184A" w:rsidRPr="00C22ABE">
        <w:rPr>
          <w:rFonts w:cstheme="minorHAnsi"/>
          <w:sz w:val="20"/>
          <w:szCs w:val="18"/>
        </w:rPr>
        <w:t>RadioInduced</w:t>
      </w:r>
      <w:proofErr w:type="spellEnd"/>
      <w:r w:rsidR="0002184A" w:rsidRPr="00C22ABE">
        <w:rPr>
          <w:rFonts w:cstheme="minorHAnsi"/>
          <w:sz w:val="20"/>
          <w:szCs w:val="18"/>
        </w:rPr>
        <w:t xml:space="preserve"> </w:t>
      </w:r>
      <w:proofErr w:type="spellStart"/>
      <w:r w:rsidR="0002184A" w:rsidRPr="00C22ABE">
        <w:rPr>
          <w:rFonts w:cstheme="minorHAnsi"/>
          <w:sz w:val="20"/>
          <w:szCs w:val="18"/>
        </w:rPr>
        <w:t>Fibrosis</w:t>
      </w:r>
      <w:proofErr w:type="spellEnd"/>
      <w:r w:rsidR="0002184A" w:rsidRPr="00C22ABE">
        <w:rPr>
          <w:rFonts w:cstheme="minorHAnsi"/>
          <w:sz w:val="20"/>
          <w:szCs w:val="18"/>
        </w:rPr>
        <w:t>)</w:t>
      </w:r>
      <w:r w:rsidR="003B7842" w:rsidRPr="00C22ABE">
        <w:rPr>
          <w:rFonts w:cstheme="minorHAnsi"/>
          <w:sz w:val="20"/>
          <w:szCs w:val="18"/>
        </w:rPr>
        <w:t xml:space="preserve">. La progression de l’ORN est liée </w:t>
      </w:r>
      <w:r w:rsidR="0002184A" w:rsidRPr="00C22ABE">
        <w:rPr>
          <w:rFonts w:cstheme="minorHAnsi"/>
          <w:sz w:val="20"/>
          <w:szCs w:val="18"/>
        </w:rPr>
        <w:t>à l’activation</w:t>
      </w:r>
      <w:r w:rsidR="003B7842" w:rsidRPr="00C22ABE">
        <w:rPr>
          <w:rFonts w:cstheme="minorHAnsi"/>
          <w:sz w:val="20"/>
          <w:szCs w:val="18"/>
        </w:rPr>
        <w:t xml:space="preserve"> et la dérégulation </w:t>
      </w:r>
      <w:r w:rsidR="009A6C8C" w:rsidRPr="00C22ABE">
        <w:rPr>
          <w:rFonts w:cstheme="minorHAnsi"/>
          <w:sz w:val="20"/>
          <w:szCs w:val="18"/>
        </w:rPr>
        <w:t xml:space="preserve">de l’activité </w:t>
      </w:r>
      <w:r w:rsidR="003B7842" w:rsidRPr="00C22ABE">
        <w:rPr>
          <w:rFonts w:cstheme="minorHAnsi"/>
          <w:sz w:val="20"/>
          <w:szCs w:val="18"/>
        </w:rPr>
        <w:t xml:space="preserve">des fibroblastes qui </w:t>
      </w:r>
      <w:r w:rsidR="00FF6129" w:rsidRPr="00C22ABE">
        <w:rPr>
          <w:rFonts w:cstheme="minorHAnsi"/>
          <w:sz w:val="20"/>
          <w:szCs w:val="18"/>
        </w:rPr>
        <w:t>induisent</w:t>
      </w:r>
      <w:r w:rsidR="003B7842" w:rsidRPr="00C22ABE">
        <w:rPr>
          <w:rFonts w:cstheme="minorHAnsi"/>
          <w:sz w:val="20"/>
          <w:szCs w:val="18"/>
        </w:rPr>
        <w:t xml:space="preserve"> la</w:t>
      </w:r>
      <w:r w:rsidR="009A6C8C" w:rsidRPr="00C22ABE">
        <w:rPr>
          <w:rFonts w:cstheme="minorHAnsi"/>
          <w:sz w:val="20"/>
          <w:szCs w:val="18"/>
        </w:rPr>
        <w:t xml:space="preserve"> formation d’un tissu</w:t>
      </w:r>
      <w:r w:rsidR="003B7842" w:rsidRPr="00C22ABE">
        <w:rPr>
          <w:rFonts w:cstheme="minorHAnsi"/>
          <w:sz w:val="20"/>
          <w:szCs w:val="18"/>
        </w:rPr>
        <w:t xml:space="preserve"> </w:t>
      </w:r>
      <w:proofErr w:type="spellStart"/>
      <w:r w:rsidR="003B7842" w:rsidRPr="00C22ABE">
        <w:rPr>
          <w:rFonts w:cstheme="minorHAnsi"/>
          <w:sz w:val="20"/>
          <w:szCs w:val="18"/>
        </w:rPr>
        <w:t>fibroatrophi</w:t>
      </w:r>
      <w:r w:rsidR="000069A4" w:rsidRPr="00C22ABE">
        <w:rPr>
          <w:rFonts w:cstheme="minorHAnsi"/>
          <w:sz w:val="20"/>
          <w:szCs w:val="18"/>
        </w:rPr>
        <w:t>que</w:t>
      </w:r>
      <w:proofErr w:type="spellEnd"/>
      <w:r w:rsidR="00071388" w:rsidRPr="00C22ABE">
        <w:rPr>
          <w:rFonts w:cstheme="minorHAnsi"/>
          <w:sz w:val="20"/>
          <w:szCs w:val="18"/>
        </w:rPr>
        <w:t>.</w:t>
      </w:r>
      <w:r w:rsidR="003B7842" w:rsidRPr="00C22ABE">
        <w:rPr>
          <w:rFonts w:cstheme="minorHAnsi"/>
          <w:sz w:val="20"/>
          <w:szCs w:val="18"/>
        </w:rPr>
        <w:t xml:space="preserve">  La radiothérapie crée une hypoxie et une ischémie avec une altération de la balance entre la synthèse et la dégradation des tissus.</w:t>
      </w:r>
    </w:p>
    <w:p w14:paraId="4505A8A1" w14:textId="733B92D9" w:rsidR="006945D1" w:rsidRPr="00C22ABE" w:rsidRDefault="008A4997" w:rsidP="009412C2">
      <w:pPr>
        <w:rPr>
          <w:rFonts w:cstheme="minorHAnsi"/>
          <w:sz w:val="20"/>
          <w:szCs w:val="18"/>
        </w:rPr>
      </w:pPr>
      <w:r w:rsidRPr="00C22ABE">
        <w:rPr>
          <w:rFonts w:cstheme="minorHAnsi"/>
          <w:sz w:val="20"/>
          <w:szCs w:val="18"/>
        </w:rPr>
        <w:t>Trois phases sont</w:t>
      </w:r>
      <w:r w:rsidR="009412C2" w:rsidRPr="00C22ABE">
        <w:rPr>
          <w:rFonts w:cstheme="minorHAnsi"/>
          <w:sz w:val="20"/>
          <w:szCs w:val="18"/>
        </w:rPr>
        <w:t xml:space="preserve"> </w:t>
      </w:r>
      <w:r w:rsidRPr="00C22ABE">
        <w:rPr>
          <w:rFonts w:cstheme="minorHAnsi"/>
          <w:sz w:val="20"/>
          <w:szCs w:val="18"/>
        </w:rPr>
        <w:t>décrites</w:t>
      </w:r>
      <w:r w:rsidR="003B7842" w:rsidRPr="00C22ABE">
        <w:rPr>
          <w:rFonts w:cstheme="minorHAnsi"/>
          <w:sz w:val="20"/>
          <w:szCs w:val="18"/>
        </w:rPr>
        <w:t> :</w:t>
      </w:r>
    </w:p>
    <w:p w14:paraId="0C878799" w14:textId="2F0AD530" w:rsidR="004A3D44" w:rsidRPr="00C22ABE" w:rsidRDefault="00BA175A" w:rsidP="005631A4">
      <w:pPr>
        <w:pStyle w:val="Paragraphedeliste"/>
        <w:numPr>
          <w:ilvl w:val="0"/>
          <w:numId w:val="19"/>
        </w:numPr>
        <w:spacing w:line="256" w:lineRule="auto"/>
        <w:rPr>
          <w:rFonts w:cstheme="minorHAnsi"/>
          <w:sz w:val="20"/>
          <w:szCs w:val="18"/>
        </w:rPr>
      </w:pPr>
      <w:r w:rsidRPr="00C22ABE">
        <w:rPr>
          <w:rFonts w:cstheme="minorHAnsi"/>
          <w:b/>
          <w:bCs/>
          <w:sz w:val="20"/>
          <w:szCs w:val="18"/>
          <w:u w:val="single"/>
        </w:rPr>
        <w:t>Phase</w:t>
      </w:r>
      <w:r w:rsidR="0012112D" w:rsidRPr="00C22ABE">
        <w:rPr>
          <w:rFonts w:cstheme="minorHAnsi"/>
          <w:b/>
          <w:bCs/>
          <w:sz w:val="20"/>
          <w:szCs w:val="18"/>
          <w:u w:val="single"/>
        </w:rPr>
        <w:t xml:space="preserve"> initiale</w:t>
      </w:r>
      <w:r w:rsidRPr="00C22ABE">
        <w:rPr>
          <w:rFonts w:cstheme="minorHAnsi"/>
          <w:b/>
          <w:bCs/>
          <w:sz w:val="20"/>
          <w:szCs w:val="18"/>
          <w:u w:val="single"/>
        </w:rPr>
        <w:t xml:space="preserve"> </w:t>
      </w:r>
      <w:proofErr w:type="spellStart"/>
      <w:r w:rsidRPr="00C22ABE">
        <w:rPr>
          <w:rFonts w:cstheme="minorHAnsi"/>
          <w:b/>
          <w:bCs/>
          <w:sz w:val="20"/>
          <w:szCs w:val="18"/>
          <w:u w:val="single"/>
        </w:rPr>
        <w:t>préfibrotique</w:t>
      </w:r>
      <w:proofErr w:type="spellEnd"/>
      <w:r w:rsidR="00653774" w:rsidRPr="00C22ABE">
        <w:rPr>
          <w:rFonts w:cstheme="minorHAnsi"/>
          <w:b/>
          <w:bCs/>
          <w:sz w:val="20"/>
          <w:szCs w:val="18"/>
          <w:u w:val="single"/>
        </w:rPr>
        <w:t xml:space="preserve"> inflammatoire</w:t>
      </w:r>
      <w:r w:rsidR="00E274F5" w:rsidRPr="00C22ABE">
        <w:rPr>
          <w:rFonts w:cstheme="minorHAnsi"/>
          <w:sz w:val="18"/>
          <w:szCs w:val="16"/>
        </w:rPr>
        <w:t xml:space="preserve"> </w:t>
      </w:r>
      <w:r w:rsidR="00E274F5" w:rsidRPr="00C22ABE">
        <w:rPr>
          <w:rFonts w:cstheme="minorHAnsi"/>
          <w:sz w:val="20"/>
          <w:szCs w:val="18"/>
        </w:rPr>
        <w:t>dans les 6 à 24 mois suivant l’irradiation</w:t>
      </w:r>
      <w:r w:rsidR="00F71076" w:rsidRPr="00C22ABE">
        <w:rPr>
          <w:rFonts w:cstheme="minorHAnsi"/>
          <w:sz w:val="20"/>
          <w:szCs w:val="18"/>
        </w:rPr>
        <w:t xml:space="preserve"> </w:t>
      </w:r>
      <w:r w:rsidRPr="00C22ABE">
        <w:rPr>
          <w:rFonts w:cstheme="minorHAnsi"/>
          <w:sz w:val="20"/>
          <w:szCs w:val="18"/>
        </w:rPr>
        <w:t xml:space="preserve">: </w:t>
      </w:r>
    </w:p>
    <w:p w14:paraId="01CD901F" w14:textId="19B846C1" w:rsidR="00E274F5" w:rsidRPr="00C22ABE" w:rsidRDefault="0081390C" w:rsidP="004A3D44">
      <w:pPr>
        <w:pStyle w:val="Paragraphedeliste"/>
        <w:numPr>
          <w:ilvl w:val="0"/>
          <w:numId w:val="8"/>
        </w:numPr>
        <w:spacing w:line="256" w:lineRule="auto"/>
        <w:rPr>
          <w:rFonts w:cstheme="minorHAnsi"/>
          <w:sz w:val="20"/>
          <w:szCs w:val="18"/>
        </w:rPr>
      </w:pPr>
      <w:r w:rsidRPr="00C22ABE">
        <w:rPr>
          <w:rFonts w:cstheme="minorHAnsi"/>
          <w:sz w:val="20"/>
          <w:szCs w:val="18"/>
        </w:rPr>
        <w:t>Il</w:t>
      </w:r>
      <w:r w:rsidR="003B7842" w:rsidRPr="00C22ABE">
        <w:rPr>
          <w:rFonts w:cstheme="minorHAnsi"/>
          <w:sz w:val="20"/>
          <w:szCs w:val="18"/>
        </w:rPr>
        <w:t xml:space="preserve"> s’agit de </w:t>
      </w:r>
      <w:r w:rsidR="00BA175A" w:rsidRPr="00C22ABE">
        <w:rPr>
          <w:rFonts w:cstheme="minorHAnsi"/>
          <w:sz w:val="20"/>
          <w:szCs w:val="18"/>
        </w:rPr>
        <w:t xml:space="preserve">phénomènes inflammatoires </w:t>
      </w:r>
      <w:r w:rsidR="00E274F5" w:rsidRPr="00C22ABE">
        <w:rPr>
          <w:rFonts w:cstheme="minorHAnsi"/>
          <w:sz w:val="20"/>
          <w:szCs w:val="18"/>
        </w:rPr>
        <w:t>chroniques</w:t>
      </w:r>
      <w:r w:rsidR="00E46FB0" w:rsidRPr="00C22ABE">
        <w:rPr>
          <w:rFonts w:cstheme="minorHAnsi"/>
          <w:sz w:val="20"/>
          <w:szCs w:val="18"/>
        </w:rPr>
        <w:t xml:space="preserve"> </w:t>
      </w:r>
      <w:r w:rsidR="00BA175A" w:rsidRPr="00C22ABE">
        <w:rPr>
          <w:rFonts w:cstheme="minorHAnsi"/>
          <w:sz w:val="20"/>
          <w:szCs w:val="18"/>
        </w:rPr>
        <w:t>non spécifiques caractérisé</w:t>
      </w:r>
      <w:r w:rsidR="009A6C8C" w:rsidRPr="00C22ABE">
        <w:rPr>
          <w:rFonts w:cstheme="minorHAnsi"/>
          <w:sz w:val="20"/>
          <w:szCs w:val="18"/>
        </w:rPr>
        <w:t>s</w:t>
      </w:r>
      <w:r w:rsidR="00BA175A" w:rsidRPr="00C22ABE">
        <w:rPr>
          <w:rFonts w:cstheme="minorHAnsi"/>
          <w:sz w:val="20"/>
          <w:szCs w:val="18"/>
        </w:rPr>
        <w:t xml:space="preserve"> par une augmentation de la perméabilité vasculaire avec </w:t>
      </w:r>
      <w:r w:rsidR="00E274F5" w:rsidRPr="00C22ABE">
        <w:rPr>
          <w:rFonts w:cstheme="minorHAnsi"/>
          <w:sz w:val="20"/>
          <w:szCs w:val="18"/>
        </w:rPr>
        <w:t xml:space="preserve">extravasation de protéines sériques et </w:t>
      </w:r>
      <w:r w:rsidR="00BA175A" w:rsidRPr="00C22ABE">
        <w:rPr>
          <w:rFonts w:cstheme="minorHAnsi"/>
          <w:sz w:val="20"/>
          <w:szCs w:val="18"/>
        </w:rPr>
        <w:t>apparition d’œdème,</w:t>
      </w:r>
      <w:r w:rsidR="009A6C8C" w:rsidRPr="00C22ABE">
        <w:rPr>
          <w:rFonts w:cstheme="minorHAnsi"/>
          <w:sz w:val="20"/>
          <w:szCs w:val="18"/>
        </w:rPr>
        <w:t xml:space="preserve"> rougeur, prurit</w:t>
      </w:r>
      <w:r w:rsidR="00E46FB0" w:rsidRPr="00C22ABE">
        <w:rPr>
          <w:rFonts w:cstheme="minorHAnsi"/>
          <w:sz w:val="20"/>
          <w:szCs w:val="18"/>
        </w:rPr>
        <w:t xml:space="preserve"> et </w:t>
      </w:r>
      <w:r w:rsidR="009A6C8C" w:rsidRPr="00C22ABE">
        <w:rPr>
          <w:rFonts w:cstheme="minorHAnsi"/>
          <w:sz w:val="20"/>
          <w:szCs w:val="18"/>
        </w:rPr>
        <w:t>douleur</w:t>
      </w:r>
      <w:r w:rsidR="00FA3F09" w:rsidRPr="00C22ABE">
        <w:rPr>
          <w:rFonts w:cstheme="minorHAnsi"/>
          <w:sz w:val="20"/>
          <w:szCs w:val="18"/>
        </w:rPr>
        <w:t xml:space="preserve">. On note une accumulation de produits de dégradation du collagène, une </w:t>
      </w:r>
      <w:r w:rsidR="00BA175A" w:rsidRPr="00C22ABE">
        <w:rPr>
          <w:rFonts w:cstheme="minorHAnsi"/>
          <w:sz w:val="20"/>
          <w:szCs w:val="18"/>
        </w:rPr>
        <w:t>destruction des cellules endothéliales</w:t>
      </w:r>
      <w:r w:rsidR="00FA3F09" w:rsidRPr="00C22ABE">
        <w:rPr>
          <w:rFonts w:cstheme="minorHAnsi"/>
          <w:sz w:val="20"/>
          <w:szCs w:val="18"/>
        </w:rPr>
        <w:t xml:space="preserve">, </w:t>
      </w:r>
      <w:r w:rsidR="009412C2" w:rsidRPr="00C22ABE">
        <w:rPr>
          <w:rFonts w:cstheme="minorHAnsi"/>
          <w:sz w:val="20"/>
          <w:szCs w:val="18"/>
        </w:rPr>
        <w:t>suivies de</w:t>
      </w:r>
      <w:r w:rsidR="001143E6" w:rsidRPr="00C22ABE">
        <w:rPr>
          <w:rFonts w:cstheme="minorHAnsi"/>
          <w:sz w:val="20"/>
          <w:szCs w:val="18"/>
        </w:rPr>
        <w:t xml:space="preserve"> </w:t>
      </w:r>
      <w:r w:rsidR="00BA175A" w:rsidRPr="00C22ABE">
        <w:rPr>
          <w:rFonts w:cstheme="minorHAnsi"/>
          <w:sz w:val="20"/>
          <w:szCs w:val="18"/>
        </w:rPr>
        <w:t>thrombose vasculaire, nécrose des microvaisseaux et ischémie locale</w:t>
      </w:r>
      <w:r w:rsidR="00FF6129" w:rsidRPr="00C22ABE">
        <w:rPr>
          <w:rFonts w:cstheme="minorHAnsi"/>
          <w:sz w:val="20"/>
          <w:szCs w:val="18"/>
        </w:rPr>
        <w:t>.</w:t>
      </w:r>
      <w:r w:rsidR="003B7842" w:rsidRPr="00C22ABE">
        <w:rPr>
          <w:rFonts w:cstheme="minorHAnsi"/>
          <w:sz w:val="20"/>
          <w:szCs w:val="18"/>
        </w:rPr>
        <w:t xml:space="preserve"> </w:t>
      </w:r>
    </w:p>
    <w:p w14:paraId="64D6A4E4" w14:textId="348FF32E" w:rsidR="0081390C" w:rsidRPr="00C22ABE" w:rsidRDefault="009A6C8C" w:rsidP="0081390C">
      <w:pPr>
        <w:pStyle w:val="Paragraphedeliste"/>
        <w:numPr>
          <w:ilvl w:val="0"/>
          <w:numId w:val="3"/>
        </w:numPr>
        <w:spacing w:line="256" w:lineRule="auto"/>
        <w:rPr>
          <w:rFonts w:cstheme="minorHAnsi"/>
          <w:sz w:val="20"/>
          <w:szCs w:val="18"/>
        </w:rPr>
      </w:pPr>
      <w:r w:rsidRPr="00C22ABE">
        <w:rPr>
          <w:rFonts w:cstheme="minorHAnsi"/>
          <w:sz w:val="20"/>
          <w:szCs w:val="18"/>
        </w:rPr>
        <w:t xml:space="preserve">Les </w:t>
      </w:r>
      <w:proofErr w:type="spellStart"/>
      <w:r w:rsidRPr="00C22ABE">
        <w:rPr>
          <w:rFonts w:cstheme="minorHAnsi"/>
          <w:sz w:val="20"/>
          <w:szCs w:val="18"/>
        </w:rPr>
        <w:t>CK</w:t>
      </w:r>
      <w:r w:rsidR="00E46FB0" w:rsidRPr="00C22ABE">
        <w:rPr>
          <w:rFonts w:cstheme="minorHAnsi"/>
          <w:sz w:val="20"/>
          <w:szCs w:val="18"/>
        </w:rPr>
        <w:t>s</w:t>
      </w:r>
      <w:proofErr w:type="spellEnd"/>
      <w:r w:rsidRPr="00C22ABE">
        <w:rPr>
          <w:rFonts w:cstheme="minorHAnsi"/>
          <w:sz w:val="20"/>
          <w:szCs w:val="18"/>
        </w:rPr>
        <w:t xml:space="preserve"> libérées </w:t>
      </w:r>
      <w:r w:rsidR="00C4396F" w:rsidRPr="00C22ABE">
        <w:rPr>
          <w:rFonts w:cstheme="minorHAnsi"/>
          <w:sz w:val="20"/>
          <w:szCs w:val="18"/>
        </w:rPr>
        <w:t xml:space="preserve">par les </w:t>
      </w:r>
      <w:r w:rsidRPr="00C22ABE">
        <w:rPr>
          <w:rFonts w:cstheme="minorHAnsi"/>
          <w:sz w:val="20"/>
          <w:szCs w:val="18"/>
        </w:rPr>
        <w:t xml:space="preserve">cellules endothéliales attirent les leucocytes sur le site de la lésion et contribuent à la </w:t>
      </w:r>
      <w:r w:rsidR="0002184A" w:rsidRPr="00C22ABE">
        <w:rPr>
          <w:rFonts w:cstheme="minorHAnsi"/>
          <w:sz w:val="20"/>
          <w:szCs w:val="18"/>
        </w:rPr>
        <w:t>réponse</w:t>
      </w:r>
      <w:r w:rsidRPr="00C22ABE">
        <w:rPr>
          <w:rFonts w:cstheme="minorHAnsi"/>
          <w:sz w:val="20"/>
          <w:szCs w:val="18"/>
        </w:rPr>
        <w:t xml:space="preserve"> inflammatoire non spécifique</w:t>
      </w:r>
      <w:r w:rsidR="0002184A" w:rsidRPr="00C22ABE">
        <w:rPr>
          <w:rFonts w:cstheme="minorHAnsi"/>
          <w:sz w:val="20"/>
          <w:szCs w:val="18"/>
        </w:rPr>
        <w:t xml:space="preserve"> qui</w:t>
      </w:r>
      <w:r w:rsidR="00C4396F" w:rsidRPr="00C22ABE">
        <w:rPr>
          <w:rFonts w:cstheme="minorHAnsi"/>
          <w:sz w:val="20"/>
          <w:szCs w:val="18"/>
        </w:rPr>
        <w:t xml:space="preserve"> génère une libération de radicaux libres</w:t>
      </w:r>
      <w:r w:rsidR="0002184A" w:rsidRPr="00C22ABE">
        <w:rPr>
          <w:rFonts w:cstheme="minorHAnsi"/>
          <w:sz w:val="20"/>
          <w:szCs w:val="18"/>
        </w:rPr>
        <w:t>.</w:t>
      </w:r>
    </w:p>
    <w:p w14:paraId="14DDBF7B" w14:textId="11710D58" w:rsidR="007A145A" w:rsidRPr="00C22ABE" w:rsidRDefault="007A145A" w:rsidP="0081390C">
      <w:pPr>
        <w:pStyle w:val="Paragraphedeliste"/>
        <w:numPr>
          <w:ilvl w:val="0"/>
          <w:numId w:val="3"/>
        </w:numPr>
        <w:spacing w:line="256" w:lineRule="auto"/>
        <w:rPr>
          <w:rFonts w:cstheme="minorHAnsi"/>
          <w:sz w:val="20"/>
          <w:szCs w:val="18"/>
        </w:rPr>
      </w:pPr>
      <w:r w:rsidRPr="00C22ABE">
        <w:rPr>
          <w:rFonts w:cstheme="minorHAnsi"/>
          <w:sz w:val="20"/>
          <w:szCs w:val="18"/>
        </w:rPr>
        <w:lastRenderedPageBreak/>
        <w:t>Avec la perte de la barrière endothéliale, les cellules</w:t>
      </w:r>
      <w:r w:rsidR="00FA3F09" w:rsidRPr="00C22ABE">
        <w:rPr>
          <w:rFonts w:cstheme="minorHAnsi"/>
          <w:sz w:val="20"/>
          <w:szCs w:val="18"/>
        </w:rPr>
        <w:t xml:space="preserve"> du tissu conjonctif</w:t>
      </w:r>
      <w:r w:rsidRPr="00C22ABE">
        <w:rPr>
          <w:rFonts w:cstheme="minorHAnsi"/>
          <w:sz w:val="20"/>
          <w:szCs w:val="18"/>
        </w:rPr>
        <w:t xml:space="preserve"> sont exposées directement à des stimulus dont elles sont normalement protégées, qui pourraient favoriser l’activation fibroblastique</w:t>
      </w:r>
      <w:r w:rsidR="00C4396F" w:rsidRPr="00C22ABE">
        <w:rPr>
          <w:rFonts w:cstheme="minorHAnsi"/>
          <w:sz w:val="20"/>
          <w:szCs w:val="18"/>
        </w:rPr>
        <w:t xml:space="preserve"> et leur transformation en myofibroblastes</w:t>
      </w:r>
      <w:r w:rsidR="007902BC" w:rsidRPr="00C22ABE">
        <w:rPr>
          <w:rFonts w:cstheme="minorHAnsi"/>
          <w:sz w:val="20"/>
          <w:szCs w:val="18"/>
        </w:rPr>
        <w:t>.</w:t>
      </w:r>
    </w:p>
    <w:p w14:paraId="5D2D914D" w14:textId="732EE136" w:rsidR="00F82946" w:rsidRPr="00C22ABE" w:rsidRDefault="003B7842" w:rsidP="0081390C">
      <w:pPr>
        <w:pStyle w:val="Paragraphedeliste"/>
        <w:numPr>
          <w:ilvl w:val="0"/>
          <w:numId w:val="3"/>
        </w:numPr>
        <w:spacing w:line="256" w:lineRule="auto"/>
        <w:rPr>
          <w:rFonts w:cstheme="minorHAnsi"/>
          <w:i/>
          <w:iCs/>
          <w:sz w:val="20"/>
          <w:szCs w:val="18"/>
        </w:rPr>
      </w:pPr>
      <w:r w:rsidRPr="00C22ABE">
        <w:rPr>
          <w:rFonts w:cstheme="minorHAnsi"/>
          <w:sz w:val="20"/>
          <w:szCs w:val="18"/>
        </w:rPr>
        <w:t xml:space="preserve">Pendant </w:t>
      </w:r>
      <w:r w:rsidR="00EB4029" w:rsidRPr="00C22ABE">
        <w:rPr>
          <w:rFonts w:cstheme="minorHAnsi"/>
          <w:sz w:val="20"/>
          <w:szCs w:val="18"/>
        </w:rPr>
        <w:t>cette</w:t>
      </w:r>
      <w:r w:rsidRPr="00C22ABE">
        <w:rPr>
          <w:rFonts w:cstheme="minorHAnsi"/>
          <w:sz w:val="20"/>
          <w:szCs w:val="18"/>
        </w:rPr>
        <w:t xml:space="preserve"> phase, le TGF- β1</w:t>
      </w:r>
      <w:r w:rsidR="00340DFB" w:rsidRPr="00C22ABE">
        <w:rPr>
          <w:rFonts w:cstheme="minorHAnsi"/>
          <w:sz w:val="20"/>
          <w:szCs w:val="18"/>
        </w:rPr>
        <w:t>(</w:t>
      </w:r>
      <w:proofErr w:type="spellStart"/>
      <w:r w:rsidR="007902BC" w:rsidRPr="00C22ABE">
        <w:rPr>
          <w:rFonts w:cstheme="minorHAnsi"/>
          <w:sz w:val="20"/>
          <w:szCs w:val="18"/>
        </w:rPr>
        <w:t>T</w:t>
      </w:r>
      <w:r w:rsidR="00340DFB" w:rsidRPr="00C22ABE">
        <w:rPr>
          <w:rFonts w:cstheme="minorHAnsi"/>
          <w:sz w:val="20"/>
          <w:szCs w:val="18"/>
        </w:rPr>
        <w:t>ransforming</w:t>
      </w:r>
      <w:proofErr w:type="spellEnd"/>
      <w:r w:rsidR="00340DFB" w:rsidRPr="00C22ABE">
        <w:rPr>
          <w:rFonts w:cstheme="minorHAnsi"/>
          <w:sz w:val="20"/>
          <w:szCs w:val="18"/>
        </w:rPr>
        <w:t xml:space="preserve"> </w:t>
      </w:r>
      <w:proofErr w:type="spellStart"/>
      <w:r w:rsidR="00340DFB" w:rsidRPr="00C22ABE">
        <w:rPr>
          <w:rFonts w:cstheme="minorHAnsi"/>
          <w:sz w:val="20"/>
          <w:szCs w:val="18"/>
        </w:rPr>
        <w:t>Growth</w:t>
      </w:r>
      <w:proofErr w:type="spellEnd"/>
      <w:r w:rsidR="00340DFB" w:rsidRPr="00C22ABE">
        <w:rPr>
          <w:rFonts w:cstheme="minorHAnsi"/>
          <w:sz w:val="20"/>
          <w:szCs w:val="18"/>
        </w:rPr>
        <w:t xml:space="preserve"> Factor)</w:t>
      </w:r>
      <w:r w:rsidRPr="00C22ABE">
        <w:rPr>
          <w:rFonts w:cstheme="minorHAnsi"/>
          <w:sz w:val="20"/>
          <w:szCs w:val="18"/>
        </w:rPr>
        <w:t xml:space="preserve"> sécrété par les plaquettes déclenche une cascade d'événements qui compren</w:t>
      </w:r>
      <w:r w:rsidR="0002184A" w:rsidRPr="00C22ABE">
        <w:rPr>
          <w:rFonts w:cstheme="minorHAnsi"/>
          <w:sz w:val="20"/>
          <w:szCs w:val="18"/>
        </w:rPr>
        <w:t>d</w:t>
      </w:r>
      <w:r w:rsidRPr="00C22ABE">
        <w:rPr>
          <w:rFonts w:cstheme="minorHAnsi"/>
          <w:sz w:val="20"/>
          <w:szCs w:val="18"/>
        </w:rPr>
        <w:t xml:space="preserve"> l</w:t>
      </w:r>
      <w:r w:rsidR="003D004A" w:rsidRPr="00C22ABE">
        <w:rPr>
          <w:rFonts w:cstheme="minorHAnsi"/>
          <w:sz w:val="20"/>
          <w:szCs w:val="18"/>
        </w:rPr>
        <w:t>e recrutement et l’</w:t>
      </w:r>
      <w:r w:rsidRPr="00C22ABE">
        <w:rPr>
          <w:rFonts w:cstheme="minorHAnsi"/>
          <w:sz w:val="20"/>
          <w:szCs w:val="18"/>
        </w:rPr>
        <w:t>activation des macrophages</w:t>
      </w:r>
      <w:r w:rsidR="0044118C" w:rsidRPr="00C22ABE">
        <w:rPr>
          <w:rFonts w:cstheme="minorHAnsi"/>
          <w:sz w:val="20"/>
          <w:szCs w:val="18"/>
        </w:rPr>
        <w:t>.</w:t>
      </w:r>
      <w:r w:rsidR="007902BC" w:rsidRPr="00C22ABE">
        <w:rPr>
          <w:rFonts w:cstheme="minorHAnsi"/>
          <w:sz w:val="20"/>
          <w:szCs w:val="18"/>
        </w:rPr>
        <w:t xml:space="preserve"> </w:t>
      </w:r>
      <w:r w:rsidR="0044118C" w:rsidRPr="00C22ABE">
        <w:rPr>
          <w:rFonts w:cstheme="minorHAnsi"/>
          <w:sz w:val="20"/>
          <w:szCs w:val="18"/>
        </w:rPr>
        <w:t>Ils</w:t>
      </w:r>
      <w:r w:rsidR="003D004A" w:rsidRPr="00C22ABE">
        <w:rPr>
          <w:rFonts w:cstheme="minorHAnsi"/>
          <w:sz w:val="20"/>
          <w:szCs w:val="18"/>
        </w:rPr>
        <w:t xml:space="preserve"> secrètent des facteurs chimiotactiques et </w:t>
      </w:r>
      <w:r w:rsidRPr="00C22ABE">
        <w:rPr>
          <w:rFonts w:cstheme="minorHAnsi"/>
          <w:sz w:val="20"/>
          <w:szCs w:val="18"/>
        </w:rPr>
        <w:t xml:space="preserve">des facteurs mitogènes </w:t>
      </w:r>
      <w:r w:rsidR="003D004A" w:rsidRPr="00C22ABE">
        <w:rPr>
          <w:rFonts w:cstheme="minorHAnsi"/>
          <w:sz w:val="20"/>
          <w:szCs w:val="18"/>
        </w:rPr>
        <w:t>pour l</w:t>
      </w:r>
      <w:r w:rsidRPr="00C22ABE">
        <w:rPr>
          <w:rFonts w:cstheme="minorHAnsi"/>
          <w:sz w:val="20"/>
          <w:szCs w:val="18"/>
        </w:rPr>
        <w:t>es fibroblastes</w:t>
      </w:r>
      <w:r w:rsidR="002E0861" w:rsidRPr="00C22ABE">
        <w:rPr>
          <w:rFonts w:cstheme="minorHAnsi"/>
          <w:i/>
          <w:iCs/>
          <w:sz w:val="20"/>
          <w:szCs w:val="18"/>
        </w:rPr>
        <w:t>.</w:t>
      </w:r>
      <w:r w:rsidR="003D004A" w:rsidRPr="00C22ABE">
        <w:rPr>
          <w:rFonts w:cstheme="minorHAnsi"/>
          <w:i/>
          <w:iCs/>
        </w:rPr>
        <w:t xml:space="preserve"> </w:t>
      </w:r>
    </w:p>
    <w:p w14:paraId="30112E78" w14:textId="7F324C2B" w:rsidR="002E0861" w:rsidRPr="00C22ABE" w:rsidRDefault="00BA175A" w:rsidP="005631A4">
      <w:pPr>
        <w:pStyle w:val="Paragraphedeliste"/>
        <w:numPr>
          <w:ilvl w:val="0"/>
          <w:numId w:val="19"/>
        </w:numPr>
        <w:spacing w:line="256" w:lineRule="auto"/>
        <w:rPr>
          <w:rFonts w:cstheme="minorHAnsi"/>
          <w:i/>
          <w:sz w:val="20"/>
          <w:szCs w:val="18"/>
        </w:rPr>
      </w:pPr>
      <w:r w:rsidRPr="00C22ABE">
        <w:rPr>
          <w:rFonts w:cstheme="minorHAnsi"/>
          <w:b/>
          <w:bCs/>
          <w:sz w:val="20"/>
          <w:szCs w:val="18"/>
          <w:u w:val="single"/>
        </w:rPr>
        <w:t xml:space="preserve">Phase </w:t>
      </w:r>
      <w:r w:rsidR="009A6C8C" w:rsidRPr="00C22ABE">
        <w:rPr>
          <w:rFonts w:cstheme="minorHAnsi"/>
          <w:b/>
          <w:bCs/>
          <w:sz w:val="20"/>
          <w:szCs w:val="18"/>
          <w:u w:val="single"/>
        </w:rPr>
        <w:t xml:space="preserve">fibreuse </w:t>
      </w:r>
      <w:r w:rsidRPr="00C22ABE">
        <w:rPr>
          <w:rFonts w:cstheme="minorHAnsi"/>
          <w:b/>
          <w:bCs/>
          <w:sz w:val="20"/>
          <w:szCs w:val="18"/>
          <w:u w:val="single"/>
        </w:rPr>
        <w:t>constitu</w:t>
      </w:r>
      <w:r w:rsidR="00FA3F09" w:rsidRPr="00C22ABE">
        <w:rPr>
          <w:rFonts w:cstheme="minorHAnsi"/>
          <w:b/>
          <w:bCs/>
          <w:sz w:val="20"/>
          <w:szCs w:val="18"/>
          <w:u w:val="single"/>
        </w:rPr>
        <w:t>tive</w:t>
      </w:r>
      <w:r w:rsidRPr="00C22ABE">
        <w:rPr>
          <w:rFonts w:cstheme="minorHAnsi"/>
          <w:b/>
          <w:bCs/>
          <w:sz w:val="20"/>
          <w:szCs w:val="18"/>
          <w:u w:val="single"/>
        </w:rPr>
        <w:t xml:space="preserve"> organisée</w:t>
      </w:r>
      <w:r w:rsidRPr="00C22ABE">
        <w:rPr>
          <w:rFonts w:cstheme="minorHAnsi"/>
          <w:sz w:val="20"/>
          <w:szCs w:val="18"/>
          <w:u w:val="single"/>
        </w:rPr>
        <w:t> </w:t>
      </w:r>
      <w:r w:rsidRPr="00C22ABE">
        <w:rPr>
          <w:rFonts w:cstheme="minorHAnsi"/>
          <w:sz w:val="20"/>
          <w:szCs w:val="18"/>
        </w:rPr>
        <w:t xml:space="preserve">: </w:t>
      </w:r>
      <w:r w:rsidR="002A16A4" w:rsidRPr="00C22ABE">
        <w:rPr>
          <w:rFonts w:cstheme="minorHAnsi"/>
          <w:sz w:val="20"/>
          <w:szCs w:val="18"/>
        </w:rPr>
        <w:t>pendant les premières années qui suivent la radiothérapie.</w:t>
      </w:r>
      <w:r w:rsidR="0081390C" w:rsidRPr="00C22ABE">
        <w:rPr>
          <w:rFonts w:cstheme="minorHAnsi"/>
          <w:sz w:val="20"/>
          <w:szCs w:val="18"/>
        </w:rPr>
        <w:t xml:space="preserve"> Il s’agit d’une phase désorganisant la matrice extracellulaire (</w:t>
      </w:r>
      <w:r w:rsidR="0048773D" w:rsidRPr="00C22ABE">
        <w:rPr>
          <w:rFonts w:cstheme="minorHAnsi"/>
          <w:sz w:val="20"/>
          <w:szCs w:val="18"/>
        </w:rPr>
        <w:t>MEC</w:t>
      </w:r>
      <w:r w:rsidR="0081390C" w:rsidRPr="00C22ABE">
        <w:rPr>
          <w:rFonts w:cstheme="minorHAnsi"/>
          <w:sz w:val="20"/>
          <w:szCs w:val="18"/>
        </w:rPr>
        <w:t>).</w:t>
      </w:r>
    </w:p>
    <w:p w14:paraId="45F7C34B" w14:textId="77777777" w:rsidR="002E0861" w:rsidRPr="00C22ABE" w:rsidRDefault="002A16A4" w:rsidP="00BA175A">
      <w:pPr>
        <w:pStyle w:val="Paragraphedeliste"/>
        <w:numPr>
          <w:ilvl w:val="0"/>
          <w:numId w:val="3"/>
        </w:numPr>
        <w:spacing w:line="256" w:lineRule="auto"/>
        <w:rPr>
          <w:rFonts w:cstheme="minorHAnsi"/>
          <w:i/>
          <w:sz w:val="20"/>
          <w:szCs w:val="18"/>
        </w:rPr>
      </w:pPr>
      <w:r w:rsidRPr="00C22ABE">
        <w:rPr>
          <w:rFonts w:cstheme="minorHAnsi"/>
          <w:sz w:val="20"/>
          <w:szCs w:val="18"/>
        </w:rPr>
        <w:t xml:space="preserve">Les signes d’inflammation locale disparaissent. </w:t>
      </w:r>
    </w:p>
    <w:p w14:paraId="4777A89D" w14:textId="0CB6978B" w:rsidR="00800EC8" w:rsidRPr="00C22ABE" w:rsidRDefault="007902BC" w:rsidP="007902BC">
      <w:pPr>
        <w:pStyle w:val="Paragraphedeliste"/>
        <w:numPr>
          <w:ilvl w:val="0"/>
          <w:numId w:val="3"/>
        </w:numPr>
        <w:spacing w:line="256" w:lineRule="auto"/>
        <w:rPr>
          <w:rFonts w:cstheme="minorHAnsi"/>
          <w:i/>
          <w:sz w:val="20"/>
          <w:szCs w:val="18"/>
        </w:rPr>
      </w:pPr>
      <w:r w:rsidRPr="00C22ABE">
        <w:rPr>
          <w:rFonts w:cstheme="minorHAnsi"/>
          <w:sz w:val="20"/>
          <w:szCs w:val="18"/>
        </w:rPr>
        <w:t>L’</w:t>
      </w:r>
      <w:r w:rsidR="009A6C8C" w:rsidRPr="00C22ABE">
        <w:rPr>
          <w:rFonts w:cstheme="minorHAnsi"/>
          <w:sz w:val="20"/>
          <w:szCs w:val="18"/>
        </w:rPr>
        <w:t xml:space="preserve">activité fibroblastique </w:t>
      </w:r>
      <w:r w:rsidRPr="00C22ABE">
        <w:rPr>
          <w:rFonts w:cstheme="minorHAnsi"/>
          <w:sz w:val="20"/>
          <w:szCs w:val="18"/>
        </w:rPr>
        <w:t xml:space="preserve">est </w:t>
      </w:r>
      <w:r w:rsidR="009A6C8C" w:rsidRPr="00C22ABE">
        <w:rPr>
          <w:rFonts w:cstheme="minorHAnsi"/>
          <w:sz w:val="20"/>
          <w:szCs w:val="18"/>
        </w:rPr>
        <w:t xml:space="preserve">anormale. </w:t>
      </w:r>
      <w:r w:rsidR="009A6C8C" w:rsidRPr="00C22ABE">
        <w:rPr>
          <w:rFonts w:cstheme="minorHAnsi"/>
          <w:bCs/>
          <w:sz w:val="20"/>
          <w:szCs w:val="18"/>
        </w:rPr>
        <w:t>L</w:t>
      </w:r>
      <w:r w:rsidR="00A94FB5" w:rsidRPr="00C22ABE">
        <w:rPr>
          <w:rFonts w:cstheme="minorHAnsi"/>
          <w:bCs/>
          <w:sz w:val="20"/>
          <w:szCs w:val="18"/>
        </w:rPr>
        <w:t>e</w:t>
      </w:r>
      <w:r w:rsidR="009A6C8C" w:rsidRPr="00C22ABE">
        <w:rPr>
          <w:rFonts w:cstheme="minorHAnsi"/>
          <w:bCs/>
          <w:sz w:val="20"/>
          <w:szCs w:val="18"/>
        </w:rPr>
        <w:t xml:space="preserve"> </w:t>
      </w:r>
      <w:r w:rsidR="00A94FB5" w:rsidRPr="00C22ABE">
        <w:rPr>
          <w:rFonts w:cstheme="minorHAnsi"/>
          <w:bCs/>
          <w:sz w:val="20"/>
          <w:szCs w:val="18"/>
        </w:rPr>
        <w:t xml:space="preserve">tissu fibreux est </w:t>
      </w:r>
      <w:r w:rsidR="009A6C8C" w:rsidRPr="00C22ABE">
        <w:rPr>
          <w:rFonts w:cstheme="minorHAnsi"/>
          <w:bCs/>
          <w:sz w:val="20"/>
          <w:szCs w:val="18"/>
        </w:rPr>
        <w:t xml:space="preserve">constitué d’une alternance de plages de fibrose active comprenant une densité élevée de myofibroblastes </w:t>
      </w:r>
      <w:proofErr w:type="spellStart"/>
      <w:r w:rsidR="009A6C8C" w:rsidRPr="00C22ABE">
        <w:rPr>
          <w:rFonts w:cstheme="minorHAnsi"/>
          <w:bCs/>
          <w:sz w:val="20"/>
          <w:szCs w:val="18"/>
        </w:rPr>
        <w:t>hyperprolifératifs</w:t>
      </w:r>
      <w:proofErr w:type="spellEnd"/>
      <w:r w:rsidR="009A6C8C" w:rsidRPr="00C22ABE">
        <w:rPr>
          <w:rFonts w:cstheme="minorHAnsi"/>
          <w:bCs/>
          <w:sz w:val="20"/>
          <w:szCs w:val="18"/>
        </w:rPr>
        <w:t xml:space="preserve"> </w:t>
      </w:r>
      <w:r w:rsidR="00A94FB5" w:rsidRPr="00C22ABE">
        <w:rPr>
          <w:rFonts w:cstheme="minorHAnsi"/>
          <w:bCs/>
          <w:sz w:val="20"/>
          <w:szCs w:val="18"/>
        </w:rPr>
        <w:t>et des fibroblastes sénescents, au sein de</w:t>
      </w:r>
      <w:r w:rsidR="009A6C8C" w:rsidRPr="00C22ABE">
        <w:rPr>
          <w:rFonts w:cstheme="minorHAnsi"/>
          <w:bCs/>
          <w:sz w:val="20"/>
          <w:szCs w:val="18"/>
        </w:rPr>
        <w:t xml:space="preserve"> plages de MEC désorganisée</w:t>
      </w:r>
      <w:r w:rsidR="00A94FB5" w:rsidRPr="00C22ABE">
        <w:rPr>
          <w:rFonts w:cstheme="minorHAnsi"/>
          <w:sz w:val="20"/>
          <w:szCs w:val="18"/>
        </w:rPr>
        <w:t>. D’autres plages comprennent des fibres de collagène orientées en travées longues, denses et régulières</w:t>
      </w:r>
      <w:r w:rsidR="0002184A" w:rsidRPr="00C22ABE">
        <w:rPr>
          <w:rFonts w:cstheme="minorHAnsi"/>
          <w:sz w:val="20"/>
          <w:szCs w:val="18"/>
        </w:rPr>
        <w:t>.</w:t>
      </w:r>
    </w:p>
    <w:p w14:paraId="02EFFD87" w14:textId="3AA943F7" w:rsidR="005620E5" w:rsidRPr="00C22ABE" w:rsidRDefault="005620E5" w:rsidP="00800EC8">
      <w:pPr>
        <w:pStyle w:val="Paragraphedeliste"/>
        <w:numPr>
          <w:ilvl w:val="0"/>
          <w:numId w:val="3"/>
        </w:numPr>
        <w:spacing w:line="256" w:lineRule="auto"/>
        <w:rPr>
          <w:rFonts w:cstheme="minorHAnsi"/>
          <w:color w:val="FF0000"/>
          <w:sz w:val="20"/>
          <w:szCs w:val="18"/>
        </w:rPr>
      </w:pPr>
      <w:r w:rsidRPr="00C22ABE">
        <w:rPr>
          <w:rFonts w:cstheme="minorHAnsi"/>
          <w:color w:val="000000" w:themeColor="text1"/>
          <w:sz w:val="20"/>
          <w:szCs w:val="18"/>
        </w:rPr>
        <w:t xml:space="preserve">Les cellules endothéliales sont actives et </w:t>
      </w:r>
      <w:r w:rsidR="0002184A" w:rsidRPr="00C22ABE">
        <w:rPr>
          <w:rFonts w:cstheme="minorHAnsi"/>
          <w:color w:val="000000" w:themeColor="text1"/>
          <w:sz w:val="20"/>
          <w:szCs w:val="18"/>
        </w:rPr>
        <w:t>réalisent</w:t>
      </w:r>
      <w:r w:rsidRPr="00C22ABE">
        <w:rPr>
          <w:rFonts w:cstheme="minorHAnsi"/>
          <w:color w:val="000000" w:themeColor="text1"/>
          <w:sz w:val="20"/>
          <w:szCs w:val="18"/>
        </w:rPr>
        <w:t xml:space="preserve"> une </w:t>
      </w:r>
      <w:proofErr w:type="spellStart"/>
      <w:r w:rsidRPr="00C22ABE">
        <w:rPr>
          <w:rFonts w:cstheme="minorHAnsi"/>
          <w:color w:val="000000" w:themeColor="text1"/>
          <w:sz w:val="20"/>
          <w:szCs w:val="18"/>
        </w:rPr>
        <w:t>néoangiogenèse</w:t>
      </w:r>
      <w:proofErr w:type="spellEnd"/>
      <w:r w:rsidRPr="00C22ABE">
        <w:rPr>
          <w:rFonts w:cstheme="minorHAnsi"/>
          <w:color w:val="000000" w:themeColor="text1"/>
          <w:sz w:val="20"/>
          <w:szCs w:val="18"/>
        </w:rPr>
        <w:t xml:space="preserve"> secondaire</w:t>
      </w:r>
      <w:r w:rsidR="007902BC" w:rsidRPr="00C22ABE">
        <w:rPr>
          <w:rFonts w:cstheme="minorHAnsi"/>
          <w:color w:val="000000" w:themeColor="text1"/>
          <w:sz w:val="20"/>
          <w:szCs w:val="18"/>
        </w:rPr>
        <w:t>.</w:t>
      </w:r>
    </w:p>
    <w:p w14:paraId="60CDD4D0" w14:textId="0E34E40A" w:rsidR="005620E5" w:rsidRPr="00C22ABE" w:rsidRDefault="005620E5" w:rsidP="00800EC8">
      <w:pPr>
        <w:pStyle w:val="Paragraphedeliste"/>
        <w:numPr>
          <w:ilvl w:val="0"/>
          <w:numId w:val="3"/>
        </w:numPr>
        <w:spacing w:line="256" w:lineRule="auto"/>
        <w:rPr>
          <w:rFonts w:cstheme="minorHAnsi"/>
          <w:color w:val="FF0000"/>
          <w:sz w:val="20"/>
          <w:szCs w:val="18"/>
        </w:rPr>
      </w:pPr>
      <w:r w:rsidRPr="00C22ABE">
        <w:rPr>
          <w:rFonts w:cstheme="minorHAnsi"/>
          <w:color w:val="000000" w:themeColor="text1"/>
          <w:sz w:val="20"/>
          <w:szCs w:val="18"/>
        </w:rPr>
        <w:t>La constitution de cette phase de RIF est la conséquence des lésions des cellules endothéliales et des cellules du tissu conjonctif</w:t>
      </w:r>
      <w:r w:rsidR="00340DFB" w:rsidRPr="00C22ABE">
        <w:rPr>
          <w:rFonts w:cstheme="minorHAnsi"/>
          <w:color w:val="000000" w:themeColor="text1"/>
          <w:sz w:val="20"/>
          <w:szCs w:val="18"/>
        </w:rPr>
        <w:t>.</w:t>
      </w:r>
    </w:p>
    <w:p w14:paraId="62B1AD9D" w14:textId="7620D9BB" w:rsidR="004A3D44" w:rsidRPr="00C22ABE" w:rsidRDefault="004A3D44" w:rsidP="005631A4">
      <w:pPr>
        <w:pStyle w:val="Paragraphedeliste"/>
        <w:numPr>
          <w:ilvl w:val="0"/>
          <w:numId w:val="19"/>
        </w:numPr>
        <w:spacing w:line="256" w:lineRule="auto"/>
        <w:rPr>
          <w:rFonts w:cstheme="minorHAnsi"/>
          <w:sz w:val="20"/>
          <w:szCs w:val="18"/>
        </w:rPr>
      </w:pPr>
      <w:r w:rsidRPr="00C22ABE">
        <w:rPr>
          <w:rFonts w:cstheme="minorHAnsi"/>
          <w:b/>
          <w:bCs/>
          <w:sz w:val="20"/>
          <w:szCs w:val="18"/>
          <w:u w:val="single"/>
        </w:rPr>
        <w:t xml:space="preserve">Phase tardive </w:t>
      </w:r>
      <w:proofErr w:type="spellStart"/>
      <w:r w:rsidRPr="00C22ABE">
        <w:rPr>
          <w:rFonts w:cstheme="minorHAnsi"/>
          <w:b/>
          <w:bCs/>
          <w:sz w:val="20"/>
          <w:szCs w:val="18"/>
          <w:u w:val="single"/>
        </w:rPr>
        <w:t>fibroatrophique</w:t>
      </w:r>
      <w:proofErr w:type="spellEnd"/>
      <w:r w:rsidRPr="00C22ABE">
        <w:rPr>
          <w:rFonts w:cstheme="minorHAnsi"/>
          <w:sz w:val="20"/>
          <w:szCs w:val="18"/>
        </w:rPr>
        <w:t xml:space="preserve">, 5 à 30 ans après la </w:t>
      </w:r>
      <w:r w:rsidR="0002184A" w:rsidRPr="00C22ABE">
        <w:rPr>
          <w:rFonts w:cstheme="minorHAnsi"/>
          <w:sz w:val="20"/>
          <w:szCs w:val="18"/>
        </w:rPr>
        <w:t>radiothérapie.</w:t>
      </w:r>
    </w:p>
    <w:p w14:paraId="19BEAE0A" w14:textId="6A5129DC" w:rsidR="0002184A" w:rsidRPr="00C22ABE" w:rsidRDefault="0002184A" w:rsidP="0002184A">
      <w:pPr>
        <w:pStyle w:val="Paragraphedeliste"/>
        <w:numPr>
          <w:ilvl w:val="0"/>
          <w:numId w:val="3"/>
        </w:numPr>
        <w:spacing w:line="256" w:lineRule="auto"/>
        <w:rPr>
          <w:rFonts w:cstheme="minorHAnsi"/>
          <w:sz w:val="20"/>
          <w:szCs w:val="18"/>
        </w:rPr>
      </w:pPr>
      <w:r w:rsidRPr="00C22ABE">
        <w:rPr>
          <w:rFonts w:cstheme="minorHAnsi"/>
          <w:sz w:val="20"/>
          <w:szCs w:val="18"/>
        </w:rPr>
        <w:t xml:space="preserve">On y note une </w:t>
      </w:r>
      <w:r w:rsidR="004A3D44" w:rsidRPr="00C22ABE">
        <w:rPr>
          <w:rFonts w:cstheme="minorHAnsi"/>
          <w:sz w:val="20"/>
          <w:szCs w:val="18"/>
        </w:rPr>
        <w:t>perte progressive des cellules de la moelle osseuse</w:t>
      </w:r>
      <w:r w:rsidR="0044118C" w:rsidRPr="00C22ABE">
        <w:rPr>
          <w:rFonts w:cstheme="minorHAnsi"/>
          <w:sz w:val="20"/>
          <w:szCs w:val="18"/>
        </w:rPr>
        <w:t>.</w:t>
      </w:r>
    </w:p>
    <w:p w14:paraId="70C660E9" w14:textId="1EA5F747" w:rsidR="0002184A" w:rsidRPr="00C22ABE" w:rsidRDefault="0002184A" w:rsidP="00340DFB">
      <w:pPr>
        <w:pStyle w:val="Paragraphedeliste"/>
        <w:numPr>
          <w:ilvl w:val="0"/>
          <w:numId w:val="3"/>
        </w:numPr>
        <w:spacing w:line="256" w:lineRule="auto"/>
        <w:rPr>
          <w:rFonts w:cstheme="minorHAnsi"/>
          <w:sz w:val="20"/>
          <w:szCs w:val="18"/>
        </w:rPr>
      </w:pPr>
      <w:r w:rsidRPr="00C22ABE">
        <w:rPr>
          <w:rFonts w:cstheme="minorHAnsi"/>
          <w:sz w:val="20"/>
          <w:szCs w:val="18"/>
        </w:rPr>
        <w:t>Le t</w:t>
      </w:r>
      <w:r w:rsidR="004A3D44" w:rsidRPr="00C22ABE">
        <w:rPr>
          <w:rFonts w:cstheme="minorHAnsi"/>
          <w:sz w:val="20"/>
          <w:szCs w:val="18"/>
        </w:rPr>
        <w:t>issu</w:t>
      </w:r>
      <w:r w:rsidR="00340DFB" w:rsidRPr="00C22ABE">
        <w:rPr>
          <w:rFonts w:cstheme="minorHAnsi"/>
          <w:sz w:val="20"/>
          <w:szCs w:val="18"/>
        </w:rPr>
        <w:t xml:space="preserve"> est</w:t>
      </w:r>
      <w:r w:rsidR="004A3D44" w:rsidRPr="00C22ABE">
        <w:rPr>
          <w:rFonts w:cstheme="minorHAnsi"/>
          <w:sz w:val="20"/>
          <w:szCs w:val="18"/>
        </w:rPr>
        <w:t xml:space="preserve"> peu vascularisé et peu cellularisé, cicatriciel</w:t>
      </w:r>
      <w:r w:rsidR="00340DFB" w:rsidRPr="00C22ABE">
        <w:rPr>
          <w:rFonts w:cstheme="minorHAnsi"/>
          <w:sz w:val="20"/>
          <w:szCs w:val="18"/>
        </w:rPr>
        <w:t>,</w:t>
      </w:r>
      <w:r w:rsidR="004A3D44" w:rsidRPr="00C22ABE">
        <w:rPr>
          <w:rFonts w:cstheme="minorHAnsi"/>
          <w:sz w:val="20"/>
          <w:szCs w:val="18"/>
        </w:rPr>
        <w:t xml:space="preserve"> fragile, friable </w:t>
      </w:r>
      <w:r w:rsidR="00340DFB" w:rsidRPr="00C22ABE">
        <w:rPr>
          <w:rFonts w:cstheme="minorHAnsi"/>
          <w:sz w:val="20"/>
          <w:szCs w:val="18"/>
        </w:rPr>
        <w:t xml:space="preserve">et </w:t>
      </w:r>
      <w:r w:rsidR="004A3D44" w:rsidRPr="00C22ABE">
        <w:rPr>
          <w:rFonts w:cstheme="minorHAnsi"/>
          <w:sz w:val="20"/>
          <w:szCs w:val="18"/>
        </w:rPr>
        <w:t xml:space="preserve">à haut risque d’inflammation </w:t>
      </w:r>
      <w:r w:rsidRPr="00C22ABE">
        <w:rPr>
          <w:rFonts w:cstheme="minorHAnsi"/>
          <w:sz w:val="20"/>
          <w:szCs w:val="18"/>
        </w:rPr>
        <w:t>lors d’une l</w:t>
      </w:r>
      <w:r w:rsidR="004A3D44" w:rsidRPr="00C22ABE">
        <w:rPr>
          <w:rFonts w:cstheme="minorHAnsi"/>
          <w:sz w:val="20"/>
          <w:szCs w:val="18"/>
        </w:rPr>
        <w:t>ésion locale</w:t>
      </w:r>
      <w:r w:rsidRPr="00C22ABE">
        <w:rPr>
          <w:rFonts w:cstheme="minorHAnsi"/>
          <w:sz w:val="20"/>
          <w:szCs w:val="18"/>
        </w:rPr>
        <w:t>.</w:t>
      </w:r>
    </w:p>
    <w:p w14:paraId="2E87E0AB" w14:textId="0298CCE7" w:rsidR="004A3D44" w:rsidRPr="00C22ABE" w:rsidRDefault="0002184A" w:rsidP="0002184A">
      <w:pPr>
        <w:pStyle w:val="Paragraphedeliste"/>
        <w:numPr>
          <w:ilvl w:val="0"/>
          <w:numId w:val="3"/>
        </w:numPr>
        <w:spacing w:line="256" w:lineRule="auto"/>
        <w:rPr>
          <w:rFonts w:cstheme="minorHAnsi"/>
          <w:sz w:val="20"/>
          <w:szCs w:val="18"/>
        </w:rPr>
      </w:pPr>
      <w:r w:rsidRPr="00C22ABE">
        <w:rPr>
          <w:rFonts w:cstheme="minorHAnsi"/>
          <w:sz w:val="20"/>
          <w:szCs w:val="18"/>
        </w:rPr>
        <w:t>Les lésions concernent s</w:t>
      </w:r>
      <w:r w:rsidR="004A3D44" w:rsidRPr="00C22ABE">
        <w:rPr>
          <w:rFonts w:cstheme="minorHAnsi"/>
          <w:sz w:val="20"/>
          <w:szCs w:val="18"/>
        </w:rPr>
        <w:t>urtout la mandibule</w:t>
      </w:r>
      <w:r w:rsidR="007902BC" w:rsidRPr="00C22ABE">
        <w:rPr>
          <w:rFonts w:cstheme="minorHAnsi"/>
          <w:sz w:val="20"/>
          <w:szCs w:val="18"/>
        </w:rPr>
        <w:t>, la</w:t>
      </w:r>
      <w:r w:rsidR="004A3D44" w:rsidRPr="00C22ABE">
        <w:rPr>
          <w:rFonts w:cstheme="minorHAnsi"/>
          <w:sz w:val="20"/>
          <w:szCs w:val="18"/>
        </w:rPr>
        <w:t xml:space="preserve"> fibrose entraîn</w:t>
      </w:r>
      <w:r w:rsidR="007902BC" w:rsidRPr="00C22ABE">
        <w:rPr>
          <w:rFonts w:cstheme="minorHAnsi"/>
          <w:sz w:val="20"/>
          <w:szCs w:val="18"/>
        </w:rPr>
        <w:t>ant</w:t>
      </w:r>
      <w:r w:rsidR="004A3D44" w:rsidRPr="00C22ABE">
        <w:rPr>
          <w:rFonts w:cstheme="minorHAnsi"/>
          <w:sz w:val="20"/>
          <w:szCs w:val="18"/>
        </w:rPr>
        <w:t xml:space="preserve"> l’oblitération de l’artère alvéolaire inf</w:t>
      </w:r>
      <w:r w:rsidR="0042607A" w:rsidRPr="00C22ABE">
        <w:rPr>
          <w:rFonts w:cstheme="minorHAnsi"/>
          <w:sz w:val="20"/>
          <w:szCs w:val="18"/>
        </w:rPr>
        <w:t>érieure</w:t>
      </w:r>
      <w:r w:rsidR="004A3D44" w:rsidRPr="00C22ABE">
        <w:rPr>
          <w:rFonts w:cstheme="minorHAnsi"/>
          <w:sz w:val="20"/>
          <w:szCs w:val="18"/>
        </w:rPr>
        <w:t xml:space="preserve"> et de l’artère faciale</w:t>
      </w:r>
      <w:r w:rsidR="00340DFB" w:rsidRPr="00C22ABE">
        <w:rPr>
          <w:rFonts w:cstheme="minorHAnsi"/>
          <w:sz w:val="20"/>
          <w:szCs w:val="18"/>
        </w:rPr>
        <w:t>.</w:t>
      </w:r>
    </w:p>
    <w:p w14:paraId="2DC2B9AB" w14:textId="76F2734A" w:rsidR="004A3D44" w:rsidRPr="00C22ABE" w:rsidRDefault="004A3D44" w:rsidP="004A3D44">
      <w:pPr>
        <w:pStyle w:val="Paragraphedeliste"/>
        <w:numPr>
          <w:ilvl w:val="0"/>
          <w:numId w:val="3"/>
        </w:numPr>
        <w:spacing w:line="256" w:lineRule="auto"/>
        <w:rPr>
          <w:rFonts w:cstheme="minorHAnsi"/>
          <w:sz w:val="20"/>
          <w:szCs w:val="18"/>
        </w:rPr>
      </w:pPr>
      <w:r w:rsidRPr="00C22ABE">
        <w:rPr>
          <w:rFonts w:cstheme="minorHAnsi"/>
          <w:sz w:val="20"/>
          <w:szCs w:val="18"/>
        </w:rPr>
        <w:t>Lors de cette phase, le tissu est densifié par les dépôts successifs de MEC</w:t>
      </w:r>
      <w:r w:rsidR="00340DFB" w:rsidRPr="00C22ABE">
        <w:rPr>
          <w:rFonts w:cstheme="minorHAnsi"/>
          <w:sz w:val="20"/>
          <w:szCs w:val="18"/>
        </w:rPr>
        <w:t>.</w:t>
      </w:r>
    </w:p>
    <w:p w14:paraId="1B8062AA" w14:textId="798D9683" w:rsidR="0049156A" w:rsidRPr="00C22ABE" w:rsidRDefault="001F2F91" w:rsidP="001F62AC">
      <w:pPr>
        <w:spacing w:line="256" w:lineRule="auto"/>
        <w:rPr>
          <w:rFonts w:cstheme="minorHAnsi"/>
          <w:sz w:val="20"/>
          <w:szCs w:val="18"/>
        </w:rPr>
      </w:pPr>
      <w:r w:rsidRPr="00C22ABE">
        <w:rPr>
          <w:rFonts w:cstheme="minorHAnsi"/>
          <w:sz w:val="20"/>
          <w:szCs w:val="18"/>
        </w:rPr>
        <w:t xml:space="preserve">En résumé, la radiothérapie induit des lésions des cellules endothéliales </w:t>
      </w:r>
      <w:r w:rsidR="00E0468D" w:rsidRPr="00C22ABE">
        <w:rPr>
          <w:rFonts w:cstheme="minorHAnsi"/>
          <w:sz w:val="20"/>
          <w:szCs w:val="18"/>
        </w:rPr>
        <w:t>entre autres</w:t>
      </w:r>
      <w:r w:rsidRPr="00C22ABE">
        <w:rPr>
          <w:rFonts w:cstheme="minorHAnsi"/>
          <w:sz w:val="20"/>
          <w:szCs w:val="18"/>
        </w:rPr>
        <w:t xml:space="preserve"> dans l’os trabéculaire. Ces lésions stimulent la production de </w:t>
      </w:r>
      <w:proofErr w:type="spellStart"/>
      <w:r w:rsidRPr="00C22ABE">
        <w:rPr>
          <w:rFonts w:cstheme="minorHAnsi"/>
          <w:sz w:val="20"/>
          <w:szCs w:val="18"/>
        </w:rPr>
        <w:t>CKs</w:t>
      </w:r>
      <w:proofErr w:type="spellEnd"/>
      <w:r w:rsidRPr="00C22ABE">
        <w:rPr>
          <w:rFonts w:cstheme="minorHAnsi"/>
          <w:sz w:val="20"/>
          <w:szCs w:val="18"/>
        </w:rPr>
        <w:t xml:space="preserve"> par les fibroblastes, qui activent les myofibroblastes,</w:t>
      </w:r>
      <w:r w:rsidR="007902BC" w:rsidRPr="00C22ABE">
        <w:rPr>
          <w:rFonts w:cstheme="minorHAnsi"/>
          <w:sz w:val="20"/>
          <w:szCs w:val="18"/>
        </w:rPr>
        <w:t xml:space="preserve"> qui ne s’éliminent pas par un rétrocontrôle défectueux. Il existe des</w:t>
      </w:r>
      <w:r w:rsidRPr="00C22ABE">
        <w:rPr>
          <w:rFonts w:cstheme="minorHAnsi"/>
          <w:sz w:val="20"/>
          <w:szCs w:val="18"/>
        </w:rPr>
        <w:t xml:space="preserve"> dépôts anormaux de matériel fibrotique dans la MEC. </w:t>
      </w:r>
      <w:r w:rsidR="007902BC" w:rsidRPr="00C22ABE">
        <w:rPr>
          <w:rFonts w:cstheme="minorHAnsi"/>
          <w:sz w:val="20"/>
          <w:szCs w:val="18"/>
        </w:rPr>
        <w:t xml:space="preserve"> </w:t>
      </w:r>
      <w:r w:rsidRPr="00C22ABE">
        <w:rPr>
          <w:rFonts w:cstheme="minorHAnsi"/>
          <w:bCs/>
          <w:color w:val="000000" w:themeColor="text1"/>
          <w:sz w:val="20"/>
          <w:szCs w:val="14"/>
        </w:rPr>
        <w:t>Le déséquilibre entre synthèse et dégradation produit une hyalinisation progressive et une fibrose des espaces médullaires</w:t>
      </w:r>
      <w:r w:rsidRPr="00C22ABE">
        <w:rPr>
          <w:rFonts w:cstheme="minorHAnsi"/>
          <w:sz w:val="20"/>
          <w:szCs w:val="18"/>
        </w:rPr>
        <w:t xml:space="preserve">. Ce tissu </w:t>
      </w:r>
      <w:proofErr w:type="spellStart"/>
      <w:r w:rsidRPr="00C22ABE">
        <w:rPr>
          <w:rFonts w:cstheme="minorHAnsi"/>
          <w:sz w:val="20"/>
          <w:szCs w:val="18"/>
        </w:rPr>
        <w:t>paucicellulaire</w:t>
      </w:r>
      <w:proofErr w:type="spellEnd"/>
      <w:r w:rsidRPr="00C22ABE">
        <w:rPr>
          <w:rFonts w:cstheme="minorHAnsi"/>
          <w:sz w:val="20"/>
          <w:szCs w:val="18"/>
        </w:rPr>
        <w:t xml:space="preserve"> et fibreux a une réponse inadéquate lors d’un </w:t>
      </w:r>
      <w:r w:rsidR="00E0468D" w:rsidRPr="00C22ABE">
        <w:rPr>
          <w:rFonts w:cstheme="minorHAnsi"/>
          <w:sz w:val="20"/>
          <w:szCs w:val="18"/>
        </w:rPr>
        <w:t xml:space="preserve">traumatisme, </w:t>
      </w:r>
      <w:r w:rsidR="007902BC" w:rsidRPr="00C22ABE">
        <w:rPr>
          <w:rFonts w:cstheme="minorHAnsi"/>
          <w:sz w:val="20"/>
          <w:szCs w:val="18"/>
        </w:rPr>
        <w:t xml:space="preserve">résultant en </w:t>
      </w:r>
      <w:r w:rsidRPr="00C22ABE">
        <w:rPr>
          <w:rFonts w:cstheme="minorHAnsi"/>
          <w:sz w:val="20"/>
          <w:szCs w:val="18"/>
        </w:rPr>
        <w:t xml:space="preserve">l’apparition d’une ORN. L’expression altérée de facteurs de croissance comme TGF-β et </w:t>
      </w:r>
      <w:proofErr w:type="spellStart"/>
      <w:r w:rsidRPr="00C22ABE">
        <w:rPr>
          <w:rFonts w:cstheme="minorHAnsi"/>
          <w:sz w:val="20"/>
          <w:szCs w:val="18"/>
        </w:rPr>
        <w:t>BMPs</w:t>
      </w:r>
      <w:proofErr w:type="spellEnd"/>
      <w:r w:rsidRPr="00C22ABE">
        <w:rPr>
          <w:rFonts w:cstheme="minorHAnsi"/>
          <w:sz w:val="20"/>
          <w:szCs w:val="18"/>
        </w:rPr>
        <w:t xml:space="preserve"> (Bone </w:t>
      </w:r>
      <w:proofErr w:type="spellStart"/>
      <w:r w:rsidRPr="00C22ABE">
        <w:rPr>
          <w:rFonts w:cstheme="minorHAnsi"/>
          <w:sz w:val="20"/>
          <w:szCs w:val="18"/>
        </w:rPr>
        <w:t>Morphogenic</w:t>
      </w:r>
      <w:proofErr w:type="spellEnd"/>
      <w:r w:rsidRPr="00C22ABE">
        <w:rPr>
          <w:rFonts w:cstheme="minorHAnsi"/>
          <w:sz w:val="20"/>
          <w:szCs w:val="18"/>
        </w:rPr>
        <w:t xml:space="preserve"> </w:t>
      </w:r>
      <w:proofErr w:type="spellStart"/>
      <w:r w:rsidRPr="00C22ABE">
        <w:rPr>
          <w:rFonts w:cstheme="minorHAnsi"/>
          <w:sz w:val="20"/>
          <w:szCs w:val="18"/>
        </w:rPr>
        <w:t>Proteins</w:t>
      </w:r>
      <w:proofErr w:type="spellEnd"/>
      <w:r w:rsidRPr="00C22ABE">
        <w:rPr>
          <w:rFonts w:cstheme="minorHAnsi"/>
          <w:sz w:val="20"/>
          <w:szCs w:val="18"/>
        </w:rPr>
        <w:t>)</w:t>
      </w:r>
      <w:r w:rsidR="0049156A" w:rsidRPr="00C22ABE">
        <w:rPr>
          <w:rFonts w:cstheme="minorHAnsi"/>
          <w:sz w:val="20"/>
          <w:szCs w:val="18"/>
        </w:rPr>
        <w:t xml:space="preserve"> est</w:t>
      </w:r>
      <w:r w:rsidRPr="00C22ABE">
        <w:rPr>
          <w:rFonts w:cstheme="minorHAnsi"/>
          <w:sz w:val="20"/>
          <w:szCs w:val="18"/>
        </w:rPr>
        <w:t xml:space="preserve"> à l’origine d’une altération de la cicatrisation osseuse après </w:t>
      </w:r>
      <w:proofErr w:type="spellStart"/>
      <w:r w:rsidRPr="00C22ABE">
        <w:rPr>
          <w:rFonts w:cstheme="minorHAnsi"/>
          <w:sz w:val="20"/>
          <w:szCs w:val="18"/>
        </w:rPr>
        <w:t>Rth</w:t>
      </w:r>
      <w:proofErr w:type="spellEnd"/>
      <w:r w:rsidRPr="00C22ABE">
        <w:rPr>
          <w:rFonts w:cstheme="minorHAnsi"/>
          <w:sz w:val="20"/>
          <w:szCs w:val="18"/>
        </w:rPr>
        <w:t xml:space="preserve">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UNjScsB1","properties":{"formattedCitation":"(40)","plainCitation":"(40)","noteIndex":0},"citationItems":[{"id":299,"uris":["http://zotero.org/users/local/Om3YyEnU/items/E4R2YLT5"],"uri":["http://zotero.org/users/local/Om3YyEnU/items/E4R2YLT5"],"itemData":{"id":299,"type":"article-journal","abstract":"OBJECTIVES: The aim of this study was to assess the microarchitecture and turnover in irradiated cancellous mandibular bone and the relation with radiation dose, to elucidate the effects of radiotherapy on the mandible.\nPATIENTS AND METHODS: Mandibular cancellous bone biopsies were taken from irradiated patients and controls. Micro-CT scanning was performed to analyze microstructural bone parameters. Bone turnover was assessed by histomorphometry. Local radiation dose at the biopsy site (Dmax) was estimated from radiotherapy plans.\nRESULTS: Twenty-seven irradiated patients and 35 controls were included. Osteoid volume (Osteoid Volume/Bone Volume, OV/BV) [0.066/0.168 (median/interquartile range (IQR), OV/BV; %), P &lt; 0.001], osteoid surface (Osteoid Surface/Bone Surface, OS/BS) [0.772/2.17 (median/IQR, OS/BS; %), P &lt; 0.001] and osteoclasts number (Osteoclasts per millimetre bone surface, Ocl/mmBS; mm2) [0.026/0.123 (median/IQR, Ocl/mmBS; mm2), P &lt; 0.001] were decreased; trabecular number (Tb.N) was lower [1.63/0.63 (median/IQR, Tb.N; 1/mm-1), P = 0.012] and trabecular separation (Tb.Sp) [0.626/0.24 (median/IQR, Tb.Sp; μm), P = 0.038] was higher in irradiated mandibular bone. With higher Dmax, trabecular number increases (Spearman's correlation R = 0.470, P = 0.018) and trabecular separation decreases (Spearman's correlation R = -0.526, P = 0.007). Bone mineral density (BMD, milligrams hydroxyappetite per cubic centimetre, mgHA/cm3) [1016/99 (median/IQR, BMD; mgHA/cm3), P = 0.03] and trabecular separation [0.739/0.21 (median/IQR, Tb.Sp; μm), P = 0.005] are higher whereas connectivity density (Conn Dens) [3.94/6.71 (median/IQR, Conn Dens), P = 0.047] and trabecular number [1.48/0.44 (median/IQR, Tb.N; 1/mm-1), P = 0.002] are lower in Dmax ≤50 Gy compared to controls.\nCONCLUSIONS: Radiotherapy dramatically impairs bone turnover in the mandible. Deterioration in microarchitecture only affects bone irradiated with a Dmax of &lt;50 Gy. The 50 Gy value seems to be a critical threshold to where the effects of the radiation is more detrimental.","container-title":"Journal of Cranio-Maxillo-Facial Surgery: Official Publication of the European Association for Cranio-Maxillo-Facial Surgery","DOI":"10.1016/j.jcms.2020.05.015","ISSN":"1878-4119","issue":"8","journalAbbreviation":"J Craniomaxillofac Surg","language":"eng","note":"PMID: 32591131","page":"733-740","source":"PubMed","title":"Bone microarchitecture and turnover in the irradiated human mandible","volume":"48","author":[{"family":"Dekker","given":"H."},{"family":"Schulten","given":"E. a. J. M."},{"family":"Ruijven","given":"L.","non-dropping-particle":"van"},{"family":"Essen","given":"H. W.","non-dropping-particle":"van"},{"family":"Blom","given":"G. J."},{"family":"Bloemena","given":"E."},{"family":"Ten Bruggenkate","given":"Chr M."},{"family":"Kullaa","given":"A. M."},{"family":"Bravenboer","given":"N."}],"issued":{"date-parts":[["2020",8]]}}}],"schema":"https://github.com/citation-style-language/schema/raw/master/csl-citation.json"}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(40)</w:t>
      </w:r>
      <w:r w:rsidRPr="00C22ABE">
        <w:rPr>
          <w:rFonts w:cstheme="minorHAnsi"/>
          <w:sz w:val="20"/>
          <w:szCs w:val="18"/>
        </w:rPr>
        <w:fldChar w:fldCharType="end"/>
      </w:r>
      <w:r w:rsidRPr="00C22ABE">
        <w:rPr>
          <w:rFonts w:cstheme="minorHAnsi"/>
          <w:sz w:val="20"/>
          <w:szCs w:val="18"/>
        </w:rPr>
        <w:t>.</w:t>
      </w:r>
    </w:p>
    <w:p w14:paraId="725E8074" w14:textId="3586954C" w:rsidR="00AC0962" w:rsidRPr="00C22ABE" w:rsidRDefault="00971C23" w:rsidP="0065120B">
      <w:pPr>
        <w:pStyle w:val="Paragraphedeliste"/>
        <w:numPr>
          <w:ilvl w:val="0"/>
          <w:numId w:val="27"/>
        </w:numPr>
        <w:rPr>
          <w:rFonts w:cstheme="minorHAnsi"/>
          <w:szCs w:val="18"/>
        </w:rPr>
      </w:pPr>
      <w:r w:rsidRPr="00C22ABE">
        <w:rPr>
          <w:rFonts w:cstheme="minorHAnsi"/>
          <w:b/>
          <w:color w:val="0000FF"/>
          <w:sz w:val="28"/>
          <w:szCs w:val="18"/>
          <w:u w:val="single"/>
        </w:rPr>
        <w:t>Hypothèse génétique</w:t>
      </w:r>
    </w:p>
    <w:p w14:paraId="7D7068CB" w14:textId="2664B811" w:rsidR="00FC537A" w:rsidRPr="00C22ABE" w:rsidRDefault="0044118C" w:rsidP="002B439B">
      <w:pPr>
        <w:spacing w:after="0"/>
        <w:rPr>
          <w:rFonts w:cstheme="minorHAnsi"/>
          <w:sz w:val="20"/>
          <w:szCs w:val="18"/>
        </w:rPr>
      </w:pPr>
      <w:r w:rsidRPr="00C22ABE">
        <w:rPr>
          <w:rFonts w:cstheme="minorHAnsi"/>
          <w:sz w:val="20"/>
          <w:szCs w:val="18"/>
        </w:rPr>
        <w:t xml:space="preserve">La question des variantes génétiques se pose devant des patients irradiés </w:t>
      </w:r>
      <w:r w:rsidR="00C810B0" w:rsidRPr="00C22ABE">
        <w:rPr>
          <w:rFonts w:cstheme="minorHAnsi"/>
          <w:sz w:val="20"/>
          <w:szCs w:val="18"/>
        </w:rPr>
        <w:t xml:space="preserve">dans les mêmes circonstances </w:t>
      </w:r>
      <w:r w:rsidRPr="00C22ABE">
        <w:rPr>
          <w:rFonts w:cstheme="minorHAnsi"/>
          <w:sz w:val="20"/>
          <w:szCs w:val="18"/>
        </w:rPr>
        <w:t xml:space="preserve">mais qui </w:t>
      </w:r>
      <w:r w:rsidR="00C810B0" w:rsidRPr="00C22ABE">
        <w:rPr>
          <w:rFonts w:cstheme="minorHAnsi"/>
          <w:sz w:val="20"/>
          <w:szCs w:val="18"/>
        </w:rPr>
        <w:t>présentent des toxicités variables</w:t>
      </w:r>
      <w:r w:rsidRPr="00C22ABE">
        <w:rPr>
          <w:rFonts w:cstheme="minorHAnsi"/>
          <w:sz w:val="20"/>
          <w:szCs w:val="18"/>
        </w:rPr>
        <w:t>.</w:t>
      </w:r>
      <w:r w:rsidR="00C4439A" w:rsidRPr="00C22ABE">
        <w:rPr>
          <w:rFonts w:cstheme="minorHAnsi"/>
          <w:sz w:val="20"/>
          <w:szCs w:val="18"/>
        </w:rPr>
        <w:t xml:space="preserve"> C</w:t>
      </w:r>
      <w:r w:rsidR="00AC0962" w:rsidRPr="00C22ABE">
        <w:rPr>
          <w:rFonts w:cstheme="minorHAnsi"/>
          <w:sz w:val="20"/>
          <w:szCs w:val="18"/>
        </w:rPr>
        <w:t xml:space="preserve">ertains polymorphisme </w:t>
      </w:r>
      <w:r w:rsidR="00CE1406" w:rsidRPr="00C22ABE">
        <w:rPr>
          <w:rFonts w:cstheme="minorHAnsi"/>
          <w:sz w:val="20"/>
          <w:szCs w:val="18"/>
        </w:rPr>
        <w:t>nucléotidiques</w:t>
      </w:r>
      <w:r w:rsidR="00AC0962" w:rsidRPr="00C22ABE">
        <w:rPr>
          <w:rFonts w:cstheme="minorHAnsi"/>
          <w:sz w:val="20"/>
          <w:szCs w:val="18"/>
        </w:rPr>
        <w:t xml:space="preserve"> </w:t>
      </w:r>
      <w:r w:rsidR="00EB4029" w:rsidRPr="00C22ABE">
        <w:rPr>
          <w:rFonts w:cstheme="minorHAnsi"/>
          <w:sz w:val="20"/>
          <w:szCs w:val="18"/>
        </w:rPr>
        <w:t>(</w:t>
      </w:r>
      <w:proofErr w:type="spellStart"/>
      <w:r w:rsidR="00EB4029" w:rsidRPr="00C22ABE">
        <w:rPr>
          <w:rFonts w:cstheme="minorHAnsi"/>
          <w:sz w:val="20"/>
          <w:szCs w:val="18"/>
        </w:rPr>
        <w:t>SNP</w:t>
      </w:r>
      <w:r w:rsidR="00C4439A" w:rsidRPr="00C22ABE">
        <w:rPr>
          <w:rFonts w:cstheme="minorHAnsi"/>
          <w:sz w:val="20"/>
          <w:szCs w:val="18"/>
        </w:rPr>
        <w:t>s</w:t>
      </w:r>
      <w:proofErr w:type="spellEnd"/>
      <w:r w:rsidR="00EB4029" w:rsidRPr="00C22ABE">
        <w:rPr>
          <w:rFonts w:cstheme="minorHAnsi"/>
          <w:sz w:val="20"/>
          <w:szCs w:val="18"/>
        </w:rPr>
        <w:t xml:space="preserve">) </w:t>
      </w:r>
      <w:r w:rsidR="00C810B0" w:rsidRPr="00C22ABE">
        <w:rPr>
          <w:rFonts w:cstheme="minorHAnsi"/>
          <w:sz w:val="20"/>
          <w:szCs w:val="18"/>
        </w:rPr>
        <w:t>pourraient</w:t>
      </w:r>
      <w:r w:rsidR="00AC0962" w:rsidRPr="00C22ABE">
        <w:rPr>
          <w:rFonts w:cstheme="minorHAnsi"/>
          <w:sz w:val="20"/>
          <w:szCs w:val="18"/>
        </w:rPr>
        <w:t xml:space="preserve"> influencer la radiotoxicité </w:t>
      </w:r>
      <w:r w:rsidR="00C810B0" w:rsidRPr="00C22ABE">
        <w:rPr>
          <w:rFonts w:cstheme="minorHAnsi"/>
          <w:sz w:val="20"/>
          <w:szCs w:val="18"/>
        </w:rPr>
        <w:t>sur les</w:t>
      </w:r>
      <w:r w:rsidR="00AC0962" w:rsidRPr="00C22ABE">
        <w:rPr>
          <w:rFonts w:cstheme="minorHAnsi"/>
          <w:sz w:val="20"/>
          <w:szCs w:val="18"/>
        </w:rPr>
        <w:t xml:space="preserve"> tissus</w:t>
      </w:r>
      <w:r w:rsidR="0076356A" w:rsidRPr="00C22ABE">
        <w:rPr>
          <w:rFonts w:cstheme="minorHAnsi"/>
          <w:sz w:val="20"/>
          <w:szCs w:val="18"/>
        </w:rPr>
        <w:t xml:space="preserve">. </w:t>
      </w:r>
      <w:r w:rsidR="00192273" w:rsidRPr="00C22ABE">
        <w:rPr>
          <w:rFonts w:cstheme="minorHAnsi"/>
          <w:sz w:val="20"/>
          <w:szCs w:val="18"/>
        </w:rPr>
        <w:t xml:space="preserve">Il serait intéressant de connaître ces patients à risque d’ORN dès le début du traitement pour avoir une attitude </w:t>
      </w:r>
      <w:r w:rsidRPr="00C22ABE">
        <w:rPr>
          <w:rFonts w:cstheme="minorHAnsi"/>
          <w:sz w:val="20"/>
          <w:szCs w:val="18"/>
        </w:rPr>
        <w:t xml:space="preserve">préventive et une </w:t>
      </w:r>
      <w:r w:rsidR="00192273" w:rsidRPr="00C22ABE">
        <w:rPr>
          <w:rFonts w:cstheme="minorHAnsi"/>
          <w:sz w:val="20"/>
          <w:szCs w:val="18"/>
        </w:rPr>
        <w:t>surveillance</w:t>
      </w:r>
      <w:r w:rsidRPr="00C22ABE">
        <w:rPr>
          <w:rFonts w:cstheme="minorHAnsi"/>
          <w:sz w:val="20"/>
          <w:szCs w:val="18"/>
        </w:rPr>
        <w:t xml:space="preserve"> </w:t>
      </w:r>
      <w:r w:rsidR="00192273" w:rsidRPr="00C22ABE">
        <w:rPr>
          <w:rFonts w:cstheme="minorHAnsi"/>
          <w:sz w:val="20"/>
          <w:szCs w:val="18"/>
        </w:rPr>
        <w:t>plus</w:t>
      </w:r>
      <w:r w:rsidR="005619BB" w:rsidRPr="00C22ABE">
        <w:rPr>
          <w:rFonts w:cstheme="minorHAnsi"/>
          <w:sz w:val="20"/>
          <w:szCs w:val="18"/>
        </w:rPr>
        <w:t xml:space="preserve"> ciblée</w:t>
      </w:r>
      <w:r w:rsidRPr="00C22ABE">
        <w:rPr>
          <w:rFonts w:cstheme="minorHAnsi"/>
          <w:sz w:val="20"/>
          <w:szCs w:val="18"/>
        </w:rPr>
        <w:t>s</w:t>
      </w:r>
      <w:r w:rsidR="00192273" w:rsidRPr="00C22ABE">
        <w:rPr>
          <w:rFonts w:cstheme="minorHAnsi"/>
          <w:sz w:val="20"/>
          <w:szCs w:val="18"/>
        </w:rPr>
        <w:t>.</w:t>
      </w:r>
      <w:r w:rsidR="00FC537A" w:rsidRPr="00C22ABE">
        <w:rPr>
          <w:rFonts w:cstheme="minorHAnsi"/>
          <w:sz w:val="20"/>
          <w:szCs w:val="18"/>
        </w:rPr>
        <w:t xml:space="preserve"> Par exemple, certains patients porteurs de maladies congénitales présentant des déficits du mécanisme de réparation de l’ADN (ataxie télangiectasie, </w:t>
      </w:r>
      <w:proofErr w:type="spellStart"/>
      <w:r w:rsidR="00FC537A" w:rsidRPr="00C22ABE">
        <w:rPr>
          <w:rFonts w:cstheme="minorHAnsi"/>
          <w:sz w:val="20"/>
          <w:szCs w:val="18"/>
        </w:rPr>
        <w:t>xeroderma</w:t>
      </w:r>
      <w:proofErr w:type="spellEnd"/>
      <w:r w:rsidR="00FC537A" w:rsidRPr="00C22ABE">
        <w:rPr>
          <w:rFonts w:cstheme="minorHAnsi"/>
          <w:sz w:val="20"/>
          <w:szCs w:val="18"/>
        </w:rPr>
        <w:t xml:space="preserve"> pigmentosum) sont très sensibles aux radiations ionisantes </w:t>
      </w:r>
      <w:r w:rsidR="00FC537A" w:rsidRPr="00C22ABE">
        <w:rPr>
          <w:rFonts w:cstheme="minorHAnsi"/>
          <w:sz w:val="20"/>
          <w:szCs w:val="18"/>
        </w:rPr>
        <w:fldChar w:fldCharType="begin"/>
      </w:r>
      <w:r w:rsidR="00DD29FB" w:rsidRPr="00C22ABE">
        <w:rPr>
          <w:rFonts w:cstheme="minorHAnsi"/>
          <w:sz w:val="20"/>
          <w:szCs w:val="18"/>
        </w:rPr>
        <w:instrText xml:space="preserve"> ADDIN ZOTERO_ITEM CSL_CITATION {"citationID":"qLJo5Qm9","properties":{"formattedCitation":"(41)","plainCitation":"(41)","noteIndex":0},"citationItems":[{"id":258,"uris":["http://zotero.org/users/local/Om3YyEnU/items/YHYEYQKE"],"uri":["http://zotero.org/users/local/Om3YyEnU/items/YHYEYQKE"],"itemData":{"id":258,"type":"article-journal","abstract":"PURPOSE: The radiation-induced fibro-atrophic process described in numerous tissues and organs is a localized and irreversible late effect of high-dose radiation therapy. Our purpose is to show that this process is today reversible.\nCURRENT KNOWLEDGE AND KEY POINTS: This review describes a synthesis of various clinical, paraclinical and histopathological aspects of radiation-induced fibro-atrophic process, and of cellular and molecular process regulation. Schematically, there exists a prefibrotic aspecific inflammatory phase, then a constituted and cellular phase, then a matricial densification and remodeling phase, associated in some cases with a tissular terminal necrosis. The respective parts and their evolution during time of the main protagonists as myofibroblast, extracellular matrix and growth factor TGF beta 1 are clarified. From the pathophysiological mechanisms described, curative therapeutic attitudes are proposed for the different progressive phases. Especially, superoxide dismutase (not available) and the pentoxifylline-tocopherol combination seem to allow reduction and reversibility of the fibro-atrophic radiation-induced established process, in clinics as in animal experiments.\nFUTURE PROSPECTS AND PROJECTS: Some phase II trials try to assess the therapeutic interest of combined pentoxifylline-tocopherol in various radiation-induced sequelae, as in osteo-radionecrosis. A clinical randomized trial phase III has just been achieved and could support the results of these experimental and retrospective clinical trials.","container-title":"La Revue De Medecine Interne","DOI":"10.1016/s0248-8663(01)00532-x","ISSN":"0248-8663","issue":"2","journalAbbreviation":"Rev Med Interne","language":"fre","note":"PMID: 11876060","page":"164-174","source":"PubMed","title":"[Reversibility of radiation-induced fibroatrophy]","volume":"23","author":[{"family":"Delanian","given":"S."},{"family":"Lefaix","given":"J. L."}],"issued":{"date-parts":[["2002",2]]}}}],"schema":"https://github.com/citation-style-language/schema/raw/master/csl-citation.json"} </w:instrText>
      </w:r>
      <w:r w:rsidR="00FC537A" w:rsidRPr="00C22ABE">
        <w:rPr>
          <w:rFonts w:cstheme="minorHAnsi"/>
          <w:sz w:val="20"/>
          <w:szCs w:val="18"/>
        </w:rPr>
        <w:fldChar w:fldCharType="separate"/>
      </w:r>
      <w:r w:rsidR="00DD29FB" w:rsidRPr="00C22ABE">
        <w:rPr>
          <w:rFonts w:cstheme="minorHAnsi"/>
          <w:sz w:val="20"/>
        </w:rPr>
        <w:t>(41)</w:t>
      </w:r>
      <w:r w:rsidR="00FC537A" w:rsidRPr="00C22ABE">
        <w:rPr>
          <w:rFonts w:cstheme="minorHAnsi"/>
          <w:sz w:val="20"/>
          <w:szCs w:val="18"/>
        </w:rPr>
        <w:fldChar w:fldCharType="end"/>
      </w:r>
      <w:r w:rsidR="00FC537A" w:rsidRPr="00C22ABE">
        <w:rPr>
          <w:rFonts w:cstheme="minorHAnsi"/>
          <w:sz w:val="20"/>
          <w:szCs w:val="18"/>
        </w:rPr>
        <w:t>.</w:t>
      </w:r>
    </w:p>
    <w:p w14:paraId="196A334A" w14:textId="5A38A0CC" w:rsidR="00FC537A" w:rsidRPr="00C22ABE" w:rsidRDefault="00FC537A" w:rsidP="002B439B">
      <w:pPr>
        <w:spacing w:after="0"/>
        <w:rPr>
          <w:rFonts w:cstheme="minorHAnsi"/>
          <w:sz w:val="20"/>
          <w:szCs w:val="18"/>
        </w:rPr>
      </w:pPr>
      <w:r w:rsidRPr="00C22ABE">
        <w:rPr>
          <w:rFonts w:cstheme="minorHAnsi"/>
          <w:sz w:val="20"/>
          <w:szCs w:val="18"/>
        </w:rPr>
        <w:t>Après irradiation, la réponse aux lésions de l’ADN est indispensable pour la conservation de l’intégrité du génome. Il existe différentes voies de réparation de l’ADN en fonction du dommage subit. La fibrose radioinduite (toxicité tardive) est en relation avec la dérégulation de l’inflammation et de la régénération cellulaire</w:t>
      </w:r>
      <w:r w:rsidR="002B439B" w:rsidRPr="00C22ABE">
        <w:rPr>
          <w:rFonts w:cstheme="minorHAnsi"/>
          <w:sz w:val="20"/>
          <w:szCs w:val="18"/>
        </w:rPr>
        <w:t>.</w:t>
      </w:r>
    </w:p>
    <w:p w14:paraId="076AE6D7" w14:textId="133BE05A" w:rsidR="00AC0962" w:rsidRPr="00C22ABE" w:rsidRDefault="00AC0962" w:rsidP="002B439B">
      <w:pPr>
        <w:spacing w:after="0"/>
        <w:rPr>
          <w:rFonts w:cstheme="minorHAnsi"/>
          <w:sz w:val="20"/>
          <w:szCs w:val="18"/>
        </w:rPr>
      </w:pPr>
      <w:r w:rsidRPr="00C22ABE">
        <w:rPr>
          <w:rFonts w:cstheme="minorHAnsi"/>
          <w:sz w:val="20"/>
          <w:szCs w:val="18"/>
        </w:rPr>
        <w:t xml:space="preserve">Une revue systématique de Ghazali et al </w:t>
      </w:r>
      <w:r w:rsidR="0076356A" w:rsidRPr="00C22ABE">
        <w:rPr>
          <w:rFonts w:cstheme="minorHAnsi"/>
          <w:sz w:val="20"/>
          <w:szCs w:val="18"/>
        </w:rPr>
        <w:t xml:space="preserve"> </w:t>
      </w:r>
      <w:r w:rsidR="0076356A" w:rsidRPr="00C22ABE">
        <w:rPr>
          <w:rFonts w:cstheme="minorHAnsi"/>
          <w:sz w:val="20"/>
          <w:szCs w:val="18"/>
        </w:rPr>
        <w:fldChar w:fldCharType="begin"/>
      </w:r>
      <w:r w:rsidR="00DD29FB" w:rsidRPr="00C22ABE">
        <w:rPr>
          <w:rFonts w:cstheme="minorHAnsi"/>
          <w:sz w:val="20"/>
          <w:szCs w:val="18"/>
        </w:rPr>
        <w:instrText xml:space="preserve"> ADDIN ZOTERO_ITEM CSL_CITATION {"citationID":"haxkl6S6","properties":{"formattedCitation":"(42)","plainCitation":"(42)","noteIndex":0},"citationItems":[{"id":203,"uris":["http://zotero.org/users/local/Om3YyEnU/items/LUR6KM2E"],"uri":["http://zotero.org/users/local/Om3YyEnU/items/LUR6KM2E"],"itemData":{"id":203,"type":"article-journal","container-title":"Oral Oncology","DOI":"10.1016/j.oraloncology.2012.08.002","ISSN":"13688375","issue":"11","journalAbbreviation":"Oral Oncology","language":"en","page":"1090-1100","source":"DOI.org (Crossref)","title":"Genomic determinants of normal tissue toxicity after radiotherapy for head and neck malignancy: A systematic review","title-short":"Genomic determinants of normal tissue toxicity after radiotherapy for head and neck malignancy","volume":"48","author":[{"family":"Ghazali","given":"Naseem"},{"family":"Shaw","given":"Richard J."},{"family":"Rogers","given":"Simon N."},{"family":"Risk","given":"Janet M."}],"issued":{"date-parts":[["2012",11]]}}}],"schema":"https://github.com/citation-style-language/schema/raw/master/csl-citation.json"} </w:instrText>
      </w:r>
      <w:r w:rsidR="0076356A" w:rsidRPr="00C22ABE">
        <w:rPr>
          <w:rFonts w:cstheme="minorHAnsi"/>
          <w:sz w:val="20"/>
          <w:szCs w:val="18"/>
        </w:rPr>
        <w:fldChar w:fldCharType="separate"/>
      </w:r>
      <w:r w:rsidR="00DD29FB" w:rsidRPr="00C22ABE">
        <w:rPr>
          <w:rFonts w:cstheme="minorHAnsi"/>
          <w:sz w:val="20"/>
        </w:rPr>
        <w:t>(42)</w:t>
      </w:r>
      <w:r w:rsidR="0076356A" w:rsidRPr="00C22ABE">
        <w:rPr>
          <w:rFonts w:cstheme="minorHAnsi"/>
          <w:sz w:val="20"/>
          <w:szCs w:val="18"/>
        </w:rPr>
        <w:fldChar w:fldCharType="end"/>
      </w:r>
      <w:r w:rsidR="00C4439A" w:rsidRPr="00C22ABE">
        <w:rPr>
          <w:rFonts w:cstheme="minorHAnsi"/>
          <w:sz w:val="20"/>
          <w:szCs w:val="18"/>
        </w:rPr>
        <w:t xml:space="preserve"> </w:t>
      </w:r>
      <w:r w:rsidRPr="00C22ABE">
        <w:rPr>
          <w:rFonts w:cstheme="minorHAnsi"/>
          <w:sz w:val="20"/>
          <w:szCs w:val="18"/>
        </w:rPr>
        <w:t>a inclus 7 articles comprenant de 32 à 140 patients</w:t>
      </w:r>
      <w:r w:rsidR="00AF6883" w:rsidRPr="00C22ABE">
        <w:rPr>
          <w:rFonts w:cstheme="minorHAnsi"/>
          <w:sz w:val="20"/>
          <w:szCs w:val="18"/>
        </w:rPr>
        <w:t xml:space="preserve"> (5</w:t>
      </w:r>
      <w:r w:rsidR="00DA0EF8" w:rsidRPr="00C22ABE">
        <w:rPr>
          <w:rFonts w:cstheme="minorHAnsi"/>
          <w:sz w:val="20"/>
          <w:szCs w:val="18"/>
        </w:rPr>
        <w:t xml:space="preserve"> études cas contrôle et </w:t>
      </w:r>
      <w:r w:rsidR="009743C6" w:rsidRPr="00C22ABE">
        <w:rPr>
          <w:rFonts w:cstheme="minorHAnsi"/>
          <w:sz w:val="20"/>
          <w:szCs w:val="18"/>
        </w:rPr>
        <w:t>2 études de cohorte</w:t>
      </w:r>
      <w:r w:rsidR="00DA0EF8" w:rsidRPr="00C22ABE">
        <w:rPr>
          <w:rFonts w:cstheme="minorHAnsi"/>
          <w:sz w:val="20"/>
          <w:szCs w:val="18"/>
        </w:rPr>
        <w:t>)</w:t>
      </w:r>
      <w:r w:rsidR="009743C6" w:rsidRPr="00C22ABE">
        <w:rPr>
          <w:rFonts w:cstheme="minorHAnsi"/>
          <w:sz w:val="20"/>
          <w:szCs w:val="18"/>
        </w:rPr>
        <w:t>.</w:t>
      </w:r>
    </w:p>
    <w:p w14:paraId="39F7B0D5" w14:textId="553BBF06" w:rsidR="00684E22" w:rsidRPr="00C22ABE" w:rsidRDefault="002A6426" w:rsidP="002B439B">
      <w:pPr>
        <w:spacing w:after="0"/>
        <w:rPr>
          <w:rFonts w:cstheme="minorHAnsi"/>
          <w:sz w:val="20"/>
          <w:szCs w:val="18"/>
        </w:rPr>
      </w:pPr>
      <w:r w:rsidRPr="00C22ABE">
        <w:rPr>
          <w:rFonts w:cstheme="minorHAnsi"/>
          <w:sz w:val="20"/>
          <w:szCs w:val="18"/>
        </w:rPr>
        <w:t>Quatorze</w:t>
      </w:r>
      <w:r w:rsidR="00AC0962" w:rsidRPr="00C22ABE">
        <w:rPr>
          <w:rFonts w:cstheme="minorHAnsi"/>
          <w:sz w:val="20"/>
          <w:szCs w:val="18"/>
        </w:rPr>
        <w:t xml:space="preserve"> </w:t>
      </w:r>
      <w:proofErr w:type="spellStart"/>
      <w:r w:rsidR="00AC0962" w:rsidRPr="00C22ABE">
        <w:rPr>
          <w:rFonts w:cstheme="minorHAnsi"/>
          <w:sz w:val="20"/>
          <w:szCs w:val="18"/>
        </w:rPr>
        <w:t>SNPs</w:t>
      </w:r>
      <w:proofErr w:type="spellEnd"/>
      <w:r w:rsidR="00AC0962" w:rsidRPr="00C22ABE">
        <w:rPr>
          <w:rFonts w:cstheme="minorHAnsi"/>
          <w:sz w:val="20"/>
          <w:szCs w:val="18"/>
        </w:rPr>
        <w:t xml:space="preserve"> de 9 gènes ont été évalués concernant la réponse </w:t>
      </w:r>
      <w:r w:rsidR="00CE1406" w:rsidRPr="00C22ABE">
        <w:rPr>
          <w:rFonts w:cstheme="minorHAnsi"/>
          <w:sz w:val="20"/>
          <w:szCs w:val="18"/>
        </w:rPr>
        <w:t>aux lésions de l’ADN</w:t>
      </w:r>
      <w:r w:rsidR="009743C6" w:rsidRPr="00C22ABE">
        <w:rPr>
          <w:rFonts w:cstheme="minorHAnsi"/>
          <w:sz w:val="20"/>
          <w:szCs w:val="18"/>
        </w:rPr>
        <w:t>, la fibrose post</w:t>
      </w:r>
      <w:r w:rsidRPr="00C22ABE">
        <w:rPr>
          <w:rFonts w:cstheme="minorHAnsi"/>
          <w:sz w:val="20"/>
          <w:szCs w:val="18"/>
        </w:rPr>
        <w:t>-</w:t>
      </w:r>
      <w:r w:rsidR="009743C6" w:rsidRPr="00C22ABE">
        <w:rPr>
          <w:rFonts w:cstheme="minorHAnsi"/>
          <w:sz w:val="20"/>
          <w:szCs w:val="18"/>
        </w:rPr>
        <w:t>radique et le métabolisme oxydatif</w:t>
      </w:r>
      <w:r w:rsidR="00B30C5F" w:rsidRPr="00C22ABE">
        <w:rPr>
          <w:rFonts w:cstheme="minorHAnsi"/>
          <w:sz w:val="20"/>
          <w:szCs w:val="18"/>
        </w:rPr>
        <w:t xml:space="preserve">. </w:t>
      </w:r>
      <w:r w:rsidR="00C4439A" w:rsidRPr="00C22ABE">
        <w:rPr>
          <w:rFonts w:cstheme="minorHAnsi"/>
          <w:sz w:val="20"/>
          <w:szCs w:val="18"/>
        </w:rPr>
        <w:t>Les tissus irradiés présentent un stress oxydatif élevé et la c</w:t>
      </w:r>
      <w:r w:rsidR="00B30C5F" w:rsidRPr="00C22ABE">
        <w:rPr>
          <w:rFonts w:cstheme="minorHAnsi"/>
          <w:sz w:val="20"/>
          <w:szCs w:val="18"/>
        </w:rPr>
        <w:t>apacité de gérer</w:t>
      </w:r>
      <w:r w:rsidR="00C4439A" w:rsidRPr="00C22ABE">
        <w:rPr>
          <w:rFonts w:cstheme="minorHAnsi"/>
          <w:sz w:val="20"/>
          <w:szCs w:val="18"/>
        </w:rPr>
        <w:t xml:space="preserve"> ce</w:t>
      </w:r>
      <w:r w:rsidR="00B30C5F" w:rsidRPr="00C22ABE">
        <w:rPr>
          <w:rFonts w:cstheme="minorHAnsi"/>
          <w:sz w:val="20"/>
          <w:szCs w:val="18"/>
        </w:rPr>
        <w:t xml:space="preserve"> stress oxydatif influence le risque de développer des effets secondaires tardifs. </w:t>
      </w:r>
    </w:p>
    <w:p w14:paraId="07236821" w14:textId="4FC15942" w:rsidR="00192273" w:rsidRPr="00C22ABE" w:rsidRDefault="00CE1406" w:rsidP="001A790B">
      <w:pPr>
        <w:rPr>
          <w:rFonts w:cstheme="minorHAnsi"/>
          <w:sz w:val="20"/>
          <w:szCs w:val="18"/>
        </w:rPr>
      </w:pPr>
      <w:r w:rsidRPr="00C22ABE">
        <w:rPr>
          <w:rFonts w:cstheme="minorHAnsi"/>
          <w:sz w:val="20"/>
          <w:szCs w:val="18"/>
        </w:rPr>
        <w:t xml:space="preserve">Les événements radiotoxiques aigus étaient associés avec des </w:t>
      </w:r>
      <w:proofErr w:type="spellStart"/>
      <w:r w:rsidRPr="00C22ABE">
        <w:rPr>
          <w:rFonts w:cstheme="minorHAnsi"/>
          <w:sz w:val="20"/>
          <w:szCs w:val="18"/>
        </w:rPr>
        <w:t>SNPs</w:t>
      </w:r>
      <w:proofErr w:type="spellEnd"/>
      <w:r w:rsidRPr="00C22ABE">
        <w:rPr>
          <w:rFonts w:cstheme="minorHAnsi"/>
          <w:sz w:val="20"/>
          <w:szCs w:val="18"/>
        </w:rPr>
        <w:t xml:space="preserve"> des gènes de réparation de l’ADN</w:t>
      </w:r>
      <w:r w:rsidR="002B439B" w:rsidRPr="00C22ABE">
        <w:rPr>
          <w:rFonts w:cstheme="minorHAnsi"/>
          <w:sz w:val="20"/>
          <w:szCs w:val="18"/>
        </w:rPr>
        <w:t xml:space="preserve">. </w:t>
      </w:r>
      <w:r w:rsidRPr="00C22ABE">
        <w:rPr>
          <w:rFonts w:cstheme="minorHAnsi"/>
          <w:sz w:val="20"/>
          <w:szCs w:val="18"/>
        </w:rPr>
        <w:t xml:space="preserve">Les </w:t>
      </w:r>
      <w:proofErr w:type="spellStart"/>
      <w:r w:rsidRPr="00C22ABE">
        <w:rPr>
          <w:rFonts w:cstheme="minorHAnsi"/>
          <w:sz w:val="20"/>
          <w:szCs w:val="18"/>
        </w:rPr>
        <w:t>SNPs</w:t>
      </w:r>
      <w:proofErr w:type="spellEnd"/>
      <w:r w:rsidRPr="00C22ABE">
        <w:rPr>
          <w:rFonts w:cstheme="minorHAnsi"/>
          <w:sz w:val="20"/>
          <w:szCs w:val="18"/>
        </w:rPr>
        <w:t xml:space="preserve"> du TGF</w:t>
      </w:r>
      <w:r w:rsidRPr="00C22ABE">
        <w:rPr>
          <w:rFonts w:cstheme="minorHAnsi"/>
          <w:sz w:val="20"/>
          <w:szCs w:val="18"/>
          <w:lang w:val="en-US"/>
        </w:rPr>
        <w:t>β</w:t>
      </w:r>
      <w:r w:rsidRPr="00C22ABE">
        <w:rPr>
          <w:rFonts w:cstheme="minorHAnsi"/>
          <w:sz w:val="20"/>
          <w:szCs w:val="18"/>
        </w:rPr>
        <w:t xml:space="preserve">1 étaient associés à l’ORN (OR, 4.2) et à la fibrose sous-cutanée. </w:t>
      </w:r>
      <w:r w:rsidR="00C22ABE">
        <w:rPr>
          <w:rFonts w:cstheme="minorHAnsi"/>
          <w:sz w:val="20"/>
          <w:szCs w:val="18"/>
        </w:rPr>
        <w:t xml:space="preserve">                                                                                   </w:t>
      </w:r>
      <w:r w:rsidR="00192273" w:rsidRPr="00C22ABE">
        <w:rPr>
          <w:rFonts w:cstheme="minorHAnsi"/>
          <w:sz w:val="20"/>
          <w:szCs w:val="18"/>
        </w:rPr>
        <w:t xml:space="preserve">Pour </w:t>
      </w:r>
      <w:proofErr w:type="spellStart"/>
      <w:r w:rsidR="00192273" w:rsidRPr="00C22ABE">
        <w:rPr>
          <w:rFonts w:cstheme="minorHAnsi"/>
          <w:sz w:val="20"/>
          <w:szCs w:val="18"/>
        </w:rPr>
        <w:t>D</w:t>
      </w:r>
      <w:r w:rsidR="00410313" w:rsidRPr="00C22ABE">
        <w:rPr>
          <w:rFonts w:cstheme="minorHAnsi"/>
          <w:sz w:val="20"/>
          <w:szCs w:val="18"/>
        </w:rPr>
        <w:t>anielsson</w:t>
      </w:r>
      <w:proofErr w:type="spellEnd"/>
      <w:r w:rsidR="00192273" w:rsidRPr="00C22ABE">
        <w:rPr>
          <w:rFonts w:cstheme="minorHAnsi"/>
          <w:sz w:val="20"/>
          <w:szCs w:val="18"/>
        </w:rPr>
        <w:t xml:space="preserve"> et al </w:t>
      </w:r>
      <w:r w:rsidR="00192273" w:rsidRPr="00C22ABE">
        <w:rPr>
          <w:rFonts w:cstheme="minorHAnsi"/>
          <w:sz w:val="20"/>
          <w:szCs w:val="18"/>
        </w:rPr>
        <w:fldChar w:fldCharType="begin"/>
      </w:r>
      <w:r w:rsidR="00DD29FB" w:rsidRPr="00C22ABE">
        <w:rPr>
          <w:rFonts w:cstheme="minorHAnsi"/>
          <w:sz w:val="20"/>
          <w:szCs w:val="18"/>
        </w:rPr>
        <w:instrText xml:space="preserve"> ADDIN ZOTERO_ITEM CSL_CITATION {"citationID":"6Cp9wSWA","properties":{"formattedCitation":"(43)","plainCitation":"(43)","noteIndex":0},"citationItems":[{"id":269,"uris":["http://zotero.org/users/local/Om3YyEnU/items/92HQUFKM"],"uri":["http://zotero.org/users/local/Om3YyEnU/items/92HQUFKM"],"itemData":{"id":269,"type":"article-journal","container-title":"Head &amp; Neck","DOI":"10.1002/hed.23903","ISSN":"10433074","issue":"3","journalAbbreviation":"Head Neck","language":"en","page":"387-393","source":"DOI.org (Crossref)","title":"Influence of genetic background and oxidative stress response on risk of mandibular osteoradionecrosis after radiotherapy of head and neck cancer: Osteoradionecrosis and oxidative stress response","title-short":"Influence of genetic background and oxidative stress response on risk of mandibular osteoradionecrosis after radiotherapy of head and neck cancer","volume":"38","author":[{"family":"Danielsson","given":"Daniel"},{"family":"Brehwens","given":"Karl"},{"family":"Halle","given":"Martin"},{"family":"Marczyk","given":"Michal"},{"family":"Sollazzo","given":"Alice"},{"family":"Polanska","given":"Joanna"},{"family":"Munck-Wikland","given":"Eva"},{"family":"Wojcik","given":"Andrzej"},{"family":"Haghdoost","given":"Siamak"}],"issued":{"date-parts":[["2016",3]]}}}],"schema":"https://github.com/citation-style-language/schema/raw/master/csl-citation.json"} </w:instrText>
      </w:r>
      <w:r w:rsidR="00192273" w:rsidRPr="00C22ABE">
        <w:rPr>
          <w:rFonts w:cstheme="minorHAnsi"/>
          <w:sz w:val="20"/>
          <w:szCs w:val="18"/>
        </w:rPr>
        <w:fldChar w:fldCharType="separate"/>
      </w:r>
      <w:r w:rsidR="00DD29FB" w:rsidRPr="00C22ABE">
        <w:rPr>
          <w:rFonts w:cstheme="minorHAnsi"/>
          <w:sz w:val="20"/>
        </w:rPr>
        <w:t>(43)</w:t>
      </w:r>
      <w:r w:rsidR="00192273" w:rsidRPr="00C22ABE">
        <w:rPr>
          <w:rFonts w:cstheme="minorHAnsi"/>
          <w:sz w:val="20"/>
          <w:szCs w:val="18"/>
        </w:rPr>
        <w:fldChar w:fldCharType="end"/>
      </w:r>
      <w:r w:rsidR="00192273" w:rsidRPr="00C22ABE">
        <w:rPr>
          <w:rFonts w:cstheme="minorHAnsi"/>
          <w:sz w:val="20"/>
          <w:szCs w:val="18"/>
        </w:rPr>
        <w:t xml:space="preserve">, des niveaux réduits de 8-oxo-dG et le SNP rs1695 du </w:t>
      </w:r>
      <w:proofErr w:type="spellStart"/>
      <w:r w:rsidR="00192273" w:rsidRPr="00C22ABE">
        <w:rPr>
          <w:rFonts w:cstheme="minorHAnsi"/>
          <w:sz w:val="20"/>
          <w:szCs w:val="18"/>
        </w:rPr>
        <w:t>glutathione</w:t>
      </w:r>
      <w:proofErr w:type="spellEnd"/>
      <w:r w:rsidR="00192273" w:rsidRPr="00C22ABE">
        <w:rPr>
          <w:rFonts w:cstheme="minorHAnsi"/>
          <w:sz w:val="20"/>
          <w:szCs w:val="18"/>
        </w:rPr>
        <w:t xml:space="preserve"> s-</w:t>
      </w:r>
      <w:proofErr w:type="spellStart"/>
      <w:r w:rsidR="00192273" w:rsidRPr="00C22ABE">
        <w:rPr>
          <w:rFonts w:cstheme="minorHAnsi"/>
          <w:sz w:val="20"/>
          <w:szCs w:val="18"/>
        </w:rPr>
        <w:t>transferase</w:t>
      </w:r>
      <w:proofErr w:type="spellEnd"/>
      <w:r w:rsidR="00192273" w:rsidRPr="00C22ABE">
        <w:rPr>
          <w:rFonts w:cstheme="minorHAnsi"/>
          <w:sz w:val="20"/>
          <w:szCs w:val="18"/>
        </w:rPr>
        <w:t xml:space="preserve"> p1 (GSTP1)</w:t>
      </w:r>
      <w:r w:rsidR="001A790B" w:rsidRPr="00C22ABE">
        <w:rPr>
          <w:rFonts w:cstheme="minorHAnsi"/>
          <w:sz w:val="20"/>
          <w:szCs w:val="18"/>
        </w:rPr>
        <w:t xml:space="preserve"> </w:t>
      </w:r>
      <w:r w:rsidR="00192273" w:rsidRPr="00C22ABE">
        <w:rPr>
          <w:rFonts w:cstheme="minorHAnsi"/>
          <w:sz w:val="20"/>
          <w:szCs w:val="18"/>
        </w:rPr>
        <w:t xml:space="preserve">sont associés </w:t>
      </w:r>
      <w:r w:rsidR="001A790B" w:rsidRPr="00C22ABE">
        <w:rPr>
          <w:rFonts w:cstheme="minorHAnsi"/>
          <w:sz w:val="20"/>
          <w:szCs w:val="18"/>
        </w:rPr>
        <w:t xml:space="preserve"> à une radiosensibilité élevée et à un risque </w:t>
      </w:r>
      <w:r w:rsidR="00192273" w:rsidRPr="00C22ABE">
        <w:rPr>
          <w:rFonts w:cstheme="minorHAnsi"/>
          <w:sz w:val="20"/>
          <w:szCs w:val="18"/>
        </w:rPr>
        <w:t xml:space="preserve">d’ORN. </w:t>
      </w:r>
    </w:p>
    <w:p w14:paraId="143A2FE9" w14:textId="63273DAA" w:rsidR="00AF6883" w:rsidRPr="00C22ABE" w:rsidRDefault="00CE1406" w:rsidP="009743C6">
      <w:pPr>
        <w:rPr>
          <w:rFonts w:cstheme="minorHAnsi"/>
          <w:sz w:val="20"/>
          <w:szCs w:val="18"/>
        </w:rPr>
      </w:pPr>
      <w:r w:rsidRPr="00C22ABE">
        <w:rPr>
          <w:rFonts w:cstheme="minorHAnsi"/>
          <w:sz w:val="20"/>
          <w:szCs w:val="18"/>
        </w:rPr>
        <w:t>Des études plus larges sont nécessaires pour caractériser ces résultats</w:t>
      </w:r>
      <w:r w:rsidR="00FC537A" w:rsidRPr="00C22ABE">
        <w:rPr>
          <w:rFonts w:cstheme="minorHAnsi"/>
          <w:sz w:val="20"/>
          <w:szCs w:val="18"/>
        </w:rPr>
        <w:t>.</w:t>
      </w:r>
    </w:p>
    <w:p w14:paraId="7BFBE303" w14:textId="171BFFB0" w:rsidR="00A65C24" w:rsidRPr="00C22ABE" w:rsidRDefault="005631A4" w:rsidP="002E3149">
      <w:pPr>
        <w:tabs>
          <w:tab w:val="left" w:pos="7110"/>
        </w:tabs>
        <w:rPr>
          <w:rFonts w:cstheme="minorHAnsi"/>
          <w:b/>
          <w:color w:val="0000FF"/>
          <w:sz w:val="28"/>
          <w:szCs w:val="18"/>
          <w:u w:val="single"/>
          <w:lang w:val="fr-FR"/>
        </w:rPr>
      </w:pPr>
      <w:r w:rsidRPr="00C22ABE">
        <w:rPr>
          <w:rFonts w:cstheme="minorHAnsi"/>
          <w:b/>
          <w:color w:val="0000FF"/>
          <w:sz w:val="28"/>
          <w:szCs w:val="18"/>
          <w:u w:val="single"/>
          <w:lang w:val="fr-FR"/>
        </w:rPr>
        <w:lastRenderedPageBreak/>
        <w:t xml:space="preserve">8. </w:t>
      </w:r>
      <w:r w:rsidR="00A65C24" w:rsidRPr="00C22ABE">
        <w:rPr>
          <w:rFonts w:cstheme="minorHAnsi"/>
          <w:b/>
          <w:color w:val="0000FF"/>
          <w:sz w:val="28"/>
          <w:szCs w:val="18"/>
          <w:u w:val="single"/>
          <w:lang w:val="fr-FR"/>
        </w:rPr>
        <w:t>Traitement</w:t>
      </w:r>
      <w:r w:rsidR="00D143E4" w:rsidRPr="00C22ABE">
        <w:rPr>
          <w:rFonts w:cstheme="minorHAnsi"/>
          <w:b/>
          <w:color w:val="0000FF"/>
          <w:sz w:val="28"/>
          <w:szCs w:val="18"/>
          <w:u w:val="single"/>
          <w:lang w:val="fr-FR"/>
        </w:rPr>
        <w:t xml:space="preserve"> </w:t>
      </w:r>
      <w:r w:rsidR="00D143E4" w:rsidRPr="00C22ABE">
        <w:rPr>
          <w:rFonts w:cstheme="minorHAnsi"/>
          <w:b/>
          <w:color w:val="0000FF"/>
          <w:szCs w:val="18"/>
          <w:u w:val="single"/>
          <w:lang w:val="fr-FR"/>
        </w:rPr>
        <w:t xml:space="preserve">(tableau </w:t>
      </w:r>
      <w:r w:rsidR="00BC1FA1" w:rsidRPr="00C22ABE">
        <w:rPr>
          <w:rFonts w:cstheme="minorHAnsi"/>
          <w:b/>
          <w:color w:val="0000FF"/>
          <w:szCs w:val="18"/>
          <w:u w:val="single"/>
          <w:lang w:val="fr-FR"/>
        </w:rPr>
        <w:t>4</w:t>
      </w:r>
      <w:r w:rsidR="00D143E4" w:rsidRPr="00C22ABE">
        <w:rPr>
          <w:rFonts w:cstheme="minorHAnsi"/>
          <w:b/>
          <w:color w:val="0000FF"/>
          <w:szCs w:val="18"/>
          <w:u w:val="single"/>
          <w:lang w:val="fr-FR"/>
        </w:rPr>
        <w:t>)</w:t>
      </w:r>
    </w:p>
    <w:p w14:paraId="2A1B39F2" w14:textId="06E13829" w:rsidR="00AF6883" w:rsidRPr="00C22ABE" w:rsidRDefault="00DA0EF8" w:rsidP="00A97306">
      <w:pPr>
        <w:tabs>
          <w:tab w:val="left" w:pos="7110"/>
        </w:tabs>
        <w:spacing w:after="0"/>
        <w:rPr>
          <w:rFonts w:cstheme="minorHAnsi"/>
          <w:sz w:val="20"/>
          <w:szCs w:val="18"/>
          <w:lang w:val="fr-FR"/>
        </w:rPr>
      </w:pPr>
      <w:r w:rsidRPr="00C22ABE">
        <w:rPr>
          <w:rFonts w:cstheme="minorHAnsi"/>
          <w:sz w:val="20"/>
          <w:szCs w:val="18"/>
          <w:lang w:val="fr-FR"/>
        </w:rPr>
        <w:t xml:space="preserve">Après avoir posé le diagnostic d’ORN, </w:t>
      </w:r>
      <w:r w:rsidR="00093E8F" w:rsidRPr="00C22ABE">
        <w:rPr>
          <w:rFonts w:cstheme="minorHAnsi"/>
          <w:sz w:val="20"/>
          <w:szCs w:val="18"/>
          <w:lang w:val="fr-FR"/>
        </w:rPr>
        <w:t>il n’y a pas de guérison spontanée</w:t>
      </w:r>
      <w:r w:rsidRPr="00C22ABE">
        <w:rPr>
          <w:rFonts w:cstheme="minorHAnsi"/>
          <w:sz w:val="20"/>
          <w:szCs w:val="18"/>
          <w:lang w:val="fr-FR"/>
        </w:rPr>
        <w:t>.</w:t>
      </w:r>
      <w:r w:rsidR="00326D80" w:rsidRPr="00C22ABE">
        <w:rPr>
          <w:rFonts w:cstheme="minorHAnsi"/>
          <w:sz w:val="20"/>
          <w:szCs w:val="18"/>
          <w:lang w:val="fr-FR"/>
        </w:rPr>
        <w:t xml:space="preserve"> </w:t>
      </w:r>
      <w:r w:rsidR="00AF6883" w:rsidRPr="00C22ABE">
        <w:rPr>
          <w:rFonts w:cstheme="minorHAnsi"/>
          <w:sz w:val="20"/>
          <w:szCs w:val="18"/>
          <w:lang w:val="fr-FR"/>
        </w:rPr>
        <w:t>Le traitement</w:t>
      </w:r>
      <w:r w:rsidRPr="00C22ABE">
        <w:rPr>
          <w:rFonts w:cstheme="minorHAnsi"/>
          <w:sz w:val="20"/>
          <w:szCs w:val="18"/>
          <w:lang w:val="fr-FR"/>
        </w:rPr>
        <w:t xml:space="preserve"> </w:t>
      </w:r>
      <w:r w:rsidR="00AF6883" w:rsidRPr="00C22ABE">
        <w:rPr>
          <w:rFonts w:cstheme="minorHAnsi"/>
          <w:sz w:val="20"/>
          <w:szCs w:val="18"/>
          <w:lang w:val="fr-FR"/>
        </w:rPr>
        <w:t xml:space="preserve">est </w:t>
      </w:r>
      <w:r w:rsidR="00B72A34" w:rsidRPr="00C22ABE">
        <w:rPr>
          <w:rFonts w:cstheme="minorHAnsi"/>
          <w:sz w:val="20"/>
          <w:szCs w:val="18"/>
          <w:lang w:val="fr-FR"/>
        </w:rPr>
        <w:t xml:space="preserve">long, complexe et souvent </w:t>
      </w:r>
      <w:r w:rsidR="00AF6883" w:rsidRPr="00C22ABE">
        <w:rPr>
          <w:rFonts w:cstheme="minorHAnsi"/>
          <w:sz w:val="20"/>
          <w:szCs w:val="18"/>
          <w:lang w:val="fr-FR"/>
        </w:rPr>
        <w:t>multimodal</w:t>
      </w:r>
      <w:r w:rsidR="0076356A" w:rsidRPr="00C22ABE">
        <w:rPr>
          <w:rFonts w:cstheme="minorHAnsi"/>
          <w:sz w:val="20"/>
          <w:szCs w:val="18"/>
          <w:lang w:val="fr-FR"/>
        </w:rPr>
        <w:t xml:space="preserve"> </w:t>
      </w:r>
      <w:r w:rsidR="0076356A" w:rsidRPr="00C22ABE">
        <w:rPr>
          <w:rFonts w:cstheme="minorHAnsi"/>
          <w:sz w:val="20"/>
          <w:szCs w:val="18"/>
          <w:lang w:val="fr-FR"/>
        </w:rPr>
        <w:fldChar w:fldCharType="begin"/>
      </w:r>
      <w:r w:rsidR="00281722" w:rsidRPr="00C22ABE">
        <w:rPr>
          <w:rFonts w:cstheme="minorHAnsi"/>
          <w:sz w:val="20"/>
          <w:szCs w:val="18"/>
          <w:lang w:val="fr-FR"/>
        </w:rPr>
        <w:instrText xml:space="preserve"> ADDIN ZOTERO_ITEM CSL_CITATION {"citationID":"SgO4eHYy","properties":{"formattedCitation":"(6)","plainCitation":"(6)","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W."}],"issued":{"date-parts":[["2016",11]]}}}],"schema":"https://github.com/citation-style-language/schema/raw/master/csl-citation.json"} </w:instrText>
      </w:r>
      <w:r w:rsidR="0076356A" w:rsidRPr="00C22ABE">
        <w:rPr>
          <w:rFonts w:cstheme="minorHAnsi"/>
          <w:sz w:val="20"/>
          <w:szCs w:val="18"/>
          <w:lang w:val="fr-FR"/>
        </w:rPr>
        <w:fldChar w:fldCharType="separate"/>
      </w:r>
      <w:r w:rsidR="00281722" w:rsidRPr="00C22ABE">
        <w:rPr>
          <w:rFonts w:cstheme="minorHAnsi"/>
          <w:sz w:val="20"/>
        </w:rPr>
        <w:t>(6)</w:t>
      </w:r>
      <w:r w:rsidR="0076356A" w:rsidRPr="00C22ABE">
        <w:rPr>
          <w:rFonts w:cstheme="minorHAnsi"/>
          <w:sz w:val="20"/>
          <w:szCs w:val="18"/>
          <w:lang w:val="fr-FR"/>
        </w:rPr>
        <w:fldChar w:fldCharType="end"/>
      </w:r>
      <w:r w:rsidR="00093E8F" w:rsidRPr="00C22ABE">
        <w:rPr>
          <w:rFonts w:cstheme="minorHAnsi"/>
          <w:sz w:val="20"/>
          <w:szCs w:val="18"/>
          <w:lang w:val="fr-FR"/>
        </w:rPr>
        <w:t xml:space="preserve">. </w:t>
      </w:r>
      <w:r w:rsidR="00254510" w:rsidRPr="00C22ABE">
        <w:rPr>
          <w:rFonts w:cstheme="minorHAnsi"/>
          <w:sz w:val="20"/>
          <w:szCs w:val="18"/>
          <w:lang w:val="fr-FR"/>
        </w:rPr>
        <w:t xml:space="preserve">L’absence de compréhension du mécanisme physiopathologique exact rend le </w:t>
      </w:r>
      <w:r w:rsidR="00093E8F" w:rsidRPr="00C22ABE">
        <w:rPr>
          <w:rFonts w:cstheme="minorHAnsi"/>
          <w:sz w:val="20"/>
          <w:szCs w:val="18"/>
          <w:lang w:val="fr-FR"/>
        </w:rPr>
        <w:t>traitement standardisé</w:t>
      </w:r>
      <w:r w:rsidR="00254510" w:rsidRPr="00C22ABE">
        <w:rPr>
          <w:rFonts w:cstheme="minorHAnsi"/>
          <w:sz w:val="20"/>
          <w:szCs w:val="18"/>
          <w:lang w:val="fr-FR"/>
        </w:rPr>
        <w:t xml:space="preserve"> difficile, et on observe </w:t>
      </w:r>
      <w:r w:rsidR="00093E8F" w:rsidRPr="00C22ABE">
        <w:rPr>
          <w:rFonts w:cstheme="minorHAnsi"/>
          <w:sz w:val="20"/>
          <w:szCs w:val="18"/>
          <w:lang w:val="fr-FR"/>
        </w:rPr>
        <w:t>plutôt des tendances.</w:t>
      </w:r>
      <w:r w:rsidR="00254510" w:rsidRPr="00C22ABE">
        <w:rPr>
          <w:rFonts w:cstheme="minorHAnsi"/>
          <w:sz w:val="20"/>
          <w:szCs w:val="18"/>
          <w:lang w:val="fr-FR"/>
        </w:rPr>
        <w:t xml:space="preserve"> Par exemple, l’hypothèse des 3H de Marx est en faveur de l’OHB, alo</w:t>
      </w:r>
      <w:r w:rsidR="002B439B" w:rsidRPr="00C22ABE">
        <w:rPr>
          <w:rFonts w:cstheme="minorHAnsi"/>
          <w:sz w:val="20"/>
          <w:szCs w:val="18"/>
          <w:lang w:val="fr-FR"/>
        </w:rPr>
        <w:t>r</w:t>
      </w:r>
      <w:r w:rsidR="00254510" w:rsidRPr="00C22ABE">
        <w:rPr>
          <w:rFonts w:cstheme="minorHAnsi"/>
          <w:sz w:val="20"/>
          <w:szCs w:val="18"/>
          <w:lang w:val="fr-FR"/>
        </w:rPr>
        <w:t>s que l’hypothèse de la fibrose radio</w:t>
      </w:r>
      <w:r w:rsidR="009A157D" w:rsidRPr="00C22ABE">
        <w:rPr>
          <w:rFonts w:cstheme="minorHAnsi"/>
          <w:sz w:val="20"/>
          <w:szCs w:val="18"/>
          <w:lang w:val="fr-FR"/>
        </w:rPr>
        <w:t xml:space="preserve"> </w:t>
      </w:r>
      <w:r w:rsidR="00254510" w:rsidRPr="00C22ABE">
        <w:rPr>
          <w:rFonts w:cstheme="minorHAnsi"/>
          <w:sz w:val="20"/>
          <w:szCs w:val="18"/>
          <w:lang w:val="fr-FR"/>
        </w:rPr>
        <w:t>induite</w:t>
      </w:r>
      <w:r w:rsidR="009A157D" w:rsidRPr="00C22ABE">
        <w:rPr>
          <w:rFonts w:cstheme="minorHAnsi"/>
          <w:sz w:val="20"/>
          <w:szCs w:val="18"/>
          <w:lang w:val="fr-FR"/>
        </w:rPr>
        <w:t xml:space="preserve"> de </w:t>
      </w:r>
      <w:proofErr w:type="spellStart"/>
      <w:r w:rsidR="009A157D" w:rsidRPr="00C22ABE">
        <w:rPr>
          <w:rFonts w:cstheme="minorHAnsi"/>
          <w:sz w:val="20"/>
          <w:szCs w:val="18"/>
          <w:lang w:val="fr-FR"/>
        </w:rPr>
        <w:t>Delanian</w:t>
      </w:r>
      <w:proofErr w:type="spellEnd"/>
      <w:r w:rsidR="00254510" w:rsidRPr="00C22ABE">
        <w:rPr>
          <w:rFonts w:cstheme="minorHAnsi"/>
          <w:sz w:val="20"/>
          <w:szCs w:val="18"/>
          <w:lang w:val="fr-FR"/>
        </w:rPr>
        <w:t xml:space="preserve"> favoriserait le traitement par pentoxifylline, tocophérol et clodronate.</w:t>
      </w:r>
    </w:p>
    <w:p w14:paraId="63CF7937" w14:textId="3F9FE65D" w:rsidR="00B16332" w:rsidRPr="00C22ABE" w:rsidRDefault="00B16332" w:rsidP="00A97306">
      <w:pPr>
        <w:tabs>
          <w:tab w:val="left" w:pos="7110"/>
        </w:tabs>
        <w:spacing w:after="0"/>
        <w:rPr>
          <w:rFonts w:cstheme="minorHAnsi"/>
          <w:sz w:val="20"/>
          <w:szCs w:val="18"/>
          <w:lang w:val="fr-FR"/>
        </w:rPr>
      </w:pPr>
      <w:r w:rsidRPr="00C22ABE">
        <w:rPr>
          <w:rFonts w:cstheme="minorHAnsi"/>
          <w:sz w:val="20"/>
          <w:szCs w:val="18"/>
          <w:lang w:val="fr-FR"/>
        </w:rPr>
        <w:t>Le</w:t>
      </w:r>
      <w:r w:rsidR="009A157D" w:rsidRPr="00C22ABE">
        <w:rPr>
          <w:rFonts w:cstheme="minorHAnsi"/>
          <w:sz w:val="20"/>
          <w:szCs w:val="18"/>
          <w:lang w:val="fr-FR"/>
        </w:rPr>
        <w:t xml:space="preserve"> but du</w:t>
      </w:r>
      <w:r w:rsidRPr="00C22ABE">
        <w:rPr>
          <w:rFonts w:cstheme="minorHAnsi"/>
          <w:sz w:val="20"/>
          <w:szCs w:val="18"/>
          <w:lang w:val="fr-FR"/>
        </w:rPr>
        <w:t xml:space="preserve"> traitement est d’</w:t>
      </w:r>
      <w:r w:rsidR="009A157D" w:rsidRPr="00C22ABE">
        <w:rPr>
          <w:rFonts w:cstheme="minorHAnsi"/>
          <w:sz w:val="20"/>
          <w:szCs w:val="18"/>
          <w:lang w:val="fr-FR"/>
        </w:rPr>
        <w:t>une part d’atténuer la symptomatologie, et d’autre part de limiter la progression de l’ORN</w:t>
      </w:r>
      <w:r w:rsidR="00E761A9" w:rsidRPr="00C22ABE">
        <w:rPr>
          <w:rFonts w:cstheme="minorHAnsi"/>
          <w:sz w:val="20"/>
          <w:szCs w:val="18"/>
          <w:lang w:val="fr-FR"/>
        </w:rPr>
        <w:t xml:space="preserve"> (Fig.6)</w:t>
      </w:r>
      <w:r w:rsidR="009A157D" w:rsidRPr="00C22ABE">
        <w:rPr>
          <w:rFonts w:cstheme="minorHAnsi"/>
          <w:sz w:val="20"/>
          <w:szCs w:val="18"/>
          <w:lang w:val="fr-FR"/>
        </w:rPr>
        <w:t xml:space="preserve">. </w:t>
      </w:r>
    </w:p>
    <w:p w14:paraId="3EA63D77" w14:textId="548363E5" w:rsidR="00277615" w:rsidRPr="00C22ABE" w:rsidRDefault="00FF4BC1" w:rsidP="00D143E4">
      <w:pPr>
        <w:autoSpaceDE w:val="0"/>
        <w:autoSpaceDN w:val="0"/>
        <w:adjustRightInd w:val="0"/>
        <w:spacing w:after="0" w:line="240" w:lineRule="auto"/>
        <w:rPr>
          <w:rFonts w:cstheme="minorHAnsi"/>
          <w:color w:val="231F20"/>
          <w:sz w:val="15"/>
          <w:szCs w:val="15"/>
        </w:rPr>
      </w:pPr>
      <w:r w:rsidRPr="00C22ABE">
        <w:rPr>
          <w:rFonts w:cstheme="minorHAnsi"/>
          <w:sz w:val="20"/>
          <w:szCs w:val="18"/>
          <w:lang w:val="fr-FR"/>
        </w:rPr>
        <w:t xml:space="preserve">Il </w:t>
      </w:r>
      <w:r w:rsidR="0084615D" w:rsidRPr="00C22ABE">
        <w:rPr>
          <w:rFonts w:cstheme="minorHAnsi"/>
          <w:sz w:val="20"/>
          <w:szCs w:val="18"/>
          <w:lang w:val="fr-FR"/>
        </w:rPr>
        <w:t xml:space="preserve">ne </w:t>
      </w:r>
      <w:r w:rsidRPr="00C22ABE">
        <w:rPr>
          <w:rFonts w:cstheme="minorHAnsi"/>
          <w:sz w:val="20"/>
          <w:szCs w:val="18"/>
          <w:lang w:val="fr-FR"/>
        </w:rPr>
        <w:t>faut pas perdre de vue que jus</w:t>
      </w:r>
      <w:r w:rsidRPr="00C22ABE">
        <w:rPr>
          <w:rFonts w:cstheme="minorHAnsi"/>
          <w:sz w:val="20"/>
          <w:szCs w:val="18"/>
        </w:rPr>
        <w:t xml:space="preserve">qu’à 20% des patients qui ne répondent pas au traitement de l’ORN </w:t>
      </w:r>
      <w:r w:rsidR="00177394" w:rsidRPr="00C22ABE">
        <w:rPr>
          <w:rFonts w:cstheme="minorHAnsi"/>
          <w:sz w:val="20"/>
          <w:szCs w:val="18"/>
        </w:rPr>
        <w:t>sont</w:t>
      </w:r>
      <w:r w:rsidR="00796457" w:rsidRPr="00C22ABE">
        <w:rPr>
          <w:rFonts w:cstheme="minorHAnsi"/>
          <w:sz w:val="20"/>
          <w:szCs w:val="18"/>
        </w:rPr>
        <w:t xml:space="preserve"> susceptibles de présenter</w:t>
      </w:r>
      <w:r w:rsidRPr="00C22ABE">
        <w:rPr>
          <w:rFonts w:cstheme="minorHAnsi"/>
          <w:sz w:val="20"/>
          <w:szCs w:val="18"/>
        </w:rPr>
        <w:t xml:space="preserve"> une récidive tumorale ou une seconde localisation</w:t>
      </w:r>
      <w:r w:rsidR="00E37F68" w:rsidRPr="00C22ABE">
        <w:rPr>
          <w:rFonts w:cstheme="minorHAnsi"/>
          <w:sz w:val="20"/>
          <w:szCs w:val="18"/>
        </w:rPr>
        <w:t xml:space="preserve"> </w:t>
      </w:r>
      <w:r w:rsidR="00E37F68" w:rsidRPr="00C22ABE">
        <w:rPr>
          <w:rFonts w:cstheme="minorHAnsi"/>
          <w:sz w:val="20"/>
          <w:szCs w:val="18"/>
        </w:rPr>
        <w:fldChar w:fldCharType="begin"/>
      </w:r>
      <w:r w:rsidR="00DD29FB" w:rsidRPr="00C22ABE">
        <w:rPr>
          <w:rFonts w:cstheme="minorHAnsi"/>
          <w:sz w:val="20"/>
          <w:szCs w:val="18"/>
        </w:rPr>
        <w:instrText xml:space="preserve"> ADDIN ZOTERO_ITEM CSL_CITATION {"citationID":"qNQJkPsi","properties":{"formattedCitation":"(9,27)","plainCitation":"(9,27)","noteIndex":0},"citationItems":[{"id":304,"uris":["http://zotero.org/users/local/Om3YyEnU/items/JIX8XLW2"],"uri":["http://zotero.org/users/local/Om3YyEnU/items/JIX8XLW2"],"itemData":{"id":304,"type":"article-journal","abstract":"The mandible is among the bones most frequently affected by irradiation. The most severe post-radiation injury of the mandible is osteoradionecrosis (ORN). Conflicting data have been reported on the incidence of this complication, its aetiology and management. The incidence of mandibular ORN in head and neck cancer patients managed with radical or postoperative irradiation, has varied widely in the literature from 0.4% to 56%. The interpretation of data derived from particular series are difficult due to the different scoring methods and classification systems used for the evaluation of post-radiation bone damage. Although ORN occurs typically in the first three years after radiotherapy, patients probably remain at indefinite risk. The diagnosis of ORN is principally based on the clinical picture of chronically exposed bone. Radiological symptoms include decreased bone density with fractures, cortical destruction and loss of spongiosa trabeculation. Numerous factors that may be associated with the risk of ORN include treatment-related variables (for example, total radiotherapy dose, biologically effective dose, photon energy, brachytherapy dose rate, combination of external beam irradiation and interstitial brachytherapy, field size, fraction size, volume of the mandible irradiated with a high dose), patient-related variables (like deep parodontitis, pre-irradiation bone surgery, bad oral hygiene, alcohol and tobacco abuse, bone inflammation, dental extraction after radiotherapy) and tumour-related factors (tumour size or stage, proximity of the tumour to bone, anatomic tumour site). Primary management of post-radiation bone lesions include conservative modalities such as saline irrigations, antibiotics during infectious episodes, topically applied antiseptics, gentle sequestrectomy and removal of visibly loosened bone elements as well as treatment with hyperbaric oxygen (HBO). Surgery is reserved for persistent ORN and includes radical resection of the lesion(sequestrectomy, hemimandibulectomy etc.) with reconstruction. In recent years the introduction of preventive oral hygiene measures and meticulous dental evaluations before and after irradiation, improvement in radiotherapy techniques and the development of reliable diagnostic and therapeutic procedures have resulted in a decreased incidence of ORN. Nevertheless, given the severe impact of ORN on patient quality of life, research should be continued to further ameliorate this problem.","container-title":"Cancer Treatment Reviews","DOI":"10.1053/ctrv.2002.0254","ISSN":"0305-7372","issue":"1","journalAbbreviation":"Cancer Treat Rev","language":"eng","note":"PMID: 12027415","page":"65-74","source":"PubMed","title":"Radiotherapy-induced mandibular bone complications","volume":"28","author":[{"family":"Jereczek-Fossa","given":"Barbara A."},{"family":"Orecchia","given":"Roberto"}],"issued":{"date-parts":[["2002",2]]}}},{"id":297,"uris":["http://zotero.org/users/local/Om3YyEnU/items/L5CCRS8C"],"uri":["http://zotero.org/users/local/Om3YyEnU/items/L5CCRS8C"],"itemData":{"id":297,"type":"article-journal","abstract":"PURPOSE OF REVIEW: This article aims to provide an update on literature data related to mandibular osteoradionecrosis (MORN) secondary to the irradiation of the head and neck region.\nRECENT FINDINGS: Radiotherapy (RT) plays a crucial role in the contemporary management of head and neck cancer (HNC) patients and, despite intensity-modulated technique (IMRT), mandibular osteoradionecrosis (MORN) remains a significant RT-related complication. Based on its clinical manifestation, MORN can negatively affect patients' quality of life. Preventive interventions should be prioritized. This manuscript is expected to represent an opportunity to guide a clear proposal for clinical measures in the individual MORN situations.","container-title":"Current Oncology Reports","DOI":"10.1007/s11912-020-00954-3","ISSN":"1534-6269","issue":"9","journalAbbreviation":"Curr Oncol Rep","language":"eng","note":"PMID: 32642937","page":"89","source":"PubMed","title":"Radiation Therapy and Mandibular Osteoradionecrosis: State of the Art","title-short":"Radiation Therapy and Mandibular Osteoradionecrosis","volume":"22","author":[{"family":"De Felice","given":"Francesca"},{"family":"Tombolini","given":"Vincenzo"},{"family":"Musio","given":"Daniela"},{"family":"Polimeni","given":"Antonella"}],"issued":{"date-parts":[["2020",7,9]]}}}],"schema":"https://github.com/citation-style-language/schema/raw/master/csl-citation.json"} </w:instrText>
      </w:r>
      <w:r w:rsidR="00E37F68" w:rsidRPr="00C22ABE">
        <w:rPr>
          <w:rFonts w:cstheme="minorHAnsi"/>
          <w:sz w:val="20"/>
          <w:szCs w:val="18"/>
        </w:rPr>
        <w:fldChar w:fldCharType="separate"/>
      </w:r>
      <w:r w:rsidR="00DD29FB" w:rsidRPr="00C22ABE">
        <w:rPr>
          <w:rFonts w:cstheme="minorHAnsi"/>
          <w:sz w:val="20"/>
        </w:rPr>
        <w:t>(9,27)</w:t>
      </w:r>
      <w:r w:rsidR="00E37F68" w:rsidRPr="00C22ABE">
        <w:rPr>
          <w:rFonts w:cstheme="minorHAnsi"/>
          <w:sz w:val="20"/>
          <w:szCs w:val="18"/>
        </w:rPr>
        <w:fldChar w:fldCharType="end"/>
      </w:r>
      <w:r w:rsidR="000932B4" w:rsidRPr="00C22ABE">
        <w:rPr>
          <w:rFonts w:cstheme="minorHAnsi"/>
          <w:color w:val="231F20"/>
          <w:sz w:val="15"/>
          <w:szCs w:val="15"/>
        </w:rPr>
        <w:t>.</w:t>
      </w:r>
    </w:p>
    <w:p w14:paraId="4F9C1FEF" w14:textId="77777777" w:rsidR="00D143E4" w:rsidRPr="00C22ABE" w:rsidRDefault="00D143E4" w:rsidP="00D143E4">
      <w:pPr>
        <w:autoSpaceDE w:val="0"/>
        <w:autoSpaceDN w:val="0"/>
        <w:adjustRightInd w:val="0"/>
        <w:spacing w:after="0" w:line="240" w:lineRule="auto"/>
        <w:rPr>
          <w:rFonts w:cstheme="minorHAnsi"/>
          <w:color w:val="231F20"/>
          <w:sz w:val="15"/>
          <w:szCs w:val="15"/>
        </w:rPr>
      </w:pPr>
    </w:p>
    <w:p w14:paraId="13A583FA" w14:textId="77777777" w:rsidR="00BC1FA1" w:rsidRPr="00C22ABE" w:rsidRDefault="00BC1FA1" w:rsidP="0076356A">
      <w:pPr>
        <w:tabs>
          <w:tab w:val="left" w:pos="7110"/>
        </w:tabs>
        <w:rPr>
          <w:rFonts w:cstheme="minorHAnsi"/>
          <w:b/>
          <w:bCs/>
          <w:color w:val="0000FF"/>
          <w:szCs w:val="20"/>
          <w:u w:val="single"/>
          <w:lang w:val="fr-FR"/>
        </w:rPr>
      </w:pPr>
      <w:r w:rsidRPr="00C22ABE">
        <w:rPr>
          <w:rFonts w:cstheme="minorHAnsi"/>
          <w:b/>
          <w:bCs/>
          <w:color w:val="0000FF"/>
          <w:szCs w:val="20"/>
          <w:u w:val="single"/>
          <w:lang w:val="fr-FR"/>
        </w:rPr>
        <w:t>8.1. Mesures générales</w:t>
      </w:r>
    </w:p>
    <w:p w14:paraId="675F4E52" w14:textId="427EC056" w:rsidR="003E3F60" w:rsidRPr="00C22ABE" w:rsidRDefault="003E3F60" w:rsidP="0076356A">
      <w:pPr>
        <w:tabs>
          <w:tab w:val="left" w:pos="7110"/>
        </w:tabs>
        <w:rPr>
          <w:rFonts w:cstheme="minorHAnsi"/>
          <w:sz w:val="20"/>
          <w:szCs w:val="18"/>
          <w:lang w:val="fr-FR"/>
        </w:rPr>
      </w:pPr>
      <w:r w:rsidRPr="00C22ABE">
        <w:rPr>
          <w:rFonts w:cstheme="minorHAnsi"/>
          <w:sz w:val="20"/>
          <w:szCs w:val="18"/>
          <w:lang w:val="fr-FR"/>
        </w:rPr>
        <w:t xml:space="preserve">Des </w:t>
      </w:r>
      <w:r w:rsidRPr="00C22ABE">
        <w:rPr>
          <w:rFonts w:cstheme="minorHAnsi"/>
          <w:sz w:val="20"/>
          <w:szCs w:val="18"/>
          <w:u w:val="single"/>
          <w:lang w:val="fr-FR"/>
        </w:rPr>
        <w:t>mesures générales</w:t>
      </w:r>
      <w:r w:rsidRPr="00C22ABE">
        <w:rPr>
          <w:rFonts w:cstheme="minorHAnsi"/>
          <w:sz w:val="20"/>
          <w:szCs w:val="18"/>
          <w:lang w:val="fr-FR"/>
        </w:rPr>
        <w:t xml:space="preserve"> sont proposées telles que l’arrêt de la consommation d’alcool et tabac, une amélioration de l’hygiène bucco-dentaire, et l’usage des gouttières de fluoration.</w:t>
      </w:r>
    </w:p>
    <w:p w14:paraId="0984C7A6" w14:textId="0613C223" w:rsidR="009A157D" w:rsidRPr="00C22ABE" w:rsidRDefault="009A157D" w:rsidP="007825B0">
      <w:pPr>
        <w:autoSpaceDE w:val="0"/>
        <w:autoSpaceDN w:val="0"/>
        <w:adjustRightInd w:val="0"/>
        <w:spacing w:after="0" w:line="240" w:lineRule="auto"/>
        <w:rPr>
          <w:rFonts w:cstheme="minorHAnsi"/>
          <w:color w:val="231F20"/>
          <w:sz w:val="20"/>
          <w:szCs w:val="20"/>
        </w:rPr>
      </w:pPr>
      <w:r w:rsidRPr="00C22ABE">
        <w:rPr>
          <w:rFonts w:cstheme="minorHAnsi"/>
          <w:color w:val="231F20"/>
          <w:sz w:val="20"/>
          <w:szCs w:val="20"/>
        </w:rPr>
        <w:t>Une des premières lignes thérapeutiques pourrait être de rééquilibrer le statut nutritionnel. Ces patients sont souvent dénutris et par la pathologie oncologique et par les effets secondaires de la radiothérapie (</w:t>
      </w:r>
      <w:r w:rsidRPr="00C22ABE">
        <w:rPr>
          <w:rFonts w:cstheme="minorHAnsi"/>
          <w:sz w:val="20"/>
          <w:szCs w:val="18"/>
        </w:rPr>
        <w:t>trismus, dysphagie, xérostomie, ulcérations buccales). Leur alimentation est essentiellement liquide. Ce statu</w:t>
      </w:r>
      <w:r w:rsidR="00326D80" w:rsidRPr="00C22ABE">
        <w:rPr>
          <w:rFonts w:cstheme="minorHAnsi"/>
          <w:sz w:val="20"/>
          <w:szCs w:val="18"/>
        </w:rPr>
        <w:t xml:space="preserve">t </w:t>
      </w:r>
      <w:r w:rsidRPr="00C22ABE">
        <w:rPr>
          <w:rFonts w:cstheme="minorHAnsi"/>
          <w:sz w:val="20"/>
          <w:szCs w:val="18"/>
        </w:rPr>
        <w:t>nutritionnel est souvent corrélé au statu</w:t>
      </w:r>
      <w:r w:rsidR="00326D80" w:rsidRPr="00C22ABE">
        <w:rPr>
          <w:rFonts w:cstheme="minorHAnsi"/>
          <w:sz w:val="20"/>
          <w:szCs w:val="18"/>
        </w:rPr>
        <w:t>t</w:t>
      </w:r>
      <w:r w:rsidRPr="00C22ABE">
        <w:rPr>
          <w:rFonts w:cstheme="minorHAnsi"/>
          <w:sz w:val="20"/>
          <w:szCs w:val="18"/>
        </w:rPr>
        <w:t xml:space="preserve"> socioéconomique. Pour certains, le placement d’une sonde nasogastrique ou d’une gastrostomie précoce pourrait améliorer la prise en charge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536Mr02I","properties":{"formattedCitation":"(23)","plainCitation":"(23)","noteIndex":0},"citationItems":[{"id":329,"uris":["http://zotero.org/users/local/Om3YyEnU/items/RGAF7CJW"],"uri":["http://zotero.org/users/local/Om3YyEnU/items/RGAF7CJW"],"itemData":{"id":329,"type":"article-journal","abstract":"BACKGROUND: Mandibular osteoradionecrosis (ORN) is a devastating complication secondary to the radiotherapy of head and neck cancer. The nutritional status of ORN patients is compromised, but remains rarely studied. We aimed to evaluate the overall nutritional status of patients with ORN and explore the risk factors behind poor nutrition.\nMETHODS: This is a single-institution cross-sectional study. Patients diagnosed with ORN were consecutively recruited in a tertiary teaching hospital from July 2017 to August 2019. Multiple laboratory markers and physical indicators were examined to profile their nutritional status. The potential risk factors of poor nutrition were explored by logistic regression.\nRESULTS: A total of 107 patients with ORN were recruited. Among them, almost all patients (95.3%) had at least one laboratory marker lower than the normal physiological range. A total of 40 (37.5%) patients were categorized as undernutrition, who had lower serum albumin (mean difference: 1.8 ± 0.8 g/L; p=0.02), prealbumin (mean difference: 26.8 ± 10.8 mg/L; p= 0.02), and BMI (3.8 ± 0.4 kg/m2 ; p&lt;0.0001) compared to patients of normal nutrition. Notably, the multivariate logistic regression indicated that patients with semi-liquid diet had 14.41 (95% CI: 3.03-68.54, p=0.001) times; patients with liquid diet had 5.70 (95% CI: 1.55-20.98, p=0.009) times more likely to be in undernutrition, as compared to patients with regular diets.\nCONCLUSIONS: This is the first study characterizing the poor nutritional status in ORN patients. Patients having semi-liquid or liquid diets tended to have poorer nutritional status. The nutritional status of ORN patients should be underlined for professional nutritional supports so as to enhance their quality of life. More studies are warranted.","container-title":"Oral Diseases","DOI":"10.1111/odi.13762","ISSN":"1601-0825","journalAbbreviation":"Oral Dis","language":"eng","note":"PMID: 33370490","source":"PubMed","title":"Nutritional Status in Patients of Mandibular Osteoradionecrosis: A Single-Institution Experience","title-short":"Nutritional Status in Patients of Mandibular Osteoradionecrosis","author":[{"family":"Huang","given":"Qiuyu"},{"family":"He","given":"Xingfang"},{"family":"Yang","given":"Wei-Fa"},{"family":"Ye","given":"Jingjing"},{"family":"Lin","given":"Zhumei"},{"family":"Xiong","given":"Caibing"},{"family":"Liang","given":"Yu-Jie"}],"issued":{"date-parts":[["2020",12,28]]}}}],"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(23)</w:t>
      </w:r>
      <w:r w:rsidRPr="00C22ABE">
        <w:rPr>
          <w:rFonts w:cstheme="minorHAnsi"/>
          <w:sz w:val="20"/>
          <w:szCs w:val="18"/>
        </w:rPr>
        <w:fldChar w:fldCharType="end"/>
      </w:r>
      <w:r w:rsidRPr="00C22ABE">
        <w:rPr>
          <w:rFonts w:cstheme="minorHAnsi"/>
          <w:color w:val="231F20"/>
          <w:sz w:val="20"/>
          <w:szCs w:val="20"/>
        </w:rPr>
        <w:t>.</w:t>
      </w:r>
    </w:p>
    <w:p w14:paraId="6BFBED07" w14:textId="77777777" w:rsidR="007825B0" w:rsidRPr="00C22ABE" w:rsidRDefault="007825B0" w:rsidP="007825B0">
      <w:pPr>
        <w:autoSpaceDE w:val="0"/>
        <w:autoSpaceDN w:val="0"/>
        <w:adjustRightInd w:val="0"/>
        <w:spacing w:after="0" w:line="240" w:lineRule="auto"/>
        <w:rPr>
          <w:rFonts w:cstheme="minorHAnsi"/>
          <w:color w:val="231F20"/>
        </w:rPr>
      </w:pPr>
    </w:p>
    <w:p w14:paraId="4074E8A1" w14:textId="736F65CD" w:rsidR="00BC1FA1" w:rsidRPr="00C22ABE" w:rsidRDefault="00BC1FA1" w:rsidP="0076356A">
      <w:pPr>
        <w:tabs>
          <w:tab w:val="left" w:pos="7110"/>
        </w:tabs>
        <w:rPr>
          <w:rFonts w:cstheme="minorHAnsi"/>
          <w:b/>
          <w:bCs/>
          <w:color w:val="0000FF"/>
          <w:szCs w:val="20"/>
          <w:u w:val="single"/>
          <w:lang w:val="fr-FR"/>
        </w:rPr>
      </w:pPr>
      <w:r w:rsidRPr="00C22ABE">
        <w:rPr>
          <w:rFonts w:cstheme="minorHAnsi"/>
          <w:b/>
          <w:bCs/>
          <w:color w:val="0000FF"/>
          <w:szCs w:val="20"/>
          <w:u w:val="single"/>
          <w:lang w:val="fr-FR"/>
        </w:rPr>
        <w:t>8.2. Traitement conservateur</w:t>
      </w:r>
    </w:p>
    <w:p w14:paraId="5F73DC62" w14:textId="756F987F" w:rsidR="0076356A" w:rsidRPr="00C22ABE" w:rsidRDefault="0076356A" w:rsidP="0076356A">
      <w:pPr>
        <w:tabs>
          <w:tab w:val="left" w:pos="7110"/>
        </w:tabs>
        <w:rPr>
          <w:rFonts w:cstheme="minorHAnsi"/>
          <w:sz w:val="20"/>
          <w:szCs w:val="18"/>
          <w:lang w:val="fr-FR"/>
        </w:rPr>
      </w:pPr>
      <w:r w:rsidRPr="00C22ABE">
        <w:rPr>
          <w:rFonts w:cstheme="minorHAnsi"/>
          <w:sz w:val="20"/>
          <w:szCs w:val="18"/>
          <w:lang w:val="fr-FR"/>
        </w:rPr>
        <w:t>Le</w:t>
      </w:r>
      <w:r w:rsidR="00AF6883" w:rsidRPr="00C22ABE">
        <w:rPr>
          <w:rFonts w:cstheme="minorHAnsi"/>
          <w:sz w:val="20"/>
          <w:szCs w:val="18"/>
          <w:lang w:val="fr-FR"/>
        </w:rPr>
        <w:t xml:space="preserve"> </w:t>
      </w:r>
      <w:r w:rsidR="00AF6883" w:rsidRPr="00C22ABE">
        <w:rPr>
          <w:rFonts w:cstheme="minorHAnsi"/>
          <w:sz w:val="20"/>
          <w:szCs w:val="18"/>
          <w:u w:val="single"/>
          <w:lang w:val="fr-FR"/>
        </w:rPr>
        <w:t>traitement conservateur</w:t>
      </w:r>
      <w:r w:rsidR="00AF6883" w:rsidRPr="00C22ABE">
        <w:rPr>
          <w:rFonts w:cstheme="minorHAnsi"/>
          <w:sz w:val="20"/>
          <w:szCs w:val="18"/>
          <w:lang w:val="fr-FR"/>
        </w:rPr>
        <w:t xml:space="preserve"> </w:t>
      </w:r>
      <w:r w:rsidRPr="00C22ABE">
        <w:rPr>
          <w:rFonts w:cstheme="minorHAnsi"/>
          <w:sz w:val="20"/>
          <w:szCs w:val="18"/>
          <w:lang w:val="fr-FR"/>
        </w:rPr>
        <w:t xml:space="preserve">est préconisé </w:t>
      </w:r>
      <w:r w:rsidR="00AF6883" w:rsidRPr="00C22ABE">
        <w:rPr>
          <w:rFonts w:cstheme="minorHAnsi"/>
          <w:sz w:val="20"/>
          <w:szCs w:val="18"/>
          <w:lang w:val="fr-FR"/>
        </w:rPr>
        <w:t xml:space="preserve">aux stades précoces, comprenant </w:t>
      </w:r>
      <w:r w:rsidR="00093E8F" w:rsidRPr="00C22ABE">
        <w:rPr>
          <w:rFonts w:cstheme="minorHAnsi"/>
          <w:sz w:val="20"/>
          <w:szCs w:val="18"/>
          <w:lang w:val="fr-FR"/>
        </w:rPr>
        <w:t>différentes modalités</w:t>
      </w:r>
      <w:r w:rsidR="003E3F60" w:rsidRPr="00C22ABE">
        <w:rPr>
          <w:rFonts w:cstheme="minorHAnsi"/>
          <w:sz w:val="20"/>
          <w:szCs w:val="18"/>
          <w:lang w:val="fr-FR"/>
        </w:rPr>
        <w:t xml:space="preserve">, utilisées seules ou en association, </w:t>
      </w:r>
      <w:r w:rsidR="00093E8F" w:rsidRPr="00C22ABE">
        <w:rPr>
          <w:rFonts w:cstheme="minorHAnsi"/>
          <w:sz w:val="20"/>
          <w:szCs w:val="18"/>
          <w:lang w:val="fr-FR"/>
        </w:rPr>
        <w:t xml:space="preserve">dont </w:t>
      </w:r>
      <w:r w:rsidR="00AF6883" w:rsidRPr="00C22ABE">
        <w:rPr>
          <w:rFonts w:cstheme="minorHAnsi"/>
          <w:sz w:val="20"/>
          <w:szCs w:val="18"/>
          <w:lang w:val="fr-FR"/>
        </w:rPr>
        <w:t xml:space="preserve">une antibiothérapie, </w:t>
      </w:r>
      <w:r w:rsidR="00A97306" w:rsidRPr="00C22ABE">
        <w:rPr>
          <w:rFonts w:cstheme="minorHAnsi"/>
          <w:sz w:val="20"/>
          <w:szCs w:val="18"/>
          <w:lang w:val="fr-FR"/>
        </w:rPr>
        <w:t>l’usage de bains de bouche (</w:t>
      </w:r>
      <w:r w:rsidR="00326D80" w:rsidRPr="00C22ABE">
        <w:rPr>
          <w:rFonts w:cstheme="minorHAnsi"/>
          <w:sz w:val="20"/>
          <w:szCs w:val="18"/>
          <w:lang w:val="fr-FR"/>
        </w:rPr>
        <w:t>c</w:t>
      </w:r>
      <w:r w:rsidR="007825B0" w:rsidRPr="00C22ABE">
        <w:rPr>
          <w:rFonts w:cstheme="minorHAnsi"/>
          <w:sz w:val="20"/>
          <w:szCs w:val="18"/>
          <w:lang w:val="fr-FR"/>
        </w:rPr>
        <w:t>hlorhexidine, eau oxygénée),</w:t>
      </w:r>
      <w:r w:rsidR="00A97306" w:rsidRPr="00C22ABE">
        <w:rPr>
          <w:rFonts w:cstheme="minorHAnsi"/>
          <w:sz w:val="20"/>
          <w:szCs w:val="18"/>
          <w:lang w:val="fr-FR"/>
        </w:rPr>
        <w:t xml:space="preserve"> un débridement local</w:t>
      </w:r>
      <w:r w:rsidR="00B72A34" w:rsidRPr="00C22ABE">
        <w:rPr>
          <w:rFonts w:cstheme="minorHAnsi"/>
          <w:sz w:val="20"/>
          <w:szCs w:val="18"/>
          <w:lang w:val="fr-FR"/>
        </w:rPr>
        <w:t xml:space="preserve"> (dans le but d’éliminer le biofilm)</w:t>
      </w:r>
      <w:r w:rsidR="00A97306" w:rsidRPr="00C22ABE">
        <w:rPr>
          <w:rFonts w:cstheme="minorHAnsi"/>
          <w:sz w:val="20"/>
          <w:szCs w:val="18"/>
          <w:lang w:val="fr-FR"/>
        </w:rPr>
        <w:t>, l’irrigation du site, ainsi qu’un contrôle de la douleur et de la surinfection</w:t>
      </w:r>
      <w:r w:rsidR="00E37F68" w:rsidRPr="00C22ABE">
        <w:rPr>
          <w:rFonts w:cstheme="minorHAnsi"/>
          <w:sz w:val="20"/>
          <w:szCs w:val="18"/>
          <w:lang w:val="fr-FR"/>
        </w:rPr>
        <w:t xml:space="preserve"> </w:t>
      </w:r>
      <w:r w:rsidR="00E37F68" w:rsidRPr="00C22ABE">
        <w:rPr>
          <w:rFonts w:cstheme="minorHAnsi"/>
          <w:sz w:val="20"/>
          <w:szCs w:val="18"/>
          <w:lang w:val="fr-FR"/>
        </w:rPr>
        <w:fldChar w:fldCharType="begin"/>
      </w:r>
      <w:r w:rsidR="00E37F68" w:rsidRPr="00C22ABE">
        <w:rPr>
          <w:rFonts w:cstheme="minorHAnsi"/>
          <w:sz w:val="20"/>
          <w:szCs w:val="18"/>
          <w:lang w:val="fr-FR"/>
        </w:rPr>
        <w:instrText xml:space="preserve"> ADDIN ZOTERO_ITEM CSL_CITATION {"citationID":"Kg1JPoTl","properties":{"formattedCitation":"(8)","plainCitation":"(8)","noteIndex":0},"citationItems":[{"id":282,"uris":["http://zotero.org/users/local/Om3YyEnU/items/IUQDP2RY"],"uri":["http://zotero.org/users/local/Om3YyEnU/items/IUQDP2RY"],"itemData":{"id":282,"type":"article-journal","abstract":"PURPOSE: To review the conservative and surgical management options of osteoradionecrosis, in particular, highlighting the recent the use of anti-radiation fibrosis drugs (pentoxifylline, tocopherol and clodronate).\nMATERIAL AND METHODS: We performed a literature review. The management options were divided into two groups, conservative and surgical management.\nRESULTS: Over the years several treatment options have been proposed including; conservative management (antibiotics, analgesics, oral hygiene), ultrasound therapy, hyperbaric oxygen therapy, surgical resection with reconstruction and more recently the use of anti-radiation fibrosis drugs (pentoxifylline, tocopherol and clodronate). Early or low grade ORN can be managed conservatively using a combination of treatment options. In advanced or refractory cases of ORN (pathological fracture, orocutaneous fistula) surgical treatment, at present, remains the only treatment option available. A new understanding of the pathophysiology of ORN (radiation induced fibroatrophic process) has lead to the development of new therapeutic management regimes.\nCONCLUSION: In advanced or refractory cases of ORN surgical treatment, including microvascular reconstructive techniques for bone and soft tissue, remains the only option available.","container-title":"The Surgeon: Journal of the Royal Colleges of Surgeons of Edinburgh and Ireland","DOI":"10.1016/j.surge.2014.07.003","ISSN":"1479-666X","issue":"2","journalAbbreviation":"Surgeon","language":"eng","note":"PMID: 25084627","page":"101-109","source":"PubMed","title":"The management of osteoradionecrosis of the jaws--a review","volume":"13","author":[{"family":"Rice","given":"Niamh"},{"family":"Polyzois","given":"Ioannis"},{"family":"Ekanayake","given":"Kumara"},{"family":"Omer","given":"Osama"},{"family":"Stassen","given":"Leo F. A."}],"issued":{"date-parts":[["2015",4]]}}}],"schema":"https://github.com/citation-style-language/schema/raw/master/csl-citation.json"} </w:instrText>
      </w:r>
      <w:r w:rsidR="00E37F68" w:rsidRPr="00C22ABE">
        <w:rPr>
          <w:rFonts w:cstheme="minorHAnsi"/>
          <w:sz w:val="20"/>
          <w:szCs w:val="18"/>
          <w:lang w:val="fr-FR"/>
        </w:rPr>
        <w:fldChar w:fldCharType="separate"/>
      </w:r>
      <w:r w:rsidR="00E37F68" w:rsidRPr="00C22ABE">
        <w:rPr>
          <w:rFonts w:cstheme="minorHAnsi"/>
          <w:sz w:val="20"/>
        </w:rPr>
        <w:t>(8)</w:t>
      </w:r>
      <w:r w:rsidR="00E37F68" w:rsidRPr="00C22ABE">
        <w:rPr>
          <w:rFonts w:cstheme="minorHAnsi"/>
          <w:sz w:val="20"/>
          <w:szCs w:val="18"/>
          <w:lang w:val="fr-FR"/>
        </w:rPr>
        <w:fldChar w:fldCharType="end"/>
      </w:r>
      <w:r w:rsidR="00A97306" w:rsidRPr="00C22ABE">
        <w:rPr>
          <w:rFonts w:cstheme="minorHAnsi"/>
          <w:sz w:val="20"/>
          <w:szCs w:val="18"/>
          <w:lang w:val="fr-FR"/>
        </w:rPr>
        <w:t xml:space="preserve">. </w:t>
      </w:r>
    </w:p>
    <w:p w14:paraId="5EC1D463" w14:textId="77777777" w:rsidR="00DC09E2" w:rsidRPr="00C22ABE" w:rsidRDefault="00413138" w:rsidP="0076356A">
      <w:pPr>
        <w:tabs>
          <w:tab w:val="left" w:pos="7110"/>
        </w:tabs>
        <w:rPr>
          <w:rFonts w:cstheme="minorHAnsi"/>
          <w:sz w:val="20"/>
          <w:szCs w:val="18"/>
          <w:lang w:val="fr-FR"/>
        </w:rPr>
      </w:pPr>
      <w:r w:rsidRPr="00C22ABE">
        <w:rPr>
          <w:rFonts w:cstheme="minorHAnsi"/>
          <w:sz w:val="20"/>
          <w:szCs w:val="18"/>
          <w:lang w:val="fr-FR"/>
        </w:rPr>
        <w:t xml:space="preserve">Différents antibiotiques sont retrouvés dans la littérature, </w:t>
      </w:r>
      <w:r w:rsidR="00E37F68" w:rsidRPr="00C22ABE">
        <w:rPr>
          <w:rFonts w:cstheme="minorHAnsi"/>
          <w:sz w:val="20"/>
          <w:szCs w:val="18"/>
          <w:lang w:val="fr-FR"/>
        </w:rPr>
        <w:t xml:space="preserve">à différentes posologies et </w:t>
      </w:r>
      <w:r w:rsidRPr="00C22ABE">
        <w:rPr>
          <w:rFonts w:cstheme="minorHAnsi"/>
          <w:sz w:val="20"/>
          <w:szCs w:val="18"/>
          <w:lang w:val="fr-FR"/>
        </w:rPr>
        <w:t>durées d’administration. Les antibiotiques les plus souvent utilisés sont l’amoxicilline, de 500 mg 3 à 6 par jour</w:t>
      </w:r>
      <w:r w:rsidR="0034472A" w:rsidRPr="00C22ABE">
        <w:rPr>
          <w:rFonts w:cstheme="minorHAnsi"/>
          <w:sz w:val="20"/>
          <w:szCs w:val="18"/>
          <w:lang w:val="fr-FR"/>
        </w:rPr>
        <w:t xml:space="preserve"> ou 1 g 2 à 3x/jour</w:t>
      </w:r>
      <w:r w:rsidRPr="00C22ABE">
        <w:rPr>
          <w:rFonts w:cstheme="minorHAnsi"/>
          <w:sz w:val="20"/>
          <w:szCs w:val="18"/>
          <w:lang w:val="fr-FR"/>
        </w:rPr>
        <w:t>, l’association amoxicilline/acide clavulanique</w:t>
      </w:r>
      <w:r w:rsidR="0034472A" w:rsidRPr="00C22ABE">
        <w:rPr>
          <w:rFonts w:cstheme="minorHAnsi"/>
          <w:sz w:val="20"/>
          <w:szCs w:val="18"/>
          <w:lang w:val="fr-FR"/>
        </w:rPr>
        <w:t xml:space="preserve"> 500/125 3 à 4 prises/jour ou 875/125 2 à 4 prises /jour ou 1000/62,5 2 à 3 prises/jour. La durée de traitement est variable d’une équipe à l’autre.</w:t>
      </w:r>
      <w:r w:rsidR="00DC09E2" w:rsidRPr="00C22ABE">
        <w:rPr>
          <w:rFonts w:cstheme="minorHAnsi"/>
          <w:sz w:val="20"/>
          <w:szCs w:val="18"/>
          <w:lang w:val="fr-FR"/>
        </w:rPr>
        <w:t xml:space="preserve"> </w:t>
      </w:r>
    </w:p>
    <w:p w14:paraId="3BB65C76" w14:textId="553A3A58" w:rsidR="0048773D" w:rsidRPr="00C22ABE" w:rsidRDefault="001073A1" w:rsidP="0076356A">
      <w:pPr>
        <w:tabs>
          <w:tab w:val="left" w:pos="7110"/>
        </w:tabs>
        <w:rPr>
          <w:rFonts w:cstheme="minorHAnsi"/>
          <w:sz w:val="20"/>
          <w:szCs w:val="18"/>
          <w:lang w:val="fr-FR"/>
        </w:rPr>
      </w:pPr>
      <w:r w:rsidRPr="00C22ABE">
        <w:rPr>
          <w:rFonts w:cstheme="minorHAnsi"/>
          <w:sz w:val="20"/>
          <w:szCs w:val="18"/>
          <w:lang w:val="fr-FR"/>
        </w:rPr>
        <w:t>D’autres préconisent les tétracyclines (doxycycline</w:t>
      </w:r>
      <w:r w:rsidR="00702620" w:rsidRPr="00C22ABE">
        <w:rPr>
          <w:rFonts w:cstheme="minorHAnsi"/>
          <w:sz w:val="20"/>
          <w:szCs w:val="18"/>
          <w:lang w:val="fr-FR"/>
        </w:rPr>
        <w:t xml:space="preserve"> 100 à 200 mg/</w:t>
      </w:r>
      <w:r w:rsidR="00620661" w:rsidRPr="00C22ABE">
        <w:rPr>
          <w:rFonts w:cstheme="minorHAnsi"/>
          <w:sz w:val="20"/>
          <w:szCs w:val="18"/>
          <w:lang w:val="fr-FR"/>
        </w:rPr>
        <w:t>j</w:t>
      </w:r>
      <w:r w:rsidR="00702620" w:rsidRPr="00C22ABE">
        <w:rPr>
          <w:rFonts w:cstheme="minorHAnsi"/>
          <w:sz w:val="20"/>
          <w:szCs w:val="18"/>
          <w:lang w:val="fr-FR"/>
        </w:rPr>
        <w:t>, durée variable</w:t>
      </w:r>
      <w:r w:rsidRPr="00C22ABE">
        <w:rPr>
          <w:rFonts w:cstheme="minorHAnsi"/>
          <w:sz w:val="20"/>
          <w:szCs w:val="18"/>
          <w:lang w:val="fr-FR"/>
        </w:rPr>
        <w:t xml:space="preserve">) </w:t>
      </w:r>
      <w:r w:rsidR="0048773D" w:rsidRPr="00C22ABE">
        <w:rPr>
          <w:rFonts w:cstheme="minorHAnsi"/>
          <w:sz w:val="20"/>
          <w:szCs w:val="18"/>
          <w:lang w:val="fr-FR"/>
        </w:rPr>
        <w:t xml:space="preserve">pour leur bonne </w:t>
      </w:r>
      <w:r w:rsidRPr="00C22ABE">
        <w:rPr>
          <w:rFonts w:cstheme="minorHAnsi"/>
          <w:sz w:val="20"/>
          <w:szCs w:val="18"/>
          <w:lang w:val="fr-FR"/>
        </w:rPr>
        <w:t xml:space="preserve">pénétration osseuse </w:t>
      </w:r>
      <w:r w:rsidRPr="00C22ABE">
        <w:rPr>
          <w:rFonts w:cstheme="minorHAnsi"/>
          <w:sz w:val="20"/>
          <w:szCs w:val="18"/>
          <w:lang w:val="fr-FR"/>
        </w:rPr>
        <w:fldChar w:fldCharType="begin"/>
      </w:r>
      <w:r w:rsidRPr="00C22ABE">
        <w:rPr>
          <w:rFonts w:cstheme="minorHAnsi"/>
          <w:sz w:val="20"/>
          <w:szCs w:val="18"/>
          <w:lang w:val="fr-FR"/>
        </w:rPr>
        <w:instrText xml:space="preserve"> ADDIN ZOTERO_ITEM CSL_CITATION {"citationID":"CXSvSYi7","properties":{"formattedCitation":"(8)","plainCitation":"(8)","noteIndex":0},"citationItems":[{"id":282,"uris":["http://zotero.org/users/local/Om3YyEnU/items/IUQDP2RY"],"uri":["http://zotero.org/users/local/Om3YyEnU/items/IUQDP2RY"],"itemData":{"id":282,"type":"article-journal","abstract":"PURPOSE: To review the conservative and surgical management options of osteoradionecrosis, in particular, highlighting the recent the use of anti-radiation fibrosis drugs (pentoxifylline, tocopherol and clodronate).\nMATERIAL AND METHODS: We performed a literature review. The management options were divided into two groups, conservative and surgical management.\nRESULTS: Over the years several treatment options have been proposed including; conservative management (antibiotics, analgesics, oral hygiene), ultrasound therapy, hyperbaric oxygen therapy, surgical resection with reconstruction and more recently the use of anti-radiation fibrosis drugs (pentoxifylline, tocopherol and clodronate). Early or low grade ORN can be managed conservatively using a combination of treatment options. In advanced or refractory cases of ORN (pathological fracture, orocutaneous fistula) surgical treatment, at present, remains the only treatment option available. A new understanding of the pathophysiology of ORN (radiation induced fibroatrophic process) has lead to the development of new therapeutic management regimes.\nCONCLUSION: In advanced or refractory cases of ORN surgical treatment, including microvascular reconstructive techniques for bone and soft tissue, remains the only option available.","container-title":"The Surgeon: Journal of the Royal Colleges of Surgeons of Edinburgh and Ireland","DOI":"10.1016/j.surge.2014.07.003","ISSN":"1479-666X","issue":"2","journalAbbreviation":"Surgeon","language":"eng","note":"PMID: 25084627","page":"101-109","source":"PubMed","title":"The management of osteoradionecrosis of the jaws--a review","volume":"13","author":[{"family":"Rice","given":"Niamh"},{"family":"Polyzois","given":"Ioannis"},{"family":"Ekanayake","given":"Kumara"},{"family":"Omer","given":"Osama"},{"family":"Stassen","given":"Leo F. A."}],"issued":{"date-parts":[["2015",4]]}}}],"schema":"https://github.com/citation-style-language/schema/raw/master/csl-citation.json"} </w:instrText>
      </w:r>
      <w:r w:rsidRPr="00C22ABE">
        <w:rPr>
          <w:rFonts w:cstheme="minorHAnsi"/>
          <w:sz w:val="20"/>
          <w:szCs w:val="18"/>
          <w:lang w:val="fr-FR"/>
        </w:rPr>
        <w:fldChar w:fldCharType="separate"/>
      </w:r>
      <w:r w:rsidRPr="00C22ABE">
        <w:rPr>
          <w:rFonts w:cstheme="minorHAnsi"/>
          <w:sz w:val="20"/>
        </w:rPr>
        <w:t>(8)</w:t>
      </w:r>
      <w:r w:rsidRPr="00C22ABE">
        <w:rPr>
          <w:rFonts w:cstheme="minorHAnsi"/>
          <w:sz w:val="20"/>
          <w:szCs w:val="18"/>
          <w:lang w:val="fr-FR"/>
        </w:rPr>
        <w:fldChar w:fldCharType="end"/>
      </w:r>
      <w:r w:rsidRPr="00C22ABE">
        <w:rPr>
          <w:rFonts w:cstheme="minorHAnsi"/>
          <w:sz w:val="20"/>
          <w:szCs w:val="18"/>
          <w:lang w:val="fr-FR"/>
        </w:rPr>
        <w:t>.</w:t>
      </w:r>
    </w:p>
    <w:p w14:paraId="7431304E" w14:textId="35DD25B3" w:rsidR="0034472A" w:rsidRPr="00C22ABE" w:rsidRDefault="0034472A" w:rsidP="0076356A">
      <w:pPr>
        <w:tabs>
          <w:tab w:val="left" w:pos="7110"/>
        </w:tabs>
        <w:rPr>
          <w:rFonts w:cstheme="minorHAnsi"/>
          <w:sz w:val="20"/>
          <w:szCs w:val="18"/>
          <w:lang w:val="fr-FR"/>
        </w:rPr>
      </w:pPr>
      <w:r w:rsidRPr="00C22ABE">
        <w:rPr>
          <w:rFonts w:cstheme="minorHAnsi"/>
          <w:sz w:val="20"/>
          <w:szCs w:val="18"/>
          <w:lang w:val="fr-FR"/>
        </w:rPr>
        <w:t>Des antidouleurs sont proposés à la demande (paracétamol, association paracétamol/</w:t>
      </w:r>
      <w:proofErr w:type="spellStart"/>
      <w:r w:rsidRPr="00C22ABE">
        <w:rPr>
          <w:rFonts w:cstheme="minorHAnsi"/>
          <w:sz w:val="20"/>
          <w:szCs w:val="18"/>
          <w:lang w:val="fr-FR"/>
        </w:rPr>
        <w:t>tramadol</w:t>
      </w:r>
      <w:proofErr w:type="spellEnd"/>
      <w:r w:rsidRPr="00C22ABE">
        <w:rPr>
          <w:rFonts w:cstheme="minorHAnsi"/>
          <w:sz w:val="20"/>
          <w:szCs w:val="18"/>
          <w:lang w:val="fr-FR"/>
        </w:rPr>
        <w:t xml:space="preserve">, ou </w:t>
      </w:r>
      <w:proofErr w:type="spellStart"/>
      <w:r w:rsidRPr="00C22ABE">
        <w:rPr>
          <w:rFonts w:cstheme="minorHAnsi"/>
          <w:sz w:val="20"/>
          <w:szCs w:val="18"/>
          <w:lang w:val="fr-FR"/>
        </w:rPr>
        <w:t>tram</w:t>
      </w:r>
      <w:r w:rsidR="007825B0" w:rsidRPr="00C22ABE">
        <w:rPr>
          <w:rFonts w:cstheme="minorHAnsi"/>
          <w:sz w:val="20"/>
          <w:szCs w:val="18"/>
          <w:lang w:val="fr-FR"/>
        </w:rPr>
        <w:t>a</w:t>
      </w:r>
      <w:r w:rsidRPr="00C22ABE">
        <w:rPr>
          <w:rFonts w:cstheme="minorHAnsi"/>
          <w:sz w:val="20"/>
          <w:szCs w:val="18"/>
          <w:lang w:val="fr-FR"/>
        </w:rPr>
        <w:t>dol</w:t>
      </w:r>
      <w:proofErr w:type="spellEnd"/>
      <w:r w:rsidR="001073A1" w:rsidRPr="00C22ABE">
        <w:rPr>
          <w:rFonts w:cstheme="minorHAnsi"/>
          <w:sz w:val="20"/>
          <w:szCs w:val="18"/>
          <w:lang w:val="fr-FR"/>
        </w:rPr>
        <w:t>)</w:t>
      </w:r>
      <w:r w:rsidRPr="00C22ABE">
        <w:rPr>
          <w:rFonts w:cstheme="minorHAnsi"/>
          <w:sz w:val="20"/>
          <w:szCs w:val="18"/>
          <w:lang w:val="fr-FR"/>
        </w:rPr>
        <w:t>. La combinaison paracétamol/anti</w:t>
      </w:r>
      <w:r w:rsidR="00620661" w:rsidRPr="00C22ABE">
        <w:rPr>
          <w:rFonts w:cstheme="minorHAnsi"/>
          <w:sz w:val="20"/>
          <w:szCs w:val="18"/>
          <w:lang w:val="fr-FR"/>
        </w:rPr>
        <w:t>-</w:t>
      </w:r>
      <w:r w:rsidRPr="00C22ABE">
        <w:rPr>
          <w:rFonts w:cstheme="minorHAnsi"/>
          <w:sz w:val="20"/>
          <w:szCs w:val="18"/>
          <w:lang w:val="fr-FR"/>
        </w:rPr>
        <w:t>inflammatoire non stéroïdien peut également soulager le patient.</w:t>
      </w:r>
    </w:p>
    <w:p w14:paraId="754F31C4" w14:textId="10917B14" w:rsidR="0076356A" w:rsidRPr="00C22ABE" w:rsidRDefault="00A97306" w:rsidP="0076356A">
      <w:pPr>
        <w:tabs>
          <w:tab w:val="left" w:pos="7110"/>
        </w:tabs>
        <w:rPr>
          <w:rFonts w:cstheme="minorHAnsi"/>
          <w:sz w:val="20"/>
          <w:szCs w:val="18"/>
          <w:lang w:val="fr-FR"/>
        </w:rPr>
      </w:pPr>
      <w:r w:rsidRPr="00C22ABE">
        <w:rPr>
          <w:rFonts w:cstheme="minorHAnsi"/>
          <w:sz w:val="20"/>
          <w:szCs w:val="18"/>
          <w:lang w:val="fr-FR"/>
        </w:rPr>
        <w:t xml:space="preserve">Des </w:t>
      </w:r>
      <w:r w:rsidR="0076356A" w:rsidRPr="00C22ABE">
        <w:rPr>
          <w:rFonts w:cstheme="minorHAnsi"/>
          <w:sz w:val="20"/>
          <w:szCs w:val="18"/>
          <w:lang w:val="fr-FR"/>
        </w:rPr>
        <w:t>corticostéroïdes</w:t>
      </w:r>
      <w:r w:rsidRPr="00C22ABE">
        <w:rPr>
          <w:rFonts w:cstheme="minorHAnsi"/>
          <w:sz w:val="20"/>
          <w:szCs w:val="18"/>
          <w:lang w:val="fr-FR"/>
        </w:rPr>
        <w:t xml:space="preserve"> </w:t>
      </w:r>
      <w:r w:rsidR="007825B0" w:rsidRPr="00C22ABE">
        <w:rPr>
          <w:rFonts w:cstheme="minorHAnsi"/>
          <w:sz w:val="20"/>
          <w:szCs w:val="18"/>
          <w:lang w:val="fr-FR"/>
        </w:rPr>
        <w:t>ont</w:t>
      </w:r>
      <w:r w:rsidRPr="00C22ABE">
        <w:rPr>
          <w:rFonts w:cstheme="minorHAnsi"/>
          <w:sz w:val="20"/>
          <w:szCs w:val="18"/>
          <w:lang w:val="fr-FR"/>
        </w:rPr>
        <w:t xml:space="preserve"> </w:t>
      </w:r>
      <w:r w:rsidR="0076356A" w:rsidRPr="00C22ABE">
        <w:rPr>
          <w:rFonts w:cstheme="minorHAnsi"/>
          <w:sz w:val="20"/>
          <w:szCs w:val="18"/>
          <w:lang w:val="fr-FR"/>
        </w:rPr>
        <w:t xml:space="preserve">aussi </w:t>
      </w:r>
      <w:r w:rsidR="007825B0" w:rsidRPr="00C22ABE">
        <w:rPr>
          <w:rFonts w:cstheme="minorHAnsi"/>
          <w:sz w:val="20"/>
          <w:szCs w:val="18"/>
          <w:lang w:val="fr-FR"/>
        </w:rPr>
        <w:t>été</w:t>
      </w:r>
      <w:r w:rsidRPr="00C22ABE">
        <w:rPr>
          <w:rFonts w:cstheme="minorHAnsi"/>
          <w:sz w:val="20"/>
          <w:szCs w:val="18"/>
          <w:lang w:val="fr-FR"/>
        </w:rPr>
        <w:t xml:space="preserve"> utilisés pour leurs propriétés anti</w:t>
      </w:r>
      <w:r w:rsidR="00F90B1B" w:rsidRPr="00C22ABE">
        <w:rPr>
          <w:rFonts w:cstheme="minorHAnsi"/>
          <w:sz w:val="20"/>
          <w:szCs w:val="18"/>
          <w:lang w:val="fr-FR"/>
        </w:rPr>
        <w:t>-</w:t>
      </w:r>
      <w:r w:rsidRPr="00C22ABE">
        <w:rPr>
          <w:rFonts w:cstheme="minorHAnsi"/>
          <w:sz w:val="20"/>
          <w:szCs w:val="18"/>
          <w:lang w:val="fr-FR"/>
        </w:rPr>
        <w:t>inflammatoires. Il a été constaté que les patients ayant bénéficié d’une chimiothérapie associée à des corticoïdes présentaient moins de fibrose en comparaison</w:t>
      </w:r>
      <w:r w:rsidR="0076356A" w:rsidRPr="00C22ABE">
        <w:rPr>
          <w:rFonts w:cstheme="minorHAnsi"/>
          <w:sz w:val="20"/>
          <w:szCs w:val="18"/>
          <w:lang w:val="fr-FR"/>
        </w:rPr>
        <w:t xml:space="preserve"> </w:t>
      </w:r>
      <w:r w:rsidRPr="00C22ABE">
        <w:rPr>
          <w:rFonts w:cstheme="minorHAnsi"/>
          <w:sz w:val="20"/>
          <w:szCs w:val="18"/>
          <w:lang w:val="fr-FR"/>
        </w:rPr>
        <w:t>des patients n’ayant pas reçu de corticoïdes. En cas de RIF cutanée, l’usage local de stéroïdes diminue la synthèse de collagène</w:t>
      </w:r>
      <w:r w:rsidR="00326D80" w:rsidRPr="00C22ABE">
        <w:rPr>
          <w:rFonts w:cstheme="minorHAnsi"/>
          <w:sz w:val="20"/>
          <w:szCs w:val="18"/>
          <w:lang w:val="fr-FR"/>
        </w:rPr>
        <w:t xml:space="preserve"> et améliore la situation</w:t>
      </w:r>
      <w:r w:rsidR="0034472A" w:rsidRPr="00C22ABE">
        <w:rPr>
          <w:rFonts w:cstheme="minorHAnsi"/>
          <w:sz w:val="20"/>
          <w:szCs w:val="18"/>
          <w:lang w:val="fr-FR"/>
        </w:rPr>
        <w:t xml:space="preserve"> </w:t>
      </w:r>
      <w:r w:rsidR="0034472A" w:rsidRPr="00C22ABE">
        <w:rPr>
          <w:rFonts w:cstheme="minorHAnsi"/>
          <w:sz w:val="20"/>
          <w:szCs w:val="18"/>
          <w:lang w:val="fr-FR"/>
        </w:rPr>
        <w:fldChar w:fldCharType="begin"/>
      </w:r>
      <w:r w:rsidR="00DD29FB" w:rsidRPr="00C22ABE">
        <w:rPr>
          <w:rFonts w:cstheme="minorHAnsi"/>
          <w:sz w:val="20"/>
          <w:szCs w:val="18"/>
          <w:lang w:val="fr-FR"/>
        </w:rPr>
        <w:instrText xml:space="preserve"> ADDIN ZOTERO_ITEM CSL_CITATION {"citationID":"xTeZhuyy","properties":{"formattedCitation":"(44)","plainCitation":"(44)","noteIndex":0},"citationItems":[{"id":262,"uris":["http://zotero.org/users/local/Om3YyEnU/items/AWPHGCPL"],"uri":["http://zotero.org/users/local/Om3YyEnU/items/AWPHGCPL"],"itemData":{"id":262,"type":"article-journal","abstract":"OBJECTIVE: The aim of this study was to summarize the effectiveness of steroids in the prevention of osteoradionecrosis of the head and neck.\nDATA SOURCES: PubMED, MEDLINE, Embase, Google Scholar, and Cochrane trial registries.\nMETHODS: A systematic review of these data sources was performed through September 2018 using the Preferred Reporting Items for Systematic Reviews and Meta-Analyses guidelines. Included were English-language studies evaluating patients of all age groups diagnosed with head and neck cancer who underwent radiation therapy while receiving peritreatment steroids compared with those who did not receive steroids.\nRESULTS: Two retrospective cohort studies were identified for qualitative review. On the basis of analysis of 25 328 participants (36-82 years of age) with head and neck cancer who underwent radiation therapy, the use of peritreatment steroids was associated with a significantly lower risk for osteoradionecrosis in both studies, with a hazard ratio of 0.74 (95% confidence interval, 0.59-0.94; P = .012) and a relative risk of 0.04 (95% confidence interval, 0.003-0.560; P = .017). Meta-analysis was precluded by clinical and statistical heterogeneity. Overall, the studies were of limited quality with high risk for bias and poor methodology.\nCONCLUSIONS: Limited retrospective data suggest that steroids are predictive of a reduced risk for osteoradionecrosis; however, no definitive conclusions can be made given the poor quality of the available literature. Well-designed, comparison-controlled trials are needed to clarify the promising role of steroids in the prevention of osteoradionecrosis of the head and neck.","container-title":"The Annals of Otology, Rhinology, and Laryngology","DOI":"10.1177/0003489419826595","ISSN":"1943-572X","issue":"5","journalAbbreviation":"Ann Otol Rhinol Laryngol","language":"eng","note":"PMID: 30688080","page":"441-446","source":"PubMed","title":"Role of Steroids in Preventing Osteoradionecrosis of the Head and Neck: A Systematic Review","title-short":"Role of Steroids in Preventing Osteoradionecrosis of the Head and Neck","volume":"128","author":[{"family":"Raggio","given":"Blake S."},{"family":"Winters","given":"Ryan D."}],"issued":{"date-parts":[["2019",5]]}}}],"schema":"https://github.com/citation-style-language/schema/raw/master/csl-citation.json"} </w:instrText>
      </w:r>
      <w:r w:rsidR="0034472A" w:rsidRPr="00C22ABE">
        <w:rPr>
          <w:rFonts w:cstheme="minorHAnsi"/>
          <w:sz w:val="20"/>
          <w:szCs w:val="18"/>
          <w:lang w:val="fr-FR"/>
        </w:rPr>
        <w:fldChar w:fldCharType="separate"/>
      </w:r>
      <w:r w:rsidR="00DD29FB" w:rsidRPr="00C22ABE">
        <w:rPr>
          <w:rFonts w:cstheme="minorHAnsi"/>
          <w:sz w:val="20"/>
        </w:rPr>
        <w:t>(44)</w:t>
      </w:r>
      <w:r w:rsidR="0034472A" w:rsidRPr="00C22ABE">
        <w:rPr>
          <w:rFonts w:cstheme="minorHAnsi"/>
          <w:sz w:val="20"/>
          <w:szCs w:val="18"/>
          <w:lang w:val="fr-FR"/>
        </w:rPr>
        <w:fldChar w:fldCharType="end"/>
      </w:r>
      <w:r w:rsidR="0034472A" w:rsidRPr="00C22ABE">
        <w:rPr>
          <w:rFonts w:cstheme="minorHAnsi"/>
          <w:sz w:val="20"/>
          <w:szCs w:val="18"/>
          <w:lang w:val="fr-FR"/>
        </w:rPr>
        <w:t>.</w:t>
      </w:r>
    </w:p>
    <w:p w14:paraId="66417048" w14:textId="3DBE62D4" w:rsidR="001073A1" w:rsidRPr="00C22ABE" w:rsidRDefault="0076356A" w:rsidP="0076356A">
      <w:pPr>
        <w:tabs>
          <w:tab w:val="left" w:pos="7110"/>
        </w:tabs>
        <w:rPr>
          <w:rFonts w:cstheme="minorHAnsi"/>
          <w:sz w:val="20"/>
          <w:szCs w:val="18"/>
          <w:lang w:val="fr-FR"/>
        </w:rPr>
      </w:pPr>
      <w:r w:rsidRPr="00C22ABE">
        <w:rPr>
          <w:rFonts w:cstheme="minorHAnsi"/>
          <w:sz w:val="20"/>
          <w:szCs w:val="18"/>
          <w:lang w:val="fr-FR"/>
        </w:rPr>
        <w:t xml:space="preserve">D’autres traitements conservateurs sont également </w:t>
      </w:r>
      <w:r w:rsidR="007825B0" w:rsidRPr="00C22ABE">
        <w:rPr>
          <w:rFonts w:cstheme="minorHAnsi"/>
          <w:sz w:val="20"/>
          <w:szCs w:val="18"/>
          <w:lang w:val="fr-FR"/>
        </w:rPr>
        <w:t>proposés</w:t>
      </w:r>
      <w:r w:rsidRPr="00C22ABE">
        <w:rPr>
          <w:rFonts w:cstheme="minorHAnsi"/>
          <w:sz w:val="20"/>
          <w:szCs w:val="18"/>
          <w:lang w:val="fr-FR"/>
        </w:rPr>
        <w:t> : oxygénothérapie hyperbare, l’association pentoxifylline/tocophérol/clodronate</w:t>
      </w:r>
      <w:r w:rsidR="0034472A" w:rsidRPr="00C22ABE">
        <w:rPr>
          <w:rFonts w:cstheme="minorHAnsi"/>
          <w:sz w:val="20"/>
          <w:szCs w:val="18"/>
          <w:lang w:val="fr-FR"/>
        </w:rPr>
        <w:t xml:space="preserve">. </w:t>
      </w:r>
    </w:p>
    <w:p w14:paraId="7C64292F" w14:textId="1B111C6C" w:rsidR="0076356A" w:rsidRPr="00C22ABE" w:rsidRDefault="001073A1" w:rsidP="0076356A">
      <w:pPr>
        <w:tabs>
          <w:tab w:val="left" w:pos="7110"/>
        </w:tabs>
        <w:rPr>
          <w:rFonts w:cstheme="minorHAnsi"/>
          <w:sz w:val="20"/>
          <w:szCs w:val="18"/>
          <w:lang w:val="fr-FR"/>
        </w:rPr>
      </w:pPr>
      <w:r w:rsidRPr="00C22ABE">
        <w:rPr>
          <w:rFonts w:cstheme="minorHAnsi"/>
          <w:sz w:val="20"/>
          <w:szCs w:val="18"/>
          <w:lang w:val="fr-FR"/>
        </w:rPr>
        <w:t xml:space="preserve">Certaines </w:t>
      </w:r>
      <w:r w:rsidRPr="00C22ABE">
        <w:rPr>
          <w:rFonts w:cstheme="minorHAnsi"/>
          <w:sz w:val="20"/>
          <w:szCs w:val="18"/>
          <w:u w:val="single"/>
          <w:lang w:val="fr-FR"/>
        </w:rPr>
        <w:t>chirurgies sont considérées comme conservatrices</w:t>
      </w:r>
      <w:r w:rsidRPr="00C22ABE">
        <w:rPr>
          <w:rFonts w:cstheme="minorHAnsi"/>
          <w:sz w:val="20"/>
          <w:szCs w:val="18"/>
          <w:lang w:val="fr-FR"/>
        </w:rPr>
        <w:t> : il s’agit des curetages superficiels, séquestrectomie</w:t>
      </w:r>
      <w:r w:rsidR="00326D80" w:rsidRPr="00C22ABE">
        <w:rPr>
          <w:rFonts w:cstheme="minorHAnsi"/>
          <w:sz w:val="20"/>
          <w:szCs w:val="18"/>
          <w:lang w:val="fr-FR"/>
        </w:rPr>
        <w:t>s</w:t>
      </w:r>
      <w:r w:rsidRPr="00C22ABE">
        <w:rPr>
          <w:rFonts w:cstheme="minorHAnsi"/>
          <w:sz w:val="20"/>
          <w:szCs w:val="18"/>
          <w:lang w:val="fr-FR"/>
        </w:rPr>
        <w:t xml:space="preserve">. </w:t>
      </w:r>
      <w:r w:rsidR="0034472A" w:rsidRPr="00C22ABE">
        <w:rPr>
          <w:rFonts w:cstheme="minorHAnsi"/>
          <w:sz w:val="20"/>
          <w:szCs w:val="18"/>
          <w:lang w:val="fr-FR"/>
        </w:rPr>
        <w:t>L</w:t>
      </w:r>
      <w:r w:rsidR="0076356A" w:rsidRPr="00C22ABE">
        <w:rPr>
          <w:rFonts w:cstheme="minorHAnsi"/>
          <w:sz w:val="20"/>
          <w:szCs w:val="18"/>
          <w:lang w:val="fr-FR"/>
        </w:rPr>
        <w:t>es concentrés plaquettaires</w:t>
      </w:r>
      <w:r w:rsidR="0034472A" w:rsidRPr="00C22ABE">
        <w:rPr>
          <w:rFonts w:cstheme="minorHAnsi"/>
          <w:sz w:val="20"/>
          <w:szCs w:val="18"/>
          <w:lang w:val="fr-FR"/>
        </w:rPr>
        <w:t xml:space="preserve"> et </w:t>
      </w:r>
      <w:r w:rsidR="0076356A" w:rsidRPr="00C22ABE">
        <w:rPr>
          <w:rFonts w:cstheme="minorHAnsi"/>
          <w:sz w:val="20"/>
          <w:szCs w:val="18"/>
          <w:lang w:val="fr-FR"/>
        </w:rPr>
        <w:t xml:space="preserve">les cellules souches </w:t>
      </w:r>
      <w:r w:rsidR="00C22ABE" w:rsidRPr="00C22ABE">
        <w:rPr>
          <w:rFonts w:cstheme="minorHAnsi"/>
          <w:sz w:val="20"/>
          <w:szCs w:val="18"/>
          <w:lang w:val="fr-FR"/>
        </w:rPr>
        <w:t>peuvent être</w:t>
      </w:r>
      <w:r w:rsidR="0034472A" w:rsidRPr="00C22ABE">
        <w:rPr>
          <w:rFonts w:cstheme="minorHAnsi"/>
          <w:sz w:val="20"/>
          <w:szCs w:val="18"/>
          <w:lang w:val="fr-FR"/>
        </w:rPr>
        <w:t xml:space="preserve"> utilisés </w:t>
      </w:r>
      <w:r w:rsidRPr="00C22ABE">
        <w:rPr>
          <w:rFonts w:cstheme="minorHAnsi"/>
          <w:sz w:val="20"/>
          <w:szCs w:val="18"/>
          <w:lang w:val="fr-FR"/>
        </w:rPr>
        <w:t xml:space="preserve">en association avec </w:t>
      </w:r>
      <w:r w:rsidR="0034472A" w:rsidRPr="00C22ABE">
        <w:rPr>
          <w:rFonts w:cstheme="minorHAnsi"/>
          <w:sz w:val="20"/>
          <w:szCs w:val="18"/>
          <w:lang w:val="fr-FR"/>
        </w:rPr>
        <w:t>de</w:t>
      </w:r>
      <w:r w:rsidRPr="00C22ABE">
        <w:rPr>
          <w:rFonts w:cstheme="minorHAnsi"/>
          <w:sz w:val="20"/>
          <w:szCs w:val="18"/>
          <w:lang w:val="fr-FR"/>
        </w:rPr>
        <w:t>s</w:t>
      </w:r>
      <w:r w:rsidR="0034472A" w:rsidRPr="00C22ABE">
        <w:rPr>
          <w:rFonts w:cstheme="minorHAnsi"/>
          <w:sz w:val="20"/>
          <w:szCs w:val="18"/>
          <w:lang w:val="fr-FR"/>
        </w:rPr>
        <w:t xml:space="preserve"> gestes chirurgicaux conservateurs ou </w:t>
      </w:r>
      <w:r w:rsidR="00815E47" w:rsidRPr="00C22ABE">
        <w:rPr>
          <w:rFonts w:cstheme="minorHAnsi"/>
          <w:sz w:val="20"/>
          <w:szCs w:val="18"/>
          <w:lang w:val="fr-FR"/>
        </w:rPr>
        <w:t>invasif</w:t>
      </w:r>
      <w:r w:rsidR="0034472A" w:rsidRPr="00C22ABE">
        <w:rPr>
          <w:rFonts w:cstheme="minorHAnsi"/>
          <w:sz w:val="20"/>
          <w:szCs w:val="18"/>
          <w:lang w:val="fr-FR"/>
        </w:rPr>
        <w:t>s.</w:t>
      </w:r>
    </w:p>
    <w:p w14:paraId="726B6E52" w14:textId="3CA3FB9B" w:rsidR="00AF6883" w:rsidRPr="00C22ABE" w:rsidRDefault="00FF4BC1" w:rsidP="00CC1759">
      <w:pPr>
        <w:tabs>
          <w:tab w:val="left" w:pos="7110"/>
        </w:tabs>
        <w:rPr>
          <w:rFonts w:cstheme="minorHAnsi"/>
          <w:sz w:val="20"/>
          <w:szCs w:val="18"/>
          <w:lang w:val="fr-FR"/>
        </w:rPr>
      </w:pPr>
      <w:r w:rsidRPr="00C22ABE">
        <w:rPr>
          <w:rFonts w:cstheme="minorHAnsi"/>
          <w:sz w:val="20"/>
          <w:szCs w:val="18"/>
          <w:lang w:val="fr-FR"/>
        </w:rPr>
        <w:t>Une hypothèse serait que plus la dose de radiothérapie est élevée sur le site d’ORN, moins la réponse au traitement médicamenteux</w:t>
      </w:r>
      <w:r w:rsidR="001073A1" w:rsidRPr="00C22ABE">
        <w:rPr>
          <w:rFonts w:cstheme="minorHAnsi"/>
          <w:sz w:val="20"/>
          <w:szCs w:val="18"/>
          <w:lang w:val="fr-FR"/>
        </w:rPr>
        <w:t>/conservateur</w:t>
      </w:r>
      <w:r w:rsidRPr="00C22ABE">
        <w:rPr>
          <w:rFonts w:cstheme="minorHAnsi"/>
          <w:sz w:val="20"/>
          <w:szCs w:val="18"/>
          <w:lang w:val="fr-FR"/>
        </w:rPr>
        <w:t xml:space="preserve"> est bonne</w:t>
      </w:r>
      <w:r w:rsidR="001073A1" w:rsidRPr="00C22ABE">
        <w:rPr>
          <w:rFonts w:cstheme="minorHAnsi"/>
          <w:sz w:val="20"/>
          <w:szCs w:val="18"/>
          <w:lang w:val="fr-FR"/>
        </w:rPr>
        <w:t xml:space="preserve">, la valeur charnière étant de 60 Gy </w:t>
      </w:r>
      <w:r w:rsidR="001073A1" w:rsidRPr="00C22ABE">
        <w:rPr>
          <w:rFonts w:cstheme="minorHAnsi"/>
          <w:sz w:val="20"/>
          <w:szCs w:val="18"/>
          <w:lang w:val="fr-FR"/>
        </w:rPr>
        <w:fldChar w:fldCharType="begin"/>
      </w:r>
      <w:r w:rsidR="00DD29FB" w:rsidRPr="00C22ABE">
        <w:rPr>
          <w:rFonts w:cstheme="minorHAnsi"/>
          <w:sz w:val="20"/>
          <w:szCs w:val="18"/>
          <w:lang w:val="fr-FR"/>
        </w:rPr>
        <w:instrText xml:space="preserve"> ADDIN ZOTERO_ITEM CSL_CITATION {"citationID":"UA3ap24h","properties":{"formattedCitation":"(27,45)","plainCitation":"(27,45)","noteIndex":0},"citationItems":[{"id":297,"uris":["http://zotero.org/users/local/Om3YyEnU/items/L5CCRS8C"],"uri":["http://zotero.org/users/local/Om3YyEnU/items/L5CCRS8C"],"itemData":{"id":297,"type":"article-journal","abstract":"PURPOSE OF REVIEW: This article aims to provide an update on literature data related to mandibular osteoradionecrosis (MORN) secondary to the irradiation of the head and neck region.\nRECENT FINDINGS: Radiotherapy (RT) plays a crucial role in the contemporary management of head and neck cancer (HNC) patients and, despite intensity-modulated technique (IMRT), mandibular osteoradionecrosis (MORN) remains a significant RT-related complication. Based on its clinical manifestation, MORN can negatively affect patients' quality of life. Preventive interventions should be prioritized. This manuscript is expected to represent an opportunity to guide a clear proposal for clinical measures in the individual MORN situations.","container-title":"Current Oncology Reports","DOI":"10.1007/s11912-020-00954-3","ISSN":"1534-6269","issue":"9","journalAbbreviation":"Curr Oncol Rep","language":"eng","note":"PMID: 32642937","page":"89","source":"PubMed","title":"Radiation Therapy and Mandibular Osteoradionecrosis: State of the Art","title-short":"Radiation Therapy and Mandibular Osteoradionecrosis","volume":"22","author":[{"family":"De Felice","given":"Francesca"},{"family":"Tombolini","given":"Vincenzo"},{"family":"Musio","given":"Daniela"},{"family":"Polimeni","given":"Antonella"}],"issued":{"date-parts":[["2020",7,9]]}}},{"id":306,"uris":["http://zotero.org/users/local/Om3YyEnU/items/GU4FEG8H"],"uri":["http://zotero.org/users/local/Om3YyEnU/items/GU4FEG8H"],"itemData":{"id":306,"type":"article-journal","abstract":"PURPOSE: The present study was undertaken to evaluate our recent experience with mandibular osteoradionecrosis (ORN) and to identify factors that contribute to its progress.\nPATIENTS AND METHODS: The medical records of 114 patients who had been treated for ORN during a 16-year period (1989 to 2004) were reviewed. The patients were then divided into 2 groups according to their response to conservative treatment. Group 1 consisted of patients whose ORN resolved with conservative treatment (n = 47). Group 2 consisted of patients whose ORN was unresolved with conservative treatment or who had required radical resection of the involved tissue (n = 67). The information was obtained from the medical records of the patients and analyzed.\nRESULTS: The patients whose ORN was associated with an early-stage tumor or preirradiation extraction had a favorable response to conservative treatment. However, those who had an advanced primary tumor, had continued smoking and drinking after radiotherapy, had received palliative radiotherapy or a radiation dose of more than 6,000 rads, and who had an orocutaneous fistula, a pathologic fracture, swelling, or trismus had a poor response to conservative treatment. In these latter cases, radical resection of the involved tissue proved useful.\nCONCLUSIONS: The results of the present study have indicated that several factors (ie, the stage of the primary tumor, signs of ORN) can influence the progress of ORN. Our results suggest that radical resection is a useful method for treating mandibular ORN that does not respond to conservative treatment.","container-title":"Journal of Oral and Maxillofacial Surgery: Official Journal of the American Association of Oral and Maxillofacial Surgeons","DOI":"10.1016/j.joms.2009.02.008","ISSN":"1531-5053","issue":"7","journalAbbreviation":"J Oral Maxillofac Surg","language":"eng","note":"PMID: 19531406","page":"1378-1386","source":"PubMed","title":"Osteoradionecrosis of the mandible: treatment outcomes and factors influencing the progress of osteoradionecrosis","title-short":"Osteoradionecrosis of the mandible","volume":"67","author":[{"family":"Oh","given":"Hee-Kyun"},{"family":"Chambers","given":"Mark S."},{"family":"Martin","given":"Jack W."},{"family":"Lim","given":"Hoi-Jeong"},{"family":"Park","given":"Hong-Ju"}],"issued":{"date-parts":[["2009",7]]}}}],"schema":"https://github.com/citation-style-language/schema/raw/master/csl-citation.json"} </w:instrText>
      </w:r>
      <w:r w:rsidR="001073A1" w:rsidRPr="00C22ABE">
        <w:rPr>
          <w:rFonts w:cstheme="minorHAnsi"/>
          <w:sz w:val="20"/>
          <w:szCs w:val="18"/>
          <w:lang w:val="fr-FR"/>
        </w:rPr>
        <w:fldChar w:fldCharType="separate"/>
      </w:r>
      <w:r w:rsidR="00DD29FB" w:rsidRPr="00C22ABE">
        <w:rPr>
          <w:rFonts w:cstheme="minorHAnsi"/>
          <w:sz w:val="20"/>
        </w:rPr>
        <w:t>(27,45)</w:t>
      </w:r>
      <w:r w:rsidR="001073A1" w:rsidRPr="00C22ABE">
        <w:rPr>
          <w:rFonts w:cstheme="minorHAnsi"/>
          <w:sz w:val="20"/>
          <w:szCs w:val="18"/>
          <w:lang w:val="fr-FR"/>
        </w:rPr>
        <w:fldChar w:fldCharType="end"/>
      </w:r>
      <w:r w:rsidR="001073A1" w:rsidRPr="00C22ABE">
        <w:rPr>
          <w:rFonts w:cstheme="minorHAnsi"/>
          <w:sz w:val="20"/>
          <w:szCs w:val="18"/>
          <w:lang w:val="fr-FR"/>
        </w:rPr>
        <w:t>.</w:t>
      </w:r>
    </w:p>
    <w:p w14:paraId="6C60CE26" w14:textId="282CBEE2" w:rsidR="00A97306" w:rsidRPr="00C22ABE" w:rsidRDefault="00A97306" w:rsidP="00D143E4">
      <w:pPr>
        <w:tabs>
          <w:tab w:val="left" w:pos="7110"/>
        </w:tabs>
        <w:rPr>
          <w:rFonts w:cstheme="minorHAnsi"/>
          <w:sz w:val="20"/>
          <w:szCs w:val="18"/>
          <w:lang w:val="fr-FR"/>
        </w:rPr>
      </w:pPr>
      <w:r w:rsidRPr="00C22ABE">
        <w:rPr>
          <w:rFonts w:cstheme="minorHAnsi"/>
          <w:sz w:val="20"/>
          <w:szCs w:val="18"/>
          <w:lang w:val="fr-FR"/>
        </w:rPr>
        <w:t>L</w:t>
      </w:r>
      <w:r w:rsidR="00F90B1B" w:rsidRPr="00C22ABE">
        <w:rPr>
          <w:rFonts w:cstheme="minorHAnsi"/>
          <w:sz w:val="20"/>
          <w:szCs w:val="18"/>
          <w:lang w:val="fr-FR"/>
        </w:rPr>
        <w:t>es critères d’évaluation de l</w:t>
      </w:r>
      <w:r w:rsidRPr="00C22ABE">
        <w:rPr>
          <w:rFonts w:cstheme="minorHAnsi"/>
          <w:sz w:val="20"/>
          <w:szCs w:val="18"/>
          <w:lang w:val="fr-FR"/>
        </w:rPr>
        <w:t xml:space="preserve">a réponse au traitement </w:t>
      </w:r>
      <w:r w:rsidR="00F90B1B" w:rsidRPr="00C22ABE">
        <w:rPr>
          <w:rFonts w:cstheme="minorHAnsi"/>
          <w:sz w:val="20"/>
          <w:szCs w:val="18"/>
          <w:lang w:val="fr-FR"/>
        </w:rPr>
        <w:t>sont :</w:t>
      </w:r>
      <w:r w:rsidRPr="00C22ABE">
        <w:rPr>
          <w:rFonts w:cstheme="minorHAnsi"/>
          <w:sz w:val="20"/>
          <w:szCs w:val="18"/>
          <w:lang w:val="fr-FR"/>
        </w:rPr>
        <w:t xml:space="preserve"> </w:t>
      </w:r>
      <w:r w:rsidR="00D143E4" w:rsidRPr="00C22ABE">
        <w:rPr>
          <w:rFonts w:cstheme="minorHAnsi"/>
          <w:sz w:val="20"/>
          <w:szCs w:val="18"/>
          <w:lang w:val="fr-FR"/>
        </w:rPr>
        <w:t xml:space="preserve">une </w:t>
      </w:r>
      <w:r w:rsidR="00984E56" w:rsidRPr="00C22ABE">
        <w:rPr>
          <w:rFonts w:cstheme="minorHAnsi"/>
          <w:sz w:val="20"/>
          <w:szCs w:val="18"/>
          <w:lang w:val="fr-FR"/>
        </w:rPr>
        <w:t>g</w:t>
      </w:r>
      <w:r w:rsidRPr="00C22ABE">
        <w:rPr>
          <w:rFonts w:cstheme="minorHAnsi"/>
          <w:sz w:val="20"/>
          <w:szCs w:val="18"/>
          <w:lang w:val="fr-FR"/>
        </w:rPr>
        <w:t>uérison complète ou amélioration significative</w:t>
      </w:r>
      <w:r w:rsidR="00D143E4" w:rsidRPr="00C22ABE">
        <w:rPr>
          <w:rFonts w:cstheme="minorHAnsi"/>
          <w:sz w:val="20"/>
          <w:szCs w:val="18"/>
          <w:lang w:val="fr-FR"/>
        </w:rPr>
        <w:t xml:space="preserve">, une </w:t>
      </w:r>
      <w:r w:rsidR="00984E56" w:rsidRPr="00C22ABE">
        <w:rPr>
          <w:rFonts w:cstheme="minorHAnsi"/>
          <w:sz w:val="20"/>
          <w:szCs w:val="18"/>
          <w:lang w:val="fr-FR"/>
        </w:rPr>
        <w:t>r</w:t>
      </w:r>
      <w:r w:rsidRPr="00C22ABE">
        <w:rPr>
          <w:rFonts w:cstheme="minorHAnsi"/>
          <w:sz w:val="20"/>
          <w:szCs w:val="18"/>
          <w:lang w:val="fr-FR"/>
        </w:rPr>
        <w:t>éduction de l’exposition osseuse</w:t>
      </w:r>
      <w:r w:rsidR="00D143E4" w:rsidRPr="00C22ABE">
        <w:rPr>
          <w:rFonts w:cstheme="minorHAnsi"/>
          <w:sz w:val="20"/>
          <w:szCs w:val="18"/>
          <w:lang w:val="fr-FR"/>
        </w:rPr>
        <w:t xml:space="preserve"> ou une </w:t>
      </w:r>
      <w:r w:rsidR="00984E56" w:rsidRPr="00C22ABE">
        <w:rPr>
          <w:rFonts w:cstheme="minorHAnsi"/>
          <w:sz w:val="20"/>
          <w:szCs w:val="18"/>
          <w:lang w:val="fr-FR"/>
        </w:rPr>
        <w:t>r</w:t>
      </w:r>
      <w:r w:rsidRPr="00C22ABE">
        <w:rPr>
          <w:rFonts w:cstheme="minorHAnsi"/>
          <w:sz w:val="20"/>
          <w:szCs w:val="18"/>
          <w:lang w:val="fr-FR"/>
        </w:rPr>
        <w:t xml:space="preserve">éduction </w:t>
      </w:r>
      <w:r w:rsidR="00D143E4" w:rsidRPr="00C22ABE">
        <w:rPr>
          <w:rFonts w:cstheme="minorHAnsi"/>
          <w:sz w:val="20"/>
          <w:szCs w:val="18"/>
          <w:lang w:val="fr-FR"/>
        </w:rPr>
        <w:t xml:space="preserve">du </w:t>
      </w:r>
      <w:r w:rsidRPr="00C22ABE">
        <w:rPr>
          <w:rFonts w:cstheme="minorHAnsi"/>
          <w:sz w:val="20"/>
          <w:szCs w:val="18"/>
          <w:lang w:val="fr-FR"/>
        </w:rPr>
        <w:t>SOMA score</w:t>
      </w:r>
      <w:r w:rsidR="00D143E4" w:rsidRPr="00C22ABE">
        <w:rPr>
          <w:rFonts w:cstheme="minorHAnsi"/>
          <w:sz w:val="20"/>
          <w:szCs w:val="18"/>
          <w:lang w:val="fr-FR"/>
        </w:rPr>
        <w:t>.</w:t>
      </w:r>
    </w:p>
    <w:p w14:paraId="2C43B1E9" w14:textId="53F6E83A" w:rsidR="00CC1759" w:rsidRPr="00C22ABE" w:rsidRDefault="00B72A34" w:rsidP="002E3149">
      <w:pPr>
        <w:tabs>
          <w:tab w:val="left" w:pos="7110"/>
        </w:tabs>
        <w:rPr>
          <w:rFonts w:cstheme="minorHAnsi"/>
          <w:sz w:val="20"/>
          <w:szCs w:val="18"/>
        </w:rPr>
      </w:pPr>
      <w:r w:rsidRPr="00C22ABE">
        <w:rPr>
          <w:rFonts w:cstheme="minorHAnsi"/>
          <w:sz w:val="20"/>
          <w:szCs w:val="18"/>
        </w:rPr>
        <w:lastRenderedPageBreak/>
        <w:t xml:space="preserve">Sultan et al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CzBcXrl2","properties":{"formattedCitation":"(46)","plainCitation":"(46)","noteIndex":0},"citationItems":[{"id":204,"uris":["http://zotero.org/users/local/Om3YyEnU/items/Y4NRCFK6"],"uri":["http://zotero.org/users/local/Om3YyEnU/items/Y4NRCFK6"],"itemData":{"id":204,"type":"article-journal","abstract":"BACKGROUND: Osteoradionecrosis of the jaw (ORN) is an infrequent yet potentially devastating complication of radiation therapy to the head and neck region. Treatment options include antimicrobial therapy, local sequestrectomy, resection, and the use of hyperbaric oxygen (HBO). Published data on ORN are difficult to compare because of the lack of a universally accepted classification and staging system, and the literature on the use of HBO to either prevent or successfully manage ORN is controversial and inconclusive. Therefore, we aimed to establish a standard approach for using HBO at our institution.\nMATERIALS AND METHODS: A literature search was conducted of articles published in the English language between January 1980 and January 2016. Retrieved articles were evaluated by two independent reviewers. Isolated case reports, abstracts, case series, review articles, and cohort studies without a control group were excluded; summary data were extracted from the remaining studies. A panel of experts from Head and Neck Oncology and Oral Medicine from the Dana-Farber Cancer Institute and Brigham and Women's Hospital reviewed the summary data and established multidisciplinary guidelines on the use of HBO for the prevention and management of ORN.\nRESULTS: Seven studies were evaluated and reviewed by the multidisciplinary panel. There was no consistent evidence in support of HBO for either the prevention or management of ORN.\nCONCLUSION: Based on the available evidence and expert opinion, routine use of HBO for the prevention or management of ORN is not recommended and is rarely used at our institution. \n                        The Oncologist\n                     2017;22:343-350 IMPLICATIONS FOR PRACTICE: The Division of Head and Neck Oncology of Dana-Farber/Brigham and Women's Cancer Center does not recommend the routine use of HBO for the prevention or management of ORN. Adjunctive HBO may be considered for use on a case-by-case basis in patients considered to be at exceptionally high risk who have failed conservative therapy and subsequent surgical resection.","container-title":"The Oncologist","DOI":"10.1634/theoncologist.2016-0298","ISSN":"1549-490X","issue":"3","journalAbbreviation":"Oncologist","language":"eng","note":"PMID: 28209748\nPMCID: PMC5344641","page":"343-350","source":"PubMed","title":"The Use of Hyperbaric Oxygen for the Prevention and Management of Osteoradionecrosis of the Jaw: A Dana-Farber/Brigham and Women's Cancer Center Multidisciplinary Guideline","title-short":"The Use of Hyperbaric Oxygen for the Prevention and Management of Osteoradionecrosis of the Jaw","volume":"22","author":[{"family":"Sultan","given":"Ahmed"},{"family":"Hanna","given":"Glenn J."},{"family":"Margalit","given":"Danielle N."},{"family":"Chau","given":"Nicole"},{"family":"Goguen","given":"Laura A."},{"family":"Marty","given":"Francisco M."},{"family":"Rabinowits","given":"Guilherme"},{"family":"Schoenfeld","given":"Jonathan D."},{"family":"Sonis","given":"Stephen T."},{"family":"Thomas","given":"Tom"},{"family":"Tishler","given":"Roy B."},{"family":"Treister","given":"Nathaniel S."},{"family":"Villa","given":"Alessandro"},{"family":"Woo","given":"Sook-Bin"},{"family":"Haddad","given":"Robert"},{"family":"Mawardi","given":"Hani"}],"issued":{"date-parts":[["2017"]]}}}],"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(46)</w:t>
      </w:r>
      <w:r w:rsidRPr="00C22ABE">
        <w:rPr>
          <w:rFonts w:cstheme="minorHAnsi"/>
          <w:sz w:val="20"/>
          <w:szCs w:val="18"/>
        </w:rPr>
        <w:fldChar w:fldCharType="end"/>
      </w:r>
      <w:r w:rsidRPr="00C22ABE">
        <w:rPr>
          <w:rFonts w:cstheme="minorHAnsi"/>
          <w:sz w:val="20"/>
          <w:szCs w:val="18"/>
        </w:rPr>
        <w:t xml:space="preserve"> proposent la séquence suivante : </w:t>
      </w:r>
    </w:p>
    <w:p w14:paraId="4C196AD0" w14:textId="6F171ADF" w:rsidR="00133978" w:rsidRPr="00C22ABE" w:rsidRDefault="00133978" w:rsidP="00133978">
      <w:pPr>
        <w:pStyle w:val="Paragraphedeliste"/>
        <w:numPr>
          <w:ilvl w:val="0"/>
          <w:numId w:val="12"/>
        </w:numPr>
        <w:tabs>
          <w:tab w:val="left" w:pos="7110"/>
        </w:tabs>
        <w:rPr>
          <w:rFonts w:cstheme="minorHAnsi"/>
          <w:sz w:val="20"/>
          <w:szCs w:val="18"/>
        </w:rPr>
      </w:pPr>
      <w:r w:rsidRPr="00C22ABE">
        <w:rPr>
          <w:rFonts w:cstheme="minorHAnsi"/>
          <w:sz w:val="20"/>
          <w:szCs w:val="18"/>
        </w:rPr>
        <w:t>Le traitement initial comporte l’usage de bains de bouche à la chlorhexidine (CHX) et des gestes minimes sur l’os (séquestrectomie</w:t>
      </w:r>
      <w:r w:rsidR="00815E47" w:rsidRPr="00C22ABE">
        <w:rPr>
          <w:rFonts w:cstheme="minorHAnsi"/>
          <w:sz w:val="20"/>
          <w:szCs w:val="18"/>
        </w:rPr>
        <w:t>s</w:t>
      </w:r>
      <w:r w:rsidRPr="00C22ABE">
        <w:rPr>
          <w:rFonts w:cstheme="minorHAnsi"/>
          <w:sz w:val="20"/>
          <w:szCs w:val="18"/>
        </w:rPr>
        <w:t>, débridement</w:t>
      </w:r>
      <w:r w:rsidR="00815E47" w:rsidRPr="00C22ABE">
        <w:rPr>
          <w:rFonts w:cstheme="minorHAnsi"/>
          <w:sz w:val="20"/>
          <w:szCs w:val="18"/>
        </w:rPr>
        <w:t>s</w:t>
      </w:r>
      <w:r w:rsidRPr="00C22ABE">
        <w:rPr>
          <w:rFonts w:cstheme="minorHAnsi"/>
          <w:sz w:val="20"/>
          <w:szCs w:val="18"/>
        </w:rPr>
        <w:t xml:space="preserve"> non chirurgicaux)</w:t>
      </w:r>
      <w:r w:rsidR="00815E47" w:rsidRPr="00C22ABE">
        <w:rPr>
          <w:rFonts w:cstheme="minorHAnsi"/>
          <w:sz w:val="20"/>
          <w:szCs w:val="18"/>
        </w:rPr>
        <w:t>.</w:t>
      </w:r>
    </w:p>
    <w:p w14:paraId="3CD74885" w14:textId="7C12A6E2" w:rsidR="00133978" w:rsidRPr="00C22ABE" w:rsidRDefault="00133978" w:rsidP="00133978">
      <w:pPr>
        <w:pStyle w:val="Paragraphedeliste"/>
        <w:numPr>
          <w:ilvl w:val="0"/>
          <w:numId w:val="12"/>
        </w:numPr>
        <w:tabs>
          <w:tab w:val="left" w:pos="7110"/>
        </w:tabs>
        <w:rPr>
          <w:rFonts w:cstheme="minorHAnsi"/>
          <w:sz w:val="20"/>
          <w:szCs w:val="18"/>
        </w:rPr>
      </w:pPr>
      <w:r w:rsidRPr="00C22ABE">
        <w:rPr>
          <w:rFonts w:cstheme="minorHAnsi"/>
          <w:sz w:val="20"/>
          <w:szCs w:val="18"/>
        </w:rPr>
        <w:t>En cas d’échec, des antibiotiques sont ajoutés, toujours associés à des bains de bouche et des gestes minimes sur l’os (séquestrectomie, débridement non chirurgicaux).</w:t>
      </w:r>
    </w:p>
    <w:p w14:paraId="5FC224E2" w14:textId="659EB692" w:rsidR="00C12D67" w:rsidRPr="00C22ABE" w:rsidRDefault="00133978" w:rsidP="002E3149">
      <w:pPr>
        <w:pStyle w:val="Paragraphedeliste"/>
        <w:numPr>
          <w:ilvl w:val="0"/>
          <w:numId w:val="12"/>
        </w:numPr>
        <w:tabs>
          <w:tab w:val="left" w:pos="7110"/>
        </w:tabs>
        <w:rPr>
          <w:rFonts w:cstheme="minorHAnsi"/>
          <w:sz w:val="20"/>
          <w:szCs w:val="18"/>
        </w:rPr>
      </w:pPr>
      <w:r w:rsidRPr="00C22ABE">
        <w:rPr>
          <w:rFonts w:cstheme="minorHAnsi"/>
          <w:sz w:val="20"/>
          <w:szCs w:val="18"/>
        </w:rPr>
        <w:t>En cas d’échec : l’attitude conservatrice est poursuivie, mais une chirurgie +/- OHB peut être envisagée</w:t>
      </w:r>
      <w:r w:rsidR="00815E47" w:rsidRPr="00C22ABE">
        <w:rPr>
          <w:rFonts w:cstheme="minorHAnsi"/>
          <w:sz w:val="20"/>
          <w:szCs w:val="18"/>
        </w:rPr>
        <w:t>.</w:t>
      </w:r>
    </w:p>
    <w:p w14:paraId="2C81C6BB" w14:textId="48682E39" w:rsidR="00E27EC9" w:rsidRPr="00C22ABE" w:rsidRDefault="00CC1759" w:rsidP="002E3149">
      <w:pPr>
        <w:tabs>
          <w:tab w:val="left" w:pos="7110"/>
        </w:tabs>
        <w:rPr>
          <w:rFonts w:cstheme="minorHAnsi"/>
          <w:b/>
          <w:color w:val="0000FF"/>
          <w:szCs w:val="18"/>
          <w:u w:val="single"/>
        </w:rPr>
      </w:pPr>
      <w:r w:rsidRPr="00C22ABE">
        <w:rPr>
          <w:rFonts w:cstheme="minorHAnsi"/>
          <w:b/>
          <w:color w:val="0000FF"/>
          <w:sz w:val="20"/>
          <w:szCs w:val="16"/>
          <w:u w:val="single"/>
        </w:rPr>
        <w:t xml:space="preserve">Oxygénothérapie </w:t>
      </w:r>
      <w:r w:rsidR="004A4331" w:rsidRPr="00C22ABE">
        <w:rPr>
          <w:rFonts w:cstheme="minorHAnsi"/>
          <w:b/>
          <w:color w:val="0000FF"/>
          <w:sz w:val="20"/>
          <w:szCs w:val="16"/>
          <w:u w:val="single"/>
        </w:rPr>
        <w:t>hyperbare (</w:t>
      </w:r>
      <w:r w:rsidR="001D74C1" w:rsidRPr="00C22ABE">
        <w:rPr>
          <w:rFonts w:cstheme="minorHAnsi"/>
          <w:b/>
          <w:color w:val="0000FF"/>
          <w:sz w:val="20"/>
          <w:szCs w:val="16"/>
          <w:u w:val="single"/>
        </w:rPr>
        <w:t>OHB)</w:t>
      </w:r>
    </w:p>
    <w:p w14:paraId="28952811" w14:textId="33FD9A99" w:rsidR="00C92B7C" w:rsidRPr="00C22ABE" w:rsidRDefault="00C92B7C" w:rsidP="002E3149">
      <w:pPr>
        <w:tabs>
          <w:tab w:val="left" w:pos="7110"/>
        </w:tabs>
        <w:rPr>
          <w:rFonts w:cstheme="minorHAnsi"/>
          <w:sz w:val="20"/>
          <w:szCs w:val="18"/>
        </w:rPr>
      </w:pPr>
      <w:r w:rsidRPr="00C22ABE">
        <w:rPr>
          <w:rFonts w:cstheme="minorHAnsi"/>
          <w:sz w:val="20"/>
          <w:szCs w:val="18"/>
        </w:rPr>
        <w:t>Ce traitement est basé sur l’hypothèse de Marx</w:t>
      </w:r>
      <w:r w:rsidR="00B72A34" w:rsidRPr="00C22ABE">
        <w:rPr>
          <w:rFonts w:cstheme="minorHAnsi"/>
          <w:sz w:val="20"/>
          <w:szCs w:val="18"/>
        </w:rPr>
        <w:t xml:space="preserve"> </w:t>
      </w:r>
      <w:r w:rsidR="00B72A34" w:rsidRPr="00C22ABE">
        <w:rPr>
          <w:rFonts w:cstheme="minorHAnsi"/>
          <w:sz w:val="20"/>
          <w:szCs w:val="18"/>
        </w:rPr>
        <w:fldChar w:fldCharType="begin"/>
      </w:r>
      <w:r w:rsidR="00DD29FB" w:rsidRPr="00C22ABE">
        <w:rPr>
          <w:rFonts w:cstheme="minorHAnsi"/>
          <w:sz w:val="20"/>
          <w:szCs w:val="18"/>
        </w:rPr>
        <w:instrText xml:space="preserve"> ADDIN ZOTERO_ITEM CSL_CITATION {"citationID":"OYxZMkok","properties":{"formattedCitation":"(30)","plainCitation":"(30)","noteIndex":0},"citationItems":[{"id":176,"uris":["http://zotero.org/users/local/Om3YyEnU/items/XBENZNC2"],"uri":["http://zotero.org/users/local/Om3YyEnU/items/XBENZNC2"],"itemData":{"id":176,"type":"article-journal","container-title":"Journal of Oral and Maxillofacial Surgery","DOI":"10.1016/0278-2391(83)90294-X","ISSN":"02782391","issue":"5","journalAbbreviation":"Journal of Oral and Maxillofacial Surgery","language":"en","page":"283-288","source":"DOI.org (Crossref)","title":"Osteoradionecrosis: A new concept of its pathophysiology","title-short":"Osteoradionecrosis","volume":"41","author":[{"family":"Marx","given":"Robert E."}],"issued":{"date-parts":[["1983",5]]}}}],"schema":"https://github.com/citation-style-language/schema/raw/master/csl-citation.json"} </w:instrText>
      </w:r>
      <w:r w:rsidR="00B72A34" w:rsidRPr="00C22ABE">
        <w:rPr>
          <w:rFonts w:cstheme="minorHAnsi"/>
          <w:sz w:val="20"/>
          <w:szCs w:val="18"/>
        </w:rPr>
        <w:fldChar w:fldCharType="separate"/>
      </w:r>
      <w:r w:rsidR="00DD29FB" w:rsidRPr="00C22ABE">
        <w:rPr>
          <w:rFonts w:cstheme="minorHAnsi"/>
          <w:sz w:val="20"/>
        </w:rPr>
        <w:t>(30)</w:t>
      </w:r>
      <w:r w:rsidR="00B72A34" w:rsidRPr="00C22ABE">
        <w:rPr>
          <w:rFonts w:cstheme="minorHAnsi"/>
          <w:sz w:val="20"/>
          <w:szCs w:val="18"/>
        </w:rPr>
        <w:fldChar w:fldCharType="end"/>
      </w:r>
      <w:r w:rsidRPr="00C22ABE">
        <w:rPr>
          <w:rFonts w:cstheme="minorHAnsi"/>
          <w:sz w:val="20"/>
          <w:szCs w:val="18"/>
        </w:rPr>
        <w:t xml:space="preserve">. </w:t>
      </w:r>
    </w:p>
    <w:p w14:paraId="2A1DADB3" w14:textId="04B6CEF9" w:rsidR="007825B0" w:rsidRPr="00C22ABE" w:rsidRDefault="00E134D9" w:rsidP="002E3149">
      <w:pPr>
        <w:tabs>
          <w:tab w:val="left" w:pos="7110"/>
        </w:tabs>
        <w:rPr>
          <w:rFonts w:cstheme="minorHAnsi"/>
          <w:sz w:val="20"/>
          <w:szCs w:val="18"/>
          <w:lang w:val="en-US"/>
        </w:rPr>
      </w:pPr>
      <w:r w:rsidRPr="00C22ABE">
        <w:rPr>
          <w:rFonts w:cstheme="minorHAnsi"/>
          <w:sz w:val="20"/>
          <w:szCs w:val="18"/>
        </w:rPr>
        <w:t xml:space="preserve">La disponibilité importante d’O2 stimule essentiellement les tissus sains en favorisant une vasoconstriction </w:t>
      </w:r>
      <w:proofErr w:type="spellStart"/>
      <w:r w:rsidRPr="00C22ABE">
        <w:rPr>
          <w:rFonts w:cstheme="minorHAnsi"/>
          <w:sz w:val="20"/>
          <w:szCs w:val="18"/>
        </w:rPr>
        <w:t>hyperoxique</w:t>
      </w:r>
      <w:proofErr w:type="spellEnd"/>
      <w:r w:rsidRPr="00C22ABE">
        <w:rPr>
          <w:rFonts w:cstheme="minorHAnsi"/>
          <w:sz w:val="20"/>
          <w:szCs w:val="18"/>
        </w:rPr>
        <w:t xml:space="preserve"> et une redistribution du volume sanguin périphérique en faveur des tissus hypoxiques </w:t>
      </w:r>
      <w:r w:rsidR="00EC765B" w:rsidRPr="00C22ABE">
        <w:rPr>
          <w:rFonts w:cstheme="minorHAnsi"/>
          <w:sz w:val="20"/>
          <w:szCs w:val="18"/>
        </w:rPr>
        <w:t>« effet Robin des bois »</w:t>
      </w:r>
      <w:r w:rsidR="00620661" w:rsidRPr="00C22ABE">
        <w:rPr>
          <w:rFonts w:cstheme="minorHAnsi"/>
          <w:sz w:val="20"/>
          <w:szCs w:val="18"/>
        </w:rPr>
        <w:t xml:space="preserve"> </w:t>
      </w:r>
      <w:r w:rsidRPr="00C22ABE">
        <w:rPr>
          <w:rFonts w:cstheme="minorHAnsi"/>
          <w:sz w:val="20"/>
          <w:szCs w:val="18"/>
        </w:rPr>
        <w:fldChar w:fldCharType="begin"/>
      </w:r>
      <w:r w:rsidR="00281722" w:rsidRPr="00C22ABE">
        <w:rPr>
          <w:rFonts w:cstheme="minorHAnsi"/>
          <w:sz w:val="20"/>
          <w:szCs w:val="18"/>
        </w:rPr>
        <w:instrText xml:space="preserve"> ADDIN ZOTERO_ITEM CSL_CITATION {"citationID":"U71baKWI","properties":{"formattedCitation":"(6)","plainCitation":"(6)","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W."}],"issued":{"date-parts":[["2016",11]]}}}],"schema":"https://github.com/citation-style-language/schema/raw/master/csl-citation.json"} </w:instrText>
      </w:r>
      <w:r w:rsidRPr="00C22ABE">
        <w:rPr>
          <w:rFonts w:cstheme="minorHAnsi"/>
          <w:sz w:val="20"/>
          <w:szCs w:val="18"/>
        </w:rPr>
        <w:fldChar w:fldCharType="separate"/>
      </w:r>
      <w:r w:rsidR="00281722" w:rsidRPr="00C22ABE">
        <w:rPr>
          <w:rFonts w:cstheme="minorHAnsi"/>
          <w:sz w:val="20"/>
        </w:rPr>
        <w:t>(6)</w:t>
      </w:r>
      <w:r w:rsidRPr="00C22ABE">
        <w:rPr>
          <w:rFonts w:cstheme="minorHAnsi"/>
          <w:sz w:val="20"/>
          <w:szCs w:val="18"/>
        </w:rPr>
        <w:fldChar w:fldCharType="end"/>
      </w:r>
      <w:r w:rsidR="00EC765B" w:rsidRPr="00C22ABE">
        <w:rPr>
          <w:rFonts w:cstheme="minorHAnsi"/>
          <w:sz w:val="20"/>
          <w:szCs w:val="18"/>
        </w:rPr>
        <w:t>.</w:t>
      </w:r>
      <w:r w:rsidR="007825B0" w:rsidRPr="00C22ABE">
        <w:rPr>
          <w:rFonts w:cstheme="minorHAnsi"/>
          <w:sz w:val="20"/>
          <w:szCs w:val="18"/>
        </w:rPr>
        <w:t xml:space="preserve"> </w:t>
      </w:r>
      <w:r w:rsidR="00C92B7C" w:rsidRPr="00C22ABE">
        <w:rPr>
          <w:rFonts w:cstheme="minorHAnsi"/>
          <w:sz w:val="20"/>
          <w:szCs w:val="18"/>
        </w:rPr>
        <w:t xml:space="preserve">L’OHB agirait en diminuant les réactions fibrotiques et en augmentant la vascularisation </w:t>
      </w:r>
      <w:r w:rsidR="00B72A34" w:rsidRPr="00C22ABE">
        <w:rPr>
          <w:rFonts w:cstheme="minorHAnsi"/>
          <w:sz w:val="20"/>
          <w:szCs w:val="18"/>
        </w:rPr>
        <w:fldChar w:fldCharType="begin"/>
      </w:r>
      <w:r w:rsidR="00DD29FB" w:rsidRPr="00C22ABE">
        <w:rPr>
          <w:rFonts w:cstheme="minorHAnsi"/>
          <w:sz w:val="20"/>
          <w:szCs w:val="18"/>
        </w:rPr>
        <w:instrText xml:space="preserve"> ADDIN ZOTERO_ITEM CSL_CITATION {"citationID":"0jMSwFi3","properties":{"formattedCitation":"(47)","plainCitation":"(47)","noteIndex":0},"citationItems":[{"id":207,"uris":["http://zotero.org/users/local/Om3YyEnU/items/NBAFSAUD"],"uri":["http://zotero.org/users/local/Om3YyEnU/items/NBAFSAUD"],"itemData":{"id":207,"type":"article-journal","abstract":"BACKGROUND: Cancer is a significant global health problem. Radiotherapy is a treatment for many cancers and about 50% of people having radiotherapy will be long-term survivors. Some will experience late radiation tissue injury (LRTI) developing months or years later. Hyperbaric oxygen therapy (HBOT) has been suggested as a treatment for LRTI based upon the ability to improve the blood supply to these tissues. It is postulated that HBOT may result in both healing of tissues and the prevention of problems following surgery.\nOBJECTIVES: To assess the benefits and harms of HBOT for treating or preventing LRTI.\nSEARCH METHODS: We updated the searches of the Cochrane Central Register of Controlled Trials (CENTRAL; 2015, Issue 11), MEDLINE, EMBASE, DORCTIHM and reference lists of articles in December 2015. We also searched for ongoing trials at clinicaltrials.gov.\nSELECTION CRITERIA: Randomised controlled trials (RCTs) comparing the effect of HBOT versus no HBOT on LRTI prevention or healing.\nDATA COLLECTION AND ANALYSIS: Three review authors independently evaluated the quality of the relevant trials using the guidelines of the Cochrane Handbook for Systematic Reviews of Interventions and extracted the data from the included trials.\nMAIN RESULTS: Fourteen trials contributed to this review (753 participants). There was some moderate quality evidence that HBOT was more likely to achieve mucosal coverage with osteoradionecrosis (ORN) (risk ratio (RR) 1.3; 95% confidence interval (CI) 1.1 to 1.6, P value = 0.003, number needed to treat for an additional beneficial outcome (NNTB) 5; 246 participants, 3 studies). There was also moderate quality evidence of a significantly improved chance of wound breakdown without HBOT following operative treatment for ORN (RR 4.2; 95% CI 1.1 to 16.8, P value = 0.04, NNTB 4; 264 participants, 2 studies). From single studies there was a significantly increased chance of improvement or cure following HBOT for radiation proctitis (RR 1.72; 95% CI 1.0 to 2.9, P value = 0.04, NNTB 5), and following both surgical flaps (RR 8.7; 95% CI 2.7 to 27.5, P value = 0.0002, NNTB 4) and hemimandibulectomy (RR 1.4; 95% CI 1.1 to 1.8, P value = 0.001, NNTB 5). There was also a significantly improved probability of healing irradiated tooth sockets following dental extraction (RR 1.4; 95% CI 1.1 to 1.7, P value = 0.009, NNTB 4).There was no evi</w:instrText>
      </w:r>
      <w:r w:rsidR="00DD29FB" w:rsidRPr="00C22ABE">
        <w:rPr>
          <w:rFonts w:cstheme="minorHAnsi"/>
          <w:sz w:val="20"/>
          <w:szCs w:val="18"/>
          <w:lang w:val="en-US"/>
        </w:rPr>
        <w:instrText xml:space="preserve">dence of benefit in clinical outcomes with established radiation injury to neural tissue, and no randomised data reported on the use of HBOT to treat other manifestations of LRTI. These trials did not report adverse events.\nAUTHORS' CONCLUSIONS: These small trials suggest that for people with LRTI affecting tissues of the head, neck, anus and rectum, HBOT is associated with improved outcome. HBOT also appears to reduce the chance of ORN following tooth extraction in an irradiated field. There was no such evidence of any important clinical effect on neurological tissues. The application of HBOT to selected participants and tissues may be justified. Further research is required to establish the optimum participant selection and timing of any therapy. An economic evaluation should be undertaken.","container-title":"The Cochrane Database of Systematic Reviews","DOI":"10.1002/14651858.CD005005.pub4","ISSN":"1469-493X","journalAbbreviation":"Cochrane Database Syst Rev","language":"eng","note":"PMID: 27123955\nPMCID: PMC6457778","page":"CD005005","source":"PubMed","title":"Hyperbaric oxygen therapy for late radiation tissue injury","volume":"4","author":[{"family":"Bennett","given":"Michael H."},{"family":"Feldmeier","given":"John"},{"family":"Hampson","given":"Neil B."},{"family":"Smee","given":"Robert"},{"family":"Milross","given":"Christopher"}],"issued":{"date-parts":[["2016",4,28]]}}}],"schema":"https://github.com/citation-style-language/schema/raw/master/csl-citation.json"} </w:instrText>
      </w:r>
      <w:r w:rsidR="00B72A34" w:rsidRPr="00C22ABE">
        <w:rPr>
          <w:rFonts w:cstheme="minorHAnsi"/>
          <w:sz w:val="20"/>
          <w:szCs w:val="18"/>
        </w:rPr>
        <w:fldChar w:fldCharType="separate"/>
      </w:r>
      <w:r w:rsidR="00DD29FB" w:rsidRPr="00C22ABE">
        <w:rPr>
          <w:rFonts w:cstheme="minorHAnsi"/>
          <w:sz w:val="20"/>
          <w:lang w:val="en-US"/>
        </w:rPr>
        <w:t>(47)</w:t>
      </w:r>
      <w:r w:rsidR="00B72A34" w:rsidRPr="00C22ABE">
        <w:rPr>
          <w:rFonts w:cstheme="minorHAnsi"/>
          <w:sz w:val="20"/>
          <w:szCs w:val="18"/>
        </w:rPr>
        <w:fldChar w:fldCharType="end"/>
      </w:r>
      <w:r w:rsidR="007825B0" w:rsidRPr="00C22ABE">
        <w:rPr>
          <w:rFonts w:cstheme="minorHAnsi"/>
          <w:sz w:val="20"/>
          <w:szCs w:val="18"/>
          <w:lang w:val="en-US"/>
        </w:rPr>
        <w:t>.</w:t>
      </w:r>
    </w:p>
    <w:p w14:paraId="5C5A8827" w14:textId="4CE00C07" w:rsidR="00E134D9" w:rsidRPr="00C22ABE" w:rsidRDefault="00E134D9" w:rsidP="00304A5F">
      <w:pPr>
        <w:tabs>
          <w:tab w:val="left" w:pos="7110"/>
        </w:tabs>
        <w:rPr>
          <w:rFonts w:cstheme="minorHAnsi"/>
          <w:sz w:val="20"/>
          <w:szCs w:val="18"/>
        </w:rPr>
      </w:pPr>
      <w:r w:rsidRPr="00C22ABE">
        <w:rPr>
          <w:rFonts w:cstheme="minorHAnsi"/>
          <w:sz w:val="20"/>
          <w:szCs w:val="18"/>
          <w:lang w:val="en-US"/>
        </w:rPr>
        <w:t xml:space="preserve">L’OHB </w:t>
      </w:r>
      <w:r w:rsidRPr="00C22ABE">
        <w:rPr>
          <w:rFonts w:cstheme="minorHAnsi"/>
          <w:sz w:val="20"/>
          <w:szCs w:val="18"/>
        </w:rPr>
        <w:fldChar w:fldCharType="begin"/>
      </w:r>
      <w:r w:rsidR="00281722" w:rsidRPr="00C22ABE">
        <w:rPr>
          <w:rFonts w:cstheme="minorHAnsi"/>
          <w:sz w:val="20"/>
          <w:szCs w:val="18"/>
          <w:lang w:val="en-US"/>
        </w:rPr>
        <w:instrText xml:space="preserve"> ADDIN ZOTERO_ITEM CSL_CITATION {"citationID":"r6lCL8IR","properties":{"formattedCitation":"(6)","plainCitation":"(6)","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W."}],"issued":{"date-parts":[["2016",11]]}}}],"schema":"https://github.com/citation-style-language/schema/raw/master/csl-citation.json"} </w:instrText>
      </w:r>
      <w:r w:rsidRPr="00C22ABE">
        <w:rPr>
          <w:rFonts w:cstheme="minorHAnsi"/>
          <w:sz w:val="20"/>
          <w:szCs w:val="18"/>
        </w:rPr>
        <w:fldChar w:fldCharType="separate"/>
      </w:r>
      <w:r w:rsidR="00281722" w:rsidRPr="00C22ABE">
        <w:rPr>
          <w:rFonts w:cstheme="minorHAnsi"/>
          <w:sz w:val="20"/>
          <w:lang w:val="en-US"/>
        </w:rPr>
        <w:t>(6)</w:t>
      </w:r>
      <w:r w:rsidRPr="00C22ABE">
        <w:rPr>
          <w:rFonts w:cstheme="minorHAnsi"/>
          <w:sz w:val="20"/>
          <w:szCs w:val="18"/>
        </w:rPr>
        <w:fldChar w:fldCharType="end"/>
      </w:r>
      <w:r w:rsidR="00304A5F" w:rsidRPr="00C22ABE">
        <w:rPr>
          <w:rFonts w:cstheme="minorHAnsi"/>
          <w:sz w:val="20"/>
          <w:szCs w:val="18"/>
          <w:lang w:val="en-US"/>
        </w:rPr>
        <w:t xml:space="preserve"> </w:t>
      </w:r>
      <w:proofErr w:type="spellStart"/>
      <w:r w:rsidR="00304A5F" w:rsidRPr="00C22ABE">
        <w:rPr>
          <w:rFonts w:cstheme="minorHAnsi"/>
          <w:sz w:val="20"/>
          <w:szCs w:val="18"/>
          <w:lang w:val="en-US"/>
        </w:rPr>
        <w:t>a</w:t>
      </w:r>
      <w:r w:rsidR="00EC765B" w:rsidRPr="00C22ABE">
        <w:rPr>
          <w:rFonts w:cstheme="minorHAnsi"/>
          <w:sz w:val="20"/>
          <w:szCs w:val="18"/>
          <w:lang w:val="en-US"/>
        </w:rPr>
        <w:t>ugmente</w:t>
      </w:r>
      <w:proofErr w:type="spellEnd"/>
      <w:r w:rsidR="00EC765B" w:rsidRPr="00C22ABE">
        <w:rPr>
          <w:rFonts w:cstheme="minorHAnsi"/>
          <w:sz w:val="20"/>
          <w:szCs w:val="18"/>
          <w:lang w:val="en-US"/>
        </w:rPr>
        <w:t xml:space="preserve"> la pression </w:t>
      </w:r>
      <w:proofErr w:type="spellStart"/>
      <w:r w:rsidR="00EC765B" w:rsidRPr="00C22ABE">
        <w:rPr>
          <w:rFonts w:cstheme="minorHAnsi"/>
          <w:sz w:val="20"/>
          <w:szCs w:val="18"/>
          <w:lang w:val="en-US"/>
        </w:rPr>
        <w:t>partielle</w:t>
      </w:r>
      <w:proofErr w:type="spellEnd"/>
      <w:r w:rsidR="00EC765B" w:rsidRPr="00C22ABE">
        <w:rPr>
          <w:rFonts w:cstheme="minorHAnsi"/>
          <w:sz w:val="20"/>
          <w:szCs w:val="18"/>
          <w:lang w:val="en-US"/>
        </w:rPr>
        <w:t xml:space="preserve"> </w:t>
      </w:r>
      <w:proofErr w:type="spellStart"/>
      <w:r w:rsidR="00EC765B" w:rsidRPr="00C22ABE">
        <w:rPr>
          <w:rFonts w:cstheme="minorHAnsi"/>
          <w:sz w:val="20"/>
          <w:szCs w:val="18"/>
          <w:lang w:val="en-US"/>
        </w:rPr>
        <w:t>en</w:t>
      </w:r>
      <w:proofErr w:type="spellEnd"/>
      <w:r w:rsidR="00EC765B" w:rsidRPr="00C22ABE">
        <w:rPr>
          <w:rFonts w:cstheme="minorHAnsi"/>
          <w:sz w:val="20"/>
          <w:szCs w:val="18"/>
          <w:lang w:val="en-US"/>
        </w:rPr>
        <w:t xml:space="preserve"> O2 dans les </w:t>
      </w:r>
      <w:proofErr w:type="spellStart"/>
      <w:r w:rsidR="00EC765B" w:rsidRPr="00C22ABE">
        <w:rPr>
          <w:rFonts w:cstheme="minorHAnsi"/>
          <w:sz w:val="20"/>
          <w:szCs w:val="18"/>
          <w:lang w:val="en-US"/>
        </w:rPr>
        <w:t>tissus</w:t>
      </w:r>
      <w:proofErr w:type="spellEnd"/>
      <w:r w:rsidR="00EC765B" w:rsidRPr="00C22ABE">
        <w:rPr>
          <w:rFonts w:cstheme="minorHAnsi"/>
          <w:sz w:val="20"/>
          <w:szCs w:val="18"/>
          <w:lang w:val="en-US"/>
        </w:rPr>
        <w:t xml:space="preserve"> </w:t>
      </w:r>
      <w:proofErr w:type="spellStart"/>
      <w:r w:rsidR="00EC765B" w:rsidRPr="00C22ABE">
        <w:rPr>
          <w:rFonts w:cstheme="minorHAnsi"/>
          <w:sz w:val="20"/>
          <w:szCs w:val="18"/>
          <w:lang w:val="en-US"/>
        </w:rPr>
        <w:t>vivants</w:t>
      </w:r>
      <w:proofErr w:type="spellEnd"/>
      <w:r w:rsidR="00EC765B" w:rsidRPr="00C22ABE">
        <w:rPr>
          <w:rFonts w:cstheme="minorHAnsi"/>
          <w:sz w:val="20"/>
          <w:szCs w:val="18"/>
          <w:lang w:val="en-US"/>
        </w:rPr>
        <w:t xml:space="preserve"> et </w:t>
      </w:r>
      <w:proofErr w:type="spellStart"/>
      <w:r w:rsidR="00EC765B" w:rsidRPr="00C22ABE">
        <w:rPr>
          <w:rFonts w:cstheme="minorHAnsi"/>
          <w:sz w:val="20"/>
          <w:szCs w:val="18"/>
          <w:lang w:val="en-US"/>
        </w:rPr>
        <w:t>stimule</w:t>
      </w:r>
      <w:proofErr w:type="spellEnd"/>
      <w:r w:rsidR="00EC765B" w:rsidRPr="00C22ABE">
        <w:rPr>
          <w:rFonts w:cstheme="minorHAnsi"/>
          <w:sz w:val="20"/>
          <w:szCs w:val="18"/>
          <w:lang w:val="en-US"/>
        </w:rPr>
        <w:t xml:space="preserve"> la </w:t>
      </w:r>
      <w:proofErr w:type="spellStart"/>
      <w:r w:rsidR="00EC765B" w:rsidRPr="00C22ABE">
        <w:rPr>
          <w:rFonts w:cstheme="minorHAnsi"/>
          <w:sz w:val="20"/>
          <w:szCs w:val="18"/>
          <w:lang w:val="en-US"/>
        </w:rPr>
        <w:t>synthèse</w:t>
      </w:r>
      <w:proofErr w:type="spellEnd"/>
      <w:r w:rsidR="00EC765B" w:rsidRPr="00C22ABE">
        <w:rPr>
          <w:rFonts w:cstheme="minorHAnsi"/>
          <w:sz w:val="20"/>
          <w:szCs w:val="18"/>
          <w:lang w:val="en-US"/>
        </w:rPr>
        <w:t xml:space="preserve"> du </w:t>
      </w:r>
      <w:proofErr w:type="spellStart"/>
      <w:r w:rsidR="00EC765B" w:rsidRPr="00C22ABE">
        <w:rPr>
          <w:rFonts w:cstheme="minorHAnsi"/>
          <w:sz w:val="20"/>
          <w:szCs w:val="18"/>
          <w:lang w:val="en-US"/>
        </w:rPr>
        <w:t>collagène</w:t>
      </w:r>
      <w:proofErr w:type="spellEnd"/>
      <w:r w:rsidR="00EC765B" w:rsidRPr="00C22ABE">
        <w:rPr>
          <w:rFonts w:cstheme="minorHAnsi"/>
          <w:sz w:val="20"/>
          <w:szCs w:val="18"/>
          <w:lang w:val="en-US"/>
        </w:rPr>
        <w:t xml:space="preserve"> et la </w:t>
      </w:r>
      <w:proofErr w:type="spellStart"/>
      <w:r w:rsidR="00EC765B" w:rsidRPr="00C22ABE">
        <w:rPr>
          <w:rFonts w:cstheme="minorHAnsi"/>
          <w:sz w:val="20"/>
          <w:szCs w:val="18"/>
          <w:lang w:val="en-US"/>
        </w:rPr>
        <w:t>prolifération</w:t>
      </w:r>
      <w:proofErr w:type="spellEnd"/>
      <w:r w:rsidR="00EC765B" w:rsidRPr="00C22ABE">
        <w:rPr>
          <w:rFonts w:cstheme="minorHAnsi"/>
          <w:sz w:val="20"/>
          <w:szCs w:val="18"/>
          <w:lang w:val="en-US"/>
        </w:rPr>
        <w:t xml:space="preserve"> des </w:t>
      </w:r>
      <w:proofErr w:type="spellStart"/>
      <w:r w:rsidR="00EC765B" w:rsidRPr="00C22ABE">
        <w:rPr>
          <w:rFonts w:cstheme="minorHAnsi"/>
          <w:sz w:val="20"/>
          <w:szCs w:val="18"/>
          <w:lang w:val="en-US"/>
        </w:rPr>
        <w:t>ostéoblastes</w:t>
      </w:r>
      <w:proofErr w:type="spellEnd"/>
      <w:r w:rsidR="00EC765B" w:rsidRPr="00C22ABE">
        <w:rPr>
          <w:rFonts w:cstheme="minorHAnsi"/>
          <w:sz w:val="20"/>
          <w:szCs w:val="18"/>
          <w:lang w:val="en-US"/>
        </w:rPr>
        <w:t xml:space="preserve"> dans les </w:t>
      </w:r>
      <w:proofErr w:type="spellStart"/>
      <w:r w:rsidR="00EC765B" w:rsidRPr="00C22ABE">
        <w:rPr>
          <w:rFonts w:cstheme="minorHAnsi"/>
          <w:sz w:val="20"/>
          <w:szCs w:val="18"/>
          <w:lang w:val="en-US"/>
        </w:rPr>
        <w:t>tissus</w:t>
      </w:r>
      <w:proofErr w:type="spellEnd"/>
      <w:r w:rsidR="00EC765B" w:rsidRPr="00C22ABE">
        <w:rPr>
          <w:rFonts w:cstheme="minorHAnsi"/>
          <w:sz w:val="20"/>
          <w:szCs w:val="18"/>
          <w:lang w:val="en-US"/>
        </w:rPr>
        <w:t xml:space="preserve"> </w:t>
      </w:r>
      <w:proofErr w:type="spellStart"/>
      <w:r w:rsidR="00EC765B" w:rsidRPr="00C22ABE">
        <w:rPr>
          <w:rFonts w:cstheme="minorHAnsi"/>
          <w:sz w:val="20"/>
          <w:szCs w:val="18"/>
          <w:lang w:val="en-US"/>
        </w:rPr>
        <w:t>irradiés</w:t>
      </w:r>
      <w:proofErr w:type="spellEnd"/>
      <w:r w:rsidR="00304A5F" w:rsidRPr="00C22ABE">
        <w:rPr>
          <w:rFonts w:cstheme="minorHAnsi"/>
          <w:sz w:val="20"/>
          <w:szCs w:val="18"/>
          <w:lang w:val="en-US"/>
        </w:rPr>
        <w:t xml:space="preserve">, </w:t>
      </w:r>
      <w:proofErr w:type="spellStart"/>
      <w:r w:rsidR="00304A5F" w:rsidRPr="00C22ABE">
        <w:rPr>
          <w:rFonts w:cstheme="minorHAnsi"/>
          <w:sz w:val="20"/>
          <w:szCs w:val="18"/>
          <w:lang w:val="en-US"/>
        </w:rPr>
        <w:t>s</w:t>
      </w:r>
      <w:r w:rsidRPr="00C22ABE">
        <w:rPr>
          <w:rFonts w:cstheme="minorHAnsi"/>
          <w:sz w:val="20"/>
          <w:szCs w:val="18"/>
          <w:lang w:val="en-US"/>
        </w:rPr>
        <w:t>timule</w:t>
      </w:r>
      <w:proofErr w:type="spellEnd"/>
      <w:r w:rsidRPr="00C22ABE">
        <w:rPr>
          <w:rFonts w:cstheme="minorHAnsi"/>
          <w:sz w:val="20"/>
          <w:szCs w:val="18"/>
          <w:lang w:val="en-US"/>
        </w:rPr>
        <w:t xml:space="preserve"> </w:t>
      </w:r>
      <w:proofErr w:type="spellStart"/>
      <w:r w:rsidRPr="00C22ABE">
        <w:rPr>
          <w:rFonts w:cstheme="minorHAnsi"/>
          <w:sz w:val="20"/>
          <w:szCs w:val="18"/>
          <w:lang w:val="en-US"/>
        </w:rPr>
        <w:t>l’angiogenèse</w:t>
      </w:r>
      <w:proofErr w:type="spellEnd"/>
      <w:r w:rsidRPr="00C22ABE">
        <w:rPr>
          <w:rFonts w:cstheme="minorHAnsi"/>
          <w:sz w:val="20"/>
          <w:szCs w:val="18"/>
          <w:lang w:val="en-US"/>
        </w:rPr>
        <w:t xml:space="preserve"> </w:t>
      </w:r>
      <w:r w:rsidR="00302833" w:rsidRPr="00C22ABE">
        <w:rPr>
          <w:rFonts w:cstheme="minorHAnsi"/>
          <w:sz w:val="20"/>
          <w:szCs w:val="18"/>
          <w:lang w:val="en-US"/>
        </w:rPr>
        <w:t>locale, la</w:t>
      </w:r>
      <w:r w:rsidRPr="00C22ABE">
        <w:rPr>
          <w:rFonts w:cstheme="minorHAnsi"/>
          <w:sz w:val="20"/>
          <w:szCs w:val="18"/>
          <w:lang w:val="en-US"/>
        </w:rPr>
        <w:t xml:space="preserve"> réépithélialisation</w:t>
      </w:r>
      <w:r w:rsidR="004C6162" w:rsidRPr="00C22ABE">
        <w:rPr>
          <w:rFonts w:cstheme="minorHAnsi"/>
          <w:sz w:val="20"/>
          <w:szCs w:val="18"/>
          <w:lang w:val="en-US"/>
        </w:rPr>
        <w:t xml:space="preserve"> et la </w:t>
      </w:r>
      <w:proofErr w:type="spellStart"/>
      <w:r w:rsidR="004C6162" w:rsidRPr="00C22ABE">
        <w:rPr>
          <w:rFonts w:cstheme="minorHAnsi"/>
          <w:sz w:val="20"/>
          <w:szCs w:val="18"/>
          <w:lang w:val="en-US"/>
        </w:rPr>
        <w:t>régénération</w:t>
      </w:r>
      <w:proofErr w:type="spellEnd"/>
      <w:r w:rsidR="004C6162" w:rsidRPr="00C22ABE">
        <w:rPr>
          <w:rFonts w:cstheme="minorHAnsi"/>
          <w:sz w:val="20"/>
          <w:szCs w:val="18"/>
          <w:lang w:val="en-US"/>
        </w:rPr>
        <w:t xml:space="preserve"> </w:t>
      </w:r>
      <w:proofErr w:type="spellStart"/>
      <w:r w:rsidR="004C6162" w:rsidRPr="00C22ABE">
        <w:rPr>
          <w:rFonts w:cstheme="minorHAnsi"/>
          <w:sz w:val="20"/>
          <w:szCs w:val="18"/>
          <w:lang w:val="en-US"/>
        </w:rPr>
        <w:t>osseuse</w:t>
      </w:r>
      <w:proofErr w:type="spellEnd"/>
      <w:r w:rsidR="00304A5F" w:rsidRPr="00C22ABE">
        <w:rPr>
          <w:rFonts w:cstheme="minorHAnsi"/>
          <w:sz w:val="20"/>
          <w:szCs w:val="18"/>
          <w:lang w:val="en-US"/>
        </w:rPr>
        <w:t xml:space="preserve">, </w:t>
      </w:r>
      <w:proofErr w:type="spellStart"/>
      <w:r w:rsidR="00304A5F" w:rsidRPr="00C22ABE">
        <w:rPr>
          <w:rFonts w:cstheme="minorHAnsi"/>
          <w:sz w:val="20"/>
          <w:szCs w:val="18"/>
          <w:lang w:val="en-US"/>
        </w:rPr>
        <w:t>a</w:t>
      </w:r>
      <w:r w:rsidRPr="00C22ABE">
        <w:rPr>
          <w:rFonts w:cstheme="minorHAnsi"/>
          <w:sz w:val="20"/>
          <w:szCs w:val="18"/>
          <w:lang w:val="en-US"/>
        </w:rPr>
        <w:t>ntagonise</w:t>
      </w:r>
      <w:proofErr w:type="spellEnd"/>
      <w:r w:rsidRPr="00C22ABE">
        <w:rPr>
          <w:rFonts w:cstheme="minorHAnsi"/>
          <w:sz w:val="20"/>
          <w:szCs w:val="18"/>
          <w:lang w:val="en-US"/>
        </w:rPr>
        <w:t xml:space="preserve"> </w:t>
      </w:r>
      <w:proofErr w:type="spellStart"/>
      <w:r w:rsidRPr="00C22ABE">
        <w:rPr>
          <w:rFonts w:cstheme="minorHAnsi"/>
          <w:sz w:val="20"/>
          <w:szCs w:val="18"/>
          <w:lang w:val="en-US"/>
        </w:rPr>
        <w:t>l’infection</w:t>
      </w:r>
      <w:proofErr w:type="spellEnd"/>
      <w:r w:rsidRPr="00C22ABE">
        <w:rPr>
          <w:rFonts w:cstheme="minorHAnsi"/>
          <w:sz w:val="20"/>
          <w:szCs w:val="18"/>
          <w:lang w:val="en-US"/>
        </w:rPr>
        <w:t xml:space="preserve"> locale par augmentation de la </w:t>
      </w:r>
      <w:proofErr w:type="spellStart"/>
      <w:r w:rsidRPr="00C22ABE">
        <w:rPr>
          <w:rFonts w:cstheme="minorHAnsi"/>
          <w:sz w:val="20"/>
          <w:szCs w:val="18"/>
          <w:lang w:val="en-US"/>
        </w:rPr>
        <w:t>capacité</w:t>
      </w:r>
      <w:proofErr w:type="spellEnd"/>
      <w:r w:rsidRPr="00C22ABE">
        <w:rPr>
          <w:rFonts w:cstheme="minorHAnsi"/>
          <w:sz w:val="20"/>
          <w:szCs w:val="18"/>
          <w:lang w:val="en-US"/>
        </w:rPr>
        <w:t xml:space="preserve"> </w:t>
      </w:r>
      <w:proofErr w:type="spellStart"/>
      <w:r w:rsidRPr="00C22ABE">
        <w:rPr>
          <w:rFonts w:cstheme="minorHAnsi"/>
          <w:sz w:val="20"/>
          <w:szCs w:val="18"/>
          <w:lang w:val="en-US"/>
        </w:rPr>
        <w:t>phagocytaire</w:t>
      </w:r>
      <w:proofErr w:type="spellEnd"/>
      <w:r w:rsidRPr="00C22ABE">
        <w:rPr>
          <w:rFonts w:cstheme="minorHAnsi"/>
          <w:sz w:val="20"/>
          <w:szCs w:val="18"/>
          <w:lang w:val="en-US"/>
        </w:rPr>
        <w:t xml:space="preserve"> sur les </w:t>
      </w:r>
      <w:proofErr w:type="spellStart"/>
      <w:r w:rsidRPr="00C22ABE">
        <w:rPr>
          <w:rFonts w:cstheme="minorHAnsi"/>
          <w:sz w:val="20"/>
          <w:szCs w:val="18"/>
          <w:lang w:val="en-US"/>
        </w:rPr>
        <w:t>bactéries</w:t>
      </w:r>
      <w:proofErr w:type="spellEnd"/>
      <w:r w:rsidRPr="00C22ABE">
        <w:rPr>
          <w:rFonts w:cstheme="minorHAnsi"/>
          <w:sz w:val="20"/>
          <w:szCs w:val="18"/>
          <w:lang w:val="en-US"/>
        </w:rPr>
        <w:t xml:space="preserve">, </w:t>
      </w:r>
      <w:r w:rsidR="00EC765B" w:rsidRPr="00C22ABE">
        <w:rPr>
          <w:rFonts w:cstheme="minorHAnsi"/>
          <w:sz w:val="20"/>
          <w:szCs w:val="18"/>
          <w:lang w:val="en-US"/>
        </w:rPr>
        <w:t xml:space="preserve">surtout </w:t>
      </w:r>
      <w:proofErr w:type="spellStart"/>
      <w:r w:rsidR="00EC765B" w:rsidRPr="00C22ABE">
        <w:rPr>
          <w:rFonts w:cstheme="minorHAnsi"/>
          <w:sz w:val="20"/>
          <w:szCs w:val="18"/>
          <w:lang w:val="en-US"/>
        </w:rPr>
        <w:t>en</w:t>
      </w:r>
      <w:proofErr w:type="spellEnd"/>
      <w:r w:rsidR="00EC765B" w:rsidRPr="00C22ABE">
        <w:rPr>
          <w:rFonts w:cstheme="minorHAnsi"/>
          <w:sz w:val="20"/>
          <w:szCs w:val="18"/>
          <w:lang w:val="en-US"/>
        </w:rPr>
        <w:t xml:space="preserve"> association avec des</w:t>
      </w:r>
      <w:r w:rsidRPr="00C22ABE">
        <w:rPr>
          <w:rFonts w:cstheme="minorHAnsi"/>
          <w:sz w:val="20"/>
          <w:szCs w:val="18"/>
          <w:lang w:val="en-US"/>
        </w:rPr>
        <w:t xml:space="preserve"> </w:t>
      </w:r>
      <w:proofErr w:type="spellStart"/>
      <w:r w:rsidRPr="00C22ABE">
        <w:rPr>
          <w:rFonts w:cstheme="minorHAnsi"/>
          <w:sz w:val="20"/>
          <w:szCs w:val="18"/>
          <w:lang w:val="en-US"/>
        </w:rPr>
        <w:t>antibiotiques</w:t>
      </w:r>
      <w:proofErr w:type="spellEnd"/>
      <w:r w:rsidR="00EC765B" w:rsidRPr="00C22ABE">
        <w:rPr>
          <w:rFonts w:cstheme="minorHAnsi"/>
          <w:sz w:val="20"/>
          <w:szCs w:val="18"/>
          <w:lang w:val="en-US"/>
        </w:rPr>
        <w:t xml:space="preserve">. </w:t>
      </w:r>
      <w:r w:rsidR="00EC765B" w:rsidRPr="00C22ABE">
        <w:rPr>
          <w:rFonts w:cstheme="minorHAnsi"/>
          <w:sz w:val="20"/>
          <w:szCs w:val="18"/>
        </w:rPr>
        <w:t>L’OHB a un e</w:t>
      </w:r>
      <w:r w:rsidRPr="00C22ABE">
        <w:rPr>
          <w:rFonts w:cstheme="minorHAnsi"/>
          <w:sz w:val="20"/>
          <w:szCs w:val="18"/>
        </w:rPr>
        <w:t>ffet inhibiteur sur la croissance des bactéries aérobiques et anaérobiques</w:t>
      </w:r>
      <w:r w:rsidR="004C6162" w:rsidRPr="00C22ABE">
        <w:rPr>
          <w:rFonts w:cstheme="minorHAnsi"/>
          <w:sz w:val="20"/>
          <w:szCs w:val="18"/>
        </w:rPr>
        <w:t xml:space="preserve">, </w:t>
      </w:r>
      <w:r w:rsidR="004C2EB6" w:rsidRPr="00C22ABE">
        <w:rPr>
          <w:rFonts w:cstheme="minorHAnsi"/>
          <w:sz w:val="20"/>
          <w:szCs w:val="18"/>
        </w:rPr>
        <w:t xml:space="preserve">par </w:t>
      </w:r>
      <w:r w:rsidR="00EC765B" w:rsidRPr="00C22ABE">
        <w:rPr>
          <w:rFonts w:cstheme="minorHAnsi"/>
          <w:sz w:val="20"/>
          <w:szCs w:val="18"/>
        </w:rPr>
        <w:t>son</w:t>
      </w:r>
      <w:r w:rsidR="004C2EB6" w:rsidRPr="00C22ABE">
        <w:rPr>
          <w:rFonts w:cstheme="minorHAnsi"/>
          <w:sz w:val="20"/>
          <w:szCs w:val="18"/>
        </w:rPr>
        <w:t xml:space="preserve"> effet </w:t>
      </w:r>
      <w:r w:rsidR="00413925" w:rsidRPr="00C22ABE">
        <w:rPr>
          <w:rFonts w:cstheme="minorHAnsi"/>
          <w:sz w:val="20"/>
          <w:szCs w:val="18"/>
        </w:rPr>
        <w:t>bactéricide et</w:t>
      </w:r>
      <w:r w:rsidR="004C2EB6" w:rsidRPr="00C22ABE">
        <w:rPr>
          <w:rFonts w:cstheme="minorHAnsi"/>
          <w:sz w:val="20"/>
          <w:szCs w:val="18"/>
        </w:rPr>
        <w:t>/ou</w:t>
      </w:r>
      <w:r w:rsidR="00413925" w:rsidRPr="00C22ABE">
        <w:rPr>
          <w:rFonts w:cstheme="minorHAnsi"/>
          <w:sz w:val="20"/>
          <w:szCs w:val="18"/>
        </w:rPr>
        <w:t xml:space="preserve"> bactériostatique</w:t>
      </w:r>
      <w:r w:rsidR="00304A5F" w:rsidRPr="00C22ABE">
        <w:rPr>
          <w:rFonts w:cstheme="minorHAnsi"/>
          <w:sz w:val="20"/>
          <w:szCs w:val="18"/>
        </w:rPr>
        <w:t>.</w:t>
      </w:r>
    </w:p>
    <w:p w14:paraId="135291CF" w14:textId="13C67B36" w:rsidR="004F318F" w:rsidRPr="00C22ABE" w:rsidRDefault="00894602" w:rsidP="000D3A36">
      <w:pPr>
        <w:autoSpaceDE w:val="0"/>
        <w:autoSpaceDN w:val="0"/>
        <w:adjustRightInd w:val="0"/>
        <w:spacing w:after="0" w:line="240" w:lineRule="auto"/>
        <w:rPr>
          <w:rFonts w:cstheme="minorHAnsi"/>
          <w:sz w:val="20"/>
          <w:szCs w:val="18"/>
        </w:rPr>
      </w:pPr>
      <w:r w:rsidRPr="00C22ABE">
        <w:rPr>
          <w:rFonts w:cstheme="minorHAnsi"/>
          <w:sz w:val="20"/>
          <w:szCs w:val="18"/>
        </w:rPr>
        <w:t>Les l</w:t>
      </w:r>
      <w:r w:rsidR="007825B0" w:rsidRPr="00C22ABE">
        <w:rPr>
          <w:rFonts w:cstheme="minorHAnsi"/>
          <w:sz w:val="20"/>
          <w:szCs w:val="18"/>
        </w:rPr>
        <w:t xml:space="preserve">imites de ce traitement sont un </w:t>
      </w:r>
      <w:r w:rsidR="004C2EB6" w:rsidRPr="00C22ABE">
        <w:rPr>
          <w:rFonts w:cstheme="minorHAnsi"/>
          <w:sz w:val="20"/>
          <w:szCs w:val="18"/>
        </w:rPr>
        <w:t>coût élevé</w:t>
      </w:r>
      <w:r w:rsidR="00304A5F" w:rsidRPr="00C22ABE">
        <w:rPr>
          <w:rFonts w:cstheme="minorHAnsi"/>
          <w:sz w:val="20"/>
          <w:szCs w:val="18"/>
        </w:rPr>
        <w:t xml:space="preserve">, </w:t>
      </w:r>
      <w:r w:rsidR="004C2EB6" w:rsidRPr="00C22ABE">
        <w:rPr>
          <w:rFonts w:cstheme="minorHAnsi"/>
          <w:sz w:val="20"/>
          <w:szCs w:val="18"/>
        </w:rPr>
        <w:t>le temps et  l’équipement nécessaires</w:t>
      </w:r>
      <w:r w:rsidR="007825B0" w:rsidRPr="00C22ABE">
        <w:rPr>
          <w:rFonts w:cstheme="minorHAnsi"/>
          <w:sz w:val="20"/>
          <w:szCs w:val="18"/>
        </w:rPr>
        <w:t> : peu de centres disposent d’un caisson hyperbare</w:t>
      </w:r>
      <w:r w:rsidR="004F318F" w:rsidRPr="00C22ABE">
        <w:rPr>
          <w:rFonts w:cstheme="minorHAnsi"/>
          <w:sz w:val="20"/>
          <w:szCs w:val="18"/>
        </w:rPr>
        <w:t xml:space="preserve"> </w:t>
      </w:r>
      <w:r w:rsidR="001A0186" w:rsidRPr="00C22ABE">
        <w:rPr>
          <w:rFonts w:cstheme="minorHAnsi"/>
          <w:sz w:val="20"/>
          <w:szCs w:val="18"/>
        </w:rPr>
        <w:fldChar w:fldCharType="begin"/>
      </w:r>
      <w:r w:rsidR="00DD29FB" w:rsidRPr="00C22ABE">
        <w:rPr>
          <w:rFonts w:cstheme="minorHAnsi"/>
          <w:sz w:val="20"/>
          <w:szCs w:val="18"/>
        </w:rPr>
        <w:instrText xml:space="preserve"> ADDIN ZOTERO_ITEM CSL_CITATION {"citationID":"6rTenq2A","properties":{"formattedCitation":"(46,48)","plainCitation":"(46,48)","noteIndex":0},"citationItems":[{"id":204,"uris":["http://zotero.org/users/local/Om3YyEnU/items/Y4NRCFK6"],"uri":["http://zotero.org/users/local/Om3YyEnU/items/Y4NRCFK6"],"itemData":{"id":204,"type":"article-journal","abstract":"BACKGROUND: Osteoradionecrosis of the jaw (ORN) is an infrequent yet potentially devastating complication of radiation therapy to the head and neck region. Treatment options include antimicrobial therapy, local sequestrectomy, resection, and the use of hyperbaric oxygen (HBO). Published data on ORN are difficult to compare because of the lack of a universally accepted classification and staging system, and the literature on the use of HBO to either prevent or successfully manage ORN is controversial and inconclusive. Therefore, we aimed to establish a standard approach for using HBO at our institution.\nMATERIALS AND METHODS: A literature search was conducted of articles published in the English language between January 1980 and January 2016. Retrieved articles were evaluated by two independent reviewers. Isolated case reports, abstracts, case series, review articles, and cohort studies without a control group were excluded; summary data were extracted from the remaining studies. A panel of experts from Head and Neck Oncology and Oral Medicine from the Dana-Farber Cancer Institute and Brigham and Women's Hospital reviewed the summary data and established multidisciplinary guidelines on the use of HBO for the prevention and management of ORN.\nRESULTS: Seven studies were evaluated and reviewed by the multidisciplinary panel. There was no consistent evidence in support of HBO for either the prevention or management of ORN.\nCONCLUSION: Based on the available evidence and expert opinion, routine use of HBO for the prevention or management of ORN is not recommended and is rarely used at our institution. \n                        The Oncologist\n                     2017;22:343-350 IMPLICATIONS FOR PRACTICE: The Division of Head and Neck Oncology of Dana-Farber/Brigham and Women's Cancer Center does not recommend the routine use of HBO for the prevention or management of ORN. Adjunctive HBO may be considered for use on a case-by-case basis in patients considered to be at exceptionally high risk who have failed conservative therapy and subsequent surgical resection.","container-title":"The Oncologist","DOI":"10.1634/theoncologist.2016-0298","ISSN":"1549-490X","issue":"3","journalAbbreviation":"Oncologist","language":"eng","note":"PMID: 28209748\nPMCID: PMC5344641","page":"343-350","source":"PubMed","title":"The Use of Hyperbaric Oxygen for the Prevention and Management of Osteoradionecrosis of the Jaw: A Dana-Farber/Brigham and Women's Cancer Center Multidisciplinary Guideline","title-short":"The Use of Hyperbaric Oxygen for the Prevention and Management of Osteoradionecrosis of the Jaw","volume":"22","author":[{"family":"Sultan","given":"Ahmed"},{"family":"Hanna","given":"Glenn J."},{"family":"Margalit","given":"Danielle N."},{"family":"Chau","given":"Nicole"},{"family":"Goguen","given":"Laura A."},{"family":"Marty","given":"Francisco M."},{"family":"Rabinowits","given":"Guilherme"},{"family":"Schoenfeld","given":"Jonathan D."},{"family":"Sonis","given":"Stephen T."},{"family":"Thomas","given":"Tom"},{"family":"Tishler","given":"Roy B."},{"family":"Treister","given":"Nathaniel S."},{"family":"Villa","given":"Alessandro"},{"family":"Woo","given":"Sook-Bin"},{"family":"Haddad","given":"Robert"},{"family":"Mawardi","given":"Hani"}],"issued":{"date-parts":[["2017"]]}}},{"id":211,"uris":["http://zotero.org/users/local/Om3YyEnU/items/I6LQB4GK"],"uri":["http://zotero.org/users/local/Om3YyEnU/items/I6LQB4GK"],"itemData":{"id":211,"type":"article-journal","container-title":"International Journal of Radiation Oncology*Biology*Physics","DOI":"10.1016/j.ijrobp.2019.02.044","ISSN":"03603016","issue":"3","journalAbbreviation":"International Journal of Radiation Oncology*Biology*Physics","language":"en","page":"530-539","source":"DOI.org (Crossref)","title":"HOPON (Hyperbaric Oxygen for the Prevention of Osteoradionecrosis): A Randomized Controlled Trial of Hyperbaric Oxygen to Prevent Osteoradionecrosis of the Irradiated Mandible After Dentoalveolar Surgery","title-short":"HOPON (Hyperbaric Oxygen for the Prevention of Osteoradionecrosis)","volume":"104","author":[{"family":"Shaw","given":"Richard J."},{"family":"Butterworth","given":"Christopher J."},{"family":"Silcocks","given":"Paul"},{"family":"Tesfaye","given":"Binyam T."},{"family":"Bickerstaff","given":"Matthew"},{"family":"Jackson","given":"Richard"},{"family":"Kanatas","given":"Anastios"},{"family":"Nixon","given":"Peter"},{"family":"McCaul","given":"James"},{"family":"Praveen","given":"Prav"},{"family":"Lowe","given":"Terry"},{"family":"Blanco-Guzman","given":"Manuel"},{"family":"Forner","given":"Lone"},{"family":"Brennan","given":"Peter"},{"family":"Fardy","given":"Mike"},{"family":"Parkin","given":"Richard"},{"family":"Smerdon","given":"Gary"},{"family":"Stephenson","given":"Ruth"},{"family":"Cope","given":"Tristan"},{"family":"Glover","given":"Mark"}],"issued":{"date-parts":[["2019",7]]}}}],"schema":"https://github.com/citation-style-language/schema/raw/master/csl-citation.json"} </w:instrText>
      </w:r>
      <w:r w:rsidR="001A0186" w:rsidRPr="00C22ABE">
        <w:rPr>
          <w:rFonts w:cstheme="minorHAnsi"/>
          <w:sz w:val="20"/>
          <w:szCs w:val="18"/>
        </w:rPr>
        <w:fldChar w:fldCharType="separate"/>
      </w:r>
      <w:r w:rsidR="00DD29FB" w:rsidRPr="00C22ABE">
        <w:rPr>
          <w:rFonts w:cstheme="minorHAnsi"/>
          <w:sz w:val="20"/>
        </w:rPr>
        <w:t>(46,48)</w:t>
      </w:r>
      <w:r w:rsidR="001A0186" w:rsidRPr="00C22ABE">
        <w:rPr>
          <w:rFonts w:cstheme="minorHAnsi"/>
          <w:sz w:val="20"/>
          <w:szCs w:val="18"/>
        </w:rPr>
        <w:fldChar w:fldCharType="end"/>
      </w:r>
      <w:r w:rsidR="00FF4BC1" w:rsidRPr="00C22ABE">
        <w:rPr>
          <w:rFonts w:cstheme="minorHAnsi"/>
          <w:sz w:val="20"/>
          <w:szCs w:val="18"/>
        </w:rPr>
        <w:t>.</w:t>
      </w:r>
    </w:p>
    <w:p w14:paraId="40719392" w14:textId="77777777" w:rsidR="000D3A36" w:rsidRPr="00C22ABE" w:rsidRDefault="000D3A36" w:rsidP="000D3A36">
      <w:pPr>
        <w:autoSpaceDE w:val="0"/>
        <w:autoSpaceDN w:val="0"/>
        <w:adjustRightInd w:val="0"/>
        <w:spacing w:after="0" w:line="240" w:lineRule="auto"/>
        <w:rPr>
          <w:rFonts w:cstheme="minorHAnsi"/>
          <w:sz w:val="21"/>
          <w:szCs w:val="21"/>
        </w:rPr>
      </w:pPr>
    </w:p>
    <w:p w14:paraId="038242F8" w14:textId="13B14937" w:rsidR="009B017C" w:rsidRPr="00C22ABE" w:rsidRDefault="009B017C" w:rsidP="00FF57C9">
      <w:pPr>
        <w:spacing w:line="240" w:lineRule="auto"/>
        <w:rPr>
          <w:rFonts w:cstheme="minorHAnsi"/>
          <w:sz w:val="20"/>
          <w:szCs w:val="18"/>
          <w:u w:val="single"/>
        </w:rPr>
      </w:pPr>
      <w:r w:rsidRPr="00C22ABE">
        <w:rPr>
          <w:rFonts w:cstheme="minorHAnsi"/>
          <w:sz w:val="20"/>
          <w:szCs w:val="18"/>
          <w:u w:val="single"/>
        </w:rPr>
        <w:t>Dose</w:t>
      </w:r>
    </w:p>
    <w:p w14:paraId="521451EF" w14:textId="12EDED8A" w:rsidR="009B017C" w:rsidRPr="00C22ABE" w:rsidRDefault="009B017C" w:rsidP="0048773D">
      <w:pPr>
        <w:spacing w:after="0" w:line="240" w:lineRule="auto"/>
        <w:rPr>
          <w:rFonts w:cstheme="minorHAnsi"/>
          <w:sz w:val="20"/>
          <w:szCs w:val="18"/>
        </w:rPr>
      </w:pPr>
      <w:r w:rsidRPr="00C22ABE">
        <w:rPr>
          <w:rFonts w:cstheme="minorHAnsi"/>
          <w:sz w:val="20"/>
          <w:szCs w:val="18"/>
        </w:rPr>
        <w:t>Il existe différents protocole</w:t>
      </w:r>
      <w:r w:rsidR="00C92B7C" w:rsidRPr="00C22ABE">
        <w:rPr>
          <w:rFonts w:cstheme="minorHAnsi"/>
          <w:sz w:val="20"/>
          <w:szCs w:val="18"/>
        </w:rPr>
        <w:t>s</w:t>
      </w:r>
      <w:r w:rsidRPr="00C22ABE">
        <w:rPr>
          <w:rFonts w:cstheme="minorHAnsi"/>
          <w:sz w:val="20"/>
          <w:szCs w:val="18"/>
        </w:rPr>
        <w:t>. Le but est de délivrer de l’Oxygène</w:t>
      </w:r>
      <w:r w:rsidR="004C2EB6" w:rsidRPr="00C22ABE">
        <w:rPr>
          <w:rFonts w:cstheme="minorHAnsi"/>
          <w:sz w:val="20"/>
          <w:szCs w:val="18"/>
        </w:rPr>
        <w:t xml:space="preserve"> </w:t>
      </w:r>
      <w:r w:rsidR="00302833" w:rsidRPr="00C22ABE">
        <w:rPr>
          <w:rFonts w:cstheme="minorHAnsi"/>
          <w:sz w:val="20"/>
          <w:szCs w:val="18"/>
        </w:rPr>
        <w:t>(O2)</w:t>
      </w:r>
      <w:r w:rsidRPr="00C22ABE">
        <w:rPr>
          <w:rFonts w:cstheme="minorHAnsi"/>
          <w:sz w:val="20"/>
          <w:szCs w:val="18"/>
        </w:rPr>
        <w:t xml:space="preserve"> à 100% à des pressions supérieures à 1 ATA (</w:t>
      </w:r>
      <w:r w:rsidR="00302833" w:rsidRPr="00C22ABE">
        <w:rPr>
          <w:rFonts w:cstheme="minorHAnsi"/>
          <w:sz w:val="20"/>
          <w:szCs w:val="18"/>
        </w:rPr>
        <w:t>atmosphère</w:t>
      </w:r>
      <w:r w:rsidRPr="00C22ABE">
        <w:rPr>
          <w:rFonts w:cstheme="minorHAnsi"/>
          <w:sz w:val="20"/>
          <w:szCs w:val="18"/>
        </w:rPr>
        <w:t xml:space="preserve"> absolue), entre 1,5 et 4 ATA</w:t>
      </w:r>
      <w:r w:rsidR="00EC765B" w:rsidRPr="00C22ABE">
        <w:rPr>
          <w:rFonts w:cstheme="minorHAnsi"/>
          <w:sz w:val="20"/>
          <w:szCs w:val="18"/>
        </w:rPr>
        <w:t>,</w:t>
      </w:r>
      <w:r w:rsidRPr="00C22ABE">
        <w:rPr>
          <w:rFonts w:cstheme="minorHAnsi"/>
          <w:sz w:val="20"/>
          <w:szCs w:val="18"/>
        </w:rPr>
        <w:t xml:space="preserve"> pendant 30 à 120 minutes 1 ou 2/j</w:t>
      </w:r>
      <w:r w:rsidR="00984E56" w:rsidRPr="00C22ABE">
        <w:rPr>
          <w:rFonts w:cstheme="minorHAnsi"/>
          <w:sz w:val="20"/>
          <w:szCs w:val="18"/>
        </w:rPr>
        <w:t xml:space="preserve">, </w:t>
      </w:r>
      <w:r w:rsidRPr="00C22ABE">
        <w:rPr>
          <w:rFonts w:cstheme="minorHAnsi"/>
          <w:sz w:val="20"/>
          <w:szCs w:val="18"/>
        </w:rPr>
        <w:t>30 à 60 sessions.</w:t>
      </w:r>
      <w:r w:rsidR="00010F21" w:rsidRPr="00C22ABE">
        <w:rPr>
          <w:rFonts w:cstheme="minorHAnsi"/>
          <w:sz w:val="20"/>
          <w:szCs w:val="18"/>
        </w:rPr>
        <w:t xml:space="preserve"> En général 30 </w:t>
      </w:r>
      <w:r w:rsidR="001D74C1" w:rsidRPr="00C22ABE">
        <w:rPr>
          <w:rFonts w:cstheme="minorHAnsi"/>
          <w:sz w:val="20"/>
          <w:szCs w:val="18"/>
        </w:rPr>
        <w:t>sessions</w:t>
      </w:r>
      <w:r w:rsidR="00010F21" w:rsidRPr="00C22ABE">
        <w:rPr>
          <w:rFonts w:cstheme="minorHAnsi"/>
          <w:sz w:val="20"/>
          <w:szCs w:val="18"/>
        </w:rPr>
        <w:t xml:space="preserve"> </w:t>
      </w:r>
      <w:r w:rsidR="004F318F" w:rsidRPr="00C22ABE">
        <w:rPr>
          <w:rFonts w:cstheme="minorHAnsi"/>
          <w:sz w:val="20"/>
          <w:szCs w:val="18"/>
        </w:rPr>
        <w:t xml:space="preserve">sont administrées avant chirurgie </w:t>
      </w:r>
      <w:r w:rsidR="001D74C1" w:rsidRPr="00C22ABE">
        <w:rPr>
          <w:rFonts w:cstheme="minorHAnsi"/>
          <w:sz w:val="20"/>
          <w:szCs w:val="18"/>
        </w:rPr>
        <w:fldChar w:fldCharType="begin"/>
      </w:r>
      <w:r w:rsidR="00DD29FB" w:rsidRPr="00C22ABE">
        <w:rPr>
          <w:rFonts w:cstheme="minorHAnsi"/>
          <w:sz w:val="20"/>
          <w:szCs w:val="18"/>
        </w:rPr>
        <w:instrText xml:space="preserve"> ADDIN ZOTERO_ITEM CSL_CITATION {"citationID":"m6WscOrY","properties":{"formattedCitation":"(49)","plainCitation":"(49)","noteIndex":0},"citationItems":[{"id":210,"uris":["http://zotero.org/users/local/Om3YyEnU/items/HDJTIJLP"],"uri":["http://zotero.org/users/local/Om3YyEnU/items/HDJTIJLP"],"itemData":{"id":210,"type":"article-journal","container-title":"International Journal of Oral and Maxillofacial Surgery","DOI":"10.1016/j.ijom.2020.06.014","ISSN":"09015027","journalAbbreviation":"International Journal of Oral and Maxillofacial Surgery","language":"en","page":"S0901502720302381","source":"DOI.org (Crossref)","title":"Does hyperbaric oxygen therapy play a role in the management of osteoradionecrosis? A survey of Dutch oral and maxillofacial surgeons","title-short":"Does hyperbaric oxygen therapy play a role in the management of osteoradionecrosis?","author":[{"family":"Dieleman","given":"F.J."},{"family":"Meijer","given":"G.J."},{"family":"Merkx","given":"M.A.W."}],"issued":{"date-parts":[["2020",7]]}}}],"schema":"https://github.com/citation-style-language/schema/raw/master/csl-citation.json"} </w:instrText>
      </w:r>
      <w:r w:rsidR="001D74C1" w:rsidRPr="00C22ABE">
        <w:rPr>
          <w:rFonts w:cstheme="minorHAnsi"/>
          <w:sz w:val="20"/>
          <w:szCs w:val="18"/>
        </w:rPr>
        <w:fldChar w:fldCharType="separate"/>
      </w:r>
      <w:r w:rsidR="00DD29FB" w:rsidRPr="00C22ABE">
        <w:rPr>
          <w:rFonts w:cstheme="minorHAnsi"/>
          <w:sz w:val="20"/>
        </w:rPr>
        <w:t>(49)</w:t>
      </w:r>
      <w:r w:rsidR="001D74C1" w:rsidRPr="00C22ABE">
        <w:rPr>
          <w:rFonts w:cstheme="minorHAnsi"/>
          <w:sz w:val="20"/>
          <w:szCs w:val="18"/>
        </w:rPr>
        <w:fldChar w:fldCharType="end"/>
      </w:r>
      <w:r w:rsidR="004F318F" w:rsidRPr="00C22ABE">
        <w:rPr>
          <w:rFonts w:cstheme="minorHAnsi"/>
          <w:sz w:val="20"/>
          <w:szCs w:val="18"/>
        </w:rPr>
        <w:t>.</w:t>
      </w:r>
    </w:p>
    <w:p w14:paraId="3F4B0754" w14:textId="5DD16602" w:rsidR="004F318F" w:rsidRPr="00C22ABE" w:rsidRDefault="00FF57C9" w:rsidP="004F318F">
      <w:pPr>
        <w:spacing w:after="0" w:line="240" w:lineRule="auto"/>
        <w:rPr>
          <w:rFonts w:cstheme="minorHAnsi"/>
          <w:sz w:val="20"/>
          <w:szCs w:val="18"/>
        </w:rPr>
      </w:pPr>
      <w:r w:rsidRPr="00C22ABE">
        <w:rPr>
          <w:rFonts w:cstheme="minorHAnsi"/>
          <w:sz w:val="20"/>
          <w:szCs w:val="18"/>
        </w:rPr>
        <w:t>Le protocole de Marx  est de 30 séances à 100% d’O2 à 2,4 ATA d’une durée de 90 minutes</w:t>
      </w:r>
      <w:r w:rsidR="00DC7AAC" w:rsidRPr="00C22ABE">
        <w:rPr>
          <w:rFonts w:cstheme="minorHAnsi"/>
          <w:sz w:val="20"/>
          <w:szCs w:val="18"/>
        </w:rPr>
        <w:t xml:space="preserve"> 1 fois</w:t>
      </w:r>
      <w:r w:rsidR="004F318F" w:rsidRPr="00C22ABE">
        <w:rPr>
          <w:rFonts w:cstheme="minorHAnsi"/>
          <w:sz w:val="20"/>
          <w:szCs w:val="18"/>
        </w:rPr>
        <w:t xml:space="preserve"> par </w:t>
      </w:r>
      <w:r w:rsidR="00A109C9" w:rsidRPr="00C22ABE">
        <w:rPr>
          <w:rFonts w:cstheme="minorHAnsi"/>
          <w:sz w:val="20"/>
          <w:szCs w:val="18"/>
        </w:rPr>
        <w:t>jour</w:t>
      </w:r>
      <w:r w:rsidR="004F318F" w:rsidRPr="00C22ABE">
        <w:rPr>
          <w:rFonts w:cstheme="minorHAnsi"/>
          <w:sz w:val="20"/>
          <w:szCs w:val="18"/>
        </w:rPr>
        <w:t>,</w:t>
      </w:r>
      <w:r w:rsidR="00DC7AAC" w:rsidRPr="00C22ABE">
        <w:rPr>
          <w:rFonts w:cstheme="minorHAnsi"/>
          <w:sz w:val="20"/>
          <w:szCs w:val="18"/>
        </w:rPr>
        <w:t xml:space="preserve"> 5 jours </w:t>
      </w:r>
      <w:r w:rsidR="004F318F" w:rsidRPr="00C22ABE">
        <w:rPr>
          <w:rFonts w:cstheme="minorHAnsi"/>
          <w:sz w:val="20"/>
          <w:szCs w:val="18"/>
        </w:rPr>
        <w:t>par semaine</w:t>
      </w:r>
      <w:r w:rsidR="001D74C1" w:rsidRPr="00C22ABE">
        <w:rPr>
          <w:rFonts w:cstheme="minorHAnsi"/>
          <w:sz w:val="20"/>
          <w:szCs w:val="18"/>
        </w:rPr>
        <w:t xml:space="preserve"> </w:t>
      </w:r>
      <w:r w:rsidR="001D74C1" w:rsidRPr="00C22ABE">
        <w:rPr>
          <w:rFonts w:cstheme="minorHAnsi"/>
          <w:sz w:val="20"/>
          <w:szCs w:val="18"/>
        </w:rPr>
        <w:fldChar w:fldCharType="begin"/>
      </w:r>
      <w:r w:rsidR="00DD29FB" w:rsidRPr="00C22ABE">
        <w:rPr>
          <w:rFonts w:cstheme="minorHAnsi"/>
          <w:sz w:val="20"/>
          <w:szCs w:val="18"/>
        </w:rPr>
        <w:instrText xml:space="preserve"> ADDIN ZOTERO_ITEM CSL_CITATION {"citationID":"lxdRK4bz","properties":{"formattedCitation":"(30)","plainCitation":"(30)","noteIndex":0},"citationItems":[{"id":176,"uris":["http://zotero.org/users/local/Om3YyEnU/items/XBENZNC2"],"uri":["http://zotero.org/users/local/Om3YyEnU/items/XBENZNC2"],"itemData":{"id":176,"type":"article-journal","container-title":"Journal of Oral and Maxillofacial Surgery","DOI":"10.1016/0278-2391(83)90294-X","ISSN":"02782391","issue":"5","journalAbbreviation":"Journal of Oral and Maxillofacial Surgery","language":"en","page":"283-288","source":"DOI.org (Crossref)","title":"Osteoradionecrosis: A new concept of its pathophysiology","title-short":"Osteoradionecrosis","volume":"41","author":[{"family":"Marx","given":"Robert E."}],"issued":{"date-parts":[["1983",5]]}}}],"schema":"https://github.com/citation-style-language/schema/raw/master/csl-citation.json"} </w:instrText>
      </w:r>
      <w:r w:rsidR="001D74C1" w:rsidRPr="00C22ABE">
        <w:rPr>
          <w:rFonts w:cstheme="minorHAnsi"/>
          <w:sz w:val="20"/>
          <w:szCs w:val="18"/>
        </w:rPr>
        <w:fldChar w:fldCharType="separate"/>
      </w:r>
      <w:r w:rsidR="00DD29FB" w:rsidRPr="00C22ABE">
        <w:rPr>
          <w:rFonts w:cstheme="minorHAnsi"/>
          <w:sz w:val="20"/>
        </w:rPr>
        <w:t>(30)</w:t>
      </w:r>
      <w:r w:rsidR="001D74C1" w:rsidRPr="00C22ABE">
        <w:rPr>
          <w:rFonts w:cstheme="minorHAnsi"/>
          <w:sz w:val="20"/>
          <w:szCs w:val="18"/>
        </w:rPr>
        <w:fldChar w:fldCharType="end"/>
      </w:r>
      <w:r w:rsidRPr="00C22ABE">
        <w:rPr>
          <w:rFonts w:cstheme="minorHAnsi"/>
          <w:sz w:val="20"/>
          <w:szCs w:val="18"/>
        </w:rPr>
        <w:t xml:space="preserve">. </w:t>
      </w:r>
      <w:r w:rsidR="00A109C9" w:rsidRPr="00C22ABE">
        <w:rPr>
          <w:rFonts w:cstheme="minorHAnsi"/>
          <w:sz w:val="20"/>
          <w:szCs w:val="18"/>
        </w:rPr>
        <w:t xml:space="preserve">En cas d’évolution favorable, 30 nouvelles séances sont réalisées. </w:t>
      </w:r>
      <w:r w:rsidR="00D93F6B" w:rsidRPr="00C22ABE">
        <w:rPr>
          <w:rFonts w:cstheme="minorHAnsi"/>
          <w:sz w:val="20"/>
          <w:szCs w:val="18"/>
        </w:rPr>
        <w:t>En cas d’évolution péjorative, u</w:t>
      </w:r>
      <w:r w:rsidRPr="00C22ABE">
        <w:rPr>
          <w:rFonts w:cstheme="minorHAnsi"/>
          <w:sz w:val="20"/>
          <w:szCs w:val="18"/>
        </w:rPr>
        <w:t xml:space="preserve">ne chirurgie (séquestrectomie ou débridement pour les stades II ou résection pour les stades III) est </w:t>
      </w:r>
      <w:r w:rsidR="004F318F" w:rsidRPr="00C22ABE">
        <w:rPr>
          <w:rFonts w:cstheme="minorHAnsi"/>
          <w:sz w:val="20"/>
          <w:szCs w:val="18"/>
        </w:rPr>
        <w:t>proposée</w:t>
      </w:r>
      <w:r w:rsidRPr="00C22ABE">
        <w:rPr>
          <w:rFonts w:cstheme="minorHAnsi"/>
          <w:sz w:val="20"/>
          <w:szCs w:val="18"/>
        </w:rPr>
        <w:t>, suivie de 30 nouvelles séance d’HBO</w:t>
      </w:r>
      <w:r w:rsidR="00984E56" w:rsidRPr="00C22ABE">
        <w:rPr>
          <w:rFonts w:cstheme="minorHAnsi"/>
          <w:sz w:val="20"/>
          <w:szCs w:val="18"/>
        </w:rPr>
        <w:t>.</w:t>
      </w:r>
    </w:p>
    <w:p w14:paraId="06E0DCB2" w14:textId="77777777" w:rsidR="004F318F" w:rsidRPr="00C22ABE" w:rsidRDefault="004F318F" w:rsidP="004F318F">
      <w:pPr>
        <w:spacing w:after="0" w:line="240" w:lineRule="auto"/>
        <w:rPr>
          <w:rFonts w:cstheme="minorHAnsi"/>
          <w:sz w:val="20"/>
          <w:szCs w:val="18"/>
        </w:rPr>
      </w:pPr>
    </w:p>
    <w:p w14:paraId="7A776905" w14:textId="333AE56C" w:rsidR="009B017C" w:rsidRPr="00C22ABE" w:rsidRDefault="001D74C1" w:rsidP="004F318F">
      <w:pPr>
        <w:spacing w:after="0" w:line="240" w:lineRule="auto"/>
        <w:rPr>
          <w:rFonts w:cstheme="minorHAnsi"/>
          <w:sz w:val="20"/>
          <w:szCs w:val="18"/>
        </w:rPr>
      </w:pPr>
      <w:r w:rsidRPr="00C22ABE">
        <w:rPr>
          <w:rFonts w:cstheme="minorHAnsi"/>
          <w:sz w:val="20"/>
          <w:szCs w:val="18"/>
        </w:rPr>
        <w:t>Les e</w:t>
      </w:r>
      <w:r w:rsidR="00903C2E" w:rsidRPr="00C22ABE">
        <w:rPr>
          <w:rFonts w:cstheme="minorHAnsi"/>
          <w:sz w:val="20"/>
          <w:szCs w:val="18"/>
          <w:u w:val="single"/>
        </w:rPr>
        <w:t>ffets secondaires</w:t>
      </w:r>
      <w:r w:rsidR="00903C2E" w:rsidRPr="00C22ABE">
        <w:rPr>
          <w:rFonts w:cstheme="minorHAnsi"/>
          <w:sz w:val="20"/>
          <w:szCs w:val="18"/>
        </w:rPr>
        <w:t> </w:t>
      </w:r>
      <w:r w:rsidRPr="00C22ABE">
        <w:rPr>
          <w:rFonts w:cstheme="minorHAnsi"/>
          <w:sz w:val="20"/>
          <w:szCs w:val="18"/>
        </w:rPr>
        <w:t xml:space="preserve">sont </w:t>
      </w:r>
      <w:r w:rsidR="00960ABB" w:rsidRPr="00C22ABE">
        <w:rPr>
          <w:rFonts w:cstheme="minorHAnsi"/>
          <w:sz w:val="20"/>
          <w:szCs w:val="18"/>
        </w:rPr>
        <w:t xml:space="preserve">en lien avec l’hyperoxie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cEHq9McU","properties":{"formattedCitation":"(6,46)","plainCitation":"(6,46)","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W."}],"issued":{"date-parts":[["2016",11]]}}},{"id":204,"uris":["http://zotero.org/users/local/Om3YyEnU/items/Y4NRCFK6"],"uri":["http://zotero.org/users/local/Om3YyEnU/items/Y4NRCFK6"],"itemData":{"id":204,"type":"article-journal","abstract":"BACKGROUND: Osteoradionecrosis of the jaw (ORN) is an infrequent yet potentially devastating complication of radiation therapy to the head and neck region. Treatment options include antimicrobial therapy, local sequestrectomy, resection, and the use of hyperbaric oxygen (HBO). Published data on ORN are difficult to compare because of the lack of a universally accepted classification and staging system, and the literature on the use of HBO to either prevent or successfully manage ORN is controversial and inconclusive. Therefore, we aimed to establish a standard approach for using HBO at our institution.\nMATERIALS AND METHODS: A literature search was conducted of articles published in the English language between January 1980 and January 2016. Retrieved articles were evaluated by two independent reviewers. Isolated case reports, abstracts, case series, review articles, and cohort studies without a control group were excluded; summary data were extracted from the remaining studies. A panel of experts from Head and Neck Oncology and Oral Medicine from the Dana-Farber Cancer Institute and Brigham and Women's Hospital reviewed the summary data and established multidisciplinary guidelines on the use of HBO for the prevention and management of ORN.\nRESULTS: Seven studies were evaluated and reviewed by the multidisciplinary panel. There was no consistent evidence in support of HBO for either the prevention or management of ORN.\nCONCLUSION: Based on the available evidence and expert opinion, routine use of HBO for the prevention or management of ORN is not recommended and is rarely used at our institution. \n                        The Oncologist\n                     2017;22:343-350 IMPLICATIONS FOR PRACTICE: The Division of Head and Neck Oncology of Dana-Farber/Brigham and Women's Cancer Center does not recommend the routine use of HBO for the prevention or management of ORN. Adjunctive HBO may be considered for use on a case-by-case basis in patients considered to be at exceptionally high risk who have failed conservative therapy and subsequent surgical resection.","container-title":"The Oncologist","DOI":"10.1634/theoncologist.2016-0298","ISSN":"1549-490X","issue":"3","journalAbbreviation":"Oncologist","language":"eng","note":"PMID: 28209748\nPMCID: PMC5344641","page":"343-350","source":"PubMed","title":"The Use of Hyperbaric Oxygen for the Prevention and Management of Osteoradionecrosis of the Jaw: A Dana-Farber/Brigham and Women's Cancer Center Multidisciplinary Guideline","title-short":"The Use of Hyperbaric Oxygen for the Prevention and Management of Osteoradionecrosis of the Jaw","volume":"22","author":[{"family":"Sultan","given":"Ahmed"},{"family":"Hanna","given":"Glenn J."},{"family":"Margalit","given":"Danielle N."},{"family":"Chau","given":"Nicole"},{"family":"Goguen","given":"Laura A."},{"family":"Marty","given":"Francisco M."},{"family":"Rabinowits","given":"Guilherme"},{"family":"Schoenfeld","given":"Jonathan D."},{"family":"Sonis","given":"Stephen T."},{"family":"Thomas","given":"Tom"},{"family":"Tishler","given":"Roy B."},{"family":"Treister","given":"Nathaniel S."},{"family":"Villa","given":"Alessandro"},{"family":"Woo","given":"Sook-Bin"},{"family":"Haddad","given":"Robert"},{"family":"Mawardi","given":"Hani"}],"issued":{"date-parts":[["2017"]]}}}],"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(6,46)</w:t>
      </w:r>
      <w:r w:rsidRPr="00C22ABE">
        <w:rPr>
          <w:rFonts w:cstheme="minorHAnsi"/>
          <w:sz w:val="20"/>
          <w:szCs w:val="18"/>
        </w:rPr>
        <w:fldChar w:fldCharType="end"/>
      </w:r>
      <w:r w:rsidR="00DC7AAC" w:rsidRPr="00C22ABE">
        <w:rPr>
          <w:rFonts w:cstheme="minorHAnsi"/>
          <w:sz w:val="20"/>
          <w:szCs w:val="18"/>
        </w:rPr>
        <w:t>.</w:t>
      </w:r>
      <w:r w:rsidR="00A84E35" w:rsidRPr="00C22ABE">
        <w:rPr>
          <w:rFonts w:cstheme="minorHAnsi"/>
          <w:sz w:val="20"/>
          <w:szCs w:val="18"/>
        </w:rPr>
        <w:t xml:space="preserve"> Il s’agit de b</w:t>
      </w:r>
      <w:r w:rsidR="00903C2E" w:rsidRPr="00C22ABE">
        <w:rPr>
          <w:rFonts w:cstheme="minorHAnsi"/>
          <w:sz w:val="20"/>
          <w:szCs w:val="18"/>
        </w:rPr>
        <w:t>arotraumatisme de l’oreille moyenne</w:t>
      </w:r>
      <w:r w:rsidR="009B017C" w:rsidRPr="00C22ABE">
        <w:rPr>
          <w:rFonts w:cstheme="minorHAnsi"/>
          <w:sz w:val="20"/>
          <w:szCs w:val="18"/>
        </w:rPr>
        <w:t>,</w:t>
      </w:r>
      <w:r w:rsidR="00A84E35" w:rsidRPr="00C22ABE">
        <w:rPr>
          <w:rFonts w:cstheme="minorHAnsi"/>
          <w:sz w:val="20"/>
          <w:szCs w:val="18"/>
        </w:rPr>
        <w:t xml:space="preserve"> m</w:t>
      </w:r>
      <w:r w:rsidR="00903C2E" w:rsidRPr="00C22ABE">
        <w:rPr>
          <w:rFonts w:cstheme="minorHAnsi"/>
          <w:sz w:val="20"/>
          <w:szCs w:val="18"/>
        </w:rPr>
        <w:t>yopie</w:t>
      </w:r>
      <w:r w:rsidR="00FF57C9" w:rsidRPr="00C22ABE">
        <w:rPr>
          <w:rFonts w:cstheme="minorHAnsi"/>
          <w:sz w:val="20"/>
          <w:szCs w:val="18"/>
        </w:rPr>
        <w:t xml:space="preserve"> transitoire et aggravation des cataractes préexistantes</w:t>
      </w:r>
      <w:r w:rsidR="00A84E35" w:rsidRPr="00C22ABE">
        <w:rPr>
          <w:rFonts w:cstheme="minorHAnsi"/>
          <w:sz w:val="20"/>
          <w:szCs w:val="18"/>
        </w:rPr>
        <w:t>, p</w:t>
      </w:r>
      <w:r w:rsidR="00903C2E" w:rsidRPr="00C22ABE">
        <w:rPr>
          <w:rFonts w:cstheme="minorHAnsi"/>
          <w:sz w:val="20"/>
          <w:szCs w:val="18"/>
        </w:rPr>
        <w:t>neumothorax</w:t>
      </w:r>
      <w:r w:rsidR="0048773D" w:rsidRPr="00C22ABE">
        <w:rPr>
          <w:rFonts w:cstheme="minorHAnsi"/>
          <w:sz w:val="20"/>
          <w:szCs w:val="18"/>
        </w:rPr>
        <w:t xml:space="preserve">, </w:t>
      </w:r>
      <w:r w:rsidR="00A84E35" w:rsidRPr="00C22ABE">
        <w:rPr>
          <w:rFonts w:cstheme="minorHAnsi"/>
          <w:sz w:val="20"/>
          <w:szCs w:val="18"/>
        </w:rPr>
        <w:t>t</w:t>
      </w:r>
      <w:r w:rsidR="0048773D" w:rsidRPr="00C22ABE">
        <w:rPr>
          <w:rFonts w:cstheme="minorHAnsi"/>
          <w:sz w:val="20"/>
          <w:szCs w:val="18"/>
        </w:rPr>
        <w:t>oxicité pulmonaire de l’oxygène</w:t>
      </w:r>
      <w:r w:rsidR="00A84E35" w:rsidRPr="00C22ABE">
        <w:rPr>
          <w:rFonts w:cstheme="minorHAnsi"/>
          <w:sz w:val="20"/>
          <w:szCs w:val="18"/>
        </w:rPr>
        <w:t>, e</w:t>
      </w:r>
      <w:r w:rsidR="00903C2E" w:rsidRPr="00C22ABE">
        <w:rPr>
          <w:rFonts w:cstheme="minorHAnsi"/>
          <w:sz w:val="20"/>
          <w:szCs w:val="18"/>
        </w:rPr>
        <w:t xml:space="preserve">mbolie </w:t>
      </w:r>
      <w:r w:rsidRPr="00C22ABE">
        <w:rPr>
          <w:rFonts w:cstheme="minorHAnsi"/>
          <w:sz w:val="20"/>
          <w:szCs w:val="18"/>
        </w:rPr>
        <w:t>gazeuse artérielle</w:t>
      </w:r>
      <w:r w:rsidR="00A84E35" w:rsidRPr="00C22ABE">
        <w:rPr>
          <w:rFonts w:cstheme="minorHAnsi"/>
          <w:sz w:val="20"/>
          <w:szCs w:val="18"/>
        </w:rPr>
        <w:t xml:space="preserve">, </w:t>
      </w:r>
      <w:r w:rsidR="00304A5F" w:rsidRPr="00C22ABE">
        <w:rPr>
          <w:rFonts w:cstheme="minorHAnsi"/>
          <w:sz w:val="20"/>
          <w:szCs w:val="18"/>
        </w:rPr>
        <w:t>c</w:t>
      </w:r>
      <w:r w:rsidR="00A84E35" w:rsidRPr="00C22ABE">
        <w:rPr>
          <w:rFonts w:cstheme="minorHAnsi"/>
          <w:sz w:val="20"/>
          <w:szCs w:val="18"/>
        </w:rPr>
        <w:t xml:space="preserve">onvulsions </w:t>
      </w:r>
      <w:proofErr w:type="spellStart"/>
      <w:r w:rsidR="00A84E35" w:rsidRPr="00C22ABE">
        <w:rPr>
          <w:rFonts w:cstheme="minorHAnsi"/>
          <w:sz w:val="20"/>
          <w:szCs w:val="18"/>
        </w:rPr>
        <w:t>hyperoxiques</w:t>
      </w:r>
      <w:proofErr w:type="spellEnd"/>
      <w:r w:rsidR="004F318F" w:rsidRPr="00C22ABE">
        <w:rPr>
          <w:rFonts w:cstheme="minorHAnsi"/>
          <w:sz w:val="20"/>
          <w:szCs w:val="18"/>
        </w:rPr>
        <w:t>.</w:t>
      </w:r>
    </w:p>
    <w:p w14:paraId="7F1D372D" w14:textId="2B31078B" w:rsidR="00FF57C9" w:rsidRPr="00C22ABE" w:rsidRDefault="004F318F" w:rsidP="00302833">
      <w:pPr>
        <w:spacing w:line="240" w:lineRule="auto"/>
        <w:rPr>
          <w:rFonts w:cstheme="minorHAnsi"/>
          <w:sz w:val="20"/>
          <w:szCs w:val="18"/>
        </w:rPr>
      </w:pPr>
      <w:r w:rsidRPr="00C22ABE">
        <w:rPr>
          <w:rFonts w:cstheme="minorHAnsi"/>
          <w:sz w:val="20"/>
          <w:szCs w:val="18"/>
        </w:rPr>
        <w:t>Le choix d’un pro</w:t>
      </w:r>
      <w:r w:rsidR="00FF57C9" w:rsidRPr="00C22ABE">
        <w:rPr>
          <w:rFonts w:cstheme="minorHAnsi"/>
          <w:sz w:val="20"/>
          <w:szCs w:val="18"/>
        </w:rPr>
        <w:t>tocole</w:t>
      </w:r>
      <w:r w:rsidRPr="00C22ABE">
        <w:rPr>
          <w:rFonts w:cstheme="minorHAnsi"/>
          <w:sz w:val="20"/>
          <w:szCs w:val="18"/>
        </w:rPr>
        <w:t xml:space="preserve"> d</w:t>
      </w:r>
      <w:r w:rsidR="00FF57C9" w:rsidRPr="00C22ABE">
        <w:rPr>
          <w:rFonts w:cstheme="minorHAnsi"/>
          <w:sz w:val="20"/>
          <w:szCs w:val="18"/>
        </w:rPr>
        <w:t>'une durée inférieure à 2 heures</w:t>
      </w:r>
      <w:r w:rsidR="00302833" w:rsidRPr="00C22ABE">
        <w:rPr>
          <w:rFonts w:cstheme="minorHAnsi"/>
          <w:sz w:val="20"/>
          <w:szCs w:val="18"/>
        </w:rPr>
        <w:t xml:space="preserve">, avec </w:t>
      </w:r>
      <w:r w:rsidR="00FF57C9" w:rsidRPr="00C22ABE">
        <w:rPr>
          <w:rFonts w:cstheme="minorHAnsi"/>
          <w:sz w:val="20"/>
          <w:szCs w:val="18"/>
        </w:rPr>
        <w:t xml:space="preserve">une pression d'air maximale de 3 ATA, </w:t>
      </w:r>
      <w:r w:rsidRPr="00C22ABE">
        <w:rPr>
          <w:rFonts w:cstheme="minorHAnsi"/>
          <w:sz w:val="20"/>
          <w:szCs w:val="18"/>
        </w:rPr>
        <w:t>permet de minimiser les effets secondaires</w:t>
      </w:r>
      <w:r w:rsidR="00AB0BD3" w:rsidRPr="00C22ABE">
        <w:rPr>
          <w:rFonts w:cstheme="minorHAnsi"/>
          <w:sz w:val="20"/>
          <w:szCs w:val="18"/>
        </w:rPr>
        <w:t xml:space="preserve"> </w:t>
      </w:r>
      <w:r w:rsidR="00AB0BD3" w:rsidRPr="00C22ABE">
        <w:rPr>
          <w:rFonts w:cstheme="minorHAnsi"/>
          <w:sz w:val="20"/>
          <w:szCs w:val="18"/>
        </w:rPr>
        <w:fldChar w:fldCharType="begin"/>
      </w:r>
      <w:r w:rsidR="00281722" w:rsidRPr="00C22ABE">
        <w:rPr>
          <w:rFonts w:cstheme="minorHAnsi"/>
          <w:sz w:val="20"/>
          <w:szCs w:val="18"/>
        </w:rPr>
        <w:instrText xml:space="preserve"> ADDIN ZOTERO_ITEM CSL_CITATION {"citationID":"XpouAKeo","properties":{"formattedCitation":"(6)","plainCitation":"(6)","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W."}],"issued":{"date-parts":[["2016",11]]}}}],"schema":"https://github.com/citation-style-language/schema/raw/master/csl-citation.json"} </w:instrText>
      </w:r>
      <w:r w:rsidR="00AB0BD3" w:rsidRPr="00C22ABE">
        <w:rPr>
          <w:rFonts w:cstheme="minorHAnsi"/>
          <w:sz w:val="20"/>
          <w:szCs w:val="18"/>
        </w:rPr>
        <w:fldChar w:fldCharType="separate"/>
      </w:r>
      <w:r w:rsidR="00281722" w:rsidRPr="00C22ABE">
        <w:rPr>
          <w:rFonts w:cstheme="minorHAnsi"/>
          <w:sz w:val="20"/>
        </w:rPr>
        <w:t>(6)</w:t>
      </w:r>
      <w:r w:rsidR="00AB0BD3" w:rsidRPr="00C22ABE">
        <w:rPr>
          <w:rFonts w:cstheme="minorHAnsi"/>
          <w:sz w:val="20"/>
          <w:szCs w:val="18"/>
        </w:rPr>
        <w:fldChar w:fldCharType="end"/>
      </w:r>
      <w:r w:rsidR="00FF57C9" w:rsidRPr="00C22ABE">
        <w:rPr>
          <w:rFonts w:cstheme="minorHAnsi"/>
          <w:sz w:val="20"/>
          <w:szCs w:val="18"/>
        </w:rPr>
        <w:t>.</w:t>
      </w:r>
    </w:p>
    <w:p w14:paraId="016422B1" w14:textId="1A7494B0" w:rsidR="004C2EB6" w:rsidRPr="00C22ABE" w:rsidRDefault="00A84E35" w:rsidP="00A84E35">
      <w:pPr>
        <w:tabs>
          <w:tab w:val="left" w:pos="7110"/>
        </w:tabs>
        <w:rPr>
          <w:rFonts w:cstheme="minorHAnsi"/>
          <w:sz w:val="20"/>
          <w:szCs w:val="18"/>
        </w:rPr>
      </w:pPr>
      <w:r w:rsidRPr="00C22ABE">
        <w:rPr>
          <w:rFonts w:cstheme="minorHAnsi"/>
          <w:sz w:val="20"/>
          <w:szCs w:val="18"/>
          <w:u w:val="single"/>
        </w:rPr>
        <w:t>Les c</w:t>
      </w:r>
      <w:r w:rsidR="00960ABB" w:rsidRPr="00C22ABE">
        <w:rPr>
          <w:rFonts w:cstheme="minorHAnsi"/>
          <w:sz w:val="20"/>
          <w:szCs w:val="18"/>
          <w:u w:val="single"/>
        </w:rPr>
        <w:t>ontrindication</w:t>
      </w:r>
      <w:r w:rsidRPr="00C22ABE">
        <w:rPr>
          <w:rFonts w:cstheme="minorHAnsi"/>
          <w:sz w:val="20"/>
          <w:szCs w:val="18"/>
          <w:u w:val="single"/>
        </w:rPr>
        <w:t>s</w:t>
      </w:r>
      <w:r w:rsidRPr="00C22ABE">
        <w:rPr>
          <w:rFonts w:cstheme="minorHAnsi"/>
          <w:sz w:val="20"/>
          <w:szCs w:val="18"/>
        </w:rPr>
        <w:t xml:space="preserve"> sont les </w:t>
      </w:r>
      <w:r w:rsidR="00DD29FB" w:rsidRPr="00C22ABE">
        <w:rPr>
          <w:rFonts w:cstheme="minorHAnsi"/>
          <w:sz w:val="20"/>
          <w:szCs w:val="18"/>
        </w:rPr>
        <w:t>syndromes</w:t>
      </w:r>
      <w:r w:rsidR="00960ABB" w:rsidRPr="00C22ABE">
        <w:rPr>
          <w:rFonts w:cstheme="minorHAnsi"/>
          <w:sz w:val="20"/>
          <w:szCs w:val="18"/>
        </w:rPr>
        <w:t xml:space="preserve"> pulmonaire</w:t>
      </w:r>
      <w:r w:rsidRPr="00C22ABE">
        <w:rPr>
          <w:rFonts w:cstheme="minorHAnsi"/>
          <w:sz w:val="20"/>
          <w:szCs w:val="18"/>
        </w:rPr>
        <w:t>s</w:t>
      </w:r>
      <w:r w:rsidR="00960ABB" w:rsidRPr="00C22ABE">
        <w:rPr>
          <w:rFonts w:cstheme="minorHAnsi"/>
          <w:sz w:val="20"/>
          <w:szCs w:val="18"/>
        </w:rPr>
        <w:t xml:space="preserve"> obstructi</w:t>
      </w:r>
      <w:r w:rsidR="00DD29FB" w:rsidRPr="00C22ABE">
        <w:rPr>
          <w:rFonts w:cstheme="minorHAnsi"/>
          <w:sz w:val="20"/>
          <w:szCs w:val="18"/>
        </w:rPr>
        <w:t>fs</w:t>
      </w:r>
      <w:r w:rsidRPr="00C22ABE">
        <w:rPr>
          <w:rFonts w:cstheme="minorHAnsi"/>
          <w:sz w:val="20"/>
          <w:szCs w:val="18"/>
        </w:rPr>
        <w:t>, l’</w:t>
      </w:r>
      <w:r w:rsidR="00960ABB" w:rsidRPr="00C22ABE">
        <w:rPr>
          <w:rFonts w:cstheme="minorHAnsi"/>
          <w:sz w:val="20"/>
          <w:szCs w:val="18"/>
        </w:rPr>
        <w:t>insuffisance cardiaque chronique</w:t>
      </w:r>
      <w:r w:rsidRPr="00C22ABE">
        <w:rPr>
          <w:rFonts w:cstheme="minorHAnsi"/>
          <w:sz w:val="20"/>
          <w:szCs w:val="18"/>
        </w:rPr>
        <w:t xml:space="preserve">, une </w:t>
      </w:r>
      <w:r w:rsidR="00285B01" w:rsidRPr="00C22ABE">
        <w:rPr>
          <w:rFonts w:cstheme="minorHAnsi"/>
          <w:sz w:val="20"/>
          <w:szCs w:val="18"/>
        </w:rPr>
        <w:t>névrite optique</w:t>
      </w:r>
      <w:r w:rsidRPr="00C22ABE">
        <w:rPr>
          <w:rFonts w:cstheme="minorHAnsi"/>
          <w:sz w:val="20"/>
          <w:szCs w:val="18"/>
        </w:rPr>
        <w:t xml:space="preserve"> et un </w:t>
      </w:r>
      <w:r w:rsidR="004C2EB6" w:rsidRPr="00C22ABE">
        <w:rPr>
          <w:rFonts w:cstheme="minorHAnsi"/>
          <w:sz w:val="20"/>
          <w:szCs w:val="18"/>
        </w:rPr>
        <w:t>patient claustrophobe</w:t>
      </w:r>
      <w:r w:rsidRPr="00C22ABE">
        <w:rPr>
          <w:rFonts w:cstheme="minorHAnsi"/>
          <w:sz w:val="20"/>
          <w:szCs w:val="18"/>
        </w:rPr>
        <w:t xml:space="preserve">. </w:t>
      </w:r>
    </w:p>
    <w:p w14:paraId="767BA1D2" w14:textId="536F766A" w:rsidR="00010F21" w:rsidRPr="00C22ABE" w:rsidRDefault="00960ABB" w:rsidP="00960ABB">
      <w:pPr>
        <w:tabs>
          <w:tab w:val="left" w:pos="7110"/>
        </w:tabs>
        <w:rPr>
          <w:rFonts w:cstheme="minorHAnsi"/>
          <w:sz w:val="20"/>
          <w:szCs w:val="18"/>
        </w:rPr>
      </w:pPr>
      <w:r w:rsidRPr="00C22ABE">
        <w:rPr>
          <w:rFonts w:cstheme="minorHAnsi"/>
          <w:sz w:val="20"/>
          <w:szCs w:val="18"/>
        </w:rPr>
        <w:t>Certains évoquent le risque de progression ou de récidive du cancer lors de l’OHB, bien que réfuté par plusieurs articles de synthèse</w:t>
      </w:r>
      <w:r w:rsidR="00AB0BD3" w:rsidRPr="00C22ABE">
        <w:rPr>
          <w:rFonts w:cstheme="minorHAnsi"/>
          <w:sz w:val="20"/>
          <w:szCs w:val="18"/>
        </w:rPr>
        <w:t xml:space="preserve"> </w:t>
      </w:r>
      <w:r w:rsidR="00AB0BD3" w:rsidRPr="00C22ABE">
        <w:rPr>
          <w:rFonts w:cstheme="minorHAnsi"/>
          <w:sz w:val="20"/>
          <w:szCs w:val="18"/>
        </w:rPr>
        <w:fldChar w:fldCharType="begin"/>
      </w:r>
      <w:r w:rsidR="00DD29FB" w:rsidRPr="00C22ABE">
        <w:rPr>
          <w:rFonts w:cstheme="minorHAnsi"/>
          <w:sz w:val="20"/>
          <w:szCs w:val="18"/>
        </w:rPr>
        <w:instrText xml:space="preserve"> ADDIN ZOTERO_ITEM CSL_CITATION {"citationID":"PmcdKi1L","properties":{"formattedCitation":"(46,47)","plainCitation":"(46,47)","noteIndex":0},"citationItems":[{"id":204,"uris":["http://zotero.org/users/local/Om3YyEnU/items/Y4NRCFK6"],"uri":["http://zotero.org/users/local/Om3YyEnU/items/Y4NRCFK6"],"itemData":{"id":204,"type":"article-journal","abstract":"BACKGROUND: Osteoradionecrosis of the jaw (ORN) is an infrequent yet potentially devastating complication of radiation therapy to the head and neck region. Treatment options include antimicrobial therapy, local sequestrectomy, resection, and the use of hyperbaric oxygen (HBO). Published data on ORN are difficult to compare because of the lack of a universally accepted classification and staging system, and the literature on the use of HBO to either prevent or successfully manage ORN is controversial and inconclusive. Therefore, we aimed to establish a standard approach for using HBO at our institution.\nMATERIALS AND METHODS: A literature search was conducted of articles published in the English language between January 1980 and January 2016. Retrieved articles were evaluated by two independent reviewers. Isolated case reports, abstracts, case series, review articles, and cohort studies without a control group were excluded; summary data were extracted from the remaining studies. A panel of experts from Head and Neck Oncology and Oral Medicine from the Dana-Farber Cancer Institute and Brigham and Women's Hospital reviewed the summary data and established multidisciplinary guidelines on the use of HBO for the prevention and management of ORN.\nRESULTS: Seven studies were evaluated and reviewed by the multidisciplinary panel. There was no consistent evidence in support of HBO for either the prevention or management of ORN.\nCONCLUSION: Based on the available evidence and expert opinion, routine use of HBO for the prevention or management of ORN is not recommended and is rarely used at our institution. \n                        The Oncologist\n                     2017;22:343-350 IMPLICATIONS FOR PRACTICE: The Division of Head and Neck Oncology of Dana-Farber/Brigham and Women's Cancer Center does not recommend the routine use of HBO for the prevention or management of ORN. Adjunctive HBO may be considered for use on a case-by-case basis in patients considered to be at exceptionally high risk who have failed conservative therapy and subsequent surgical resection.","container-title":"The Oncologist","DOI":"10.1634/theoncologist.2016-0298","ISSN":"1549-490X","issue":"3","journalAbbreviation":"Oncologist","language":"eng","note":"PMID: 28209748\nPMCID: PMC5344641","page":"343-350","source":"PubMed","title":"The Use of Hyperbaric Oxygen for the Prevention and Management of Osteoradionecrosis of the Jaw: A Dana-Farber/Brigham and Women's Cancer Center Multidisciplinary Guideline","title-short":"The Use of Hyperbaric Oxygen for the Prevention and Management of Osteoradionecrosis of the Jaw","volume":"22","author":[{"family":"Sultan","given":"Ahmed"},{"family":"Hanna","given":"Glenn J."},{"family":"Margalit","given":"Danielle N."},{"family":"Chau","given":"Nicole"},{"family":"Goguen","given":"Laura A."},{"family":"Marty","given":"Francisco M."},{"family":"Rabinowits","given":"Guilherme"},{"family":"Schoenfeld","given":"Jonathan D."},{"family":"Sonis","given":"Stephen T."},{"family":"Thomas","given":"Tom"},{"family":"Tishler","given":"Roy B."},{"family":"Treister","given":"Nathaniel S."},{"family":"Villa","given":"Alessandro"},{"family":"Woo","given":"Sook-Bin"},{"family":"Haddad","given":"Robert"},{"family":"Mawardi","given":"Hani"}],"issued":{"date-parts":[["2017"]]}}},{"id":207,"uris":["http://zotero.org/users/local/Om3YyEnU/items/NBAFSAUD"],"uri":["http://zotero.org/users/local/Om3YyEnU/items/NBAFSAUD"],"itemData":{"id":207,"type":"article-journal","abstract":"BACKGROUND: Cancer is a significant global health problem. Radiotherapy is a treatment for many cancers and about 50% of people having radiotherapy will be long-term survivors. Some will experience late radiation tissue injury (LRTI) developing months or years later. Hyperbaric oxygen therapy (HBOT) has been suggested as a treatment for LRTI based upon the ability to improve the blood supply to these tissues. It is postulated that HBOT may result in both healing of tissues and the prevention of problems following surgery.\nOBJECTIVES: To assess the benefits and harms of HBOT for treating or preventing LRTI.\nSEARCH METHODS: We updated the searches of the Cochrane Central Register of Controlled Trials (CENTRAL; 2015, Issue 11), MEDLINE, EMBASE, DORCTIHM and reference lists of articles in December 2015. We also searched for ongoing trials at clinicaltrials.gov.\nSELECTION CRITERIA: Randomised controlled trials (RCTs) comparing the effect of HBOT versus no HBOT on LRTI prevention or healing.\nDATA COLLECTION AND ANALYSIS: Three review authors independently evaluated the quality of the relevant trials using the guidelines of the Cochrane Handbook for Systematic Reviews of Interventions and extracted the data from the included trials.\nMAIN RESULTS: Fourteen trials contributed to this review (753 participants). There was some moderate quality evidence that HBOT was more likely to achieve mucosal coverage with osteoradionecrosis (ORN) (risk ratio (RR) 1.3; 95% confidence interval (CI) 1.1 to 1.6, P value = 0.003, number needed to treat for an additional beneficial outcome (NNTB) 5; 246 participants, 3 studies). There was also moderate quality evidence of a significantly improved chance of wound breakdown without HBOT following operative treatment for ORN (RR 4.2; 95% CI 1.1 to 16.8, P value = 0.04, NNTB 4; 264 participants, 2 studies). From single studies there was a significantly increased chance of improvement or cure following HBOT for radiation proctitis (RR 1.72; 95% CI 1.0 to 2.9, P value = 0.04, NNTB 5), and following both surgical flaps (RR 8.7; 95% CI 2.7 to 27.5, P value = 0.0002, NNTB 4) and hemimandibulectomy (RR 1.4; 95% CI 1.1 to 1.8, P value = 0.001, NNTB 5). There was also a significantly improved probability of healing irradiated tooth sockets following dental extraction (RR 1.4; 95% CI 1.1 to 1.7, P value = 0.009, NNTB 4).There was no evidence of benefit in clinical outcomes with established radiation injury to neural tissue, and no randomised data reported on the use of HBOT to treat other manifestations of LRTI. These trials did not report adverse events.\nAUTHORS' CONCLUSIONS: These small trials suggest that for people with LRTI affecting tissues of the head, neck, anus and rectum, HBOT is associated with improved outcome. HBOT also appears to reduce the chance of ORN following tooth extraction in an irradiated field. There was no such evidence of any important clinical effect on neurological tissues. The application of HBOT to selected participants and tissues may be justified. Further research is required to establish the optimum participant selection and timing of any therapy. An economic evaluation should be undertaken.","container-title":"The Cochrane Database of Systematic Reviews","DOI":"10.1002/14651858.CD005005.pub4","ISSN":"1469-493X","journalAbbreviation":"Cochrane Database Syst Rev","language":"eng","note":"PMID: 27123955\nPMCID: PMC6457778","page":"CD005005","source":"PubMed","title":"Hyperbaric oxygen therapy for late radiation tissue injury","volume":"4","author":[{"family":"Bennett","given":"Michael H."},{"family":"Feldmeier","given":"John"},{"family":"Hampson","given":"Neil B."},{"family":"Smee","given":"Robert"},{"family":"Milross","given":"Christopher"}],"issued":{"date-parts":[["2016",4,28]]}}}],"schema":"https://github.com/citation-style-language/schema/raw/master/csl-citation.json"} </w:instrText>
      </w:r>
      <w:r w:rsidR="00AB0BD3" w:rsidRPr="00C22ABE">
        <w:rPr>
          <w:rFonts w:cstheme="minorHAnsi"/>
          <w:sz w:val="20"/>
          <w:szCs w:val="18"/>
        </w:rPr>
        <w:fldChar w:fldCharType="separate"/>
      </w:r>
      <w:r w:rsidR="00DD29FB" w:rsidRPr="00C22ABE">
        <w:rPr>
          <w:rFonts w:cstheme="minorHAnsi"/>
          <w:sz w:val="20"/>
        </w:rPr>
        <w:t>(46,47)</w:t>
      </w:r>
      <w:r w:rsidR="00AB0BD3" w:rsidRPr="00C22ABE">
        <w:rPr>
          <w:rFonts w:cstheme="minorHAnsi"/>
          <w:sz w:val="20"/>
          <w:szCs w:val="18"/>
        </w:rPr>
        <w:fldChar w:fldCharType="end"/>
      </w:r>
      <w:r w:rsidRPr="00C22ABE">
        <w:rPr>
          <w:rFonts w:cstheme="minorHAnsi"/>
          <w:sz w:val="20"/>
          <w:szCs w:val="18"/>
        </w:rPr>
        <w:t>. Au contraire, il a été avancé que l'</w:t>
      </w:r>
      <w:r w:rsidR="004F318F" w:rsidRPr="00C22ABE">
        <w:rPr>
          <w:rFonts w:cstheme="minorHAnsi"/>
          <w:sz w:val="20"/>
          <w:szCs w:val="18"/>
        </w:rPr>
        <w:t>OHB</w:t>
      </w:r>
      <w:r w:rsidRPr="00C22ABE">
        <w:rPr>
          <w:rFonts w:cstheme="minorHAnsi"/>
          <w:sz w:val="20"/>
          <w:szCs w:val="18"/>
        </w:rPr>
        <w:t xml:space="preserve"> pourrait en fait avoir des effets inhibiteurs sur les tumeurs dans certains sous-types de cancer, </w:t>
      </w:r>
      <w:r w:rsidR="004F318F" w:rsidRPr="00C22ABE">
        <w:rPr>
          <w:rFonts w:cstheme="minorHAnsi"/>
          <w:sz w:val="20"/>
          <w:szCs w:val="18"/>
        </w:rPr>
        <w:t xml:space="preserve">par </w:t>
      </w:r>
      <w:r w:rsidRPr="00C22ABE">
        <w:rPr>
          <w:rFonts w:cstheme="minorHAnsi"/>
          <w:sz w:val="20"/>
          <w:szCs w:val="18"/>
        </w:rPr>
        <w:t xml:space="preserve">la production de quantités excessives d'espèces réactives de l'oxygène et, </w:t>
      </w:r>
      <w:r w:rsidR="00302833" w:rsidRPr="00C22ABE">
        <w:rPr>
          <w:rFonts w:cstheme="minorHAnsi"/>
          <w:sz w:val="20"/>
          <w:szCs w:val="18"/>
        </w:rPr>
        <w:t>ce</w:t>
      </w:r>
      <w:r w:rsidRPr="00C22ABE">
        <w:rPr>
          <w:rFonts w:cstheme="minorHAnsi"/>
          <w:sz w:val="20"/>
          <w:szCs w:val="18"/>
        </w:rPr>
        <w:t xml:space="preserve"> stress oxydatif excessif peut provoquer l'inhibition des tumeurs</w:t>
      </w:r>
      <w:r w:rsidR="009B2471" w:rsidRPr="00C22ABE">
        <w:rPr>
          <w:rFonts w:cstheme="minorHAnsi"/>
          <w:sz w:val="20"/>
          <w:szCs w:val="18"/>
        </w:rPr>
        <w:t>.</w:t>
      </w:r>
    </w:p>
    <w:p w14:paraId="41F42827" w14:textId="20BB92A9" w:rsidR="005A2B63" w:rsidRDefault="00AB0BD3" w:rsidP="00960ABB">
      <w:pPr>
        <w:tabs>
          <w:tab w:val="left" w:pos="7110"/>
        </w:tabs>
        <w:rPr>
          <w:rFonts w:cstheme="minorHAnsi"/>
          <w:sz w:val="20"/>
          <w:szCs w:val="18"/>
        </w:rPr>
      </w:pPr>
      <w:r w:rsidRPr="00C22ABE">
        <w:rPr>
          <w:rFonts w:cstheme="minorHAnsi"/>
          <w:sz w:val="20"/>
          <w:szCs w:val="18"/>
        </w:rPr>
        <w:t>B</w:t>
      </w:r>
      <w:r w:rsidR="00010F21" w:rsidRPr="00C22ABE">
        <w:rPr>
          <w:rFonts w:cstheme="minorHAnsi"/>
          <w:sz w:val="20"/>
          <w:szCs w:val="18"/>
        </w:rPr>
        <w:t>ien qu’il n’existe aucune preuve que l’OHB puisse causer ou favoriser la croissance tumorale, aucun praticien ne prendra le risque de traiter par OHB un patient présentant une tumeur</w:t>
      </w:r>
      <w:r w:rsidR="0004629A" w:rsidRPr="00C22ABE">
        <w:rPr>
          <w:rFonts w:cstheme="minorHAnsi"/>
          <w:sz w:val="20"/>
          <w:szCs w:val="18"/>
        </w:rPr>
        <w:t xml:space="preserve"> active</w:t>
      </w:r>
      <w:r w:rsidR="00010F21" w:rsidRPr="00C22ABE">
        <w:rPr>
          <w:rFonts w:cstheme="minorHAnsi"/>
          <w:sz w:val="20"/>
          <w:szCs w:val="18"/>
        </w:rPr>
        <w:t xml:space="preserve"> </w:t>
      </w:r>
      <w:r w:rsidRPr="003A68BA">
        <w:rPr>
          <w:rFonts w:cstheme="minorHAnsi"/>
          <w:sz w:val="20"/>
          <w:szCs w:val="18"/>
        </w:rPr>
        <w:fldChar w:fldCharType="begin"/>
      </w:r>
      <w:r w:rsidR="00DD29FB" w:rsidRPr="003A68BA">
        <w:rPr>
          <w:rFonts w:cstheme="minorHAnsi"/>
          <w:sz w:val="20"/>
          <w:szCs w:val="18"/>
        </w:rPr>
        <w:instrText xml:space="preserve"> ADDIN ZOTERO_ITEM CSL_CITATION {"citationID":"MxpMLP0j","properties":{"formattedCitation":"(49)","plainCitation":"(49)","noteIndex":0},"citationItems":[{"id":210,"uris":["http://zotero.org/users/local/Om3YyEnU/items/HDJTIJLP"],"uri":["http://zotero.org/users/local/Om3YyEnU/items/HDJTIJLP"],"itemData":{"id":210,"type":"article-journal","container-title":"International Journal of Oral and Maxillofacial Surgery","DOI":"10.1016/j.ijom.2020.06.014","ISSN":"09015027","journalAbbreviation":"International Journal of Oral and Maxillofacial Surgery","language":"en","page":"S0901502720302381","source":"DOI.org (Crossref)","title":"Does hyperbaric oxygen therapy play a role in the management of osteoradionecrosis? A survey of Dutch oral and maxillofacial surgeons","title-short":"Does hyperbaric oxygen therapy play a role in the management of osteoradionecrosis?","author":[{"family":"Dieleman","given":"F.J."},{"family":"Meijer","given":"G.J."},{"family":"Merkx","given":"M.A.W."}],"issued":{"date-parts":[["2020",7]]}}}],"schema":"https://github.com/citation-style-language/schema/raw/master/csl-citation.json"} </w:instrText>
      </w:r>
      <w:r w:rsidRPr="003A68BA">
        <w:rPr>
          <w:rFonts w:cstheme="minorHAnsi"/>
          <w:sz w:val="20"/>
          <w:szCs w:val="18"/>
        </w:rPr>
        <w:fldChar w:fldCharType="separate"/>
      </w:r>
      <w:r w:rsidR="00DD29FB" w:rsidRPr="003A68BA">
        <w:rPr>
          <w:rFonts w:cstheme="minorHAnsi"/>
          <w:sz w:val="20"/>
        </w:rPr>
        <w:t>(49)</w:t>
      </w:r>
      <w:r w:rsidRPr="003A68BA">
        <w:rPr>
          <w:rFonts w:cstheme="minorHAnsi"/>
          <w:sz w:val="20"/>
          <w:szCs w:val="18"/>
        </w:rPr>
        <w:fldChar w:fldCharType="end"/>
      </w:r>
      <w:r w:rsidR="00A84E35" w:rsidRPr="003A68BA">
        <w:rPr>
          <w:rFonts w:cstheme="minorHAnsi"/>
          <w:sz w:val="20"/>
          <w:szCs w:val="18"/>
        </w:rPr>
        <w:t>.</w:t>
      </w:r>
      <w:r w:rsidR="005A2B63" w:rsidRPr="003A68BA">
        <w:rPr>
          <w:rFonts w:cstheme="minorHAnsi"/>
          <w:sz w:val="20"/>
          <w:szCs w:val="18"/>
        </w:rPr>
        <w:t xml:space="preserve"> Il est indispensable de réaliser une nouvelle biopsie avant de débuter un traitement par OHB.</w:t>
      </w:r>
    </w:p>
    <w:p w14:paraId="44508EA1" w14:textId="7B36C47D" w:rsidR="00A84E35" w:rsidRPr="00C22ABE" w:rsidRDefault="00304A5F" w:rsidP="001042BE">
      <w:pPr>
        <w:tabs>
          <w:tab w:val="left" w:pos="7110"/>
        </w:tabs>
        <w:rPr>
          <w:rFonts w:cstheme="minorHAnsi"/>
          <w:sz w:val="20"/>
          <w:szCs w:val="18"/>
        </w:rPr>
      </w:pPr>
      <w:r w:rsidRPr="00C22ABE">
        <w:rPr>
          <w:rFonts w:cstheme="minorHAnsi"/>
          <w:sz w:val="20"/>
          <w:szCs w:val="18"/>
        </w:rPr>
        <w:t xml:space="preserve">Pour certaines équipes, l’OHB fait partie de l’arsenal thérapeutique de l’ORN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Yrk6yngo","properties":{"formattedCitation":"(49)","plainCitation":"(49)","noteIndex":0},"citationItems":[{"id":210,"uris":["http://zotero.org/users/local/Om3YyEnU/items/HDJTIJLP"],"uri":["http://zotero.org/users/local/Om3YyEnU/items/HDJTIJLP"],"itemData":{"id":210,"type":"article-journal","container-title":"International Journal of Oral and Maxillofacial Surgery","DOI":"10.1016/j.ijom.2020.06.014","ISSN":"09015027","journalAbbreviation":"International Journal of Oral and Maxillofacial Surgery","language":"en","page":"S0901502720302381","source":"DOI.org (Crossref)","title":"Does hyperbaric oxygen therapy play a role in the management of osteoradionecrosis? A survey of Dutch oral and maxillofacial surgeons","title-short":"Does hyperbaric oxygen therapy play a role in the management of osteoradionecrosis?","author":[{"family":"Dieleman","given":"F.J."},{"family":"Meijer","given":"G.J."},{"family":"Merkx","given":"M.A.W."}],"issued":{"date-parts":[["2020",7]]}}}],"schema":"https://github.com/citation-style-language/schema/raw/master/csl-citation.json"}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(49)</w:t>
      </w:r>
      <w:r w:rsidRPr="00C22ABE">
        <w:rPr>
          <w:rFonts w:cstheme="minorHAnsi"/>
          <w:sz w:val="20"/>
          <w:szCs w:val="18"/>
        </w:rPr>
        <w:fldChar w:fldCharType="end"/>
      </w:r>
      <w:r w:rsidRPr="00C22ABE">
        <w:rPr>
          <w:rFonts w:cstheme="minorHAnsi"/>
          <w:sz w:val="20"/>
          <w:szCs w:val="18"/>
        </w:rPr>
        <w:t>.</w:t>
      </w:r>
      <w:r w:rsidR="001042BE" w:rsidRPr="00C22ABE">
        <w:rPr>
          <w:rFonts w:cstheme="minorHAnsi"/>
          <w:sz w:val="20"/>
          <w:szCs w:val="18"/>
        </w:rPr>
        <w:t xml:space="preserve"> </w:t>
      </w:r>
      <w:r w:rsidR="00B11DAF" w:rsidRPr="00C22ABE">
        <w:rPr>
          <w:rFonts w:cstheme="minorHAnsi"/>
          <w:sz w:val="20"/>
          <w:szCs w:val="18"/>
        </w:rPr>
        <w:t>Dans la revue systém</w:t>
      </w:r>
      <w:r w:rsidR="00AB0BD3" w:rsidRPr="00C22ABE">
        <w:rPr>
          <w:rFonts w:cstheme="minorHAnsi"/>
          <w:sz w:val="20"/>
          <w:szCs w:val="18"/>
        </w:rPr>
        <w:t>at</w:t>
      </w:r>
      <w:r w:rsidR="00B11DAF" w:rsidRPr="00C22ABE">
        <w:rPr>
          <w:rFonts w:cstheme="minorHAnsi"/>
          <w:sz w:val="20"/>
          <w:szCs w:val="18"/>
        </w:rPr>
        <w:t>ique</w:t>
      </w:r>
      <w:r w:rsidR="00AB0BD3" w:rsidRPr="00C22ABE">
        <w:rPr>
          <w:rFonts w:cstheme="minorHAnsi"/>
          <w:sz w:val="20"/>
          <w:szCs w:val="18"/>
        </w:rPr>
        <w:t xml:space="preserve"> </w:t>
      </w:r>
      <w:r w:rsidR="00B11DAF" w:rsidRPr="00C22ABE">
        <w:rPr>
          <w:rFonts w:cstheme="minorHAnsi"/>
          <w:sz w:val="20"/>
          <w:szCs w:val="18"/>
        </w:rPr>
        <w:t xml:space="preserve">de Bennet et al </w:t>
      </w:r>
      <w:r w:rsidR="00AB0BD3" w:rsidRPr="00C22ABE">
        <w:rPr>
          <w:rFonts w:cstheme="minorHAnsi"/>
          <w:sz w:val="20"/>
          <w:szCs w:val="18"/>
        </w:rPr>
        <w:fldChar w:fldCharType="begin"/>
      </w:r>
      <w:r w:rsidR="00DD29FB" w:rsidRPr="00C22ABE">
        <w:rPr>
          <w:rFonts w:cstheme="minorHAnsi"/>
          <w:sz w:val="20"/>
          <w:szCs w:val="18"/>
        </w:rPr>
        <w:instrText xml:space="preserve"> ADDIN ZOTERO_ITEM CSL_CITATION {"citationID":"Vz5LHj1U","properties":{"formattedCitation":"(47)","plainCitation":"(47)","noteIndex":0},"citationItems":[{"id":207,"uris":["http://zotero.org/users/local/Om3YyEnU/items/NBAFSAUD"],"uri":["http://zotero.org/users/local/Om3YyEnU/items/NBAFSAUD"],"itemData":{"id":207,"type":"article-journal","abstract":"BACKGROUND: Cancer is a significant global health problem. Radiotherapy is a treatment for many cancers and about 50% of people having radiotherapy will be long-term survivors. Some will experience late radiation tissue injury (LRTI) developing months or years later. Hyperbaric oxygen therapy (HBOT) has been suggested as a treatment for LRTI based upon the ability to improve the blood supply to these tissues. It is postulated that HBOT may result in both healing of tissues and the prevention of problems following surgery.\nOBJECTIVES: To assess the benefits and harms of HBOT for treating or preventing LRTI.\nSEARCH METHODS: We updated the searches of the Cochrane Central Register of Controlled Trials (CENTRAL; 2015, Issue 11), MEDLINE, EMBASE, DORCTIHM and reference lists of articles in December 2015. We also searched for ongoing trials at clinicaltrials.gov.\nSELECTION CRITERIA: Randomised controlled trials (RCTs) comparing the effect of HBOT versus no HBOT on LRTI prevention or healing.\nDATA COLLECTION AND ANALYSIS: Three review authors independently evaluated the quality of the relevant trials using the guidelines of the Cochrane Handbook for Systematic Reviews of Interventions and extracted the data from the included trials.\nMAIN RESULTS: Fourteen trials contributed to this review (753 participants). There was some moderate quality evidence that HBOT was more likely to achieve mucosal coverage with osteoradionecrosis (ORN) (risk ratio (RR) 1.3; 95% confidence interval (CI) 1.1 to 1.6, P value = 0.003, number needed to treat for an additional beneficial outcome (NNTB) 5; 246 participants, 3 studies). There was also moderate quality evidence of a significantly improved chance of wound breakdown without HBOT following operative treatment for ORN (RR 4.2; 95% CI 1.1 to 16.8, P value = 0.04, NNTB 4; 264 participants, 2 studies). From single studies there was a significantly increased chance of improvement or cure following HBOT for radiation proctitis (RR 1.72; 95% CI 1.0 to 2.9, P value = 0.04, NNTB 5), and following both surgical flaps (RR 8.7; 95% CI 2.7 to 27.5, P value = 0.0002, NNTB 4) and hemimandibulectomy (RR 1.4; 95% CI 1.1 to 1.8, P value = 0.001, NNTB 5). There was also a significantly improved probability of healing irradiated tooth sockets following dental extraction (RR 1.4; 95% CI 1.1 to 1.7, P value = 0.009, NNTB 4).There was no evidence of benefit in clinical outcomes with established radiation injury to neural tissue, and no randomised data reported on the use of HBOT to treat other manifestations of LRTI. These trials did not report adverse events.\nAUTHORS' CONCLUSIONS: These small trials suggest that for people with LRTI affecting tissues of the head, neck, anus and rectum, HBOT is associated with improved outcome. HBOT also appears to reduce the chance of ORN following tooth extraction in an irradiated field. There was no such evidence of any important clinical effect on neurological tissues. The application of HBOT to selected participants and tissues may be justified. Further research is required to establish the optimum participant selection and timing of any therapy. An economic evaluation should be undertaken.","container-title":"The Cochrane Database of Systematic Reviews","DOI":"10.1002/14651858.CD005005.pub4","ISSN":"1469-493X","journalAbbreviation":"Cochrane Database Syst Rev","language":"eng","note":"PMID: 27123955\nPMCID: PMC6457778","page":"CD005005","source":"PubMed","title":"Hyperbaric oxygen therapy for late radiation tissue injury","volume":"4","author":[{"family":"Bennett","given":"Michael H."},{"family":"Feldmeier","given":"John"},{"family":"Hampson","given":"Neil B."},{"family":"Smee","given":"Robert"},{"family":"Milross","given":"Christopher"}],"issued":{"date-parts":[["2016",4,28]]}}}],"schema":"https://github.com/citation-style-language/schema/raw/master/csl-citation.json"} </w:instrText>
      </w:r>
      <w:r w:rsidR="00AB0BD3" w:rsidRPr="00C22ABE">
        <w:rPr>
          <w:rFonts w:cstheme="minorHAnsi"/>
          <w:sz w:val="20"/>
          <w:szCs w:val="18"/>
        </w:rPr>
        <w:fldChar w:fldCharType="separate"/>
      </w:r>
      <w:r w:rsidR="00DD29FB" w:rsidRPr="00C22ABE">
        <w:rPr>
          <w:rFonts w:cstheme="minorHAnsi"/>
          <w:sz w:val="20"/>
        </w:rPr>
        <w:t>(47)</w:t>
      </w:r>
      <w:r w:rsidR="00AB0BD3" w:rsidRPr="00C22ABE">
        <w:rPr>
          <w:rFonts w:cstheme="minorHAnsi"/>
          <w:sz w:val="20"/>
          <w:szCs w:val="18"/>
        </w:rPr>
        <w:fldChar w:fldCharType="end"/>
      </w:r>
      <w:r w:rsidR="00B11DAF" w:rsidRPr="00C22ABE">
        <w:rPr>
          <w:rFonts w:cstheme="minorHAnsi"/>
          <w:sz w:val="20"/>
          <w:szCs w:val="18"/>
        </w:rPr>
        <w:t>, la qualité de preuve de l’efficacité de l’OHB est modérée dans le traitement de l’ORN</w:t>
      </w:r>
      <w:r w:rsidR="00C22ABE" w:rsidRPr="00C22ABE">
        <w:rPr>
          <w:rFonts w:cstheme="minorHAnsi"/>
          <w:sz w:val="20"/>
          <w:szCs w:val="18"/>
        </w:rPr>
        <w:t>, mais l</w:t>
      </w:r>
      <w:r w:rsidR="00E70800" w:rsidRPr="00C22ABE">
        <w:rPr>
          <w:rFonts w:cstheme="minorHAnsi"/>
          <w:sz w:val="20"/>
          <w:szCs w:val="18"/>
        </w:rPr>
        <w:t>es auteurs</w:t>
      </w:r>
      <w:r w:rsidR="00B11DAF" w:rsidRPr="00C22ABE">
        <w:rPr>
          <w:rFonts w:cstheme="minorHAnsi"/>
          <w:sz w:val="20"/>
          <w:szCs w:val="18"/>
        </w:rPr>
        <w:t xml:space="preserve"> notent une amélioration significative de la probabilité de guérison des alvéoles dentaires en terrain irradié après une extraction dentair</w:t>
      </w:r>
      <w:r w:rsidRPr="00C22ABE">
        <w:rPr>
          <w:rFonts w:cstheme="minorHAnsi"/>
          <w:sz w:val="20"/>
          <w:szCs w:val="18"/>
        </w:rPr>
        <w:t>e.</w:t>
      </w:r>
    </w:p>
    <w:p w14:paraId="2DD1E8D5" w14:textId="7CF8C860" w:rsidR="004D5030" w:rsidRPr="00C22ABE" w:rsidRDefault="00D90916" w:rsidP="00B11DAF">
      <w:pPr>
        <w:tabs>
          <w:tab w:val="left" w:pos="7110"/>
        </w:tabs>
        <w:rPr>
          <w:rFonts w:cstheme="minorHAnsi"/>
          <w:sz w:val="20"/>
          <w:szCs w:val="18"/>
          <w:lang w:val="en-US"/>
        </w:rPr>
      </w:pPr>
      <w:r w:rsidRPr="00C22ABE">
        <w:rPr>
          <w:rFonts w:cstheme="minorHAnsi"/>
          <w:sz w:val="20"/>
          <w:szCs w:val="18"/>
        </w:rPr>
        <w:lastRenderedPageBreak/>
        <w:t xml:space="preserve">L’étude </w:t>
      </w:r>
      <w:r w:rsidR="009B2471" w:rsidRPr="00C22ABE">
        <w:rPr>
          <w:rFonts w:cstheme="minorHAnsi"/>
          <w:sz w:val="20"/>
          <w:szCs w:val="18"/>
        </w:rPr>
        <w:t xml:space="preserve">multicentrique randomisée en double aveugle contrôlée par placebo </w:t>
      </w:r>
      <w:r w:rsidRPr="00C22ABE">
        <w:rPr>
          <w:rFonts w:cstheme="minorHAnsi"/>
          <w:sz w:val="20"/>
          <w:szCs w:val="18"/>
        </w:rPr>
        <w:t>d’</w:t>
      </w:r>
      <w:proofErr w:type="spellStart"/>
      <w:r w:rsidRPr="00C22ABE">
        <w:rPr>
          <w:rFonts w:cstheme="minorHAnsi"/>
          <w:sz w:val="20"/>
          <w:szCs w:val="18"/>
        </w:rPr>
        <w:t>Annane</w:t>
      </w:r>
      <w:proofErr w:type="spellEnd"/>
      <w:r w:rsidR="006062A0" w:rsidRPr="00C22ABE">
        <w:rPr>
          <w:rFonts w:cstheme="minorHAnsi"/>
          <w:sz w:val="20"/>
          <w:szCs w:val="18"/>
        </w:rPr>
        <w:t xml:space="preserve"> </w:t>
      </w:r>
      <w:r w:rsidR="006062A0" w:rsidRPr="00C22ABE">
        <w:rPr>
          <w:rFonts w:cstheme="minorHAnsi"/>
          <w:sz w:val="20"/>
          <w:szCs w:val="18"/>
        </w:rPr>
        <w:fldChar w:fldCharType="begin"/>
      </w:r>
      <w:r w:rsidR="00DD29FB" w:rsidRPr="00C22ABE">
        <w:rPr>
          <w:rFonts w:cstheme="minorHAnsi"/>
          <w:sz w:val="20"/>
          <w:szCs w:val="18"/>
        </w:rPr>
        <w:instrText xml:space="preserve"> ADDIN ZOTERO_ITEM CSL_CITATION {"citationID":"4zyIaorV","properties":{"formattedCitation":"(50)","plainCitation":"(50)","noteIndex":0},"citationItems":[{"id":214,"uris":["http://zotero.org/users/local/Om3YyEnU/items/T5IIHNFP"],"uri":["http://zotero.org/users/local/Om3YyEnU/items/T5IIHNFP"],"itemData":{"id":214,"type":"article-journal","abstract":"PURPOSE: To determine the efficacy and safety of hyperbaric oxygen therapy (HBO) for overt mandibular osteoradionecrosis.\nPATIENTS AND METHODS: This prospective, multicenter, randomized, double-blind, placebo-controlled trial was conducted at 12 university hospitals. Ambulatory adults with overt osteoradionecrosis of the mandible were assigned to receive 30 HBO exposures preoperatively at 2.4 absolute atmosphere for 90 minutes or a placebo, and 10 additional HBO dives postoperatively or a placebo. The main outcome measure was 1-year recovery rate from osteoradionecrosis. Secondary end points included time to treatment failure, time to pain relief, 1-year mortality rate, and treatment safety.\nRESULTS: At the time of the second interim analysis, based on the triangular test, the study was stopped for potentially worse outcomes in the HBO arm. A total of 68 patients were enrolled and analyzed. At 1 year, six (19%) of 31 patients had recovered in the HBO arm and 12 (32%) of 37 in the placebo arm (relative risk = 0.60; 95% CI, 0.25 to 1.41; P = .23). Time to treatment failure (hazard ratio = 1.33; 95% CI, 0.68 to 2.60; P = .41) and time to pain relief (hazard ratio = 1.00; 95% CI, 0.52 to 1.89; P = .99) were similar between the two treatment arms.\nCONCLUSION: Patients with overt mandibular osteoradionecrosis did not benefit from hyperbaric oxygenation.","container-title":"Journal of Clinical Oncology: Official Journal of the American Society of Clinical Oncology","DOI":"10.1200/JCO.2004.09.006","ISSN":"0732-183X","issue":"24","journalAbbreviation":"J Clin Oncol","language":"eng","note":"PMID: 15520052","page":"4893-4900","source":"PubMed","title":"Hyperbaric oxygen therapy for radionecrosis of the jaw: a randomized, placebo-controlled, double-blind trial from the ORN96 study group","title-short":"Hyperbaric oxygen therapy for radionecrosis of the jaw","volume":"22","author":[{"family":"Annane","given":"Djillali"},{"family":"Depondt","given":"Joël"},{"family":"Aubert","given":"Philippe"},{"family":"Villart","given":"Maryvonne"},{"family":"Géhanno","given":"Pierre"},{"family":"Gajdos","given":"Philippe"},{"family":"Chevret","given":"Sylvie"}],"issued":{"date-parts":[["2004",12,15]]}}}],"schema":"https://github.com/citation-style-language/schema/raw/master/csl-citation.json"} </w:instrText>
      </w:r>
      <w:r w:rsidR="006062A0" w:rsidRPr="00C22ABE">
        <w:rPr>
          <w:rFonts w:cstheme="minorHAnsi"/>
          <w:sz w:val="20"/>
          <w:szCs w:val="18"/>
        </w:rPr>
        <w:fldChar w:fldCharType="separate"/>
      </w:r>
      <w:r w:rsidR="00DD29FB" w:rsidRPr="00C22ABE">
        <w:rPr>
          <w:rFonts w:cstheme="minorHAnsi"/>
          <w:sz w:val="20"/>
        </w:rPr>
        <w:t>(50)</w:t>
      </w:r>
      <w:r w:rsidR="006062A0" w:rsidRPr="00C22ABE">
        <w:rPr>
          <w:rFonts w:cstheme="minorHAnsi"/>
          <w:sz w:val="20"/>
          <w:szCs w:val="18"/>
        </w:rPr>
        <w:fldChar w:fldCharType="end"/>
      </w:r>
      <w:r w:rsidRPr="00C22ABE">
        <w:rPr>
          <w:rFonts w:cstheme="minorHAnsi"/>
          <w:sz w:val="20"/>
          <w:szCs w:val="18"/>
        </w:rPr>
        <w:t xml:space="preserve"> en 2004 montre l’absence d’intérêt de l’OHB dans le traitement de l’ORN, mais cette étude est critiquée</w:t>
      </w:r>
      <w:r w:rsidR="00733EFB" w:rsidRPr="00C22ABE">
        <w:rPr>
          <w:rFonts w:cstheme="minorHAnsi"/>
          <w:sz w:val="20"/>
          <w:szCs w:val="18"/>
        </w:rPr>
        <w:t xml:space="preserve"> pour son manque de précision et ses extrapolations abusives </w:t>
      </w:r>
      <w:r w:rsidR="00E70800" w:rsidRPr="00C22ABE">
        <w:rPr>
          <w:rFonts w:cstheme="minorHAnsi"/>
          <w:sz w:val="20"/>
          <w:szCs w:val="18"/>
        </w:rPr>
        <w:fldChar w:fldCharType="begin"/>
      </w:r>
      <w:r w:rsidR="00281722" w:rsidRPr="00C22ABE">
        <w:rPr>
          <w:rFonts w:cstheme="minorHAnsi"/>
          <w:sz w:val="20"/>
          <w:szCs w:val="18"/>
        </w:rPr>
        <w:instrText xml:space="preserve"> ADDIN ZOTERO_ITEM CSL_CITATION {"citationID":"ShR8</w:instrText>
      </w:r>
      <w:r w:rsidR="00281722" w:rsidRPr="00D36EC3">
        <w:rPr>
          <w:rFonts w:cstheme="minorHAnsi"/>
          <w:sz w:val="20"/>
          <w:szCs w:val="18"/>
          <w:lang w:val="en-US"/>
        </w:rPr>
        <w:instrText>TuwW","properties":{"formattedC</w:instrText>
      </w:r>
      <w:r w:rsidR="00281722" w:rsidRPr="00C22ABE">
        <w:rPr>
          <w:rFonts w:cstheme="minorHAnsi"/>
          <w:sz w:val="20"/>
          <w:szCs w:val="18"/>
          <w:lang w:val="en-US"/>
        </w:rPr>
        <w:instrText xml:space="preserve">itation":"(6)","plainCitation":"(6)","noteIndex":0},"citationItems":[{"id":164,"uris":["http://zotero.org/users/local/Om3YyEnU/items/ZGSTAJ9U"],"uri":["http://zotero.org/users/local/Om3YyEnU/items/ZGSTAJ9U"],"itemData":{"id":164,"type":"article-journal","container-title":"Head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W."}],"issued":{"date-parts":[["2016",11]]}}}],"schema":"https://github.com/citation-style-language/schema/raw/master/csl-citation.json"} </w:instrText>
      </w:r>
      <w:r w:rsidR="00E70800" w:rsidRPr="00C22ABE">
        <w:rPr>
          <w:rFonts w:cstheme="minorHAnsi"/>
          <w:sz w:val="20"/>
          <w:szCs w:val="18"/>
        </w:rPr>
        <w:fldChar w:fldCharType="separate"/>
      </w:r>
      <w:r w:rsidR="00281722" w:rsidRPr="00C22ABE">
        <w:rPr>
          <w:rFonts w:cstheme="minorHAnsi"/>
          <w:sz w:val="20"/>
          <w:lang w:val="en-US"/>
        </w:rPr>
        <w:t>(6)</w:t>
      </w:r>
      <w:r w:rsidR="00E70800" w:rsidRPr="00C22ABE">
        <w:rPr>
          <w:rFonts w:cstheme="minorHAnsi"/>
          <w:sz w:val="20"/>
          <w:szCs w:val="18"/>
        </w:rPr>
        <w:fldChar w:fldCharType="end"/>
      </w:r>
      <w:r w:rsidR="00DC7AAC" w:rsidRPr="00C22ABE">
        <w:rPr>
          <w:rFonts w:cstheme="minorHAnsi"/>
          <w:sz w:val="20"/>
          <w:szCs w:val="18"/>
          <w:lang w:val="en-US"/>
        </w:rPr>
        <w:t xml:space="preserve">. </w:t>
      </w:r>
    </w:p>
    <w:p w14:paraId="5FF3FA34" w14:textId="395046F4" w:rsidR="0000160E" w:rsidRPr="00C22ABE" w:rsidRDefault="0000160E" w:rsidP="0000160E">
      <w:pPr>
        <w:tabs>
          <w:tab w:val="left" w:pos="7110"/>
        </w:tabs>
        <w:spacing w:after="0"/>
        <w:rPr>
          <w:rFonts w:cstheme="minorHAnsi"/>
          <w:bCs/>
          <w:color w:val="000000"/>
          <w:sz w:val="20"/>
          <w:szCs w:val="20"/>
          <w:lang w:val="en-GB"/>
        </w:rPr>
      </w:pPr>
      <w:r w:rsidRPr="00C22ABE">
        <w:rPr>
          <w:rFonts w:cstheme="minorHAnsi"/>
          <w:bCs/>
          <w:color w:val="000000"/>
          <w:sz w:val="20"/>
          <w:szCs w:val="20"/>
          <w:lang w:val="en-GB"/>
        </w:rPr>
        <w:t>Le  « 10th European Consensus Conference on Hyperbaric Medicine </w:t>
      </w:r>
      <w:r w:rsidRPr="00C22ABE">
        <w:rPr>
          <w:rFonts w:cstheme="minorHAnsi"/>
          <w:b/>
          <w:bCs/>
          <w:sz w:val="20"/>
          <w:szCs w:val="20"/>
          <w:lang w:val="en-GB"/>
        </w:rPr>
        <w:t xml:space="preserve"> </w:t>
      </w:r>
      <w:r w:rsidR="00822240" w:rsidRPr="00C22ABE">
        <w:rPr>
          <w:rFonts w:cstheme="minorHAnsi"/>
          <w:b/>
          <w:bCs/>
          <w:sz w:val="20"/>
          <w:szCs w:val="20"/>
          <w:lang w:val="en-US"/>
        </w:rPr>
        <w:fldChar w:fldCharType="begin"/>
      </w:r>
      <w:r w:rsidR="00DD29FB" w:rsidRPr="00C22ABE">
        <w:rPr>
          <w:rFonts w:cstheme="minorHAnsi"/>
          <w:b/>
          <w:bCs/>
          <w:sz w:val="20"/>
          <w:szCs w:val="20"/>
          <w:lang w:val="en-GB"/>
        </w:rPr>
        <w:instrText xml:space="preserve"> ADDIN ZOTERO_ITEM CSL_CITATION {"citationID":"oHiZ3vXA","properties":{"formattedCitation":"(51)","plainCitation":"(51)","noteIndex":0},"citationItems":[{"id":272,"uris":["http://zotero.org/users/local/Om3YyEnU/items/756T7AKU"],"uri":["http://zotero.org/users/local/Om3YyEnU/items/756T7AKU"],"itemData":{"id":272,"type":"article-journal","abstract":"The tenth European Consensus Conference on Hyperbaric Medicine took place in April 2016, attended by a large delegation of experts from Europe and elsewhere. The focus of the meeting was the revision of the European Committee on Hyperbaric Medicine (ECHM) list of accepted indications for hyperbaric oxygen treatment (HBOT), based on a thorough review of the best available research and evidence-based medicine (EBM). For this scope, the modified GRADE system for evidence analysis, together with the DELPHI system for consensus evaluation, were adopted. The indications for HBOT, including those promulgated by the ECHM previously, were analysed by selected experts, based on an extensive review of the literature and of the available EBM studies. The indications were divided as follows: Type 1, where HBOT is strongly indicated as a primary treatment method, as it is supported by sufficiently strong evidence; Type 2, where HBOT is suggested as it is supported by acceptable levels of evidence; Type 3, where HBOT can be considered as a possible/optional measure, but it is not yet supported by sufficiently strong evidence. For each type, three levels of evidence were considered: A, when the number of randomised controlled trials (RCTs) is considered sufficient; B, when there are some RCTs in favour of the indication and there is ample expert consensus; C, when the conditions do not allow for proper RCTs but there is ample and international expert consensus. For the first time, the conference also issued 'negative' recommendations for those conditions where there is Type 1 evidence that HBOT is not indicated. The conference also gave consensus-agreed recommendations for the standard of practice of HBOT.","container-title":"Diving and Hyperbaric Medicine","DOI":"10.28920/dhm47.1.24-32","ISSN":"1833-3516","issue":"1","journalAbbreviation":"Diving Hyperb Med","language":"eng","note":"PMID: 28357821\nPMCID: PMC6147240","page":"24-32","source":"PubMed","title":"Tenth European Consensus Conference on Hyperbaric Medicine: recommendations for accepted and non-accepted clinical indications and practice of hyperbaric oxygen treatment","title-short":"Tenth European Consensus Conference on Hyperbaric Medicine","volume":"47","author":[{"family":"Mathieu","given":"Daniel"},{"family":"Marroni","given":"Alessandro"},{"family":"Kot","given":"Jacek"}],"issued":{"date-parts":[["2017"]]}}}],"schema":"https://github.com/citation-style-language/schema/raw/master/csl-citation.json"} </w:instrText>
      </w:r>
      <w:r w:rsidR="00822240" w:rsidRPr="00C22ABE">
        <w:rPr>
          <w:rFonts w:cstheme="minorHAnsi"/>
          <w:b/>
          <w:bCs/>
          <w:sz w:val="20"/>
          <w:szCs w:val="20"/>
          <w:lang w:val="en-US"/>
        </w:rPr>
        <w:fldChar w:fldCharType="separate"/>
      </w:r>
      <w:r w:rsidR="00DD29FB" w:rsidRPr="00C22ABE">
        <w:rPr>
          <w:rFonts w:cstheme="minorHAnsi"/>
          <w:sz w:val="20"/>
          <w:lang w:val="en-GB"/>
        </w:rPr>
        <w:t>(51)</w:t>
      </w:r>
      <w:r w:rsidR="00822240" w:rsidRPr="00C22ABE">
        <w:rPr>
          <w:rFonts w:cstheme="minorHAnsi"/>
          <w:b/>
          <w:bCs/>
          <w:sz w:val="20"/>
          <w:szCs w:val="20"/>
          <w:lang w:val="en-US"/>
        </w:rPr>
        <w:fldChar w:fldCharType="end"/>
      </w:r>
      <w:r w:rsidR="00733EFB" w:rsidRPr="00C22ABE">
        <w:rPr>
          <w:rFonts w:cstheme="minorHAnsi"/>
          <w:sz w:val="20"/>
          <w:szCs w:val="20"/>
          <w:lang w:val="en-GB"/>
        </w:rPr>
        <w:t xml:space="preserve"> </w:t>
      </w:r>
      <w:proofErr w:type="spellStart"/>
      <w:r w:rsidR="00733EFB" w:rsidRPr="00C22ABE">
        <w:rPr>
          <w:rFonts w:cstheme="minorHAnsi"/>
          <w:sz w:val="20"/>
          <w:szCs w:val="20"/>
          <w:lang w:val="en-GB"/>
        </w:rPr>
        <w:t>considère</w:t>
      </w:r>
      <w:proofErr w:type="spellEnd"/>
      <w:r w:rsidR="00733EFB" w:rsidRPr="00C22ABE">
        <w:rPr>
          <w:rFonts w:cstheme="minorHAnsi"/>
          <w:sz w:val="20"/>
          <w:szCs w:val="20"/>
          <w:lang w:val="en-GB"/>
        </w:rPr>
        <w:t xml:space="preserve"> que </w:t>
      </w:r>
      <w:proofErr w:type="spellStart"/>
      <w:r w:rsidR="00733EFB" w:rsidRPr="00C22ABE">
        <w:rPr>
          <w:rFonts w:cstheme="minorHAnsi"/>
          <w:sz w:val="20"/>
          <w:szCs w:val="20"/>
          <w:lang w:val="en-GB"/>
        </w:rPr>
        <w:t>l’OHB</w:t>
      </w:r>
      <w:proofErr w:type="spellEnd"/>
      <w:r w:rsidR="00E70800" w:rsidRPr="00C22ABE">
        <w:rPr>
          <w:rFonts w:cstheme="minorHAnsi"/>
          <w:sz w:val="20"/>
          <w:szCs w:val="20"/>
          <w:lang w:val="en-GB"/>
        </w:rPr>
        <w:t xml:space="preserve"> </w:t>
      </w:r>
      <w:proofErr w:type="spellStart"/>
      <w:r w:rsidR="00733EFB" w:rsidRPr="00C22ABE">
        <w:rPr>
          <w:rFonts w:cstheme="minorHAnsi"/>
          <w:sz w:val="20"/>
          <w:szCs w:val="20"/>
          <w:lang w:val="en-GB"/>
        </w:rPr>
        <w:t>est</w:t>
      </w:r>
      <w:proofErr w:type="spellEnd"/>
      <w:r w:rsidR="00733EFB" w:rsidRPr="00C22ABE">
        <w:rPr>
          <w:rFonts w:cstheme="minorHAnsi"/>
          <w:sz w:val="20"/>
          <w:szCs w:val="20"/>
          <w:lang w:val="en-GB"/>
        </w:rPr>
        <w:t xml:space="preserve"> un </w:t>
      </w:r>
      <w:proofErr w:type="spellStart"/>
      <w:r w:rsidR="00733EFB" w:rsidRPr="00C22ABE">
        <w:rPr>
          <w:rFonts w:cstheme="minorHAnsi"/>
          <w:sz w:val="20"/>
          <w:szCs w:val="20"/>
          <w:lang w:val="en-GB"/>
        </w:rPr>
        <w:t>traitement</w:t>
      </w:r>
      <w:proofErr w:type="spellEnd"/>
      <w:r w:rsidR="00733EFB" w:rsidRPr="00C22ABE">
        <w:rPr>
          <w:rFonts w:cstheme="minorHAnsi"/>
          <w:sz w:val="20"/>
          <w:szCs w:val="20"/>
          <w:lang w:val="en-GB"/>
        </w:rPr>
        <w:t xml:space="preserve"> </w:t>
      </w:r>
      <w:proofErr w:type="spellStart"/>
      <w:r w:rsidR="00733EFB" w:rsidRPr="00C22ABE">
        <w:rPr>
          <w:rFonts w:cstheme="minorHAnsi"/>
          <w:sz w:val="20"/>
          <w:szCs w:val="20"/>
          <w:lang w:val="en-GB"/>
        </w:rPr>
        <w:t>potenti</w:t>
      </w:r>
      <w:r w:rsidRPr="00C22ABE">
        <w:rPr>
          <w:rFonts w:cstheme="minorHAnsi"/>
          <w:sz w:val="20"/>
          <w:szCs w:val="20"/>
          <w:lang w:val="en-GB"/>
        </w:rPr>
        <w:t>e</w:t>
      </w:r>
      <w:r w:rsidR="00733EFB" w:rsidRPr="00C22ABE">
        <w:rPr>
          <w:rFonts w:cstheme="minorHAnsi"/>
          <w:sz w:val="20"/>
          <w:szCs w:val="20"/>
          <w:lang w:val="en-GB"/>
        </w:rPr>
        <w:t>l</w:t>
      </w:r>
      <w:proofErr w:type="spellEnd"/>
      <w:r w:rsidR="00733EFB" w:rsidRPr="00C22ABE">
        <w:rPr>
          <w:rFonts w:cstheme="minorHAnsi"/>
          <w:sz w:val="20"/>
          <w:szCs w:val="20"/>
          <w:lang w:val="en-GB"/>
        </w:rPr>
        <w:t xml:space="preserve"> de </w:t>
      </w:r>
      <w:proofErr w:type="spellStart"/>
      <w:r w:rsidR="00733EFB" w:rsidRPr="00C22ABE">
        <w:rPr>
          <w:rFonts w:cstheme="minorHAnsi"/>
          <w:sz w:val="20"/>
          <w:szCs w:val="20"/>
          <w:lang w:val="en-GB"/>
        </w:rPr>
        <w:t>l’ORN</w:t>
      </w:r>
      <w:proofErr w:type="spellEnd"/>
      <w:r w:rsidRPr="00C22ABE">
        <w:rPr>
          <w:rFonts w:cstheme="minorHAnsi"/>
          <w:sz w:val="20"/>
          <w:szCs w:val="20"/>
          <w:lang w:val="en-GB"/>
        </w:rPr>
        <w:t>.</w:t>
      </w:r>
    </w:p>
    <w:p w14:paraId="2DD28950" w14:textId="3EA4C04A" w:rsidR="0000160E" w:rsidRPr="00C22ABE" w:rsidRDefault="0000160E" w:rsidP="0000160E">
      <w:pPr>
        <w:pStyle w:val="Paragraphedeliste"/>
        <w:numPr>
          <w:ilvl w:val="0"/>
          <w:numId w:val="3"/>
        </w:numPr>
        <w:autoSpaceDE w:val="0"/>
        <w:autoSpaceDN w:val="0"/>
        <w:adjustRightInd w:val="0"/>
        <w:spacing w:after="0" w:line="240" w:lineRule="auto"/>
        <w:rPr>
          <w:rFonts w:cstheme="minorHAnsi"/>
          <w:bCs/>
          <w:color w:val="000000"/>
          <w:sz w:val="20"/>
          <w:szCs w:val="20"/>
        </w:rPr>
      </w:pPr>
      <w:r w:rsidRPr="00C22ABE">
        <w:rPr>
          <w:rFonts w:cstheme="minorHAnsi"/>
          <w:bCs/>
          <w:color w:val="000000"/>
          <w:sz w:val="20"/>
          <w:szCs w:val="20"/>
        </w:rPr>
        <w:t>Recommandation de type 1, niveau B : Prévention de l’ORN après extractions dentaires, traitement de l’ORN des mâchoires</w:t>
      </w:r>
      <w:r w:rsidR="00304A5F" w:rsidRPr="00C22ABE">
        <w:rPr>
          <w:rFonts w:cstheme="minorHAnsi"/>
          <w:bCs/>
          <w:color w:val="000000"/>
          <w:sz w:val="20"/>
          <w:szCs w:val="20"/>
        </w:rPr>
        <w:t>.</w:t>
      </w:r>
    </w:p>
    <w:p w14:paraId="7BE06040" w14:textId="63C023F5" w:rsidR="00702620" w:rsidRPr="00C22ABE" w:rsidRDefault="0000160E" w:rsidP="003B4E2B">
      <w:pPr>
        <w:pStyle w:val="Paragraphedeliste"/>
        <w:numPr>
          <w:ilvl w:val="0"/>
          <w:numId w:val="3"/>
        </w:numPr>
        <w:autoSpaceDE w:val="0"/>
        <w:autoSpaceDN w:val="0"/>
        <w:adjustRightInd w:val="0"/>
        <w:spacing w:after="0" w:line="240" w:lineRule="auto"/>
        <w:rPr>
          <w:rFonts w:cstheme="minorHAnsi"/>
          <w:bCs/>
          <w:color w:val="000000"/>
          <w:sz w:val="20"/>
          <w:szCs w:val="20"/>
        </w:rPr>
      </w:pPr>
      <w:r w:rsidRPr="00C22ABE">
        <w:rPr>
          <w:rFonts w:cstheme="minorHAnsi"/>
          <w:bCs/>
          <w:color w:val="000000"/>
          <w:sz w:val="20"/>
          <w:szCs w:val="20"/>
        </w:rPr>
        <w:t xml:space="preserve">Recommandation de type 2, niveau C : prévention de la perte d’implants </w:t>
      </w:r>
      <w:proofErr w:type="spellStart"/>
      <w:r w:rsidRPr="00C22ABE">
        <w:rPr>
          <w:rFonts w:cstheme="minorHAnsi"/>
          <w:bCs/>
          <w:color w:val="000000"/>
          <w:sz w:val="20"/>
          <w:szCs w:val="20"/>
        </w:rPr>
        <w:t>ostéointégrés</w:t>
      </w:r>
      <w:proofErr w:type="spellEnd"/>
      <w:r w:rsidRPr="00C22ABE">
        <w:rPr>
          <w:rFonts w:cstheme="minorHAnsi"/>
          <w:bCs/>
          <w:color w:val="000000"/>
          <w:sz w:val="20"/>
          <w:szCs w:val="20"/>
        </w:rPr>
        <w:t xml:space="preserve"> dans les mâchoires irradiées</w:t>
      </w:r>
      <w:r w:rsidR="00304A5F" w:rsidRPr="00C22ABE">
        <w:rPr>
          <w:rFonts w:cstheme="minorHAnsi"/>
          <w:bCs/>
          <w:color w:val="000000"/>
          <w:sz w:val="20"/>
          <w:szCs w:val="20"/>
        </w:rPr>
        <w:t>.</w:t>
      </w:r>
    </w:p>
    <w:p w14:paraId="5D30533B" w14:textId="5C3A9D73" w:rsidR="003B4E2B" w:rsidRDefault="003B4E2B" w:rsidP="004B55A9">
      <w:pPr>
        <w:autoSpaceDE w:val="0"/>
        <w:autoSpaceDN w:val="0"/>
        <w:adjustRightInd w:val="0"/>
        <w:spacing w:after="0" w:line="240" w:lineRule="auto"/>
        <w:rPr>
          <w:rFonts w:cstheme="minorHAnsi"/>
          <w:bCs/>
          <w:color w:val="000000"/>
          <w:sz w:val="20"/>
          <w:szCs w:val="20"/>
        </w:rPr>
      </w:pPr>
    </w:p>
    <w:p w14:paraId="391B1812" w14:textId="77777777" w:rsidR="004B55A9" w:rsidRPr="004B55A9" w:rsidRDefault="004B55A9" w:rsidP="004B55A9">
      <w:pPr>
        <w:autoSpaceDE w:val="0"/>
        <w:autoSpaceDN w:val="0"/>
        <w:adjustRightInd w:val="0"/>
        <w:spacing w:after="0" w:line="240" w:lineRule="auto"/>
        <w:rPr>
          <w:rFonts w:cstheme="minorHAnsi"/>
          <w:bCs/>
          <w:color w:val="FF0000"/>
          <w:sz w:val="20"/>
          <w:szCs w:val="20"/>
        </w:rPr>
      </w:pPr>
    </w:p>
    <w:p w14:paraId="5CA49F2A" w14:textId="3A5D5314" w:rsidR="00010F21" w:rsidRPr="00C22ABE" w:rsidRDefault="00010F21" w:rsidP="00B11DAF">
      <w:pPr>
        <w:tabs>
          <w:tab w:val="left" w:pos="7110"/>
        </w:tabs>
        <w:rPr>
          <w:rFonts w:cstheme="minorHAnsi"/>
          <w:b/>
          <w:color w:val="0000FF"/>
          <w:szCs w:val="16"/>
          <w:u w:val="single"/>
          <w:lang w:val="en-US"/>
        </w:rPr>
      </w:pPr>
      <w:r w:rsidRPr="00C22ABE">
        <w:rPr>
          <w:rFonts w:cstheme="minorHAnsi"/>
          <w:b/>
          <w:color w:val="0000FF"/>
          <w:szCs w:val="16"/>
          <w:u w:val="single"/>
          <w:lang w:val="en-US"/>
        </w:rPr>
        <w:t>Pentoxifylline</w:t>
      </w:r>
      <w:r w:rsidR="00E70800" w:rsidRPr="00C22ABE">
        <w:rPr>
          <w:rFonts w:cstheme="minorHAnsi"/>
          <w:b/>
          <w:color w:val="0000FF"/>
          <w:szCs w:val="16"/>
          <w:u w:val="single"/>
          <w:lang w:val="en-US"/>
        </w:rPr>
        <w:t xml:space="preserve"> (Pen)</w:t>
      </w:r>
      <w:r w:rsidRPr="00C22ABE">
        <w:rPr>
          <w:rFonts w:cstheme="minorHAnsi"/>
          <w:b/>
          <w:color w:val="0000FF"/>
          <w:szCs w:val="16"/>
          <w:u w:val="single"/>
          <w:lang w:val="en-US"/>
        </w:rPr>
        <w:t xml:space="preserve">, </w:t>
      </w:r>
      <w:proofErr w:type="spellStart"/>
      <w:r w:rsidR="004B7844" w:rsidRPr="00C22ABE">
        <w:rPr>
          <w:rFonts w:cstheme="minorHAnsi"/>
          <w:b/>
          <w:color w:val="0000FF"/>
          <w:szCs w:val="16"/>
          <w:u w:val="single"/>
          <w:lang w:val="en-US"/>
        </w:rPr>
        <w:t>T</w:t>
      </w:r>
      <w:r w:rsidRPr="00C22ABE">
        <w:rPr>
          <w:rFonts w:cstheme="minorHAnsi"/>
          <w:b/>
          <w:color w:val="0000FF"/>
          <w:szCs w:val="16"/>
          <w:u w:val="single"/>
          <w:lang w:val="en-US"/>
        </w:rPr>
        <w:t>ocophérol</w:t>
      </w:r>
      <w:proofErr w:type="spellEnd"/>
      <w:r w:rsidRPr="00C22ABE">
        <w:rPr>
          <w:rFonts w:cstheme="minorHAnsi"/>
          <w:b/>
          <w:color w:val="0000FF"/>
          <w:szCs w:val="16"/>
          <w:u w:val="single"/>
          <w:lang w:val="en-US"/>
        </w:rPr>
        <w:t xml:space="preserve"> </w:t>
      </w:r>
      <w:r w:rsidR="00E70800" w:rsidRPr="00C22ABE">
        <w:rPr>
          <w:rFonts w:cstheme="minorHAnsi"/>
          <w:b/>
          <w:color w:val="0000FF"/>
          <w:szCs w:val="16"/>
          <w:u w:val="single"/>
          <w:lang w:val="en-US"/>
        </w:rPr>
        <w:t xml:space="preserve">(To) </w:t>
      </w:r>
      <w:r w:rsidRPr="00C22ABE">
        <w:rPr>
          <w:rFonts w:cstheme="minorHAnsi"/>
          <w:b/>
          <w:color w:val="0000FF"/>
          <w:szCs w:val="16"/>
          <w:u w:val="single"/>
          <w:lang w:val="en-US"/>
        </w:rPr>
        <w:t xml:space="preserve">et </w:t>
      </w:r>
      <w:r w:rsidR="004B7844" w:rsidRPr="00C22ABE">
        <w:rPr>
          <w:rFonts w:cstheme="minorHAnsi"/>
          <w:b/>
          <w:color w:val="0000FF"/>
          <w:szCs w:val="16"/>
          <w:u w:val="single"/>
          <w:lang w:val="en-US"/>
        </w:rPr>
        <w:t>C</w:t>
      </w:r>
      <w:r w:rsidRPr="00C22ABE">
        <w:rPr>
          <w:rFonts w:cstheme="minorHAnsi"/>
          <w:b/>
          <w:color w:val="0000FF"/>
          <w:szCs w:val="16"/>
          <w:u w:val="single"/>
          <w:lang w:val="en-US"/>
        </w:rPr>
        <w:t>lodronate</w:t>
      </w:r>
      <w:r w:rsidR="00E70800" w:rsidRPr="00C22ABE">
        <w:rPr>
          <w:rFonts w:cstheme="minorHAnsi"/>
          <w:b/>
          <w:color w:val="0000FF"/>
          <w:szCs w:val="16"/>
          <w:u w:val="single"/>
          <w:lang w:val="en-US"/>
        </w:rPr>
        <w:t xml:space="preserve"> (</w:t>
      </w:r>
      <w:proofErr w:type="spellStart"/>
      <w:r w:rsidR="00E70800" w:rsidRPr="00C22ABE">
        <w:rPr>
          <w:rFonts w:cstheme="minorHAnsi"/>
          <w:b/>
          <w:color w:val="0000FF"/>
          <w:szCs w:val="16"/>
          <w:u w:val="single"/>
          <w:lang w:val="en-US"/>
        </w:rPr>
        <w:t>Clo</w:t>
      </w:r>
      <w:proofErr w:type="spellEnd"/>
      <w:r w:rsidR="00E70800" w:rsidRPr="00C22ABE">
        <w:rPr>
          <w:rFonts w:cstheme="minorHAnsi"/>
          <w:b/>
          <w:color w:val="0000FF"/>
          <w:szCs w:val="16"/>
          <w:u w:val="single"/>
          <w:lang w:val="en-US"/>
        </w:rPr>
        <w:t>)</w:t>
      </w:r>
    </w:p>
    <w:p w14:paraId="7AC82F77" w14:textId="721B09C4" w:rsidR="009D1FE6" w:rsidRPr="00C22ABE" w:rsidRDefault="004B7844" w:rsidP="00D66F37">
      <w:pPr>
        <w:tabs>
          <w:tab w:val="left" w:pos="7110"/>
        </w:tabs>
        <w:rPr>
          <w:rFonts w:cstheme="minorHAnsi"/>
          <w:sz w:val="20"/>
          <w:szCs w:val="18"/>
        </w:rPr>
      </w:pPr>
      <w:r w:rsidRPr="00C22ABE">
        <w:rPr>
          <w:rFonts w:cstheme="minorHAnsi"/>
          <w:sz w:val="20"/>
          <w:szCs w:val="18"/>
        </w:rPr>
        <w:t>L</w:t>
      </w:r>
      <w:r w:rsidR="00C660E2" w:rsidRPr="00C22ABE">
        <w:rPr>
          <w:rFonts w:cstheme="minorHAnsi"/>
          <w:sz w:val="20"/>
          <w:szCs w:val="18"/>
        </w:rPr>
        <w:t xml:space="preserve">e traitement par </w:t>
      </w:r>
      <w:proofErr w:type="spellStart"/>
      <w:r w:rsidR="00C660E2" w:rsidRPr="00C22ABE">
        <w:rPr>
          <w:rFonts w:cstheme="minorHAnsi"/>
          <w:sz w:val="20"/>
          <w:szCs w:val="18"/>
        </w:rPr>
        <w:t>PenTo</w:t>
      </w:r>
      <w:proofErr w:type="spellEnd"/>
      <w:r w:rsidR="00C660E2" w:rsidRPr="00C22ABE">
        <w:rPr>
          <w:rFonts w:cstheme="minorHAnsi"/>
          <w:sz w:val="20"/>
          <w:szCs w:val="18"/>
        </w:rPr>
        <w:t>(</w:t>
      </w:r>
      <w:proofErr w:type="spellStart"/>
      <w:r w:rsidR="00C660E2" w:rsidRPr="00C22ABE">
        <w:rPr>
          <w:rFonts w:cstheme="minorHAnsi"/>
          <w:sz w:val="20"/>
          <w:szCs w:val="18"/>
        </w:rPr>
        <w:t>Clo</w:t>
      </w:r>
      <w:proofErr w:type="spellEnd"/>
      <w:r w:rsidR="00C660E2" w:rsidRPr="00C22ABE">
        <w:rPr>
          <w:rFonts w:cstheme="minorHAnsi"/>
          <w:sz w:val="20"/>
          <w:szCs w:val="18"/>
        </w:rPr>
        <w:t xml:space="preserve">) est à visée </w:t>
      </w:r>
      <w:proofErr w:type="spellStart"/>
      <w:r w:rsidR="00C660E2" w:rsidRPr="00C22ABE">
        <w:rPr>
          <w:rFonts w:cstheme="minorHAnsi"/>
          <w:sz w:val="20"/>
          <w:szCs w:val="18"/>
        </w:rPr>
        <w:t>anti-oxydante</w:t>
      </w:r>
      <w:proofErr w:type="spellEnd"/>
      <w:r w:rsidR="00C660E2" w:rsidRPr="00C22ABE">
        <w:rPr>
          <w:rFonts w:cstheme="minorHAnsi"/>
          <w:sz w:val="20"/>
          <w:szCs w:val="18"/>
        </w:rPr>
        <w:t xml:space="preserve"> et </w:t>
      </w:r>
      <w:proofErr w:type="spellStart"/>
      <w:r w:rsidR="00C660E2" w:rsidRPr="00C22ABE">
        <w:rPr>
          <w:rFonts w:cstheme="minorHAnsi"/>
          <w:sz w:val="20"/>
          <w:szCs w:val="18"/>
        </w:rPr>
        <w:t>antifibrotique</w:t>
      </w:r>
      <w:proofErr w:type="spellEnd"/>
      <w:r w:rsidR="00C660E2" w:rsidRPr="00C22ABE">
        <w:rPr>
          <w:rFonts w:cstheme="minorHAnsi"/>
          <w:sz w:val="20"/>
          <w:szCs w:val="18"/>
        </w:rPr>
        <w:t xml:space="preserve"> </w:t>
      </w:r>
      <w:r w:rsidR="00DC7AAC" w:rsidRPr="00C22ABE">
        <w:rPr>
          <w:rFonts w:cstheme="minorHAnsi"/>
          <w:sz w:val="20"/>
          <w:szCs w:val="18"/>
        </w:rPr>
        <w:t>et repose</w:t>
      </w:r>
      <w:r w:rsidR="00C660E2" w:rsidRPr="00C22ABE">
        <w:rPr>
          <w:rFonts w:cstheme="minorHAnsi"/>
          <w:sz w:val="20"/>
          <w:szCs w:val="18"/>
        </w:rPr>
        <w:t xml:space="preserve"> sur l</w:t>
      </w:r>
      <w:r w:rsidR="009D1FE6" w:rsidRPr="00C22ABE">
        <w:rPr>
          <w:rFonts w:cstheme="minorHAnsi"/>
          <w:sz w:val="20"/>
          <w:szCs w:val="18"/>
        </w:rPr>
        <w:t xml:space="preserve">e mécanisme </w:t>
      </w:r>
      <w:proofErr w:type="spellStart"/>
      <w:r w:rsidR="009D1FE6" w:rsidRPr="00C22ABE">
        <w:rPr>
          <w:rFonts w:cstheme="minorHAnsi"/>
          <w:sz w:val="20"/>
          <w:szCs w:val="18"/>
        </w:rPr>
        <w:t>étiopathogénique</w:t>
      </w:r>
      <w:proofErr w:type="spellEnd"/>
      <w:r w:rsidR="009D1FE6" w:rsidRPr="00C22ABE">
        <w:rPr>
          <w:rFonts w:cstheme="minorHAnsi"/>
          <w:sz w:val="20"/>
          <w:szCs w:val="18"/>
        </w:rPr>
        <w:t xml:space="preserve"> de </w:t>
      </w:r>
      <w:r w:rsidR="00C660E2" w:rsidRPr="00C22ABE">
        <w:rPr>
          <w:rFonts w:cstheme="minorHAnsi"/>
          <w:sz w:val="20"/>
          <w:szCs w:val="18"/>
        </w:rPr>
        <w:t>f</w:t>
      </w:r>
      <w:r w:rsidR="00FB3FAB" w:rsidRPr="00C22ABE">
        <w:rPr>
          <w:rFonts w:cstheme="minorHAnsi"/>
          <w:sz w:val="20"/>
          <w:szCs w:val="18"/>
        </w:rPr>
        <w:t>ibrose radioinduite</w:t>
      </w:r>
      <w:r w:rsidR="006300CC" w:rsidRPr="00C22ABE">
        <w:rPr>
          <w:rFonts w:cstheme="minorHAnsi"/>
          <w:sz w:val="20"/>
          <w:szCs w:val="18"/>
        </w:rPr>
        <w:t xml:space="preserve"> de </w:t>
      </w:r>
      <w:proofErr w:type="spellStart"/>
      <w:r w:rsidR="006300CC" w:rsidRPr="00C22ABE">
        <w:rPr>
          <w:rFonts w:cstheme="minorHAnsi"/>
          <w:sz w:val="20"/>
          <w:szCs w:val="18"/>
        </w:rPr>
        <w:t>Delanian</w:t>
      </w:r>
      <w:proofErr w:type="spellEnd"/>
      <w:r w:rsidR="006300CC" w:rsidRPr="00C22ABE">
        <w:rPr>
          <w:rFonts w:cstheme="minorHAnsi"/>
          <w:sz w:val="20"/>
          <w:szCs w:val="18"/>
        </w:rPr>
        <w:t xml:space="preserve"> et al </w:t>
      </w:r>
      <w:r w:rsidR="006300CC" w:rsidRPr="00C22ABE">
        <w:rPr>
          <w:rFonts w:cstheme="minorHAnsi"/>
          <w:sz w:val="20"/>
          <w:szCs w:val="18"/>
        </w:rPr>
        <w:fldChar w:fldCharType="begin"/>
      </w:r>
      <w:r w:rsidR="00DD29FB" w:rsidRPr="00C22ABE">
        <w:rPr>
          <w:rFonts w:cstheme="minorHAnsi"/>
          <w:sz w:val="20"/>
          <w:szCs w:val="18"/>
        </w:rPr>
        <w:instrText xml:space="preserve"> ADDIN ZOTERO_ITEM CSL_CITATION {"citationID":"Jh9KfLLm","properties":{"formattedCitation":"(19)","plainCitation":"(19)","noteIndex":0},"citationItems":[{"id":201,"uris":["http://zotero.org/users/local/Om3YyEnU/items/HPAKGBKC"],"uri":["http://zotero.org/users/local/Om3YyEnU/items/HPAKGBKC"],"itemData":{"id":201,"type":"article-journal","container-title":"Radiotherapy and Oncology","DOI":"10.1016/j.radonc.2004.08.021","ISSN":"01678140","issue":"2","journalAbbreviation":"Radiotherapy and Oncology","language":"en","page":"119-131","source":"DOI.org (Crossref)","title":"The radiation-induced fibroatrophic process: therapeutic perspective via the antioxidant pathway","title-short":"The radiation-induced fibroatrophic process","volume":"73","author":[{"family":"Delanian","given":"Sylvie"},{"family":"Lefaix","given":"Jean-Louis"}],"issued":{"date-parts":[["2004",11]]}}}],"schema":"https://github.com/citation-style-language/schema/raw/master/csl-citation.json"} </w:instrText>
      </w:r>
      <w:r w:rsidR="006300CC" w:rsidRPr="00C22ABE">
        <w:rPr>
          <w:rFonts w:cstheme="minorHAnsi"/>
          <w:sz w:val="20"/>
          <w:szCs w:val="18"/>
        </w:rPr>
        <w:fldChar w:fldCharType="separate"/>
      </w:r>
      <w:r w:rsidR="00DD29FB" w:rsidRPr="00C22ABE">
        <w:rPr>
          <w:rFonts w:cstheme="minorHAnsi"/>
          <w:sz w:val="20"/>
        </w:rPr>
        <w:t>(19)</w:t>
      </w:r>
      <w:r w:rsidR="006300CC" w:rsidRPr="00C22ABE">
        <w:rPr>
          <w:rFonts w:cstheme="minorHAnsi"/>
          <w:sz w:val="20"/>
          <w:szCs w:val="18"/>
        </w:rPr>
        <w:fldChar w:fldCharType="end"/>
      </w:r>
      <w:r w:rsidR="00C660E2" w:rsidRPr="00C22ABE">
        <w:rPr>
          <w:rFonts w:cstheme="minorHAnsi"/>
          <w:sz w:val="20"/>
          <w:szCs w:val="18"/>
        </w:rPr>
        <w:t xml:space="preserve">. </w:t>
      </w:r>
    </w:p>
    <w:p w14:paraId="574AAEA1" w14:textId="4560ED4E" w:rsidR="009B2471" w:rsidRPr="00C22ABE" w:rsidRDefault="00DC7AAC" w:rsidP="00B11DAF">
      <w:pPr>
        <w:tabs>
          <w:tab w:val="left" w:pos="7110"/>
        </w:tabs>
        <w:rPr>
          <w:rFonts w:cstheme="minorHAnsi"/>
          <w:sz w:val="20"/>
          <w:szCs w:val="18"/>
          <w:lang w:val="fr-FR"/>
        </w:rPr>
      </w:pPr>
      <w:r w:rsidRPr="00C22ABE">
        <w:rPr>
          <w:rFonts w:cstheme="minorHAnsi"/>
          <w:sz w:val="20"/>
          <w:szCs w:val="18"/>
          <w:lang w:val="fr-FR"/>
        </w:rPr>
        <w:t>Ce traitement est proposé en association ou après échec des différents traitements médicaux. Il est parfois proposé chez des patients dont les comorbidités contr</w:t>
      </w:r>
      <w:r w:rsidR="009B2471" w:rsidRPr="00C22ABE">
        <w:rPr>
          <w:rFonts w:cstheme="minorHAnsi"/>
          <w:sz w:val="20"/>
          <w:szCs w:val="18"/>
          <w:lang w:val="fr-FR"/>
        </w:rPr>
        <w:t>e-</w:t>
      </w:r>
      <w:r w:rsidRPr="00C22ABE">
        <w:rPr>
          <w:rFonts w:cstheme="minorHAnsi"/>
          <w:sz w:val="20"/>
          <w:szCs w:val="18"/>
          <w:lang w:val="fr-FR"/>
        </w:rPr>
        <w:t>indiquent un traitement chirurgical lourd</w:t>
      </w:r>
      <w:r w:rsidR="009D1FE6" w:rsidRPr="00C22ABE">
        <w:rPr>
          <w:rFonts w:cstheme="minorHAnsi"/>
          <w:sz w:val="20"/>
          <w:szCs w:val="18"/>
          <w:lang w:val="fr-FR"/>
        </w:rPr>
        <w:t>.</w:t>
      </w:r>
    </w:p>
    <w:p w14:paraId="49260850" w14:textId="77D86078" w:rsidR="00D95A48" w:rsidRPr="00C22ABE" w:rsidRDefault="00125BB3" w:rsidP="00B11DAF">
      <w:pPr>
        <w:tabs>
          <w:tab w:val="left" w:pos="7110"/>
        </w:tabs>
        <w:rPr>
          <w:rFonts w:cstheme="minorHAnsi"/>
          <w:sz w:val="20"/>
          <w:szCs w:val="18"/>
          <w:lang w:val="fr-FR"/>
        </w:rPr>
      </w:pPr>
      <w:r w:rsidRPr="00C22ABE">
        <w:rPr>
          <w:rFonts w:cstheme="minorHAnsi"/>
          <w:sz w:val="20"/>
          <w:szCs w:val="18"/>
          <w:lang w:val="fr-FR"/>
        </w:rPr>
        <w:t xml:space="preserve">La </w:t>
      </w:r>
      <w:r w:rsidRPr="00C22ABE">
        <w:rPr>
          <w:rFonts w:cstheme="minorHAnsi"/>
          <w:b/>
          <w:bCs/>
          <w:sz w:val="20"/>
          <w:szCs w:val="18"/>
          <w:lang w:val="fr-FR"/>
        </w:rPr>
        <w:t xml:space="preserve">pentoxifylline </w:t>
      </w:r>
      <w:r w:rsidRPr="00C22ABE">
        <w:rPr>
          <w:rFonts w:cstheme="minorHAnsi"/>
          <w:sz w:val="20"/>
          <w:szCs w:val="18"/>
          <w:lang w:val="fr-FR"/>
        </w:rPr>
        <w:t xml:space="preserve">est </w:t>
      </w:r>
      <w:r w:rsidR="00E70800" w:rsidRPr="00C22ABE">
        <w:rPr>
          <w:rFonts w:cstheme="minorHAnsi"/>
          <w:sz w:val="20"/>
          <w:szCs w:val="18"/>
          <w:lang w:val="fr-FR"/>
        </w:rPr>
        <w:t xml:space="preserve">un dérivé </w:t>
      </w:r>
      <w:proofErr w:type="spellStart"/>
      <w:r w:rsidR="00E70800" w:rsidRPr="00C22ABE">
        <w:rPr>
          <w:rFonts w:cstheme="minorHAnsi"/>
          <w:sz w:val="20"/>
          <w:szCs w:val="18"/>
          <w:lang w:val="fr-FR"/>
        </w:rPr>
        <w:t>méthylxanthine</w:t>
      </w:r>
      <w:proofErr w:type="spellEnd"/>
      <w:r w:rsidR="00E70800" w:rsidRPr="00C22ABE">
        <w:rPr>
          <w:rFonts w:cstheme="minorHAnsi"/>
          <w:sz w:val="20"/>
          <w:szCs w:val="18"/>
          <w:lang w:val="fr-FR"/>
        </w:rPr>
        <w:t xml:space="preserve"> </w:t>
      </w:r>
      <w:r w:rsidR="00F847DA" w:rsidRPr="00C22ABE">
        <w:rPr>
          <w:rFonts w:cstheme="minorHAnsi"/>
          <w:sz w:val="20"/>
          <w:szCs w:val="18"/>
          <w:lang w:val="fr-FR"/>
        </w:rPr>
        <w:t>qui</w:t>
      </w:r>
      <w:r w:rsidR="00E70800" w:rsidRPr="00C22ABE">
        <w:rPr>
          <w:rFonts w:cstheme="minorHAnsi"/>
          <w:sz w:val="20"/>
          <w:szCs w:val="18"/>
          <w:lang w:val="fr-FR"/>
        </w:rPr>
        <w:t xml:space="preserve"> agit à plusieurs niveaux : elle augmente la flexibilité des érythrocytes et améliore la microcirculation (diminution de la viscosité sanguine</w:t>
      </w:r>
      <w:r w:rsidR="00F847DA" w:rsidRPr="00C22ABE">
        <w:rPr>
          <w:rFonts w:cstheme="minorHAnsi"/>
          <w:sz w:val="20"/>
          <w:szCs w:val="18"/>
          <w:lang w:val="fr-FR"/>
        </w:rPr>
        <w:t>)</w:t>
      </w:r>
      <w:r w:rsidR="009B2471" w:rsidRPr="00C22ABE">
        <w:rPr>
          <w:rFonts w:cstheme="minorHAnsi"/>
          <w:sz w:val="20"/>
          <w:szCs w:val="18"/>
          <w:lang w:val="fr-FR"/>
        </w:rPr>
        <w:t>. E</w:t>
      </w:r>
      <w:r w:rsidRPr="00C22ABE">
        <w:rPr>
          <w:rFonts w:cstheme="minorHAnsi"/>
          <w:sz w:val="20"/>
          <w:szCs w:val="18"/>
          <w:lang w:val="fr-FR"/>
        </w:rPr>
        <w:t xml:space="preserve">lle présente un </w:t>
      </w:r>
      <w:r w:rsidR="00E70800" w:rsidRPr="00C22ABE">
        <w:rPr>
          <w:rFonts w:cstheme="minorHAnsi"/>
          <w:sz w:val="20"/>
          <w:szCs w:val="18"/>
          <w:lang w:val="fr-FR"/>
        </w:rPr>
        <w:t>effet anti</w:t>
      </w:r>
      <w:r w:rsidR="009B2471" w:rsidRPr="00C22ABE">
        <w:rPr>
          <w:rFonts w:cstheme="minorHAnsi"/>
          <w:sz w:val="20"/>
          <w:szCs w:val="18"/>
          <w:lang w:val="fr-FR"/>
        </w:rPr>
        <w:t>-inflammatoire par diminution du</w:t>
      </w:r>
      <w:r w:rsidR="00E70800" w:rsidRPr="00C22ABE">
        <w:rPr>
          <w:rFonts w:cstheme="minorHAnsi"/>
          <w:sz w:val="20"/>
          <w:szCs w:val="18"/>
          <w:lang w:val="fr-FR"/>
        </w:rPr>
        <w:t xml:space="preserve"> TNFα </w:t>
      </w:r>
      <w:r w:rsidRPr="00C22ABE">
        <w:rPr>
          <w:rFonts w:cstheme="minorHAnsi"/>
          <w:sz w:val="20"/>
          <w:szCs w:val="18"/>
          <w:lang w:val="fr-FR"/>
        </w:rPr>
        <w:t xml:space="preserve">; </w:t>
      </w:r>
      <w:r w:rsidR="00F847DA" w:rsidRPr="00C22ABE">
        <w:rPr>
          <w:rFonts w:cstheme="minorHAnsi"/>
          <w:sz w:val="20"/>
          <w:szCs w:val="18"/>
          <w:lang w:val="fr-FR"/>
        </w:rPr>
        <w:t xml:space="preserve">elle </w:t>
      </w:r>
      <w:r w:rsidRPr="00C22ABE">
        <w:rPr>
          <w:rFonts w:cstheme="minorHAnsi"/>
          <w:sz w:val="20"/>
          <w:szCs w:val="18"/>
          <w:lang w:val="fr-FR"/>
        </w:rPr>
        <w:t xml:space="preserve">favorise la </w:t>
      </w:r>
      <w:r w:rsidR="00E70800" w:rsidRPr="00C22ABE">
        <w:rPr>
          <w:rFonts w:cstheme="minorHAnsi"/>
          <w:sz w:val="20"/>
          <w:szCs w:val="18"/>
          <w:lang w:val="fr-FR"/>
        </w:rPr>
        <w:t>vasodilatation</w:t>
      </w:r>
      <w:r w:rsidRPr="00C22ABE">
        <w:rPr>
          <w:rFonts w:cstheme="minorHAnsi"/>
          <w:sz w:val="20"/>
          <w:szCs w:val="18"/>
          <w:lang w:val="fr-FR"/>
        </w:rPr>
        <w:t xml:space="preserve"> ; elle </w:t>
      </w:r>
      <w:r w:rsidR="00E70800" w:rsidRPr="00C22ABE">
        <w:rPr>
          <w:rFonts w:cstheme="minorHAnsi"/>
          <w:sz w:val="20"/>
          <w:szCs w:val="18"/>
          <w:lang w:val="fr-FR"/>
        </w:rPr>
        <w:t>inhibe la prolifération des fibroblastes humains et la production de MEC in vitro</w:t>
      </w:r>
      <w:r w:rsidRPr="00C22ABE">
        <w:rPr>
          <w:rFonts w:cstheme="minorHAnsi"/>
          <w:sz w:val="20"/>
          <w:szCs w:val="18"/>
          <w:lang w:val="fr-FR"/>
        </w:rPr>
        <w:t xml:space="preserve"> ; elle </w:t>
      </w:r>
      <w:r w:rsidR="00E70800" w:rsidRPr="00C22ABE">
        <w:rPr>
          <w:rFonts w:cstheme="minorHAnsi"/>
          <w:sz w:val="20"/>
          <w:szCs w:val="18"/>
          <w:lang w:val="fr-FR"/>
        </w:rPr>
        <w:t>augmente l’activité de la collagénase</w:t>
      </w:r>
      <w:r w:rsidRPr="00C22ABE">
        <w:rPr>
          <w:rFonts w:cstheme="minorHAnsi"/>
          <w:sz w:val="20"/>
          <w:szCs w:val="18"/>
          <w:lang w:val="fr-FR"/>
        </w:rPr>
        <w:t xml:space="preserve"> ; enfin, elle présente un </w:t>
      </w:r>
      <w:r w:rsidR="00E70800" w:rsidRPr="00C22ABE">
        <w:rPr>
          <w:rFonts w:cstheme="minorHAnsi"/>
          <w:sz w:val="20"/>
          <w:szCs w:val="18"/>
          <w:lang w:val="fr-FR"/>
        </w:rPr>
        <w:t>effet anti</w:t>
      </w:r>
      <w:r w:rsidR="00984E56" w:rsidRPr="00C22ABE">
        <w:rPr>
          <w:rFonts w:cstheme="minorHAnsi"/>
          <w:sz w:val="20"/>
          <w:szCs w:val="18"/>
          <w:lang w:val="fr-FR"/>
        </w:rPr>
        <w:t>-</w:t>
      </w:r>
      <w:r w:rsidR="00E70800" w:rsidRPr="00C22ABE">
        <w:rPr>
          <w:rFonts w:cstheme="minorHAnsi"/>
          <w:sz w:val="20"/>
          <w:szCs w:val="18"/>
          <w:lang w:val="fr-FR"/>
        </w:rPr>
        <w:t xml:space="preserve">inflammatoire et antiagrégant plaquettaire </w:t>
      </w:r>
      <w:r w:rsidR="006062A0" w:rsidRPr="00C22ABE">
        <w:rPr>
          <w:rFonts w:cstheme="minorHAnsi"/>
          <w:sz w:val="20"/>
          <w:szCs w:val="18"/>
          <w:lang w:val="fr-FR"/>
        </w:rPr>
        <w:fldChar w:fldCharType="begin"/>
      </w:r>
      <w:r w:rsidR="00DD29FB" w:rsidRPr="00C22ABE">
        <w:rPr>
          <w:rFonts w:cstheme="minorHAnsi"/>
          <w:sz w:val="20"/>
          <w:szCs w:val="18"/>
          <w:lang w:val="fr-FR"/>
        </w:rPr>
        <w:instrText xml:space="preserve"> ADDIN ZOTERO_ITEM CSL_CITATION {"citationID":"rDHMHnY1","properties":{"formattedCitation":"(52\\uc0\\u8211{}54)","plainCitation":"(52–54)","noteIndex":0},"citationItems":[{"id":200,"uris":["http://zotero.org/users/local/Om3YyEnU/items/XUE8VGDP"],"uri":["http://zotero.org/users/local/Om3YyEnU/items/XUE8VGDP"],"itemData":{"id":200,"type":"article-journal","container-title":"Oral Diseases","DOI":"10.1111/odi.12489","ISSN":"1354523X","issue":"2","journalAbbreviation":"Oral Dis","language":"en","page":"141-151","source":"DOI.org (Crossref)","title":"Hyperbaric oxygen therapy and osteonecrosis","volume":"23","author":[{"family":"Ceponis","given":"P"},{"family":"Keilman","given":"C"},{"family":"Guerry","given":"C"},{"family":"Freiberger","given":"Jj"}],"issued":{"date-parts":[["2017",3]]}}},{"id":219,"uris":["http://zotero.org/users/local/Om3YyEnU/items/Q35VVVVC"],"uri":["http://zotero.org/users/local/Om3YyEnU/items/Q35VVVVC"],"itemData":{"id":219,"type":"article-journal","abstract":"Osteoradionecrosis (ORN) of the jaws remains among the most commonly encountered and challenging complications of radiotherapy to the head and neck. The purpose of this study was to provide a review of the medical management for ORN and evaluate the reported outcomes with the use of pentoxifylline and tocopherol (PENTO), by means of a systematic review and meta-analysis. The predictor variable was the use of PENTO in the treatment of ORN. The outcome variable was the proportion of full recovery or significant improvement not requiring further intervention. The likelihood function was used to combine the studies and estimate the proportion and standard deviation of each outcome by the maximum likelihood estimation. Seven studies met the inclusion criteria. A total 211 patients were treated. One hundred twenty-six patients recovered fully or improved significantly not requiring further intervention. Sixty patients remained the same, 10 were lost to follow-up, and the disease progressed in 15. The current literature supports the use of PENTO in the treatment of ORN of the jaws. Additional well-designed prospective studies are needed in order to further validate the regimen that can then be employed in the treatment of ORN.","container-title":"International Journal of Oral and Maxillofacial Surgery","DOI":"10.1016/j.ijom.2018.08.007","ISSN":"1399-0020","issue":"2","journalAbbreviation":"Int J Oral Maxillofac Surg","language":"eng","note":"PMID: 30205911","page":"173-180","source":"PubMed","title":"Management of osteoradionecrosis of the jaws with pentoxifylline-tocopherol: a systematic review of the literature and meta-analysis","title-short":"Management of osteoradionecrosis of the jaws with pentoxifylline-tocopherol","volume":"48","author":[{"family":"Kolokythas","given":"A."},{"family":"Rasmussen","given":"J. T."},{"family":"Reardon","given":"J."},{"family":"Feng","given":"C."}],"issued":{"date-parts":[["2019",2]]}}},{"id":243,"uris":["http://zotero.org/users/local/Om3YyEnU/items/JFZ5TG7X"],"uri":["http://zotero.org/users/local/Om3YyEnU/items/JFZ5TG7X"],"itemData":{"id":243,"type":"article-journal","abstract":"OBJECTIVE: The purpose of this study was to evaluate the healing benefit provided by the antioxidant and antifibrotic properties of pentoxifylline-tocopherol or pentoxifylline-tocopherol-clodronate in combination therapy for osteoradionecrosis.\nSTUDY DESIGN: We searched for relevant reports in PubMed by using a combination of \"osteoradionecrosis\" and the following keywords: \"pentoxifillyne,\" \"tocopherol,\" \"vitamin E,\" or \"clodronate.\" We considered articles in English or Spanish, with no limitations on the publication date.\nRESULTS: The combination of pentoxifylline plus tocopherol with or without clodronate was found to be effective for the treatment of mandibular osteoradionecrosis, although data were generally scarce and mostly came from retrospective case series.\nCONCLUSIONS: This drug therapy is well tolerated and could be promising for the treatment of mandibular osteoradionecrosis, but prospective randomized controlled clinical trials are needed for further clarification.","container-title":"Oral Surgery, Oral Medicine, Oral Pathology and Oral Radiology","DOI":"10.1016/j.oooo.2018.02.004","ISSN":"2212-4411","issue":"5","journalAbbreviation":"Oral Surg Oral Med Oral Pathol Oral Radiol","language":"eng","note":"PMID: 29550081","page":"431-439","source":"PubMed","title":"Pentoxifylline, tocopherol, and clodronate for the treatment of mandibular osteoradionecrosis: a systematic review","title-short":"Pentoxifylline, tocopherol, and clodronate for the treatment of mandibular osteoradionecrosis","volume":"125","author":[{"family":"Martos-Fernández","given":"Miriam"},{"family":"Saez-Barba","given":"Manel"},{"family":"López-López","given":"Jose"},{"family":"Estrugo-Devesa","given":"Albert"},{"family":"Balibrea-Del-Castillo","given":"Jose María"},{"family":"Bescós-Atín","given":"Coro"}],"issued":{"date-parts":[["2018"]]}}}],"schema":"https://github.com/citation-style-language/schema/raw/master/csl-citation.json"} </w:instrText>
      </w:r>
      <w:r w:rsidR="006062A0" w:rsidRPr="00C22ABE">
        <w:rPr>
          <w:rFonts w:cstheme="minorHAnsi"/>
          <w:sz w:val="20"/>
          <w:szCs w:val="18"/>
          <w:lang w:val="fr-FR"/>
        </w:rPr>
        <w:fldChar w:fldCharType="separate"/>
      </w:r>
      <w:r w:rsidR="00DD29FB" w:rsidRPr="00C22ABE">
        <w:rPr>
          <w:rFonts w:cstheme="minorHAnsi"/>
          <w:sz w:val="20"/>
          <w:szCs w:val="24"/>
        </w:rPr>
        <w:t>(52–54)</w:t>
      </w:r>
      <w:r w:rsidR="006062A0" w:rsidRPr="00C22ABE">
        <w:rPr>
          <w:rFonts w:cstheme="minorHAnsi"/>
          <w:sz w:val="20"/>
          <w:szCs w:val="18"/>
          <w:lang w:val="fr-FR"/>
        </w:rPr>
        <w:fldChar w:fldCharType="end"/>
      </w:r>
      <w:r w:rsidR="009B2471" w:rsidRPr="00C22ABE">
        <w:rPr>
          <w:rFonts w:cstheme="minorHAnsi"/>
          <w:sz w:val="20"/>
          <w:szCs w:val="18"/>
          <w:lang w:val="fr-FR"/>
        </w:rPr>
        <w:t>.</w:t>
      </w:r>
    </w:p>
    <w:p w14:paraId="5A1DA662" w14:textId="6F6B0D39" w:rsidR="00590CA3" w:rsidRPr="00C22ABE" w:rsidRDefault="00590CA3" w:rsidP="00125BB3">
      <w:pPr>
        <w:tabs>
          <w:tab w:val="left" w:pos="7110"/>
        </w:tabs>
        <w:rPr>
          <w:rFonts w:cstheme="minorHAnsi"/>
          <w:sz w:val="20"/>
          <w:szCs w:val="18"/>
          <w:lang w:val="fr-FR"/>
        </w:rPr>
      </w:pPr>
      <w:r w:rsidRPr="00C22ABE">
        <w:rPr>
          <w:rFonts w:cstheme="minorHAnsi"/>
          <w:sz w:val="20"/>
          <w:szCs w:val="18"/>
          <w:u w:val="single"/>
          <w:lang w:val="fr-FR"/>
        </w:rPr>
        <w:t>Indica</w:t>
      </w:r>
      <w:r w:rsidR="00B31B3F" w:rsidRPr="00C22ABE">
        <w:rPr>
          <w:rFonts w:cstheme="minorHAnsi"/>
          <w:sz w:val="20"/>
          <w:szCs w:val="18"/>
          <w:u w:val="single"/>
          <w:lang w:val="fr-FR"/>
        </w:rPr>
        <w:t>tions :</w:t>
      </w:r>
      <w:r w:rsidRPr="00C22ABE">
        <w:rPr>
          <w:rFonts w:cstheme="minorHAnsi"/>
          <w:sz w:val="20"/>
          <w:szCs w:val="18"/>
          <w:lang w:val="fr-FR"/>
        </w:rPr>
        <w:t xml:space="preserve"> maladies vasculaires périphériques et </w:t>
      </w:r>
      <w:proofErr w:type="spellStart"/>
      <w:r w:rsidRPr="00C22ABE">
        <w:rPr>
          <w:rFonts w:cstheme="minorHAnsi"/>
          <w:sz w:val="20"/>
          <w:szCs w:val="18"/>
          <w:lang w:val="fr-FR"/>
        </w:rPr>
        <w:t>cérébrovasculaires</w:t>
      </w:r>
      <w:proofErr w:type="spellEnd"/>
      <w:r w:rsidR="00125BB3" w:rsidRPr="00C22ABE">
        <w:rPr>
          <w:rFonts w:cstheme="minorHAnsi"/>
          <w:sz w:val="20"/>
          <w:szCs w:val="18"/>
          <w:lang w:val="fr-FR"/>
        </w:rPr>
        <w:t xml:space="preserve">, </w:t>
      </w:r>
      <w:r w:rsidRPr="00C22ABE">
        <w:rPr>
          <w:rFonts w:cstheme="minorHAnsi"/>
          <w:sz w:val="20"/>
          <w:szCs w:val="18"/>
          <w:lang w:val="fr-FR"/>
        </w:rPr>
        <w:t xml:space="preserve">claudication </w:t>
      </w:r>
      <w:r w:rsidR="009B1A50" w:rsidRPr="00C22ABE">
        <w:rPr>
          <w:rFonts w:cstheme="minorHAnsi"/>
          <w:sz w:val="20"/>
          <w:szCs w:val="18"/>
          <w:lang w:val="fr-FR"/>
        </w:rPr>
        <w:t>intermittente</w:t>
      </w:r>
      <w:r w:rsidR="00125BB3" w:rsidRPr="00C22ABE">
        <w:rPr>
          <w:rFonts w:cstheme="minorHAnsi"/>
          <w:sz w:val="20"/>
          <w:szCs w:val="18"/>
          <w:lang w:val="fr-FR"/>
        </w:rPr>
        <w:t xml:space="preserve"> </w:t>
      </w:r>
      <w:r w:rsidR="00125BB3" w:rsidRPr="00C22ABE">
        <w:rPr>
          <w:rFonts w:cstheme="minorHAnsi"/>
          <w:sz w:val="20"/>
          <w:szCs w:val="18"/>
          <w:lang w:val="fr-FR"/>
        </w:rPr>
        <w:fldChar w:fldCharType="begin"/>
      </w:r>
      <w:r w:rsidR="00DD29FB" w:rsidRPr="00C22ABE">
        <w:rPr>
          <w:rFonts w:cstheme="minorHAnsi"/>
          <w:sz w:val="20"/>
          <w:szCs w:val="18"/>
          <w:lang w:val="fr-FR"/>
        </w:rPr>
        <w:instrText xml:space="preserve"> ADDIN ZOTERO_ITEM CSL_CITATION {"citationID":"MaP4Mf1o","properties":{"formattedCitation":"(53)","plainCitation":"(53)","noteIndex":0},"citationItems":[{"id":219,"uris":["http://zotero.org/users/local/Om3YyEnU/items/Q35VVVVC"],"uri":["http://zotero.org/users/local/Om3YyEnU/items/Q35VVVVC"],"itemData":{"id":219,"type":"article-journal","abstract":"Osteoradionecrosis (ORN) of the jaws remains among the most commonly encountered and challenging complications of radiotherapy to the head and neck. The purpose of this study was to provide a review of the medical management for ORN and evaluate the reported outcomes with the use of pentoxifylline and tocopherol (PENTO), by means of a systematic review and meta-analysis. The predictor variable was the use of PENTO in the treatment of ORN. The outcome variable was the proportion of full recovery or significant improvement not requiring further intervention. The likelihood function was used to combine the studies and estimate the proportion and standard deviation of each outcome by the maximum likelihood estimation. Seven studies met the inclusion criteria. A total 211 patients were treated. One hundred twenty-six patients recovered fully or improved significantly not requiring further intervention. Sixty patients remained the same, 10 were lost to follow-up, and the disease progressed in 15. The current literature supports the use of PENTO in the treatment of ORN of the jaws. Additional well-designed prospective studies are needed in order to further validate the regimen that can then be employed in the treatment of ORN.","container-title":"International Journal of Oral and Maxillofacial Surgery","DOI":"10.1016/j.ijom.2018.08.007","ISSN":"1399-0020","issue":"2","journalAbbreviation":"Int J Oral Maxillofac Surg","language":"eng","note":"PMID: 30205911","page":"173-180","source":"PubMed","title":"Management of osteoradionecrosis of the jaws with pentoxifylline-tocopherol: a systematic review of the literature and meta-analysis","title-short":"Management of osteoradionecrosis of the jaws with pentoxifylline-tocopherol","volume":"48","author":[{"family":"Kolokythas","given":"A."},{"family":"Rasmussen","given":"J. T."},{"family":"Reardon","given":"J."},{"family":"Feng","given":"C."}],"issued":{"date-parts":[["2019",2]]}}}],"schema":"https://github.com/citation-style-language/schema/raw/master/csl-citation.json"} </w:instrText>
      </w:r>
      <w:r w:rsidR="00125BB3" w:rsidRPr="00C22ABE">
        <w:rPr>
          <w:rFonts w:cstheme="minorHAnsi"/>
          <w:sz w:val="20"/>
          <w:szCs w:val="18"/>
          <w:lang w:val="fr-FR"/>
        </w:rPr>
        <w:fldChar w:fldCharType="separate"/>
      </w:r>
      <w:r w:rsidR="00DD29FB" w:rsidRPr="00C22ABE">
        <w:rPr>
          <w:rFonts w:cstheme="minorHAnsi"/>
          <w:sz w:val="20"/>
        </w:rPr>
        <w:t>(53)</w:t>
      </w:r>
      <w:r w:rsidR="00125BB3" w:rsidRPr="00C22ABE">
        <w:rPr>
          <w:rFonts w:cstheme="minorHAnsi"/>
          <w:sz w:val="20"/>
          <w:szCs w:val="18"/>
          <w:lang w:val="fr-FR"/>
        </w:rPr>
        <w:fldChar w:fldCharType="end"/>
      </w:r>
      <w:r w:rsidR="004B7844" w:rsidRPr="00C22ABE">
        <w:rPr>
          <w:rFonts w:cstheme="minorHAnsi"/>
          <w:sz w:val="20"/>
          <w:szCs w:val="18"/>
          <w:lang w:val="fr-FR"/>
        </w:rPr>
        <w:t>.</w:t>
      </w:r>
    </w:p>
    <w:p w14:paraId="75236844" w14:textId="7109B339" w:rsidR="00D95A48" w:rsidRPr="00C22ABE" w:rsidRDefault="00010F21" w:rsidP="00B11DAF">
      <w:pPr>
        <w:tabs>
          <w:tab w:val="left" w:pos="7110"/>
        </w:tabs>
        <w:rPr>
          <w:rFonts w:cstheme="minorHAnsi"/>
          <w:sz w:val="20"/>
          <w:szCs w:val="18"/>
          <w:u w:val="single"/>
          <w:lang w:val="fr-FR"/>
        </w:rPr>
      </w:pPr>
      <w:r w:rsidRPr="00C22ABE">
        <w:rPr>
          <w:rFonts w:cstheme="minorHAnsi"/>
          <w:sz w:val="20"/>
          <w:szCs w:val="18"/>
          <w:u w:val="single"/>
          <w:lang w:val="fr-FR"/>
        </w:rPr>
        <w:t>Effets secondaire</w:t>
      </w:r>
      <w:r w:rsidR="00D95A48" w:rsidRPr="00C22ABE">
        <w:rPr>
          <w:rFonts w:cstheme="minorHAnsi"/>
          <w:sz w:val="20"/>
          <w:szCs w:val="18"/>
          <w:u w:val="single"/>
          <w:lang w:val="fr-FR"/>
        </w:rPr>
        <w:t>s</w:t>
      </w:r>
      <w:r w:rsidR="00125BB3" w:rsidRPr="00C22ABE">
        <w:rPr>
          <w:rFonts w:cstheme="minorHAnsi"/>
          <w:sz w:val="20"/>
          <w:szCs w:val="18"/>
          <w:lang w:val="fr-FR"/>
        </w:rPr>
        <w:t xml:space="preserve"> : </w:t>
      </w:r>
      <w:r w:rsidR="004B7844" w:rsidRPr="00C22ABE">
        <w:rPr>
          <w:rFonts w:cstheme="minorHAnsi"/>
          <w:sz w:val="20"/>
          <w:szCs w:val="18"/>
          <w:lang w:val="fr-FR"/>
        </w:rPr>
        <w:t>n</w:t>
      </w:r>
      <w:r w:rsidR="00D95A48" w:rsidRPr="00C22ABE">
        <w:rPr>
          <w:rFonts w:cstheme="minorHAnsi"/>
          <w:sz w:val="20"/>
          <w:szCs w:val="18"/>
          <w:lang w:val="fr-FR"/>
        </w:rPr>
        <w:t>ausées, vomissements, diarrhée</w:t>
      </w:r>
      <w:r w:rsidR="00893EF9" w:rsidRPr="00C22ABE">
        <w:rPr>
          <w:rFonts w:cstheme="minorHAnsi"/>
          <w:sz w:val="20"/>
          <w:szCs w:val="18"/>
          <w:lang w:val="fr-FR"/>
        </w:rPr>
        <w:t>, t</w:t>
      </w:r>
      <w:r w:rsidR="00D95A48" w:rsidRPr="00C22ABE">
        <w:rPr>
          <w:rFonts w:cstheme="minorHAnsi"/>
          <w:sz w:val="20"/>
          <w:szCs w:val="18"/>
          <w:lang w:val="fr-FR"/>
        </w:rPr>
        <w:t>achycardie</w:t>
      </w:r>
      <w:r w:rsidR="00893EF9" w:rsidRPr="00C22ABE">
        <w:rPr>
          <w:rFonts w:cstheme="minorHAnsi"/>
          <w:sz w:val="20"/>
          <w:szCs w:val="18"/>
          <w:lang w:val="fr-FR"/>
        </w:rPr>
        <w:t>, v</w:t>
      </w:r>
      <w:r w:rsidR="00D95A48" w:rsidRPr="00C22ABE">
        <w:rPr>
          <w:rFonts w:cstheme="minorHAnsi"/>
          <w:sz w:val="20"/>
          <w:szCs w:val="18"/>
          <w:lang w:val="fr-FR"/>
        </w:rPr>
        <w:t xml:space="preserve">ertiges, céphalées, </w:t>
      </w:r>
      <w:r w:rsidR="00590CA3" w:rsidRPr="00C22ABE">
        <w:rPr>
          <w:rFonts w:cstheme="minorHAnsi"/>
          <w:sz w:val="20"/>
          <w:szCs w:val="18"/>
          <w:lang w:val="fr-FR"/>
        </w:rPr>
        <w:t>agitation</w:t>
      </w:r>
      <w:r w:rsidR="009B2471" w:rsidRPr="00C22ABE">
        <w:rPr>
          <w:rFonts w:cstheme="minorHAnsi"/>
          <w:sz w:val="20"/>
          <w:szCs w:val="18"/>
          <w:lang w:val="fr-FR"/>
        </w:rPr>
        <w:t>,</w:t>
      </w:r>
      <w:r w:rsidR="00893EF9" w:rsidRPr="00C22ABE">
        <w:rPr>
          <w:rFonts w:cstheme="minorHAnsi"/>
          <w:sz w:val="20"/>
          <w:szCs w:val="18"/>
          <w:lang w:val="fr-FR"/>
        </w:rPr>
        <w:t xml:space="preserve"> </w:t>
      </w:r>
      <w:r w:rsidR="00F847DA" w:rsidRPr="00C22ABE">
        <w:rPr>
          <w:rFonts w:cstheme="minorHAnsi"/>
          <w:sz w:val="20"/>
          <w:szCs w:val="18"/>
          <w:lang w:val="fr-FR"/>
        </w:rPr>
        <w:t xml:space="preserve">nécessitant exceptionnellement </w:t>
      </w:r>
      <w:r w:rsidR="00893EF9" w:rsidRPr="00C22ABE">
        <w:rPr>
          <w:rFonts w:cstheme="minorHAnsi"/>
          <w:sz w:val="20"/>
          <w:szCs w:val="18"/>
          <w:lang w:val="fr-FR"/>
        </w:rPr>
        <w:t>l’arrêt du traitement</w:t>
      </w:r>
      <w:r w:rsidR="00F847DA" w:rsidRPr="00C22ABE">
        <w:rPr>
          <w:rFonts w:cstheme="minorHAnsi"/>
          <w:sz w:val="20"/>
          <w:szCs w:val="18"/>
          <w:lang w:val="fr-FR"/>
        </w:rPr>
        <w:t>.</w:t>
      </w:r>
    </w:p>
    <w:p w14:paraId="529A8BD2" w14:textId="1C8BCCB0" w:rsidR="00010F21" w:rsidRPr="00C22ABE" w:rsidRDefault="00010F21" w:rsidP="00B11DAF">
      <w:pPr>
        <w:tabs>
          <w:tab w:val="left" w:pos="7110"/>
        </w:tabs>
        <w:rPr>
          <w:rFonts w:cstheme="minorHAnsi"/>
          <w:sz w:val="20"/>
          <w:szCs w:val="18"/>
          <w:u w:val="single"/>
        </w:rPr>
      </w:pPr>
      <w:r w:rsidRPr="00C22ABE">
        <w:rPr>
          <w:rFonts w:cstheme="minorHAnsi"/>
          <w:sz w:val="20"/>
          <w:szCs w:val="18"/>
          <w:u w:val="single"/>
        </w:rPr>
        <w:t>Contrindication</w:t>
      </w:r>
      <w:r w:rsidR="00125BB3" w:rsidRPr="00C22ABE">
        <w:rPr>
          <w:rFonts w:cstheme="minorHAnsi"/>
          <w:sz w:val="20"/>
          <w:szCs w:val="18"/>
          <w:u w:val="single"/>
        </w:rPr>
        <w:t xml:space="preserve"> : </w:t>
      </w:r>
      <w:r w:rsidR="00D95A48" w:rsidRPr="00C22ABE">
        <w:rPr>
          <w:rFonts w:cstheme="minorHAnsi"/>
          <w:sz w:val="20"/>
          <w:szCs w:val="18"/>
        </w:rPr>
        <w:t>Patients sous anticoagulants ou hypoglycémiants</w:t>
      </w:r>
      <w:r w:rsidR="00984E56" w:rsidRPr="00C22ABE">
        <w:rPr>
          <w:rFonts w:cstheme="minorHAnsi"/>
          <w:sz w:val="20"/>
          <w:szCs w:val="18"/>
        </w:rPr>
        <w:t>.</w:t>
      </w:r>
      <w:r w:rsidR="00D95A48" w:rsidRPr="00C22ABE">
        <w:rPr>
          <w:rFonts w:cstheme="minorHAnsi"/>
          <w:sz w:val="20"/>
          <w:szCs w:val="18"/>
        </w:rPr>
        <w:t xml:space="preserve"> </w:t>
      </w:r>
    </w:p>
    <w:p w14:paraId="3ED55911" w14:textId="036689BE" w:rsidR="009B1A50" w:rsidRPr="00C22ABE" w:rsidRDefault="00BC1FA1" w:rsidP="00B11DAF">
      <w:pPr>
        <w:tabs>
          <w:tab w:val="left" w:pos="7110"/>
        </w:tabs>
        <w:rPr>
          <w:rFonts w:cstheme="minorHAnsi"/>
          <w:b/>
          <w:bCs/>
          <w:sz w:val="20"/>
          <w:szCs w:val="18"/>
        </w:rPr>
      </w:pPr>
      <w:r w:rsidRPr="00C22ABE">
        <w:rPr>
          <w:rFonts w:cstheme="minorHAnsi"/>
          <w:sz w:val="20"/>
          <w:szCs w:val="18"/>
        </w:rPr>
        <w:t>L’</w:t>
      </w:r>
      <w:r w:rsidR="006300CC" w:rsidRPr="00C22ABE">
        <w:rPr>
          <w:rFonts w:cstheme="minorHAnsi"/>
          <w:b/>
          <w:bCs/>
          <w:sz w:val="20"/>
          <w:szCs w:val="18"/>
        </w:rPr>
        <w:sym w:font="Symbol" w:char="F061"/>
      </w:r>
      <w:r w:rsidR="006300CC" w:rsidRPr="00C22ABE">
        <w:rPr>
          <w:rFonts w:cstheme="minorHAnsi"/>
          <w:b/>
          <w:bCs/>
          <w:sz w:val="20"/>
          <w:szCs w:val="18"/>
        </w:rPr>
        <w:t>-</w:t>
      </w:r>
      <w:r w:rsidR="00125BB3" w:rsidRPr="00C22ABE">
        <w:rPr>
          <w:rFonts w:cstheme="minorHAnsi"/>
          <w:b/>
          <w:bCs/>
          <w:sz w:val="20"/>
          <w:szCs w:val="18"/>
        </w:rPr>
        <w:t>Tocophérol (vitamine E)</w:t>
      </w:r>
      <w:r w:rsidRPr="00C22ABE">
        <w:rPr>
          <w:rFonts w:cstheme="minorHAnsi"/>
          <w:b/>
          <w:bCs/>
          <w:sz w:val="20"/>
          <w:szCs w:val="18"/>
        </w:rPr>
        <w:t xml:space="preserve"> </w:t>
      </w:r>
      <w:r w:rsidR="00803C34" w:rsidRPr="00C22ABE">
        <w:rPr>
          <w:rFonts w:cstheme="minorHAnsi"/>
          <w:sz w:val="20"/>
          <w:szCs w:val="18"/>
        </w:rPr>
        <w:t>se lie</w:t>
      </w:r>
      <w:r w:rsidR="009B1A50" w:rsidRPr="00C22ABE">
        <w:rPr>
          <w:rFonts w:cstheme="minorHAnsi"/>
          <w:sz w:val="20"/>
          <w:szCs w:val="18"/>
        </w:rPr>
        <w:t xml:space="preserve"> aux radicaux libres</w:t>
      </w:r>
      <w:r w:rsidR="006300CC" w:rsidRPr="00C22ABE">
        <w:rPr>
          <w:rFonts w:cstheme="minorHAnsi"/>
          <w:sz w:val="20"/>
          <w:szCs w:val="18"/>
        </w:rPr>
        <w:t xml:space="preserve"> générés pendant les réactions inflammatoires de la radiothérapie</w:t>
      </w:r>
      <w:r w:rsidR="009B1A50" w:rsidRPr="00C22ABE">
        <w:rPr>
          <w:rFonts w:cstheme="minorHAnsi"/>
          <w:sz w:val="20"/>
          <w:szCs w:val="18"/>
        </w:rPr>
        <w:t xml:space="preserve">, </w:t>
      </w:r>
      <w:r w:rsidR="00803C34" w:rsidRPr="00C22ABE">
        <w:rPr>
          <w:rFonts w:cstheme="minorHAnsi"/>
          <w:sz w:val="20"/>
          <w:szCs w:val="18"/>
        </w:rPr>
        <w:t xml:space="preserve">et permet ainsi </w:t>
      </w:r>
      <w:r w:rsidR="009B1A50" w:rsidRPr="00C22ABE">
        <w:rPr>
          <w:rFonts w:cstheme="minorHAnsi"/>
          <w:sz w:val="20"/>
          <w:szCs w:val="18"/>
        </w:rPr>
        <w:t xml:space="preserve">une protection </w:t>
      </w:r>
      <w:r w:rsidR="00997B19" w:rsidRPr="00C22ABE">
        <w:rPr>
          <w:rFonts w:cstheme="minorHAnsi"/>
          <w:sz w:val="20"/>
          <w:szCs w:val="18"/>
        </w:rPr>
        <w:t xml:space="preserve">des membranes </w:t>
      </w:r>
      <w:r w:rsidR="00085669" w:rsidRPr="00C22ABE">
        <w:rPr>
          <w:rFonts w:cstheme="minorHAnsi"/>
          <w:sz w:val="20"/>
          <w:szCs w:val="18"/>
        </w:rPr>
        <w:t>de la</w:t>
      </w:r>
      <w:r w:rsidR="009B1A50" w:rsidRPr="00C22ABE">
        <w:rPr>
          <w:rFonts w:cstheme="minorHAnsi"/>
          <w:sz w:val="20"/>
          <w:szCs w:val="18"/>
        </w:rPr>
        <w:t xml:space="preserve"> </w:t>
      </w:r>
      <w:r w:rsidR="00997B19" w:rsidRPr="00C22ABE">
        <w:rPr>
          <w:rFonts w:cstheme="minorHAnsi"/>
          <w:sz w:val="20"/>
          <w:szCs w:val="18"/>
        </w:rPr>
        <w:t>per</w:t>
      </w:r>
      <w:r w:rsidR="009B1A50" w:rsidRPr="00C22ABE">
        <w:rPr>
          <w:rFonts w:cstheme="minorHAnsi"/>
          <w:sz w:val="20"/>
          <w:szCs w:val="18"/>
        </w:rPr>
        <w:t>oxydation</w:t>
      </w:r>
      <w:r w:rsidR="00997B19" w:rsidRPr="00C22ABE">
        <w:rPr>
          <w:rFonts w:cstheme="minorHAnsi"/>
          <w:sz w:val="20"/>
          <w:szCs w:val="18"/>
        </w:rPr>
        <w:t xml:space="preserve"> </w:t>
      </w:r>
      <w:proofErr w:type="spellStart"/>
      <w:r w:rsidR="00997B19" w:rsidRPr="00C22ABE">
        <w:rPr>
          <w:rFonts w:cstheme="minorHAnsi"/>
          <w:sz w:val="20"/>
          <w:szCs w:val="18"/>
        </w:rPr>
        <w:t>lipidienne</w:t>
      </w:r>
      <w:proofErr w:type="spellEnd"/>
      <w:r w:rsidR="00803C34" w:rsidRPr="00C22ABE">
        <w:rPr>
          <w:rFonts w:cstheme="minorHAnsi"/>
          <w:sz w:val="20"/>
          <w:szCs w:val="18"/>
        </w:rPr>
        <w:t xml:space="preserve"> </w:t>
      </w:r>
      <w:r w:rsidR="005D69E0" w:rsidRPr="00C22ABE">
        <w:rPr>
          <w:rFonts w:cstheme="minorHAnsi"/>
          <w:sz w:val="20"/>
          <w:szCs w:val="18"/>
        </w:rPr>
        <w:t xml:space="preserve"> </w:t>
      </w:r>
      <w:r w:rsidR="005D69E0" w:rsidRPr="00C22ABE">
        <w:rPr>
          <w:rFonts w:cstheme="minorHAnsi"/>
          <w:sz w:val="20"/>
          <w:szCs w:val="18"/>
        </w:rPr>
        <w:fldChar w:fldCharType="begin"/>
      </w:r>
      <w:r w:rsidR="00DD29FB" w:rsidRPr="00C22ABE">
        <w:rPr>
          <w:rFonts w:cstheme="minorHAnsi"/>
          <w:sz w:val="20"/>
          <w:szCs w:val="18"/>
        </w:rPr>
        <w:instrText xml:space="preserve"> ADDIN ZOTERO_ITEM CSL_CITATION {"citationID":"liBONCfo","properties":{"formattedCitation":"(55)","plainCitation":"(55)","noteIndex":0},"citationItems":[{"id":227,"uris":["http://zotero.org/users/local/Om3YyEnU/items/UURR2L6W"],"uri":["http://zotero.org/users/local/Om3YyEnU/items/UURR2L6W"],"itemData":{"id":227,"type":"article-journal","container-title":"Journal of Cranio-Maxillofacial Surgery","DOI":"10.1016/j.jcms.2020.02.008","ISSN":"10105182","issue":"7","journalAbbreviation":"Journal of Cranio-Maxillofacial Surgery","language":"en","page":"621-631","source":"DOI.org (Crossref)","title":"Effects of pentoxifylline and tocopherol on an osteoradionecrosis animal model","volume":"48","author":[{"family":"Seo","given":"Mi Hyun"},{"family":"Myoung","given":"Hoon"},{"family":"Lee","given":"Jong Ho"},{"family":"Yang","given":"Hyeong Cheol"},{"family":"Woo","given":"Kyung Mi"},{"family":"Lee","given":"Suk Keun"},{"family":"Kim","given":"Soung Min"}],"issued":{"date-parts":[["2020",7]]}}}],"schema":"https://github.com/citation-style-language/schema/raw/master/csl-citation.json"} </w:instrText>
      </w:r>
      <w:r w:rsidR="005D69E0" w:rsidRPr="00C22ABE">
        <w:rPr>
          <w:rFonts w:cstheme="minorHAnsi"/>
          <w:sz w:val="20"/>
          <w:szCs w:val="18"/>
        </w:rPr>
        <w:fldChar w:fldCharType="separate"/>
      </w:r>
      <w:r w:rsidR="00DD29FB" w:rsidRPr="00C22ABE">
        <w:rPr>
          <w:rFonts w:cstheme="minorHAnsi"/>
          <w:sz w:val="20"/>
        </w:rPr>
        <w:t>(55)</w:t>
      </w:r>
      <w:r w:rsidR="005D69E0" w:rsidRPr="00C22ABE">
        <w:rPr>
          <w:rFonts w:cstheme="minorHAnsi"/>
          <w:sz w:val="20"/>
          <w:szCs w:val="18"/>
        </w:rPr>
        <w:fldChar w:fldCharType="end"/>
      </w:r>
      <w:r w:rsidR="005D69E0" w:rsidRPr="00C22ABE">
        <w:rPr>
          <w:rFonts w:cstheme="minorHAnsi"/>
          <w:sz w:val="20"/>
          <w:szCs w:val="18"/>
        </w:rPr>
        <w:t xml:space="preserve">. </w:t>
      </w:r>
      <w:r w:rsidR="00F847DA" w:rsidRPr="00C22ABE">
        <w:rPr>
          <w:rFonts w:cstheme="minorHAnsi"/>
          <w:sz w:val="20"/>
          <w:szCs w:val="18"/>
        </w:rPr>
        <w:t xml:space="preserve">Après traitement par </w:t>
      </w:r>
      <w:r w:rsidR="006300CC" w:rsidRPr="00C22ABE">
        <w:rPr>
          <w:rFonts w:cstheme="minorHAnsi"/>
          <w:sz w:val="20"/>
          <w:szCs w:val="18"/>
        </w:rPr>
        <w:sym w:font="Symbol" w:char="F061"/>
      </w:r>
      <w:r w:rsidR="009B2471" w:rsidRPr="00C22ABE">
        <w:rPr>
          <w:rFonts w:cstheme="minorHAnsi"/>
          <w:sz w:val="20"/>
          <w:szCs w:val="18"/>
        </w:rPr>
        <w:t>-</w:t>
      </w:r>
      <w:r w:rsidR="00F847DA" w:rsidRPr="00C22ABE">
        <w:rPr>
          <w:rFonts w:cstheme="minorHAnsi"/>
          <w:sz w:val="20"/>
          <w:szCs w:val="18"/>
        </w:rPr>
        <w:t>tocophérol, o</w:t>
      </w:r>
      <w:r w:rsidR="00803C34" w:rsidRPr="00C22ABE">
        <w:rPr>
          <w:rFonts w:cstheme="minorHAnsi"/>
          <w:sz w:val="20"/>
          <w:szCs w:val="18"/>
        </w:rPr>
        <w:t>n note une préservation de la paroi interne des vaisseaux déjà atteints</w:t>
      </w:r>
      <w:r w:rsidR="009B1A50" w:rsidRPr="00C22ABE">
        <w:rPr>
          <w:rFonts w:cstheme="minorHAnsi"/>
          <w:sz w:val="20"/>
          <w:szCs w:val="18"/>
        </w:rPr>
        <w:t xml:space="preserve"> et </w:t>
      </w:r>
      <w:r w:rsidR="00803C34" w:rsidRPr="00C22ABE">
        <w:rPr>
          <w:rFonts w:cstheme="minorHAnsi"/>
          <w:sz w:val="20"/>
          <w:szCs w:val="18"/>
        </w:rPr>
        <w:t>une protection contre la poursuite de la dégradation causée par</w:t>
      </w:r>
      <w:r w:rsidR="009B1A50" w:rsidRPr="00C22ABE">
        <w:rPr>
          <w:rFonts w:cstheme="minorHAnsi"/>
          <w:sz w:val="20"/>
          <w:szCs w:val="18"/>
        </w:rPr>
        <w:t xml:space="preserve"> l’action de radicaux d’oxygène</w:t>
      </w:r>
      <w:r w:rsidR="00F847DA" w:rsidRPr="00C22ABE">
        <w:rPr>
          <w:rFonts w:cstheme="minorHAnsi"/>
          <w:sz w:val="20"/>
          <w:szCs w:val="18"/>
        </w:rPr>
        <w:t>.</w:t>
      </w:r>
      <w:r w:rsidR="00803C34" w:rsidRPr="00C22ABE">
        <w:rPr>
          <w:rFonts w:cstheme="minorHAnsi"/>
          <w:sz w:val="20"/>
          <w:szCs w:val="18"/>
        </w:rPr>
        <w:t xml:space="preserve"> L’action antioxydante de</w:t>
      </w:r>
      <w:r w:rsidR="009B1A50" w:rsidRPr="00C22ABE">
        <w:rPr>
          <w:rFonts w:cstheme="minorHAnsi"/>
          <w:sz w:val="20"/>
          <w:szCs w:val="18"/>
        </w:rPr>
        <w:t xml:space="preserve"> l</w:t>
      </w:r>
      <w:r w:rsidR="00D831BC" w:rsidRPr="00C22ABE">
        <w:rPr>
          <w:rFonts w:cstheme="minorHAnsi"/>
          <w:sz w:val="20"/>
          <w:szCs w:val="18"/>
        </w:rPr>
        <w:t>’</w:t>
      </w:r>
      <w:r w:rsidR="00D831BC" w:rsidRPr="00C22ABE">
        <w:rPr>
          <w:rFonts w:cstheme="minorHAnsi"/>
          <w:sz w:val="20"/>
          <w:szCs w:val="18"/>
        </w:rPr>
        <w:sym w:font="Symbol" w:char="F061"/>
      </w:r>
      <w:r w:rsidR="00D831BC" w:rsidRPr="00C22ABE">
        <w:rPr>
          <w:rFonts w:cstheme="minorHAnsi"/>
          <w:sz w:val="20"/>
          <w:szCs w:val="18"/>
        </w:rPr>
        <w:t>-tocophérol</w:t>
      </w:r>
      <w:r w:rsidR="009B1A50" w:rsidRPr="00C22ABE">
        <w:rPr>
          <w:rFonts w:cstheme="minorHAnsi"/>
          <w:sz w:val="20"/>
          <w:szCs w:val="18"/>
        </w:rPr>
        <w:t xml:space="preserve"> réduit la formation et l’accumulation intracellulaire du LDL modifié par oxydation</w:t>
      </w:r>
      <w:r w:rsidR="00803C34" w:rsidRPr="00C22ABE">
        <w:rPr>
          <w:rFonts w:cstheme="minorHAnsi"/>
          <w:sz w:val="20"/>
          <w:szCs w:val="18"/>
        </w:rPr>
        <w:t xml:space="preserve">. </w:t>
      </w:r>
    </w:p>
    <w:p w14:paraId="105BC381" w14:textId="2986A6AD" w:rsidR="00803C34" w:rsidRPr="00C22ABE" w:rsidRDefault="00125BB3" w:rsidP="00B11DAF">
      <w:pPr>
        <w:tabs>
          <w:tab w:val="left" w:pos="7110"/>
        </w:tabs>
        <w:rPr>
          <w:rFonts w:cstheme="minorHAnsi"/>
          <w:sz w:val="20"/>
          <w:szCs w:val="18"/>
        </w:rPr>
      </w:pPr>
      <w:r w:rsidRPr="00C22ABE">
        <w:rPr>
          <w:rFonts w:cstheme="minorHAnsi"/>
          <w:sz w:val="20"/>
          <w:szCs w:val="18"/>
        </w:rPr>
        <w:t>Le t</w:t>
      </w:r>
      <w:r w:rsidR="00554B5C" w:rsidRPr="00C22ABE">
        <w:rPr>
          <w:rFonts w:cstheme="minorHAnsi"/>
          <w:sz w:val="20"/>
          <w:szCs w:val="18"/>
        </w:rPr>
        <w:t>oco</w:t>
      </w:r>
      <w:r w:rsidRPr="00C22ABE">
        <w:rPr>
          <w:rFonts w:cstheme="minorHAnsi"/>
          <w:sz w:val="20"/>
          <w:szCs w:val="18"/>
        </w:rPr>
        <w:t>phérol</w:t>
      </w:r>
      <w:r w:rsidR="00554B5C" w:rsidRPr="00C22ABE">
        <w:rPr>
          <w:rFonts w:cstheme="minorHAnsi"/>
          <w:sz w:val="20"/>
          <w:szCs w:val="18"/>
        </w:rPr>
        <w:t xml:space="preserve"> p</w:t>
      </w:r>
      <w:r w:rsidR="00590CA3" w:rsidRPr="00C22ABE">
        <w:rPr>
          <w:rFonts w:cstheme="minorHAnsi"/>
          <w:sz w:val="20"/>
          <w:szCs w:val="18"/>
        </w:rPr>
        <w:t xml:space="preserve">eut inhiber </w:t>
      </w:r>
      <w:r w:rsidR="00997B19" w:rsidRPr="00C22ABE">
        <w:rPr>
          <w:rFonts w:cstheme="minorHAnsi"/>
          <w:sz w:val="20"/>
          <w:szCs w:val="18"/>
        </w:rPr>
        <w:t xml:space="preserve">partiellement </w:t>
      </w:r>
      <w:r w:rsidR="00590CA3" w:rsidRPr="00C22ABE">
        <w:rPr>
          <w:rFonts w:cstheme="minorHAnsi"/>
          <w:sz w:val="20"/>
          <w:szCs w:val="18"/>
        </w:rPr>
        <w:t>l’expression de TGFβ</w:t>
      </w:r>
      <w:r w:rsidR="00D93F6B" w:rsidRPr="00C22ABE">
        <w:rPr>
          <w:rFonts w:cstheme="minorHAnsi"/>
          <w:sz w:val="20"/>
          <w:szCs w:val="18"/>
        </w:rPr>
        <w:t>1</w:t>
      </w:r>
      <w:r w:rsidR="00997B19" w:rsidRPr="00C22ABE">
        <w:rPr>
          <w:rFonts w:cstheme="minorHAnsi"/>
          <w:sz w:val="20"/>
          <w:szCs w:val="18"/>
        </w:rPr>
        <w:t xml:space="preserve"> </w:t>
      </w:r>
      <w:r w:rsidR="00554B5C" w:rsidRPr="00C22ABE">
        <w:rPr>
          <w:rFonts w:cstheme="minorHAnsi"/>
          <w:sz w:val="20"/>
          <w:szCs w:val="18"/>
        </w:rPr>
        <w:t>et du procollagène</w:t>
      </w:r>
      <w:r w:rsidR="005D69E0" w:rsidRPr="00C22ABE">
        <w:rPr>
          <w:rFonts w:cstheme="minorHAnsi"/>
          <w:sz w:val="20"/>
          <w:szCs w:val="18"/>
        </w:rPr>
        <w:t xml:space="preserve"> </w:t>
      </w:r>
      <w:r w:rsidR="005D69E0" w:rsidRPr="00C22ABE">
        <w:rPr>
          <w:rFonts w:cstheme="minorHAnsi"/>
          <w:sz w:val="20"/>
          <w:szCs w:val="18"/>
        </w:rPr>
        <w:fldChar w:fldCharType="begin"/>
      </w:r>
      <w:r w:rsidR="00281722" w:rsidRPr="00C22ABE">
        <w:rPr>
          <w:rFonts w:cstheme="minorHAnsi"/>
          <w:sz w:val="20"/>
          <w:szCs w:val="18"/>
        </w:rPr>
        <w:instrText xml:space="preserve"> ADDIN ZOTERO_ITEM CSL_CITATION {"citationID":"osj3U3kE","properties":{"formattedCitation":"(6)","plainCitation":"(6)","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W."}],"issued":{"date-parts":[["2016",11]]}}}],"schema":"https://github.com/citation-style-language/schema/raw/master/csl-citation.json"} </w:instrText>
      </w:r>
      <w:r w:rsidR="005D69E0" w:rsidRPr="00C22ABE">
        <w:rPr>
          <w:rFonts w:cstheme="minorHAnsi"/>
          <w:sz w:val="20"/>
          <w:szCs w:val="18"/>
        </w:rPr>
        <w:fldChar w:fldCharType="separate"/>
      </w:r>
      <w:r w:rsidR="00281722" w:rsidRPr="00C22ABE">
        <w:rPr>
          <w:rFonts w:cstheme="minorHAnsi"/>
          <w:sz w:val="20"/>
        </w:rPr>
        <w:t>(6)</w:t>
      </w:r>
      <w:r w:rsidR="005D69E0" w:rsidRPr="00C22ABE">
        <w:rPr>
          <w:rFonts w:cstheme="minorHAnsi"/>
          <w:sz w:val="20"/>
          <w:szCs w:val="18"/>
        </w:rPr>
        <w:fldChar w:fldCharType="end"/>
      </w:r>
      <w:r w:rsidR="00F847DA" w:rsidRPr="00C22ABE">
        <w:rPr>
          <w:rFonts w:cstheme="minorHAnsi"/>
          <w:sz w:val="20"/>
          <w:szCs w:val="18"/>
        </w:rPr>
        <w:t>.</w:t>
      </w:r>
    </w:p>
    <w:p w14:paraId="0DE92C9B" w14:textId="19245DE5" w:rsidR="00D831BC" w:rsidRPr="00C22ABE" w:rsidRDefault="00125BB3" w:rsidP="00B11DAF">
      <w:pPr>
        <w:tabs>
          <w:tab w:val="left" w:pos="7110"/>
        </w:tabs>
        <w:rPr>
          <w:rFonts w:cstheme="minorHAnsi"/>
          <w:sz w:val="20"/>
          <w:szCs w:val="18"/>
        </w:rPr>
      </w:pPr>
      <w:r w:rsidRPr="00C22ABE">
        <w:rPr>
          <w:rFonts w:cstheme="minorHAnsi"/>
          <w:sz w:val="20"/>
          <w:szCs w:val="18"/>
          <w:u w:val="single"/>
          <w:lang w:val="fr-FR"/>
        </w:rPr>
        <w:t>Effets secondaires </w:t>
      </w:r>
      <w:r w:rsidRPr="00C22ABE">
        <w:rPr>
          <w:rFonts w:cstheme="minorHAnsi"/>
          <w:sz w:val="20"/>
          <w:szCs w:val="18"/>
        </w:rPr>
        <w:t>:</w:t>
      </w:r>
      <w:r w:rsidR="005D69E0" w:rsidRPr="00C22ABE">
        <w:rPr>
          <w:rFonts w:cstheme="minorHAnsi"/>
          <w:sz w:val="20"/>
          <w:szCs w:val="18"/>
        </w:rPr>
        <w:t xml:space="preserve"> </w:t>
      </w:r>
      <w:r w:rsidR="00803C34" w:rsidRPr="00C22ABE">
        <w:rPr>
          <w:rFonts w:cstheme="minorHAnsi"/>
          <w:sz w:val="20"/>
          <w:szCs w:val="18"/>
        </w:rPr>
        <w:t>L</w:t>
      </w:r>
      <w:r w:rsidR="00D831BC" w:rsidRPr="00C22ABE">
        <w:rPr>
          <w:rFonts w:cstheme="minorHAnsi"/>
          <w:sz w:val="20"/>
          <w:szCs w:val="18"/>
        </w:rPr>
        <w:t>’</w:t>
      </w:r>
      <w:r w:rsidR="00803C34" w:rsidRPr="00C22ABE">
        <w:rPr>
          <w:rFonts w:cstheme="minorHAnsi"/>
          <w:sz w:val="20"/>
          <w:szCs w:val="18"/>
        </w:rPr>
        <w:t xml:space="preserve"> </w:t>
      </w:r>
      <w:r w:rsidR="00D831BC" w:rsidRPr="00C22ABE">
        <w:rPr>
          <w:rFonts w:cstheme="minorHAnsi"/>
          <w:sz w:val="20"/>
          <w:szCs w:val="18"/>
        </w:rPr>
        <w:sym w:font="Symbol" w:char="F061"/>
      </w:r>
      <w:r w:rsidR="00D831BC" w:rsidRPr="00C22ABE">
        <w:rPr>
          <w:rFonts w:cstheme="minorHAnsi"/>
          <w:sz w:val="20"/>
          <w:szCs w:val="18"/>
        </w:rPr>
        <w:t xml:space="preserve">-tocophérol </w:t>
      </w:r>
      <w:r w:rsidR="00997B19" w:rsidRPr="00C22ABE">
        <w:rPr>
          <w:rFonts w:cstheme="minorHAnsi"/>
          <w:sz w:val="20"/>
          <w:szCs w:val="18"/>
        </w:rPr>
        <w:t xml:space="preserve">a des </w:t>
      </w:r>
      <w:r w:rsidR="00803C34" w:rsidRPr="00C22ABE">
        <w:rPr>
          <w:rFonts w:cstheme="minorHAnsi"/>
          <w:sz w:val="20"/>
          <w:szCs w:val="18"/>
        </w:rPr>
        <w:t>effet</w:t>
      </w:r>
      <w:r w:rsidR="00997B19" w:rsidRPr="00C22ABE">
        <w:rPr>
          <w:rFonts w:cstheme="minorHAnsi"/>
          <w:sz w:val="20"/>
          <w:szCs w:val="18"/>
        </w:rPr>
        <w:t xml:space="preserve">s </w:t>
      </w:r>
      <w:proofErr w:type="spellStart"/>
      <w:r w:rsidR="00997B19" w:rsidRPr="00C22ABE">
        <w:rPr>
          <w:rFonts w:cstheme="minorHAnsi"/>
          <w:sz w:val="20"/>
          <w:szCs w:val="18"/>
        </w:rPr>
        <w:t>anti-</w:t>
      </w:r>
      <w:r w:rsidR="00803C34" w:rsidRPr="00C22ABE">
        <w:rPr>
          <w:rFonts w:cstheme="minorHAnsi"/>
          <w:sz w:val="20"/>
          <w:szCs w:val="18"/>
        </w:rPr>
        <w:t>vitamine</w:t>
      </w:r>
      <w:proofErr w:type="spellEnd"/>
      <w:r w:rsidR="00803C34" w:rsidRPr="00C22ABE">
        <w:rPr>
          <w:rFonts w:cstheme="minorHAnsi"/>
          <w:sz w:val="20"/>
          <w:szCs w:val="18"/>
        </w:rPr>
        <w:t xml:space="preserve"> K et </w:t>
      </w:r>
      <w:r w:rsidR="00997B19" w:rsidRPr="00C22ABE">
        <w:rPr>
          <w:rFonts w:cstheme="minorHAnsi"/>
          <w:sz w:val="20"/>
          <w:szCs w:val="18"/>
        </w:rPr>
        <w:t xml:space="preserve">peut </w:t>
      </w:r>
      <w:r w:rsidR="00803C34" w:rsidRPr="00C22ABE">
        <w:rPr>
          <w:rFonts w:cstheme="minorHAnsi"/>
          <w:sz w:val="20"/>
          <w:szCs w:val="18"/>
        </w:rPr>
        <w:t xml:space="preserve">augmenter le temps de coagulation chez les personnes prédisposées, par </w:t>
      </w:r>
      <w:r w:rsidR="00803C34" w:rsidRPr="003A68BA">
        <w:rPr>
          <w:rFonts w:cstheme="minorHAnsi"/>
          <w:sz w:val="20"/>
          <w:szCs w:val="18"/>
        </w:rPr>
        <w:t>exemple en cas de traitement aux anticoagulants oraux ou aux œstrogènes</w:t>
      </w:r>
      <w:r w:rsidR="005D69E0" w:rsidRPr="003A68BA">
        <w:rPr>
          <w:rFonts w:cstheme="minorHAnsi"/>
          <w:sz w:val="20"/>
          <w:szCs w:val="18"/>
        </w:rPr>
        <w:t>.</w:t>
      </w:r>
      <w:r w:rsidR="00D831BC" w:rsidRPr="003A68BA">
        <w:rPr>
          <w:rFonts w:cstheme="minorHAnsi"/>
          <w:sz w:val="20"/>
          <w:szCs w:val="18"/>
        </w:rPr>
        <w:t xml:space="preserve"> </w:t>
      </w:r>
      <w:r w:rsidR="001A6E1B" w:rsidRPr="003A68BA">
        <w:rPr>
          <w:rFonts w:cstheme="minorHAnsi"/>
          <w:sz w:val="20"/>
          <w:szCs w:val="18"/>
        </w:rPr>
        <w:t xml:space="preserve">En cas de doses supérieures à 1 g (1493 U.I.), des </w:t>
      </w:r>
      <w:r w:rsidR="004B55A9" w:rsidRPr="003A68BA">
        <w:rPr>
          <w:rFonts w:cstheme="minorHAnsi"/>
          <w:sz w:val="20"/>
          <w:szCs w:val="18"/>
        </w:rPr>
        <w:t xml:space="preserve">troubles </w:t>
      </w:r>
      <w:r w:rsidR="001A6E1B" w:rsidRPr="003A68BA">
        <w:rPr>
          <w:rFonts w:cstheme="minorHAnsi"/>
          <w:sz w:val="20"/>
          <w:szCs w:val="18"/>
        </w:rPr>
        <w:t xml:space="preserve">gastro-intestinaux peuvent éventuellement survenir, accompagnés de symptômes tels que </w:t>
      </w:r>
      <w:r w:rsidR="005A2B63" w:rsidRPr="003A68BA">
        <w:rPr>
          <w:rFonts w:cstheme="minorHAnsi"/>
          <w:sz w:val="20"/>
          <w:szCs w:val="18"/>
        </w:rPr>
        <w:t>céphalées</w:t>
      </w:r>
      <w:r w:rsidR="001A6E1B" w:rsidRPr="003A68BA">
        <w:rPr>
          <w:rFonts w:cstheme="minorHAnsi"/>
          <w:sz w:val="20"/>
          <w:szCs w:val="18"/>
        </w:rPr>
        <w:t xml:space="preserve">, </w:t>
      </w:r>
      <w:r w:rsidR="005A2B63" w:rsidRPr="003A68BA">
        <w:rPr>
          <w:rFonts w:cstheme="minorHAnsi"/>
          <w:sz w:val="20"/>
          <w:szCs w:val="18"/>
        </w:rPr>
        <w:t>asthénie</w:t>
      </w:r>
      <w:r w:rsidR="001A6E1B" w:rsidRPr="003A68BA">
        <w:rPr>
          <w:rFonts w:cstheme="minorHAnsi"/>
          <w:sz w:val="20"/>
          <w:szCs w:val="18"/>
        </w:rPr>
        <w:t xml:space="preserve">, </w:t>
      </w:r>
      <w:r w:rsidR="005A2B63" w:rsidRPr="003A68BA">
        <w:rPr>
          <w:rFonts w:cstheme="minorHAnsi"/>
          <w:sz w:val="20"/>
          <w:szCs w:val="18"/>
        </w:rPr>
        <w:t>hypotonie</w:t>
      </w:r>
      <w:r w:rsidR="001A6E1B" w:rsidRPr="003A68BA">
        <w:rPr>
          <w:rFonts w:cstheme="minorHAnsi"/>
          <w:sz w:val="20"/>
          <w:szCs w:val="18"/>
        </w:rPr>
        <w:t xml:space="preserve"> musculaire et hypertension</w:t>
      </w:r>
      <w:r w:rsidR="004B7844" w:rsidRPr="003A68BA">
        <w:rPr>
          <w:rFonts w:cstheme="minorHAnsi"/>
          <w:sz w:val="20"/>
          <w:szCs w:val="18"/>
        </w:rPr>
        <w:t>.</w:t>
      </w:r>
    </w:p>
    <w:p w14:paraId="64FD9519" w14:textId="2D163C90" w:rsidR="00EE5A96" w:rsidRPr="00C22ABE" w:rsidRDefault="00BC1FA1" w:rsidP="002E3149">
      <w:pPr>
        <w:tabs>
          <w:tab w:val="left" w:pos="7110"/>
        </w:tabs>
        <w:rPr>
          <w:rFonts w:cstheme="minorHAnsi"/>
          <w:b/>
          <w:szCs w:val="14"/>
        </w:rPr>
      </w:pPr>
      <w:r w:rsidRPr="00C22ABE">
        <w:rPr>
          <w:rFonts w:cstheme="minorHAnsi"/>
          <w:bCs/>
          <w:sz w:val="20"/>
          <w:szCs w:val="20"/>
        </w:rPr>
        <w:t>Le</w:t>
      </w:r>
      <w:r w:rsidRPr="00C22ABE">
        <w:rPr>
          <w:rFonts w:cstheme="minorHAnsi"/>
          <w:b/>
          <w:sz w:val="20"/>
          <w:szCs w:val="20"/>
        </w:rPr>
        <w:t xml:space="preserve"> </w:t>
      </w:r>
      <w:r w:rsidR="00D95A48" w:rsidRPr="00C22ABE">
        <w:rPr>
          <w:rFonts w:cstheme="minorHAnsi"/>
          <w:b/>
          <w:sz w:val="20"/>
          <w:szCs w:val="20"/>
        </w:rPr>
        <w:t>Clodronate</w:t>
      </w:r>
      <w:r w:rsidRPr="00C22ABE">
        <w:rPr>
          <w:rFonts w:cstheme="minorHAnsi"/>
          <w:b/>
          <w:sz w:val="20"/>
          <w:szCs w:val="20"/>
        </w:rPr>
        <w:t xml:space="preserve"> </w:t>
      </w:r>
      <w:r w:rsidRPr="00C22ABE">
        <w:rPr>
          <w:rFonts w:cstheme="minorHAnsi"/>
          <w:bCs/>
          <w:sz w:val="20"/>
          <w:szCs w:val="20"/>
        </w:rPr>
        <w:t xml:space="preserve">est un </w:t>
      </w:r>
      <w:r w:rsidR="00EE5A96" w:rsidRPr="00C22ABE">
        <w:rPr>
          <w:rFonts w:cstheme="minorHAnsi"/>
          <w:sz w:val="20"/>
          <w:szCs w:val="20"/>
        </w:rPr>
        <w:t>bisphosphonate de première</w:t>
      </w:r>
      <w:r w:rsidR="00EE5A96" w:rsidRPr="00C22ABE">
        <w:rPr>
          <w:rFonts w:cstheme="minorHAnsi"/>
          <w:sz w:val="20"/>
          <w:szCs w:val="18"/>
        </w:rPr>
        <w:t xml:space="preserve"> génération </w:t>
      </w:r>
      <w:r w:rsidRPr="00C22ABE">
        <w:rPr>
          <w:rFonts w:cstheme="minorHAnsi"/>
          <w:sz w:val="20"/>
          <w:szCs w:val="18"/>
        </w:rPr>
        <w:t>qui r</w:t>
      </w:r>
      <w:r w:rsidR="00D95A48" w:rsidRPr="00C22ABE">
        <w:rPr>
          <w:rFonts w:cstheme="minorHAnsi"/>
          <w:sz w:val="20"/>
          <w:szCs w:val="18"/>
        </w:rPr>
        <w:t xml:space="preserve">éduit le nombre </w:t>
      </w:r>
      <w:r w:rsidR="00125BB3" w:rsidRPr="00C22ABE">
        <w:rPr>
          <w:rFonts w:cstheme="minorHAnsi"/>
          <w:sz w:val="20"/>
          <w:szCs w:val="18"/>
        </w:rPr>
        <w:t xml:space="preserve">et l’activité des </w:t>
      </w:r>
      <w:r w:rsidR="00D95A48" w:rsidRPr="00C22ABE">
        <w:rPr>
          <w:rFonts w:cstheme="minorHAnsi"/>
          <w:sz w:val="20"/>
          <w:szCs w:val="18"/>
        </w:rPr>
        <w:t>ostéoclastes</w:t>
      </w:r>
      <w:r w:rsidR="00997B19" w:rsidRPr="00C22ABE">
        <w:rPr>
          <w:rFonts w:cstheme="minorHAnsi"/>
          <w:sz w:val="20"/>
          <w:szCs w:val="18"/>
        </w:rPr>
        <w:t xml:space="preserve"> et diminue par conséquence la résorption osseuse</w:t>
      </w:r>
      <w:r w:rsidR="00D95A48" w:rsidRPr="00C22ABE">
        <w:rPr>
          <w:rFonts w:cstheme="minorHAnsi"/>
          <w:sz w:val="20"/>
          <w:szCs w:val="18"/>
        </w:rPr>
        <w:t xml:space="preserve">. </w:t>
      </w:r>
      <w:r w:rsidR="005D69E0" w:rsidRPr="00C22ABE">
        <w:rPr>
          <w:rFonts w:cstheme="minorHAnsi"/>
          <w:sz w:val="20"/>
          <w:szCs w:val="18"/>
        </w:rPr>
        <w:t>Le c</w:t>
      </w:r>
      <w:r w:rsidR="00590CA3" w:rsidRPr="00C22ABE">
        <w:rPr>
          <w:rFonts w:cstheme="minorHAnsi"/>
          <w:sz w:val="20"/>
          <w:szCs w:val="18"/>
        </w:rPr>
        <w:t>lo</w:t>
      </w:r>
      <w:r w:rsidR="00125BB3" w:rsidRPr="00C22ABE">
        <w:rPr>
          <w:rFonts w:cstheme="minorHAnsi"/>
          <w:sz w:val="20"/>
          <w:szCs w:val="18"/>
        </w:rPr>
        <w:t>dronate</w:t>
      </w:r>
      <w:r w:rsidR="00590CA3" w:rsidRPr="00C22ABE">
        <w:rPr>
          <w:rFonts w:cstheme="minorHAnsi"/>
          <w:sz w:val="20"/>
          <w:szCs w:val="18"/>
        </w:rPr>
        <w:t xml:space="preserve"> augmente la </w:t>
      </w:r>
      <w:r w:rsidR="001A6E1B" w:rsidRPr="00C22ABE">
        <w:rPr>
          <w:rFonts w:cstheme="minorHAnsi"/>
          <w:sz w:val="20"/>
          <w:szCs w:val="18"/>
        </w:rPr>
        <w:t>formation</w:t>
      </w:r>
      <w:r w:rsidR="00590CA3" w:rsidRPr="00C22ABE">
        <w:rPr>
          <w:rFonts w:cstheme="minorHAnsi"/>
          <w:sz w:val="20"/>
          <w:szCs w:val="18"/>
        </w:rPr>
        <w:t xml:space="preserve"> osseuse </w:t>
      </w:r>
      <w:r w:rsidR="00997B19" w:rsidRPr="00C22ABE">
        <w:rPr>
          <w:rFonts w:cstheme="minorHAnsi"/>
          <w:sz w:val="20"/>
          <w:szCs w:val="18"/>
        </w:rPr>
        <w:t xml:space="preserve">par les ostéoblastes </w:t>
      </w:r>
      <w:r w:rsidR="00590CA3" w:rsidRPr="00C22ABE">
        <w:rPr>
          <w:rFonts w:cstheme="minorHAnsi"/>
          <w:sz w:val="20"/>
          <w:szCs w:val="18"/>
        </w:rPr>
        <w:t>et réduit la prolifération des fibroblastes</w:t>
      </w:r>
      <w:r w:rsidR="00997B19" w:rsidRPr="00C22ABE">
        <w:rPr>
          <w:rFonts w:cstheme="minorHAnsi"/>
          <w:sz w:val="20"/>
          <w:szCs w:val="18"/>
        </w:rPr>
        <w:t xml:space="preserve"> et des macrophages</w:t>
      </w:r>
      <w:r w:rsidR="00D831BC" w:rsidRPr="00C22ABE">
        <w:rPr>
          <w:rFonts w:cstheme="minorHAnsi"/>
          <w:sz w:val="20"/>
          <w:szCs w:val="18"/>
        </w:rPr>
        <w:t xml:space="preserve"> </w:t>
      </w:r>
      <w:r w:rsidR="00B82695" w:rsidRPr="00C22ABE">
        <w:rPr>
          <w:rFonts w:cstheme="minorHAnsi"/>
          <w:sz w:val="20"/>
          <w:szCs w:val="18"/>
        </w:rPr>
        <w:fldChar w:fldCharType="begin"/>
      </w:r>
      <w:r w:rsidR="00DD29FB" w:rsidRPr="00C22ABE">
        <w:rPr>
          <w:rFonts w:cstheme="minorHAnsi"/>
          <w:sz w:val="20"/>
          <w:szCs w:val="18"/>
        </w:rPr>
        <w:instrText xml:space="preserve"> ADDIN ZOTERO_ITEM CSL_CITATION {"citationID":"VcEFyYpS","properties":{"formattedCitation":"(56,57)","plainCitation":"(56,57)","noteIndex":0},"citationItems":[{"id":174,"uris":["http://zotero.org/users/local/Om3YyEnU/items/BZ8F9LNP"],"uri":["http://zotero.org/users/local/Om3YyEnU/items/BZ8F9LNP"],"itemData":{"id":174,"type":"article-journal","abstract":"Abstract\n            The deleterious effects of head and neck radiation on bone, with osteoradionecrosis (ORN) as the major disabling side effect of head and neck cancer treatment, are difficult to prevent and hard to treat. This review focuses on the current state of the science regarding the pathobiology, clinical impact, and management of ORN. With regard to the pathobiology underlying ORN, it is not yet confirmed whether the current radiation schedules by 3-dimensional conformal radiotherapy and intensity modified radiotherapy result in an unchanged, decreased, or increased risk of developing ORN when compared with conventional radiation treatment, the main risk factor being the total radiation dose delivered on any clinically significant surface of the mandible.\n            With regard to the prevention of ORN, a thorough, early pre-irradiation dental assessment is still considered the first step to reduce the hazard of developing ORN post-radiotherapy, and hyperbaric oxygen (HBO) treatment reduces the risk of developing ORN in case of dental surgery in an irradiated field.\n            With regard to the treatment of ORN, the focus is bidirectional: elimination of the necrotic bone and improving the vascularity of the normal tissues that were included in the radiation portal. The cure rate of limited ORN by conservative therapy is approximately 50%, and the cure rate of surgical approaches when conservative therapy has failed is approximately 40%.\n            Whether it is effective to support conservative or surgical treatment with HBO as an adjuvant is not set. HBO treatment is shown to increase the vascularity of hard and soft tissues and has been reported to be beneficial in selected cases. However, in randomized clinical trials comparing the preventive effect of HBO on developing ORN with, eg, antibiotic coverage in patients needing dental surgery, the preventive effect of HBO was not shown to surpass that of a more conservative approach.\n            More recently, pharmacologic management was introduced in the treatment of ORN with success, but its efficacy has to be confirmed in randomized clinical trials. The major problem of performing well-designed randomized clinical trials in ORN is having access to large numbers of patients with well-defined, comparable cases of ORN. Because many institutions will not have large numbers of such ORN cases, national and international scientific societies must be approached to join multicenter trials. Fortunately, the interest of funding organizations and the number researchers with an interest in healthy aging is growing. Research aimed at prevention and reduction of the morbidity of cancer treatment fits well within these programs.","container-title":"JNCI Monographs","DOI":"10.1093/jncimonographs/lgz006","ISSN":"1052-6773, 1745-6614","issue":"53","language":"en","page":"lgz006","source":"DOI.org (Crossref)","title":"Research Frontiers in Oral Toxicities of Cancer Therapies: Osteoradionecrosis of the Jaws","title-short":"Research Frontiers in Oral Toxicities of Cancer Therapies","volume":"2019","author":[{"family":"Spijkervet","given":"Frederik K L"},{"family":"Brennan","given":"Michael T"},{"family":"Peterson","given":"Douglas E"},{"family":"Witjes","given":"Max J H"},{"family":"Vissink","given":"Arjan"}],"issued":{"date-parts":[["2019",8,1]]}}},{"id":222,"uris":["http://zotero.org/users/local/Om3YyEnU/items/IWNFZ784"],"uri":["http://zotero.org/users/local/Om3YyEnU/items/IWNFZ784"],"itemData":{"id":222,"type":"article-journal","abstract":"Osteoradionecrosis (ORN) is an infrequent but serious complication of radiotherapy, especially in the head and neck region. It is a slowly progressive condition, with management in the early stages focused on symptom control, and surgery usually reserved for advanced ORN. However, established ORN is difficult to treat. The role of hyperbaric oxygen therapy has recently been contested. The use of pentoxifylline in the management of ORN was first described by Delanian in 2004, but its benefits have not been replicated in other studies. In cases of advanced ORN with pathological fractures, many centres still advocate surgical resection and reconstruction. However, in this group of patients who often have multiple medical comorbidities, many of whom have previously undergone significant surgery, a resective plan is not always ideal. This paper presents two successful cases of bony union after the use of pentoxifylline and tocopherol to manage grade III ORN of the mandible. Both patients had pathological fractures and orocutaneous fistulas and were deemed unsuitable for surgery. The possible reasons for the success of pentoxifylline and tocopherol are discussed, and a review of the current literature evidence of similar cases is presented. Pentoxifylline and tocopherol should be considered for the management of advanced ORN where surgical management is not appropriate.","container-title":"International Journal of Oral and Maxillofacial Surgery","DOI":"10.1016/j.ijom.2019.03.894","ISSN":"1399-0020","issue":"8","journalAbbreviation":"Int J Oral Maxillofac Surg","language":"eng","note":"PMID: 30981534","page":"1022-1027","source":"PubMed","title":"Is there a role for pentoxifylline and tocopherol in the management of advanced osteoradionecrosis of the jaws with pathological fractures? Case reports and review of the literature","title-short":"Is there a role for pentoxifylline and tocopherol in the management of advanced osteoradionecrosis of the jaws with pathological fractures?","volume":"48","author":[{"family":"Breik","given":"O."},{"family":"Tocaciu","given":"S."},{"family":"Briggs","given":"K."},{"family":"Tasfia Saief","given":"S."},{"family":"Richardson","given":"S."}],"issued":{"date-parts":[["2019",8]]}}}],"schema":"https://github.com/citation-style-language/schema/raw/master/csl-citation.json"} </w:instrText>
      </w:r>
      <w:r w:rsidR="00B82695" w:rsidRPr="00C22ABE">
        <w:rPr>
          <w:rFonts w:cstheme="minorHAnsi"/>
          <w:sz w:val="20"/>
          <w:szCs w:val="18"/>
        </w:rPr>
        <w:fldChar w:fldCharType="separate"/>
      </w:r>
      <w:r w:rsidR="00DD29FB" w:rsidRPr="00C22ABE">
        <w:rPr>
          <w:rFonts w:cstheme="minorHAnsi"/>
          <w:sz w:val="20"/>
        </w:rPr>
        <w:t>(56,57)</w:t>
      </w:r>
      <w:r w:rsidR="00B82695" w:rsidRPr="00C22ABE">
        <w:rPr>
          <w:rFonts w:cstheme="minorHAnsi"/>
          <w:sz w:val="20"/>
          <w:szCs w:val="18"/>
        </w:rPr>
        <w:fldChar w:fldCharType="end"/>
      </w:r>
      <w:r w:rsidR="00D831BC" w:rsidRPr="00C22ABE">
        <w:rPr>
          <w:rFonts w:cstheme="minorHAnsi"/>
          <w:sz w:val="20"/>
          <w:szCs w:val="18"/>
        </w:rPr>
        <w:t>. Il présente également une activité antiinflammatoire par réduction du niveau d’interleukine IL-</w:t>
      </w:r>
      <w:proofErr w:type="spellStart"/>
      <w:r w:rsidR="00D831BC" w:rsidRPr="00C22ABE">
        <w:rPr>
          <w:rFonts w:cstheme="minorHAnsi"/>
          <w:sz w:val="20"/>
          <w:szCs w:val="18"/>
        </w:rPr>
        <w:t>Ib</w:t>
      </w:r>
      <w:proofErr w:type="spellEnd"/>
      <w:r w:rsidR="00D831BC" w:rsidRPr="00C22ABE">
        <w:rPr>
          <w:rFonts w:cstheme="minorHAnsi"/>
          <w:sz w:val="20"/>
          <w:szCs w:val="18"/>
        </w:rPr>
        <w:t xml:space="preserve">, IL-6 et TNFα </w:t>
      </w:r>
      <w:r w:rsidR="00D831BC" w:rsidRPr="00C22ABE">
        <w:rPr>
          <w:rFonts w:cstheme="minorHAnsi"/>
          <w:sz w:val="20"/>
          <w:szCs w:val="18"/>
        </w:rPr>
        <w:fldChar w:fldCharType="begin"/>
      </w:r>
      <w:r w:rsidR="00DD29FB" w:rsidRPr="00C22ABE">
        <w:rPr>
          <w:rFonts w:cstheme="minorHAnsi"/>
          <w:sz w:val="20"/>
          <w:szCs w:val="18"/>
        </w:rPr>
        <w:instrText xml:space="preserve"> ADDIN ZOTERO_ITEM CSL_CITATION {"citationID":"tdawlxgV","properties":{"formattedCitation":"(56)","plainCitation":"(56)","noteIndex":0},"citationItems":[{"id":174,"uris":["http://zotero.org/users/local/Om3YyEnU/items/BZ8F9LNP"],"uri":["http://zotero.org/users/local/Om3YyEnU/items/BZ8F9LNP"],"itemData":{"id":174,"type":"article-journal","abstract":"Abstract\n            The deleterious effects of head and neck radiation on bone, with osteoradionecrosis (ORN) as the major disabling side effect of head and neck cancer treatment, are difficult to prevent and hard to treat. This review focuses on the current state of the science regarding the pathobiology, clinical impact, and management of ORN. With regard to the pathobiology underlying ORN, it is not yet confirmed whether the current radiation schedules by 3-dimensional conformal radiotherapy and intensity modified radiotherapy result in an unchanged, decreased, or increased risk of developing ORN when compared with conventional radiation treatment, the main risk factor being the total radiation dose delivered on any clinically significant surface of the mandible.\n            With regard to the prevention of ORN, a thorough, early pre-irradiation dental assessment is still considered the first step to reduce the hazard of developing ORN post-radiotherapy, and hyperbaric oxygen (HBO) treatment reduces the risk of developing ORN in case of dental surgery in an irradiated field.\n            With regard to the treatment of ORN, the focus is bidirectional: elimination of the necrotic bone and improving the vascularity of the normal tissues that were included in the radiation portal. The cure rate of limited ORN by conservative therapy is approximately 50%, and the cure rate of surgical approaches when conservative therapy has failed is approximately 40%.\n            Whether it is effective to support conservative or surgical treatment with HBO as an adjuvant is not set. HBO treatment is shown to increase the vascularity of hard and soft tissues and has been reported to be beneficial in selected cases. However, in randomized clinical trials comparing the preventive effect of HBO on developing ORN with, eg, antibiotic coverage in patients needing dental surgery, the preventive effect of HBO was not shown to surpass that of a more conservative approach.\n            More recently, pharmacologic management was introduced in the treatment of ORN with success, but its efficacy has to be confirmed in randomized clinical trials. The major problem of performing well-designed randomized clinical trials in ORN is having access to large numbers of patients with well-defined, comparable cases of ORN. Because many institutions will not have large numbers of such ORN cases, national and international scientific societies must be approached to join multicenter trials. Fortunately, the interest of funding organizations and the number researchers with an interest in healthy aging is growing. Research aimed at prevention and reduction of the morbidity of cancer treatment fits well within these programs.","container-title":"JNCI Monographs","DOI":"10.1093/jncimonographs/lgz006","ISSN":"1052-6773, 1745-6614","issue":"53","language":"en","page":"lgz006","source":"DOI.org (Crossref)","title":"Research Frontiers in Oral Toxicities of Cancer Therapies: Osteoradionecrosis of the Jaws","title-short":"Research Frontiers in Oral Toxicities of Cancer Therapies","volume":"2019","author":[{"family":"Spijkervet","given":"Frederik K L"},{"family":"Brennan","given":"Michael T"},{"family":"Peterson","given":"Douglas E"},{"family":"Witjes","given":"Max J H"},{"family":"Vissink","given":"Arjan"}],"issued":{"date-parts":[["2019",8,1]]}}}],"schema":"https://github.com/citation-style-language/schema/raw/master/csl-citation.json"} </w:instrText>
      </w:r>
      <w:r w:rsidR="00D831BC" w:rsidRPr="00C22ABE">
        <w:rPr>
          <w:rFonts w:cstheme="minorHAnsi"/>
          <w:sz w:val="20"/>
          <w:szCs w:val="18"/>
        </w:rPr>
        <w:fldChar w:fldCharType="separate"/>
      </w:r>
      <w:r w:rsidR="00DD29FB" w:rsidRPr="00C22ABE">
        <w:rPr>
          <w:rFonts w:cstheme="minorHAnsi"/>
          <w:sz w:val="20"/>
        </w:rPr>
        <w:t>(56)</w:t>
      </w:r>
      <w:r w:rsidR="00D831BC" w:rsidRPr="00C22ABE">
        <w:rPr>
          <w:rFonts w:cstheme="minorHAnsi"/>
          <w:sz w:val="20"/>
          <w:szCs w:val="18"/>
        </w:rPr>
        <w:fldChar w:fldCharType="end"/>
      </w:r>
      <w:r w:rsidR="00D831BC" w:rsidRPr="00C22ABE">
        <w:rPr>
          <w:rFonts w:cstheme="minorHAnsi"/>
          <w:sz w:val="20"/>
          <w:szCs w:val="18"/>
        </w:rPr>
        <w:t xml:space="preserve"> et </w:t>
      </w:r>
      <w:r w:rsidR="00EE5A96" w:rsidRPr="00C22ABE">
        <w:rPr>
          <w:rFonts w:cstheme="minorHAnsi"/>
          <w:sz w:val="20"/>
          <w:szCs w:val="18"/>
        </w:rPr>
        <w:t>diminue l’expression de TGF-</w:t>
      </w:r>
      <w:r w:rsidR="00EE5A96" w:rsidRPr="00C22ABE">
        <w:rPr>
          <w:rFonts w:cstheme="minorHAnsi"/>
        </w:rPr>
        <w:t xml:space="preserve"> </w:t>
      </w:r>
      <w:r w:rsidR="00EE5A96" w:rsidRPr="00C22ABE">
        <w:rPr>
          <w:rFonts w:cstheme="minorHAnsi"/>
          <w:sz w:val="20"/>
          <w:szCs w:val="18"/>
        </w:rPr>
        <w:t xml:space="preserve">β1 </w:t>
      </w:r>
      <w:r w:rsidR="00B82695" w:rsidRPr="00C22ABE">
        <w:rPr>
          <w:rFonts w:cstheme="minorHAnsi"/>
          <w:sz w:val="20"/>
          <w:szCs w:val="18"/>
        </w:rPr>
        <w:fldChar w:fldCharType="begin"/>
      </w:r>
      <w:r w:rsidR="00DD29FB" w:rsidRPr="00C22ABE">
        <w:rPr>
          <w:rFonts w:cstheme="minorHAnsi"/>
          <w:sz w:val="20"/>
          <w:szCs w:val="18"/>
        </w:rPr>
        <w:instrText xml:space="preserve"> ADDIN ZOTERO_ITEM CSL_CITATION {"citationID":"ii8fZzC6","properties":{"formattedCitation":"(58)","plainCitation":"(58)","noteIndex":0},"citationItems":[{"id":224,"uris":["http://zotero.org/users/local/Om3YyEnU/items/BPS5ZGJR"],"uri":["http://zotero.org/users/local/Om3YyEnU/items/BPS5ZGJR"],"itemData":{"id":224,"type":"article-journal","abstract":"Pentoxifylline has been used to treat complications related to fibrosis for over 20 years. Formerly used to treat those after radiotherapy such as osteoradionecrosis (ORN), it is now being tried for medication-related osteonecrosis of the jaw (MRONJ), which can occur after prolonged use of bisphosphonates. We review theories on the formation of fibrosis in patients with ORN, discuss the pharmacology of pentoxifylline and vitamin E, and report published outcomes. To our knowledge no prospective randomised controlled trial has investigated the benefits of these agents in cases of ORN, but reported outcomes in many published case series are encouraging.","container-title":"The British Journal of Oral &amp; Maxillofacial Surgery","DOI":"10.1016/j.bjoms.2016.12.006","ISSN":"1532-1940","issue":"3","journalAbbreviation":"Br J Oral Maxillofac Surg","language":"eng","note":"PMID: 28034471","page":"230-234","source":"PubMed","title":"Pentoxifylline - a review of its use in osteoradionecrosis","volume":"55","author":[{"family":"Lyons","given":"A. J."},{"family":"Brennan","given":"P. A."}],"issued":{"date-parts":[["2017",4]]}}}],"schema":"https://github.com/citation-style-language/schema/raw/master/csl-citation.json"} </w:instrText>
      </w:r>
      <w:r w:rsidR="00B82695" w:rsidRPr="00C22ABE">
        <w:rPr>
          <w:rFonts w:cstheme="minorHAnsi"/>
          <w:sz w:val="20"/>
          <w:szCs w:val="18"/>
        </w:rPr>
        <w:fldChar w:fldCharType="separate"/>
      </w:r>
      <w:r w:rsidR="00DD29FB" w:rsidRPr="00C22ABE">
        <w:rPr>
          <w:rFonts w:cstheme="minorHAnsi"/>
          <w:sz w:val="20"/>
        </w:rPr>
        <w:t>(58)</w:t>
      </w:r>
      <w:r w:rsidR="00B82695" w:rsidRPr="00C22ABE">
        <w:rPr>
          <w:rFonts w:cstheme="minorHAnsi"/>
          <w:sz w:val="20"/>
          <w:szCs w:val="18"/>
        </w:rPr>
        <w:fldChar w:fldCharType="end"/>
      </w:r>
      <w:r w:rsidR="00D831BC" w:rsidRPr="00C22ABE">
        <w:rPr>
          <w:rFonts w:cstheme="minorHAnsi"/>
          <w:sz w:val="20"/>
          <w:szCs w:val="18"/>
        </w:rPr>
        <w:t>.</w:t>
      </w:r>
      <w:r w:rsidR="004B7844" w:rsidRPr="00C22ABE">
        <w:rPr>
          <w:rFonts w:cstheme="minorHAnsi"/>
          <w:sz w:val="20"/>
          <w:szCs w:val="18"/>
        </w:rPr>
        <w:t xml:space="preserve"> </w:t>
      </w:r>
      <w:r w:rsidR="00997B19" w:rsidRPr="00C22ABE">
        <w:rPr>
          <w:rFonts w:cstheme="minorHAnsi"/>
          <w:sz w:val="20"/>
          <w:szCs w:val="18"/>
        </w:rPr>
        <w:t xml:space="preserve">On ne lui connaît pas de propriétés </w:t>
      </w:r>
      <w:proofErr w:type="spellStart"/>
      <w:r w:rsidR="00997B19" w:rsidRPr="00C22ABE">
        <w:rPr>
          <w:rFonts w:cstheme="minorHAnsi"/>
          <w:sz w:val="20"/>
          <w:szCs w:val="18"/>
        </w:rPr>
        <w:t>antiangiogéniques</w:t>
      </w:r>
      <w:proofErr w:type="spellEnd"/>
      <w:r w:rsidR="005D69E0" w:rsidRPr="00C22ABE">
        <w:rPr>
          <w:rFonts w:cstheme="minorHAnsi"/>
          <w:sz w:val="20"/>
          <w:szCs w:val="18"/>
        </w:rPr>
        <w:t>, contrairement aux bisphosphonates de 2</w:t>
      </w:r>
      <w:r w:rsidR="005D69E0" w:rsidRPr="00C22ABE">
        <w:rPr>
          <w:rFonts w:cstheme="minorHAnsi"/>
          <w:sz w:val="20"/>
          <w:szCs w:val="18"/>
          <w:vertAlign w:val="superscript"/>
        </w:rPr>
        <w:t>e</w:t>
      </w:r>
      <w:r w:rsidR="005D69E0" w:rsidRPr="00C22ABE">
        <w:rPr>
          <w:rFonts w:cstheme="minorHAnsi"/>
          <w:sz w:val="20"/>
          <w:szCs w:val="18"/>
        </w:rPr>
        <w:t xml:space="preserve"> et 3</w:t>
      </w:r>
      <w:r w:rsidR="005D69E0" w:rsidRPr="00C22ABE">
        <w:rPr>
          <w:rFonts w:cstheme="minorHAnsi"/>
          <w:sz w:val="20"/>
          <w:szCs w:val="18"/>
          <w:vertAlign w:val="superscript"/>
        </w:rPr>
        <w:t>e</w:t>
      </w:r>
      <w:r w:rsidR="005D69E0" w:rsidRPr="00C22ABE">
        <w:rPr>
          <w:rFonts w:cstheme="minorHAnsi"/>
          <w:sz w:val="20"/>
          <w:szCs w:val="18"/>
        </w:rPr>
        <w:t xml:space="preserve"> génération.</w:t>
      </w:r>
    </w:p>
    <w:p w14:paraId="374C8411" w14:textId="6CC19734" w:rsidR="0011637C" w:rsidRPr="00C22ABE" w:rsidRDefault="00265685" w:rsidP="00265685">
      <w:pPr>
        <w:tabs>
          <w:tab w:val="left" w:pos="7110"/>
        </w:tabs>
        <w:rPr>
          <w:rFonts w:cstheme="minorHAnsi"/>
          <w:sz w:val="20"/>
          <w:szCs w:val="18"/>
        </w:rPr>
      </w:pPr>
      <w:r w:rsidRPr="00C22ABE">
        <w:rPr>
          <w:rFonts w:cstheme="minorHAnsi"/>
          <w:b/>
          <w:szCs w:val="18"/>
        </w:rPr>
        <w:t xml:space="preserve">Association </w:t>
      </w:r>
      <w:r w:rsidR="0003057F" w:rsidRPr="00C22ABE">
        <w:rPr>
          <w:rFonts w:cstheme="minorHAnsi"/>
          <w:b/>
          <w:szCs w:val="18"/>
        </w:rPr>
        <w:t>Pen</w:t>
      </w:r>
      <w:r w:rsidRPr="00C22ABE">
        <w:rPr>
          <w:rFonts w:cstheme="minorHAnsi"/>
          <w:b/>
          <w:szCs w:val="18"/>
        </w:rPr>
        <w:t xml:space="preserve">toxifylline et </w:t>
      </w:r>
      <w:r w:rsidR="0003057F" w:rsidRPr="00C22ABE">
        <w:rPr>
          <w:rFonts w:cstheme="minorHAnsi"/>
          <w:b/>
          <w:szCs w:val="18"/>
        </w:rPr>
        <w:t>To</w:t>
      </w:r>
      <w:r w:rsidRPr="00C22ABE">
        <w:rPr>
          <w:rFonts w:cstheme="minorHAnsi"/>
          <w:b/>
          <w:szCs w:val="18"/>
        </w:rPr>
        <w:t>cophérol (</w:t>
      </w:r>
      <w:proofErr w:type="spellStart"/>
      <w:r w:rsidRPr="00C22ABE">
        <w:rPr>
          <w:rFonts w:cstheme="minorHAnsi"/>
          <w:b/>
          <w:szCs w:val="18"/>
        </w:rPr>
        <w:t>PenTo</w:t>
      </w:r>
      <w:proofErr w:type="spellEnd"/>
      <w:r w:rsidRPr="00C22ABE">
        <w:rPr>
          <w:rFonts w:cstheme="minorHAnsi"/>
          <w:b/>
          <w:szCs w:val="18"/>
        </w:rPr>
        <w:t>)</w:t>
      </w:r>
    </w:p>
    <w:p w14:paraId="0D734B7B" w14:textId="290F9220" w:rsidR="0011637C" w:rsidRPr="00C22ABE" w:rsidRDefault="0011637C" w:rsidP="0011637C">
      <w:pPr>
        <w:tabs>
          <w:tab w:val="left" w:pos="7110"/>
        </w:tabs>
        <w:rPr>
          <w:rFonts w:cstheme="minorHAnsi"/>
          <w:sz w:val="20"/>
          <w:szCs w:val="18"/>
        </w:rPr>
      </w:pPr>
      <w:r w:rsidRPr="00C22ABE">
        <w:rPr>
          <w:rFonts w:cstheme="minorHAnsi"/>
          <w:sz w:val="20"/>
          <w:szCs w:val="18"/>
        </w:rPr>
        <w:t xml:space="preserve">Les effets </w:t>
      </w:r>
      <w:proofErr w:type="spellStart"/>
      <w:r w:rsidRPr="00C22ABE">
        <w:rPr>
          <w:rFonts w:cstheme="minorHAnsi"/>
          <w:sz w:val="20"/>
          <w:szCs w:val="18"/>
        </w:rPr>
        <w:t>antifibrotiques</w:t>
      </w:r>
      <w:proofErr w:type="spellEnd"/>
      <w:r w:rsidRPr="00C22ABE">
        <w:rPr>
          <w:rFonts w:cstheme="minorHAnsi"/>
          <w:sz w:val="20"/>
          <w:szCs w:val="18"/>
        </w:rPr>
        <w:t xml:space="preserve"> de l’association </w:t>
      </w:r>
      <w:proofErr w:type="spellStart"/>
      <w:r w:rsidRPr="00C22ABE">
        <w:rPr>
          <w:rFonts w:cstheme="minorHAnsi"/>
          <w:sz w:val="20"/>
          <w:szCs w:val="18"/>
        </w:rPr>
        <w:t>PenTo</w:t>
      </w:r>
      <w:proofErr w:type="spellEnd"/>
      <w:r w:rsidRPr="00C22ABE">
        <w:rPr>
          <w:rFonts w:cstheme="minorHAnsi"/>
          <w:sz w:val="20"/>
          <w:szCs w:val="18"/>
        </w:rPr>
        <w:t xml:space="preserve"> pourraient être le résultat de l’inhibition de TGF- </w:t>
      </w:r>
      <w:r w:rsidRPr="00C22ABE">
        <w:rPr>
          <w:rFonts w:cstheme="minorHAnsi"/>
          <w:sz w:val="20"/>
          <w:szCs w:val="18"/>
          <w:lang w:val="en-US"/>
        </w:rPr>
        <w:t>β</w:t>
      </w:r>
      <w:r w:rsidRPr="00C22ABE">
        <w:rPr>
          <w:rFonts w:cstheme="minorHAnsi"/>
          <w:sz w:val="20"/>
          <w:szCs w:val="18"/>
        </w:rPr>
        <w:t xml:space="preserve">1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x6PWxVkD","properties":{"formattedCitation":"(58)","plainCitation":"(58)","noteIndex":0},"citationItems":[{"id":224,"uris":["http://zotero.org/users/local/Om3YyEnU/items/BPS5ZGJR"],"uri":["http://zotero.org/users/local/Om3YyEnU/items/BPS5ZGJR"],"itemData":{"id":224,"type":"article-journal","abstract":"Pentoxifylline has been used to treat complications related to fibrosis for over 20 years. Formerly used to treat those after radiotherapy such as osteoradionecrosis (ORN), it is now being tried for medication-related osteonecrosis of the jaw (MRONJ), which can occur after prolonged use of bisphosphonates. We review theories on the formation of fibrosis in patients with ORN, discuss the pharmacology of pentoxifylline and vitamin E, and report published outcomes. To our knowledge no prospective randomised controlled trial has investigated the benefits of these agents in cases of ORN, but reported outcomes in many published case series are encouraging.","container-title":"The British Journal of Oral &amp; Maxillofacial Surgery","DOI":"10.1016/j.bjoms.2016.12.006","ISSN":"1532-1940","issue":"3","journalAbbreviation":"Br J Oral Maxillofac Surg","language":"eng","note":"PMID: 28034471","page":"230-234","source":"PubMed","title":"Pentoxifylline - a review of its use in osteoradionecrosis","volume":"55","author":[{"family":"Lyons","given":"A. J."},{"family":"Brennan","given":"P. A."}],"issued":{"date-parts":[["2017",4]]}}}],"schema":"https://github.com/citation-style-language/schema/raw/master/csl-citation.json"}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(58)</w:t>
      </w:r>
      <w:r w:rsidRPr="00C22ABE">
        <w:rPr>
          <w:rFonts w:cstheme="minorHAnsi"/>
          <w:sz w:val="20"/>
          <w:szCs w:val="18"/>
        </w:rPr>
        <w:fldChar w:fldCharType="end"/>
      </w:r>
      <w:r w:rsidR="00D831BC" w:rsidRPr="00C22ABE">
        <w:rPr>
          <w:rFonts w:cstheme="minorHAnsi"/>
          <w:sz w:val="20"/>
          <w:szCs w:val="18"/>
        </w:rPr>
        <w:t>.</w:t>
      </w:r>
    </w:p>
    <w:p w14:paraId="4045ACDC" w14:textId="61CF4420" w:rsidR="002806B1" w:rsidRPr="00C22ABE" w:rsidRDefault="009D1FE6" w:rsidP="002E3149">
      <w:pPr>
        <w:tabs>
          <w:tab w:val="left" w:pos="7110"/>
        </w:tabs>
        <w:rPr>
          <w:rFonts w:cstheme="minorHAnsi"/>
          <w:sz w:val="20"/>
          <w:szCs w:val="12"/>
        </w:rPr>
      </w:pPr>
      <w:proofErr w:type="spellStart"/>
      <w:r w:rsidRPr="00C22ABE">
        <w:rPr>
          <w:rFonts w:cstheme="minorHAnsi"/>
          <w:sz w:val="20"/>
          <w:szCs w:val="18"/>
        </w:rPr>
        <w:t>Robard</w:t>
      </w:r>
      <w:proofErr w:type="spellEnd"/>
      <w:r w:rsidRPr="00C22ABE">
        <w:rPr>
          <w:rFonts w:cstheme="minorHAnsi"/>
          <w:sz w:val="20"/>
          <w:szCs w:val="18"/>
        </w:rPr>
        <w:t xml:space="preserve"> et al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HrtVM8vI","properties":{"formattedCitation":"(59)","plainCitation":"(59)","noteIndex":0},"citationItems":[{"id":216,"uris":["http://zotero.org/users/local/Om3YyEnU/items/8C2Q6T2J"],"uri":["http://zotero.org/users/local/Om3YyEnU/items/8C2Q6T2J"],"itemData":{"id":216,"type":"article-journal","container-title":"European Annals of Otorhinolaryngology, Head and Neck Diseases","DOI":"10.1016/j.anorl.2013.11.006","ISSN":"18797296","issue":"6","journalAbbreviation":"European Annals of Otorhinolaryngology, Head and Neck Diseases","language":"en","page":"333-338","source":"DOI.org (Crossref)","title":"Medical treatment of osteoradionecrosis of the mandible by PENTOCLO: Preliminary results","title-short":"Medical treatment of osteoradionecrosis of the mandible by PENTOCLO","volume":"131","author":[{"family":"Robard","given":"L."},{"family":"Louis","given":"M.-Y."},{"family":"Blanchard","given":"D."},{"family":"Babin","given":"E."},{"family":"Delanian","given":"S."}],"issued":{"date-parts":[["2014",12]]}}}],"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(59)</w:t>
      </w:r>
      <w:r w:rsidRPr="00C22ABE">
        <w:rPr>
          <w:rFonts w:cstheme="minorHAnsi"/>
          <w:sz w:val="20"/>
          <w:szCs w:val="18"/>
        </w:rPr>
        <w:fldChar w:fldCharType="end"/>
      </w:r>
      <w:r w:rsidRPr="00C22ABE">
        <w:rPr>
          <w:rFonts w:cstheme="minorHAnsi"/>
          <w:sz w:val="20"/>
          <w:szCs w:val="18"/>
        </w:rPr>
        <w:t xml:space="preserve"> </w:t>
      </w:r>
      <w:r w:rsidRPr="00C22ABE">
        <w:rPr>
          <w:rFonts w:cstheme="minorHAnsi"/>
          <w:sz w:val="20"/>
          <w:szCs w:val="12"/>
        </w:rPr>
        <w:t xml:space="preserve"> font précéder</w:t>
      </w:r>
      <w:r w:rsidR="0011637C" w:rsidRPr="00C22ABE">
        <w:rPr>
          <w:rFonts w:cstheme="minorHAnsi"/>
          <w:sz w:val="20"/>
          <w:szCs w:val="12"/>
        </w:rPr>
        <w:t xml:space="preserve"> </w:t>
      </w:r>
      <w:proofErr w:type="spellStart"/>
      <w:r w:rsidR="0011637C" w:rsidRPr="00C22ABE">
        <w:rPr>
          <w:rFonts w:cstheme="minorHAnsi"/>
          <w:sz w:val="20"/>
          <w:szCs w:val="12"/>
        </w:rPr>
        <w:t>PenTo</w:t>
      </w:r>
      <w:proofErr w:type="spellEnd"/>
      <w:r w:rsidRPr="00C22ABE">
        <w:rPr>
          <w:rFonts w:cstheme="minorHAnsi"/>
          <w:sz w:val="20"/>
          <w:szCs w:val="12"/>
        </w:rPr>
        <w:t xml:space="preserve"> par un traitement dit « </w:t>
      </w:r>
      <w:proofErr w:type="spellStart"/>
      <w:r w:rsidRPr="00C22ABE">
        <w:rPr>
          <w:rFonts w:cstheme="minorHAnsi"/>
          <w:sz w:val="20"/>
          <w:szCs w:val="12"/>
        </w:rPr>
        <w:t>désinfiltrant</w:t>
      </w:r>
      <w:proofErr w:type="spellEnd"/>
      <w:r w:rsidR="003A68BA">
        <w:rPr>
          <w:rFonts w:cstheme="minorHAnsi"/>
          <w:sz w:val="20"/>
          <w:szCs w:val="12"/>
        </w:rPr>
        <w:t> »</w:t>
      </w:r>
      <w:r w:rsidRPr="00C22ABE">
        <w:rPr>
          <w:rFonts w:cstheme="minorHAnsi"/>
          <w:sz w:val="20"/>
          <w:szCs w:val="12"/>
        </w:rPr>
        <w:t> </w:t>
      </w:r>
      <w:r w:rsidRPr="005A2B63">
        <w:rPr>
          <w:rFonts w:cstheme="minorHAnsi"/>
          <w:sz w:val="20"/>
          <w:szCs w:val="12"/>
        </w:rPr>
        <w:t xml:space="preserve">dans </w:t>
      </w:r>
      <w:r w:rsidRPr="00C22ABE">
        <w:rPr>
          <w:rFonts w:cstheme="minorHAnsi"/>
          <w:sz w:val="20"/>
          <w:szCs w:val="12"/>
        </w:rPr>
        <w:t>le but de diminuer la surinfection locale en terrain irradié (surtout l’actinomycose)</w:t>
      </w:r>
      <w:r w:rsidR="00BB24B7" w:rsidRPr="00C22ABE">
        <w:rPr>
          <w:rFonts w:cstheme="minorHAnsi"/>
          <w:sz w:val="20"/>
          <w:szCs w:val="12"/>
        </w:rPr>
        <w:t xml:space="preserve"> p</w:t>
      </w:r>
      <w:r w:rsidR="00D831BC" w:rsidRPr="00C22ABE">
        <w:rPr>
          <w:rFonts w:cstheme="minorHAnsi"/>
          <w:sz w:val="20"/>
          <w:szCs w:val="12"/>
        </w:rPr>
        <w:t xml:space="preserve">endant </w:t>
      </w:r>
      <w:r w:rsidR="00707445" w:rsidRPr="00C22ABE">
        <w:rPr>
          <w:rFonts w:cstheme="minorHAnsi"/>
          <w:sz w:val="20"/>
          <w:szCs w:val="18"/>
        </w:rPr>
        <w:t>4 à 6 semaine</w:t>
      </w:r>
      <w:r w:rsidR="00265685" w:rsidRPr="00C22ABE">
        <w:rPr>
          <w:rFonts w:cstheme="minorHAnsi"/>
          <w:sz w:val="20"/>
          <w:szCs w:val="18"/>
        </w:rPr>
        <w:t>s</w:t>
      </w:r>
      <w:r w:rsidR="00BB24B7" w:rsidRPr="003A68BA">
        <w:rPr>
          <w:rFonts w:cstheme="minorHAnsi"/>
          <w:sz w:val="20"/>
          <w:szCs w:val="18"/>
        </w:rPr>
        <w:t xml:space="preserve">. </w:t>
      </w:r>
      <w:r w:rsidR="003A68BA" w:rsidRPr="003A68BA">
        <w:rPr>
          <w:rFonts w:cstheme="minorHAnsi"/>
          <w:sz w:val="20"/>
          <w:szCs w:val="18"/>
        </w:rPr>
        <w:t>C</w:t>
      </w:r>
      <w:r w:rsidR="00BB24B7" w:rsidRPr="003A68BA">
        <w:rPr>
          <w:rFonts w:cstheme="minorHAnsi"/>
          <w:sz w:val="20"/>
          <w:szCs w:val="18"/>
        </w:rPr>
        <w:t>e traitement</w:t>
      </w:r>
      <w:r w:rsidR="005A2B63" w:rsidRPr="003A68BA">
        <w:rPr>
          <w:rFonts w:cstheme="minorHAnsi"/>
          <w:sz w:val="20"/>
          <w:szCs w:val="18"/>
        </w:rPr>
        <w:t xml:space="preserve"> </w:t>
      </w:r>
      <w:proofErr w:type="spellStart"/>
      <w:r w:rsidR="005A2B63" w:rsidRPr="003A68BA">
        <w:rPr>
          <w:rFonts w:cstheme="minorHAnsi"/>
          <w:sz w:val="20"/>
          <w:szCs w:val="18"/>
        </w:rPr>
        <w:t>désinfiltrant</w:t>
      </w:r>
      <w:proofErr w:type="spellEnd"/>
      <w:r w:rsidR="005A2B63" w:rsidRPr="003A68BA">
        <w:rPr>
          <w:rFonts w:cstheme="minorHAnsi"/>
          <w:sz w:val="20"/>
          <w:szCs w:val="18"/>
        </w:rPr>
        <w:t xml:space="preserve"> est</w:t>
      </w:r>
      <w:r w:rsidR="00BB24B7" w:rsidRPr="003A68BA">
        <w:rPr>
          <w:rFonts w:cstheme="minorHAnsi"/>
          <w:sz w:val="20"/>
          <w:szCs w:val="18"/>
        </w:rPr>
        <w:t xml:space="preserve"> </w:t>
      </w:r>
      <w:r w:rsidR="00707445" w:rsidRPr="003A68BA">
        <w:rPr>
          <w:rFonts w:cstheme="minorHAnsi"/>
          <w:sz w:val="20"/>
          <w:szCs w:val="18"/>
        </w:rPr>
        <w:t>quotidien</w:t>
      </w:r>
      <w:r w:rsidR="005A2B63" w:rsidRPr="003A68BA">
        <w:rPr>
          <w:rFonts w:cstheme="minorHAnsi"/>
          <w:sz w:val="20"/>
          <w:szCs w:val="18"/>
        </w:rPr>
        <w:t>, il</w:t>
      </w:r>
      <w:r w:rsidR="00707445" w:rsidRPr="003A68BA">
        <w:rPr>
          <w:rFonts w:cstheme="minorHAnsi"/>
          <w:sz w:val="20"/>
          <w:szCs w:val="18"/>
        </w:rPr>
        <w:t xml:space="preserve"> </w:t>
      </w:r>
      <w:r w:rsidR="00707445" w:rsidRPr="003A68BA">
        <w:rPr>
          <w:rFonts w:cstheme="minorHAnsi"/>
          <w:sz w:val="20"/>
          <w:szCs w:val="18"/>
        </w:rPr>
        <w:lastRenderedPageBreak/>
        <w:t>associ</w:t>
      </w:r>
      <w:r w:rsidR="00BB24B7" w:rsidRPr="003A68BA">
        <w:rPr>
          <w:rFonts w:cstheme="minorHAnsi"/>
          <w:sz w:val="20"/>
          <w:szCs w:val="18"/>
        </w:rPr>
        <w:t>e</w:t>
      </w:r>
      <w:r w:rsidR="00707445" w:rsidRPr="00C22ABE">
        <w:rPr>
          <w:rFonts w:cstheme="minorHAnsi"/>
          <w:sz w:val="20"/>
          <w:szCs w:val="18"/>
        </w:rPr>
        <w:t xml:space="preserve"> 2 g d’amoxicilline-acide clavulanique, 1 g de ciprofloxacine, 50 mg de </w:t>
      </w:r>
      <w:proofErr w:type="spellStart"/>
      <w:r w:rsidR="00707445" w:rsidRPr="00C22ABE">
        <w:rPr>
          <w:rFonts w:cstheme="minorHAnsi"/>
          <w:sz w:val="20"/>
          <w:szCs w:val="18"/>
        </w:rPr>
        <w:t>fluconazole</w:t>
      </w:r>
      <w:proofErr w:type="spellEnd"/>
      <w:r w:rsidR="00707445" w:rsidRPr="00C22ABE">
        <w:rPr>
          <w:rFonts w:cstheme="minorHAnsi"/>
          <w:sz w:val="20"/>
          <w:szCs w:val="18"/>
        </w:rPr>
        <w:t xml:space="preserve"> et 20 mg de prednisone avec 20 mg d’oméprazole. Ensuite, le traitement est poursuivi jusqu’à la cicatrisation par la prise quotidienne de 800 mg de pentoxifylline, tocophérol 1 g, 1600 mg de clodronate 5 jours/7 du lundi au vendredi et 20 mg de prednisone 2 jours/7 le samedi et le dimanche. Le suivi était assuré après 1 mois, 3 mois</w:t>
      </w:r>
      <w:r w:rsidR="00984E56" w:rsidRPr="00C22ABE">
        <w:rPr>
          <w:rFonts w:cstheme="minorHAnsi"/>
          <w:sz w:val="20"/>
          <w:szCs w:val="18"/>
        </w:rPr>
        <w:t>,</w:t>
      </w:r>
      <w:r w:rsidR="00707445" w:rsidRPr="00C22ABE">
        <w:rPr>
          <w:rFonts w:cstheme="minorHAnsi"/>
          <w:sz w:val="20"/>
          <w:szCs w:val="18"/>
        </w:rPr>
        <w:t xml:space="preserve"> 6 mois et 12 mois</w:t>
      </w:r>
      <w:r w:rsidR="00997B19" w:rsidRPr="00C22ABE">
        <w:rPr>
          <w:rFonts w:cstheme="minorHAnsi"/>
          <w:sz w:val="20"/>
          <w:szCs w:val="18"/>
        </w:rPr>
        <w:t xml:space="preserve">. Le but </w:t>
      </w:r>
      <w:r w:rsidR="006300CC" w:rsidRPr="00C22ABE">
        <w:rPr>
          <w:rFonts w:cstheme="minorHAnsi"/>
          <w:sz w:val="20"/>
          <w:szCs w:val="18"/>
        </w:rPr>
        <w:t xml:space="preserve">de ce traitement </w:t>
      </w:r>
      <w:r w:rsidR="00997B19" w:rsidRPr="00C22ABE">
        <w:rPr>
          <w:rFonts w:cstheme="minorHAnsi"/>
          <w:sz w:val="20"/>
          <w:szCs w:val="18"/>
        </w:rPr>
        <w:t xml:space="preserve">est d’essayer de contrôler l’infection avant de débuter le </w:t>
      </w:r>
      <w:proofErr w:type="spellStart"/>
      <w:r w:rsidR="00997B19" w:rsidRPr="00C22ABE">
        <w:rPr>
          <w:rFonts w:cstheme="minorHAnsi"/>
          <w:sz w:val="20"/>
          <w:szCs w:val="18"/>
        </w:rPr>
        <w:t>PenTo</w:t>
      </w:r>
      <w:proofErr w:type="spellEnd"/>
      <w:r w:rsidR="00997B19" w:rsidRPr="00C22ABE">
        <w:rPr>
          <w:rFonts w:cstheme="minorHAnsi"/>
          <w:sz w:val="20"/>
          <w:szCs w:val="18"/>
        </w:rPr>
        <w:t>(</w:t>
      </w:r>
      <w:proofErr w:type="spellStart"/>
      <w:r w:rsidR="00997B19" w:rsidRPr="00C22ABE">
        <w:rPr>
          <w:rFonts w:cstheme="minorHAnsi"/>
          <w:sz w:val="20"/>
          <w:szCs w:val="18"/>
        </w:rPr>
        <w:t>Clo</w:t>
      </w:r>
      <w:proofErr w:type="spellEnd"/>
      <w:r w:rsidR="00997B19" w:rsidRPr="00C22ABE">
        <w:rPr>
          <w:rFonts w:cstheme="minorHAnsi"/>
          <w:sz w:val="20"/>
          <w:szCs w:val="18"/>
        </w:rPr>
        <w:t xml:space="preserve">) pour en augmenter l’efficacité </w:t>
      </w:r>
      <w:r w:rsidR="00085669" w:rsidRPr="00C22ABE">
        <w:rPr>
          <w:rFonts w:cstheme="minorHAnsi"/>
          <w:sz w:val="20"/>
          <w:szCs w:val="18"/>
        </w:rPr>
        <w:fldChar w:fldCharType="begin"/>
      </w:r>
      <w:r w:rsidR="00DD29FB" w:rsidRPr="00C22ABE">
        <w:rPr>
          <w:rFonts w:cstheme="minorHAnsi"/>
          <w:sz w:val="20"/>
          <w:szCs w:val="18"/>
        </w:rPr>
        <w:instrText xml:space="preserve"> ADDIN ZOTERO_ITEM CSL_CITATION {"citationID":"vRm7barP","properties":{"formattedCitation":"(59,60)","plainCitation":"(59,60)","noteIndex":0},"citationItems":[{"id":216,"uris":["http://zotero.org/users/local/Om3YyEnU/items/8C2Q6T2J"],"uri":["http://zotero.org/users/local/Om3YyEnU/items/8C2Q6T2J"],"itemData":{"id":216,"type":"article-journal","container-title":"European Annals of Otorhinolaryngology, Head and Neck Diseases","DOI":"10.1016/j.anorl.2013.11.006","ISSN":"18797296","issue":"6","journalAbbreviation":"European Annals of Otorhinolaryngology, Head and Neck Diseases","language":"en","page":"333-338","source":"DOI.org (Crossref)","title":"Medical treatment of osteoradionecrosis of the mandible by PENTOCLO: Preliminary results","title-short":"Medical treatment of osteoradionecrosis of the mandible by PENTOCLO","volume":"131","author":[{"family":"Robard","given":"L."},{"family":"Louis","given":"M.-Y."},{"family":"Blanchard","given":"D."},{"family":"Babin","given":"E."},{"family":"Delanian","given":"S."}],"issued":{"date-parts":[["2014",12]]}}},{"id":236,"uris":["http://zotero.org/users/local/Om3YyEnU/items/9N7DV2E5"],"uri":["http://zotero.org/users/local/Om3YyEnU/items/9N7DV2E5"],"itemData":{"id":236,"type":"article-journal","abstract":"Osteoradionecrosis (ORN) is a complication of radiotherapy, and is difficult to manage once established. However, its pathogenesis has been reinvestigated, and it is now thought to be potentially amenable to treatment with pentoxifylline and tocopherol (vitamin E). We made a retrospective analysis of 62 patients with established ORN who were treated in this way. When only pentoxifylline and vitamin E was used ORN resolved in 14/25 (56%) but paradoxically, when it was combined with antibiotics, only 6/22 resolved (27%). The next stage would ideally be to incorporate the treatment in a randomised clinical trial against both standard antibiotic treatment and hyperbaric oxygen.","container-title":"The British Journal of Oral &amp; Maxillofacial Surgery","DOI":"10.1016/j.bjoms.2015.11.027","ISSN":"1532-1940","issue":"3","journalAbbreviation":"Br J Oral Maxillofac Surg","language":"eng","note":"PMID: 26794083","page":"342-345","source":"PubMed","title":"Use of pentoxifylline and tocopherol in the management of osteoradionecrosis","volume":"54","author":[{"family":"Patel","given":"Vinod"},{"family":"Gadiwalla","given":"Yusuf"},{"family":"Sassoon","given":"Isabel"},{"family":"Sproat","given":"Chris"},{"family":"Kwok","given":"Jerry"},{"family":"McGurk","given":"Mark"}],"issued":{"date-parts":[["2016",4]]}}}],"schema":"https://github.com/citation-style-language/schema/raw/master/csl-citation.json"} </w:instrText>
      </w:r>
      <w:r w:rsidR="00085669" w:rsidRPr="00C22ABE">
        <w:rPr>
          <w:rFonts w:cstheme="minorHAnsi"/>
          <w:sz w:val="20"/>
          <w:szCs w:val="18"/>
        </w:rPr>
        <w:fldChar w:fldCharType="separate"/>
      </w:r>
      <w:r w:rsidR="00DD29FB" w:rsidRPr="00C22ABE">
        <w:rPr>
          <w:rFonts w:cstheme="minorHAnsi"/>
          <w:sz w:val="20"/>
        </w:rPr>
        <w:t>(59,60)</w:t>
      </w:r>
      <w:r w:rsidR="00085669" w:rsidRPr="00C22ABE">
        <w:rPr>
          <w:rFonts w:cstheme="minorHAnsi"/>
          <w:sz w:val="20"/>
          <w:szCs w:val="18"/>
        </w:rPr>
        <w:fldChar w:fldCharType="end"/>
      </w:r>
      <w:r w:rsidR="00E57E2A" w:rsidRPr="00C22ABE">
        <w:rPr>
          <w:rFonts w:cstheme="minorHAnsi"/>
          <w:sz w:val="20"/>
          <w:szCs w:val="18"/>
        </w:rPr>
        <w:t>. Une séquestrectomie est associée si nécessaire.</w:t>
      </w:r>
    </w:p>
    <w:p w14:paraId="73998034" w14:textId="7300ECF8" w:rsidR="00265685" w:rsidRPr="00C22ABE" w:rsidRDefault="00265685" w:rsidP="00265685">
      <w:pPr>
        <w:tabs>
          <w:tab w:val="left" w:pos="7110"/>
        </w:tabs>
        <w:rPr>
          <w:rFonts w:cstheme="minorHAnsi"/>
          <w:sz w:val="20"/>
          <w:szCs w:val="18"/>
        </w:rPr>
      </w:pPr>
      <w:r w:rsidRPr="00C22ABE">
        <w:rPr>
          <w:rFonts w:cstheme="minorHAnsi"/>
          <w:sz w:val="20"/>
          <w:szCs w:val="18"/>
        </w:rPr>
        <w:t xml:space="preserve">Une revue systématique de </w:t>
      </w:r>
      <w:proofErr w:type="spellStart"/>
      <w:r w:rsidRPr="00C22ABE">
        <w:rPr>
          <w:rFonts w:cstheme="minorHAnsi"/>
          <w:sz w:val="20"/>
          <w:szCs w:val="18"/>
        </w:rPr>
        <w:t>Kolokhytas</w:t>
      </w:r>
      <w:proofErr w:type="spellEnd"/>
      <w:r w:rsidRPr="00C22ABE">
        <w:rPr>
          <w:rFonts w:cstheme="minorHAnsi"/>
          <w:sz w:val="20"/>
          <w:szCs w:val="18"/>
        </w:rPr>
        <w:t xml:space="preserve"> et al (2018)</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5fkZdGfT","properties":{"formattedCitation":"(53)","plainCitation":"(53)","noteIndex":0},"citationItems":[{"id":219,"uris":["http://zotero.org/users/local/Om3YyEnU/items/Q35VVVVC"],"uri":["http://zotero.org/users/local/Om3YyEnU/items/Q35VVVVC"],"itemData":{"id":219,"type":"article-journal","abstract":"Osteoradionecrosis (ORN) of the jaws remains among the most commonly encountered and challenging complications of radiotherapy to the head and neck. The purpose of this study was to provide a review of the medical management for ORN and evaluate the reported outcomes with the use of pentoxifylline and tocopherol (PENTO), by means of a systematic review and meta-analysis. The predictor variable was the use of PENTO in the treatment of ORN. The outcome variable was the proportion of full recovery or significant improvement not requiring further intervention. The likelihood function was used to combine the studies and estimate the proportion and standard deviation of each outcome by the maximum likelihood estimation. Seven studies met the inclusion criteria. A total 211 patients were treated. One hundred twenty-six patients recovered fully or improved significantly not requiring further intervention. Sixty patients remained the same, 10 were lost to follow-up, and the disease progressed in 15. The current literature supports the use of PENTO in the treatment of ORN of the jaws. Additional well-designed prospective studies are needed in order to further validate the regimen that can then be employed in the treatment of ORN.","container-title":"International Journal of Oral and Maxillofacial Surgery","DOI":"10.1016/j.ijom.2018.08.007","ISSN":"1399-0020","issue":"2","journalAbbreviation":"Int J Oral Maxillofac Surg","language":"eng","note":"PMID: 30205911","page":"173-180","source":"PubMed","title":"Management of osteoradionecrosis of the jaws with pentoxifylline-tocopherol: a systematic review of the literature and meta-analysis","title-short":"Management of osteoradionecrosis of the jaws with pentoxifylline-tocopherol","volume":"48","author":[{"family":"Kolokythas","given":"A."},{"family":"Rasmussen","given":"J. T."},{"family":"Reardon","given":"J."},{"family":"Feng","given":"C."}],"issued":{"date-parts":[["2019",2]]}}}],"schema":"https://github.com/citation-style-language/schema/raw/master/csl-citation.json"}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(53)</w:t>
      </w:r>
      <w:r w:rsidRPr="00C22ABE">
        <w:rPr>
          <w:rFonts w:cstheme="minorHAnsi"/>
          <w:sz w:val="20"/>
          <w:szCs w:val="18"/>
        </w:rPr>
        <w:fldChar w:fldCharType="end"/>
      </w:r>
      <w:r w:rsidRPr="00C22ABE">
        <w:rPr>
          <w:rFonts w:cstheme="minorHAnsi"/>
          <w:sz w:val="20"/>
          <w:szCs w:val="18"/>
        </w:rPr>
        <w:t xml:space="preserve">  </w:t>
      </w:r>
      <w:r w:rsidR="005F3102" w:rsidRPr="00C22ABE">
        <w:rPr>
          <w:rFonts w:cstheme="minorHAnsi"/>
          <w:sz w:val="20"/>
          <w:szCs w:val="18"/>
        </w:rPr>
        <w:t>(</w:t>
      </w:r>
      <w:r w:rsidRPr="00C22ABE">
        <w:rPr>
          <w:rFonts w:cstheme="minorHAnsi"/>
          <w:sz w:val="20"/>
          <w:szCs w:val="18"/>
        </w:rPr>
        <w:t>7 études et  211 patients</w:t>
      </w:r>
      <w:r w:rsidR="005F3102" w:rsidRPr="00C22ABE">
        <w:rPr>
          <w:rFonts w:cstheme="minorHAnsi"/>
          <w:sz w:val="20"/>
          <w:szCs w:val="18"/>
        </w:rPr>
        <w:t xml:space="preserve">) sur l’association </w:t>
      </w:r>
      <w:proofErr w:type="spellStart"/>
      <w:r w:rsidR="005F3102" w:rsidRPr="00C22ABE">
        <w:rPr>
          <w:rFonts w:cstheme="minorHAnsi"/>
          <w:sz w:val="20"/>
          <w:szCs w:val="18"/>
        </w:rPr>
        <w:t>PenTo</w:t>
      </w:r>
      <w:proofErr w:type="spellEnd"/>
      <w:r w:rsidR="005F3102" w:rsidRPr="00C22ABE">
        <w:rPr>
          <w:rFonts w:cstheme="minorHAnsi"/>
          <w:sz w:val="20"/>
          <w:szCs w:val="18"/>
        </w:rPr>
        <w:t xml:space="preserve"> montrait pour </w:t>
      </w:r>
      <w:r w:rsidRPr="00C22ABE">
        <w:rPr>
          <w:rFonts w:cstheme="minorHAnsi"/>
          <w:sz w:val="20"/>
          <w:szCs w:val="18"/>
        </w:rPr>
        <w:t>des stades avancés d’ORN, ou des ORN réfractaires aux autres traitements (antibiotiques, OHB, débridement chirurgical)</w:t>
      </w:r>
      <w:r w:rsidR="005F3102" w:rsidRPr="00C22ABE">
        <w:rPr>
          <w:rFonts w:cstheme="minorHAnsi"/>
          <w:sz w:val="20"/>
          <w:szCs w:val="18"/>
        </w:rPr>
        <w:t xml:space="preserve"> </w:t>
      </w:r>
      <w:r w:rsidR="00FD709C" w:rsidRPr="00C22ABE">
        <w:rPr>
          <w:rFonts w:cstheme="minorHAnsi"/>
          <w:sz w:val="20"/>
          <w:szCs w:val="18"/>
        </w:rPr>
        <w:t>u</w:t>
      </w:r>
      <w:r w:rsidRPr="00C22ABE">
        <w:rPr>
          <w:rFonts w:cstheme="minorHAnsi"/>
          <w:sz w:val="20"/>
          <w:szCs w:val="18"/>
        </w:rPr>
        <w:t xml:space="preserve">ne guérison complète ou une amélioration significative </w:t>
      </w:r>
      <w:r w:rsidR="00FD709C" w:rsidRPr="00C22ABE">
        <w:rPr>
          <w:rFonts w:cstheme="minorHAnsi"/>
          <w:sz w:val="20"/>
          <w:szCs w:val="18"/>
        </w:rPr>
        <w:t>dans 59% des cas</w:t>
      </w:r>
      <w:r w:rsidRPr="00C22ABE">
        <w:rPr>
          <w:rFonts w:cstheme="minorHAnsi"/>
          <w:sz w:val="20"/>
          <w:szCs w:val="18"/>
        </w:rPr>
        <w:t xml:space="preserve">. </w:t>
      </w:r>
    </w:p>
    <w:p w14:paraId="5837D94F" w14:textId="4E22299E" w:rsidR="006300CC" w:rsidRPr="00C22ABE" w:rsidRDefault="006300CC" w:rsidP="006300CC">
      <w:pPr>
        <w:tabs>
          <w:tab w:val="left" w:pos="7110"/>
        </w:tabs>
        <w:rPr>
          <w:rFonts w:cstheme="minorHAnsi"/>
          <w:bCs/>
          <w:sz w:val="20"/>
          <w:szCs w:val="18"/>
        </w:rPr>
      </w:pPr>
      <w:r w:rsidRPr="00C22ABE">
        <w:rPr>
          <w:rFonts w:cstheme="minorHAnsi"/>
          <w:sz w:val="20"/>
          <w:szCs w:val="18"/>
        </w:rPr>
        <w:t xml:space="preserve">Une </w:t>
      </w:r>
      <w:proofErr w:type="spellStart"/>
      <w:r w:rsidRPr="00C22ABE">
        <w:rPr>
          <w:rFonts w:cstheme="minorHAnsi"/>
          <w:sz w:val="20"/>
          <w:szCs w:val="18"/>
        </w:rPr>
        <w:t>métaanalyse</w:t>
      </w:r>
      <w:proofErr w:type="spellEnd"/>
      <w:r w:rsidRPr="00C22ABE">
        <w:rPr>
          <w:rFonts w:cstheme="minorHAnsi"/>
          <w:sz w:val="20"/>
          <w:szCs w:val="18"/>
        </w:rPr>
        <w:t xml:space="preserve"> de </w:t>
      </w:r>
      <w:r w:rsidRPr="00C22ABE">
        <w:rPr>
          <w:rFonts w:cstheme="minorHAnsi"/>
          <w:b/>
          <w:bCs/>
          <w:sz w:val="20"/>
          <w:szCs w:val="18"/>
        </w:rPr>
        <w:t xml:space="preserve">Zhang et al </w:t>
      </w:r>
      <w:r w:rsidRPr="00C22ABE">
        <w:rPr>
          <w:rFonts w:cstheme="minorHAnsi"/>
          <w:sz w:val="20"/>
          <w:szCs w:val="18"/>
        </w:rPr>
        <w:t xml:space="preserve"> </w:t>
      </w:r>
      <w:r w:rsidRPr="00C22ABE">
        <w:rPr>
          <w:rFonts w:cstheme="minorHAnsi"/>
          <w:sz w:val="20"/>
          <w:szCs w:val="18"/>
        </w:rPr>
        <w:fldChar w:fldCharType="begin"/>
      </w:r>
      <w:r w:rsidR="00281AF6" w:rsidRPr="00C22ABE">
        <w:rPr>
          <w:rFonts w:cstheme="minorHAnsi"/>
          <w:sz w:val="20"/>
          <w:szCs w:val="18"/>
        </w:rPr>
        <w:instrText xml:space="preserve"> ADDIN ZOTERO_ITEM CSL_CITATION {"citationID":"U9oRvDNP","properties":{"formattedCitation":"(61)","plainCitation":"(61)","noteIndex":0},"citationItems":[{"id":226,"uris":["http://zotero.org/users/local/Om3YyEnU/items/EBKZFW3H"],"uri":["http://zotero.org/users/local/Om3YyEnU/items/EBKZFW3H"],"itemData":{"id":226,"type":"article-journal","container-title":"Oral Surgery, Oral Medicine, Oral Pathology and Oral Radiology","DOI":"10.1016/j.oooo.2019.08.005","ISSN":"22124403","issue":"3","journalAbbreviation":"Oral Surgery, Oral Medicine, Oral Pathology and Oral Radiology","language":"en","page":"207-214","source":"DOI.org (Crossref)","title":"The effect of combined application of pentoxifylline and vitamin E for the treatment of osteoradionecrosis of the jaws: a meta-analysis","title-short":"The effect of combined application of pentoxifylline and vitamin E for the treatment of osteoradionecrosis of the jaws","volume":"129","author":[{"family":"Zhang","given":"Zheru"},{"family":"Xiao","given":"Weiwei"},{"family":"Jia","given":"Junqi"},{"family":"Chen","given":"Yuanli"},{"family":"Zong","given":"Chunlin"},{"family":"Zhao","given":"Lu"},{"family":"Tian","given":"Lei"}],"issued":{"date-parts":[["2020",3]]}}}],"schema":"https://github.com/citation-style-language/schema/raw/master/csl-citation.json"} </w:instrText>
      </w:r>
      <w:r w:rsidRPr="00C22ABE">
        <w:rPr>
          <w:rFonts w:cstheme="minorHAnsi"/>
          <w:sz w:val="20"/>
          <w:szCs w:val="18"/>
        </w:rPr>
        <w:fldChar w:fldCharType="separate"/>
      </w:r>
      <w:r w:rsidR="00281AF6" w:rsidRPr="00C22ABE">
        <w:rPr>
          <w:rFonts w:cstheme="minorHAnsi"/>
          <w:sz w:val="20"/>
        </w:rPr>
        <w:t>(61)</w:t>
      </w:r>
      <w:r w:rsidRPr="00C22ABE">
        <w:rPr>
          <w:rFonts w:cstheme="minorHAnsi"/>
          <w:sz w:val="20"/>
          <w:szCs w:val="18"/>
        </w:rPr>
        <w:fldChar w:fldCharType="end"/>
      </w:r>
      <w:r w:rsidRPr="00C22ABE">
        <w:rPr>
          <w:rFonts w:cstheme="minorHAnsi"/>
          <w:b/>
          <w:bCs/>
          <w:sz w:val="20"/>
          <w:szCs w:val="18"/>
        </w:rPr>
        <w:t xml:space="preserve"> </w:t>
      </w:r>
      <w:r w:rsidRPr="00C22ABE">
        <w:rPr>
          <w:rFonts w:cstheme="minorHAnsi"/>
          <w:bCs/>
          <w:sz w:val="20"/>
          <w:szCs w:val="18"/>
        </w:rPr>
        <w:t xml:space="preserve">inclut 5 études et 184 patients dans le groupe </w:t>
      </w:r>
      <w:proofErr w:type="spellStart"/>
      <w:r w:rsidRPr="00C22ABE">
        <w:rPr>
          <w:rFonts w:cstheme="minorHAnsi"/>
          <w:bCs/>
          <w:sz w:val="20"/>
          <w:szCs w:val="18"/>
        </w:rPr>
        <w:t>PenTo</w:t>
      </w:r>
      <w:proofErr w:type="spellEnd"/>
      <w:r w:rsidRPr="00C22ABE">
        <w:rPr>
          <w:rFonts w:cstheme="minorHAnsi"/>
          <w:bCs/>
          <w:sz w:val="20"/>
          <w:szCs w:val="18"/>
        </w:rPr>
        <w:t xml:space="preserve"> et 180 patients dans le groupe « autres traitements » et montre la supériorité du traitement </w:t>
      </w:r>
      <w:proofErr w:type="spellStart"/>
      <w:r w:rsidRPr="00C22ABE">
        <w:rPr>
          <w:rFonts w:cstheme="minorHAnsi"/>
          <w:bCs/>
          <w:sz w:val="20"/>
          <w:szCs w:val="18"/>
        </w:rPr>
        <w:t>PenTo</w:t>
      </w:r>
      <w:proofErr w:type="spellEnd"/>
      <w:r w:rsidRPr="00C22ABE">
        <w:rPr>
          <w:rFonts w:cstheme="minorHAnsi"/>
          <w:bCs/>
          <w:sz w:val="20"/>
          <w:szCs w:val="18"/>
        </w:rPr>
        <w:t xml:space="preserve"> en comparaison des autres traitements </w:t>
      </w:r>
      <w:r w:rsidR="00FD709C" w:rsidRPr="00C22ABE">
        <w:rPr>
          <w:rFonts w:cstheme="minorHAnsi"/>
          <w:bCs/>
          <w:sz w:val="20"/>
          <w:szCs w:val="18"/>
        </w:rPr>
        <w:t>conservateurs</w:t>
      </w:r>
      <w:r w:rsidRPr="00C22ABE">
        <w:rPr>
          <w:rFonts w:cstheme="minorHAnsi"/>
          <w:bCs/>
          <w:sz w:val="20"/>
          <w:szCs w:val="18"/>
        </w:rPr>
        <w:t xml:space="preserve"> (antibiotiques, OHB). Par rapport à la chirurgie, aucune conclusion ne peut être tirée.</w:t>
      </w:r>
    </w:p>
    <w:p w14:paraId="2B7AD7C1" w14:textId="0F8D753B" w:rsidR="00DC09E2" w:rsidRPr="00C22ABE" w:rsidRDefault="00DC09E2" w:rsidP="00DC09E2">
      <w:pPr>
        <w:tabs>
          <w:tab w:val="left" w:pos="7110"/>
        </w:tabs>
        <w:rPr>
          <w:rFonts w:cstheme="minorHAnsi"/>
          <w:sz w:val="20"/>
          <w:szCs w:val="18"/>
          <w:lang w:val="fr-FR"/>
        </w:rPr>
      </w:pPr>
      <w:r w:rsidRPr="00C22ABE">
        <w:rPr>
          <w:rFonts w:cstheme="minorHAnsi"/>
          <w:bCs/>
          <w:sz w:val="20"/>
          <w:szCs w:val="18"/>
        </w:rPr>
        <w:t xml:space="preserve">Pour </w:t>
      </w:r>
      <w:r w:rsidRPr="00C22ABE">
        <w:rPr>
          <w:rFonts w:cstheme="minorHAnsi"/>
          <w:b/>
          <w:sz w:val="20"/>
          <w:szCs w:val="18"/>
        </w:rPr>
        <w:t>Patel</w:t>
      </w:r>
      <w:r w:rsidR="006209C9" w:rsidRPr="00C22ABE">
        <w:rPr>
          <w:rFonts w:cstheme="minorHAnsi"/>
          <w:b/>
          <w:sz w:val="20"/>
          <w:szCs w:val="18"/>
        </w:rPr>
        <w:t xml:space="preserve"> et al</w:t>
      </w:r>
      <w:r w:rsidRPr="00C22ABE">
        <w:rPr>
          <w:rFonts w:cstheme="minorHAnsi"/>
          <w:bCs/>
          <w:sz w:val="20"/>
          <w:szCs w:val="18"/>
        </w:rPr>
        <w:t xml:space="preserve"> </w:t>
      </w:r>
      <w:r w:rsidR="006209C9" w:rsidRPr="00C22ABE">
        <w:rPr>
          <w:rFonts w:cstheme="minorHAnsi"/>
          <w:bCs/>
          <w:sz w:val="20"/>
          <w:szCs w:val="18"/>
        </w:rPr>
        <w:fldChar w:fldCharType="begin"/>
      </w:r>
      <w:r w:rsidR="00281AF6" w:rsidRPr="00C22ABE">
        <w:rPr>
          <w:rFonts w:cstheme="minorHAnsi"/>
          <w:bCs/>
          <w:sz w:val="20"/>
          <w:szCs w:val="18"/>
        </w:rPr>
        <w:instrText xml:space="preserve"> ADDIN ZOTERO_ITEM CSL_CITATION {"citationID":"9yjzTv3D","properties":{"formattedCitation":"(62)","plainCitation":"(62)","noteIndex":0},"citationItems":[{"id":331,"uris":["http://zotero.org/users/local/Om3YyEnU/items/TETPPJPY"],"uri":["http://zotero.org/users/local/Om3YyEnU/items/TETPPJPY"],"itemData":{"id":331,"type":"article-journal","abstract":"AIMS: Medical management of osteoradionecrosis (ORN) via pentoxifylline, tocopherol (PENTO) and clodronate (PENTOCLO) has shown both promise and early positive outcomes. We aimed to determine clinical outcomes for patients with established ORN managed solely via PENTO or PENTOCLO.\nMETHODS: The study retrospectively reviewed and collected data from the medical records of 169 patients diagnosed with ORN and treated via medical management. Patients that received any additional interventions such as surgery or hyperbaric oxygen were not included.\nRESULTS: Medical management led to healed ORN in 54.4% (n=92/169) of patients after an average of 12.9 months. Outcome comparison between PENTO and PENTOCLO identified the former regime to be significantly superior (p=0.0001). There is an inverse relationship with increasing ORN severity and healing with medical management (p&lt;0.0001) with oropharyngeal cancer (p=0.0347) patients responding favourably via this approach. Infection had a critical role in the final outcome with those healing requiring 1.3 antibiotic prescriptions, while those that had disease progression requiring 4.3 prescriptions.\nCONCLUSION: Medical management is a viable treatment option for ORN. It appears to be most effective in Notani I and non-infected ORN. When healing was not achieved the regime was able to stabilise the condition.","container-title":"Radiotherapy and Oncology: Journal of the European Society for Therapeutic Radiology and Oncology","DOI":"10.1016/j.radonc.2020.12.027","ISSN":"1879-0887","journalAbbreviation":"Radiother Oncol","language":"eng","note":"PMID: 33385466","source":"PubMed","title":"The use of pentoxifylline, tocopherol and clodronate in the management of osteoradionecrosis of the jaws","author":[{"family":"Patel","given":"Sagar"},{"family":"Patel","given":"Nisma"},{"family":"Sassoon","given":"Isabel"},{"family":"Patel","given":"Vinod"}],"issued":{"date-parts":[["2020",12,29]]}}}],"schema":"https://github.com/citation-style-language/schema/raw/master/csl-citation.json"} </w:instrText>
      </w:r>
      <w:r w:rsidR="006209C9" w:rsidRPr="00C22ABE">
        <w:rPr>
          <w:rFonts w:cstheme="minorHAnsi"/>
          <w:bCs/>
          <w:sz w:val="20"/>
          <w:szCs w:val="18"/>
        </w:rPr>
        <w:fldChar w:fldCharType="separate"/>
      </w:r>
      <w:r w:rsidR="00281AF6" w:rsidRPr="00C22ABE">
        <w:rPr>
          <w:rFonts w:cstheme="minorHAnsi"/>
          <w:sz w:val="20"/>
        </w:rPr>
        <w:t>(62)</w:t>
      </w:r>
      <w:r w:rsidR="006209C9" w:rsidRPr="00C22ABE">
        <w:rPr>
          <w:rFonts w:cstheme="minorHAnsi"/>
          <w:bCs/>
          <w:sz w:val="20"/>
          <w:szCs w:val="18"/>
        </w:rPr>
        <w:fldChar w:fldCharType="end"/>
      </w:r>
      <w:r w:rsidR="006209C9" w:rsidRPr="00C22ABE">
        <w:rPr>
          <w:rFonts w:cstheme="minorHAnsi"/>
          <w:bCs/>
          <w:sz w:val="20"/>
          <w:szCs w:val="18"/>
        </w:rPr>
        <w:t xml:space="preserve">, le schéma proposé associe amoxicilline </w:t>
      </w:r>
      <w:r w:rsidRPr="00C22ABE">
        <w:rPr>
          <w:rFonts w:cstheme="minorHAnsi"/>
          <w:sz w:val="20"/>
          <w:szCs w:val="18"/>
          <w:lang w:val="fr-FR"/>
        </w:rPr>
        <w:t>500</w:t>
      </w:r>
      <w:r w:rsidR="006209C9" w:rsidRPr="00C22ABE">
        <w:rPr>
          <w:rFonts w:cstheme="minorHAnsi"/>
          <w:sz w:val="20"/>
          <w:szCs w:val="18"/>
          <w:lang w:val="fr-FR"/>
        </w:rPr>
        <w:t xml:space="preserve"> mg</w:t>
      </w:r>
      <w:r w:rsidRPr="00C22ABE">
        <w:rPr>
          <w:rFonts w:cstheme="minorHAnsi"/>
          <w:sz w:val="20"/>
          <w:szCs w:val="18"/>
          <w:lang w:val="fr-FR"/>
        </w:rPr>
        <w:t xml:space="preserve"> 3/j 7 jours </w:t>
      </w:r>
      <w:r w:rsidR="00BB24B7" w:rsidRPr="00C22ABE">
        <w:rPr>
          <w:rFonts w:cstheme="minorHAnsi"/>
          <w:sz w:val="20"/>
          <w:szCs w:val="18"/>
          <w:lang w:val="fr-FR"/>
        </w:rPr>
        <w:t>(</w:t>
      </w:r>
      <w:r w:rsidRPr="00C22ABE">
        <w:rPr>
          <w:rFonts w:cstheme="minorHAnsi"/>
          <w:sz w:val="20"/>
          <w:szCs w:val="18"/>
          <w:lang w:val="fr-FR"/>
        </w:rPr>
        <w:t xml:space="preserve">métronidazole 400 mg 3/j si allergie </w:t>
      </w:r>
      <w:r w:rsidR="006209C9" w:rsidRPr="00C22ABE">
        <w:rPr>
          <w:rFonts w:cstheme="minorHAnsi"/>
          <w:sz w:val="20"/>
          <w:szCs w:val="18"/>
          <w:lang w:val="fr-FR"/>
        </w:rPr>
        <w:t>à la pénicilline</w:t>
      </w:r>
      <w:r w:rsidR="00BB24B7" w:rsidRPr="00C22ABE">
        <w:rPr>
          <w:rFonts w:cstheme="minorHAnsi"/>
          <w:sz w:val="20"/>
          <w:szCs w:val="18"/>
          <w:lang w:val="fr-FR"/>
        </w:rPr>
        <w:t>)</w:t>
      </w:r>
      <w:r w:rsidR="006209C9" w:rsidRPr="00C22ABE">
        <w:rPr>
          <w:rFonts w:cstheme="minorHAnsi"/>
          <w:sz w:val="20"/>
          <w:szCs w:val="18"/>
          <w:lang w:val="fr-FR"/>
        </w:rPr>
        <w:t xml:space="preserve">, </w:t>
      </w:r>
      <w:r w:rsidRPr="00C22ABE">
        <w:rPr>
          <w:rFonts w:cstheme="minorHAnsi"/>
          <w:sz w:val="20"/>
          <w:szCs w:val="18"/>
          <w:lang w:val="fr-FR"/>
        </w:rPr>
        <w:t>suivi de doxycycline100 mg/j 30 j</w:t>
      </w:r>
      <w:r w:rsidR="006209C9" w:rsidRPr="00C22ABE">
        <w:rPr>
          <w:rFonts w:cstheme="minorHAnsi"/>
          <w:sz w:val="20"/>
          <w:szCs w:val="18"/>
          <w:lang w:val="fr-FR"/>
        </w:rPr>
        <w:t>ours</w:t>
      </w:r>
      <w:r w:rsidRPr="00C22ABE">
        <w:rPr>
          <w:rFonts w:cstheme="minorHAnsi"/>
          <w:sz w:val="20"/>
          <w:szCs w:val="18"/>
          <w:lang w:val="fr-FR"/>
        </w:rPr>
        <w:t xml:space="preserve"> ou plus </w:t>
      </w:r>
      <w:r w:rsidR="00BB24B7" w:rsidRPr="00C22ABE">
        <w:rPr>
          <w:rFonts w:cstheme="minorHAnsi"/>
          <w:sz w:val="20"/>
          <w:szCs w:val="18"/>
          <w:lang w:val="fr-FR"/>
        </w:rPr>
        <w:t xml:space="preserve">longtemps </w:t>
      </w:r>
      <w:r w:rsidRPr="00C22ABE">
        <w:rPr>
          <w:rFonts w:cstheme="minorHAnsi"/>
          <w:sz w:val="20"/>
          <w:szCs w:val="18"/>
          <w:lang w:val="fr-FR"/>
        </w:rPr>
        <w:t xml:space="preserve">en fonction de la </w:t>
      </w:r>
      <w:r w:rsidR="006209C9" w:rsidRPr="00C22ABE">
        <w:rPr>
          <w:rFonts w:cstheme="minorHAnsi"/>
          <w:sz w:val="20"/>
          <w:szCs w:val="18"/>
          <w:lang w:val="fr-FR"/>
        </w:rPr>
        <w:t>persistance</w:t>
      </w:r>
      <w:r w:rsidRPr="00C22ABE">
        <w:rPr>
          <w:rFonts w:cstheme="minorHAnsi"/>
          <w:sz w:val="20"/>
          <w:szCs w:val="18"/>
          <w:lang w:val="fr-FR"/>
        </w:rPr>
        <w:t xml:space="preserve"> de pus, puis </w:t>
      </w:r>
      <w:r w:rsidR="006209C9" w:rsidRPr="00C22ABE">
        <w:rPr>
          <w:rFonts w:cstheme="minorHAnsi"/>
          <w:sz w:val="20"/>
          <w:szCs w:val="18"/>
          <w:lang w:val="fr-FR"/>
        </w:rPr>
        <w:t xml:space="preserve">pentoxifylline 400 mg 2/j, </w:t>
      </w:r>
      <w:r w:rsidR="00BB24B7" w:rsidRPr="00C22ABE">
        <w:rPr>
          <w:rFonts w:cstheme="minorHAnsi"/>
          <w:sz w:val="20"/>
          <w:szCs w:val="18"/>
          <w:lang w:val="fr-FR"/>
        </w:rPr>
        <w:t>t</w:t>
      </w:r>
      <w:r w:rsidR="006209C9" w:rsidRPr="00C22ABE">
        <w:rPr>
          <w:rFonts w:cstheme="minorHAnsi"/>
          <w:sz w:val="20"/>
          <w:szCs w:val="18"/>
          <w:lang w:val="fr-FR"/>
        </w:rPr>
        <w:t>ocophérol 500</w:t>
      </w:r>
      <w:r w:rsidR="003B4E2B" w:rsidRPr="00C22ABE">
        <w:rPr>
          <w:rFonts w:cstheme="minorHAnsi"/>
          <w:sz w:val="20"/>
          <w:szCs w:val="18"/>
          <w:lang w:val="fr-FR"/>
        </w:rPr>
        <w:t xml:space="preserve"> mg</w:t>
      </w:r>
      <w:r w:rsidR="006209C9" w:rsidRPr="00C22ABE">
        <w:rPr>
          <w:rFonts w:cstheme="minorHAnsi"/>
          <w:sz w:val="20"/>
          <w:szCs w:val="18"/>
          <w:lang w:val="fr-FR"/>
        </w:rPr>
        <w:t xml:space="preserve"> 2/j </w:t>
      </w:r>
      <w:r w:rsidR="00BB24B7" w:rsidRPr="00C22ABE">
        <w:rPr>
          <w:rFonts w:cstheme="minorHAnsi"/>
          <w:sz w:val="20"/>
          <w:szCs w:val="18"/>
          <w:lang w:val="fr-FR"/>
        </w:rPr>
        <w:t>+/-</w:t>
      </w:r>
      <w:r w:rsidR="006209C9" w:rsidRPr="00C22ABE">
        <w:rPr>
          <w:rFonts w:cstheme="minorHAnsi"/>
          <w:sz w:val="20"/>
          <w:szCs w:val="18"/>
          <w:lang w:val="fr-FR"/>
        </w:rPr>
        <w:t xml:space="preserve"> clodronate 1600 mg 5j/7) </w:t>
      </w:r>
      <w:r w:rsidRPr="00C22ABE">
        <w:rPr>
          <w:rFonts w:cstheme="minorHAnsi"/>
          <w:sz w:val="20"/>
          <w:szCs w:val="18"/>
          <w:lang w:val="fr-FR"/>
        </w:rPr>
        <w:t xml:space="preserve"> </w:t>
      </w:r>
      <w:r w:rsidR="00BB24B7" w:rsidRPr="00C22ABE">
        <w:rPr>
          <w:rFonts w:cstheme="minorHAnsi"/>
          <w:sz w:val="20"/>
          <w:szCs w:val="18"/>
          <w:lang w:val="fr-FR"/>
        </w:rPr>
        <w:t xml:space="preserve">pendant </w:t>
      </w:r>
      <w:r w:rsidRPr="00C22ABE">
        <w:rPr>
          <w:rFonts w:cstheme="minorHAnsi"/>
          <w:sz w:val="20"/>
          <w:szCs w:val="18"/>
          <w:lang w:val="fr-FR"/>
        </w:rPr>
        <w:t xml:space="preserve">2 ans avec </w:t>
      </w:r>
      <w:r w:rsidR="006209C9" w:rsidRPr="00C22ABE">
        <w:rPr>
          <w:rFonts w:cstheme="minorHAnsi"/>
          <w:sz w:val="20"/>
          <w:szCs w:val="18"/>
          <w:lang w:val="fr-FR"/>
        </w:rPr>
        <w:t xml:space="preserve">des </w:t>
      </w:r>
      <w:r w:rsidRPr="00C22ABE">
        <w:rPr>
          <w:rFonts w:cstheme="minorHAnsi"/>
          <w:sz w:val="20"/>
          <w:szCs w:val="18"/>
          <w:lang w:val="fr-FR"/>
        </w:rPr>
        <w:t xml:space="preserve">contrôles réguliers. </w:t>
      </w:r>
      <w:r w:rsidR="006209C9" w:rsidRPr="00C22ABE">
        <w:rPr>
          <w:rFonts w:cstheme="minorHAnsi"/>
          <w:sz w:val="20"/>
          <w:szCs w:val="18"/>
          <w:lang w:val="fr-FR"/>
        </w:rPr>
        <w:t>L’antibiothérapie est reprise en cas d’infection selon le schéma de départ</w:t>
      </w:r>
      <w:r w:rsidRPr="00C22ABE">
        <w:rPr>
          <w:rFonts w:cstheme="minorHAnsi"/>
          <w:sz w:val="20"/>
          <w:szCs w:val="18"/>
          <w:lang w:val="fr-FR"/>
        </w:rPr>
        <w:t xml:space="preserve">. </w:t>
      </w:r>
      <w:r w:rsidR="006209C9" w:rsidRPr="00C22ABE">
        <w:rPr>
          <w:rFonts w:cstheme="minorHAnsi"/>
          <w:sz w:val="20"/>
          <w:szCs w:val="18"/>
          <w:lang w:val="fr-FR"/>
        </w:rPr>
        <w:t xml:space="preserve">Leur série de 169 patients inclus entre </w:t>
      </w:r>
      <w:r w:rsidRPr="00C22ABE">
        <w:rPr>
          <w:rFonts w:cstheme="minorHAnsi"/>
          <w:sz w:val="20"/>
          <w:szCs w:val="18"/>
          <w:lang w:val="fr-FR"/>
        </w:rPr>
        <w:t>2008</w:t>
      </w:r>
      <w:r w:rsidR="006209C9" w:rsidRPr="00C22ABE">
        <w:rPr>
          <w:rFonts w:cstheme="minorHAnsi"/>
          <w:sz w:val="20"/>
          <w:szCs w:val="18"/>
          <w:lang w:val="fr-FR"/>
        </w:rPr>
        <w:t xml:space="preserve"> et </w:t>
      </w:r>
      <w:r w:rsidRPr="00C22ABE">
        <w:rPr>
          <w:rFonts w:cstheme="minorHAnsi"/>
          <w:sz w:val="20"/>
          <w:szCs w:val="18"/>
          <w:lang w:val="fr-FR"/>
        </w:rPr>
        <w:t>2020</w:t>
      </w:r>
      <w:r w:rsidR="006209C9" w:rsidRPr="00C22ABE">
        <w:rPr>
          <w:rFonts w:cstheme="minorHAnsi"/>
          <w:sz w:val="20"/>
          <w:szCs w:val="18"/>
          <w:lang w:val="fr-FR"/>
        </w:rPr>
        <w:t xml:space="preserve"> montre </w:t>
      </w:r>
      <w:r w:rsidRPr="00C22ABE">
        <w:rPr>
          <w:rFonts w:cstheme="minorHAnsi"/>
          <w:sz w:val="20"/>
          <w:szCs w:val="18"/>
          <w:lang w:val="fr-FR"/>
        </w:rPr>
        <w:t>54,4%</w:t>
      </w:r>
      <w:r w:rsidR="006209C9" w:rsidRPr="00C22ABE">
        <w:rPr>
          <w:rFonts w:cstheme="minorHAnsi"/>
          <w:sz w:val="20"/>
          <w:szCs w:val="18"/>
          <w:lang w:val="fr-FR"/>
        </w:rPr>
        <w:t xml:space="preserve"> </w:t>
      </w:r>
      <w:r w:rsidRPr="00C22ABE">
        <w:rPr>
          <w:rFonts w:cstheme="minorHAnsi"/>
          <w:sz w:val="20"/>
          <w:szCs w:val="18"/>
          <w:lang w:val="fr-FR"/>
        </w:rPr>
        <w:t xml:space="preserve">de guérison, </w:t>
      </w:r>
      <w:r w:rsidR="006209C9" w:rsidRPr="00C22ABE">
        <w:rPr>
          <w:rFonts w:cstheme="minorHAnsi"/>
          <w:sz w:val="20"/>
          <w:szCs w:val="18"/>
          <w:lang w:val="fr-FR"/>
        </w:rPr>
        <w:t>une stabilité dans 31,4%</w:t>
      </w:r>
      <w:r w:rsidRPr="00C22ABE">
        <w:rPr>
          <w:rFonts w:cstheme="minorHAnsi"/>
          <w:sz w:val="20"/>
          <w:szCs w:val="18"/>
          <w:lang w:val="fr-FR"/>
        </w:rPr>
        <w:t xml:space="preserve">, </w:t>
      </w:r>
      <w:r w:rsidR="006209C9" w:rsidRPr="00C22ABE">
        <w:rPr>
          <w:rFonts w:cstheme="minorHAnsi"/>
          <w:sz w:val="20"/>
          <w:szCs w:val="18"/>
          <w:lang w:val="fr-FR"/>
        </w:rPr>
        <w:t xml:space="preserve">et une progression dans </w:t>
      </w:r>
      <w:r w:rsidRPr="00C22ABE">
        <w:rPr>
          <w:rFonts w:cstheme="minorHAnsi"/>
          <w:sz w:val="20"/>
          <w:szCs w:val="18"/>
          <w:lang w:val="fr-FR"/>
        </w:rPr>
        <w:t xml:space="preserve">14,2% </w:t>
      </w:r>
      <w:r w:rsidR="006209C9" w:rsidRPr="00C22ABE">
        <w:rPr>
          <w:rFonts w:cstheme="minorHAnsi"/>
          <w:sz w:val="20"/>
          <w:szCs w:val="18"/>
          <w:lang w:val="fr-FR"/>
        </w:rPr>
        <w:t>des cas</w:t>
      </w:r>
      <w:r w:rsidR="00496152" w:rsidRPr="00C22ABE">
        <w:rPr>
          <w:rFonts w:cstheme="minorHAnsi"/>
          <w:sz w:val="20"/>
          <w:szCs w:val="18"/>
          <w:lang w:val="fr-FR"/>
        </w:rPr>
        <w:t xml:space="preserve">. Le taux de guérison était plus élevé dans le groupe d’ORN </w:t>
      </w:r>
      <w:r w:rsidR="006209C9" w:rsidRPr="00C22ABE">
        <w:rPr>
          <w:rFonts w:cstheme="minorHAnsi"/>
          <w:sz w:val="20"/>
          <w:szCs w:val="18"/>
          <w:lang w:val="fr-FR"/>
        </w:rPr>
        <w:t xml:space="preserve">de grade I de </w:t>
      </w:r>
      <w:proofErr w:type="spellStart"/>
      <w:r w:rsidR="00496152" w:rsidRPr="00C22ABE">
        <w:rPr>
          <w:rFonts w:cstheme="minorHAnsi"/>
          <w:sz w:val="20"/>
          <w:szCs w:val="18"/>
          <w:lang w:val="fr-FR"/>
        </w:rPr>
        <w:t>Notani</w:t>
      </w:r>
      <w:proofErr w:type="spellEnd"/>
      <w:r w:rsidR="00496152" w:rsidRPr="00C22ABE">
        <w:rPr>
          <w:rFonts w:cstheme="minorHAnsi"/>
          <w:sz w:val="20"/>
          <w:szCs w:val="18"/>
          <w:lang w:val="fr-FR"/>
        </w:rPr>
        <w:t xml:space="preserve"> (72,4%), et fait considérer le traitement médical </w:t>
      </w:r>
      <w:r w:rsidR="00496152" w:rsidRPr="003A68BA">
        <w:rPr>
          <w:rFonts w:cstheme="minorHAnsi"/>
          <w:sz w:val="20"/>
          <w:szCs w:val="18"/>
          <w:lang w:val="fr-FR"/>
        </w:rPr>
        <w:t xml:space="preserve">comme </w:t>
      </w:r>
      <w:r w:rsidR="005A2B63" w:rsidRPr="003A68BA">
        <w:rPr>
          <w:rFonts w:cstheme="minorHAnsi"/>
          <w:sz w:val="20"/>
          <w:szCs w:val="18"/>
          <w:lang w:val="fr-FR"/>
        </w:rPr>
        <w:t>une bonne option</w:t>
      </w:r>
      <w:r w:rsidR="006209C9" w:rsidRPr="00C22ABE">
        <w:rPr>
          <w:rFonts w:cstheme="minorHAnsi"/>
          <w:sz w:val="20"/>
          <w:szCs w:val="18"/>
          <w:lang w:val="fr-FR"/>
        </w:rPr>
        <w:t xml:space="preserve"> dans les stades précoces</w:t>
      </w:r>
      <w:r w:rsidR="00496152" w:rsidRPr="00C22ABE">
        <w:rPr>
          <w:rFonts w:cstheme="minorHAnsi"/>
          <w:sz w:val="20"/>
          <w:szCs w:val="18"/>
          <w:lang w:val="fr-FR"/>
        </w:rPr>
        <w:t xml:space="preserve">. Dans les ORN </w:t>
      </w:r>
      <w:r w:rsidR="006209C9" w:rsidRPr="00C22ABE">
        <w:rPr>
          <w:rFonts w:cstheme="minorHAnsi"/>
          <w:sz w:val="20"/>
          <w:szCs w:val="18"/>
          <w:lang w:val="fr-FR"/>
        </w:rPr>
        <w:t xml:space="preserve">de grade III de </w:t>
      </w:r>
      <w:proofErr w:type="spellStart"/>
      <w:r w:rsidR="00496152" w:rsidRPr="00C22ABE">
        <w:rPr>
          <w:rFonts w:cstheme="minorHAnsi"/>
          <w:sz w:val="20"/>
          <w:szCs w:val="18"/>
          <w:lang w:val="fr-FR"/>
        </w:rPr>
        <w:t>Notani</w:t>
      </w:r>
      <w:proofErr w:type="spellEnd"/>
      <w:r w:rsidR="00496152" w:rsidRPr="00C22ABE">
        <w:rPr>
          <w:rFonts w:cstheme="minorHAnsi"/>
          <w:sz w:val="20"/>
          <w:szCs w:val="18"/>
          <w:lang w:val="fr-FR"/>
        </w:rPr>
        <w:t>, les résultats sont plus discordants</w:t>
      </w:r>
      <w:r w:rsidR="006209C9" w:rsidRPr="00C22ABE">
        <w:rPr>
          <w:rFonts w:cstheme="minorHAnsi"/>
          <w:sz w:val="20"/>
          <w:szCs w:val="18"/>
          <w:lang w:val="fr-FR"/>
        </w:rPr>
        <w:t>.</w:t>
      </w:r>
    </w:p>
    <w:p w14:paraId="10F22819" w14:textId="4BEB2A3D" w:rsidR="00554B5C" w:rsidRPr="00C22ABE" w:rsidRDefault="00554B5C" w:rsidP="002E3149">
      <w:pPr>
        <w:tabs>
          <w:tab w:val="left" w:pos="7110"/>
        </w:tabs>
        <w:rPr>
          <w:rFonts w:cstheme="minorHAnsi"/>
          <w:sz w:val="20"/>
          <w:szCs w:val="18"/>
        </w:rPr>
      </w:pPr>
      <w:r w:rsidRPr="00C22ABE">
        <w:rPr>
          <w:rFonts w:cstheme="minorHAnsi"/>
          <w:b/>
          <w:bCs/>
          <w:sz w:val="20"/>
          <w:szCs w:val="18"/>
        </w:rPr>
        <w:t>L’</w:t>
      </w:r>
      <w:r w:rsidR="00530494" w:rsidRPr="00C22ABE">
        <w:rPr>
          <w:rFonts w:cstheme="minorHAnsi"/>
          <w:b/>
          <w:bCs/>
          <w:sz w:val="20"/>
          <w:szCs w:val="18"/>
        </w:rPr>
        <w:t>association</w:t>
      </w:r>
      <w:r w:rsidRPr="00C22ABE">
        <w:rPr>
          <w:rFonts w:cstheme="minorHAnsi"/>
          <w:b/>
          <w:bCs/>
          <w:sz w:val="20"/>
          <w:szCs w:val="18"/>
        </w:rPr>
        <w:t xml:space="preserve"> </w:t>
      </w:r>
      <w:proofErr w:type="spellStart"/>
      <w:r w:rsidRPr="00C22ABE">
        <w:rPr>
          <w:rFonts w:cstheme="minorHAnsi"/>
          <w:b/>
          <w:bCs/>
          <w:sz w:val="20"/>
          <w:szCs w:val="18"/>
        </w:rPr>
        <w:t>PenToClo</w:t>
      </w:r>
      <w:proofErr w:type="spellEnd"/>
      <w:r w:rsidRPr="00C22ABE">
        <w:rPr>
          <w:rFonts w:cstheme="minorHAnsi"/>
          <w:sz w:val="20"/>
          <w:szCs w:val="18"/>
        </w:rPr>
        <w:t xml:space="preserve"> </w:t>
      </w:r>
      <w:r w:rsidR="00BC1FA1" w:rsidRPr="00C22ABE">
        <w:rPr>
          <w:rFonts w:cstheme="minorHAnsi"/>
          <w:sz w:val="20"/>
          <w:szCs w:val="18"/>
        </w:rPr>
        <w:t xml:space="preserve">joue </w:t>
      </w:r>
      <w:r w:rsidRPr="00C22ABE">
        <w:rPr>
          <w:rFonts w:cstheme="minorHAnsi"/>
          <w:sz w:val="20"/>
          <w:szCs w:val="18"/>
        </w:rPr>
        <w:t xml:space="preserve">un rôle bénéfique en inversant le phénotype pathologique myofibroblastique </w:t>
      </w:r>
      <w:proofErr w:type="spellStart"/>
      <w:r w:rsidRPr="00C22ABE">
        <w:rPr>
          <w:rFonts w:cstheme="minorHAnsi"/>
          <w:sz w:val="20"/>
          <w:szCs w:val="18"/>
        </w:rPr>
        <w:t>proinflammatoire</w:t>
      </w:r>
      <w:proofErr w:type="spellEnd"/>
      <w:r w:rsidRPr="00C22ABE">
        <w:rPr>
          <w:rFonts w:cstheme="minorHAnsi"/>
          <w:sz w:val="20"/>
          <w:szCs w:val="18"/>
        </w:rPr>
        <w:t>.</w:t>
      </w:r>
    </w:p>
    <w:p w14:paraId="3FEE295E" w14:textId="402568FF" w:rsidR="00554B5C" w:rsidRPr="00C22ABE" w:rsidRDefault="006300CC" w:rsidP="002E3149">
      <w:pPr>
        <w:tabs>
          <w:tab w:val="left" w:pos="7110"/>
        </w:tabs>
        <w:rPr>
          <w:rFonts w:cstheme="minorHAnsi"/>
          <w:sz w:val="20"/>
          <w:szCs w:val="18"/>
        </w:rPr>
      </w:pPr>
      <w:r w:rsidRPr="00C22ABE">
        <w:rPr>
          <w:rFonts w:cstheme="minorHAnsi"/>
          <w:sz w:val="20"/>
          <w:szCs w:val="18"/>
        </w:rPr>
        <w:t>En résumé, c</w:t>
      </w:r>
      <w:r w:rsidR="00554B5C" w:rsidRPr="00C22ABE">
        <w:rPr>
          <w:rFonts w:cstheme="minorHAnsi"/>
          <w:sz w:val="20"/>
          <w:szCs w:val="18"/>
        </w:rPr>
        <w:t xml:space="preserve">ette association </w:t>
      </w:r>
      <w:r w:rsidR="00530494" w:rsidRPr="00C22ABE">
        <w:rPr>
          <w:rFonts w:cstheme="minorHAnsi"/>
          <w:sz w:val="20"/>
          <w:szCs w:val="18"/>
        </w:rPr>
        <w:t>présente une action</w:t>
      </w:r>
      <w:r w:rsidR="00554B5C" w:rsidRPr="00C22ABE">
        <w:rPr>
          <w:rFonts w:cstheme="minorHAnsi"/>
          <w:sz w:val="20"/>
          <w:szCs w:val="18"/>
        </w:rPr>
        <w:t xml:space="preserve"> sur</w:t>
      </w:r>
      <w:r w:rsidR="00984E56" w:rsidRPr="00C22ABE">
        <w:rPr>
          <w:rFonts w:cstheme="minorHAnsi"/>
          <w:sz w:val="20"/>
          <w:szCs w:val="18"/>
        </w:rPr>
        <w:t> :</w:t>
      </w:r>
    </w:p>
    <w:p w14:paraId="5DC5BDA4" w14:textId="16FCB3EB" w:rsidR="00530494" w:rsidRPr="00C22ABE" w:rsidRDefault="00554B5C" w:rsidP="00554B5C">
      <w:pPr>
        <w:pStyle w:val="Paragraphedeliste"/>
        <w:numPr>
          <w:ilvl w:val="0"/>
          <w:numId w:val="3"/>
        </w:numPr>
        <w:tabs>
          <w:tab w:val="left" w:pos="7110"/>
        </w:tabs>
        <w:rPr>
          <w:rFonts w:cstheme="minorHAnsi"/>
          <w:sz w:val="20"/>
          <w:szCs w:val="18"/>
        </w:rPr>
      </w:pPr>
      <w:r w:rsidRPr="00C22ABE">
        <w:rPr>
          <w:rFonts w:cstheme="minorHAnsi"/>
          <w:sz w:val="20"/>
          <w:szCs w:val="18"/>
        </w:rPr>
        <w:t xml:space="preserve">l’inflammation : effet anti TNFα, inhibiteur de TGF β1 et autres </w:t>
      </w:r>
      <w:proofErr w:type="spellStart"/>
      <w:r w:rsidRPr="00C22ABE">
        <w:rPr>
          <w:rFonts w:cstheme="minorHAnsi"/>
          <w:sz w:val="20"/>
          <w:szCs w:val="18"/>
        </w:rPr>
        <w:t>CK</w:t>
      </w:r>
      <w:r w:rsidR="00CA7B18" w:rsidRPr="00C22ABE">
        <w:rPr>
          <w:rFonts w:cstheme="minorHAnsi"/>
          <w:sz w:val="20"/>
          <w:szCs w:val="18"/>
        </w:rPr>
        <w:t>s</w:t>
      </w:r>
      <w:proofErr w:type="spellEnd"/>
      <w:r w:rsidRPr="00C22ABE">
        <w:rPr>
          <w:rFonts w:cstheme="minorHAnsi"/>
          <w:sz w:val="20"/>
          <w:szCs w:val="18"/>
        </w:rPr>
        <w:t xml:space="preserve"> </w:t>
      </w:r>
      <w:proofErr w:type="spellStart"/>
      <w:r w:rsidRPr="00C22ABE">
        <w:rPr>
          <w:rFonts w:cstheme="minorHAnsi"/>
          <w:sz w:val="20"/>
          <w:szCs w:val="18"/>
        </w:rPr>
        <w:t>proinflammatoire</w:t>
      </w:r>
      <w:r w:rsidR="00CA7B18" w:rsidRPr="00C22ABE">
        <w:rPr>
          <w:rFonts w:cstheme="minorHAnsi"/>
          <w:sz w:val="20"/>
          <w:szCs w:val="18"/>
        </w:rPr>
        <w:t>s</w:t>
      </w:r>
      <w:proofErr w:type="spellEnd"/>
    </w:p>
    <w:p w14:paraId="0D6D1A4A" w14:textId="41E0586A" w:rsidR="00530494" w:rsidRPr="00C22ABE" w:rsidRDefault="00CA7B18" w:rsidP="00554B5C">
      <w:pPr>
        <w:pStyle w:val="Paragraphedeliste"/>
        <w:numPr>
          <w:ilvl w:val="0"/>
          <w:numId w:val="3"/>
        </w:numPr>
        <w:tabs>
          <w:tab w:val="left" w:pos="7110"/>
        </w:tabs>
        <w:rPr>
          <w:rFonts w:cstheme="minorHAnsi"/>
          <w:sz w:val="20"/>
          <w:szCs w:val="18"/>
        </w:rPr>
      </w:pPr>
      <w:r w:rsidRPr="00C22ABE">
        <w:rPr>
          <w:rFonts w:cstheme="minorHAnsi"/>
          <w:sz w:val="20"/>
          <w:szCs w:val="18"/>
        </w:rPr>
        <w:t xml:space="preserve">le </w:t>
      </w:r>
      <w:r w:rsidR="00530494" w:rsidRPr="00C22ABE">
        <w:rPr>
          <w:rFonts w:cstheme="minorHAnsi"/>
          <w:sz w:val="20"/>
          <w:szCs w:val="18"/>
        </w:rPr>
        <w:t>stress oxydatif : Elimination des ROS, protection des membranes de la peroxydation lipidique</w:t>
      </w:r>
    </w:p>
    <w:p w14:paraId="4E832A5B" w14:textId="4889A9F0" w:rsidR="00C379DF" w:rsidRPr="00C22ABE" w:rsidRDefault="00530494" w:rsidP="00554B5C">
      <w:pPr>
        <w:pStyle w:val="Paragraphedeliste"/>
        <w:numPr>
          <w:ilvl w:val="0"/>
          <w:numId w:val="3"/>
        </w:numPr>
        <w:tabs>
          <w:tab w:val="left" w:pos="7110"/>
        </w:tabs>
        <w:rPr>
          <w:rFonts w:cstheme="minorHAnsi"/>
          <w:sz w:val="20"/>
          <w:szCs w:val="18"/>
        </w:rPr>
      </w:pPr>
      <w:r w:rsidRPr="00C22ABE">
        <w:rPr>
          <w:rFonts w:cstheme="minorHAnsi"/>
          <w:sz w:val="20"/>
          <w:szCs w:val="18"/>
        </w:rPr>
        <w:t>la MEC : inhibition de la prolifération des fibroblastes, augmentation de l’activité de la collagénase</w:t>
      </w:r>
      <w:r w:rsidR="00554B5C" w:rsidRPr="00C22ABE">
        <w:rPr>
          <w:rFonts w:cstheme="minorHAnsi"/>
          <w:sz w:val="20"/>
          <w:szCs w:val="18"/>
        </w:rPr>
        <w:t xml:space="preserve"> </w:t>
      </w:r>
    </w:p>
    <w:p w14:paraId="644944EF" w14:textId="0E4F767F" w:rsidR="00530494" w:rsidRPr="00C22ABE" w:rsidRDefault="00CA7B18" w:rsidP="00554B5C">
      <w:pPr>
        <w:pStyle w:val="Paragraphedeliste"/>
        <w:numPr>
          <w:ilvl w:val="0"/>
          <w:numId w:val="3"/>
        </w:numPr>
        <w:tabs>
          <w:tab w:val="left" w:pos="7110"/>
        </w:tabs>
        <w:rPr>
          <w:rFonts w:cstheme="minorHAnsi"/>
          <w:sz w:val="20"/>
          <w:szCs w:val="18"/>
        </w:rPr>
      </w:pPr>
      <w:r w:rsidRPr="00C22ABE">
        <w:rPr>
          <w:rFonts w:cstheme="minorHAnsi"/>
          <w:sz w:val="20"/>
          <w:szCs w:val="18"/>
        </w:rPr>
        <w:t xml:space="preserve">la </w:t>
      </w:r>
      <w:r w:rsidR="00530494" w:rsidRPr="00C22ABE">
        <w:rPr>
          <w:rFonts w:cstheme="minorHAnsi"/>
          <w:sz w:val="20"/>
          <w:szCs w:val="18"/>
        </w:rPr>
        <w:t>résorption osseuse : réduction du nombre et de l’activité des ostéoclastes et augmentation de la synthèse osseuse par les ostéoblastes</w:t>
      </w:r>
    </w:p>
    <w:p w14:paraId="5C31DD62" w14:textId="3E5332C3" w:rsidR="00530494" w:rsidRPr="00C22ABE" w:rsidRDefault="00CA7B18" w:rsidP="00554B5C">
      <w:pPr>
        <w:pStyle w:val="Paragraphedeliste"/>
        <w:numPr>
          <w:ilvl w:val="0"/>
          <w:numId w:val="3"/>
        </w:numPr>
        <w:tabs>
          <w:tab w:val="left" w:pos="7110"/>
        </w:tabs>
        <w:rPr>
          <w:rFonts w:cstheme="minorHAnsi"/>
          <w:sz w:val="20"/>
          <w:szCs w:val="18"/>
        </w:rPr>
      </w:pPr>
      <w:r w:rsidRPr="00C22ABE">
        <w:rPr>
          <w:rFonts w:cstheme="minorHAnsi"/>
          <w:sz w:val="20"/>
          <w:szCs w:val="18"/>
        </w:rPr>
        <w:t xml:space="preserve">la </w:t>
      </w:r>
      <w:r w:rsidR="00530494" w:rsidRPr="00C22ABE">
        <w:rPr>
          <w:rFonts w:cstheme="minorHAnsi"/>
          <w:sz w:val="20"/>
          <w:szCs w:val="18"/>
        </w:rPr>
        <w:t>vasodilatation, flexibilité des érythrocytes</w:t>
      </w:r>
    </w:p>
    <w:p w14:paraId="7B9E3F9F" w14:textId="304F3E5F" w:rsidR="00942D97" w:rsidRPr="00C22ABE" w:rsidRDefault="00942D97" w:rsidP="002E3149">
      <w:pPr>
        <w:tabs>
          <w:tab w:val="left" w:pos="7110"/>
        </w:tabs>
        <w:rPr>
          <w:rFonts w:cstheme="minorHAnsi"/>
          <w:sz w:val="20"/>
          <w:szCs w:val="18"/>
        </w:rPr>
      </w:pPr>
      <w:r w:rsidRPr="00C22ABE">
        <w:rPr>
          <w:rFonts w:cstheme="minorHAnsi"/>
          <w:sz w:val="20"/>
          <w:szCs w:val="18"/>
        </w:rPr>
        <w:t xml:space="preserve">Ce traitement est assez bien toléré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yoqRRSXn","properties":{"formattedCitation":"(54)","plainCitation":"(54)","noteIndex":0},"citationItems":[{"id":243,"uris":["http://zotero.org/users/local/Om3YyEnU/items/JFZ5TG7X"],"uri":["http://zotero.org/users/local/Om3YyEnU/items/JFZ5TG7X"],"itemData":{"id":243,"type":"article-journal","abstract":"OBJECTIVE: The purpose of this study was to evaluate the healing benefit provided by the antioxidant and antifibrotic properties of pentoxifylline-tocopherol or pentoxifylline-tocopherol-clodronate in combination therapy for osteoradionecrosis.\nSTUDY DESIGN: We searched for relevant reports in PubMed by using a combination of \"osteoradionecrosis\" and the following keywords: \"pentoxifillyne,\" \"tocopherol,\" \"vitamin E,\" or \"clodronate.\" We considered articles in English or Spanish, with no limitations on the publication date.\nRESULTS: The combination of pentoxifylline plus tocopherol with or without clodronate was found to be effective for the treatment of mandibular osteoradionecrosis, although data were generally scarce and mostly came from retrospective case series.\nCONCLUSIONS: This drug therapy is well tolerated and could be promising for the treatment of mandibular osteoradionecrosis, but prospective randomized controlled clinical trials are needed for further clarification.","container-title":"Oral Surgery, Oral Medicine, Oral Pathology and Oral Radiology","DOI":"10.1016/j.oooo.2018.02.004","ISSN":"2212-4411","issue":"5","journalAbbreviation":"Oral Surg Oral Med Oral Pathol Oral Radiol","language":"eng","note":"PMID: 29550081","page":"431-439","source":"PubMed","title":"Pentoxifylline, tocopherol, and clodronate for the treatment of mandibular osteoradionecrosis: a systematic review","title-short":"Pentoxifylline, tocopherol, and clodronate for the treatment of mandibular osteoradionecrosis","volume":"125","author":[{"family":"Martos-Fernández","given":"Miriam"},{"family":"Saez-Barba","given":"Manel"},{"family":"López-López","given":"Jose"},{"family":"Estrugo-Devesa","given":"Albert"},{"family":"Balibrea-Del-Castillo","given":"Jose María"},{"family":"Bescós-Atín","given":"Coro"}],"issued":{"date-parts":[["2018"]]}}}],"schema":"https://github.com/citation-style-language/schema/raw/master/csl-citation.json"}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(54)</w:t>
      </w:r>
      <w:r w:rsidRPr="00C22ABE">
        <w:rPr>
          <w:rFonts w:cstheme="minorHAnsi"/>
          <w:sz w:val="20"/>
          <w:szCs w:val="18"/>
        </w:rPr>
        <w:fldChar w:fldCharType="end"/>
      </w:r>
      <w:r w:rsidRPr="00C22ABE">
        <w:rPr>
          <w:rFonts w:cstheme="minorHAnsi"/>
          <w:sz w:val="20"/>
          <w:szCs w:val="18"/>
        </w:rPr>
        <w:t>. La durée conseillée est au moins d</w:t>
      </w:r>
      <w:r w:rsidR="008F3000" w:rsidRPr="00C22ABE">
        <w:rPr>
          <w:rFonts w:cstheme="minorHAnsi"/>
          <w:sz w:val="20"/>
          <w:szCs w:val="18"/>
        </w:rPr>
        <w:t>e</w:t>
      </w:r>
      <w:r w:rsidRPr="00C22ABE">
        <w:rPr>
          <w:rFonts w:cstheme="minorHAnsi"/>
          <w:sz w:val="20"/>
          <w:szCs w:val="18"/>
        </w:rPr>
        <w:t xml:space="preserve"> 6 mois. Si la durée de traitement est </w:t>
      </w:r>
      <w:r w:rsidR="00CA7B18" w:rsidRPr="00C22ABE">
        <w:rPr>
          <w:rFonts w:cstheme="minorHAnsi"/>
          <w:sz w:val="20"/>
          <w:szCs w:val="18"/>
        </w:rPr>
        <w:t>inférieure</w:t>
      </w:r>
      <w:r w:rsidRPr="00C22ABE">
        <w:rPr>
          <w:rFonts w:cstheme="minorHAnsi"/>
          <w:sz w:val="20"/>
          <w:szCs w:val="18"/>
        </w:rPr>
        <w:t xml:space="preserve"> à 18 mois, on </w:t>
      </w:r>
      <w:r w:rsidR="00CA7B18" w:rsidRPr="00C22ABE">
        <w:rPr>
          <w:rFonts w:cstheme="minorHAnsi"/>
          <w:sz w:val="20"/>
          <w:szCs w:val="18"/>
        </w:rPr>
        <w:t>observe souvent</w:t>
      </w:r>
      <w:r w:rsidRPr="00C22ABE">
        <w:rPr>
          <w:rFonts w:cstheme="minorHAnsi"/>
          <w:sz w:val="20"/>
          <w:szCs w:val="18"/>
        </w:rPr>
        <w:t xml:space="preserve"> un effet rebond</w:t>
      </w:r>
      <w:r w:rsidR="009E2F84" w:rsidRPr="00C22ABE">
        <w:rPr>
          <w:rFonts w:cstheme="minorHAnsi"/>
          <w:sz w:val="20"/>
          <w:szCs w:val="18"/>
        </w:rPr>
        <w:t xml:space="preserve"> à l’arrêt du traitement</w:t>
      </w:r>
      <w:r w:rsidRPr="00C22ABE">
        <w:rPr>
          <w:rFonts w:cstheme="minorHAnsi"/>
          <w:sz w:val="20"/>
          <w:szCs w:val="18"/>
        </w:rPr>
        <w:t>. Des traitements de plus de 2</w:t>
      </w:r>
      <w:r w:rsidR="00CA7B18" w:rsidRPr="00C22ABE">
        <w:rPr>
          <w:rFonts w:cstheme="minorHAnsi"/>
          <w:sz w:val="20"/>
          <w:szCs w:val="18"/>
        </w:rPr>
        <w:t xml:space="preserve"> ou 3 ans </w:t>
      </w:r>
      <w:r w:rsidRPr="00C22ABE">
        <w:rPr>
          <w:rFonts w:cstheme="minorHAnsi"/>
          <w:sz w:val="20"/>
          <w:szCs w:val="18"/>
        </w:rPr>
        <w:t xml:space="preserve">sont inutiles. Le </w:t>
      </w:r>
      <w:r w:rsidR="009E2F84" w:rsidRPr="00C22ABE">
        <w:rPr>
          <w:rFonts w:cstheme="minorHAnsi"/>
          <w:sz w:val="20"/>
          <w:szCs w:val="18"/>
        </w:rPr>
        <w:t>suivi</w:t>
      </w:r>
      <w:r w:rsidRPr="00C22ABE">
        <w:rPr>
          <w:rFonts w:cstheme="minorHAnsi"/>
          <w:sz w:val="20"/>
          <w:szCs w:val="18"/>
        </w:rPr>
        <w:t xml:space="preserve"> des patients varie de 1 mois à 10 ans. On constate en général une bonne adhésion au traitement</w:t>
      </w:r>
      <w:r w:rsidR="00CA7B18" w:rsidRPr="00C22ABE">
        <w:rPr>
          <w:rFonts w:cstheme="minorHAnsi"/>
          <w:sz w:val="20"/>
          <w:szCs w:val="18"/>
        </w:rPr>
        <w:t>.</w:t>
      </w:r>
    </w:p>
    <w:p w14:paraId="524E825C" w14:textId="7021D9CA" w:rsidR="006300CC" w:rsidRPr="00C22ABE" w:rsidRDefault="006300CC" w:rsidP="006300CC">
      <w:pPr>
        <w:tabs>
          <w:tab w:val="left" w:pos="7110"/>
        </w:tabs>
        <w:rPr>
          <w:rFonts w:cstheme="minorHAnsi"/>
          <w:sz w:val="20"/>
          <w:szCs w:val="18"/>
        </w:rPr>
      </w:pPr>
      <w:r w:rsidRPr="00C22ABE">
        <w:rPr>
          <w:rFonts w:cstheme="minorHAnsi"/>
          <w:sz w:val="20"/>
          <w:szCs w:val="18"/>
        </w:rPr>
        <w:t>Il faut noter aussi que la cicatrisation radiologique est plus longue que la cicatrisation clinique.</w:t>
      </w:r>
    </w:p>
    <w:p w14:paraId="0BAFB6C6" w14:textId="413FBC7D" w:rsidR="00367192" w:rsidRPr="00C22ABE" w:rsidRDefault="00B31B3F" w:rsidP="006810BD">
      <w:pPr>
        <w:autoSpaceDE w:val="0"/>
        <w:autoSpaceDN w:val="0"/>
        <w:adjustRightInd w:val="0"/>
        <w:spacing w:after="0" w:line="240" w:lineRule="auto"/>
        <w:rPr>
          <w:rFonts w:cstheme="minorHAnsi"/>
          <w:sz w:val="20"/>
          <w:szCs w:val="20"/>
        </w:rPr>
      </w:pPr>
      <w:r w:rsidRPr="00C22ABE">
        <w:rPr>
          <w:rFonts w:cstheme="minorHAnsi"/>
          <w:sz w:val="20"/>
          <w:szCs w:val="20"/>
        </w:rPr>
        <w:t xml:space="preserve">Pour Patel et al </w:t>
      </w:r>
      <w:r w:rsidR="006209C9" w:rsidRPr="00C22ABE">
        <w:rPr>
          <w:rFonts w:cstheme="minorHAnsi"/>
          <w:sz w:val="20"/>
          <w:szCs w:val="20"/>
        </w:rPr>
        <w:fldChar w:fldCharType="begin"/>
      </w:r>
      <w:r w:rsidR="00281AF6" w:rsidRPr="00C22ABE">
        <w:rPr>
          <w:rFonts w:cstheme="minorHAnsi"/>
          <w:sz w:val="20"/>
          <w:szCs w:val="20"/>
        </w:rPr>
        <w:instrText xml:space="preserve"> ADDIN ZOTERO_ITEM CSL_CITATION {"citationID":"dNkTyytg","properties":{"formattedCitation":"(62)","plainCitation":"(62)","noteIndex":0},"citationItems":[{"id":331,"uris":["http://zotero.org/users/local/Om3YyEnU/items/TETPPJPY"],"uri":["http://zotero.org/users/local/Om3YyEnU/items/TETPPJPY"],"itemData":{"id":331,"type":"article-journal","abstract":"AIMS: Medical management of osteoradionecrosis (ORN) via pentoxifylline, tocopherol (PENTO) and clodronate (PENTOCLO) has shown both promise and early positive outcomes. We aimed to determine clinical outcomes for patients with established ORN managed solely via PENTO or PENTOCLO.\nMETHODS: The study retrospectively reviewed and collected data from the medical records of 169 patients diagnosed with ORN and treated via medical management. Patients that received any additional interventions such as surgery or hyperbaric oxygen were not included.\nRESULTS: Medical management led to healed ORN in 54.4% (n=92/169) of patients after an average of 12.9 months. Outcome comparison between PENTO and PENTOCLO identified the former regime to be significantly superior (p=0.0001). There is an inverse relationship with increasing ORN severity and healing with medical management (p&lt;0.0001) with oropharyngeal cancer (p=0.0347) patients responding favourably via this approach. Infection had a critical role in the final outcome with those healing requiring 1.3 antibiotic prescriptions, while those that had disease progression requiring 4.3 prescriptions.\nCONCLUSION: Medical management is a viable treatment option for ORN. It appears to be most effective in Notani I and non-infected ORN. When healing was not achieved the regime was able to stabilise the condition.","container-title":"Radiotherapy and Oncology: Journal of the European Society for Therapeutic Radiology and Oncology","DOI":"10.1016/j.radonc.2020.12.027","ISSN":"1879-0887","journalAbbreviation":"Radiother Oncol","language":"eng","note":"PMID: 33385466","source":"PubMed","title":"The use of pentoxifylline, tocopherol and clodronate in the management of osteoradionecrosis of the jaws","author":[{"family":"Patel","given":"Sagar"},{"family":"Patel","given":"Nisma"},{"family":"Sassoon","given":"Isabel"},{"family":"Patel","given":"Vinod"}],"issued":{"date-parts":[["2020",12,29]]}}}],"schema":"https://github.com/citation-style-language/schema/raw/master/csl-citation.json"} </w:instrText>
      </w:r>
      <w:r w:rsidR="006209C9" w:rsidRPr="00C22ABE">
        <w:rPr>
          <w:rFonts w:cstheme="minorHAnsi"/>
          <w:sz w:val="20"/>
          <w:szCs w:val="20"/>
        </w:rPr>
        <w:fldChar w:fldCharType="separate"/>
      </w:r>
      <w:r w:rsidR="00281AF6" w:rsidRPr="00C22ABE">
        <w:rPr>
          <w:rFonts w:cstheme="minorHAnsi"/>
          <w:sz w:val="20"/>
        </w:rPr>
        <w:t>(62)</w:t>
      </w:r>
      <w:r w:rsidR="006209C9" w:rsidRPr="00C22ABE">
        <w:rPr>
          <w:rFonts w:cstheme="minorHAnsi"/>
          <w:sz w:val="20"/>
          <w:szCs w:val="20"/>
        </w:rPr>
        <w:fldChar w:fldCharType="end"/>
      </w:r>
      <w:r w:rsidRPr="00C22ABE">
        <w:rPr>
          <w:rFonts w:cstheme="minorHAnsi"/>
          <w:sz w:val="20"/>
          <w:szCs w:val="20"/>
        </w:rPr>
        <w:t xml:space="preserve">, l’avantage est son faible coût </w:t>
      </w:r>
      <w:r w:rsidR="00367192" w:rsidRPr="00C22ABE">
        <w:rPr>
          <w:rFonts w:cstheme="minorHAnsi"/>
          <w:sz w:val="20"/>
          <w:szCs w:val="20"/>
        </w:rPr>
        <w:t>de 30 à 180 euros/mois</w:t>
      </w:r>
      <w:r w:rsidR="00496152" w:rsidRPr="00C22ABE">
        <w:rPr>
          <w:rFonts w:cstheme="minorHAnsi"/>
          <w:sz w:val="20"/>
          <w:szCs w:val="20"/>
        </w:rPr>
        <w:t xml:space="preserve">. </w:t>
      </w:r>
      <w:r w:rsidR="00367192" w:rsidRPr="00C22ABE">
        <w:rPr>
          <w:rFonts w:cstheme="minorHAnsi"/>
          <w:sz w:val="20"/>
          <w:szCs w:val="20"/>
        </w:rPr>
        <w:t xml:space="preserve">Pour un grade III de </w:t>
      </w:r>
      <w:proofErr w:type="spellStart"/>
      <w:r w:rsidR="00367192" w:rsidRPr="00C22ABE">
        <w:rPr>
          <w:rFonts w:cstheme="minorHAnsi"/>
          <w:sz w:val="20"/>
          <w:szCs w:val="20"/>
        </w:rPr>
        <w:t>Notani</w:t>
      </w:r>
      <w:proofErr w:type="spellEnd"/>
      <w:r w:rsidR="00367192" w:rsidRPr="00C22ABE">
        <w:rPr>
          <w:rFonts w:cstheme="minorHAnsi"/>
          <w:sz w:val="20"/>
          <w:szCs w:val="20"/>
        </w:rPr>
        <w:t xml:space="preserve">, le coût total est de 800 à 5700 euros, alors que l’OHB reviendrait à 8000 à 10000 euros, et à 20000 euros si un lambeau libre est réalisé. La plupart des cas d’ORN de grade I de </w:t>
      </w:r>
      <w:proofErr w:type="spellStart"/>
      <w:r w:rsidR="00367192" w:rsidRPr="00C22ABE">
        <w:rPr>
          <w:rFonts w:cstheme="minorHAnsi"/>
          <w:sz w:val="20"/>
          <w:szCs w:val="20"/>
        </w:rPr>
        <w:t>Notani</w:t>
      </w:r>
      <w:proofErr w:type="spellEnd"/>
      <w:r w:rsidR="00367192" w:rsidRPr="00C22ABE">
        <w:rPr>
          <w:rFonts w:cstheme="minorHAnsi"/>
          <w:sz w:val="20"/>
          <w:szCs w:val="20"/>
        </w:rPr>
        <w:t xml:space="preserve"> peuvent être résolus par un traitement médical pour les auteurs avec un coût moyen de 250 euros.</w:t>
      </w:r>
    </w:p>
    <w:p w14:paraId="2FA993BE" w14:textId="77777777" w:rsidR="005A668F" w:rsidRPr="00C22ABE" w:rsidRDefault="005A668F" w:rsidP="000D3A36">
      <w:pPr>
        <w:tabs>
          <w:tab w:val="left" w:pos="7110"/>
        </w:tabs>
        <w:rPr>
          <w:rFonts w:cstheme="minorHAnsi"/>
          <w:sz w:val="20"/>
          <w:szCs w:val="18"/>
        </w:rPr>
      </w:pPr>
    </w:p>
    <w:p w14:paraId="213DB605" w14:textId="22913389" w:rsidR="00B31B3F" w:rsidRPr="00C22ABE" w:rsidRDefault="00B31B3F" w:rsidP="000D3A36">
      <w:pPr>
        <w:tabs>
          <w:tab w:val="left" w:pos="7110"/>
        </w:tabs>
        <w:rPr>
          <w:rFonts w:cstheme="minorHAnsi"/>
          <w:sz w:val="20"/>
          <w:szCs w:val="18"/>
        </w:rPr>
      </w:pPr>
      <w:r w:rsidRPr="00C22ABE">
        <w:rPr>
          <w:rFonts w:cstheme="minorHAnsi"/>
          <w:sz w:val="20"/>
          <w:szCs w:val="18"/>
        </w:rPr>
        <w:t xml:space="preserve">Les </w:t>
      </w:r>
      <w:r w:rsidR="009E2F84" w:rsidRPr="00C22ABE">
        <w:rPr>
          <w:rFonts w:cstheme="minorHAnsi"/>
          <w:sz w:val="20"/>
          <w:szCs w:val="18"/>
        </w:rPr>
        <w:t>critiques fréquentes de ce traitement</w:t>
      </w:r>
      <w:r w:rsidRPr="00C22ABE">
        <w:rPr>
          <w:rFonts w:cstheme="minorHAnsi"/>
          <w:sz w:val="20"/>
          <w:szCs w:val="18"/>
        </w:rPr>
        <w:t xml:space="preserve"> sont qu’il s’agit souvent d’études rétrospectives et que de nombreux patients sont perdus de vue. D’autre part, c</w:t>
      </w:r>
      <w:r w:rsidR="006810BD" w:rsidRPr="00C22ABE">
        <w:rPr>
          <w:rFonts w:cstheme="minorHAnsi"/>
          <w:sz w:val="20"/>
          <w:szCs w:val="18"/>
        </w:rPr>
        <w:t xml:space="preserve">ertains argumentent que l’usage de </w:t>
      </w:r>
      <w:proofErr w:type="spellStart"/>
      <w:r w:rsidR="006810BD" w:rsidRPr="00C22ABE">
        <w:rPr>
          <w:rFonts w:cstheme="minorHAnsi"/>
          <w:sz w:val="20"/>
          <w:szCs w:val="18"/>
        </w:rPr>
        <w:t>PenToClo</w:t>
      </w:r>
      <w:proofErr w:type="spellEnd"/>
      <w:r w:rsidR="006810BD" w:rsidRPr="00C22ABE">
        <w:rPr>
          <w:rFonts w:cstheme="minorHAnsi"/>
          <w:sz w:val="20"/>
          <w:szCs w:val="18"/>
        </w:rPr>
        <w:t xml:space="preserve"> pourrait favoriser une récidive tumorale, ce qui n’a pas été </w:t>
      </w:r>
      <w:r w:rsidR="009E2F84" w:rsidRPr="00C22ABE">
        <w:rPr>
          <w:rFonts w:cstheme="minorHAnsi"/>
          <w:sz w:val="20"/>
          <w:szCs w:val="18"/>
        </w:rPr>
        <w:t xml:space="preserve">démontré </w:t>
      </w:r>
      <w:r w:rsidR="00367192" w:rsidRPr="00C22ABE">
        <w:rPr>
          <w:rFonts w:cstheme="minorHAnsi"/>
          <w:sz w:val="20"/>
          <w:szCs w:val="18"/>
        </w:rPr>
        <w:fldChar w:fldCharType="begin"/>
      </w:r>
      <w:r w:rsidR="00281AF6" w:rsidRPr="00C22ABE">
        <w:rPr>
          <w:rFonts w:cstheme="minorHAnsi"/>
          <w:sz w:val="20"/>
          <w:szCs w:val="18"/>
        </w:rPr>
        <w:instrText xml:space="preserve"> ADDIN ZOTERO_ITEM CSL_CITATION {"citationID":"RBnDWSOR","properties":{"formattedCitation":"(62,63)","plainCitation":"(62,63)","noteIndex":0},"citationItems":[{"id":221,"uris":["http://zotero.org/users/local/Om3YyEnU/items/ACMCHRD2"],"uri":["http://zotero.org/users/local/Om3YyEnU/items/ACMCHRD2"],"itemData":{"id":221,"type":"article-journal","container-title":"Cancer Treatment Reviews","DOI":"10.1016/j.ctrv.2005.07.007","ISSN":"03057372","issue":"6","journalAbbreviation":"Cancer Treatment Reviews","language":"en","page":"448-455","source":"DOI.org (Crossref)","title":"The role of pentoxifylline as a modifier of radiation therapy","volume":"31","author":[{"family":"Nieder","given":"Carsten"},{"family":"Zimmermann","given":"Frank B."},{"family":"Adam","given":"Markus"},{"family":"Molls","given":"Michael"}],"issued":{"date-parts":[["2005",10]]}}},{"id":331,"uris":["http://zotero.org/users/local/Om3YyEnU/items/TETPPJPY"],"uri":["http://zotero.org/users/local/Om3YyEnU/items/TETPPJPY"],"itemData":{"id":331,"type":"article-journal","abstract":"AIMS: Medical management of osteoradionecrosis (ORN) via pentoxifylline, tocopherol (PENTO) and clodronate (PENTOCLO) has shown both promise and early positive outcomes. We aimed to determine clinical outcomes for patients with established ORN managed solely via PENTO or PENTOCLO.\nMETHODS: The study retrospectively reviewed and collected data from the medical records of 169 patients diagnosed with ORN and treated via medical management. Patients that received any additional interventions such as surgery or hyperbaric oxygen were not included.\nRESULTS: Medical management led to healed ORN in 54.4% (n=92/169) of patients after an average of 12.9 months. Outcome comparison between PENTO and PENTOCLO identified the former regime to be significantly superior (p=0.0001). There is an inverse relationship with increasing ORN severity and healing with medical management (p&lt;0.0001) with oropharyngeal cancer (p=0.0347) patients responding favourably via this approach. Infection had a critical role in the final outcome with those healing requiring 1.3 antibiotic prescriptions, while those that had disease progression requiring 4.3 prescriptions.\nCONCLUSION: Medical management is a viable treatment option for ORN. It appears to be most effective in Notani I and non-infected ORN. When healing was not achieved the regime was able to stabilise the condition.","container-title":"Radiotherapy and Oncology: Journal of the European Society for Therapeutic Radiology and Oncology","DOI":"10.1016/j.radonc.2020.12.027","ISSN":"1879-0887","journalAbbreviation":"Radiother Oncol","language":"eng","note":"PMID: 33385466","source":"PubMed","title":"The use of pentoxifylline, tocopherol and clodronate in the management of osteoradionecrosis of the jaws","author":[{"family":"Patel","given":"Sagar"},{"family":"Patel","given":"Nisma"},{"family":"Sassoon","given":"Isabel"},{"family":"Patel","given":"Vinod"}],"issued":{"date-parts":[["2020",12,29]]}}}],"schema":"https://github.com/citation-style-language/schema/raw/master/csl-citation.json"} </w:instrText>
      </w:r>
      <w:r w:rsidR="00367192" w:rsidRPr="00C22ABE">
        <w:rPr>
          <w:rFonts w:cstheme="minorHAnsi"/>
          <w:sz w:val="20"/>
          <w:szCs w:val="18"/>
        </w:rPr>
        <w:fldChar w:fldCharType="separate"/>
      </w:r>
      <w:r w:rsidR="00281AF6" w:rsidRPr="00C22ABE">
        <w:rPr>
          <w:rFonts w:cstheme="minorHAnsi"/>
          <w:sz w:val="20"/>
        </w:rPr>
        <w:t>(62,63)</w:t>
      </w:r>
      <w:r w:rsidR="00367192" w:rsidRPr="00C22ABE">
        <w:rPr>
          <w:rFonts w:cstheme="minorHAnsi"/>
          <w:sz w:val="20"/>
          <w:szCs w:val="18"/>
        </w:rPr>
        <w:fldChar w:fldCharType="end"/>
      </w:r>
      <w:r w:rsidR="009E2F84" w:rsidRPr="00C22ABE">
        <w:rPr>
          <w:rFonts w:cstheme="minorHAnsi"/>
          <w:sz w:val="20"/>
          <w:szCs w:val="18"/>
        </w:rPr>
        <w:t>.</w:t>
      </w:r>
    </w:p>
    <w:p w14:paraId="33777792" w14:textId="42B72F32" w:rsidR="005A668F" w:rsidRPr="00C22ABE" w:rsidRDefault="005A668F" w:rsidP="00C22ABE">
      <w:pPr>
        <w:pBdr>
          <w:top w:val="single" w:sz="4" w:space="1" w:color="auto"/>
          <w:left w:val="single" w:sz="4" w:space="4" w:color="auto"/>
          <w:bottom w:val="single" w:sz="4" w:space="1" w:color="auto"/>
          <w:right w:val="single" w:sz="4" w:space="4" w:color="auto"/>
        </w:pBdr>
        <w:tabs>
          <w:tab w:val="left" w:pos="7110"/>
        </w:tabs>
        <w:rPr>
          <w:rFonts w:cstheme="minorHAnsi"/>
          <w:sz w:val="20"/>
          <w:szCs w:val="18"/>
        </w:rPr>
      </w:pPr>
      <w:r w:rsidRPr="00C22ABE">
        <w:rPr>
          <w:rFonts w:cstheme="minorHAnsi"/>
          <w:b/>
          <w:bCs/>
          <w:sz w:val="20"/>
          <w:szCs w:val="18"/>
        </w:rPr>
        <w:t>Point fort : La littérature actuelle soutient l’utilisation de Pentoxifylline et Tocophérol dans le traitement de l’ORN sous réserve d’études prospectives validées</w:t>
      </w:r>
      <w:r w:rsidRPr="00C22ABE">
        <w:rPr>
          <w:rFonts w:cstheme="minorHAnsi"/>
          <w:sz w:val="20"/>
          <w:szCs w:val="18"/>
        </w:rPr>
        <w:t>.</w:t>
      </w:r>
    </w:p>
    <w:p w14:paraId="3CC36340" w14:textId="77777777" w:rsidR="00C22ABE" w:rsidRDefault="00C22ABE" w:rsidP="00674AA6">
      <w:pPr>
        <w:rPr>
          <w:rFonts w:cstheme="minorHAnsi"/>
          <w:b/>
          <w:bCs/>
          <w:color w:val="0000FF"/>
          <w:szCs w:val="20"/>
          <w:u w:val="single"/>
        </w:rPr>
      </w:pPr>
    </w:p>
    <w:p w14:paraId="627EFC4F" w14:textId="77777777" w:rsidR="00C22ABE" w:rsidRDefault="00C22ABE" w:rsidP="00674AA6">
      <w:pPr>
        <w:rPr>
          <w:rFonts w:cstheme="minorHAnsi"/>
          <w:b/>
          <w:bCs/>
          <w:color w:val="0000FF"/>
          <w:szCs w:val="20"/>
          <w:u w:val="single"/>
        </w:rPr>
      </w:pPr>
    </w:p>
    <w:p w14:paraId="5C429D84" w14:textId="1861296D" w:rsidR="00674AA6" w:rsidRPr="00C22ABE" w:rsidRDefault="00674AA6" w:rsidP="00674AA6">
      <w:pPr>
        <w:rPr>
          <w:rFonts w:cstheme="minorHAnsi"/>
          <w:color w:val="0000FF"/>
          <w:sz w:val="14"/>
          <w:szCs w:val="12"/>
        </w:rPr>
      </w:pPr>
      <w:r w:rsidRPr="00C22ABE">
        <w:rPr>
          <w:rFonts w:cstheme="minorHAnsi"/>
          <w:b/>
          <w:bCs/>
          <w:color w:val="0000FF"/>
          <w:szCs w:val="20"/>
          <w:u w:val="single"/>
        </w:rPr>
        <w:lastRenderedPageBreak/>
        <w:t>Concentrés plaquettaire</w:t>
      </w:r>
      <w:r w:rsidR="008D3699" w:rsidRPr="00C22ABE">
        <w:rPr>
          <w:rFonts w:cstheme="minorHAnsi"/>
          <w:b/>
          <w:bCs/>
          <w:color w:val="0000FF"/>
          <w:szCs w:val="20"/>
          <w:u w:val="single"/>
        </w:rPr>
        <w:t>s</w:t>
      </w:r>
    </w:p>
    <w:p w14:paraId="3D294A7A" w14:textId="3F258729" w:rsidR="00674AA6" w:rsidRPr="00C22ABE" w:rsidRDefault="00674AA6" w:rsidP="008D3699">
      <w:pPr>
        <w:rPr>
          <w:rFonts w:cstheme="minorHAnsi"/>
          <w:sz w:val="20"/>
          <w:szCs w:val="18"/>
        </w:rPr>
      </w:pPr>
      <w:r w:rsidRPr="00C22ABE">
        <w:rPr>
          <w:rFonts w:cstheme="minorHAnsi"/>
          <w:sz w:val="20"/>
          <w:szCs w:val="18"/>
        </w:rPr>
        <w:t xml:space="preserve">Les concentrés plaquettaires </w:t>
      </w:r>
      <w:r w:rsidR="00CA7B18" w:rsidRPr="00C22ABE">
        <w:rPr>
          <w:rFonts w:cstheme="minorHAnsi"/>
          <w:sz w:val="20"/>
          <w:szCs w:val="18"/>
        </w:rPr>
        <w:t xml:space="preserve">(CP) </w:t>
      </w:r>
      <w:r w:rsidRPr="00C22ABE">
        <w:rPr>
          <w:rFonts w:cstheme="minorHAnsi"/>
          <w:sz w:val="20"/>
          <w:szCs w:val="18"/>
        </w:rPr>
        <w:t>sont une association de concentré</w:t>
      </w:r>
      <w:r w:rsidR="008D3699" w:rsidRPr="00C22ABE">
        <w:rPr>
          <w:rFonts w:cstheme="minorHAnsi"/>
          <w:sz w:val="20"/>
          <w:szCs w:val="18"/>
        </w:rPr>
        <w:t>s</w:t>
      </w:r>
      <w:r w:rsidRPr="00C22ABE">
        <w:rPr>
          <w:rFonts w:cstheme="minorHAnsi"/>
          <w:sz w:val="20"/>
          <w:szCs w:val="18"/>
        </w:rPr>
        <w:t xml:space="preserve"> de plaquettes et de facteurs de croissance</w:t>
      </w:r>
      <w:r w:rsidR="006F12F7" w:rsidRPr="00C22ABE">
        <w:rPr>
          <w:rFonts w:cstheme="minorHAnsi"/>
          <w:sz w:val="20"/>
          <w:szCs w:val="18"/>
        </w:rPr>
        <w:t xml:space="preserve">. </w:t>
      </w:r>
      <w:r w:rsidR="00367192" w:rsidRPr="00C22ABE">
        <w:rPr>
          <w:rFonts w:cstheme="minorHAnsi"/>
          <w:sz w:val="20"/>
          <w:szCs w:val="18"/>
        </w:rPr>
        <w:t xml:space="preserve"> </w:t>
      </w:r>
      <w:r w:rsidR="006F12F7" w:rsidRPr="00C22ABE">
        <w:rPr>
          <w:rFonts w:cstheme="minorHAnsi"/>
          <w:sz w:val="20"/>
          <w:szCs w:val="18"/>
        </w:rPr>
        <w:t>Les plaquettes contiennent des</w:t>
      </w:r>
      <w:r w:rsidR="00CA7B18" w:rsidRPr="00C22ABE">
        <w:rPr>
          <w:rFonts w:cstheme="minorHAnsi"/>
          <w:sz w:val="20"/>
          <w:szCs w:val="18"/>
        </w:rPr>
        <w:t xml:space="preserve"> cytokines et des</w:t>
      </w:r>
      <w:r w:rsidR="006F12F7" w:rsidRPr="00C22ABE">
        <w:rPr>
          <w:rFonts w:cstheme="minorHAnsi"/>
          <w:sz w:val="20"/>
          <w:szCs w:val="18"/>
        </w:rPr>
        <w:t xml:space="preserve"> facteurs de croissance comme </w:t>
      </w:r>
      <w:proofErr w:type="spellStart"/>
      <w:r w:rsidR="006F12F7" w:rsidRPr="00C22ABE">
        <w:rPr>
          <w:rFonts w:cstheme="minorHAnsi"/>
          <w:sz w:val="20"/>
          <w:szCs w:val="18"/>
        </w:rPr>
        <w:t>platelet</w:t>
      </w:r>
      <w:proofErr w:type="spellEnd"/>
      <w:r w:rsidR="006F12F7" w:rsidRPr="00C22ABE">
        <w:rPr>
          <w:rFonts w:cstheme="minorHAnsi"/>
          <w:sz w:val="20"/>
          <w:szCs w:val="18"/>
        </w:rPr>
        <w:t xml:space="preserve"> </w:t>
      </w:r>
      <w:proofErr w:type="spellStart"/>
      <w:r w:rsidR="006F12F7" w:rsidRPr="00C22ABE">
        <w:rPr>
          <w:rFonts w:cstheme="minorHAnsi"/>
          <w:sz w:val="20"/>
          <w:szCs w:val="18"/>
        </w:rPr>
        <w:t>derived</w:t>
      </w:r>
      <w:proofErr w:type="spellEnd"/>
      <w:r w:rsidR="006F12F7" w:rsidRPr="00C22ABE">
        <w:rPr>
          <w:rFonts w:cstheme="minorHAnsi"/>
          <w:sz w:val="20"/>
          <w:szCs w:val="18"/>
        </w:rPr>
        <w:t xml:space="preserve"> </w:t>
      </w:r>
      <w:proofErr w:type="spellStart"/>
      <w:r w:rsidR="006F12F7" w:rsidRPr="00C22ABE">
        <w:rPr>
          <w:rFonts w:cstheme="minorHAnsi"/>
          <w:sz w:val="20"/>
          <w:szCs w:val="18"/>
        </w:rPr>
        <w:t>growth</w:t>
      </w:r>
      <w:proofErr w:type="spellEnd"/>
      <w:r w:rsidR="006F12F7" w:rsidRPr="00C22ABE">
        <w:rPr>
          <w:rFonts w:cstheme="minorHAnsi"/>
          <w:sz w:val="20"/>
          <w:szCs w:val="18"/>
        </w:rPr>
        <w:t xml:space="preserve"> factor (PDGF), </w:t>
      </w:r>
      <w:proofErr w:type="spellStart"/>
      <w:r w:rsidR="006F12F7" w:rsidRPr="00C22ABE">
        <w:rPr>
          <w:rFonts w:cstheme="minorHAnsi"/>
          <w:sz w:val="20"/>
          <w:szCs w:val="18"/>
        </w:rPr>
        <w:t>transforming</w:t>
      </w:r>
      <w:proofErr w:type="spellEnd"/>
      <w:r w:rsidR="006F12F7" w:rsidRPr="00C22ABE">
        <w:rPr>
          <w:rFonts w:cstheme="minorHAnsi"/>
          <w:sz w:val="20"/>
          <w:szCs w:val="18"/>
        </w:rPr>
        <w:t xml:space="preserve"> </w:t>
      </w:r>
      <w:proofErr w:type="spellStart"/>
      <w:r w:rsidR="006F12F7" w:rsidRPr="00C22ABE">
        <w:rPr>
          <w:rFonts w:cstheme="minorHAnsi"/>
          <w:sz w:val="20"/>
          <w:szCs w:val="18"/>
        </w:rPr>
        <w:t>growth</w:t>
      </w:r>
      <w:proofErr w:type="spellEnd"/>
      <w:r w:rsidR="006F12F7" w:rsidRPr="00C22ABE">
        <w:rPr>
          <w:rFonts w:cstheme="minorHAnsi"/>
          <w:sz w:val="20"/>
          <w:szCs w:val="18"/>
        </w:rPr>
        <w:t xml:space="preserve"> factor beta (TGF</w:t>
      </w:r>
      <w:r w:rsidR="008D3699" w:rsidRPr="00C22ABE">
        <w:rPr>
          <w:rFonts w:cstheme="minorHAnsi"/>
          <w:sz w:val="20"/>
          <w:szCs w:val="18"/>
        </w:rPr>
        <w:t>β</w:t>
      </w:r>
      <w:r w:rsidR="006F12F7" w:rsidRPr="00C22ABE">
        <w:rPr>
          <w:rFonts w:cstheme="minorHAnsi"/>
          <w:sz w:val="20"/>
          <w:szCs w:val="18"/>
        </w:rPr>
        <w:t xml:space="preserve">) et </w:t>
      </w:r>
      <w:proofErr w:type="spellStart"/>
      <w:r w:rsidR="006F12F7" w:rsidRPr="00C22ABE">
        <w:rPr>
          <w:rFonts w:cstheme="minorHAnsi"/>
          <w:sz w:val="20"/>
          <w:szCs w:val="18"/>
        </w:rPr>
        <w:t>vascular</w:t>
      </w:r>
      <w:proofErr w:type="spellEnd"/>
      <w:r w:rsidR="006F12F7" w:rsidRPr="00C22ABE">
        <w:rPr>
          <w:rFonts w:cstheme="minorHAnsi"/>
          <w:sz w:val="20"/>
          <w:szCs w:val="18"/>
        </w:rPr>
        <w:t xml:space="preserve"> </w:t>
      </w:r>
      <w:proofErr w:type="spellStart"/>
      <w:r w:rsidR="006F12F7" w:rsidRPr="00C22ABE">
        <w:rPr>
          <w:rFonts w:cstheme="minorHAnsi"/>
          <w:sz w:val="20"/>
          <w:szCs w:val="18"/>
        </w:rPr>
        <w:t>endothelial</w:t>
      </w:r>
      <w:proofErr w:type="spellEnd"/>
      <w:r w:rsidR="006F12F7" w:rsidRPr="00C22ABE">
        <w:rPr>
          <w:rFonts w:cstheme="minorHAnsi"/>
          <w:sz w:val="20"/>
          <w:szCs w:val="18"/>
        </w:rPr>
        <w:t xml:space="preserve"> </w:t>
      </w:r>
      <w:proofErr w:type="spellStart"/>
      <w:r w:rsidR="006F12F7" w:rsidRPr="00C22ABE">
        <w:rPr>
          <w:rFonts w:cstheme="minorHAnsi"/>
          <w:sz w:val="20"/>
          <w:szCs w:val="18"/>
        </w:rPr>
        <w:t>growth</w:t>
      </w:r>
      <w:proofErr w:type="spellEnd"/>
      <w:r w:rsidR="006F12F7" w:rsidRPr="00C22ABE">
        <w:rPr>
          <w:rFonts w:cstheme="minorHAnsi"/>
          <w:sz w:val="20"/>
          <w:szCs w:val="18"/>
        </w:rPr>
        <w:t xml:space="preserve"> factor (VEGF)</w:t>
      </w:r>
      <w:r w:rsidR="008D3699" w:rsidRPr="00C22ABE">
        <w:rPr>
          <w:rFonts w:cstheme="minorHAnsi"/>
          <w:sz w:val="20"/>
          <w:szCs w:val="18"/>
        </w:rPr>
        <w:t xml:space="preserve"> </w:t>
      </w:r>
      <w:r w:rsidR="008D3699" w:rsidRPr="00C22ABE">
        <w:rPr>
          <w:rFonts w:cstheme="minorHAnsi"/>
          <w:sz w:val="20"/>
          <w:szCs w:val="18"/>
        </w:rPr>
        <w:fldChar w:fldCharType="begin"/>
      </w:r>
      <w:r w:rsidR="00281AF6" w:rsidRPr="00C22ABE">
        <w:rPr>
          <w:rFonts w:cstheme="minorHAnsi"/>
          <w:sz w:val="20"/>
          <w:szCs w:val="18"/>
        </w:rPr>
        <w:instrText xml:space="preserve"> ADDIN ZOTERO_ITEM CSL_CITATION {"citationID":"Ok4wfyfR","properties":{"formattedCitation":"(64,65)","plainCitation":"(64,65)","noteIndex":0},"citationItems":[{"id":228,"uris":["http://zotero.org/users/local/Om3YyEnU/items/CR7RN7C9"],"uri":["http://zotero.org/users/local/Om3YyEnU/items/CR7RN7C9"],"itemData":{"id":228,"type":"article-journal","abstract":"Platelet concentrates (PCs) are biological autologous products derived from the patient's whole blood and consist mainly of supraphysiologic concentration of platelets and growth factors (GFs). These GFs have anti-inflammatory and healing enhancing properties. Overall, PCs seem to enhance bone and soft tissue healing in alveolar ridge augmentation, periodontal surgery, socket preservation, implant surgery, endodontic regeneration, sinus augmentation, bisphosphonate related osteonecrosis of the jaw (BRONJ), osteoradionecrosis, closure of oroantral communication (OAC), and oral ulcers. On the other hand, no effect was reported for gingival recession and guided tissue regeneration (GTR) procedures. Also, PCs could reduce pain and inflammatory complications in temporomandibular disorders (TMDs), oral ulcers, and extraction sockets. However, these effects have been clinically inconsistent across the literature. Differences in study designs and types of PCs used with variable concentration of platelets, GFs, and leucocytes, as well as different application forms and techniques could explain these contradictory results. This study aims to review the clinical applications of PCs in oral and craniofacial tissue regeneration and the role of their molecular components in tissue healing.","container-title":"Frontiers in Cardiovascular Medicine","DOI":"10.3389/fcvm.2019.00126","ISSN":"2297-055X","journalAbbreviation":"Front Cardiovasc Med","language":"eng","note":"PMID: 31552270\nPMCID: PMC6733887","page":"126","source":"PubMed","title":"Regenerative Effect of Platelet Concentrates in Oral and Craniofacial Regeneration","volume":"6","author":[{"family":"Al-Hamed","given":"Faez Saleh"},{"family":"Mahri","given":"Mohammed"},{"family":"Al-Waeli","given":"Haider"},{"family":"Torres","given":"Jesus"},{"family":"Badran","given":"Zahi"},{"family":"Tamimi","given":"Faleh"}],"issued":{"date-parts":[["2019"]]}}},{"id":231,"uris":["http://zotero.org/users/local/Om3YyEnU/items/TZPZ6UE4"],"uri":["http://zotero.org/users/local/Om3YyEnU/items/TZPZ6UE4"],"itemData":{"id":231,"type":"article-journal","abstract":"Osteoradionecrosis of the jaws is a complication of radiotherapy and controversy remains about the management of teeth in the field of radiotherapy. Platelet rich plasma has been advocated in multiple surgical sites, both bone and soft tissue, to promote healing and reduce complications. A randomized double blinded controlled trial was performed on patients receiving bilateral radiotherapy that affected the mandible who required pre treatment dental extractions. One side received platelet rich plasma and the other acted as a control. Twenty-two patients were recruited over 12 months and over a 5-year period following treatment three developed osteoradionecrosis (14%). Platelet rich plasma failed to show any benefit in the prevention of osteoradionecrosis. Nor was there any benefit in pain scores or mucosal healing on sides that were treated with platelet rich plasma. Platelet rich plasma fails to show a benefit in the prevention of osteoradionecrosis. The rate of osteoradionecrosis is high compared to other published series and the prophylactic removal of molar teeth should be questioned as a preventative measure.","container-title":"International Journal of Oral and Maxillofacial Surgery","DOI":"10.1016/j.ijom.2011.06.018","ISSN":"1399-0020","issue":"1","journalAbbreviation":"Int J Oral Maxillofac Surg","language":"eng","note":"PMID: 21782389","page":"2-4","source":"PubMed","title":"Platelet rich plasma for the prevention of osteoradionecrosis. A double blinded randomized cross over controlled trial","volume":"41","author":[{"family":"Batstone","given":"M. D."},{"family":"Cosson","given":"J."},{"family":"Marquart","given":"L."},{"family":"Acton","given":"C."}],"issued":{"date-parts":[["2012",1]]}}}],"schema":"https://github.com/citation-style-language/schema/raw/master/csl-citation.json"} </w:instrText>
      </w:r>
      <w:r w:rsidR="008D3699" w:rsidRPr="00C22ABE">
        <w:rPr>
          <w:rFonts w:cstheme="minorHAnsi"/>
          <w:sz w:val="20"/>
          <w:szCs w:val="18"/>
        </w:rPr>
        <w:fldChar w:fldCharType="separate"/>
      </w:r>
      <w:r w:rsidR="00281AF6" w:rsidRPr="00C22ABE">
        <w:rPr>
          <w:rFonts w:cstheme="minorHAnsi"/>
          <w:sz w:val="20"/>
        </w:rPr>
        <w:t>(64,65)</w:t>
      </w:r>
      <w:r w:rsidR="008D3699" w:rsidRPr="00C22ABE">
        <w:rPr>
          <w:rFonts w:cstheme="minorHAnsi"/>
          <w:sz w:val="20"/>
          <w:szCs w:val="18"/>
        </w:rPr>
        <w:fldChar w:fldCharType="end"/>
      </w:r>
      <w:r w:rsidR="008D3699" w:rsidRPr="00C22ABE">
        <w:rPr>
          <w:rFonts w:cstheme="minorHAnsi"/>
          <w:sz w:val="20"/>
          <w:szCs w:val="18"/>
        </w:rPr>
        <w:t>. Ce</w:t>
      </w:r>
      <w:r w:rsidRPr="00C22ABE">
        <w:rPr>
          <w:rFonts w:cstheme="minorHAnsi"/>
          <w:sz w:val="20"/>
          <w:szCs w:val="18"/>
        </w:rPr>
        <w:t xml:space="preserve">s facteurs de croissance ont des propriétés </w:t>
      </w:r>
      <w:r w:rsidR="00704024" w:rsidRPr="00C22ABE">
        <w:rPr>
          <w:rFonts w:cstheme="minorHAnsi"/>
          <w:sz w:val="20"/>
          <w:szCs w:val="18"/>
        </w:rPr>
        <w:t xml:space="preserve">immunomodulatrices, induisent des modifications du taux de médiateurs </w:t>
      </w:r>
      <w:proofErr w:type="spellStart"/>
      <w:r w:rsidR="00704024" w:rsidRPr="00C22ABE">
        <w:rPr>
          <w:rFonts w:cstheme="minorHAnsi"/>
          <w:sz w:val="20"/>
          <w:szCs w:val="18"/>
        </w:rPr>
        <w:t>proinflammatoires</w:t>
      </w:r>
      <w:proofErr w:type="spellEnd"/>
      <w:r w:rsidR="00704024" w:rsidRPr="00C22ABE">
        <w:rPr>
          <w:rFonts w:cstheme="minorHAnsi"/>
          <w:sz w:val="20"/>
          <w:szCs w:val="18"/>
        </w:rPr>
        <w:t xml:space="preserve">, et </w:t>
      </w:r>
      <w:r w:rsidRPr="00C22ABE">
        <w:rPr>
          <w:rFonts w:cstheme="minorHAnsi"/>
          <w:sz w:val="20"/>
          <w:szCs w:val="18"/>
        </w:rPr>
        <w:t>favorisent la cicatrisation</w:t>
      </w:r>
      <w:r w:rsidR="00CA7B18" w:rsidRPr="00C22ABE">
        <w:rPr>
          <w:rFonts w:cstheme="minorHAnsi"/>
          <w:sz w:val="20"/>
          <w:szCs w:val="18"/>
        </w:rPr>
        <w:t xml:space="preserve"> de l’os et des tissus mous</w:t>
      </w:r>
      <w:r w:rsidR="00704024" w:rsidRPr="00C22ABE">
        <w:rPr>
          <w:rFonts w:cstheme="minorHAnsi"/>
          <w:sz w:val="20"/>
          <w:szCs w:val="18"/>
        </w:rPr>
        <w:t xml:space="preserve">. Les CP peuvent limiter la sécrétion de </w:t>
      </w:r>
      <w:proofErr w:type="spellStart"/>
      <w:r w:rsidR="00704024" w:rsidRPr="00C22ABE">
        <w:rPr>
          <w:rFonts w:cstheme="minorHAnsi"/>
          <w:sz w:val="20"/>
          <w:szCs w:val="18"/>
        </w:rPr>
        <w:t>CKs</w:t>
      </w:r>
      <w:proofErr w:type="spellEnd"/>
      <w:r w:rsidR="00704024" w:rsidRPr="00C22ABE">
        <w:rPr>
          <w:rFonts w:cstheme="minorHAnsi"/>
          <w:sz w:val="20"/>
          <w:szCs w:val="18"/>
        </w:rPr>
        <w:t>, diminuer l’inflammation et favoriser la cicatrisation.</w:t>
      </w:r>
    </w:p>
    <w:p w14:paraId="657C152A" w14:textId="3D773970" w:rsidR="00674AA6" w:rsidRPr="00C22ABE" w:rsidRDefault="00674AA6" w:rsidP="008A6506">
      <w:pPr>
        <w:contextualSpacing/>
        <w:rPr>
          <w:rFonts w:cstheme="minorHAnsi"/>
          <w:sz w:val="20"/>
          <w:szCs w:val="18"/>
        </w:rPr>
      </w:pPr>
      <w:r w:rsidRPr="00C22ABE">
        <w:rPr>
          <w:rFonts w:cstheme="minorHAnsi"/>
          <w:sz w:val="20"/>
          <w:szCs w:val="18"/>
        </w:rPr>
        <w:t>On distingue</w:t>
      </w:r>
      <w:r w:rsidR="008A6506" w:rsidRPr="00C22ABE">
        <w:rPr>
          <w:rFonts w:cstheme="minorHAnsi"/>
          <w:sz w:val="20"/>
          <w:szCs w:val="18"/>
        </w:rPr>
        <w:t xml:space="preserve"> le </w:t>
      </w:r>
      <w:r w:rsidRPr="00C22ABE">
        <w:rPr>
          <w:rFonts w:cstheme="minorHAnsi"/>
          <w:sz w:val="20"/>
          <w:szCs w:val="18"/>
        </w:rPr>
        <w:t>PRP </w:t>
      </w:r>
      <w:r w:rsidR="008A6506" w:rsidRPr="00C22ABE">
        <w:rPr>
          <w:rFonts w:cstheme="minorHAnsi"/>
          <w:sz w:val="20"/>
          <w:szCs w:val="18"/>
        </w:rPr>
        <w:t>(</w:t>
      </w:r>
      <w:proofErr w:type="spellStart"/>
      <w:r w:rsidRPr="00C22ABE">
        <w:rPr>
          <w:rFonts w:cstheme="minorHAnsi"/>
          <w:sz w:val="20"/>
          <w:szCs w:val="18"/>
        </w:rPr>
        <w:t>platelet</w:t>
      </w:r>
      <w:proofErr w:type="spellEnd"/>
      <w:r w:rsidRPr="00C22ABE">
        <w:rPr>
          <w:rFonts w:cstheme="minorHAnsi"/>
          <w:sz w:val="20"/>
          <w:szCs w:val="18"/>
        </w:rPr>
        <w:t xml:space="preserve"> </w:t>
      </w:r>
      <w:proofErr w:type="spellStart"/>
      <w:r w:rsidRPr="00C22ABE">
        <w:rPr>
          <w:rFonts w:cstheme="minorHAnsi"/>
          <w:sz w:val="20"/>
          <w:szCs w:val="18"/>
        </w:rPr>
        <w:t>rich</w:t>
      </w:r>
      <w:proofErr w:type="spellEnd"/>
      <w:r w:rsidRPr="00C22ABE">
        <w:rPr>
          <w:rFonts w:cstheme="minorHAnsi"/>
          <w:sz w:val="20"/>
          <w:szCs w:val="18"/>
        </w:rPr>
        <w:t xml:space="preserve"> plasma</w:t>
      </w:r>
      <w:r w:rsidR="008A6506" w:rsidRPr="00C22ABE">
        <w:rPr>
          <w:rFonts w:cstheme="minorHAnsi"/>
          <w:sz w:val="20"/>
          <w:szCs w:val="18"/>
        </w:rPr>
        <w:t xml:space="preserve">) et le </w:t>
      </w:r>
      <w:r w:rsidRPr="00C22ABE">
        <w:rPr>
          <w:rFonts w:cstheme="minorHAnsi"/>
          <w:sz w:val="20"/>
          <w:szCs w:val="18"/>
        </w:rPr>
        <w:t>PRF </w:t>
      </w:r>
      <w:r w:rsidR="008A6506" w:rsidRPr="00C22ABE">
        <w:rPr>
          <w:rFonts w:cstheme="minorHAnsi"/>
          <w:sz w:val="20"/>
          <w:szCs w:val="18"/>
        </w:rPr>
        <w:t>(</w:t>
      </w:r>
      <w:proofErr w:type="spellStart"/>
      <w:r w:rsidRPr="00C22ABE">
        <w:rPr>
          <w:rFonts w:cstheme="minorHAnsi"/>
          <w:sz w:val="20"/>
          <w:szCs w:val="18"/>
        </w:rPr>
        <w:t>platelet</w:t>
      </w:r>
      <w:proofErr w:type="spellEnd"/>
      <w:r w:rsidRPr="00C22ABE">
        <w:rPr>
          <w:rFonts w:cstheme="minorHAnsi"/>
          <w:sz w:val="20"/>
          <w:szCs w:val="18"/>
        </w:rPr>
        <w:t xml:space="preserve"> </w:t>
      </w:r>
      <w:proofErr w:type="spellStart"/>
      <w:r w:rsidRPr="00C22ABE">
        <w:rPr>
          <w:rFonts w:cstheme="minorHAnsi"/>
          <w:sz w:val="20"/>
          <w:szCs w:val="18"/>
        </w:rPr>
        <w:t>rich</w:t>
      </w:r>
      <w:proofErr w:type="spellEnd"/>
      <w:r w:rsidRPr="00C22ABE">
        <w:rPr>
          <w:rFonts w:cstheme="minorHAnsi"/>
          <w:sz w:val="20"/>
          <w:szCs w:val="18"/>
        </w:rPr>
        <w:t xml:space="preserve"> </w:t>
      </w:r>
      <w:proofErr w:type="spellStart"/>
      <w:r w:rsidRPr="00C22ABE">
        <w:rPr>
          <w:rFonts w:cstheme="minorHAnsi"/>
          <w:sz w:val="20"/>
          <w:szCs w:val="18"/>
        </w:rPr>
        <w:t>fibrin</w:t>
      </w:r>
      <w:proofErr w:type="spellEnd"/>
      <w:r w:rsidR="008A6506" w:rsidRPr="00C22ABE">
        <w:rPr>
          <w:rFonts w:cstheme="minorHAnsi"/>
          <w:sz w:val="20"/>
          <w:szCs w:val="18"/>
        </w:rPr>
        <w:t>).</w:t>
      </w:r>
    </w:p>
    <w:p w14:paraId="47A79EEF" w14:textId="564087B5" w:rsidR="00674AA6" w:rsidRPr="00C22ABE" w:rsidRDefault="006F12F7" w:rsidP="00674AA6">
      <w:pPr>
        <w:rPr>
          <w:rFonts w:cstheme="minorHAnsi"/>
          <w:sz w:val="20"/>
          <w:szCs w:val="18"/>
        </w:rPr>
      </w:pPr>
      <w:r w:rsidRPr="00C22ABE">
        <w:rPr>
          <w:rFonts w:cstheme="minorHAnsi"/>
          <w:sz w:val="20"/>
          <w:szCs w:val="18"/>
        </w:rPr>
        <w:t>Le PRF constitue la</w:t>
      </w:r>
      <w:r w:rsidR="00674AA6" w:rsidRPr="00C22ABE">
        <w:rPr>
          <w:rFonts w:cstheme="minorHAnsi"/>
          <w:sz w:val="20"/>
          <w:szCs w:val="18"/>
        </w:rPr>
        <w:t xml:space="preserve"> seconde génération de concentrés plaquettaires. </w:t>
      </w:r>
      <w:r w:rsidRPr="00C22ABE">
        <w:rPr>
          <w:rFonts w:cstheme="minorHAnsi"/>
          <w:sz w:val="20"/>
          <w:szCs w:val="18"/>
        </w:rPr>
        <w:t>Sa p</w:t>
      </w:r>
      <w:r w:rsidR="00674AA6" w:rsidRPr="00C22ABE">
        <w:rPr>
          <w:rFonts w:cstheme="minorHAnsi"/>
          <w:sz w:val="20"/>
          <w:szCs w:val="18"/>
        </w:rPr>
        <w:t>olymérisation</w:t>
      </w:r>
      <w:r w:rsidRPr="00C22ABE">
        <w:rPr>
          <w:rFonts w:cstheme="minorHAnsi"/>
          <w:sz w:val="20"/>
          <w:szCs w:val="18"/>
        </w:rPr>
        <w:t xml:space="preserve"> est lente et</w:t>
      </w:r>
      <w:r w:rsidR="00674AA6" w:rsidRPr="00C22ABE">
        <w:rPr>
          <w:rFonts w:cstheme="minorHAnsi"/>
          <w:sz w:val="20"/>
          <w:szCs w:val="18"/>
        </w:rPr>
        <w:t xml:space="preserve"> génère un réseau de fibrine qui favorise la migration et la prolifération cellulaire. Ce réseau joue un rôle de réservoir de plaquettes, leucocytes et facteurs de croissance</w:t>
      </w:r>
      <w:r w:rsidR="00704024" w:rsidRPr="00C22ABE">
        <w:rPr>
          <w:rFonts w:cstheme="minorHAnsi"/>
          <w:sz w:val="20"/>
          <w:szCs w:val="18"/>
        </w:rPr>
        <w:t>.</w:t>
      </w:r>
    </w:p>
    <w:p w14:paraId="1338C857" w14:textId="0459415A" w:rsidR="008F3000" w:rsidRPr="00C22ABE" w:rsidRDefault="008F3000" w:rsidP="008F3000">
      <w:pPr>
        <w:rPr>
          <w:rFonts w:cstheme="minorHAnsi"/>
          <w:sz w:val="20"/>
          <w:szCs w:val="18"/>
        </w:rPr>
      </w:pPr>
      <w:r w:rsidRPr="00C22ABE">
        <w:rPr>
          <w:rFonts w:cstheme="minorHAnsi"/>
          <w:sz w:val="20"/>
          <w:szCs w:val="18"/>
        </w:rPr>
        <w:t>L’avantage du L-PRF</w:t>
      </w:r>
      <w:r w:rsidR="008A6506" w:rsidRPr="00C22ABE">
        <w:rPr>
          <w:rFonts w:cstheme="minorHAnsi"/>
          <w:sz w:val="20"/>
          <w:szCs w:val="18"/>
        </w:rPr>
        <w:t xml:space="preserve"> (riche en leucocytes)</w:t>
      </w:r>
      <w:r w:rsidRPr="00C22ABE">
        <w:rPr>
          <w:rFonts w:cstheme="minorHAnsi"/>
          <w:sz w:val="20"/>
          <w:szCs w:val="18"/>
        </w:rPr>
        <w:t xml:space="preserve"> est une libération lente et continue des facteurs de croissance par rapport aux autres formes de concentrés in vitro. Les leucocytes du L-PRF peuvent synthétiser des </w:t>
      </w:r>
      <w:proofErr w:type="spellStart"/>
      <w:r w:rsidRPr="00C22ABE">
        <w:rPr>
          <w:rFonts w:cstheme="minorHAnsi"/>
          <w:sz w:val="20"/>
          <w:szCs w:val="18"/>
        </w:rPr>
        <w:t>CKs</w:t>
      </w:r>
      <w:proofErr w:type="spellEnd"/>
      <w:r w:rsidRPr="00C22ABE">
        <w:rPr>
          <w:rFonts w:cstheme="minorHAnsi"/>
          <w:sz w:val="20"/>
          <w:szCs w:val="18"/>
        </w:rPr>
        <w:t xml:space="preserve"> pro- et antiinflammatoires.</w:t>
      </w:r>
    </w:p>
    <w:p w14:paraId="61DC523F" w14:textId="3BCD78D6" w:rsidR="006F12F7" w:rsidRPr="00C22ABE" w:rsidRDefault="006F12F7" w:rsidP="00674AA6">
      <w:pPr>
        <w:rPr>
          <w:rFonts w:cstheme="minorHAnsi"/>
          <w:sz w:val="20"/>
          <w:szCs w:val="18"/>
        </w:rPr>
      </w:pPr>
      <w:r w:rsidRPr="00C22ABE">
        <w:rPr>
          <w:rFonts w:cstheme="minorHAnsi"/>
          <w:sz w:val="20"/>
          <w:szCs w:val="18"/>
        </w:rPr>
        <w:t>Les CP ont été utilisés dans les sites d’extraction avant radiothérapie, dans les sites d’extraction en terrain irradié ou encore dans les sites de curetage d’ORN</w:t>
      </w:r>
      <w:r w:rsidR="009A5F7E" w:rsidRPr="00C22ABE">
        <w:rPr>
          <w:rFonts w:cstheme="minorHAnsi"/>
          <w:sz w:val="20"/>
          <w:szCs w:val="18"/>
        </w:rPr>
        <w:t>.</w:t>
      </w:r>
    </w:p>
    <w:p w14:paraId="08563187" w14:textId="45134A6A" w:rsidR="006F12F7" w:rsidRPr="00C22ABE" w:rsidRDefault="006F12F7" w:rsidP="002E3149">
      <w:pPr>
        <w:tabs>
          <w:tab w:val="left" w:pos="7110"/>
        </w:tabs>
        <w:rPr>
          <w:rFonts w:cstheme="minorHAnsi"/>
          <w:sz w:val="20"/>
          <w:szCs w:val="18"/>
        </w:rPr>
      </w:pPr>
      <w:r w:rsidRPr="00C22ABE">
        <w:rPr>
          <w:rFonts w:cstheme="minorHAnsi"/>
          <w:sz w:val="20"/>
          <w:szCs w:val="18"/>
        </w:rPr>
        <w:t xml:space="preserve">Une étude de </w:t>
      </w:r>
      <w:proofErr w:type="spellStart"/>
      <w:r w:rsidRPr="00C22ABE">
        <w:rPr>
          <w:rFonts w:cstheme="minorHAnsi"/>
          <w:sz w:val="20"/>
          <w:szCs w:val="18"/>
        </w:rPr>
        <w:t>Batstone</w:t>
      </w:r>
      <w:proofErr w:type="spellEnd"/>
      <w:r w:rsidRPr="00C22ABE">
        <w:rPr>
          <w:rFonts w:cstheme="minorHAnsi"/>
          <w:sz w:val="20"/>
          <w:szCs w:val="18"/>
        </w:rPr>
        <w:t xml:space="preserve"> et al </w:t>
      </w:r>
      <w:r w:rsidR="008D3699" w:rsidRPr="00C22ABE">
        <w:rPr>
          <w:rFonts w:cstheme="minorHAnsi"/>
          <w:sz w:val="20"/>
          <w:szCs w:val="18"/>
        </w:rPr>
        <w:fldChar w:fldCharType="begin"/>
      </w:r>
      <w:r w:rsidR="00281AF6" w:rsidRPr="00C22ABE">
        <w:rPr>
          <w:rFonts w:cstheme="minorHAnsi"/>
          <w:sz w:val="20"/>
          <w:szCs w:val="18"/>
        </w:rPr>
        <w:instrText xml:space="preserve"> ADDIN ZOTERO_ITEM CSL_CITATION {"citationID":"OdTZ8ntt","properties":{"formattedCitation":"(65)","plainCitation":"(65)","noteIndex":0},"citationItems":[{"id":231,"uris":["http://zotero.org/users/local/Om3YyEnU/items/TZPZ6UE4"],"uri":["http://zotero.org/users/local/Om3YyEnU/items/TZPZ6UE4"],"itemData":{"id":231,"type":"article-journal","abstract":"Osteoradionecrosis of the jaws is a complication of radiotherapy and controversy remains about the management of teeth in the field of radiotherapy. Platelet rich plasma has been advocated in multiple surgical sites, both bone and soft tissue, to promote healing and reduce complications. A randomized double blinded controlled trial was performed on patients receiving bilateral radiotherapy that affected the mandible who required pre treatment dental extractions. One side received platelet rich plasma and the other acted as a control. Twenty-two patients were recruited over 12 months and over a 5-year period following treatment three developed osteoradionecrosis (14%). Platelet rich plasma failed to show any benefit in the prevention of osteoradionecrosis. Nor was there any benefit in pain scores or mucosal healing on sides that were treated with platelet rich plasma. Platelet rich plasma fails to show a benefit in the prevention of osteoradionecrosis. The rate of osteoradionecrosis is high compared to other published series and the prophylactic removal of molar teeth should be questioned as a preventative measure.","container-title":"International Journal of Oral and Maxillofacial Surgery","DOI":"10.1016/j.ijom.2011.06.018","ISSN":"1399-0020","issue":"1","journalAbbreviation":"Int J Oral Maxillofac Surg","language":"eng","note":"PMID: 21782389","page":"2-4","source":"PubMed","title":"Platelet rich plasma for the prevention of osteoradionecrosis. A double blinded randomized cross over controlled trial","volume":"41","author":[{"family":"Batstone","given":"M. D."},{"family":"Cosson","given":"J."},{"family":"Marquart","given":"L."},{"family":"Acton","given":"C."}],"issued":{"date-parts":[["2012",1]]}}}],"schema":"https://github.com/citation-style-language/schema/raw/master/csl-citation.json"} </w:instrText>
      </w:r>
      <w:r w:rsidR="008D3699" w:rsidRPr="00C22ABE">
        <w:rPr>
          <w:rFonts w:cstheme="minorHAnsi"/>
          <w:sz w:val="20"/>
          <w:szCs w:val="18"/>
        </w:rPr>
        <w:fldChar w:fldCharType="separate"/>
      </w:r>
      <w:r w:rsidR="00281AF6" w:rsidRPr="00C22ABE">
        <w:rPr>
          <w:rFonts w:cstheme="minorHAnsi"/>
          <w:sz w:val="20"/>
        </w:rPr>
        <w:t>(65)</w:t>
      </w:r>
      <w:r w:rsidR="008D3699" w:rsidRPr="00C22ABE">
        <w:rPr>
          <w:rFonts w:cstheme="minorHAnsi"/>
          <w:sz w:val="20"/>
          <w:szCs w:val="18"/>
        </w:rPr>
        <w:fldChar w:fldCharType="end"/>
      </w:r>
      <w:r w:rsidR="008D3699" w:rsidRPr="00C22ABE">
        <w:rPr>
          <w:rFonts w:cstheme="minorHAnsi"/>
          <w:sz w:val="20"/>
          <w:szCs w:val="18"/>
        </w:rPr>
        <w:t xml:space="preserve"> </w:t>
      </w:r>
      <w:r w:rsidR="00052958">
        <w:rPr>
          <w:rFonts w:cstheme="minorHAnsi"/>
          <w:sz w:val="20"/>
          <w:szCs w:val="18"/>
        </w:rPr>
        <w:t xml:space="preserve">ne montre pas </w:t>
      </w:r>
      <w:r w:rsidR="00052958" w:rsidRPr="003A68BA">
        <w:rPr>
          <w:rFonts w:cstheme="minorHAnsi"/>
          <w:sz w:val="20"/>
          <w:szCs w:val="18"/>
        </w:rPr>
        <w:t xml:space="preserve">d’avantage </w:t>
      </w:r>
      <w:r w:rsidR="004B55A9" w:rsidRPr="003A68BA">
        <w:rPr>
          <w:rFonts w:cstheme="minorHAnsi"/>
          <w:sz w:val="20"/>
          <w:szCs w:val="18"/>
        </w:rPr>
        <w:t>à</w:t>
      </w:r>
      <w:r w:rsidRPr="00C22ABE">
        <w:rPr>
          <w:rFonts w:cstheme="minorHAnsi"/>
          <w:sz w:val="20"/>
          <w:szCs w:val="18"/>
        </w:rPr>
        <w:t xml:space="preserve"> l’utilisation du PRP dans les sites d’extraction avant radiothérapie (seulement 22 patients), mais </w:t>
      </w:r>
      <w:r w:rsidR="008D3699" w:rsidRPr="00C22ABE">
        <w:rPr>
          <w:rFonts w:cstheme="minorHAnsi"/>
          <w:sz w:val="20"/>
          <w:szCs w:val="18"/>
        </w:rPr>
        <w:t>dé</w:t>
      </w:r>
      <w:r w:rsidRPr="00C22ABE">
        <w:rPr>
          <w:rFonts w:cstheme="minorHAnsi"/>
          <w:sz w:val="20"/>
          <w:szCs w:val="18"/>
        </w:rPr>
        <w:t xml:space="preserve">montre l’intérêt </w:t>
      </w:r>
      <w:r w:rsidR="008D3699" w:rsidRPr="00C22ABE">
        <w:rPr>
          <w:rFonts w:cstheme="minorHAnsi"/>
          <w:sz w:val="20"/>
          <w:szCs w:val="18"/>
        </w:rPr>
        <w:t xml:space="preserve">que le </w:t>
      </w:r>
      <w:r w:rsidR="009A5F7E" w:rsidRPr="00C22ABE">
        <w:rPr>
          <w:rFonts w:cstheme="minorHAnsi"/>
          <w:sz w:val="20"/>
          <w:szCs w:val="18"/>
        </w:rPr>
        <w:t>s</w:t>
      </w:r>
      <w:r w:rsidRPr="00C22ABE">
        <w:rPr>
          <w:rFonts w:cstheme="minorHAnsi"/>
          <w:sz w:val="20"/>
          <w:szCs w:val="18"/>
        </w:rPr>
        <w:t xml:space="preserve">ite d’extraction </w:t>
      </w:r>
      <w:r w:rsidR="008D3699" w:rsidRPr="00C22ABE">
        <w:rPr>
          <w:rFonts w:cstheme="minorHAnsi"/>
          <w:sz w:val="20"/>
          <w:szCs w:val="18"/>
        </w:rPr>
        <w:t xml:space="preserve">soit </w:t>
      </w:r>
      <w:r w:rsidRPr="00C22ABE">
        <w:rPr>
          <w:rFonts w:cstheme="minorHAnsi"/>
          <w:sz w:val="20"/>
          <w:szCs w:val="18"/>
        </w:rPr>
        <w:t>fermé lors du début du traitement de radiothérapie.</w:t>
      </w:r>
      <w:r w:rsidR="00052958">
        <w:rPr>
          <w:rFonts w:cstheme="minorHAnsi"/>
          <w:sz w:val="20"/>
          <w:szCs w:val="18"/>
        </w:rPr>
        <w:t xml:space="preserve">  </w:t>
      </w:r>
    </w:p>
    <w:p w14:paraId="1834796A" w14:textId="28053B45" w:rsidR="000D3A36" w:rsidRPr="00C22ABE" w:rsidRDefault="00704024" w:rsidP="008B6C81">
      <w:pPr>
        <w:spacing w:line="240" w:lineRule="auto"/>
        <w:rPr>
          <w:rFonts w:cstheme="minorHAnsi"/>
          <w:b/>
          <w:color w:val="0066FF"/>
          <w:szCs w:val="18"/>
        </w:rPr>
      </w:pPr>
      <w:r w:rsidRPr="00C22ABE">
        <w:rPr>
          <w:rFonts w:cstheme="minorHAnsi"/>
          <w:sz w:val="20"/>
          <w:szCs w:val="18"/>
        </w:rPr>
        <w:t>Les CP sont utilisés seuls ou associés à un autre traitement pour améliorer la cicatrisation.</w:t>
      </w:r>
    </w:p>
    <w:p w14:paraId="6BBF85FA" w14:textId="77777777" w:rsidR="00C22ABE" w:rsidRPr="00C22ABE" w:rsidRDefault="00C22ABE" w:rsidP="008B6C81">
      <w:pPr>
        <w:spacing w:line="240" w:lineRule="auto"/>
        <w:rPr>
          <w:rFonts w:cstheme="minorHAnsi"/>
          <w:b/>
          <w:color w:val="0066FF"/>
          <w:szCs w:val="18"/>
        </w:rPr>
      </w:pPr>
    </w:p>
    <w:p w14:paraId="299D54A5" w14:textId="4BD4D8C4" w:rsidR="008B6C81" w:rsidRPr="00C22ABE" w:rsidRDefault="00E1189E" w:rsidP="008B6C81">
      <w:pPr>
        <w:spacing w:line="240" w:lineRule="auto"/>
        <w:rPr>
          <w:rFonts w:cstheme="minorHAnsi"/>
          <w:b/>
          <w:color w:val="0000FF"/>
          <w:szCs w:val="18"/>
          <w:u w:val="single"/>
        </w:rPr>
      </w:pPr>
      <w:r w:rsidRPr="00C22ABE">
        <w:rPr>
          <w:rFonts w:cstheme="minorHAnsi"/>
          <w:b/>
          <w:color w:val="0000FF"/>
          <w:szCs w:val="18"/>
          <w:u w:val="single"/>
        </w:rPr>
        <w:t>Autres techniques</w:t>
      </w:r>
      <w:r w:rsidR="005631A4" w:rsidRPr="00C22ABE">
        <w:rPr>
          <w:rFonts w:cstheme="minorHAnsi"/>
          <w:b/>
          <w:color w:val="0000FF"/>
          <w:szCs w:val="18"/>
          <w:u w:val="single"/>
        </w:rPr>
        <w:t xml:space="preserve"> non invasives</w:t>
      </w:r>
    </w:p>
    <w:p w14:paraId="61F69B3B" w14:textId="1EC81D73" w:rsidR="007A60D8" w:rsidRPr="00C22ABE" w:rsidRDefault="008B6C81" w:rsidP="002E3149">
      <w:pPr>
        <w:tabs>
          <w:tab w:val="left" w:pos="7110"/>
        </w:tabs>
        <w:rPr>
          <w:rFonts w:cstheme="minorHAnsi"/>
          <w:sz w:val="20"/>
          <w:szCs w:val="18"/>
        </w:rPr>
      </w:pPr>
      <w:r w:rsidRPr="00C22ABE">
        <w:rPr>
          <w:rFonts w:cstheme="minorHAnsi"/>
          <w:sz w:val="20"/>
          <w:szCs w:val="18"/>
        </w:rPr>
        <w:t xml:space="preserve">De manière anecdotique, d’autres techniques ont été proposées dans la prise en charge de </w:t>
      </w:r>
      <w:r w:rsidR="00367192" w:rsidRPr="00C22ABE">
        <w:rPr>
          <w:rFonts w:cstheme="minorHAnsi"/>
          <w:sz w:val="20"/>
          <w:szCs w:val="18"/>
        </w:rPr>
        <w:t>l’ORN,</w:t>
      </w:r>
      <w:r w:rsidR="006D7A1D" w:rsidRPr="00C22ABE">
        <w:rPr>
          <w:rFonts w:cstheme="minorHAnsi"/>
          <w:sz w:val="20"/>
          <w:szCs w:val="18"/>
        </w:rPr>
        <w:t xml:space="preserve"> surtout s’il existe une contrindication chirurgicale</w:t>
      </w:r>
      <w:r w:rsidR="00367192" w:rsidRPr="00C22ABE">
        <w:rPr>
          <w:rFonts w:cstheme="minorHAnsi"/>
          <w:sz w:val="20"/>
          <w:szCs w:val="18"/>
        </w:rPr>
        <w:t>.</w:t>
      </w:r>
    </w:p>
    <w:p w14:paraId="7C1AC4A0" w14:textId="76965BCD" w:rsidR="0048773D" w:rsidRPr="00C22ABE" w:rsidRDefault="007A60D8" w:rsidP="002E3149">
      <w:pPr>
        <w:tabs>
          <w:tab w:val="left" w:pos="7110"/>
        </w:tabs>
        <w:rPr>
          <w:rFonts w:cstheme="minorHAnsi"/>
          <w:sz w:val="20"/>
          <w:szCs w:val="18"/>
        </w:rPr>
      </w:pPr>
      <w:r w:rsidRPr="00C22ABE">
        <w:rPr>
          <w:rFonts w:cstheme="minorHAnsi"/>
          <w:sz w:val="20"/>
          <w:szCs w:val="18"/>
          <w:u w:val="single"/>
        </w:rPr>
        <w:t>1. I</w:t>
      </w:r>
      <w:r w:rsidR="008B6C81" w:rsidRPr="00C22ABE">
        <w:rPr>
          <w:rFonts w:cstheme="minorHAnsi"/>
          <w:sz w:val="20"/>
          <w:szCs w:val="18"/>
          <w:u w:val="single"/>
        </w:rPr>
        <w:t>nstillation</w:t>
      </w:r>
      <w:r w:rsidR="000F250C" w:rsidRPr="00C22ABE">
        <w:rPr>
          <w:rFonts w:cstheme="minorHAnsi"/>
          <w:sz w:val="20"/>
          <w:szCs w:val="18"/>
          <w:u w:val="single"/>
        </w:rPr>
        <w:t xml:space="preserve"> de </w:t>
      </w:r>
      <w:proofErr w:type="spellStart"/>
      <w:r w:rsidR="000F250C" w:rsidRPr="00C22ABE">
        <w:rPr>
          <w:rFonts w:cstheme="minorHAnsi"/>
          <w:sz w:val="20"/>
          <w:szCs w:val="18"/>
          <w:u w:val="single"/>
        </w:rPr>
        <w:t>NaCl</w:t>
      </w:r>
      <w:proofErr w:type="spellEnd"/>
      <w:r w:rsidR="000F250C" w:rsidRPr="00C22ABE">
        <w:rPr>
          <w:rFonts w:cstheme="minorHAnsi"/>
          <w:sz w:val="20"/>
          <w:szCs w:val="18"/>
          <w:u w:val="single"/>
        </w:rPr>
        <w:t xml:space="preserve"> 0,9% ou d’antiseptiques (</w:t>
      </w:r>
      <w:proofErr w:type="spellStart"/>
      <w:r w:rsidR="000F250C" w:rsidRPr="00C22ABE">
        <w:rPr>
          <w:rFonts w:cstheme="minorHAnsi"/>
          <w:sz w:val="20"/>
          <w:szCs w:val="18"/>
          <w:u w:val="single"/>
        </w:rPr>
        <w:t>polyhexanide</w:t>
      </w:r>
      <w:proofErr w:type="spellEnd"/>
      <w:r w:rsidR="000F250C" w:rsidRPr="00C22ABE">
        <w:rPr>
          <w:rFonts w:cstheme="minorHAnsi"/>
          <w:sz w:val="20"/>
          <w:szCs w:val="18"/>
          <w:u w:val="single"/>
        </w:rPr>
        <w:t xml:space="preserve">) </w:t>
      </w:r>
      <w:r w:rsidR="008B6C81" w:rsidRPr="00C22ABE">
        <w:rPr>
          <w:rFonts w:cstheme="minorHAnsi"/>
          <w:sz w:val="20"/>
          <w:szCs w:val="18"/>
          <w:u w:val="single"/>
        </w:rPr>
        <w:t>sous pression négative</w:t>
      </w:r>
      <w:r w:rsidR="00D36EC3">
        <w:rPr>
          <w:rFonts w:cstheme="minorHAnsi"/>
          <w:sz w:val="20"/>
          <w:szCs w:val="18"/>
          <w:u w:val="single"/>
        </w:rPr>
        <w:t xml:space="preserve"> à visée antiseptique</w:t>
      </w:r>
      <w:r w:rsidR="008B6C81" w:rsidRPr="00C22ABE">
        <w:rPr>
          <w:rFonts w:cstheme="minorHAnsi"/>
          <w:sz w:val="20"/>
          <w:szCs w:val="18"/>
        </w:rPr>
        <w:t xml:space="preserve"> </w:t>
      </w:r>
      <w:r w:rsidR="006D7A1D" w:rsidRPr="00C22ABE">
        <w:rPr>
          <w:rFonts w:cstheme="minorHAnsi"/>
          <w:sz w:val="20"/>
          <w:szCs w:val="18"/>
        </w:rPr>
        <w:t>, à l’aide d’un VAC (Vacuum-</w:t>
      </w:r>
      <w:proofErr w:type="spellStart"/>
      <w:r w:rsidR="006D7A1D" w:rsidRPr="00C22ABE">
        <w:rPr>
          <w:rFonts w:cstheme="minorHAnsi"/>
          <w:sz w:val="20"/>
          <w:szCs w:val="18"/>
        </w:rPr>
        <w:t>assisted</w:t>
      </w:r>
      <w:proofErr w:type="spellEnd"/>
      <w:r w:rsidR="006D7A1D" w:rsidRPr="00C22ABE">
        <w:rPr>
          <w:rFonts w:cstheme="minorHAnsi"/>
          <w:sz w:val="20"/>
          <w:szCs w:val="18"/>
        </w:rPr>
        <w:t xml:space="preserve"> </w:t>
      </w:r>
      <w:proofErr w:type="spellStart"/>
      <w:r w:rsidR="006D7A1D" w:rsidRPr="00C22ABE">
        <w:rPr>
          <w:rFonts w:cstheme="minorHAnsi"/>
          <w:sz w:val="20"/>
          <w:szCs w:val="18"/>
        </w:rPr>
        <w:t>closure</w:t>
      </w:r>
      <w:proofErr w:type="spellEnd"/>
      <w:r w:rsidR="006D7A1D" w:rsidRPr="00C22ABE">
        <w:rPr>
          <w:rFonts w:cstheme="minorHAnsi"/>
          <w:sz w:val="20"/>
          <w:szCs w:val="18"/>
        </w:rPr>
        <w:t xml:space="preserve">) à pression sous-atmosphérique à travers une éponge en polyuréthane. Les effets positifs sont la formation de tissu de granulation, une diminution de l’œdème et une réduction de la charge bactérienne </w:t>
      </w:r>
      <w:r w:rsidR="006D7A1D" w:rsidRPr="00C22ABE">
        <w:rPr>
          <w:rFonts w:cstheme="minorHAnsi"/>
          <w:sz w:val="20"/>
          <w:szCs w:val="18"/>
        </w:rPr>
        <w:fldChar w:fldCharType="begin"/>
      </w:r>
      <w:r w:rsidR="00281AF6" w:rsidRPr="00C22ABE">
        <w:rPr>
          <w:rFonts w:cstheme="minorHAnsi"/>
          <w:sz w:val="20"/>
          <w:szCs w:val="18"/>
        </w:rPr>
        <w:instrText xml:space="preserve"> ADDIN ZOTERO_ITEM CSL_CITATION {"citationID":"5HlbW8vp","properties":{"formattedCitation":"(66)","plainCitation":"(66)","noteIndex":0},"citationItems":[{"id":233,"uris":["http://zotero.org/users/local/Om3YyEnU/items/U7GVPK53"],"uri":["http://zotero.org/users/local/Om3YyEnU/items/U7GVPK53"],"itemData":{"id":233,"type":"article-journal","container-title":"Journal of Cranio-Maxillofacial Surgery","DOI":"10.1016/j.jcms.2018.12.006","ISSN":"10105182","issue":"3","journalAbbreviation":"Journal of Cranio-Maxillofacial Surgery","language":"en","page":"389-393","source":"DOI.org (Crossref)","title":"Antiseptic negative pressure instillation therapy for the treatment of septic wound healing deficits in oral and maxillofacial surgery","volume":"47","author":[{"family":"Eckstein","given":"Fabian Matthias"},{"family":"Pinsel","given":"Valesca"},{"family":"Wurm","given":"Matthias Christian"},{"family":"Wilkerling","given":"André"},{"family":"Dietrich","given":"Eva-Maria"},{"family":"Kreißel","given":"Sebastian"},{"family":"WIlmowsky","given":"Cornelius","non-dropping-particle":"von"},{"family":"Schlittenbauer","given":"Tilo"}],"issued":{"date-parts":[["2019",3]]}}}],"schema":"https://github.com/citation-style-language/schema/raw/master/csl-citation.json"} </w:instrText>
      </w:r>
      <w:r w:rsidR="006D7A1D" w:rsidRPr="00C22ABE">
        <w:rPr>
          <w:rFonts w:cstheme="minorHAnsi"/>
          <w:sz w:val="20"/>
          <w:szCs w:val="18"/>
        </w:rPr>
        <w:fldChar w:fldCharType="separate"/>
      </w:r>
      <w:r w:rsidR="00281AF6" w:rsidRPr="00C22ABE">
        <w:rPr>
          <w:rFonts w:cstheme="minorHAnsi"/>
          <w:sz w:val="20"/>
        </w:rPr>
        <w:t>(66)</w:t>
      </w:r>
      <w:r w:rsidR="006D7A1D" w:rsidRPr="00C22ABE">
        <w:rPr>
          <w:rFonts w:cstheme="minorHAnsi"/>
          <w:sz w:val="20"/>
          <w:szCs w:val="18"/>
        </w:rPr>
        <w:fldChar w:fldCharType="end"/>
      </w:r>
      <w:r w:rsidR="009E2F84" w:rsidRPr="00C22ABE">
        <w:rPr>
          <w:rFonts w:cstheme="minorHAnsi"/>
          <w:sz w:val="20"/>
          <w:szCs w:val="18"/>
        </w:rPr>
        <w:t>.</w:t>
      </w:r>
    </w:p>
    <w:p w14:paraId="6E95C7F2" w14:textId="2A325867" w:rsidR="008A1DDB" w:rsidRPr="00C22ABE" w:rsidRDefault="007A60D8" w:rsidP="002E3149">
      <w:pPr>
        <w:tabs>
          <w:tab w:val="left" w:pos="7110"/>
        </w:tabs>
        <w:rPr>
          <w:rFonts w:cstheme="minorHAnsi"/>
          <w:sz w:val="20"/>
          <w:szCs w:val="18"/>
        </w:rPr>
      </w:pPr>
      <w:r w:rsidRPr="00C22ABE">
        <w:rPr>
          <w:rFonts w:cstheme="minorHAnsi"/>
          <w:sz w:val="20"/>
          <w:szCs w:val="18"/>
        </w:rPr>
        <w:t xml:space="preserve">2. </w:t>
      </w:r>
      <w:r w:rsidR="008A1DDB" w:rsidRPr="00C22ABE">
        <w:rPr>
          <w:rFonts w:cstheme="minorHAnsi"/>
          <w:sz w:val="20"/>
          <w:szCs w:val="18"/>
        </w:rPr>
        <w:t xml:space="preserve">Certains citent l’effet bénéfique des </w:t>
      </w:r>
      <w:r w:rsidR="008A1DDB" w:rsidRPr="00C22ABE">
        <w:rPr>
          <w:rFonts w:cstheme="minorHAnsi"/>
          <w:sz w:val="20"/>
          <w:szCs w:val="18"/>
          <w:u w:val="single"/>
        </w:rPr>
        <w:t>corticoïdes</w:t>
      </w:r>
      <w:r w:rsidR="008A1DDB" w:rsidRPr="00C22ABE">
        <w:rPr>
          <w:rFonts w:cstheme="minorHAnsi"/>
          <w:sz w:val="20"/>
          <w:szCs w:val="18"/>
        </w:rPr>
        <w:t xml:space="preserve">. </w:t>
      </w:r>
      <w:r w:rsidR="005B771F" w:rsidRPr="00C22ABE">
        <w:rPr>
          <w:rFonts w:cstheme="minorHAnsi"/>
          <w:sz w:val="20"/>
          <w:szCs w:val="18"/>
        </w:rPr>
        <w:t xml:space="preserve">Une revue systématique de </w:t>
      </w:r>
      <w:proofErr w:type="spellStart"/>
      <w:r w:rsidR="005B771F" w:rsidRPr="00C22ABE">
        <w:rPr>
          <w:rFonts w:cstheme="minorHAnsi"/>
          <w:sz w:val="20"/>
          <w:szCs w:val="18"/>
        </w:rPr>
        <w:t>Raggio</w:t>
      </w:r>
      <w:proofErr w:type="spellEnd"/>
      <w:r w:rsidR="005B771F" w:rsidRPr="00C22ABE">
        <w:rPr>
          <w:rFonts w:cstheme="minorHAnsi"/>
          <w:sz w:val="20"/>
          <w:szCs w:val="18"/>
        </w:rPr>
        <w:t xml:space="preserve"> et al </w:t>
      </w:r>
      <w:r w:rsidR="005B771F" w:rsidRPr="00C22ABE">
        <w:rPr>
          <w:rFonts w:cstheme="minorHAnsi"/>
          <w:sz w:val="20"/>
          <w:szCs w:val="18"/>
        </w:rPr>
        <w:fldChar w:fldCharType="begin"/>
      </w:r>
      <w:r w:rsidR="00DD29FB" w:rsidRPr="00C22ABE">
        <w:rPr>
          <w:rFonts w:cstheme="minorHAnsi"/>
          <w:sz w:val="20"/>
          <w:szCs w:val="18"/>
        </w:rPr>
        <w:instrText xml:space="preserve"> ADDIN ZOTERO_ITEM CSL_CITATION {"citationID":"VEIsYiX5","properties":{"formattedCitation":"(44)","plainCitation":"(44)","noteIndex":0},"citationItems":[{"id":262,"uris":["http://zotero.org/users/local/Om3YyEnU/items/AWPHGCPL"],"uri":["http://zotero.org/users/local/Om3YyEnU/items/AWPHGCPL"],"itemData":{"id":262,"type":"article-journal","abstract":"OBJECTIVE: The aim of this study was to summarize the effectiveness of steroids in the prevention of osteoradionecrosis of the head and neck.\nDATA SOURCES: PubMED, MEDLINE, Embase, Google Scholar, and Cochrane trial registries.\nMETHODS: A systematic review of these data sources was performed through September 2018 using the Preferred Reporting Items for Systematic Reviews and Meta-Analyses guidelines. Included were English-language studies evaluating patients of all age groups diagnosed with head and neck cancer who underwent radiation therapy while receiving peritreatment steroids compared with those who did not receive steroids.\nRESULTS: Two retrospective cohort studies were identified for qualitative review. On the basis of analysis of 25 328 participants (36-82 years of age) with head and neck cancer who underwent radiation therapy, the use of peritreatment steroids was associated with a significantly lower risk for osteoradionecrosis in both studies, with a hazard ratio of 0.74 (95% confidence interval, 0.59-0.94; P = .012) and a relative risk of 0.04 (95% confidence interval, 0.003-0.560; P = .017). Meta-analysis was precluded by clinical and statistical heterogeneity. Overall, the studies were of limited quality with high risk for bias and poor methodology.\nCONCLUSIONS: Limited retrospective data suggest that steroids are predictive of a reduced risk for osteoradionecrosis; however, no definitive conclusions can be made given the poor quality of the available literature. Well-designed, comparison-controlled trials are needed to clarify the promising role of steroids in the prevention of osteoradionecrosis of the head and neck.","container-title":"The Annals of Otology, Rhinology, and Laryngology","DOI":"10.1177/0003489419826595","ISSN":"1943-572X","issue":"5","journalAbbreviation":"Ann Otol Rhinol Laryngol","language":"eng","note":"PMID: 30688080","page":"441-446","source":"PubMed","title":"Role of Steroids in Preventing Osteoradionecrosis of the Head and Neck: A Systematic Review","title-short":"Role of Steroids in Preventing Osteoradionecrosis of the Head and Neck","volume":"128","author":[{"family":"Raggio","given":"Blake S."},{"family":"Winters","given":"Ryan D."}],"issued":{"date-parts":[["2019",5]]}}}],"schema":"https://github.com/citation-style-language/schema/raw/master/csl-citation.json"} </w:instrText>
      </w:r>
      <w:r w:rsidR="005B771F" w:rsidRPr="00C22ABE">
        <w:rPr>
          <w:rFonts w:cstheme="minorHAnsi"/>
          <w:sz w:val="20"/>
          <w:szCs w:val="18"/>
        </w:rPr>
        <w:fldChar w:fldCharType="separate"/>
      </w:r>
      <w:r w:rsidR="00DD29FB" w:rsidRPr="00C22ABE">
        <w:rPr>
          <w:rFonts w:cstheme="minorHAnsi"/>
          <w:sz w:val="20"/>
        </w:rPr>
        <w:t>(44)</w:t>
      </w:r>
      <w:r w:rsidR="005B771F" w:rsidRPr="00C22ABE">
        <w:rPr>
          <w:rFonts w:cstheme="minorHAnsi"/>
          <w:sz w:val="20"/>
          <w:szCs w:val="18"/>
        </w:rPr>
        <w:fldChar w:fldCharType="end"/>
      </w:r>
      <w:r w:rsidR="005B771F" w:rsidRPr="00C22ABE">
        <w:rPr>
          <w:rFonts w:cstheme="minorHAnsi"/>
          <w:sz w:val="20"/>
          <w:szCs w:val="18"/>
        </w:rPr>
        <w:t xml:space="preserve"> a identifié 2 cohortes rétrospectives et 25328 patients</w:t>
      </w:r>
      <w:r w:rsidR="009A5F7E" w:rsidRPr="00C22ABE">
        <w:rPr>
          <w:rFonts w:cstheme="minorHAnsi"/>
          <w:sz w:val="20"/>
          <w:szCs w:val="18"/>
        </w:rPr>
        <w:t xml:space="preserve"> (</w:t>
      </w:r>
      <w:r w:rsidR="009E2F84" w:rsidRPr="00C22ABE">
        <w:rPr>
          <w:rFonts w:cstheme="minorHAnsi"/>
          <w:sz w:val="20"/>
          <w:szCs w:val="18"/>
        </w:rPr>
        <w:t xml:space="preserve">dont </w:t>
      </w:r>
      <w:r w:rsidR="009A5F7E" w:rsidRPr="00C22ABE">
        <w:rPr>
          <w:rFonts w:cstheme="minorHAnsi"/>
          <w:sz w:val="20"/>
          <w:szCs w:val="18"/>
        </w:rPr>
        <w:t>1 étude nationale)</w:t>
      </w:r>
      <w:r w:rsidR="005B771F" w:rsidRPr="00C22ABE">
        <w:rPr>
          <w:rFonts w:cstheme="minorHAnsi"/>
          <w:sz w:val="20"/>
          <w:szCs w:val="18"/>
        </w:rPr>
        <w:t xml:space="preserve">. Les études étaient de faible qualité, avec un risque de biais important et une mauvaise méthodologie. Il n’y a pas d’indication sur le type, la dose et la forme des corticoïdes. Le seul élément en faveur est que les patients recevant des corticoïdes dans le cadre de leur </w:t>
      </w:r>
      <w:r w:rsidR="00332EBD" w:rsidRPr="00C22ABE">
        <w:rPr>
          <w:rFonts w:cstheme="minorHAnsi"/>
          <w:sz w:val="20"/>
          <w:szCs w:val="18"/>
        </w:rPr>
        <w:t>chimiothérapie</w:t>
      </w:r>
      <w:r w:rsidR="005B771F" w:rsidRPr="00C22ABE">
        <w:rPr>
          <w:rFonts w:cstheme="minorHAnsi"/>
          <w:sz w:val="20"/>
          <w:szCs w:val="18"/>
        </w:rPr>
        <w:t xml:space="preserve"> présent</w:t>
      </w:r>
      <w:r w:rsidR="00704024" w:rsidRPr="00C22ABE">
        <w:rPr>
          <w:rFonts w:cstheme="minorHAnsi"/>
          <w:sz w:val="20"/>
          <w:szCs w:val="18"/>
        </w:rPr>
        <w:t>ai</w:t>
      </w:r>
      <w:r w:rsidR="005B771F" w:rsidRPr="00C22ABE">
        <w:rPr>
          <w:rFonts w:cstheme="minorHAnsi"/>
          <w:sz w:val="20"/>
          <w:szCs w:val="18"/>
        </w:rPr>
        <w:t>ent moins d’ORN</w:t>
      </w:r>
      <w:r w:rsidRPr="00C22ABE">
        <w:rPr>
          <w:rFonts w:cstheme="minorHAnsi"/>
          <w:sz w:val="20"/>
          <w:szCs w:val="18"/>
        </w:rPr>
        <w:t>.</w:t>
      </w:r>
    </w:p>
    <w:p w14:paraId="2C339C6B" w14:textId="25947732" w:rsidR="0067701E" w:rsidRPr="00C22ABE" w:rsidRDefault="007A60D8" w:rsidP="002E3149">
      <w:pPr>
        <w:tabs>
          <w:tab w:val="left" w:pos="7110"/>
        </w:tabs>
        <w:rPr>
          <w:rFonts w:cstheme="minorHAnsi"/>
          <w:sz w:val="20"/>
          <w:szCs w:val="18"/>
        </w:rPr>
      </w:pPr>
      <w:r w:rsidRPr="00C22ABE">
        <w:rPr>
          <w:rFonts w:cstheme="minorHAnsi"/>
          <w:sz w:val="20"/>
          <w:szCs w:val="18"/>
        </w:rPr>
        <w:t xml:space="preserve">3. </w:t>
      </w:r>
      <w:r w:rsidR="009A5F7E" w:rsidRPr="00C22ABE">
        <w:rPr>
          <w:rFonts w:cstheme="minorHAnsi"/>
          <w:sz w:val="20"/>
          <w:szCs w:val="18"/>
        </w:rPr>
        <w:t>D’autre encore préconisent l’usage d</w:t>
      </w:r>
      <w:r w:rsidR="00AB13BE" w:rsidRPr="00C22ABE">
        <w:rPr>
          <w:rFonts w:cstheme="minorHAnsi"/>
          <w:sz w:val="20"/>
          <w:szCs w:val="18"/>
        </w:rPr>
        <w:t xml:space="preserve">e thérapie par rayonnement laser à basse énergie </w:t>
      </w:r>
      <w:r w:rsidR="00006139" w:rsidRPr="00C22ABE">
        <w:rPr>
          <w:rFonts w:cstheme="minorHAnsi"/>
          <w:sz w:val="20"/>
          <w:szCs w:val="18"/>
        </w:rPr>
        <w:t>(</w:t>
      </w:r>
      <w:r w:rsidR="009A5F7E" w:rsidRPr="00C22ABE">
        <w:rPr>
          <w:rFonts w:cstheme="minorHAnsi"/>
          <w:sz w:val="20"/>
          <w:szCs w:val="18"/>
        </w:rPr>
        <w:t>LLLT</w:t>
      </w:r>
      <w:r w:rsidR="00006139" w:rsidRPr="00C22ABE">
        <w:rPr>
          <w:rFonts w:cstheme="minorHAnsi"/>
          <w:sz w:val="20"/>
          <w:szCs w:val="18"/>
        </w:rPr>
        <w:t xml:space="preserve">). </w:t>
      </w:r>
      <w:r w:rsidRPr="00C22ABE">
        <w:rPr>
          <w:rFonts w:cstheme="minorHAnsi"/>
          <w:sz w:val="20"/>
          <w:szCs w:val="18"/>
        </w:rPr>
        <w:t xml:space="preserve"> Ribeiro et al </w:t>
      </w:r>
      <w:r w:rsidRPr="00C22ABE">
        <w:rPr>
          <w:rFonts w:cstheme="minorHAnsi"/>
          <w:sz w:val="20"/>
          <w:szCs w:val="18"/>
        </w:rPr>
        <w:fldChar w:fldCharType="begin"/>
      </w:r>
      <w:r w:rsidR="00281AF6" w:rsidRPr="00C22ABE">
        <w:rPr>
          <w:rFonts w:cstheme="minorHAnsi"/>
          <w:sz w:val="20"/>
          <w:szCs w:val="18"/>
        </w:rPr>
        <w:instrText xml:space="preserve"> ADDIN ZOTERO_ITEM CSL_CITATION {"citationID":"Rls9ICS0","properties":{"formattedCitation":"(67)","plainCitation":"(67)","noteIndex":0},"citationItems":[{"id":277,"uris":["http://zotero.org/users/local/Om3YyEnU/items/HKUU2FBI"],"uri":["http://zotero.org/users/local/Om3YyEnU/items/HKUU2FBI"],"itemData":{"id":277,"type":"article-journal","abstract":"BACKGROUND: Osteoradionecrosis of the jaw (ORNJ) is the most severe and complex sequel of head and neck radiotherapy (RT) because of the bone involved, it may cause pain, paresthesia, foul odor, fistulae with suppuration, need for extra oral communication and pathological fracture. We treated twenty lesions of ORNJ using low-level laser therapy (LLLT) and antimicrobial photodynamic therapy (aPDT). The objective of this study was to stimulate the affected area to homeostasis and to promote the healing of the oral mucosa.\nMETHODS: We performed aPDT on the exposed bone, while LLLT was performed around the bone exposure (red spectrum) and on the affected jaw (infrared spectrum). Monitoring and clinical intervention occurred weekly or biweekly for 2 years.\nRESULTS: 100% of the sample presented clinical improvement, and 80% presented complete covering of the bone exposure by intact oral mucosa.\nCONCLUSION: LLLT and aPDT showed positive results as an adjuvant therapy to treat ORNJ.","container-title":"Journal of applied oral science: revista FOB","DOI":"10.1590/1678-7757-2017-0172","ISSN":"1678-7765","journalAbbreviation":"J Appl Oral Sci","language":"eng","note":"PMID: 29791570\nPMCID: PMC5953563","page":"e20170172","source":"PubMed","title":"Osteoradionecrosis of the jaws: case series treated with adjuvant low-level laser therapy and antimicrobial photodynamic therapy","title-short":"Osteoradionecrosis of the jaws","volume":"26","author":[{"family":"Ribeiro","given":"Guilherme Henrique"},{"family":"Minamisako","given":"Mariana Comparotto"},{"family":"Rath","given":"Inês Beatriz da Silva"},{"family":"Santos","given":"Aira Maria Bonfim"},{"family":"Simões","given":"Alyne"},{"family":"Pereira","given":"Keila Cristina Rausch"},{"family":"Grando","given":"Liliane Janete"}],"issued":{"date-parts":[["2018"]]}}}],"schema":"https://github.com/citation-style-language/schema/raw/master/csl-citation.json"} </w:instrText>
      </w:r>
      <w:r w:rsidRPr="00C22ABE">
        <w:rPr>
          <w:rFonts w:cstheme="minorHAnsi"/>
          <w:sz w:val="20"/>
          <w:szCs w:val="18"/>
        </w:rPr>
        <w:fldChar w:fldCharType="separate"/>
      </w:r>
      <w:r w:rsidR="00281AF6" w:rsidRPr="00C22ABE">
        <w:rPr>
          <w:rFonts w:cstheme="minorHAnsi"/>
          <w:sz w:val="20"/>
        </w:rPr>
        <w:t>(67)</w:t>
      </w:r>
      <w:r w:rsidRPr="00C22ABE">
        <w:rPr>
          <w:rFonts w:cstheme="minorHAnsi"/>
          <w:sz w:val="20"/>
          <w:szCs w:val="18"/>
        </w:rPr>
        <w:fldChar w:fldCharType="end"/>
      </w:r>
      <w:r w:rsidRPr="00C22ABE">
        <w:rPr>
          <w:rFonts w:cstheme="minorHAnsi"/>
          <w:sz w:val="20"/>
          <w:szCs w:val="18"/>
        </w:rPr>
        <w:t xml:space="preserve"> en 2018 ont traité 20 lésions par </w:t>
      </w:r>
      <w:r w:rsidR="00AB13BE" w:rsidRPr="00C22ABE">
        <w:rPr>
          <w:rFonts w:cstheme="minorHAnsi"/>
          <w:sz w:val="20"/>
          <w:szCs w:val="18"/>
        </w:rPr>
        <w:t xml:space="preserve">LLLT </w:t>
      </w:r>
      <w:r w:rsidRPr="00C22ABE">
        <w:rPr>
          <w:rFonts w:cstheme="minorHAnsi"/>
          <w:sz w:val="20"/>
          <w:szCs w:val="18"/>
        </w:rPr>
        <w:t xml:space="preserve">et traitement </w:t>
      </w:r>
      <w:proofErr w:type="spellStart"/>
      <w:r w:rsidRPr="00C22ABE">
        <w:rPr>
          <w:rFonts w:cstheme="minorHAnsi"/>
          <w:sz w:val="20"/>
          <w:szCs w:val="18"/>
        </w:rPr>
        <w:t>photodynamique</w:t>
      </w:r>
      <w:proofErr w:type="spellEnd"/>
      <w:r w:rsidRPr="00C22ABE">
        <w:rPr>
          <w:rFonts w:cstheme="minorHAnsi"/>
          <w:sz w:val="20"/>
          <w:szCs w:val="18"/>
        </w:rPr>
        <w:t xml:space="preserve"> antimicrobien, avec des résultats encourageants </w:t>
      </w:r>
      <w:r w:rsidR="00A0261D" w:rsidRPr="00C22ABE">
        <w:rPr>
          <w:rFonts w:cstheme="minorHAnsi"/>
          <w:sz w:val="20"/>
          <w:szCs w:val="18"/>
        </w:rPr>
        <w:t>.</w:t>
      </w:r>
    </w:p>
    <w:p w14:paraId="56B98419" w14:textId="550DA57F" w:rsidR="00253330" w:rsidRPr="00C22ABE" w:rsidRDefault="007A60D8" w:rsidP="002E3149">
      <w:pPr>
        <w:tabs>
          <w:tab w:val="left" w:pos="7110"/>
        </w:tabs>
        <w:rPr>
          <w:rFonts w:cstheme="minorHAnsi"/>
          <w:sz w:val="20"/>
          <w:szCs w:val="18"/>
        </w:rPr>
      </w:pPr>
      <w:r w:rsidRPr="00C22ABE">
        <w:rPr>
          <w:rFonts w:cstheme="minorHAnsi"/>
          <w:sz w:val="20"/>
          <w:szCs w:val="18"/>
        </w:rPr>
        <w:t xml:space="preserve">4. Harris </w:t>
      </w:r>
      <w:r w:rsidRPr="00C22ABE">
        <w:rPr>
          <w:rFonts w:cstheme="minorHAnsi"/>
          <w:sz w:val="20"/>
          <w:szCs w:val="18"/>
        </w:rPr>
        <w:fldChar w:fldCharType="begin"/>
      </w:r>
      <w:r w:rsidR="00281AF6" w:rsidRPr="00C22ABE">
        <w:rPr>
          <w:rFonts w:cstheme="minorHAnsi"/>
          <w:sz w:val="20"/>
          <w:szCs w:val="18"/>
        </w:rPr>
        <w:instrText xml:space="preserve"> ADDIN ZOTERO_ITEM CSL_CITATION {"citationID":"w53Lgcpo","properties":{"formattedCitation":"(68)","plainCitation":"(68)","noteIndex":0},"citationItems":[{"id":309,"uris":["http://zotero.org/users/local/Om3YyEnU/items/CF3LI9C6"],"uri":["http://zotero.org/users/local/Om3YyEnU/items/CF3LI9C6"],"itemData":{"id":309,"type":"article-journal","abstract":"A regimen of ultrasound with local debridement and metronidazole has proved to be an effective and practicable treatment for osteoradionecrosis, achieving healing in 10/21 (48%) cases without the need for surgery or sophisticated technology. Nine further patients were successfully treated by covering the preserved mandible with a local intra-oral flap. Only 2 patients required mandibular resection with reconstruction. An ultrasound programme of 1 watt/cm2, 3 mega Hz. pulsed 1:4, 15 min a day for 60 days would seem to be optimum. However, a range of dosage needs to be further explored for inducing neovascularity and neocellularity in the irradiated tissues.","container-title":"The British Journal of Oral &amp; Maxillofacial Surgery","DOI":"10.1016/0266-4356(92)90181-h","ISSN":"0266-4356","issue":"5","journalAbbreviation":"Br J Oral Maxillofac Surg","language":"eng","note":"PMID: 1390563","page":"313-318","source":"PubMed","title":"The conservative management of osteoradionecrosis of the mandible with ultrasound therapy","volume":"30","author":[{"family":"Harris","given":"M."}],"issued":{"date-parts":[["1992",10]]}}}],"schema":"https://github.com/citation-style-language/schema/raw/master/csl-citation.json"} </w:instrText>
      </w:r>
      <w:r w:rsidRPr="00C22ABE">
        <w:rPr>
          <w:rFonts w:cstheme="minorHAnsi"/>
          <w:sz w:val="20"/>
          <w:szCs w:val="18"/>
        </w:rPr>
        <w:fldChar w:fldCharType="separate"/>
      </w:r>
      <w:r w:rsidR="00281AF6" w:rsidRPr="00C22ABE">
        <w:rPr>
          <w:rFonts w:cstheme="minorHAnsi"/>
          <w:sz w:val="20"/>
        </w:rPr>
        <w:t>(68)</w:t>
      </w:r>
      <w:r w:rsidRPr="00C22ABE">
        <w:rPr>
          <w:rFonts w:cstheme="minorHAnsi"/>
          <w:sz w:val="20"/>
          <w:szCs w:val="18"/>
        </w:rPr>
        <w:fldChar w:fldCharType="end"/>
      </w:r>
      <w:r w:rsidRPr="00C22ABE">
        <w:rPr>
          <w:rFonts w:cstheme="minorHAnsi"/>
          <w:sz w:val="20"/>
          <w:szCs w:val="18"/>
        </w:rPr>
        <w:t xml:space="preserve"> en 1992 a proposé un traitement par </w:t>
      </w:r>
      <w:r w:rsidRPr="00C22ABE">
        <w:rPr>
          <w:rFonts w:cstheme="minorHAnsi"/>
          <w:sz w:val="20"/>
          <w:szCs w:val="18"/>
          <w:u w:val="single"/>
        </w:rPr>
        <w:t xml:space="preserve">ultrasons </w:t>
      </w:r>
      <w:r w:rsidRPr="00C22ABE">
        <w:rPr>
          <w:rFonts w:cstheme="minorHAnsi"/>
          <w:sz w:val="20"/>
          <w:szCs w:val="18"/>
        </w:rPr>
        <w:t>à 24 patients. La finalité était de favoriser l’angiogenèse et la revascularisation du site</w:t>
      </w:r>
      <w:r w:rsidR="00A0261D" w:rsidRPr="00C22ABE">
        <w:rPr>
          <w:rFonts w:cstheme="minorHAnsi"/>
          <w:sz w:val="20"/>
          <w:szCs w:val="18"/>
        </w:rPr>
        <w:t>. Une moyenne de 55 applications étaient nécessaires pour améliorer la situation dans 48% des cas</w:t>
      </w:r>
      <w:r w:rsidR="004F1ABF" w:rsidRPr="00C22ABE">
        <w:rPr>
          <w:rFonts w:cstheme="minorHAnsi"/>
          <w:sz w:val="20"/>
          <w:szCs w:val="18"/>
        </w:rPr>
        <w:t>. Cette technique n’est pas retrouvée dans la littérature actuelle</w:t>
      </w:r>
      <w:r w:rsidR="00006139" w:rsidRPr="00C22ABE">
        <w:rPr>
          <w:rFonts w:cstheme="minorHAnsi"/>
          <w:sz w:val="20"/>
          <w:szCs w:val="18"/>
        </w:rPr>
        <w:t>.</w:t>
      </w:r>
    </w:p>
    <w:p w14:paraId="04023161" w14:textId="660BE9A3" w:rsidR="00FF4BC1" w:rsidRPr="00C22ABE" w:rsidRDefault="00A0261D" w:rsidP="002E3149">
      <w:pPr>
        <w:tabs>
          <w:tab w:val="left" w:pos="7110"/>
        </w:tabs>
        <w:rPr>
          <w:rFonts w:cstheme="minorHAnsi"/>
          <w:sz w:val="20"/>
          <w:szCs w:val="18"/>
        </w:rPr>
      </w:pPr>
      <w:r w:rsidRPr="00C22ABE">
        <w:rPr>
          <w:rFonts w:cstheme="minorHAnsi"/>
          <w:sz w:val="20"/>
          <w:szCs w:val="18"/>
        </w:rPr>
        <w:t>En résumé, de multiples traitements conservateurs sont décrits, avec une tendance en faveur du traitement pentoxifylline et tocophérol</w:t>
      </w:r>
      <w:r w:rsidR="00006139" w:rsidRPr="00C22ABE">
        <w:rPr>
          <w:rFonts w:cstheme="minorHAnsi"/>
          <w:sz w:val="20"/>
          <w:szCs w:val="18"/>
        </w:rPr>
        <w:t>, associé aux antibiotiques et bains de bouche.</w:t>
      </w:r>
    </w:p>
    <w:p w14:paraId="52CB5296" w14:textId="71D8D3D3" w:rsidR="0048773D" w:rsidRPr="00C22ABE" w:rsidRDefault="003B4E2B" w:rsidP="003B4E2B">
      <w:pPr>
        <w:pBdr>
          <w:top w:val="single" w:sz="4" w:space="1" w:color="auto"/>
          <w:left w:val="single" w:sz="4" w:space="4" w:color="auto"/>
          <w:bottom w:val="single" w:sz="4" w:space="1" w:color="auto"/>
          <w:right w:val="single" w:sz="4" w:space="4" w:color="auto"/>
        </w:pBdr>
        <w:tabs>
          <w:tab w:val="left" w:pos="7110"/>
        </w:tabs>
        <w:rPr>
          <w:rFonts w:cstheme="minorHAnsi"/>
          <w:b/>
          <w:bCs/>
          <w:sz w:val="20"/>
          <w:szCs w:val="18"/>
        </w:rPr>
      </w:pPr>
      <w:r w:rsidRPr="00C22ABE">
        <w:rPr>
          <w:rFonts w:cstheme="minorHAnsi"/>
          <w:b/>
          <w:bCs/>
          <w:sz w:val="20"/>
          <w:szCs w:val="18"/>
        </w:rPr>
        <w:t xml:space="preserve">Mise en garde : </w:t>
      </w:r>
      <w:r w:rsidR="00A0261D" w:rsidRPr="00C22ABE">
        <w:rPr>
          <w:rFonts w:cstheme="minorHAnsi"/>
          <w:b/>
          <w:bCs/>
          <w:sz w:val="20"/>
          <w:szCs w:val="18"/>
        </w:rPr>
        <w:t xml:space="preserve">Il ne faut </w:t>
      </w:r>
      <w:r w:rsidR="00704024" w:rsidRPr="00C22ABE">
        <w:rPr>
          <w:rFonts w:cstheme="minorHAnsi"/>
          <w:b/>
          <w:bCs/>
          <w:sz w:val="20"/>
          <w:szCs w:val="18"/>
        </w:rPr>
        <w:t>jamais</w:t>
      </w:r>
      <w:r w:rsidR="00A0261D" w:rsidRPr="00C22ABE">
        <w:rPr>
          <w:rFonts w:cstheme="minorHAnsi"/>
          <w:b/>
          <w:bCs/>
          <w:sz w:val="20"/>
          <w:szCs w:val="18"/>
        </w:rPr>
        <w:t xml:space="preserve"> perdre de vue que l</w:t>
      </w:r>
      <w:r w:rsidR="00AB13BE" w:rsidRPr="00C22ABE">
        <w:rPr>
          <w:rFonts w:cstheme="minorHAnsi"/>
          <w:b/>
          <w:bCs/>
          <w:sz w:val="20"/>
          <w:szCs w:val="18"/>
        </w:rPr>
        <w:t xml:space="preserve">’absence de réponse </w:t>
      </w:r>
      <w:r w:rsidR="00A0261D" w:rsidRPr="00C22ABE">
        <w:rPr>
          <w:rFonts w:cstheme="minorHAnsi"/>
          <w:b/>
          <w:bCs/>
          <w:sz w:val="20"/>
          <w:szCs w:val="18"/>
        </w:rPr>
        <w:t>au traitement conservateur doit faire évoquer le risque de présence d’une lésion tumorale sous-jacente dans</w:t>
      </w:r>
      <w:r w:rsidRPr="00C22ABE">
        <w:rPr>
          <w:rFonts w:cstheme="minorHAnsi"/>
          <w:b/>
          <w:bCs/>
          <w:sz w:val="20"/>
          <w:szCs w:val="18"/>
        </w:rPr>
        <w:t xml:space="preserve"> environ</w:t>
      </w:r>
      <w:r w:rsidR="00A0261D" w:rsidRPr="00C22ABE">
        <w:rPr>
          <w:rFonts w:cstheme="minorHAnsi"/>
          <w:b/>
          <w:bCs/>
          <w:sz w:val="20"/>
          <w:szCs w:val="18"/>
        </w:rPr>
        <w:t xml:space="preserve"> 20</w:t>
      </w:r>
      <w:r w:rsidRPr="00C22ABE">
        <w:rPr>
          <w:rFonts w:cstheme="minorHAnsi"/>
          <w:b/>
          <w:bCs/>
          <w:sz w:val="20"/>
          <w:szCs w:val="18"/>
        </w:rPr>
        <w:t>%</w:t>
      </w:r>
      <w:r w:rsidR="00A0261D" w:rsidRPr="00C22ABE">
        <w:rPr>
          <w:rFonts w:cstheme="minorHAnsi"/>
          <w:b/>
          <w:bCs/>
          <w:sz w:val="20"/>
          <w:szCs w:val="18"/>
        </w:rPr>
        <w:t xml:space="preserve"> des cas.</w:t>
      </w:r>
    </w:p>
    <w:p w14:paraId="3A463598" w14:textId="77777777" w:rsidR="0048773D" w:rsidRPr="00C22ABE" w:rsidRDefault="0048773D" w:rsidP="000F250C">
      <w:pPr>
        <w:tabs>
          <w:tab w:val="left" w:pos="7110"/>
        </w:tabs>
        <w:rPr>
          <w:rFonts w:cstheme="minorHAnsi"/>
          <w:b/>
          <w:bCs/>
          <w:color w:val="0000FF"/>
          <w:sz w:val="24"/>
          <w:szCs w:val="20"/>
          <w:u w:val="single"/>
        </w:rPr>
      </w:pPr>
    </w:p>
    <w:p w14:paraId="4866F08A" w14:textId="74371AB9" w:rsidR="000F250C" w:rsidRPr="00C22ABE" w:rsidRDefault="009D4A56" w:rsidP="000F250C">
      <w:pPr>
        <w:tabs>
          <w:tab w:val="left" w:pos="7110"/>
        </w:tabs>
        <w:rPr>
          <w:rFonts w:cstheme="minorHAnsi"/>
          <w:b/>
          <w:bCs/>
          <w:color w:val="0000FF"/>
          <w:sz w:val="24"/>
          <w:szCs w:val="20"/>
          <w:u w:val="single"/>
        </w:rPr>
      </w:pPr>
      <w:r w:rsidRPr="00C22ABE">
        <w:rPr>
          <w:rFonts w:cstheme="minorHAnsi"/>
          <w:b/>
          <w:bCs/>
          <w:color w:val="0000FF"/>
          <w:sz w:val="24"/>
          <w:szCs w:val="20"/>
          <w:u w:val="single"/>
        </w:rPr>
        <w:t xml:space="preserve">8.3. </w:t>
      </w:r>
      <w:r w:rsidR="000F250C" w:rsidRPr="00C22ABE">
        <w:rPr>
          <w:rFonts w:cstheme="minorHAnsi"/>
          <w:b/>
          <w:bCs/>
          <w:color w:val="0000FF"/>
          <w:sz w:val="24"/>
          <w:szCs w:val="20"/>
          <w:u w:val="single"/>
        </w:rPr>
        <w:t>CHIRURGIE</w:t>
      </w:r>
    </w:p>
    <w:p w14:paraId="5A07AAA2" w14:textId="14FE00B0" w:rsidR="000F250C" w:rsidRPr="00C22ABE" w:rsidRDefault="000F250C" w:rsidP="000F250C">
      <w:pPr>
        <w:tabs>
          <w:tab w:val="left" w:pos="7110"/>
        </w:tabs>
        <w:rPr>
          <w:rFonts w:cstheme="minorHAnsi"/>
          <w:bCs/>
          <w:sz w:val="20"/>
          <w:szCs w:val="18"/>
        </w:rPr>
      </w:pPr>
      <w:r w:rsidRPr="00C22ABE">
        <w:rPr>
          <w:rFonts w:cstheme="minorHAnsi"/>
          <w:bCs/>
          <w:sz w:val="20"/>
          <w:szCs w:val="18"/>
          <w:lang w:val="fr-FR"/>
        </w:rPr>
        <w:t>La chirurgie est habituellement réservée aux échecs des traitements médicaux</w:t>
      </w:r>
      <w:r w:rsidR="00E7691A" w:rsidRPr="00C22ABE">
        <w:rPr>
          <w:rFonts w:cstheme="minorHAnsi"/>
          <w:bCs/>
          <w:sz w:val="20"/>
          <w:szCs w:val="18"/>
          <w:lang w:val="fr-FR"/>
        </w:rPr>
        <w:t xml:space="preserve"> et concerne plus souvent les</w:t>
      </w:r>
      <w:r w:rsidR="00E7691A" w:rsidRPr="00C22ABE">
        <w:rPr>
          <w:rFonts w:cstheme="minorHAnsi"/>
          <w:bCs/>
          <w:sz w:val="20"/>
          <w:szCs w:val="18"/>
        </w:rPr>
        <w:t xml:space="preserve"> stades </w:t>
      </w:r>
      <w:r w:rsidR="00A0261D" w:rsidRPr="00C22ABE">
        <w:rPr>
          <w:rFonts w:cstheme="minorHAnsi"/>
          <w:bCs/>
          <w:sz w:val="20"/>
          <w:szCs w:val="18"/>
        </w:rPr>
        <w:t>élevés.</w:t>
      </w:r>
    </w:p>
    <w:p w14:paraId="1FF03077" w14:textId="34F51FA4" w:rsidR="005A668F" w:rsidRPr="00C22ABE" w:rsidRDefault="00285B01" w:rsidP="005A668F">
      <w:pPr>
        <w:tabs>
          <w:tab w:val="left" w:pos="7110"/>
        </w:tabs>
        <w:rPr>
          <w:rFonts w:cstheme="minorHAnsi"/>
          <w:bCs/>
          <w:sz w:val="20"/>
          <w:szCs w:val="18"/>
        </w:rPr>
      </w:pPr>
      <w:r w:rsidRPr="00C22ABE">
        <w:rPr>
          <w:rFonts w:cstheme="minorHAnsi"/>
          <w:bCs/>
          <w:sz w:val="20"/>
          <w:szCs w:val="18"/>
        </w:rPr>
        <w:t>On distingue les lésion</w:t>
      </w:r>
      <w:r w:rsidR="00724F0B" w:rsidRPr="00C22ABE">
        <w:rPr>
          <w:rFonts w:cstheme="minorHAnsi"/>
          <w:bCs/>
          <w:sz w:val="20"/>
          <w:szCs w:val="18"/>
        </w:rPr>
        <w:t>s</w:t>
      </w:r>
      <w:r w:rsidRPr="00C22ABE">
        <w:rPr>
          <w:rFonts w:cstheme="minorHAnsi"/>
          <w:bCs/>
          <w:sz w:val="20"/>
          <w:szCs w:val="18"/>
        </w:rPr>
        <w:t xml:space="preserve"> au-dessus du </w:t>
      </w:r>
      <w:r w:rsidRPr="00960B04">
        <w:rPr>
          <w:rFonts w:cstheme="minorHAnsi"/>
          <w:bCs/>
          <w:sz w:val="20"/>
          <w:szCs w:val="18"/>
        </w:rPr>
        <w:t xml:space="preserve">canal </w:t>
      </w:r>
      <w:r w:rsidR="0096468D" w:rsidRPr="00960B04">
        <w:rPr>
          <w:rFonts w:cstheme="minorHAnsi"/>
          <w:bCs/>
          <w:sz w:val="20"/>
          <w:szCs w:val="18"/>
        </w:rPr>
        <w:t>mandibulaire</w:t>
      </w:r>
      <w:r w:rsidRPr="00960B04">
        <w:rPr>
          <w:rFonts w:cstheme="minorHAnsi"/>
          <w:bCs/>
          <w:sz w:val="20"/>
          <w:szCs w:val="18"/>
        </w:rPr>
        <w:t>,</w:t>
      </w:r>
      <w:r w:rsidRPr="00C22ABE">
        <w:rPr>
          <w:rFonts w:cstheme="minorHAnsi"/>
          <w:bCs/>
          <w:sz w:val="20"/>
          <w:szCs w:val="18"/>
        </w:rPr>
        <w:t xml:space="preserve"> où l’on peut envisager un curetage, une séquestrectomie ou encore une mandibulectomie non interruptrice, jusqu’au contact d’un tissu vascularisé.</w:t>
      </w:r>
      <w:r w:rsidR="00006139" w:rsidRPr="00C22ABE">
        <w:rPr>
          <w:rFonts w:cstheme="minorHAnsi"/>
          <w:bCs/>
          <w:sz w:val="20"/>
          <w:szCs w:val="18"/>
        </w:rPr>
        <w:t xml:space="preserve"> Les fraisages répétés risquent de fragiliser la mandibule et d’être responsable d’une fracture.</w:t>
      </w:r>
      <w:r w:rsidRPr="00C22ABE">
        <w:rPr>
          <w:rFonts w:cstheme="minorHAnsi"/>
          <w:bCs/>
          <w:sz w:val="20"/>
          <w:szCs w:val="18"/>
        </w:rPr>
        <w:t xml:space="preserve"> La fermeture </w:t>
      </w:r>
      <w:r w:rsidR="008A6506" w:rsidRPr="00C22ABE">
        <w:rPr>
          <w:rFonts w:cstheme="minorHAnsi"/>
          <w:bCs/>
          <w:sz w:val="20"/>
          <w:szCs w:val="18"/>
        </w:rPr>
        <w:t xml:space="preserve">des tissus mous </w:t>
      </w:r>
      <w:r w:rsidRPr="00C22ABE">
        <w:rPr>
          <w:rFonts w:cstheme="minorHAnsi"/>
          <w:bCs/>
          <w:sz w:val="20"/>
          <w:szCs w:val="18"/>
        </w:rPr>
        <w:t>est conseillée à</w:t>
      </w:r>
      <w:r w:rsidR="00B95754" w:rsidRPr="00C22ABE">
        <w:rPr>
          <w:rFonts w:cstheme="minorHAnsi"/>
          <w:bCs/>
          <w:sz w:val="20"/>
          <w:szCs w:val="18"/>
        </w:rPr>
        <w:t xml:space="preserve"> </w:t>
      </w:r>
      <w:r w:rsidRPr="00C22ABE">
        <w:rPr>
          <w:rFonts w:cstheme="minorHAnsi"/>
          <w:bCs/>
          <w:sz w:val="20"/>
          <w:szCs w:val="18"/>
        </w:rPr>
        <w:t xml:space="preserve">l’aide d’un lambeau, </w:t>
      </w:r>
      <w:r w:rsidR="00006139" w:rsidRPr="00C22ABE">
        <w:rPr>
          <w:rFonts w:cstheme="minorHAnsi"/>
          <w:bCs/>
          <w:sz w:val="20"/>
          <w:szCs w:val="18"/>
        </w:rPr>
        <w:t>par exemple </w:t>
      </w:r>
    </w:p>
    <w:p w14:paraId="09B66469" w14:textId="70820B5C" w:rsidR="00B95754" w:rsidRPr="00C22ABE" w:rsidRDefault="00B95754" w:rsidP="005A668F">
      <w:pPr>
        <w:pStyle w:val="Paragraphedeliste"/>
        <w:numPr>
          <w:ilvl w:val="0"/>
          <w:numId w:val="3"/>
        </w:numPr>
        <w:tabs>
          <w:tab w:val="left" w:pos="7110"/>
        </w:tabs>
        <w:rPr>
          <w:rFonts w:cstheme="minorHAnsi"/>
          <w:bCs/>
          <w:sz w:val="20"/>
          <w:szCs w:val="18"/>
        </w:rPr>
      </w:pPr>
      <w:r w:rsidRPr="00C22ABE">
        <w:rPr>
          <w:rFonts w:cstheme="minorHAnsi"/>
          <w:bCs/>
          <w:sz w:val="20"/>
          <w:szCs w:val="18"/>
        </w:rPr>
        <w:t>le lambeau nasogénien</w:t>
      </w:r>
      <w:r w:rsidR="00006139" w:rsidRPr="00C22ABE">
        <w:rPr>
          <w:rFonts w:cstheme="minorHAnsi"/>
          <w:bCs/>
          <w:sz w:val="20"/>
          <w:szCs w:val="18"/>
        </w:rPr>
        <w:t>,</w:t>
      </w:r>
      <w:r w:rsidRPr="00C22ABE">
        <w:rPr>
          <w:rFonts w:cstheme="minorHAnsi"/>
          <w:bCs/>
          <w:sz w:val="20"/>
          <w:szCs w:val="18"/>
        </w:rPr>
        <w:t xml:space="preserve"> le FAMM (facial </w:t>
      </w:r>
      <w:proofErr w:type="spellStart"/>
      <w:r w:rsidRPr="00C22ABE">
        <w:rPr>
          <w:rFonts w:cstheme="minorHAnsi"/>
          <w:bCs/>
          <w:sz w:val="20"/>
          <w:szCs w:val="18"/>
        </w:rPr>
        <w:t>artery</w:t>
      </w:r>
      <w:proofErr w:type="spellEnd"/>
      <w:r w:rsidRPr="00C22ABE">
        <w:rPr>
          <w:rFonts w:cstheme="minorHAnsi"/>
          <w:bCs/>
          <w:sz w:val="20"/>
          <w:szCs w:val="18"/>
        </w:rPr>
        <w:t xml:space="preserve"> </w:t>
      </w:r>
      <w:proofErr w:type="spellStart"/>
      <w:r w:rsidRPr="00C22ABE">
        <w:rPr>
          <w:rFonts w:cstheme="minorHAnsi"/>
          <w:bCs/>
          <w:sz w:val="20"/>
          <w:szCs w:val="18"/>
        </w:rPr>
        <w:t>mucosal</w:t>
      </w:r>
      <w:proofErr w:type="spellEnd"/>
      <w:r w:rsidRPr="00C22ABE">
        <w:rPr>
          <w:rFonts w:cstheme="minorHAnsi"/>
          <w:bCs/>
          <w:sz w:val="20"/>
          <w:szCs w:val="18"/>
        </w:rPr>
        <w:t xml:space="preserve"> </w:t>
      </w:r>
      <w:proofErr w:type="spellStart"/>
      <w:r w:rsidRPr="00C22ABE">
        <w:rPr>
          <w:rFonts w:cstheme="minorHAnsi"/>
          <w:bCs/>
          <w:sz w:val="20"/>
          <w:szCs w:val="18"/>
        </w:rPr>
        <w:t>flap</w:t>
      </w:r>
      <w:proofErr w:type="spellEnd"/>
      <w:r w:rsidRPr="00C22ABE">
        <w:rPr>
          <w:rFonts w:cstheme="minorHAnsi"/>
          <w:bCs/>
          <w:sz w:val="20"/>
          <w:szCs w:val="18"/>
        </w:rPr>
        <w:t xml:space="preserve">) mais </w:t>
      </w:r>
      <w:r w:rsidR="00006139" w:rsidRPr="00C22ABE">
        <w:rPr>
          <w:rFonts w:cstheme="minorHAnsi"/>
          <w:bCs/>
          <w:sz w:val="20"/>
          <w:szCs w:val="18"/>
        </w:rPr>
        <w:t xml:space="preserve">ces lambeaux sont </w:t>
      </w:r>
      <w:r w:rsidRPr="00C22ABE">
        <w:rPr>
          <w:rFonts w:cstheme="minorHAnsi"/>
          <w:bCs/>
          <w:sz w:val="20"/>
          <w:szCs w:val="18"/>
        </w:rPr>
        <w:t>souvent dans le volume irradié</w:t>
      </w:r>
      <w:r w:rsidR="00006139" w:rsidRPr="00C22ABE">
        <w:rPr>
          <w:rFonts w:cstheme="minorHAnsi"/>
          <w:bCs/>
          <w:sz w:val="20"/>
          <w:szCs w:val="18"/>
        </w:rPr>
        <w:t xml:space="preserve"> et peu fiables</w:t>
      </w:r>
      <w:r w:rsidR="005A668F" w:rsidRPr="00C22ABE">
        <w:rPr>
          <w:rFonts w:cstheme="minorHAnsi"/>
          <w:bCs/>
          <w:sz w:val="20"/>
          <w:szCs w:val="18"/>
        </w:rPr>
        <w:t>.</w:t>
      </w:r>
    </w:p>
    <w:p w14:paraId="5DDCBCCB" w14:textId="5CC3E57C" w:rsidR="00B95754" w:rsidRPr="00C22ABE" w:rsidRDefault="00006139" w:rsidP="00B95754">
      <w:pPr>
        <w:pStyle w:val="Paragraphedeliste"/>
        <w:numPr>
          <w:ilvl w:val="0"/>
          <w:numId w:val="3"/>
        </w:numPr>
        <w:tabs>
          <w:tab w:val="left" w:pos="7110"/>
        </w:tabs>
        <w:rPr>
          <w:rFonts w:cstheme="minorHAnsi"/>
          <w:bCs/>
          <w:sz w:val="20"/>
          <w:szCs w:val="18"/>
        </w:rPr>
      </w:pPr>
      <w:r w:rsidRPr="00C22ABE">
        <w:rPr>
          <w:rFonts w:cstheme="minorHAnsi"/>
          <w:bCs/>
          <w:sz w:val="20"/>
          <w:szCs w:val="18"/>
        </w:rPr>
        <w:t xml:space="preserve">le </w:t>
      </w:r>
      <w:r w:rsidR="00B95754" w:rsidRPr="00C22ABE">
        <w:rPr>
          <w:rFonts w:cstheme="minorHAnsi"/>
          <w:bCs/>
          <w:sz w:val="20"/>
          <w:szCs w:val="18"/>
        </w:rPr>
        <w:t xml:space="preserve">lambeau temporal (fascia </w:t>
      </w:r>
      <w:proofErr w:type="spellStart"/>
      <w:r w:rsidR="00B95754" w:rsidRPr="00C22ABE">
        <w:rPr>
          <w:rFonts w:cstheme="minorHAnsi"/>
          <w:bCs/>
          <w:sz w:val="20"/>
          <w:szCs w:val="18"/>
        </w:rPr>
        <w:t>temporalis</w:t>
      </w:r>
      <w:proofErr w:type="spellEnd"/>
      <w:r w:rsidR="00B95754" w:rsidRPr="00C22ABE">
        <w:rPr>
          <w:rFonts w:cstheme="minorHAnsi"/>
          <w:bCs/>
          <w:sz w:val="20"/>
          <w:szCs w:val="18"/>
        </w:rPr>
        <w:t xml:space="preserve">), </w:t>
      </w:r>
      <w:r w:rsidR="00AB13BE" w:rsidRPr="00C22ABE">
        <w:rPr>
          <w:rFonts w:cstheme="minorHAnsi"/>
          <w:bCs/>
          <w:sz w:val="20"/>
          <w:szCs w:val="18"/>
        </w:rPr>
        <w:t>dont l’</w:t>
      </w:r>
      <w:r w:rsidRPr="00C22ABE">
        <w:rPr>
          <w:rFonts w:cstheme="minorHAnsi"/>
          <w:bCs/>
          <w:sz w:val="20"/>
          <w:szCs w:val="18"/>
        </w:rPr>
        <w:t>axe de rotation est limité pour accéder à la mandibule.</w:t>
      </w:r>
    </w:p>
    <w:p w14:paraId="2A2D6520" w14:textId="77777777" w:rsidR="00052958" w:rsidRDefault="00255F29" w:rsidP="00052958">
      <w:pPr>
        <w:pStyle w:val="Paragraphedeliste"/>
        <w:numPr>
          <w:ilvl w:val="0"/>
          <w:numId w:val="3"/>
        </w:numPr>
        <w:tabs>
          <w:tab w:val="left" w:pos="7110"/>
        </w:tabs>
        <w:rPr>
          <w:rFonts w:cstheme="minorHAnsi"/>
          <w:bCs/>
          <w:sz w:val="20"/>
          <w:szCs w:val="18"/>
        </w:rPr>
      </w:pPr>
      <w:r w:rsidRPr="00C22ABE">
        <w:rPr>
          <w:rFonts w:cstheme="minorHAnsi"/>
          <w:bCs/>
          <w:sz w:val="20"/>
          <w:szCs w:val="18"/>
        </w:rPr>
        <w:t>l</w:t>
      </w:r>
      <w:r w:rsidR="00006139" w:rsidRPr="00C22ABE">
        <w:rPr>
          <w:rFonts w:cstheme="minorHAnsi"/>
          <w:bCs/>
          <w:sz w:val="20"/>
          <w:szCs w:val="18"/>
        </w:rPr>
        <w:t xml:space="preserve">es </w:t>
      </w:r>
      <w:r w:rsidR="00B95754" w:rsidRPr="00C22ABE">
        <w:rPr>
          <w:rFonts w:cstheme="minorHAnsi"/>
          <w:bCs/>
          <w:sz w:val="20"/>
          <w:szCs w:val="18"/>
        </w:rPr>
        <w:t>lambeaux libres</w:t>
      </w:r>
      <w:r w:rsidR="00AB13BE" w:rsidRPr="00C22ABE">
        <w:rPr>
          <w:rFonts w:cstheme="minorHAnsi"/>
          <w:bCs/>
          <w:sz w:val="20"/>
          <w:szCs w:val="18"/>
        </w:rPr>
        <w:t> :</w:t>
      </w:r>
      <w:r w:rsidR="00B95754" w:rsidRPr="00C22ABE">
        <w:rPr>
          <w:rFonts w:cstheme="minorHAnsi"/>
          <w:bCs/>
          <w:sz w:val="20"/>
          <w:szCs w:val="18"/>
        </w:rPr>
        <w:t xml:space="preserve"> antébrachial, brachial externe, antérolatéral de cuisse</w:t>
      </w:r>
    </w:p>
    <w:p w14:paraId="1C2BE4A9" w14:textId="3C16A0AF" w:rsidR="00052958" w:rsidRPr="00D36EC3" w:rsidRDefault="00052958" w:rsidP="00052958">
      <w:pPr>
        <w:pStyle w:val="Paragraphedeliste"/>
        <w:numPr>
          <w:ilvl w:val="0"/>
          <w:numId w:val="3"/>
        </w:numPr>
        <w:tabs>
          <w:tab w:val="left" w:pos="7110"/>
        </w:tabs>
        <w:rPr>
          <w:rFonts w:cstheme="minorHAnsi"/>
          <w:bCs/>
          <w:sz w:val="20"/>
          <w:szCs w:val="18"/>
        </w:rPr>
      </w:pPr>
      <w:r w:rsidRPr="00D36EC3">
        <w:rPr>
          <w:rFonts w:cstheme="minorHAnsi"/>
          <w:bCs/>
          <w:sz w:val="20"/>
          <w:szCs w:val="18"/>
        </w:rPr>
        <w:t>les lambeaux périosté</w:t>
      </w:r>
      <w:r w:rsidR="00D36EC3">
        <w:rPr>
          <w:rFonts w:cstheme="minorHAnsi"/>
          <w:bCs/>
          <w:sz w:val="20"/>
          <w:szCs w:val="18"/>
        </w:rPr>
        <w:t>s</w:t>
      </w:r>
      <w:r w:rsidRPr="00D36EC3">
        <w:rPr>
          <w:rFonts w:cstheme="minorHAnsi"/>
          <w:bCs/>
          <w:sz w:val="20"/>
          <w:szCs w:val="18"/>
        </w:rPr>
        <w:t xml:space="preserve"> d’humérus ou de condyl</w:t>
      </w:r>
      <w:r w:rsidR="00960B04" w:rsidRPr="00D36EC3">
        <w:rPr>
          <w:rFonts w:cstheme="minorHAnsi"/>
          <w:bCs/>
          <w:sz w:val="20"/>
          <w:szCs w:val="18"/>
        </w:rPr>
        <w:t>e</w:t>
      </w:r>
      <w:r w:rsidRPr="00D36EC3">
        <w:rPr>
          <w:rFonts w:cstheme="minorHAnsi"/>
          <w:bCs/>
          <w:sz w:val="20"/>
          <w:szCs w:val="18"/>
        </w:rPr>
        <w:t xml:space="preserve"> fémoral</w:t>
      </w:r>
      <w:r w:rsidR="00D36EC3">
        <w:rPr>
          <w:rFonts w:cstheme="minorHAnsi"/>
          <w:bCs/>
          <w:sz w:val="20"/>
          <w:szCs w:val="18"/>
        </w:rPr>
        <w:t xml:space="preserve"> </w:t>
      </w:r>
      <w:r w:rsidR="00D36EC3">
        <w:rPr>
          <w:rFonts w:cstheme="minorHAnsi"/>
          <w:bCs/>
          <w:sz w:val="20"/>
          <w:szCs w:val="18"/>
        </w:rPr>
        <w:fldChar w:fldCharType="begin"/>
      </w:r>
      <w:r w:rsidR="00D36EC3">
        <w:rPr>
          <w:rFonts w:cstheme="minorHAnsi"/>
          <w:bCs/>
          <w:sz w:val="20"/>
          <w:szCs w:val="18"/>
        </w:rPr>
        <w:instrText xml:space="preserve"> ADDIN ZOTERO_ITEM CSL_CITATION {"citationID":"5kxe0SuT","properties":{"formattedCitation":"(69)","plainCitation":"(69)","noteIndex":0},"citationItems":[{"id":356,"uris":["http://zotero.org/users/local/Om3YyEnU/items/LFKW52PB"],"uri":["http://zotero.org/users/local/Om3YyEnU/items/LFKW52PB"],"itemData":{"id":356,"type":"article-journal","container-title":"Revue de Stomatologie et de Chirurgie Maxillo-faciale","DOI":"10.1016/j.stomax.2008.07.007","ISSN":"00351768","issue":"1","journalAbbreviation":"Revue de Stomatologie et de Chirurgie Maxillo-faciale","language":"fr","page":"3-7","source":"DOI.org (Crossref)","title":"Partie III : les lambeaux libres périostés dans le traitement des ostéoradionécroses mandibulaires","title-short":"Partie III","volume":"110","author":[{"family":"Hauthuille","given":"C.","non-dropping-particle":"d’"},{"family":"Testelin","given":"S."},{"family":"Taha","given":"F."},{"family":"Bitar","given":"G."},{"family":"Devauchelle","given":"B."}],"issued":{"date-parts":[["2009",2]]}}}],"schema":"https://github.com/citation-style-language/schema/raw/master/csl-citation.json"} </w:instrText>
      </w:r>
      <w:r w:rsidR="00D36EC3">
        <w:rPr>
          <w:rFonts w:cstheme="minorHAnsi"/>
          <w:bCs/>
          <w:sz w:val="20"/>
          <w:szCs w:val="18"/>
        </w:rPr>
        <w:fldChar w:fldCharType="separate"/>
      </w:r>
      <w:r w:rsidR="00D36EC3" w:rsidRPr="00D36EC3">
        <w:rPr>
          <w:rFonts w:ascii="Calibri" w:hAnsi="Calibri" w:cs="Calibri"/>
          <w:sz w:val="20"/>
        </w:rPr>
        <w:t>(69)</w:t>
      </w:r>
      <w:r w:rsidR="00D36EC3">
        <w:rPr>
          <w:rFonts w:cstheme="minorHAnsi"/>
          <w:bCs/>
          <w:sz w:val="20"/>
          <w:szCs w:val="18"/>
        </w:rPr>
        <w:fldChar w:fldCharType="end"/>
      </w:r>
    </w:p>
    <w:p w14:paraId="77281800" w14:textId="2693D732" w:rsidR="00285B01" w:rsidRPr="00C22ABE" w:rsidRDefault="00285B01" w:rsidP="000F250C">
      <w:pPr>
        <w:tabs>
          <w:tab w:val="left" w:pos="7110"/>
        </w:tabs>
        <w:rPr>
          <w:rFonts w:cstheme="minorHAnsi"/>
          <w:bCs/>
          <w:sz w:val="20"/>
          <w:szCs w:val="18"/>
        </w:rPr>
      </w:pPr>
      <w:r w:rsidRPr="00C22ABE">
        <w:rPr>
          <w:rFonts w:cstheme="minorHAnsi"/>
          <w:bCs/>
          <w:sz w:val="20"/>
          <w:szCs w:val="18"/>
        </w:rPr>
        <w:t xml:space="preserve">En cas d’atteinte sous le </w:t>
      </w:r>
      <w:r w:rsidRPr="00960B04">
        <w:rPr>
          <w:rFonts w:cstheme="minorHAnsi"/>
          <w:bCs/>
          <w:sz w:val="20"/>
          <w:szCs w:val="18"/>
        </w:rPr>
        <w:t xml:space="preserve">canal </w:t>
      </w:r>
      <w:r w:rsidR="0096468D" w:rsidRPr="00960B04">
        <w:rPr>
          <w:rFonts w:cstheme="minorHAnsi"/>
          <w:bCs/>
          <w:sz w:val="20"/>
          <w:szCs w:val="18"/>
        </w:rPr>
        <w:t>mandibulaire</w:t>
      </w:r>
      <w:r w:rsidR="00052958" w:rsidRPr="00960B04">
        <w:rPr>
          <w:rFonts w:cstheme="minorHAnsi"/>
          <w:bCs/>
          <w:sz w:val="20"/>
          <w:szCs w:val="18"/>
        </w:rPr>
        <w:t xml:space="preserve"> </w:t>
      </w:r>
      <w:r w:rsidR="00A0261D" w:rsidRPr="00960B04">
        <w:rPr>
          <w:rFonts w:cstheme="minorHAnsi"/>
          <w:bCs/>
          <w:sz w:val="20"/>
          <w:szCs w:val="18"/>
        </w:rPr>
        <w:t>ou en cas</w:t>
      </w:r>
      <w:r w:rsidR="00A0261D" w:rsidRPr="00C22ABE">
        <w:rPr>
          <w:rFonts w:cstheme="minorHAnsi"/>
          <w:bCs/>
          <w:sz w:val="20"/>
          <w:szCs w:val="18"/>
        </w:rPr>
        <w:t xml:space="preserve"> de fracture, une mandibulectomie interruptrice est </w:t>
      </w:r>
      <w:r w:rsidR="00AB13BE" w:rsidRPr="00C22ABE">
        <w:rPr>
          <w:rFonts w:cstheme="minorHAnsi"/>
          <w:bCs/>
          <w:sz w:val="20"/>
          <w:szCs w:val="18"/>
        </w:rPr>
        <w:t>proposée.</w:t>
      </w:r>
    </w:p>
    <w:p w14:paraId="735A0E00" w14:textId="6930C857" w:rsidR="004E4F88" w:rsidRPr="00C22ABE" w:rsidRDefault="008A6506" w:rsidP="00AB13BE">
      <w:pPr>
        <w:tabs>
          <w:tab w:val="left" w:pos="7110"/>
        </w:tabs>
        <w:spacing w:after="0"/>
        <w:rPr>
          <w:rFonts w:cstheme="minorHAnsi"/>
          <w:bCs/>
          <w:sz w:val="20"/>
          <w:szCs w:val="18"/>
          <w:lang w:val="fr-FR"/>
        </w:rPr>
      </w:pPr>
      <w:r w:rsidRPr="00C22ABE">
        <w:rPr>
          <w:rFonts w:cstheme="minorHAnsi"/>
          <w:bCs/>
          <w:sz w:val="20"/>
          <w:szCs w:val="18"/>
          <w:lang w:val="fr-FR"/>
        </w:rPr>
        <w:t>La</w:t>
      </w:r>
      <w:r w:rsidR="000F250C" w:rsidRPr="00C22ABE">
        <w:rPr>
          <w:rFonts w:cstheme="minorHAnsi"/>
          <w:bCs/>
          <w:sz w:val="20"/>
          <w:szCs w:val="18"/>
          <w:lang w:val="fr-FR"/>
        </w:rPr>
        <w:t xml:space="preserve"> revue systématique de Lee</w:t>
      </w:r>
      <w:r w:rsidR="004E4F88" w:rsidRPr="00C22ABE">
        <w:rPr>
          <w:rFonts w:cstheme="minorHAnsi"/>
          <w:bCs/>
          <w:sz w:val="20"/>
          <w:szCs w:val="18"/>
          <w:lang w:val="fr-FR"/>
        </w:rPr>
        <w:t xml:space="preserve"> </w:t>
      </w:r>
      <w:r w:rsidR="004E4F88" w:rsidRPr="00C22ABE">
        <w:rPr>
          <w:rFonts w:cstheme="minorHAnsi"/>
          <w:bCs/>
          <w:sz w:val="20"/>
          <w:szCs w:val="18"/>
          <w:lang w:val="fr-FR"/>
        </w:rPr>
        <w:fldChar w:fldCharType="begin"/>
      </w:r>
      <w:r w:rsidR="00D36EC3">
        <w:rPr>
          <w:rFonts w:cstheme="minorHAnsi"/>
          <w:bCs/>
          <w:sz w:val="20"/>
          <w:szCs w:val="18"/>
          <w:lang w:val="fr-FR"/>
        </w:rPr>
        <w:instrText xml:space="preserve"> ADDIN ZOTERO_ITEM CSL_CITATION {"citationID":"0m0f2co4","properties":{"formattedCitation":"(70)","plainCitation":"(70)","noteIndex":0},"citationItems":[{"id":234,"uris":["http://zotero.org/users/local/Om3YyEnU/items/QE3GYU4Z"],"uri":["http://zotero.org/users/local/Om3YyEnU/items/QE3GYU4Z"],"itemData":{"id":234,"type":"article-journal","container-title":"Journal of Cranio-Maxillofacial Surgery","DOI":"10.1016/j.jcms.2015.03.006","ISSN":"10105182","issue":"10","journalAbbreviation":"Journal of Cranio-Maxillofacial Surgery","language":"en","page":"2026-2033","source":"DOI.org (Crossref)","title":"Outcomes of microvascular free flap reconstruction for mandibular osteoradionecrosis: A systematic review","title-short":"Outcomes of microvascular free flap reconstruction for mandibular osteoradionecrosis","volume":"43","author":[{"family":"Lee","given":"Migie"},{"family":"Chin","given":"Ronald Y."},{"family":"Eslick","given":"Guy D."},{"family":"Sritharan","given":"Niranjan"},{"family":"Paramaesvaran","given":"Suchitra"}],"issued":{"date-parts":[["2015",12]]}}}],"schema":"https://github.com/citation-style-language/schema/raw/master/csl-citation.json"} </w:instrText>
      </w:r>
      <w:r w:rsidR="004E4F88" w:rsidRPr="00C22ABE">
        <w:rPr>
          <w:rFonts w:cstheme="minorHAnsi"/>
          <w:bCs/>
          <w:sz w:val="20"/>
          <w:szCs w:val="18"/>
          <w:lang w:val="fr-FR"/>
        </w:rPr>
        <w:fldChar w:fldCharType="separate"/>
      </w:r>
      <w:r w:rsidR="00D36EC3" w:rsidRPr="00D36EC3">
        <w:rPr>
          <w:rFonts w:ascii="Calibri" w:hAnsi="Calibri" w:cs="Calibri"/>
          <w:sz w:val="20"/>
        </w:rPr>
        <w:t>(70)</w:t>
      </w:r>
      <w:r w:rsidR="004E4F88" w:rsidRPr="00C22ABE">
        <w:rPr>
          <w:rFonts w:cstheme="minorHAnsi"/>
          <w:bCs/>
          <w:sz w:val="20"/>
          <w:szCs w:val="18"/>
          <w:lang w:val="fr-FR"/>
        </w:rPr>
        <w:fldChar w:fldCharType="end"/>
      </w:r>
      <w:r w:rsidR="000F250C" w:rsidRPr="00C22ABE">
        <w:rPr>
          <w:rFonts w:cstheme="minorHAnsi"/>
          <w:bCs/>
          <w:sz w:val="20"/>
          <w:szCs w:val="18"/>
          <w:lang w:val="fr-FR"/>
        </w:rPr>
        <w:t xml:space="preserve"> et al </w:t>
      </w:r>
      <w:r w:rsidR="004E4F88" w:rsidRPr="00C22ABE">
        <w:rPr>
          <w:rFonts w:cstheme="minorHAnsi"/>
          <w:bCs/>
          <w:sz w:val="20"/>
          <w:szCs w:val="18"/>
          <w:lang w:val="fr-FR"/>
        </w:rPr>
        <w:t xml:space="preserve">sur l’usage des lambeaux libres dans le traitement de l’ORN a identifié  </w:t>
      </w:r>
      <w:r w:rsidR="000F250C" w:rsidRPr="00C22ABE">
        <w:rPr>
          <w:rFonts w:cstheme="minorHAnsi"/>
          <w:sz w:val="20"/>
          <w:szCs w:val="18"/>
          <w:lang w:val="fr-FR"/>
        </w:rPr>
        <w:t xml:space="preserve">15 articles </w:t>
      </w:r>
      <w:r w:rsidR="004E4F88" w:rsidRPr="00C22ABE">
        <w:rPr>
          <w:rFonts w:cstheme="minorHAnsi"/>
          <w:sz w:val="20"/>
          <w:szCs w:val="18"/>
          <w:lang w:val="fr-FR"/>
        </w:rPr>
        <w:t>concern</w:t>
      </w:r>
      <w:r w:rsidRPr="00C22ABE">
        <w:rPr>
          <w:rFonts w:cstheme="minorHAnsi"/>
          <w:sz w:val="20"/>
          <w:szCs w:val="18"/>
          <w:lang w:val="fr-FR"/>
        </w:rPr>
        <w:t>a</w:t>
      </w:r>
      <w:r w:rsidR="004E4F88" w:rsidRPr="00C22ABE">
        <w:rPr>
          <w:rFonts w:cstheme="minorHAnsi"/>
          <w:sz w:val="20"/>
          <w:szCs w:val="18"/>
          <w:lang w:val="fr-FR"/>
        </w:rPr>
        <w:t>nt</w:t>
      </w:r>
      <w:r w:rsidR="000F250C" w:rsidRPr="00C22ABE">
        <w:rPr>
          <w:rFonts w:cstheme="minorHAnsi"/>
          <w:sz w:val="20"/>
          <w:szCs w:val="18"/>
          <w:lang w:val="fr-FR"/>
        </w:rPr>
        <w:t xml:space="preserve"> 368 </w:t>
      </w:r>
      <w:r w:rsidR="004E4F88" w:rsidRPr="00C22ABE">
        <w:rPr>
          <w:rFonts w:cstheme="minorHAnsi"/>
          <w:sz w:val="20"/>
          <w:szCs w:val="18"/>
          <w:lang w:val="fr-FR"/>
        </w:rPr>
        <w:t>lambeaux libres</w:t>
      </w:r>
      <w:r w:rsidR="00A0261D" w:rsidRPr="00C22ABE">
        <w:rPr>
          <w:rFonts w:cstheme="minorHAnsi"/>
          <w:sz w:val="20"/>
          <w:szCs w:val="18"/>
          <w:lang w:val="fr-FR"/>
        </w:rPr>
        <w:t>.</w:t>
      </w:r>
      <w:r w:rsidR="000F250C" w:rsidRPr="00C22ABE">
        <w:rPr>
          <w:rFonts w:cstheme="minorHAnsi"/>
          <w:bCs/>
          <w:sz w:val="20"/>
          <w:szCs w:val="18"/>
          <w:lang w:val="fr-FR"/>
        </w:rPr>
        <w:t xml:space="preserve"> </w:t>
      </w:r>
      <w:r w:rsidR="004E4F88" w:rsidRPr="00C22ABE">
        <w:rPr>
          <w:rFonts w:cstheme="minorHAnsi"/>
          <w:bCs/>
          <w:sz w:val="20"/>
          <w:szCs w:val="18"/>
          <w:lang w:val="fr-FR"/>
        </w:rPr>
        <w:t xml:space="preserve">Le taux d’échec était de </w:t>
      </w:r>
      <w:r w:rsidR="000F250C" w:rsidRPr="00C22ABE">
        <w:rPr>
          <w:rFonts w:cstheme="minorHAnsi"/>
          <w:bCs/>
          <w:sz w:val="20"/>
          <w:szCs w:val="18"/>
          <w:lang w:val="fr-FR"/>
        </w:rPr>
        <w:t>9.8%</w:t>
      </w:r>
      <w:r w:rsidR="00731261" w:rsidRPr="00C22ABE">
        <w:rPr>
          <w:rFonts w:cstheme="minorHAnsi"/>
          <w:bCs/>
          <w:sz w:val="20"/>
          <w:szCs w:val="18"/>
          <w:lang w:val="fr-FR"/>
        </w:rPr>
        <w:t xml:space="preserve">. Dans la majorité de ces échecs, un nouveau lambeau a </w:t>
      </w:r>
      <w:r w:rsidR="00A0261D" w:rsidRPr="00C22ABE">
        <w:rPr>
          <w:rFonts w:cstheme="minorHAnsi"/>
          <w:bCs/>
          <w:sz w:val="20"/>
          <w:szCs w:val="18"/>
          <w:lang w:val="fr-FR"/>
        </w:rPr>
        <w:t>été</w:t>
      </w:r>
      <w:r w:rsidR="00731261" w:rsidRPr="00C22ABE">
        <w:rPr>
          <w:rFonts w:cstheme="minorHAnsi"/>
          <w:bCs/>
          <w:sz w:val="20"/>
          <w:szCs w:val="18"/>
          <w:lang w:val="fr-FR"/>
        </w:rPr>
        <w:t xml:space="preserve"> prélevé</w:t>
      </w:r>
      <w:r w:rsidR="00A0261D" w:rsidRPr="00C22ABE">
        <w:rPr>
          <w:rFonts w:cstheme="minorHAnsi"/>
          <w:bCs/>
          <w:sz w:val="20"/>
          <w:szCs w:val="18"/>
          <w:lang w:val="fr-FR"/>
        </w:rPr>
        <w:t>.</w:t>
      </w:r>
    </w:p>
    <w:p w14:paraId="4990C687" w14:textId="77777777" w:rsidR="00C22ABE" w:rsidRPr="00C22ABE" w:rsidRDefault="004E4F88" w:rsidP="00AB13BE">
      <w:pPr>
        <w:tabs>
          <w:tab w:val="left" w:pos="7110"/>
        </w:tabs>
        <w:spacing w:after="0"/>
        <w:rPr>
          <w:rFonts w:cstheme="minorHAnsi"/>
          <w:bCs/>
          <w:sz w:val="20"/>
          <w:szCs w:val="18"/>
          <w:lang w:val="fr-FR"/>
        </w:rPr>
      </w:pPr>
      <w:r w:rsidRPr="00C22ABE">
        <w:rPr>
          <w:rFonts w:cstheme="minorHAnsi"/>
          <w:bCs/>
          <w:sz w:val="20"/>
          <w:szCs w:val="18"/>
          <w:lang w:val="fr-FR"/>
        </w:rPr>
        <w:t>Le taux de complication était de 39,7% (</w:t>
      </w:r>
      <w:r w:rsidR="000F250C" w:rsidRPr="00C22ABE">
        <w:rPr>
          <w:rFonts w:cstheme="minorHAnsi"/>
          <w:bCs/>
          <w:sz w:val="20"/>
          <w:szCs w:val="18"/>
          <w:lang w:val="fr-FR"/>
        </w:rPr>
        <w:t xml:space="preserve">146 </w:t>
      </w:r>
      <w:r w:rsidRPr="00C22ABE">
        <w:rPr>
          <w:rFonts w:cstheme="minorHAnsi"/>
          <w:bCs/>
          <w:sz w:val="20"/>
          <w:szCs w:val="18"/>
          <w:lang w:val="fr-FR"/>
        </w:rPr>
        <w:t xml:space="preserve">complications post-opératoires) et comportait surtout des fistules </w:t>
      </w:r>
      <w:r w:rsidR="000F250C" w:rsidRPr="00C22ABE">
        <w:rPr>
          <w:rFonts w:cstheme="minorHAnsi"/>
          <w:bCs/>
          <w:sz w:val="20"/>
          <w:szCs w:val="18"/>
          <w:lang w:val="fr-FR"/>
        </w:rPr>
        <w:t xml:space="preserve">(8.4%), </w:t>
      </w:r>
      <w:r w:rsidRPr="00C22ABE">
        <w:rPr>
          <w:rFonts w:cstheme="minorHAnsi"/>
          <w:bCs/>
          <w:sz w:val="20"/>
          <w:szCs w:val="18"/>
          <w:lang w:val="fr-FR"/>
        </w:rPr>
        <w:t xml:space="preserve">une exposition du matériel de synthèse </w:t>
      </w:r>
      <w:r w:rsidR="000F250C" w:rsidRPr="00C22ABE">
        <w:rPr>
          <w:rFonts w:cstheme="minorHAnsi"/>
          <w:bCs/>
          <w:sz w:val="20"/>
          <w:szCs w:val="18"/>
          <w:lang w:val="fr-FR"/>
        </w:rPr>
        <w:t>(7.1%)</w:t>
      </w:r>
      <w:r w:rsidRPr="00C22ABE">
        <w:rPr>
          <w:rFonts w:cstheme="minorHAnsi"/>
          <w:bCs/>
          <w:sz w:val="20"/>
          <w:szCs w:val="18"/>
          <w:lang w:val="fr-FR"/>
        </w:rPr>
        <w:t xml:space="preserve"> et </w:t>
      </w:r>
      <w:r w:rsidR="000C3EF3" w:rsidRPr="00C22ABE">
        <w:rPr>
          <w:rFonts w:cstheme="minorHAnsi"/>
          <w:bCs/>
          <w:sz w:val="20"/>
          <w:szCs w:val="18"/>
          <w:lang w:val="fr-FR"/>
        </w:rPr>
        <w:t xml:space="preserve">une </w:t>
      </w:r>
      <w:r w:rsidRPr="00C22ABE">
        <w:rPr>
          <w:rFonts w:cstheme="minorHAnsi"/>
          <w:bCs/>
          <w:sz w:val="20"/>
          <w:szCs w:val="18"/>
          <w:lang w:val="fr-FR"/>
        </w:rPr>
        <w:t xml:space="preserve">infection du lambeau </w:t>
      </w:r>
      <w:r w:rsidR="000F250C" w:rsidRPr="00C22ABE">
        <w:rPr>
          <w:rFonts w:cstheme="minorHAnsi"/>
          <w:bCs/>
          <w:sz w:val="20"/>
          <w:szCs w:val="18"/>
          <w:lang w:val="fr-FR"/>
        </w:rPr>
        <w:t xml:space="preserve">(6.5%). </w:t>
      </w:r>
      <w:r w:rsidR="00E7691A" w:rsidRPr="00C22ABE">
        <w:rPr>
          <w:rFonts w:cstheme="minorHAnsi"/>
          <w:bCs/>
          <w:sz w:val="20"/>
          <w:szCs w:val="18"/>
          <w:lang w:val="fr-FR"/>
        </w:rPr>
        <w:t xml:space="preserve">Ces complications </w:t>
      </w:r>
      <w:r w:rsidR="008A6506" w:rsidRPr="00C22ABE">
        <w:rPr>
          <w:rFonts w:cstheme="minorHAnsi"/>
          <w:bCs/>
          <w:sz w:val="20"/>
          <w:szCs w:val="18"/>
          <w:lang w:val="fr-FR"/>
        </w:rPr>
        <w:t>n’étaient</w:t>
      </w:r>
      <w:r w:rsidR="00E7691A" w:rsidRPr="00C22ABE">
        <w:rPr>
          <w:rFonts w:cstheme="minorHAnsi"/>
          <w:bCs/>
          <w:sz w:val="20"/>
          <w:szCs w:val="18"/>
          <w:lang w:val="fr-FR"/>
        </w:rPr>
        <w:t xml:space="preserve"> pas associées à la perte du lambeau. </w:t>
      </w:r>
    </w:p>
    <w:p w14:paraId="5AD316D0" w14:textId="677D3616" w:rsidR="004E4F88" w:rsidRPr="00C22ABE" w:rsidRDefault="004E4F88" w:rsidP="00AB13BE">
      <w:pPr>
        <w:tabs>
          <w:tab w:val="left" w:pos="7110"/>
        </w:tabs>
        <w:spacing w:after="0"/>
        <w:rPr>
          <w:rFonts w:cstheme="minorHAnsi"/>
          <w:bCs/>
          <w:sz w:val="20"/>
          <w:szCs w:val="18"/>
          <w:lang w:val="fr-FR"/>
        </w:rPr>
      </w:pPr>
      <w:r w:rsidRPr="00C22ABE">
        <w:rPr>
          <w:rFonts w:cstheme="minorHAnsi"/>
          <w:bCs/>
          <w:sz w:val="20"/>
          <w:szCs w:val="18"/>
          <w:lang w:val="fr-FR"/>
        </w:rPr>
        <w:t xml:space="preserve">Les échecs </w:t>
      </w:r>
      <w:r w:rsidR="000C3EF3" w:rsidRPr="00C22ABE">
        <w:rPr>
          <w:rFonts w:cstheme="minorHAnsi"/>
          <w:bCs/>
          <w:sz w:val="20"/>
          <w:szCs w:val="18"/>
          <w:lang w:val="fr-FR"/>
        </w:rPr>
        <w:t xml:space="preserve">du lambeau </w:t>
      </w:r>
      <w:r w:rsidRPr="00C22ABE">
        <w:rPr>
          <w:rFonts w:cstheme="minorHAnsi"/>
          <w:bCs/>
          <w:sz w:val="20"/>
          <w:szCs w:val="18"/>
          <w:lang w:val="fr-FR"/>
        </w:rPr>
        <w:t>sont liés aux lésions des vaisseaux receveurs par la radiothérapie.</w:t>
      </w:r>
      <w:r w:rsidR="00E7691A" w:rsidRPr="00C22ABE">
        <w:rPr>
          <w:rFonts w:cstheme="minorHAnsi"/>
          <w:bCs/>
          <w:sz w:val="20"/>
          <w:szCs w:val="18"/>
          <w:lang w:val="fr-FR"/>
        </w:rPr>
        <w:t xml:space="preserve"> Dans les complications plus lourdes, les auteurs notaient des thromboses vasculaires, des hématomes, et 2 ruptures de carotide.</w:t>
      </w:r>
    </w:p>
    <w:p w14:paraId="5477B37C" w14:textId="454D6D79" w:rsidR="009D4A56" w:rsidRDefault="004E4F88" w:rsidP="00052958">
      <w:pPr>
        <w:tabs>
          <w:tab w:val="left" w:pos="7110"/>
        </w:tabs>
        <w:rPr>
          <w:rFonts w:cstheme="minorHAnsi"/>
          <w:bCs/>
          <w:sz w:val="20"/>
          <w:szCs w:val="20"/>
        </w:rPr>
      </w:pPr>
      <w:r w:rsidRPr="00C22ABE">
        <w:rPr>
          <w:rFonts w:cstheme="minorHAnsi"/>
          <w:bCs/>
          <w:sz w:val="20"/>
          <w:szCs w:val="18"/>
          <w:lang w:val="fr-FR"/>
        </w:rPr>
        <w:t xml:space="preserve">Les lambeaux </w:t>
      </w:r>
      <w:r w:rsidR="00AB13BE" w:rsidRPr="00C22ABE">
        <w:rPr>
          <w:rFonts w:cstheme="minorHAnsi"/>
          <w:bCs/>
          <w:sz w:val="20"/>
          <w:szCs w:val="18"/>
          <w:lang w:val="fr-FR"/>
        </w:rPr>
        <w:t xml:space="preserve">libres </w:t>
      </w:r>
      <w:r w:rsidRPr="00C22ABE">
        <w:rPr>
          <w:rFonts w:cstheme="minorHAnsi"/>
          <w:bCs/>
          <w:sz w:val="20"/>
          <w:szCs w:val="18"/>
          <w:lang w:val="fr-FR"/>
        </w:rPr>
        <w:t xml:space="preserve">les plus fréquemment utilisés </w:t>
      </w:r>
      <w:r w:rsidR="00C22ABE" w:rsidRPr="00C22ABE">
        <w:rPr>
          <w:rFonts w:cstheme="minorHAnsi"/>
          <w:bCs/>
          <w:sz w:val="20"/>
          <w:szCs w:val="18"/>
          <w:lang w:val="fr-FR"/>
        </w:rPr>
        <w:t>étaient</w:t>
      </w:r>
      <w:r w:rsidRPr="00C22ABE">
        <w:rPr>
          <w:rFonts w:cstheme="minorHAnsi"/>
          <w:bCs/>
          <w:sz w:val="20"/>
          <w:szCs w:val="18"/>
          <w:lang w:val="fr-FR"/>
        </w:rPr>
        <w:t xml:space="preserve"> l</w:t>
      </w:r>
      <w:r w:rsidR="008A6506" w:rsidRPr="00C22ABE">
        <w:rPr>
          <w:rFonts w:cstheme="minorHAnsi"/>
          <w:bCs/>
          <w:sz w:val="20"/>
          <w:szCs w:val="18"/>
          <w:lang w:val="fr-FR"/>
        </w:rPr>
        <w:t>a</w:t>
      </w:r>
      <w:r w:rsidRPr="00C22ABE">
        <w:rPr>
          <w:rFonts w:cstheme="minorHAnsi"/>
          <w:bCs/>
          <w:sz w:val="20"/>
          <w:szCs w:val="18"/>
          <w:lang w:val="fr-FR"/>
        </w:rPr>
        <w:t xml:space="preserve"> </w:t>
      </w:r>
      <w:proofErr w:type="spellStart"/>
      <w:r w:rsidRPr="00C22ABE">
        <w:rPr>
          <w:rFonts w:cstheme="minorHAnsi"/>
          <w:bCs/>
          <w:sz w:val="20"/>
          <w:szCs w:val="18"/>
          <w:lang w:val="fr-FR"/>
        </w:rPr>
        <w:t>fibula</w:t>
      </w:r>
      <w:proofErr w:type="spellEnd"/>
      <w:r w:rsidRPr="00C22ABE">
        <w:rPr>
          <w:rFonts w:cstheme="minorHAnsi"/>
          <w:bCs/>
          <w:sz w:val="20"/>
          <w:szCs w:val="18"/>
        </w:rPr>
        <w:t xml:space="preserve"> (n=215), la cr</w:t>
      </w:r>
      <w:r w:rsidR="008A6506" w:rsidRPr="00C22ABE">
        <w:rPr>
          <w:rFonts w:cstheme="minorHAnsi"/>
          <w:bCs/>
          <w:sz w:val="20"/>
          <w:szCs w:val="18"/>
        </w:rPr>
        <w:t>ê</w:t>
      </w:r>
      <w:r w:rsidRPr="00C22ABE">
        <w:rPr>
          <w:rFonts w:cstheme="minorHAnsi"/>
          <w:bCs/>
          <w:sz w:val="20"/>
          <w:szCs w:val="18"/>
        </w:rPr>
        <w:t xml:space="preserve">te iliaque (n = 43), le radial (n = 31), la scapula (n = 18), le lambeau antérolatéral de cuisse (n = 18), </w:t>
      </w:r>
      <w:proofErr w:type="spellStart"/>
      <w:r w:rsidRPr="00C22ABE">
        <w:rPr>
          <w:rFonts w:cstheme="minorHAnsi"/>
          <w:bCs/>
          <w:sz w:val="20"/>
          <w:szCs w:val="18"/>
        </w:rPr>
        <w:t>latissimus</w:t>
      </w:r>
      <w:proofErr w:type="spellEnd"/>
      <w:r w:rsidRPr="00C22ABE">
        <w:rPr>
          <w:rFonts w:cstheme="minorHAnsi"/>
          <w:bCs/>
          <w:sz w:val="20"/>
          <w:szCs w:val="18"/>
        </w:rPr>
        <w:t xml:space="preserve"> </w:t>
      </w:r>
      <w:proofErr w:type="spellStart"/>
      <w:r w:rsidRPr="00C22ABE">
        <w:rPr>
          <w:rFonts w:cstheme="minorHAnsi"/>
          <w:bCs/>
          <w:sz w:val="20"/>
          <w:szCs w:val="18"/>
        </w:rPr>
        <w:t>dorsi</w:t>
      </w:r>
      <w:proofErr w:type="spellEnd"/>
      <w:r w:rsidRPr="00C22ABE">
        <w:rPr>
          <w:rFonts w:cstheme="minorHAnsi"/>
          <w:bCs/>
          <w:sz w:val="20"/>
          <w:szCs w:val="18"/>
        </w:rPr>
        <w:t xml:space="preserve"> (n = 16), </w:t>
      </w:r>
      <w:proofErr w:type="spellStart"/>
      <w:r w:rsidRPr="00C22ABE">
        <w:rPr>
          <w:rFonts w:cstheme="minorHAnsi"/>
          <w:bCs/>
          <w:sz w:val="20"/>
          <w:szCs w:val="18"/>
        </w:rPr>
        <w:t>rectus</w:t>
      </w:r>
      <w:proofErr w:type="spellEnd"/>
      <w:r w:rsidRPr="00C22ABE">
        <w:rPr>
          <w:rFonts w:cstheme="minorHAnsi"/>
          <w:bCs/>
          <w:sz w:val="20"/>
          <w:szCs w:val="18"/>
        </w:rPr>
        <w:t xml:space="preserve"> </w:t>
      </w:r>
      <w:proofErr w:type="spellStart"/>
      <w:r w:rsidRPr="00C22ABE">
        <w:rPr>
          <w:rFonts w:cstheme="minorHAnsi"/>
          <w:bCs/>
          <w:sz w:val="20"/>
          <w:szCs w:val="18"/>
        </w:rPr>
        <w:t>abdominis</w:t>
      </w:r>
      <w:proofErr w:type="spellEnd"/>
      <w:r w:rsidRPr="00C22ABE">
        <w:rPr>
          <w:rFonts w:cstheme="minorHAnsi"/>
          <w:bCs/>
          <w:sz w:val="20"/>
          <w:szCs w:val="18"/>
        </w:rPr>
        <w:t xml:space="preserve"> (n = 12), serratus </w:t>
      </w:r>
      <w:proofErr w:type="spellStart"/>
      <w:r w:rsidRPr="00C22ABE">
        <w:rPr>
          <w:rFonts w:cstheme="minorHAnsi"/>
          <w:bCs/>
          <w:sz w:val="20"/>
          <w:szCs w:val="18"/>
        </w:rPr>
        <w:t>anterior</w:t>
      </w:r>
      <w:proofErr w:type="spellEnd"/>
      <w:r w:rsidRPr="00C22ABE">
        <w:rPr>
          <w:rFonts w:cstheme="minorHAnsi"/>
          <w:bCs/>
          <w:sz w:val="20"/>
          <w:szCs w:val="18"/>
        </w:rPr>
        <w:t xml:space="preserve"> (n = 10) et l’</w:t>
      </w:r>
      <w:proofErr w:type="spellStart"/>
      <w:r w:rsidRPr="00C22ABE">
        <w:rPr>
          <w:rFonts w:cstheme="minorHAnsi"/>
          <w:bCs/>
          <w:sz w:val="20"/>
          <w:szCs w:val="18"/>
        </w:rPr>
        <w:t>humerus</w:t>
      </w:r>
      <w:proofErr w:type="spellEnd"/>
      <w:r w:rsidRPr="00C22ABE">
        <w:rPr>
          <w:rFonts w:cstheme="minorHAnsi"/>
          <w:bCs/>
          <w:sz w:val="20"/>
          <w:szCs w:val="18"/>
        </w:rPr>
        <w:t xml:space="preserve"> (n = 5)</w:t>
      </w:r>
      <w:r w:rsidR="00C22ABE" w:rsidRPr="00C22ABE">
        <w:rPr>
          <w:rFonts w:cstheme="minorHAnsi"/>
          <w:bCs/>
          <w:sz w:val="20"/>
          <w:szCs w:val="18"/>
          <w:lang w:val="fr-FR"/>
        </w:rPr>
        <w:t>.</w:t>
      </w:r>
      <w:r w:rsidR="00C22ABE" w:rsidRPr="00C22ABE">
        <w:rPr>
          <w:rFonts w:cstheme="minorHAnsi"/>
          <w:bCs/>
          <w:sz w:val="20"/>
          <w:szCs w:val="18"/>
        </w:rPr>
        <w:t xml:space="preserve"> </w:t>
      </w:r>
      <w:r w:rsidR="00E7691A" w:rsidRPr="00C22ABE">
        <w:rPr>
          <w:rFonts w:cstheme="minorHAnsi"/>
          <w:sz w:val="20"/>
          <w:szCs w:val="18"/>
        </w:rPr>
        <w:t>Il y avait 5,4% (20 patients) de complica</w:t>
      </w:r>
      <w:r w:rsidR="00C22ABE" w:rsidRPr="00C22ABE">
        <w:rPr>
          <w:rFonts w:cstheme="minorHAnsi"/>
          <w:sz w:val="20"/>
          <w:szCs w:val="18"/>
        </w:rPr>
        <w:t xml:space="preserve">tions au niveau du site donneur. </w:t>
      </w:r>
      <w:r w:rsidR="00330D9D" w:rsidRPr="00C22ABE">
        <w:rPr>
          <w:rFonts w:cstheme="minorHAnsi"/>
          <w:bCs/>
          <w:sz w:val="20"/>
          <w:szCs w:val="20"/>
        </w:rPr>
        <w:t>En cas de reconstruction par lambeaux libres, le coût est plus élevé dans le cadre du traitement d’une ORN que pour les reconstructions chez les patients non ORN. Les auteurs</w:t>
      </w:r>
      <w:r w:rsidR="00052958">
        <w:rPr>
          <w:rFonts w:cstheme="minorHAnsi"/>
          <w:bCs/>
          <w:sz w:val="20"/>
          <w:szCs w:val="20"/>
        </w:rPr>
        <w:t xml:space="preserve"> suggèrent l’usage de </w:t>
      </w:r>
      <w:proofErr w:type="spellStart"/>
      <w:r w:rsidR="00052958">
        <w:rPr>
          <w:rFonts w:cstheme="minorHAnsi"/>
          <w:bCs/>
          <w:sz w:val="20"/>
          <w:szCs w:val="20"/>
        </w:rPr>
        <w:t>PenToClo</w:t>
      </w:r>
      <w:proofErr w:type="spellEnd"/>
      <w:r w:rsidR="00052958">
        <w:rPr>
          <w:rFonts w:cstheme="minorHAnsi"/>
          <w:bCs/>
          <w:sz w:val="20"/>
          <w:szCs w:val="20"/>
        </w:rPr>
        <w:t>.</w:t>
      </w:r>
    </w:p>
    <w:p w14:paraId="466DA4FB" w14:textId="77777777" w:rsidR="00052958" w:rsidRPr="00052958" w:rsidRDefault="00052958" w:rsidP="00052958">
      <w:pPr>
        <w:tabs>
          <w:tab w:val="left" w:pos="7110"/>
        </w:tabs>
        <w:rPr>
          <w:rFonts w:cstheme="minorHAnsi"/>
          <w:bCs/>
          <w:sz w:val="20"/>
          <w:szCs w:val="20"/>
        </w:rPr>
      </w:pPr>
    </w:p>
    <w:p w14:paraId="3BA848EC" w14:textId="7A00CFCC" w:rsidR="00AD0B36" w:rsidRPr="00C22ABE" w:rsidRDefault="00C22ABE" w:rsidP="00AD0B36">
      <w:pPr>
        <w:spacing w:line="240" w:lineRule="auto"/>
        <w:rPr>
          <w:rFonts w:cstheme="minorHAnsi"/>
          <w:b/>
          <w:bCs/>
          <w:color w:val="0000FF"/>
          <w:sz w:val="24"/>
          <w:u w:val="single"/>
          <w:lang w:val="fr-FR"/>
        </w:rPr>
      </w:pPr>
      <w:r w:rsidRPr="00C22ABE">
        <w:rPr>
          <w:rFonts w:cstheme="minorHAnsi"/>
          <w:b/>
          <w:bCs/>
          <w:color w:val="0000FF"/>
          <w:sz w:val="24"/>
          <w:u w:val="single"/>
          <w:lang w:val="fr-FR"/>
        </w:rPr>
        <w:t xml:space="preserve">8.4. </w:t>
      </w:r>
      <w:r w:rsidR="009D4A56" w:rsidRPr="00C22ABE">
        <w:rPr>
          <w:rFonts w:cstheme="minorHAnsi"/>
          <w:b/>
          <w:bCs/>
          <w:color w:val="0000FF"/>
          <w:sz w:val="24"/>
          <w:u w:val="single"/>
          <w:lang w:val="fr-FR"/>
        </w:rPr>
        <w:t>Technique d’avenir : les c</w:t>
      </w:r>
      <w:r w:rsidR="00AD0B36" w:rsidRPr="00C22ABE">
        <w:rPr>
          <w:rFonts w:cstheme="minorHAnsi"/>
          <w:b/>
          <w:bCs/>
          <w:color w:val="0000FF"/>
          <w:sz w:val="24"/>
          <w:u w:val="single"/>
          <w:lang w:val="fr-FR"/>
        </w:rPr>
        <w:t>ellules souches</w:t>
      </w:r>
    </w:p>
    <w:p w14:paraId="1EC52042" w14:textId="165206F5" w:rsidR="00AD0B36" w:rsidRPr="00C22ABE" w:rsidRDefault="00AD0B36" w:rsidP="008F72EA">
      <w:pPr>
        <w:spacing w:after="0" w:line="240" w:lineRule="auto"/>
        <w:rPr>
          <w:rFonts w:cstheme="minorHAnsi"/>
          <w:sz w:val="20"/>
          <w:szCs w:val="18"/>
        </w:rPr>
      </w:pPr>
      <w:r w:rsidRPr="00C22ABE">
        <w:rPr>
          <w:rFonts w:cstheme="minorHAnsi"/>
          <w:sz w:val="20"/>
          <w:szCs w:val="18"/>
        </w:rPr>
        <w:t xml:space="preserve">Une technique d’avenir est l’usage des cellules </w:t>
      </w:r>
      <w:r w:rsidR="00C22ABE" w:rsidRPr="00C22ABE">
        <w:rPr>
          <w:rFonts w:cstheme="minorHAnsi"/>
          <w:sz w:val="20"/>
          <w:szCs w:val="18"/>
        </w:rPr>
        <w:t>souches mésenchymateuses</w:t>
      </w:r>
      <w:r w:rsidRPr="00C22ABE">
        <w:rPr>
          <w:rFonts w:cstheme="minorHAnsi"/>
          <w:sz w:val="20"/>
          <w:szCs w:val="18"/>
        </w:rPr>
        <w:t xml:space="preserve">. Une revue systématique de </w:t>
      </w:r>
      <w:proofErr w:type="spellStart"/>
      <w:r w:rsidRPr="00C22ABE">
        <w:rPr>
          <w:rFonts w:cstheme="minorHAnsi"/>
          <w:sz w:val="20"/>
          <w:szCs w:val="18"/>
        </w:rPr>
        <w:t>Gundestrup</w:t>
      </w:r>
      <w:proofErr w:type="spellEnd"/>
      <w:r w:rsidR="009E0DD0" w:rsidRPr="00C22ABE">
        <w:rPr>
          <w:rFonts w:cstheme="minorHAnsi"/>
          <w:sz w:val="20"/>
          <w:szCs w:val="18"/>
        </w:rPr>
        <w:t xml:space="preserve"> </w:t>
      </w:r>
      <w:r w:rsidRPr="00C22ABE">
        <w:rPr>
          <w:rFonts w:cstheme="minorHAnsi"/>
          <w:sz w:val="20"/>
          <w:szCs w:val="18"/>
        </w:rPr>
        <w:t xml:space="preserve">et al </w:t>
      </w:r>
      <w:r w:rsidRPr="00C22ABE">
        <w:rPr>
          <w:rFonts w:cstheme="minorHAnsi"/>
          <w:sz w:val="20"/>
          <w:szCs w:val="18"/>
        </w:rPr>
        <w:fldChar w:fldCharType="begin"/>
      </w:r>
      <w:r w:rsidR="00D36EC3">
        <w:rPr>
          <w:rFonts w:cstheme="minorHAnsi"/>
          <w:sz w:val="20"/>
          <w:szCs w:val="18"/>
        </w:rPr>
        <w:instrText xml:space="preserve"> ADDIN ZOTERO_ITEM CSL_CITATION {"citationID":"AlWCQGzJ","properties":{"formattedCitation":"(71)","plainCitation":"(71)","noteIndex":0},"citationItems":[{"id":235,"uris":["http://zotero.org/users/local/Om3YyEnU/items/2EYQKSRR"],"uri":["http://zotero.org/users/local/Om3YyEnU/items/2EYQKSRR"],"itemData":{"id":235,"type":"article-journal","container-title":"Stem Cell Reviews and Reports","DOI":"10.1007/s12015-020-10034-5","ISSN":"2629-3269, 2629-3277","issue":"6","journalAbbreviation":"Stem Cell Rev and Rep","language":"en","page":"1208-1221","source":"DOI.org (Crossref)","title":"Mesenchymal Stem Cell Therapy for Osteoradionecrosis of the Mandible: a Systematic Review of Preclinical and Human Studies","title-short":"Mesenchymal Stem Cell Therapy for Osteoradionecrosis of the Mandible","volume":"16","author":[{"family":"Gundestrup","given":"Anders Kierkegaard"},{"family":"Lynggaard","given":"Charlotte Duch"},{"family":"Forner","given":"Lone"},{"family":"Heino","given":"Terhi J."},{"family":"Jakobsen","given":"Kathrine Kronberg"},{"family":"Fischer-Nielsen","given":"Anne"},{"family":"Grønhøj","given":"Christian"},{"family":"Buchwald","given":"Christian","non-dropping-particle":"von"}],"issued":{"date-parts":[["2020",12]]}}}],"schema":"https://github.com/citation-style-language/schema/raw/master/csl-citation.json"} </w:instrText>
      </w:r>
      <w:r w:rsidRPr="00C22ABE">
        <w:rPr>
          <w:rFonts w:cstheme="minorHAnsi"/>
          <w:sz w:val="20"/>
          <w:szCs w:val="18"/>
        </w:rPr>
        <w:fldChar w:fldCharType="separate"/>
      </w:r>
      <w:r w:rsidR="00D36EC3" w:rsidRPr="00D36EC3">
        <w:rPr>
          <w:rFonts w:ascii="Calibri" w:hAnsi="Calibri" w:cs="Calibri"/>
          <w:sz w:val="20"/>
        </w:rPr>
        <w:t>(71)</w:t>
      </w:r>
      <w:r w:rsidRPr="00C22ABE">
        <w:rPr>
          <w:rFonts w:cstheme="minorHAnsi"/>
          <w:sz w:val="20"/>
          <w:szCs w:val="18"/>
        </w:rPr>
        <w:fldChar w:fldCharType="end"/>
      </w:r>
      <w:r w:rsidRPr="00C22ABE">
        <w:rPr>
          <w:rFonts w:cstheme="minorHAnsi"/>
          <w:sz w:val="20"/>
          <w:szCs w:val="18"/>
        </w:rPr>
        <w:t xml:space="preserve"> leur reconnaît des propriétés positives sur l’ostéogenèse et la régénération des tissus lésés par la radiothérapie.</w:t>
      </w:r>
      <w:r w:rsidR="009E0DD0" w:rsidRPr="00C22ABE">
        <w:rPr>
          <w:rFonts w:cstheme="minorHAnsi"/>
          <w:sz w:val="20"/>
          <w:szCs w:val="18"/>
        </w:rPr>
        <w:t xml:space="preserve"> Leur étude portait sur 4 études précliniques animales et 2 </w:t>
      </w:r>
      <w:r w:rsidR="008A6506" w:rsidRPr="00C22ABE">
        <w:rPr>
          <w:rFonts w:cstheme="minorHAnsi"/>
          <w:sz w:val="20"/>
          <w:szCs w:val="18"/>
        </w:rPr>
        <w:t>séries de cas</w:t>
      </w:r>
      <w:r w:rsidR="009E0DD0" w:rsidRPr="00C22ABE">
        <w:rPr>
          <w:rFonts w:cstheme="minorHAnsi"/>
          <w:sz w:val="20"/>
          <w:szCs w:val="18"/>
        </w:rPr>
        <w:t xml:space="preserve"> </w:t>
      </w:r>
      <w:r w:rsidR="008F72EA" w:rsidRPr="00C22ABE">
        <w:rPr>
          <w:rFonts w:cstheme="minorHAnsi"/>
          <w:sz w:val="20"/>
          <w:szCs w:val="18"/>
        </w:rPr>
        <w:t>humains</w:t>
      </w:r>
      <w:r w:rsidR="009E0DD0" w:rsidRPr="00C22ABE">
        <w:rPr>
          <w:rFonts w:cstheme="minorHAnsi"/>
          <w:sz w:val="20"/>
          <w:szCs w:val="18"/>
        </w:rPr>
        <w:t xml:space="preserve"> (3 patients)</w:t>
      </w:r>
      <w:r w:rsidR="008F72EA" w:rsidRPr="00C22ABE">
        <w:rPr>
          <w:rFonts w:cstheme="minorHAnsi"/>
          <w:sz w:val="20"/>
          <w:szCs w:val="18"/>
        </w:rPr>
        <w:t>.</w:t>
      </w:r>
    </w:p>
    <w:p w14:paraId="3D5BBBFC" w14:textId="1D54AD78" w:rsidR="00CF7743" w:rsidRPr="00C22ABE" w:rsidRDefault="00AD0B36" w:rsidP="008F72EA">
      <w:pPr>
        <w:spacing w:after="0" w:line="240" w:lineRule="auto"/>
        <w:rPr>
          <w:rFonts w:cstheme="minorHAnsi"/>
          <w:sz w:val="20"/>
          <w:szCs w:val="18"/>
        </w:rPr>
      </w:pPr>
      <w:r w:rsidRPr="00C22ABE">
        <w:rPr>
          <w:rFonts w:cstheme="minorHAnsi"/>
          <w:sz w:val="20"/>
          <w:szCs w:val="18"/>
        </w:rPr>
        <w:t>Les cellules souches mésenchymateuses (CSM</w:t>
      </w:r>
      <w:r w:rsidR="00CC2C3E" w:rsidRPr="00C22ABE">
        <w:rPr>
          <w:rFonts w:cstheme="minorHAnsi"/>
          <w:sz w:val="20"/>
          <w:szCs w:val="18"/>
        </w:rPr>
        <w:t xml:space="preserve">) sont des cellules souches adultes pluripotentes </w:t>
      </w:r>
      <w:r w:rsidRPr="00C22ABE">
        <w:rPr>
          <w:rFonts w:cstheme="minorHAnsi"/>
          <w:sz w:val="20"/>
          <w:szCs w:val="18"/>
          <w:lang w:val="fr-FR"/>
        </w:rPr>
        <w:t xml:space="preserve">de la moelle osseuse </w:t>
      </w:r>
      <w:r w:rsidR="00CC2C3E" w:rsidRPr="00C22ABE">
        <w:rPr>
          <w:rFonts w:cstheme="minorHAnsi"/>
          <w:sz w:val="20"/>
          <w:szCs w:val="18"/>
          <w:lang w:val="fr-FR"/>
        </w:rPr>
        <w:t>et de</w:t>
      </w:r>
      <w:r w:rsidRPr="00C22ABE">
        <w:rPr>
          <w:rFonts w:cstheme="minorHAnsi"/>
          <w:sz w:val="20"/>
          <w:szCs w:val="18"/>
          <w:lang w:val="fr-FR"/>
        </w:rPr>
        <w:t xml:space="preserve"> tous les tissus conjonctifs</w:t>
      </w:r>
      <w:r w:rsidR="00731261" w:rsidRPr="00C22ABE">
        <w:rPr>
          <w:rFonts w:cstheme="minorHAnsi"/>
          <w:sz w:val="20"/>
          <w:szCs w:val="18"/>
          <w:lang w:val="fr-FR"/>
        </w:rPr>
        <w:t xml:space="preserve"> (surtout adipeux)</w:t>
      </w:r>
      <w:r w:rsidRPr="00C22ABE">
        <w:rPr>
          <w:rFonts w:cstheme="minorHAnsi"/>
          <w:sz w:val="20"/>
          <w:szCs w:val="18"/>
          <w:lang w:val="fr-FR"/>
        </w:rPr>
        <w:t>, où elles aident à la régénération tissulaire</w:t>
      </w:r>
      <w:r w:rsidR="00CC2C3E" w:rsidRPr="00C22ABE">
        <w:rPr>
          <w:rFonts w:cstheme="minorHAnsi"/>
          <w:sz w:val="20"/>
          <w:szCs w:val="18"/>
          <w:lang w:val="fr-FR"/>
        </w:rPr>
        <w:t xml:space="preserve"> et à la </w:t>
      </w:r>
      <w:r w:rsidRPr="00C22ABE">
        <w:rPr>
          <w:rFonts w:cstheme="minorHAnsi"/>
          <w:sz w:val="20"/>
          <w:szCs w:val="18"/>
          <w:lang w:val="fr-FR"/>
        </w:rPr>
        <w:t>réponse aux traumatismes et inflammation</w:t>
      </w:r>
      <w:r w:rsidR="00CC2C3E" w:rsidRPr="00C22ABE">
        <w:rPr>
          <w:rFonts w:cstheme="minorHAnsi"/>
          <w:sz w:val="20"/>
          <w:szCs w:val="18"/>
          <w:lang w:val="fr-FR"/>
        </w:rPr>
        <w:t>s</w:t>
      </w:r>
      <w:r w:rsidRPr="00C22ABE">
        <w:rPr>
          <w:rFonts w:cstheme="minorHAnsi"/>
          <w:sz w:val="20"/>
          <w:szCs w:val="18"/>
          <w:lang w:val="fr-FR"/>
        </w:rPr>
        <w:t xml:space="preserve">. </w:t>
      </w:r>
      <w:r w:rsidR="00CC2C3E" w:rsidRPr="00C22ABE">
        <w:rPr>
          <w:rFonts w:cstheme="minorHAnsi"/>
          <w:sz w:val="20"/>
          <w:szCs w:val="18"/>
          <w:lang w:val="fr-FR"/>
        </w:rPr>
        <w:t>Elles ont la c</w:t>
      </w:r>
      <w:r w:rsidRPr="00C22ABE">
        <w:rPr>
          <w:rFonts w:cstheme="minorHAnsi"/>
          <w:sz w:val="20"/>
          <w:szCs w:val="18"/>
          <w:lang w:val="fr-FR"/>
        </w:rPr>
        <w:t xml:space="preserve">apacité de se différencier en ostéoblastes, adipocytes et chondroblastes. </w:t>
      </w:r>
      <w:r w:rsidR="00CC2C3E" w:rsidRPr="00C22ABE">
        <w:rPr>
          <w:rFonts w:cstheme="minorHAnsi"/>
          <w:sz w:val="20"/>
          <w:szCs w:val="18"/>
        </w:rPr>
        <w:t>Elles serai</w:t>
      </w:r>
      <w:r w:rsidR="00CF7743" w:rsidRPr="00C22ABE">
        <w:rPr>
          <w:rFonts w:cstheme="minorHAnsi"/>
          <w:sz w:val="20"/>
          <w:szCs w:val="18"/>
        </w:rPr>
        <w:t>e</w:t>
      </w:r>
      <w:r w:rsidR="00CC2C3E" w:rsidRPr="00C22ABE">
        <w:rPr>
          <w:rFonts w:cstheme="minorHAnsi"/>
          <w:sz w:val="20"/>
          <w:szCs w:val="18"/>
        </w:rPr>
        <w:t>nt capables de se</w:t>
      </w:r>
      <w:r w:rsidR="00CF7743" w:rsidRPr="00C22ABE">
        <w:rPr>
          <w:rFonts w:cstheme="minorHAnsi"/>
          <w:sz w:val="20"/>
          <w:szCs w:val="18"/>
        </w:rPr>
        <w:t>cr</w:t>
      </w:r>
      <w:r w:rsidR="00CC2C3E" w:rsidRPr="00C22ABE">
        <w:rPr>
          <w:rFonts w:cstheme="minorHAnsi"/>
          <w:sz w:val="20"/>
          <w:szCs w:val="18"/>
        </w:rPr>
        <w:t xml:space="preserve">éter </w:t>
      </w:r>
      <w:r w:rsidR="00CF7743" w:rsidRPr="00C22ABE">
        <w:rPr>
          <w:rFonts w:cstheme="minorHAnsi"/>
          <w:sz w:val="20"/>
          <w:szCs w:val="18"/>
        </w:rPr>
        <w:t xml:space="preserve">des molécules bioactives favorisant l’angiogenèse, la modulation immune, </w:t>
      </w:r>
      <w:r w:rsidR="009E0DD0" w:rsidRPr="00C22ABE">
        <w:rPr>
          <w:rFonts w:cstheme="minorHAnsi"/>
          <w:sz w:val="20"/>
          <w:szCs w:val="18"/>
        </w:rPr>
        <w:t>et présenteraient</w:t>
      </w:r>
      <w:r w:rsidR="00CF7743" w:rsidRPr="00C22ABE">
        <w:rPr>
          <w:rFonts w:cstheme="minorHAnsi"/>
          <w:sz w:val="20"/>
          <w:szCs w:val="18"/>
        </w:rPr>
        <w:t xml:space="preserve"> des propriétés </w:t>
      </w:r>
      <w:proofErr w:type="spellStart"/>
      <w:r w:rsidR="00CF7743" w:rsidRPr="00C22ABE">
        <w:rPr>
          <w:rFonts w:cstheme="minorHAnsi"/>
          <w:sz w:val="20"/>
          <w:szCs w:val="18"/>
        </w:rPr>
        <w:t>antifibrosantes</w:t>
      </w:r>
      <w:proofErr w:type="spellEnd"/>
      <w:r w:rsidR="008F72EA" w:rsidRPr="00C22ABE">
        <w:rPr>
          <w:rFonts w:cstheme="minorHAnsi"/>
          <w:sz w:val="20"/>
          <w:szCs w:val="18"/>
        </w:rPr>
        <w:t>.</w:t>
      </w:r>
    </w:p>
    <w:p w14:paraId="5350C5A0" w14:textId="41BBEDAE" w:rsidR="008F72EA" w:rsidRPr="00C22ABE" w:rsidRDefault="008F72EA" w:rsidP="00EE0AB2">
      <w:pPr>
        <w:spacing w:after="0" w:line="240" w:lineRule="auto"/>
        <w:rPr>
          <w:rFonts w:cstheme="minorHAnsi"/>
          <w:sz w:val="20"/>
          <w:szCs w:val="18"/>
          <w:lang w:val="fr-FR"/>
        </w:rPr>
      </w:pPr>
      <w:r w:rsidRPr="00C22ABE">
        <w:rPr>
          <w:rFonts w:cstheme="minorHAnsi"/>
          <w:sz w:val="20"/>
          <w:szCs w:val="18"/>
        </w:rPr>
        <w:t xml:space="preserve">Des </w:t>
      </w:r>
      <w:r w:rsidR="0096468D" w:rsidRPr="00C22ABE">
        <w:rPr>
          <w:rFonts w:cstheme="minorHAnsi"/>
          <w:sz w:val="20"/>
          <w:szCs w:val="18"/>
          <w:lang w:val="fr-FR"/>
        </w:rPr>
        <w:t>études</w:t>
      </w:r>
      <w:r w:rsidRPr="00C22ABE">
        <w:rPr>
          <w:rFonts w:cstheme="minorHAnsi"/>
          <w:sz w:val="20"/>
          <w:szCs w:val="18"/>
          <w:lang w:val="fr-FR"/>
        </w:rPr>
        <w:t xml:space="preserve"> animales montrent l’efficacité des CSM sur l’ORN avec une augmentation de la formation osseuse. </w:t>
      </w:r>
    </w:p>
    <w:p w14:paraId="3A15A8CB" w14:textId="77777777" w:rsidR="008F72EA" w:rsidRPr="00C22ABE" w:rsidRDefault="008F72EA" w:rsidP="008F72EA">
      <w:pPr>
        <w:spacing w:after="0" w:line="240" w:lineRule="auto"/>
        <w:rPr>
          <w:rFonts w:cstheme="minorHAnsi"/>
          <w:sz w:val="20"/>
          <w:szCs w:val="18"/>
          <w:lang w:val="fr-FR"/>
        </w:rPr>
      </w:pPr>
    </w:p>
    <w:p w14:paraId="7C3CCD7C" w14:textId="393C05F1" w:rsidR="008B6C81" w:rsidRPr="00C22ABE" w:rsidRDefault="00650D97" w:rsidP="008F72EA">
      <w:pPr>
        <w:tabs>
          <w:tab w:val="left" w:pos="7110"/>
        </w:tabs>
        <w:spacing w:after="0"/>
        <w:rPr>
          <w:rFonts w:cstheme="minorHAnsi"/>
          <w:sz w:val="20"/>
          <w:szCs w:val="18"/>
        </w:rPr>
      </w:pPr>
      <w:r w:rsidRPr="00C22ABE">
        <w:rPr>
          <w:rFonts w:cstheme="minorHAnsi"/>
          <w:sz w:val="20"/>
          <w:szCs w:val="18"/>
        </w:rPr>
        <w:t xml:space="preserve">Les cellules de la moelle osseuse peuvent aider à la régénérescence des tissus irradiés par un effet paracrine </w:t>
      </w:r>
      <w:r w:rsidR="008A6506" w:rsidRPr="00C22ABE">
        <w:rPr>
          <w:rFonts w:cstheme="minorHAnsi"/>
          <w:sz w:val="20"/>
          <w:szCs w:val="18"/>
        </w:rPr>
        <w:t xml:space="preserve">lié à la libération de facteurs solubles (facteurs de croissance et CK) par les cellules de la moelle osseuse. Ces facteurs de croissance et CK induisent une néovascularisation, </w:t>
      </w:r>
      <w:proofErr w:type="spellStart"/>
      <w:r w:rsidR="008A6506" w:rsidRPr="00C22ABE">
        <w:rPr>
          <w:rFonts w:cstheme="minorHAnsi"/>
          <w:sz w:val="20"/>
          <w:szCs w:val="18"/>
        </w:rPr>
        <w:t>cytoprotection</w:t>
      </w:r>
      <w:proofErr w:type="spellEnd"/>
      <w:r w:rsidR="008A6506" w:rsidRPr="00C22ABE">
        <w:rPr>
          <w:rFonts w:cstheme="minorHAnsi"/>
          <w:sz w:val="20"/>
          <w:szCs w:val="18"/>
        </w:rPr>
        <w:t xml:space="preserve"> et régénération tissulaire</w:t>
      </w:r>
      <w:r w:rsidRPr="00C22ABE">
        <w:rPr>
          <w:rFonts w:cstheme="minorHAnsi"/>
          <w:sz w:val="20"/>
          <w:szCs w:val="18"/>
        </w:rPr>
        <w:fldChar w:fldCharType="begin"/>
      </w:r>
      <w:r w:rsidR="00D36EC3">
        <w:rPr>
          <w:rFonts w:cstheme="minorHAnsi"/>
          <w:sz w:val="20"/>
          <w:szCs w:val="18"/>
        </w:rPr>
        <w:instrText xml:space="preserve"> ADDIN ZOTERO_ITEM CSL_CITATION {"citationID":"SomPkuPc","properties":{"formattedCitation":"(72)","plainCitation":"(72)","noteIndex":0},"citationItems":[{"id":249,"uris":["http://zotero.org/users/local/Om3YyEnU/items/Y6PVHS26"],"uri":["http://zotero.org/users/local/Om3YyEnU/items/Y6PVHS26"],"itemData":{"id":249,"type":"article-journal","abstract":"Mandibular osteoradionecrosis is a severe side effect of radiotherapy after the treatment of squamous cell carcinomas of the upper aerodigestive tract. As an alternative to its treatment by micro-anastomosed free-flaps, preclinical tissular engineering studies have been developed. Total bone marrow (TBM) associated with biphasic calcium phosphate (BCP) significantly enhanced bone formation in irradiated bone. One mechanism, explaining how bone marrow cells can help regenerate tissues like this, is the paracrine effect. The bone marrow cell extract (BMCE) makes use of this paracrine mechanism by keeping only the soluble factors such as growth factors and cytokines. It has provided significant results in repairing various tissues, but has not yet been studied in irradiated bone reconstruction. The purpose of this study was to evaluate the effect of BMCE via an intraosseous or intravenous delivery, with a calcium phosphate scaffold, in irradiated bone reconstruction. Twenty rats were irradiated on their hind limbs with a single 80-Gy dose. Three weeks later, surgery was performed to create osseous defects. The intraosseous group (n = 12) studied the effect of BMCE in situ, with six combinations (empty defect, BCP, TBM, BCP-TBM, lysate only, BCP-lysate). After four different combinations of implantation (empty defect, BCP, TBM, BCP-TBM), the intravenous group (n = 8) received four intravenous injections of BMCE for 2 weeks. Five weeks after implantation, samples were explanted for histological and scanning electron microscopy analysis. Lysate immunogenicity was studied with various mixed lymphocyte reactions. Intravenous injections of BMCE led to a significant new bone formation compared to the intraosseous group. The BCP-TBM mixture remained the most effective in the intraosseous group. However, intravenous injections were more effective, with TBM placed in the defect, with or without biomaterials. Histologically, highly cellularized bone marrow was observed in the defects after intravenous injections, and not after an in situ use of the lysate. The mixed lymphocyte reactions did not show any proliferation after 3, 5, or 7 days of lysate incubation with lymphocytes from another species. This study evaluated the role of BMCE in irradiated bone reconstruction. There were significant results arguing in favor of BMCE intravenous injections. This could open new perspectives to irradiated bone reconstruction.","container-title":"PloS One","DOI":"10.1371/journal.pone.0178060","ISSN":"1932-6203","issue":"5","journalAbbreviation":"PLoS One","language":"eng","note":"PMID: 28542343\nPMCID: PMC5436862","page":"e0178060","source":"PubMed","title":"Bone marrow cell extract promotes the regeneration of irradiated bone","volume":"12","author":[{"family":"Michel","given":"Guillaume"},{"family":"Blery","given":"Pauline"},{"family":"Henoux","given":"Michaël"},{"family":"Guicheux","given":"Jérôme"},{"family":"Weiss","given":"Pierre"},{"family":"Dugast","given":"Emilie"},{"family":"Brouard","given":"Sophie"},{"family":"Malard","given":"Olivier"},{"family":"Espitalier","given":"Florent"}],"issued":{"date-parts":[["2017"]]}}}],"schema":"https://github.com/citation-style-language/schema/raw/master/csl-citation.json"} </w:instrText>
      </w:r>
      <w:r w:rsidRPr="00C22ABE">
        <w:rPr>
          <w:rFonts w:cstheme="minorHAnsi"/>
          <w:sz w:val="20"/>
          <w:szCs w:val="18"/>
        </w:rPr>
        <w:fldChar w:fldCharType="separate"/>
      </w:r>
      <w:r w:rsidR="00D36EC3" w:rsidRPr="00D36EC3">
        <w:rPr>
          <w:rFonts w:ascii="Calibri" w:hAnsi="Calibri" w:cs="Calibri"/>
          <w:sz w:val="20"/>
        </w:rPr>
        <w:t>(72)</w:t>
      </w:r>
      <w:r w:rsidRPr="00C22ABE">
        <w:rPr>
          <w:rFonts w:cstheme="minorHAnsi"/>
          <w:sz w:val="20"/>
          <w:szCs w:val="18"/>
        </w:rPr>
        <w:fldChar w:fldCharType="end"/>
      </w:r>
      <w:r w:rsidRPr="00C22ABE">
        <w:rPr>
          <w:rFonts w:cstheme="minorHAnsi"/>
          <w:sz w:val="20"/>
          <w:szCs w:val="18"/>
        </w:rPr>
        <w:t xml:space="preserve">. </w:t>
      </w:r>
    </w:p>
    <w:p w14:paraId="5A5AA795" w14:textId="1D70FE43" w:rsidR="00C22ABE" w:rsidRDefault="00EE0AB2" w:rsidP="008A6506">
      <w:pPr>
        <w:tabs>
          <w:tab w:val="left" w:pos="7110"/>
        </w:tabs>
        <w:spacing w:after="0"/>
        <w:rPr>
          <w:rFonts w:cstheme="minorHAnsi"/>
          <w:sz w:val="20"/>
          <w:szCs w:val="18"/>
        </w:rPr>
      </w:pPr>
      <w:r w:rsidRPr="00C22ABE">
        <w:rPr>
          <w:rFonts w:cstheme="minorHAnsi"/>
          <w:sz w:val="20"/>
          <w:szCs w:val="18"/>
        </w:rPr>
        <w:t xml:space="preserve">La combinaison de cellules souches et de matrice de phosphate de calcium montre des résultats encourageants chez les rats </w:t>
      </w:r>
      <w:r w:rsidR="008F72EA" w:rsidRPr="00C22ABE">
        <w:rPr>
          <w:rFonts w:cstheme="minorHAnsi"/>
          <w:sz w:val="20"/>
          <w:szCs w:val="18"/>
        </w:rPr>
        <w:fldChar w:fldCharType="begin"/>
      </w:r>
      <w:r w:rsidR="00D36EC3">
        <w:rPr>
          <w:rFonts w:cstheme="minorHAnsi"/>
          <w:sz w:val="20"/>
          <w:szCs w:val="18"/>
        </w:rPr>
        <w:instrText xml:space="preserve"> ADDIN ZOTERO_ITEM CSL_CITATION {"citationID":"MkemSWaw","properties":{"formattedCitation":"(72)","plainCitation":"(72)","noteIndex":0},"citationItems":[{"id":249,"uris":["http://zotero.org/users/local/Om3YyEnU/items/Y6PVHS26"],"uri":["http://zotero.org/users/local/Om3YyEnU/items/Y6PVHS26"],"itemData":{"id":249,"type":"article-journal","abstract":"Mandibular osteoradionecrosis is a severe side effect of radiotherapy after the treatment of squamous cell carcinomas of the upper aerodigestive tract. As an alternative to its treatment by micro-anastomosed free-flaps, preclinical tissular engineering studies have been developed. Total bone marrow (TBM) associated with biphasic calcium phosphate (BCP) significantly enhanced bone formation in irradiated bone. One mechanism, explaining how bone marrow cells can help regenerate tissues like this, is the paracrine effect. The bone marrow cell extract (BMCE) makes use of this paracrine mechanism by keeping only the soluble factors such as growth factors and cytokines. It has provided significant results in repairing various tissues, but has not yet been studied in irradiated bone reconstruction. The purpose of this study was to evaluate the effect of BMCE via an intraosseous or intravenous delivery, with a calcium phosphate scaffold, in irradiated bone reconstruction. Twenty rats were irradiated on their hind limbs with a single 80-Gy dose. Three weeks later, surgery was performed to create osseous defects. The intraosseous group (n = 12) studied the effect of BMCE in situ, with six combinations (empty defect, BCP, TBM, BCP-TBM, lysate only, BCP-lysate). After four different combinations of implantation (empty defect, BCP, TBM, BCP-TBM), the intravenous group (n = 8) received four intravenous injections of BMCE for 2 weeks. Five weeks after implantation, samples were explanted for histological and scanning electron microscopy analysis. Lysate immunogenicity was studied with various mixed lymphocyte reactions. Intravenous injections of BMCE led to a significant new bone formation compared to the intraosseous group. The BCP-TBM mixture remained the most effective in the intraosseous group. However, intravenous injections were more effective, with TBM placed in the defect, with or without biomaterials. Histologically, highly cellularized bone marrow was observed in the defects after intravenous injections, and not after an in situ use of the lysate. The mixed lymphocyte reactions did not show any proliferation after 3, 5, or 7 days of lysate incubation with lymphocytes from another species. This study evaluated the role of BMCE in irradiated bone reconstruction. There were significant results arguing in favor of BMCE intravenous injections. This could open new perspectives to irradiated bone reconstruction.","container-title":"PloS One","DOI":"10.1371/journal.pone.0178060","ISSN":"1932-6203","issue":"5","journalAbbreviation":"PLoS One","language":"eng","note":"PMID: 28542343\nPMCID: PMC5436862","page":"e0178060","source":"PubMed","title":"Bone marrow cell extract promotes the regeneration of irradiated bone","volume":"12","author":[{"family":"Michel","given":"Guillaume"},{"family":"Blery","given":"Pauline"},{"family":"Henoux","given":"Michaël"},{"family":"Guicheux","given":"Jérôme"},{"family":"Weiss","given":"Pierre"},{"family":"Dugast","given":"Emilie"},{"family":"Brouard","given":"Sophie"},{"family":"Malard","given":"Olivier"},{"family":"Espitalier","given":"Florent"}],"issued":{"date-parts":[["2017"]]}}}],"schema":"https://github.com/citation-style-language/schema/raw/master/csl-citation.json"} </w:instrText>
      </w:r>
      <w:r w:rsidR="008F72EA" w:rsidRPr="00C22ABE">
        <w:rPr>
          <w:rFonts w:cstheme="minorHAnsi"/>
          <w:sz w:val="20"/>
          <w:szCs w:val="18"/>
        </w:rPr>
        <w:fldChar w:fldCharType="separate"/>
      </w:r>
      <w:r w:rsidR="00D36EC3" w:rsidRPr="00D36EC3">
        <w:rPr>
          <w:rFonts w:ascii="Calibri" w:hAnsi="Calibri" w:cs="Calibri"/>
          <w:sz w:val="20"/>
        </w:rPr>
        <w:t>(72)</w:t>
      </w:r>
      <w:r w:rsidR="008F72EA" w:rsidRPr="00C22ABE">
        <w:rPr>
          <w:rFonts w:cstheme="minorHAnsi"/>
          <w:sz w:val="20"/>
          <w:szCs w:val="18"/>
        </w:rPr>
        <w:fldChar w:fldCharType="end"/>
      </w:r>
      <w:r w:rsidR="000C3EF3" w:rsidRPr="00C22ABE">
        <w:rPr>
          <w:rFonts w:cstheme="minorHAnsi"/>
          <w:sz w:val="20"/>
          <w:szCs w:val="18"/>
        </w:rPr>
        <w:t>.</w:t>
      </w:r>
    </w:p>
    <w:p w14:paraId="5CD80A4B" w14:textId="29D75141" w:rsidR="00C22ABE" w:rsidRDefault="00C22ABE" w:rsidP="008A6506">
      <w:pPr>
        <w:tabs>
          <w:tab w:val="left" w:pos="7110"/>
        </w:tabs>
        <w:spacing w:after="0"/>
        <w:rPr>
          <w:rFonts w:cstheme="minorHAnsi"/>
          <w:sz w:val="20"/>
          <w:szCs w:val="18"/>
        </w:rPr>
      </w:pPr>
    </w:p>
    <w:p w14:paraId="02F9CDF8" w14:textId="636B4929" w:rsidR="00C22ABE" w:rsidRDefault="00C22ABE" w:rsidP="008A6506">
      <w:pPr>
        <w:tabs>
          <w:tab w:val="left" w:pos="7110"/>
        </w:tabs>
        <w:spacing w:after="0"/>
        <w:rPr>
          <w:rFonts w:cstheme="minorHAnsi"/>
          <w:sz w:val="20"/>
          <w:szCs w:val="18"/>
        </w:rPr>
      </w:pPr>
    </w:p>
    <w:p w14:paraId="25E2998A" w14:textId="77777777" w:rsidR="00C22ABE" w:rsidRPr="00C22ABE" w:rsidRDefault="00C22ABE" w:rsidP="008A6506">
      <w:pPr>
        <w:tabs>
          <w:tab w:val="left" w:pos="7110"/>
        </w:tabs>
        <w:spacing w:after="0"/>
        <w:rPr>
          <w:rFonts w:cstheme="minorHAnsi"/>
          <w:sz w:val="20"/>
          <w:szCs w:val="18"/>
        </w:rPr>
      </w:pPr>
    </w:p>
    <w:p w14:paraId="78E7139B" w14:textId="723FA1A4" w:rsidR="008B6C81" w:rsidRPr="00C22ABE" w:rsidRDefault="009D4A56" w:rsidP="009D4A56">
      <w:pPr>
        <w:pStyle w:val="Paragraphedeliste"/>
        <w:numPr>
          <w:ilvl w:val="0"/>
          <w:numId w:val="20"/>
        </w:numPr>
        <w:tabs>
          <w:tab w:val="left" w:pos="7110"/>
        </w:tabs>
        <w:spacing w:after="0"/>
        <w:rPr>
          <w:rFonts w:cstheme="minorHAnsi"/>
          <w:sz w:val="14"/>
          <w:szCs w:val="16"/>
          <w:u w:val="single"/>
        </w:rPr>
      </w:pPr>
      <w:r w:rsidRPr="00C22ABE">
        <w:rPr>
          <w:rFonts w:cstheme="minorHAnsi"/>
          <w:b/>
          <w:bCs/>
          <w:color w:val="0000FF"/>
          <w:sz w:val="28"/>
          <w:szCs w:val="24"/>
          <w:u w:val="single"/>
        </w:rPr>
        <w:lastRenderedPageBreak/>
        <w:t xml:space="preserve">Prévention du </w:t>
      </w:r>
      <w:r w:rsidR="003E4186" w:rsidRPr="00C22ABE">
        <w:rPr>
          <w:rFonts w:cstheme="minorHAnsi"/>
          <w:b/>
          <w:bCs/>
          <w:color w:val="0000FF"/>
          <w:sz w:val="28"/>
          <w:szCs w:val="24"/>
          <w:u w:val="single"/>
        </w:rPr>
        <w:t>risque d’ORN</w:t>
      </w:r>
    </w:p>
    <w:p w14:paraId="13C155A9" w14:textId="77777777" w:rsidR="009D4A56" w:rsidRPr="00C22ABE" w:rsidRDefault="009D4A56" w:rsidP="002E3149">
      <w:pPr>
        <w:tabs>
          <w:tab w:val="left" w:pos="7110"/>
        </w:tabs>
        <w:rPr>
          <w:rFonts w:cstheme="minorHAnsi"/>
          <w:sz w:val="20"/>
          <w:szCs w:val="18"/>
        </w:rPr>
      </w:pPr>
    </w:p>
    <w:p w14:paraId="1BA05384" w14:textId="77777777" w:rsidR="009D4A56" w:rsidRPr="00C22ABE" w:rsidRDefault="009D4A56" w:rsidP="009D4A56">
      <w:pPr>
        <w:pStyle w:val="Paragraphedeliste"/>
        <w:numPr>
          <w:ilvl w:val="1"/>
          <w:numId w:val="20"/>
        </w:numPr>
        <w:tabs>
          <w:tab w:val="left" w:pos="7110"/>
        </w:tabs>
        <w:rPr>
          <w:rFonts w:cstheme="minorHAnsi"/>
          <w:b/>
          <w:bCs/>
          <w:color w:val="0000FF"/>
          <w:szCs w:val="20"/>
          <w:u w:val="single"/>
        </w:rPr>
      </w:pPr>
      <w:r w:rsidRPr="00C22ABE">
        <w:rPr>
          <w:rFonts w:cstheme="minorHAnsi"/>
          <w:b/>
          <w:bCs/>
          <w:color w:val="0000FF"/>
          <w:szCs w:val="20"/>
          <w:u w:val="single"/>
        </w:rPr>
        <w:t>Avant radiothérapie</w:t>
      </w:r>
    </w:p>
    <w:p w14:paraId="0E7FA812" w14:textId="755D4DD7" w:rsidR="00FF4BC1" w:rsidRPr="00C22ABE" w:rsidRDefault="00737F6A" w:rsidP="009D4A56">
      <w:pPr>
        <w:tabs>
          <w:tab w:val="left" w:pos="7110"/>
        </w:tabs>
        <w:rPr>
          <w:rFonts w:cstheme="minorHAnsi"/>
          <w:sz w:val="20"/>
          <w:szCs w:val="18"/>
        </w:rPr>
      </w:pPr>
      <w:r w:rsidRPr="00C22ABE">
        <w:rPr>
          <w:rFonts w:cstheme="minorHAnsi"/>
          <w:sz w:val="20"/>
          <w:szCs w:val="18"/>
        </w:rPr>
        <w:t xml:space="preserve">Puisque le traitement de l’ORN s’avère peu aisé, une </w:t>
      </w:r>
      <w:r w:rsidR="00C22ABE" w:rsidRPr="00C22ABE">
        <w:rPr>
          <w:rFonts w:cstheme="minorHAnsi"/>
          <w:sz w:val="20"/>
          <w:szCs w:val="18"/>
        </w:rPr>
        <w:t>proposition</w:t>
      </w:r>
      <w:r w:rsidRPr="00C22ABE">
        <w:rPr>
          <w:rFonts w:cstheme="minorHAnsi"/>
          <w:sz w:val="20"/>
          <w:szCs w:val="18"/>
        </w:rPr>
        <w:t xml:space="preserve"> pourrait être d</w:t>
      </w:r>
      <w:r w:rsidR="00C22ABE" w:rsidRPr="00C22ABE">
        <w:rPr>
          <w:rFonts w:cstheme="minorHAnsi"/>
          <w:sz w:val="20"/>
          <w:szCs w:val="18"/>
        </w:rPr>
        <w:t>’insister sur</w:t>
      </w:r>
      <w:r w:rsidR="00C509D9" w:rsidRPr="00C22ABE">
        <w:rPr>
          <w:rFonts w:cstheme="minorHAnsi"/>
          <w:sz w:val="20"/>
          <w:szCs w:val="18"/>
        </w:rPr>
        <w:t xml:space="preserve"> </w:t>
      </w:r>
      <w:r w:rsidRPr="00C22ABE">
        <w:rPr>
          <w:rFonts w:cstheme="minorHAnsi"/>
          <w:sz w:val="20"/>
          <w:szCs w:val="18"/>
        </w:rPr>
        <w:t xml:space="preserve">une attitude préventive, surtout au niveau dentaire. Celle-ci se heurte au délai très court entre le </w:t>
      </w:r>
      <w:r w:rsidR="00FF4BC1" w:rsidRPr="00C22ABE">
        <w:rPr>
          <w:rFonts w:cstheme="minorHAnsi"/>
          <w:sz w:val="20"/>
          <w:szCs w:val="18"/>
        </w:rPr>
        <w:t>moment où le bilan</w:t>
      </w:r>
      <w:r w:rsidRPr="00C22ABE">
        <w:rPr>
          <w:rFonts w:cstheme="minorHAnsi"/>
          <w:sz w:val="20"/>
          <w:szCs w:val="18"/>
        </w:rPr>
        <w:t xml:space="preserve"> dentaire est réalisé </w:t>
      </w:r>
      <w:r w:rsidR="00FF4BC1" w:rsidRPr="00C22ABE">
        <w:rPr>
          <w:rFonts w:cstheme="minorHAnsi"/>
          <w:sz w:val="20"/>
          <w:szCs w:val="18"/>
        </w:rPr>
        <w:t xml:space="preserve">et le début du traitement de radiothérapie, ce qui amène parfois à des extractions « abusives » </w:t>
      </w:r>
      <w:r w:rsidRPr="00C22ABE">
        <w:rPr>
          <w:rFonts w:cstheme="minorHAnsi"/>
          <w:sz w:val="20"/>
          <w:szCs w:val="18"/>
        </w:rPr>
        <w:t xml:space="preserve">par absence de temps pour la réalisation de traitements conservateurs </w:t>
      </w:r>
      <w:r w:rsidRPr="00C22ABE">
        <w:rPr>
          <w:rFonts w:cstheme="minorHAnsi"/>
          <w:sz w:val="20"/>
          <w:szCs w:val="18"/>
        </w:rPr>
        <w:fldChar w:fldCharType="begin"/>
      </w:r>
      <w:r w:rsidR="00D36EC3">
        <w:rPr>
          <w:rFonts w:cstheme="minorHAnsi"/>
          <w:sz w:val="20"/>
          <w:szCs w:val="18"/>
        </w:rPr>
        <w:instrText xml:space="preserve"> ADDIN ZOTERO_ITEM CSL_CITATION {"citationID":"u48ixBn9","properties":{"formattedCitation":"(73)","plainCitation":"(73)","noteIndex":0},"citationItems":[{"id":313,"uris":["http://zotero.org/users/local/Om3YyEnU/items/MTNT66WD"],"uri":["http://zotero.org/users/local/Om3YyEnU/items/MTNT66WD"],"itemData":{"id":313,"type":"article-journal","abstract":"OBJECTIVES: The aim of this study was to analyze the influence of dental treatment on the development of osteoradionecrosis (ORN) of the jaw.\nMETHODS: This study included the data of 776 patients who underwent 3D-CRT or IMRT because of head and neck cancer. Sex, dental status before and after radiotherapy (RT), tumor site, bone surgery during tumor operation, concomitant chemotherapy, and the development of an advanced ORN were documented for each patient. The patients' dentitions before and after RT were classified into four groups with regard to the number and localization of the remaining teeth. Differences between the patients with ORN and patients without ORN with regard to the teeth's condition before and after RT, and with regard to the extent of dental treatment were determined descriptively. Cox proportional hazards regression to study the association between dentition and the development of ORN.\nRESULTS: The extent of dental treatment in patients with and without ORN did not differ in a clinically relevant way. The highest risk of developing ORN was observed in patients who had undergone primary bone surgery during the tumor operation (HR = 5.58, 95%CI 2.91-10.7) and patients who had a tumor in the oral cavity (HR = 4.84, 95%CI 1.37-17.11).\nCONCLUSIONS: Based on the results of this study, tumor localization and its required treatment are prognostic factors for the development of ORN.\nCLINICAL SIGNIFICANCE: After implementing a consequent dental treatment scheme, no influence of dentition on the risk of developing ORN could be demonstrated. Patients with a lower risk could prospectively benefit from a more moderate dental treatment scheme.","container-title":"Clinical Oral Investigations","DOI":"10.1007/s00784-017-2048-8","ISSN":"1436-3771","issue":"8","journalAbbreviation":"Clin Oral Investig","language":"eng","note":"PMID: 28091874","page":"2499-2508","source":"PubMed","title":"The influence of dental treatment on the development of osteoradionecrosis after radiotherapy by modern irradiation techniques","volume":"21","author":[{"family":"Schweyen","given":"Ramona"},{"family":"Stang","given":"Andreas"},{"family":"Wienke","given":"Andreas"},{"family":"Eckert","given":"Alexander"},{"family":"Kuhnt","given":"Thomas"},{"family":"Hey","given":"Jeremias"}],"issued":{"date-parts":[["2017",11]]}}}],"schema":"https://github.com/citation-style-language/schema/raw/master/csl-citation.json"} </w:instrText>
      </w:r>
      <w:r w:rsidRPr="00C22ABE">
        <w:rPr>
          <w:rFonts w:cstheme="minorHAnsi"/>
          <w:sz w:val="20"/>
          <w:szCs w:val="18"/>
        </w:rPr>
        <w:fldChar w:fldCharType="separate"/>
      </w:r>
      <w:r w:rsidR="00D36EC3" w:rsidRPr="00D36EC3">
        <w:rPr>
          <w:rFonts w:ascii="Calibri" w:hAnsi="Calibri" w:cs="Calibri"/>
          <w:sz w:val="20"/>
        </w:rPr>
        <w:t>(73)</w:t>
      </w:r>
      <w:r w:rsidRPr="00C22ABE">
        <w:rPr>
          <w:rFonts w:cstheme="minorHAnsi"/>
          <w:sz w:val="20"/>
          <w:szCs w:val="18"/>
        </w:rPr>
        <w:fldChar w:fldCharType="end"/>
      </w:r>
      <w:r w:rsidRPr="00C22ABE">
        <w:rPr>
          <w:rFonts w:cstheme="minorHAnsi"/>
          <w:sz w:val="20"/>
          <w:szCs w:val="18"/>
        </w:rPr>
        <w:t>.</w:t>
      </w:r>
      <w:r w:rsidR="00FF4BC1" w:rsidRPr="00C22ABE">
        <w:rPr>
          <w:rFonts w:cstheme="minorHAnsi"/>
          <w:sz w:val="20"/>
          <w:szCs w:val="18"/>
        </w:rPr>
        <w:t xml:space="preserve"> </w:t>
      </w:r>
    </w:p>
    <w:p w14:paraId="6701A7C3" w14:textId="760425C4" w:rsidR="000D730F" w:rsidRPr="00C22ABE" w:rsidRDefault="000D730F" w:rsidP="000D730F">
      <w:pPr>
        <w:tabs>
          <w:tab w:val="left" w:pos="7110"/>
        </w:tabs>
        <w:rPr>
          <w:rFonts w:cstheme="minorHAnsi"/>
          <w:sz w:val="20"/>
          <w:szCs w:val="18"/>
        </w:rPr>
      </w:pPr>
      <w:r w:rsidRPr="00C22ABE">
        <w:rPr>
          <w:rFonts w:cstheme="minorHAnsi"/>
          <w:sz w:val="20"/>
          <w:szCs w:val="18"/>
        </w:rPr>
        <w:t xml:space="preserve">L’attitude dentaire </w:t>
      </w:r>
      <w:proofErr w:type="spellStart"/>
      <w:r w:rsidRPr="00C22ABE">
        <w:rPr>
          <w:rFonts w:cstheme="minorHAnsi"/>
          <w:sz w:val="20"/>
          <w:szCs w:val="18"/>
        </w:rPr>
        <w:t>préradiothérapie</w:t>
      </w:r>
      <w:proofErr w:type="spellEnd"/>
      <w:r w:rsidR="003A656E" w:rsidRPr="00C22ABE">
        <w:rPr>
          <w:rFonts w:cstheme="minorHAnsi"/>
          <w:sz w:val="20"/>
          <w:szCs w:val="18"/>
        </w:rPr>
        <w:t xml:space="preserve"> n’est pas harmonisée,</w:t>
      </w:r>
      <w:r w:rsidRPr="00C22ABE">
        <w:rPr>
          <w:rFonts w:cstheme="minorHAnsi"/>
          <w:sz w:val="20"/>
          <w:szCs w:val="18"/>
        </w:rPr>
        <w:t xml:space="preserve"> basée sur des opinions d’experts et sur une expérience clinique subjective, </w:t>
      </w:r>
      <w:r w:rsidR="00EE0AB2" w:rsidRPr="00C22ABE">
        <w:rPr>
          <w:rFonts w:cstheme="minorHAnsi"/>
          <w:sz w:val="20"/>
          <w:szCs w:val="18"/>
        </w:rPr>
        <w:t>sans recommandations scientifiques établies.</w:t>
      </w:r>
      <w:r w:rsidRPr="00C22ABE">
        <w:rPr>
          <w:rFonts w:cstheme="minorHAnsi"/>
          <w:sz w:val="20"/>
          <w:szCs w:val="18"/>
        </w:rPr>
        <w:t xml:space="preserve"> </w:t>
      </w:r>
    </w:p>
    <w:p w14:paraId="576440A0" w14:textId="4035AE0C" w:rsidR="00954954" w:rsidRPr="00C22ABE" w:rsidRDefault="00737F6A" w:rsidP="00737F6A">
      <w:pPr>
        <w:tabs>
          <w:tab w:val="left" w:pos="7110"/>
        </w:tabs>
        <w:rPr>
          <w:rFonts w:cstheme="minorHAnsi"/>
          <w:sz w:val="20"/>
          <w:szCs w:val="18"/>
        </w:rPr>
      </w:pPr>
      <w:r w:rsidRPr="00C22ABE">
        <w:rPr>
          <w:rFonts w:cstheme="minorHAnsi"/>
          <w:sz w:val="20"/>
          <w:szCs w:val="18"/>
        </w:rPr>
        <w:t xml:space="preserve">Pour réduire l’incidence de l’ORN, plusieurs voies sont exploitables </w:t>
      </w:r>
      <w:r w:rsidRPr="00C22ABE">
        <w:rPr>
          <w:rFonts w:cstheme="minorHAnsi"/>
          <w:sz w:val="20"/>
          <w:szCs w:val="18"/>
        </w:rPr>
        <w:fldChar w:fldCharType="begin"/>
      </w:r>
      <w:r w:rsidR="00D36EC3">
        <w:rPr>
          <w:rFonts w:cstheme="minorHAnsi"/>
          <w:sz w:val="20"/>
          <w:szCs w:val="18"/>
        </w:rPr>
        <w:instrText xml:space="preserve"> ADDIN ZOTERO_ITEM CSL_CITATION {"citationID":"HwLwmLwW","properties":{"formattedCitation":"(6,46,74)","plainCitation":"(6,46,74)","noteIndex":0},"citationItems":[{"id":164,"uris":["http://zotero.org/users/local/Om3YyEnU/items/ZGSTAJ9U"],"uri":["http://zotero.org/users/local/Om3YyEnU/items/ZGSTAJ9U"],"itemData":{"id":164,"type":"article-journal","container-title":"Head &amp; Neck","DOI":"10.1002/hed.24495","ISSN":"10433074","issue":"11","journalAbbreviation":"Head Neck","language":"en","page":"1708-1716","source":"DOI.org (Crossref)","title":"New perspectives on the conservative management of osteoradionecrosis of the mandible: A literature review: New Perspectives on Conservative Management of Osteoradionecrosis of the Mandible","title-short":"New perspectives on the conservative management of osteoradionecrosis of the mandible","volume":"38","author":[{"family":"Costa","given":"Diogo Alpuim"},{"family":"Costa","given":"Tiago Porfírio"},{"family":"Netto","given":"Eduardo Carlinhos"},{"family":"Joaquim","given":"Natércia"},{"family":"Ventura","given":"Isabel"},{"family":"Pratas","given":"Ana Cristina"},{"family":"Winckler","given":"Patrícia"},{"family":"Silva","given":"Inês Pires"},{"family":"Pinho","given":"Ana Catarina"},{"family":"Sargento","given":"Isabel Goulão"},{"family":"Guerreiro","given":"Francisco Gamito"},{"family":"Moreira","given":"António Rita"}],"editor":[{"family":"Eisele","given":"David W."}],"issued":{"date-parts":[["2016",11]]}}},{"id":204,"uris":["http://zotero.org/users/local/Om3YyEnU/items/Y4NRCFK6"],"uri":["http://zotero.org/users/local/Om3YyEnU/items/Y4NRCFK6"],"itemData":{"id":204,"type":"article-journal","abstract":"BACKGROUND: Osteoradionecrosis of the jaw (ORN) is an infrequent yet potentially devastating complication of radiation therapy to the head and neck region. Treatment options include antimicrobial therapy, local sequestrectomy, resection, and the use of hyperbaric oxygen (HBO). Published data on ORN are difficult to compare because of the lack of a universally accepted classification and staging system, and the literature on the use of HBO to either prevent or successfully manage ORN is controversial and inconclusive. Therefore, we aimed to establish a standard approach for using HBO at our institution.\nMATERIALS AND METHODS: A literature search was conducted of articles published in the English language between January 1980 and January 2016. Retrieved articles were evaluated by two independent reviewers. Isolated case reports, abstracts, case series, review articles, and cohort studies without a control group were excluded; summary data were extracted from the remaining studies. A panel of experts from Head and Neck Oncology and Oral Medicine from the Dana-Farber Cancer Institute and Brigham and Women's Hospital reviewed the summary data and established multidisciplinary guidelines on the use of HBO for the prevention and management of ORN.\nRESULTS: Seven studies were evaluated and reviewed by the multidisciplinary panel. There was no consistent evidence in support of HBO for either the prevention or management of ORN.\nCONCLUSION: Based on the available evidence and expert opinion, routine use of HBO for the prevention or management of ORN is not recommended and is rarely used at our institution. \n                        The Oncologist\n                     2017;22:343-350 IMPLICATIONS FOR PRACTICE: The Division of Head and Neck Oncology of Dana-Farber/Brigham and Women's Cancer Center does not recommend the routine use of HBO for the prevention or management of ORN. Adjunctive HBO may be considered for use on a case-by-case basis in patients considered to be at exceptionally high risk who have failed conservative therapy and subsequent surgical resection.","container-title":"The Oncologist","DOI":"10.1634/theoncologist.2016-0298","ISSN":"1549-490X","issue":"3","journalAbbreviation":"Oncologist","language":"eng","note":"PMID: 28209748\nPMCID: PMC5344641","page":"343-350","source":"PubMed","title":"The Use of Hyperbaric Oxygen for the Prevention and Management of Osteoradionecrosis of the Jaw: A Dana-Farber/Brigham and Women's Cancer Center Multidisciplinary Guideline","title-short":"The Use of Hyperbaric Oxygen for the Prevention and Management of Osteoradionecrosis of the Jaw","volume":"22","author":[{"family":"Sultan","given":"Ahmed"},{"family":"Hanna","given":"Glenn J."},{"family":"Margalit","given":"Danielle N."},{"family":"Chau","given":"Nicole"},{"family":"Goguen","given":"Laura A."},{"family":"Marty","given":"Francisco M."},{"family":"Rabinowits","given":"Guilherme"},{"family":"Schoenfeld","given":"Jonathan D."},{"family":"Sonis","given":"Stephen T."},{"family":"Thomas","given":"Tom"},{"family":"Tishler","given":"Roy B."},{"family":"Treister","given":"Nathaniel S."},{"family":"Villa","given":"Alessandro"},{"family":"Woo","given":"Sook-Bin"},{"family":"Haddad","given":"Robert"},{"family":"Mawardi","given":"Hani"}],"issued":{"date-parts":[["2017"]]}}},{"id":320,"uris":["http://zotero.org/users/local/Om3YyEnU/items/C3BP5R8I"],"uri":["http://zotero.org/users/local/Om3YyEnU/items/C3BP5R8I"],"itemData":{"id":320,"type":"article-journal","abstract":"PURPOSE: The aim of this paper is to explore the current theories about pretreatment assessment and dental management of patients receiving head and neck radiotherapy, and the therapeutic options to treat osteoradionecrosis of the jaws, based on the literature review.\nDISCUSSION: Osteoradionecrosis is one of the most serious oral complications of head and neck cancer treatment. Osteoradionecrosis is a severe delayed radiation-induced injury, characterized by bone tissue necrosis and failure to heal. Osteoradionecrosis either stabilizes or gradually worsens and is notoriously difficult to manage. Because most cases occur in patients who were dentulous in the mandible at tumor onset, proper dental management is the single most important factor in prevention.\nCONCLUSIONS: Complete dental clearance before treatment is no longer necessary. Controversy exists regarding the management of osteoradionecrosis of the maxillofacial skeleton because of the variability of this condition. The treatment of osteoradionecrosis has included local wound care, antibiotic therapy, surgical procedures, and the administration of hyperbaric oxygenation. Recently, new methods of treatment were introduced, according to the new theory about its pathophysiology.","container-title":"Oral and Maxillofacial Surgery","DOI":"10.1007/s10006-010-0205-1","ISSN":"1865-1569","issue":"2","journalAbbreviation":"Oral Maxillofac Surg","language":"eng","note":"PMID: 20145963","page":"81-95","source":"PubMed","title":"Osteoradionecrosis of the jaws--a current overview--Part 2: dental management and therapeutic options for treatment","title-short":"Osteoradionecrosis of the jaws--a current overview--Part 2","volume":"14","author":[{"family":"Chrcanovic","given":"Bruno Ramos"},{"family":"Reher","given":"Peter"},{"family":"Sousa","given":"Alexandre Andrade"},{"family":"Harris","given":"Malcolm"}],"issued":{"date-parts":[["2010",6]]}}}],"schema":"https://github.com/citation-style-language/schema/raw/master/csl-citation.json"} </w:instrText>
      </w:r>
      <w:r w:rsidRPr="00C22ABE">
        <w:rPr>
          <w:rFonts w:cstheme="minorHAnsi"/>
          <w:sz w:val="20"/>
          <w:szCs w:val="18"/>
        </w:rPr>
        <w:fldChar w:fldCharType="separate"/>
      </w:r>
      <w:r w:rsidR="00D36EC3" w:rsidRPr="00D36EC3">
        <w:rPr>
          <w:rFonts w:ascii="Calibri" w:hAnsi="Calibri" w:cs="Calibri"/>
          <w:sz w:val="20"/>
        </w:rPr>
        <w:t>(6,46,74)</w:t>
      </w:r>
      <w:r w:rsidRPr="00C22ABE">
        <w:rPr>
          <w:rFonts w:cstheme="minorHAnsi"/>
          <w:sz w:val="20"/>
          <w:szCs w:val="18"/>
        </w:rPr>
        <w:fldChar w:fldCharType="end"/>
      </w:r>
      <w:r w:rsidRPr="00C22ABE">
        <w:rPr>
          <w:rFonts w:cstheme="minorHAnsi"/>
          <w:sz w:val="20"/>
          <w:szCs w:val="18"/>
        </w:rPr>
        <w:t xml:space="preserve">. </w:t>
      </w:r>
    </w:p>
    <w:p w14:paraId="48A0E459" w14:textId="134FBC32" w:rsidR="00C509D9" w:rsidRPr="00C22ABE" w:rsidRDefault="00C509D9" w:rsidP="00C509D9">
      <w:pPr>
        <w:tabs>
          <w:tab w:val="left" w:pos="7110"/>
        </w:tabs>
        <w:rPr>
          <w:rFonts w:cstheme="minorHAnsi"/>
          <w:sz w:val="20"/>
          <w:szCs w:val="18"/>
        </w:rPr>
      </w:pPr>
      <w:r w:rsidRPr="00C22ABE">
        <w:rPr>
          <w:rFonts w:cstheme="minorHAnsi"/>
          <w:sz w:val="20"/>
          <w:szCs w:val="18"/>
        </w:rPr>
        <w:t>Sur le plan général, l’arrêt des assuétudes alcoolo-tabagiques pourrait réduire le risque d’ORN. Une surveillance accrue est proposée en cas de diabète ou immunosuppression</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IR8eEmw0","properties":{"formattedCitation":"(15)","plainCitation":"(15)","noteIndex":0},"citationItems":[{"id":256,"uris":["http://zotero.org/users/local/Om3YyEnU/items/ATQ4UT42"],"uri":["http://zotero.org/users/local/Om3YyEnU/items/ATQ4UT42"],"itemData":{"id":256,"type":"article-journal","abstract":"In France, in 2005, there were approximately 16,000 new cases of head and neck cancer. These cancers have an unfavourable prognosis: the survival rates at 3 and 10 years are 50% and 10% respectively. The consumption of alcohol and tobacco is the most important risk factor; in some countries HPV infection was identified as a risk factor of head and neck tumours. Furthermore, a poor oral hygiene seems to raise this risk. We found many decay and periodontium problems in patients with an upper aerodigestive tract cancer. An evaluation of dental state is necessary before any cancer treatment. Treatments by radiotherapy engender noxious effects: hypocellular, hypovascularization, hypoxie of the irradiated tissues, which lead to immediate and chronically oral complications such as mucositis, fibrosis, xerostomia, decay, or osteoradionecrosis. An oral follow-up of these patients can prevent these complications, or reduce the severity of oral complications, and promote a good oral state.","container-title":"Cancer Radiotherapie: Journal De La Societe Francaise De Radiotherapie Oncologique","DOI":"10.1016/j.canrad.2015.01.004","ISSN":"1769-6658","issue":"3","journalAbbreviation":"Cancer Radiother","language":"fre","note":"PMID: 25937188","page":"205-210; quiz 230, 234","source":"PubMed","title":"[Dental state in patients with head and neck cancers]","volume":"19","author":[{"family":"Rouers","given":"M."},{"family":"Truntzer","given":"P."},{"family":"Dubourg","given":"S."},{"family":"Guihard","given":"S."},{"family":"Antoni","given":"D."},{"family":"Noël","given":"G."}],"issued":{"date-parts":[["2015",5]]}}}],"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(15)</w:t>
      </w:r>
      <w:r w:rsidRPr="00C22ABE">
        <w:rPr>
          <w:rFonts w:cstheme="minorHAnsi"/>
          <w:sz w:val="20"/>
          <w:szCs w:val="18"/>
        </w:rPr>
        <w:fldChar w:fldCharType="end"/>
      </w:r>
      <w:r w:rsidRPr="00C22ABE">
        <w:rPr>
          <w:rFonts w:cstheme="minorHAnsi"/>
          <w:sz w:val="20"/>
          <w:szCs w:val="18"/>
        </w:rPr>
        <w:t xml:space="preserve">. La malnutrition est corrigée </w:t>
      </w:r>
      <w:r w:rsidR="003315DB" w:rsidRPr="00C22ABE">
        <w:rPr>
          <w:rFonts w:cstheme="minorHAnsi"/>
          <w:sz w:val="20"/>
          <w:szCs w:val="18"/>
        </w:rPr>
        <w:fldChar w:fldCharType="begin"/>
      </w:r>
      <w:r w:rsidR="00DD29FB" w:rsidRPr="00C22ABE">
        <w:rPr>
          <w:rFonts w:cstheme="minorHAnsi"/>
          <w:sz w:val="20"/>
          <w:szCs w:val="18"/>
        </w:rPr>
        <w:instrText xml:space="preserve"> ADDIN ZOTERO_ITEM CSL_CITATION {"citationID":"yjmYZbXH","properties":{"formattedCitation":"(23)","plainCitation":"(23)","noteIndex":0},"citationItems":[{"id":329,"uris":["http://zotero.org/users/local/Om3YyEnU/items/RGAF7CJW"],"uri":["http://zotero.org/users/local/Om3YyEnU/items/RGAF7CJW"],"itemData":{"id":329,"type":"article-journal","abstract":"BACKGROUND: Mandibular osteoradionecrosis (ORN) is a devastating complication secondary to the radiotherapy of head and neck cancer. The nutritional status of ORN patients is compromised, but remains rarely studied. We aimed to evaluate the overall nutritional status of patients with ORN and explore the risk factors behind poor nutrition.\nMETHODS: This is a single-institution cross-sectional study. Patients diagnosed with ORN were consecutively recruited in a tertiary teaching hospital from July 2017 to August 2019. Multiple laboratory markers and physical indicators were examined to profile their nutritional status. The potential risk factors of poor nutrition were explored by logistic regression.\nRESULTS: A total of 107 patients with ORN were recruited. Among them, almost all patients (95.3%) had at least one laboratory marker lower than the normal physiological range. A total of 40 (37.5%) patients were categorized as undernutrition, who had lower serum albumin (mean difference: 1.8 ± 0.8 g/L; p=0.02), prealbumin (mean difference: 26.8 ± 10.8 mg/L; p= 0.02), and BMI (3.8 ± 0.4 kg/m2 ; p&lt;0.0001) compared to patients of normal nutrition. Notably, the multivariate logistic regression indicated that patients with semi-liquid diet had 14.41 (95% CI: 3.03-68.54, p=0.001) times; patients with liquid diet had 5.70 (95% CI: 1.55-20.98, p=0.009) times more likely to be in undernutrition, as compared to patients with regular diets.\nCONCLUSIONS: This is the first study characterizing the poor nutritional status in ORN patients. Patients having semi-liquid or liquid diets tended to have poorer nutritional status. The nutritional status of ORN patients should be underlined for professional nutritional supports so as to enhance their quality of life. More studies are warranted.","container-title":"Oral Diseases","DOI":"10.1111/odi.13762","ISSN":"1601-0825","journalAbbreviation":"Oral Dis","language":"eng","note":"PMID: 33370490","source":"PubMed","title":"Nutritional Status in Patients of Mandibular Osteoradionecrosis: A Single-Institution Experience","title-short":"Nutritional Status in Patients of Mandibular Osteoradionecrosis","author":[{"family":"Huang","given":"Qiuyu"},{"family":"He","given":"Xingfang"},{"family":"Yang","given":"Wei-Fa"},{"family":"Ye","given":"Jingjing"},{"family":"Lin","given":"Zhumei"},{"family":"Xiong","given":"Caibing"},{"family":"Liang","given":"Yu-Jie"}],"issued":{"date-parts":[["2020",12,28]]}}}],"schema":"https://github.com/citation-style-language/schema/raw/master/csl-citation.json"} </w:instrText>
      </w:r>
      <w:r w:rsidR="003315DB" w:rsidRPr="00C22ABE">
        <w:rPr>
          <w:rFonts w:cstheme="minorHAnsi"/>
          <w:sz w:val="20"/>
          <w:szCs w:val="18"/>
        </w:rPr>
        <w:fldChar w:fldCharType="separate"/>
      </w:r>
      <w:r w:rsidR="00DD29FB" w:rsidRPr="00C22ABE">
        <w:rPr>
          <w:rFonts w:cstheme="minorHAnsi"/>
          <w:sz w:val="20"/>
        </w:rPr>
        <w:t>(23)</w:t>
      </w:r>
      <w:r w:rsidR="003315DB" w:rsidRPr="00C22ABE">
        <w:rPr>
          <w:rFonts w:cstheme="minorHAnsi"/>
          <w:sz w:val="20"/>
          <w:szCs w:val="18"/>
        </w:rPr>
        <w:fldChar w:fldCharType="end"/>
      </w:r>
      <w:r w:rsidR="003315DB" w:rsidRPr="00C22ABE">
        <w:rPr>
          <w:rFonts w:cstheme="minorHAnsi"/>
          <w:sz w:val="20"/>
          <w:szCs w:val="18"/>
        </w:rPr>
        <w:t>.</w:t>
      </w:r>
    </w:p>
    <w:p w14:paraId="5471AC95" w14:textId="082113C8" w:rsidR="00737F6A" w:rsidRPr="00C22ABE" w:rsidRDefault="00737F6A" w:rsidP="00737F6A">
      <w:pPr>
        <w:tabs>
          <w:tab w:val="left" w:pos="7110"/>
        </w:tabs>
        <w:rPr>
          <w:rFonts w:cstheme="minorHAnsi"/>
          <w:sz w:val="20"/>
          <w:szCs w:val="18"/>
        </w:rPr>
      </w:pPr>
      <w:r w:rsidRPr="00C22ABE">
        <w:rPr>
          <w:rFonts w:cstheme="minorHAnsi"/>
          <w:sz w:val="20"/>
          <w:szCs w:val="18"/>
        </w:rPr>
        <w:t xml:space="preserve">La première </w:t>
      </w:r>
      <w:r w:rsidR="003315DB" w:rsidRPr="00C22ABE">
        <w:rPr>
          <w:rFonts w:cstheme="minorHAnsi"/>
          <w:sz w:val="20"/>
          <w:szCs w:val="18"/>
        </w:rPr>
        <w:t xml:space="preserve">attitude préventive </w:t>
      </w:r>
      <w:r w:rsidRPr="00C22ABE">
        <w:rPr>
          <w:rFonts w:cstheme="minorHAnsi"/>
          <w:sz w:val="20"/>
          <w:szCs w:val="18"/>
        </w:rPr>
        <w:t xml:space="preserve">est un </w:t>
      </w:r>
      <w:r w:rsidR="00954954" w:rsidRPr="00C22ABE">
        <w:rPr>
          <w:rFonts w:cstheme="minorHAnsi"/>
          <w:sz w:val="20"/>
          <w:szCs w:val="18"/>
        </w:rPr>
        <w:t>examen oral complet</w:t>
      </w:r>
      <w:r w:rsidRPr="00C22ABE">
        <w:rPr>
          <w:rFonts w:cstheme="minorHAnsi"/>
          <w:sz w:val="20"/>
          <w:szCs w:val="18"/>
        </w:rPr>
        <w:t xml:space="preserve"> et l’élimination des foyers infectés </w:t>
      </w:r>
      <w:r w:rsidR="00954954" w:rsidRPr="00C22ABE">
        <w:rPr>
          <w:rFonts w:cstheme="minorHAnsi"/>
          <w:sz w:val="20"/>
          <w:szCs w:val="18"/>
        </w:rPr>
        <w:t xml:space="preserve">actifs ou potentiels </w:t>
      </w:r>
      <w:r w:rsidRPr="00C22ABE">
        <w:rPr>
          <w:rFonts w:cstheme="minorHAnsi"/>
          <w:sz w:val="20"/>
          <w:szCs w:val="18"/>
        </w:rPr>
        <w:t>avant le début de la radiothérapie.</w:t>
      </w:r>
      <w:r w:rsidR="003315DB" w:rsidRPr="00C22ABE">
        <w:rPr>
          <w:rFonts w:cstheme="minorHAnsi"/>
          <w:sz w:val="20"/>
          <w:szCs w:val="18"/>
        </w:rPr>
        <w:t xml:space="preserve"> Une définition </w:t>
      </w:r>
      <w:r w:rsidRPr="00C22ABE">
        <w:rPr>
          <w:rFonts w:cstheme="minorHAnsi"/>
          <w:sz w:val="20"/>
          <w:szCs w:val="18"/>
        </w:rPr>
        <w:t>de « foyer oral »</w:t>
      </w:r>
      <w:r w:rsidR="00954954" w:rsidRPr="00C22ABE">
        <w:rPr>
          <w:rFonts w:cstheme="minorHAnsi"/>
          <w:sz w:val="20"/>
          <w:szCs w:val="18"/>
        </w:rPr>
        <w:t xml:space="preserve"> ou dent à </w:t>
      </w:r>
      <w:r w:rsidR="00EA532D" w:rsidRPr="00C22ABE">
        <w:rPr>
          <w:rFonts w:cstheme="minorHAnsi"/>
          <w:sz w:val="20"/>
          <w:szCs w:val="18"/>
        </w:rPr>
        <w:t xml:space="preserve">risque </w:t>
      </w:r>
      <w:r w:rsidR="003315DB" w:rsidRPr="00C22ABE">
        <w:rPr>
          <w:rFonts w:cstheme="minorHAnsi"/>
          <w:sz w:val="20"/>
          <w:szCs w:val="18"/>
        </w:rPr>
        <w:t>pourrait être la suivante : u</w:t>
      </w:r>
      <w:r w:rsidRPr="00C22ABE">
        <w:rPr>
          <w:rFonts w:cstheme="minorHAnsi"/>
          <w:sz w:val="20"/>
          <w:szCs w:val="18"/>
        </w:rPr>
        <w:t xml:space="preserve">n processus pathologique dans la cavité orale qui ne crée pas de problème chez un individu sain, mais qui peut créer des inflammations locales ou systémiques dans certaines conditions </w:t>
      </w:r>
      <w:r w:rsidRPr="00C22ABE">
        <w:rPr>
          <w:rFonts w:cstheme="minorHAnsi"/>
          <w:sz w:val="20"/>
          <w:szCs w:val="18"/>
        </w:rPr>
        <w:fldChar w:fldCharType="begin"/>
      </w:r>
      <w:r w:rsidR="00D36EC3">
        <w:rPr>
          <w:rFonts w:cstheme="minorHAnsi"/>
          <w:sz w:val="20"/>
          <w:szCs w:val="18"/>
        </w:rPr>
        <w:instrText xml:space="preserve"> ADDIN ZOTERO_ITEM CSL_CITATION {"citationID":"5tWNpiso","properties":{"formattedCitation":"(75)","plainCitation":"(75)","noteIndex":0},"citationItems":[{"id":252,"uris":["http://zotero.org/users/local/Om3YyEnU/items/8F79G8PF"],"uri":["http://zotero.org/users/local/Om3YyEnU/items/8F79G8PF"],"itemData":{"id":252,"type":"article-journal","abstract":"Pre-radiation dental screening of head-neck cancer patients aims to identify and eliminate oral foci of infection to prevent post-radiation oral problems. The evidence for the efficacy of dental screening is unclear. In this systematic review, we analyzed available evidence on the efficacy of pre-radiation elimination of oral foci of infection in preventing oral sequelae. A search was conducted (MEDLINE/EMBASE) for papers published up to May 2014. Papers on head-neck cancer patients subjected to pre-radiation dental screening, (chemo)radiation and oral follow-up were included. Of the 1770 identified papers, 20 studies fulfilled the inclusion criteria of which 17 were retrospective. A great heterogeneity in patient groups, dental screening techniques, definitions of oral foci of infection and techniques for eliminating foci was found. Most papers lacked essential details on how dental screening was performed and a clear definition of an oral focus of infection. The evidence for efficacy of elimination of oral foci of infection to prevent post-radiotherapy oral sequelae was inconclusive. Consequently, the efficacy of pre-radiation elimination of oral foci of infection remains unclear. No conclusions can be drawn about a definition of an oral focus of infection and whether pre-radiation elimination of these foci should be mandatory. We therefore suggest prospective studies with well-defined criteria for oral foci of infection, a clear description of which foci were eliminated and how, a detailed description of pre-radiation dental screening, clearly described patient and tumor characteristics, and a detailed dental history and dental status. Subsequently, oral problems that occur post-radiation should be systematically recorded.","container-title":"Oral Oncology","DOI":"10.1016/j.oraloncology.2014.11.017","ISSN":"1879-0593","issue":"3","journalAbbreviation":"Oral Oncol","language":"eng","note":"PMID: 25524386","page":"212-220","source":"PubMed","title":"Evidence supporting pre-radiation elimination of oral foci of infection in head and neck cancer patients to prevent oral sequelae. A systematic review","volume":"51","author":[{"family":"Schuurhuis","given":"Jennifer M."},{"family":"Stokman","given":"Monique A."},{"family":"Witjes","given":"Max J. H."},{"family":"Dijkstra","given":"Pieter U."},{"family":"Vissink","given":"Arjan"},{"family":"Spijkervet","given":"Frederik K. L."}],"issued":{"date-parts":[["2015",3]]}}}],"schema":"https://github.com/citation-style-language/schema/raw/master/csl-citation.json"} </w:instrText>
      </w:r>
      <w:r w:rsidRPr="00C22ABE">
        <w:rPr>
          <w:rFonts w:cstheme="minorHAnsi"/>
          <w:sz w:val="20"/>
          <w:szCs w:val="18"/>
        </w:rPr>
        <w:fldChar w:fldCharType="separate"/>
      </w:r>
      <w:r w:rsidR="00D36EC3" w:rsidRPr="00D36EC3">
        <w:rPr>
          <w:rFonts w:ascii="Calibri" w:hAnsi="Calibri" w:cs="Calibri"/>
          <w:sz w:val="20"/>
        </w:rPr>
        <w:t>(75)</w:t>
      </w:r>
      <w:r w:rsidRPr="00C22ABE">
        <w:rPr>
          <w:rFonts w:cstheme="minorHAnsi"/>
          <w:sz w:val="20"/>
          <w:szCs w:val="18"/>
        </w:rPr>
        <w:fldChar w:fldCharType="end"/>
      </w:r>
      <w:r w:rsidR="00954954" w:rsidRPr="00C22ABE">
        <w:rPr>
          <w:rFonts w:cstheme="minorHAnsi"/>
          <w:sz w:val="20"/>
          <w:szCs w:val="18"/>
        </w:rPr>
        <w:t>.</w:t>
      </w:r>
    </w:p>
    <w:p w14:paraId="636317D4" w14:textId="178B7EBA" w:rsidR="00C509D9" w:rsidRPr="00C22ABE" w:rsidRDefault="003315DB" w:rsidP="00C509D9">
      <w:pPr>
        <w:tabs>
          <w:tab w:val="left" w:pos="7110"/>
        </w:tabs>
        <w:rPr>
          <w:rFonts w:cstheme="minorHAnsi"/>
          <w:sz w:val="20"/>
          <w:szCs w:val="18"/>
        </w:rPr>
      </w:pPr>
      <w:r w:rsidRPr="00C22ABE">
        <w:rPr>
          <w:rFonts w:cstheme="minorHAnsi"/>
          <w:sz w:val="20"/>
          <w:szCs w:val="18"/>
        </w:rPr>
        <w:t>L</w:t>
      </w:r>
      <w:r w:rsidR="007520EC" w:rsidRPr="00C22ABE">
        <w:rPr>
          <w:rFonts w:cstheme="minorHAnsi"/>
          <w:sz w:val="20"/>
          <w:szCs w:val="18"/>
        </w:rPr>
        <w:t>a réalisation de radiographies apicales, bite-</w:t>
      </w:r>
      <w:proofErr w:type="spellStart"/>
      <w:r w:rsidR="007520EC" w:rsidRPr="00C22ABE">
        <w:rPr>
          <w:rFonts w:cstheme="minorHAnsi"/>
          <w:sz w:val="20"/>
          <w:szCs w:val="18"/>
        </w:rPr>
        <w:t>wings</w:t>
      </w:r>
      <w:proofErr w:type="spellEnd"/>
      <w:r w:rsidRPr="00C22ABE">
        <w:rPr>
          <w:rFonts w:cstheme="minorHAnsi"/>
          <w:sz w:val="20"/>
          <w:szCs w:val="18"/>
        </w:rPr>
        <w:t>,</w:t>
      </w:r>
      <w:r w:rsidR="007520EC" w:rsidRPr="00C22ABE">
        <w:rPr>
          <w:rFonts w:cstheme="minorHAnsi"/>
          <w:sz w:val="20"/>
          <w:szCs w:val="18"/>
        </w:rPr>
        <w:t xml:space="preserve"> orthopantomogramme</w:t>
      </w:r>
      <w:r w:rsidRPr="00C22ABE">
        <w:rPr>
          <w:rFonts w:cstheme="minorHAnsi"/>
          <w:sz w:val="20"/>
          <w:szCs w:val="18"/>
        </w:rPr>
        <w:t xml:space="preserve"> complète le bilan</w:t>
      </w:r>
      <w:r w:rsidR="007520EC" w:rsidRPr="00C22ABE">
        <w:rPr>
          <w:rFonts w:cstheme="minorHAnsi"/>
          <w:sz w:val="20"/>
          <w:szCs w:val="18"/>
        </w:rPr>
        <w:t xml:space="preserve">. </w:t>
      </w:r>
      <w:r w:rsidRPr="00C22ABE">
        <w:rPr>
          <w:rFonts w:cstheme="minorHAnsi"/>
          <w:sz w:val="20"/>
          <w:szCs w:val="18"/>
        </w:rPr>
        <w:t>Il faut décrire toutes les atteintes :</w:t>
      </w:r>
      <w:r w:rsidR="007520EC" w:rsidRPr="00C22ABE">
        <w:rPr>
          <w:rFonts w:cstheme="minorHAnsi"/>
          <w:sz w:val="20"/>
          <w:szCs w:val="18"/>
        </w:rPr>
        <w:t xml:space="preserve"> mesure de poches parodontales, sondage, récessions gingivales, mobilité dentaire, atteinte de furcation, présence de plaque dentaire, index de plaque et de saignement</w:t>
      </w:r>
      <w:r w:rsidR="00C509D9" w:rsidRPr="00C22ABE">
        <w:rPr>
          <w:rFonts w:cstheme="minorHAnsi"/>
          <w:sz w:val="20"/>
          <w:szCs w:val="18"/>
        </w:rPr>
        <w:t>. L’adaptation des prothèses amovibles est vérifiée afin d’éliminer les facteurs traumatiques locaux.</w:t>
      </w:r>
    </w:p>
    <w:p w14:paraId="0A55CE8F" w14:textId="712991B7" w:rsidR="00331DA2" w:rsidRPr="00C22ABE" w:rsidRDefault="00EA532D" w:rsidP="00331DA2">
      <w:pPr>
        <w:tabs>
          <w:tab w:val="left" w:pos="7110"/>
        </w:tabs>
        <w:rPr>
          <w:rFonts w:cstheme="minorHAnsi"/>
          <w:sz w:val="20"/>
          <w:szCs w:val="18"/>
        </w:rPr>
      </w:pPr>
      <w:r w:rsidRPr="00C22ABE">
        <w:rPr>
          <w:rFonts w:cstheme="minorHAnsi"/>
          <w:sz w:val="20"/>
          <w:szCs w:val="18"/>
        </w:rPr>
        <w:t>La</w:t>
      </w:r>
      <w:r w:rsidR="00954954" w:rsidRPr="00C22ABE">
        <w:rPr>
          <w:rFonts w:cstheme="minorHAnsi"/>
          <w:sz w:val="20"/>
          <w:szCs w:val="18"/>
        </w:rPr>
        <w:t xml:space="preserve"> mise en état devrait être réalisée idéalement trois semaines avant le début de la radiothérapie</w:t>
      </w:r>
      <w:r w:rsidR="003A656E" w:rsidRPr="00C22ABE">
        <w:rPr>
          <w:rFonts w:cstheme="minorHAnsi"/>
          <w:sz w:val="20"/>
          <w:szCs w:val="18"/>
        </w:rPr>
        <w:t>. U</w:t>
      </w:r>
      <w:r w:rsidR="00954954" w:rsidRPr="00C22ABE">
        <w:rPr>
          <w:rFonts w:cstheme="minorHAnsi"/>
          <w:sz w:val="20"/>
          <w:szCs w:val="18"/>
        </w:rPr>
        <w:t>n minimum de 10 à 14 jours</w:t>
      </w:r>
      <w:r w:rsidR="007520EC" w:rsidRPr="00C22ABE">
        <w:rPr>
          <w:rFonts w:cstheme="minorHAnsi"/>
          <w:sz w:val="20"/>
          <w:szCs w:val="18"/>
        </w:rPr>
        <w:t xml:space="preserve"> </w:t>
      </w:r>
      <w:r w:rsidR="003A656E" w:rsidRPr="00C22ABE">
        <w:rPr>
          <w:rFonts w:cstheme="minorHAnsi"/>
          <w:sz w:val="20"/>
          <w:szCs w:val="18"/>
        </w:rPr>
        <w:t xml:space="preserve">est nécessaire </w:t>
      </w:r>
      <w:r w:rsidR="000D730F" w:rsidRPr="00C22ABE">
        <w:rPr>
          <w:rFonts w:cstheme="minorHAnsi"/>
          <w:sz w:val="20"/>
          <w:szCs w:val="18"/>
        </w:rPr>
        <w:t>entre</w:t>
      </w:r>
      <w:r w:rsidR="00954954" w:rsidRPr="00C22ABE">
        <w:rPr>
          <w:rFonts w:cstheme="minorHAnsi"/>
          <w:sz w:val="20"/>
          <w:szCs w:val="18"/>
        </w:rPr>
        <w:t xml:space="preserve"> les extractions</w:t>
      </w:r>
      <w:r w:rsidR="000D730F" w:rsidRPr="00C22ABE">
        <w:rPr>
          <w:rFonts w:cstheme="minorHAnsi"/>
          <w:sz w:val="20"/>
          <w:szCs w:val="18"/>
        </w:rPr>
        <w:t xml:space="preserve"> et la radiothérapie</w:t>
      </w:r>
      <w:r w:rsidR="003315DB" w:rsidRPr="00C22ABE">
        <w:rPr>
          <w:rFonts w:cstheme="minorHAnsi"/>
          <w:sz w:val="20"/>
          <w:szCs w:val="18"/>
        </w:rPr>
        <w:t xml:space="preserve"> voire 21 jours idéalement pour obtenir une couverture muqueuse complète</w:t>
      </w:r>
      <w:r w:rsidR="00954954" w:rsidRPr="00C22ABE">
        <w:rPr>
          <w:rFonts w:cstheme="minorHAnsi"/>
          <w:sz w:val="20"/>
          <w:szCs w:val="18"/>
        </w:rPr>
        <w:t xml:space="preserve"> </w:t>
      </w:r>
      <w:r w:rsidR="00954954" w:rsidRPr="00C22ABE">
        <w:rPr>
          <w:rFonts w:cstheme="minorHAnsi"/>
          <w:sz w:val="20"/>
          <w:szCs w:val="18"/>
        </w:rPr>
        <w:fldChar w:fldCharType="begin"/>
      </w:r>
      <w:r w:rsidR="00DD29FB" w:rsidRPr="00C22ABE">
        <w:rPr>
          <w:rFonts w:cstheme="minorHAnsi"/>
          <w:sz w:val="20"/>
          <w:szCs w:val="18"/>
        </w:rPr>
        <w:instrText xml:space="preserve"> ADDIN ZOTERO_ITEM CSL_CITATION {"citationID":"1U8Q4sTc","properties":{"formattedCitation":"(15,20)","plainCitation":"(15,20)","noteIndex":0},"citationItems":[{"id":284,"uris":["http://zotero.org/users/local/Om3YyEnU/items/NU2YJ8AM"],"uri":["http://zotero.org/users/local/Om3YyEnU/items/NU2YJ8AM"],"itemData":{"id":284,"type":"article-journal","abstract":"OBJECTIVE: To determine the prevalence and correlation of various risk factors [radiation dose, periodontal status, alcohol and smoking] to the development of osteoradionecrosis (ORN).\nPATIENTS AND METHODS: The records of 1023 patients treated with IMRT for oral cavity cancer (OCC) and oropharyngeal cancer (OPC) between 2004 and 2013 were retrospectively reviewed to identify patients who developed ORN. Fisher exact tests were used to analyze patient characteristics between ORN patients with OCC and OPC. Paired Wilcoxon tests were used to compare the dose volumes to the ORN and contralateral non-ORN sites. To evaluate an association between ORN and risk factors, a case-control comparison was performed. One to 2 ORN-free patients were selected to match each ORN patient by gender, tumor site and size. General estimation equations models were used to compare the risk factors in ORN cases and matched controls.\nRESULTS: 44 (4.3%) patients developed ORN during a median follow-up time of 52.5months. In 82% of patients, ORN occurred spontaneously. Patients with OPC are prone to develop ORN earlier compared to patients with OCC (P=0.03). OPC patients received a higher Dmax compared to OCC patients (P=0.01). In the matched case-control analysis the significant risk factors on univariate analysis were poor periodontal status, history of alcohol use and radiation dose (P=0.03, 0.002 and 0.009, respectively) and on multivariate analysis were alcohol use and radiation dose (P=0.004 and 0.026, respectively).\nCONCLUSION: In our study, higher radiation dose, poor periodontal status and alcohol use are significantly related to the risk of developing ORN.","container-title":"Oral Oncology","DOI":"10.1016/j.oraloncology.2016.11.015","ISSN":"1879-0593","journalAbbreviation":"Oral Oncol","language":"eng","note":"PMID: 28024723\nPMCID: PMC5560021","page":"44-51","source":"PubMed","title":"The prevalence and risk factors associated with osteoradionecrosis of the jaw in oral and oropharyngeal cancer patients treated with intensity-modulated radiation therapy (IMRT): The Memorial Sloan Kettering Cancer Center experience","title-short":"The prevalence and risk factors associated with osteoradionecrosis of the jaw in oral and oropharyngeal cancer patients treated with intensity-modulated radiation therapy (IMRT)","volume":"64","author":[{"family":"Owosho","given":"Adepitan A."},{"family":"Tsai","given":"C. Jillian"},{"family":"Lee","given":"Ryan S."},{"family":"Freymiller","given":"Haley"},{"family":"Kadempour","given":"Arvin"},{"family":"Varthis","given":"Spyridon"},{"family":"Sax","given":"Adi Z."},{"family":"Rosen","given":"Evan B."},{"family":"Yom","given":"SaeHee K."},{"family":"Randazzo","given":"Joseph"},{"family":"Drill","given":"Esther"},{"family":"Riedel","given":"Elyn"},{"family":"Patel","given":"Snehal"},{"family":"Lee","given":"Nancy Y."},{"family":"Huryn","given":"Joseph M."},{"family":"Estilo","given":"Cherry L."}],"issued":{"date-parts":[["2017",1]]}}},{"id":256,"uris":["http://zotero.org/users/local/Om3YyEnU/items/ATQ4UT42"],"uri":["http://zotero.org/users/local/Om3YyEnU/items/ATQ4UT42"],"itemData":{"id":256,"type":"article-journal","abstract":"In France, in 2005, there were approximately 16,000 new cases of head and neck cancer. These cancers have an unfavourable prognosis: the survival rates at 3 and 10 years are 50% and 10% respectively. The consumption of alcohol and tobacco is the most important risk factor; in some countries HPV infection was identified as a risk factor of head and neck tumours. Furthermore, a poor oral hygiene seems to raise this risk. We found many decay and periodontium problems in patients with an upper aerodigestive tract cancer. An evaluation of dental state is necessary before any cancer treatment. Treatments by radiotherapy engender noxious effects: hypocellular, hypovascularization, hypoxie of the irradiated tissues, which lead to immediate and chronically oral complications such as mucositis, fibrosis, xerostomia, decay, or osteoradionecrosis. An oral follow-up of these patients can prevent these complications, or reduce the severity of oral complications, and promote a good oral state.","container-title":"Cancer Radiotherapie: Journal De La Societe Francaise De Radiotherapie Oncologique","DOI":"10.1016/j.canrad.2015.01.004","ISSN":"1769-6658","issue":"3","journalAbbreviation":"Cancer Radiother","language":"fre","note":"PMID: 25937188","page":"205-210; quiz 230, 234","source":"PubMed","title":"[Dental state in patients with head and neck cancers]","volume":"19","author":[{"family":"Rouers","given":"M."},{"family":"Truntzer","given":"P."},{"family":"Dubourg","given":"S."},{"family":"Guihard","given":"S."},{"family":"Antoni","given":"D."},{"family":"Noël","given":"G."}],"issued":{"date-parts":[["2015",5]]}}}],"schema":"https://github.com/citation-style-language/schema/raw/master/csl-citation.json"} </w:instrText>
      </w:r>
      <w:r w:rsidR="00954954" w:rsidRPr="00C22ABE">
        <w:rPr>
          <w:rFonts w:cstheme="minorHAnsi"/>
          <w:sz w:val="20"/>
          <w:szCs w:val="18"/>
        </w:rPr>
        <w:fldChar w:fldCharType="separate"/>
      </w:r>
      <w:r w:rsidR="00DD29FB" w:rsidRPr="00C22ABE">
        <w:rPr>
          <w:rFonts w:cstheme="minorHAnsi"/>
          <w:sz w:val="20"/>
        </w:rPr>
        <w:t>(15,20)</w:t>
      </w:r>
      <w:r w:rsidR="00954954" w:rsidRPr="00C22ABE">
        <w:rPr>
          <w:rFonts w:cstheme="minorHAnsi"/>
          <w:sz w:val="20"/>
          <w:szCs w:val="18"/>
        </w:rPr>
        <w:fldChar w:fldCharType="end"/>
      </w:r>
      <w:r w:rsidR="00954954" w:rsidRPr="00C22ABE">
        <w:rPr>
          <w:rFonts w:cstheme="minorHAnsi"/>
          <w:sz w:val="20"/>
          <w:szCs w:val="18"/>
        </w:rPr>
        <w:t xml:space="preserve">. Le but est d’éliminer tous les foyers infectieux, </w:t>
      </w:r>
      <w:r w:rsidR="00331DA2" w:rsidRPr="00C22ABE">
        <w:rPr>
          <w:rFonts w:cstheme="minorHAnsi"/>
          <w:sz w:val="20"/>
          <w:szCs w:val="18"/>
        </w:rPr>
        <w:t xml:space="preserve">parodontaux, ou </w:t>
      </w:r>
      <w:proofErr w:type="spellStart"/>
      <w:r w:rsidR="00331DA2" w:rsidRPr="00C22ABE">
        <w:rPr>
          <w:rFonts w:cstheme="minorHAnsi"/>
          <w:sz w:val="20"/>
          <w:szCs w:val="18"/>
        </w:rPr>
        <w:t>périapicaux</w:t>
      </w:r>
      <w:proofErr w:type="spellEnd"/>
      <w:r w:rsidR="00AE716A" w:rsidRPr="00C22ABE">
        <w:rPr>
          <w:rFonts w:cstheme="minorHAnsi"/>
          <w:sz w:val="20"/>
          <w:szCs w:val="18"/>
        </w:rPr>
        <w:t xml:space="preserve"> au sein du volume irradié</w:t>
      </w:r>
      <w:r w:rsidR="00331DA2" w:rsidRPr="00C22ABE">
        <w:rPr>
          <w:rFonts w:cstheme="minorHAnsi"/>
          <w:sz w:val="20"/>
          <w:szCs w:val="18"/>
        </w:rPr>
        <w:t xml:space="preserve">. L’imprécision des consignes prête souvent à des interprétations diverses. Les dents de pronostic incertain seront extraites (caries atteignant la pulpe, pathologie </w:t>
      </w:r>
      <w:proofErr w:type="spellStart"/>
      <w:r w:rsidR="00331DA2" w:rsidRPr="00C22ABE">
        <w:rPr>
          <w:rFonts w:cstheme="minorHAnsi"/>
          <w:sz w:val="20"/>
          <w:szCs w:val="18"/>
        </w:rPr>
        <w:t>périapicale</w:t>
      </w:r>
      <w:proofErr w:type="spellEnd"/>
      <w:r w:rsidR="00331DA2" w:rsidRPr="00C22ABE">
        <w:rPr>
          <w:rFonts w:cstheme="minorHAnsi"/>
          <w:sz w:val="20"/>
          <w:szCs w:val="18"/>
        </w:rPr>
        <w:t>, atteintes parodontales).</w:t>
      </w:r>
      <w:r w:rsidRPr="00C22ABE">
        <w:rPr>
          <w:rFonts w:cstheme="minorHAnsi"/>
          <w:sz w:val="20"/>
          <w:szCs w:val="18"/>
        </w:rPr>
        <w:t xml:space="preserve"> </w:t>
      </w:r>
      <w:r w:rsidR="00331DA2" w:rsidRPr="00C22ABE">
        <w:rPr>
          <w:rFonts w:cstheme="minorHAnsi"/>
          <w:sz w:val="20"/>
          <w:szCs w:val="18"/>
        </w:rPr>
        <w:t>Aucune mesure n’est précisée dans la plupart des articles</w:t>
      </w:r>
      <w:r w:rsidR="003C3E8C" w:rsidRPr="00C22ABE">
        <w:rPr>
          <w:rFonts w:cstheme="minorHAnsi"/>
          <w:sz w:val="20"/>
          <w:szCs w:val="18"/>
        </w:rPr>
        <w:t xml:space="preserve"> et il est parfois difficile de décider quelle dent extraire </w:t>
      </w:r>
      <w:r w:rsidR="003C3E8C" w:rsidRPr="00C22ABE">
        <w:rPr>
          <w:rFonts w:cstheme="minorHAnsi"/>
          <w:sz w:val="20"/>
          <w:szCs w:val="18"/>
        </w:rPr>
        <w:fldChar w:fldCharType="begin"/>
      </w:r>
      <w:r w:rsidR="00DD29FB" w:rsidRPr="00C22ABE">
        <w:rPr>
          <w:rFonts w:cstheme="minorHAnsi"/>
          <w:sz w:val="20"/>
          <w:szCs w:val="18"/>
        </w:rPr>
        <w:instrText xml:space="preserve"> ADDIN ZOTERO_ITEM CSL_CITATION {"citationID":"DDuPOq4Z","properties":{"formattedCitation":"(25)","plainCitation":"(25)","noteIndex":0},"citationItems":[{"id":291,"uris":["http://zotero.org/users/local/Om3YyEnU/items/YE2XP7NP"],"uri":["http://zotero.org/users/local/Om3YyEnU/items/YE2XP7NP"],"itemData":{"id":291,"type":"article-journal","container-title":"Oral Surgery, Oral Medicine, Oral Pathology and Oral Radiology","DOI":"10.1016/j.oooo.2017.04.012","ISSN":"22124403","issue":"2","journalAbbreviation":"Oral Surgery, Oral Medicine, Oral Pathology and Oral Radiology","language":"en","page":"139-145","source":"DOI.org (Crossref)","title":"Relationship between dental status and development of osteoradionecrosis of the jaw: a multicenter retrospective study","title-short":"Relationship between dental status and development of osteoradionecrosis of the jaw","volume":"124","author":[{"family":"Kojima","given":"Yuka"},{"family":"Yanamoto","given":"Souichi"},{"family":"Umeda","given":"Masahiro"},{"family":"Kawashita","given":"Yumiko"},{"family":"Saito","given":"Izumi"},{"family":"Hasegawa","given":"Takumi"},{"family":"Komori","given":"Takahide"},{"family":"Ueda","given":"Nobuhiro"},{"family":"Kirita","given":"Tadaaki"},{"family":"Yamada","given":"Shin-ichi"},{"family":"Kurita","given":"Hiroshi"},{"family":"Senga","given":"Yasuko"},{"family":"Shibuya","given":"Yasuyuki"},{"family":"Iwai","given":"Hiroshi"}],"issued":{"date-parts":[["2017",8]]}}}],"schema":"https://github.com/citation-style-language/schema/raw/master/csl-citation.json"} </w:instrText>
      </w:r>
      <w:r w:rsidR="003C3E8C" w:rsidRPr="00C22ABE">
        <w:rPr>
          <w:rFonts w:cstheme="minorHAnsi"/>
          <w:sz w:val="20"/>
          <w:szCs w:val="18"/>
        </w:rPr>
        <w:fldChar w:fldCharType="separate"/>
      </w:r>
      <w:r w:rsidR="00DD29FB" w:rsidRPr="00C22ABE">
        <w:rPr>
          <w:rFonts w:cstheme="minorHAnsi"/>
          <w:sz w:val="20"/>
        </w:rPr>
        <w:t>(25)</w:t>
      </w:r>
      <w:r w:rsidR="003C3E8C" w:rsidRPr="00C22ABE">
        <w:rPr>
          <w:rFonts w:cstheme="minorHAnsi"/>
          <w:sz w:val="20"/>
          <w:szCs w:val="18"/>
        </w:rPr>
        <w:fldChar w:fldCharType="end"/>
      </w:r>
      <w:r w:rsidR="00331DA2" w:rsidRPr="00C22ABE">
        <w:rPr>
          <w:rFonts w:cstheme="minorHAnsi"/>
          <w:sz w:val="20"/>
          <w:szCs w:val="18"/>
        </w:rPr>
        <w:t xml:space="preserve">. Seules les dents saines ou avec des caries peu importantes peuvent être conservées au sein du volume irradié. Des extractions sont préférées à des soins si l’hygiène buccodentaire est médiocre et le nombre de dents restantes du patient peu important, ou encore si le patient est peu motivé </w:t>
      </w:r>
      <w:r w:rsidR="00331DA2" w:rsidRPr="00C22ABE">
        <w:rPr>
          <w:rFonts w:cstheme="minorHAnsi"/>
          <w:sz w:val="20"/>
          <w:szCs w:val="18"/>
        </w:rPr>
        <w:fldChar w:fldCharType="begin"/>
      </w:r>
      <w:r w:rsidR="00DD29FB" w:rsidRPr="00C22ABE">
        <w:rPr>
          <w:rFonts w:cstheme="minorHAnsi"/>
          <w:sz w:val="20"/>
          <w:szCs w:val="18"/>
        </w:rPr>
        <w:instrText xml:space="preserve"> ADDIN ZOTERO_ITEM CSL_CITATION {"citationID":"QQJDfgwg","properties":{"formattedCitation":"(56)","plainCitation":"(56)","noteIndex":0},"citationItems":[{"id":174,"uris":["http://zotero.org/users/local/Om3YyEnU/items/BZ8F9LNP"],"uri":["http://zotero.org/users/local/Om3YyEnU/items/BZ8F9LNP"],"itemData":{"id":174,"type":"article-journal","abstract":"Abstract\n            The deleterious effects of head and neck radiation on bone, with osteoradionecrosis (ORN) as the major disabling side effect of head and neck cancer treatment, are difficult to prevent and hard to treat. This review focuses on the current state of the science regarding the pathobiology, clinical impact, and management of ORN. With regard to the pathobiology underlying ORN, it is not yet confirmed whether the current radiation schedules by 3-dimensional conformal radiotherapy and intensity modified radiotherapy result in an unchanged, decreased, or increased risk of developing ORN when compared with conventional radiation treatment, the main risk factor being the total radiation dose delivered on any clinically significant surface of the mandible.\n            With regard to the prevention of ORN, a thorough, early pre-irradiation dental assessment is still considered the first step to reduce the hazard of developing ORN post-radiotherapy, and hyperbaric oxygen (HBO) treatment reduces the risk of developing ORN in case of dental surgery in an irradiated field.\n            With regard to the treatment of ORN, the focus is bidirectional: elimination of the necrotic bone and improving the vascularity of the normal tissues that were included in the radiation portal. The cure rate of limited ORN by conservative therapy is approximately 50%, and the cure rate of surgical approaches when conservative therapy has failed is approximately 40%.\n            Whether it is effective to support conservative or surgical treatment with HBO as an adjuvant is not set. HBO treatment is shown to increase the vascularity of hard and soft tissues and has been reported to be beneficial in selected cases. However, in randomized clinical trials comparing the preventive effect of HBO on developing ORN with, eg, antibiotic coverage in patients needing dental surgery, the preventive effect of HBO was not shown to surpass that of a more conservative approach.\n            More recently, pharmacologic management was introduced in the treatment of ORN with success, but its efficacy has to be confirmed in randomized clinical trials. The major problem of performing well-designed randomized clinical trials in ORN is having access to large numbers of patients with well-defined, comparable cases of ORN. Because many institutions will not have large numbers of such ORN cases, national and international scientific societies must be approached to join multicenter trials. Fortunately, the interest of funding organizations and the number researchers with an interest in healthy aging is growing. Research aimed at prevention and reduction of the morbidity of cancer treatment fits well within these programs.","container-title":"JNCI Monographs","DOI":"10.1093/jncimonographs/lgz006","ISSN":"1052-6773, 1745-6614","issue":"53","language":"en","page":"lgz006","source":"DOI.org (Crossref)","title":"Research Frontiers in Oral Toxicities of Cancer Therapies: Osteoradionecrosis of the Jaws","title-short":"Research Frontiers in Oral Toxicities of Cancer Therapies","volume":"2019","author":[{"family":"Spijkervet","given":"Frederik K L"},{"family":"Brennan","given":"Michael T"},{"family":"Peterson","given":"Douglas E"},{"family":"Witjes","given":"Max J H"},{"family":"Vissink","given":"Arjan"}],"issued":{"date-parts":[["2019",8,1]]}}}],"schema":"https://github.com/citation-style-language/schema/raw/master/csl-citation.json"} </w:instrText>
      </w:r>
      <w:r w:rsidR="00331DA2" w:rsidRPr="00C22ABE">
        <w:rPr>
          <w:rFonts w:cstheme="minorHAnsi"/>
          <w:sz w:val="20"/>
          <w:szCs w:val="18"/>
        </w:rPr>
        <w:fldChar w:fldCharType="separate"/>
      </w:r>
      <w:r w:rsidR="00DD29FB" w:rsidRPr="00C22ABE">
        <w:rPr>
          <w:rFonts w:cstheme="minorHAnsi"/>
          <w:sz w:val="20"/>
        </w:rPr>
        <w:t>(56)</w:t>
      </w:r>
      <w:r w:rsidR="00331DA2" w:rsidRPr="00C22ABE">
        <w:rPr>
          <w:rFonts w:cstheme="minorHAnsi"/>
          <w:sz w:val="20"/>
          <w:szCs w:val="18"/>
        </w:rPr>
        <w:fldChar w:fldCharType="end"/>
      </w:r>
      <w:r w:rsidR="00331DA2" w:rsidRPr="00C22ABE">
        <w:rPr>
          <w:rFonts w:cstheme="minorHAnsi"/>
          <w:sz w:val="20"/>
          <w:szCs w:val="18"/>
        </w:rPr>
        <w:t xml:space="preserve">. </w:t>
      </w:r>
    </w:p>
    <w:p w14:paraId="6E057F4F" w14:textId="38F4169C" w:rsidR="00FF4BC1" w:rsidRPr="00C22ABE" w:rsidRDefault="00FF4BC1" w:rsidP="00FF4BC1">
      <w:pPr>
        <w:tabs>
          <w:tab w:val="left" w:pos="7110"/>
        </w:tabs>
        <w:rPr>
          <w:rFonts w:cstheme="minorHAnsi"/>
          <w:sz w:val="20"/>
          <w:szCs w:val="18"/>
        </w:rPr>
      </w:pPr>
      <w:r w:rsidRPr="00C22ABE">
        <w:rPr>
          <w:rFonts w:cstheme="minorHAnsi"/>
          <w:sz w:val="20"/>
          <w:szCs w:val="18"/>
        </w:rPr>
        <w:t xml:space="preserve">Les guidelines et </w:t>
      </w:r>
      <w:r w:rsidR="00954954" w:rsidRPr="00C22ABE">
        <w:rPr>
          <w:rFonts w:cstheme="minorHAnsi"/>
          <w:sz w:val="20"/>
          <w:szCs w:val="18"/>
        </w:rPr>
        <w:t>recommandations</w:t>
      </w:r>
      <w:r w:rsidRPr="00C22ABE">
        <w:rPr>
          <w:rFonts w:cstheme="minorHAnsi"/>
          <w:sz w:val="20"/>
          <w:szCs w:val="18"/>
        </w:rPr>
        <w:t xml:space="preserve"> de la German Society of Dental, Oral and </w:t>
      </w:r>
      <w:proofErr w:type="spellStart"/>
      <w:r w:rsidRPr="00C22ABE">
        <w:rPr>
          <w:rFonts w:cstheme="minorHAnsi"/>
          <w:sz w:val="20"/>
          <w:szCs w:val="18"/>
        </w:rPr>
        <w:t>Craniomandibular</w:t>
      </w:r>
      <w:proofErr w:type="spellEnd"/>
      <w:r w:rsidRPr="00C22ABE">
        <w:rPr>
          <w:rFonts w:cstheme="minorHAnsi"/>
          <w:sz w:val="20"/>
          <w:szCs w:val="18"/>
        </w:rPr>
        <w:t xml:space="preserve"> Sciences</w:t>
      </w:r>
      <w:r w:rsidR="00331DA2" w:rsidRPr="00C22ABE">
        <w:rPr>
          <w:rFonts w:cstheme="minorHAnsi"/>
          <w:sz w:val="20"/>
          <w:szCs w:val="18"/>
        </w:rPr>
        <w:t xml:space="preserve"> sont assez précis : </w:t>
      </w:r>
      <w:r w:rsidRPr="00C22ABE">
        <w:rPr>
          <w:rFonts w:cstheme="minorHAnsi"/>
          <w:sz w:val="20"/>
          <w:szCs w:val="18"/>
        </w:rPr>
        <w:t xml:space="preserve">sont </w:t>
      </w:r>
      <w:r w:rsidR="0048773D" w:rsidRPr="00C22ABE">
        <w:rPr>
          <w:rFonts w:cstheme="minorHAnsi"/>
          <w:sz w:val="20"/>
          <w:szCs w:val="18"/>
        </w:rPr>
        <w:t>extraites</w:t>
      </w:r>
      <w:r w:rsidRPr="00C22ABE">
        <w:rPr>
          <w:rFonts w:cstheme="minorHAnsi"/>
          <w:sz w:val="20"/>
          <w:szCs w:val="18"/>
        </w:rPr>
        <w:t xml:space="preserve"> avant radiothérapie </w:t>
      </w:r>
      <w:r w:rsidR="0079355D" w:rsidRPr="00C22ABE">
        <w:rPr>
          <w:rFonts w:cstheme="minorHAnsi"/>
          <w:sz w:val="20"/>
          <w:szCs w:val="18"/>
        </w:rPr>
        <w:t>les dents qui</w:t>
      </w:r>
      <w:r w:rsidR="00331DA2" w:rsidRPr="00C22ABE">
        <w:rPr>
          <w:rFonts w:cstheme="minorHAnsi"/>
          <w:sz w:val="20"/>
          <w:szCs w:val="18"/>
        </w:rPr>
        <w:t xml:space="preserve"> présentent des</w:t>
      </w:r>
      <w:r w:rsidRPr="00C22ABE">
        <w:rPr>
          <w:rFonts w:cstheme="minorHAnsi"/>
          <w:sz w:val="20"/>
          <w:szCs w:val="18"/>
        </w:rPr>
        <w:t xml:space="preserve"> poches parodontales supérieures ou égales à 5 mm</w:t>
      </w:r>
      <w:r w:rsidR="00331DA2" w:rsidRPr="00C22ABE">
        <w:rPr>
          <w:rFonts w:cstheme="minorHAnsi"/>
          <w:sz w:val="20"/>
          <w:szCs w:val="18"/>
        </w:rPr>
        <w:t xml:space="preserve">, une </w:t>
      </w:r>
      <w:r w:rsidRPr="00C22ABE">
        <w:rPr>
          <w:rFonts w:cstheme="minorHAnsi"/>
          <w:sz w:val="20"/>
          <w:szCs w:val="18"/>
        </w:rPr>
        <w:t>atteinte de furcation</w:t>
      </w:r>
      <w:r w:rsidR="00331DA2" w:rsidRPr="00C22ABE">
        <w:rPr>
          <w:rFonts w:cstheme="minorHAnsi"/>
          <w:sz w:val="20"/>
          <w:szCs w:val="18"/>
        </w:rPr>
        <w:t xml:space="preserve">, </w:t>
      </w:r>
      <w:r w:rsidR="0079355D" w:rsidRPr="00C22ABE">
        <w:rPr>
          <w:rFonts w:cstheme="minorHAnsi"/>
          <w:sz w:val="20"/>
          <w:szCs w:val="18"/>
        </w:rPr>
        <w:t>d</w:t>
      </w:r>
      <w:r w:rsidR="00331DA2" w:rsidRPr="00C22ABE">
        <w:rPr>
          <w:rFonts w:cstheme="minorHAnsi"/>
          <w:sz w:val="20"/>
          <w:szCs w:val="18"/>
        </w:rPr>
        <w:t>es</w:t>
      </w:r>
      <w:r w:rsidR="0079355D" w:rsidRPr="00C22ABE">
        <w:rPr>
          <w:rFonts w:cstheme="minorHAnsi"/>
          <w:sz w:val="20"/>
          <w:szCs w:val="18"/>
        </w:rPr>
        <w:t xml:space="preserve"> </w:t>
      </w:r>
      <w:r w:rsidRPr="00C22ABE">
        <w:rPr>
          <w:rFonts w:cstheme="minorHAnsi"/>
          <w:sz w:val="20"/>
          <w:szCs w:val="18"/>
        </w:rPr>
        <w:t>caries atteign</w:t>
      </w:r>
      <w:r w:rsidR="00331DA2" w:rsidRPr="00C22ABE">
        <w:rPr>
          <w:rFonts w:cstheme="minorHAnsi"/>
          <w:sz w:val="20"/>
          <w:szCs w:val="18"/>
        </w:rPr>
        <w:t>e</w:t>
      </w:r>
      <w:r w:rsidRPr="00C22ABE">
        <w:rPr>
          <w:rFonts w:cstheme="minorHAnsi"/>
          <w:sz w:val="20"/>
          <w:szCs w:val="18"/>
        </w:rPr>
        <w:t>nt la pulpe</w:t>
      </w:r>
      <w:r w:rsidR="0079355D" w:rsidRPr="00C22ABE">
        <w:rPr>
          <w:rFonts w:cstheme="minorHAnsi"/>
          <w:sz w:val="20"/>
          <w:szCs w:val="18"/>
        </w:rPr>
        <w:t>, les</w:t>
      </w:r>
      <w:r w:rsidRPr="00C22ABE">
        <w:rPr>
          <w:rFonts w:cstheme="minorHAnsi"/>
          <w:sz w:val="20"/>
          <w:szCs w:val="18"/>
        </w:rPr>
        <w:t xml:space="preserve"> dents incluses ou ½ incluses</w:t>
      </w:r>
      <w:r w:rsidR="0079355D" w:rsidRPr="00C22ABE">
        <w:rPr>
          <w:rFonts w:cstheme="minorHAnsi"/>
          <w:sz w:val="20"/>
          <w:szCs w:val="18"/>
        </w:rPr>
        <w:t>, les dents fracturées, porteuses de</w:t>
      </w:r>
      <w:r w:rsidRPr="00C22ABE">
        <w:rPr>
          <w:rFonts w:cstheme="minorHAnsi"/>
          <w:sz w:val="20"/>
          <w:szCs w:val="18"/>
        </w:rPr>
        <w:t xml:space="preserve"> grosses reconstitutions, </w:t>
      </w:r>
      <w:r w:rsidR="0079355D" w:rsidRPr="00C22ABE">
        <w:rPr>
          <w:rFonts w:cstheme="minorHAnsi"/>
          <w:sz w:val="20"/>
          <w:szCs w:val="18"/>
        </w:rPr>
        <w:t xml:space="preserve">présentant une </w:t>
      </w:r>
      <w:r w:rsidRPr="00C22ABE">
        <w:rPr>
          <w:rFonts w:cstheme="minorHAnsi"/>
          <w:sz w:val="20"/>
          <w:szCs w:val="18"/>
        </w:rPr>
        <w:t>usure occlusale importante</w:t>
      </w:r>
      <w:r w:rsidR="0079355D" w:rsidRPr="00C22ABE">
        <w:rPr>
          <w:rFonts w:cstheme="minorHAnsi"/>
          <w:sz w:val="20"/>
          <w:szCs w:val="18"/>
        </w:rPr>
        <w:t>,</w:t>
      </w:r>
      <w:r w:rsidRPr="00C22ABE">
        <w:rPr>
          <w:rFonts w:cstheme="minorHAnsi"/>
          <w:sz w:val="20"/>
          <w:szCs w:val="18"/>
        </w:rPr>
        <w:t xml:space="preserve"> </w:t>
      </w:r>
      <w:r w:rsidR="0079355D" w:rsidRPr="00C22ABE">
        <w:rPr>
          <w:rFonts w:cstheme="minorHAnsi"/>
          <w:sz w:val="20"/>
          <w:szCs w:val="18"/>
        </w:rPr>
        <w:t xml:space="preserve">situées </w:t>
      </w:r>
      <w:r w:rsidRPr="00C22ABE">
        <w:rPr>
          <w:rFonts w:cstheme="minorHAnsi"/>
          <w:sz w:val="20"/>
          <w:szCs w:val="18"/>
        </w:rPr>
        <w:t>dans un volume de &gt;</w:t>
      </w:r>
      <w:r w:rsidR="008A6506" w:rsidRPr="00C22ABE">
        <w:rPr>
          <w:rFonts w:cstheme="minorHAnsi"/>
          <w:sz w:val="20"/>
          <w:szCs w:val="18"/>
        </w:rPr>
        <w:t xml:space="preserve"> </w:t>
      </w:r>
      <w:r w:rsidRPr="00C22ABE">
        <w:rPr>
          <w:rFonts w:cstheme="minorHAnsi"/>
          <w:sz w:val="20"/>
          <w:szCs w:val="18"/>
        </w:rPr>
        <w:t>55 Gy</w:t>
      </w:r>
      <w:r w:rsidR="00255F29" w:rsidRPr="00C22ABE">
        <w:rPr>
          <w:rFonts w:cstheme="minorHAnsi"/>
          <w:sz w:val="20"/>
          <w:szCs w:val="18"/>
        </w:rPr>
        <w:t xml:space="preserve"> </w:t>
      </w:r>
      <w:r w:rsidRPr="00C22ABE">
        <w:rPr>
          <w:rFonts w:cstheme="minorHAnsi"/>
          <w:sz w:val="20"/>
          <w:szCs w:val="18"/>
        </w:rPr>
        <w:t xml:space="preserve">; </w:t>
      </w:r>
      <w:r w:rsidR="0079355D" w:rsidRPr="00C22ABE">
        <w:rPr>
          <w:rFonts w:cstheme="minorHAnsi"/>
          <w:sz w:val="20"/>
          <w:szCs w:val="18"/>
        </w:rPr>
        <w:t xml:space="preserve">les </w:t>
      </w:r>
      <w:r w:rsidRPr="00C22ABE">
        <w:rPr>
          <w:rFonts w:cstheme="minorHAnsi"/>
          <w:sz w:val="20"/>
          <w:szCs w:val="18"/>
        </w:rPr>
        <w:t>dent</w:t>
      </w:r>
      <w:r w:rsidR="0079355D" w:rsidRPr="00C22ABE">
        <w:rPr>
          <w:rFonts w:cstheme="minorHAnsi"/>
          <w:sz w:val="20"/>
          <w:szCs w:val="18"/>
        </w:rPr>
        <w:t>s</w:t>
      </w:r>
      <w:r w:rsidRPr="00C22ABE">
        <w:rPr>
          <w:rFonts w:cstheme="minorHAnsi"/>
          <w:sz w:val="20"/>
          <w:szCs w:val="18"/>
        </w:rPr>
        <w:t xml:space="preserve"> mortifiée</w:t>
      </w:r>
      <w:r w:rsidR="0079355D" w:rsidRPr="00C22ABE">
        <w:rPr>
          <w:rFonts w:cstheme="minorHAnsi"/>
          <w:sz w:val="20"/>
          <w:szCs w:val="18"/>
        </w:rPr>
        <w:t>s</w:t>
      </w:r>
      <w:r w:rsidRPr="00C22ABE">
        <w:rPr>
          <w:rFonts w:cstheme="minorHAnsi"/>
          <w:sz w:val="20"/>
          <w:szCs w:val="18"/>
        </w:rPr>
        <w:t xml:space="preserve"> ou </w:t>
      </w:r>
      <w:r w:rsidR="0079355D" w:rsidRPr="00C22ABE">
        <w:rPr>
          <w:rFonts w:cstheme="minorHAnsi"/>
          <w:sz w:val="20"/>
          <w:szCs w:val="18"/>
        </w:rPr>
        <w:t>dont l’</w:t>
      </w:r>
      <w:r w:rsidRPr="00C22ABE">
        <w:rPr>
          <w:rFonts w:cstheme="minorHAnsi"/>
          <w:sz w:val="20"/>
          <w:szCs w:val="18"/>
        </w:rPr>
        <w:t>obturati</w:t>
      </w:r>
      <w:r w:rsidR="0079355D" w:rsidRPr="00C22ABE">
        <w:rPr>
          <w:rFonts w:cstheme="minorHAnsi"/>
          <w:sz w:val="20"/>
          <w:szCs w:val="18"/>
        </w:rPr>
        <w:t>o</w:t>
      </w:r>
      <w:r w:rsidRPr="00C22ABE">
        <w:rPr>
          <w:rFonts w:cstheme="minorHAnsi"/>
          <w:sz w:val="20"/>
          <w:szCs w:val="18"/>
        </w:rPr>
        <w:t xml:space="preserve">n canalaire </w:t>
      </w:r>
      <w:r w:rsidR="0079355D" w:rsidRPr="00C22ABE">
        <w:rPr>
          <w:rFonts w:cstheme="minorHAnsi"/>
          <w:sz w:val="20"/>
          <w:szCs w:val="18"/>
        </w:rPr>
        <w:t>est incomplète, les dents douloureuses, sensibles à la percussion</w:t>
      </w:r>
      <w:r w:rsidRPr="00C22ABE">
        <w:rPr>
          <w:rFonts w:cstheme="minorHAnsi"/>
          <w:sz w:val="20"/>
          <w:szCs w:val="18"/>
        </w:rPr>
        <w:t xml:space="preserve">, </w:t>
      </w:r>
      <w:r w:rsidR="0079355D" w:rsidRPr="00C22ABE">
        <w:rPr>
          <w:rFonts w:cstheme="minorHAnsi"/>
          <w:sz w:val="20"/>
          <w:szCs w:val="18"/>
        </w:rPr>
        <w:t>ou présentant une lésion</w:t>
      </w:r>
      <w:r w:rsidRPr="00C22ABE">
        <w:rPr>
          <w:rFonts w:cstheme="minorHAnsi"/>
          <w:sz w:val="20"/>
          <w:szCs w:val="18"/>
        </w:rPr>
        <w:t xml:space="preserve"> apicale </w:t>
      </w:r>
      <w:proofErr w:type="spellStart"/>
      <w:r w:rsidRPr="00C22ABE">
        <w:rPr>
          <w:rFonts w:cstheme="minorHAnsi"/>
          <w:sz w:val="20"/>
          <w:szCs w:val="18"/>
        </w:rPr>
        <w:t>radioclaire</w:t>
      </w:r>
      <w:proofErr w:type="spellEnd"/>
      <w:r w:rsidR="0079355D" w:rsidRPr="00C22ABE">
        <w:rPr>
          <w:rFonts w:cstheme="minorHAnsi"/>
          <w:sz w:val="20"/>
          <w:szCs w:val="18"/>
        </w:rPr>
        <w:t>. Sont également extraites les dents dont la localisation compromet l’hygiène buccodentaire p</w:t>
      </w:r>
      <w:r w:rsidR="005A668F" w:rsidRPr="00C22ABE">
        <w:rPr>
          <w:rFonts w:cstheme="minorHAnsi"/>
          <w:sz w:val="20"/>
          <w:szCs w:val="18"/>
        </w:rPr>
        <w:t xml:space="preserve">ar </w:t>
      </w:r>
      <w:r w:rsidR="0079355D" w:rsidRPr="00C22ABE">
        <w:rPr>
          <w:rFonts w:cstheme="minorHAnsi"/>
          <w:sz w:val="20"/>
          <w:szCs w:val="18"/>
        </w:rPr>
        <w:t>ex</w:t>
      </w:r>
      <w:r w:rsidR="005A668F" w:rsidRPr="00C22ABE">
        <w:rPr>
          <w:rFonts w:cstheme="minorHAnsi"/>
          <w:sz w:val="20"/>
          <w:szCs w:val="18"/>
        </w:rPr>
        <w:t>emple</w:t>
      </w:r>
      <w:r w:rsidR="0079355D" w:rsidRPr="00C22ABE">
        <w:rPr>
          <w:rFonts w:cstheme="minorHAnsi"/>
          <w:sz w:val="20"/>
          <w:szCs w:val="18"/>
        </w:rPr>
        <w:t xml:space="preserve"> suite à un trismus </w:t>
      </w:r>
      <w:r w:rsidRPr="00C22ABE">
        <w:rPr>
          <w:rFonts w:cstheme="minorHAnsi"/>
          <w:sz w:val="20"/>
          <w:szCs w:val="18"/>
        </w:rPr>
        <w:t xml:space="preserve"> </w:t>
      </w:r>
      <w:r w:rsidR="0079355D" w:rsidRPr="00C22ABE">
        <w:rPr>
          <w:rFonts w:cstheme="minorHAnsi"/>
          <w:sz w:val="20"/>
          <w:szCs w:val="18"/>
        </w:rPr>
        <w:fldChar w:fldCharType="begin"/>
      </w:r>
      <w:r w:rsidR="00D36EC3">
        <w:rPr>
          <w:rFonts w:cstheme="minorHAnsi"/>
          <w:sz w:val="20"/>
          <w:szCs w:val="18"/>
        </w:rPr>
        <w:instrText xml:space="preserve"> ADDIN ZOTERO_ITEM CSL_CITATION {"citationID":"WESWFR8a","properties":{"formattedCitation":"(73)","plainCitation":"(73)","noteIndex":0},"citationItems":[{"id":313,"uris":["http://zotero.org/users/local/Om3YyEnU/items/MTNT66WD"],"uri":["http://zotero.org/users/local/Om3YyEnU/items/MTNT66WD"],"itemData":{"id":313,"type":"article-journal","abstract":"OBJECTIVES: The aim of this study was to analyze the influence of dental treatment on the development of osteoradionecrosis (ORN) of the jaw.\nMETHODS: This study included the data of 776 patients who underwent 3D-CRT or IMRT because of head and neck cancer. Sex, dental status before and after radiotherapy (RT), tumor site, bone surgery during tumor operation, concomitant chemotherapy, and the development of an advanced ORN were documented for each patient. The patients' dentitions before and after RT were classified into four groups with regard to the number and localization of the remaining teeth. Differences between the patients with ORN and patients without ORN with regard to the teeth's condition before and after RT, and with regard to the extent of dental treatment were determined descriptively. Cox proportional hazards regression to study the association between dentition and the development of ORN.\nRESULTS: The extent of dental treatment in patients with and without ORN did not differ in a clinically relevant way. The highest risk of developing ORN was observed in patients who had undergone primary bone surgery during the tumor operation (HR = 5.58, 95%CI 2.91-10.7) and patients who had a tumor in the oral cavity (HR = 4.84, 95%CI 1.37-17.11).\nCONCLUSIONS: Based on the results of this study, tumor localization and its required treatment are prognostic factors for the development of ORN.\nCLINICAL SIGNIFICANCE: After implementing a consequent dental treatment scheme, no influence of dentition on the risk of developing ORN could be demonstrated. Patients with a lower risk could prospectively benefit from a more moderate dental treatment scheme.","container-title":"Clinical Oral Investigations","DOI":"10.1007/s00784-017-2048-8","ISSN":"1436-3771","issue":"8","journalAbbreviation":"Clin Oral Investig","language":"eng","note":"PMID: 28091874","page":"2499-2508","source":"PubMed","title":"The influence of dental treatment on the development of osteoradionecrosis after radiotherapy by modern irradiation techniques","volume":"21","author":[{"family":"Schweyen","given":"Ramona"},{"family":"Stang","given":"Andreas"},{"family":"Wienke","given":"Andreas"},{"family":"Eckert","given":"Alexander"},{"family":"Kuhnt","given":"Thomas"},{"family":"Hey","given":"Jeremias"}],"issued":{"date-parts":[["2017",11]]}}}],"schema":"https://github.com/citation-style-language/schema/raw/master/csl-citation.json"} </w:instrText>
      </w:r>
      <w:r w:rsidR="0079355D" w:rsidRPr="00C22ABE">
        <w:rPr>
          <w:rFonts w:cstheme="minorHAnsi"/>
          <w:sz w:val="20"/>
          <w:szCs w:val="18"/>
        </w:rPr>
        <w:fldChar w:fldCharType="separate"/>
      </w:r>
      <w:r w:rsidR="00D36EC3" w:rsidRPr="00D36EC3">
        <w:rPr>
          <w:rFonts w:ascii="Calibri" w:hAnsi="Calibri" w:cs="Calibri"/>
          <w:sz w:val="20"/>
        </w:rPr>
        <w:t>(73)</w:t>
      </w:r>
      <w:r w:rsidR="0079355D" w:rsidRPr="00C22ABE">
        <w:rPr>
          <w:rFonts w:cstheme="minorHAnsi"/>
          <w:sz w:val="20"/>
          <w:szCs w:val="18"/>
        </w:rPr>
        <w:fldChar w:fldCharType="end"/>
      </w:r>
      <w:r w:rsidR="0079355D" w:rsidRPr="00C22ABE">
        <w:rPr>
          <w:rFonts w:cstheme="minorHAnsi"/>
          <w:sz w:val="20"/>
          <w:szCs w:val="18"/>
        </w:rPr>
        <w:t>.</w:t>
      </w:r>
    </w:p>
    <w:p w14:paraId="70BEAB97" w14:textId="68449C1A" w:rsidR="00B935D4" w:rsidRPr="00C22ABE" w:rsidRDefault="00B935D4" w:rsidP="00B935D4">
      <w:pPr>
        <w:tabs>
          <w:tab w:val="left" w:pos="7110"/>
        </w:tabs>
        <w:rPr>
          <w:rFonts w:cstheme="minorHAnsi"/>
          <w:sz w:val="20"/>
          <w:szCs w:val="18"/>
        </w:rPr>
      </w:pPr>
      <w:r w:rsidRPr="00C22ABE">
        <w:rPr>
          <w:rFonts w:cstheme="minorHAnsi"/>
          <w:sz w:val="20"/>
          <w:szCs w:val="18"/>
        </w:rPr>
        <w:t xml:space="preserve">Pour d’autres auteurs, certains éléments sont considérés comme étant des foyers oraux, à traiter avant le début de la radiothérapie, ou à éliminer si le temps est trop limité entre l’examen et le début du traitement </w:t>
      </w:r>
      <w:r w:rsidRPr="00C22ABE">
        <w:rPr>
          <w:rFonts w:cstheme="minorHAnsi"/>
          <w:sz w:val="20"/>
          <w:szCs w:val="18"/>
        </w:rPr>
        <w:fldChar w:fldCharType="begin"/>
      </w:r>
      <w:r w:rsidR="00D36EC3">
        <w:rPr>
          <w:rFonts w:cstheme="minorHAnsi"/>
          <w:sz w:val="20"/>
          <w:szCs w:val="18"/>
        </w:rPr>
        <w:instrText xml:space="preserve"> ADDIN ZOTERO_ITEM CSL_CITATION {"citationID":"hOaBMge4","properties":{"formattedCitation":"(75)","plainCitation":"(75)","noteIndex":0},"citationItems":[{"id":252,"uris":["http://zotero.org/users/local/Om3YyEnU/items/8F79G8PF"],"uri":["http://zotero.org/users/local/Om3YyEnU/items/8F79G8PF"],"itemData":{"id":252,"type":"article-journal","abstract":"Pre-radiation dental screening of head-neck cancer patients aims to identify and eliminate oral foci of infection to prevent post-radiation oral problems. The evidence for the efficacy of dental screening is unclear. In this systematic review, we analyzed available evidence on the efficacy of pre-radiation elimination of oral foci of infection in preventing oral sequelae. A search was conducted (MEDLINE/EMBASE) for papers published up to May 2014. Papers on head-neck cancer patients subjected to pre-radiation dental screening, (chemo)radiation and oral follow-up were included. Of the 1770 identified papers, 20 studies fulfilled the inclusion criteria of which 17 were retrospective. A great heterogeneity in patient groups, dental screening techniques, definitions of oral foci of infection and techniques for eliminating foci was found. Most papers lacked essential details on how dental screening was performed and a clear definition of an oral focus of infection. The evidence for efficacy of elimination of oral foci of infection to prevent post-radiotherapy oral sequelae was inconclusive. Consequently, the efficacy of pre-radiation elimination of oral foci of infection remains unclear. No conclusions can be drawn about a definition of an oral focus of infection and whether pre-radiation elimination of these foci should be mandatory. We therefore suggest prospective studies with well-defined criteria for oral foci of infection, a clear description of which foci were eliminated and how, a detailed description of pre-radiation dental screening, clearly described patient and tumor characteristics, and a detailed dental history and dental status. Subsequently, oral problems that occur post-radiation should be systematically recorded.","container-title":"Oral Oncology","DOI":"10.1016/j.oraloncology.2014.11.017","ISSN":"1879-0593","issue":"3","journalAbbreviation":"Oral Oncol","language":"eng","note":"PMID: 25524386","page":"212-220","source":"PubMed","title":"Evidence supporting pre-radiation elimination of oral foci of infection in head and neck cancer patients to prevent oral sequelae. A systematic review","volume":"51","author":[{"family":"Schuurhuis","given":"Jennifer M."},{"family":"Stokman","given":"Monique A."},{"family":"Witjes","given":"Max J. H."},{"family":"Dijkstra","given":"Pieter U."},{"family":"Vissink","given":"Arjan"},{"family":"Spijkervet","given":"Frederik K. L."}],"issued":{"date-parts":[["2015",3]]}}}],"schema":"https://github.com/citation-style-language/schema/raw/master/csl-citation.json"} </w:instrText>
      </w:r>
      <w:r w:rsidRPr="00C22ABE">
        <w:rPr>
          <w:rFonts w:cstheme="minorHAnsi"/>
          <w:sz w:val="20"/>
          <w:szCs w:val="18"/>
        </w:rPr>
        <w:fldChar w:fldCharType="separate"/>
      </w:r>
      <w:r w:rsidR="00D36EC3" w:rsidRPr="00D36EC3">
        <w:rPr>
          <w:rFonts w:ascii="Calibri" w:hAnsi="Calibri" w:cs="Calibri"/>
          <w:sz w:val="20"/>
        </w:rPr>
        <w:t>(75)</w:t>
      </w:r>
      <w:r w:rsidRPr="00C22ABE">
        <w:rPr>
          <w:rFonts w:cstheme="minorHAnsi"/>
          <w:sz w:val="20"/>
          <w:szCs w:val="18"/>
        </w:rPr>
        <w:fldChar w:fldCharType="end"/>
      </w:r>
      <w:r w:rsidR="005A668F" w:rsidRPr="00C22ABE">
        <w:rPr>
          <w:rFonts w:cstheme="minorHAnsi"/>
          <w:sz w:val="20"/>
          <w:szCs w:val="18"/>
        </w:rPr>
        <w:t>.</w:t>
      </w:r>
    </w:p>
    <w:p w14:paraId="5DC9C381" w14:textId="7384D7A6" w:rsidR="00B935D4" w:rsidRPr="00C22ABE" w:rsidRDefault="00B935D4" w:rsidP="00B935D4">
      <w:pPr>
        <w:pStyle w:val="Paragraphedeliste"/>
        <w:numPr>
          <w:ilvl w:val="0"/>
          <w:numId w:val="3"/>
        </w:numPr>
        <w:tabs>
          <w:tab w:val="left" w:pos="7110"/>
        </w:tabs>
        <w:rPr>
          <w:rFonts w:cstheme="minorHAnsi"/>
          <w:sz w:val="20"/>
          <w:szCs w:val="18"/>
        </w:rPr>
      </w:pPr>
      <w:r w:rsidRPr="00C22ABE">
        <w:rPr>
          <w:rFonts w:cstheme="minorHAnsi"/>
          <w:sz w:val="20"/>
          <w:szCs w:val="18"/>
        </w:rPr>
        <w:t>Caries dentaires profondes avec risque d’exposition pulpaire lors du traitement</w:t>
      </w:r>
      <w:r w:rsidR="005A668F" w:rsidRPr="00C22ABE">
        <w:rPr>
          <w:rFonts w:cstheme="minorHAnsi"/>
          <w:sz w:val="20"/>
          <w:szCs w:val="18"/>
        </w:rPr>
        <w:t>.</w:t>
      </w:r>
    </w:p>
    <w:p w14:paraId="205E0B40" w14:textId="4A51F9EF" w:rsidR="00B935D4" w:rsidRPr="00C22ABE" w:rsidRDefault="00B935D4" w:rsidP="00B935D4">
      <w:pPr>
        <w:pStyle w:val="Paragraphedeliste"/>
        <w:numPr>
          <w:ilvl w:val="0"/>
          <w:numId w:val="3"/>
        </w:numPr>
        <w:tabs>
          <w:tab w:val="left" w:pos="7110"/>
        </w:tabs>
        <w:rPr>
          <w:rFonts w:cstheme="minorHAnsi"/>
          <w:sz w:val="20"/>
          <w:szCs w:val="18"/>
        </w:rPr>
      </w:pPr>
      <w:r w:rsidRPr="00C22ABE">
        <w:rPr>
          <w:rFonts w:cstheme="minorHAnsi"/>
          <w:sz w:val="20"/>
          <w:szCs w:val="18"/>
        </w:rPr>
        <w:t>Maladie parodontale avec présence de poches &gt; 6 mm, une atteinte de furcation &gt;</w:t>
      </w:r>
      <w:r w:rsidR="00255F29" w:rsidRPr="00C22ABE">
        <w:rPr>
          <w:rFonts w:cstheme="minorHAnsi"/>
          <w:sz w:val="20"/>
          <w:szCs w:val="18"/>
        </w:rPr>
        <w:t xml:space="preserve"> </w:t>
      </w:r>
      <w:r w:rsidRPr="00C22ABE">
        <w:rPr>
          <w:rFonts w:cstheme="minorHAnsi"/>
          <w:sz w:val="20"/>
          <w:szCs w:val="18"/>
        </w:rPr>
        <w:t>grade 1, une mobilité dentaire &gt; grade 1, récession gingivale &gt; 6 mm, et surtout l’association de ces différents éléments (perte d’attache du ligament parodontal)</w:t>
      </w:r>
      <w:r w:rsidR="005A668F" w:rsidRPr="00C22ABE">
        <w:rPr>
          <w:rFonts w:cstheme="minorHAnsi"/>
          <w:sz w:val="20"/>
          <w:szCs w:val="18"/>
        </w:rPr>
        <w:t>.</w:t>
      </w:r>
    </w:p>
    <w:p w14:paraId="52E2527E" w14:textId="45EE1EC4" w:rsidR="00B935D4" w:rsidRPr="00C22ABE" w:rsidRDefault="00B935D4" w:rsidP="00B935D4">
      <w:pPr>
        <w:pStyle w:val="Paragraphedeliste"/>
        <w:numPr>
          <w:ilvl w:val="0"/>
          <w:numId w:val="3"/>
        </w:numPr>
        <w:tabs>
          <w:tab w:val="left" w:pos="7110"/>
        </w:tabs>
        <w:rPr>
          <w:rFonts w:cstheme="minorHAnsi"/>
          <w:sz w:val="20"/>
          <w:szCs w:val="18"/>
        </w:rPr>
      </w:pPr>
      <w:r w:rsidRPr="00C22ABE">
        <w:rPr>
          <w:rFonts w:cstheme="minorHAnsi"/>
          <w:sz w:val="20"/>
          <w:szCs w:val="18"/>
        </w:rPr>
        <w:t>Dents non restaurables avec de grosses reconstitutions, surtout si sous-gingivale ou atteignant la racine, ou dents fortement abrasées</w:t>
      </w:r>
      <w:r w:rsidR="005A668F" w:rsidRPr="00C22ABE">
        <w:rPr>
          <w:rFonts w:cstheme="minorHAnsi"/>
          <w:sz w:val="20"/>
          <w:szCs w:val="18"/>
        </w:rPr>
        <w:t>.</w:t>
      </w:r>
      <w:r w:rsidRPr="00C22ABE">
        <w:rPr>
          <w:rFonts w:cstheme="minorHAnsi"/>
          <w:sz w:val="20"/>
          <w:szCs w:val="18"/>
        </w:rPr>
        <w:t xml:space="preserve"> </w:t>
      </w:r>
    </w:p>
    <w:p w14:paraId="4F83871C" w14:textId="67E4A22A" w:rsidR="00B935D4" w:rsidRPr="00C22ABE" w:rsidRDefault="00B935D4" w:rsidP="00B935D4">
      <w:pPr>
        <w:pStyle w:val="Paragraphedeliste"/>
        <w:numPr>
          <w:ilvl w:val="0"/>
          <w:numId w:val="3"/>
        </w:numPr>
        <w:tabs>
          <w:tab w:val="left" w:pos="7110"/>
        </w:tabs>
        <w:rPr>
          <w:rFonts w:cstheme="minorHAnsi"/>
          <w:sz w:val="20"/>
          <w:szCs w:val="18"/>
        </w:rPr>
      </w:pPr>
      <w:r w:rsidRPr="00C22ABE">
        <w:rPr>
          <w:rFonts w:cstheme="minorHAnsi"/>
          <w:sz w:val="20"/>
          <w:szCs w:val="18"/>
        </w:rPr>
        <w:t xml:space="preserve">Dent mortifiée </w:t>
      </w:r>
      <w:r w:rsidR="00960B04">
        <w:rPr>
          <w:rFonts w:cstheme="minorHAnsi"/>
          <w:sz w:val="20"/>
          <w:szCs w:val="18"/>
        </w:rPr>
        <w:t xml:space="preserve">avec ou sans </w:t>
      </w:r>
      <w:r w:rsidRPr="00C22ABE">
        <w:rPr>
          <w:rFonts w:cstheme="minorHAnsi"/>
          <w:sz w:val="20"/>
          <w:szCs w:val="18"/>
        </w:rPr>
        <w:t xml:space="preserve">lésion </w:t>
      </w:r>
      <w:proofErr w:type="spellStart"/>
      <w:r w:rsidRPr="00C22ABE">
        <w:rPr>
          <w:rFonts w:cstheme="minorHAnsi"/>
          <w:sz w:val="20"/>
          <w:szCs w:val="18"/>
        </w:rPr>
        <w:t>périapicale</w:t>
      </w:r>
      <w:proofErr w:type="spellEnd"/>
      <w:r w:rsidR="005A668F" w:rsidRPr="00C22ABE">
        <w:rPr>
          <w:rFonts w:cstheme="minorHAnsi"/>
          <w:sz w:val="20"/>
          <w:szCs w:val="18"/>
        </w:rPr>
        <w:t>.</w:t>
      </w:r>
    </w:p>
    <w:p w14:paraId="03E32720" w14:textId="51B4F4A9" w:rsidR="00B935D4" w:rsidRPr="00C22ABE" w:rsidRDefault="00B935D4" w:rsidP="00B935D4">
      <w:pPr>
        <w:pStyle w:val="Paragraphedeliste"/>
        <w:numPr>
          <w:ilvl w:val="0"/>
          <w:numId w:val="3"/>
        </w:numPr>
        <w:tabs>
          <w:tab w:val="left" w:pos="7110"/>
        </w:tabs>
        <w:rPr>
          <w:rFonts w:cstheme="minorHAnsi"/>
          <w:sz w:val="20"/>
          <w:szCs w:val="18"/>
        </w:rPr>
      </w:pPr>
      <w:r w:rsidRPr="00C22ABE">
        <w:rPr>
          <w:rFonts w:cstheme="minorHAnsi"/>
          <w:sz w:val="20"/>
          <w:szCs w:val="18"/>
        </w:rPr>
        <w:lastRenderedPageBreak/>
        <w:t xml:space="preserve">Dent partiellement incluse (non recouverte totalement d’os), ou présence d’une </w:t>
      </w:r>
      <w:proofErr w:type="spellStart"/>
      <w:r w:rsidRPr="00C22ABE">
        <w:rPr>
          <w:rFonts w:cstheme="minorHAnsi"/>
          <w:sz w:val="20"/>
          <w:szCs w:val="18"/>
        </w:rPr>
        <w:t>radioclarté</w:t>
      </w:r>
      <w:proofErr w:type="spellEnd"/>
      <w:r w:rsidR="005A668F" w:rsidRPr="00C22ABE">
        <w:rPr>
          <w:rFonts w:cstheme="minorHAnsi"/>
          <w:sz w:val="20"/>
          <w:szCs w:val="18"/>
        </w:rPr>
        <w:t>.</w:t>
      </w:r>
    </w:p>
    <w:p w14:paraId="3C60A3F5" w14:textId="261AE77D" w:rsidR="00B935D4" w:rsidRPr="00C22ABE" w:rsidRDefault="00B935D4" w:rsidP="00B935D4">
      <w:pPr>
        <w:pStyle w:val="Paragraphedeliste"/>
        <w:numPr>
          <w:ilvl w:val="0"/>
          <w:numId w:val="3"/>
        </w:numPr>
        <w:tabs>
          <w:tab w:val="left" w:pos="7110"/>
        </w:tabs>
        <w:rPr>
          <w:rFonts w:cstheme="minorHAnsi"/>
          <w:sz w:val="20"/>
          <w:szCs w:val="18"/>
        </w:rPr>
      </w:pPr>
      <w:r w:rsidRPr="00C22ABE">
        <w:rPr>
          <w:rFonts w:cstheme="minorHAnsi"/>
          <w:sz w:val="20"/>
          <w:szCs w:val="18"/>
        </w:rPr>
        <w:t>Présence de kystes ou autres lésions osseuses</w:t>
      </w:r>
      <w:r w:rsidR="005A668F" w:rsidRPr="00C22ABE">
        <w:rPr>
          <w:rFonts w:cstheme="minorHAnsi"/>
          <w:sz w:val="20"/>
          <w:szCs w:val="18"/>
        </w:rPr>
        <w:t>.</w:t>
      </w:r>
    </w:p>
    <w:p w14:paraId="6680DD38" w14:textId="5369B084" w:rsidR="000D730F" w:rsidRPr="00C22ABE" w:rsidRDefault="0079355D" w:rsidP="000D730F">
      <w:pPr>
        <w:tabs>
          <w:tab w:val="left" w:pos="7110"/>
        </w:tabs>
        <w:rPr>
          <w:rFonts w:cstheme="minorHAnsi"/>
          <w:sz w:val="20"/>
          <w:szCs w:val="18"/>
        </w:rPr>
      </w:pPr>
      <w:r w:rsidRPr="00C22ABE">
        <w:rPr>
          <w:rFonts w:cstheme="minorHAnsi"/>
          <w:sz w:val="20"/>
          <w:szCs w:val="18"/>
        </w:rPr>
        <w:t xml:space="preserve">Pour Wang et al </w:t>
      </w:r>
      <w:r w:rsidRPr="00C22ABE">
        <w:rPr>
          <w:rFonts w:cstheme="minorHAnsi"/>
          <w:sz w:val="20"/>
          <w:szCs w:val="18"/>
        </w:rPr>
        <w:fldChar w:fldCharType="begin"/>
      </w:r>
      <w:r w:rsidRPr="00C22ABE">
        <w:rPr>
          <w:rFonts w:cstheme="minorHAnsi"/>
          <w:sz w:val="20"/>
          <w:szCs w:val="18"/>
        </w:rPr>
        <w:instrText xml:space="preserve"> ADDIN ZOTERO_ITEM CSL_CITATION {"citationID":"HWXwW52b","properties":{"formattedCitation":"(7)","plainCitation":"(7)","noteIndex":0},"citationItems":[{"id":280,"uris":["http://zotero.org/users/local/Om3YyEnU/items/EDSLGKCZ"],"uri":["http://zotero.org/users/local/Om3YyEnU/items/EDSLGKCZ"],"itemData":{"id":280,"type":"article-journal","abstract":"BACKGROUND: The purpose of this study was to investigate the risk factors, especially the use of certain drugs and the dental procedures, for osteoradionecrosis of the jaw (ORNJ) in patients with head and neck cancer undergoing irradiation as their primary treatment.\nMETHODS: The cohort was composed of 23,527 patients with head and neck cancer. Cox proportional hazard models were used for risk factors analysis.\nRESULTS: The overall incidence of ORNJ is 3.93 per 100 person-years. Buccal cancer carried the highest ORNJ risk. The use of steroids had a protective effect. Preradiotherapy extraction posed no excess risk, whereas postradiotherapy extraction was associated with gradually increased risk of ORNJ over time that peaked at 4 to 5 years.\nCONCLUSION: ORNJ warrants life-long attention for head and neck cancer survivors. The present study strongly confirms the role of preirradiation dental extractions. Meanwhile, efforts should be made to prevent posttreatment extractions, especially in the first posttreatment 4 years. © 2017 Wiley Periodicals, Inc. Head Neck 39: 1313-1321, 2017.","container-title":"Head &amp; Neck","DOI":"10.1002/hed.24761","ISSN":"1097-0347","issue":"7","journalAbbreviation":"Head Neck","language":"eng","note":"PMID: 28370713","page":"1313-1321","source":"PubMed","title":"Risk factors for and the role of dental extractions in osteoradionecrosis of the jaws: A national-based cohort study","title-short":"Risk factors for and the role of dental extractions in osteoradionecrosis of the jaws","volume":"39","author":[{"family":"Wang","given":"Ti-Hao"},{"family":"Liu","given":"Chia-Jen"},{"family":"Chao","given":"Tze-Fan"},{"family":"Chen","given":"Tzeng-Ji"},{"family":"Hu","given":"Yu-Wen"}],"issued":{"date-parts":[["2017",7]]}}}],"schema":"https://github.com/citation-style-language/schema/raw/master/csl-citation.json"} </w:instrText>
      </w:r>
      <w:r w:rsidRPr="00C22ABE">
        <w:rPr>
          <w:rFonts w:cstheme="minorHAnsi"/>
          <w:sz w:val="20"/>
          <w:szCs w:val="18"/>
        </w:rPr>
        <w:fldChar w:fldCharType="separate"/>
      </w:r>
      <w:r w:rsidRPr="00C22ABE">
        <w:rPr>
          <w:rFonts w:cstheme="minorHAnsi"/>
          <w:sz w:val="20"/>
        </w:rPr>
        <w:t>(7)</w:t>
      </w:r>
      <w:r w:rsidRPr="00C22ABE">
        <w:rPr>
          <w:rFonts w:cstheme="minorHAnsi"/>
          <w:sz w:val="20"/>
          <w:szCs w:val="18"/>
        </w:rPr>
        <w:fldChar w:fldCharType="end"/>
      </w:r>
      <w:r w:rsidRPr="00C22ABE">
        <w:rPr>
          <w:rFonts w:cstheme="minorHAnsi"/>
          <w:sz w:val="20"/>
          <w:szCs w:val="18"/>
        </w:rPr>
        <w:t>, si la restauration dentaire et aléatoire, il vaut mieux réaliser l’extraction avant la radiothérapie qu’après celle-ci.</w:t>
      </w:r>
      <w:r w:rsidR="000D730F" w:rsidRPr="00C22ABE">
        <w:rPr>
          <w:rFonts w:cstheme="minorHAnsi"/>
          <w:sz w:val="20"/>
          <w:szCs w:val="18"/>
        </w:rPr>
        <w:t xml:space="preserve"> Mais les extractions préventives avant radiothérapie font l’objet de quelques critiques et pourraient être responsables d’ORN pour certains </w:t>
      </w:r>
      <w:r w:rsidR="003C3E8C" w:rsidRPr="00C22ABE">
        <w:rPr>
          <w:rFonts w:cstheme="minorHAnsi"/>
          <w:sz w:val="20"/>
          <w:szCs w:val="18"/>
        </w:rPr>
        <w:fldChar w:fldCharType="begin"/>
      </w:r>
      <w:r w:rsidR="003C3E8C" w:rsidRPr="00C22ABE">
        <w:rPr>
          <w:rFonts w:cstheme="minorHAnsi"/>
          <w:sz w:val="20"/>
          <w:szCs w:val="18"/>
        </w:rPr>
        <w:instrText xml:space="preserve"> ADDIN ZOTERO_ITEM CSL_CITATION {"citationID":"HxE4GS4W","properties":{"formattedCitation":"(4)","plainCitation":"(4)","noteIndex":0},"citationItems":[{"id":166,"uris":["http://zotero.org/users/local/Om3YyEnU/items/X4JN8KCA"],"uri":["http://zotero.org/users/local/Om3YyEnU/items/X4JN8KCA"],"itemData":{"id":166,"type":"article-journal","container-title":"Oral Diseases","DOI":"10.1111/odi.13485","ISSN":"1354-523X, 1601-0825","journalAbbreviation":"Oral Dis","language":"en","page":"odi.13485","source":"DOI.org (Crossref)","title":"Tooth extraction before radiotherapy is a risk factor for developing osteoradionecrosis of the jaws: A systematic review","title-short":"Tooth extraction before radiotherapy is a risk factor for developing osteoradionecrosis of the jaws","author":[{"family":"Lajolo","given":"Carlo"},{"family":"Gioco","given":"Gioele"},{"family":"Rupe","given":"Cosimo"},{"family":"Troiano","given":"Giuseppe"},{"family":"Cordaro","given":"Massimo"},{"family":"Lucchese","given":"Alberta"},{"family":"Paludetti","given":"Gaetano"},{"family":"Giuliani","given":"Michele"}],"issued":{"date-parts":[["2020",7,7]]}}}],"schema":"https://github.com/citation-style-language/schema/raw/master/csl-citation.json"} </w:instrText>
      </w:r>
      <w:r w:rsidR="003C3E8C" w:rsidRPr="00C22ABE">
        <w:rPr>
          <w:rFonts w:cstheme="minorHAnsi"/>
          <w:sz w:val="20"/>
          <w:szCs w:val="18"/>
        </w:rPr>
        <w:fldChar w:fldCharType="separate"/>
      </w:r>
      <w:r w:rsidR="003C3E8C" w:rsidRPr="00C22ABE">
        <w:rPr>
          <w:rFonts w:cstheme="minorHAnsi"/>
          <w:sz w:val="20"/>
        </w:rPr>
        <w:t>(4)</w:t>
      </w:r>
      <w:r w:rsidR="003C3E8C" w:rsidRPr="00C22ABE">
        <w:rPr>
          <w:rFonts w:cstheme="minorHAnsi"/>
          <w:sz w:val="20"/>
          <w:szCs w:val="18"/>
        </w:rPr>
        <w:fldChar w:fldCharType="end"/>
      </w:r>
      <w:r w:rsidR="000D730F" w:rsidRPr="00C22ABE">
        <w:rPr>
          <w:rFonts w:cstheme="minorHAnsi"/>
          <w:sz w:val="20"/>
          <w:szCs w:val="18"/>
        </w:rPr>
        <w:t xml:space="preserve">. </w:t>
      </w:r>
      <w:r w:rsidR="003A656E" w:rsidRPr="00C22ABE">
        <w:rPr>
          <w:rFonts w:cstheme="minorHAnsi"/>
          <w:sz w:val="20"/>
          <w:szCs w:val="18"/>
        </w:rPr>
        <w:t xml:space="preserve">Pour d’autres, il n’existe pas de risque accru d’ORN pour les extractions réalisées après </w:t>
      </w:r>
      <w:proofErr w:type="spellStart"/>
      <w:r w:rsidR="003A656E" w:rsidRPr="00C22ABE">
        <w:rPr>
          <w:rFonts w:cstheme="minorHAnsi"/>
          <w:sz w:val="20"/>
          <w:szCs w:val="18"/>
        </w:rPr>
        <w:t>Rth</w:t>
      </w:r>
      <w:proofErr w:type="spellEnd"/>
      <w:r w:rsidR="003A656E" w:rsidRPr="00C22ABE">
        <w:rPr>
          <w:rFonts w:cstheme="minorHAnsi"/>
          <w:sz w:val="20"/>
          <w:szCs w:val="18"/>
        </w:rPr>
        <w:t>.</w:t>
      </w:r>
    </w:p>
    <w:p w14:paraId="7971ABCE" w14:textId="73465000" w:rsidR="004258A1" w:rsidRPr="00C22ABE" w:rsidRDefault="0049404D" w:rsidP="0049404D">
      <w:pPr>
        <w:tabs>
          <w:tab w:val="left" w:pos="7110"/>
        </w:tabs>
        <w:rPr>
          <w:rFonts w:cstheme="minorHAnsi"/>
          <w:sz w:val="20"/>
          <w:szCs w:val="18"/>
        </w:rPr>
      </w:pPr>
      <w:r w:rsidRPr="00C22ABE">
        <w:rPr>
          <w:rFonts w:cstheme="minorHAnsi"/>
          <w:sz w:val="20"/>
          <w:szCs w:val="18"/>
        </w:rPr>
        <w:t xml:space="preserve">La plupart des études </w:t>
      </w:r>
      <w:r w:rsidR="002251C7" w:rsidRPr="00C22ABE">
        <w:rPr>
          <w:rFonts w:cstheme="minorHAnsi"/>
          <w:sz w:val="20"/>
          <w:szCs w:val="18"/>
        </w:rPr>
        <w:t xml:space="preserve">sur le bilan dentaire </w:t>
      </w:r>
      <w:proofErr w:type="spellStart"/>
      <w:r w:rsidR="002251C7" w:rsidRPr="00C22ABE">
        <w:rPr>
          <w:rFonts w:cstheme="minorHAnsi"/>
          <w:sz w:val="20"/>
          <w:szCs w:val="18"/>
        </w:rPr>
        <w:t>préradiothérapie</w:t>
      </w:r>
      <w:proofErr w:type="spellEnd"/>
      <w:r w:rsidR="002251C7" w:rsidRPr="00C22ABE">
        <w:rPr>
          <w:rFonts w:cstheme="minorHAnsi"/>
          <w:sz w:val="20"/>
          <w:szCs w:val="18"/>
        </w:rPr>
        <w:t xml:space="preserve"> </w:t>
      </w:r>
      <w:r w:rsidRPr="00C22ABE">
        <w:rPr>
          <w:rFonts w:cstheme="minorHAnsi"/>
          <w:sz w:val="20"/>
          <w:szCs w:val="18"/>
        </w:rPr>
        <w:t>sont rétrospectives comme le souligne</w:t>
      </w:r>
      <w:r w:rsidR="002251C7" w:rsidRPr="00C22ABE">
        <w:rPr>
          <w:rFonts w:cstheme="minorHAnsi"/>
          <w:sz w:val="20"/>
          <w:szCs w:val="18"/>
        </w:rPr>
        <w:t>nt</w:t>
      </w:r>
      <w:r w:rsidRPr="00C22ABE">
        <w:rPr>
          <w:rFonts w:cstheme="minorHAnsi"/>
          <w:sz w:val="20"/>
          <w:szCs w:val="18"/>
        </w:rPr>
        <w:t xml:space="preserve"> </w:t>
      </w:r>
      <w:proofErr w:type="spellStart"/>
      <w:r w:rsidRPr="00C22ABE">
        <w:rPr>
          <w:rFonts w:cstheme="minorHAnsi"/>
          <w:sz w:val="20"/>
          <w:szCs w:val="18"/>
        </w:rPr>
        <w:t>Schuurhuis</w:t>
      </w:r>
      <w:proofErr w:type="spellEnd"/>
      <w:r w:rsidRPr="00C22ABE">
        <w:rPr>
          <w:rFonts w:cstheme="minorHAnsi"/>
          <w:sz w:val="20"/>
          <w:szCs w:val="18"/>
        </w:rPr>
        <w:t xml:space="preserve"> et al</w:t>
      </w:r>
      <w:r w:rsidR="002251C7" w:rsidRPr="00C22ABE">
        <w:rPr>
          <w:rFonts w:cstheme="minorHAnsi"/>
          <w:sz w:val="20"/>
          <w:szCs w:val="18"/>
        </w:rPr>
        <w:t xml:space="preserve"> </w:t>
      </w:r>
      <w:r w:rsidRPr="00C22ABE">
        <w:rPr>
          <w:rFonts w:cstheme="minorHAnsi"/>
          <w:sz w:val="20"/>
          <w:szCs w:val="18"/>
        </w:rPr>
        <w:fldChar w:fldCharType="begin"/>
      </w:r>
      <w:r w:rsidR="00D36EC3">
        <w:rPr>
          <w:rFonts w:cstheme="minorHAnsi"/>
          <w:sz w:val="20"/>
          <w:szCs w:val="18"/>
        </w:rPr>
        <w:instrText xml:space="preserve"> ADDIN ZOTERO_ITEM CSL_CITATION {"citationID":"lb1iuwUR","properties":{"formattedCitation":"(75)","plainCitation":"(75)","noteIndex":0},"citationItems":[{"id":252,"uris":["http://zotero.org/users/local/Om3YyEnU/items/8F79G8PF"],"uri":["http://zotero.org/users/local/Om3YyEnU/items/8F79G8PF"],"itemData":{"id":252,"type":"article-journal","abstract":"Pre-radiation dental screening of head-neck cancer patients aims to identify and eliminate oral foci of infection to prevent post-radiation oral problems. The evidence for the efficacy of dental screening is unclear. In this systematic review, we analyzed available evidence on the efficacy of pre-radiation elimination of oral foci of infection in preventing oral sequelae. A search was conducted (MEDLINE/EMBASE) for papers published up to May 2014. Papers on head-neck cancer patients subjected to pre-radiation dental screening, (chemo)radiation and oral follow-up were included. Of the 1770 identified papers, 20 studies fulfilled the inclusion criteria of which 17 were retrospective. A great heterogeneity in patient groups, dental screening techniques, definitions of oral foci of infection and techniques for eliminating foci was found. Most papers lacked essential details on how dental screening was performed and a clear definition of an oral focus of infection. The evidence for efficacy of elimination of oral foci of infection to prevent post-radiotherapy oral sequelae was inconclusive. Consequently, the efficacy of pre-radiation elimination of oral foci of infection remains unclear. No conclusions can be drawn about a definition of an oral focus of infection and whether pre-radiation elimination of these foci should be mandatory. We therefore suggest prospective studies with well-defined criteria for oral foci of infection, a clear description of which foci were eliminated and how, a detailed description of pre-radiation dental screening, clearly described patient and tumor characteristics, and a detailed dental history and dental status. Subsequently, oral problems that occur post-radiation should be systematically recorded.","container-title":"Oral Oncology","DOI":"10.1016/j.oraloncology.2014.11.017","ISSN":"1879-0593","issue":"3","journalAbbreviation":"Oral Oncol","language":"eng","note":"PMID: 25524386","page":"212-220","source":"PubMed","title":"Evidence supporting pre-radiation elimination of oral foci of infection in head and neck cancer patients to prevent oral sequelae. A systematic review","volume":"51","author":[{"family":"Schuurhuis","given":"Jennifer M."},{"family":"Stokman","given":"Monique A."},{"family":"Witjes","given":"Max J. H."},{"family":"Dijkstra","given":"Pieter U."},{"family":"Vissink","given":"Arjan"},{"family":"Spijkervet","given":"Frederik K. L."}],"issued":{"date-parts":[["2015",3]]}}}],"schema":"https://github.com/citation-style-language/schema/raw/master/csl-citation.json"} </w:instrText>
      </w:r>
      <w:r w:rsidRPr="00C22ABE">
        <w:rPr>
          <w:rFonts w:cstheme="minorHAnsi"/>
          <w:sz w:val="20"/>
          <w:szCs w:val="18"/>
        </w:rPr>
        <w:fldChar w:fldCharType="separate"/>
      </w:r>
      <w:r w:rsidR="00D36EC3" w:rsidRPr="00D36EC3">
        <w:rPr>
          <w:rFonts w:ascii="Calibri" w:hAnsi="Calibri" w:cs="Calibri"/>
          <w:sz w:val="20"/>
        </w:rPr>
        <w:t>(75)</w:t>
      </w:r>
      <w:r w:rsidRPr="00C22ABE">
        <w:rPr>
          <w:rFonts w:cstheme="minorHAnsi"/>
          <w:sz w:val="20"/>
          <w:szCs w:val="18"/>
        </w:rPr>
        <w:fldChar w:fldCharType="end"/>
      </w:r>
      <w:r w:rsidRPr="00C22ABE">
        <w:rPr>
          <w:rFonts w:cstheme="minorHAnsi"/>
          <w:sz w:val="20"/>
          <w:szCs w:val="18"/>
        </w:rPr>
        <w:t xml:space="preserve"> dans leur revue systématique. Sur 20 articles, 17 concernaient des études </w:t>
      </w:r>
      <w:r w:rsidR="002251C7" w:rsidRPr="00C22ABE">
        <w:rPr>
          <w:rFonts w:cstheme="minorHAnsi"/>
          <w:sz w:val="20"/>
          <w:szCs w:val="18"/>
        </w:rPr>
        <w:t xml:space="preserve">rétrospectives </w:t>
      </w:r>
      <w:r w:rsidRPr="00C22ABE">
        <w:rPr>
          <w:rFonts w:cstheme="minorHAnsi"/>
          <w:sz w:val="20"/>
          <w:szCs w:val="18"/>
        </w:rPr>
        <w:t xml:space="preserve">comprenant de 28 à 1140 patients, avec un </w:t>
      </w:r>
      <w:r w:rsidR="003315DB" w:rsidRPr="00C22ABE">
        <w:rPr>
          <w:rFonts w:cstheme="minorHAnsi"/>
          <w:sz w:val="20"/>
          <w:szCs w:val="18"/>
        </w:rPr>
        <w:t>suivi</w:t>
      </w:r>
      <w:r w:rsidRPr="00C22ABE">
        <w:rPr>
          <w:rFonts w:cstheme="minorHAnsi"/>
          <w:sz w:val="20"/>
          <w:szCs w:val="18"/>
        </w:rPr>
        <w:t xml:space="preserve"> de 6 à 60 mois.</w:t>
      </w:r>
      <w:r w:rsidR="002251C7" w:rsidRPr="00C22ABE">
        <w:rPr>
          <w:rFonts w:cstheme="minorHAnsi"/>
          <w:sz w:val="20"/>
          <w:szCs w:val="18"/>
        </w:rPr>
        <w:t xml:space="preserve"> Les auteurs notaient une grande diversité dans les cohortes de patients, dans la réalisation du bilan, et dans la définition des foyers oraux et leur prise en charge, rendant difficile la définition de guidelines</w:t>
      </w:r>
      <w:r w:rsidR="00EA532D" w:rsidRPr="00C22ABE">
        <w:rPr>
          <w:rFonts w:cstheme="minorHAnsi"/>
          <w:sz w:val="20"/>
          <w:szCs w:val="18"/>
        </w:rPr>
        <w:t>.</w:t>
      </w:r>
    </w:p>
    <w:p w14:paraId="5C2CA358" w14:textId="1FA1971D" w:rsidR="0079355D" w:rsidRPr="00C22ABE" w:rsidRDefault="003E4186" w:rsidP="0079355D">
      <w:pPr>
        <w:tabs>
          <w:tab w:val="left" w:pos="7110"/>
        </w:tabs>
        <w:rPr>
          <w:rFonts w:cstheme="minorHAnsi"/>
          <w:sz w:val="20"/>
          <w:szCs w:val="18"/>
        </w:rPr>
      </w:pPr>
      <w:r w:rsidRPr="00C22ABE">
        <w:rPr>
          <w:rFonts w:cstheme="minorHAnsi"/>
          <w:sz w:val="20"/>
          <w:szCs w:val="18"/>
        </w:rPr>
        <w:t xml:space="preserve">Une revue systématique </w:t>
      </w:r>
      <w:r w:rsidR="003C3E8C" w:rsidRPr="00C22ABE">
        <w:rPr>
          <w:rFonts w:cstheme="minorHAnsi"/>
          <w:sz w:val="20"/>
          <w:szCs w:val="18"/>
        </w:rPr>
        <w:t xml:space="preserve">concernant le risque d’extractions </w:t>
      </w:r>
      <w:proofErr w:type="spellStart"/>
      <w:r w:rsidR="003C3E8C" w:rsidRPr="00C22ABE">
        <w:rPr>
          <w:rFonts w:cstheme="minorHAnsi"/>
          <w:sz w:val="20"/>
          <w:szCs w:val="18"/>
        </w:rPr>
        <w:t>préRth</w:t>
      </w:r>
      <w:proofErr w:type="spellEnd"/>
      <w:r w:rsidR="003C3E8C" w:rsidRPr="00C22ABE">
        <w:rPr>
          <w:rFonts w:cstheme="minorHAnsi"/>
          <w:sz w:val="20"/>
          <w:szCs w:val="18"/>
        </w:rPr>
        <w:t xml:space="preserve"> </w:t>
      </w:r>
      <w:r w:rsidRPr="00C22ABE">
        <w:rPr>
          <w:rFonts w:cstheme="minorHAnsi"/>
          <w:sz w:val="20"/>
          <w:szCs w:val="18"/>
        </w:rPr>
        <w:t xml:space="preserve">de </w:t>
      </w:r>
      <w:proofErr w:type="spellStart"/>
      <w:r w:rsidRPr="00C22ABE">
        <w:rPr>
          <w:rFonts w:cstheme="minorHAnsi"/>
          <w:bCs/>
          <w:sz w:val="20"/>
          <w:szCs w:val="18"/>
        </w:rPr>
        <w:t>Lajolo</w:t>
      </w:r>
      <w:proofErr w:type="spellEnd"/>
      <w:r w:rsidRPr="00C22ABE">
        <w:rPr>
          <w:rFonts w:cstheme="minorHAnsi"/>
          <w:bCs/>
          <w:sz w:val="20"/>
          <w:szCs w:val="18"/>
        </w:rPr>
        <w:t xml:space="preserve"> et al en 2020</w:t>
      </w:r>
      <w:r w:rsidRPr="00C22ABE">
        <w:rPr>
          <w:rFonts w:cstheme="minorHAnsi"/>
          <w:b/>
          <w:bCs/>
          <w:sz w:val="20"/>
          <w:szCs w:val="18"/>
          <w:u w:val="single"/>
        </w:rPr>
        <w:t xml:space="preserve"> </w:t>
      </w:r>
      <w:r w:rsidRPr="00C22ABE">
        <w:rPr>
          <w:rFonts w:cstheme="minorHAnsi"/>
          <w:sz w:val="20"/>
          <w:szCs w:val="18"/>
        </w:rPr>
        <w:fldChar w:fldCharType="begin"/>
      </w:r>
      <w:r w:rsidR="00281722" w:rsidRPr="00C22ABE">
        <w:rPr>
          <w:rFonts w:cstheme="minorHAnsi"/>
          <w:sz w:val="20"/>
          <w:szCs w:val="18"/>
        </w:rPr>
        <w:instrText xml:space="preserve"> ADDIN ZOTERO_ITEM CSL_CITATION {"citationID":"ucaXhQ2c","properties":{"formattedCitation":"(4)","plainCitation":"(4)","noteIndex":0},"citationItems":[{"id":166,"uris":["http://zotero.org/users/local/Om3YyEnU/items/X4JN8KCA"],"uri":["http://zotero.org/users/local/Om3YyEnU/items/X4JN8KCA"],"itemData":{"id":166,"type":"article-journal","container-title":"Oral Diseases","DOI":"10.1111/odi.13485","ISSN":"1354-523X, 1601-0825","journalAbbreviation":"Oral Dis","language":"en","page":"odi.13485","source":"DOI.org (Crossref)","title":"Tooth extraction before radiotherapy is a risk factor for developing osteoradionecrosis of the jaws: A systematic review","title-short":"Tooth extraction before radiotherapy is a risk factor for developing osteoradionecrosis of the jaws","author":[{"family":"Lajolo","given":"Carlo"},{"family":"Gioco","given":"Gioele"},{"family":"Rupe","given":"Cosimo"},{"family":"Troiano","given":"Giuseppe"},{"family":"Cordaro","given":"Massimo"},{"family":"Lucchese","given":"Alberta"},{"family":"Paludetti","given":"Gaetano"},{"family":"Giuliani","given":"Michele"}],"issued":{"date-parts":[["2020",7,7]]}}}],"schema":"https://github.com/citation-style-language/schema/raw/master/csl-citation.json"} </w:instrText>
      </w:r>
      <w:r w:rsidRPr="00C22ABE">
        <w:rPr>
          <w:rFonts w:cstheme="minorHAnsi"/>
          <w:sz w:val="20"/>
          <w:szCs w:val="18"/>
        </w:rPr>
        <w:fldChar w:fldCharType="separate"/>
      </w:r>
      <w:r w:rsidR="00281722" w:rsidRPr="00C22ABE">
        <w:rPr>
          <w:rFonts w:cstheme="minorHAnsi"/>
          <w:sz w:val="20"/>
        </w:rPr>
        <w:t>(4)</w:t>
      </w:r>
      <w:r w:rsidRPr="00C22ABE">
        <w:rPr>
          <w:rFonts w:cstheme="minorHAnsi"/>
          <w:sz w:val="20"/>
          <w:szCs w:val="18"/>
        </w:rPr>
        <w:fldChar w:fldCharType="end"/>
      </w:r>
      <w:r w:rsidRPr="00C22ABE">
        <w:rPr>
          <w:rFonts w:cstheme="minorHAnsi"/>
          <w:sz w:val="20"/>
          <w:szCs w:val="18"/>
        </w:rPr>
        <w:t xml:space="preserve"> retient 8 études </w:t>
      </w:r>
      <w:r w:rsidR="003A656E" w:rsidRPr="00C22ABE">
        <w:rPr>
          <w:rFonts w:cstheme="minorHAnsi"/>
          <w:sz w:val="20"/>
          <w:szCs w:val="18"/>
        </w:rPr>
        <w:t xml:space="preserve">concernant </w:t>
      </w:r>
      <w:r w:rsidR="00E0379D" w:rsidRPr="00C22ABE">
        <w:rPr>
          <w:rFonts w:cstheme="minorHAnsi"/>
          <w:sz w:val="20"/>
          <w:szCs w:val="18"/>
        </w:rPr>
        <w:t xml:space="preserve">494 </w:t>
      </w:r>
      <w:r w:rsidR="00CD2051" w:rsidRPr="00C22ABE">
        <w:rPr>
          <w:rFonts w:cstheme="minorHAnsi"/>
          <w:sz w:val="20"/>
          <w:szCs w:val="18"/>
        </w:rPr>
        <w:t>patients</w:t>
      </w:r>
      <w:r w:rsidR="003A656E" w:rsidRPr="00C22ABE">
        <w:rPr>
          <w:rFonts w:cstheme="minorHAnsi"/>
          <w:sz w:val="20"/>
          <w:szCs w:val="18"/>
        </w:rPr>
        <w:t xml:space="preserve"> avec des extractions </w:t>
      </w:r>
      <w:proofErr w:type="spellStart"/>
      <w:r w:rsidR="003A656E" w:rsidRPr="00C22ABE">
        <w:rPr>
          <w:rFonts w:cstheme="minorHAnsi"/>
          <w:sz w:val="20"/>
          <w:szCs w:val="18"/>
        </w:rPr>
        <w:t>préRth</w:t>
      </w:r>
      <w:proofErr w:type="spellEnd"/>
      <w:r w:rsidR="00CD2051" w:rsidRPr="00C22ABE">
        <w:rPr>
          <w:rFonts w:cstheme="minorHAnsi"/>
          <w:sz w:val="20"/>
          <w:szCs w:val="18"/>
        </w:rPr>
        <w:t>.</w:t>
      </w:r>
      <w:r w:rsidR="00E0379D" w:rsidRPr="00C22ABE">
        <w:rPr>
          <w:rFonts w:cstheme="minorHAnsi"/>
          <w:sz w:val="20"/>
          <w:szCs w:val="18"/>
        </w:rPr>
        <w:t xml:space="preserve"> Seize d’entre eux ont développé une ORN (</w:t>
      </w:r>
      <w:r w:rsidR="00CD2051" w:rsidRPr="00C22ABE">
        <w:rPr>
          <w:rFonts w:cstheme="minorHAnsi"/>
          <w:sz w:val="20"/>
          <w:szCs w:val="18"/>
        </w:rPr>
        <w:t>incidence de</w:t>
      </w:r>
      <w:r w:rsidR="00E0379D" w:rsidRPr="00C22ABE">
        <w:rPr>
          <w:rFonts w:cstheme="minorHAnsi"/>
          <w:sz w:val="20"/>
          <w:szCs w:val="18"/>
        </w:rPr>
        <w:t xml:space="preserve"> </w:t>
      </w:r>
      <w:r w:rsidRPr="00C22ABE">
        <w:rPr>
          <w:rFonts w:cstheme="minorHAnsi"/>
          <w:sz w:val="20"/>
          <w:szCs w:val="18"/>
        </w:rPr>
        <w:t>2.2%</w:t>
      </w:r>
      <w:r w:rsidR="00C22ABE" w:rsidRPr="00C22ABE">
        <w:rPr>
          <w:rFonts w:cstheme="minorHAnsi"/>
          <w:sz w:val="20"/>
          <w:szCs w:val="18"/>
        </w:rPr>
        <w:t>)</w:t>
      </w:r>
      <w:r w:rsidR="003315DB" w:rsidRPr="00C22ABE">
        <w:rPr>
          <w:rFonts w:cstheme="minorHAnsi"/>
          <w:sz w:val="20"/>
          <w:szCs w:val="18"/>
        </w:rPr>
        <w:t xml:space="preserve">. </w:t>
      </w:r>
      <w:r w:rsidR="00E0379D" w:rsidRPr="00C22ABE">
        <w:rPr>
          <w:rFonts w:cstheme="minorHAnsi"/>
          <w:sz w:val="20"/>
          <w:szCs w:val="18"/>
        </w:rPr>
        <w:t>La localisation était uniquement mandibulaire et aucun facteur de risque n’a été identifié.</w:t>
      </w:r>
      <w:r w:rsidR="0079355D" w:rsidRPr="00C22ABE">
        <w:rPr>
          <w:rFonts w:cstheme="minorHAnsi"/>
          <w:sz w:val="20"/>
          <w:szCs w:val="18"/>
        </w:rPr>
        <w:t xml:space="preserve"> </w:t>
      </w:r>
      <w:r w:rsidR="003C3E8C" w:rsidRPr="00C22ABE">
        <w:rPr>
          <w:rFonts w:cstheme="minorHAnsi"/>
          <w:sz w:val="20"/>
          <w:szCs w:val="18"/>
        </w:rPr>
        <w:t>Les auteurs n’ont pas relevé</w:t>
      </w:r>
      <w:r w:rsidR="0079355D" w:rsidRPr="00C22ABE">
        <w:rPr>
          <w:rFonts w:cstheme="minorHAnsi"/>
          <w:sz w:val="20"/>
          <w:szCs w:val="18"/>
        </w:rPr>
        <w:t xml:space="preserve"> d’algorithme pour les </w:t>
      </w:r>
      <w:r w:rsidR="003C3E8C" w:rsidRPr="00C22ABE">
        <w:rPr>
          <w:rFonts w:cstheme="minorHAnsi"/>
          <w:sz w:val="20"/>
          <w:szCs w:val="18"/>
        </w:rPr>
        <w:t xml:space="preserve">extractions des </w:t>
      </w:r>
      <w:r w:rsidR="0079355D" w:rsidRPr="00C22ABE">
        <w:rPr>
          <w:rFonts w:cstheme="minorHAnsi"/>
          <w:sz w:val="20"/>
          <w:szCs w:val="18"/>
        </w:rPr>
        <w:t xml:space="preserve">dents douteuses, </w:t>
      </w:r>
      <w:r w:rsidR="003C3E8C" w:rsidRPr="00C22ABE">
        <w:rPr>
          <w:rFonts w:cstheme="minorHAnsi"/>
          <w:sz w:val="20"/>
          <w:szCs w:val="18"/>
        </w:rPr>
        <w:t xml:space="preserve">il n’y avait </w:t>
      </w:r>
      <w:r w:rsidR="0079355D" w:rsidRPr="00C22ABE">
        <w:rPr>
          <w:rFonts w:cstheme="minorHAnsi"/>
          <w:sz w:val="20"/>
          <w:szCs w:val="18"/>
        </w:rPr>
        <w:t xml:space="preserve">pas de notion d’extraction sous couverture </w:t>
      </w:r>
      <w:r w:rsidR="003C3E8C" w:rsidRPr="00C22ABE">
        <w:rPr>
          <w:rFonts w:cstheme="minorHAnsi"/>
          <w:sz w:val="20"/>
          <w:szCs w:val="18"/>
        </w:rPr>
        <w:t>antibiotique ou bain de bouche</w:t>
      </w:r>
      <w:r w:rsidR="0079355D" w:rsidRPr="00C22ABE">
        <w:rPr>
          <w:rFonts w:cstheme="minorHAnsi"/>
          <w:sz w:val="20"/>
          <w:szCs w:val="18"/>
        </w:rPr>
        <w:t xml:space="preserve">, </w:t>
      </w:r>
      <w:r w:rsidR="003C3E8C" w:rsidRPr="00C22ABE">
        <w:rPr>
          <w:rFonts w:cstheme="minorHAnsi"/>
          <w:sz w:val="20"/>
          <w:szCs w:val="18"/>
        </w:rPr>
        <w:t>ni</w:t>
      </w:r>
      <w:r w:rsidR="0079355D" w:rsidRPr="00C22ABE">
        <w:rPr>
          <w:rFonts w:cstheme="minorHAnsi"/>
          <w:sz w:val="20"/>
          <w:szCs w:val="18"/>
        </w:rPr>
        <w:t xml:space="preserve"> d’indication sur le temps optimal entre les extractions et le début de la radiothérapie</w:t>
      </w:r>
      <w:r w:rsidR="003C3E8C" w:rsidRPr="00C22ABE">
        <w:rPr>
          <w:rFonts w:cstheme="minorHAnsi"/>
          <w:sz w:val="20"/>
          <w:szCs w:val="18"/>
        </w:rPr>
        <w:t>.</w:t>
      </w:r>
    </w:p>
    <w:p w14:paraId="6F4E83FF" w14:textId="6DCE1ED6" w:rsidR="003C3E8C" w:rsidRPr="00C22ABE" w:rsidRDefault="00EA532D" w:rsidP="003C3E8C">
      <w:pPr>
        <w:tabs>
          <w:tab w:val="left" w:pos="7110"/>
        </w:tabs>
        <w:rPr>
          <w:rFonts w:cstheme="minorHAnsi"/>
          <w:sz w:val="20"/>
          <w:szCs w:val="18"/>
        </w:rPr>
      </w:pPr>
      <w:r w:rsidRPr="00C22ABE">
        <w:rPr>
          <w:rFonts w:cstheme="minorHAnsi"/>
          <w:sz w:val="20"/>
          <w:szCs w:val="18"/>
        </w:rPr>
        <w:t>L</w:t>
      </w:r>
      <w:r w:rsidR="003C3E8C" w:rsidRPr="00C22ABE">
        <w:rPr>
          <w:rFonts w:cstheme="minorHAnsi"/>
          <w:sz w:val="20"/>
          <w:szCs w:val="18"/>
        </w:rPr>
        <w:t>a prévention des caries</w:t>
      </w:r>
      <w:r w:rsidRPr="00C22ABE">
        <w:rPr>
          <w:rFonts w:cstheme="minorHAnsi"/>
          <w:sz w:val="20"/>
          <w:szCs w:val="18"/>
        </w:rPr>
        <w:t xml:space="preserve"> est assurée par un brossage efficace, l’u</w:t>
      </w:r>
      <w:r w:rsidR="003C3E8C" w:rsidRPr="00C22ABE">
        <w:rPr>
          <w:rFonts w:cstheme="minorHAnsi"/>
          <w:sz w:val="20"/>
          <w:szCs w:val="18"/>
        </w:rPr>
        <w:t xml:space="preserve">sage de </w:t>
      </w:r>
      <w:r w:rsidR="003A656E" w:rsidRPr="00C22ABE">
        <w:rPr>
          <w:rFonts w:cstheme="minorHAnsi"/>
          <w:sz w:val="20"/>
          <w:szCs w:val="18"/>
        </w:rPr>
        <w:t>fil dentaire et brossettes inter</w:t>
      </w:r>
      <w:r w:rsidR="001035F4" w:rsidRPr="00C22ABE">
        <w:rPr>
          <w:rFonts w:cstheme="minorHAnsi"/>
          <w:sz w:val="20"/>
          <w:szCs w:val="18"/>
        </w:rPr>
        <w:t>d</w:t>
      </w:r>
      <w:r w:rsidR="003A656E" w:rsidRPr="00C22ABE">
        <w:rPr>
          <w:rFonts w:cstheme="minorHAnsi"/>
          <w:sz w:val="20"/>
          <w:szCs w:val="18"/>
        </w:rPr>
        <w:t xml:space="preserve">entaires. Le fluor est appliqué en dentifrice </w:t>
      </w:r>
      <w:r w:rsidR="001035F4" w:rsidRPr="00C22ABE">
        <w:rPr>
          <w:rFonts w:cstheme="minorHAnsi"/>
          <w:sz w:val="20"/>
          <w:szCs w:val="18"/>
        </w:rPr>
        <w:t>(1000 à 2500 ppm) ou dans des gou</w:t>
      </w:r>
      <w:r w:rsidR="003C3E8C" w:rsidRPr="00C22ABE">
        <w:rPr>
          <w:rFonts w:cstheme="minorHAnsi"/>
          <w:sz w:val="20"/>
          <w:szCs w:val="18"/>
        </w:rPr>
        <w:t>ttières de fluoration</w:t>
      </w:r>
      <w:r w:rsidR="001035F4" w:rsidRPr="00C22ABE">
        <w:rPr>
          <w:rFonts w:cstheme="minorHAnsi"/>
          <w:sz w:val="20"/>
          <w:szCs w:val="18"/>
        </w:rPr>
        <w:t xml:space="preserve"> (</w:t>
      </w:r>
      <w:proofErr w:type="spellStart"/>
      <w:r w:rsidR="001035F4" w:rsidRPr="00C22ABE">
        <w:rPr>
          <w:rFonts w:cstheme="minorHAnsi"/>
          <w:sz w:val="20"/>
          <w:szCs w:val="18"/>
        </w:rPr>
        <w:t>Elmex</w:t>
      </w:r>
      <w:proofErr w:type="spellEnd"/>
      <w:r w:rsidR="001035F4" w:rsidRPr="00C22ABE">
        <w:rPr>
          <w:rFonts w:cstheme="minorHAnsi"/>
          <w:sz w:val="20"/>
          <w:szCs w:val="18"/>
        </w:rPr>
        <w:t xml:space="preserve"> médical gel®12500 ppm)</w:t>
      </w:r>
      <w:r w:rsidRPr="00C22ABE">
        <w:rPr>
          <w:rFonts w:cstheme="minorHAnsi"/>
          <w:sz w:val="20"/>
          <w:szCs w:val="18"/>
        </w:rPr>
        <w:t xml:space="preserve">. </w:t>
      </w:r>
      <w:r w:rsidR="001035F4" w:rsidRPr="00C22ABE">
        <w:rPr>
          <w:rFonts w:cstheme="minorHAnsi"/>
          <w:sz w:val="20"/>
          <w:szCs w:val="18"/>
        </w:rPr>
        <w:t>C</w:t>
      </w:r>
      <w:r w:rsidRPr="00C22ABE">
        <w:rPr>
          <w:rFonts w:cstheme="minorHAnsi"/>
          <w:sz w:val="20"/>
          <w:szCs w:val="18"/>
        </w:rPr>
        <w:t xml:space="preserve">es gouttières de fluoration sont à utiliser 5 minutes tous les </w:t>
      </w:r>
      <w:r w:rsidR="00C22ABE" w:rsidRPr="00C22ABE">
        <w:rPr>
          <w:rFonts w:cstheme="minorHAnsi"/>
          <w:sz w:val="20"/>
          <w:szCs w:val="18"/>
        </w:rPr>
        <w:t xml:space="preserve">jours </w:t>
      </w:r>
      <w:r w:rsidRPr="00C22ABE">
        <w:rPr>
          <w:rFonts w:cstheme="minorHAnsi"/>
          <w:sz w:val="20"/>
          <w:szCs w:val="18"/>
        </w:rPr>
        <w:t xml:space="preserve">pendant la radiothérapie et jusqu’à 6 semaines après, puis 2 à 3 fois par semaine à vie. Parfois des </w:t>
      </w:r>
      <w:r w:rsidR="003C3E8C" w:rsidRPr="00C22ABE">
        <w:rPr>
          <w:rFonts w:cstheme="minorHAnsi"/>
          <w:sz w:val="20"/>
          <w:szCs w:val="18"/>
        </w:rPr>
        <w:t xml:space="preserve">gouttières de plomb </w:t>
      </w:r>
      <w:r w:rsidR="001035F4" w:rsidRPr="00C22ABE">
        <w:rPr>
          <w:rFonts w:cstheme="minorHAnsi"/>
          <w:sz w:val="20"/>
          <w:szCs w:val="18"/>
        </w:rPr>
        <w:t xml:space="preserve">sont réalisées </w:t>
      </w:r>
      <w:r w:rsidR="003C3E8C" w:rsidRPr="00C22ABE">
        <w:rPr>
          <w:rFonts w:cstheme="minorHAnsi"/>
          <w:sz w:val="20"/>
          <w:szCs w:val="18"/>
        </w:rPr>
        <w:t xml:space="preserve">pour </w:t>
      </w:r>
      <w:r w:rsidR="001035F4" w:rsidRPr="00C22ABE">
        <w:rPr>
          <w:rFonts w:cstheme="minorHAnsi"/>
          <w:sz w:val="20"/>
          <w:szCs w:val="18"/>
        </w:rPr>
        <w:t xml:space="preserve">la </w:t>
      </w:r>
      <w:r w:rsidR="003C3E8C" w:rsidRPr="00C22ABE">
        <w:rPr>
          <w:rFonts w:cstheme="minorHAnsi"/>
          <w:sz w:val="20"/>
          <w:szCs w:val="18"/>
        </w:rPr>
        <w:t xml:space="preserve">protection des dents avec </w:t>
      </w:r>
      <w:r w:rsidR="001035F4" w:rsidRPr="00C22ABE">
        <w:rPr>
          <w:rFonts w:cstheme="minorHAnsi"/>
          <w:sz w:val="20"/>
          <w:szCs w:val="18"/>
        </w:rPr>
        <w:t xml:space="preserve">de </w:t>
      </w:r>
      <w:r w:rsidR="003C3E8C" w:rsidRPr="00C22ABE">
        <w:rPr>
          <w:rFonts w:cstheme="minorHAnsi"/>
          <w:sz w:val="20"/>
          <w:szCs w:val="18"/>
        </w:rPr>
        <w:t>grosses reconstitutions métalliques</w:t>
      </w:r>
      <w:r w:rsidR="00C22ABE" w:rsidRPr="00C22ABE">
        <w:rPr>
          <w:rFonts w:cstheme="minorHAnsi"/>
          <w:sz w:val="20"/>
          <w:szCs w:val="18"/>
        </w:rPr>
        <w:t>, pendant le traitement de radiothérapie</w:t>
      </w:r>
      <w:r w:rsidRPr="00C22ABE">
        <w:rPr>
          <w:rFonts w:cstheme="minorHAnsi"/>
          <w:sz w:val="20"/>
          <w:szCs w:val="18"/>
        </w:rPr>
        <w:t>.</w:t>
      </w:r>
    </w:p>
    <w:p w14:paraId="4879133C" w14:textId="51C13412" w:rsidR="007520EC" w:rsidRPr="00C22ABE" w:rsidRDefault="001035F4" w:rsidP="003B4E2B">
      <w:pPr>
        <w:pBdr>
          <w:top w:val="single" w:sz="4" w:space="1" w:color="auto"/>
          <w:left w:val="single" w:sz="4" w:space="4" w:color="auto"/>
          <w:bottom w:val="single" w:sz="4" w:space="1" w:color="auto"/>
          <w:right w:val="single" w:sz="4" w:space="4" w:color="auto"/>
        </w:pBdr>
        <w:tabs>
          <w:tab w:val="left" w:pos="7110"/>
        </w:tabs>
        <w:rPr>
          <w:rFonts w:cstheme="minorHAnsi"/>
          <w:sz w:val="20"/>
          <w:szCs w:val="18"/>
        </w:rPr>
      </w:pPr>
      <w:r w:rsidRPr="00C22ABE">
        <w:rPr>
          <w:rFonts w:cstheme="minorHAnsi"/>
          <w:b/>
          <w:bCs/>
          <w:sz w:val="20"/>
          <w:szCs w:val="18"/>
        </w:rPr>
        <w:t xml:space="preserve">Point fort : </w:t>
      </w:r>
      <w:r w:rsidR="007520EC" w:rsidRPr="00C22ABE">
        <w:rPr>
          <w:rFonts w:cstheme="minorHAnsi"/>
          <w:b/>
          <w:bCs/>
          <w:sz w:val="20"/>
          <w:szCs w:val="18"/>
        </w:rPr>
        <w:t>la règle est d’extraire les dents à pronostic réservé au sein du volume irradié, et de sensibiliser le patient à une hygiène buccodentaire optimale</w:t>
      </w:r>
      <w:r w:rsidRPr="00C22ABE">
        <w:rPr>
          <w:rFonts w:cstheme="minorHAnsi"/>
          <w:b/>
          <w:bCs/>
          <w:sz w:val="20"/>
          <w:szCs w:val="18"/>
        </w:rPr>
        <w:t>,</w:t>
      </w:r>
      <w:r w:rsidR="00F169F3" w:rsidRPr="00C22ABE">
        <w:rPr>
          <w:rFonts w:cstheme="minorHAnsi"/>
          <w:b/>
          <w:bCs/>
          <w:sz w:val="20"/>
          <w:szCs w:val="18"/>
        </w:rPr>
        <w:t xml:space="preserve"> à</w:t>
      </w:r>
      <w:r w:rsidRPr="00C22ABE">
        <w:rPr>
          <w:rFonts w:cstheme="minorHAnsi"/>
          <w:b/>
          <w:bCs/>
          <w:sz w:val="20"/>
          <w:szCs w:val="18"/>
        </w:rPr>
        <w:t xml:space="preserve"> l’usage des gouttières de fluoration </w:t>
      </w:r>
      <w:r w:rsidR="007520EC" w:rsidRPr="00C22ABE">
        <w:rPr>
          <w:rFonts w:cstheme="minorHAnsi"/>
          <w:b/>
          <w:bCs/>
          <w:sz w:val="20"/>
          <w:szCs w:val="18"/>
        </w:rPr>
        <w:t>et à des suivis réguliers</w:t>
      </w:r>
      <w:r w:rsidR="007520EC" w:rsidRPr="00C22ABE">
        <w:rPr>
          <w:rFonts w:cstheme="minorHAnsi"/>
          <w:sz w:val="20"/>
          <w:szCs w:val="18"/>
        </w:rPr>
        <w:t xml:space="preserve">. </w:t>
      </w:r>
    </w:p>
    <w:p w14:paraId="7498CC35" w14:textId="1888FF27" w:rsidR="006902E0" w:rsidRPr="00C22ABE" w:rsidRDefault="006902E0" w:rsidP="003E4186">
      <w:pPr>
        <w:tabs>
          <w:tab w:val="left" w:pos="7110"/>
        </w:tabs>
        <w:rPr>
          <w:rFonts w:cstheme="minorHAnsi"/>
          <w:sz w:val="20"/>
          <w:szCs w:val="18"/>
        </w:rPr>
      </w:pPr>
      <w:r w:rsidRPr="00C22ABE">
        <w:rPr>
          <w:rFonts w:cstheme="minorHAnsi"/>
          <w:sz w:val="20"/>
          <w:szCs w:val="18"/>
        </w:rPr>
        <w:t xml:space="preserve">Le risque de laisser </w:t>
      </w:r>
      <w:r w:rsidR="00B935D4" w:rsidRPr="00C22ABE">
        <w:rPr>
          <w:rFonts w:cstheme="minorHAnsi"/>
          <w:sz w:val="20"/>
          <w:szCs w:val="18"/>
        </w:rPr>
        <w:t xml:space="preserve">en place </w:t>
      </w:r>
      <w:r w:rsidRPr="00C22ABE">
        <w:rPr>
          <w:rFonts w:cstheme="minorHAnsi"/>
          <w:sz w:val="20"/>
          <w:szCs w:val="18"/>
        </w:rPr>
        <w:t xml:space="preserve">de potentiels foyers dentaires est l’aggravation du délabrement dentaire pendant le traitement, </w:t>
      </w:r>
      <w:r w:rsidR="004F5478" w:rsidRPr="00C22ABE">
        <w:rPr>
          <w:rFonts w:cstheme="minorHAnsi"/>
          <w:sz w:val="20"/>
          <w:szCs w:val="18"/>
        </w:rPr>
        <w:t>en raison de</w:t>
      </w:r>
      <w:r w:rsidRPr="00C22ABE">
        <w:rPr>
          <w:rFonts w:cstheme="minorHAnsi"/>
          <w:sz w:val="20"/>
          <w:szCs w:val="18"/>
        </w:rPr>
        <w:t xml:space="preserve"> la sécheresse buccale</w:t>
      </w:r>
      <w:r w:rsidR="003C3E8C" w:rsidRPr="00C22ABE">
        <w:rPr>
          <w:rFonts w:cstheme="minorHAnsi"/>
          <w:sz w:val="20"/>
          <w:szCs w:val="18"/>
        </w:rPr>
        <w:t xml:space="preserve"> radioinduite</w:t>
      </w:r>
      <w:r w:rsidR="00B935D4" w:rsidRPr="00C22ABE">
        <w:rPr>
          <w:rFonts w:cstheme="minorHAnsi"/>
          <w:sz w:val="20"/>
          <w:szCs w:val="18"/>
        </w:rPr>
        <w:t xml:space="preserve"> et</w:t>
      </w:r>
      <w:r w:rsidR="004F5478" w:rsidRPr="00C22ABE">
        <w:rPr>
          <w:rFonts w:cstheme="minorHAnsi"/>
          <w:sz w:val="20"/>
          <w:szCs w:val="18"/>
        </w:rPr>
        <w:t xml:space="preserve"> de</w:t>
      </w:r>
      <w:r w:rsidR="003E4186" w:rsidRPr="00C22ABE">
        <w:rPr>
          <w:rFonts w:cstheme="minorHAnsi"/>
          <w:sz w:val="20"/>
          <w:szCs w:val="18"/>
        </w:rPr>
        <w:t xml:space="preserve"> </w:t>
      </w:r>
      <w:r w:rsidRPr="00C22ABE">
        <w:rPr>
          <w:rFonts w:cstheme="minorHAnsi"/>
          <w:sz w:val="20"/>
          <w:szCs w:val="18"/>
        </w:rPr>
        <w:t>l</w:t>
      </w:r>
      <w:r w:rsidR="003C3E8C" w:rsidRPr="00C22ABE">
        <w:rPr>
          <w:rFonts w:cstheme="minorHAnsi"/>
          <w:sz w:val="20"/>
          <w:szCs w:val="18"/>
        </w:rPr>
        <w:t>’apparition d’un</w:t>
      </w:r>
      <w:r w:rsidRPr="00C22ABE">
        <w:rPr>
          <w:rFonts w:cstheme="minorHAnsi"/>
          <w:sz w:val="20"/>
          <w:szCs w:val="18"/>
        </w:rPr>
        <w:t xml:space="preserve"> </w:t>
      </w:r>
      <w:r w:rsidR="003E4186" w:rsidRPr="00C22ABE">
        <w:rPr>
          <w:rFonts w:cstheme="minorHAnsi"/>
          <w:sz w:val="20"/>
          <w:szCs w:val="18"/>
        </w:rPr>
        <w:t>trismus</w:t>
      </w:r>
      <w:r w:rsidRPr="00C22ABE">
        <w:rPr>
          <w:rFonts w:cstheme="minorHAnsi"/>
          <w:sz w:val="20"/>
          <w:szCs w:val="18"/>
        </w:rPr>
        <w:t>. Le risque d’</w:t>
      </w:r>
      <w:r w:rsidR="003E4186" w:rsidRPr="00C22ABE">
        <w:rPr>
          <w:rFonts w:cstheme="minorHAnsi"/>
          <w:sz w:val="20"/>
          <w:szCs w:val="18"/>
        </w:rPr>
        <w:t xml:space="preserve">extraction post </w:t>
      </w:r>
      <w:proofErr w:type="spellStart"/>
      <w:r w:rsidR="003E4186" w:rsidRPr="00C22ABE">
        <w:rPr>
          <w:rFonts w:cstheme="minorHAnsi"/>
          <w:sz w:val="20"/>
          <w:szCs w:val="18"/>
        </w:rPr>
        <w:t>Rth</w:t>
      </w:r>
      <w:proofErr w:type="spellEnd"/>
      <w:r w:rsidRPr="00C22ABE">
        <w:rPr>
          <w:rFonts w:cstheme="minorHAnsi"/>
          <w:sz w:val="20"/>
          <w:szCs w:val="18"/>
        </w:rPr>
        <w:t xml:space="preserve"> augmente</w:t>
      </w:r>
      <w:r w:rsidR="00400C70" w:rsidRPr="00C22ABE">
        <w:rPr>
          <w:rFonts w:cstheme="minorHAnsi"/>
          <w:sz w:val="20"/>
          <w:szCs w:val="18"/>
        </w:rPr>
        <w:t>,</w:t>
      </w:r>
      <w:r w:rsidRPr="00C22ABE">
        <w:rPr>
          <w:rFonts w:cstheme="minorHAnsi"/>
          <w:sz w:val="20"/>
          <w:szCs w:val="18"/>
        </w:rPr>
        <w:t xml:space="preserve"> ainsi que le risque d’ORN</w:t>
      </w:r>
      <w:r w:rsidR="008F6029" w:rsidRPr="00C22ABE">
        <w:rPr>
          <w:rFonts w:cstheme="minorHAnsi"/>
          <w:sz w:val="20"/>
          <w:szCs w:val="18"/>
        </w:rPr>
        <w:t xml:space="preserve">. </w:t>
      </w:r>
      <w:r w:rsidR="007520EC" w:rsidRPr="00C22ABE">
        <w:rPr>
          <w:rFonts w:cstheme="minorHAnsi"/>
          <w:sz w:val="20"/>
          <w:szCs w:val="18"/>
        </w:rPr>
        <w:t xml:space="preserve">Il est probable que l’on ne réalise pas suffisamment d’extractions avant radiothérapie, surtout chez des patients dont </w:t>
      </w:r>
      <w:r w:rsidR="004F5478" w:rsidRPr="00C22ABE">
        <w:rPr>
          <w:rFonts w:cstheme="minorHAnsi"/>
          <w:sz w:val="20"/>
          <w:szCs w:val="18"/>
        </w:rPr>
        <w:t xml:space="preserve">l’hygiène buccodentaire n’est pas optimale et </w:t>
      </w:r>
      <w:r w:rsidR="007520EC" w:rsidRPr="00C22ABE">
        <w:rPr>
          <w:rFonts w:cstheme="minorHAnsi"/>
          <w:sz w:val="20"/>
          <w:szCs w:val="18"/>
        </w:rPr>
        <w:t>la compliance et la compréhension sont limité</w:t>
      </w:r>
      <w:r w:rsidR="00C22ABE" w:rsidRPr="00C22ABE">
        <w:rPr>
          <w:rFonts w:cstheme="minorHAnsi"/>
          <w:sz w:val="20"/>
          <w:szCs w:val="18"/>
        </w:rPr>
        <w:t>e</w:t>
      </w:r>
      <w:r w:rsidR="007520EC" w:rsidRPr="00C22ABE">
        <w:rPr>
          <w:rFonts w:cstheme="minorHAnsi"/>
          <w:sz w:val="20"/>
          <w:szCs w:val="18"/>
        </w:rPr>
        <w:t xml:space="preserve">s </w:t>
      </w:r>
      <w:r w:rsidR="00B935D4" w:rsidRPr="00C22ABE">
        <w:rPr>
          <w:rFonts w:cstheme="minorHAnsi"/>
          <w:sz w:val="20"/>
          <w:szCs w:val="18"/>
        </w:rPr>
        <w:fldChar w:fldCharType="begin"/>
      </w:r>
      <w:r w:rsidR="00D36EC3">
        <w:rPr>
          <w:rFonts w:cstheme="minorHAnsi"/>
          <w:sz w:val="20"/>
          <w:szCs w:val="18"/>
        </w:rPr>
        <w:instrText xml:space="preserve"> ADDIN ZOTERO_ITEM CSL_CITATION {"citationID":"wVbDxcy2","properties":{"formattedCitation":"(76)","plainCitation":"(76)","noteIndex":0},"citationItems":[{"id":315,"uris":["http://zotero.org/users/local/Om3YyEnU/items/EIW5VEYB"],"uri":["http://zotero.org/users/local/Om3YyEnU/items/EIW5VEYB"],"itemData":{"id":315,"type":"article-journal","abstract":"INTRODUCTION: Osteoradionecrosis (ORN) remains a frequent complication of radiotherapy in head and neck cancer. As ORN management is often complex, it is essential to focus on its prevention, mainly by dental prophylaxis. The objectives of this study were to evaluate a dental preventive approach based on ORN data and to highlight individual risk factors statistically associated with time-to-ORN.\nMATERIALS AND METHODS: A retrospective study (January 2004-December 2013) included 415 patients with head and neck cancer who received radiotherapy in their treatment with at least 50 Grays on maxillo-mandibular bones. Pre-radiotherapy dental assessment (clinical and radiological) and prevention (with standardised extraction protocol) were performed.\nRESULTS: The ORN rate was 7.5%, with a dental origin in 35.5% of cases, mainly represented by dental infection in exclusive mandibular locations. More than 90% of patients were partially or completely dentate, and more than 70% had poor oral hygiene. Dental extractions were performed in 67.9% of patients before radiotherapy and in 42.9% after radiotherapy. Statistically significant risk factors associated with time-to-ORN were addictions (tobacco and alcohol), diabetes, oropharyngeal tumour location, combination of surgery followed by radiotherapy and post-radiotherapy dental extractions.\nDISCUSSION AND CONCLUSION: Considering that ORN implies severe disabilities and complex management, the rate of 7.5% is unacceptable. A better dental prevention could reduce this rate by one-third. Dental extractions could be systematic in high-dose irradiation mandibular areas in patients presenting with poor oral hygiene and/or statistically significant risk factors for the occurrence of ORN. Moreover, favourable oral condition after radiotherapy should be maintained.","container-title":"Journal of Stomatology, Oral and Maxillofacial Surgery","DOI":"10.1016/j.jormas.2020.05.022","ISSN":"2468-7855","journalAbbreviation":"J Stomatol Oral Maxillofac Surg","language":"eng","note":"PMID: 32535252","source":"PubMed","title":"Dental prevention of maxillo-mandibular osteoradionecrosis: A ten-year retrospective study","title-short":"Dental prevention of maxillo-mandibular osteoradionecrosis","author":[{"family":"Dumoulin","given":"S."},{"family":"Maanen","given":"A.","non-dropping-particle":"van"},{"family":"Magremanne","given":"M."}],"issued":{"date-parts":[["2020",6,11]]}}}],"schema":"https://github.com/citation-style-language/schema/raw/master/csl-citation.json"} </w:instrText>
      </w:r>
      <w:r w:rsidR="00B935D4" w:rsidRPr="00C22ABE">
        <w:rPr>
          <w:rFonts w:cstheme="minorHAnsi"/>
          <w:sz w:val="20"/>
          <w:szCs w:val="18"/>
        </w:rPr>
        <w:fldChar w:fldCharType="separate"/>
      </w:r>
      <w:r w:rsidR="00D36EC3" w:rsidRPr="00D36EC3">
        <w:rPr>
          <w:rFonts w:ascii="Calibri" w:hAnsi="Calibri" w:cs="Calibri"/>
          <w:sz w:val="20"/>
        </w:rPr>
        <w:t>(76)</w:t>
      </w:r>
      <w:r w:rsidR="00B935D4" w:rsidRPr="00C22ABE">
        <w:rPr>
          <w:rFonts w:cstheme="minorHAnsi"/>
          <w:sz w:val="20"/>
          <w:szCs w:val="18"/>
        </w:rPr>
        <w:fldChar w:fldCharType="end"/>
      </w:r>
      <w:r w:rsidR="00B935D4" w:rsidRPr="00C22ABE">
        <w:rPr>
          <w:rFonts w:cstheme="minorHAnsi"/>
          <w:sz w:val="20"/>
          <w:szCs w:val="18"/>
        </w:rPr>
        <w:t>.</w:t>
      </w:r>
    </w:p>
    <w:p w14:paraId="4EF9C1BD" w14:textId="77777777" w:rsidR="0048773D" w:rsidRPr="00C22ABE" w:rsidRDefault="0048773D" w:rsidP="003E4186">
      <w:pPr>
        <w:tabs>
          <w:tab w:val="left" w:pos="7110"/>
        </w:tabs>
        <w:rPr>
          <w:rFonts w:cstheme="minorHAnsi"/>
          <w:b/>
          <w:bCs/>
          <w:color w:val="0000FF"/>
          <w:szCs w:val="20"/>
          <w:u w:val="single"/>
        </w:rPr>
      </w:pPr>
    </w:p>
    <w:p w14:paraId="79D8CAF4" w14:textId="02C360EF" w:rsidR="006902E0" w:rsidRPr="00C22ABE" w:rsidRDefault="006902E0" w:rsidP="003E4186">
      <w:pPr>
        <w:tabs>
          <w:tab w:val="left" w:pos="7110"/>
        </w:tabs>
        <w:rPr>
          <w:rFonts w:cstheme="minorHAnsi"/>
          <w:b/>
          <w:bCs/>
          <w:color w:val="0000FF"/>
          <w:szCs w:val="20"/>
          <w:u w:val="single"/>
        </w:rPr>
      </w:pPr>
      <w:r w:rsidRPr="00C22ABE">
        <w:rPr>
          <w:rFonts w:cstheme="minorHAnsi"/>
          <w:b/>
          <w:bCs/>
          <w:color w:val="0000FF"/>
          <w:szCs w:val="20"/>
          <w:u w:val="single"/>
        </w:rPr>
        <w:t>Existe-t-il un protocole idéal d’extraction avant radiothérapie ?</w:t>
      </w:r>
      <w:r w:rsidR="00651C6C" w:rsidRPr="00C22ABE">
        <w:rPr>
          <w:rFonts w:cstheme="minorHAnsi"/>
          <w:b/>
          <w:bCs/>
          <w:color w:val="0000FF"/>
          <w:szCs w:val="20"/>
          <w:u w:val="single"/>
        </w:rPr>
        <w:t xml:space="preserve"> </w:t>
      </w:r>
    </w:p>
    <w:p w14:paraId="77896548" w14:textId="03AC80B0" w:rsidR="003E4186" w:rsidRPr="00C22ABE" w:rsidRDefault="00496FC0" w:rsidP="003E4186">
      <w:pPr>
        <w:tabs>
          <w:tab w:val="left" w:pos="7110"/>
        </w:tabs>
        <w:rPr>
          <w:rFonts w:cstheme="minorHAnsi"/>
          <w:sz w:val="20"/>
          <w:szCs w:val="18"/>
        </w:rPr>
      </w:pPr>
      <w:r w:rsidRPr="00C22ABE">
        <w:rPr>
          <w:rFonts w:cstheme="minorHAnsi"/>
          <w:sz w:val="20"/>
          <w:szCs w:val="18"/>
        </w:rPr>
        <w:t xml:space="preserve">Pour </w:t>
      </w:r>
      <w:proofErr w:type="spellStart"/>
      <w:r w:rsidRPr="00C22ABE">
        <w:rPr>
          <w:rFonts w:cstheme="minorHAnsi"/>
          <w:sz w:val="20"/>
          <w:szCs w:val="18"/>
        </w:rPr>
        <w:t>Lajolo</w:t>
      </w:r>
      <w:proofErr w:type="spellEnd"/>
      <w:r w:rsidRPr="00C22ABE">
        <w:rPr>
          <w:rFonts w:cstheme="minorHAnsi"/>
          <w:sz w:val="20"/>
          <w:szCs w:val="18"/>
        </w:rPr>
        <w:t xml:space="preserve"> et al </w:t>
      </w:r>
      <w:r w:rsidRPr="00C22ABE">
        <w:rPr>
          <w:rFonts w:cstheme="minorHAnsi"/>
          <w:sz w:val="20"/>
          <w:szCs w:val="18"/>
        </w:rPr>
        <w:fldChar w:fldCharType="begin"/>
      </w:r>
      <w:r w:rsidRPr="00C22ABE">
        <w:rPr>
          <w:rFonts w:cstheme="minorHAnsi"/>
          <w:sz w:val="20"/>
          <w:szCs w:val="18"/>
        </w:rPr>
        <w:instrText xml:space="preserve"> ADDIN ZOTERO_ITEM CSL_CITATION {"citationID":"3yYU70HE","properties":{"formattedCitation":"(4)","plainCitation":"(4)","noteIndex":0},"citationItems":[{"id":166,"uris":["http://zotero.org/users/local/Om3YyEnU/items/X4JN8KCA"],"uri":["http://zotero.org/users/local/Om3YyEnU/items/X4JN8KCA"],"itemData":{"id":166,"type":"article-journal","container-title":"Oral Diseases","DOI":"10.1111/odi.13485","ISSN":"1354-523X, 1601-0825","journalAbbreviation":"Oral Dis","language":"en","page":"odi.13485","source":"DOI.org (Crossref)","title":"Tooth extraction before radiotherapy is a risk factor for developing osteoradionecrosis of the jaws: A systematic review","title-short":"Tooth extraction before radiotherapy is a risk factor for developing osteoradionecrosis of the jaws","author":[{"family":"Lajolo","given":"Carlo"},{"family":"Gioco","given":"Gioele"},{"family":"Rupe","given":"Cosimo"},{"family":"Troiano","given":"Giuseppe"},{"family":"Cordaro","given":"Massimo"},{"family":"Lucchese","given":"Alberta"},{"family":"Paludetti","given":"Gaetano"},{"family":"Giuliani","given":"Michele"}],"issued":{"date-parts":[["2020",7,7]]}}}],"schema":"https://github.com/citation-style-language/schema/raw/master/csl-citation.json"} </w:instrText>
      </w:r>
      <w:r w:rsidRPr="00C22ABE">
        <w:rPr>
          <w:rFonts w:cstheme="minorHAnsi"/>
          <w:sz w:val="20"/>
          <w:szCs w:val="18"/>
        </w:rPr>
        <w:fldChar w:fldCharType="separate"/>
      </w:r>
      <w:r w:rsidRPr="00C22ABE">
        <w:rPr>
          <w:rFonts w:cstheme="minorHAnsi"/>
          <w:sz w:val="20"/>
        </w:rPr>
        <w:t>(4)</w:t>
      </w:r>
      <w:r w:rsidRPr="00C22ABE">
        <w:rPr>
          <w:rFonts w:cstheme="minorHAnsi"/>
          <w:sz w:val="20"/>
          <w:szCs w:val="18"/>
        </w:rPr>
        <w:fldChar w:fldCharType="end"/>
      </w:r>
      <w:r w:rsidRPr="00C22ABE">
        <w:rPr>
          <w:rFonts w:cstheme="minorHAnsi"/>
          <w:sz w:val="20"/>
          <w:szCs w:val="18"/>
        </w:rPr>
        <w:t>, d</w:t>
      </w:r>
      <w:r w:rsidR="006902E0" w:rsidRPr="00C22ABE">
        <w:rPr>
          <w:rFonts w:cstheme="minorHAnsi"/>
          <w:sz w:val="20"/>
          <w:szCs w:val="18"/>
        </w:rPr>
        <w:t xml:space="preserve">ifférents facteurs peuvent jouer un rôle </w:t>
      </w:r>
      <w:r w:rsidR="00B37039" w:rsidRPr="00C22ABE">
        <w:rPr>
          <w:rFonts w:cstheme="minorHAnsi"/>
          <w:sz w:val="20"/>
          <w:szCs w:val="18"/>
        </w:rPr>
        <w:t xml:space="preserve">dans l’apparition d’une ORN </w:t>
      </w:r>
      <w:r w:rsidR="006902E0" w:rsidRPr="00C22ABE">
        <w:rPr>
          <w:rFonts w:cstheme="minorHAnsi"/>
          <w:sz w:val="20"/>
          <w:szCs w:val="18"/>
        </w:rPr>
        <w:t xml:space="preserve">dont </w:t>
      </w:r>
      <w:r w:rsidR="003E4186" w:rsidRPr="00C22ABE">
        <w:rPr>
          <w:rFonts w:cstheme="minorHAnsi"/>
          <w:sz w:val="20"/>
          <w:szCs w:val="18"/>
        </w:rPr>
        <w:t xml:space="preserve"> </w:t>
      </w:r>
    </w:p>
    <w:p w14:paraId="6CFF72F7" w14:textId="712F760E" w:rsidR="003E4186" w:rsidRPr="00C22ABE" w:rsidRDefault="000D365A" w:rsidP="00C22ABE">
      <w:pPr>
        <w:numPr>
          <w:ilvl w:val="0"/>
          <w:numId w:val="3"/>
        </w:numPr>
        <w:tabs>
          <w:tab w:val="left" w:pos="7110"/>
        </w:tabs>
        <w:spacing w:after="0"/>
        <w:rPr>
          <w:rFonts w:cstheme="minorHAnsi"/>
          <w:sz w:val="20"/>
          <w:szCs w:val="18"/>
        </w:rPr>
      </w:pPr>
      <w:r w:rsidRPr="00C22ABE">
        <w:rPr>
          <w:rFonts w:cstheme="minorHAnsi"/>
          <w:sz w:val="20"/>
          <w:szCs w:val="18"/>
        </w:rPr>
        <w:t>Le</w:t>
      </w:r>
      <w:r w:rsidR="003E4186" w:rsidRPr="00C22ABE">
        <w:rPr>
          <w:rFonts w:cstheme="minorHAnsi"/>
          <w:sz w:val="20"/>
          <w:szCs w:val="18"/>
        </w:rPr>
        <w:t xml:space="preserve"> site d’extraction : </w:t>
      </w:r>
      <w:r w:rsidR="00496FC0" w:rsidRPr="00C22ABE">
        <w:rPr>
          <w:rFonts w:cstheme="minorHAnsi"/>
          <w:sz w:val="20"/>
          <w:szCs w:val="18"/>
        </w:rPr>
        <w:t xml:space="preserve">la </w:t>
      </w:r>
      <w:r w:rsidR="003E4186" w:rsidRPr="00C22ABE">
        <w:rPr>
          <w:rFonts w:cstheme="minorHAnsi"/>
          <w:sz w:val="20"/>
          <w:szCs w:val="18"/>
        </w:rPr>
        <w:t>mandibule</w:t>
      </w:r>
      <w:r w:rsidR="006902E0" w:rsidRPr="00C22ABE">
        <w:rPr>
          <w:rFonts w:cstheme="minorHAnsi"/>
          <w:sz w:val="20"/>
          <w:szCs w:val="18"/>
        </w:rPr>
        <w:t xml:space="preserve"> est plus à risque</w:t>
      </w:r>
      <w:r w:rsidR="005A668F" w:rsidRPr="00C22ABE">
        <w:rPr>
          <w:rFonts w:cstheme="minorHAnsi"/>
          <w:sz w:val="20"/>
          <w:szCs w:val="18"/>
        </w:rPr>
        <w:t>.</w:t>
      </w:r>
    </w:p>
    <w:p w14:paraId="1EEA58A8" w14:textId="78944A67" w:rsidR="003E4186" w:rsidRPr="00C22ABE" w:rsidRDefault="000D365A" w:rsidP="00C22ABE">
      <w:pPr>
        <w:numPr>
          <w:ilvl w:val="0"/>
          <w:numId w:val="3"/>
        </w:numPr>
        <w:tabs>
          <w:tab w:val="left" w:pos="7110"/>
        </w:tabs>
        <w:spacing w:after="0"/>
        <w:rPr>
          <w:rFonts w:cstheme="minorHAnsi"/>
          <w:sz w:val="20"/>
          <w:szCs w:val="18"/>
        </w:rPr>
      </w:pPr>
      <w:r w:rsidRPr="00C22ABE">
        <w:rPr>
          <w:rFonts w:cstheme="minorHAnsi"/>
          <w:sz w:val="20"/>
          <w:szCs w:val="18"/>
        </w:rPr>
        <w:t>La</w:t>
      </w:r>
      <w:r w:rsidR="006902E0" w:rsidRPr="00C22ABE">
        <w:rPr>
          <w:rFonts w:cstheme="minorHAnsi"/>
          <w:sz w:val="20"/>
          <w:szCs w:val="18"/>
        </w:rPr>
        <w:t xml:space="preserve"> </w:t>
      </w:r>
      <w:r w:rsidR="003E4186" w:rsidRPr="00C22ABE">
        <w:rPr>
          <w:rFonts w:cstheme="minorHAnsi"/>
          <w:sz w:val="20"/>
          <w:szCs w:val="18"/>
        </w:rPr>
        <w:t xml:space="preserve">technique : </w:t>
      </w:r>
      <w:r w:rsidR="00400C70" w:rsidRPr="00C22ABE">
        <w:rPr>
          <w:rFonts w:cstheme="minorHAnsi"/>
          <w:sz w:val="20"/>
          <w:szCs w:val="18"/>
        </w:rPr>
        <w:t>celle-ci doit être</w:t>
      </w:r>
      <w:r w:rsidR="00433DAB" w:rsidRPr="00C22ABE">
        <w:rPr>
          <w:rFonts w:cstheme="minorHAnsi"/>
          <w:sz w:val="20"/>
          <w:szCs w:val="18"/>
        </w:rPr>
        <w:t xml:space="preserve"> la plus atraumatique possible</w:t>
      </w:r>
      <w:r w:rsidR="00651C6C" w:rsidRPr="00C22ABE">
        <w:rPr>
          <w:rFonts w:cstheme="minorHAnsi"/>
          <w:sz w:val="20"/>
          <w:szCs w:val="18"/>
        </w:rPr>
        <w:t>,</w:t>
      </w:r>
      <w:r w:rsidR="004258A1" w:rsidRPr="00C22ABE">
        <w:rPr>
          <w:rFonts w:cstheme="minorHAnsi"/>
          <w:sz w:val="20"/>
          <w:szCs w:val="18"/>
        </w:rPr>
        <w:t xml:space="preserve"> </w:t>
      </w:r>
      <w:r w:rsidR="00400C70" w:rsidRPr="00C22ABE">
        <w:rPr>
          <w:rFonts w:cstheme="minorHAnsi"/>
          <w:sz w:val="20"/>
          <w:szCs w:val="18"/>
        </w:rPr>
        <w:t xml:space="preserve">avec </w:t>
      </w:r>
      <w:proofErr w:type="spellStart"/>
      <w:r w:rsidR="00433DAB" w:rsidRPr="00C22ABE">
        <w:rPr>
          <w:rFonts w:cstheme="minorHAnsi"/>
          <w:sz w:val="20"/>
          <w:szCs w:val="18"/>
        </w:rPr>
        <w:t>alvéoloplastie</w:t>
      </w:r>
      <w:proofErr w:type="spellEnd"/>
      <w:r w:rsidR="004258A1" w:rsidRPr="00C22ABE">
        <w:rPr>
          <w:rFonts w:cstheme="minorHAnsi"/>
          <w:sz w:val="20"/>
          <w:szCs w:val="18"/>
        </w:rPr>
        <w:t xml:space="preserve"> </w:t>
      </w:r>
      <w:r w:rsidR="00734DD5" w:rsidRPr="00C22ABE">
        <w:rPr>
          <w:rFonts w:cstheme="minorHAnsi"/>
          <w:sz w:val="20"/>
          <w:szCs w:val="18"/>
        </w:rPr>
        <w:t xml:space="preserve">, réalisation </w:t>
      </w:r>
      <w:r w:rsidR="004258A1" w:rsidRPr="00C22ABE">
        <w:rPr>
          <w:rFonts w:cstheme="minorHAnsi"/>
          <w:sz w:val="20"/>
          <w:szCs w:val="18"/>
        </w:rPr>
        <w:t>d’un</w:t>
      </w:r>
      <w:r w:rsidR="006902E0" w:rsidRPr="00C22ABE">
        <w:rPr>
          <w:rFonts w:cstheme="minorHAnsi"/>
          <w:sz w:val="20"/>
          <w:szCs w:val="18"/>
        </w:rPr>
        <w:t xml:space="preserve"> </w:t>
      </w:r>
      <w:r w:rsidR="003E4186" w:rsidRPr="00C22ABE">
        <w:rPr>
          <w:rFonts w:cstheme="minorHAnsi"/>
          <w:sz w:val="20"/>
          <w:szCs w:val="18"/>
        </w:rPr>
        <w:t>lambeau mucopériosté</w:t>
      </w:r>
      <w:r w:rsidR="00400C70" w:rsidRPr="00C22ABE">
        <w:rPr>
          <w:rFonts w:cstheme="minorHAnsi"/>
          <w:sz w:val="20"/>
          <w:szCs w:val="18"/>
        </w:rPr>
        <w:t xml:space="preserve"> et suture étanche du site</w:t>
      </w:r>
      <w:r w:rsidR="002824C2" w:rsidRPr="00C22ABE">
        <w:rPr>
          <w:rFonts w:cstheme="minorHAnsi"/>
          <w:sz w:val="20"/>
          <w:szCs w:val="18"/>
        </w:rPr>
        <w:t xml:space="preserve"> </w:t>
      </w:r>
      <w:r w:rsidR="002824C2" w:rsidRPr="00C22ABE">
        <w:rPr>
          <w:rFonts w:cstheme="minorHAnsi"/>
          <w:sz w:val="20"/>
          <w:szCs w:val="18"/>
        </w:rPr>
        <w:fldChar w:fldCharType="begin"/>
      </w:r>
      <w:r w:rsidR="00D36EC3">
        <w:rPr>
          <w:rFonts w:cstheme="minorHAnsi"/>
          <w:sz w:val="20"/>
          <w:szCs w:val="18"/>
        </w:rPr>
        <w:instrText xml:space="preserve"> ADDIN ZOTERO_ITEM CSL_CITATION {"citationID":"KMQgIPeV","properties":{"formattedCitation":"(74)","plainCitation":"(74)","noteIndex":0},"citationItems":[{"id":320,"uris":["http://zotero.org/users/local/Om3YyEnU/items/C3BP5R8I"],"uri":["http://zotero.org/users/local/Om3YyEnU/items/C3BP5R8I"],"itemData":{"id":320,"type":"article-journal","abstract":"PURPOSE: The aim of this paper is to explore the current theories about pretreatment assessment and dental management of patients receiving head and neck radiotherapy, and the therapeutic options to treat osteoradionecrosis of the jaws, based on the literature review.\nDISCUSSION: Osteoradionecrosis is one of the most serious oral complications of head and neck cancer treatment. Osteoradionecrosis is a severe delayed radiation-induced injury, characterized by bone tissue necrosis and failure to heal. Osteoradionecrosis either stabilizes or gradually worsens and is notoriously difficult to manage. Because most cases occur in patients who were dentulous in the mandible at tumor onset, proper dental management is the single most important factor in prevention.\nCONCLUSIONS: Complete dental clearance before treatment is no longer necessary. Controversy exists regarding the management of osteoradionecrosis of the maxillofacial skeleton because of the variability of this condition. The treatment of osteoradionecrosis has included local wound care, antibiotic therapy, surgical procedures, and the administration of hyperbaric oxygenation. Recently, new methods of treatment were introduced, according to the new theory about its pathophysiology.","container-title":"Oral and Maxillofacial Surgery","DOI":"10.1007/s10006-010-0205-1","ISSN":"1865-1569","issue":"2","journalAbbreviation":"Oral Maxillofac Surg","language":"eng","note":"PMID: 20145963","page":"81-95","source":"PubMed","title":"Osteoradionecrosis of the jaws--a current overview--Part 2: dental management and therapeutic options for treatment","title-short":"Osteoradionecrosis of the jaws--a current overview--Part 2","volume":"14","author":[{"family":"Chrcanovic","given":"Bruno Ramos"},{"family":"Reher","given":"Peter"},{"family":"Sousa","given":"Alexandre Andrade"},{"family":"Harris","given":"Malcolm"}],"issued":{"date-parts":[["2010",6]]}}}],"schema":"https://github.com/citation-style-language/schema/raw/master/csl-citation.json"} </w:instrText>
      </w:r>
      <w:r w:rsidR="002824C2" w:rsidRPr="00C22ABE">
        <w:rPr>
          <w:rFonts w:cstheme="minorHAnsi"/>
          <w:sz w:val="20"/>
          <w:szCs w:val="18"/>
        </w:rPr>
        <w:fldChar w:fldCharType="separate"/>
      </w:r>
      <w:r w:rsidR="00D36EC3" w:rsidRPr="00D36EC3">
        <w:rPr>
          <w:rFonts w:ascii="Calibri" w:hAnsi="Calibri" w:cs="Calibri"/>
          <w:sz w:val="20"/>
        </w:rPr>
        <w:t>(74)</w:t>
      </w:r>
      <w:r w:rsidR="002824C2" w:rsidRPr="00C22ABE">
        <w:rPr>
          <w:rFonts w:cstheme="minorHAnsi"/>
          <w:sz w:val="20"/>
          <w:szCs w:val="18"/>
        </w:rPr>
        <w:fldChar w:fldCharType="end"/>
      </w:r>
      <w:r w:rsidR="00400C70" w:rsidRPr="00C22ABE">
        <w:rPr>
          <w:rFonts w:cstheme="minorHAnsi"/>
          <w:sz w:val="20"/>
          <w:szCs w:val="18"/>
        </w:rPr>
        <w:t>.</w:t>
      </w:r>
    </w:p>
    <w:p w14:paraId="0944B774" w14:textId="2A4F8218" w:rsidR="003E4186" w:rsidRPr="00C22ABE" w:rsidRDefault="000D365A" w:rsidP="00C22ABE">
      <w:pPr>
        <w:numPr>
          <w:ilvl w:val="0"/>
          <w:numId w:val="3"/>
        </w:numPr>
        <w:tabs>
          <w:tab w:val="left" w:pos="7110"/>
        </w:tabs>
        <w:spacing w:after="0"/>
        <w:rPr>
          <w:rFonts w:cstheme="minorHAnsi"/>
          <w:sz w:val="20"/>
          <w:szCs w:val="18"/>
        </w:rPr>
      </w:pPr>
      <w:r w:rsidRPr="00C22ABE">
        <w:rPr>
          <w:rFonts w:cstheme="minorHAnsi"/>
          <w:sz w:val="20"/>
          <w:szCs w:val="18"/>
        </w:rPr>
        <w:t>Le</w:t>
      </w:r>
      <w:r w:rsidR="006902E0" w:rsidRPr="00C22ABE">
        <w:rPr>
          <w:rFonts w:cstheme="minorHAnsi"/>
          <w:sz w:val="20"/>
          <w:szCs w:val="18"/>
        </w:rPr>
        <w:t xml:space="preserve"> </w:t>
      </w:r>
      <w:r w:rsidR="003E4186" w:rsidRPr="00C22ABE">
        <w:rPr>
          <w:rFonts w:cstheme="minorHAnsi"/>
          <w:sz w:val="20"/>
          <w:szCs w:val="18"/>
        </w:rPr>
        <w:t xml:space="preserve">traitement </w:t>
      </w:r>
      <w:proofErr w:type="spellStart"/>
      <w:r w:rsidR="003E4186" w:rsidRPr="00C22ABE">
        <w:rPr>
          <w:rFonts w:cstheme="minorHAnsi"/>
          <w:sz w:val="20"/>
          <w:szCs w:val="18"/>
        </w:rPr>
        <w:t>périopératoire</w:t>
      </w:r>
      <w:proofErr w:type="spellEnd"/>
      <w:r w:rsidR="003E4186" w:rsidRPr="00C22ABE">
        <w:rPr>
          <w:rFonts w:cstheme="minorHAnsi"/>
          <w:sz w:val="20"/>
          <w:szCs w:val="18"/>
        </w:rPr>
        <w:t xml:space="preserve"> : </w:t>
      </w:r>
      <w:r w:rsidR="00734DD5" w:rsidRPr="00C22ABE">
        <w:rPr>
          <w:rFonts w:cstheme="minorHAnsi"/>
          <w:sz w:val="20"/>
          <w:szCs w:val="18"/>
        </w:rPr>
        <w:t xml:space="preserve">la littérature ne propose pas de réponses claires quant à l’utilisation des antibiotiques </w:t>
      </w:r>
      <w:r w:rsidRPr="00C22ABE">
        <w:rPr>
          <w:rFonts w:cstheme="minorHAnsi"/>
          <w:sz w:val="20"/>
          <w:szCs w:val="18"/>
        </w:rPr>
        <w:t>et des bains de bouche vu le rôle incertain des bactéries</w:t>
      </w:r>
      <w:r w:rsidR="00734DD5" w:rsidRPr="00C22ABE">
        <w:rPr>
          <w:rFonts w:cstheme="minorHAnsi"/>
          <w:sz w:val="20"/>
          <w:szCs w:val="18"/>
        </w:rPr>
        <w:t>.</w:t>
      </w:r>
      <w:r w:rsidR="00400C70" w:rsidRPr="00C22ABE">
        <w:rPr>
          <w:rFonts w:cstheme="minorHAnsi"/>
          <w:sz w:val="20"/>
          <w:szCs w:val="18"/>
        </w:rPr>
        <w:t xml:space="preserve"> </w:t>
      </w:r>
      <w:r w:rsidR="00734DD5" w:rsidRPr="00C22ABE">
        <w:rPr>
          <w:rFonts w:cstheme="minorHAnsi"/>
          <w:sz w:val="20"/>
          <w:szCs w:val="18"/>
        </w:rPr>
        <w:t>Si la dent présente une infection, une couverture antibiotique est souhaitable</w:t>
      </w:r>
      <w:r w:rsidR="00400C70" w:rsidRPr="00C22ABE">
        <w:rPr>
          <w:rFonts w:cstheme="minorHAnsi"/>
          <w:sz w:val="20"/>
          <w:szCs w:val="18"/>
        </w:rPr>
        <w:t>. L</w:t>
      </w:r>
      <w:r w:rsidR="006902E0" w:rsidRPr="00C22ABE">
        <w:rPr>
          <w:rFonts w:cstheme="minorHAnsi"/>
          <w:sz w:val="20"/>
          <w:szCs w:val="18"/>
        </w:rPr>
        <w:t xml:space="preserve">e </w:t>
      </w:r>
      <w:r w:rsidR="003E4186" w:rsidRPr="00C22ABE">
        <w:rPr>
          <w:rFonts w:cstheme="minorHAnsi"/>
          <w:sz w:val="20"/>
          <w:szCs w:val="18"/>
        </w:rPr>
        <w:t xml:space="preserve">risque d’ORN </w:t>
      </w:r>
      <w:r w:rsidR="006902E0" w:rsidRPr="00C22ABE">
        <w:rPr>
          <w:rFonts w:cstheme="minorHAnsi"/>
          <w:sz w:val="20"/>
          <w:szCs w:val="18"/>
        </w:rPr>
        <w:t xml:space="preserve">est plus élevé </w:t>
      </w:r>
      <w:r w:rsidR="003E4186" w:rsidRPr="00C22ABE">
        <w:rPr>
          <w:rFonts w:cstheme="minorHAnsi"/>
          <w:sz w:val="20"/>
          <w:szCs w:val="18"/>
        </w:rPr>
        <w:t>s</w:t>
      </w:r>
      <w:r w:rsidR="006902E0" w:rsidRPr="00C22ABE">
        <w:rPr>
          <w:rFonts w:cstheme="minorHAnsi"/>
          <w:sz w:val="20"/>
          <w:szCs w:val="18"/>
        </w:rPr>
        <w:t>’il existe un</w:t>
      </w:r>
      <w:r w:rsidR="003E4186" w:rsidRPr="00C22ABE">
        <w:rPr>
          <w:rFonts w:cstheme="minorHAnsi"/>
          <w:sz w:val="20"/>
          <w:szCs w:val="18"/>
        </w:rPr>
        <w:t xml:space="preserve"> processus inflammatoire ou infectieux préalable</w:t>
      </w:r>
      <w:r w:rsidR="006902E0" w:rsidRPr="00C22ABE">
        <w:rPr>
          <w:rFonts w:cstheme="minorHAnsi"/>
          <w:sz w:val="20"/>
          <w:szCs w:val="18"/>
        </w:rPr>
        <w:t>. P</w:t>
      </w:r>
      <w:r w:rsidR="003E4186" w:rsidRPr="00C22ABE">
        <w:rPr>
          <w:rFonts w:cstheme="minorHAnsi"/>
          <w:sz w:val="20"/>
          <w:szCs w:val="18"/>
        </w:rPr>
        <w:t>our certains auteurs l’extraction prophylactique de dents saines augmente légèrement le risque d’ORN</w:t>
      </w:r>
      <w:r w:rsidR="00496FC0" w:rsidRPr="00C22ABE">
        <w:rPr>
          <w:rFonts w:cstheme="minorHAnsi"/>
          <w:sz w:val="20"/>
          <w:szCs w:val="18"/>
        </w:rPr>
        <w:t>, m</w:t>
      </w:r>
      <w:r w:rsidR="003E4186" w:rsidRPr="00C22ABE">
        <w:rPr>
          <w:rFonts w:cstheme="minorHAnsi"/>
          <w:sz w:val="20"/>
          <w:szCs w:val="18"/>
        </w:rPr>
        <w:t>ais il serait logique de penser que l’extraction de dents présentant une infection endo/</w:t>
      </w:r>
      <w:proofErr w:type="spellStart"/>
      <w:r w:rsidR="003E4186" w:rsidRPr="00C22ABE">
        <w:rPr>
          <w:rFonts w:cstheme="minorHAnsi"/>
          <w:sz w:val="20"/>
          <w:szCs w:val="18"/>
        </w:rPr>
        <w:t>paro</w:t>
      </w:r>
      <w:proofErr w:type="spellEnd"/>
      <w:r w:rsidR="003E4186" w:rsidRPr="00C22ABE">
        <w:rPr>
          <w:rFonts w:cstheme="minorHAnsi"/>
          <w:sz w:val="20"/>
          <w:szCs w:val="18"/>
        </w:rPr>
        <w:t xml:space="preserve"> augmente le risque d’ORN</w:t>
      </w:r>
      <w:r w:rsidR="00255F29" w:rsidRPr="00C22ABE">
        <w:rPr>
          <w:rFonts w:cstheme="minorHAnsi"/>
          <w:sz w:val="20"/>
          <w:szCs w:val="18"/>
        </w:rPr>
        <w:t>.</w:t>
      </w:r>
    </w:p>
    <w:p w14:paraId="2C3E8993" w14:textId="458C6720" w:rsidR="003E4186" w:rsidRPr="00C22ABE" w:rsidRDefault="006902E0" w:rsidP="00C22ABE">
      <w:pPr>
        <w:numPr>
          <w:ilvl w:val="0"/>
          <w:numId w:val="3"/>
        </w:numPr>
        <w:tabs>
          <w:tab w:val="left" w:pos="7110"/>
        </w:tabs>
        <w:spacing w:after="0"/>
        <w:rPr>
          <w:rFonts w:cstheme="minorHAnsi"/>
          <w:sz w:val="20"/>
          <w:szCs w:val="18"/>
        </w:rPr>
      </w:pPr>
      <w:r w:rsidRPr="00C22ABE">
        <w:rPr>
          <w:rFonts w:cstheme="minorHAnsi"/>
          <w:sz w:val="20"/>
          <w:szCs w:val="18"/>
        </w:rPr>
        <w:t>L’i</w:t>
      </w:r>
      <w:r w:rsidR="003E4186" w:rsidRPr="00C22ABE">
        <w:rPr>
          <w:rFonts w:cstheme="minorHAnsi"/>
          <w:sz w:val="20"/>
          <w:szCs w:val="18"/>
        </w:rPr>
        <w:t xml:space="preserve">ntervalle entre </w:t>
      </w:r>
      <w:r w:rsidR="00400C70" w:rsidRPr="00C22ABE">
        <w:rPr>
          <w:rFonts w:cstheme="minorHAnsi"/>
          <w:sz w:val="20"/>
          <w:szCs w:val="18"/>
        </w:rPr>
        <w:t>l’</w:t>
      </w:r>
      <w:r w:rsidR="003E4186" w:rsidRPr="00C22ABE">
        <w:rPr>
          <w:rFonts w:cstheme="minorHAnsi"/>
          <w:sz w:val="20"/>
          <w:szCs w:val="18"/>
        </w:rPr>
        <w:t xml:space="preserve">extraction et </w:t>
      </w:r>
      <w:r w:rsidR="00496FC0" w:rsidRPr="00C22ABE">
        <w:rPr>
          <w:rFonts w:cstheme="minorHAnsi"/>
          <w:sz w:val="20"/>
          <w:szCs w:val="18"/>
        </w:rPr>
        <w:t xml:space="preserve">le </w:t>
      </w:r>
      <w:r w:rsidR="003E4186" w:rsidRPr="00C22ABE">
        <w:rPr>
          <w:rFonts w:cstheme="minorHAnsi"/>
          <w:sz w:val="20"/>
          <w:szCs w:val="18"/>
        </w:rPr>
        <w:t xml:space="preserve">début </w:t>
      </w:r>
      <w:proofErr w:type="spellStart"/>
      <w:r w:rsidR="003E4186" w:rsidRPr="00C22ABE">
        <w:rPr>
          <w:rFonts w:cstheme="minorHAnsi"/>
          <w:sz w:val="20"/>
          <w:szCs w:val="18"/>
        </w:rPr>
        <w:t>Rth</w:t>
      </w:r>
      <w:proofErr w:type="spellEnd"/>
      <w:r w:rsidR="000D365A" w:rsidRPr="00C22ABE">
        <w:rPr>
          <w:rFonts w:cstheme="minorHAnsi"/>
          <w:sz w:val="20"/>
          <w:szCs w:val="18"/>
        </w:rPr>
        <w:t xml:space="preserve">. Le remodelage osseux </w:t>
      </w:r>
      <w:r w:rsidR="00496FC0" w:rsidRPr="00C22ABE">
        <w:rPr>
          <w:rFonts w:cstheme="minorHAnsi"/>
          <w:sz w:val="20"/>
          <w:szCs w:val="18"/>
        </w:rPr>
        <w:t>se</w:t>
      </w:r>
      <w:r w:rsidR="000D365A" w:rsidRPr="00C22ABE">
        <w:rPr>
          <w:rFonts w:cstheme="minorHAnsi"/>
          <w:sz w:val="20"/>
          <w:szCs w:val="18"/>
        </w:rPr>
        <w:t xml:space="preserve"> poursuit jusqu’à 3 mois post</w:t>
      </w:r>
      <w:r w:rsidR="00496FC0" w:rsidRPr="00C22ABE">
        <w:rPr>
          <w:rFonts w:cstheme="minorHAnsi"/>
          <w:sz w:val="20"/>
          <w:szCs w:val="18"/>
        </w:rPr>
        <w:t>-</w:t>
      </w:r>
      <w:r w:rsidR="000D365A" w:rsidRPr="00C22ABE">
        <w:rPr>
          <w:rFonts w:cstheme="minorHAnsi"/>
          <w:sz w:val="20"/>
          <w:szCs w:val="18"/>
        </w:rPr>
        <w:t xml:space="preserve"> extraction, mais le traitement oncologique ne permet pas un délai aussi important. Pour réduire ce temps, certains ont proposé la mise en place de </w:t>
      </w:r>
      <w:r w:rsidR="003E4186" w:rsidRPr="00C22ABE">
        <w:rPr>
          <w:rFonts w:cstheme="minorHAnsi"/>
          <w:sz w:val="20"/>
          <w:szCs w:val="18"/>
        </w:rPr>
        <w:t>PRF</w:t>
      </w:r>
      <w:r w:rsidR="000D365A" w:rsidRPr="00C22ABE">
        <w:rPr>
          <w:rFonts w:cstheme="minorHAnsi"/>
          <w:sz w:val="20"/>
          <w:szCs w:val="18"/>
        </w:rPr>
        <w:t>. Cette pratique ne montre pas d’</w:t>
      </w:r>
      <w:r w:rsidR="003E4186" w:rsidRPr="00C22ABE">
        <w:rPr>
          <w:rFonts w:cstheme="minorHAnsi"/>
          <w:sz w:val="20"/>
          <w:szCs w:val="18"/>
        </w:rPr>
        <w:t xml:space="preserve">effet </w:t>
      </w:r>
      <w:r w:rsidR="000D365A" w:rsidRPr="00C22ABE">
        <w:rPr>
          <w:rFonts w:cstheme="minorHAnsi"/>
          <w:sz w:val="20"/>
          <w:szCs w:val="18"/>
        </w:rPr>
        <w:t xml:space="preserve">positif dans </w:t>
      </w:r>
      <w:r w:rsidR="00734DD5" w:rsidRPr="00C22ABE">
        <w:rPr>
          <w:rFonts w:cstheme="minorHAnsi"/>
          <w:sz w:val="20"/>
          <w:szCs w:val="18"/>
        </w:rPr>
        <w:t xml:space="preserve">un essai en cross over contrôlé randomisé en double aveugle </w:t>
      </w:r>
      <w:r w:rsidRPr="00C22ABE">
        <w:rPr>
          <w:rFonts w:cstheme="minorHAnsi"/>
          <w:sz w:val="20"/>
          <w:szCs w:val="18"/>
        </w:rPr>
        <w:fldChar w:fldCharType="begin"/>
      </w:r>
      <w:r w:rsidR="00281AF6" w:rsidRPr="00C22ABE">
        <w:rPr>
          <w:rFonts w:cstheme="minorHAnsi"/>
          <w:sz w:val="20"/>
          <w:szCs w:val="18"/>
        </w:rPr>
        <w:instrText xml:space="preserve"> ADDIN ZOTERO_ITEM CSL_CITATION {"citationID":"y66iwiGi","properties":{"formattedCitation":"(65)","plainCitation":"(65)","noteIndex":0},"citationItems":[{"id":231,"uris":["http://zotero.org/users/local/Om3YyEnU/items/TZPZ6UE4"],"uri":["http://zotero.org/users/local/Om3YyEnU/items/TZPZ6UE4"],"itemData":{"id":231,"type":"article-journal","abstract":"Osteoradionecrosis of the jaws is a complication of radiotherapy and controversy remains about the management of teeth in the field of radiotherapy. Platelet rich plasma has been advocated in multiple surgical sites, both bone and soft tissue, to promote healing and reduce complications. A randomized double blinded controlled trial was performed on patients receiving bilateral radiotherapy that affected the mandible who required pre treatment dental extractions. One side received platelet rich plasma and the other acted as a control. Twenty-two patients were recruited over 12 months and over a 5-year period following treatment three developed osteoradionecrosis (14%). Platelet rich plasma failed to show any benefit in the prevention of osteoradionecrosis. Nor was there any benefit in pain scores or mucosal healing on sides that were treated with platelet rich plasma. Platelet rich plasma fails to show a benefit in the prevention of osteoradionecrosis. The rate of osteoradionecrosis is high compared to other published series and the prophylactic removal of molar teeth should be questioned as a preventative measure.","container-title":"International Journal of Oral and Maxillofacial Surgery","DOI":"10.1016/j.ijom.2011.06.018","ISSN":"1399-0020","issue":"1","journalAbbreviation":"Int J Oral Maxillofac Surg","language":"eng","note":"PMID: 21782389","page":"2-4","source":"PubMed","title":"Platelet rich plasma for the prevention of osteoradionecrosis. A double blinded randomized cross over controlled trial","volume":"41","author":[{"family":"Batstone","given":"M. D."},{"family":"Cosson","given":"J."},{"family":"Marquart","given":"L."},{"family":"Acton","given":"C."}],"issued":{"date-parts":[["2012",1]]}}}],"schema":"https://github.com/citation-style-language/schema/raw/master/csl-citation.json"} </w:instrText>
      </w:r>
      <w:r w:rsidRPr="00C22ABE">
        <w:rPr>
          <w:rFonts w:cstheme="minorHAnsi"/>
          <w:sz w:val="20"/>
          <w:szCs w:val="18"/>
        </w:rPr>
        <w:fldChar w:fldCharType="separate"/>
      </w:r>
      <w:r w:rsidR="00281AF6" w:rsidRPr="00C22ABE">
        <w:rPr>
          <w:rFonts w:cstheme="minorHAnsi"/>
          <w:sz w:val="20"/>
        </w:rPr>
        <w:t>(65)</w:t>
      </w:r>
      <w:r w:rsidRPr="00C22ABE">
        <w:rPr>
          <w:rFonts w:cstheme="minorHAnsi"/>
          <w:sz w:val="20"/>
          <w:szCs w:val="18"/>
        </w:rPr>
        <w:fldChar w:fldCharType="end"/>
      </w:r>
      <w:r w:rsidR="00734DD5" w:rsidRPr="00C22ABE">
        <w:rPr>
          <w:rFonts w:cstheme="minorHAnsi"/>
          <w:sz w:val="20"/>
          <w:szCs w:val="18"/>
        </w:rPr>
        <w:t>.</w:t>
      </w:r>
      <w:r w:rsidR="003E4186" w:rsidRPr="00C22ABE">
        <w:rPr>
          <w:rFonts w:cstheme="minorHAnsi"/>
          <w:sz w:val="20"/>
          <w:szCs w:val="18"/>
        </w:rPr>
        <w:t> </w:t>
      </w:r>
    </w:p>
    <w:p w14:paraId="2F4BBCE0" w14:textId="3928F7C4" w:rsidR="003E4186" w:rsidRPr="00C22ABE" w:rsidRDefault="000D365A" w:rsidP="00C22ABE">
      <w:pPr>
        <w:numPr>
          <w:ilvl w:val="0"/>
          <w:numId w:val="3"/>
        </w:numPr>
        <w:tabs>
          <w:tab w:val="left" w:pos="7110"/>
        </w:tabs>
        <w:spacing w:after="0"/>
        <w:rPr>
          <w:rFonts w:cstheme="minorHAnsi"/>
          <w:b/>
          <w:bCs/>
          <w:sz w:val="20"/>
          <w:szCs w:val="18"/>
        </w:rPr>
      </w:pPr>
      <w:r w:rsidRPr="00C22ABE">
        <w:rPr>
          <w:rFonts w:cstheme="minorHAnsi"/>
          <w:sz w:val="20"/>
          <w:szCs w:val="18"/>
        </w:rPr>
        <w:lastRenderedPageBreak/>
        <w:t>L’h</w:t>
      </w:r>
      <w:r w:rsidR="003E4186" w:rsidRPr="00C22ABE">
        <w:rPr>
          <w:rFonts w:cstheme="minorHAnsi"/>
          <w:sz w:val="20"/>
          <w:szCs w:val="18"/>
        </w:rPr>
        <w:t xml:space="preserve">ygiène </w:t>
      </w:r>
      <w:r w:rsidRPr="00C22ABE">
        <w:rPr>
          <w:rFonts w:cstheme="minorHAnsi"/>
          <w:sz w:val="20"/>
          <w:szCs w:val="18"/>
        </w:rPr>
        <w:t>buccodentaire</w:t>
      </w:r>
      <w:r w:rsidR="003E4186" w:rsidRPr="00C22ABE">
        <w:rPr>
          <w:rFonts w:cstheme="minorHAnsi"/>
          <w:sz w:val="20"/>
          <w:szCs w:val="18"/>
        </w:rPr>
        <w:t xml:space="preserve"> avant extraction</w:t>
      </w:r>
      <w:r w:rsidRPr="00C22ABE">
        <w:rPr>
          <w:rFonts w:cstheme="minorHAnsi"/>
          <w:sz w:val="20"/>
          <w:szCs w:val="18"/>
        </w:rPr>
        <w:t xml:space="preserve"> a été </w:t>
      </w:r>
      <w:r w:rsidR="003E4186" w:rsidRPr="00C22ABE">
        <w:rPr>
          <w:rFonts w:cstheme="minorHAnsi"/>
          <w:sz w:val="20"/>
          <w:szCs w:val="18"/>
        </w:rPr>
        <w:t>peu étudié</w:t>
      </w:r>
      <w:r w:rsidRPr="00C22ABE">
        <w:rPr>
          <w:rFonts w:cstheme="minorHAnsi"/>
          <w:sz w:val="20"/>
          <w:szCs w:val="18"/>
        </w:rPr>
        <w:t>e. Il est rarement fait mention du</w:t>
      </w:r>
      <w:r w:rsidR="00C22ABE" w:rsidRPr="00C22ABE">
        <w:rPr>
          <w:rFonts w:cstheme="minorHAnsi"/>
          <w:sz w:val="20"/>
          <w:szCs w:val="18"/>
        </w:rPr>
        <w:t xml:space="preserve"> score de plaque et du score de saignement.</w:t>
      </w:r>
    </w:p>
    <w:p w14:paraId="46455777" w14:textId="69133AD3" w:rsidR="00734DD5" w:rsidRPr="00C22ABE" w:rsidRDefault="00496FC0" w:rsidP="00C22ABE">
      <w:pPr>
        <w:pStyle w:val="Paragraphedeliste"/>
        <w:numPr>
          <w:ilvl w:val="0"/>
          <w:numId w:val="3"/>
        </w:numPr>
        <w:tabs>
          <w:tab w:val="left" w:pos="7110"/>
        </w:tabs>
        <w:spacing w:after="0"/>
        <w:rPr>
          <w:rFonts w:cstheme="minorHAnsi"/>
          <w:sz w:val="20"/>
          <w:szCs w:val="18"/>
        </w:rPr>
      </w:pPr>
      <w:r w:rsidRPr="00C22ABE">
        <w:rPr>
          <w:rFonts w:cstheme="minorHAnsi"/>
          <w:sz w:val="20"/>
          <w:szCs w:val="18"/>
        </w:rPr>
        <w:t>L’u</w:t>
      </w:r>
      <w:r w:rsidR="00D2264F" w:rsidRPr="00C22ABE">
        <w:rPr>
          <w:rFonts w:cstheme="minorHAnsi"/>
          <w:sz w:val="20"/>
          <w:szCs w:val="18"/>
        </w:rPr>
        <w:t>tilisation de gouttières de fluoration</w:t>
      </w:r>
      <w:r w:rsidR="00413925" w:rsidRPr="00C22ABE">
        <w:rPr>
          <w:rFonts w:cstheme="minorHAnsi"/>
          <w:sz w:val="20"/>
          <w:szCs w:val="18"/>
        </w:rPr>
        <w:t xml:space="preserve"> ou de dentifrice fluoré </w:t>
      </w:r>
      <w:r w:rsidRPr="00C22ABE">
        <w:rPr>
          <w:rFonts w:cstheme="minorHAnsi"/>
          <w:sz w:val="20"/>
          <w:szCs w:val="18"/>
        </w:rPr>
        <w:t>r</w:t>
      </w:r>
      <w:r w:rsidR="001F4BAC" w:rsidRPr="00C22ABE">
        <w:rPr>
          <w:rFonts w:cstheme="minorHAnsi"/>
          <w:sz w:val="20"/>
          <w:szCs w:val="18"/>
        </w:rPr>
        <w:t>éduit le risque de caries de 92%.</w:t>
      </w:r>
      <w:r w:rsidR="00413925" w:rsidRPr="00C22ABE">
        <w:rPr>
          <w:rFonts w:cstheme="minorHAnsi"/>
          <w:sz w:val="20"/>
          <w:szCs w:val="18"/>
        </w:rPr>
        <w:t xml:space="preserve"> </w:t>
      </w:r>
      <w:r w:rsidRPr="00C22ABE">
        <w:rPr>
          <w:rFonts w:cstheme="minorHAnsi"/>
          <w:sz w:val="20"/>
          <w:szCs w:val="18"/>
        </w:rPr>
        <w:t xml:space="preserve">Malheureusement, la </w:t>
      </w:r>
      <w:r w:rsidR="00413925" w:rsidRPr="00C22ABE">
        <w:rPr>
          <w:rFonts w:cstheme="minorHAnsi"/>
          <w:sz w:val="20"/>
          <w:szCs w:val="18"/>
        </w:rPr>
        <w:t xml:space="preserve">compliance </w:t>
      </w:r>
      <w:r w:rsidRPr="00C22ABE">
        <w:rPr>
          <w:rFonts w:cstheme="minorHAnsi"/>
          <w:sz w:val="20"/>
          <w:szCs w:val="18"/>
        </w:rPr>
        <w:t>à ce traitement est faible (</w:t>
      </w:r>
      <w:r w:rsidR="00413925" w:rsidRPr="00C22ABE">
        <w:rPr>
          <w:rFonts w:cstheme="minorHAnsi"/>
          <w:sz w:val="20"/>
          <w:szCs w:val="18"/>
        </w:rPr>
        <w:t>1</w:t>
      </w:r>
      <w:r w:rsidRPr="00C22ABE">
        <w:rPr>
          <w:rFonts w:cstheme="minorHAnsi"/>
          <w:sz w:val="20"/>
          <w:szCs w:val="18"/>
        </w:rPr>
        <w:t>6</w:t>
      </w:r>
      <w:r w:rsidR="00413925" w:rsidRPr="00C22ABE">
        <w:rPr>
          <w:rFonts w:cstheme="minorHAnsi"/>
          <w:sz w:val="20"/>
          <w:szCs w:val="18"/>
        </w:rPr>
        <w:t xml:space="preserve"> patient</w:t>
      </w:r>
      <w:r w:rsidRPr="00C22ABE">
        <w:rPr>
          <w:rFonts w:cstheme="minorHAnsi"/>
          <w:sz w:val="20"/>
          <w:szCs w:val="18"/>
        </w:rPr>
        <w:t>s</w:t>
      </w:r>
      <w:r w:rsidR="00413925" w:rsidRPr="00C22ABE">
        <w:rPr>
          <w:rFonts w:cstheme="minorHAnsi"/>
          <w:sz w:val="20"/>
          <w:szCs w:val="18"/>
        </w:rPr>
        <w:t>/</w:t>
      </w:r>
      <w:r w:rsidRPr="00C22ABE">
        <w:rPr>
          <w:rFonts w:cstheme="minorHAnsi"/>
          <w:sz w:val="20"/>
          <w:szCs w:val="18"/>
        </w:rPr>
        <w:t>15</w:t>
      </w:r>
      <w:r w:rsidR="00413925" w:rsidRPr="00C22ABE">
        <w:rPr>
          <w:rFonts w:cstheme="minorHAnsi"/>
          <w:sz w:val="20"/>
          <w:szCs w:val="18"/>
        </w:rPr>
        <w:t>5</w:t>
      </w:r>
      <w:r w:rsidRPr="00C22ABE">
        <w:rPr>
          <w:rFonts w:cstheme="minorHAnsi"/>
          <w:sz w:val="20"/>
          <w:szCs w:val="18"/>
        </w:rPr>
        <w:t xml:space="preserve">) après un an </w:t>
      </w:r>
      <w:r w:rsidRPr="00C22ABE">
        <w:rPr>
          <w:rFonts w:cstheme="minorHAnsi"/>
          <w:sz w:val="20"/>
          <w:szCs w:val="18"/>
        </w:rPr>
        <w:fldChar w:fldCharType="begin"/>
      </w:r>
      <w:r w:rsidR="00D36EC3">
        <w:rPr>
          <w:rFonts w:cstheme="minorHAnsi"/>
          <w:sz w:val="20"/>
          <w:szCs w:val="18"/>
        </w:rPr>
        <w:instrText xml:space="preserve"> ADDIN ZOTERO_ITEM CSL_CITATION {"citationID":"mMR7SwRd","properties":{"formattedCitation":"(77)","plainCitation":"(77)","noteIndex":0},"citationItems":[{"id":268,"uris":["http://zotero.org/users/local/Om3YyEnU/items/V8HXGSKM"],"uri":["http://zotero.org/users/local/Om3YyEnU/items/V8HXGSKM"],"itemData":{"id":268,"type":"article-journal","container-title":"Supportive Care in Cancer","DOI":"10.1007/s00520-011-1279-5","ISSN":"0941-4355, 1433-7339","issue":"8","journalAbbreviation":"Support Care Cancer","language":"en","page":"1811-1814","source":"DOI.org (Crossref)","title":"Compliance with fluoride custom trays in irradiated head and neck cancer patients","volume":"20","author":[{"family":"Thariat","given":"Juliette"},{"family":"Ramus","given":"Liliane"},{"family":"Darcourt","given":"Vincent"},{"family":"Marcy","given":"Pierre-Yves"},{"family":"Guevara","given":"N."},{"family":"Odin","given":"Guillaume"},{"family":"Poissonnet","given":"Gilles"},{"family":"Castillo","given":"Laurent"},{"family":"Ali","given":"Ali Mohammed"},{"family":"Righini","given":"Christian"}],"issued":{"date-parts":[["2012",8]]}}}],"schema":"https://github.com/citation-style-language/schema/raw/master/csl-citation.json"} </w:instrText>
      </w:r>
      <w:r w:rsidRPr="00C22ABE">
        <w:rPr>
          <w:rFonts w:cstheme="minorHAnsi"/>
          <w:sz w:val="20"/>
          <w:szCs w:val="18"/>
        </w:rPr>
        <w:fldChar w:fldCharType="separate"/>
      </w:r>
      <w:r w:rsidR="00D36EC3" w:rsidRPr="00D36EC3">
        <w:rPr>
          <w:rFonts w:ascii="Calibri" w:hAnsi="Calibri" w:cs="Calibri"/>
          <w:sz w:val="20"/>
        </w:rPr>
        <w:t>(77)</w:t>
      </w:r>
      <w:r w:rsidRPr="00C22ABE">
        <w:rPr>
          <w:rFonts w:cstheme="minorHAnsi"/>
          <w:sz w:val="20"/>
          <w:szCs w:val="18"/>
        </w:rPr>
        <w:fldChar w:fldCharType="end"/>
      </w:r>
      <w:r w:rsidR="00413925" w:rsidRPr="00C22ABE">
        <w:rPr>
          <w:rFonts w:cstheme="minorHAnsi"/>
          <w:sz w:val="20"/>
          <w:szCs w:val="18"/>
        </w:rPr>
        <w:t xml:space="preserve"> </w:t>
      </w:r>
      <w:r w:rsidR="001F4BAC" w:rsidRPr="00C22ABE">
        <w:rPr>
          <w:rFonts w:cstheme="minorHAnsi"/>
          <w:sz w:val="20"/>
          <w:szCs w:val="18"/>
        </w:rPr>
        <w:t xml:space="preserve">. </w:t>
      </w:r>
      <w:r w:rsidR="00734DD5" w:rsidRPr="00C22ABE">
        <w:rPr>
          <w:rFonts w:cstheme="minorHAnsi"/>
          <w:sz w:val="20"/>
          <w:szCs w:val="18"/>
        </w:rPr>
        <w:t>Il existe de multiples modalités de traitement par fluor : différentes concentration (1%, 1,23%, 2% de fluorure de sodium), différents schémas d’application (1x/jour à 1x/semaine) et différentes durées allant de la durée du traitement de radiothérapie, ou à vie.</w:t>
      </w:r>
    </w:p>
    <w:p w14:paraId="2A388C03" w14:textId="6F4D50BD" w:rsidR="00733B82" w:rsidRPr="00C22ABE" w:rsidRDefault="000D365A" w:rsidP="003E4186">
      <w:pPr>
        <w:pStyle w:val="Paragraphedeliste"/>
        <w:numPr>
          <w:ilvl w:val="0"/>
          <w:numId w:val="3"/>
        </w:numPr>
        <w:tabs>
          <w:tab w:val="left" w:pos="7110"/>
        </w:tabs>
        <w:rPr>
          <w:rFonts w:cstheme="minorHAnsi"/>
          <w:sz w:val="20"/>
          <w:szCs w:val="18"/>
        </w:rPr>
      </w:pPr>
      <w:r w:rsidRPr="00C22ABE">
        <w:rPr>
          <w:rFonts w:cstheme="minorHAnsi"/>
          <w:sz w:val="20"/>
          <w:szCs w:val="18"/>
        </w:rPr>
        <w:t>En</w:t>
      </w:r>
      <w:r w:rsidR="00B935D4" w:rsidRPr="00C22ABE">
        <w:rPr>
          <w:rFonts w:cstheme="minorHAnsi"/>
          <w:sz w:val="20"/>
          <w:szCs w:val="18"/>
        </w:rPr>
        <w:t>fin</w:t>
      </w:r>
      <w:r w:rsidRPr="00C22ABE">
        <w:rPr>
          <w:rFonts w:cstheme="minorHAnsi"/>
          <w:sz w:val="20"/>
          <w:szCs w:val="18"/>
        </w:rPr>
        <w:t xml:space="preserve">, d’autres facteurs </w:t>
      </w:r>
      <w:r w:rsidR="00B935D4" w:rsidRPr="00C22ABE">
        <w:rPr>
          <w:rFonts w:cstheme="minorHAnsi"/>
          <w:sz w:val="20"/>
          <w:szCs w:val="18"/>
        </w:rPr>
        <w:t>ne sont pas</w:t>
      </w:r>
      <w:r w:rsidRPr="00C22ABE">
        <w:rPr>
          <w:rFonts w:cstheme="minorHAnsi"/>
          <w:sz w:val="20"/>
          <w:szCs w:val="18"/>
        </w:rPr>
        <w:t xml:space="preserve"> modifiable</w:t>
      </w:r>
      <w:r w:rsidR="00B935D4" w:rsidRPr="00C22ABE">
        <w:rPr>
          <w:rFonts w:cstheme="minorHAnsi"/>
          <w:sz w:val="20"/>
          <w:szCs w:val="18"/>
        </w:rPr>
        <w:t>s</w:t>
      </w:r>
      <w:r w:rsidRPr="00C22ABE">
        <w:rPr>
          <w:rFonts w:cstheme="minorHAnsi"/>
          <w:sz w:val="20"/>
          <w:szCs w:val="18"/>
        </w:rPr>
        <w:t xml:space="preserve"> tels les facteurs </w:t>
      </w:r>
      <w:r w:rsidR="000E210E" w:rsidRPr="00C22ABE">
        <w:rPr>
          <w:rFonts w:cstheme="minorHAnsi"/>
          <w:sz w:val="20"/>
          <w:szCs w:val="18"/>
        </w:rPr>
        <w:t>lié</w:t>
      </w:r>
      <w:r w:rsidRPr="00C22ABE">
        <w:rPr>
          <w:rFonts w:cstheme="minorHAnsi"/>
          <w:sz w:val="20"/>
          <w:szCs w:val="18"/>
        </w:rPr>
        <w:t>s</w:t>
      </w:r>
      <w:r w:rsidR="000E210E" w:rsidRPr="00C22ABE">
        <w:rPr>
          <w:rFonts w:cstheme="minorHAnsi"/>
          <w:sz w:val="20"/>
          <w:szCs w:val="18"/>
        </w:rPr>
        <w:t xml:space="preserve"> à la dose</w:t>
      </w:r>
      <w:r w:rsidR="00400C70" w:rsidRPr="00C22ABE">
        <w:rPr>
          <w:rFonts w:cstheme="minorHAnsi"/>
          <w:sz w:val="20"/>
          <w:szCs w:val="18"/>
        </w:rPr>
        <w:t xml:space="preserve"> de radiothérapie</w:t>
      </w:r>
      <w:r w:rsidR="000E210E" w:rsidRPr="00C22ABE">
        <w:rPr>
          <w:rFonts w:cstheme="minorHAnsi"/>
          <w:sz w:val="20"/>
          <w:szCs w:val="18"/>
        </w:rPr>
        <w:t xml:space="preserve">, </w:t>
      </w:r>
      <w:r w:rsidR="00734DD5" w:rsidRPr="00C22ABE">
        <w:rPr>
          <w:rFonts w:cstheme="minorHAnsi"/>
          <w:sz w:val="20"/>
          <w:szCs w:val="18"/>
        </w:rPr>
        <w:t xml:space="preserve">le </w:t>
      </w:r>
      <w:r w:rsidR="000E210E" w:rsidRPr="00C22ABE">
        <w:rPr>
          <w:rFonts w:cstheme="minorHAnsi"/>
          <w:sz w:val="20"/>
          <w:szCs w:val="18"/>
        </w:rPr>
        <w:t xml:space="preserve">site, </w:t>
      </w:r>
      <w:r w:rsidR="00734DD5" w:rsidRPr="00C22ABE">
        <w:rPr>
          <w:rFonts w:cstheme="minorHAnsi"/>
          <w:sz w:val="20"/>
          <w:szCs w:val="18"/>
        </w:rPr>
        <w:t xml:space="preserve">la </w:t>
      </w:r>
      <w:r w:rsidR="000E210E" w:rsidRPr="00C22ABE">
        <w:rPr>
          <w:rFonts w:cstheme="minorHAnsi"/>
          <w:sz w:val="20"/>
          <w:szCs w:val="18"/>
        </w:rPr>
        <w:t xml:space="preserve">chimiothérapie </w:t>
      </w:r>
      <w:r w:rsidR="00400C70" w:rsidRPr="00C22ABE">
        <w:rPr>
          <w:rFonts w:cstheme="minorHAnsi"/>
          <w:sz w:val="20"/>
          <w:szCs w:val="18"/>
        </w:rPr>
        <w:t>concomitante</w:t>
      </w:r>
      <w:r w:rsidR="00B935D4" w:rsidRPr="00C22ABE">
        <w:rPr>
          <w:rFonts w:cstheme="minorHAnsi"/>
          <w:sz w:val="20"/>
          <w:szCs w:val="18"/>
        </w:rPr>
        <w:t>.</w:t>
      </w:r>
    </w:p>
    <w:p w14:paraId="041F583A" w14:textId="77777777" w:rsidR="005A668F" w:rsidRPr="00C22ABE" w:rsidRDefault="005A668F" w:rsidP="005A668F">
      <w:pPr>
        <w:pStyle w:val="Paragraphedeliste"/>
        <w:tabs>
          <w:tab w:val="left" w:pos="7110"/>
        </w:tabs>
        <w:rPr>
          <w:rFonts w:cstheme="minorHAnsi"/>
          <w:sz w:val="20"/>
          <w:szCs w:val="18"/>
        </w:rPr>
      </w:pPr>
    </w:p>
    <w:p w14:paraId="49325D6D" w14:textId="52FD6DFD" w:rsidR="00733B82" w:rsidRPr="00C22ABE" w:rsidRDefault="009D4A56" w:rsidP="009D4A56">
      <w:pPr>
        <w:pStyle w:val="Paragraphedeliste"/>
        <w:numPr>
          <w:ilvl w:val="1"/>
          <w:numId w:val="20"/>
        </w:numPr>
        <w:tabs>
          <w:tab w:val="left" w:pos="7110"/>
        </w:tabs>
        <w:rPr>
          <w:rFonts w:cstheme="minorHAnsi"/>
          <w:b/>
          <w:bCs/>
          <w:color w:val="0000FF"/>
          <w:szCs w:val="20"/>
          <w:u w:val="single"/>
        </w:rPr>
      </w:pPr>
      <w:r w:rsidRPr="00C22ABE">
        <w:rPr>
          <w:rFonts w:cstheme="minorHAnsi"/>
          <w:b/>
          <w:bCs/>
          <w:color w:val="0000FF"/>
          <w:szCs w:val="20"/>
          <w:u w:val="single"/>
        </w:rPr>
        <w:t>P</w:t>
      </w:r>
      <w:r w:rsidR="00733B82" w:rsidRPr="00C22ABE">
        <w:rPr>
          <w:rFonts w:cstheme="minorHAnsi"/>
          <w:b/>
          <w:bCs/>
          <w:color w:val="0000FF"/>
          <w:szCs w:val="20"/>
          <w:u w:val="single"/>
        </w:rPr>
        <w:t>endant le traitement de radiothérapie ?</w:t>
      </w:r>
    </w:p>
    <w:p w14:paraId="16D391F9" w14:textId="5FF20FAB" w:rsidR="00733B82" w:rsidRPr="00C22ABE" w:rsidRDefault="00733B82" w:rsidP="00733B82">
      <w:pPr>
        <w:tabs>
          <w:tab w:val="left" w:pos="7110"/>
        </w:tabs>
        <w:rPr>
          <w:rFonts w:cstheme="minorHAnsi"/>
          <w:sz w:val="20"/>
          <w:szCs w:val="18"/>
        </w:rPr>
      </w:pPr>
      <w:r w:rsidRPr="00C22ABE">
        <w:rPr>
          <w:rFonts w:cstheme="minorHAnsi"/>
          <w:sz w:val="20"/>
          <w:szCs w:val="18"/>
        </w:rPr>
        <w:t>Idéalement, aucun acte chirurgical n’est souhaitable</w:t>
      </w:r>
      <w:r w:rsidR="00734DD5" w:rsidRPr="00C22ABE">
        <w:rPr>
          <w:rFonts w:cstheme="minorHAnsi"/>
          <w:sz w:val="20"/>
          <w:szCs w:val="18"/>
        </w:rPr>
        <w:t xml:space="preserve"> durant le traitement</w:t>
      </w:r>
      <w:r w:rsidRPr="00C22ABE">
        <w:rPr>
          <w:rFonts w:cstheme="minorHAnsi"/>
          <w:sz w:val="20"/>
          <w:szCs w:val="18"/>
        </w:rPr>
        <w:t>. Si celui-ci s’avère indispensable, une couverture antibiotique est nécessaire : 3 g d’amoxicilline une heure avant le geste</w:t>
      </w:r>
      <w:r w:rsidR="00B935D4" w:rsidRPr="00C22ABE">
        <w:rPr>
          <w:rFonts w:cstheme="minorHAnsi"/>
          <w:sz w:val="20"/>
          <w:szCs w:val="18"/>
        </w:rPr>
        <w:t xml:space="preserve"> </w:t>
      </w:r>
      <w:r w:rsidRPr="00C22ABE">
        <w:rPr>
          <w:rFonts w:cstheme="minorHAnsi"/>
          <w:sz w:val="20"/>
          <w:szCs w:val="18"/>
        </w:rPr>
        <w:t xml:space="preserve">(600 mg de clindamycine si allergie </w:t>
      </w:r>
      <w:r w:rsidR="00B935D4" w:rsidRPr="00C22ABE">
        <w:rPr>
          <w:rFonts w:cstheme="minorHAnsi"/>
          <w:sz w:val="20"/>
          <w:szCs w:val="18"/>
        </w:rPr>
        <w:t>pénicilline</w:t>
      </w:r>
      <w:r w:rsidRPr="00C22ABE">
        <w:rPr>
          <w:rFonts w:cstheme="minorHAnsi"/>
          <w:sz w:val="20"/>
          <w:szCs w:val="18"/>
        </w:rPr>
        <w:t>). Une antibiothérapie postopératoire est mise en place à raison de</w:t>
      </w:r>
      <w:r w:rsidR="00734DD5" w:rsidRPr="00C22ABE">
        <w:rPr>
          <w:rFonts w:cstheme="minorHAnsi"/>
          <w:sz w:val="20"/>
          <w:szCs w:val="18"/>
        </w:rPr>
        <w:t xml:space="preserve"> </w:t>
      </w:r>
      <w:r w:rsidR="00400C70" w:rsidRPr="00C22ABE">
        <w:rPr>
          <w:rFonts w:cstheme="minorHAnsi"/>
          <w:sz w:val="20"/>
          <w:szCs w:val="18"/>
        </w:rPr>
        <w:t>500</w:t>
      </w:r>
      <w:r w:rsidRPr="00C22ABE">
        <w:rPr>
          <w:rFonts w:cstheme="minorHAnsi"/>
          <w:sz w:val="20"/>
          <w:szCs w:val="18"/>
        </w:rPr>
        <w:t xml:space="preserve"> mg </w:t>
      </w:r>
      <w:r w:rsidR="00400C70" w:rsidRPr="00C22ABE">
        <w:rPr>
          <w:rFonts w:cstheme="minorHAnsi"/>
          <w:sz w:val="20"/>
          <w:szCs w:val="18"/>
        </w:rPr>
        <w:t>d</w:t>
      </w:r>
      <w:r w:rsidRPr="00C22ABE">
        <w:rPr>
          <w:rFonts w:cstheme="minorHAnsi"/>
          <w:sz w:val="20"/>
          <w:szCs w:val="18"/>
        </w:rPr>
        <w:t>’amoxicilline (clindamycine, en cas d’allergie aux pénicillines) trois fois par jour pendant 5 jours</w:t>
      </w:r>
      <w:r w:rsidR="00C509D9" w:rsidRPr="00C22ABE">
        <w:rPr>
          <w:rFonts w:cstheme="minorHAnsi"/>
          <w:sz w:val="20"/>
          <w:szCs w:val="18"/>
        </w:rPr>
        <w:t>.</w:t>
      </w:r>
    </w:p>
    <w:p w14:paraId="7AFA5BB2" w14:textId="45C16701" w:rsidR="009D4A56" w:rsidRPr="00C22ABE" w:rsidRDefault="00C509D9" w:rsidP="009D4A56">
      <w:pPr>
        <w:tabs>
          <w:tab w:val="left" w:pos="7110"/>
        </w:tabs>
        <w:rPr>
          <w:rFonts w:cstheme="minorHAnsi"/>
          <w:sz w:val="20"/>
          <w:szCs w:val="18"/>
        </w:rPr>
      </w:pPr>
      <w:r w:rsidRPr="00C22ABE">
        <w:rPr>
          <w:rFonts w:cstheme="minorHAnsi"/>
          <w:sz w:val="20"/>
          <w:szCs w:val="18"/>
        </w:rPr>
        <w:t xml:space="preserve">Si le patient est porteur de prothèses dentaires, </w:t>
      </w:r>
      <w:r w:rsidR="00400C70" w:rsidRPr="00C22ABE">
        <w:rPr>
          <w:rFonts w:cstheme="minorHAnsi"/>
          <w:sz w:val="20"/>
          <w:szCs w:val="18"/>
        </w:rPr>
        <w:t xml:space="preserve">il est préférable de </w:t>
      </w:r>
      <w:r w:rsidRPr="00C22ABE">
        <w:rPr>
          <w:rFonts w:cstheme="minorHAnsi"/>
          <w:sz w:val="20"/>
          <w:szCs w:val="18"/>
        </w:rPr>
        <w:t>lui conseiller de ne les porter que lors des repas</w:t>
      </w:r>
      <w:r w:rsidR="00400C70" w:rsidRPr="00C22ABE">
        <w:rPr>
          <w:rFonts w:cstheme="minorHAnsi"/>
          <w:sz w:val="20"/>
          <w:szCs w:val="18"/>
        </w:rPr>
        <w:t xml:space="preserve"> </w:t>
      </w:r>
      <w:r w:rsidR="00400C70" w:rsidRPr="00C22ABE">
        <w:rPr>
          <w:rFonts w:cstheme="minorHAnsi"/>
          <w:sz w:val="20"/>
          <w:szCs w:val="18"/>
        </w:rPr>
        <w:fldChar w:fldCharType="begin"/>
      </w:r>
      <w:r w:rsidR="00D36EC3">
        <w:rPr>
          <w:rFonts w:cstheme="minorHAnsi"/>
          <w:sz w:val="20"/>
          <w:szCs w:val="18"/>
        </w:rPr>
        <w:instrText xml:space="preserve"> ADDIN ZOTERO_ITEM CSL_CITATION {"citationID":"E1yMTLpf","properties":{"formattedCitation":"(74)","plainCitation":"(74)","noteIndex":0},"citationItems":[{"id":320,"uris":["http://zotero.org/users/local/Om3YyEnU/items/C3BP5R8I"],"uri":["http://zotero.org/users/local/Om3YyEnU/items/C3BP5R8I"],"itemData":{"id":320,"type":"article-journal","abstract":"PURPOSE: The aim of this paper is to explore the current theories about pretreatment assessment and dental management of patients receiving head and neck radiotherapy, and the therapeutic options to treat osteoradionecrosis of the jaws, based on the literature review.\nDISCUSSION: Osteoradionecrosis is one of the most serious oral complications of head and neck cancer treatment. Osteoradionecrosis is a severe delayed radiation-induced injury, characterized by bone tissue necrosis and failure to heal. Osteoradionecrosis either stabilizes or gradually worsens and is notoriously difficult to manage. Because most cases occur in patients who were dentulous in the mandible at tumor onset, proper dental management is the single most important factor in prevention.\nCONCLUSIONS: Complete dental clearance before treatment is no longer necessary. Controversy exists regarding the management of osteoradionecrosis of the maxillofacial skeleton because of the variability of this condition. The treatment of osteoradionecrosis has included local wound care, antibiotic therapy, surgical procedures, and the administration of hyperbaric oxygenation. Recently, new methods of treatment were introduced, according to the new theory about its pathophysiology.","container-title":"Oral and Maxillofacial Surgery","DOI":"10.1007/s10006-010-0205-1","ISSN":"1865-1569","issue":"2","journalAbbreviation":"Oral Maxillofac Surg","language":"eng","note":"PMID: 20145963","page":"81-95","source":"PubMed","title":"Osteoradionecrosis of the jaws--a current overview--Part 2: dental management and therapeutic options for treatment","title-short":"Osteoradionecrosis of the jaws--a current overview--Part 2","volume":"14","author":[{"family":"Chrcanovic","given":"Bruno Ramos"},{"family":"Reher","given":"Peter"},{"family":"Sousa","given":"Alexandre Andrade"},{"family":"Harris","given":"Malcolm"}],"issued":{"date-parts":[["2010",6]]}}}],"schema":"https://github.com/citation-style-language/schema/raw/master/csl-citation.json"} </w:instrText>
      </w:r>
      <w:r w:rsidR="00400C70" w:rsidRPr="00C22ABE">
        <w:rPr>
          <w:rFonts w:cstheme="minorHAnsi"/>
          <w:sz w:val="20"/>
          <w:szCs w:val="18"/>
        </w:rPr>
        <w:fldChar w:fldCharType="separate"/>
      </w:r>
      <w:r w:rsidR="00D36EC3" w:rsidRPr="00D36EC3">
        <w:rPr>
          <w:rFonts w:ascii="Calibri" w:hAnsi="Calibri" w:cs="Calibri"/>
          <w:sz w:val="20"/>
        </w:rPr>
        <w:t>(74)</w:t>
      </w:r>
      <w:r w:rsidR="00400C70" w:rsidRPr="00C22ABE">
        <w:rPr>
          <w:rFonts w:cstheme="minorHAnsi"/>
          <w:sz w:val="20"/>
          <w:szCs w:val="18"/>
        </w:rPr>
        <w:fldChar w:fldCharType="end"/>
      </w:r>
      <w:r w:rsidR="009055BA" w:rsidRPr="00C22ABE">
        <w:rPr>
          <w:rFonts w:cstheme="minorHAnsi"/>
          <w:sz w:val="20"/>
          <w:szCs w:val="18"/>
        </w:rPr>
        <w:t>.</w:t>
      </w:r>
    </w:p>
    <w:p w14:paraId="5EE3BC94" w14:textId="58DBD3D4" w:rsidR="00733B82" w:rsidRPr="00C22ABE" w:rsidRDefault="009D4A56" w:rsidP="005A668F">
      <w:pPr>
        <w:pStyle w:val="Paragraphedeliste"/>
        <w:numPr>
          <w:ilvl w:val="1"/>
          <w:numId w:val="20"/>
        </w:numPr>
        <w:tabs>
          <w:tab w:val="left" w:pos="7110"/>
        </w:tabs>
        <w:rPr>
          <w:rFonts w:cstheme="minorHAnsi"/>
          <w:b/>
          <w:bCs/>
          <w:color w:val="0000FF"/>
          <w:sz w:val="18"/>
          <w:szCs w:val="16"/>
          <w:u w:val="single"/>
        </w:rPr>
      </w:pPr>
      <w:r w:rsidRPr="00C22ABE">
        <w:rPr>
          <w:rFonts w:cstheme="minorHAnsi"/>
          <w:b/>
          <w:bCs/>
          <w:color w:val="0000FF"/>
          <w:szCs w:val="20"/>
          <w:u w:val="single"/>
        </w:rPr>
        <w:t>A</w:t>
      </w:r>
      <w:r w:rsidR="00733B82" w:rsidRPr="00C22ABE">
        <w:rPr>
          <w:rFonts w:cstheme="minorHAnsi"/>
          <w:b/>
          <w:bCs/>
          <w:color w:val="0000FF"/>
          <w:szCs w:val="20"/>
          <w:u w:val="single"/>
        </w:rPr>
        <w:t>près</w:t>
      </w:r>
      <w:r w:rsidRPr="00C22ABE">
        <w:rPr>
          <w:rFonts w:cstheme="minorHAnsi"/>
          <w:b/>
          <w:bCs/>
          <w:color w:val="0000FF"/>
          <w:szCs w:val="20"/>
          <w:u w:val="single"/>
        </w:rPr>
        <w:t xml:space="preserve"> le traitement de radiothérapie</w:t>
      </w:r>
    </w:p>
    <w:p w14:paraId="345D6719" w14:textId="21D75ECF" w:rsidR="00733B82" w:rsidRPr="00C22ABE" w:rsidRDefault="00733B82" w:rsidP="00733B82">
      <w:pPr>
        <w:tabs>
          <w:tab w:val="left" w:pos="7110"/>
        </w:tabs>
        <w:rPr>
          <w:rFonts w:cstheme="minorHAnsi"/>
          <w:sz w:val="20"/>
          <w:szCs w:val="18"/>
        </w:rPr>
      </w:pPr>
      <w:r w:rsidRPr="00C22ABE">
        <w:rPr>
          <w:rFonts w:cstheme="minorHAnsi"/>
          <w:sz w:val="20"/>
          <w:szCs w:val="18"/>
        </w:rPr>
        <w:t xml:space="preserve">Un examen buccodentaire est préconisé </w:t>
      </w:r>
      <w:r w:rsidR="00B935D4" w:rsidRPr="00C22ABE">
        <w:rPr>
          <w:rFonts w:cstheme="minorHAnsi"/>
          <w:sz w:val="20"/>
          <w:szCs w:val="18"/>
        </w:rPr>
        <w:t xml:space="preserve">tous les </w:t>
      </w:r>
      <w:r w:rsidRPr="00C22ABE">
        <w:rPr>
          <w:rFonts w:cstheme="minorHAnsi"/>
          <w:sz w:val="20"/>
          <w:szCs w:val="18"/>
        </w:rPr>
        <w:t xml:space="preserve">1 à </w:t>
      </w:r>
      <w:r w:rsidR="00B935D4" w:rsidRPr="00C22ABE">
        <w:rPr>
          <w:rFonts w:cstheme="minorHAnsi"/>
          <w:sz w:val="20"/>
          <w:szCs w:val="18"/>
        </w:rPr>
        <w:t>4</w:t>
      </w:r>
      <w:r w:rsidRPr="00C22ABE">
        <w:rPr>
          <w:rFonts w:cstheme="minorHAnsi"/>
          <w:sz w:val="20"/>
          <w:szCs w:val="18"/>
        </w:rPr>
        <w:t xml:space="preserve"> mois durant les 2 premières années, puis tous les 3</w:t>
      </w:r>
      <w:r w:rsidR="00B935D4" w:rsidRPr="00C22ABE">
        <w:rPr>
          <w:rFonts w:cstheme="minorHAnsi"/>
          <w:sz w:val="20"/>
          <w:szCs w:val="18"/>
        </w:rPr>
        <w:t xml:space="preserve"> à 6</w:t>
      </w:r>
      <w:r w:rsidRPr="00C22ABE">
        <w:rPr>
          <w:rFonts w:cstheme="minorHAnsi"/>
          <w:sz w:val="20"/>
          <w:szCs w:val="18"/>
        </w:rPr>
        <w:t xml:space="preserve"> mois</w:t>
      </w:r>
      <w:r w:rsidR="009055BA" w:rsidRPr="00C22ABE">
        <w:rPr>
          <w:rFonts w:cstheme="minorHAnsi"/>
          <w:sz w:val="20"/>
          <w:szCs w:val="18"/>
        </w:rPr>
        <w:t>, chez un dispensateur de soins habilité à ce type de suivi</w:t>
      </w:r>
      <w:r w:rsidRPr="00C22ABE">
        <w:rPr>
          <w:rFonts w:cstheme="minorHAnsi"/>
          <w:sz w:val="20"/>
          <w:szCs w:val="18"/>
        </w:rPr>
        <w:t xml:space="preserve">. Le but est de contrôler l’hygiène buccodentaire, l’observance de la prophylaxie fluorée, l’apparition de caries </w:t>
      </w:r>
      <w:proofErr w:type="spellStart"/>
      <w:r w:rsidRPr="00C22ABE">
        <w:rPr>
          <w:rFonts w:cstheme="minorHAnsi"/>
          <w:sz w:val="20"/>
          <w:szCs w:val="18"/>
        </w:rPr>
        <w:t>postradiques</w:t>
      </w:r>
      <w:proofErr w:type="spellEnd"/>
      <w:r w:rsidRPr="00C22ABE">
        <w:rPr>
          <w:rFonts w:cstheme="minorHAnsi"/>
          <w:sz w:val="20"/>
          <w:szCs w:val="18"/>
        </w:rPr>
        <w:t xml:space="preserve"> et l’état du parodonte</w:t>
      </w:r>
      <w:r w:rsidR="00940EBF" w:rsidRPr="00C22ABE">
        <w:rPr>
          <w:rFonts w:cstheme="minorHAnsi"/>
          <w:sz w:val="20"/>
          <w:szCs w:val="18"/>
        </w:rPr>
        <w:t xml:space="preserve"> et de pouvoir intervenir rapidement en cas de lésion</w:t>
      </w:r>
      <w:r w:rsidR="00B935D4" w:rsidRPr="00C22ABE">
        <w:rPr>
          <w:rFonts w:cstheme="minorHAnsi"/>
          <w:sz w:val="20"/>
          <w:szCs w:val="18"/>
        </w:rPr>
        <w:t xml:space="preserve"> </w:t>
      </w:r>
      <w:r w:rsidR="00B935D4" w:rsidRPr="00C22ABE">
        <w:rPr>
          <w:rFonts w:cstheme="minorHAnsi"/>
          <w:sz w:val="20"/>
          <w:szCs w:val="18"/>
        </w:rPr>
        <w:fldChar w:fldCharType="begin"/>
      </w:r>
      <w:r w:rsidR="00DD29FB" w:rsidRPr="00C22ABE">
        <w:rPr>
          <w:rFonts w:cstheme="minorHAnsi"/>
          <w:sz w:val="20"/>
          <w:szCs w:val="18"/>
        </w:rPr>
        <w:instrText xml:space="preserve"> ADDIN ZOTERO_ITEM CSL_CITATION {"citationID":"Qa44fNG1","properties":{"formattedCitation":"(20)","plainCitation":"(20)","noteIndex":0},"citationItems":[{"id":284,"uris":["http://zotero.org/users/local/Om3YyEnU/items/NU2YJ8AM"],"uri":["http://zotero.org/users/local/Om3YyEnU/items/NU2YJ8AM"],"itemData":{"id":284,"type":"article-journal","abstract":"OBJECTIVE: To determine the prevalence and correlation of various risk factors [radiation dose, periodontal status, alcohol and smoking] to the development of osteoradionecrosis (ORN).\nPATIENTS AND METHODS: The records of 1023 patients treated with IMRT for oral cavity cancer (OCC) and oropharyngeal cancer (OPC) between 2004 and 2013 were retrospectively reviewed to identify patients who developed ORN. Fisher exact tests were used to analyze patient characteristics between ORN patients with OCC and OPC. Paired Wilcoxon tests were used to compare the dose volumes to the ORN and contralateral non-ORN sites. To evaluate an association between ORN and risk factors, a case-control comparison was performed. One to 2 ORN-free patients were selected to match each ORN patient by gender, tumor site and size. General estimation equations models were used to compare the risk factors in ORN cases and matched controls.\nRESULTS: 44 (4.3%) patients developed ORN during a median follow-up time of 52.5months. In 82% of patients, ORN occurred spontaneously. Patients with OPC are prone to develop ORN earlier compared to patients with OCC (P=0.03). OPC patients received a higher Dmax compared to OCC patients (P=0.01). In the matched case-control analysis the significant risk factors on univariate analysis were poor periodontal status, history of alcohol use and radiation dose (P=0.03, 0.002 and 0.009, respectively) and on multivariate analysis were alcohol use and radiation dose (P=0.004 and 0.026, respectively).\nCONCLUSION: In our study, higher radiation dose, poor periodontal status and alcohol use are significantly related to the risk of developing ORN.","container-title":"Oral Oncology","DOI":"10.1016/j.oraloncology.2016.11.015","ISSN":"1879-0593","journalAbbreviation":"Oral Oncol","language":"eng","note":"PMID: 28024723\nPMCID: PMC5560021","page":"44-51","source":"PubMed","title":"The prevalence and risk factors associated with osteoradionecrosis of the jaw in oral and oropharyngeal cancer patients treated with intensity-modulated radiation therapy (IMRT): The Memorial Sloan Kettering Cancer Center experience","title-short":"The prevalence and risk factors associated with osteoradionecrosis of the jaw in oral and oropharyngeal cancer patients treated with intensity-modulated radiation therapy (IMRT)","volume":"64","author":[{"family":"Owosho","given":"Adepitan A."},{"family":"Tsai","given":"C. Jillian"},{"family":"Lee","given":"Ryan S."},{"family":"Freymiller","given":"Haley"},{"family":"Kadempour","given":"Arvin"},{"family":"Varthis","given":"Spyridon"},{"family":"Sax","given":"Adi Z."},{"family":"Rosen","given":"Evan B."},{"family":"Yom","given":"SaeHee K."},{"family":"Randazzo","given":"Joseph"},{"family":"Drill","given":"Esther"},{"family":"Riedel","given":"Elyn"},{"family":"Patel","given":"Snehal"},{"family":"Lee","given":"Nancy Y."},{"family":"Huryn","given":"Joseph M."},{"family":"Estilo","given":"Cherry L."}],"issued":{"date-parts":[["2017",1]]}}}],"schema":"https://github.com/citation-style-language/schema/raw/master/csl-citation.json"} </w:instrText>
      </w:r>
      <w:r w:rsidR="00B935D4" w:rsidRPr="00C22ABE">
        <w:rPr>
          <w:rFonts w:cstheme="minorHAnsi"/>
          <w:sz w:val="20"/>
          <w:szCs w:val="18"/>
        </w:rPr>
        <w:fldChar w:fldCharType="separate"/>
      </w:r>
      <w:r w:rsidR="00DD29FB" w:rsidRPr="00C22ABE">
        <w:rPr>
          <w:rFonts w:cstheme="minorHAnsi"/>
          <w:sz w:val="20"/>
        </w:rPr>
        <w:t>(20)</w:t>
      </w:r>
      <w:r w:rsidR="00B935D4" w:rsidRPr="00C22ABE">
        <w:rPr>
          <w:rFonts w:cstheme="minorHAnsi"/>
          <w:sz w:val="20"/>
          <w:szCs w:val="18"/>
        </w:rPr>
        <w:fldChar w:fldCharType="end"/>
      </w:r>
      <w:r w:rsidRPr="00C22ABE">
        <w:rPr>
          <w:rFonts w:cstheme="minorHAnsi"/>
          <w:sz w:val="20"/>
          <w:szCs w:val="18"/>
        </w:rPr>
        <w:t xml:space="preserve">. </w:t>
      </w:r>
      <w:r w:rsidR="00B935D4" w:rsidRPr="00C22ABE">
        <w:rPr>
          <w:rFonts w:cstheme="minorHAnsi"/>
          <w:sz w:val="20"/>
          <w:szCs w:val="18"/>
        </w:rPr>
        <w:t xml:space="preserve"> </w:t>
      </w:r>
      <w:r w:rsidRPr="00C22ABE">
        <w:rPr>
          <w:rFonts w:cstheme="minorHAnsi"/>
          <w:sz w:val="20"/>
          <w:szCs w:val="18"/>
        </w:rPr>
        <w:t>La compliance à l’usage des gouttières fluorées est limitée dans le temps, plus de</w:t>
      </w:r>
      <w:r w:rsidR="00940EBF" w:rsidRPr="00C22ABE">
        <w:rPr>
          <w:rFonts w:cstheme="minorHAnsi"/>
          <w:sz w:val="20"/>
          <w:szCs w:val="18"/>
        </w:rPr>
        <w:t xml:space="preserve"> 4</w:t>
      </w:r>
      <w:r w:rsidRPr="00C22ABE">
        <w:rPr>
          <w:rFonts w:cstheme="minorHAnsi"/>
          <w:sz w:val="20"/>
          <w:szCs w:val="18"/>
        </w:rPr>
        <w:t xml:space="preserve"> patients sur</w:t>
      </w:r>
      <w:r w:rsidR="00940EBF" w:rsidRPr="00C22ABE">
        <w:rPr>
          <w:rFonts w:cstheme="minorHAnsi"/>
          <w:sz w:val="20"/>
          <w:szCs w:val="18"/>
        </w:rPr>
        <w:t xml:space="preserve"> cinq</w:t>
      </w:r>
      <w:r w:rsidRPr="00C22ABE">
        <w:rPr>
          <w:rFonts w:cstheme="minorHAnsi"/>
          <w:sz w:val="20"/>
          <w:szCs w:val="18"/>
        </w:rPr>
        <w:t xml:space="preserve"> ne les utilisent plus après 6 mois</w:t>
      </w:r>
      <w:r w:rsidR="00734DD5" w:rsidRPr="00C22ABE">
        <w:rPr>
          <w:rFonts w:cstheme="minorHAnsi"/>
          <w:sz w:val="20"/>
          <w:szCs w:val="18"/>
        </w:rPr>
        <w:t>.</w:t>
      </w:r>
    </w:p>
    <w:p w14:paraId="5E76330F" w14:textId="2B011C31" w:rsidR="00FF4BC1" w:rsidRPr="00C22ABE" w:rsidRDefault="00FF4BC1" w:rsidP="00733B82">
      <w:pPr>
        <w:tabs>
          <w:tab w:val="left" w:pos="7110"/>
        </w:tabs>
        <w:rPr>
          <w:rFonts w:cstheme="minorHAnsi"/>
          <w:sz w:val="20"/>
          <w:szCs w:val="18"/>
        </w:rPr>
      </w:pPr>
      <w:r w:rsidRPr="00C22ABE">
        <w:rPr>
          <w:rFonts w:cstheme="minorHAnsi"/>
          <w:sz w:val="20"/>
          <w:szCs w:val="18"/>
        </w:rPr>
        <w:t>Ce bilan est important, puisqu’il existe des changements importants de la qualité de la saliv</w:t>
      </w:r>
      <w:r w:rsidR="00940EBF" w:rsidRPr="00C22ABE">
        <w:rPr>
          <w:rFonts w:cstheme="minorHAnsi"/>
          <w:sz w:val="20"/>
          <w:szCs w:val="18"/>
        </w:rPr>
        <w:t>e</w:t>
      </w:r>
      <w:r w:rsidR="005C1035" w:rsidRPr="00C22ABE">
        <w:rPr>
          <w:rFonts w:cstheme="minorHAnsi"/>
          <w:sz w:val="20"/>
          <w:szCs w:val="18"/>
        </w:rPr>
        <w:t xml:space="preserve"> (</w:t>
      </w:r>
      <w:r w:rsidRPr="00C22ABE">
        <w:rPr>
          <w:rFonts w:cstheme="minorHAnsi"/>
          <w:sz w:val="20"/>
          <w:szCs w:val="18"/>
        </w:rPr>
        <w:t>acidification du pH</w:t>
      </w:r>
      <w:r w:rsidR="005C1035" w:rsidRPr="00C22ABE">
        <w:rPr>
          <w:rFonts w:cstheme="minorHAnsi"/>
          <w:sz w:val="20"/>
          <w:szCs w:val="18"/>
        </w:rPr>
        <w:t>)</w:t>
      </w:r>
      <w:r w:rsidRPr="00C22ABE">
        <w:rPr>
          <w:rFonts w:cstheme="minorHAnsi"/>
          <w:sz w:val="20"/>
          <w:szCs w:val="18"/>
        </w:rPr>
        <w:t xml:space="preserve">. La </w:t>
      </w:r>
      <w:r w:rsidR="00940EBF" w:rsidRPr="00C22ABE">
        <w:rPr>
          <w:rFonts w:cstheme="minorHAnsi"/>
          <w:sz w:val="20"/>
          <w:szCs w:val="18"/>
        </w:rPr>
        <w:t>sécheresse</w:t>
      </w:r>
      <w:r w:rsidRPr="00C22ABE">
        <w:rPr>
          <w:rFonts w:cstheme="minorHAnsi"/>
          <w:sz w:val="20"/>
          <w:szCs w:val="18"/>
        </w:rPr>
        <w:t xml:space="preserve"> buccal</w:t>
      </w:r>
      <w:r w:rsidR="00940EBF" w:rsidRPr="00C22ABE">
        <w:rPr>
          <w:rFonts w:cstheme="minorHAnsi"/>
          <w:sz w:val="20"/>
          <w:szCs w:val="18"/>
        </w:rPr>
        <w:t>e</w:t>
      </w:r>
      <w:r w:rsidRPr="00C22ABE">
        <w:rPr>
          <w:rFonts w:cstheme="minorHAnsi"/>
          <w:sz w:val="20"/>
          <w:szCs w:val="18"/>
        </w:rPr>
        <w:t xml:space="preserve"> perturbe le port des prothèses, dont l’adapt</w:t>
      </w:r>
      <w:r w:rsidR="00C22ABE" w:rsidRPr="00C22ABE">
        <w:rPr>
          <w:rFonts w:cstheme="minorHAnsi"/>
          <w:sz w:val="20"/>
          <w:szCs w:val="18"/>
        </w:rPr>
        <w:t>ation se modifie et altère ensuite</w:t>
      </w:r>
      <w:r w:rsidRPr="00C22ABE">
        <w:rPr>
          <w:rFonts w:cstheme="minorHAnsi"/>
          <w:sz w:val="20"/>
          <w:szCs w:val="18"/>
        </w:rPr>
        <w:t xml:space="preserve"> l’alimentation</w:t>
      </w:r>
      <w:r w:rsidR="00255F29" w:rsidRPr="00C22ABE">
        <w:rPr>
          <w:rFonts w:cstheme="minorHAnsi"/>
          <w:sz w:val="20"/>
          <w:szCs w:val="18"/>
        </w:rPr>
        <w:t>.</w:t>
      </w:r>
    </w:p>
    <w:p w14:paraId="4F1B8B93" w14:textId="2B81D24C" w:rsidR="00733B82" w:rsidRPr="00C22ABE" w:rsidRDefault="00733B82" w:rsidP="008F6029">
      <w:pPr>
        <w:tabs>
          <w:tab w:val="left" w:pos="7110"/>
        </w:tabs>
        <w:rPr>
          <w:rFonts w:cstheme="minorHAnsi"/>
          <w:sz w:val="20"/>
          <w:szCs w:val="18"/>
        </w:rPr>
      </w:pPr>
      <w:r w:rsidRPr="00C22ABE">
        <w:rPr>
          <w:rFonts w:cstheme="minorHAnsi"/>
          <w:sz w:val="20"/>
          <w:szCs w:val="18"/>
        </w:rPr>
        <w:t>Dans l’absolu, les soins conservateurs</w:t>
      </w:r>
      <w:r w:rsidR="009055BA" w:rsidRPr="00C22ABE">
        <w:rPr>
          <w:rFonts w:cstheme="minorHAnsi"/>
          <w:sz w:val="20"/>
          <w:szCs w:val="18"/>
        </w:rPr>
        <w:t xml:space="preserve"> </w:t>
      </w:r>
      <w:r w:rsidR="005C1035" w:rsidRPr="00C22ABE">
        <w:rPr>
          <w:rFonts w:cstheme="minorHAnsi"/>
          <w:sz w:val="20"/>
          <w:szCs w:val="18"/>
        </w:rPr>
        <w:t>(</w:t>
      </w:r>
      <w:r w:rsidR="009055BA" w:rsidRPr="00C22ABE">
        <w:rPr>
          <w:rFonts w:cstheme="minorHAnsi"/>
          <w:sz w:val="20"/>
          <w:szCs w:val="18"/>
        </w:rPr>
        <w:t>traitements endodontiques et parodontaux</w:t>
      </w:r>
      <w:r w:rsidR="005C1035" w:rsidRPr="00C22ABE">
        <w:rPr>
          <w:rFonts w:cstheme="minorHAnsi"/>
          <w:sz w:val="20"/>
          <w:szCs w:val="18"/>
        </w:rPr>
        <w:t>)</w:t>
      </w:r>
      <w:r w:rsidR="009055BA" w:rsidRPr="00C22ABE">
        <w:rPr>
          <w:rFonts w:cstheme="minorHAnsi"/>
          <w:sz w:val="20"/>
          <w:szCs w:val="18"/>
        </w:rPr>
        <w:t xml:space="preserve"> sont</w:t>
      </w:r>
      <w:r w:rsidR="005C1035" w:rsidRPr="00C22ABE">
        <w:rPr>
          <w:rFonts w:cstheme="minorHAnsi"/>
          <w:sz w:val="20"/>
          <w:szCs w:val="18"/>
        </w:rPr>
        <w:t xml:space="preserve"> préférés aux extractions</w:t>
      </w:r>
      <w:r w:rsidR="009055BA" w:rsidRPr="00C22ABE">
        <w:rPr>
          <w:rFonts w:cstheme="minorHAnsi"/>
          <w:sz w:val="20"/>
          <w:szCs w:val="18"/>
        </w:rPr>
        <w:t xml:space="preserve"> </w:t>
      </w:r>
      <w:r w:rsidR="00940EBF" w:rsidRPr="00C22ABE">
        <w:rPr>
          <w:rFonts w:cstheme="minorHAnsi"/>
          <w:sz w:val="20"/>
          <w:szCs w:val="18"/>
        </w:rPr>
        <w:fldChar w:fldCharType="begin"/>
      </w:r>
      <w:r w:rsidR="00DD29FB" w:rsidRPr="00C22ABE">
        <w:rPr>
          <w:rFonts w:cstheme="minorHAnsi"/>
          <w:sz w:val="20"/>
          <w:szCs w:val="18"/>
        </w:rPr>
        <w:instrText xml:space="preserve"> ADDIN ZOTERO_ITEM CSL_CITATION {"citationID":"CevBz5nH","properties":{"formattedCitation":"(15)","plainCitation":"(15)","noteIndex":0},"citationItems":[{"id":256,"uris":["http://zotero.org/users/local/Om3YyEnU/items/ATQ4UT42"],"uri":["http://zotero.org/users/local/Om3YyEnU/items/ATQ4UT42"],"itemData":{"id":256,"type":"article-journal","abstract":"In France, in 2005, there were approximately 16,000 new cases of head and neck cancer. These cancers have an unfavourable prognosis: the survival rates at 3 and 10 years are 50% and 10% respectively. The consumption of alcohol and tobacco is the most important risk factor; in some countries HPV infection was identified as a risk factor of head and neck tumours. Furthermore, a poor oral hygiene seems to raise this risk. We found many decay and periodontium problems in patients with an upper aerodigestive tract cancer. An evaluation of dental state is necessary before any cancer treatment. Treatments by radiotherapy engender noxious effects: hypocellular, hypovascularization, hypoxie of the irradiated tissues, which lead to immediate and chronically oral complications such as mucositis, fibrosis, xerostomia, decay, or osteoradionecrosis. An oral follow-up of these patients can prevent these complications, or reduce the severity of oral complications, and promote a good oral state.","container-title":"Cancer Radiotherapie: Journal De La Societe Francaise De Radiotherapie Oncologique","DOI":"10.1016/j.canrad.2015.01.004","ISSN":"1769-6658","issue":"3","journalAbbreviation":"Cancer Radiother","language":"fre","note":"PMID: 25937188","page":"205-210; quiz 230, 234","source":"PubMed","title":"[Dental state in patients with head and neck cancers]","volume":"19","author":[{"family":"Rouers","given":"M."},{"family":"Truntzer","given":"P."},{"family":"Dubourg","given":"S."},{"family":"Guihard","given":"S."},{"family":"Antoni","given":"D."},{"family":"Noël","given":"G."}],"issued":{"date-parts":[["2015",5]]}}}],"schema":"https://github.com/citation-style-language/schema/raw/master/csl-citation.json"} </w:instrText>
      </w:r>
      <w:r w:rsidR="00940EBF" w:rsidRPr="00C22ABE">
        <w:rPr>
          <w:rFonts w:cstheme="minorHAnsi"/>
          <w:sz w:val="20"/>
          <w:szCs w:val="18"/>
        </w:rPr>
        <w:fldChar w:fldCharType="separate"/>
      </w:r>
      <w:r w:rsidR="00DD29FB" w:rsidRPr="00C22ABE">
        <w:rPr>
          <w:rFonts w:cstheme="minorHAnsi"/>
          <w:sz w:val="20"/>
        </w:rPr>
        <w:t>(15)</w:t>
      </w:r>
      <w:r w:rsidR="00940EBF" w:rsidRPr="00C22ABE">
        <w:rPr>
          <w:rFonts w:cstheme="minorHAnsi"/>
          <w:sz w:val="20"/>
          <w:szCs w:val="18"/>
        </w:rPr>
        <w:fldChar w:fldCharType="end"/>
      </w:r>
      <w:r w:rsidR="00255F29" w:rsidRPr="00C22ABE">
        <w:rPr>
          <w:rFonts w:cstheme="minorHAnsi"/>
          <w:sz w:val="20"/>
          <w:szCs w:val="18"/>
        </w:rPr>
        <w:t>.</w:t>
      </w:r>
    </w:p>
    <w:p w14:paraId="4EF8C409" w14:textId="77777777" w:rsidR="000D3A36" w:rsidRPr="00C22ABE" w:rsidRDefault="000D3A36" w:rsidP="008F6029">
      <w:pPr>
        <w:tabs>
          <w:tab w:val="left" w:pos="7110"/>
        </w:tabs>
        <w:rPr>
          <w:rFonts w:cstheme="minorHAnsi"/>
          <w:b/>
          <w:bCs/>
          <w:color w:val="0000FF"/>
          <w:sz w:val="28"/>
        </w:rPr>
      </w:pPr>
    </w:p>
    <w:p w14:paraId="23D37300" w14:textId="127444F0" w:rsidR="009D4A56" w:rsidRPr="00C22ABE" w:rsidRDefault="009D4A56" w:rsidP="009D4A56">
      <w:pPr>
        <w:pStyle w:val="Paragraphedeliste"/>
        <w:tabs>
          <w:tab w:val="left" w:pos="7110"/>
        </w:tabs>
        <w:rPr>
          <w:rFonts w:cstheme="minorHAnsi"/>
          <w:b/>
          <w:bCs/>
          <w:color w:val="0000FF"/>
          <w:sz w:val="24"/>
          <w:szCs w:val="20"/>
          <w:u w:val="single"/>
        </w:rPr>
      </w:pPr>
      <w:r w:rsidRPr="00C22ABE">
        <w:rPr>
          <w:rFonts w:cstheme="minorHAnsi"/>
          <w:b/>
          <w:bCs/>
          <w:color w:val="0000FF"/>
          <w:sz w:val="24"/>
          <w:szCs w:val="20"/>
          <w:u w:val="single"/>
        </w:rPr>
        <w:t>10.</w:t>
      </w:r>
      <w:r w:rsidR="00C22ABE" w:rsidRPr="00C22ABE">
        <w:rPr>
          <w:rFonts w:cstheme="minorHAnsi"/>
          <w:b/>
          <w:bCs/>
          <w:color w:val="0000FF"/>
          <w:sz w:val="24"/>
          <w:szCs w:val="20"/>
          <w:u w:val="single"/>
        </w:rPr>
        <w:t xml:space="preserve"> </w:t>
      </w:r>
      <w:r w:rsidRPr="00C22ABE">
        <w:rPr>
          <w:rFonts w:cstheme="minorHAnsi"/>
          <w:b/>
          <w:bCs/>
          <w:color w:val="0000FF"/>
          <w:sz w:val="24"/>
          <w:szCs w:val="20"/>
          <w:u w:val="single"/>
        </w:rPr>
        <w:t>Point sur les extractions en terrain irradié</w:t>
      </w:r>
    </w:p>
    <w:p w14:paraId="15A7C66E" w14:textId="47CF85BE" w:rsidR="009F1102" w:rsidRPr="00C22ABE" w:rsidRDefault="009D4A56" w:rsidP="009F1102">
      <w:pPr>
        <w:tabs>
          <w:tab w:val="left" w:pos="7110"/>
        </w:tabs>
        <w:rPr>
          <w:rFonts w:cstheme="minorHAnsi"/>
          <w:sz w:val="20"/>
          <w:szCs w:val="18"/>
        </w:rPr>
      </w:pPr>
      <w:r w:rsidRPr="00C22ABE">
        <w:rPr>
          <w:rFonts w:cstheme="minorHAnsi"/>
          <w:sz w:val="20"/>
          <w:szCs w:val="18"/>
        </w:rPr>
        <w:t>L</w:t>
      </w:r>
      <w:r w:rsidR="009F1102" w:rsidRPr="00C22ABE">
        <w:rPr>
          <w:rFonts w:cstheme="minorHAnsi"/>
          <w:sz w:val="20"/>
          <w:szCs w:val="18"/>
        </w:rPr>
        <w:t xml:space="preserve">a revue systématique de Nabil et </w:t>
      </w:r>
      <w:proofErr w:type="spellStart"/>
      <w:r w:rsidR="009F1102" w:rsidRPr="00C22ABE">
        <w:rPr>
          <w:rFonts w:cstheme="minorHAnsi"/>
          <w:sz w:val="20"/>
          <w:szCs w:val="18"/>
        </w:rPr>
        <w:t>Samman</w:t>
      </w:r>
      <w:proofErr w:type="spellEnd"/>
      <w:r w:rsidR="009F1102" w:rsidRPr="00C22ABE">
        <w:rPr>
          <w:rFonts w:cstheme="minorHAnsi"/>
          <w:sz w:val="20"/>
          <w:szCs w:val="18"/>
        </w:rPr>
        <w:t xml:space="preserve"> montre que les extractions la première année après la fin de la radiothérapie sont à risque d’ORN dans 7,5 % des cas, alors qu’entre 2 et 5 ans, le risque peut atteindre 22,6%, et puis retomber  à 16,7% après 5 ans </w:t>
      </w:r>
      <w:r w:rsidR="009F1102" w:rsidRPr="00C22ABE">
        <w:rPr>
          <w:rFonts w:cstheme="minorHAnsi"/>
          <w:sz w:val="20"/>
          <w:szCs w:val="18"/>
        </w:rPr>
        <w:fldChar w:fldCharType="begin"/>
      </w:r>
      <w:r w:rsidR="009F1102" w:rsidRPr="00C22ABE">
        <w:rPr>
          <w:rFonts w:cstheme="minorHAnsi"/>
          <w:sz w:val="20"/>
          <w:szCs w:val="18"/>
        </w:rPr>
        <w:instrText xml:space="preserve"> ADDIN ZOTERO_ITEM CSL_CITATION {"citationID":"kEmkAV8g","properties":{"formattedCitation":"(11)","plainCitation":"(11)","noteIndex":0},"citationItems":[{"id":212,"uris":["http://zotero.org/users/local/Om3YyEnU/items/PMPCDG3G"],"uri":["http://zotero.org/users/local/Om3YyEnU/items/PMPCDG3G"],"itemData":{"id":212,"type":"article-journal","abstract":"This systematic review aims to identify and review the best available evidence to answer the clinical question 'What are the incidence and the factors influencing the development of osteoradionecrosis after tooth extraction in irradiated patients?'. A systematic review of published articles on post-irradiation extraction was performed via electronic search of the Medline, Ovid, Embase and Cochrane Library databases. Additional studies were identified by manual reference list search. Evaluation and critical appraisal were done in 3 stages by two independent reviewers and any disagreement was resolved by discussion with a third party. 19 articles were selected for the final analysis. The total incidence of osteoradionecrosis after tooth extraction in irradiated patients was 7%. When extractions were performed in conjunction with prophylactic hyperbaric oxygen, the incidence was 4% while extraction in conjunction with antibiotics gave an incidence of 6%. This systematic review found that while the incidence of osteoradionecrosis after post-irradiation tooth extractions is low, the extraction of mandibular teeth within the radiation field in patients who received a radiation dose higher than 60Gy represents the highest risk of developing osteoradionecrosis. Based on weak evidence, prophylactic hyperbaric oxygen is effective in reducing the risk of developing osteoradionecrosis after post-radiation extractions.","container-title":"International Journal of Oral and Maxillofacial Surgery","DOI":"10.1016/j.ijom.2010.10.005","ISSN":"1399-0020","issue":"3","journalAbbreviation":"Int J Oral Maxillofac Surg","language":"eng","note":"PMID: 21115324","page":"229-243","source":"PubMed","title":"Incidence and prevention of osteoradionecrosis after dental extraction in irradiated patients: a systematic review","title-short":"Incidence and prevention of osteoradionecrosis after dental extraction in irradiated patients","volume":"40","author":[{"family":"Nabil","given":"S."},{"family":"Samman","given":"N."}],"issued":{"date-parts":[["2011",3]]}}}],"schema":"https://github.com/citation-style-language/schema/raw/master/csl-citation.json"} </w:instrText>
      </w:r>
      <w:r w:rsidR="009F1102" w:rsidRPr="00C22ABE">
        <w:rPr>
          <w:rFonts w:cstheme="minorHAnsi"/>
          <w:sz w:val="20"/>
          <w:szCs w:val="18"/>
        </w:rPr>
        <w:fldChar w:fldCharType="separate"/>
      </w:r>
      <w:r w:rsidR="009F1102" w:rsidRPr="00C22ABE">
        <w:rPr>
          <w:rFonts w:cstheme="minorHAnsi"/>
          <w:sz w:val="20"/>
        </w:rPr>
        <w:t>(11)</w:t>
      </w:r>
      <w:r w:rsidR="009F1102" w:rsidRPr="00C22ABE">
        <w:rPr>
          <w:rFonts w:cstheme="minorHAnsi"/>
          <w:sz w:val="20"/>
          <w:szCs w:val="18"/>
        </w:rPr>
        <w:fldChar w:fldCharType="end"/>
      </w:r>
      <w:r w:rsidR="009F1102" w:rsidRPr="00C22ABE">
        <w:rPr>
          <w:rFonts w:cstheme="minorHAnsi"/>
          <w:sz w:val="20"/>
          <w:szCs w:val="18"/>
        </w:rPr>
        <w:t xml:space="preserve">. Après radiothérapie, il </w:t>
      </w:r>
      <w:r w:rsidR="0095348E" w:rsidRPr="00C22ABE">
        <w:rPr>
          <w:rFonts w:cstheme="minorHAnsi"/>
          <w:sz w:val="20"/>
          <w:szCs w:val="18"/>
        </w:rPr>
        <w:t>f</w:t>
      </w:r>
      <w:r w:rsidR="009F1102" w:rsidRPr="00C22ABE">
        <w:rPr>
          <w:rFonts w:cstheme="minorHAnsi"/>
          <w:sz w:val="20"/>
          <w:szCs w:val="18"/>
        </w:rPr>
        <w:t xml:space="preserve">aut extraire rapidement les dents infectées </w:t>
      </w:r>
      <w:r w:rsidR="0095348E" w:rsidRPr="00C22ABE">
        <w:rPr>
          <w:rFonts w:cstheme="minorHAnsi"/>
          <w:sz w:val="20"/>
          <w:szCs w:val="18"/>
        </w:rPr>
        <w:t xml:space="preserve">et ne pas </w:t>
      </w:r>
      <w:r w:rsidR="009F1102" w:rsidRPr="00C22ABE">
        <w:rPr>
          <w:rFonts w:cstheme="minorHAnsi"/>
          <w:sz w:val="20"/>
          <w:szCs w:val="18"/>
        </w:rPr>
        <w:t xml:space="preserve"> laisser évoluer un foyer infecté en terrain irradié </w:t>
      </w:r>
      <w:r w:rsidR="009F1102" w:rsidRPr="00C22ABE">
        <w:rPr>
          <w:rFonts w:cstheme="minorHAnsi"/>
          <w:sz w:val="20"/>
          <w:szCs w:val="18"/>
        </w:rPr>
        <w:fldChar w:fldCharType="begin"/>
      </w:r>
      <w:r w:rsidR="00D36EC3">
        <w:rPr>
          <w:rFonts w:cstheme="minorHAnsi"/>
          <w:sz w:val="20"/>
          <w:szCs w:val="18"/>
        </w:rPr>
        <w:instrText xml:space="preserve"> ADDIN ZOTERO_ITEM CSL_CITATION {"citationID":"QZD1Pxue","properties":{"formattedCitation":"(76)","plainCitation":"(76)","noteIndex":0},"citationItems":[{"id":315,"uris":["http://zotero.org/users/local/Om3YyEnU/items/EIW5VEYB"],"uri":["http://zotero.org/users/local/Om3YyEnU/items/EIW5VEYB"],"itemData":{"id":315,"type":"article-journal","abstract":"INTRODUCTION: Osteoradionecrosis (ORN) remains a frequent complication of radiotherapy in head and neck cancer. As ORN management is often complex, it is essential to focus on its prevention, mainly by dental prophylaxis. The objectives of this study were to evaluate a dental preventive approach based on ORN data and to highlight individual risk factors statistically associated with time-to-ORN.\nMATERIALS AND METHODS: A retrospective study (January 2004-December 2013) included 415 patients with head and neck cancer who received radiotherapy in their treatment with at least 50 Grays on maxillo-mandibular bones. Pre-radiotherapy dental assessment (clinical and radiological) and prevention (with standardised extraction protocol) were performed.\nRESULTS: The ORN rate was 7.5%, with a dental origin in 35.5% of cases, mainly represented by dental infection in exclusive mandibular locations. More than 90% of patients were partially or completely dentate, and more than 70% had poor oral hygiene. Dental extractions were performed in 67.9% of patients before radiotherapy and in 42.9% after radiotherapy. Statistically significant risk factors associated with time-to-ORN were addictions (tobacco and alcohol), diabetes, oropharyngeal tumour location, combination of surgery followed by radiotherapy and post-radiotherapy dental extractions.\nDISCUSSION AND CONCLUSION: Considering that ORN implies severe disabilities and complex management, the rate of 7.5% is unacceptable. A better dental prevention could reduce this rate by one-third. Dental extractions could be systematic in high-dose irradiation mandibular areas in patients presenting with poor oral hygiene and/or statistically significant risk factors for the occurrence of ORN. Moreover, favourable oral condition after radiotherapy should be maintained.","container-title":"Journal of Stomatology, Oral and Maxillofacial Surgery","DOI":"10.1016/j.jormas.2020.05.022","ISSN":"2468-7855","journalAbbreviation":"J Stomatol Oral Maxillofac Surg","language":"eng","note":"PMID: 32535252","source":"PubMed","title":"Dental prevention of maxillo-mandibular osteoradionecrosis: A ten-year retrospective study","title-short":"Dental prevention of maxillo-mandibular osteoradionecrosis","author":[{"family":"Dumoulin","given":"S."},{"family":"Maanen","given":"A.","non-dropping-particle":"van"},{"family":"Magremanne","given":"M."}],"issued":{"date-parts":[["2020",6,11]]}}}],"schema":"https://github.com/citation-style-language/schema/raw/master/csl-citation.json"} </w:instrText>
      </w:r>
      <w:r w:rsidR="009F1102" w:rsidRPr="00C22ABE">
        <w:rPr>
          <w:rFonts w:cstheme="minorHAnsi"/>
          <w:sz w:val="20"/>
          <w:szCs w:val="18"/>
        </w:rPr>
        <w:fldChar w:fldCharType="separate"/>
      </w:r>
      <w:r w:rsidR="00D36EC3" w:rsidRPr="00D36EC3">
        <w:rPr>
          <w:rFonts w:ascii="Calibri" w:hAnsi="Calibri" w:cs="Calibri"/>
          <w:sz w:val="20"/>
        </w:rPr>
        <w:t>(76)</w:t>
      </w:r>
      <w:r w:rsidR="009F1102" w:rsidRPr="00C22ABE">
        <w:rPr>
          <w:rFonts w:cstheme="minorHAnsi"/>
          <w:sz w:val="20"/>
          <w:szCs w:val="18"/>
        </w:rPr>
        <w:fldChar w:fldCharType="end"/>
      </w:r>
      <w:r w:rsidR="00EC65BB" w:rsidRPr="00C22ABE">
        <w:rPr>
          <w:rFonts w:cstheme="minorHAnsi"/>
          <w:sz w:val="20"/>
          <w:szCs w:val="18"/>
        </w:rPr>
        <w:t>.</w:t>
      </w:r>
    </w:p>
    <w:p w14:paraId="085D0AA0" w14:textId="46CDE572" w:rsidR="009F1102" w:rsidRPr="00C22ABE" w:rsidRDefault="009F1102" w:rsidP="009F1102">
      <w:pPr>
        <w:tabs>
          <w:tab w:val="left" w:pos="7110"/>
        </w:tabs>
        <w:rPr>
          <w:rFonts w:cstheme="minorHAnsi"/>
          <w:sz w:val="20"/>
          <w:szCs w:val="18"/>
        </w:rPr>
      </w:pPr>
      <w:r w:rsidRPr="00C22ABE">
        <w:rPr>
          <w:rFonts w:cstheme="minorHAnsi"/>
          <w:sz w:val="20"/>
          <w:szCs w:val="18"/>
        </w:rPr>
        <w:t>Certains préconisent l’OHB avant extraction, d’autre</w:t>
      </w:r>
      <w:r w:rsidR="00EC65BB" w:rsidRPr="00C22ABE">
        <w:rPr>
          <w:rFonts w:cstheme="minorHAnsi"/>
          <w:sz w:val="20"/>
          <w:szCs w:val="18"/>
        </w:rPr>
        <w:t>s</w:t>
      </w:r>
      <w:r w:rsidRPr="00C22ABE">
        <w:rPr>
          <w:rFonts w:cstheme="minorHAnsi"/>
          <w:sz w:val="20"/>
          <w:szCs w:val="18"/>
        </w:rPr>
        <w:t xml:space="preserve"> l’usage de l’association pentoxifylline/tocophérol.</w:t>
      </w:r>
    </w:p>
    <w:p w14:paraId="3EEDDEC3" w14:textId="6CF6810C" w:rsidR="003376EE" w:rsidRPr="00C22ABE" w:rsidRDefault="009F1102" w:rsidP="003376EE">
      <w:pPr>
        <w:tabs>
          <w:tab w:val="left" w:pos="7110"/>
        </w:tabs>
        <w:rPr>
          <w:rFonts w:cstheme="minorHAnsi"/>
          <w:sz w:val="20"/>
          <w:szCs w:val="18"/>
        </w:rPr>
      </w:pPr>
      <w:r w:rsidRPr="00C22ABE">
        <w:rPr>
          <w:rFonts w:cstheme="minorHAnsi"/>
          <w:sz w:val="20"/>
          <w:szCs w:val="18"/>
        </w:rPr>
        <w:t xml:space="preserve">Une couverture antibiotique est </w:t>
      </w:r>
      <w:r w:rsidR="00EC65BB" w:rsidRPr="00C22ABE">
        <w:rPr>
          <w:rFonts w:cstheme="minorHAnsi"/>
          <w:sz w:val="20"/>
          <w:szCs w:val="18"/>
        </w:rPr>
        <w:t xml:space="preserve">nécessaire </w:t>
      </w:r>
      <w:r w:rsidRPr="00C22ABE">
        <w:rPr>
          <w:rFonts w:cstheme="minorHAnsi"/>
          <w:sz w:val="20"/>
          <w:szCs w:val="18"/>
        </w:rPr>
        <w:t>dans tous les cas de figure</w:t>
      </w:r>
      <w:r w:rsidR="003376EE" w:rsidRPr="00C22ABE">
        <w:rPr>
          <w:rFonts w:cstheme="minorHAnsi"/>
          <w:sz w:val="20"/>
          <w:szCs w:val="18"/>
        </w:rPr>
        <w:t> : amoxicilline en premier choix, association amoxicilline</w:t>
      </w:r>
      <w:r w:rsidR="009055BA" w:rsidRPr="00C22ABE">
        <w:rPr>
          <w:rFonts w:cstheme="minorHAnsi"/>
          <w:sz w:val="20"/>
          <w:szCs w:val="18"/>
        </w:rPr>
        <w:t>/</w:t>
      </w:r>
      <w:r w:rsidR="003376EE" w:rsidRPr="00C22ABE">
        <w:rPr>
          <w:rFonts w:cstheme="minorHAnsi"/>
          <w:sz w:val="20"/>
          <w:szCs w:val="18"/>
        </w:rPr>
        <w:t>métronidazole, clindamycine +/- métronidazole si allergie pénicilline</w:t>
      </w:r>
      <w:r w:rsidR="00255F29" w:rsidRPr="00C22ABE">
        <w:rPr>
          <w:rFonts w:cstheme="minorHAnsi"/>
          <w:sz w:val="20"/>
          <w:szCs w:val="18"/>
        </w:rPr>
        <w:t>.</w:t>
      </w:r>
    </w:p>
    <w:p w14:paraId="2D8F252D" w14:textId="62336489" w:rsidR="009F1102" w:rsidRPr="00C22ABE" w:rsidRDefault="008B00C9" w:rsidP="009F1102">
      <w:pPr>
        <w:tabs>
          <w:tab w:val="left" w:pos="7110"/>
        </w:tabs>
        <w:rPr>
          <w:rFonts w:cstheme="minorHAnsi"/>
          <w:sz w:val="20"/>
          <w:szCs w:val="18"/>
        </w:rPr>
      </w:pPr>
      <w:r w:rsidRPr="00C22ABE">
        <w:rPr>
          <w:rFonts w:cstheme="minorHAnsi"/>
          <w:sz w:val="20"/>
          <w:szCs w:val="18"/>
        </w:rPr>
        <w:t>En cas de lésion de la couronne dentaire et en l’absence d’infection, il est parfois préférable de réaliser une amputation coronaire et l’obturation canalaire de la</w:t>
      </w:r>
      <w:r w:rsidR="009055BA" w:rsidRPr="00C22ABE">
        <w:rPr>
          <w:rFonts w:cstheme="minorHAnsi"/>
          <w:sz w:val="20"/>
          <w:szCs w:val="18"/>
        </w:rPr>
        <w:t xml:space="preserve"> </w:t>
      </w:r>
      <w:r w:rsidRPr="00C22ABE">
        <w:rPr>
          <w:rFonts w:cstheme="minorHAnsi"/>
          <w:sz w:val="20"/>
          <w:szCs w:val="18"/>
        </w:rPr>
        <w:t>dent, avec une surveillance</w:t>
      </w:r>
      <w:r w:rsidR="007C0C10" w:rsidRPr="00C22ABE">
        <w:rPr>
          <w:rFonts w:cstheme="minorHAnsi"/>
          <w:sz w:val="20"/>
          <w:szCs w:val="18"/>
        </w:rPr>
        <w:t>, surtout en cas d’irradiation &gt; à 50 Gy</w:t>
      </w:r>
      <w:r w:rsidRPr="00C22ABE">
        <w:rPr>
          <w:rFonts w:cstheme="minorHAnsi"/>
          <w:sz w:val="20"/>
          <w:szCs w:val="18"/>
        </w:rPr>
        <w:t xml:space="preserve"> </w:t>
      </w:r>
      <w:r w:rsidR="009055BA" w:rsidRPr="00C22ABE">
        <w:rPr>
          <w:rFonts w:cstheme="minorHAnsi"/>
          <w:sz w:val="20"/>
          <w:szCs w:val="18"/>
        </w:rPr>
        <w:fldChar w:fldCharType="begin"/>
      </w:r>
      <w:r w:rsidR="00D36EC3">
        <w:rPr>
          <w:rFonts w:cstheme="minorHAnsi"/>
          <w:sz w:val="20"/>
          <w:szCs w:val="18"/>
        </w:rPr>
        <w:instrText xml:space="preserve"> ADDIN ZOTERO_ITEM CSL_CITATION {"citationID":"Y7XZjgii","properties":{"formattedCitation":"(78,79)","plainCitation":"(78,79)","noteIndex":0},"citationItems":[{"id":333,"uris":["http://zotero.org/users/local/Om3YyEnU/items/VEFH6GDS"],"uri":["http://zotero.org/users/local/Om3YyEnU/items/VEFH6GDS"],"itemData":{"id":333,"type":"article-journal","abstract":"Medication related osteonecrosis of the jaws (MRONJ) and osteoradionecrosis of the jaws (ORNJ) are two different diseases of quite similar appearance. MRONJ is mainly due to antiresorptive or antiangiogenic drug therapy and ORNJ to radiotherapy. The present work aimed at presenting and comparing the current knowledge on MRONJ and ORNJ. They both present as an exposure of necrotic bone and differ in some clinical or radiological characteristics, clinical course and mostly in treatment. They share similar risk factors. A tooth extraction is more frequently found as a triggering factor in MRONJ. The frequency of a maxillary localisation seems higher for MRONJ. On computed tomographic images, a periosteal reaction seems characteristic of MRONJ. More frequent pathological fractures seem to occur in ORNJ. It is mandatory, for ORNJ diagnosis, to exclude a residual or recurrent tumour using histological examination. Both MRONJ and ORNJ are challenging to treat and cannot be managed similarly. For both, it would still be worth to optimise awareness within the medical community, patients' oral hygiene and dental cares to improve their prevention and make their incidences decrease. Conservative therapy is more frequently achieved for MRONJ than ORNJ and surgical resection is more often performed for ORNJ. For both diseases, the last treatment possible in refractory cases is a surgical extensive resection with free flap reconstruction. A MRONJ classification is widely used today, whereas no consensus exists to date for ORNJ classification. We propose a classification that could play this role.","container-title":"Morphologie: Bulletin De l'Association Des Anatomistes","DOI":"10.1016/j.morpho.2020.11.008","ISSN":"1286-0115","journalAbbreviation":"Morphologie","language":"eng","note":"PMID: 33281055","source":"PubMed","title":"Medication-related osteonecrosis and osteoradionecrosis of the jaws: Update and current management","title-short":"Medication-related osteonecrosis and osteoradionecrosis of the jaws","author":[{"family":"Kün-Darbois","given":"J.-D."},{"family":"Fauvel","given":"F."}],"issued":{"date-parts":[["2020",12,3]]}}},{"id":323,"uris":["http://zotero.org/users/local/Om3YyEnU/items/I85VCNQF"],"uri":["http://zotero.org/users/local/Om3YyEnU/items/I85VCNQF"],"itemData":{"id":323,"type":"article-journal","abstract":"Modern radiotherapy delivery systems and treatment strategies are aimed at limiting the irradiation of healthy structures in the head and neck. This seeks to mitigate post-treatment toxicities and complications such as osteoradionecrosis of the jaw. Given the changes to radiotherapy, conventional workflows for the management of patients requiring dentoalveolar surgery may no longer be suitable. It may therefore be appropriate to revisit current treatment algorithms for the management of patients with radiotherapy to the jaws who require dentoalveolar surgery. At present, there are poor data on this. Development of a randomised trial may be warranted to establish the true relative risk for extraction of teeth in the setting of modern radiation therapy delivery systems.","container-title":"The British Journal of Oral &amp; Maxillofacial Surgery","DOI":"10.1016/j.bjoms.2020.03.028","ISSN":"1532-1940","issue":"6","journalAbbreviation":"Br J Oral Maxillofac Surg","language":"eng","note":"PMID: 32475634","page":"711-712","source":"PubMed","title":"Dental intervention for the irradiated patient: time to re-evaluate dental treatment algorithms?","title-short":"Dental intervention for the irradiated patient","volume":"58","author":[{"family":"Rosen","given":"E. B."},{"family":"Ahmed","given":"Z. U."},{"family":"Randazzo","given":"J. D."},{"family":"Yom","given":"S."},{"family":"Estilo","given":"C. L."},{"family":"Huryn","given":"J. M."}],"issued":{"date-parts":[["2020",7]]}}}],"schema":"https://github.com/citation-style-language/schema/raw/master/csl-citation.json"} </w:instrText>
      </w:r>
      <w:r w:rsidR="009055BA" w:rsidRPr="00C22ABE">
        <w:rPr>
          <w:rFonts w:cstheme="minorHAnsi"/>
          <w:sz w:val="20"/>
          <w:szCs w:val="18"/>
        </w:rPr>
        <w:fldChar w:fldCharType="separate"/>
      </w:r>
      <w:r w:rsidR="00D36EC3" w:rsidRPr="00D36EC3">
        <w:rPr>
          <w:rFonts w:ascii="Calibri" w:hAnsi="Calibri" w:cs="Calibri"/>
          <w:sz w:val="20"/>
        </w:rPr>
        <w:t>(78,79)</w:t>
      </w:r>
      <w:r w:rsidR="009055BA" w:rsidRPr="00C22ABE">
        <w:rPr>
          <w:rFonts w:cstheme="minorHAnsi"/>
          <w:sz w:val="20"/>
          <w:szCs w:val="18"/>
        </w:rPr>
        <w:fldChar w:fldCharType="end"/>
      </w:r>
      <w:r w:rsidR="00EC65BB" w:rsidRPr="00C22ABE">
        <w:rPr>
          <w:rFonts w:cstheme="minorHAnsi"/>
          <w:sz w:val="20"/>
          <w:szCs w:val="18"/>
        </w:rPr>
        <w:t>.</w:t>
      </w:r>
    </w:p>
    <w:p w14:paraId="666FDB1D" w14:textId="21E1A27D" w:rsidR="001D1E70" w:rsidRDefault="009F1102" w:rsidP="009F1102">
      <w:pPr>
        <w:tabs>
          <w:tab w:val="left" w:pos="7110"/>
        </w:tabs>
        <w:rPr>
          <w:rFonts w:cstheme="minorHAnsi"/>
          <w:sz w:val="20"/>
          <w:szCs w:val="18"/>
        </w:rPr>
      </w:pPr>
      <w:r w:rsidRPr="00C22ABE">
        <w:rPr>
          <w:rFonts w:cstheme="minorHAnsi"/>
          <w:sz w:val="20"/>
          <w:szCs w:val="18"/>
        </w:rPr>
        <w:t>Si une extraction est indispensable, l’anesthésie locale est préférée sans vasoconstricteur. Une anesthésie générale est proposée si des extractions multiples sont nécessaires</w:t>
      </w:r>
      <w:r w:rsidR="00EC65BB" w:rsidRPr="00C22ABE">
        <w:rPr>
          <w:rFonts w:cstheme="minorHAnsi"/>
          <w:sz w:val="20"/>
          <w:szCs w:val="18"/>
        </w:rPr>
        <w:t xml:space="preserve"> </w:t>
      </w:r>
      <w:r w:rsidR="002824C2" w:rsidRPr="00C22ABE">
        <w:rPr>
          <w:rFonts w:cstheme="minorHAnsi"/>
          <w:sz w:val="20"/>
          <w:szCs w:val="18"/>
        </w:rPr>
        <w:fldChar w:fldCharType="begin"/>
      </w:r>
      <w:r w:rsidR="00D36EC3">
        <w:rPr>
          <w:rFonts w:cstheme="minorHAnsi"/>
          <w:sz w:val="20"/>
          <w:szCs w:val="18"/>
        </w:rPr>
        <w:instrText xml:space="preserve"> ADDIN ZOTERO_ITEM CSL_CITATION {"citationID":"YQiKZSPz","properties":{"formattedCitation":"(74)","plainCitation":"(74)","noteIndex":0},"citationItems":[{"id":320,"uris":["http://zotero.org/users/local/Om3YyEnU/items/C3BP5R8I"],"uri":["http://zotero.org/users/local/Om3YyEnU/items/C3BP5R8I"],"itemData":{"id":320,"type":"article-journal","abstract":"PURPOSE: The aim of this paper is to explore the current theories about pretreatment assessment and dental management of patients receiving head and neck radiotherapy, and the therapeutic options to treat osteoradionecrosis of the jaws, based on the literature review.\nDISCUSSION: Osteoradionecrosis is one of the most serious oral complications of head and neck cancer treatment. Osteoradionecrosis is a severe delayed radiation-induced injury, characterized by bone tissue necrosis and failure to heal. Osteoradionecrosis either stabilizes or gradually worsens and is notoriously difficult to manage. Because most cases occur in patients who were dentulous in the mandible at tumor onset, proper dental management is the single most important factor in prevention.\nCONCLUSIONS: Complete dental clearance before treatment is no longer necessary. Controversy exists regarding the management of osteoradionecrosis of the maxillofacial skeleton because of the variability of this condition. The treatment of osteoradionecrosis has included local wound care, antibiotic therapy, surgical procedures, and the administration of hyperbaric oxygenation. Recently, new methods of treatment were introduced, according to the new theory about its pathophysiology.","container-title":"Oral and Maxillofacial Surgery","DOI":"10.1007/s10006-010-0205-1","ISSN":"1865-1569","issue":"2","journalAbbreviation":"Oral Maxillofac Surg","language":"eng","note":"PMID: 20145963","page":"81-95","source":"PubMed","title":"Osteoradionecrosis of the jaws--a current overview--Part 2: dental management and therapeutic options for treatment","title-short":"Osteoradionecrosis of the jaws--a current overview--Part 2","volume":"14","author":[{"family":"Chrcanovic","given":"Bruno Ramos"},{"family":"Reher","given":"Peter"},{"family":"Sousa","given":"Alexandre Andrade"},{"family":"Harris","given":"Malcolm"}],"issued":{"date-parts":[["2010",6]]}}}],"schema":"https://github.com/citation-style-language/schema/raw/master/csl-citation.json"} </w:instrText>
      </w:r>
      <w:r w:rsidR="002824C2" w:rsidRPr="00C22ABE">
        <w:rPr>
          <w:rFonts w:cstheme="minorHAnsi"/>
          <w:sz w:val="20"/>
          <w:szCs w:val="18"/>
        </w:rPr>
        <w:fldChar w:fldCharType="separate"/>
      </w:r>
      <w:r w:rsidR="00D36EC3" w:rsidRPr="00D36EC3">
        <w:rPr>
          <w:rFonts w:ascii="Calibri" w:hAnsi="Calibri" w:cs="Calibri"/>
          <w:sz w:val="20"/>
        </w:rPr>
        <w:t>(74)</w:t>
      </w:r>
      <w:r w:rsidR="002824C2" w:rsidRPr="00C22ABE">
        <w:rPr>
          <w:rFonts w:cstheme="minorHAnsi"/>
          <w:sz w:val="20"/>
          <w:szCs w:val="18"/>
        </w:rPr>
        <w:fldChar w:fldCharType="end"/>
      </w:r>
      <w:r w:rsidRPr="00C22ABE">
        <w:rPr>
          <w:rFonts w:cstheme="minorHAnsi"/>
          <w:sz w:val="20"/>
          <w:szCs w:val="18"/>
        </w:rPr>
        <w:t xml:space="preserve">. </w:t>
      </w:r>
      <w:r w:rsidR="00EC65BB" w:rsidRPr="00C22ABE">
        <w:rPr>
          <w:rFonts w:cstheme="minorHAnsi"/>
          <w:sz w:val="20"/>
          <w:szCs w:val="18"/>
        </w:rPr>
        <w:t>Des corrections osseuses sont</w:t>
      </w:r>
      <w:r w:rsidRPr="00C22ABE">
        <w:rPr>
          <w:rFonts w:cstheme="minorHAnsi"/>
          <w:sz w:val="20"/>
          <w:szCs w:val="18"/>
        </w:rPr>
        <w:t xml:space="preserve"> préconisé</w:t>
      </w:r>
      <w:r w:rsidR="00EC65BB" w:rsidRPr="00C22ABE">
        <w:rPr>
          <w:rFonts w:cstheme="minorHAnsi"/>
          <w:sz w:val="20"/>
          <w:szCs w:val="18"/>
        </w:rPr>
        <w:t>es et l</w:t>
      </w:r>
      <w:r w:rsidRPr="00C22ABE">
        <w:rPr>
          <w:rFonts w:cstheme="minorHAnsi"/>
          <w:sz w:val="20"/>
          <w:szCs w:val="18"/>
        </w:rPr>
        <w:t xml:space="preserve">a suture doit être sans </w:t>
      </w:r>
      <w:r w:rsidRPr="00960B04">
        <w:rPr>
          <w:rFonts w:cstheme="minorHAnsi"/>
          <w:sz w:val="20"/>
          <w:szCs w:val="18"/>
        </w:rPr>
        <w:t>tension. Une couverture antibiotique (amoxic</w:t>
      </w:r>
      <w:r w:rsidR="001D1E70" w:rsidRPr="00960B04">
        <w:rPr>
          <w:rFonts w:cstheme="minorHAnsi"/>
          <w:sz w:val="20"/>
          <w:szCs w:val="18"/>
        </w:rPr>
        <w:t>illine 3 g/j par exemple) est</w:t>
      </w:r>
      <w:r w:rsidR="00052958" w:rsidRPr="00960B04">
        <w:rPr>
          <w:rFonts w:cstheme="minorHAnsi"/>
          <w:sz w:val="20"/>
          <w:szCs w:val="18"/>
        </w:rPr>
        <w:t xml:space="preserve"> la</w:t>
      </w:r>
      <w:r w:rsidRPr="00960B04">
        <w:rPr>
          <w:rFonts w:cstheme="minorHAnsi"/>
          <w:sz w:val="20"/>
          <w:szCs w:val="18"/>
        </w:rPr>
        <w:t xml:space="preserve"> règle pour prévenir tout risque infectieux,</w:t>
      </w:r>
      <w:r w:rsidR="00052958" w:rsidRPr="00960B04">
        <w:rPr>
          <w:rFonts w:cstheme="minorHAnsi"/>
          <w:sz w:val="20"/>
          <w:szCs w:val="18"/>
        </w:rPr>
        <w:t xml:space="preserve"> elle</w:t>
      </w:r>
      <w:r w:rsidRPr="00960B04">
        <w:rPr>
          <w:rFonts w:cstheme="minorHAnsi"/>
          <w:sz w:val="20"/>
          <w:szCs w:val="18"/>
        </w:rPr>
        <w:t xml:space="preserve"> est</w:t>
      </w:r>
      <w:r w:rsidR="00052958" w:rsidRPr="00960B04">
        <w:rPr>
          <w:rFonts w:cstheme="minorHAnsi"/>
          <w:sz w:val="20"/>
          <w:szCs w:val="18"/>
        </w:rPr>
        <w:t xml:space="preserve"> à débuter 1h avant l’intervention et à poursuivre</w:t>
      </w:r>
      <w:r w:rsidR="001D1E70" w:rsidRPr="00960B04">
        <w:rPr>
          <w:rFonts w:cstheme="minorHAnsi"/>
          <w:sz w:val="20"/>
          <w:szCs w:val="18"/>
        </w:rPr>
        <w:t xml:space="preserve"> jusqu’à la cicatrisation complète du site opératoire (15 jours au minimum).</w:t>
      </w:r>
    </w:p>
    <w:p w14:paraId="7DEB8255" w14:textId="14AA1EA1" w:rsidR="009F1102" w:rsidRPr="00C22ABE" w:rsidRDefault="009F1102" w:rsidP="009F1102">
      <w:pPr>
        <w:tabs>
          <w:tab w:val="left" w:pos="7110"/>
        </w:tabs>
        <w:rPr>
          <w:rFonts w:cstheme="minorHAnsi"/>
          <w:sz w:val="20"/>
          <w:szCs w:val="18"/>
        </w:rPr>
      </w:pPr>
      <w:r w:rsidRPr="00C22ABE">
        <w:rPr>
          <w:rFonts w:cstheme="minorHAnsi"/>
          <w:sz w:val="20"/>
          <w:szCs w:val="18"/>
        </w:rPr>
        <w:lastRenderedPageBreak/>
        <w:t xml:space="preserve">La revue systématique de </w:t>
      </w:r>
      <w:proofErr w:type="spellStart"/>
      <w:r w:rsidRPr="00C22ABE">
        <w:rPr>
          <w:rFonts w:cstheme="minorHAnsi"/>
          <w:sz w:val="20"/>
          <w:szCs w:val="18"/>
        </w:rPr>
        <w:t>Schuurhuis</w:t>
      </w:r>
      <w:proofErr w:type="spellEnd"/>
      <w:r w:rsidRPr="00C22ABE">
        <w:rPr>
          <w:rFonts w:cstheme="minorHAnsi"/>
          <w:sz w:val="20"/>
          <w:szCs w:val="18"/>
        </w:rPr>
        <w:t xml:space="preserve"> et al </w:t>
      </w:r>
      <w:r w:rsidRPr="00C22ABE">
        <w:rPr>
          <w:rFonts w:cstheme="minorHAnsi"/>
          <w:sz w:val="20"/>
          <w:szCs w:val="18"/>
          <w:lang w:val="en-US"/>
        </w:rPr>
        <w:fldChar w:fldCharType="begin"/>
      </w:r>
      <w:r w:rsidR="00D36EC3">
        <w:rPr>
          <w:rFonts w:cstheme="minorHAnsi"/>
          <w:sz w:val="20"/>
          <w:szCs w:val="18"/>
        </w:rPr>
        <w:instrText xml:space="preserve"> ADDIN ZOTERO_ITEM CSL_CITATION {"citationID":"KnYes3vO","properties":{"formattedCitation":"(75)","plainCitation":"(75)","noteIndex":0},"citationItems":[{"id":252,"uris":["http://zotero.org/users/local/Om3YyEnU/items/8F79G8PF"],"uri":["http://zotero.org/users/local/Om3YyEnU/items/8F79G8PF"],"itemData":{"id":252,"type":"article-journal","abstract":"Pre-radiation dental screening of head-neck cancer patients aims to identify and eliminate oral foci of infection to prevent post-radiation oral problems. The evidence for the efficacy of dental screening is unclear. In this systematic review, we analyzed available evidence on the efficacy of pre-radiation elimination of oral foci of infection in preventing oral sequelae. A search was conducted (MEDLINE/EMBASE) for papers published up to May 2014. Papers on head-neck cancer patients subjected to pre-radiation dental screening, (chemo)radiation and oral follow-up were included. Of the 1770 identified papers, 20 studies fulfilled the inclusion criteria of which 17 were retrospective. A great heterogeneity in patient groups, dental screening techniques, definitions of oral foci of infection and techniques for eliminating foci was found. Most papers lacked essential details on how dental screening was performed and a clear definition of an oral focus of infection. The evidence for efficacy of elimination of oral foci of infection to prevent post-radiotherapy oral sequelae was inconclusive. Consequently, the efficacy of pre-radiation elimination of oral foci of infection remains unclear. No conclusions can be drawn about a definition of an oral focus of infection and whether pre-radiation elimination of these foci should be mandatory. We therefore suggest prospective studies with well-defined criteria for oral foci of infection, a clear description of which foci were eliminated and how, a detailed description of pre-radiation dental screening, clearly described patient and tumor characteristics, and a detailed dental history and dental status. Subsequently, oral problems that occur post-radiation should be systematically recorded.","container-title":"Oral Oncology","DOI":"10.1016/j.oraloncology.2014.11.017","ISSN":"1879-0593","issue":"3","journalAbbreviation":"Oral Oncol","language":"eng","note":"PMID: 25524386","page":"212-220","source":"PubMed","title":"Evidence supporting pre-radiation elimination of oral foci of infection in head and neck cancer patients to prevent oral sequelae. A systematic review","volume":"51","author":[{"family":"Schuurhuis","given":"Jennifer M."},{"family":"Stokman","given":"Monique A."},{"family":"Witjes","given":"Max J. H."},{"family":"Dijkstra","given":"Pieter U."},{"family":"Vissink","given":"Arjan"},{"family":"Spijkervet","given":"Frederik K. L."}],"issued":{"date-parts":[["2015",3]]}}}],"schema":"https://github.com/citation-style-language/schema/raw/master/csl-citation.json"} </w:instrText>
      </w:r>
      <w:r w:rsidRPr="00C22ABE">
        <w:rPr>
          <w:rFonts w:cstheme="minorHAnsi"/>
          <w:sz w:val="20"/>
          <w:szCs w:val="18"/>
          <w:lang w:val="en-US"/>
        </w:rPr>
        <w:fldChar w:fldCharType="separate"/>
      </w:r>
      <w:r w:rsidR="00D36EC3" w:rsidRPr="00D36EC3">
        <w:rPr>
          <w:rFonts w:ascii="Calibri" w:hAnsi="Calibri" w:cs="Calibri"/>
          <w:sz w:val="20"/>
        </w:rPr>
        <w:t>(75)</w:t>
      </w:r>
      <w:r w:rsidRPr="00C22ABE">
        <w:rPr>
          <w:rFonts w:cstheme="minorHAnsi"/>
          <w:sz w:val="20"/>
          <w:szCs w:val="18"/>
          <w:lang w:val="en-US"/>
        </w:rPr>
        <w:fldChar w:fldCharType="end"/>
      </w:r>
      <w:r w:rsidRPr="00C22ABE">
        <w:rPr>
          <w:rFonts w:cstheme="minorHAnsi"/>
          <w:sz w:val="20"/>
          <w:szCs w:val="18"/>
        </w:rPr>
        <w:t xml:space="preserve"> ne montre pas de différence en termes d’ORN pour les extractions réalisées avant ou après radiothérapie. Une conclusion pourrait être que l’élimination des foyers oraux en prétraitement ne protège pas de l’ORN.</w:t>
      </w:r>
    </w:p>
    <w:p w14:paraId="7DE1A301" w14:textId="341BDD12" w:rsidR="008F6029" w:rsidRPr="00C22ABE" w:rsidRDefault="008F6029" w:rsidP="008F6029">
      <w:pPr>
        <w:tabs>
          <w:tab w:val="left" w:pos="7110"/>
        </w:tabs>
        <w:rPr>
          <w:rFonts w:cstheme="minorHAnsi"/>
          <w:sz w:val="20"/>
          <w:szCs w:val="18"/>
        </w:rPr>
      </w:pPr>
      <w:r w:rsidRPr="00C22ABE">
        <w:rPr>
          <w:rFonts w:cstheme="minorHAnsi"/>
          <w:sz w:val="20"/>
          <w:szCs w:val="18"/>
        </w:rPr>
        <w:t xml:space="preserve">Pour Shaw et al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DMPLZj1V","properties":{"formattedCitation":"(48)","plainCitation":"(48)","noteIndex":0},"citationItems":[{"id":211,"uris":["http://zotero.org/users/local/Om3YyEnU/items/I6LQB4GK"],"uri":["http://zotero.org/users/local/Om3YyEnU/items/I6LQB4GK"],"itemData":{"id":211,"type":"article-journal","container-title":"International Journal of Radiation Oncology*Biology*Physics","DOI":"10.1016/j.ijrobp.2019.02.044","ISSN":"03603016","issue":"3","journalAbbreviation":"International Journal of Radiation Oncology*Biology*Physics","language":"en","page":"530-539","source":"DOI.org (Crossref)","title":"HOPON (Hyperbaric Oxygen for the Prevention of Osteoradionecrosis): A Randomized Controlled Trial of Hyperbaric Oxygen to Prevent Osteoradionecrosis of the Irradiated Mandible After Dentoalveolar Surgery","title-short":"HOPON (Hyperbaric Oxygen for the Prevention of Osteoradionecrosis)","volume":"104","author":[{"family":"Shaw","given":"Richard J."},{"family":"Butterworth","given":"Christopher J."},{"family":"Silcocks","given":"Paul"},{"family":"Tesfaye","given":"Binyam T."},{"family":"Bickerstaff","given":"Matthew"},{"family":"Jackson","given":"Richard"},{"family":"Kanatas","given":"Anastios"},{"family":"Nixon","given":"Peter"},{"family":"McCaul","given":"James"},{"family":"Praveen","given":"Prav"},{"family":"Lowe","given":"Terry"},{"family":"Blanco-Guzman","given":"Manuel"},{"family":"Forner","given":"Lone"},{"family":"Brennan","given":"Peter"},{"family":"Fardy","given":"Mike"},{"family":"Parkin","given":"Richard"},{"family":"Smerdon","given":"Gary"},{"family":"Stephenson","given":"Ruth"},{"family":"Cope","given":"Tristan"},{"family":"Glover","given":"Mark"}],"issued":{"date-parts":[["2019",7]]}}}],"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(48)</w:t>
      </w:r>
      <w:r w:rsidRPr="00C22ABE">
        <w:rPr>
          <w:rFonts w:cstheme="minorHAnsi"/>
          <w:sz w:val="20"/>
          <w:szCs w:val="18"/>
        </w:rPr>
        <w:fldChar w:fldCharType="end"/>
      </w:r>
      <w:r w:rsidRPr="00C22ABE">
        <w:rPr>
          <w:rFonts w:cstheme="minorHAnsi"/>
          <w:sz w:val="20"/>
          <w:szCs w:val="18"/>
        </w:rPr>
        <w:t xml:space="preserve">, l’attitude proposée en prévision d’extractions ou de mise en place d’implants en terrain irradié à plus de 50 Gy est la prise d’antibiotique et l’usage de bains de bouche à la CHX, </w:t>
      </w:r>
      <w:r w:rsidR="00EC65BB" w:rsidRPr="00C22ABE">
        <w:rPr>
          <w:rFonts w:cstheme="minorHAnsi"/>
          <w:sz w:val="20"/>
          <w:szCs w:val="18"/>
        </w:rPr>
        <w:t xml:space="preserve">et </w:t>
      </w:r>
      <w:r w:rsidRPr="00C22ABE">
        <w:rPr>
          <w:rFonts w:cstheme="minorHAnsi"/>
          <w:sz w:val="20"/>
          <w:szCs w:val="18"/>
        </w:rPr>
        <w:t xml:space="preserve">30 sessions d’OHB 100% O2, 2,4 ATA 80 à 90 minutes.  Leur essai contrôlé randomisé </w:t>
      </w:r>
      <w:r w:rsidR="00C22ABE" w:rsidRPr="00C22ABE">
        <w:rPr>
          <w:rFonts w:cstheme="minorHAnsi"/>
          <w:sz w:val="20"/>
          <w:szCs w:val="18"/>
        </w:rPr>
        <w:t xml:space="preserve">de phase 3 </w:t>
      </w:r>
      <w:r w:rsidRPr="00C22ABE">
        <w:rPr>
          <w:rFonts w:cstheme="minorHAnsi"/>
          <w:sz w:val="20"/>
          <w:szCs w:val="18"/>
        </w:rPr>
        <w:t>incluait 144 patients, dont 100 ont été analysés. Il y avait 6,4% d’ORN dans le groupe OHB et 5,7% dans le groupe contrôle. Leur conclusion est que la faible incidence d’ORN rend l’usage d’OHB non nécessaire</w:t>
      </w:r>
      <w:r w:rsidR="00F846E0" w:rsidRPr="00C22ABE">
        <w:rPr>
          <w:rFonts w:cstheme="minorHAnsi"/>
          <w:sz w:val="20"/>
          <w:szCs w:val="18"/>
        </w:rPr>
        <w:t>.</w:t>
      </w:r>
    </w:p>
    <w:p w14:paraId="54376475" w14:textId="3B428B08" w:rsidR="008F6029" w:rsidRPr="00C22ABE" w:rsidRDefault="008F6029" w:rsidP="008F6029">
      <w:pPr>
        <w:tabs>
          <w:tab w:val="left" w:pos="7110"/>
        </w:tabs>
        <w:rPr>
          <w:rFonts w:cstheme="minorHAnsi"/>
          <w:sz w:val="20"/>
          <w:szCs w:val="18"/>
        </w:rPr>
      </w:pPr>
      <w:r w:rsidRPr="00C22ABE">
        <w:rPr>
          <w:rFonts w:cstheme="minorHAnsi"/>
          <w:sz w:val="20"/>
          <w:szCs w:val="18"/>
        </w:rPr>
        <w:t xml:space="preserve">D’autres préconisent l’association </w:t>
      </w:r>
      <w:proofErr w:type="spellStart"/>
      <w:r w:rsidRPr="00C22ABE">
        <w:rPr>
          <w:rFonts w:cstheme="minorHAnsi"/>
          <w:sz w:val="20"/>
          <w:szCs w:val="18"/>
        </w:rPr>
        <w:t>PenTo</w:t>
      </w:r>
      <w:proofErr w:type="spellEnd"/>
      <w:r w:rsidRPr="00C22ABE">
        <w:rPr>
          <w:rFonts w:cstheme="minorHAnsi"/>
          <w:sz w:val="20"/>
          <w:szCs w:val="18"/>
        </w:rPr>
        <w:t xml:space="preserve"> avant extraction en terrain irradié </w:t>
      </w:r>
      <w:r w:rsidRPr="00C22ABE">
        <w:rPr>
          <w:rFonts w:cstheme="minorHAnsi"/>
          <w:sz w:val="20"/>
          <w:szCs w:val="18"/>
        </w:rPr>
        <w:fldChar w:fldCharType="begin"/>
      </w:r>
      <w:r w:rsidR="00D36EC3">
        <w:rPr>
          <w:rFonts w:cstheme="minorHAnsi"/>
          <w:sz w:val="20"/>
          <w:szCs w:val="18"/>
        </w:rPr>
        <w:instrText xml:space="preserve"> ADDIN ZOTERO_ITEM CSL_CITATION {"citationID":"FR0297i7","properties":{"formattedCitation":"(60,80)","plainCitation":"(60,80)","noteIndex":0},"citationItems":[{"id":236,"uris":["http://zotero.org/users/local/Om3YyEnU/items/9N7DV2E5"],"uri":["http://zotero.org/users/local/Om3YyEnU/items/9N7DV2E5"],"itemData":{"id":236,"type":"article-journal","abstract":"Osteoradionecrosis (ORN) is a complication of radiotherapy, and is difficult to manage once established. However, its pathogenesis has been reinvestigated, and it is now thought to be potentially amenable to treatment with pentoxifylline and tocopherol (vitamin E). We made a retrospective analysis of 62 patients with established ORN who were treated in this way. When only pentoxifylline and vitamin E was used ORN resolved in 14/25 (56%) but paradoxically, when it was combined with antibiotics, only 6/22 resolved (27%). The next stage would ideally be to incorporate the treatment in a randomised clinical trial against both standard antibiotic treatment and hyperbaric oxygen.","container-title":"The British Journal of Oral &amp; Maxillofacial Surgery","DOI":"10.1016/j.bjoms.2015.11.027","ISSN":"1532-1940","issue":"3","journalAbbreviation":"Br J Oral Maxillofac Surg","language":"eng","note":"PMID: 26794083","page":"342-345","source":"PubMed","title":"Use of pentoxifylline and tocopherol in the management of osteoradionecrosis","volume":"54","author":[{"family":"Patel","given":"Vinod"},{"family":"Gadiwalla","given":"Yusuf"},{"family":"Sassoon","given":"Isabel"},{"family":"Sproat","given":"Chris"},{"family":"Kwok","given":"Jerry"},{"family":"McGurk","given":"Mark"}],"issued":{"date-parts":[["2016",4]]}}},{"id":240,"uris":["http://zotero.org/users/local/Om3YyEnU/items/2Q8FGQ3N"],"uri":["http://zotero.org/users/local/Om3YyEnU/items/2Q8FGQ3N"],"itemData":{"id":240,"type":"article-journal","abstract":"Osteoradionecrosis (ORN) is a complication seen intermittently in patients who have had radiotherapy to the head and neck, and results of treatment with pentoxifylline and tocopherol (PVe) have been encouraging. As a consequence, some argue that this should be used prophylactically to lower the risk of ORN after dental extractions in this group. We retrospectively analysed data on 390 dental extractions in 82 patients who had had radiotherapy for cancer of the head and neck. Each had been given PVe prophylactically. Only one patient (1.2%) developed ORN (rate/tooth 0.26%). Patients had taken PVe for a mean (SD) of 11 (23) weeks preoperatively and 13.6 (18) weeks postoperatively. The incidence we found was lower than that normally associated with dental extractions in irradiated patients (7%).","container-title":"The British Journal of Oral &amp; Maxillofacial Surgery","DOI":"10.1016/j.bjoms.2016.02.024","ISSN":"1532-1940","issue":"5","journalAbbreviation":"Br J Oral Maxillofac Surg","language":"eng","note":"PMID: 26975577","page":"547-550","source":"PubMed","title":"Prophylactic use of pentoxifylline and tocopherol in patients who require dental extractions after radiotherapy for cancer of the head and neck","volume":"54","author":[{"family":"Patel","given":"Vinod"},{"family":"Gadiwalla","given":"Yusuf"},{"family":"Sassoon","given":"Isabel"},{"family":"Sproat","given":"Chris"},{"family":"Kwok","given":"Jerry"},{"family":"McGurk","given":"Mark"}],"issued":{"date-parts":[["2016",6]]}}}],"schema":"https://github.com/citation-style-language/schema/raw/master/csl-citation.json"} </w:instrText>
      </w:r>
      <w:r w:rsidRPr="00C22ABE">
        <w:rPr>
          <w:rFonts w:cstheme="minorHAnsi"/>
          <w:sz w:val="20"/>
          <w:szCs w:val="18"/>
        </w:rPr>
        <w:fldChar w:fldCharType="separate"/>
      </w:r>
      <w:r w:rsidR="00D36EC3" w:rsidRPr="00D36EC3">
        <w:rPr>
          <w:rFonts w:ascii="Calibri" w:hAnsi="Calibri" w:cs="Calibri"/>
          <w:sz w:val="20"/>
        </w:rPr>
        <w:t>(60,80)</w:t>
      </w:r>
      <w:r w:rsidRPr="00C22ABE">
        <w:rPr>
          <w:rFonts w:cstheme="minorHAnsi"/>
          <w:sz w:val="20"/>
          <w:szCs w:val="18"/>
        </w:rPr>
        <w:fldChar w:fldCharType="end"/>
      </w:r>
      <w:r w:rsidR="00255F29" w:rsidRPr="00C22ABE">
        <w:rPr>
          <w:rFonts w:cstheme="minorHAnsi"/>
          <w:sz w:val="20"/>
          <w:szCs w:val="18"/>
        </w:rPr>
        <w:t>.</w:t>
      </w:r>
    </w:p>
    <w:p w14:paraId="3285467F" w14:textId="54D5196C" w:rsidR="0067701E" w:rsidRPr="00C22ABE" w:rsidRDefault="00C449DF" w:rsidP="003E4186">
      <w:pPr>
        <w:tabs>
          <w:tab w:val="left" w:pos="7110"/>
        </w:tabs>
        <w:rPr>
          <w:rFonts w:cstheme="minorHAnsi"/>
          <w:sz w:val="20"/>
          <w:szCs w:val="18"/>
        </w:rPr>
      </w:pPr>
      <w:r w:rsidRPr="00C22ABE">
        <w:rPr>
          <w:rFonts w:cstheme="minorHAnsi"/>
          <w:sz w:val="20"/>
          <w:szCs w:val="18"/>
        </w:rPr>
        <w:t>Pour Patel et al</w:t>
      </w:r>
      <w:r w:rsidR="009F1102" w:rsidRPr="00C22ABE">
        <w:rPr>
          <w:rFonts w:cstheme="minorHAnsi"/>
          <w:sz w:val="20"/>
          <w:szCs w:val="18"/>
        </w:rPr>
        <w:t xml:space="preserve"> </w:t>
      </w:r>
      <w:r w:rsidRPr="00C22ABE">
        <w:rPr>
          <w:rFonts w:cstheme="minorHAnsi"/>
          <w:sz w:val="20"/>
          <w:szCs w:val="18"/>
        </w:rPr>
        <w:fldChar w:fldCharType="begin"/>
      </w:r>
      <w:r w:rsidR="00DD29FB" w:rsidRPr="00C22ABE">
        <w:rPr>
          <w:rFonts w:cstheme="minorHAnsi"/>
          <w:sz w:val="20"/>
          <w:szCs w:val="18"/>
        </w:rPr>
        <w:instrText xml:space="preserve"> ADDIN ZOTERO_ITEM CSL_CITATION {"citationID":"2stomNA9","properties":{"formattedCitation":"(60)","plainCitation":"(60)","noteIndex":0},"citationItems":[{"id":236,"uris":["http://zotero.org/users/local/Om3YyEnU/items/9N7DV2E5"],"uri":["http://zotero.org/users/local/Om3YyEnU/items/9N7DV2E5"],"itemData":{"id":236,"type":"article-journal","abstract":"Osteoradionecrosis (ORN) is a complication of radiotherapy, and is difficult to manage once established. However, its pathogenesis has been reinvestigated, and it is now thought to be potentially amenable to treatment with pentoxifylline and tocopherol (vitamin E). We made a retrospective analysis of 62 patients with established ORN who were treated in this way. When only pentoxifylline and vitamin E was used ORN resolved in 14/25 (56%) but paradoxically, when it was combined with antibiotics, only 6/22 resolved (27%). The next stage would ideally be to incorporate the treatment in a randomised clinical trial against both standard antibiotic treatment and hyperbaric oxygen.","container-title":"The British Journal of Oral &amp; Maxillofacial Surgery","DOI":"10.1016/j.bjoms.2015.11.027","ISSN":"1532-1940","issue":"3","journalAbbreviation":"Br J Oral Maxillofac Surg","language":"eng","note":"PMID: 26794083","page":"342-345","source":"PubMed","title":"Use of pentoxifylline and tocopherol in the management of osteoradionecrosis","volume":"54","author":[{"family":"Patel","given":"Vinod"},{"family":"Gadiwalla","given":"Yusuf"},{"family":"Sassoon","given":"Isabel"},{"family":"Sproat","given":"Chris"},{"family":"Kwok","given":"Jerry"},{"family":"McGurk","given":"Mark"}],"issued":{"date-parts":[["2016",4]]}}}],"schema":"https://github.com/citation-style-language/schema/raw/master/csl-citation.json"} </w:instrText>
      </w:r>
      <w:r w:rsidRPr="00C22ABE">
        <w:rPr>
          <w:rFonts w:cstheme="minorHAnsi"/>
          <w:sz w:val="20"/>
          <w:szCs w:val="18"/>
        </w:rPr>
        <w:fldChar w:fldCharType="separate"/>
      </w:r>
      <w:r w:rsidR="00DD29FB" w:rsidRPr="00C22ABE">
        <w:rPr>
          <w:rFonts w:cstheme="minorHAnsi"/>
          <w:sz w:val="20"/>
        </w:rPr>
        <w:t>(60)</w:t>
      </w:r>
      <w:r w:rsidRPr="00C22ABE">
        <w:rPr>
          <w:rFonts w:cstheme="minorHAnsi"/>
          <w:sz w:val="20"/>
          <w:szCs w:val="18"/>
        </w:rPr>
        <w:fldChar w:fldCharType="end"/>
      </w:r>
      <w:r w:rsidRPr="00C22ABE">
        <w:rPr>
          <w:rFonts w:cstheme="minorHAnsi"/>
          <w:sz w:val="20"/>
          <w:szCs w:val="18"/>
        </w:rPr>
        <w:t xml:space="preserve"> l’association </w:t>
      </w:r>
      <w:proofErr w:type="spellStart"/>
      <w:r w:rsidRPr="00C22ABE">
        <w:rPr>
          <w:rFonts w:cstheme="minorHAnsi"/>
          <w:sz w:val="20"/>
          <w:szCs w:val="18"/>
        </w:rPr>
        <w:t>PenTo</w:t>
      </w:r>
      <w:proofErr w:type="spellEnd"/>
      <w:r w:rsidRPr="00C22ABE">
        <w:rPr>
          <w:rFonts w:cstheme="minorHAnsi"/>
          <w:sz w:val="20"/>
          <w:szCs w:val="18"/>
        </w:rPr>
        <w:t xml:space="preserve"> pourrait être utilisée 11 semaines avant l’extraction en terrain irradié</w:t>
      </w:r>
      <w:r w:rsidR="00EC65BB" w:rsidRPr="00C22ABE">
        <w:rPr>
          <w:rFonts w:cstheme="minorHAnsi"/>
          <w:sz w:val="20"/>
          <w:szCs w:val="18"/>
        </w:rPr>
        <w:t xml:space="preserve"> et jusqu’à guérison</w:t>
      </w:r>
      <w:r w:rsidRPr="00C22ABE">
        <w:rPr>
          <w:rFonts w:cstheme="minorHAnsi"/>
          <w:sz w:val="20"/>
          <w:szCs w:val="18"/>
        </w:rPr>
        <w:t xml:space="preserve">. Leur taux d’ORN est de 1,2 %, le taux de référence historique étant de </w:t>
      </w:r>
      <w:r w:rsidR="00B168C9" w:rsidRPr="00C22ABE">
        <w:rPr>
          <w:rFonts w:cstheme="minorHAnsi"/>
          <w:sz w:val="20"/>
          <w:szCs w:val="18"/>
        </w:rPr>
        <w:t>7%</w:t>
      </w:r>
      <w:r w:rsidR="009F1102" w:rsidRPr="00C22ABE">
        <w:rPr>
          <w:rFonts w:cstheme="minorHAnsi"/>
          <w:sz w:val="20"/>
          <w:szCs w:val="18"/>
        </w:rPr>
        <w:t xml:space="preserve">. </w:t>
      </w:r>
    </w:p>
    <w:p w14:paraId="773DDD26" w14:textId="41B02DD9" w:rsidR="002D556E" w:rsidRPr="00C22ABE" w:rsidRDefault="009D4A56" w:rsidP="009D4A56">
      <w:pPr>
        <w:pStyle w:val="Paragraphedeliste"/>
        <w:numPr>
          <w:ilvl w:val="0"/>
          <w:numId w:val="21"/>
        </w:numPr>
        <w:shd w:val="clear" w:color="auto" w:fill="FFFFFF"/>
        <w:spacing w:line="235" w:lineRule="atLeast"/>
        <w:rPr>
          <w:rFonts w:eastAsia="Times New Roman" w:cstheme="minorHAnsi"/>
          <w:color w:val="222222"/>
          <w:sz w:val="24"/>
          <w:lang w:eastAsia="fr-BE"/>
        </w:rPr>
      </w:pPr>
      <w:r w:rsidRPr="00C22ABE">
        <w:rPr>
          <w:rFonts w:eastAsia="Times New Roman" w:cstheme="minorHAnsi"/>
          <w:b/>
          <w:bCs/>
          <w:color w:val="0000FF"/>
          <w:sz w:val="24"/>
          <w:u w:val="single"/>
          <w:lang w:eastAsia="fr-BE"/>
        </w:rPr>
        <w:t>Point sur les implants</w:t>
      </w:r>
    </w:p>
    <w:p w14:paraId="77BE82E2" w14:textId="4168A3AB" w:rsidR="00BB1F52" w:rsidRPr="00C22ABE" w:rsidRDefault="002D556E" w:rsidP="002D556E">
      <w:pPr>
        <w:shd w:val="clear" w:color="auto" w:fill="FFFFFF"/>
        <w:spacing w:line="235" w:lineRule="atLeast"/>
        <w:rPr>
          <w:rFonts w:eastAsia="Times New Roman" w:cstheme="minorHAnsi"/>
          <w:color w:val="222222"/>
          <w:sz w:val="20"/>
          <w:szCs w:val="20"/>
          <w:lang w:eastAsia="fr-BE"/>
        </w:rPr>
      </w:pPr>
      <w:r w:rsidRPr="00C22ABE">
        <w:rPr>
          <w:rFonts w:eastAsia="Times New Roman" w:cstheme="minorHAnsi"/>
          <w:color w:val="222222"/>
          <w:sz w:val="20"/>
          <w:szCs w:val="20"/>
          <w:lang w:eastAsia="fr-BE"/>
        </w:rPr>
        <w:t xml:space="preserve">La réhabilitation prothétique </w:t>
      </w:r>
      <w:r w:rsidR="00C23AF4" w:rsidRPr="00C22ABE">
        <w:rPr>
          <w:rFonts w:eastAsia="Times New Roman" w:cstheme="minorHAnsi"/>
          <w:color w:val="222222"/>
          <w:sz w:val="20"/>
          <w:szCs w:val="20"/>
          <w:lang w:eastAsia="fr-BE"/>
        </w:rPr>
        <w:t xml:space="preserve">améliore </w:t>
      </w:r>
      <w:r w:rsidRPr="00C22ABE">
        <w:rPr>
          <w:rFonts w:eastAsia="Times New Roman" w:cstheme="minorHAnsi"/>
          <w:color w:val="222222"/>
          <w:sz w:val="20"/>
          <w:szCs w:val="20"/>
          <w:lang w:eastAsia="fr-BE"/>
        </w:rPr>
        <w:t xml:space="preserve">la qualité de vie des patients, sur le plan esthétique et alimentaire, mais reste un challenge thérapeutique. Les prothèses </w:t>
      </w:r>
      <w:r w:rsidR="0095348E" w:rsidRPr="00C22ABE">
        <w:rPr>
          <w:rFonts w:eastAsia="Times New Roman" w:cstheme="minorHAnsi"/>
          <w:color w:val="222222"/>
          <w:sz w:val="20"/>
          <w:szCs w:val="20"/>
          <w:lang w:eastAsia="fr-BE"/>
        </w:rPr>
        <w:t xml:space="preserve">dentaires </w:t>
      </w:r>
      <w:r w:rsidRPr="00C22ABE">
        <w:rPr>
          <w:rFonts w:eastAsia="Times New Roman" w:cstheme="minorHAnsi"/>
          <w:color w:val="222222"/>
          <w:sz w:val="20"/>
          <w:szCs w:val="20"/>
          <w:lang w:eastAsia="fr-BE"/>
        </w:rPr>
        <w:t xml:space="preserve">amovibles sont difficilement tolérées, </w:t>
      </w:r>
      <w:r w:rsidR="00F846E0" w:rsidRPr="00C22ABE">
        <w:rPr>
          <w:rFonts w:eastAsia="Times New Roman" w:cstheme="minorHAnsi"/>
          <w:color w:val="222222"/>
          <w:sz w:val="20"/>
          <w:szCs w:val="20"/>
          <w:lang w:eastAsia="fr-BE"/>
        </w:rPr>
        <w:t>en raison de</w:t>
      </w:r>
      <w:r w:rsidR="00C22ABE" w:rsidRPr="00C22ABE">
        <w:rPr>
          <w:rFonts w:eastAsia="Times New Roman" w:cstheme="minorHAnsi"/>
          <w:color w:val="222222"/>
          <w:sz w:val="20"/>
          <w:szCs w:val="20"/>
          <w:lang w:eastAsia="fr-BE"/>
        </w:rPr>
        <w:t xml:space="preserve"> la sécheresse buccale et d</w:t>
      </w:r>
      <w:r w:rsidRPr="00C22ABE">
        <w:rPr>
          <w:rFonts w:eastAsia="Times New Roman" w:cstheme="minorHAnsi"/>
          <w:color w:val="222222"/>
          <w:sz w:val="20"/>
          <w:szCs w:val="20"/>
          <w:lang w:eastAsia="fr-BE"/>
        </w:rPr>
        <w:t xml:space="preserve">es modifications anatomiques de la cavité orale </w:t>
      </w:r>
      <w:r w:rsidRPr="00C22ABE">
        <w:rPr>
          <w:rFonts w:eastAsia="Times New Roman" w:cstheme="minorHAnsi"/>
          <w:color w:val="222222"/>
          <w:sz w:val="20"/>
          <w:szCs w:val="20"/>
          <w:lang w:eastAsia="fr-BE"/>
        </w:rPr>
        <w:fldChar w:fldCharType="begin"/>
      </w:r>
      <w:r w:rsidR="00D36EC3">
        <w:rPr>
          <w:rFonts w:eastAsia="Times New Roman" w:cstheme="minorHAnsi"/>
          <w:color w:val="222222"/>
          <w:sz w:val="20"/>
          <w:szCs w:val="20"/>
          <w:lang w:eastAsia="fr-BE"/>
        </w:rPr>
        <w:instrText xml:space="preserve"> ADDIN ZOTERO_ITEM CSL_CITATION {"citationID":"1IF4ilLJ","properties":{"formattedCitation":"(81)","plainCitation":"(81)","noteIndex":0},"citationItems":[{"id":343,"uris":["http://zotero.org/users/local/Om3YyEnU/items/TLTI85X3"],"uri":["http://zotero.org/users/local/Om3YyEnU/items/TLTI85X3"],"itemData":{"id":343,"type":"article-journal","abstract":"There is no recommendation regarding the timing for implant surgery in patients with head and neck cancer (HNC) who require postoperative radiation therapy (RT). This systematic review focused on the literature about the outcomes of implants placed during ablative surgery in patients with HNC who underwent postoperative RT. Implants placed after radiation therapy and implants placed in reconstructed jaws were excluded. Four comparative studies involving 755 native mandible primary implants were analyzed. The survival rate with postimplantation RT was 89.6% vs 98.6% in patients with no additional radiation. The overall success of implant-retained overdenture in patients with RT performed postimplantation was 67.4% vs 93.1% in patients with implant surgery that was carried out 1 year after the completion of radiation therapy. Only five cases of osteoradionecrosis (ORN) of the jaw were reported. The outcomes for implant survival rates appear to be positive for irradiated implants.","container-title":"Head &amp; Neck","DOI":"10.1002/hed.26065","ISSN":"1097-0347","issue":"4","journalAbbreviation":"Head Neck","language":"eng","note":"PMID: 31898358","page":"794-802","source":"PubMed","title":"Postimplantation radiation therapy in head and neck cancer patients: Literature review","title-short":"Postimplantation radiation therapy in head and neck cancer patients","volume":"42","author":[{"family":"Koudougou","given":"Carine"},{"family":"Bertin","given":"Hélios"},{"family":"Lecaplain","given":"Bastien"},{"family":"Badran","given":"Zahi"},{"family":"Longis","given":"Julie"},{"family":"Corre","given":"Pierre"},{"family":"Hoornaert","given":"Alain"}],"issued":{"date-parts":[["2020",4]]}}}],"schema":"https://github.com/citation-style-language/schema/raw/master/csl-citation.json"} </w:instrText>
      </w:r>
      <w:r w:rsidRPr="00C22ABE">
        <w:rPr>
          <w:rFonts w:eastAsia="Times New Roman" w:cstheme="minorHAnsi"/>
          <w:color w:val="222222"/>
          <w:sz w:val="20"/>
          <w:szCs w:val="20"/>
          <w:lang w:eastAsia="fr-BE"/>
        </w:rPr>
        <w:fldChar w:fldCharType="separate"/>
      </w:r>
      <w:r w:rsidR="00D36EC3" w:rsidRPr="00D36EC3">
        <w:rPr>
          <w:rFonts w:ascii="Calibri" w:hAnsi="Calibri" w:cs="Calibri"/>
          <w:sz w:val="20"/>
        </w:rPr>
        <w:t>(81)</w:t>
      </w:r>
      <w:r w:rsidRPr="00C22ABE">
        <w:rPr>
          <w:rFonts w:eastAsia="Times New Roman" w:cstheme="minorHAnsi"/>
          <w:color w:val="222222"/>
          <w:sz w:val="20"/>
          <w:szCs w:val="20"/>
          <w:lang w:eastAsia="fr-BE"/>
        </w:rPr>
        <w:fldChar w:fldCharType="end"/>
      </w:r>
      <w:r w:rsidR="00C23AF4" w:rsidRPr="00C22ABE">
        <w:rPr>
          <w:rFonts w:eastAsia="Times New Roman" w:cstheme="minorHAnsi"/>
          <w:color w:val="222222"/>
          <w:sz w:val="20"/>
          <w:szCs w:val="20"/>
          <w:lang w:eastAsia="fr-BE"/>
        </w:rPr>
        <w:t>.</w:t>
      </w:r>
      <w:r w:rsidR="009D3714" w:rsidRPr="00C22ABE">
        <w:rPr>
          <w:rFonts w:eastAsia="Times New Roman" w:cstheme="minorHAnsi"/>
          <w:color w:val="222222"/>
          <w:sz w:val="20"/>
          <w:szCs w:val="20"/>
          <w:lang w:eastAsia="fr-BE"/>
        </w:rPr>
        <w:t xml:space="preserve"> La mise en place d’implants pourrait être un facteur favorable pour les patients. </w:t>
      </w:r>
      <w:r w:rsidR="00C23AF4" w:rsidRPr="00C22ABE">
        <w:rPr>
          <w:rFonts w:eastAsia="Times New Roman" w:cstheme="minorHAnsi"/>
          <w:color w:val="222222"/>
          <w:sz w:val="20"/>
          <w:szCs w:val="20"/>
          <w:lang w:eastAsia="fr-BE"/>
        </w:rPr>
        <w:t xml:space="preserve"> Il </w:t>
      </w:r>
      <w:r w:rsidR="009D3714" w:rsidRPr="00C22ABE">
        <w:rPr>
          <w:rFonts w:eastAsia="Times New Roman" w:cstheme="minorHAnsi"/>
          <w:color w:val="222222"/>
          <w:sz w:val="20"/>
          <w:szCs w:val="20"/>
          <w:lang w:eastAsia="fr-BE"/>
        </w:rPr>
        <w:t>est i</w:t>
      </w:r>
      <w:r w:rsidR="00F846E0" w:rsidRPr="00C22ABE">
        <w:rPr>
          <w:rFonts w:eastAsia="Times New Roman" w:cstheme="minorHAnsi"/>
          <w:color w:val="222222"/>
          <w:sz w:val="20"/>
          <w:szCs w:val="20"/>
          <w:lang w:eastAsia="fr-BE"/>
        </w:rPr>
        <w:t>mportant de noter que les conditions ne sont pas idéales chez des patients présentant des délabrements dentaires fréquents, des extractions récentes et des modifications salivaires. Il est donc i</w:t>
      </w:r>
      <w:r w:rsidR="009D3714" w:rsidRPr="00C22ABE">
        <w:rPr>
          <w:rFonts w:eastAsia="Times New Roman" w:cstheme="minorHAnsi"/>
          <w:color w:val="222222"/>
          <w:sz w:val="20"/>
          <w:szCs w:val="20"/>
          <w:lang w:eastAsia="fr-BE"/>
        </w:rPr>
        <w:t xml:space="preserve">ndispensable d’insister sur les consignes </w:t>
      </w:r>
      <w:r w:rsidR="00C23AF4" w:rsidRPr="00C22ABE">
        <w:rPr>
          <w:rFonts w:eastAsia="Times New Roman" w:cstheme="minorHAnsi"/>
          <w:color w:val="222222"/>
          <w:sz w:val="20"/>
          <w:szCs w:val="20"/>
          <w:lang w:eastAsia="fr-BE"/>
        </w:rPr>
        <w:t>d</w:t>
      </w:r>
      <w:r w:rsidR="009D3714" w:rsidRPr="00C22ABE">
        <w:rPr>
          <w:rFonts w:eastAsia="Times New Roman" w:cstheme="minorHAnsi"/>
          <w:color w:val="222222"/>
          <w:sz w:val="20"/>
          <w:szCs w:val="20"/>
          <w:lang w:eastAsia="fr-BE"/>
        </w:rPr>
        <w:t>’</w:t>
      </w:r>
      <w:r w:rsidR="00C23AF4" w:rsidRPr="00C22ABE">
        <w:rPr>
          <w:rFonts w:eastAsia="Times New Roman" w:cstheme="minorHAnsi"/>
          <w:color w:val="222222"/>
          <w:sz w:val="20"/>
          <w:szCs w:val="20"/>
          <w:lang w:eastAsia="fr-BE"/>
        </w:rPr>
        <w:t>hygiène buccodentaire</w:t>
      </w:r>
      <w:r w:rsidR="00F846E0" w:rsidRPr="00C22ABE">
        <w:rPr>
          <w:rFonts w:eastAsia="Times New Roman" w:cstheme="minorHAnsi"/>
          <w:color w:val="222222"/>
          <w:sz w:val="20"/>
          <w:szCs w:val="20"/>
          <w:lang w:eastAsia="fr-BE"/>
        </w:rPr>
        <w:t xml:space="preserve"> avant d’initier la chirurgie, afin d’éviter les échecs et les </w:t>
      </w:r>
      <w:proofErr w:type="spellStart"/>
      <w:r w:rsidR="00F846E0" w:rsidRPr="00C22ABE">
        <w:rPr>
          <w:rFonts w:eastAsia="Times New Roman" w:cstheme="minorHAnsi"/>
          <w:color w:val="222222"/>
          <w:sz w:val="20"/>
          <w:szCs w:val="20"/>
          <w:lang w:eastAsia="fr-BE"/>
        </w:rPr>
        <w:t>périimplantites</w:t>
      </w:r>
      <w:proofErr w:type="spellEnd"/>
      <w:r w:rsidR="00F846E0" w:rsidRPr="00C22ABE">
        <w:rPr>
          <w:rFonts w:eastAsia="Times New Roman" w:cstheme="minorHAnsi"/>
          <w:color w:val="222222"/>
          <w:sz w:val="20"/>
          <w:szCs w:val="20"/>
          <w:lang w:eastAsia="fr-BE"/>
        </w:rPr>
        <w:t xml:space="preserve"> induites par brossage inadéquat </w:t>
      </w:r>
      <w:r w:rsidR="00C23AF4" w:rsidRPr="00C22ABE">
        <w:rPr>
          <w:rFonts w:eastAsia="Times New Roman" w:cstheme="minorHAnsi"/>
          <w:color w:val="222222"/>
          <w:sz w:val="20"/>
          <w:szCs w:val="20"/>
          <w:lang w:eastAsia="fr-BE"/>
        </w:rPr>
        <w:fldChar w:fldCharType="begin"/>
      </w:r>
      <w:r w:rsidR="00D36EC3">
        <w:rPr>
          <w:rFonts w:eastAsia="Times New Roman" w:cstheme="minorHAnsi"/>
          <w:color w:val="222222"/>
          <w:sz w:val="20"/>
          <w:szCs w:val="20"/>
          <w:lang w:eastAsia="fr-BE"/>
        </w:rPr>
        <w:instrText xml:space="preserve"> ADDIN ZOTERO_ITEM CSL_CITATION {"citationID":"zVcraZLx","properties":{"formattedCitation":"(82)","plainCitation":"(82)","noteIndex":0},"citationItems":[{"id":352,"uris":["http://zotero.org/users/local/Om3YyEnU/items/3U644HBT"],"uri":["http://zotero.org/users/local/Om3YyEnU/items/3U644HBT"],"itemData":{"id":352,"type":"article-journal","abstract":"The purpose of the present meta-analysis was to test the null hypothesis of no difference in dental implant failure rates, postoperative infection, and marginal bone loss for patients being rehabilitated by dental implants and being previously irradiated in the head and neck region versus nonirradiated patients against the alternative hypothesis of a difference. The study suggests that irradiation negatively affects the survival of implants, as well as the difference in implant location (maxilla vs mandible), but there is no statistically significant difference in survival when implants are inserted before or after 12 months after radiotherapy. The study failed to support the effectiveness of hyperbaric oxygen therapy in irradiated patients. It was observed that there was a tendency of lower survival rates of implants inserted in the patients submitted to higher irradiation doses. The results should be interpreted with caution because of the presence of uncontrolled confounding factors in the included studies.","container-title":"Head &amp; Neck","DOI":"10.1002/hed.23875","ISSN":"1097-0347","issue":"3","journalAbbreviation":"Head Neck","language":"eng","note":"PMID: 25242560","page":"448-481","source":"PubMed","title":"Dental implants in irradiated versus nonirradiated patients: A meta-analysis","title-short":"Dental implants in irradiated versus nonirradiated patients","volume":"38","author":[{"family":"Chrcanovic","given":"Bruno Ramos"},{"family":"Albrektsson","given":"Tomas"},{"family":"Wennerberg","given":"Ann"}],"issued":{"date-parts":[["2016",3]]}}}],"schema":"https://github.com/citation-style-language/schema/raw/master/csl-citation.json"} </w:instrText>
      </w:r>
      <w:r w:rsidR="00C23AF4" w:rsidRPr="00C22ABE">
        <w:rPr>
          <w:rFonts w:eastAsia="Times New Roman" w:cstheme="minorHAnsi"/>
          <w:color w:val="222222"/>
          <w:sz w:val="20"/>
          <w:szCs w:val="20"/>
          <w:lang w:eastAsia="fr-BE"/>
        </w:rPr>
        <w:fldChar w:fldCharType="separate"/>
      </w:r>
      <w:r w:rsidR="00D36EC3" w:rsidRPr="00D36EC3">
        <w:rPr>
          <w:rFonts w:ascii="Calibri" w:hAnsi="Calibri" w:cs="Calibri"/>
          <w:sz w:val="20"/>
        </w:rPr>
        <w:t>(82)</w:t>
      </w:r>
      <w:r w:rsidR="00C23AF4" w:rsidRPr="00C22ABE">
        <w:rPr>
          <w:rFonts w:eastAsia="Times New Roman" w:cstheme="minorHAnsi"/>
          <w:color w:val="222222"/>
          <w:sz w:val="20"/>
          <w:szCs w:val="20"/>
          <w:lang w:eastAsia="fr-BE"/>
        </w:rPr>
        <w:fldChar w:fldCharType="end"/>
      </w:r>
      <w:r w:rsidR="00C23AF4" w:rsidRPr="00C22ABE">
        <w:rPr>
          <w:rFonts w:eastAsia="Times New Roman" w:cstheme="minorHAnsi"/>
          <w:color w:val="222222"/>
          <w:sz w:val="20"/>
          <w:szCs w:val="20"/>
          <w:lang w:eastAsia="fr-BE"/>
        </w:rPr>
        <w:t>.</w:t>
      </w:r>
    </w:p>
    <w:p w14:paraId="62B011EF" w14:textId="014378AC" w:rsidR="00BB1F52" w:rsidRPr="00C22ABE" w:rsidRDefault="00BB1F52" w:rsidP="00BB1F52">
      <w:pPr>
        <w:shd w:val="clear" w:color="auto" w:fill="FFFFFF"/>
        <w:spacing w:line="235" w:lineRule="atLeast"/>
        <w:rPr>
          <w:rFonts w:eastAsia="Times New Roman" w:cstheme="minorHAnsi"/>
          <w:color w:val="212121"/>
          <w:sz w:val="20"/>
          <w:szCs w:val="20"/>
          <w:lang w:eastAsia="fr-BE"/>
        </w:rPr>
      </w:pPr>
      <w:r w:rsidRPr="00C22ABE">
        <w:rPr>
          <w:rFonts w:eastAsia="Times New Roman" w:cstheme="minorHAnsi"/>
          <w:color w:val="212121"/>
          <w:sz w:val="20"/>
          <w:szCs w:val="20"/>
          <w:lang w:eastAsia="fr-BE"/>
        </w:rPr>
        <w:t xml:space="preserve">Les différentes revues systématiques montrent </w:t>
      </w:r>
      <w:r w:rsidR="0095348E" w:rsidRPr="00C22ABE">
        <w:rPr>
          <w:rFonts w:eastAsia="Times New Roman" w:cstheme="minorHAnsi"/>
          <w:color w:val="212121"/>
          <w:sz w:val="20"/>
          <w:szCs w:val="20"/>
          <w:lang w:eastAsia="fr-BE"/>
        </w:rPr>
        <w:t xml:space="preserve">une </w:t>
      </w:r>
      <w:r w:rsidRPr="00C22ABE">
        <w:rPr>
          <w:rFonts w:eastAsia="Times New Roman" w:cstheme="minorHAnsi"/>
          <w:color w:val="212121"/>
          <w:sz w:val="20"/>
          <w:szCs w:val="20"/>
          <w:lang w:eastAsia="fr-BE"/>
        </w:rPr>
        <w:t>grande hétérogénéité de données rendant les études difficilement comparables : la durée du suivi, le type d’implants, la dose de radiothérapie sur le site des implants variant de 10 à 145 Gy, l’intervalle entre la fin de la radiothérapie et la mise en place d’implants variant de 1 à 240 mois, ainsi que les facteurs liés au patient (alcool, tabac, hygiène buccodentaire, maladies systémiques)</w:t>
      </w:r>
      <w:r w:rsidR="009D3714" w:rsidRPr="00C22ABE">
        <w:rPr>
          <w:rFonts w:eastAsia="Times New Roman" w:cstheme="minorHAnsi"/>
          <w:color w:val="212121"/>
          <w:sz w:val="20"/>
          <w:szCs w:val="20"/>
          <w:lang w:eastAsia="fr-BE"/>
        </w:rPr>
        <w:t xml:space="preserve">. Le taux de succès varie de 62,5 à 100% </w:t>
      </w:r>
      <w:r w:rsidRPr="00C22ABE">
        <w:rPr>
          <w:rFonts w:eastAsia="Times New Roman" w:cstheme="minorHAnsi"/>
          <w:color w:val="212121"/>
          <w:sz w:val="20"/>
          <w:szCs w:val="20"/>
          <w:lang w:eastAsia="fr-BE"/>
        </w:rPr>
        <w:fldChar w:fldCharType="begin"/>
      </w:r>
      <w:r w:rsidR="00D36EC3">
        <w:rPr>
          <w:rFonts w:eastAsia="Times New Roman" w:cstheme="minorHAnsi"/>
          <w:color w:val="212121"/>
          <w:sz w:val="20"/>
          <w:szCs w:val="20"/>
          <w:lang w:eastAsia="fr-BE"/>
        </w:rPr>
        <w:instrText xml:space="preserve"> ADDIN ZOTERO_ITEM CSL_CITATION {"citationID":"WbmoAW40","properties":{"formattedCitation":"(83,84)","plainCitation":"(83,84)","noteIndex":0},"citationItems":[{"id":345,"uris":["http://zotero.org/users/local/Om3YyEnU/items/753RXWX3"],"uri":["http://zotero.org/users/local/Om3YyEnU/items/753RXWX3"],"itemData":{"id":345,"type":"article-journal","abstract":"STATEMENT OF PROBLEM: Radiotherapy has been considered a contraindication for rehabilitation with dental implants because it can change the survival rate of implants. Nevertheless, the installation of implants in irradiated patients has been used with varying success.\nPURPOSE: The purpose of this systematic review was to compare the success rate of implants placed in irradiated human bone tissue with that of implants placed in nonirradiated areas.\nMATERIAL AND METHODS: Searches were performed in the EMBASE, Cochrane, and PubMed/Medline databases up to December 2013 to identify clinical trials addressing the subject. This systematic review was conducted according to Preferred Reporting Items for Systematic Reviews and Meta-Analyses (PRISMA) guidelines. The relative risks of implant failure and survival curves were calculated considering a confidence interval of 95%. Heterogeneity was analyzed by using a funnel chart.\nRESULTS: A total of 40 studies involving 2220 participants and 9231 dental implants were selected. The survival curve of the studies indicated a survival rate of 84.3% for implants installed in irradiated bone tissue. The meta-analysis indicated statistically significant differences (P&lt;.001) between item success rates of implants placed in irradiated areas and those of implants placed in nonirradiated areas.\nCONCLUSIONS: Dental implants installed in the irradiated area of an oral cavity have a high survival rate, but strict monitoring is needed to prevent complications, thereby reducing possible failures.","container-title":"The Journal of Prosthetic Dentistry","DOI":"10.1016/j.prosdent.2016.04.025","ISSN":"1097-6841","issue":"6","journalAbbreviation":"J Prosthet Dent","language":"eng","note":"PMID: 27460315","page":"858-866","source":"PubMed","title":"Irradiated patients and survival rate of dental implants: A systematic review and meta-analysis","title-short":"Irradiated patients and survival rate of dental implants","volume":"116","author":[{"family":"Smith Nobrega","given":"Adhara"},{"family":"Santiago","given":"Joel Ferreira"},{"family":"Faria Almeida","given":"Daniel Augusto","non-dropping-particle":"de"},{"family":"Dos Santos","given":"Daniela Micheline"},{"family":"Pellizzer","given":"Eduardo Piza"},{"family":"Goiato","given":"Marcelo Coelho"}],"issued":{"date-parts":[["2016",12]]}}},{"id":348,"uris":["http://zotero.org/users/local/Om3YyEnU/items/2SLI7QGS"],"uri":["http://zotero.org/users/local/Om3YyEnU/items/2SLI7QGS"],"itemData":{"id":348,"type":"article-journal","abstract":"BACKGROUND: The purpose of this systematic review was to evaluate the safety of dental implants placed in irradiated bone and to discuss their viability when placed post-radiotherapy (RT).\nMETHODS: A systematic review was performed to answer the questions: \"Are dental implants in irradiated bone viable?\" and \"What are the main factors that influence the loss of implants in irradiated patients?\"\nRESULTS: The search strategy resulted in 8 publications. A total of 331 patients received 1237 implants, with an overall failure rate of 9.53%. The osseointegration success rates ranged between 62.5% and 100%. The optimal time interval between irradiation and dental implantation varied from 6 to 15 months.\nCONCLUSION: The interval time between RT and implant placement and the radiation doses are not associated with significant implant failure rates. The placement of implants in irradiated bone is viable, and head and neck RT should not be considered as a contraindication for dental rehabilitation with implants. © 2015 Wiley Periodicals, Inc. Head Neck 38: E2229-E2240, 2016.","container-title":"Head &amp; Neck","DOI":"10.1002/hed.24098","ISSN":"1097-0347","journalAbbreviation":"Head Neck","language":"eng","note":"PMID: 25926008","page":"E2229-2240","source":"PubMed","title":"Viability of dental implants in head and neck irradiated patients: A systematic review","title-short":"Viability of dental implants in head and neck irradiated patients","volume":"38 Suppl 1","author":[{"family":"Zen Filho","given":"Edson Virgílio"},{"family":"Tolentino","given":"Elen de Souza"},{"family":"Santos","given":"Paulo Sérgio Silva"}],"issued":{"date-parts":[["2016",4]]}}}],"schema":"https://github.com/citation-style-language/schema/raw/master/csl-citation.json"} </w:instrText>
      </w:r>
      <w:r w:rsidRPr="00C22ABE">
        <w:rPr>
          <w:rFonts w:eastAsia="Times New Roman" w:cstheme="minorHAnsi"/>
          <w:color w:val="212121"/>
          <w:sz w:val="20"/>
          <w:szCs w:val="20"/>
          <w:lang w:eastAsia="fr-BE"/>
        </w:rPr>
        <w:fldChar w:fldCharType="separate"/>
      </w:r>
      <w:r w:rsidR="00D36EC3" w:rsidRPr="00D36EC3">
        <w:rPr>
          <w:rFonts w:ascii="Calibri" w:hAnsi="Calibri" w:cs="Calibri"/>
          <w:sz w:val="20"/>
        </w:rPr>
        <w:t>(83,84)</w:t>
      </w:r>
      <w:r w:rsidRPr="00C22ABE">
        <w:rPr>
          <w:rFonts w:eastAsia="Times New Roman" w:cstheme="minorHAnsi"/>
          <w:color w:val="212121"/>
          <w:sz w:val="20"/>
          <w:szCs w:val="20"/>
          <w:lang w:eastAsia="fr-BE"/>
        </w:rPr>
        <w:fldChar w:fldCharType="end"/>
      </w:r>
      <w:r w:rsidR="009D3714" w:rsidRPr="00C22ABE">
        <w:rPr>
          <w:rFonts w:eastAsia="Times New Roman" w:cstheme="minorHAnsi"/>
          <w:color w:val="212121"/>
          <w:sz w:val="20"/>
          <w:szCs w:val="20"/>
          <w:lang w:eastAsia="fr-BE"/>
        </w:rPr>
        <w:t>.</w:t>
      </w:r>
      <w:r w:rsidRPr="00C22ABE">
        <w:rPr>
          <w:rFonts w:eastAsia="Times New Roman" w:cstheme="minorHAnsi"/>
          <w:color w:val="212121"/>
          <w:sz w:val="20"/>
          <w:szCs w:val="20"/>
          <w:lang w:eastAsia="fr-BE"/>
        </w:rPr>
        <w:t xml:space="preserve"> </w:t>
      </w:r>
    </w:p>
    <w:p w14:paraId="746EAE7C" w14:textId="72108342" w:rsidR="002D556E" w:rsidRPr="00C22ABE" w:rsidRDefault="002D556E" w:rsidP="002D556E">
      <w:pPr>
        <w:shd w:val="clear" w:color="auto" w:fill="FFFFFF"/>
        <w:spacing w:line="235" w:lineRule="atLeast"/>
        <w:rPr>
          <w:rFonts w:eastAsia="Times New Roman" w:cstheme="minorHAnsi"/>
          <w:color w:val="222222"/>
          <w:sz w:val="20"/>
          <w:szCs w:val="20"/>
          <w:lang w:eastAsia="fr-BE"/>
        </w:rPr>
      </w:pPr>
      <w:r w:rsidRPr="00C22ABE">
        <w:rPr>
          <w:rFonts w:eastAsia="Times New Roman" w:cstheme="minorHAnsi"/>
          <w:color w:val="222222"/>
          <w:sz w:val="20"/>
          <w:szCs w:val="20"/>
          <w:lang w:eastAsia="fr-BE"/>
        </w:rPr>
        <w:t>Deux fact</w:t>
      </w:r>
      <w:r w:rsidR="00A70C6E" w:rsidRPr="00C22ABE">
        <w:rPr>
          <w:rFonts w:eastAsia="Times New Roman" w:cstheme="minorHAnsi"/>
          <w:color w:val="222222"/>
          <w:sz w:val="20"/>
          <w:szCs w:val="20"/>
          <w:lang w:eastAsia="fr-BE"/>
        </w:rPr>
        <w:t>e</w:t>
      </w:r>
      <w:r w:rsidRPr="00C22ABE">
        <w:rPr>
          <w:rFonts w:eastAsia="Times New Roman" w:cstheme="minorHAnsi"/>
          <w:color w:val="222222"/>
          <w:sz w:val="20"/>
          <w:szCs w:val="20"/>
          <w:lang w:eastAsia="fr-BE"/>
        </w:rPr>
        <w:t>urs sont à prendre en compte </w:t>
      </w:r>
      <w:r w:rsidRPr="00C22ABE">
        <w:rPr>
          <w:rFonts w:eastAsia="Times New Roman" w:cstheme="minorHAnsi"/>
          <w:color w:val="222222"/>
          <w:sz w:val="20"/>
          <w:szCs w:val="20"/>
          <w:lang w:eastAsia="fr-BE"/>
        </w:rPr>
        <w:fldChar w:fldCharType="begin"/>
      </w:r>
      <w:r w:rsidR="00D36EC3">
        <w:rPr>
          <w:rFonts w:eastAsia="Times New Roman" w:cstheme="minorHAnsi"/>
          <w:color w:val="222222"/>
          <w:sz w:val="20"/>
          <w:szCs w:val="20"/>
          <w:lang w:eastAsia="fr-BE"/>
        </w:rPr>
        <w:instrText xml:space="preserve"> ADDIN ZOTERO_ITEM CSL_CITATION {"citationID":"o0Zhsewx","properties":{"formattedCitation":"(81\\uc0\\u8211{}83)","plainCitation":"(81–83)","noteIndex":0},"citationItems":[{"id":343,"uris":["http://zotero.org/users/local/Om3YyEnU/items/TLTI85X3"],"uri":["http://zotero.org/users/local/Om3YyEnU/items/TLTI85X3"],"itemData":{"id":343,"type":"article-journal","abstract":"There is no recommendation regarding the timing for implant surgery in patients with head and neck cancer (HNC) who require postoperative radiation therapy (RT). This systematic review focused on the literature about the outcomes of implants placed during ablative surgery in patients with HNC who underwent postoperative RT. Implants placed after radiation therapy and implants placed in reconstructed jaws were excluded. Four comparative studies involving 755 native mandible primary implants were analyzed. The survival rate with postimplantation RT was 89.6% vs 98.6% in patients with no additional radiation. The overall success of implant-retained overdenture in patients with RT performed postimplantation was 67.4% vs 93.1% in patients with implant surgery that was carried out 1 year after the completion of radiation therapy. Only five cases of osteoradionecrosis (ORN) of the jaw were reported. The outcomes for implant survival rates appear to be positive for irradiated implants.","container-title":"Head &amp; Neck","DOI":"10.1002/hed.26065","ISSN":"1097-0347","issue":"4","journalAbbreviation":"Head Neck","language":"eng","note":"PMID: 31898358","page":"794-802","source":"PubMed","title":"Postimplantation radiation therapy in head and neck cancer patients: Literature review","title-short":"Postimplantation radiation therapy in head and neck cancer patients","volume":"42","author":[{"family":"Koudougou","given":"Carine"},{"family":"Bertin","given":"Hélios"},{"family":"Lecaplain","given":"Bastien"},{"family":"Badran","given":"Zahi"},{"family":"Longis","given":"Julie"},{"family":"Corre","given":"Pierre"},{"family":"Hoornaert","given":"Alain"}],"issued":{"date-parts":[["2020",4]]}}},{"id":345,"uris":["http://zotero.org/users/local/Om3YyEnU/items/753RXWX3"],"uri":["http://zotero.org/users/local/Om3YyEnU/items/753RXWX3"],"itemData":{"id":345,"type":"article-journal","abstract":"STATEMENT OF PROBLEM: Radiotherapy has been considered a contraindication for rehabilitation with dental implants because it can change the survival rate of implants. Nevertheless, the installation of implants in irradiated patients has been used with varying success.\nPURPOSE: The purpose of this systematic review was to compare the success rate of implants placed in irradiated human bone tissue with that of implants placed in nonirradiated areas.\nMATERIAL AND METHODS: Searches were performed in the EMBASE, Cochrane, and PubMed/Medline databases up to December 2013 to identify clinical trials addressing the subject. This systematic review was conducted according to Preferred Reporting Items for Systematic Reviews and Meta-Analyses (PRISMA) guidelines. The relative risks of implant failure and survival curves were calculated considering a confidence interval of 95%. Heterogeneity was analyzed by using a funnel chart.\nRESULTS: A total of 40 studies involving 2220 participants and 9231 dental implants were selected. The survival curve of the studies indicated a survival rate of 84.3% for implants installed in irradiated bone tissue. The meta-analysis indicated statistically significant differences (P&lt;.001) between item success rates of implants placed in irradiated areas and those of implants placed in nonirradiated areas.\nCONCLUSIONS: Dental implants installed in the irradiated area of an oral cavity have a high survival rate, but strict monitoring is needed to prevent complications, thereby reducing possible failures.","container-title":"The Journal of Prosthetic Dentistry","DOI":"10.1016/j.prosdent.2016.04.025","ISSN":"1097-6841","issue":"6","journalAbbreviation":"J Prosthet Dent","language":"eng","note":"PMID: 27460315","page":"858-866","source":"PubMed","title":"Irradiated patients and survival rate of dental implants: A systematic review and meta-analysis","title-short":"Irradiated patients and survival rate of dental implants","volume":"116","author":[{"family":"Smith Nobrega","given":"Adhara"},{"family":"Santiago","given":"Joel Ferreira"},{"family":"Faria Almeida","given":"Daniel Augusto","non-dropping-particle":"de"},{"family":"Dos Santos","given":"Daniela Micheline"},{"family":"Pellizzer","given":"Eduardo Piza"},{"family":"Goiato","given":"Marcelo Coelho"}],"issued":{"date-parts":[["2016",12]]}}},{"id":352,"uris":["http://zotero.org/users/local/Om3YyEnU/items/3U644HBT"],"uri":["http://zotero.org/users/local/Om3YyEnU/items/3U644HBT"],"itemData":{"id":352,"type":"article-journal","abstract":"The purpose of the present meta-analysis was to test the null hypothesis of no difference in dental implant failure rates, postoperative infection, and marginal bone loss for patients being rehabilitated by dental implants and being previously irradiated in the head and neck region versus nonirradiated patients against the alternative hypothesis of a difference. The study suggests that irradiation negatively affects the survival of implants, as well as the difference in implant location (maxilla vs mandible), but there is no statistically significant difference in survival when implants are inserted before or after 12 months after radiotherapy. The study failed to support the effectiveness of hyperbaric oxygen therapy in irradiated patients. It was observed that there was a tendency of lower survival rates of implants inserted in the patients submitted to higher irradiation doses. The results should be interpreted with caution because of the presence of uncontrolled confounding factors in the included studies.","container-title":"Head &amp; Neck","DOI":"10.1002/hed.23875","ISSN":"1097-0347","issue":"3","journalAbbreviation":"Head Neck","language":"eng","note":"PMID: 25242560","page":"448-481","source":"PubMed","title":"Dental implants in irradiated versus nonirradiated patients: A meta-analysis","title-short":"Dental implants in irradiated versus nonirradiated patients","volume":"38","author":[{"family":"Chrcanovic","given":"Bruno Ramos"},{"family":"Albrektsson","given":"Tomas"},{"family":"Wennerberg","given":"Ann"}],"issued":{"date-parts":[["2016",3]]}}}],"schema":"https://github.com/citation-style-language/schema/raw/master/csl-citation.json"} </w:instrText>
      </w:r>
      <w:r w:rsidRPr="00C22ABE">
        <w:rPr>
          <w:rFonts w:eastAsia="Times New Roman" w:cstheme="minorHAnsi"/>
          <w:color w:val="222222"/>
          <w:sz w:val="20"/>
          <w:szCs w:val="20"/>
          <w:lang w:eastAsia="fr-BE"/>
        </w:rPr>
        <w:fldChar w:fldCharType="separate"/>
      </w:r>
      <w:r w:rsidR="00D36EC3" w:rsidRPr="00D36EC3">
        <w:rPr>
          <w:rFonts w:ascii="Calibri" w:hAnsi="Calibri" w:cs="Calibri"/>
          <w:sz w:val="20"/>
          <w:szCs w:val="24"/>
        </w:rPr>
        <w:t>(81–83)</w:t>
      </w:r>
      <w:r w:rsidRPr="00C22ABE">
        <w:rPr>
          <w:rFonts w:eastAsia="Times New Roman" w:cstheme="minorHAnsi"/>
          <w:color w:val="222222"/>
          <w:sz w:val="20"/>
          <w:szCs w:val="20"/>
          <w:lang w:eastAsia="fr-BE"/>
        </w:rPr>
        <w:fldChar w:fldCharType="end"/>
      </w:r>
      <w:r w:rsidRPr="00C22ABE">
        <w:rPr>
          <w:rFonts w:eastAsia="Times New Roman" w:cstheme="minorHAnsi"/>
          <w:color w:val="222222"/>
          <w:sz w:val="20"/>
          <w:szCs w:val="20"/>
          <w:lang w:eastAsia="fr-BE"/>
        </w:rPr>
        <w:t xml:space="preserve">. </w:t>
      </w:r>
    </w:p>
    <w:p w14:paraId="3E6446DC" w14:textId="21AA25B3" w:rsidR="002D556E" w:rsidRPr="00C22ABE" w:rsidRDefault="002D556E" w:rsidP="0087144B">
      <w:pPr>
        <w:pStyle w:val="Paragraphedeliste"/>
        <w:numPr>
          <w:ilvl w:val="0"/>
          <w:numId w:val="16"/>
        </w:numPr>
        <w:shd w:val="clear" w:color="auto" w:fill="FFFFFF"/>
        <w:spacing w:line="235" w:lineRule="atLeast"/>
        <w:rPr>
          <w:rFonts w:eastAsia="Times New Roman" w:cstheme="minorHAnsi"/>
          <w:color w:val="222222"/>
          <w:sz w:val="20"/>
          <w:szCs w:val="20"/>
          <w:lang w:eastAsia="fr-BE"/>
        </w:rPr>
      </w:pPr>
      <w:r w:rsidRPr="00C22ABE">
        <w:rPr>
          <w:rFonts w:eastAsia="Times New Roman" w:cstheme="minorHAnsi"/>
          <w:color w:val="222222"/>
          <w:sz w:val="20"/>
          <w:szCs w:val="20"/>
          <w:lang w:eastAsia="fr-BE"/>
        </w:rPr>
        <w:t>La dose de rayonnement sur la zone à implanter</w:t>
      </w:r>
      <w:r w:rsidR="005A668F" w:rsidRPr="00C22ABE">
        <w:rPr>
          <w:rFonts w:eastAsia="Times New Roman" w:cstheme="minorHAnsi"/>
          <w:color w:val="222222"/>
          <w:sz w:val="20"/>
          <w:szCs w:val="20"/>
          <w:lang w:eastAsia="fr-BE"/>
        </w:rPr>
        <w:t>.</w:t>
      </w:r>
    </w:p>
    <w:p w14:paraId="247B7531" w14:textId="118A9FF7" w:rsidR="002D556E" w:rsidRPr="00C22ABE" w:rsidRDefault="002D556E" w:rsidP="0095348E">
      <w:pPr>
        <w:shd w:val="clear" w:color="auto" w:fill="FFFFFF"/>
        <w:spacing w:after="0" w:line="235" w:lineRule="atLeast"/>
        <w:rPr>
          <w:rFonts w:eastAsia="Times New Roman" w:cstheme="minorHAnsi"/>
          <w:color w:val="222222"/>
          <w:sz w:val="20"/>
          <w:szCs w:val="20"/>
          <w:lang w:eastAsia="fr-BE"/>
        </w:rPr>
      </w:pPr>
      <w:r w:rsidRPr="00C22ABE">
        <w:rPr>
          <w:rFonts w:eastAsia="Times New Roman" w:cstheme="minorHAnsi"/>
          <w:color w:val="222222"/>
          <w:sz w:val="20"/>
          <w:szCs w:val="20"/>
          <w:lang w:eastAsia="fr-BE"/>
        </w:rPr>
        <w:t xml:space="preserve">Pour des doses </w:t>
      </w:r>
      <w:r w:rsidRPr="00C22ABE">
        <w:rPr>
          <w:rFonts w:eastAsia="Times New Roman" w:cstheme="minorHAnsi"/>
          <w:color w:val="222222"/>
          <w:sz w:val="20"/>
          <w:szCs w:val="20"/>
          <w:u w:val="single"/>
          <w:lang w:eastAsia="fr-BE"/>
        </w:rPr>
        <w:t>inférieures à 50 Gy</w:t>
      </w:r>
      <w:r w:rsidRPr="00C22ABE">
        <w:rPr>
          <w:rFonts w:eastAsia="Times New Roman" w:cstheme="minorHAnsi"/>
          <w:color w:val="222222"/>
          <w:sz w:val="20"/>
          <w:szCs w:val="20"/>
          <w:lang w:eastAsia="fr-BE"/>
        </w:rPr>
        <w:t xml:space="preserve">, le risque d’échec implantaire serait faible. </w:t>
      </w:r>
    </w:p>
    <w:p w14:paraId="0E2774E4" w14:textId="0C04C149" w:rsidR="00203E5A" w:rsidRPr="00C22ABE" w:rsidRDefault="008B2AB5" w:rsidP="0095348E">
      <w:pPr>
        <w:shd w:val="clear" w:color="auto" w:fill="FFFFFF"/>
        <w:spacing w:after="0" w:line="235" w:lineRule="atLeast"/>
        <w:rPr>
          <w:rFonts w:eastAsia="Times New Roman" w:cstheme="minorHAnsi"/>
          <w:color w:val="222222"/>
          <w:sz w:val="20"/>
          <w:szCs w:val="20"/>
          <w:lang w:eastAsia="fr-BE"/>
        </w:rPr>
      </w:pPr>
      <w:r w:rsidRPr="00C22ABE">
        <w:rPr>
          <w:rFonts w:eastAsia="Times New Roman" w:cstheme="minorHAnsi"/>
          <w:color w:val="222222"/>
          <w:sz w:val="20"/>
          <w:szCs w:val="20"/>
          <w:u w:val="single"/>
          <w:lang w:eastAsia="fr-BE"/>
        </w:rPr>
        <w:t>A partir de 50 Gy</w:t>
      </w:r>
      <w:r w:rsidRPr="00C22ABE">
        <w:rPr>
          <w:rFonts w:eastAsia="Times New Roman" w:cstheme="minorHAnsi"/>
          <w:color w:val="222222"/>
          <w:sz w:val="20"/>
          <w:szCs w:val="20"/>
          <w:lang w:eastAsia="fr-BE"/>
        </w:rPr>
        <w:t xml:space="preserve">, la xérostomie augmente, et </w:t>
      </w:r>
      <w:r w:rsidR="0095348E" w:rsidRPr="00C22ABE">
        <w:rPr>
          <w:rFonts w:eastAsia="Times New Roman" w:cstheme="minorHAnsi"/>
          <w:color w:val="222222"/>
          <w:sz w:val="20"/>
          <w:szCs w:val="20"/>
          <w:lang w:eastAsia="fr-BE"/>
        </w:rPr>
        <w:t xml:space="preserve">on note une perte de la capacité de </w:t>
      </w:r>
      <w:r w:rsidRPr="00C22ABE">
        <w:rPr>
          <w:rFonts w:eastAsia="Times New Roman" w:cstheme="minorHAnsi"/>
          <w:color w:val="222222"/>
          <w:sz w:val="20"/>
          <w:szCs w:val="20"/>
          <w:lang w:eastAsia="fr-BE"/>
        </w:rPr>
        <w:t>cicatrisation</w:t>
      </w:r>
      <w:r w:rsidR="0095348E" w:rsidRPr="00C22ABE">
        <w:rPr>
          <w:rFonts w:eastAsia="Times New Roman" w:cstheme="minorHAnsi"/>
          <w:color w:val="222222"/>
          <w:sz w:val="20"/>
          <w:szCs w:val="20"/>
          <w:lang w:eastAsia="fr-BE"/>
        </w:rPr>
        <w:t xml:space="preserve"> muqueuse et osseuse</w:t>
      </w:r>
      <w:r w:rsidRPr="00C22ABE">
        <w:rPr>
          <w:rFonts w:eastAsia="Times New Roman" w:cstheme="minorHAnsi"/>
          <w:color w:val="222222"/>
          <w:sz w:val="20"/>
          <w:szCs w:val="20"/>
          <w:lang w:eastAsia="fr-BE"/>
        </w:rPr>
        <w:t xml:space="preserve"> </w:t>
      </w:r>
      <w:r w:rsidR="0095348E" w:rsidRPr="00C22ABE">
        <w:rPr>
          <w:rFonts w:eastAsia="Times New Roman" w:cstheme="minorHAnsi"/>
          <w:color w:val="222222"/>
          <w:sz w:val="20"/>
          <w:szCs w:val="20"/>
          <w:lang w:eastAsia="fr-BE"/>
        </w:rPr>
        <w:t xml:space="preserve"> et de néovascularisation </w:t>
      </w:r>
      <w:r w:rsidR="0095348E" w:rsidRPr="00C22ABE">
        <w:rPr>
          <w:rFonts w:eastAsia="Times New Roman" w:cstheme="minorHAnsi"/>
          <w:color w:val="222222"/>
          <w:sz w:val="20"/>
          <w:szCs w:val="20"/>
          <w:lang w:eastAsia="fr-BE"/>
        </w:rPr>
        <w:fldChar w:fldCharType="begin"/>
      </w:r>
      <w:r w:rsidR="00D36EC3">
        <w:rPr>
          <w:rFonts w:eastAsia="Times New Roman" w:cstheme="minorHAnsi"/>
          <w:color w:val="222222"/>
          <w:sz w:val="20"/>
          <w:szCs w:val="20"/>
          <w:lang w:eastAsia="fr-BE"/>
        </w:rPr>
        <w:instrText xml:space="preserve"> ADDIN ZOTERO_ITEM CSL_CITATION {"citationID":"xWFRCtDO","properties":{"formattedCitation":"(85)","plainCitation":"(85)","noteIndex":0},"citationItems":[{"id":350,"uris":["http://zotero.org/users/local/Om3YyEnU/items/KCNFD9U3"],"uri":["http://zotero.org/users/local/Om3YyEnU/items/KCNFD9U3"],"itemData":{"id":350,"type":"article-journal","abstract":"BACKGROUND: Typically, dental implants are placed in irradiated bone after a delay that exceeds 6 months, but it is not known whether longer delays are beneficial.\nPURPOSE: The purpose of the study is to review the literature comparing the failure rate of dental implants placed in irradiated bone between 6 and 12 months and after 12 months from the cessation of radiotherapy.\nMATERIALS AND METHODS: Four electronic databases were searched for articles published until February 2013 without language restriction: Lilacs, Medline, Scopus, and the Cochrane Central Register of Controlled Trials. Two reviewers independently assessed the eligibility criteria and extracted data. Fixed effect meta-analysis was performed.\nRESULTS: Overall, 3,749 observational studies were identified. After the screening of titles and abstracts, 236 publications were selected, and 10 were included in the final analysis. The pooled relative risk (RR) of failure was RRpooled  = 1.34 (95% confidence interval [CI]: 1.01-1.79), higher in individuals who had dental implants installed between 6 and 12 months after receiving radiotherapy. I(2) indicated nearly 21% heterogeneity (p = .25). Egger's test indicated no evidence of publication bias (p = .62); however, the removal of one study significantly affected the overall RR (RRpooled  = 1.08, 95% CI: 0.77-1.52).\nCONCLUSIONS: Placing implants in bone within a period shorter than 12 months after radiotherapy may result in a higher risk of failure; however, additional evidence from clinical trials is needed to verify this risk.","container-title":"Clinical Implant Dentistry and Related Research","DOI":"10.1111/cid.12096","ISSN":"1708-8208","issue":"2","journalAbbreviation":"Clin Implant Dent Relat Res","language":"eng","note":"PMID: 23742098","page":"402-411","source":"PubMed","title":"Time interval after radiotherapy and dental implant failure: systematic review of observational studies and meta-analysis","title-short":"Time interval after radiotherapy and dental implant failure","volume":"17","author":[{"family":"Claudy","given":"Matheus Piardi"},{"family":"Miguens","given":"Sergio Augusto Quevedo"},{"family":"Celeste","given":"Roger Keller"},{"family":"Camara Parente","given":"Raphael"},{"family":"Hernandez","given":"Pedro Antonio González"},{"family":"Silva","given":"Aurelício Novaes","non-dropping-particle":"da"}],"issued":{"date-parts":[["2015",4]]}}}],"schema":"https://github.com/citation-style-language/schema/raw/master/csl-citation.json"} </w:instrText>
      </w:r>
      <w:r w:rsidR="0095348E" w:rsidRPr="00C22ABE">
        <w:rPr>
          <w:rFonts w:eastAsia="Times New Roman" w:cstheme="minorHAnsi"/>
          <w:color w:val="222222"/>
          <w:sz w:val="20"/>
          <w:szCs w:val="20"/>
          <w:lang w:eastAsia="fr-BE"/>
        </w:rPr>
        <w:fldChar w:fldCharType="separate"/>
      </w:r>
      <w:r w:rsidR="00D36EC3" w:rsidRPr="00D36EC3">
        <w:rPr>
          <w:rFonts w:ascii="Calibri" w:hAnsi="Calibri" w:cs="Calibri"/>
          <w:sz w:val="20"/>
        </w:rPr>
        <w:t>(85)</w:t>
      </w:r>
      <w:r w:rsidR="0095348E" w:rsidRPr="00C22ABE">
        <w:rPr>
          <w:rFonts w:eastAsia="Times New Roman" w:cstheme="minorHAnsi"/>
          <w:color w:val="222222"/>
          <w:sz w:val="20"/>
          <w:szCs w:val="20"/>
          <w:lang w:eastAsia="fr-BE"/>
        </w:rPr>
        <w:fldChar w:fldCharType="end"/>
      </w:r>
      <w:r w:rsidR="0095348E" w:rsidRPr="00C22ABE">
        <w:rPr>
          <w:rFonts w:eastAsia="Times New Roman" w:cstheme="minorHAnsi"/>
          <w:color w:val="222222"/>
          <w:sz w:val="20"/>
          <w:szCs w:val="20"/>
          <w:lang w:eastAsia="fr-BE"/>
        </w:rPr>
        <w:t>.</w:t>
      </w:r>
    </w:p>
    <w:p w14:paraId="7DE79F30" w14:textId="77777777" w:rsidR="0095348E" w:rsidRPr="00C22ABE" w:rsidRDefault="002D556E" w:rsidP="0095348E">
      <w:pPr>
        <w:shd w:val="clear" w:color="auto" w:fill="FFFFFF"/>
        <w:spacing w:after="0" w:line="235" w:lineRule="atLeast"/>
        <w:rPr>
          <w:rFonts w:eastAsia="Times New Roman" w:cstheme="minorHAnsi"/>
          <w:color w:val="222222"/>
          <w:sz w:val="20"/>
          <w:szCs w:val="20"/>
          <w:lang w:eastAsia="fr-BE"/>
        </w:rPr>
      </w:pPr>
      <w:r w:rsidRPr="00C22ABE">
        <w:rPr>
          <w:rFonts w:eastAsia="Times New Roman" w:cstheme="minorHAnsi"/>
          <w:color w:val="222222"/>
          <w:sz w:val="20"/>
          <w:szCs w:val="20"/>
          <w:lang w:eastAsia="fr-BE"/>
        </w:rPr>
        <w:t xml:space="preserve">Pour des doses comprises </w:t>
      </w:r>
      <w:r w:rsidRPr="00C22ABE">
        <w:rPr>
          <w:rFonts w:eastAsia="Times New Roman" w:cstheme="minorHAnsi"/>
          <w:color w:val="222222"/>
          <w:sz w:val="20"/>
          <w:szCs w:val="20"/>
          <w:u w:val="single"/>
          <w:lang w:eastAsia="fr-BE"/>
        </w:rPr>
        <w:t xml:space="preserve">entre 50 et </w:t>
      </w:r>
      <w:r w:rsidR="0095348E" w:rsidRPr="00C22ABE">
        <w:rPr>
          <w:rFonts w:eastAsia="Times New Roman" w:cstheme="minorHAnsi"/>
          <w:color w:val="222222"/>
          <w:sz w:val="20"/>
          <w:szCs w:val="20"/>
          <w:u w:val="single"/>
          <w:lang w:eastAsia="fr-BE"/>
        </w:rPr>
        <w:t>65-</w:t>
      </w:r>
      <w:r w:rsidRPr="00C22ABE">
        <w:rPr>
          <w:rFonts w:eastAsia="Times New Roman" w:cstheme="minorHAnsi"/>
          <w:color w:val="222222"/>
          <w:sz w:val="20"/>
          <w:szCs w:val="20"/>
          <w:u w:val="single"/>
          <w:lang w:eastAsia="fr-BE"/>
        </w:rPr>
        <w:t xml:space="preserve">70 </w:t>
      </w:r>
      <w:r w:rsidR="0095348E" w:rsidRPr="00C22ABE">
        <w:rPr>
          <w:rFonts w:eastAsia="Times New Roman" w:cstheme="minorHAnsi"/>
          <w:color w:val="222222"/>
          <w:sz w:val="20"/>
          <w:szCs w:val="20"/>
          <w:u w:val="single"/>
          <w:lang w:eastAsia="fr-BE"/>
        </w:rPr>
        <w:t>G</w:t>
      </w:r>
      <w:r w:rsidRPr="00C22ABE">
        <w:rPr>
          <w:rFonts w:eastAsia="Times New Roman" w:cstheme="minorHAnsi"/>
          <w:color w:val="222222"/>
          <w:sz w:val="20"/>
          <w:szCs w:val="20"/>
          <w:u w:val="single"/>
          <w:lang w:eastAsia="fr-BE"/>
        </w:rPr>
        <w:t>y</w:t>
      </w:r>
      <w:r w:rsidRPr="00C22ABE">
        <w:rPr>
          <w:rFonts w:eastAsia="Times New Roman" w:cstheme="minorHAnsi"/>
          <w:color w:val="222222"/>
          <w:sz w:val="20"/>
          <w:szCs w:val="20"/>
          <w:lang w:eastAsia="fr-BE"/>
        </w:rPr>
        <w:t xml:space="preserve">, la mise en place d’implants ne semble pas indiquée. </w:t>
      </w:r>
    </w:p>
    <w:p w14:paraId="1C31B77F" w14:textId="668E9849" w:rsidR="0095348E" w:rsidRPr="00C22ABE" w:rsidRDefault="0095348E" w:rsidP="0095348E">
      <w:pPr>
        <w:shd w:val="clear" w:color="auto" w:fill="FFFFFF"/>
        <w:spacing w:after="0" w:line="235" w:lineRule="atLeast"/>
        <w:rPr>
          <w:rFonts w:eastAsia="Times New Roman" w:cstheme="minorHAnsi"/>
          <w:color w:val="222222"/>
          <w:sz w:val="20"/>
          <w:szCs w:val="20"/>
          <w:lang w:eastAsia="fr-BE"/>
        </w:rPr>
      </w:pPr>
      <w:r w:rsidRPr="00C22ABE">
        <w:rPr>
          <w:rFonts w:eastAsia="Times New Roman" w:cstheme="minorHAnsi"/>
          <w:color w:val="222222"/>
          <w:sz w:val="20"/>
          <w:szCs w:val="20"/>
          <w:lang w:eastAsia="fr-BE"/>
        </w:rPr>
        <w:t xml:space="preserve">Pour des </w:t>
      </w:r>
      <w:r w:rsidRPr="00C22ABE">
        <w:rPr>
          <w:rFonts w:eastAsia="Times New Roman" w:cstheme="minorHAnsi"/>
          <w:color w:val="222222"/>
          <w:sz w:val="20"/>
          <w:szCs w:val="20"/>
          <w:u w:val="single"/>
          <w:lang w:eastAsia="fr-BE"/>
        </w:rPr>
        <w:t xml:space="preserve">doses </w:t>
      </w:r>
      <w:r w:rsidR="006320C0" w:rsidRPr="00C22ABE">
        <w:rPr>
          <w:rFonts w:eastAsia="Times New Roman" w:cstheme="minorHAnsi"/>
          <w:color w:val="222222"/>
          <w:sz w:val="20"/>
          <w:szCs w:val="20"/>
          <w:u w:val="single"/>
          <w:lang w:eastAsia="fr-BE"/>
        </w:rPr>
        <w:t>&gt; à</w:t>
      </w:r>
      <w:r w:rsidRPr="00C22ABE">
        <w:rPr>
          <w:rFonts w:eastAsia="Times New Roman" w:cstheme="minorHAnsi"/>
          <w:color w:val="222222"/>
          <w:sz w:val="20"/>
          <w:szCs w:val="20"/>
          <w:u w:val="single"/>
          <w:lang w:eastAsia="fr-BE"/>
        </w:rPr>
        <w:t xml:space="preserve"> 65-70 Gy</w:t>
      </w:r>
      <w:r w:rsidRPr="00C22ABE">
        <w:rPr>
          <w:rFonts w:eastAsia="Times New Roman" w:cstheme="minorHAnsi"/>
          <w:color w:val="222222"/>
          <w:sz w:val="20"/>
          <w:szCs w:val="20"/>
          <w:lang w:eastAsia="fr-BE"/>
        </w:rPr>
        <w:t xml:space="preserve">, le risque d’échec implantaire est associé à un risque non négligeable d’ORN. </w:t>
      </w:r>
    </w:p>
    <w:p w14:paraId="6AD5425C" w14:textId="77777777" w:rsidR="0095348E" w:rsidRPr="00C22ABE" w:rsidRDefault="0095348E" w:rsidP="002D556E">
      <w:pPr>
        <w:shd w:val="clear" w:color="auto" w:fill="FFFFFF"/>
        <w:spacing w:line="235" w:lineRule="atLeast"/>
        <w:rPr>
          <w:rFonts w:eastAsia="Times New Roman" w:cstheme="minorHAnsi"/>
          <w:color w:val="222222"/>
          <w:sz w:val="20"/>
          <w:szCs w:val="20"/>
          <w:lang w:eastAsia="fr-BE"/>
        </w:rPr>
      </w:pPr>
    </w:p>
    <w:p w14:paraId="5BF8F9FE" w14:textId="77777777" w:rsidR="009D3714" w:rsidRPr="00C22ABE" w:rsidRDefault="008C590C" w:rsidP="008B2AB5">
      <w:pPr>
        <w:pStyle w:val="Paragraphedeliste"/>
        <w:numPr>
          <w:ilvl w:val="0"/>
          <w:numId w:val="16"/>
        </w:numPr>
        <w:shd w:val="clear" w:color="auto" w:fill="FFFFFF"/>
        <w:spacing w:line="235" w:lineRule="atLeast"/>
        <w:rPr>
          <w:rFonts w:eastAsia="Times New Roman" w:cstheme="minorHAnsi"/>
          <w:color w:val="222222"/>
          <w:lang w:eastAsia="fr-BE"/>
        </w:rPr>
      </w:pPr>
      <w:r w:rsidRPr="00C22ABE">
        <w:rPr>
          <w:rFonts w:eastAsia="Times New Roman" w:cstheme="minorHAnsi"/>
          <w:color w:val="222222"/>
          <w:sz w:val="20"/>
          <w:szCs w:val="20"/>
          <w:lang w:eastAsia="fr-BE"/>
        </w:rPr>
        <w:t>Le délai</w:t>
      </w:r>
      <w:r w:rsidR="0087144B" w:rsidRPr="00C22ABE">
        <w:rPr>
          <w:rFonts w:eastAsia="Times New Roman" w:cstheme="minorHAnsi"/>
          <w:color w:val="222222"/>
          <w:sz w:val="20"/>
          <w:szCs w:val="20"/>
          <w:lang w:eastAsia="fr-BE"/>
        </w:rPr>
        <w:t xml:space="preserve"> </w:t>
      </w:r>
      <w:r w:rsidRPr="00C22ABE">
        <w:rPr>
          <w:rFonts w:eastAsia="Times New Roman" w:cstheme="minorHAnsi"/>
          <w:color w:val="222222"/>
          <w:sz w:val="20"/>
          <w:szCs w:val="20"/>
          <w:lang w:eastAsia="fr-BE"/>
        </w:rPr>
        <w:t xml:space="preserve">idéal </w:t>
      </w:r>
      <w:r w:rsidR="0087144B" w:rsidRPr="00C22ABE">
        <w:rPr>
          <w:rFonts w:eastAsia="Times New Roman" w:cstheme="minorHAnsi"/>
          <w:color w:val="222222"/>
          <w:sz w:val="20"/>
          <w:szCs w:val="20"/>
          <w:lang w:eastAsia="fr-BE"/>
        </w:rPr>
        <w:t>entre la fin de la radiothérapie et la mise en place d’implants</w:t>
      </w:r>
      <w:r w:rsidR="009D3714" w:rsidRPr="00C22ABE">
        <w:rPr>
          <w:rFonts w:eastAsia="Times New Roman" w:cstheme="minorHAnsi"/>
          <w:color w:val="222222"/>
          <w:sz w:val="20"/>
          <w:szCs w:val="20"/>
          <w:lang w:eastAsia="fr-BE"/>
        </w:rPr>
        <w:t>.</w:t>
      </w:r>
    </w:p>
    <w:p w14:paraId="6397483D" w14:textId="3269242C" w:rsidR="008C590C" w:rsidRPr="00C22ABE" w:rsidRDefault="009D3714" w:rsidP="009D3714">
      <w:pPr>
        <w:shd w:val="clear" w:color="auto" w:fill="FFFFFF"/>
        <w:spacing w:line="235" w:lineRule="atLeast"/>
        <w:rPr>
          <w:rFonts w:eastAsia="Times New Roman" w:cstheme="minorHAnsi"/>
          <w:color w:val="222222"/>
          <w:lang w:eastAsia="fr-BE"/>
        </w:rPr>
      </w:pPr>
      <w:r w:rsidRPr="00C22ABE">
        <w:rPr>
          <w:rFonts w:eastAsia="Times New Roman" w:cstheme="minorHAnsi"/>
          <w:color w:val="222222"/>
          <w:sz w:val="20"/>
          <w:szCs w:val="20"/>
          <w:lang w:eastAsia="fr-BE"/>
        </w:rPr>
        <w:t xml:space="preserve">La plupart des études préconisent </w:t>
      </w:r>
      <w:r w:rsidR="008C590C" w:rsidRPr="00C22ABE">
        <w:rPr>
          <w:rFonts w:eastAsia="Times New Roman" w:cstheme="minorHAnsi"/>
          <w:color w:val="222222"/>
          <w:sz w:val="20"/>
          <w:szCs w:val="20"/>
          <w:lang w:eastAsia="fr-BE"/>
        </w:rPr>
        <w:t>un an, ce qui permet d’évaluer le contrôle de la maladie oncologique</w:t>
      </w:r>
      <w:r w:rsidR="008B2AB5" w:rsidRPr="00C22ABE">
        <w:rPr>
          <w:rFonts w:eastAsia="Times New Roman" w:cstheme="minorHAnsi"/>
          <w:color w:val="222222"/>
          <w:sz w:val="20"/>
          <w:szCs w:val="20"/>
          <w:lang w:eastAsia="fr-BE"/>
        </w:rPr>
        <w:t xml:space="preserve"> avant de réaliser la réhabilitation dentaire</w:t>
      </w:r>
      <w:r w:rsidR="008C590C" w:rsidRPr="00C22ABE">
        <w:rPr>
          <w:rFonts w:eastAsia="Times New Roman" w:cstheme="minorHAnsi"/>
          <w:color w:val="222222"/>
          <w:sz w:val="20"/>
          <w:szCs w:val="20"/>
          <w:lang w:eastAsia="fr-BE"/>
        </w:rPr>
        <w:t xml:space="preserve">. </w:t>
      </w:r>
      <w:r w:rsidR="008C590C" w:rsidRPr="00C22ABE">
        <w:rPr>
          <w:rFonts w:eastAsia="Times New Roman" w:cstheme="minorHAnsi"/>
          <w:color w:val="212121"/>
          <w:sz w:val="20"/>
          <w:szCs w:val="20"/>
          <w:lang w:eastAsia="fr-BE"/>
        </w:rPr>
        <w:t xml:space="preserve">Pour certains auteurs, le placement d’implants à moins d’un an de la fin de la </w:t>
      </w:r>
      <w:proofErr w:type="spellStart"/>
      <w:r w:rsidR="008C590C" w:rsidRPr="00C22ABE">
        <w:rPr>
          <w:rFonts w:eastAsia="Times New Roman" w:cstheme="minorHAnsi"/>
          <w:color w:val="212121"/>
          <w:sz w:val="20"/>
          <w:szCs w:val="20"/>
          <w:lang w:eastAsia="fr-BE"/>
        </w:rPr>
        <w:t>Rth</w:t>
      </w:r>
      <w:proofErr w:type="spellEnd"/>
      <w:r w:rsidR="008C590C" w:rsidRPr="00C22ABE">
        <w:rPr>
          <w:rFonts w:eastAsia="Times New Roman" w:cstheme="minorHAnsi"/>
          <w:color w:val="212121"/>
          <w:sz w:val="20"/>
          <w:szCs w:val="20"/>
          <w:lang w:eastAsia="fr-BE"/>
        </w:rPr>
        <w:t xml:space="preserve"> augmente le risque d’échec de 34% </w:t>
      </w:r>
      <w:r w:rsidR="008C590C" w:rsidRPr="00C22ABE">
        <w:rPr>
          <w:rFonts w:eastAsia="Times New Roman" w:cstheme="minorHAnsi"/>
          <w:color w:val="212121"/>
          <w:sz w:val="20"/>
          <w:szCs w:val="20"/>
          <w:lang w:eastAsia="fr-BE"/>
        </w:rPr>
        <w:fldChar w:fldCharType="begin"/>
      </w:r>
      <w:r w:rsidR="00D36EC3">
        <w:rPr>
          <w:rFonts w:eastAsia="Times New Roman" w:cstheme="minorHAnsi"/>
          <w:color w:val="212121"/>
          <w:sz w:val="20"/>
          <w:szCs w:val="20"/>
          <w:lang w:eastAsia="fr-BE"/>
        </w:rPr>
        <w:instrText xml:space="preserve"> ADDIN ZOTERO_ITEM CSL_CITATION {"citationID":"WyvKzSvN","properties":{"formattedCitation":"(85)","plainCitation":"(85)","noteIndex":0},"citationItems":[{"id":350,"uris":["http://zotero.org/users/local/Om3YyEnU/items/KCNFD9U3"],"uri":["http://zotero.org/users/local/Om3YyEnU/items/KCNFD9U3"],"itemData":{"id":350,"type":"article-journal","abstract":"BACKGROUND: Typically, dental implants are placed in irradiated bone after a delay that exceeds 6 months, but it is not known whether longer delays are beneficial.\nPURPOSE: The purpose of the study is to review the literature comparing the failure rate of dental implants placed in irradiated bone between 6 and 12 months and after 12 months from the cessation of radiotherapy.\nMATERIALS AND METHODS: Four electronic databases were searched for articles published until February 2013 without language restriction: Lilacs, Medline, Scopus, and the Cochrane Central Register of Controlled Trials. Two reviewers independently assessed the eligibility criteria and extracted data. Fixed effect meta-analysis was performed.\nRESULTS: Overall, 3,749 observational studies were identified. After the screening of titles and abstracts, 236 publications were selected, and 10 were included in the final analysis. The pooled relative risk (RR) of failure was RRpooled  = 1.34 (95% confidence interval [CI]: 1.01-1.79), higher in individuals who had dental implants installed between 6 and 12 months after receiving radiotherapy. I(2) indicated nearly 21% heterogeneity (p = .25). Egger's test indicated no evidence of publication bias (p = .62); however, the removal of one study significantly affected the overall RR (RRpooled  = 1.08, 95% CI: 0.77-1.52).\nCONCLUSIONS: Placing implants in bone within a period shorter than 12 months after radiotherapy may result in a higher risk of failure; however, additional evidence from clinical trials is needed to verify this risk.","container-title":"Clinical Implant Dentistry and Related Research","DOI":"10.1111/cid.12096","ISSN":"1708-8208","issue":"2","journalAbbreviation":"Clin Implant Dent Relat Res","language":"eng","note":"PMID: 23742098","page":"402-411","source":"PubMed","title":"Time interval after radiotherapy and dental implant failure: systematic review of observational studies and meta-analysis","title-short":"Time interval after radiotherapy and dental implant failure","volume":"17","author":[{"family":"Claudy","given":"Matheus Piardi"},{"family":"Miguens","given":"Sergio Augusto Quevedo"},{"family":"Celeste","given":"Roger Keller"},{"family":"Camara Parente","given":"Raphael"},{"family":"Hernandez","given":"Pedro Antonio González"},{"family":"Silva","given":"Aurelício Novaes","non-dropping-particle":"da"}],"issued":{"date-parts":[["2015",4]]}}}],"schema":"https://github.com/citation-style-language/schema/raw/master/csl-citation.json"} </w:instrText>
      </w:r>
      <w:r w:rsidR="008C590C" w:rsidRPr="00C22ABE">
        <w:rPr>
          <w:rFonts w:eastAsia="Times New Roman" w:cstheme="minorHAnsi"/>
          <w:color w:val="212121"/>
          <w:sz w:val="20"/>
          <w:szCs w:val="20"/>
          <w:lang w:eastAsia="fr-BE"/>
        </w:rPr>
        <w:fldChar w:fldCharType="separate"/>
      </w:r>
      <w:r w:rsidR="00D36EC3" w:rsidRPr="00D36EC3">
        <w:rPr>
          <w:rFonts w:ascii="Calibri" w:hAnsi="Calibri" w:cs="Calibri"/>
          <w:sz w:val="20"/>
        </w:rPr>
        <w:t>(85)</w:t>
      </w:r>
      <w:r w:rsidR="008C590C" w:rsidRPr="00C22ABE">
        <w:rPr>
          <w:rFonts w:eastAsia="Times New Roman" w:cstheme="minorHAnsi"/>
          <w:color w:val="212121"/>
          <w:sz w:val="20"/>
          <w:szCs w:val="20"/>
          <w:lang w:eastAsia="fr-BE"/>
        </w:rPr>
        <w:fldChar w:fldCharType="end"/>
      </w:r>
      <w:r w:rsidRPr="00C22ABE">
        <w:rPr>
          <w:rFonts w:eastAsia="Times New Roman" w:cstheme="minorHAnsi"/>
          <w:color w:val="212121"/>
          <w:sz w:val="20"/>
          <w:szCs w:val="20"/>
          <w:lang w:eastAsia="fr-BE"/>
        </w:rPr>
        <w:t>.</w:t>
      </w:r>
    </w:p>
    <w:p w14:paraId="5F471722" w14:textId="68ED2180" w:rsidR="009D3714" w:rsidRPr="00C22ABE" w:rsidRDefault="009D3714" w:rsidP="009D3714">
      <w:pPr>
        <w:shd w:val="clear" w:color="auto" w:fill="FFFFFF"/>
        <w:spacing w:line="235" w:lineRule="atLeast"/>
        <w:rPr>
          <w:rFonts w:eastAsia="Times New Roman" w:cstheme="minorHAnsi"/>
          <w:color w:val="222222"/>
          <w:lang w:eastAsia="fr-BE"/>
        </w:rPr>
      </w:pPr>
      <w:r w:rsidRPr="00C22ABE">
        <w:rPr>
          <w:rFonts w:eastAsia="Times New Roman" w:cstheme="minorHAnsi"/>
          <w:color w:val="222222"/>
          <w:sz w:val="20"/>
          <w:szCs w:val="20"/>
          <w:lang w:eastAsia="fr-BE"/>
        </w:rPr>
        <w:t>Des études concernant l’usage d’OHB avant et après placement d’implants ne montrent pas de bénéfice à l’usage de l’OHB, avec en revanche un coût élevé </w:t>
      </w:r>
      <w:r w:rsidRPr="00C22ABE">
        <w:rPr>
          <w:rFonts w:eastAsia="Times New Roman" w:cstheme="minorHAnsi"/>
          <w:color w:val="222222"/>
          <w:sz w:val="20"/>
          <w:szCs w:val="20"/>
          <w:lang w:eastAsia="fr-BE"/>
        </w:rPr>
        <w:fldChar w:fldCharType="begin"/>
      </w:r>
      <w:r w:rsidR="00D36EC3">
        <w:rPr>
          <w:rFonts w:eastAsia="Times New Roman" w:cstheme="minorHAnsi"/>
          <w:color w:val="222222"/>
          <w:sz w:val="20"/>
          <w:szCs w:val="20"/>
          <w:lang w:eastAsia="fr-BE"/>
        </w:rPr>
        <w:instrText xml:space="preserve"> ADDIN ZOTERO_ITEM CSL_CITATION {"citationID":"Vqa8EPzP","properties":{"formattedCitation":"(82,86)","plainCitation":"(82,86)","noteIndex":0},"citationItems":[{"id":340,"uris":["http://zotero.org/users/local/Om3YyEnU/items/JN3L6VMU"],"uri":["http://zotero.org/users/local/Om3YyEnU/items/JN3L6VMU"],"itemData":{"id":340,"type":"article-journal","abstract":"BACKGROUND: Dental implants offer one way to replace missing teeth. Patients who have undergone radiotherapy and those who have also undergone surgery for cancer in the head and neck region may particularly benefit from reconstruction with implants. Hyperbaric oxygen therapy (HBO) has been advocated to improve the success of implant treatment in patients who have undergone radiotherapy but this remains a controversial issue.\nOBJECTIVES: To compare the success, morbidity, patient satisfaction and cost effectiveness of dental implant treatment carried out with and without HBO in irradiated patients.\nSEARCH METHODS: The following electronic databases were searched: the Cochrane Oral Health Group's Trials Register (to 17 June 2013), the Cochrane Central Register of Controlled Trials (CENTRAL) (The Cochrane Library 2013, Issue 5), MEDLINE via OVID (1946 to 17 June 2013) and EMBASE via OVID (1980 to 17 June 2013). No restrictions were placed on the language or date of publication when searching the electronic databases. We checked the bibliographies of relevant clinical trials and review articles for studies outside the searched journals. We wrote to authors of the identified randomised controlled trials (RCTs) and to more than 55 oral implant manufacturers; we used personal contacts and we made a request on an internet discussion group in an attempt to identify unpublished or ongoing RCTs.\nSELECTION CRITERIA: Randomised controlled trials (RCTs) of HBO therapy for irradiated patients requiring dental implants.\nDATA COLLECTION AND ANALYSIS: Screening of eligible studies, assessment of the methodological quality of the trials and data extraction were conducted in duplicate and independently by two review authors. Results were analysed using random-effects models to determine mean differences for continuous outcomes and risk ratios for dichotomous outcomes, with 95% confidence intervals.\nMAIN RESULTS: Only one RCT, providing very low quality evidence, was identified and included. Thirteen patients received HBO therapy while another 13 did not. Two to six implants were placed in people with fully edentulous mandibles to be rehabilitated with bar-retained overdentures. One year after implant loading, four patients had died from each group. One patient, treated with HBO, developed an osteoradionecrosis and lost all implants so the prosthesis could not be provided. Five patients in the HBO group had at least one implant failure versus two in the control group. There were no statistically significant differences for prosthesis and implant failures, postoperative complications and patient satisfaction between the two groups.\nAUTHORS' CONCLUSIONS: Despite the limited amount of clinical research available, it appears that HBO therapy in irradiated patients requiring dental implants may not offer any appreciable clinical benefits. There is a definite need for more RCTs to ascertain the effectiveness of HBO in irradiated patients requiring dental implants. These trials ought to be of a high quality and reported as recommended by the CONSORT statement (www.consort-statement.org/). Each clinical centre may have limited numbers of patients and it is likely that trials will need to be multicentred.","container-title":"The Cochrane Database of Systematic Reviews","DOI":"10.1002/14651858.CD003603.pub3","ISSN":"1469-493X","issue":"9","journalAbbreviation":"Cochrane Database Syst Rev","language":"eng","note":"PMID: 24085641\nPMCID: PMC6787936","page":"CD003603","source":"PubMed","title":"Interventions for replacing missing teeth: hyperbaric oxygen therapy for irradiated patients who require dental implants","title-short":"Interventions for replacing missing teeth","author":[{"family":"Esposito","given":"Marco"},{"family":"Worthington","given":"Helen V."}],"issued":{"date-parts":[["2013",9,30]]}}},{"id":352,"uris":["http://zotero.org/users/local/Om3YyEnU/items/3U644HBT"],"uri":["http://zotero.org/users/local/Om3YyEnU/items/3U644HBT"],"itemData":{"id":352,"type":"article-journal","abstract":"The purpose of the present meta-analysis was to test the null hypothesis of no difference in dental implant failure rates, postoperative infection, and marginal bone loss for patients being rehabilitated by dental implants and being previously irradiated in the head and neck region versus nonirradiated patients against the alternative hypothesis of a difference. The study suggests that irradiation negatively affects the survival of implants, as well as the difference in implant location (maxilla vs mandible), but there is no statistically significant difference in survival when implants are inserted before or after 12 months after radiotherapy. The study failed to support the effectiveness of hyperbaric oxygen therapy in irradiated patients. It was observed that there was a tendency of lower survival rates of implants inserted in the patients submitted to higher irradiation doses. The results should be interpreted with caution because of the presence of uncontrolled confounding factors in the included studies.","container-title":"Head &amp; Neck","DOI":"10.1002/hed.23875","ISSN":"1097-0347","issue":"3","journalAbbreviation":"Head Neck","language":"eng","note":"PMID: 25242560","page":"448-481","source":"PubMed","title":"Dental implants in irradiated versus nonirradiated patients: A meta-analysis","title-short":"Dental implants in irradiated versus nonirradiated patients","volume":"38","author":[{"family":"Chrcanovic","given":"Bruno Ramos"},{"family":"Albrektsson","given":"Tomas"},{"family":"Wennerberg","given":"Ann"}],"issued":{"date-parts":[["2016",3]]}}}],"schema":"https://github.com/citation-style-language/schema/raw/master/csl-citation.json"} </w:instrText>
      </w:r>
      <w:r w:rsidRPr="00C22ABE">
        <w:rPr>
          <w:rFonts w:eastAsia="Times New Roman" w:cstheme="minorHAnsi"/>
          <w:color w:val="222222"/>
          <w:sz w:val="20"/>
          <w:szCs w:val="20"/>
          <w:lang w:eastAsia="fr-BE"/>
        </w:rPr>
        <w:fldChar w:fldCharType="separate"/>
      </w:r>
      <w:r w:rsidR="00D36EC3" w:rsidRPr="00D36EC3">
        <w:rPr>
          <w:rFonts w:ascii="Calibri" w:hAnsi="Calibri" w:cs="Calibri"/>
          <w:sz w:val="20"/>
        </w:rPr>
        <w:t>(82,86)</w:t>
      </w:r>
      <w:r w:rsidRPr="00C22ABE">
        <w:rPr>
          <w:rFonts w:eastAsia="Times New Roman" w:cstheme="minorHAnsi"/>
          <w:color w:val="222222"/>
          <w:sz w:val="20"/>
          <w:szCs w:val="20"/>
          <w:lang w:eastAsia="fr-BE"/>
        </w:rPr>
        <w:fldChar w:fldCharType="end"/>
      </w:r>
      <w:r w:rsidRPr="00C22ABE">
        <w:rPr>
          <w:rFonts w:eastAsia="Times New Roman" w:cstheme="minorHAnsi"/>
          <w:color w:val="222222"/>
          <w:sz w:val="20"/>
          <w:szCs w:val="20"/>
          <w:lang w:eastAsia="fr-BE"/>
        </w:rPr>
        <w:t xml:space="preserve">. D’autres préconisent en cas d’irradiation de plus de 50 Gy  l’administration de 20 séances d’OHB préopératoires et 10 séances post-opératoires </w:t>
      </w:r>
      <w:r w:rsidRPr="00C22ABE">
        <w:rPr>
          <w:rFonts w:eastAsia="Times New Roman" w:cstheme="minorHAnsi"/>
          <w:color w:val="222222"/>
          <w:sz w:val="20"/>
          <w:szCs w:val="20"/>
          <w:lang w:eastAsia="fr-BE"/>
        </w:rPr>
        <w:fldChar w:fldCharType="begin"/>
      </w:r>
      <w:r w:rsidR="00DD29FB" w:rsidRPr="00C22ABE">
        <w:rPr>
          <w:rFonts w:eastAsia="Times New Roman" w:cstheme="minorHAnsi"/>
          <w:color w:val="222222"/>
          <w:sz w:val="20"/>
          <w:szCs w:val="20"/>
          <w:lang w:eastAsia="fr-BE"/>
        </w:rPr>
        <w:instrText xml:space="preserve"> ADDIN ZOTERO_ITEM CSL_CITATION {"citationID":"5zhmp61n","properties":{"formattedCitation":"(40)","plainCitation":"(40)","noteIndex":0},"citationItems":[{"id":299,"uris":["http://zotero.org/users/local/Om3YyEnU/items/E4R2YLT5"],"uri":["http://zotero.org/users/local/Om3YyEnU/items/E4R2YLT5"],"itemData":{"id":299,"type":"article-journal","abstract":"OBJECTIVES: The aim of this study was to assess the microarchitecture and turnover in irradiated cancellous mandibular bone and the relation with radiation dose, to elucidate the effects of radiotherapy on the mandible.\nPATIENTS AND METHODS: Mandibular cancellous bone biopsies were taken from irradiated patients and controls. Micro-CT scanning was performed to analyze microstructural bone parameters. Bone turnover was assessed by histomorphometry. Local radiation dose at the biopsy site (Dmax) was estimated from radiotherapy plans.\nRESULTS: Twenty-seven irradiated patients and 35 controls were included. Osteoid volume (Osteoid Volume/Bone Volume, OV/BV) [0.066/0.168 (median/interquartile range (IQR), OV/BV; %), P &lt; 0.001], osteoid surface (Osteoid Surface/Bone Surface, OS/BS) [0.772/2.17 (median/IQR, OS/BS; %), P &lt; 0.001] and osteoclasts number (Osteoclasts per millimetre bone surface, Ocl/mmBS; mm2) [0.026/0.123 (median/IQR, Ocl/mmBS; mm2), P &lt; 0.001] were decreased; trabecular number (Tb.N) was lower [1.63/0.63 (median/IQR, Tb.N; 1/mm-1), P = 0.012] and trabecular separation (Tb.Sp) [0.626/0.24 (median/IQR, Tb.Sp; μm), P = 0.038] was higher in irradiated mandibular bone. With higher Dmax, trabecular number increases (Spearman's correlation R = 0.470, P = 0.018) and trabecular separation decreases (Spearman's correlation R = -0.526, P = 0.007). Bone mineral density (BMD, milligrams hydroxyappetite per cubic centimetre, mgHA/cm3) [1016/99 (median/IQR, BMD; mgHA/cm3), P = 0.03] and trabecular separation [0.739/0.21 (median/IQR, Tb.Sp; μm), P = 0.005] are higher whereas connectivity density (Conn Dens) [3.94/6.71 (median/IQR, Conn Dens), P = 0.047] and trabecular number [1.48/0.44 (median/IQR, Tb.N; 1/mm-1), P = 0.002] are lower in Dmax ≤50 Gy compared to controls.\nCONCLUSIONS: Radiotherapy dramatically impairs bone turnover in the mandible. Deterioration in microarchitecture only affects bone irradiated with a Dmax of &lt;50 Gy. The 50 Gy value seems to be a critical threshold to where the effects of the radiation is more detrimental.","container-title":"Journal of Cranio-Maxillo-Facial Surgery: Official Publication of the European Association for Cranio-Maxillo-Facial Surgery","DOI":"10.1016/j.jcms.2020.05.015","ISSN":"1878-4119","issue":"8","journalAbbreviation":"J Craniomaxillofac Surg","language":"eng","note":"PMID: 32591131","page":"733-740","source":"PubMed","title":"Bone microarchitecture and turnover in the irradiated human mandible","volume":"48","author":[{"family":"Dekker","given":"H."},{"family":"Schulten","given":"E. a. J. M."},{"family":"Ruijven","given":"L.","non-dropping-particle":"van"},{"family":"Essen","given":"H. W.","non-dropping-particle":"van"},{"family":"Blom","given":"G. J."},{"family":"Bloemena","given":"E."},{"family":"Ten Bruggenkate","given":"Chr M."},{"family":"Kullaa","given":"A. M."},{"family":"Bravenboer","given":"N."}],"issued":{"date-parts":[["2020",8]]}}}],"schema":"https://github.com/citation-style-language/schema/raw/master/csl-citation.json"} </w:instrText>
      </w:r>
      <w:r w:rsidRPr="00C22ABE">
        <w:rPr>
          <w:rFonts w:eastAsia="Times New Roman" w:cstheme="minorHAnsi"/>
          <w:color w:val="222222"/>
          <w:sz w:val="20"/>
          <w:szCs w:val="20"/>
          <w:lang w:eastAsia="fr-BE"/>
        </w:rPr>
        <w:fldChar w:fldCharType="separate"/>
      </w:r>
      <w:r w:rsidR="00DD29FB" w:rsidRPr="00C22ABE">
        <w:rPr>
          <w:rFonts w:cstheme="minorHAnsi"/>
          <w:sz w:val="20"/>
        </w:rPr>
        <w:t>(40)</w:t>
      </w:r>
      <w:r w:rsidRPr="00C22ABE">
        <w:rPr>
          <w:rFonts w:eastAsia="Times New Roman" w:cstheme="minorHAnsi"/>
          <w:color w:val="222222"/>
          <w:sz w:val="20"/>
          <w:szCs w:val="20"/>
          <w:lang w:eastAsia="fr-BE"/>
        </w:rPr>
        <w:fldChar w:fldCharType="end"/>
      </w:r>
      <w:r w:rsidR="005A668F" w:rsidRPr="00C22ABE">
        <w:rPr>
          <w:rFonts w:eastAsia="Times New Roman" w:cstheme="minorHAnsi"/>
          <w:color w:val="222222"/>
          <w:sz w:val="20"/>
          <w:szCs w:val="20"/>
          <w:lang w:eastAsia="fr-BE"/>
        </w:rPr>
        <w:t>.</w:t>
      </w:r>
    </w:p>
    <w:p w14:paraId="54287A6F" w14:textId="17E4DE53" w:rsidR="002D556E" w:rsidRPr="00C22ABE" w:rsidRDefault="009D3714" w:rsidP="002D556E">
      <w:pPr>
        <w:shd w:val="clear" w:color="auto" w:fill="FFFFFF"/>
        <w:spacing w:line="235" w:lineRule="atLeast"/>
        <w:rPr>
          <w:rFonts w:eastAsia="Times New Roman" w:cstheme="minorHAnsi"/>
          <w:color w:val="222222"/>
          <w:lang w:eastAsia="fr-BE"/>
        </w:rPr>
      </w:pPr>
      <w:r w:rsidRPr="00C22ABE">
        <w:rPr>
          <w:rFonts w:eastAsia="Times New Roman" w:cstheme="minorHAnsi"/>
          <w:color w:val="212121"/>
          <w:sz w:val="20"/>
          <w:szCs w:val="20"/>
          <w:lang w:eastAsia="fr-BE"/>
        </w:rPr>
        <w:t>L</w:t>
      </w:r>
      <w:r w:rsidR="002D556E" w:rsidRPr="00C22ABE">
        <w:rPr>
          <w:rFonts w:eastAsia="Times New Roman" w:cstheme="minorHAnsi"/>
          <w:color w:val="212121"/>
          <w:sz w:val="20"/>
          <w:szCs w:val="20"/>
          <w:lang w:eastAsia="fr-BE"/>
        </w:rPr>
        <w:t>’usage de bains de bouche et d’antibiotiques est préconisé à partir de la veille de l’intervention</w:t>
      </w:r>
      <w:r w:rsidR="00C23AF4" w:rsidRPr="00C22ABE">
        <w:rPr>
          <w:rFonts w:eastAsia="Times New Roman" w:cstheme="minorHAnsi"/>
          <w:color w:val="212121"/>
          <w:sz w:val="20"/>
          <w:szCs w:val="20"/>
          <w:lang w:eastAsia="fr-BE"/>
        </w:rPr>
        <w:t xml:space="preserve"> </w:t>
      </w:r>
      <w:r w:rsidRPr="00C22ABE">
        <w:rPr>
          <w:rFonts w:eastAsia="Times New Roman" w:cstheme="minorHAnsi"/>
          <w:color w:val="212121"/>
          <w:sz w:val="20"/>
          <w:szCs w:val="20"/>
          <w:lang w:eastAsia="fr-BE"/>
        </w:rPr>
        <w:t>(</w:t>
      </w:r>
      <w:r w:rsidR="00C23AF4" w:rsidRPr="00C22ABE">
        <w:rPr>
          <w:rFonts w:eastAsia="Times New Roman" w:cstheme="minorHAnsi"/>
          <w:color w:val="212121"/>
          <w:sz w:val="20"/>
          <w:szCs w:val="20"/>
          <w:lang w:eastAsia="fr-BE"/>
        </w:rPr>
        <w:t>par exemple amoxicilline/acide clavulanique 500/125</w:t>
      </w:r>
      <w:r w:rsidR="00C22ABE" w:rsidRPr="00C22ABE">
        <w:rPr>
          <w:rFonts w:eastAsia="Times New Roman" w:cstheme="minorHAnsi"/>
          <w:color w:val="212121"/>
          <w:sz w:val="20"/>
          <w:szCs w:val="20"/>
          <w:lang w:eastAsia="fr-BE"/>
        </w:rPr>
        <w:t xml:space="preserve"> </w:t>
      </w:r>
      <w:r w:rsidRPr="00C22ABE">
        <w:rPr>
          <w:rFonts w:eastAsia="Times New Roman" w:cstheme="minorHAnsi"/>
          <w:color w:val="212121"/>
          <w:sz w:val="20"/>
          <w:szCs w:val="20"/>
          <w:lang w:eastAsia="fr-BE"/>
        </w:rPr>
        <w:t>3x</w:t>
      </w:r>
      <w:r w:rsidR="00C22ABE" w:rsidRPr="00C22ABE">
        <w:rPr>
          <w:rFonts w:eastAsia="Times New Roman" w:cstheme="minorHAnsi"/>
          <w:color w:val="212121"/>
          <w:sz w:val="20"/>
          <w:szCs w:val="20"/>
          <w:lang w:eastAsia="fr-BE"/>
        </w:rPr>
        <w:t>1</w:t>
      </w:r>
      <w:r w:rsidRPr="00C22ABE">
        <w:rPr>
          <w:rFonts w:eastAsia="Times New Roman" w:cstheme="minorHAnsi"/>
          <w:color w:val="212121"/>
          <w:sz w:val="20"/>
          <w:szCs w:val="20"/>
          <w:lang w:eastAsia="fr-BE"/>
        </w:rPr>
        <w:t>/jour)</w:t>
      </w:r>
      <w:r w:rsidR="00C23AF4" w:rsidRPr="00C22ABE">
        <w:rPr>
          <w:rFonts w:eastAsia="Times New Roman" w:cstheme="minorHAnsi"/>
          <w:color w:val="212121"/>
          <w:sz w:val="20"/>
          <w:szCs w:val="20"/>
          <w:lang w:eastAsia="fr-BE"/>
        </w:rPr>
        <w:t xml:space="preserve"> et jusque 10 jours post-opératoires.</w:t>
      </w:r>
      <w:r w:rsidR="002D556E" w:rsidRPr="00C22ABE">
        <w:rPr>
          <w:rFonts w:eastAsia="Times New Roman" w:cstheme="minorHAnsi"/>
          <w:color w:val="212121"/>
          <w:sz w:val="20"/>
          <w:szCs w:val="20"/>
          <w:lang w:eastAsia="fr-BE"/>
        </w:rPr>
        <w:t xml:space="preserve"> Il est recommandé de travailler par quadrant, avec un délai de 2 mois entre 2 quadrants,</w:t>
      </w:r>
      <w:r w:rsidR="00C23AF4" w:rsidRPr="00C22ABE">
        <w:rPr>
          <w:rFonts w:eastAsia="Times New Roman" w:cstheme="minorHAnsi"/>
          <w:color w:val="212121"/>
          <w:sz w:val="20"/>
          <w:szCs w:val="20"/>
          <w:lang w:eastAsia="fr-BE"/>
        </w:rPr>
        <w:t xml:space="preserve"> et </w:t>
      </w:r>
      <w:r w:rsidR="002D556E" w:rsidRPr="00C22ABE">
        <w:rPr>
          <w:rFonts w:eastAsia="Times New Roman" w:cstheme="minorHAnsi"/>
          <w:color w:val="212121"/>
          <w:sz w:val="20"/>
          <w:szCs w:val="20"/>
          <w:lang w:eastAsia="fr-BE"/>
        </w:rPr>
        <w:t>d’éviter l’usage de vasoconstricteurs. Certains préconisent l’usage d’une sonde nasogastrique pour protéger le site opératoire</w:t>
      </w:r>
      <w:r w:rsidR="00C23AF4" w:rsidRPr="00C22ABE">
        <w:rPr>
          <w:rFonts w:eastAsia="Times New Roman" w:cstheme="minorHAnsi"/>
          <w:color w:val="212121"/>
          <w:sz w:val="20"/>
          <w:szCs w:val="20"/>
          <w:lang w:eastAsia="fr-BE"/>
        </w:rPr>
        <w:t xml:space="preserve"> </w:t>
      </w:r>
      <w:r w:rsidR="00C23AF4" w:rsidRPr="00C22ABE">
        <w:rPr>
          <w:rFonts w:eastAsia="Times New Roman" w:cstheme="minorHAnsi"/>
          <w:color w:val="212121"/>
          <w:sz w:val="20"/>
          <w:szCs w:val="20"/>
          <w:lang w:eastAsia="fr-BE"/>
        </w:rPr>
        <w:fldChar w:fldCharType="begin"/>
      </w:r>
      <w:r w:rsidR="00D36EC3">
        <w:rPr>
          <w:rFonts w:eastAsia="Times New Roman" w:cstheme="minorHAnsi"/>
          <w:color w:val="212121"/>
          <w:sz w:val="20"/>
          <w:szCs w:val="20"/>
          <w:lang w:eastAsia="fr-BE"/>
        </w:rPr>
        <w:instrText xml:space="preserve"> ADDIN ZOTERO_ITEM CSL_CITATION {"citationID":"ZjkVtLqY","properties":{"formattedCitation":"(40,78)","plainCitation":"(40,78)","noteIndex":0},"citationItems":[{"id":299,"uris":["http://zotero.org/users/local/Om3YyEnU/items/E4R2YLT5"],"uri":["http://zotero.org/users/local/Om3YyEnU/items/E4R2YLT5"],"itemData":{"id":299,"type":"article-journal","abstract":"OBJECTIVES: The aim of this study was to assess the microarchitecture and turnover in irradiated cancellous mandibular bone and the relation with radiation dose, to elucidate the effects of radiotherapy on the mandible.\nPATIENTS AND METHODS: Mandibular cancellous bone biopsies were taken from irradiated patients and controls. Micro-CT scanning was performed to analyze microstructural bone parameters. Bone turnover was assessed by histomorphometry. Local radiation dose at the biopsy site (Dmax) was estimated from radiotherapy plans.\nRESULTS: Twenty-seven irradiated patients and 35 controls were included. Osteoid volume (Osteoid Volume/Bone Volume, OV/BV) [0.066/0.168 (median/interquartile range (IQR), OV/BV; %), P &lt; 0.001], osteoid surface (Osteoid Surface/Bone Surface, OS/BS) [0.772/2.17 (median/IQR, OS/BS; %), P &lt; 0.001] and osteoclasts number (Osteoclasts per millimetre bone surface, Ocl/mmBS; mm2) [0.026/0.123 (median/IQR, Ocl/mmBS; mm2), P &lt; 0.001] were decreased; trabecular number (Tb.N) was lower [1.63/0.63 (median/IQR, Tb.N; 1/mm-1), P = 0.012] and trabecular separation (Tb.Sp) [0.626/0.24 (median/IQR, Tb.Sp; μm), P = 0.038] was higher in irradiated mandibular bone. With higher Dmax, trabecular number increases (Spearman's correlation R = 0.470, P = 0.018) and trabecular separation decreases (Spearman's correlation R = -0.526, P = 0.007). Bone mineral density (BMD, milligrams hydroxyappetite per cubic centimetre, mgHA/cm3) [1016/99 (median/IQR, BMD; mgHA/cm3), P = 0.03] and trabecular separation [0.739/0.21 (median/IQR, Tb.Sp; μm), P = 0.005] are higher whereas connectivity density (Conn Dens) [3.94/6.71 (median/IQR, Conn Dens), P = 0.047] and trabecular number [1.48/0.44 (median/IQR, Tb.N; 1/mm-1), P = 0.002] are lower in Dmax ≤50 Gy compared to controls.\nCONCLUSIONS: Radiotherapy dramatically impairs bone turnover in the mandible. Deterioration in microarchitecture only affects bone irradiated with a Dmax of &lt;50 Gy. The 50 Gy value seems to be a critical threshold to where the effects of the radiation is more detrimental.","container-title":"Journal of Cranio-Maxillo-Facial Surgery: Official Publication of the European Association for Cranio-Maxillo-Facial Surgery","DOI":"10.1016/j.jcms.2020.05.015","ISSN":"1878-4119","issue":"8","journalAbbreviation":"J Craniomaxillofac Surg","language":"eng","note":"PMID: 32591131","page":"733-740","source":"PubMed","title":"Bone microarchitecture and turnover in the irradiated human mandible","volume":"48","author":[{"family":"Dekker","given":"H."},{"family":"Schulten","given":"E. a. J. M."},{"family":"Ruijven","given":"L.","non-dropping-particle":"van"},{"family":"Essen","given":"H. W.","non-dropping-particle":"van"},{"family":"Blom","given":"G. J."},{"family":"Bloemena","given":"E."},{"family":"Ten Bruggenkate","given":"Chr M."},{"family":"Kullaa","given":"A. M."},{"family":"Bravenboer","given":"N."}],"issued":{"date-parts":[["2020",8]]}}},{"id":333,"uris":["http://zotero.org/users/local/Om3YyEnU/items/VEFH6GDS"],"uri":["http://zotero.org/users/local/Om3YyEnU/items/VEFH6GDS"],"itemData":{"id":333,"type":"article-journal","abstract":"Medication related osteonecrosis of the jaws (MRONJ) and osteoradionecrosis of the jaws (ORNJ) are two different diseases of quite similar appearance. MRONJ is mainly due to antiresorptive or antiangiogenic drug therapy and ORNJ to radiotherapy. The present work aimed at presenting and comparing the current knowledge on MRONJ and ORNJ. They both present as an exposure of necrotic bone and differ in some clinical or radiological characteristics, clinical course and mostly in treatment. They share similar risk factors. A tooth extraction is more frequently found as a triggering factor in MRONJ. The frequency of a maxillary localisation seems higher for MRONJ. On computed tomographic images, a periosteal reaction seems characteristic of MRONJ. More frequent pathological fractures seem to occur in ORNJ. It is mandatory, for ORNJ diagnosis, to exclude a residual or recurrent tumour using histological examination. Both MRONJ and ORNJ are challenging to treat and cannot be managed similarly. For both, it would still be worth to optimise awareness within the medical community, patients' oral hygiene and dental cares to improve their prevention and make their incidences decrease. Conservative therapy is more frequently achieved for MRONJ than ORNJ and surgical resection is more often performed for ORNJ. For both diseases, the last treatment possible in refractory cases is a surgical extensive resection with free flap reconstruction. A MRONJ classification is widely used today, whereas no consensus exists to date for ORNJ classification. We propose a classification that could play this role.","container-title":"Morphologie: Bulletin De l'Association Des Anatomistes","DOI":"10.1016/j.morpho.2020.11.008","ISSN":"1286-0115","journalAbbreviation":"Morphologie","language":"eng","note":"PMID: 33281055","source":"PubMed","title":"Medication-related osteonecrosis and osteoradionecrosis of the jaws: Update and current management","title-short":"Medication-related osteonecrosis and osteoradionecrosis of the jaws","author":[{"family":"Kün-Darbois","given":"J.-D."},{"family":"Fauvel","given":"F."}],"issued":{"date-parts":[["2020",12,3]]}}}],"schema":"https://github.com/citation-style-language/schema/raw/master/csl-citation.json"} </w:instrText>
      </w:r>
      <w:r w:rsidR="00C23AF4" w:rsidRPr="00C22ABE">
        <w:rPr>
          <w:rFonts w:eastAsia="Times New Roman" w:cstheme="minorHAnsi"/>
          <w:color w:val="212121"/>
          <w:sz w:val="20"/>
          <w:szCs w:val="20"/>
          <w:lang w:eastAsia="fr-BE"/>
        </w:rPr>
        <w:fldChar w:fldCharType="separate"/>
      </w:r>
      <w:r w:rsidR="00D36EC3" w:rsidRPr="00D36EC3">
        <w:rPr>
          <w:rFonts w:ascii="Calibri" w:hAnsi="Calibri" w:cs="Calibri"/>
          <w:sz w:val="20"/>
        </w:rPr>
        <w:t>(40,78)</w:t>
      </w:r>
      <w:r w:rsidR="00C23AF4" w:rsidRPr="00C22ABE">
        <w:rPr>
          <w:rFonts w:eastAsia="Times New Roman" w:cstheme="minorHAnsi"/>
          <w:color w:val="212121"/>
          <w:sz w:val="20"/>
          <w:szCs w:val="20"/>
          <w:lang w:eastAsia="fr-BE"/>
        </w:rPr>
        <w:fldChar w:fldCharType="end"/>
      </w:r>
      <w:r w:rsidR="00C23AF4" w:rsidRPr="00C22ABE">
        <w:rPr>
          <w:rFonts w:eastAsia="Times New Roman" w:cstheme="minorHAnsi"/>
          <w:color w:val="212121"/>
          <w:sz w:val="20"/>
          <w:szCs w:val="20"/>
          <w:lang w:eastAsia="fr-BE"/>
        </w:rPr>
        <w:t>.</w:t>
      </w:r>
    </w:p>
    <w:p w14:paraId="7CAB75D1" w14:textId="693DB027" w:rsidR="002D556E" w:rsidRPr="00C22ABE" w:rsidRDefault="00987E19" w:rsidP="002D556E">
      <w:pPr>
        <w:shd w:val="clear" w:color="auto" w:fill="FFFFFF"/>
        <w:spacing w:line="235" w:lineRule="atLeast"/>
        <w:rPr>
          <w:rFonts w:eastAsia="Times New Roman" w:cstheme="minorHAnsi"/>
          <w:color w:val="222222"/>
          <w:lang w:eastAsia="fr-BE"/>
        </w:rPr>
      </w:pPr>
      <w:r w:rsidRPr="00C22ABE">
        <w:rPr>
          <w:rFonts w:eastAsia="Times New Roman" w:cstheme="minorHAnsi"/>
          <w:color w:val="212121"/>
          <w:sz w:val="20"/>
          <w:szCs w:val="20"/>
          <w:lang w:eastAsia="fr-BE"/>
        </w:rPr>
        <w:t>En résumé, il</w:t>
      </w:r>
      <w:r w:rsidR="002D556E" w:rsidRPr="00C22ABE">
        <w:rPr>
          <w:rFonts w:eastAsia="Times New Roman" w:cstheme="minorHAnsi"/>
          <w:color w:val="212121"/>
          <w:sz w:val="20"/>
          <w:szCs w:val="20"/>
          <w:lang w:eastAsia="fr-BE"/>
        </w:rPr>
        <w:t xml:space="preserve"> n’y a pas de règles concernant le délai entre la fin de la radiothérapie et le placement d’implant, et la dose charnière de rayons</w:t>
      </w:r>
      <w:r w:rsidR="009D3714" w:rsidRPr="00C22ABE">
        <w:rPr>
          <w:rFonts w:eastAsia="Times New Roman" w:cstheme="minorHAnsi"/>
          <w:color w:val="212121"/>
          <w:sz w:val="20"/>
          <w:szCs w:val="20"/>
          <w:lang w:eastAsia="fr-BE"/>
        </w:rPr>
        <w:t>.</w:t>
      </w:r>
    </w:p>
    <w:p w14:paraId="315EE6B6" w14:textId="3CC816E3" w:rsidR="00987E19" w:rsidRPr="00C22ABE" w:rsidRDefault="009D3714" w:rsidP="00987E19">
      <w:pPr>
        <w:shd w:val="clear" w:color="auto" w:fill="FFFFFF"/>
        <w:spacing w:line="235" w:lineRule="atLeast"/>
        <w:rPr>
          <w:rFonts w:eastAsia="Times New Roman" w:cstheme="minorHAnsi"/>
          <w:color w:val="212121"/>
          <w:sz w:val="20"/>
          <w:szCs w:val="20"/>
          <w:lang w:eastAsia="fr-BE"/>
        </w:rPr>
      </w:pPr>
      <w:r w:rsidRPr="00C22ABE">
        <w:rPr>
          <w:rFonts w:eastAsia="Times New Roman" w:cstheme="minorHAnsi"/>
          <w:color w:val="212121"/>
          <w:sz w:val="20"/>
          <w:szCs w:val="20"/>
          <w:lang w:eastAsia="fr-BE"/>
        </w:rPr>
        <w:lastRenderedPageBreak/>
        <w:t xml:space="preserve">Une autre possibilité est le placement d’implants durant la chirurgie oncologique et avant la radiothérapie. </w:t>
      </w:r>
      <w:r w:rsidR="00987E19" w:rsidRPr="00C22ABE">
        <w:rPr>
          <w:rFonts w:eastAsia="Times New Roman" w:cstheme="minorHAnsi"/>
          <w:color w:val="212121"/>
          <w:sz w:val="20"/>
          <w:szCs w:val="20"/>
          <w:lang w:eastAsia="fr-BE"/>
        </w:rPr>
        <w:t>Une revue de la littérature</w:t>
      </w:r>
      <w:r w:rsidR="002D556E" w:rsidRPr="00C22ABE">
        <w:rPr>
          <w:rFonts w:eastAsia="Times New Roman" w:cstheme="minorHAnsi"/>
          <w:color w:val="212121"/>
          <w:sz w:val="20"/>
          <w:szCs w:val="20"/>
          <w:lang w:eastAsia="fr-BE"/>
        </w:rPr>
        <w:t xml:space="preserve"> </w:t>
      </w:r>
      <w:r w:rsidR="00987E19" w:rsidRPr="00C22ABE">
        <w:rPr>
          <w:rFonts w:eastAsia="Times New Roman" w:cstheme="minorHAnsi"/>
          <w:color w:val="212121"/>
          <w:sz w:val="20"/>
          <w:szCs w:val="20"/>
          <w:lang w:eastAsia="fr-BE"/>
        </w:rPr>
        <w:t xml:space="preserve">montre un taux de succès de 89,6% par </w:t>
      </w:r>
      <w:r w:rsidR="006320C0" w:rsidRPr="00C22ABE">
        <w:rPr>
          <w:rFonts w:eastAsia="Times New Roman" w:cstheme="minorHAnsi"/>
          <w:color w:val="212121"/>
          <w:sz w:val="20"/>
          <w:szCs w:val="20"/>
          <w:lang w:eastAsia="fr-BE"/>
        </w:rPr>
        <w:t>rapport à</w:t>
      </w:r>
      <w:r w:rsidR="00987E19" w:rsidRPr="00C22ABE">
        <w:rPr>
          <w:rFonts w:eastAsia="Times New Roman" w:cstheme="minorHAnsi"/>
          <w:color w:val="212121"/>
          <w:sz w:val="20"/>
          <w:szCs w:val="20"/>
          <w:lang w:eastAsia="fr-BE"/>
        </w:rPr>
        <w:t xml:space="preserve"> 98,6% avec chirurgie oncologique sans radiothérapie. Ce placement peropératoire permet</w:t>
      </w:r>
      <w:r w:rsidR="002D556E" w:rsidRPr="00C22ABE">
        <w:rPr>
          <w:rFonts w:eastAsia="Times New Roman" w:cstheme="minorHAnsi"/>
          <w:color w:val="212121"/>
          <w:sz w:val="20"/>
          <w:szCs w:val="20"/>
          <w:lang w:eastAsia="fr-BE"/>
        </w:rPr>
        <w:t xml:space="preserve"> une réhabilitation dentaire précoce, avec une mise en charge après minimum 6 mois</w:t>
      </w:r>
      <w:r w:rsidR="00987E19" w:rsidRPr="00C22ABE">
        <w:rPr>
          <w:rFonts w:eastAsia="Times New Roman" w:cstheme="minorHAnsi"/>
          <w:color w:val="212121"/>
          <w:sz w:val="20"/>
          <w:szCs w:val="20"/>
          <w:lang w:eastAsia="fr-BE"/>
        </w:rPr>
        <w:t xml:space="preserve">. Par contre, le taux de succès de la prothèse </w:t>
      </w:r>
      <w:proofErr w:type="spellStart"/>
      <w:r w:rsidR="00987E19" w:rsidRPr="00C22ABE">
        <w:rPr>
          <w:rFonts w:eastAsia="Times New Roman" w:cstheme="minorHAnsi"/>
          <w:color w:val="212121"/>
          <w:sz w:val="20"/>
          <w:szCs w:val="20"/>
          <w:lang w:eastAsia="fr-BE"/>
        </w:rPr>
        <w:t>implantoportée</w:t>
      </w:r>
      <w:proofErr w:type="spellEnd"/>
      <w:r w:rsidR="00987E19" w:rsidRPr="00C22ABE">
        <w:rPr>
          <w:rFonts w:eastAsia="Times New Roman" w:cstheme="minorHAnsi"/>
          <w:color w:val="212121"/>
          <w:sz w:val="20"/>
          <w:szCs w:val="20"/>
          <w:lang w:eastAsia="fr-BE"/>
        </w:rPr>
        <w:t xml:space="preserve"> était de 67,4</w:t>
      </w:r>
      <w:r w:rsidRPr="00C22ABE">
        <w:rPr>
          <w:rFonts w:eastAsia="Times New Roman" w:cstheme="minorHAnsi"/>
          <w:color w:val="212121"/>
          <w:sz w:val="20"/>
          <w:szCs w:val="20"/>
          <w:lang w:eastAsia="fr-BE"/>
        </w:rPr>
        <w:t>% alors</w:t>
      </w:r>
      <w:r w:rsidR="00987E19" w:rsidRPr="00C22ABE">
        <w:rPr>
          <w:rFonts w:eastAsia="Times New Roman" w:cstheme="minorHAnsi"/>
          <w:color w:val="212121"/>
          <w:sz w:val="20"/>
          <w:szCs w:val="20"/>
          <w:lang w:eastAsia="fr-BE"/>
        </w:rPr>
        <w:t xml:space="preserve"> qu’il est de 93,1% chez les patients chez qui les implants ont été placés 1 an après la fin du traitement de radiothérapie. Seuls 5 cas d’ORN ont été décrits. Il y a donc une d</w:t>
      </w:r>
      <w:r w:rsidR="00987E19" w:rsidRPr="00C22ABE">
        <w:rPr>
          <w:rFonts w:eastAsia="Times New Roman" w:cstheme="minorHAnsi"/>
          <w:color w:val="222222"/>
          <w:sz w:val="20"/>
          <w:szCs w:val="20"/>
          <w:lang w:eastAsia="fr-BE"/>
        </w:rPr>
        <w:t>ifférence entre le nombre d’implants placés et le nombre d’implants mis en charge. </w:t>
      </w:r>
      <w:r w:rsidR="00987E19" w:rsidRPr="00C22ABE">
        <w:rPr>
          <w:rFonts w:eastAsia="Times New Roman" w:cstheme="minorHAnsi"/>
          <w:color w:val="212121"/>
          <w:sz w:val="20"/>
          <w:szCs w:val="20"/>
          <w:lang w:eastAsia="fr-BE"/>
        </w:rPr>
        <w:t xml:space="preserve"> </w:t>
      </w:r>
    </w:p>
    <w:p w14:paraId="51F583B2" w14:textId="71665D1E" w:rsidR="002D556E" w:rsidRPr="00C22ABE" w:rsidRDefault="009D3714" w:rsidP="002D556E">
      <w:pPr>
        <w:shd w:val="clear" w:color="auto" w:fill="FFFFFF"/>
        <w:spacing w:line="235" w:lineRule="atLeast"/>
        <w:rPr>
          <w:rFonts w:eastAsia="Times New Roman" w:cstheme="minorHAnsi"/>
          <w:color w:val="222222"/>
          <w:lang w:eastAsia="fr-BE"/>
        </w:rPr>
      </w:pPr>
      <w:r w:rsidRPr="00960B04">
        <w:rPr>
          <w:rFonts w:eastAsia="Times New Roman" w:cstheme="minorHAnsi"/>
          <w:color w:val="212121"/>
          <w:sz w:val="20"/>
          <w:szCs w:val="20"/>
          <w:lang w:eastAsia="fr-BE"/>
        </w:rPr>
        <w:t>Le bémol est que l</w:t>
      </w:r>
      <w:r w:rsidR="00C23AF4" w:rsidRPr="00960B04">
        <w:rPr>
          <w:rFonts w:eastAsia="Times New Roman" w:cstheme="minorHAnsi"/>
          <w:color w:val="212121"/>
          <w:sz w:val="20"/>
          <w:szCs w:val="20"/>
          <w:lang w:eastAsia="fr-BE"/>
        </w:rPr>
        <w:t xml:space="preserve">a </w:t>
      </w:r>
      <w:r w:rsidR="00987E19" w:rsidRPr="00960B04">
        <w:rPr>
          <w:rFonts w:eastAsia="Times New Roman" w:cstheme="minorHAnsi"/>
          <w:color w:val="212121"/>
          <w:sz w:val="20"/>
          <w:szCs w:val="20"/>
          <w:lang w:eastAsia="fr-BE"/>
        </w:rPr>
        <w:t>présence d’implants</w:t>
      </w:r>
      <w:r w:rsidR="00C23AF4" w:rsidRPr="00960B04">
        <w:rPr>
          <w:rFonts w:eastAsia="Times New Roman" w:cstheme="minorHAnsi"/>
          <w:color w:val="212121"/>
          <w:sz w:val="20"/>
          <w:szCs w:val="20"/>
          <w:lang w:eastAsia="fr-BE"/>
        </w:rPr>
        <w:t xml:space="preserve"> placé</w:t>
      </w:r>
      <w:r w:rsidRPr="00960B04">
        <w:rPr>
          <w:rFonts w:eastAsia="Times New Roman" w:cstheme="minorHAnsi"/>
          <w:color w:val="212121"/>
          <w:sz w:val="20"/>
          <w:szCs w:val="20"/>
          <w:lang w:eastAsia="fr-BE"/>
        </w:rPr>
        <w:t xml:space="preserve">s avant radiothérapie </w:t>
      </w:r>
      <w:r w:rsidR="00987E19" w:rsidRPr="00960B04">
        <w:rPr>
          <w:rFonts w:eastAsia="Times New Roman" w:cstheme="minorHAnsi"/>
          <w:color w:val="212121"/>
          <w:sz w:val="20"/>
          <w:szCs w:val="20"/>
          <w:lang w:eastAsia="fr-BE"/>
        </w:rPr>
        <w:t xml:space="preserve">pourrait </w:t>
      </w:r>
      <w:r w:rsidR="001D1E70" w:rsidRPr="00960B04">
        <w:rPr>
          <w:rFonts w:eastAsia="Times New Roman" w:cstheme="minorHAnsi"/>
          <w:color w:val="212121"/>
          <w:sz w:val="20"/>
          <w:szCs w:val="20"/>
          <w:lang w:eastAsia="fr-BE"/>
        </w:rPr>
        <w:t>être à l’origine d’artéfacts sur</w:t>
      </w:r>
      <w:r w:rsidR="00987E19" w:rsidRPr="00960B04">
        <w:rPr>
          <w:rFonts w:eastAsia="Times New Roman" w:cstheme="minorHAnsi"/>
          <w:color w:val="212121"/>
          <w:sz w:val="20"/>
          <w:szCs w:val="20"/>
          <w:lang w:eastAsia="fr-BE"/>
        </w:rPr>
        <w:t xml:space="preserve"> la délinéation tumorale et altérer la précision de la dose délivrée</w:t>
      </w:r>
      <w:r w:rsidR="001D1E70" w:rsidRPr="00960B04">
        <w:rPr>
          <w:rFonts w:eastAsia="Times New Roman" w:cstheme="minorHAnsi"/>
          <w:color w:val="212121"/>
          <w:sz w:val="20"/>
          <w:szCs w:val="20"/>
          <w:lang w:eastAsia="fr-BE"/>
        </w:rPr>
        <w:t xml:space="preserve"> </w:t>
      </w:r>
      <w:r w:rsidR="00987E19" w:rsidRPr="00960B04">
        <w:rPr>
          <w:rFonts w:eastAsia="Times New Roman" w:cstheme="minorHAnsi"/>
          <w:color w:val="212121"/>
          <w:sz w:val="20"/>
          <w:szCs w:val="20"/>
          <w:lang w:eastAsia="fr-BE"/>
        </w:rPr>
        <w:fldChar w:fldCharType="begin"/>
      </w:r>
      <w:r w:rsidR="00D36EC3">
        <w:rPr>
          <w:rFonts w:eastAsia="Times New Roman" w:cstheme="minorHAnsi"/>
          <w:color w:val="212121"/>
          <w:sz w:val="20"/>
          <w:szCs w:val="20"/>
          <w:lang w:eastAsia="fr-BE"/>
        </w:rPr>
        <w:instrText xml:space="preserve"> ADDIN ZOTERO_ITEM CSL_CITATION {"citationID":"iD6nbitk","properties":{"formattedCitation":"(81)","plainCitation":"(81)","noteIndex":0},"citationItems":[{"id":343,"uris":["http://zotero.org/users/local/Om3YyEnU/items/TLTI85X3"],"uri":["http://zotero.org/users/local/Om3YyEnU/items/TLTI85X3"],"itemData":{"id":343,"type":"article-journal","abstract":"There is no recommendation regarding the timing for implant surgery in patients with head and neck cancer (HNC) who require postoperative radiation therapy (RT). This systematic review focused on the literature about the outcomes of implants placed during ablative surgery in patients with HNC who underwent postoperative RT. Implants placed after radiation therapy and implants placed in reconstructed jaws were excluded. Four comparative studies involving 755 native mandible primary implants were analyzed. The survival rate with postimplantation RT was 89.6% vs 98.6% in patients with no additional radiation. The overall success of implant-retained overdenture in patients with RT performed postimplantation was 67.4% vs 93.1% in patients with implant surgery that was carried out 1 year after the completion of radiation therapy. Only five cases of osteoradionecrosis (ORN) of the jaw were reported. The outcomes for implant survival rates appear to be positive for irradiated implants.","container-title":"Head &amp; Neck","DOI":"10.1002/hed.26065","ISSN":"1097-0347","issue":"4","journalAbbreviation":"Head Neck","language":"eng","note":"PMID: 31898358","page":"794-802","source":"PubMed","title":"Postimplantation radiation therapy in head and neck cancer patients: Literature review","title-short":"Postimplantation radiation therapy in head and neck cancer patients","volume":"42","author":[{"family":"Koudougou","given":"Carine"},{"family":"Bertin","given":"Hélios"},{"family":"Lecaplain","given":"Bastien"},{"family":"Badran","given":"Zahi"},{"family":"Longis","given":"Julie"},{"family":"Corre","given":"Pierre"},{"family":"Hoornaert","given":"Alain"}],"issued":{"date-parts":[["2020",4]]}}}],"schema":"https://github.com/citation-style-language/schema/raw/master/csl-citation.json"} </w:instrText>
      </w:r>
      <w:r w:rsidR="00987E19" w:rsidRPr="00960B04">
        <w:rPr>
          <w:rFonts w:eastAsia="Times New Roman" w:cstheme="minorHAnsi"/>
          <w:color w:val="212121"/>
          <w:sz w:val="20"/>
          <w:szCs w:val="20"/>
          <w:lang w:eastAsia="fr-BE"/>
        </w:rPr>
        <w:fldChar w:fldCharType="separate"/>
      </w:r>
      <w:r w:rsidR="00D36EC3" w:rsidRPr="00D36EC3">
        <w:rPr>
          <w:rFonts w:ascii="Calibri" w:hAnsi="Calibri" w:cs="Calibri"/>
          <w:sz w:val="20"/>
        </w:rPr>
        <w:t>(81)</w:t>
      </w:r>
      <w:r w:rsidR="00987E19" w:rsidRPr="00960B04">
        <w:rPr>
          <w:rFonts w:eastAsia="Times New Roman" w:cstheme="minorHAnsi"/>
          <w:color w:val="212121"/>
          <w:sz w:val="20"/>
          <w:szCs w:val="20"/>
          <w:lang w:eastAsia="fr-BE"/>
        </w:rPr>
        <w:fldChar w:fldCharType="end"/>
      </w:r>
      <w:r w:rsidR="00987E19" w:rsidRPr="00960B04">
        <w:rPr>
          <w:rFonts w:eastAsia="Times New Roman" w:cstheme="minorHAnsi"/>
          <w:color w:val="212121"/>
          <w:sz w:val="20"/>
          <w:szCs w:val="20"/>
          <w:lang w:eastAsia="fr-BE"/>
        </w:rPr>
        <w:t>.</w:t>
      </w:r>
    </w:p>
    <w:p w14:paraId="5EFCD957" w14:textId="77777777" w:rsidR="002D556E" w:rsidRPr="00C22ABE" w:rsidRDefault="002D556E" w:rsidP="002D556E">
      <w:pPr>
        <w:shd w:val="clear" w:color="auto" w:fill="FFFFFF"/>
        <w:spacing w:after="0" w:line="240" w:lineRule="auto"/>
        <w:rPr>
          <w:rFonts w:eastAsia="Times New Roman" w:cstheme="minorHAnsi"/>
          <w:color w:val="222222"/>
          <w:sz w:val="24"/>
          <w:lang w:eastAsia="fr-BE"/>
        </w:rPr>
      </w:pPr>
      <w:r w:rsidRPr="00C22ABE">
        <w:rPr>
          <w:rFonts w:eastAsia="Times New Roman" w:cstheme="minorHAnsi"/>
          <w:color w:val="212121"/>
          <w:szCs w:val="20"/>
          <w:lang w:eastAsia="fr-BE"/>
        </w:rPr>
        <w:t> </w:t>
      </w:r>
    </w:p>
    <w:p w14:paraId="7488BF80" w14:textId="7B89634D" w:rsidR="000D3A36" w:rsidRPr="00C22ABE" w:rsidRDefault="000D3A36" w:rsidP="009D4A56">
      <w:pPr>
        <w:pStyle w:val="Paragraphedeliste"/>
        <w:numPr>
          <w:ilvl w:val="0"/>
          <w:numId w:val="21"/>
        </w:numPr>
        <w:tabs>
          <w:tab w:val="left" w:pos="7110"/>
        </w:tabs>
        <w:rPr>
          <w:rFonts w:cstheme="minorHAnsi"/>
          <w:b/>
          <w:color w:val="0000FF"/>
          <w:szCs w:val="18"/>
          <w:u w:val="single"/>
        </w:rPr>
      </w:pPr>
      <w:r w:rsidRPr="00C22ABE">
        <w:rPr>
          <w:rFonts w:cstheme="minorHAnsi"/>
          <w:b/>
          <w:color w:val="0000FF"/>
          <w:szCs w:val="18"/>
          <w:u w:val="single"/>
        </w:rPr>
        <w:t>Conclusion</w:t>
      </w:r>
    </w:p>
    <w:p w14:paraId="3D2793A7" w14:textId="77777777" w:rsidR="000D3A36" w:rsidRPr="00C22ABE" w:rsidRDefault="000D3A36" w:rsidP="000D3A36">
      <w:pPr>
        <w:tabs>
          <w:tab w:val="left" w:pos="7110"/>
        </w:tabs>
        <w:rPr>
          <w:rFonts w:cstheme="minorHAnsi"/>
          <w:sz w:val="20"/>
          <w:szCs w:val="18"/>
        </w:rPr>
      </w:pPr>
      <w:r w:rsidRPr="00C22ABE">
        <w:rPr>
          <w:rFonts w:cstheme="minorHAnsi"/>
          <w:sz w:val="20"/>
          <w:szCs w:val="18"/>
        </w:rPr>
        <w:t xml:space="preserve">Tout patient atteint d’un cancer des voies aérodigestives supérieures et nécessitant un traitement par radiothérapie doit bénéficier d’une prévention et d’un suivi des pathologies bucco-dentaires. En effet, une éducation thérapeutique du patient doit être mise en place afin de prévenir au maximum ses risques d’apparition. </w:t>
      </w:r>
    </w:p>
    <w:p w14:paraId="469D6F79" w14:textId="77777777" w:rsidR="00C22ABE" w:rsidRPr="00C22ABE" w:rsidRDefault="000D3A36" w:rsidP="000D3A36">
      <w:pPr>
        <w:spacing w:line="235" w:lineRule="atLeast"/>
        <w:rPr>
          <w:rFonts w:eastAsia="Times New Roman" w:cstheme="minorHAnsi"/>
          <w:sz w:val="20"/>
          <w:szCs w:val="20"/>
          <w:lang w:eastAsia="fr-BE"/>
        </w:rPr>
      </w:pPr>
      <w:r w:rsidRPr="00C22ABE">
        <w:rPr>
          <w:rFonts w:eastAsia="Times New Roman" w:cstheme="minorHAnsi"/>
          <w:sz w:val="20"/>
          <w:szCs w:val="20"/>
          <w:lang w:eastAsia="fr-BE"/>
        </w:rPr>
        <w:t>Une hygiène buccodentaire rigoureuse ainsi qu’un assainissement dentaire par soin et extraction doit être instauré au minimum 14 jours avant le début de la radiothérapie. De plus le patient doit s’inscrire dans un suivi oral régulier pendant et après la radiothérapie dans le but de diagnostiquer le plus rapidement possible une complication.</w:t>
      </w:r>
      <w:r w:rsidRPr="00C22ABE">
        <w:rPr>
          <w:rFonts w:eastAsia="Times New Roman" w:cstheme="minorHAnsi"/>
          <w:sz w:val="20"/>
          <w:szCs w:val="20"/>
          <w:lang w:eastAsia="fr-BE"/>
        </w:rPr>
        <w:br/>
      </w:r>
    </w:p>
    <w:p w14:paraId="325834C7" w14:textId="79E5C497" w:rsidR="000D3A36" w:rsidRDefault="000D3A36" w:rsidP="000D3A36">
      <w:pPr>
        <w:spacing w:line="235" w:lineRule="atLeast"/>
        <w:rPr>
          <w:rFonts w:eastAsia="Times New Roman" w:cstheme="minorHAnsi"/>
          <w:sz w:val="20"/>
          <w:szCs w:val="20"/>
          <w:lang w:val="fr-FR" w:eastAsia="fr-BE"/>
        </w:rPr>
      </w:pPr>
      <w:r w:rsidRPr="00C22ABE">
        <w:rPr>
          <w:rFonts w:eastAsia="Times New Roman" w:cstheme="minorHAnsi"/>
          <w:sz w:val="20"/>
          <w:szCs w:val="20"/>
          <w:lang w:eastAsia="fr-BE"/>
        </w:rPr>
        <w:t xml:space="preserve">En cas de </w:t>
      </w:r>
      <w:r w:rsidR="00C22ABE" w:rsidRPr="00C22ABE">
        <w:rPr>
          <w:rFonts w:eastAsia="Times New Roman" w:cstheme="minorHAnsi"/>
          <w:sz w:val="20"/>
          <w:szCs w:val="20"/>
          <w:lang w:eastAsia="fr-BE"/>
        </w:rPr>
        <w:t>d’ostéo</w:t>
      </w:r>
      <w:r w:rsidRPr="00C22ABE">
        <w:rPr>
          <w:rFonts w:eastAsia="Times New Roman" w:cstheme="minorHAnsi"/>
          <w:sz w:val="20"/>
          <w:szCs w:val="20"/>
          <w:lang w:eastAsia="fr-BE"/>
        </w:rPr>
        <w:t>radionécrose des mâchoires avérée, la littérature met en avant différentes thérapeutiques. L’attitude conservatrice doit être privilégiée en première intention. L’association d’une </w:t>
      </w:r>
      <w:r w:rsidRPr="00C22ABE">
        <w:rPr>
          <w:rFonts w:eastAsia="Times New Roman" w:cstheme="minorHAnsi"/>
          <w:sz w:val="20"/>
          <w:szCs w:val="20"/>
          <w:lang w:val="fr-FR" w:eastAsia="fr-BE"/>
        </w:rPr>
        <w:t>antibiothérapie, un contrôle de la douleur, l’usage de bains de bouche, un débridement local, une hygiène buccodentaire efficace et l’usage de fluor semblent être le traitement de base. D’autres alternatives sont décrites te</w:t>
      </w:r>
      <w:r w:rsidR="00C22ABE" w:rsidRPr="00C22ABE">
        <w:rPr>
          <w:rFonts w:eastAsia="Times New Roman" w:cstheme="minorHAnsi"/>
          <w:sz w:val="20"/>
          <w:szCs w:val="20"/>
          <w:lang w:val="fr-FR" w:eastAsia="fr-BE"/>
        </w:rPr>
        <w:t>lles que l’oxygénothérapie hyperba</w:t>
      </w:r>
      <w:r w:rsidRPr="00C22ABE">
        <w:rPr>
          <w:rFonts w:eastAsia="Times New Roman" w:cstheme="minorHAnsi"/>
          <w:sz w:val="20"/>
          <w:szCs w:val="20"/>
          <w:lang w:val="fr-FR" w:eastAsia="fr-BE"/>
        </w:rPr>
        <w:t xml:space="preserve">re, sans preuves d’efficacité dans les études et un coût élevé. Le traitement associant trois molécules : le </w:t>
      </w:r>
      <w:proofErr w:type="spellStart"/>
      <w:r w:rsidRPr="00C22ABE">
        <w:rPr>
          <w:rFonts w:eastAsia="Times New Roman" w:cstheme="minorHAnsi"/>
          <w:sz w:val="20"/>
          <w:szCs w:val="20"/>
          <w:lang w:val="fr-FR" w:eastAsia="fr-BE"/>
        </w:rPr>
        <w:t>PenToClo</w:t>
      </w:r>
      <w:proofErr w:type="spellEnd"/>
      <w:r w:rsidRPr="00C22ABE">
        <w:rPr>
          <w:rFonts w:eastAsia="Times New Roman" w:cstheme="minorHAnsi"/>
          <w:sz w:val="20"/>
          <w:szCs w:val="20"/>
          <w:lang w:val="fr-FR" w:eastAsia="fr-BE"/>
        </w:rPr>
        <w:t xml:space="preserve"> semble favorable après une bonne observance de plus de 18 mois.</w:t>
      </w:r>
      <w:r w:rsidRPr="00C22ABE">
        <w:rPr>
          <w:rFonts w:eastAsia="Times New Roman" w:cstheme="minorHAnsi"/>
          <w:sz w:val="20"/>
          <w:szCs w:val="20"/>
          <w:lang w:val="fr-FR" w:eastAsia="fr-BE"/>
        </w:rPr>
        <w:br/>
        <w:t>En cas d’échec ou d’évolution défavorable un traitement chirurgical non conservateur est préconis</w:t>
      </w:r>
      <w:r w:rsidR="005A668F" w:rsidRPr="00C22ABE">
        <w:rPr>
          <w:rFonts w:eastAsia="Times New Roman" w:cstheme="minorHAnsi"/>
          <w:sz w:val="20"/>
          <w:szCs w:val="20"/>
          <w:lang w:val="fr-FR" w:eastAsia="fr-BE"/>
        </w:rPr>
        <w:t>é</w:t>
      </w:r>
      <w:r w:rsidRPr="00C22ABE">
        <w:rPr>
          <w:rFonts w:eastAsia="Times New Roman" w:cstheme="minorHAnsi"/>
          <w:sz w:val="20"/>
          <w:szCs w:val="20"/>
          <w:lang w:val="fr-FR" w:eastAsia="fr-BE"/>
        </w:rPr>
        <w:t>, une exérèse large en marge vitale suivi d’un lambeau de reconstruction sont souvent nécessaires.</w:t>
      </w:r>
      <w:r w:rsidRPr="00C22ABE">
        <w:rPr>
          <w:rFonts w:eastAsia="Times New Roman" w:cstheme="minorHAnsi"/>
          <w:sz w:val="20"/>
          <w:szCs w:val="20"/>
          <w:lang w:val="fr-FR" w:eastAsia="fr-BE"/>
        </w:rPr>
        <w:br/>
        <w:t xml:space="preserve">Le patient doit être encouragé à poursuivre son suivi </w:t>
      </w:r>
      <w:r w:rsidR="00C22ABE" w:rsidRPr="00C22ABE">
        <w:rPr>
          <w:rFonts w:eastAsia="Times New Roman" w:cstheme="minorHAnsi"/>
          <w:sz w:val="20"/>
          <w:szCs w:val="20"/>
          <w:lang w:val="fr-FR" w:eastAsia="fr-BE"/>
        </w:rPr>
        <w:t xml:space="preserve">oncologique </w:t>
      </w:r>
      <w:r w:rsidRPr="00C22ABE">
        <w:rPr>
          <w:rFonts w:eastAsia="Times New Roman" w:cstheme="minorHAnsi"/>
          <w:sz w:val="20"/>
          <w:szCs w:val="20"/>
          <w:lang w:val="fr-FR" w:eastAsia="fr-BE"/>
        </w:rPr>
        <w:t xml:space="preserve">régulièrement et </w:t>
      </w:r>
      <w:r w:rsidR="00C22ABE" w:rsidRPr="00C22ABE">
        <w:rPr>
          <w:rFonts w:eastAsia="Times New Roman" w:cstheme="minorHAnsi"/>
          <w:sz w:val="20"/>
          <w:szCs w:val="20"/>
          <w:lang w:val="fr-FR" w:eastAsia="fr-BE"/>
        </w:rPr>
        <w:t>être attentif à son</w:t>
      </w:r>
      <w:r w:rsidRPr="00C22ABE">
        <w:rPr>
          <w:rFonts w:eastAsia="Times New Roman" w:cstheme="minorHAnsi"/>
          <w:sz w:val="20"/>
          <w:szCs w:val="20"/>
          <w:lang w:val="fr-FR" w:eastAsia="fr-BE"/>
        </w:rPr>
        <w:t xml:space="preserve"> hygiène </w:t>
      </w:r>
      <w:r w:rsidR="006320C0" w:rsidRPr="00C22ABE">
        <w:rPr>
          <w:rFonts w:eastAsia="Times New Roman" w:cstheme="minorHAnsi"/>
          <w:sz w:val="20"/>
          <w:szCs w:val="20"/>
          <w:lang w:val="fr-FR" w:eastAsia="fr-BE"/>
        </w:rPr>
        <w:t>bucco-dentaire</w:t>
      </w:r>
      <w:r w:rsidRPr="00C22ABE">
        <w:rPr>
          <w:rFonts w:eastAsia="Times New Roman" w:cstheme="minorHAnsi"/>
          <w:sz w:val="20"/>
          <w:szCs w:val="20"/>
          <w:lang w:val="fr-FR" w:eastAsia="fr-BE"/>
        </w:rPr>
        <w:t xml:space="preserve"> jusqu’à la fin de sa vie. La réalisation d’extraction</w:t>
      </w:r>
      <w:r w:rsidR="00457747">
        <w:rPr>
          <w:rFonts w:eastAsia="Times New Roman" w:cstheme="minorHAnsi"/>
          <w:sz w:val="20"/>
          <w:szCs w:val="20"/>
          <w:lang w:val="fr-FR" w:eastAsia="fr-BE"/>
        </w:rPr>
        <w:t>s</w:t>
      </w:r>
      <w:r w:rsidRPr="00C22ABE">
        <w:rPr>
          <w:rFonts w:eastAsia="Times New Roman" w:cstheme="minorHAnsi"/>
          <w:sz w:val="20"/>
          <w:szCs w:val="20"/>
          <w:lang w:val="fr-FR" w:eastAsia="fr-BE"/>
        </w:rPr>
        <w:t xml:space="preserve"> dentaire</w:t>
      </w:r>
      <w:r w:rsidR="00457747">
        <w:rPr>
          <w:rFonts w:eastAsia="Times New Roman" w:cstheme="minorHAnsi"/>
          <w:sz w:val="20"/>
          <w:szCs w:val="20"/>
          <w:lang w:val="fr-FR" w:eastAsia="fr-BE"/>
        </w:rPr>
        <w:t>s</w:t>
      </w:r>
      <w:r w:rsidRPr="00C22ABE">
        <w:rPr>
          <w:rFonts w:eastAsia="Times New Roman" w:cstheme="minorHAnsi"/>
          <w:sz w:val="20"/>
          <w:szCs w:val="20"/>
          <w:lang w:val="fr-FR" w:eastAsia="fr-BE"/>
        </w:rPr>
        <w:t xml:space="preserve"> </w:t>
      </w:r>
      <w:r w:rsidR="00457747">
        <w:rPr>
          <w:rFonts w:eastAsia="Times New Roman" w:cstheme="minorHAnsi"/>
          <w:sz w:val="20"/>
          <w:szCs w:val="20"/>
          <w:lang w:val="fr-FR" w:eastAsia="fr-BE"/>
        </w:rPr>
        <w:t>post-</w:t>
      </w:r>
      <w:r w:rsidRPr="00C22ABE">
        <w:rPr>
          <w:rFonts w:eastAsia="Times New Roman" w:cstheme="minorHAnsi"/>
          <w:sz w:val="20"/>
          <w:szCs w:val="20"/>
          <w:lang w:val="fr-FR" w:eastAsia="fr-BE"/>
        </w:rPr>
        <w:t xml:space="preserve"> radiothérapie </w:t>
      </w:r>
      <w:r w:rsidR="00457747">
        <w:rPr>
          <w:rFonts w:eastAsia="Times New Roman" w:cstheme="minorHAnsi"/>
          <w:sz w:val="20"/>
          <w:szCs w:val="20"/>
          <w:lang w:val="fr-FR" w:eastAsia="fr-BE"/>
        </w:rPr>
        <w:t>est</w:t>
      </w:r>
      <w:r w:rsidRPr="00C22ABE">
        <w:rPr>
          <w:rFonts w:eastAsia="Times New Roman" w:cstheme="minorHAnsi"/>
          <w:sz w:val="20"/>
          <w:szCs w:val="20"/>
          <w:lang w:val="fr-FR" w:eastAsia="fr-BE"/>
        </w:rPr>
        <w:t xml:space="preserve"> envisageable </w:t>
      </w:r>
      <w:r w:rsidR="00457747">
        <w:rPr>
          <w:rFonts w:eastAsia="Times New Roman" w:cstheme="minorHAnsi"/>
          <w:sz w:val="20"/>
          <w:szCs w:val="20"/>
          <w:lang w:val="fr-FR" w:eastAsia="fr-BE"/>
        </w:rPr>
        <w:t xml:space="preserve">quelle que soit la dose administrée </w:t>
      </w:r>
      <w:r w:rsidRPr="00C22ABE">
        <w:rPr>
          <w:rFonts w:eastAsia="Times New Roman" w:cstheme="minorHAnsi"/>
          <w:sz w:val="20"/>
          <w:szCs w:val="20"/>
          <w:lang w:val="fr-FR" w:eastAsia="fr-BE"/>
        </w:rPr>
        <w:t>et d</w:t>
      </w:r>
      <w:r w:rsidR="00457747">
        <w:rPr>
          <w:rFonts w:eastAsia="Times New Roman" w:cstheme="minorHAnsi"/>
          <w:sz w:val="20"/>
          <w:szCs w:val="20"/>
          <w:lang w:val="fr-FR" w:eastAsia="fr-BE"/>
        </w:rPr>
        <w:t>oi</w:t>
      </w:r>
      <w:r w:rsidRPr="00C22ABE">
        <w:rPr>
          <w:rFonts w:eastAsia="Times New Roman" w:cstheme="minorHAnsi"/>
          <w:sz w:val="20"/>
          <w:szCs w:val="20"/>
          <w:lang w:val="fr-FR" w:eastAsia="fr-BE"/>
        </w:rPr>
        <w:t>t faire l’objet d’une prise en charge globale</w:t>
      </w:r>
      <w:r w:rsidR="00457747">
        <w:rPr>
          <w:rFonts w:eastAsia="Times New Roman" w:cstheme="minorHAnsi"/>
          <w:sz w:val="20"/>
          <w:szCs w:val="20"/>
          <w:lang w:val="fr-FR" w:eastAsia="fr-BE"/>
        </w:rPr>
        <w:t xml:space="preserve"> (balance risque/bénéfice)</w:t>
      </w:r>
      <w:r w:rsidRPr="00C22ABE">
        <w:rPr>
          <w:rFonts w:eastAsia="Times New Roman" w:cstheme="minorHAnsi"/>
          <w:sz w:val="20"/>
          <w:szCs w:val="20"/>
          <w:lang w:val="fr-FR" w:eastAsia="fr-BE"/>
        </w:rPr>
        <w:t>.</w:t>
      </w:r>
      <w:r w:rsidR="001D1E70">
        <w:rPr>
          <w:rFonts w:eastAsia="Times New Roman" w:cstheme="minorHAnsi"/>
          <w:sz w:val="20"/>
          <w:szCs w:val="20"/>
          <w:lang w:val="fr-FR" w:eastAsia="fr-BE"/>
        </w:rPr>
        <w:t xml:space="preserve"> </w:t>
      </w:r>
    </w:p>
    <w:p w14:paraId="0C38C335" w14:textId="77777777" w:rsidR="00C22ABE" w:rsidRPr="00C22ABE" w:rsidRDefault="00C22ABE" w:rsidP="000D3A36">
      <w:pPr>
        <w:spacing w:line="235" w:lineRule="atLeast"/>
        <w:rPr>
          <w:rFonts w:eastAsia="Times New Roman" w:cstheme="minorHAnsi"/>
          <w:lang w:eastAsia="fr-BE"/>
        </w:rPr>
      </w:pPr>
    </w:p>
    <w:p w14:paraId="5450F773" w14:textId="5DE6C20B" w:rsidR="00894602" w:rsidRPr="00C22ABE" w:rsidRDefault="001D1E70" w:rsidP="00C22ABE">
      <w:pPr>
        <w:pBdr>
          <w:top w:val="single" w:sz="4" w:space="1" w:color="auto"/>
          <w:left w:val="single" w:sz="4" w:space="4" w:color="auto"/>
          <w:bottom w:val="single" w:sz="4" w:space="1" w:color="auto"/>
          <w:right w:val="single" w:sz="4" w:space="4" w:color="auto"/>
        </w:pBdr>
        <w:shd w:val="clear" w:color="auto" w:fill="FFFFFF"/>
        <w:spacing w:line="235" w:lineRule="atLeast"/>
        <w:rPr>
          <w:rFonts w:eastAsia="Times New Roman" w:cstheme="minorHAnsi"/>
          <w:color w:val="222222"/>
          <w:sz w:val="24"/>
          <w:lang w:eastAsia="fr-BE"/>
        </w:rPr>
      </w:pPr>
      <w:r w:rsidRPr="00457747">
        <w:rPr>
          <w:rFonts w:eastAsia="Times New Roman" w:cstheme="minorHAnsi"/>
          <w:b/>
          <w:color w:val="0000FF"/>
          <w:szCs w:val="20"/>
          <w:lang w:eastAsia="fr-BE"/>
        </w:rPr>
        <w:t>Encadré points</w:t>
      </w:r>
      <w:r w:rsidR="00894602" w:rsidRPr="00457747">
        <w:rPr>
          <w:rFonts w:cstheme="minorHAnsi"/>
          <w:b/>
          <w:color w:val="0000FF"/>
          <w:szCs w:val="18"/>
        </w:rPr>
        <w:t xml:space="preserve"> essentiels</w:t>
      </w:r>
    </w:p>
    <w:p w14:paraId="4131E931" w14:textId="70880379" w:rsidR="00894602" w:rsidRPr="00C22ABE" w:rsidRDefault="00C22ABE" w:rsidP="00C22ABE">
      <w:pPr>
        <w:pBdr>
          <w:top w:val="single" w:sz="4" w:space="1" w:color="auto"/>
          <w:left w:val="single" w:sz="4" w:space="4" w:color="auto"/>
          <w:bottom w:val="single" w:sz="4" w:space="1" w:color="auto"/>
          <w:right w:val="single" w:sz="4" w:space="4" w:color="auto"/>
        </w:pBdr>
        <w:tabs>
          <w:tab w:val="left" w:pos="7110"/>
        </w:tabs>
        <w:rPr>
          <w:rFonts w:cstheme="minorHAnsi"/>
          <w:sz w:val="20"/>
          <w:szCs w:val="18"/>
        </w:rPr>
      </w:pPr>
      <w:r w:rsidRPr="00C22ABE">
        <w:rPr>
          <w:rFonts w:cstheme="minorHAnsi"/>
          <w:sz w:val="20"/>
          <w:szCs w:val="18"/>
        </w:rPr>
        <w:t>- L’ostéoradioné</w:t>
      </w:r>
      <w:r w:rsidR="00894602" w:rsidRPr="00C22ABE">
        <w:rPr>
          <w:rFonts w:cstheme="minorHAnsi"/>
          <w:sz w:val="20"/>
          <w:szCs w:val="18"/>
        </w:rPr>
        <w:t xml:space="preserve">crose est une </w:t>
      </w:r>
      <w:r w:rsidRPr="00C22ABE">
        <w:rPr>
          <w:rFonts w:cstheme="minorHAnsi"/>
          <w:sz w:val="20"/>
          <w:szCs w:val="18"/>
        </w:rPr>
        <w:t>complication connue</w:t>
      </w:r>
      <w:r w:rsidR="00894602" w:rsidRPr="00C22ABE">
        <w:rPr>
          <w:rFonts w:cstheme="minorHAnsi"/>
          <w:sz w:val="20"/>
          <w:szCs w:val="18"/>
        </w:rPr>
        <w:t xml:space="preserve"> dans les suite d’un traitement </w:t>
      </w:r>
      <w:r w:rsidRPr="00C22ABE">
        <w:rPr>
          <w:rFonts w:cstheme="minorHAnsi"/>
          <w:sz w:val="20"/>
          <w:szCs w:val="18"/>
        </w:rPr>
        <w:t xml:space="preserve">par radiothérapie </w:t>
      </w:r>
      <w:r w:rsidR="00894602" w:rsidRPr="00C22ABE">
        <w:rPr>
          <w:rFonts w:cstheme="minorHAnsi"/>
          <w:sz w:val="20"/>
          <w:szCs w:val="18"/>
        </w:rPr>
        <w:t xml:space="preserve">d’un cancer tête et cou. </w:t>
      </w:r>
      <w:r w:rsidRPr="00C22ABE">
        <w:rPr>
          <w:rFonts w:cstheme="minorHAnsi"/>
          <w:sz w:val="20"/>
          <w:szCs w:val="18"/>
        </w:rPr>
        <w:t>L’</w:t>
      </w:r>
      <w:r w:rsidR="00894602" w:rsidRPr="00C22ABE">
        <w:rPr>
          <w:rFonts w:cstheme="minorHAnsi"/>
          <w:sz w:val="20"/>
          <w:szCs w:val="18"/>
        </w:rPr>
        <w:t>atteint</w:t>
      </w:r>
      <w:r w:rsidRPr="00C22ABE">
        <w:rPr>
          <w:rFonts w:cstheme="minorHAnsi"/>
          <w:sz w:val="20"/>
          <w:szCs w:val="18"/>
        </w:rPr>
        <w:t>e</w:t>
      </w:r>
      <w:r w:rsidR="00894602" w:rsidRPr="00C22ABE">
        <w:rPr>
          <w:rFonts w:cstheme="minorHAnsi"/>
          <w:sz w:val="20"/>
          <w:szCs w:val="18"/>
        </w:rPr>
        <w:t xml:space="preserve"> </w:t>
      </w:r>
      <w:r w:rsidRPr="00C22ABE">
        <w:rPr>
          <w:rFonts w:cstheme="minorHAnsi"/>
          <w:sz w:val="20"/>
          <w:szCs w:val="18"/>
        </w:rPr>
        <w:t xml:space="preserve">est </w:t>
      </w:r>
      <w:r w:rsidR="00894602" w:rsidRPr="00C22ABE">
        <w:rPr>
          <w:rFonts w:cstheme="minorHAnsi"/>
          <w:sz w:val="20"/>
          <w:szCs w:val="18"/>
        </w:rPr>
        <w:t>plus fréquente chez l’homme et plus fréquente à la mandibule.</w:t>
      </w:r>
    </w:p>
    <w:p w14:paraId="32CBE4A7" w14:textId="43C0FD10" w:rsidR="00894602" w:rsidRPr="00C22ABE" w:rsidRDefault="00894602" w:rsidP="00C22ABE">
      <w:pPr>
        <w:pBdr>
          <w:top w:val="single" w:sz="4" w:space="1" w:color="auto"/>
          <w:left w:val="single" w:sz="4" w:space="4" w:color="auto"/>
          <w:bottom w:val="single" w:sz="4" w:space="1" w:color="auto"/>
          <w:right w:val="single" w:sz="4" w:space="4" w:color="auto"/>
        </w:pBdr>
        <w:tabs>
          <w:tab w:val="left" w:pos="7110"/>
        </w:tabs>
        <w:rPr>
          <w:rFonts w:cstheme="minorHAnsi"/>
          <w:sz w:val="20"/>
          <w:szCs w:val="18"/>
        </w:rPr>
      </w:pPr>
      <w:r w:rsidRPr="00C22ABE">
        <w:rPr>
          <w:rFonts w:cstheme="minorHAnsi"/>
          <w:sz w:val="20"/>
          <w:szCs w:val="18"/>
        </w:rPr>
        <w:t>- Le diagnostic associe une symptomatologie variée et peu spécifique à un aspect radiologique plus tardif à l’origine de discordance radio clinique. L’examen anatomopathologique est indispensable afin d’exclure une récidive tumorale</w:t>
      </w:r>
      <w:r w:rsidR="00C22ABE" w:rsidRPr="00C22ABE">
        <w:rPr>
          <w:rFonts w:cstheme="minorHAnsi"/>
          <w:sz w:val="20"/>
          <w:szCs w:val="18"/>
        </w:rPr>
        <w:t>,</w:t>
      </w:r>
      <w:r w:rsidRPr="00C22ABE">
        <w:rPr>
          <w:rFonts w:cstheme="minorHAnsi"/>
          <w:sz w:val="20"/>
          <w:szCs w:val="18"/>
        </w:rPr>
        <w:t xml:space="preserve"> une seconde localisation ou une métastase.</w:t>
      </w:r>
    </w:p>
    <w:p w14:paraId="530FAB11" w14:textId="4BAF44F4" w:rsidR="00894602" w:rsidRPr="00C22ABE" w:rsidRDefault="00894602" w:rsidP="00C22ABE">
      <w:pPr>
        <w:pBdr>
          <w:top w:val="single" w:sz="4" w:space="1" w:color="auto"/>
          <w:left w:val="single" w:sz="4" w:space="4" w:color="auto"/>
          <w:bottom w:val="single" w:sz="4" w:space="1" w:color="auto"/>
          <w:right w:val="single" w:sz="4" w:space="4" w:color="auto"/>
        </w:pBdr>
        <w:tabs>
          <w:tab w:val="left" w:pos="7110"/>
        </w:tabs>
        <w:rPr>
          <w:rFonts w:cstheme="minorHAnsi"/>
          <w:sz w:val="20"/>
          <w:szCs w:val="18"/>
        </w:rPr>
      </w:pPr>
      <w:r w:rsidRPr="00C22ABE">
        <w:rPr>
          <w:rFonts w:cstheme="minorHAnsi"/>
          <w:sz w:val="20"/>
          <w:szCs w:val="18"/>
        </w:rPr>
        <w:t>- La physiopathologie de l’ostéoradionécrose est décrite par plusieurs théories, la finalité est une synthèse de radicaux oxygénés libres à l’origine de remplacement du tissu fragile par un excès de myofibroblaste</w:t>
      </w:r>
      <w:r w:rsidR="00C22ABE" w:rsidRPr="00C22ABE">
        <w:rPr>
          <w:rFonts w:cstheme="minorHAnsi"/>
          <w:sz w:val="20"/>
          <w:szCs w:val="18"/>
        </w:rPr>
        <w:t>s</w:t>
      </w:r>
      <w:r w:rsidRPr="00C22ABE">
        <w:rPr>
          <w:rFonts w:cstheme="minorHAnsi"/>
          <w:sz w:val="20"/>
          <w:szCs w:val="18"/>
        </w:rPr>
        <w:t xml:space="preserve"> et d’une nécrose osseuse.</w:t>
      </w:r>
    </w:p>
    <w:p w14:paraId="1B228132" w14:textId="0FFAFBDE" w:rsidR="00894602" w:rsidRPr="00C22ABE" w:rsidRDefault="00894602" w:rsidP="00C22ABE">
      <w:pPr>
        <w:pBdr>
          <w:top w:val="single" w:sz="4" w:space="1" w:color="auto"/>
          <w:left w:val="single" w:sz="4" w:space="4" w:color="auto"/>
          <w:bottom w:val="single" w:sz="4" w:space="1" w:color="auto"/>
          <w:right w:val="single" w:sz="4" w:space="4" w:color="auto"/>
        </w:pBdr>
        <w:tabs>
          <w:tab w:val="left" w:pos="7110"/>
        </w:tabs>
        <w:rPr>
          <w:rFonts w:cstheme="minorHAnsi"/>
          <w:sz w:val="20"/>
          <w:szCs w:val="18"/>
        </w:rPr>
      </w:pPr>
      <w:r w:rsidRPr="00C22ABE">
        <w:rPr>
          <w:rFonts w:cstheme="minorHAnsi"/>
          <w:sz w:val="20"/>
          <w:szCs w:val="18"/>
        </w:rPr>
        <w:t>- Les facteurs de risques d’ORN sont multiples et doivent être connus afin de mettre en place des mesures préventives. C’est l</w:t>
      </w:r>
      <w:r w:rsidR="00C22ABE" w:rsidRPr="00C22ABE">
        <w:rPr>
          <w:rFonts w:cstheme="minorHAnsi"/>
          <w:sz w:val="20"/>
          <w:szCs w:val="18"/>
        </w:rPr>
        <w:t xml:space="preserve">a prise en charge </w:t>
      </w:r>
      <w:r w:rsidRPr="00C22ABE">
        <w:rPr>
          <w:rFonts w:cstheme="minorHAnsi"/>
          <w:sz w:val="20"/>
          <w:szCs w:val="18"/>
        </w:rPr>
        <w:t>pré radiothérapie.</w:t>
      </w:r>
    </w:p>
    <w:p w14:paraId="15C322B9" w14:textId="31C4BC5C" w:rsidR="00894602" w:rsidRPr="00C22ABE" w:rsidRDefault="00894602" w:rsidP="00C22ABE">
      <w:pPr>
        <w:pBdr>
          <w:top w:val="single" w:sz="4" w:space="1" w:color="auto"/>
          <w:left w:val="single" w:sz="4" w:space="4" w:color="auto"/>
          <w:bottom w:val="single" w:sz="4" w:space="1" w:color="auto"/>
          <w:right w:val="single" w:sz="4" w:space="4" w:color="auto"/>
        </w:pBdr>
        <w:tabs>
          <w:tab w:val="left" w:pos="7110"/>
        </w:tabs>
        <w:rPr>
          <w:rFonts w:cstheme="minorHAnsi"/>
          <w:sz w:val="20"/>
          <w:szCs w:val="18"/>
        </w:rPr>
      </w:pPr>
      <w:r w:rsidRPr="00C22ABE">
        <w:rPr>
          <w:rFonts w:cstheme="minorHAnsi"/>
          <w:sz w:val="20"/>
          <w:szCs w:val="18"/>
        </w:rPr>
        <w:t>- Un suivi de l’état bucco</w:t>
      </w:r>
      <w:r w:rsidR="00F846E0" w:rsidRPr="00C22ABE">
        <w:rPr>
          <w:rFonts w:cstheme="minorHAnsi"/>
          <w:sz w:val="20"/>
          <w:szCs w:val="18"/>
        </w:rPr>
        <w:t>-</w:t>
      </w:r>
      <w:r w:rsidRPr="00C22ABE">
        <w:rPr>
          <w:rFonts w:cstheme="minorHAnsi"/>
          <w:sz w:val="20"/>
          <w:szCs w:val="18"/>
        </w:rPr>
        <w:t>dentaire doit être régulier et rigoureux afin de limiter les risques</w:t>
      </w:r>
      <w:r w:rsidR="00C22ABE">
        <w:rPr>
          <w:rFonts w:cstheme="minorHAnsi"/>
          <w:sz w:val="20"/>
          <w:szCs w:val="18"/>
        </w:rPr>
        <w:t xml:space="preserve"> </w:t>
      </w:r>
      <w:r w:rsidR="00C22ABE" w:rsidRPr="00C22ABE">
        <w:rPr>
          <w:rFonts w:cstheme="minorHAnsi"/>
          <w:sz w:val="20"/>
          <w:szCs w:val="18"/>
        </w:rPr>
        <w:t>d’</w:t>
      </w:r>
      <w:r w:rsidRPr="00C22ABE">
        <w:rPr>
          <w:rFonts w:cstheme="minorHAnsi"/>
          <w:sz w:val="20"/>
          <w:szCs w:val="18"/>
        </w:rPr>
        <w:t xml:space="preserve">ORN liés à la radiothérapie. </w:t>
      </w:r>
    </w:p>
    <w:p w14:paraId="7A17D896" w14:textId="415ED281" w:rsidR="00894602" w:rsidRPr="00C22ABE" w:rsidRDefault="00894602" w:rsidP="00C22ABE">
      <w:pPr>
        <w:pBdr>
          <w:top w:val="single" w:sz="4" w:space="1" w:color="auto"/>
          <w:left w:val="single" w:sz="4" w:space="4" w:color="auto"/>
          <w:bottom w:val="single" w:sz="4" w:space="1" w:color="auto"/>
          <w:right w:val="single" w:sz="4" w:space="4" w:color="auto"/>
        </w:pBdr>
        <w:tabs>
          <w:tab w:val="left" w:pos="7110"/>
        </w:tabs>
        <w:rPr>
          <w:rFonts w:cstheme="minorHAnsi"/>
          <w:sz w:val="20"/>
          <w:szCs w:val="18"/>
        </w:rPr>
      </w:pPr>
      <w:r w:rsidRPr="00C22ABE">
        <w:rPr>
          <w:rFonts w:cstheme="minorHAnsi"/>
          <w:sz w:val="20"/>
          <w:szCs w:val="18"/>
        </w:rPr>
        <w:t>- Le traitement de l’</w:t>
      </w:r>
      <w:r w:rsidR="009D3714" w:rsidRPr="00C22ABE">
        <w:rPr>
          <w:rFonts w:cstheme="minorHAnsi"/>
          <w:sz w:val="20"/>
          <w:szCs w:val="18"/>
        </w:rPr>
        <w:t>ostéoradionécrose</w:t>
      </w:r>
      <w:r w:rsidRPr="00C22ABE">
        <w:rPr>
          <w:rFonts w:cstheme="minorHAnsi"/>
          <w:sz w:val="20"/>
          <w:szCs w:val="18"/>
        </w:rPr>
        <w:t xml:space="preserve"> est long, un protocole associant plusieurs thérapeutiques est décrit et montre une amélioration possible.</w:t>
      </w:r>
    </w:p>
    <w:p w14:paraId="54494EE3" w14:textId="77777777" w:rsidR="00457747" w:rsidRDefault="00457747" w:rsidP="002E3149">
      <w:pPr>
        <w:tabs>
          <w:tab w:val="left" w:pos="7110"/>
        </w:tabs>
        <w:rPr>
          <w:rFonts w:cstheme="minorHAnsi"/>
          <w:strike/>
          <w:sz w:val="20"/>
          <w:szCs w:val="18"/>
        </w:rPr>
      </w:pPr>
    </w:p>
    <w:p w14:paraId="6FF7D1D5" w14:textId="77777777" w:rsidR="00457747" w:rsidRDefault="00457747" w:rsidP="002E3149">
      <w:pPr>
        <w:tabs>
          <w:tab w:val="left" w:pos="7110"/>
        </w:tabs>
        <w:rPr>
          <w:rFonts w:cstheme="minorHAnsi"/>
          <w:strike/>
          <w:sz w:val="20"/>
          <w:szCs w:val="18"/>
        </w:rPr>
      </w:pPr>
    </w:p>
    <w:p w14:paraId="4E152C18" w14:textId="1B643FFF" w:rsidR="000D3A36" w:rsidRPr="00C22ABE" w:rsidRDefault="009D4A56" w:rsidP="002E3149">
      <w:pPr>
        <w:tabs>
          <w:tab w:val="left" w:pos="7110"/>
        </w:tabs>
        <w:rPr>
          <w:rFonts w:cstheme="minorHAnsi"/>
          <w:b/>
          <w:color w:val="0000FF"/>
          <w:szCs w:val="18"/>
          <w:u w:val="single"/>
        </w:rPr>
      </w:pPr>
      <w:r w:rsidRPr="00C22ABE">
        <w:rPr>
          <w:rFonts w:cstheme="minorHAnsi"/>
          <w:b/>
          <w:color w:val="0000FF"/>
          <w:szCs w:val="18"/>
          <w:u w:val="single"/>
        </w:rPr>
        <w:lastRenderedPageBreak/>
        <w:t xml:space="preserve">Bibliographie </w:t>
      </w:r>
    </w:p>
    <w:p w14:paraId="7DB0FA31" w14:textId="77777777" w:rsidR="00D36EC3" w:rsidRDefault="00D36EC3" w:rsidP="00D36EC3">
      <w:pPr>
        <w:pStyle w:val="Bibliographie"/>
        <w:rPr>
          <w:rFonts w:cstheme="minorHAnsi"/>
          <w:lang w:val="en-US"/>
        </w:rPr>
      </w:pPr>
      <w:r>
        <w:rPr>
          <w:rFonts w:cstheme="minorHAnsi"/>
        </w:rPr>
        <w:fldChar w:fldCharType="begin"/>
      </w:r>
      <w:r>
        <w:rPr>
          <w:rFonts w:cstheme="minorHAnsi"/>
        </w:rPr>
        <w:instrText xml:space="preserve"> ADDIN ZOTERO_BIBL {"uncited":[],"omitted":[],"custom":[]} CSL_BIBLIOGRAPHY </w:instrText>
      </w:r>
      <w:r>
        <w:rPr>
          <w:rFonts w:cstheme="minorHAnsi"/>
        </w:rPr>
        <w:fldChar w:fldCharType="separate"/>
      </w:r>
      <w:r>
        <w:rPr>
          <w:rFonts w:cstheme="minorHAnsi"/>
        </w:rPr>
        <w:t xml:space="preserve">1. </w:t>
      </w:r>
      <w:r>
        <w:rPr>
          <w:rFonts w:cstheme="minorHAnsi"/>
        </w:rPr>
        <w:tab/>
        <w:t xml:space="preserve">Regaud C. Sur la sensibilité du tissu osseux normal vis-à-vis des rayons X et gamma et sur le mécanisme de l’ostéoradionécrose. </w:t>
      </w:r>
      <w:r>
        <w:rPr>
          <w:rFonts w:cstheme="minorHAnsi"/>
          <w:lang w:val="en-US"/>
        </w:rPr>
        <w:t>Comp Rand Soc Biol. 1922;87:629</w:t>
      </w:r>
      <w:r>
        <w:rPr>
          <w:rFonts w:ascii="Cambria Math" w:hAnsi="Cambria Math" w:cs="Cambria Math"/>
          <w:lang w:val="en-US"/>
        </w:rPr>
        <w:noBreakHyphen/>
      </w:r>
      <w:r>
        <w:rPr>
          <w:rFonts w:cstheme="minorHAnsi"/>
          <w:lang w:val="en-US"/>
        </w:rPr>
        <w:t xml:space="preserve">932. </w:t>
      </w:r>
    </w:p>
    <w:p w14:paraId="097B1E2B" w14:textId="77777777" w:rsidR="00D36EC3" w:rsidRDefault="00D36EC3" w:rsidP="00D36EC3">
      <w:pPr>
        <w:pStyle w:val="Bibliographie"/>
        <w:rPr>
          <w:rFonts w:cstheme="minorHAnsi"/>
          <w:lang w:val="en-US"/>
        </w:rPr>
      </w:pPr>
      <w:r>
        <w:rPr>
          <w:rFonts w:cstheme="minorHAnsi"/>
          <w:lang w:val="en-US"/>
        </w:rPr>
        <w:t xml:space="preserve">2. </w:t>
      </w:r>
      <w:r>
        <w:rPr>
          <w:rFonts w:cstheme="minorHAnsi"/>
          <w:lang w:val="en-US"/>
        </w:rPr>
        <w:tab/>
        <w:t>Chronopoulos A, Zarra T, Ehrenfeld M, Otto S. Osteoradionecrosis of the jaws: definition, epidemiology, staging and clinical and radiological findings. A concise review. Int Dent J. 2018;68:22</w:t>
      </w:r>
      <w:r>
        <w:rPr>
          <w:rFonts w:ascii="Cambria Math" w:hAnsi="Cambria Math" w:cs="Cambria Math"/>
          <w:lang w:val="en-US"/>
        </w:rPr>
        <w:noBreakHyphen/>
      </w:r>
      <w:r>
        <w:rPr>
          <w:rFonts w:cstheme="minorHAnsi"/>
          <w:lang w:val="en-US"/>
        </w:rPr>
        <w:t xml:space="preserve">30. </w:t>
      </w:r>
    </w:p>
    <w:p w14:paraId="53410E8B" w14:textId="77777777" w:rsidR="00D36EC3" w:rsidRDefault="00D36EC3" w:rsidP="00D36EC3">
      <w:pPr>
        <w:pStyle w:val="Bibliographie"/>
        <w:rPr>
          <w:rFonts w:cstheme="minorHAnsi"/>
        </w:rPr>
      </w:pPr>
      <w:r>
        <w:rPr>
          <w:rFonts w:cstheme="minorHAnsi"/>
          <w:lang w:val="en-US"/>
        </w:rPr>
        <w:t xml:space="preserve">3. </w:t>
      </w:r>
      <w:r>
        <w:rPr>
          <w:rFonts w:cstheme="minorHAnsi"/>
          <w:lang w:val="en-US"/>
        </w:rPr>
        <w:tab/>
        <w:t xml:space="preserve">He Y, Ma C, Hou J, Li X, Peng X, Wang H, et al. Chinese expert group consensus on diagnosis and clinical management of osteoradionecrosis of the mandible. </w:t>
      </w:r>
      <w:r>
        <w:rPr>
          <w:rFonts w:cstheme="minorHAnsi"/>
        </w:rPr>
        <w:t>Int J Oral Maxillofac Surg. 2020;49:411</w:t>
      </w:r>
      <w:r>
        <w:rPr>
          <w:rFonts w:ascii="Cambria Math" w:hAnsi="Cambria Math" w:cs="Cambria Math"/>
        </w:rPr>
        <w:noBreakHyphen/>
      </w:r>
      <w:r>
        <w:rPr>
          <w:rFonts w:cstheme="minorHAnsi"/>
        </w:rPr>
        <w:t xml:space="preserve">9. </w:t>
      </w:r>
    </w:p>
    <w:p w14:paraId="01D7C9CF" w14:textId="77777777" w:rsidR="00D36EC3" w:rsidRDefault="00D36EC3" w:rsidP="00D36EC3">
      <w:pPr>
        <w:pStyle w:val="Bibliographie"/>
        <w:rPr>
          <w:rFonts w:cstheme="minorHAnsi"/>
          <w:lang w:val="en-US"/>
        </w:rPr>
      </w:pPr>
      <w:r>
        <w:rPr>
          <w:rFonts w:cstheme="minorHAnsi"/>
        </w:rPr>
        <w:t xml:space="preserve">4. </w:t>
      </w:r>
      <w:r>
        <w:rPr>
          <w:rFonts w:cstheme="minorHAnsi"/>
        </w:rPr>
        <w:tab/>
        <w:t xml:space="preserve">Lajolo C, Gioco G, Rupe C, Troiano G, Cordaro M, Lucchese A, et al. </w:t>
      </w:r>
      <w:r>
        <w:rPr>
          <w:rFonts w:cstheme="minorHAnsi"/>
          <w:lang w:val="en-US"/>
        </w:rPr>
        <w:t xml:space="preserve">Tooth extraction before radiotherapy is a risk factor for developing osteoradionecrosis of the jaws: A systematic review. Oral Dis.  2020 ; doi:10.1111/odi.13485. </w:t>
      </w:r>
    </w:p>
    <w:p w14:paraId="4E65BF79" w14:textId="77777777" w:rsidR="00D36EC3" w:rsidRDefault="00D36EC3" w:rsidP="00D36EC3">
      <w:pPr>
        <w:pStyle w:val="Bibliographie"/>
        <w:rPr>
          <w:rFonts w:cstheme="minorHAnsi"/>
          <w:lang w:val="en-US"/>
        </w:rPr>
      </w:pPr>
      <w:r>
        <w:rPr>
          <w:rFonts w:cstheme="minorHAnsi"/>
          <w:lang w:val="en-US"/>
        </w:rPr>
        <w:t xml:space="preserve">5. </w:t>
      </w:r>
      <w:r>
        <w:rPr>
          <w:rFonts w:cstheme="minorHAnsi"/>
          <w:lang w:val="en-US"/>
        </w:rPr>
        <w:tab/>
        <w:t>Shaw R, Tesfaye B, Bickerstaff M, Silcocks P, Butterworth C. Refining the definition of mandibular osteoradionecrosis in clinical trials: The cancer research UK HOPON trial (Hyperbaric Oxygen for the Prevention of Osteoradionecrosis). Oral Oncol. 2017;64:73</w:t>
      </w:r>
      <w:r>
        <w:rPr>
          <w:rFonts w:ascii="Cambria Math" w:hAnsi="Cambria Math" w:cs="Cambria Math"/>
          <w:lang w:val="en-US"/>
        </w:rPr>
        <w:noBreakHyphen/>
      </w:r>
      <w:r>
        <w:rPr>
          <w:rFonts w:cstheme="minorHAnsi"/>
          <w:lang w:val="en-US"/>
        </w:rPr>
        <w:t xml:space="preserve">7. </w:t>
      </w:r>
    </w:p>
    <w:p w14:paraId="306F646B" w14:textId="77777777" w:rsidR="00D36EC3" w:rsidRDefault="00D36EC3" w:rsidP="00D36EC3">
      <w:pPr>
        <w:pStyle w:val="Bibliographie"/>
        <w:rPr>
          <w:rFonts w:cstheme="minorHAnsi"/>
          <w:lang w:val="en-US"/>
        </w:rPr>
      </w:pPr>
      <w:r>
        <w:rPr>
          <w:rFonts w:cstheme="minorHAnsi"/>
          <w:lang w:val="en-US"/>
        </w:rPr>
        <w:t xml:space="preserve">6. </w:t>
      </w:r>
      <w:r>
        <w:rPr>
          <w:rFonts w:cstheme="minorHAnsi"/>
          <w:lang w:val="en-US"/>
        </w:rPr>
        <w:tab/>
        <w:t>Costa DA, Costa TP, Netto EC, Joaquim N, Ventura I, Pratas AC, et al. New perspectives on the conservative management of osteoradionecrosis of the mandible: A literature review.</w:t>
      </w:r>
      <w:r>
        <w:rPr>
          <w:rFonts w:cstheme="minorHAnsi"/>
          <w:lang w:val="en-GB"/>
        </w:rPr>
        <w:t xml:space="preserve"> </w:t>
      </w:r>
      <w:r>
        <w:rPr>
          <w:rFonts w:cstheme="minorHAnsi"/>
          <w:lang w:val="en-US"/>
        </w:rPr>
        <w:t>Head Neck.  2016;38:1708</w:t>
      </w:r>
      <w:r>
        <w:rPr>
          <w:rFonts w:ascii="Cambria Math" w:hAnsi="Cambria Math" w:cs="Cambria Math"/>
          <w:lang w:val="en-US"/>
        </w:rPr>
        <w:noBreakHyphen/>
      </w:r>
      <w:r>
        <w:rPr>
          <w:rFonts w:cstheme="minorHAnsi"/>
          <w:lang w:val="en-US"/>
        </w:rPr>
        <w:t xml:space="preserve">16. </w:t>
      </w:r>
    </w:p>
    <w:p w14:paraId="3C6C3716" w14:textId="77777777" w:rsidR="00D36EC3" w:rsidRDefault="00D36EC3" w:rsidP="00D36EC3">
      <w:pPr>
        <w:pStyle w:val="Bibliographie"/>
        <w:rPr>
          <w:rFonts w:cstheme="minorHAnsi"/>
          <w:lang w:val="en-US"/>
        </w:rPr>
      </w:pPr>
      <w:r>
        <w:rPr>
          <w:rFonts w:cstheme="minorHAnsi"/>
          <w:lang w:val="en-US"/>
        </w:rPr>
        <w:t xml:space="preserve">7. </w:t>
      </w:r>
      <w:r>
        <w:rPr>
          <w:rFonts w:cstheme="minorHAnsi"/>
          <w:lang w:val="en-US"/>
        </w:rPr>
        <w:tab/>
      </w:r>
      <w:r>
        <w:rPr>
          <w:rFonts w:cstheme="minorHAnsi"/>
          <w:lang w:val="en-GB"/>
        </w:rPr>
        <w:t xml:space="preserve">Wang TH, Liu CJ, Chao TF, Chen TJ, Hu YW. </w:t>
      </w:r>
      <w:r>
        <w:rPr>
          <w:rFonts w:cstheme="minorHAnsi"/>
          <w:lang w:val="en-US"/>
        </w:rPr>
        <w:t>Risk factors for and the role of dental extractions in osteoradionecrosis of the jaws: A national-based cohort study. Head Neck. 2017;39:1313</w:t>
      </w:r>
      <w:r>
        <w:rPr>
          <w:rFonts w:ascii="Cambria Math" w:hAnsi="Cambria Math" w:cs="Cambria Math"/>
          <w:lang w:val="en-US"/>
        </w:rPr>
        <w:noBreakHyphen/>
      </w:r>
      <w:r>
        <w:rPr>
          <w:rFonts w:cstheme="minorHAnsi"/>
          <w:lang w:val="en-US"/>
        </w:rPr>
        <w:t xml:space="preserve">21. </w:t>
      </w:r>
    </w:p>
    <w:p w14:paraId="1E8A1525" w14:textId="77777777" w:rsidR="00D36EC3" w:rsidRDefault="00D36EC3" w:rsidP="00D36EC3">
      <w:pPr>
        <w:pStyle w:val="Bibliographie"/>
        <w:rPr>
          <w:rFonts w:cstheme="minorHAnsi"/>
          <w:lang w:val="en-US"/>
        </w:rPr>
      </w:pPr>
      <w:r>
        <w:rPr>
          <w:rFonts w:cstheme="minorHAnsi"/>
          <w:lang w:val="en-US"/>
        </w:rPr>
        <w:t xml:space="preserve">8. </w:t>
      </w:r>
      <w:r>
        <w:rPr>
          <w:rFonts w:cstheme="minorHAnsi"/>
          <w:lang w:val="en-US"/>
        </w:rPr>
        <w:tab/>
        <w:t>Rice N, Polyzois I, Ekanayake K, Omer O, Stassen LFA. The management of osteoradionecrosis of the jaws--a review. Surgeon. 2015;13:101</w:t>
      </w:r>
      <w:r>
        <w:rPr>
          <w:rFonts w:ascii="Cambria Math" w:hAnsi="Cambria Math" w:cs="Cambria Math"/>
          <w:lang w:val="en-US"/>
        </w:rPr>
        <w:noBreakHyphen/>
      </w:r>
      <w:r>
        <w:rPr>
          <w:rFonts w:cstheme="minorHAnsi"/>
          <w:lang w:val="en-US"/>
        </w:rPr>
        <w:t xml:space="preserve">9. </w:t>
      </w:r>
    </w:p>
    <w:p w14:paraId="3259F13A" w14:textId="77777777" w:rsidR="00D36EC3" w:rsidRDefault="00D36EC3" w:rsidP="00D36EC3">
      <w:pPr>
        <w:pStyle w:val="Bibliographie"/>
        <w:rPr>
          <w:rFonts w:cstheme="minorHAnsi"/>
          <w:lang w:val="en-GB"/>
        </w:rPr>
      </w:pPr>
      <w:r>
        <w:rPr>
          <w:rFonts w:cstheme="minorHAnsi"/>
          <w:lang w:val="en-US"/>
        </w:rPr>
        <w:t xml:space="preserve">9. </w:t>
      </w:r>
      <w:r>
        <w:rPr>
          <w:rFonts w:cstheme="minorHAnsi"/>
          <w:lang w:val="en-US"/>
        </w:rPr>
        <w:tab/>
        <w:t xml:space="preserve">Jereczek-Fossa BA, Orecchia R. Radiotherapy-induced mandibular bone complications. </w:t>
      </w:r>
      <w:r>
        <w:rPr>
          <w:rFonts w:cstheme="minorHAnsi"/>
          <w:lang w:val="en-GB"/>
        </w:rPr>
        <w:t>Cancer Treat Rev. 2002;28:65</w:t>
      </w:r>
      <w:r>
        <w:rPr>
          <w:rFonts w:ascii="Cambria Math" w:hAnsi="Cambria Math" w:cs="Cambria Math"/>
          <w:lang w:val="en-GB"/>
        </w:rPr>
        <w:noBreakHyphen/>
      </w:r>
      <w:r>
        <w:rPr>
          <w:rFonts w:cstheme="minorHAnsi"/>
          <w:lang w:val="en-GB"/>
        </w:rPr>
        <w:t xml:space="preserve">74. </w:t>
      </w:r>
    </w:p>
    <w:p w14:paraId="3F880E2B" w14:textId="77777777" w:rsidR="00D36EC3" w:rsidRDefault="00D36EC3" w:rsidP="00D36EC3">
      <w:pPr>
        <w:pStyle w:val="Bibliographie"/>
        <w:rPr>
          <w:rFonts w:cstheme="minorHAnsi"/>
          <w:lang w:val="en-GB"/>
        </w:rPr>
      </w:pPr>
      <w:r>
        <w:rPr>
          <w:rFonts w:cstheme="minorHAnsi"/>
          <w:lang w:val="en-GB"/>
        </w:rPr>
        <w:t xml:space="preserve">10. </w:t>
      </w:r>
      <w:r>
        <w:rPr>
          <w:rFonts w:cstheme="minorHAnsi"/>
          <w:lang w:val="en-GB"/>
        </w:rPr>
        <w:tab/>
        <w:t>El-Rabbany M, Duchnay M, Raziee HR, Zych M, Tenenbaum H, Shah PS, et al. Interventions for preventing osteoradionecrosis of the jaws in adults receiving head and neck radiotherapy. Cochrane Database Syst Rev. 2019(11) :CD011559. doi:10.1002/14651858.</w:t>
      </w:r>
    </w:p>
    <w:p w14:paraId="61946821" w14:textId="77777777" w:rsidR="00D36EC3" w:rsidRDefault="00D36EC3" w:rsidP="00D36EC3">
      <w:pPr>
        <w:pStyle w:val="Bibliographie"/>
        <w:rPr>
          <w:rFonts w:cstheme="minorHAnsi"/>
          <w:lang w:val="en-GB"/>
        </w:rPr>
      </w:pPr>
      <w:r>
        <w:rPr>
          <w:rFonts w:cstheme="minorHAnsi"/>
          <w:lang w:val="en-GB"/>
        </w:rPr>
        <w:t xml:space="preserve">11. </w:t>
      </w:r>
      <w:r>
        <w:rPr>
          <w:rFonts w:cstheme="minorHAnsi"/>
          <w:lang w:val="en-GB"/>
        </w:rPr>
        <w:tab/>
        <w:t>Nabil S, Samman N. Incidence and prevention of osteoradionecrosis after dental extraction in irradiated patients: a systematic review. Int J Oral Maxillofac Surg. 2011;40:229</w:t>
      </w:r>
      <w:r>
        <w:rPr>
          <w:rFonts w:ascii="Cambria Math" w:hAnsi="Cambria Math" w:cs="Cambria Math"/>
          <w:lang w:val="en-GB"/>
        </w:rPr>
        <w:noBreakHyphen/>
      </w:r>
      <w:r>
        <w:rPr>
          <w:rFonts w:cstheme="minorHAnsi"/>
          <w:lang w:val="en-GB"/>
        </w:rPr>
        <w:t xml:space="preserve">43. </w:t>
      </w:r>
    </w:p>
    <w:p w14:paraId="156B9208" w14:textId="77777777" w:rsidR="00D36EC3" w:rsidRDefault="00D36EC3" w:rsidP="00D36EC3">
      <w:pPr>
        <w:pStyle w:val="Bibliographie"/>
        <w:rPr>
          <w:rFonts w:cstheme="minorHAnsi"/>
          <w:lang w:val="en-GB"/>
        </w:rPr>
      </w:pPr>
      <w:r>
        <w:rPr>
          <w:rFonts w:cstheme="minorHAnsi"/>
          <w:lang w:val="en-GB"/>
        </w:rPr>
        <w:t xml:space="preserve">12. </w:t>
      </w:r>
      <w:r>
        <w:rPr>
          <w:rFonts w:cstheme="minorHAnsi"/>
          <w:lang w:val="en-GB"/>
        </w:rPr>
        <w:tab/>
        <w:t>Chrcanovic BR, Reher P, Sousa AA, Harris M. Osteoradionecrosis of the jaws--a current overview--part 1: Physiopathology and risk and predisposing factors. Oral Maxillofac Surg.  2010;14:3</w:t>
      </w:r>
      <w:r>
        <w:rPr>
          <w:rFonts w:ascii="Cambria Math" w:hAnsi="Cambria Math" w:cs="Cambria Math"/>
          <w:lang w:val="en-GB"/>
        </w:rPr>
        <w:noBreakHyphen/>
      </w:r>
      <w:r>
        <w:rPr>
          <w:rFonts w:cstheme="minorHAnsi"/>
          <w:lang w:val="en-GB"/>
        </w:rPr>
        <w:t xml:space="preserve">16. </w:t>
      </w:r>
    </w:p>
    <w:p w14:paraId="5ACE00CA" w14:textId="77777777" w:rsidR="00D36EC3" w:rsidRDefault="00D36EC3" w:rsidP="00D36EC3">
      <w:pPr>
        <w:pStyle w:val="Bibliographie"/>
        <w:rPr>
          <w:rFonts w:cstheme="minorHAnsi"/>
        </w:rPr>
      </w:pPr>
      <w:r>
        <w:rPr>
          <w:rFonts w:cstheme="minorHAnsi"/>
          <w:lang w:val="en-GB"/>
        </w:rPr>
        <w:t xml:space="preserve">13. </w:t>
      </w:r>
      <w:r>
        <w:rPr>
          <w:rFonts w:cstheme="minorHAnsi"/>
          <w:lang w:val="en-GB"/>
        </w:rPr>
        <w:tab/>
        <w:t xml:space="preserve">Park L, Lilic N, Addison B, Patel R. Cost analysis of osteoradionecrosis. </w:t>
      </w:r>
      <w:r>
        <w:rPr>
          <w:rFonts w:cstheme="minorHAnsi"/>
        </w:rPr>
        <w:t>J Laryngol Otol.  2017;131:303</w:t>
      </w:r>
      <w:r>
        <w:rPr>
          <w:rFonts w:ascii="Cambria Math" w:hAnsi="Cambria Math" w:cs="Cambria Math"/>
        </w:rPr>
        <w:noBreakHyphen/>
      </w:r>
      <w:r>
        <w:rPr>
          <w:rFonts w:cstheme="minorHAnsi"/>
        </w:rPr>
        <w:t xml:space="preserve">8. </w:t>
      </w:r>
    </w:p>
    <w:p w14:paraId="2C0134F4" w14:textId="77777777" w:rsidR="00D36EC3" w:rsidRDefault="00D36EC3" w:rsidP="00D36EC3">
      <w:pPr>
        <w:pStyle w:val="Bibliographie"/>
        <w:rPr>
          <w:rFonts w:cstheme="minorHAnsi"/>
          <w:lang w:val="en-GB"/>
        </w:rPr>
      </w:pPr>
      <w:r>
        <w:rPr>
          <w:rFonts w:cstheme="minorHAnsi"/>
        </w:rPr>
        <w:t xml:space="preserve">14. </w:t>
      </w:r>
      <w:r>
        <w:rPr>
          <w:rFonts w:cstheme="minorHAnsi"/>
        </w:rPr>
        <w:tab/>
        <w:t xml:space="preserve">Pointreau Y, Lizée T, Bensadoun RJ, Boisselier P, Racadot S, Thariat J, et al. </w:t>
      </w:r>
      <w:r>
        <w:rPr>
          <w:rFonts w:cstheme="minorHAnsi"/>
          <w:lang w:val="en-GB"/>
        </w:rPr>
        <w:t>[Intensity-modulated radiotherapy for head and neck cancer. Dose constraint for salivary gland and mandible]. Cancer Radiother. 2016;20(6</w:t>
      </w:r>
      <w:r>
        <w:rPr>
          <w:rFonts w:ascii="Cambria Math" w:hAnsi="Cambria Math" w:cs="Cambria Math"/>
          <w:lang w:val="en-GB"/>
        </w:rPr>
        <w:noBreakHyphen/>
      </w:r>
      <w:r>
        <w:rPr>
          <w:rFonts w:cstheme="minorHAnsi"/>
          <w:lang w:val="en-GB"/>
        </w:rPr>
        <w:t>7):445</w:t>
      </w:r>
      <w:r>
        <w:rPr>
          <w:rFonts w:ascii="Cambria Math" w:hAnsi="Cambria Math" w:cs="Cambria Math"/>
          <w:lang w:val="en-GB"/>
        </w:rPr>
        <w:noBreakHyphen/>
      </w:r>
      <w:r>
        <w:rPr>
          <w:rFonts w:cstheme="minorHAnsi"/>
          <w:lang w:val="en-GB"/>
        </w:rPr>
        <w:t xml:space="preserve">51. </w:t>
      </w:r>
    </w:p>
    <w:p w14:paraId="455939E0" w14:textId="77777777" w:rsidR="00D36EC3" w:rsidRDefault="00D36EC3" w:rsidP="00D36EC3">
      <w:pPr>
        <w:pStyle w:val="Bibliographie"/>
        <w:rPr>
          <w:rFonts w:cstheme="minorHAnsi"/>
          <w:lang w:val="en-GB"/>
        </w:rPr>
      </w:pPr>
      <w:r>
        <w:rPr>
          <w:rFonts w:cstheme="minorHAnsi"/>
          <w:lang w:val="en-GB"/>
        </w:rPr>
        <w:t xml:space="preserve">15. </w:t>
      </w:r>
      <w:r>
        <w:rPr>
          <w:rFonts w:cstheme="minorHAnsi"/>
          <w:lang w:val="en-GB"/>
        </w:rPr>
        <w:tab/>
        <w:t>Rouers M, Truntzer P, Dubourg S, Guihard S, Antoni D, Noël G. [Dental state in patients with head and neck cancers]. Cancer Radiother. 2015;19:205</w:t>
      </w:r>
      <w:r>
        <w:rPr>
          <w:rFonts w:ascii="Cambria Math" w:hAnsi="Cambria Math" w:cs="Cambria Math"/>
          <w:lang w:val="en-GB"/>
        </w:rPr>
        <w:noBreakHyphen/>
      </w:r>
      <w:r>
        <w:rPr>
          <w:rFonts w:cstheme="minorHAnsi"/>
          <w:lang w:val="en-GB"/>
        </w:rPr>
        <w:t xml:space="preserve">10; quiz 230, 234. </w:t>
      </w:r>
    </w:p>
    <w:p w14:paraId="0B0E19EC" w14:textId="77777777" w:rsidR="00D36EC3" w:rsidRDefault="00D36EC3" w:rsidP="00D36EC3">
      <w:pPr>
        <w:pStyle w:val="Bibliographie"/>
        <w:rPr>
          <w:rFonts w:cstheme="minorHAnsi"/>
          <w:lang w:val="en-GB"/>
        </w:rPr>
      </w:pPr>
      <w:r>
        <w:rPr>
          <w:rFonts w:cstheme="minorHAnsi"/>
          <w:lang w:val="en-GB"/>
        </w:rPr>
        <w:t xml:space="preserve">16. </w:t>
      </w:r>
      <w:r>
        <w:rPr>
          <w:rFonts w:cstheme="minorHAnsi"/>
          <w:lang w:val="en-GB"/>
        </w:rPr>
        <w:tab/>
        <w:t>Epstein JB, Barasch A. Oral and Dental Health in Head and Neck Cancer Patients. Cancer Treat Res. 2018;174:43</w:t>
      </w:r>
      <w:r>
        <w:rPr>
          <w:rFonts w:ascii="Cambria Math" w:hAnsi="Cambria Math" w:cs="Cambria Math"/>
          <w:lang w:val="en-GB"/>
        </w:rPr>
        <w:noBreakHyphen/>
      </w:r>
      <w:r>
        <w:rPr>
          <w:rFonts w:cstheme="minorHAnsi"/>
          <w:lang w:val="en-GB"/>
        </w:rPr>
        <w:t xml:space="preserve">57. </w:t>
      </w:r>
    </w:p>
    <w:p w14:paraId="37053A84" w14:textId="77777777" w:rsidR="00D36EC3" w:rsidRDefault="00D36EC3" w:rsidP="00D36EC3">
      <w:pPr>
        <w:pStyle w:val="Bibliographie"/>
        <w:rPr>
          <w:rFonts w:cstheme="minorHAnsi"/>
          <w:lang w:val="en-GB"/>
        </w:rPr>
      </w:pPr>
      <w:r>
        <w:rPr>
          <w:rFonts w:cstheme="minorHAnsi"/>
          <w:lang w:val="en-GB"/>
        </w:rPr>
        <w:lastRenderedPageBreak/>
        <w:t xml:space="preserve">17. </w:t>
      </w:r>
      <w:r>
        <w:rPr>
          <w:rFonts w:cstheme="minorHAnsi"/>
          <w:lang w:val="en-GB"/>
        </w:rPr>
        <w:tab/>
        <w:t>Strojan P, Hutcheson KA, Eisbruch A, Beitler JJ, Langendijk JA, Lee AWM, et al. Treatment of late sequelae after radiotherapy for head and neck cancer. Cancer Treat Rev. 2017;59:79</w:t>
      </w:r>
      <w:r>
        <w:rPr>
          <w:rFonts w:ascii="Cambria Math" w:hAnsi="Cambria Math" w:cs="Cambria Math"/>
          <w:lang w:val="en-GB"/>
        </w:rPr>
        <w:noBreakHyphen/>
      </w:r>
      <w:r>
        <w:rPr>
          <w:rFonts w:cstheme="minorHAnsi"/>
          <w:lang w:val="en-GB"/>
        </w:rPr>
        <w:t xml:space="preserve">92. </w:t>
      </w:r>
    </w:p>
    <w:p w14:paraId="5EA2B43D" w14:textId="77777777" w:rsidR="00D36EC3" w:rsidRDefault="00D36EC3" w:rsidP="00D36EC3">
      <w:pPr>
        <w:pStyle w:val="Bibliographie"/>
        <w:rPr>
          <w:rFonts w:cstheme="minorHAnsi"/>
          <w:lang w:val="en-GB"/>
        </w:rPr>
      </w:pPr>
      <w:r>
        <w:rPr>
          <w:rFonts w:cstheme="minorHAnsi"/>
          <w:lang w:val="en-GB"/>
        </w:rPr>
        <w:t xml:space="preserve">18. </w:t>
      </w:r>
      <w:r>
        <w:rPr>
          <w:rFonts w:cstheme="minorHAnsi"/>
          <w:lang w:val="en-GB"/>
        </w:rPr>
        <w:tab/>
        <w:t>Camolesi Gc, Ortega Kl, Medina Jb, Campos L, Lorenzo Pouso AI, Gándara Vila P, et al. Therapeutic alternatives in the management of osteoradionecrosis of the jaws. Systematic review. Med Oral Patol Oral Cir Bucal. 2020;</w:t>
      </w:r>
      <w:r>
        <w:rPr>
          <w:rFonts w:eastAsia="Times New Roman" w:cstheme="minorHAnsi"/>
          <w:color w:val="5B616B"/>
          <w:sz w:val="24"/>
          <w:szCs w:val="24"/>
          <w:lang w:val="en-GB" w:eastAsia="fr-BE"/>
        </w:rPr>
        <w:t xml:space="preserve"> </w:t>
      </w:r>
      <w:r>
        <w:rPr>
          <w:rFonts w:cstheme="minorHAnsi"/>
          <w:lang w:val="en-GB"/>
        </w:rPr>
        <w:t xml:space="preserve">24132. doi: 10.4317/medoral.24132. </w:t>
      </w:r>
    </w:p>
    <w:p w14:paraId="22E983A5" w14:textId="77777777" w:rsidR="00D36EC3" w:rsidRDefault="00D36EC3" w:rsidP="00D36EC3">
      <w:pPr>
        <w:pStyle w:val="Bibliographie"/>
        <w:rPr>
          <w:rFonts w:cstheme="minorHAnsi"/>
          <w:lang w:val="en-GB"/>
        </w:rPr>
      </w:pPr>
      <w:r>
        <w:rPr>
          <w:rFonts w:cstheme="minorHAnsi"/>
          <w:lang w:val="en-GB"/>
        </w:rPr>
        <w:t xml:space="preserve">19. </w:t>
      </w:r>
      <w:r>
        <w:rPr>
          <w:rFonts w:cstheme="minorHAnsi"/>
          <w:lang w:val="en-GB"/>
        </w:rPr>
        <w:tab/>
        <w:t>Delanian S, Lefaix JL. The radiation-induced fibroatrophic process: therapeutic perspective via the antioxidant pathway. Radiother Oncol. 2004;73:119</w:t>
      </w:r>
      <w:r>
        <w:rPr>
          <w:rFonts w:ascii="Cambria Math" w:hAnsi="Cambria Math" w:cs="Cambria Math"/>
          <w:lang w:val="en-GB"/>
        </w:rPr>
        <w:noBreakHyphen/>
      </w:r>
      <w:r>
        <w:rPr>
          <w:rFonts w:cstheme="minorHAnsi"/>
          <w:lang w:val="en-GB"/>
        </w:rPr>
        <w:t xml:space="preserve">31. </w:t>
      </w:r>
    </w:p>
    <w:p w14:paraId="736C119A" w14:textId="77777777" w:rsidR="00D36EC3" w:rsidRDefault="00D36EC3" w:rsidP="00D36EC3">
      <w:pPr>
        <w:pStyle w:val="Bibliographie"/>
        <w:rPr>
          <w:rFonts w:cstheme="minorHAnsi"/>
          <w:lang w:val="en-GB"/>
        </w:rPr>
      </w:pPr>
      <w:r>
        <w:rPr>
          <w:rFonts w:cstheme="minorHAnsi"/>
          <w:lang w:val="en-GB"/>
        </w:rPr>
        <w:t xml:space="preserve">20. </w:t>
      </w:r>
      <w:r>
        <w:rPr>
          <w:rFonts w:cstheme="minorHAnsi"/>
          <w:lang w:val="en-GB"/>
        </w:rPr>
        <w:tab/>
        <w:t>Owosho AA, Tsai CJ, Lee RS, Freymiller H, Kadempour A, Varthis S, et al. The prevalence and risk factors associated with osteoradionecrosis of the jaw in oral and oropharyngeal cancer patients treated with intensity-modulated radiation therapy (IMRT): The Memorial Sloan Kettering Cancer Center experience. Oral Oncol. 2017;64:44</w:t>
      </w:r>
      <w:r>
        <w:rPr>
          <w:rFonts w:ascii="Cambria Math" w:hAnsi="Cambria Math" w:cs="Cambria Math"/>
          <w:lang w:val="en-GB"/>
        </w:rPr>
        <w:noBreakHyphen/>
      </w:r>
      <w:r>
        <w:rPr>
          <w:rFonts w:cstheme="minorHAnsi"/>
          <w:lang w:val="en-GB"/>
        </w:rPr>
        <w:t xml:space="preserve">51. </w:t>
      </w:r>
    </w:p>
    <w:p w14:paraId="13EC37C9" w14:textId="77777777" w:rsidR="00D36EC3" w:rsidRDefault="00D36EC3" w:rsidP="00D36EC3">
      <w:pPr>
        <w:pStyle w:val="Bibliographie"/>
        <w:rPr>
          <w:rFonts w:cstheme="minorHAnsi"/>
          <w:lang w:val="en-GB"/>
        </w:rPr>
      </w:pPr>
      <w:r>
        <w:rPr>
          <w:rFonts w:cstheme="minorHAnsi"/>
          <w:lang w:val="en-GB"/>
        </w:rPr>
        <w:t xml:space="preserve">21. </w:t>
      </w:r>
      <w:r>
        <w:rPr>
          <w:rFonts w:cstheme="minorHAnsi"/>
          <w:lang w:val="en-GB"/>
        </w:rPr>
        <w:tab/>
        <w:t>Chang DT, Sandow PR, Morris CG, Hollander R, Scarborough L, Amdur RJ, et al. Do pre-irradiation dental extractions reduce the risk of osteoradionecrosis of the mandible? Head Neck. 2007;29:528</w:t>
      </w:r>
      <w:r>
        <w:rPr>
          <w:rFonts w:ascii="Cambria Math" w:hAnsi="Cambria Math" w:cs="Cambria Math"/>
          <w:lang w:val="en-GB"/>
        </w:rPr>
        <w:noBreakHyphen/>
      </w:r>
      <w:r>
        <w:rPr>
          <w:rFonts w:cstheme="minorHAnsi"/>
          <w:lang w:val="en-GB"/>
        </w:rPr>
        <w:t xml:space="preserve">36. </w:t>
      </w:r>
    </w:p>
    <w:p w14:paraId="6824D0CA" w14:textId="77777777" w:rsidR="00D36EC3" w:rsidRDefault="00D36EC3" w:rsidP="00D36EC3">
      <w:pPr>
        <w:pStyle w:val="Bibliographie"/>
        <w:rPr>
          <w:rFonts w:cstheme="minorHAnsi"/>
          <w:lang w:val="en-GB"/>
        </w:rPr>
      </w:pPr>
      <w:r>
        <w:rPr>
          <w:rFonts w:cstheme="minorHAnsi"/>
          <w:lang w:val="en-GB"/>
        </w:rPr>
        <w:t xml:space="preserve">22. </w:t>
      </w:r>
      <w:r>
        <w:rPr>
          <w:rFonts w:cstheme="minorHAnsi"/>
          <w:lang w:val="en-GB"/>
        </w:rPr>
        <w:tab/>
        <w:t>Chronopoulos A, Zarra T, Tröltzsch M, Mahaini S, Ehrenfeld M, Otto S. Osteoradionecrosis of the mandible: A ten year single-center retrospective study. J Craniomaxillofac Surg. 2015;43:837</w:t>
      </w:r>
      <w:r>
        <w:rPr>
          <w:rFonts w:ascii="Cambria Math" w:hAnsi="Cambria Math" w:cs="Cambria Math"/>
          <w:lang w:val="en-GB"/>
        </w:rPr>
        <w:noBreakHyphen/>
      </w:r>
      <w:r>
        <w:rPr>
          <w:rFonts w:cstheme="minorHAnsi"/>
          <w:lang w:val="en-GB"/>
        </w:rPr>
        <w:t xml:space="preserve">46. </w:t>
      </w:r>
    </w:p>
    <w:p w14:paraId="676ACD1E" w14:textId="77777777" w:rsidR="00D36EC3" w:rsidRDefault="00D36EC3" w:rsidP="00D36EC3">
      <w:pPr>
        <w:pStyle w:val="Bibliographie"/>
        <w:rPr>
          <w:rFonts w:cstheme="minorHAnsi"/>
          <w:lang w:val="en-GB"/>
        </w:rPr>
      </w:pPr>
      <w:r>
        <w:rPr>
          <w:rFonts w:cstheme="minorHAnsi"/>
          <w:lang w:val="en-GB"/>
        </w:rPr>
        <w:t xml:space="preserve">23. </w:t>
      </w:r>
      <w:r>
        <w:rPr>
          <w:rFonts w:cstheme="minorHAnsi"/>
          <w:lang w:val="en-GB"/>
        </w:rPr>
        <w:tab/>
        <w:t>Huang Q, He X, Yang W-F, Ye J, Lin Z, Xiong C, et al. Nutritional Status in Patients of Mandibular Osteoradionecrosis: A Single-Institution Experience. Oral Dis. 2020. doi: 10.1111/odi.13762</w:t>
      </w:r>
    </w:p>
    <w:p w14:paraId="074BDBC8" w14:textId="77777777" w:rsidR="00D36EC3" w:rsidRDefault="00D36EC3" w:rsidP="00D36EC3">
      <w:pPr>
        <w:pStyle w:val="Bibliographie"/>
        <w:rPr>
          <w:rFonts w:cstheme="minorHAnsi"/>
          <w:lang w:val="en-GB"/>
        </w:rPr>
      </w:pPr>
      <w:r>
        <w:rPr>
          <w:rFonts w:cstheme="minorHAnsi"/>
          <w:lang w:val="en-GB"/>
        </w:rPr>
        <w:t xml:space="preserve">24. </w:t>
      </w:r>
      <w:r>
        <w:rPr>
          <w:rFonts w:cstheme="minorHAnsi"/>
          <w:lang w:val="en-GB"/>
        </w:rPr>
        <w:tab/>
        <w:t>Goldwaser BR, Chuang SK, Kaban LB, August M. Risk factor assessment for the development of osteoradionecrosis. J Oral Maxillofac Surg. 2007;65:2311</w:t>
      </w:r>
      <w:r>
        <w:rPr>
          <w:rFonts w:ascii="Cambria Math" w:hAnsi="Cambria Math" w:cs="Cambria Math"/>
          <w:lang w:val="en-GB"/>
        </w:rPr>
        <w:noBreakHyphen/>
      </w:r>
      <w:r>
        <w:rPr>
          <w:rFonts w:cstheme="minorHAnsi"/>
          <w:lang w:val="en-GB"/>
        </w:rPr>
        <w:t xml:space="preserve">6. </w:t>
      </w:r>
    </w:p>
    <w:p w14:paraId="043B4002" w14:textId="77777777" w:rsidR="00D36EC3" w:rsidRDefault="00D36EC3" w:rsidP="00D36EC3">
      <w:pPr>
        <w:pStyle w:val="Bibliographie"/>
        <w:rPr>
          <w:rFonts w:cstheme="minorHAnsi"/>
        </w:rPr>
      </w:pPr>
      <w:r>
        <w:rPr>
          <w:rFonts w:cstheme="minorHAnsi"/>
          <w:lang w:val="en-GB"/>
        </w:rPr>
        <w:t xml:space="preserve">25. </w:t>
      </w:r>
      <w:r>
        <w:rPr>
          <w:rFonts w:cstheme="minorHAnsi"/>
          <w:lang w:val="en-GB"/>
        </w:rPr>
        <w:tab/>
        <w:t xml:space="preserve">Kojima Y, Yanamoto S, Umeda M, Kawashita Y, Saito I, Hasegawa T, et al. Relationship between dental status and development of osteoradionecrosis of the jaw: a multicenter retrospective study. </w:t>
      </w:r>
      <w:r>
        <w:rPr>
          <w:rFonts w:cstheme="minorHAnsi"/>
        </w:rPr>
        <w:t>Oral Surg Oral Med Oral Pathol Oral Radiol. 2017;124:139</w:t>
      </w:r>
      <w:r>
        <w:rPr>
          <w:rFonts w:ascii="Cambria Math" w:hAnsi="Cambria Math" w:cs="Cambria Math"/>
        </w:rPr>
        <w:noBreakHyphen/>
      </w:r>
      <w:r>
        <w:rPr>
          <w:rFonts w:cstheme="minorHAnsi"/>
        </w:rPr>
        <w:t xml:space="preserve">45. </w:t>
      </w:r>
    </w:p>
    <w:p w14:paraId="7013309D" w14:textId="77777777" w:rsidR="00D36EC3" w:rsidRDefault="00D36EC3" w:rsidP="00D36EC3">
      <w:pPr>
        <w:pStyle w:val="Bibliographie"/>
        <w:rPr>
          <w:rFonts w:cstheme="minorHAnsi"/>
          <w:lang w:val="en-GB"/>
        </w:rPr>
      </w:pPr>
      <w:r>
        <w:rPr>
          <w:rFonts w:cstheme="minorHAnsi"/>
        </w:rPr>
        <w:t xml:space="preserve">26. </w:t>
      </w:r>
      <w:r>
        <w:rPr>
          <w:rFonts w:cstheme="minorHAnsi"/>
        </w:rPr>
        <w:tab/>
        <w:t xml:space="preserve">d’Hauthuille C, Testelin S, Taha F, Bitar G, Devauchelle B. Ostéoradionécroses mandibulaires: partie I: facteurs de gravité. </w:t>
      </w:r>
      <w:r>
        <w:rPr>
          <w:rFonts w:cstheme="minorHAnsi"/>
          <w:lang w:val="en-GB"/>
        </w:rPr>
        <w:t>Rev Stomatol Chir Maxillofac. 2007;108:513</w:t>
      </w:r>
      <w:r>
        <w:rPr>
          <w:rFonts w:ascii="Cambria Math" w:hAnsi="Cambria Math" w:cs="Cambria Math"/>
          <w:lang w:val="en-GB"/>
        </w:rPr>
        <w:noBreakHyphen/>
      </w:r>
      <w:r>
        <w:rPr>
          <w:rFonts w:cstheme="minorHAnsi"/>
          <w:lang w:val="en-GB"/>
        </w:rPr>
        <w:t xml:space="preserve">25. </w:t>
      </w:r>
    </w:p>
    <w:p w14:paraId="2B3CF777" w14:textId="77777777" w:rsidR="00D36EC3" w:rsidRDefault="00D36EC3" w:rsidP="00D36EC3">
      <w:pPr>
        <w:pStyle w:val="Bibliographie"/>
        <w:rPr>
          <w:rFonts w:cstheme="minorHAnsi"/>
          <w:lang w:val="en-GB"/>
        </w:rPr>
      </w:pPr>
      <w:r>
        <w:rPr>
          <w:rFonts w:cstheme="minorHAnsi"/>
          <w:lang w:val="en-GB"/>
        </w:rPr>
        <w:t xml:space="preserve">27. </w:t>
      </w:r>
      <w:r>
        <w:rPr>
          <w:rFonts w:cstheme="minorHAnsi"/>
          <w:lang w:val="en-GB"/>
        </w:rPr>
        <w:tab/>
        <w:t xml:space="preserve">De Felice F, Tombolini V, Musio D, Polimeni A. Radiation Therapy and Mandibular Osteoradionecrosis: State of the Art. Curr Oncol Rep. 2020;22:89. </w:t>
      </w:r>
    </w:p>
    <w:p w14:paraId="5CEE5098" w14:textId="77777777" w:rsidR="00D36EC3" w:rsidRDefault="00D36EC3" w:rsidP="00D36EC3">
      <w:pPr>
        <w:pStyle w:val="Bibliographie"/>
        <w:rPr>
          <w:rFonts w:cstheme="minorHAnsi"/>
          <w:lang w:val="en-GB"/>
        </w:rPr>
      </w:pPr>
      <w:r>
        <w:rPr>
          <w:rFonts w:cstheme="minorHAnsi"/>
          <w:lang w:val="en-GB"/>
        </w:rPr>
        <w:t xml:space="preserve">28. </w:t>
      </w:r>
      <w:r>
        <w:rPr>
          <w:rFonts w:cstheme="minorHAnsi"/>
          <w:lang w:val="en-GB"/>
        </w:rPr>
        <w:tab/>
        <w:t xml:space="preserve">Gaêta‐Araujo H, Vanderhaeghen O, Vasconcelos K de F, Coucke W, Coropciuc R, Politis C, et al. Osteomyelitis, osteoradionecrosis, or medication‐related osteonecrosis of the jaws? Can CBCT enhance radiographic diagnosis? Oral Dis. 2021;27:312-9. </w:t>
      </w:r>
    </w:p>
    <w:p w14:paraId="3D96B22F" w14:textId="77777777" w:rsidR="00D36EC3" w:rsidRDefault="00D36EC3" w:rsidP="00D36EC3">
      <w:pPr>
        <w:pStyle w:val="Bibliographie"/>
        <w:rPr>
          <w:rFonts w:cstheme="minorHAnsi"/>
          <w:lang w:val="en-GB"/>
        </w:rPr>
      </w:pPr>
      <w:r>
        <w:rPr>
          <w:rFonts w:cstheme="minorHAnsi"/>
          <w:lang w:val="en-GB"/>
        </w:rPr>
        <w:t xml:space="preserve">29. </w:t>
      </w:r>
      <w:r>
        <w:rPr>
          <w:rFonts w:cstheme="minorHAnsi"/>
          <w:lang w:val="en-GB"/>
        </w:rPr>
        <w:tab/>
        <w:t>Shuster A, Reiser V, Trejo L, Ianculovici C, Kleinman S, Kaplan I. Comparison of the histopathological characteristics of osteomyelitis, medication-related osteonecrosis of the jaw, and osteoradionecrosis. Int J Oral Maxillofac Surg. 2019;48:17</w:t>
      </w:r>
      <w:r>
        <w:rPr>
          <w:rFonts w:ascii="Cambria Math" w:hAnsi="Cambria Math" w:cs="Cambria Math"/>
          <w:lang w:val="en-GB"/>
        </w:rPr>
        <w:noBreakHyphen/>
      </w:r>
      <w:r>
        <w:rPr>
          <w:rFonts w:cstheme="minorHAnsi"/>
          <w:lang w:val="en-GB"/>
        </w:rPr>
        <w:t xml:space="preserve">22. </w:t>
      </w:r>
    </w:p>
    <w:p w14:paraId="593E7C2E" w14:textId="77777777" w:rsidR="00D36EC3" w:rsidRDefault="00D36EC3" w:rsidP="00D36EC3">
      <w:pPr>
        <w:pStyle w:val="Bibliographie"/>
        <w:rPr>
          <w:rFonts w:cstheme="minorHAnsi"/>
          <w:lang w:val="en-GB"/>
        </w:rPr>
      </w:pPr>
      <w:r>
        <w:rPr>
          <w:rFonts w:cstheme="minorHAnsi"/>
          <w:lang w:val="en-GB"/>
        </w:rPr>
        <w:t xml:space="preserve">30. </w:t>
      </w:r>
      <w:r>
        <w:rPr>
          <w:rFonts w:cstheme="minorHAnsi"/>
          <w:lang w:val="en-GB"/>
        </w:rPr>
        <w:tab/>
        <w:t>Marx RE. Osteoradionecrosis: A new concept of its pathophysiology. J Oral Maxillofac Surg.  1983;41:283</w:t>
      </w:r>
      <w:r>
        <w:rPr>
          <w:rFonts w:ascii="Cambria Math" w:hAnsi="Cambria Math" w:cs="Cambria Math"/>
          <w:lang w:val="en-GB"/>
        </w:rPr>
        <w:noBreakHyphen/>
      </w:r>
      <w:r>
        <w:rPr>
          <w:rFonts w:cstheme="minorHAnsi"/>
          <w:lang w:val="en-GB"/>
        </w:rPr>
        <w:t xml:space="preserve">8. </w:t>
      </w:r>
    </w:p>
    <w:p w14:paraId="4D2ED903" w14:textId="77777777" w:rsidR="00D36EC3" w:rsidRDefault="00D36EC3" w:rsidP="00D36EC3">
      <w:pPr>
        <w:pStyle w:val="Bibliographie"/>
        <w:rPr>
          <w:rFonts w:cstheme="minorHAnsi"/>
          <w:lang w:val="en-GB"/>
        </w:rPr>
      </w:pPr>
      <w:r>
        <w:rPr>
          <w:rFonts w:cstheme="minorHAnsi"/>
          <w:lang w:val="en-GB"/>
        </w:rPr>
        <w:t xml:space="preserve">31. </w:t>
      </w:r>
      <w:r>
        <w:rPr>
          <w:rFonts w:cstheme="minorHAnsi"/>
          <w:lang w:val="en-GB"/>
        </w:rPr>
        <w:tab/>
        <w:t>Epstein JB, Wong FLW, Stevenson-Moore P. Osteoradionecrosis: Clinical experience and a proposal for classification. J Oral Maxillofac Surg. 1987;45:104</w:t>
      </w:r>
      <w:r>
        <w:rPr>
          <w:rFonts w:ascii="Cambria Math" w:hAnsi="Cambria Math" w:cs="Cambria Math"/>
          <w:lang w:val="en-GB"/>
        </w:rPr>
        <w:noBreakHyphen/>
      </w:r>
      <w:r>
        <w:rPr>
          <w:rFonts w:cstheme="minorHAnsi"/>
          <w:lang w:val="en-GB"/>
        </w:rPr>
        <w:t xml:space="preserve">10. </w:t>
      </w:r>
    </w:p>
    <w:p w14:paraId="19481BF0" w14:textId="77777777" w:rsidR="00D36EC3" w:rsidRDefault="00D36EC3" w:rsidP="00D36EC3">
      <w:pPr>
        <w:pStyle w:val="Bibliographie"/>
        <w:rPr>
          <w:rFonts w:cstheme="minorHAnsi"/>
          <w:lang w:val="en-GB"/>
        </w:rPr>
      </w:pPr>
      <w:r>
        <w:rPr>
          <w:rFonts w:cstheme="minorHAnsi"/>
          <w:lang w:val="en-GB"/>
        </w:rPr>
        <w:t xml:space="preserve">32. </w:t>
      </w:r>
      <w:r>
        <w:rPr>
          <w:rFonts w:cstheme="minorHAnsi"/>
          <w:lang w:val="en-GB"/>
        </w:rPr>
        <w:tab/>
        <w:t>Glanzmann C, Grätz KW. Radionecrosis of the mandibula: a retrospective analysis of the incidence and risk factors. Radiother Oncol. 1995;36:94</w:t>
      </w:r>
      <w:r>
        <w:rPr>
          <w:rFonts w:ascii="Cambria Math" w:hAnsi="Cambria Math" w:cs="Cambria Math"/>
          <w:lang w:val="en-GB"/>
        </w:rPr>
        <w:noBreakHyphen/>
      </w:r>
      <w:r>
        <w:rPr>
          <w:rFonts w:cstheme="minorHAnsi"/>
          <w:lang w:val="en-GB"/>
        </w:rPr>
        <w:t xml:space="preserve">100. </w:t>
      </w:r>
    </w:p>
    <w:p w14:paraId="7E64837A" w14:textId="77777777" w:rsidR="00D36EC3" w:rsidRDefault="00D36EC3" w:rsidP="00D36EC3">
      <w:pPr>
        <w:pStyle w:val="Bibliographie"/>
        <w:rPr>
          <w:rFonts w:cstheme="minorHAnsi"/>
          <w:lang w:val="en-GB"/>
        </w:rPr>
      </w:pPr>
      <w:r>
        <w:rPr>
          <w:rFonts w:cstheme="minorHAnsi"/>
          <w:lang w:val="en-GB"/>
        </w:rPr>
        <w:lastRenderedPageBreak/>
        <w:t xml:space="preserve">33. </w:t>
      </w:r>
      <w:r>
        <w:rPr>
          <w:rFonts w:cstheme="minorHAnsi"/>
          <w:lang w:val="en-GB"/>
        </w:rPr>
        <w:tab/>
        <w:t>Store G, Boysen M. Mandibular osteoradionecrosis: clinical behaviour and diagnostic aspects. Clin Otolaryngol Allied Sci. 2000;25:378</w:t>
      </w:r>
      <w:r>
        <w:rPr>
          <w:rFonts w:ascii="Cambria Math" w:hAnsi="Cambria Math" w:cs="Cambria Math"/>
          <w:lang w:val="en-GB"/>
        </w:rPr>
        <w:noBreakHyphen/>
      </w:r>
      <w:r>
        <w:rPr>
          <w:rFonts w:cstheme="minorHAnsi"/>
          <w:lang w:val="en-GB"/>
        </w:rPr>
        <w:t xml:space="preserve">84. </w:t>
      </w:r>
    </w:p>
    <w:p w14:paraId="7114CF7C" w14:textId="77777777" w:rsidR="00D36EC3" w:rsidRDefault="00D36EC3" w:rsidP="00D36EC3">
      <w:pPr>
        <w:pStyle w:val="Bibliographie"/>
        <w:rPr>
          <w:rFonts w:cstheme="minorHAnsi"/>
          <w:lang w:val="en-GB"/>
        </w:rPr>
      </w:pPr>
      <w:r>
        <w:rPr>
          <w:rFonts w:cstheme="minorHAnsi"/>
          <w:lang w:val="en-GB"/>
        </w:rPr>
        <w:t xml:space="preserve">34. </w:t>
      </w:r>
      <w:r>
        <w:rPr>
          <w:rFonts w:cstheme="minorHAnsi"/>
          <w:lang w:val="en-GB"/>
        </w:rPr>
        <w:tab/>
        <w:t>Schwartz HC, Kagan AR. Osteoradionecrosis of the mandible: scientific basis for clinical staging. Am J Clin Oncol. 2002;25:168</w:t>
      </w:r>
      <w:r>
        <w:rPr>
          <w:rFonts w:ascii="Cambria Math" w:hAnsi="Cambria Math" w:cs="Cambria Math"/>
          <w:lang w:val="en-GB"/>
        </w:rPr>
        <w:noBreakHyphen/>
      </w:r>
      <w:r>
        <w:rPr>
          <w:rFonts w:cstheme="minorHAnsi"/>
          <w:lang w:val="en-GB"/>
        </w:rPr>
        <w:t xml:space="preserve">71. </w:t>
      </w:r>
    </w:p>
    <w:p w14:paraId="4668C51A" w14:textId="77777777" w:rsidR="00D36EC3" w:rsidRDefault="00D36EC3" w:rsidP="00D36EC3">
      <w:pPr>
        <w:pStyle w:val="Bibliographie"/>
        <w:rPr>
          <w:rFonts w:cstheme="minorHAnsi"/>
          <w:lang w:val="en-GB"/>
        </w:rPr>
      </w:pPr>
      <w:r>
        <w:rPr>
          <w:rFonts w:cstheme="minorHAnsi"/>
          <w:lang w:val="en-GB"/>
        </w:rPr>
        <w:t xml:space="preserve">35. </w:t>
      </w:r>
      <w:r>
        <w:rPr>
          <w:rFonts w:cstheme="minorHAnsi"/>
          <w:lang w:val="en-GB"/>
        </w:rPr>
        <w:tab/>
        <w:t>Notani K, Yamazaki Y, Moriya S, Sakakibara N, Nakamura H, Watanabe M, et al. Osteoradionecrosis of the Mandible — Factors Influencing Severity. Asian J Oral Maxillofac Surg. 2002;14:5</w:t>
      </w:r>
      <w:r>
        <w:rPr>
          <w:rFonts w:ascii="Cambria Math" w:hAnsi="Cambria Math" w:cs="Cambria Math"/>
          <w:lang w:val="en-GB"/>
        </w:rPr>
        <w:noBreakHyphen/>
      </w:r>
      <w:r>
        <w:rPr>
          <w:rFonts w:cstheme="minorHAnsi"/>
          <w:lang w:val="en-GB"/>
        </w:rPr>
        <w:t xml:space="preserve">9. </w:t>
      </w:r>
    </w:p>
    <w:p w14:paraId="3C5E566E" w14:textId="77777777" w:rsidR="00D36EC3" w:rsidRDefault="00D36EC3" w:rsidP="00D36EC3">
      <w:pPr>
        <w:pStyle w:val="Bibliographie"/>
        <w:rPr>
          <w:rFonts w:cstheme="minorHAnsi"/>
          <w:lang w:val="en-GB"/>
        </w:rPr>
      </w:pPr>
      <w:r>
        <w:rPr>
          <w:rFonts w:cstheme="minorHAnsi"/>
          <w:lang w:val="en-GB"/>
        </w:rPr>
        <w:t xml:space="preserve">36. </w:t>
      </w:r>
      <w:r>
        <w:rPr>
          <w:rFonts w:cstheme="minorHAnsi"/>
          <w:lang w:val="en-GB"/>
        </w:rPr>
        <w:tab/>
        <w:t>LENT SOMA tables. Radiother Oncol. 1995;35:17</w:t>
      </w:r>
      <w:r>
        <w:rPr>
          <w:rFonts w:ascii="Cambria Math" w:hAnsi="Cambria Math" w:cs="Cambria Math"/>
          <w:lang w:val="en-GB"/>
        </w:rPr>
        <w:noBreakHyphen/>
      </w:r>
      <w:r>
        <w:rPr>
          <w:rFonts w:cstheme="minorHAnsi"/>
          <w:lang w:val="en-GB"/>
        </w:rPr>
        <w:t xml:space="preserve">60. </w:t>
      </w:r>
    </w:p>
    <w:p w14:paraId="0A268797" w14:textId="77777777" w:rsidR="00D36EC3" w:rsidRDefault="00D36EC3" w:rsidP="00D36EC3">
      <w:pPr>
        <w:pStyle w:val="Bibliographie"/>
        <w:rPr>
          <w:rFonts w:cstheme="minorHAnsi"/>
          <w:lang w:val="en-GB"/>
        </w:rPr>
      </w:pPr>
      <w:r>
        <w:rPr>
          <w:rFonts w:cstheme="minorHAnsi"/>
          <w:lang w:val="en-GB"/>
        </w:rPr>
        <w:t xml:space="preserve">37. </w:t>
      </w:r>
      <w:r>
        <w:rPr>
          <w:rFonts w:cstheme="minorHAnsi"/>
          <w:lang w:val="en-GB"/>
        </w:rPr>
        <w:tab/>
        <w:t>Dekker H, Bravenboer N, van Dijk D, Bloemena E, Rietveld DHF, Ten Bruggenkate CM, et al. The irradiated human mandible: A quantitative study on bone vascularity. Oral Oncol. 2018;87:126</w:t>
      </w:r>
      <w:r>
        <w:rPr>
          <w:rFonts w:ascii="Cambria Math" w:hAnsi="Cambria Math" w:cs="Cambria Math"/>
          <w:lang w:val="en-GB"/>
        </w:rPr>
        <w:noBreakHyphen/>
      </w:r>
      <w:r>
        <w:rPr>
          <w:rFonts w:cstheme="minorHAnsi"/>
          <w:lang w:val="en-GB"/>
        </w:rPr>
        <w:t xml:space="preserve">30. </w:t>
      </w:r>
    </w:p>
    <w:p w14:paraId="032C663B" w14:textId="77777777" w:rsidR="00D36EC3" w:rsidRDefault="00D36EC3" w:rsidP="00D36EC3">
      <w:pPr>
        <w:pStyle w:val="Bibliographie"/>
        <w:rPr>
          <w:rFonts w:cstheme="minorHAnsi"/>
          <w:lang w:val="en-GB"/>
        </w:rPr>
      </w:pPr>
      <w:r>
        <w:rPr>
          <w:rFonts w:cstheme="minorHAnsi"/>
          <w:lang w:val="en-GB"/>
        </w:rPr>
        <w:t xml:space="preserve">38. </w:t>
      </w:r>
      <w:r>
        <w:rPr>
          <w:rFonts w:cstheme="minorHAnsi"/>
          <w:lang w:val="en-GB"/>
        </w:rPr>
        <w:tab/>
        <w:t>Meyer I. Infectious diseases of the jaws. J Oral Surg. 1970;28:17</w:t>
      </w:r>
      <w:r>
        <w:rPr>
          <w:rFonts w:ascii="Cambria Math" w:hAnsi="Cambria Math" w:cs="Cambria Math"/>
          <w:lang w:val="en-GB"/>
        </w:rPr>
        <w:noBreakHyphen/>
      </w:r>
      <w:r>
        <w:rPr>
          <w:rFonts w:cstheme="minorHAnsi"/>
          <w:lang w:val="en-GB"/>
        </w:rPr>
        <w:t xml:space="preserve">26. </w:t>
      </w:r>
    </w:p>
    <w:p w14:paraId="595A85A7" w14:textId="77777777" w:rsidR="00D36EC3" w:rsidRDefault="00D36EC3" w:rsidP="00D36EC3">
      <w:pPr>
        <w:pStyle w:val="Bibliographie"/>
        <w:rPr>
          <w:rFonts w:cstheme="minorHAnsi"/>
          <w:lang w:val="en-GB"/>
        </w:rPr>
      </w:pPr>
      <w:r>
        <w:rPr>
          <w:rFonts w:cstheme="minorHAnsi"/>
          <w:lang w:val="en-GB"/>
        </w:rPr>
        <w:t xml:space="preserve">39. </w:t>
      </w:r>
      <w:r>
        <w:rPr>
          <w:rFonts w:cstheme="minorHAnsi"/>
          <w:lang w:val="en-GB"/>
        </w:rPr>
        <w:tab/>
        <w:t>Jegoux F, Malard O, Goyenvalle E, Aguado E, Daculsi G. Radiation effects on bone healing and reconstruction: interpretation of the literature. Oral Surg Oral Med Oral Pathol Oral Radiol Endod. 2010;109:173</w:t>
      </w:r>
      <w:r>
        <w:rPr>
          <w:rFonts w:ascii="Cambria Math" w:hAnsi="Cambria Math" w:cs="Cambria Math"/>
          <w:lang w:val="en-GB"/>
        </w:rPr>
        <w:noBreakHyphen/>
      </w:r>
      <w:r>
        <w:rPr>
          <w:rFonts w:cstheme="minorHAnsi"/>
          <w:lang w:val="en-GB"/>
        </w:rPr>
        <w:t xml:space="preserve">84. </w:t>
      </w:r>
    </w:p>
    <w:p w14:paraId="00C6358F" w14:textId="77777777" w:rsidR="00D36EC3" w:rsidRDefault="00D36EC3" w:rsidP="00D36EC3">
      <w:pPr>
        <w:pStyle w:val="Bibliographie"/>
        <w:rPr>
          <w:rFonts w:cstheme="minorHAnsi"/>
          <w:lang w:val="en-GB"/>
        </w:rPr>
      </w:pPr>
      <w:r>
        <w:rPr>
          <w:rFonts w:cstheme="minorHAnsi"/>
          <w:lang w:val="en-GB"/>
        </w:rPr>
        <w:t xml:space="preserve">40. </w:t>
      </w:r>
      <w:r>
        <w:rPr>
          <w:rFonts w:cstheme="minorHAnsi"/>
          <w:lang w:val="en-GB"/>
        </w:rPr>
        <w:tab/>
        <w:t>Dekker H, Schulten EAJM, van Ruijven L, van Essen HW, Blom GJ, Bloemena E, et al. Bone microarchitecture and turnover in the irradiated human mandible. J Craniomaxillofac Surg. 2020;48:733</w:t>
      </w:r>
      <w:r>
        <w:rPr>
          <w:rFonts w:ascii="Cambria Math" w:hAnsi="Cambria Math" w:cs="Cambria Math"/>
          <w:lang w:val="en-GB"/>
        </w:rPr>
        <w:noBreakHyphen/>
      </w:r>
      <w:r>
        <w:rPr>
          <w:rFonts w:cstheme="minorHAnsi"/>
          <w:lang w:val="en-GB"/>
        </w:rPr>
        <w:t xml:space="preserve">40. </w:t>
      </w:r>
    </w:p>
    <w:p w14:paraId="4F0169EB" w14:textId="77777777" w:rsidR="00D36EC3" w:rsidRDefault="00D36EC3" w:rsidP="00D36EC3">
      <w:pPr>
        <w:pStyle w:val="Bibliographie"/>
        <w:rPr>
          <w:rFonts w:cstheme="minorHAnsi"/>
          <w:lang w:val="en-GB"/>
        </w:rPr>
      </w:pPr>
      <w:r>
        <w:rPr>
          <w:rFonts w:cstheme="minorHAnsi"/>
          <w:lang w:val="en-GB"/>
        </w:rPr>
        <w:t xml:space="preserve">41. </w:t>
      </w:r>
      <w:r>
        <w:rPr>
          <w:rFonts w:cstheme="minorHAnsi"/>
          <w:lang w:val="en-GB"/>
        </w:rPr>
        <w:tab/>
        <w:t>Delanian S, Lefaix JL. [Reversibility of radiation-induced fibroatrophy]. Rev Med Interne.  2002;23:164</w:t>
      </w:r>
      <w:r>
        <w:rPr>
          <w:rFonts w:ascii="Cambria Math" w:hAnsi="Cambria Math" w:cs="Cambria Math"/>
          <w:lang w:val="en-GB"/>
        </w:rPr>
        <w:noBreakHyphen/>
      </w:r>
      <w:r>
        <w:rPr>
          <w:rFonts w:cstheme="minorHAnsi"/>
          <w:lang w:val="en-GB"/>
        </w:rPr>
        <w:t xml:space="preserve">74. </w:t>
      </w:r>
    </w:p>
    <w:p w14:paraId="04493458" w14:textId="77777777" w:rsidR="00D36EC3" w:rsidRDefault="00D36EC3" w:rsidP="00D36EC3">
      <w:pPr>
        <w:pStyle w:val="Bibliographie"/>
        <w:rPr>
          <w:rFonts w:cstheme="minorHAnsi"/>
          <w:lang w:val="en-GB"/>
        </w:rPr>
      </w:pPr>
      <w:r>
        <w:rPr>
          <w:rFonts w:cstheme="minorHAnsi"/>
          <w:lang w:val="en-GB"/>
        </w:rPr>
        <w:t xml:space="preserve">42. </w:t>
      </w:r>
      <w:r>
        <w:rPr>
          <w:rFonts w:cstheme="minorHAnsi"/>
          <w:lang w:val="en-GB"/>
        </w:rPr>
        <w:tab/>
        <w:t>Ghazali N, Shaw RJ, Rogers SN, Risk JM. Genomic determinants of normal tissue toxicity after radiotherapy for head and neck malignancy: A systematic review. Oral Oncol. 2012;48:1090</w:t>
      </w:r>
      <w:r>
        <w:rPr>
          <w:rFonts w:ascii="Cambria Math" w:hAnsi="Cambria Math" w:cs="Cambria Math"/>
          <w:lang w:val="en-GB"/>
        </w:rPr>
        <w:noBreakHyphen/>
      </w:r>
      <w:r>
        <w:rPr>
          <w:rFonts w:cstheme="minorHAnsi"/>
          <w:lang w:val="en-GB"/>
        </w:rPr>
        <w:t xml:space="preserve">100. </w:t>
      </w:r>
    </w:p>
    <w:p w14:paraId="0769B5FD" w14:textId="77777777" w:rsidR="00D36EC3" w:rsidRDefault="00D36EC3" w:rsidP="00D36EC3">
      <w:pPr>
        <w:pStyle w:val="Bibliographie"/>
        <w:rPr>
          <w:rFonts w:cstheme="minorHAnsi"/>
          <w:lang w:val="en-GB"/>
        </w:rPr>
      </w:pPr>
      <w:r>
        <w:rPr>
          <w:rFonts w:cstheme="minorHAnsi"/>
          <w:lang w:val="en-GB"/>
        </w:rPr>
        <w:t xml:space="preserve">43. </w:t>
      </w:r>
      <w:r>
        <w:rPr>
          <w:rFonts w:cstheme="minorHAnsi"/>
          <w:lang w:val="en-GB"/>
        </w:rPr>
        <w:tab/>
        <w:t>Danielsson D, Brehwens K, Halle M, Marczyk M, Sollazzo A, Polanska J, et al. Influence of genetic background and oxidative stress response on risk of mandibular osteoradionecrosis after radiotherapy of head and neck cancer: Osteoradionecrosis and oxidative stress response. Head Neck. 2016;38:387</w:t>
      </w:r>
      <w:r>
        <w:rPr>
          <w:rFonts w:ascii="Cambria Math" w:hAnsi="Cambria Math" w:cs="Cambria Math"/>
          <w:lang w:val="en-GB"/>
        </w:rPr>
        <w:noBreakHyphen/>
      </w:r>
      <w:r>
        <w:rPr>
          <w:rFonts w:cstheme="minorHAnsi"/>
          <w:lang w:val="en-GB"/>
        </w:rPr>
        <w:t xml:space="preserve">93. </w:t>
      </w:r>
    </w:p>
    <w:p w14:paraId="7D777037" w14:textId="77777777" w:rsidR="00D36EC3" w:rsidRDefault="00D36EC3" w:rsidP="00D36EC3">
      <w:pPr>
        <w:pStyle w:val="Bibliographie"/>
        <w:rPr>
          <w:rFonts w:cstheme="minorHAnsi"/>
          <w:lang w:val="en-GB"/>
        </w:rPr>
      </w:pPr>
      <w:r>
        <w:rPr>
          <w:rFonts w:cstheme="minorHAnsi"/>
          <w:lang w:val="en-GB"/>
        </w:rPr>
        <w:t xml:space="preserve">44. </w:t>
      </w:r>
      <w:r>
        <w:rPr>
          <w:rFonts w:cstheme="minorHAnsi"/>
          <w:lang w:val="en-GB"/>
        </w:rPr>
        <w:tab/>
        <w:t>Raggio BS, Winters RD. Role of Steroids in Preventing Osteoradionecrosis of the Head and Neck: A Systematic Review. Ann Otol Rhinol Laryngol. 2019;128:441</w:t>
      </w:r>
      <w:r>
        <w:rPr>
          <w:rFonts w:ascii="Cambria Math" w:hAnsi="Cambria Math" w:cs="Cambria Math"/>
          <w:lang w:val="en-GB"/>
        </w:rPr>
        <w:noBreakHyphen/>
      </w:r>
      <w:r>
        <w:rPr>
          <w:rFonts w:cstheme="minorHAnsi"/>
          <w:lang w:val="en-GB"/>
        </w:rPr>
        <w:t xml:space="preserve">6. </w:t>
      </w:r>
    </w:p>
    <w:p w14:paraId="6A18EEDB" w14:textId="77777777" w:rsidR="00D36EC3" w:rsidRDefault="00D36EC3" w:rsidP="00D36EC3">
      <w:pPr>
        <w:pStyle w:val="Bibliographie"/>
        <w:rPr>
          <w:rFonts w:cstheme="minorHAnsi"/>
        </w:rPr>
      </w:pPr>
      <w:r>
        <w:rPr>
          <w:rFonts w:cstheme="minorHAnsi"/>
          <w:lang w:val="en-GB"/>
        </w:rPr>
        <w:t xml:space="preserve">45. </w:t>
      </w:r>
      <w:r>
        <w:rPr>
          <w:rFonts w:cstheme="minorHAnsi"/>
          <w:lang w:val="en-GB"/>
        </w:rPr>
        <w:tab/>
        <w:t xml:space="preserve">Oh HK, Chambers MS, Martin JW, Lim HJ, Park HJ. Osteoradionecrosis of the mandible: treatment outcomes and factors influencing the progress of osteoradionecrosis. </w:t>
      </w:r>
      <w:r>
        <w:rPr>
          <w:rFonts w:cstheme="minorHAnsi"/>
        </w:rPr>
        <w:t>J Oral Maxillofac Surg.  2009;67:1378</w:t>
      </w:r>
      <w:r>
        <w:rPr>
          <w:rFonts w:ascii="Cambria Math" w:hAnsi="Cambria Math" w:cs="Cambria Math"/>
        </w:rPr>
        <w:noBreakHyphen/>
      </w:r>
      <w:r>
        <w:rPr>
          <w:rFonts w:cstheme="minorHAnsi"/>
        </w:rPr>
        <w:t xml:space="preserve">86. </w:t>
      </w:r>
    </w:p>
    <w:p w14:paraId="59903195" w14:textId="77777777" w:rsidR="00D36EC3" w:rsidRDefault="00D36EC3" w:rsidP="00D36EC3">
      <w:pPr>
        <w:pStyle w:val="Bibliographie"/>
        <w:rPr>
          <w:rFonts w:cstheme="minorHAnsi"/>
          <w:lang w:val="en-GB"/>
        </w:rPr>
      </w:pPr>
      <w:r>
        <w:rPr>
          <w:rFonts w:cstheme="minorHAnsi"/>
        </w:rPr>
        <w:t xml:space="preserve">46. </w:t>
      </w:r>
      <w:r>
        <w:rPr>
          <w:rFonts w:cstheme="minorHAnsi"/>
        </w:rPr>
        <w:tab/>
        <w:t xml:space="preserve">Sultan A, Hanna GJ, Margalit DN, Chau N, Goguen LA, Marty FM, et al. </w:t>
      </w:r>
      <w:r>
        <w:rPr>
          <w:rFonts w:cstheme="minorHAnsi"/>
          <w:lang w:val="en-GB"/>
        </w:rPr>
        <w:t>The Use of Hyperbaric Oxygen for the Prevention and Management of Osteoradionecrosis of the Jaw: A Dana-Farber/Brigham and Women’s Cancer Center Multidisciplinary Guideline. Oncologist. 2017;22:343</w:t>
      </w:r>
      <w:r>
        <w:rPr>
          <w:rFonts w:ascii="Cambria Math" w:hAnsi="Cambria Math" w:cs="Cambria Math"/>
          <w:lang w:val="en-GB"/>
        </w:rPr>
        <w:noBreakHyphen/>
      </w:r>
      <w:r>
        <w:rPr>
          <w:rFonts w:cstheme="minorHAnsi"/>
          <w:lang w:val="en-GB"/>
        </w:rPr>
        <w:t xml:space="preserve">50. </w:t>
      </w:r>
    </w:p>
    <w:p w14:paraId="0BCAFBCC" w14:textId="77777777" w:rsidR="00D36EC3" w:rsidRDefault="00D36EC3" w:rsidP="00D36EC3">
      <w:pPr>
        <w:pStyle w:val="Bibliographie"/>
        <w:rPr>
          <w:rFonts w:cstheme="minorHAnsi"/>
          <w:lang w:val="en-GB"/>
        </w:rPr>
      </w:pPr>
      <w:r>
        <w:rPr>
          <w:rFonts w:cstheme="minorHAnsi"/>
          <w:lang w:val="en-GB"/>
        </w:rPr>
        <w:t xml:space="preserve">47. </w:t>
      </w:r>
      <w:r>
        <w:rPr>
          <w:rFonts w:cstheme="minorHAnsi"/>
          <w:lang w:val="en-GB"/>
        </w:rPr>
        <w:tab/>
        <w:t>Bennett MH, Feldmeier J, Hampson NB, Smee R, Milross C. Hyperbaric oxygen therapy for late radiation tissue injury. Cochrane Database Syst Rev. 2016;4:CD005005.</w:t>
      </w:r>
      <w:r>
        <w:rPr>
          <w:rFonts w:cstheme="minorHAnsi"/>
          <w:color w:val="5B616B"/>
          <w:shd w:val="clear" w:color="auto" w:fill="FFFFFF"/>
          <w:lang w:val="en-GB"/>
        </w:rPr>
        <w:t xml:space="preserve"> </w:t>
      </w:r>
      <w:r>
        <w:rPr>
          <w:rFonts w:cstheme="minorHAnsi"/>
          <w:lang w:val="en-GB"/>
        </w:rPr>
        <w:t xml:space="preserve">doi: 10.1002/14651858.CD005005.pub4. </w:t>
      </w:r>
    </w:p>
    <w:p w14:paraId="052A6C59" w14:textId="77777777" w:rsidR="00D36EC3" w:rsidRDefault="00D36EC3" w:rsidP="00D36EC3">
      <w:pPr>
        <w:pStyle w:val="Bibliographie"/>
        <w:rPr>
          <w:rFonts w:cstheme="minorHAnsi"/>
          <w:lang w:val="en-GB"/>
        </w:rPr>
      </w:pPr>
      <w:r>
        <w:rPr>
          <w:rFonts w:cstheme="minorHAnsi"/>
          <w:lang w:val="en-GB"/>
        </w:rPr>
        <w:t xml:space="preserve">48. </w:t>
      </w:r>
      <w:r>
        <w:rPr>
          <w:rFonts w:cstheme="minorHAnsi"/>
          <w:lang w:val="en-GB"/>
        </w:rPr>
        <w:tab/>
        <w:t>Shaw RJ, Butterworth CJ, Silcocks P, Tesfaye BT, Bickerstaff M, Jackson R, et al. HOPON (Hyperbaric Oxygen for the Prevention of Osteoradionecrosis): A Randomized Controlled Trial of Hyperbaric Oxygen to Prevent Osteoradionecrosis of the Irradiated Mandible After Dentoalveolar Surgery. Int J Radiat Oncol. 2019;104:530</w:t>
      </w:r>
      <w:r>
        <w:rPr>
          <w:rFonts w:ascii="Cambria Math" w:hAnsi="Cambria Math" w:cs="Cambria Math"/>
          <w:lang w:val="en-GB"/>
        </w:rPr>
        <w:noBreakHyphen/>
      </w:r>
      <w:r>
        <w:rPr>
          <w:rFonts w:cstheme="minorHAnsi"/>
          <w:lang w:val="en-GB"/>
        </w:rPr>
        <w:t xml:space="preserve">9. </w:t>
      </w:r>
    </w:p>
    <w:p w14:paraId="478B3E64" w14:textId="77777777" w:rsidR="00D36EC3" w:rsidRDefault="00D36EC3" w:rsidP="00D36EC3">
      <w:pPr>
        <w:pStyle w:val="Bibliographie"/>
        <w:rPr>
          <w:rFonts w:cstheme="minorHAnsi"/>
        </w:rPr>
      </w:pPr>
      <w:r>
        <w:rPr>
          <w:rFonts w:cstheme="minorHAnsi"/>
          <w:lang w:val="en-GB"/>
        </w:rPr>
        <w:lastRenderedPageBreak/>
        <w:t xml:space="preserve">49. </w:t>
      </w:r>
      <w:r>
        <w:rPr>
          <w:rFonts w:cstheme="minorHAnsi"/>
          <w:lang w:val="en-GB"/>
        </w:rPr>
        <w:tab/>
        <w:t xml:space="preserve">Dieleman FJ, Meijer GJ, Merkx MAW. Does hyperbaric oxygen therapy play a role in the management of osteoradionecrosis? A survey of Dutch oral and maxillofacial surgeons. Int J Oral Maxillofac Surg.  </w:t>
      </w:r>
      <w:r>
        <w:rPr>
          <w:rFonts w:cstheme="minorHAnsi"/>
        </w:rPr>
        <w:t xml:space="preserve">2021;50:273-6. </w:t>
      </w:r>
    </w:p>
    <w:p w14:paraId="43E554AD" w14:textId="77777777" w:rsidR="00D36EC3" w:rsidRDefault="00D36EC3" w:rsidP="00D36EC3">
      <w:pPr>
        <w:pStyle w:val="Bibliographie"/>
        <w:rPr>
          <w:rFonts w:cstheme="minorHAnsi"/>
          <w:lang w:val="en-GB"/>
        </w:rPr>
      </w:pPr>
      <w:r>
        <w:rPr>
          <w:rFonts w:cstheme="minorHAnsi"/>
        </w:rPr>
        <w:t xml:space="preserve">50. </w:t>
      </w:r>
      <w:r>
        <w:rPr>
          <w:rFonts w:cstheme="minorHAnsi"/>
        </w:rPr>
        <w:tab/>
        <w:t xml:space="preserve">Annane D, Depondt J, Aubert P, Villart M, Géhanno P, Gajdos P, et al. </w:t>
      </w:r>
      <w:r>
        <w:rPr>
          <w:rFonts w:cstheme="minorHAnsi"/>
          <w:lang w:val="en-GB"/>
        </w:rPr>
        <w:t>Hyperbaric oxygen therapy for radionecrosis of the jaw: a randomized, placebo-controlled, double-blind trial from the ORN96 study group. J Clin Oncol. 2004;22:4893</w:t>
      </w:r>
      <w:r>
        <w:rPr>
          <w:rFonts w:ascii="Cambria Math" w:hAnsi="Cambria Math" w:cs="Cambria Math"/>
          <w:lang w:val="en-GB"/>
        </w:rPr>
        <w:noBreakHyphen/>
      </w:r>
      <w:r>
        <w:rPr>
          <w:rFonts w:cstheme="minorHAnsi"/>
          <w:lang w:val="en-GB"/>
        </w:rPr>
        <w:t xml:space="preserve">900. </w:t>
      </w:r>
    </w:p>
    <w:p w14:paraId="4FEE3C3A" w14:textId="77777777" w:rsidR="00D36EC3" w:rsidRDefault="00D36EC3" w:rsidP="00D36EC3">
      <w:pPr>
        <w:pStyle w:val="Bibliographie"/>
        <w:rPr>
          <w:rFonts w:cstheme="minorHAnsi"/>
          <w:lang w:val="en-GB"/>
        </w:rPr>
      </w:pPr>
      <w:r>
        <w:rPr>
          <w:rFonts w:cstheme="minorHAnsi"/>
          <w:lang w:val="en-GB"/>
        </w:rPr>
        <w:t xml:space="preserve">51. </w:t>
      </w:r>
      <w:r>
        <w:rPr>
          <w:rFonts w:cstheme="minorHAnsi"/>
          <w:lang w:val="en-GB"/>
        </w:rPr>
        <w:tab/>
        <w:t>Mathieu D, Marroni A, Kot J. Tenth European Consensus Conference on Hyperbaric Medicine: recommendations for accepted and non-accepted clinical indications and practice of hyperbaric oxygen treatment. Diving Hyperb Med. 2017;47:24</w:t>
      </w:r>
      <w:r>
        <w:rPr>
          <w:rFonts w:ascii="Cambria Math" w:hAnsi="Cambria Math" w:cs="Cambria Math"/>
          <w:lang w:val="en-GB"/>
        </w:rPr>
        <w:noBreakHyphen/>
      </w:r>
      <w:r>
        <w:rPr>
          <w:rFonts w:cstheme="minorHAnsi"/>
          <w:lang w:val="en-GB"/>
        </w:rPr>
        <w:t xml:space="preserve">32. </w:t>
      </w:r>
    </w:p>
    <w:p w14:paraId="01894C93" w14:textId="77777777" w:rsidR="00D36EC3" w:rsidRDefault="00D36EC3" w:rsidP="00D36EC3">
      <w:pPr>
        <w:pStyle w:val="Bibliographie"/>
        <w:rPr>
          <w:rFonts w:cstheme="minorHAnsi"/>
          <w:lang w:val="en-GB"/>
        </w:rPr>
      </w:pPr>
      <w:r>
        <w:rPr>
          <w:rFonts w:cstheme="minorHAnsi"/>
          <w:lang w:val="en-GB"/>
        </w:rPr>
        <w:t xml:space="preserve">52. </w:t>
      </w:r>
      <w:r>
        <w:rPr>
          <w:rFonts w:cstheme="minorHAnsi"/>
          <w:lang w:val="en-GB"/>
        </w:rPr>
        <w:tab/>
        <w:t>Ceponis P, Keilman C, Guerry C, Freiberger J. Hyperbaric oxygen therapy and osteonecrosis. Oral Dis. 2017;23:141</w:t>
      </w:r>
      <w:r>
        <w:rPr>
          <w:rFonts w:ascii="Cambria Math" w:hAnsi="Cambria Math" w:cs="Cambria Math"/>
          <w:lang w:val="en-GB"/>
        </w:rPr>
        <w:noBreakHyphen/>
      </w:r>
      <w:r>
        <w:rPr>
          <w:rFonts w:cstheme="minorHAnsi"/>
          <w:lang w:val="en-GB"/>
        </w:rPr>
        <w:t xml:space="preserve">51. </w:t>
      </w:r>
    </w:p>
    <w:p w14:paraId="0B4B4C2B" w14:textId="77777777" w:rsidR="00D36EC3" w:rsidRDefault="00D36EC3" w:rsidP="00D36EC3">
      <w:pPr>
        <w:pStyle w:val="Bibliographie"/>
        <w:rPr>
          <w:rFonts w:cstheme="minorHAnsi"/>
          <w:lang w:val="en-GB"/>
        </w:rPr>
      </w:pPr>
      <w:r>
        <w:rPr>
          <w:rFonts w:cstheme="minorHAnsi"/>
          <w:lang w:val="en-GB"/>
        </w:rPr>
        <w:t xml:space="preserve">53. </w:t>
      </w:r>
      <w:r>
        <w:rPr>
          <w:rFonts w:cstheme="minorHAnsi"/>
          <w:lang w:val="en-GB"/>
        </w:rPr>
        <w:tab/>
        <w:t>Kolokythas A, Rasmussen JT, Reardon J, Feng C. Management of osteoradionecrosis of the jaws with pentoxifylline-tocopherol: a systematic review of the literature and meta-analysis. Int J Oral Maxillofac Surg. 2019;48:173</w:t>
      </w:r>
      <w:r>
        <w:rPr>
          <w:rFonts w:ascii="Cambria Math" w:hAnsi="Cambria Math" w:cs="Cambria Math"/>
          <w:lang w:val="en-GB"/>
        </w:rPr>
        <w:noBreakHyphen/>
      </w:r>
      <w:r>
        <w:rPr>
          <w:rFonts w:cstheme="minorHAnsi"/>
          <w:lang w:val="en-GB"/>
        </w:rPr>
        <w:t xml:space="preserve">80. </w:t>
      </w:r>
    </w:p>
    <w:p w14:paraId="62B5B9E7" w14:textId="77777777" w:rsidR="00D36EC3" w:rsidRDefault="00D36EC3" w:rsidP="00D36EC3">
      <w:pPr>
        <w:pStyle w:val="Bibliographie"/>
        <w:rPr>
          <w:rFonts w:cstheme="minorHAnsi"/>
          <w:lang w:val="en-GB"/>
        </w:rPr>
      </w:pPr>
      <w:r>
        <w:rPr>
          <w:rFonts w:cstheme="minorHAnsi"/>
          <w:lang w:val="en-GB"/>
        </w:rPr>
        <w:t xml:space="preserve">54. </w:t>
      </w:r>
      <w:r>
        <w:rPr>
          <w:rFonts w:cstheme="minorHAnsi"/>
          <w:lang w:val="en-GB"/>
        </w:rPr>
        <w:tab/>
        <w:t>Martos-Fernández M, Saez-Barba M, López-López J, Estrugo-Devesa A, Balibrea-Del-Castillo JM, Bescós-Atín C. Pentoxifylline, tocopherol, and clodronate for the treatment of mandibular osteoradionecrosis: a systematic review. Oral Surg Oral Med Oral Pathol Oral Radiol. 2018;125:431</w:t>
      </w:r>
      <w:r>
        <w:rPr>
          <w:rFonts w:ascii="Cambria Math" w:hAnsi="Cambria Math" w:cs="Cambria Math"/>
          <w:lang w:val="en-GB"/>
        </w:rPr>
        <w:noBreakHyphen/>
      </w:r>
      <w:r>
        <w:rPr>
          <w:rFonts w:cstheme="minorHAnsi"/>
          <w:lang w:val="en-GB"/>
        </w:rPr>
        <w:t xml:space="preserve">9. </w:t>
      </w:r>
    </w:p>
    <w:p w14:paraId="70A9C5AB" w14:textId="77777777" w:rsidR="00D36EC3" w:rsidRDefault="00D36EC3" w:rsidP="00D36EC3">
      <w:pPr>
        <w:pStyle w:val="Bibliographie"/>
        <w:rPr>
          <w:rFonts w:cstheme="minorHAnsi"/>
          <w:lang w:val="en-GB"/>
        </w:rPr>
      </w:pPr>
      <w:r>
        <w:rPr>
          <w:rFonts w:cstheme="minorHAnsi"/>
          <w:lang w:val="en-GB"/>
        </w:rPr>
        <w:t xml:space="preserve">55. </w:t>
      </w:r>
      <w:r>
        <w:rPr>
          <w:rFonts w:cstheme="minorHAnsi"/>
          <w:lang w:val="en-GB"/>
        </w:rPr>
        <w:tab/>
        <w:t>Seo MH, Myoung H, Lee JH, Yang HC, Woo KM, Lee SK, et al. Effects of pentoxifylline and tocopherol on an osteoradionecrosis animal model. J Craniomaxillofac Surg. 2020;48:621</w:t>
      </w:r>
      <w:r>
        <w:rPr>
          <w:rFonts w:ascii="Cambria Math" w:hAnsi="Cambria Math" w:cs="Cambria Math"/>
          <w:lang w:val="en-GB"/>
        </w:rPr>
        <w:noBreakHyphen/>
      </w:r>
      <w:r>
        <w:rPr>
          <w:rFonts w:cstheme="minorHAnsi"/>
          <w:lang w:val="en-GB"/>
        </w:rPr>
        <w:t xml:space="preserve">31. </w:t>
      </w:r>
    </w:p>
    <w:p w14:paraId="3C11251C" w14:textId="77777777" w:rsidR="00D36EC3" w:rsidRDefault="00D36EC3" w:rsidP="00D36EC3">
      <w:pPr>
        <w:pStyle w:val="Bibliographie"/>
        <w:rPr>
          <w:rFonts w:cstheme="minorHAnsi"/>
          <w:lang w:val="en-GB"/>
        </w:rPr>
      </w:pPr>
      <w:r>
        <w:rPr>
          <w:rFonts w:cstheme="minorHAnsi"/>
          <w:lang w:val="en-GB"/>
        </w:rPr>
        <w:t xml:space="preserve">56. </w:t>
      </w:r>
      <w:r>
        <w:rPr>
          <w:rFonts w:cstheme="minorHAnsi"/>
          <w:lang w:val="en-GB"/>
        </w:rPr>
        <w:tab/>
        <w:t xml:space="preserve">Spijkervet FKL, Brennan MT, Peterson DE, Witjes MJH, Vissink A. Research Frontiers in Oral Toxicities of Cancer Therapies: Osteoradionecrosis of the Jaws. J Natl Cancer Inst Monogr. 2019;2019:lgz006. </w:t>
      </w:r>
    </w:p>
    <w:p w14:paraId="78C983E7" w14:textId="77777777" w:rsidR="00D36EC3" w:rsidRDefault="00D36EC3" w:rsidP="00D36EC3">
      <w:pPr>
        <w:pStyle w:val="Bibliographie"/>
        <w:rPr>
          <w:rFonts w:cstheme="minorHAnsi"/>
          <w:lang w:val="en-GB"/>
        </w:rPr>
      </w:pPr>
      <w:r>
        <w:rPr>
          <w:rFonts w:cstheme="minorHAnsi"/>
          <w:lang w:val="en-GB"/>
        </w:rPr>
        <w:t xml:space="preserve">57. </w:t>
      </w:r>
      <w:r>
        <w:rPr>
          <w:rFonts w:cstheme="minorHAnsi"/>
          <w:lang w:val="en-GB"/>
        </w:rPr>
        <w:tab/>
        <w:t>Breik O, Tocaciu S, Briggs K, Tasfia Saief S, Richardson S. Is there a role for pentoxifylline and tocopherol in the management of advanced osteoradionecrosis of the jaws with pathological fractures? Case reports and review of the literature. Int J Oral Maxillofac Surg. 2019;48:1022</w:t>
      </w:r>
      <w:r>
        <w:rPr>
          <w:rFonts w:ascii="Cambria Math" w:hAnsi="Cambria Math" w:cs="Cambria Math"/>
          <w:lang w:val="en-GB"/>
        </w:rPr>
        <w:noBreakHyphen/>
      </w:r>
      <w:r>
        <w:rPr>
          <w:rFonts w:cstheme="minorHAnsi"/>
          <w:lang w:val="en-GB"/>
        </w:rPr>
        <w:t xml:space="preserve">7. </w:t>
      </w:r>
    </w:p>
    <w:p w14:paraId="65D621DD" w14:textId="77777777" w:rsidR="00D36EC3" w:rsidRDefault="00D36EC3" w:rsidP="00D36EC3">
      <w:pPr>
        <w:pStyle w:val="Bibliographie"/>
        <w:rPr>
          <w:rFonts w:cstheme="minorHAnsi"/>
          <w:lang w:val="en-GB"/>
        </w:rPr>
      </w:pPr>
      <w:r>
        <w:rPr>
          <w:rFonts w:cstheme="minorHAnsi"/>
          <w:lang w:val="en-GB"/>
        </w:rPr>
        <w:t xml:space="preserve">58. </w:t>
      </w:r>
      <w:r>
        <w:rPr>
          <w:rFonts w:cstheme="minorHAnsi"/>
          <w:lang w:val="en-GB"/>
        </w:rPr>
        <w:tab/>
        <w:t>Lyons AJ, Brennan PA. Pentoxifylline - a review of its use in osteoradionecrosis. Br J Oral Maxillofac Surg. 2017;55:230</w:t>
      </w:r>
      <w:r>
        <w:rPr>
          <w:rFonts w:ascii="Cambria Math" w:hAnsi="Cambria Math" w:cs="Cambria Math"/>
          <w:lang w:val="en-GB"/>
        </w:rPr>
        <w:noBreakHyphen/>
      </w:r>
      <w:r>
        <w:rPr>
          <w:rFonts w:cstheme="minorHAnsi"/>
          <w:lang w:val="en-GB"/>
        </w:rPr>
        <w:t xml:space="preserve">4. </w:t>
      </w:r>
    </w:p>
    <w:p w14:paraId="62DDF952" w14:textId="77777777" w:rsidR="00D36EC3" w:rsidRDefault="00D36EC3" w:rsidP="00D36EC3">
      <w:pPr>
        <w:pStyle w:val="Bibliographie"/>
        <w:rPr>
          <w:rFonts w:cstheme="minorHAnsi"/>
          <w:lang w:val="en-GB"/>
        </w:rPr>
      </w:pPr>
      <w:r>
        <w:rPr>
          <w:rFonts w:cstheme="minorHAnsi"/>
          <w:lang w:val="en-GB"/>
        </w:rPr>
        <w:t xml:space="preserve">59. </w:t>
      </w:r>
      <w:r>
        <w:rPr>
          <w:rFonts w:cstheme="minorHAnsi"/>
          <w:lang w:val="en-GB"/>
        </w:rPr>
        <w:tab/>
        <w:t>Robard L, Louis MY, Blanchard D, Babin E, Delanian S. Medical treatment of osteoradionecrosis of the mandible by PENTOCLO: Preliminary results. Eur Ann Otorhinolaryngol Head Neck Dis. 2014;131:333</w:t>
      </w:r>
      <w:r>
        <w:rPr>
          <w:rFonts w:ascii="Cambria Math" w:hAnsi="Cambria Math" w:cs="Cambria Math"/>
          <w:lang w:val="en-GB"/>
        </w:rPr>
        <w:noBreakHyphen/>
      </w:r>
      <w:r>
        <w:rPr>
          <w:rFonts w:cstheme="minorHAnsi"/>
          <w:lang w:val="en-GB"/>
        </w:rPr>
        <w:t xml:space="preserve">8. </w:t>
      </w:r>
    </w:p>
    <w:p w14:paraId="78B2970D" w14:textId="77777777" w:rsidR="00D36EC3" w:rsidRPr="00D36EC3" w:rsidRDefault="00D36EC3" w:rsidP="00D36EC3">
      <w:pPr>
        <w:pStyle w:val="Bibliographie"/>
        <w:rPr>
          <w:rFonts w:cstheme="minorHAnsi"/>
          <w:lang w:val="en-US"/>
        </w:rPr>
      </w:pPr>
      <w:r>
        <w:rPr>
          <w:rFonts w:cstheme="minorHAnsi"/>
          <w:lang w:val="en-GB"/>
        </w:rPr>
        <w:t xml:space="preserve">60. </w:t>
      </w:r>
      <w:r>
        <w:rPr>
          <w:rFonts w:cstheme="minorHAnsi"/>
          <w:lang w:val="en-GB"/>
        </w:rPr>
        <w:tab/>
        <w:t xml:space="preserve">Patel V, Gadiwalla Y, Sassoon I, Sproat C, Kwok J, McGurk M. Use of pentoxifylline and tocopherol in the management of osteoradionecrosis. </w:t>
      </w:r>
      <w:r w:rsidRPr="00D36EC3">
        <w:rPr>
          <w:rFonts w:cstheme="minorHAnsi"/>
          <w:lang w:val="en-US"/>
        </w:rPr>
        <w:t>Br J Oral Maxillofac Surg. 2016;54:342</w:t>
      </w:r>
      <w:r w:rsidRPr="00D36EC3">
        <w:rPr>
          <w:rFonts w:ascii="Cambria Math" w:hAnsi="Cambria Math" w:cs="Cambria Math"/>
          <w:lang w:val="en-US"/>
        </w:rPr>
        <w:noBreakHyphen/>
      </w:r>
      <w:r w:rsidRPr="00D36EC3">
        <w:rPr>
          <w:rFonts w:cstheme="minorHAnsi"/>
          <w:lang w:val="en-US"/>
        </w:rPr>
        <w:t xml:space="preserve">5. </w:t>
      </w:r>
    </w:p>
    <w:p w14:paraId="7659CCDF" w14:textId="77777777" w:rsidR="00D36EC3" w:rsidRDefault="00D36EC3" w:rsidP="00D36EC3">
      <w:pPr>
        <w:pStyle w:val="Bibliographie"/>
        <w:rPr>
          <w:rFonts w:cstheme="minorHAnsi"/>
          <w:lang w:val="en-GB"/>
        </w:rPr>
      </w:pPr>
      <w:r w:rsidRPr="00D36EC3">
        <w:rPr>
          <w:rFonts w:cstheme="minorHAnsi"/>
          <w:lang w:val="en-US"/>
        </w:rPr>
        <w:t xml:space="preserve">61. </w:t>
      </w:r>
      <w:r w:rsidRPr="00D36EC3">
        <w:rPr>
          <w:rFonts w:cstheme="minorHAnsi"/>
          <w:lang w:val="en-US"/>
        </w:rPr>
        <w:tab/>
      </w:r>
      <w:r>
        <w:rPr>
          <w:rFonts w:cstheme="minorHAnsi"/>
        </w:rPr>
        <w:t xml:space="preserve">Zhang Z, Xiao W, Jia J, Chen Y, Zong C, Zhao L, et al. </w:t>
      </w:r>
      <w:r>
        <w:rPr>
          <w:rFonts w:cstheme="minorHAnsi"/>
          <w:lang w:val="en-GB"/>
        </w:rPr>
        <w:t>The effect of combined application of pentoxifylline and vitamin E for the treatment of osteoradionecrosis of the jaws: a meta-analysis. Oral Surg Oral Med Oral Pathol Oral Radiol. 2020;129:207</w:t>
      </w:r>
      <w:r>
        <w:rPr>
          <w:rFonts w:ascii="Cambria Math" w:hAnsi="Cambria Math" w:cs="Cambria Math"/>
          <w:lang w:val="en-GB"/>
        </w:rPr>
        <w:noBreakHyphen/>
      </w:r>
      <w:r>
        <w:rPr>
          <w:rFonts w:cstheme="minorHAnsi"/>
          <w:lang w:val="en-GB"/>
        </w:rPr>
        <w:t xml:space="preserve">14. </w:t>
      </w:r>
    </w:p>
    <w:p w14:paraId="6E1590A7" w14:textId="77777777" w:rsidR="00D36EC3" w:rsidRDefault="00D36EC3" w:rsidP="00D36EC3">
      <w:pPr>
        <w:pStyle w:val="Bibliographie"/>
        <w:rPr>
          <w:rFonts w:cstheme="minorHAnsi"/>
          <w:lang w:val="en-GB"/>
        </w:rPr>
      </w:pPr>
      <w:r>
        <w:rPr>
          <w:rFonts w:cstheme="minorHAnsi"/>
          <w:lang w:val="en-GB"/>
        </w:rPr>
        <w:t xml:space="preserve">62. </w:t>
      </w:r>
      <w:r>
        <w:rPr>
          <w:rFonts w:cstheme="minorHAnsi"/>
          <w:lang w:val="en-GB"/>
        </w:rPr>
        <w:tab/>
        <w:t>Patel S, Patel N, Sassoon I, Patel V. The use of pentoxifylline, tocopherol and clodronate in the management of osteoradionecrosis of the jaws. Radiother Oncol. 2020; 156:209-216.</w:t>
      </w:r>
    </w:p>
    <w:p w14:paraId="4C5B4A6F" w14:textId="77777777" w:rsidR="00D36EC3" w:rsidRDefault="00D36EC3" w:rsidP="00D36EC3">
      <w:pPr>
        <w:pStyle w:val="Bibliographie"/>
        <w:rPr>
          <w:rFonts w:cstheme="minorHAnsi"/>
          <w:lang w:val="en-GB"/>
        </w:rPr>
      </w:pPr>
      <w:r>
        <w:rPr>
          <w:rFonts w:cstheme="minorHAnsi"/>
          <w:lang w:val="en-GB"/>
        </w:rPr>
        <w:t xml:space="preserve">63. </w:t>
      </w:r>
      <w:r>
        <w:rPr>
          <w:rFonts w:cstheme="minorHAnsi"/>
          <w:lang w:val="en-GB"/>
        </w:rPr>
        <w:tab/>
        <w:t>Nieder C, Zimmermann FB, Adam M, Molls M. The role of pentoxifylline as a modifier of radiation therapy. Cancer Treat Rev. 2005;31:448</w:t>
      </w:r>
      <w:r>
        <w:rPr>
          <w:rFonts w:ascii="Cambria Math" w:hAnsi="Cambria Math" w:cs="Cambria Math"/>
          <w:lang w:val="en-GB"/>
        </w:rPr>
        <w:noBreakHyphen/>
      </w:r>
      <w:r>
        <w:rPr>
          <w:rFonts w:cstheme="minorHAnsi"/>
          <w:lang w:val="en-GB"/>
        </w:rPr>
        <w:t xml:space="preserve">55. </w:t>
      </w:r>
    </w:p>
    <w:p w14:paraId="6543503A" w14:textId="77777777" w:rsidR="00D36EC3" w:rsidRDefault="00D36EC3" w:rsidP="00D36EC3">
      <w:pPr>
        <w:pStyle w:val="Bibliographie"/>
        <w:rPr>
          <w:rFonts w:cstheme="minorHAnsi"/>
          <w:lang w:val="en-GB"/>
        </w:rPr>
      </w:pPr>
      <w:r>
        <w:rPr>
          <w:rFonts w:cstheme="minorHAnsi"/>
          <w:lang w:val="en-GB"/>
        </w:rPr>
        <w:lastRenderedPageBreak/>
        <w:t xml:space="preserve">64. </w:t>
      </w:r>
      <w:r>
        <w:rPr>
          <w:rFonts w:cstheme="minorHAnsi"/>
          <w:lang w:val="en-GB"/>
        </w:rPr>
        <w:tab/>
        <w:t xml:space="preserve">Al-Hamed FS, Mahri M, Al-Waeli H, Torres J, Badran Z, Tamimi F. Regenerative Effect of Platelet Concentrates in Oral and Craniofacial Regeneration. Front Cardiovasc Med. 2019;6:126. </w:t>
      </w:r>
    </w:p>
    <w:p w14:paraId="62699AFC" w14:textId="77777777" w:rsidR="00D36EC3" w:rsidRDefault="00D36EC3" w:rsidP="00D36EC3">
      <w:pPr>
        <w:pStyle w:val="Bibliographie"/>
        <w:rPr>
          <w:rFonts w:cstheme="minorHAnsi"/>
          <w:lang w:val="en-GB"/>
        </w:rPr>
      </w:pPr>
      <w:r>
        <w:rPr>
          <w:rFonts w:cstheme="minorHAnsi"/>
          <w:lang w:val="en-GB"/>
        </w:rPr>
        <w:t xml:space="preserve">65. </w:t>
      </w:r>
      <w:r>
        <w:rPr>
          <w:rFonts w:cstheme="minorHAnsi"/>
          <w:lang w:val="en-GB"/>
        </w:rPr>
        <w:tab/>
        <w:t>Batstone MD, Cosson J, Marquart L, Acton C. Platelet rich plasma for the prevention of osteoradionecrosis. A double blinded randomized cross over controlled trial. Int J Oral Maxillofac Surg. 2012;41:2</w:t>
      </w:r>
      <w:r>
        <w:rPr>
          <w:rFonts w:ascii="Cambria Math" w:hAnsi="Cambria Math" w:cs="Cambria Math"/>
          <w:lang w:val="en-GB"/>
        </w:rPr>
        <w:noBreakHyphen/>
      </w:r>
      <w:r>
        <w:rPr>
          <w:rFonts w:cstheme="minorHAnsi"/>
          <w:lang w:val="en-GB"/>
        </w:rPr>
        <w:t xml:space="preserve">4. </w:t>
      </w:r>
    </w:p>
    <w:p w14:paraId="086B8E31" w14:textId="77777777" w:rsidR="00D36EC3" w:rsidRDefault="00D36EC3" w:rsidP="00D36EC3">
      <w:pPr>
        <w:pStyle w:val="Bibliographie"/>
        <w:rPr>
          <w:rFonts w:cstheme="minorHAnsi"/>
          <w:lang w:val="en-GB"/>
        </w:rPr>
      </w:pPr>
      <w:r>
        <w:rPr>
          <w:rFonts w:cstheme="minorHAnsi"/>
          <w:lang w:val="en-GB"/>
        </w:rPr>
        <w:t xml:space="preserve">66. </w:t>
      </w:r>
      <w:r>
        <w:rPr>
          <w:rFonts w:cstheme="minorHAnsi"/>
          <w:lang w:val="en-GB"/>
        </w:rPr>
        <w:tab/>
        <w:t>Eckstein FM, Pinsel V, Wurm MC, Wilkerling A, Dietrich E-M, Kreißel S, et al. Antiseptic negative pressure instillation therapy for the treatment of septic wound healing deficits in oral and maxillofacial surgery. J Craniomaxillofac Surg. 2019;47:389</w:t>
      </w:r>
      <w:r>
        <w:rPr>
          <w:rFonts w:ascii="Cambria Math" w:hAnsi="Cambria Math" w:cs="Cambria Math"/>
          <w:lang w:val="en-GB"/>
        </w:rPr>
        <w:noBreakHyphen/>
      </w:r>
      <w:r>
        <w:rPr>
          <w:rFonts w:cstheme="minorHAnsi"/>
          <w:lang w:val="en-GB"/>
        </w:rPr>
        <w:t xml:space="preserve">93. </w:t>
      </w:r>
    </w:p>
    <w:p w14:paraId="213A9CB5" w14:textId="77777777" w:rsidR="00D36EC3" w:rsidRDefault="00D36EC3" w:rsidP="00D36EC3">
      <w:pPr>
        <w:pStyle w:val="Bibliographie"/>
        <w:rPr>
          <w:rFonts w:cstheme="minorHAnsi"/>
          <w:lang w:val="en-GB"/>
        </w:rPr>
      </w:pPr>
      <w:r>
        <w:rPr>
          <w:rFonts w:cstheme="minorHAnsi"/>
          <w:lang w:val="en-GB"/>
        </w:rPr>
        <w:t xml:space="preserve">67. </w:t>
      </w:r>
      <w:r>
        <w:rPr>
          <w:rFonts w:cstheme="minorHAnsi"/>
          <w:lang w:val="en-GB"/>
        </w:rPr>
        <w:tab/>
        <w:t xml:space="preserve">Ribeiro GH, Minamisako MC, Rath IBDS, Santos AMB, Simões A, Pereira KCR, et al. Osteoradionecrosis of the jaws: case series treated with adjuvant low-level laser therapy and antimicrobial photodynamic therapy. J Appl Oral Sci. 2018;26:e20170172. </w:t>
      </w:r>
    </w:p>
    <w:p w14:paraId="609A9A5A" w14:textId="77777777" w:rsidR="00D36EC3" w:rsidRPr="00D36EC3" w:rsidRDefault="00D36EC3" w:rsidP="00D36EC3">
      <w:pPr>
        <w:pStyle w:val="Bibliographie"/>
        <w:rPr>
          <w:rFonts w:cstheme="minorHAnsi"/>
        </w:rPr>
      </w:pPr>
      <w:r>
        <w:rPr>
          <w:rFonts w:cstheme="minorHAnsi"/>
          <w:lang w:val="en-GB"/>
        </w:rPr>
        <w:t xml:space="preserve">68. </w:t>
      </w:r>
      <w:r>
        <w:rPr>
          <w:rFonts w:cstheme="minorHAnsi"/>
          <w:lang w:val="en-GB"/>
        </w:rPr>
        <w:tab/>
        <w:t xml:space="preserve">Harris M. The conservative management of osteoradionecrosis of the mandible with ultrasound therapy. </w:t>
      </w:r>
      <w:r w:rsidRPr="00D36EC3">
        <w:rPr>
          <w:rFonts w:cstheme="minorHAnsi"/>
        </w:rPr>
        <w:t>Br J Oral Maxillofac Surg. 1992;30:313</w:t>
      </w:r>
      <w:r w:rsidRPr="00D36EC3">
        <w:rPr>
          <w:rFonts w:ascii="Cambria Math" w:hAnsi="Cambria Math" w:cs="Cambria Math"/>
        </w:rPr>
        <w:noBreakHyphen/>
      </w:r>
      <w:r w:rsidRPr="00D36EC3">
        <w:rPr>
          <w:rFonts w:cstheme="minorHAnsi"/>
        </w:rPr>
        <w:t xml:space="preserve">8. </w:t>
      </w:r>
    </w:p>
    <w:p w14:paraId="26205D4B" w14:textId="77777777" w:rsidR="00D36EC3" w:rsidRPr="00B225F0" w:rsidRDefault="00D36EC3" w:rsidP="00D36EC3">
      <w:pPr>
        <w:ind w:left="384" w:hanging="384"/>
        <w:rPr>
          <w:lang w:val="en-GB"/>
        </w:rPr>
      </w:pPr>
      <w:r w:rsidRPr="00B225F0">
        <w:t xml:space="preserve">69. </w:t>
      </w:r>
      <w:r w:rsidRPr="00B225F0">
        <w:tab/>
        <w:t xml:space="preserve">d’Hauthuille C, Testelin S, Taha F, Bitar G, Devauchelle B. Partie III : les lambeaux libres périostés dans le traitement des ostéoradionécroses mandibulaires. </w:t>
      </w:r>
      <w:r w:rsidRPr="00B225F0">
        <w:rPr>
          <w:lang w:val="en-GB"/>
        </w:rPr>
        <w:t>Rev Stomatol Chir Maxillofac. 2009;110:3</w:t>
      </w:r>
      <w:r w:rsidRPr="00B225F0">
        <w:rPr>
          <w:rFonts w:ascii="Cambria Math" w:hAnsi="Cambria Math" w:cs="Cambria Math"/>
          <w:lang w:val="en-GB"/>
        </w:rPr>
        <w:t>‑</w:t>
      </w:r>
      <w:r w:rsidRPr="00B225F0">
        <w:rPr>
          <w:lang w:val="en-GB"/>
        </w:rPr>
        <w:t>7.</w:t>
      </w:r>
    </w:p>
    <w:p w14:paraId="42A7BD9E" w14:textId="77777777" w:rsidR="00D36EC3" w:rsidRDefault="00D36EC3" w:rsidP="00D36EC3">
      <w:pPr>
        <w:pStyle w:val="Bibliographie"/>
        <w:rPr>
          <w:rFonts w:cstheme="minorHAnsi"/>
          <w:lang w:val="en-GB"/>
        </w:rPr>
      </w:pPr>
      <w:r>
        <w:rPr>
          <w:rFonts w:cstheme="minorHAnsi"/>
          <w:lang w:val="en-GB"/>
        </w:rPr>
        <w:t xml:space="preserve">70. </w:t>
      </w:r>
      <w:r>
        <w:rPr>
          <w:rFonts w:cstheme="minorHAnsi"/>
          <w:lang w:val="en-GB"/>
        </w:rPr>
        <w:tab/>
        <w:t>Lee M, Chin RY, Eslick GD, Sritharan N, Paramaesvaran S. Outcomes of microvascular free flap reconstruction for mandibular osteoradionecrosis: A systematic review. J Craniomaxillofac Surg. 2015;43:2026</w:t>
      </w:r>
      <w:r>
        <w:rPr>
          <w:rFonts w:ascii="Cambria Math" w:hAnsi="Cambria Math" w:cs="Cambria Math"/>
          <w:lang w:val="en-GB"/>
        </w:rPr>
        <w:noBreakHyphen/>
      </w:r>
      <w:r>
        <w:rPr>
          <w:rFonts w:cstheme="minorHAnsi"/>
          <w:lang w:val="en-GB"/>
        </w:rPr>
        <w:t xml:space="preserve">33. </w:t>
      </w:r>
    </w:p>
    <w:p w14:paraId="38223928" w14:textId="77777777" w:rsidR="00D36EC3" w:rsidRDefault="00D36EC3" w:rsidP="00D36EC3">
      <w:pPr>
        <w:pStyle w:val="Bibliographie"/>
        <w:rPr>
          <w:rFonts w:cstheme="minorHAnsi"/>
          <w:lang w:val="en-GB"/>
        </w:rPr>
      </w:pPr>
      <w:r>
        <w:rPr>
          <w:rFonts w:cstheme="minorHAnsi"/>
          <w:lang w:val="en-GB"/>
        </w:rPr>
        <w:t xml:space="preserve">71. </w:t>
      </w:r>
      <w:r>
        <w:rPr>
          <w:rFonts w:cstheme="minorHAnsi"/>
          <w:lang w:val="en-GB"/>
        </w:rPr>
        <w:tab/>
        <w:t>Gundestrup AK, Lynggaard CD, Forner L, Heino TJ, Jakobsen KK, Fischer-Nielsen A, et al. Mesenchymal Stem Cell Therapy for Osteoradionecrosis of the Mandible: a Systematic Review of Preclinical and Human Studies. Stem Cell Rev Rep. 2020;16:1208</w:t>
      </w:r>
      <w:r>
        <w:rPr>
          <w:rFonts w:ascii="Cambria Math" w:hAnsi="Cambria Math" w:cs="Cambria Math"/>
          <w:lang w:val="en-GB"/>
        </w:rPr>
        <w:noBreakHyphen/>
      </w:r>
      <w:r>
        <w:rPr>
          <w:rFonts w:cstheme="minorHAnsi"/>
          <w:lang w:val="en-GB"/>
        </w:rPr>
        <w:t xml:space="preserve">21. </w:t>
      </w:r>
    </w:p>
    <w:p w14:paraId="13F77672" w14:textId="77777777" w:rsidR="00D36EC3" w:rsidRDefault="00D36EC3" w:rsidP="00D36EC3">
      <w:pPr>
        <w:pStyle w:val="Bibliographie"/>
        <w:rPr>
          <w:rFonts w:cstheme="minorHAnsi"/>
          <w:lang w:val="en-GB"/>
        </w:rPr>
      </w:pPr>
      <w:r>
        <w:rPr>
          <w:rFonts w:cstheme="minorHAnsi"/>
          <w:lang w:val="en-GB"/>
        </w:rPr>
        <w:t xml:space="preserve">72. </w:t>
      </w:r>
      <w:r>
        <w:rPr>
          <w:rFonts w:cstheme="minorHAnsi"/>
          <w:lang w:val="en-GB"/>
        </w:rPr>
        <w:tab/>
        <w:t xml:space="preserve">Michel G, Blery P, Henoux M, Guicheux J, Weiss P, Dugast E, et al. Bone marrow cell extract promotes the regeneration of irradiated bone. PloS One. 2017;12:e0178060. </w:t>
      </w:r>
    </w:p>
    <w:p w14:paraId="1787AEC3" w14:textId="77777777" w:rsidR="00D36EC3" w:rsidRDefault="00D36EC3" w:rsidP="00D36EC3">
      <w:pPr>
        <w:pStyle w:val="Bibliographie"/>
        <w:rPr>
          <w:rFonts w:cstheme="minorHAnsi"/>
          <w:lang w:val="en-GB"/>
        </w:rPr>
      </w:pPr>
      <w:r>
        <w:rPr>
          <w:rFonts w:cstheme="minorHAnsi"/>
          <w:lang w:val="en-GB"/>
        </w:rPr>
        <w:t xml:space="preserve">73. </w:t>
      </w:r>
      <w:r>
        <w:rPr>
          <w:rFonts w:cstheme="minorHAnsi"/>
          <w:lang w:val="en-GB"/>
        </w:rPr>
        <w:tab/>
        <w:t>Schweyen R, Stang A, Wienke A, Eckert A, Kuhnt T, Hey J. The influence of dental treatment on the development of osteoradionecrosis after radiotherapy by modern irradiation techniques. Clin Oral Investig. 2017;21:2499</w:t>
      </w:r>
      <w:r>
        <w:rPr>
          <w:rFonts w:ascii="Cambria Math" w:hAnsi="Cambria Math" w:cs="Cambria Math"/>
          <w:lang w:val="en-GB"/>
        </w:rPr>
        <w:noBreakHyphen/>
      </w:r>
      <w:r>
        <w:rPr>
          <w:rFonts w:cstheme="minorHAnsi"/>
          <w:lang w:val="en-GB"/>
        </w:rPr>
        <w:t xml:space="preserve">508. </w:t>
      </w:r>
    </w:p>
    <w:p w14:paraId="4B481CEC" w14:textId="77777777" w:rsidR="00D36EC3" w:rsidRDefault="00D36EC3" w:rsidP="00D36EC3">
      <w:pPr>
        <w:pStyle w:val="Bibliographie"/>
        <w:rPr>
          <w:rFonts w:cstheme="minorHAnsi"/>
          <w:lang w:val="en-GB"/>
        </w:rPr>
      </w:pPr>
      <w:r>
        <w:rPr>
          <w:rFonts w:cstheme="minorHAnsi"/>
          <w:lang w:val="en-GB"/>
        </w:rPr>
        <w:t xml:space="preserve">74. </w:t>
      </w:r>
      <w:r>
        <w:rPr>
          <w:rFonts w:cstheme="minorHAnsi"/>
          <w:lang w:val="en-GB"/>
        </w:rPr>
        <w:tab/>
        <w:t>Chrcanovic BR, Reher P, Sousa AA, Harris M. Osteoradionecrosis of the jaws--a current overview--Part 2: dental management and therapeutic options for treatment. Oral Maxillofac Surg. 2010;14:81</w:t>
      </w:r>
      <w:r>
        <w:rPr>
          <w:rFonts w:ascii="Cambria Math" w:hAnsi="Cambria Math" w:cs="Cambria Math"/>
          <w:lang w:val="en-GB"/>
        </w:rPr>
        <w:noBreakHyphen/>
      </w:r>
      <w:r>
        <w:rPr>
          <w:rFonts w:cstheme="minorHAnsi"/>
          <w:lang w:val="en-GB"/>
        </w:rPr>
        <w:t xml:space="preserve">95. </w:t>
      </w:r>
    </w:p>
    <w:p w14:paraId="288A5869" w14:textId="77777777" w:rsidR="00D36EC3" w:rsidRDefault="00D36EC3" w:rsidP="00D36EC3">
      <w:pPr>
        <w:pStyle w:val="Bibliographie"/>
        <w:rPr>
          <w:rFonts w:cstheme="minorHAnsi"/>
          <w:lang w:val="en-GB"/>
        </w:rPr>
      </w:pPr>
      <w:r>
        <w:rPr>
          <w:rFonts w:cstheme="minorHAnsi"/>
          <w:lang w:val="en-GB"/>
        </w:rPr>
        <w:t xml:space="preserve">75. </w:t>
      </w:r>
      <w:r>
        <w:rPr>
          <w:rFonts w:cstheme="minorHAnsi"/>
          <w:lang w:val="en-GB"/>
        </w:rPr>
        <w:tab/>
        <w:t>Schuurhuis JM, Stokman MA, Witjes MJH, Dijkstra PU, Vissink A, Spijkervet FKL. Evidence supporting pre-radiation elimination of oral foci of infection in head and neck cancer patients to prevent oral sequelae. A systematic review. Oral Oncol. 2015;51:212</w:t>
      </w:r>
      <w:r>
        <w:rPr>
          <w:rFonts w:ascii="Cambria Math" w:hAnsi="Cambria Math" w:cs="Cambria Math"/>
          <w:lang w:val="en-GB"/>
        </w:rPr>
        <w:noBreakHyphen/>
      </w:r>
      <w:r>
        <w:rPr>
          <w:rFonts w:cstheme="minorHAnsi"/>
          <w:lang w:val="en-GB"/>
        </w:rPr>
        <w:t xml:space="preserve">20. </w:t>
      </w:r>
    </w:p>
    <w:p w14:paraId="5E6E8358" w14:textId="77777777" w:rsidR="00D36EC3" w:rsidRDefault="00D36EC3" w:rsidP="00D36EC3">
      <w:pPr>
        <w:pStyle w:val="Bibliographie"/>
        <w:rPr>
          <w:rFonts w:cstheme="minorHAnsi"/>
          <w:lang w:val="en-GB"/>
        </w:rPr>
      </w:pPr>
      <w:r>
        <w:rPr>
          <w:rFonts w:cstheme="minorHAnsi"/>
          <w:lang w:val="en-GB"/>
        </w:rPr>
        <w:t xml:space="preserve">76. </w:t>
      </w:r>
      <w:r>
        <w:rPr>
          <w:rFonts w:cstheme="minorHAnsi"/>
          <w:lang w:val="en-GB"/>
        </w:rPr>
        <w:tab/>
        <w:t>Dumoulin S, van Maanen A, Magremanne M. Dental prevention of maxillo-mandibular osteoradionecrosis: A ten-year retrospective study. J Stomatol Oral Maxillofac Surg. 2020; S2468-7855(20)30141-5.</w:t>
      </w:r>
    </w:p>
    <w:p w14:paraId="50B1A095" w14:textId="77777777" w:rsidR="00D36EC3" w:rsidRDefault="00D36EC3" w:rsidP="00D36EC3">
      <w:pPr>
        <w:pStyle w:val="Bibliographie"/>
        <w:rPr>
          <w:rFonts w:cstheme="minorHAnsi"/>
          <w:lang w:val="en-GB"/>
        </w:rPr>
      </w:pPr>
      <w:r>
        <w:rPr>
          <w:rFonts w:cstheme="minorHAnsi"/>
          <w:lang w:val="en-GB"/>
        </w:rPr>
        <w:t xml:space="preserve">77. </w:t>
      </w:r>
      <w:r>
        <w:rPr>
          <w:rFonts w:cstheme="minorHAnsi"/>
          <w:lang w:val="en-GB"/>
        </w:rPr>
        <w:tab/>
        <w:t>Thariat J, Ramus L, Darcourt V, Marcy P-Y, Guevara N, Odin G, et al. Compliance with fluoride custom trays in irradiated head and neck cancer patients. Support Care Cancer. 2012;20:1811</w:t>
      </w:r>
      <w:r>
        <w:rPr>
          <w:rFonts w:ascii="Cambria Math" w:hAnsi="Cambria Math" w:cs="Cambria Math"/>
          <w:lang w:val="en-GB"/>
        </w:rPr>
        <w:noBreakHyphen/>
      </w:r>
      <w:r>
        <w:rPr>
          <w:rFonts w:cstheme="minorHAnsi"/>
          <w:lang w:val="en-GB"/>
        </w:rPr>
        <w:t xml:space="preserve">4. </w:t>
      </w:r>
    </w:p>
    <w:p w14:paraId="496A5742" w14:textId="77777777" w:rsidR="00D36EC3" w:rsidRDefault="00D36EC3" w:rsidP="00D36EC3">
      <w:pPr>
        <w:pStyle w:val="Bibliographie"/>
        <w:rPr>
          <w:rFonts w:cstheme="minorHAnsi"/>
          <w:lang w:val="en-GB"/>
        </w:rPr>
      </w:pPr>
      <w:r>
        <w:rPr>
          <w:rFonts w:cstheme="minorHAnsi"/>
          <w:lang w:val="en-GB"/>
        </w:rPr>
        <w:t xml:space="preserve">78. </w:t>
      </w:r>
      <w:r>
        <w:rPr>
          <w:rFonts w:cstheme="minorHAnsi"/>
          <w:lang w:val="en-GB"/>
        </w:rPr>
        <w:tab/>
        <w:t xml:space="preserve">Kün-Darbois JD, Fauvel F. Medication-related osteonecrosis and osteoradionecrosis of the jaws: Update and current management. Morphologie. 2020; </w:t>
      </w:r>
      <w:r>
        <w:rPr>
          <w:rFonts w:cstheme="minorHAnsi"/>
          <w:lang w:val="en-US"/>
        </w:rPr>
        <w:t>S1286-0115(20)30118-1. doi: 10.1016/j.morpho.2020.11.008</w:t>
      </w:r>
    </w:p>
    <w:p w14:paraId="0FA264BC" w14:textId="77777777" w:rsidR="00D36EC3" w:rsidRDefault="00D36EC3" w:rsidP="00D36EC3">
      <w:pPr>
        <w:pStyle w:val="Bibliographie"/>
        <w:rPr>
          <w:rFonts w:cstheme="minorHAnsi"/>
          <w:lang w:val="en-GB"/>
        </w:rPr>
      </w:pPr>
      <w:r>
        <w:rPr>
          <w:rFonts w:cstheme="minorHAnsi"/>
          <w:lang w:val="en-GB"/>
        </w:rPr>
        <w:lastRenderedPageBreak/>
        <w:t xml:space="preserve">79. </w:t>
      </w:r>
      <w:r>
        <w:rPr>
          <w:rFonts w:cstheme="minorHAnsi"/>
          <w:lang w:val="en-GB"/>
        </w:rPr>
        <w:tab/>
        <w:t>Rosen EB, Ahmed ZU, Randazzo JD, Yom S, Estilo CL, Huryn JM. Dental intervention for the irradiated patient: time to re-evaluate dental treatment algorithms? Br J Oral Maxillofac Surg. 2020;58:711</w:t>
      </w:r>
      <w:r>
        <w:rPr>
          <w:rFonts w:ascii="Cambria Math" w:hAnsi="Cambria Math" w:cs="Cambria Math"/>
          <w:lang w:val="en-GB"/>
        </w:rPr>
        <w:noBreakHyphen/>
      </w:r>
      <w:r>
        <w:rPr>
          <w:rFonts w:cstheme="minorHAnsi"/>
          <w:lang w:val="en-GB"/>
        </w:rPr>
        <w:t xml:space="preserve">2. </w:t>
      </w:r>
    </w:p>
    <w:p w14:paraId="63FF2708" w14:textId="77777777" w:rsidR="00D36EC3" w:rsidRDefault="00D36EC3" w:rsidP="00D36EC3">
      <w:pPr>
        <w:pStyle w:val="Bibliographie"/>
        <w:rPr>
          <w:rFonts w:cstheme="minorHAnsi"/>
        </w:rPr>
      </w:pPr>
      <w:r>
        <w:rPr>
          <w:rFonts w:cstheme="minorHAnsi"/>
          <w:lang w:val="en-GB"/>
        </w:rPr>
        <w:t xml:space="preserve">80. </w:t>
      </w:r>
      <w:r>
        <w:rPr>
          <w:rFonts w:cstheme="minorHAnsi"/>
          <w:lang w:val="en-GB"/>
        </w:rPr>
        <w:tab/>
        <w:t xml:space="preserve">Patel V, Gadiwalla Y, Sassoon I, Sproat C, Kwok J, McGurk M. Prophylactic use of pentoxifylline and tocopherol in patients who require dental extractions after radiotherapy for cancer of the head and neck. </w:t>
      </w:r>
      <w:r>
        <w:rPr>
          <w:rFonts w:cstheme="minorHAnsi"/>
        </w:rPr>
        <w:t>Br J Oral Maxillofac Surg. 2016;54:547</w:t>
      </w:r>
      <w:r>
        <w:rPr>
          <w:rFonts w:ascii="Cambria Math" w:hAnsi="Cambria Math" w:cs="Cambria Math"/>
        </w:rPr>
        <w:noBreakHyphen/>
      </w:r>
      <w:r>
        <w:rPr>
          <w:rFonts w:cstheme="minorHAnsi"/>
        </w:rPr>
        <w:t xml:space="preserve">50. </w:t>
      </w:r>
    </w:p>
    <w:p w14:paraId="4E895A96" w14:textId="77777777" w:rsidR="00D36EC3" w:rsidRDefault="00D36EC3" w:rsidP="00D36EC3">
      <w:pPr>
        <w:pStyle w:val="Bibliographie"/>
        <w:rPr>
          <w:rFonts w:cstheme="minorHAnsi"/>
          <w:lang w:val="en-GB"/>
        </w:rPr>
      </w:pPr>
      <w:r>
        <w:rPr>
          <w:rFonts w:cstheme="minorHAnsi"/>
        </w:rPr>
        <w:t xml:space="preserve">81. </w:t>
      </w:r>
      <w:r>
        <w:rPr>
          <w:rFonts w:cstheme="minorHAnsi"/>
        </w:rPr>
        <w:tab/>
        <w:t xml:space="preserve">Koudougou C, Bertin H, Lecaplain B, Badran Z, Longis J, Corre P, et al. </w:t>
      </w:r>
      <w:r>
        <w:rPr>
          <w:rFonts w:cstheme="minorHAnsi"/>
          <w:lang w:val="en-GB"/>
        </w:rPr>
        <w:t>Postimplantation radiation therapy in head and neck cancer patients: Literature review. Head Neck. 2020;42:794</w:t>
      </w:r>
      <w:r>
        <w:rPr>
          <w:rFonts w:ascii="Cambria Math" w:hAnsi="Cambria Math" w:cs="Cambria Math"/>
          <w:lang w:val="en-GB"/>
        </w:rPr>
        <w:noBreakHyphen/>
      </w:r>
      <w:r>
        <w:rPr>
          <w:rFonts w:cstheme="minorHAnsi"/>
          <w:lang w:val="en-GB"/>
        </w:rPr>
        <w:t xml:space="preserve">802. </w:t>
      </w:r>
    </w:p>
    <w:p w14:paraId="06650FED" w14:textId="77777777" w:rsidR="00D36EC3" w:rsidRDefault="00D36EC3" w:rsidP="00D36EC3">
      <w:pPr>
        <w:pStyle w:val="Bibliographie"/>
        <w:rPr>
          <w:rFonts w:cstheme="minorHAnsi"/>
          <w:lang w:val="en-GB"/>
        </w:rPr>
      </w:pPr>
      <w:r>
        <w:rPr>
          <w:rFonts w:cstheme="minorHAnsi"/>
          <w:lang w:val="en-GB"/>
        </w:rPr>
        <w:t xml:space="preserve">82. </w:t>
      </w:r>
      <w:r>
        <w:rPr>
          <w:rFonts w:cstheme="minorHAnsi"/>
          <w:lang w:val="en-GB"/>
        </w:rPr>
        <w:tab/>
        <w:t>Chrcanovic BR, Albrektsson T, Wennerberg A. Dental implants in irradiated versus nonirradiated patients: A meta-analysis. Head Neck. 2016;38:448</w:t>
      </w:r>
      <w:r>
        <w:rPr>
          <w:rFonts w:ascii="Cambria Math" w:hAnsi="Cambria Math" w:cs="Cambria Math"/>
          <w:lang w:val="en-GB"/>
        </w:rPr>
        <w:noBreakHyphen/>
      </w:r>
      <w:r>
        <w:rPr>
          <w:rFonts w:cstheme="minorHAnsi"/>
          <w:lang w:val="en-GB"/>
        </w:rPr>
        <w:t xml:space="preserve">81. </w:t>
      </w:r>
    </w:p>
    <w:p w14:paraId="6E20ABFF" w14:textId="77777777" w:rsidR="00D36EC3" w:rsidRDefault="00D36EC3" w:rsidP="00D36EC3">
      <w:pPr>
        <w:pStyle w:val="Bibliographie"/>
        <w:rPr>
          <w:rFonts w:cstheme="minorHAnsi"/>
        </w:rPr>
      </w:pPr>
      <w:r>
        <w:rPr>
          <w:rFonts w:cstheme="minorHAnsi"/>
          <w:lang w:val="en-GB"/>
        </w:rPr>
        <w:t xml:space="preserve">83. </w:t>
      </w:r>
      <w:r>
        <w:rPr>
          <w:rFonts w:cstheme="minorHAnsi"/>
          <w:lang w:val="en-GB"/>
        </w:rPr>
        <w:tab/>
        <w:t xml:space="preserve">Smith Nobrega A, Santiago JF, de Faria Almeida DA, Dos Santos DM, Pellizzer EP, Goiato MC. Irradiated patients and survival rate of dental implants: A systematic review and meta-analysis. </w:t>
      </w:r>
      <w:r>
        <w:rPr>
          <w:rFonts w:cstheme="minorHAnsi"/>
        </w:rPr>
        <w:t>J Prosthet Dent. 2016;116:858</w:t>
      </w:r>
      <w:r>
        <w:rPr>
          <w:rFonts w:ascii="Cambria Math" w:hAnsi="Cambria Math" w:cs="Cambria Math"/>
        </w:rPr>
        <w:noBreakHyphen/>
      </w:r>
      <w:r>
        <w:rPr>
          <w:rFonts w:cstheme="minorHAnsi"/>
        </w:rPr>
        <w:t xml:space="preserve">66. </w:t>
      </w:r>
    </w:p>
    <w:p w14:paraId="7673389D" w14:textId="77777777" w:rsidR="00D36EC3" w:rsidRDefault="00D36EC3" w:rsidP="00D36EC3">
      <w:pPr>
        <w:pStyle w:val="Bibliographie"/>
        <w:rPr>
          <w:rFonts w:cstheme="minorHAnsi"/>
          <w:lang w:val="en-GB"/>
        </w:rPr>
      </w:pPr>
      <w:r>
        <w:rPr>
          <w:rFonts w:cstheme="minorHAnsi"/>
        </w:rPr>
        <w:t xml:space="preserve">84. </w:t>
      </w:r>
      <w:r>
        <w:rPr>
          <w:rFonts w:cstheme="minorHAnsi"/>
        </w:rPr>
        <w:tab/>
        <w:t xml:space="preserve">Zen Filho EV, Tolentino E de S, Santos PSS. </w:t>
      </w:r>
      <w:r>
        <w:rPr>
          <w:rFonts w:cstheme="minorHAnsi"/>
          <w:lang w:val="en-GB"/>
        </w:rPr>
        <w:t xml:space="preserve">Viability of dental implants in head and neck irradiated patients: A systematic review. Head Neck. 2016;38 Suppl 1:E2229-2240. </w:t>
      </w:r>
    </w:p>
    <w:p w14:paraId="3D4FDD4A" w14:textId="77777777" w:rsidR="00D36EC3" w:rsidRDefault="00D36EC3" w:rsidP="00D36EC3">
      <w:pPr>
        <w:pStyle w:val="Bibliographie"/>
        <w:rPr>
          <w:rFonts w:cstheme="minorHAnsi"/>
          <w:lang w:val="en-GB"/>
        </w:rPr>
      </w:pPr>
      <w:r>
        <w:rPr>
          <w:rFonts w:cstheme="minorHAnsi"/>
          <w:lang w:val="en-GB"/>
        </w:rPr>
        <w:t xml:space="preserve">85. </w:t>
      </w:r>
      <w:r>
        <w:rPr>
          <w:rFonts w:cstheme="minorHAnsi"/>
          <w:lang w:val="en-GB"/>
        </w:rPr>
        <w:tab/>
        <w:t>Claudy MP, Miguens SAQ, Celeste RK, Camara Parente R, Hernandez PAG, da Silva AN. Time interval after radiotherapy and dental implant failure: systematic review of observational studies and meta-analysis. Clin Implant Dent Relat Res. 2015;17:402</w:t>
      </w:r>
      <w:r>
        <w:rPr>
          <w:rFonts w:ascii="Cambria Math" w:hAnsi="Cambria Math" w:cs="Cambria Math"/>
          <w:lang w:val="en-GB"/>
        </w:rPr>
        <w:noBreakHyphen/>
      </w:r>
      <w:r>
        <w:rPr>
          <w:rFonts w:cstheme="minorHAnsi"/>
          <w:lang w:val="en-GB"/>
        </w:rPr>
        <w:t xml:space="preserve">11. </w:t>
      </w:r>
    </w:p>
    <w:p w14:paraId="3BE93C45" w14:textId="77777777" w:rsidR="00D36EC3" w:rsidRDefault="00D36EC3" w:rsidP="00D36EC3">
      <w:pPr>
        <w:pStyle w:val="Bibliographie"/>
        <w:rPr>
          <w:rFonts w:cstheme="minorHAnsi"/>
        </w:rPr>
      </w:pPr>
      <w:r>
        <w:rPr>
          <w:rFonts w:cstheme="minorHAnsi"/>
          <w:lang w:val="en-GB"/>
        </w:rPr>
        <w:t xml:space="preserve">86. </w:t>
      </w:r>
      <w:r>
        <w:rPr>
          <w:rFonts w:cstheme="minorHAnsi"/>
          <w:lang w:val="en-GB"/>
        </w:rPr>
        <w:tab/>
        <w:t xml:space="preserve">Esposito M, Worthington HV. Interventions for replacing missing teeth: hyperbaric oxygen therapy for irradiated patients who require dental implants. </w:t>
      </w:r>
      <w:r>
        <w:rPr>
          <w:rFonts w:cstheme="minorHAnsi"/>
        </w:rPr>
        <w:t>Cochrane Database Syst Rev. 2013;(9):CD003603. doi: 10.1002/14651858.CD003603.pub3.</w:t>
      </w:r>
    </w:p>
    <w:p w14:paraId="5C79E3FD" w14:textId="2027E1EF" w:rsidR="00D36EC3" w:rsidRPr="00C22ABE" w:rsidRDefault="00D36EC3" w:rsidP="00D36EC3">
      <w:pPr>
        <w:pStyle w:val="Bibliographie"/>
        <w:rPr>
          <w:rFonts w:cstheme="minorHAnsi"/>
          <w:strike/>
          <w:color w:val="212121"/>
          <w:shd w:val="clear" w:color="auto" w:fill="FFFFFF"/>
        </w:rPr>
      </w:pPr>
      <w:r>
        <w:rPr>
          <w:rFonts w:cstheme="minorHAnsi"/>
        </w:rPr>
        <w:fldChar w:fldCharType="end"/>
      </w:r>
    </w:p>
    <w:p w14:paraId="4B355FB1" w14:textId="50294860" w:rsidR="00F169F3" w:rsidRPr="00C22ABE" w:rsidRDefault="00F169F3" w:rsidP="00F169F3">
      <w:pPr>
        <w:rPr>
          <w:rFonts w:cstheme="minorHAnsi"/>
          <w:strike/>
          <w:color w:val="212121"/>
          <w:shd w:val="clear" w:color="auto" w:fill="FFFFFF"/>
        </w:rPr>
      </w:pPr>
    </w:p>
    <w:p w14:paraId="5F64540E" w14:textId="77777777" w:rsidR="00F169F3" w:rsidRPr="00C22ABE" w:rsidRDefault="00F169F3" w:rsidP="00F169F3">
      <w:pPr>
        <w:rPr>
          <w:rFonts w:cstheme="minorHAnsi"/>
          <w:strike/>
          <w:color w:val="212121"/>
          <w:shd w:val="clear" w:color="auto" w:fill="FFFFFF"/>
        </w:rPr>
      </w:pPr>
    </w:p>
    <w:p w14:paraId="0FC51D7A" w14:textId="36686E82" w:rsidR="0084615D" w:rsidRPr="00C22ABE" w:rsidRDefault="001042BE" w:rsidP="00F169F3">
      <w:pPr>
        <w:rPr>
          <w:rFonts w:cstheme="minorHAnsi"/>
          <w:strike/>
          <w:color w:val="212121"/>
          <w:shd w:val="clear" w:color="auto" w:fill="FFFFFF"/>
        </w:rPr>
      </w:pPr>
      <w:r w:rsidRPr="00C22ABE">
        <w:rPr>
          <w:rFonts w:cstheme="minorHAnsi"/>
          <w:u w:val="single"/>
        </w:rPr>
        <w:t>Pour en savoir plus</w:t>
      </w:r>
    </w:p>
    <w:p w14:paraId="73CF9314" w14:textId="5CF0F5D1" w:rsidR="001042BE" w:rsidRPr="00C22ABE" w:rsidRDefault="001042BE" w:rsidP="001E6D9A">
      <w:pPr>
        <w:tabs>
          <w:tab w:val="left" w:pos="7632"/>
        </w:tabs>
        <w:rPr>
          <w:rFonts w:cstheme="minorHAnsi"/>
        </w:rPr>
      </w:pPr>
      <w:r w:rsidRPr="00C22ABE">
        <w:rPr>
          <w:rFonts w:cstheme="minorHAnsi"/>
        </w:rPr>
        <w:t xml:space="preserve">Centre belge d’information </w:t>
      </w:r>
      <w:r w:rsidR="00281AF6" w:rsidRPr="00C22ABE">
        <w:rPr>
          <w:rFonts w:cstheme="minorHAnsi"/>
        </w:rPr>
        <w:t xml:space="preserve">pharmacothérapeutique : </w:t>
      </w:r>
      <w:hyperlink r:id="rId9" w:history="1">
        <w:r w:rsidR="00281AF6" w:rsidRPr="00C22ABE">
          <w:rPr>
            <w:rStyle w:val="Lienhypertexte"/>
            <w:rFonts w:cstheme="minorHAnsi"/>
          </w:rPr>
          <w:t>www.cbip.be</w:t>
        </w:r>
      </w:hyperlink>
      <w:r w:rsidR="00281AF6" w:rsidRPr="00C22ABE">
        <w:rPr>
          <w:rFonts w:cstheme="minorHAnsi"/>
        </w:rPr>
        <w:t xml:space="preserve">, Vidal : </w:t>
      </w:r>
      <w:hyperlink r:id="rId10" w:history="1">
        <w:r w:rsidR="00D30E52" w:rsidRPr="00C22ABE">
          <w:rPr>
            <w:rStyle w:val="Lienhypertexte"/>
            <w:rFonts w:cstheme="minorHAnsi"/>
          </w:rPr>
          <w:t>www.vidal.fr</w:t>
        </w:r>
      </w:hyperlink>
    </w:p>
    <w:p w14:paraId="1441BF1F" w14:textId="77777777" w:rsidR="00F169F3" w:rsidRPr="00C22ABE" w:rsidRDefault="00F169F3" w:rsidP="001E6D9A">
      <w:pPr>
        <w:tabs>
          <w:tab w:val="left" w:pos="7632"/>
        </w:tabs>
        <w:rPr>
          <w:rFonts w:cstheme="minorHAnsi"/>
          <w:b/>
          <w:u w:val="single"/>
        </w:rPr>
      </w:pPr>
    </w:p>
    <w:p w14:paraId="24E2EBE4" w14:textId="77777777" w:rsidR="00F169F3" w:rsidRPr="00C22ABE" w:rsidRDefault="00F169F3" w:rsidP="001E6D9A">
      <w:pPr>
        <w:tabs>
          <w:tab w:val="left" w:pos="7632"/>
        </w:tabs>
        <w:rPr>
          <w:rFonts w:cstheme="minorHAnsi"/>
          <w:b/>
          <w:u w:val="single"/>
        </w:rPr>
      </w:pPr>
    </w:p>
    <w:p w14:paraId="63ED7BF6" w14:textId="08758C4F" w:rsidR="00F169F3" w:rsidRPr="00C22ABE" w:rsidRDefault="00F169F3" w:rsidP="001E6D9A">
      <w:pPr>
        <w:tabs>
          <w:tab w:val="left" w:pos="7632"/>
        </w:tabs>
        <w:rPr>
          <w:rFonts w:cstheme="minorHAnsi"/>
          <w:b/>
          <w:u w:val="single"/>
        </w:rPr>
      </w:pPr>
    </w:p>
    <w:p w14:paraId="209473F7" w14:textId="1422CA43" w:rsidR="00C22ABE" w:rsidRPr="00C22ABE" w:rsidRDefault="00C22ABE" w:rsidP="001E6D9A">
      <w:pPr>
        <w:tabs>
          <w:tab w:val="left" w:pos="7632"/>
        </w:tabs>
        <w:rPr>
          <w:rFonts w:cstheme="minorHAnsi"/>
          <w:b/>
          <w:u w:val="single"/>
        </w:rPr>
      </w:pPr>
    </w:p>
    <w:p w14:paraId="15B62271" w14:textId="77777777" w:rsidR="00C22ABE" w:rsidRPr="00C22ABE" w:rsidRDefault="00C22ABE" w:rsidP="001E6D9A">
      <w:pPr>
        <w:tabs>
          <w:tab w:val="left" w:pos="7632"/>
        </w:tabs>
        <w:rPr>
          <w:rFonts w:cstheme="minorHAnsi"/>
          <w:b/>
          <w:u w:val="single"/>
        </w:rPr>
      </w:pPr>
    </w:p>
    <w:p w14:paraId="6C928273" w14:textId="239D510C" w:rsidR="00F169F3" w:rsidRDefault="00F169F3" w:rsidP="001E6D9A">
      <w:pPr>
        <w:tabs>
          <w:tab w:val="left" w:pos="7632"/>
        </w:tabs>
        <w:rPr>
          <w:rFonts w:cstheme="minorHAnsi"/>
          <w:b/>
          <w:u w:val="single"/>
        </w:rPr>
      </w:pPr>
    </w:p>
    <w:p w14:paraId="653AFBE5" w14:textId="6EE87D93" w:rsidR="00C22ABE" w:rsidRDefault="00C22ABE" w:rsidP="001E6D9A">
      <w:pPr>
        <w:tabs>
          <w:tab w:val="left" w:pos="7632"/>
        </w:tabs>
        <w:rPr>
          <w:rFonts w:cstheme="minorHAnsi"/>
          <w:b/>
          <w:u w:val="single"/>
        </w:rPr>
      </w:pPr>
    </w:p>
    <w:p w14:paraId="68266D9B" w14:textId="7B6AE0D7" w:rsidR="00C22ABE" w:rsidRDefault="00C22ABE" w:rsidP="001E6D9A">
      <w:pPr>
        <w:tabs>
          <w:tab w:val="left" w:pos="7632"/>
        </w:tabs>
        <w:rPr>
          <w:rFonts w:cstheme="minorHAnsi"/>
          <w:b/>
          <w:u w:val="single"/>
        </w:rPr>
      </w:pPr>
    </w:p>
    <w:p w14:paraId="4E40892C" w14:textId="479E0A9D" w:rsidR="00C22ABE" w:rsidRDefault="00C22ABE" w:rsidP="001E6D9A">
      <w:pPr>
        <w:tabs>
          <w:tab w:val="left" w:pos="7632"/>
        </w:tabs>
        <w:rPr>
          <w:rFonts w:cstheme="minorHAnsi"/>
          <w:b/>
          <w:u w:val="single"/>
        </w:rPr>
      </w:pPr>
    </w:p>
    <w:p w14:paraId="3376CE23" w14:textId="77777777" w:rsidR="00F169F3" w:rsidRPr="00C22ABE" w:rsidRDefault="00F169F3" w:rsidP="001E6D9A">
      <w:pPr>
        <w:tabs>
          <w:tab w:val="left" w:pos="7632"/>
        </w:tabs>
        <w:rPr>
          <w:rFonts w:cstheme="minorHAnsi"/>
          <w:b/>
          <w:u w:val="single"/>
        </w:rPr>
      </w:pPr>
    </w:p>
    <w:p w14:paraId="2313372F" w14:textId="5D918A63" w:rsidR="00CF30D0" w:rsidRPr="00C22ABE" w:rsidRDefault="00F169F3" w:rsidP="001E6D9A">
      <w:pPr>
        <w:tabs>
          <w:tab w:val="left" w:pos="7632"/>
        </w:tabs>
        <w:rPr>
          <w:rFonts w:cstheme="minorHAnsi"/>
          <w:b/>
          <w:color w:val="0000FF"/>
          <w:u w:val="single"/>
        </w:rPr>
      </w:pPr>
      <w:r w:rsidRPr="00C22ABE">
        <w:rPr>
          <w:rFonts w:cstheme="minorHAnsi"/>
          <w:b/>
          <w:color w:val="0000FF"/>
          <w:u w:val="single"/>
        </w:rPr>
        <w:lastRenderedPageBreak/>
        <w:t>Légendes</w:t>
      </w:r>
    </w:p>
    <w:p w14:paraId="4823E4E6" w14:textId="5F5B597A" w:rsidR="00F169F3" w:rsidRPr="00C22ABE" w:rsidRDefault="00F169F3" w:rsidP="001E6D9A">
      <w:pPr>
        <w:tabs>
          <w:tab w:val="left" w:pos="7632"/>
        </w:tabs>
        <w:rPr>
          <w:rFonts w:cstheme="minorHAnsi"/>
        </w:rPr>
      </w:pPr>
      <w:r w:rsidRPr="00C22ABE">
        <w:rPr>
          <w:rFonts w:cstheme="minorHAnsi"/>
        </w:rPr>
        <w:t>Figure 1 : ORN mandibulaire gauche.</w:t>
      </w:r>
    </w:p>
    <w:p w14:paraId="1C2AA344" w14:textId="04B6F5A5" w:rsidR="00F169F3" w:rsidRPr="00C22ABE" w:rsidRDefault="00F169F3" w:rsidP="001E6D9A">
      <w:pPr>
        <w:tabs>
          <w:tab w:val="left" w:pos="7632"/>
        </w:tabs>
        <w:rPr>
          <w:rFonts w:cstheme="minorHAnsi"/>
        </w:rPr>
      </w:pPr>
      <w:r w:rsidRPr="00C22ABE">
        <w:rPr>
          <w:rFonts w:cstheme="minorHAnsi"/>
        </w:rPr>
        <w:t>Figure 2 : orthopantomogramme d’une patiente ayant refusé les extractions avant radiothérapie. Infection clinique mandibulaire gauche.</w:t>
      </w:r>
    </w:p>
    <w:p w14:paraId="6B1821F3" w14:textId="4FFBA5F3" w:rsidR="00F169F3" w:rsidRPr="00C22ABE" w:rsidRDefault="00F169F3" w:rsidP="001E6D9A">
      <w:pPr>
        <w:tabs>
          <w:tab w:val="left" w:pos="7632"/>
        </w:tabs>
        <w:rPr>
          <w:rFonts w:cstheme="minorHAnsi"/>
        </w:rPr>
      </w:pPr>
      <w:r w:rsidRPr="00C22ABE">
        <w:rPr>
          <w:rFonts w:cstheme="minorHAnsi"/>
        </w:rPr>
        <w:t>Figure 3 : CT Scan de la même patiente montrant des lésions plus importante que l’OPT (perte de la corticale, zones ostéolytiques)</w:t>
      </w:r>
      <w:r w:rsidR="008B2758" w:rsidRPr="00C22ABE">
        <w:rPr>
          <w:rFonts w:cstheme="minorHAnsi"/>
        </w:rPr>
        <w:t>.</w:t>
      </w:r>
    </w:p>
    <w:p w14:paraId="7AE4CB31" w14:textId="293FC25B" w:rsidR="00F169F3" w:rsidRPr="00C22ABE" w:rsidRDefault="00F169F3" w:rsidP="001E6D9A">
      <w:pPr>
        <w:tabs>
          <w:tab w:val="left" w:pos="7632"/>
        </w:tabs>
        <w:rPr>
          <w:rFonts w:cstheme="minorHAnsi"/>
        </w:rPr>
      </w:pPr>
      <w:r w:rsidRPr="00C22ABE">
        <w:rPr>
          <w:rFonts w:cstheme="minorHAnsi"/>
        </w:rPr>
        <w:t>Figure 4 : CT Scan montrant une ORN mandibulaire droite avec ostéolyse et fracture.</w:t>
      </w:r>
    </w:p>
    <w:p w14:paraId="459B7AB2" w14:textId="2FF6AC6B" w:rsidR="008B2758" w:rsidRPr="00C22ABE" w:rsidRDefault="00F169F3" w:rsidP="001E6D9A">
      <w:pPr>
        <w:tabs>
          <w:tab w:val="left" w:pos="7632"/>
        </w:tabs>
        <w:rPr>
          <w:rFonts w:cstheme="minorHAnsi"/>
        </w:rPr>
      </w:pPr>
      <w:r w:rsidRPr="00C22ABE">
        <w:rPr>
          <w:rFonts w:cstheme="minorHAnsi"/>
        </w:rPr>
        <w:t>Figure 5</w:t>
      </w:r>
      <w:r w:rsidR="008B2758" w:rsidRPr="00C22ABE">
        <w:rPr>
          <w:rFonts w:cstheme="minorHAnsi"/>
        </w:rPr>
        <w:t> :</w:t>
      </w:r>
      <w:r w:rsidRPr="00C22ABE">
        <w:rPr>
          <w:rFonts w:cstheme="minorHAnsi"/>
        </w:rPr>
        <w:t xml:space="preserve"> mécanisme physiopathologique de l’ORN</w:t>
      </w:r>
      <w:r w:rsidR="008B2758" w:rsidRPr="00C22ABE">
        <w:rPr>
          <w:rFonts w:cstheme="minorHAnsi"/>
        </w:rPr>
        <w:t>.</w:t>
      </w:r>
    </w:p>
    <w:p w14:paraId="25415858" w14:textId="0D42DEBE" w:rsidR="008B2758" w:rsidRPr="00C22ABE" w:rsidRDefault="008B2758" w:rsidP="001E6D9A">
      <w:pPr>
        <w:tabs>
          <w:tab w:val="left" w:pos="7632"/>
        </w:tabs>
        <w:rPr>
          <w:rFonts w:cstheme="minorHAnsi"/>
        </w:rPr>
      </w:pPr>
      <w:r w:rsidRPr="00C22ABE">
        <w:rPr>
          <w:rFonts w:cstheme="minorHAnsi"/>
        </w:rPr>
        <w:t>Figure 6 : arbre décisionnel prise en charge thérapeutique de l’ORN</w:t>
      </w:r>
    </w:p>
    <w:p w14:paraId="211A9031" w14:textId="5109A300" w:rsidR="008B2758" w:rsidRDefault="008B2758" w:rsidP="001E6D9A">
      <w:pPr>
        <w:tabs>
          <w:tab w:val="left" w:pos="7632"/>
        </w:tabs>
      </w:pPr>
    </w:p>
    <w:p w14:paraId="79BF219F" w14:textId="4A888673" w:rsidR="008B2758" w:rsidRDefault="008B2758" w:rsidP="001E6D9A">
      <w:pPr>
        <w:tabs>
          <w:tab w:val="left" w:pos="7632"/>
        </w:tabs>
      </w:pPr>
    </w:p>
    <w:p w14:paraId="729AD0BA" w14:textId="12120F49" w:rsidR="008B2758" w:rsidRDefault="008B2758" w:rsidP="001E6D9A">
      <w:pPr>
        <w:tabs>
          <w:tab w:val="left" w:pos="7632"/>
        </w:tabs>
      </w:pPr>
    </w:p>
    <w:p w14:paraId="59E1266E" w14:textId="0243198D" w:rsidR="008B2758" w:rsidRDefault="008B2758" w:rsidP="001E6D9A">
      <w:pPr>
        <w:tabs>
          <w:tab w:val="left" w:pos="7632"/>
        </w:tabs>
      </w:pPr>
    </w:p>
    <w:p w14:paraId="6337F63F" w14:textId="77777777" w:rsidR="008B2758" w:rsidRDefault="008B2758" w:rsidP="001E6D9A">
      <w:pPr>
        <w:tabs>
          <w:tab w:val="left" w:pos="7632"/>
        </w:tabs>
      </w:pPr>
    </w:p>
    <w:p w14:paraId="0C97BCE8" w14:textId="50AC3B24" w:rsidR="00F169F3" w:rsidRDefault="00F169F3" w:rsidP="001E6D9A">
      <w:pPr>
        <w:tabs>
          <w:tab w:val="left" w:pos="7632"/>
        </w:tabs>
      </w:pPr>
      <w:r w:rsidRPr="00F169F3">
        <w:rPr>
          <w:noProof/>
          <w:lang w:eastAsia="fr-BE"/>
        </w:rPr>
        <w:drawing>
          <wp:inline distT="0" distB="0" distL="0" distR="0" wp14:anchorId="127A764E" wp14:editId="6504937B">
            <wp:extent cx="3362325" cy="3378513"/>
            <wp:effectExtent l="0" t="0" r="0" b="0"/>
            <wp:docPr id="1" name="Image 1" descr="Y:\michele\articles perso\emc ORN\images\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michele\articles perso\emc ORN\images\Figure 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66325" cy="3382532"/>
                    </a:xfrm>
                    <a:prstGeom prst="rect">
                      <a:avLst/>
                    </a:prstGeom>
                    <a:noFill/>
                    <a:ln>
                      <a:noFill/>
                    </a:ln>
                  </pic:spPr>
                </pic:pic>
              </a:graphicData>
            </a:graphic>
          </wp:inline>
        </w:drawing>
      </w:r>
    </w:p>
    <w:p w14:paraId="45141AE3" w14:textId="52A35B31" w:rsidR="00F169F3" w:rsidRDefault="00F169F3" w:rsidP="001E6D9A">
      <w:pPr>
        <w:tabs>
          <w:tab w:val="left" w:pos="7632"/>
        </w:tabs>
      </w:pPr>
      <w:r>
        <w:t>Figure 1</w:t>
      </w:r>
    </w:p>
    <w:p w14:paraId="2B2A27DC" w14:textId="77777777" w:rsidR="00F169F3" w:rsidRDefault="00F169F3" w:rsidP="001E6D9A">
      <w:pPr>
        <w:tabs>
          <w:tab w:val="left" w:pos="7632"/>
        </w:tabs>
      </w:pPr>
    </w:p>
    <w:p w14:paraId="11324411" w14:textId="15FAA2AA" w:rsidR="00F169F3" w:rsidRDefault="00F169F3" w:rsidP="001E6D9A">
      <w:pPr>
        <w:tabs>
          <w:tab w:val="left" w:pos="7632"/>
        </w:tabs>
      </w:pPr>
      <w:r w:rsidRPr="00F169F3">
        <w:rPr>
          <w:noProof/>
          <w:lang w:eastAsia="fr-BE"/>
        </w:rPr>
        <w:lastRenderedPageBreak/>
        <w:drawing>
          <wp:inline distT="0" distB="0" distL="0" distR="0" wp14:anchorId="67B37272" wp14:editId="53C3AF96">
            <wp:extent cx="6188710" cy="3064760"/>
            <wp:effectExtent l="0" t="0" r="2540" b="2540"/>
            <wp:docPr id="3" name="Image 3" descr="Y:\michele\articles perso\emc ORN\images\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michele\articles perso\emc ORN\images\Figure 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88710" cy="3064760"/>
                    </a:xfrm>
                    <a:prstGeom prst="rect">
                      <a:avLst/>
                    </a:prstGeom>
                    <a:noFill/>
                    <a:ln>
                      <a:noFill/>
                    </a:ln>
                  </pic:spPr>
                </pic:pic>
              </a:graphicData>
            </a:graphic>
          </wp:inline>
        </w:drawing>
      </w:r>
    </w:p>
    <w:p w14:paraId="02A51B29" w14:textId="019BE8C2" w:rsidR="00F169F3" w:rsidRDefault="00F169F3" w:rsidP="001E6D9A">
      <w:pPr>
        <w:tabs>
          <w:tab w:val="left" w:pos="7632"/>
        </w:tabs>
      </w:pPr>
      <w:r>
        <w:t>Figure 2</w:t>
      </w:r>
    </w:p>
    <w:p w14:paraId="226FD77A" w14:textId="77777777" w:rsidR="00F169F3" w:rsidRDefault="00F169F3" w:rsidP="001E6D9A">
      <w:pPr>
        <w:tabs>
          <w:tab w:val="left" w:pos="7632"/>
        </w:tabs>
      </w:pPr>
    </w:p>
    <w:p w14:paraId="65D6DFED" w14:textId="77777777" w:rsidR="00F169F3" w:rsidRDefault="00F169F3" w:rsidP="001E6D9A">
      <w:pPr>
        <w:tabs>
          <w:tab w:val="left" w:pos="7632"/>
        </w:tabs>
      </w:pPr>
    </w:p>
    <w:p w14:paraId="0B4C5507" w14:textId="77777777" w:rsidR="00F169F3" w:rsidRDefault="00F169F3" w:rsidP="001E6D9A">
      <w:pPr>
        <w:tabs>
          <w:tab w:val="left" w:pos="7632"/>
        </w:tabs>
      </w:pPr>
    </w:p>
    <w:p w14:paraId="3607F44C" w14:textId="77777777" w:rsidR="00F169F3" w:rsidRDefault="00F169F3" w:rsidP="001E6D9A">
      <w:pPr>
        <w:tabs>
          <w:tab w:val="left" w:pos="7632"/>
        </w:tabs>
      </w:pPr>
    </w:p>
    <w:p w14:paraId="6A815CE7" w14:textId="3B0CBDB0" w:rsidR="00F169F3" w:rsidRDefault="00F169F3" w:rsidP="001E6D9A">
      <w:pPr>
        <w:tabs>
          <w:tab w:val="left" w:pos="7632"/>
        </w:tabs>
      </w:pPr>
      <w:r w:rsidRPr="00F169F3">
        <w:rPr>
          <w:noProof/>
          <w:lang w:eastAsia="fr-BE"/>
        </w:rPr>
        <w:drawing>
          <wp:inline distT="0" distB="0" distL="0" distR="0" wp14:anchorId="545097F9" wp14:editId="6DAEB8BF">
            <wp:extent cx="3457575" cy="3457575"/>
            <wp:effectExtent l="0" t="0" r="9525" b="9525"/>
            <wp:docPr id="4" name="Image 4" descr="Y:\michele\articles perso\emc ORN\images\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Y:\michele\articles perso\emc ORN\images\Figure 3.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57575" cy="3457575"/>
                    </a:xfrm>
                    <a:prstGeom prst="rect">
                      <a:avLst/>
                    </a:prstGeom>
                    <a:noFill/>
                    <a:ln>
                      <a:noFill/>
                    </a:ln>
                  </pic:spPr>
                </pic:pic>
              </a:graphicData>
            </a:graphic>
          </wp:inline>
        </w:drawing>
      </w:r>
    </w:p>
    <w:p w14:paraId="2DFDF15D" w14:textId="7297865C" w:rsidR="00F169F3" w:rsidRDefault="00F169F3" w:rsidP="001E6D9A">
      <w:pPr>
        <w:tabs>
          <w:tab w:val="left" w:pos="7632"/>
        </w:tabs>
      </w:pPr>
      <w:r>
        <w:t>Figure 3</w:t>
      </w:r>
    </w:p>
    <w:p w14:paraId="3A0A7D52" w14:textId="3DF96B42" w:rsidR="00F169F3" w:rsidRDefault="00F169F3" w:rsidP="001E6D9A">
      <w:pPr>
        <w:tabs>
          <w:tab w:val="left" w:pos="7632"/>
        </w:tabs>
      </w:pPr>
      <w:r w:rsidRPr="00F169F3">
        <w:rPr>
          <w:noProof/>
          <w:lang w:eastAsia="fr-BE"/>
        </w:rPr>
        <w:lastRenderedPageBreak/>
        <w:drawing>
          <wp:inline distT="0" distB="0" distL="0" distR="0" wp14:anchorId="41966011" wp14:editId="232E3023">
            <wp:extent cx="3514725" cy="3505200"/>
            <wp:effectExtent l="0" t="0" r="9525" b="0"/>
            <wp:docPr id="6" name="Image 6" descr="Y:\michele\articles perso\emc ORN\images\Figur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Y:\michele\articles perso\emc ORN\images\Figure 4.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14725" cy="3505200"/>
                    </a:xfrm>
                    <a:prstGeom prst="rect">
                      <a:avLst/>
                    </a:prstGeom>
                    <a:noFill/>
                    <a:ln>
                      <a:noFill/>
                    </a:ln>
                  </pic:spPr>
                </pic:pic>
              </a:graphicData>
            </a:graphic>
          </wp:inline>
        </w:drawing>
      </w:r>
    </w:p>
    <w:p w14:paraId="72E3C883" w14:textId="4E97C23B" w:rsidR="00F169F3" w:rsidRDefault="00F169F3" w:rsidP="001E6D9A">
      <w:pPr>
        <w:tabs>
          <w:tab w:val="left" w:pos="7632"/>
        </w:tabs>
      </w:pPr>
      <w:r>
        <w:t>Figure 4</w:t>
      </w:r>
    </w:p>
    <w:p w14:paraId="269DD2EB" w14:textId="7B37DFDC" w:rsidR="00E27FB8" w:rsidRDefault="00E27FB8" w:rsidP="00E27FB8">
      <w:pPr>
        <w:ind w:left="1416"/>
        <w:rPr>
          <w:sz w:val="20"/>
          <w:szCs w:val="18"/>
        </w:rPr>
      </w:pPr>
      <w:r>
        <w:rPr>
          <w:noProof/>
          <w:lang w:eastAsia="fr-BE"/>
        </w:rPr>
        <mc:AlternateContent>
          <mc:Choice Requires="wps">
            <w:drawing>
              <wp:anchor distT="0" distB="0" distL="114300" distR="114300" simplePos="0" relativeHeight="251699200" behindDoc="0" locked="0" layoutInCell="1" allowOverlap="1" wp14:anchorId="13467C4E" wp14:editId="04F59E7C">
                <wp:simplePos x="0" y="0"/>
                <wp:positionH relativeFrom="column">
                  <wp:posOffset>3040485</wp:posOffset>
                </wp:positionH>
                <wp:positionV relativeFrom="paragraph">
                  <wp:posOffset>1931670</wp:posOffset>
                </wp:positionV>
                <wp:extent cx="149225" cy="231775"/>
                <wp:effectExtent l="0" t="0" r="3175" b="0"/>
                <wp:wrapNone/>
                <wp:docPr id="31" name="Flèche vers le bas 13"/>
                <wp:cNvGraphicFramePr/>
                <a:graphic xmlns:a="http://schemas.openxmlformats.org/drawingml/2006/main">
                  <a:graphicData uri="http://schemas.microsoft.com/office/word/2010/wordprocessingShape">
                    <wps:wsp>
                      <wps:cNvSpPr/>
                      <wps:spPr>
                        <a:xfrm>
                          <a:off x="0" y="0"/>
                          <a:ext cx="149225" cy="231775"/>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69FA5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13" o:spid="_x0000_s1026" type="#_x0000_t67" style="position:absolute;margin-left:239.4pt;margin-top:152.1pt;width:11.75pt;height:18.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" adj="14647" fillcolor="#4472c4 [3204]" stroked="f" strokeweight="1pt"/>
            </w:pict>
          </mc:Fallback>
        </mc:AlternateContent>
      </w:r>
      <w:r>
        <w:rPr>
          <w:noProof/>
          <w:lang w:eastAsia="fr-BE"/>
        </w:rPr>
        <mc:AlternateContent>
          <mc:Choice Requires="wps">
            <w:drawing>
              <wp:anchor distT="0" distB="0" distL="114300" distR="114300" simplePos="0" relativeHeight="251695104" behindDoc="0" locked="0" layoutInCell="1" allowOverlap="1" wp14:anchorId="10FA32CC" wp14:editId="02E1C8B1">
                <wp:simplePos x="0" y="0"/>
                <wp:positionH relativeFrom="column">
                  <wp:posOffset>1430623</wp:posOffset>
                </wp:positionH>
                <wp:positionV relativeFrom="paragraph">
                  <wp:posOffset>662305</wp:posOffset>
                </wp:positionV>
                <wp:extent cx="0" cy="266065"/>
                <wp:effectExtent l="57150" t="0" r="57150" b="38735"/>
                <wp:wrapNone/>
                <wp:docPr id="33" name="Connecteur droit avec flèche 33"/>
                <wp:cNvGraphicFramePr/>
                <a:graphic xmlns:a="http://schemas.openxmlformats.org/drawingml/2006/main">
                  <a:graphicData uri="http://schemas.microsoft.com/office/word/2010/wordprocessingShape">
                    <wps:wsp>
                      <wps:cNvCnPr/>
                      <wps:spPr>
                        <a:xfrm>
                          <a:off x="0" y="0"/>
                          <a:ext cx="0" cy="26606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27BA50D" id="_x0000_t32" coordsize="21600,21600" o:spt="32" o:oned="t" path="m,l21600,21600e" filled="f">
                <v:path arrowok="t" fillok="f" o:connecttype="none"/>
                <o:lock v:ext="edit" shapetype="t"/>
              </v:shapetype>
              <v:shape id="Connecteur droit avec flèche 33" o:spid="_x0000_s1026" type="#_x0000_t32" style="position:absolute;margin-left:112.65pt;margin-top:52.15pt;width:0;height:20.9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" strokecolor="#4472c4 [3204]" strokeweight="2.25pt">
                <v:stroke endarrow="block" joinstyle="miter"/>
              </v:shape>
            </w:pict>
          </mc:Fallback>
        </mc:AlternateContent>
      </w:r>
      <w:r>
        <w:rPr>
          <w:noProof/>
          <w:lang w:eastAsia="fr-BE"/>
        </w:rPr>
        <mc:AlternateContent>
          <mc:Choice Requires="wps">
            <w:drawing>
              <wp:anchor distT="0" distB="0" distL="114300" distR="114300" simplePos="0" relativeHeight="251691008" behindDoc="0" locked="0" layoutInCell="1" allowOverlap="1" wp14:anchorId="0FB13706" wp14:editId="1C9896C2">
                <wp:simplePos x="0" y="0"/>
                <wp:positionH relativeFrom="column">
                  <wp:posOffset>1904820</wp:posOffset>
                </wp:positionH>
                <wp:positionV relativeFrom="paragraph">
                  <wp:posOffset>3624437</wp:posOffset>
                </wp:positionV>
                <wp:extent cx="1009934" cy="45719"/>
                <wp:effectExtent l="38100" t="76200" r="19050" b="69215"/>
                <wp:wrapNone/>
                <wp:docPr id="2" name="Straight Arrow Connector 19"/>
                <wp:cNvGraphicFramePr/>
                <a:graphic xmlns:a="http://schemas.openxmlformats.org/drawingml/2006/main">
                  <a:graphicData uri="http://schemas.microsoft.com/office/word/2010/wordprocessingShape">
                    <wps:wsp>
                      <wps:cNvCnPr/>
                      <wps:spPr>
                        <a:xfrm flipH="1" flipV="1">
                          <a:off x="0" y="0"/>
                          <a:ext cx="1009934" cy="45719"/>
                        </a:xfrm>
                        <a:prstGeom prst="straightConnector1">
                          <a:avLst/>
                        </a:prstGeom>
                        <a:ln>
                          <a:solidFill>
                            <a:schemeClr val="accent5">
                              <a:lumMod val="60000"/>
                              <a:lumOff val="40000"/>
                            </a:schemeClr>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7AEEEFE" id="Straight Arrow Connector 19" o:spid="_x0000_s1026" type="#_x0000_t32" style="position:absolute;margin-left:150pt;margin-top:285.4pt;width:79.5pt;height:3.6pt;flip:x 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" strokecolor="#9cc2e5 [1944]" strokeweight="1pt">
                <v:stroke endarrow="open" joinstyle="miter"/>
              </v:shape>
            </w:pict>
          </mc:Fallback>
        </mc:AlternateContent>
      </w:r>
      <w:r>
        <w:rPr>
          <w:noProof/>
          <w:lang w:eastAsia="fr-BE"/>
        </w:rPr>
        <mc:AlternateContent>
          <mc:Choice Requires="wps">
            <w:drawing>
              <wp:anchor distT="0" distB="0" distL="114300" distR="114300" simplePos="0" relativeHeight="251704320" behindDoc="0" locked="0" layoutInCell="1" allowOverlap="1" wp14:anchorId="24DC3F15" wp14:editId="306CE1B8">
                <wp:simplePos x="0" y="0"/>
                <wp:positionH relativeFrom="leftMargin">
                  <wp:posOffset>424976</wp:posOffset>
                </wp:positionH>
                <wp:positionV relativeFrom="paragraph">
                  <wp:posOffset>4189730</wp:posOffset>
                </wp:positionV>
                <wp:extent cx="395605" cy="6350"/>
                <wp:effectExtent l="0" t="76200" r="23495" b="88900"/>
                <wp:wrapNone/>
                <wp:docPr id="5" name="Connecteur droit avec flèche 5"/>
                <wp:cNvGraphicFramePr/>
                <a:graphic xmlns:a="http://schemas.openxmlformats.org/drawingml/2006/main">
                  <a:graphicData uri="http://schemas.microsoft.com/office/word/2010/wordprocessingShape">
                    <wps:wsp>
                      <wps:cNvCnPr/>
                      <wps:spPr>
                        <a:xfrm flipV="1">
                          <a:off x="0" y="0"/>
                          <a:ext cx="395605"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0290D3C" id="Connecteur droit avec flèche 5" o:spid="_x0000_s1026" type="#_x0000_t32" style="position:absolute;margin-left:33.45pt;margin-top:329.9pt;width:31.15pt;height:.5pt;flip:y;z-index:25170432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" strokecolor="#4472c4 [3204]" strokeweight=".5pt">
                <v:stroke endarrow="block" joinstyle="miter"/>
                <w10:wrap anchorx="margin"/>
              </v:shape>
            </w:pict>
          </mc:Fallback>
        </mc:AlternateContent>
      </w:r>
      <w:r>
        <w:rPr>
          <w:noProof/>
          <w:lang w:eastAsia="fr-BE"/>
        </w:rPr>
        <mc:AlternateContent>
          <mc:Choice Requires="wps">
            <w:drawing>
              <wp:anchor distT="0" distB="0" distL="114300" distR="114300" simplePos="0" relativeHeight="251692032" behindDoc="0" locked="0" layoutInCell="1" allowOverlap="1" wp14:anchorId="5C1C288F" wp14:editId="3F4CD230">
                <wp:simplePos x="0" y="0"/>
                <wp:positionH relativeFrom="column">
                  <wp:posOffset>1891172</wp:posOffset>
                </wp:positionH>
                <wp:positionV relativeFrom="paragraph">
                  <wp:posOffset>3760914</wp:posOffset>
                </wp:positionV>
                <wp:extent cx="963873" cy="409433"/>
                <wp:effectExtent l="38100" t="38100" r="27305" b="29210"/>
                <wp:wrapNone/>
                <wp:docPr id="26" name="Straight Arrow Connector 20"/>
                <wp:cNvGraphicFramePr/>
                <a:graphic xmlns:a="http://schemas.openxmlformats.org/drawingml/2006/main">
                  <a:graphicData uri="http://schemas.microsoft.com/office/word/2010/wordprocessingShape">
                    <wps:wsp>
                      <wps:cNvCnPr/>
                      <wps:spPr>
                        <a:xfrm flipH="1" flipV="1">
                          <a:off x="0" y="0"/>
                          <a:ext cx="963873" cy="409433"/>
                        </a:xfrm>
                        <a:prstGeom prst="straightConnector1">
                          <a:avLst/>
                        </a:prstGeom>
                        <a:ln>
                          <a:solidFill>
                            <a:schemeClr val="accent6"/>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4EFDD5" id="Straight Arrow Connector 20" o:spid="_x0000_s1026" type="#_x0000_t32" style="position:absolute;margin-left:148.9pt;margin-top:296.15pt;width:75.9pt;height:32.25pt;flip:x 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" strokecolor="#70ad47 [3209]" strokeweight="1pt">
                <v:stroke endarrow="open" joinstyle="miter"/>
              </v:shape>
            </w:pict>
          </mc:Fallback>
        </mc:AlternateContent>
      </w:r>
      <w:r>
        <w:rPr>
          <w:noProof/>
          <w:lang w:eastAsia="fr-BE"/>
        </w:rPr>
        <mc:AlternateContent>
          <mc:Choice Requires="wps">
            <w:drawing>
              <wp:anchor distT="0" distB="0" distL="114300" distR="114300" simplePos="0" relativeHeight="251689984" behindDoc="0" locked="0" layoutInCell="1" allowOverlap="1" wp14:anchorId="012845EC" wp14:editId="010F10FB">
                <wp:simplePos x="0" y="0"/>
                <wp:positionH relativeFrom="column">
                  <wp:posOffset>1897996</wp:posOffset>
                </wp:positionH>
                <wp:positionV relativeFrom="paragraph">
                  <wp:posOffset>2921578</wp:posOffset>
                </wp:positionV>
                <wp:extent cx="957049" cy="443552"/>
                <wp:effectExtent l="38100" t="0" r="14605" b="71120"/>
                <wp:wrapNone/>
                <wp:docPr id="28" name="Straight Arrow Connector 18"/>
                <wp:cNvGraphicFramePr/>
                <a:graphic xmlns:a="http://schemas.openxmlformats.org/drawingml/2006/main">
                  <a:graphicData uri="http://schemas.microsoft.com/office/word/2010/wordprocessingShape">
                    <wps:wsp>
                      <wps:cNvCnPr/>
                      <wps:spPr>
                        <a:xfrm flipH="1">
                          <a:off x="0" y="0"/>
                          <a:ext cx="957049" cy="443552"/>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3B5AC64" id="Straight Arrow Connector 18" o:spid="_x0000_s1026" type="#_x0000_t32" style="position:absolute;margin-left:149.45pt;margin-top:230.05pt;width:75.35pt;height:34.95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" strokecolor="#4472c4 [3204]" strokeweight="1pt">
                <v:stroke endarrow="open" joinstyle="miter"/>
              </v:shape>
            </w:pict>
          </mc:Fallback>
        </mc:AlternateContent>
      </w:r>
      <w:r>
        <w:rPr>
          <w:noProof/>
          <w:lang w:eastAsia="fr-BE"/>
        </w:rPr>
        <mc:AlternateContent>
          <mc:Choice Requires="wps">
            <w:drawing>
              <wp:anchor distT="0" distB="0" distL="114300" distR="114300" simplePos="0" relativeHeight="251700224" behindDoc="0" locked="0" layoutInCell="1" allowOverlap="1" wp14:anchorId="3A0B2109" wp14:editId="57FF2FEB">
                <wp:simplePos x="0" y="0"/>
                <wp:positionH relativeFrom="column">
                  <wp:posOffset>3056900</wp:posOffset>
                </wp:positionH>
                <wp:positionV relativeFrom="paragraph">
                  <wp:posOffset>2511425</wp:posOffset>
                </wp:positionV>
                <wp:extent cx="95250" cy="251460"/>
                <wp:effectExtent l="0" t="0" r="0" b="0"/>
                <wp:wrapNone/>
                <wp:docPr id="29" name="Flèche vers le bas 16"/>
                <wp:cNvGraphicFramePr/>
                <a:graphic xmlns:a="http://schemas.openxmlformats.org/drawingml/2006/main">
                  <a:graphicData uri="http://schemas.microsoft.com/office/word/2010/wordprocessingShape">
                    <wps:wsp>
                      <wps:cNvSpPr/>
                      <wps:spPr>
                        <a:xfrm>
                          <a:off x="0" y="0"/>
                          <a:ext cx="95250" cy="25146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76BC99" id="Flèche vers le bas 16" o:spid="_x0000_s1026" type="#_x0000_t67" style="position:absolute;margin-left:240.7pt;margin-top:197.75pt;width:7.5pt;height:19.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" adj="17509" fillcolor="#4472c4 [3204]" stroked="f" strokeweight="1pt"/>
            </w:pict>
          </mc:Fallback>
        </mc:AlternateContent>
      </w:r>
      <w:r>
        <w:rPr>
          <w:noProof/>
          <w:lang w:eastAsia="fr-BE"/>
        </w:rPr>
        <mc:AlternateContent>
          <mc:Choice Requires="wps">
            <w:drawing>
              <wp:anchor distT="0" distB="0" distL="114300" distR="114300" simplePos="0" relativeHeight="251694080" behindDoc="0" locked="0" layoutInCell="1" allowOverlap="1" wp14:anchorId="73DE2D33" wp14:editId="2993ED0A">
                <wp:simplePos x="0" y="0"/>
                <wp:positionH relativeFrom="column">
                  <wp:posOffset>226145</wp:posOffset>
                </wp:positionH>
                <wp:positionV relativeFrom="paragraph">
                  <wp:posOffset>2027650</wp:posOffset>
                </wp:positionV>
                <wp:extent cx="2831911" cy="431307"/>
                <wp:effectExtent l="0" t="76200" r="26035" b="26035"/>
                <wp:wrapNone/>
                <wp:docPr id="30" name="Straight Arrow Connector 22"/>
                <wp:cNvGraphicFramePr/>
                <a:graphic xmlns:a="http://schemas.openxmlformats.org/drawingml/2006/main">
                  <a:graphicData uri="http://schemas.microsoft.com/office/word/2010/wordprocessingShape">
                    <wps:wsp>
                      <wps:cNvCnPr/>
                      <wps:spPr>
                        <a:xfrm flipV="1">
                          <a:off x="0" y="0"/>
                          <a:ext cx="2831911" cy="431307"/>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D732B99" id="Straight Arrow Connector 22" o:spid="_x0000_s1026" type="#_x0000_t32" style="position:absolute;margin-left:17.8pt;margin-top:159.65pt;width:223pt;height:33.95pt;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" strokecolor="red" strokeweight="1pt">
                <v:stroke endarrow="open" joinstyle="miter"/>
              </v:shape>
            </w:pict>
          </mc:Fallback>
        </mc:AlternateContent>
      </w:r>
      <w:r>
        <w:rPr>
          <w:noProof/>
          <w:lang w:eastAsia="fr-BE"/>
        </w:rPr>
        <mc:AlternateContent>
          <mc:Choice Requires="wps">
            <w:drawing>
              <wp:anchor distT="0" distB="0" distL="114300" distR="114300" simplePos="0" relativeHeight="251685888" behindDoc="0" locked="0" layoutInCell="1" allowOverlap="1" wp14:anchorId="42F360D8" wp14:editId="4E4E67CC">
                <wp:simplePos x="0" y="0"/>
                <wp:positionH relativeFrom="column">
                  <wp:posOffset>556146</wp:posOffset>
                </wp:positionH>
                <wp:positionV relativeFrom="paragraph">
                  <wp:posOffset>672333</wp:posOffset>
                </wp:positionV>
                <wp:extent cx="914400" cy="228600"/>
                <wp:effectExtent l="0" t="0" r="0" b="0"/>
                <wp:wrapSquare wrapText="bothSides"/>
                <wp:docPr id="32" name="Text Box 12"/>
                <wp:cNvGraphicFramePr/>
                <a:graphic xmlns:a="http://schemas.openxmlformats.org/drawingml/2006/main">
                  <a:graphicData uri="http://schemas.microsoft.com/office/word/2010/wordprocessingShape">
                    <wps:wsp>
                      <wps:cNvSpPr txBox="1"/>
                      <wps:spPr>
                        <a:xfrm>
                          <a:off x="0" y="0"/>
                          <a:ext cx="914400" cy="2286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2BD9CC3" w14:textId="77777777" w:rsidR="00D36EC3" w:rsidRPr="00A90010" w:rsidRDefault="00D36EC3" w:rsidP="00E27FB8">
                            <w:pPr>
                              <w:jc w:val="center"/>
                              <w:rPr>
                                <w:sz w:val="20"/>
                                <w:szCs w:val="20"/>
                              </w:rPr>
                            </w:pPr>
                            <w:r w:rsidRPr="00A90010">
                              <w:rPr>
                                <w:sz w:val="20"/>
                                <w:szCs w:val="20"/>
                              </w:rPr>
                              <w:t xml:space="preserve">Effet </w:t>
                            </w:r>
                            <w:r>
                              <w:rPr>
                                <w:sz w:val="20"/>
                                <w:szCs w:val="20"/>
                              </w:rPr>
                              <w:t>in</w:t>
                            </w:r>
                            <w:r w:rsidRPr="00A90010">
                              <w:rPr>
                                <w:sz w:val="20"/>
                                <w:szCs w:val="20"/>
                              </w:rPr>
                              <w:t>direct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F360D8" id="_x0000_t202" coordsize="21600,21600" o:spt="202" path="m,l,21600r21600,l21600,xe">
                <v:stroke joinstyle="miter"/>
                <v:path gradientshapeok="t" o:connecttype="rect"/>
              </v:shapetype>
              <v:shape id="Text Box 12" o:spid="_x0000_s1026" type="#_x0000_t202" style="position:absolute;left:0;text-align:left;margin-left:43.8pt;margin-top:52.95pt;width:1in;height:1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" filled="f" stroked="f">
                <v:textbox>
                  <w:txbxContent>
                    <w:p w14:paraId="32BD9CC3" w14:textId="77777777" w:rsidR="00D36EC3" w:rsidRPr="00A90010" w:rsidRDefault="00D36EC3" w:rsidP="00E27FB8">
                      <w:pPr>
                        <w:jc w:val="center"/>
                        <w:rPr>
                          <w:sz w:val="20"/>
                          <w:szCs w:val="20"/>
                        </w:rPr>
                      </w:pPr>
                      <w:r w:rsidRPr="00A90010">
                        <w:rPr>
                          <w:sz w:val="20"/>
                          <w:szCs w:val="20"/>
                        </w:rPr>
                        <w:t xml:space="preserve">Effet </w:t>
                      </w:r>
                      <w:r>
                        <w:rPr>
                          <w:sz w:val="20"/>
                          <w:szCs w:val="20"/>
                        </w:rPr>
                        <w:t>in</w:t>
                      </w:r>
                      <w:r w:rsidRPr="00A90010">
                        <w:rPr>
                          <w:sz w:val="20"/>
                          <w:szCs w:val="20"/>
                        </w:rPr>
                        <w:t>direct</w:t>
                      </w:r>
                    </w:p>
                  </w:txbxContent>
                </v:textbox>
                <w10:wrap type="square"/>
              </v:shape>
            </w:pict>
          </mc:Fallback>
        </mc:AlternateContent>
      </w:r>
      <w:r>
        <w:rPr>
          <w:noProof/>
          <w:lang w:eastAsia="fr-BE"/>
        </w:rPr>
        <mc:AlternateContent>
          <mc:Choice Requires="wps">
            <w:drawing>
              <wp:anchor distT="0" distB="0" distL="114300" distR="114300" simplePos="0" relativeHeight="251696128" behindDoc="0" locked="0" layoutInCell="1" allowOverlap="1" wp14:anchorId="3DC8526F" wp14:editId="490F45F0">
                <wp:simplePos x="0" y="0"/>
                <wp:positionH relativeFrom="column">
                  <wp:posOffset>1385608</wp:posOffset>
                </wp:positionH>
                <wp:positionV relativeFrom="paragraph">
                  <wp:posOffset>1316990</wp:posOffset>
                </wp:positionV>
                <wp:extent cx="109182" cy="484496"/>
                <wp:effectExtent l="0" t="0" r="5715" b="0"/>
                <wp:wrapNone/>
                <wp:docPr id="34" name="Flèche vers le bas 7"/>
                <wp:cNvGraphicFramePr/>
                <a:graphic xmlns:a="http://schemas.openxmlformats.org/drawingml/2006/main">
                  <a:graphicData uri="http://schemas.microsoft.com/office/word/2010/wordprocessingShape">
                    <wps:wsp>
                      <wps:cNvSpPr/>
                      <wps:spPr>
                        <a:xfrm>
                          <a:off x="0" y="0"/>
                          <a:ext cx="109182" cy="484496"/>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33F234" id="Flèche vers le bas 7" o:spid="_x0000_s1026" type="#_x0000_t67" style="position:absolute;margin-left:109.1pt;margin-top:103.7pt;width:8.6pt;height:38.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" adj="19166" fillcolor="#4472c4 [3204]" stroked="f" strokeweight="1pt"/>
            </w:pict>
          </mc:Fallback>
        </mc:AlternateContent>
      </w:r>
      <w:r>
        <w:rPr>
          <w:noProof/>
          <w:lang w:eastAsia="fr-BE"/>
        </w:rPr>
        <mc:AlternateContent>
          <mc:Choice Requires="wps">
            <w:drawing>
              <wp:anchor distT="0" distB="0" distL="114300" distR="114300" simplePos="0" relativeHeight="251697152" behindDoc="0" locked="0" layoutInCell="1" allowOverlap="1" wp14:anchorId="69FAEB51" wp14:editId="5A22682D">
                <wp:simplePos x="0" y="0"/>
                <wp:positionH relativeFrom="column">
                  <wp:posOffset>1386527</wp:posOffset>
                </wp:positionH>
                <wp:positionV relativeFrom="paragraph">
                  <wp:posOffset>2237740</wp:posOffset>
                </wp:positionV>
                <wp:extent cx="109182" cy="218364"/>
                <wp:effectExtent l="0" t="0" r="5715" b="0"/>
                <wp:wrapNone/>
                <wp:docPr id="35" name="Flèche vers le bas 10"/>
                <wp:cNvGraphicFramePr/>
                <a:graphic xmlns:a="http://schemas.openxmlformats.org/drawingml/2006/main">
                  <a:graphicData uri="http://schemas.microsoft.com/office/word/2010/wordprocessingShape">
                    <wps:wsp>
                      <wps:cNvSpPr/>
                      <wps:spPr>
                        <a:xfrm>
                          <a:off x="0" y="0"/>
                          <a:ext cx="109182" cy="218364"/>
                        </a:xfrm>
                        <a:prstGeom prst="downArrow">
                          <a:avLst/>
                        </a:prstGeom>
                        <a:solidFill>
                          <a:srgbClr val="5B9BD5"/>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3D00C6" id="Flèche vers le bas 10" o:spid="_x0000_s1026" type="#_x0000_t67" style="position:absolute;margin-left:109.2pt;margin-top:176.2pt;width:8.6pt;height:17.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" fillcolor="#5b9bd5" stroked="f" strokeweight="1pt"/>
            </w:pict>
          </mc:Fallback>
        </mc:AlternateContent>
      </w:r>
      <w:r>
        <w:rPr>
          <w:noProof/>
          <w:lang w:eastAsia="fr-BE"/>
        </w:rPr>
        <mc:AlternateContent>
          <mc:Choice Requires="wps">
            <w:drawing>
              <wp:anchor distT="0" distB="0" distL="114300" distR="114300" simplePos="0" relativeHeight="251698176" behindDoc="0" locked="0" layoutInCell="1" allowOverlap="1" wp14:anchorId="750379CF" wp14:editId="2164F6E2">
                <wp:simplePos x="0" y="0"/>
                <wp:positionH relativeFrom="column">
                  <wp:posOffset>1377476</wp:posOffset>
                </wp:positionH>
                <wp:positionV relativeFrom="paragraph">
                  <wp:posOffset>2874010</wp:posOffset>
                </wp:positionV>
                <wp:extent cx="108585" cy="483870"/>
                <wp:effectExtent l="0" t="0" r="5715" b="0"/>
                <wp:wrapNone/>
                <wp:docPr id="36" name="Flèche vers le bas 11"/>
                <wp:cNvGraphicFramePr/>
                <a:graphic xmlns:a="http://schemas.openxmlformats.org/drawingml/2006/main">
                  <a:graphicData uri="http://schemas.microsoft.com/office/word/2010/wordprocessingShape">
                    <wps:wsp>
                      <wps:cNvSpPr/>
                      <wps:spPr>
                        <a:xfrm>
                          <a:off x="0" y="0"/>
                          <a:ext cx="108585" cy="483870"/>
                        </a:xfrm>
                        <a:prstGeom prst="downArrow">
                          <a:avLst/>
                        </a:prstGeom>
                        <a:solidFill>
                          <a:srgbClr val="5B9BD5"/>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3DFBF" id="Flèche vers le bas 11" o:spid="_x0000_s1026" type="#_x0000_t67" style="position:absolute;margin-left:108.45pt;margin-top:226.3pt;width:8.55pt;height:38.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" adj="19176" fillcolor="#5b9bd5" stroked="f" strokeweight="1pt"/>
            </w:pict>
          </mc:Fallback>
        </mc:AlternateContent>
      </w:r>
      <w:r>
        <w:rPr>
          <w:noProof/>
          <w:lang w:eastAsia="fr-BE"/>
        </w:rPr>
        <mc:AlternateContent>
          <mc:Choice Requires="wps">
            <w:drawing>
              <wp:anchor distT="0" distB="0" distL="114300" distR="114300" simplePos="0" relativeHeight="251688960" behindDoc="0" locked="0" layoutInCell="1" allowOverlap="1" wp14:anchorId="395FF92B" wp14:editId="31E6C1E3">
                <wp:simplePos x="0" y="0"/>
                <wp:positionH relativeFrom="column">
                  <wp:posOffset>396240</wp:posOffset>
                </wp:positionH>
                <wp:positionV relativeFrom="paragraph">
                  <wp:posOffset>3439795</wp:posOffset>
                </wp:positionV>
                <wp:extent cx="685800" cy="555625"/>
                <wp:effectExtent l="7937" t="11113" r="46038" b="65087"/>
                <wp:wrapThrough wrapText="bothSides">
                  <wp:wrapPolygon edited="0">
                    <wp:start x="21950" y="15984"/>
                    <wp:lineTo x="21350" y="-309"/>
                    <wp:lineTo x="-1450" y="-309"/>
                    <wp:lineTo x="-1450" y="1173"/>
                    <wp:lineTo x="12350" y="1173"/>
                    <wp:lineTo x="12350" y="22649"/>
                    <wp:lineTo x="21950" y="22649"/>
                    <wp:lineTo x="21950" y="18946"/>
                    <wp:lineTo x="21950" y="15984"/>
                  </wp:wrapPolygon>
                </wp:wrapThrough>
                <wp:docPr id="37" name="Bent-Up Arrow 17"/>
                <wp:cNvGraphicFramePr/>
                <a:graphic xmlns:a="http://schemas.openxmlformats.org/drawingml/2006/main">
                  <a:graphicData uri="http://schemas.microsoft.com/office/word/2010/wordprocessingShape">
                    <wps:wsp>
                      <wps:cNvSpPr/>
                      <wps:spPr>
                        <a:xfrm rot="16200000" flipV="1">
                          <a:off x="0" y="0"/>
                          <a:ext cx="685800" cy="555625"/>
                        </a:xfrm>
                        <a:prstGeom prst="bentUpArrow">
                          <a:avLst>
                            <a:gd name="adj1" fmla="val 0"/>
                            <a:gd name="adj2" fmla="val 10981"/>
                            <a:gd name="adj3" fmla="val 19393"/>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475D52" id="Bent-Up Arrow 17" o:spid="_x0000_s1026" style="position:absolute;margin-left:31.2pt;margin-top:270.85pt;width:54pt;height:43.75pt;rotation:90;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85800,555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" path="m,555625r624787,l624787,107752r-61013,l624787,r61013,107752l624787,107752r,447873l,555625xe" fillcolor="#4f7ac7 [3028]" strokecolor="#4472c4 [3204]" strokeweight=".5pt">
                <v:fill color2="#416fc3 [3172]" rotate="t" colors="0 #6083cb;.5 #3e70ca;1 #2e61ba" focus="100%" type="gradient">
                  <o:fill v:ext="view" type="gradientUnscaled"/>
                </v:fill>
                <v:stroke joinstyle="miter"/>
                <v:path arrowok="t" o:connecttype="custom" o:connectlocs="0,555625;624787,555625;624787,107752;563774,107752;624787,0;685800,107752;624787,107752;624787,555625;0,555625" o:connectangles="0,0,0,0,0,0,0,0,0"/>
                <w10:wrap type="through"/>
              </v:shape>
            </w:pict>
          </mc:Fallback>
        </mc:AlternateContent>
      </w:r>
      <w:r>
        <w:rPr>
          <w:noProof/>
          <w:lang w:eastAsia="fr-BE"/>
        </w:rPr>
        <mc:AlternateContent>
          <mc:Choice Requires="wps">
            <w:drawing>
              <wp:anchor distT="0" distB="0" distL="114300" distR="114300" simplePos="0" relativeHeight="251701248" behindDoc="0" locked="0" layoutInCell="1" allowOverlap="1" wp14:anchorId="7CA8DE14" wp14:editId="755CA371">
                <wp:simplePos x="0" y="0"/>
                <wp:positionH relativeFrom="column">
                  <wp:posOffset>-153670</wp:posOffset>
                </wp:positionH>
                <wp:positionV relativeFrom="paragraph">
                  <wp:posOffset>1892461</wp:posOffset>
                </wp:positionV>
                <wp:extent cx="95250" cy="251460"/>
                <wp:effectExtent l="0" t="0" r="0" b="0"/>
                <wp:wrapNone/>
                <wp:docPr id="38" name="Flèche vers le bas 23"/>
                <wp:cNvGraphicFramePr/>
                <a:graphic xmlns:a="http://schemas.openxmlformats.org/drawingml/2006/main">
                  <a:graphicData uri="http://schemas.microsoft.com/office/word/2010/wordprocessingShape">
                    <wps:wsp>
                      <wps:cNvSpPr/>
                      <wps:spPr>
                        <a:xfrm>
                          <a:off x="0" y="0"/>
                          <a:ext cx="95250" cy="25146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B39EB5" id="Flèche vers le bas 23" o:spid="_x0000_s1026" type="#_x0000_t67" style="position:absolute;margin-left:-12.1pt;margin-top:149pt;width:7.5pt;height:19.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" adj="17509" fillcolor="#4472c4 [3204]" stroked="f" strokeweight="1pt"/>
            </w:pict>
          </mc:Fallback>
        </mc:AlternateContent>
      </w:r>
      <w:r>
        <w:rPr>
          <w:noProof/>
          <w:lang w:eastAsia="fr-BE"/>
        </w:rPr>
        <mc:AlternateContent>
          <mc:Choice Requires="wps">
            <w:drawing>
              <wp:anchor distT="0" distB="0" distL="114300" distR="114300" simplePos="0" relativeHeight="251702272" behindDoc="0" locked="0" layoutInCell="1" allowOverlap="1" wp14:anchorId="7DF721C1" wp14:editId="0CD6E520">
                <wp:simplePos x="0" y="0"/>
                <wp:positionH relativeFrom="column">
                  <wp:posOffset>-187325</wp:posOffset>
                </wp:positionH>
                <wp:positionV relativeFrom="paragraph">
                  <wp:posOffset>2513491</wp:posOffset>
                </wp:positionV>
                <wp:extent cx="95250" cy="251460"/>
                <wp:effectExtent l="0" t="0" r="0" b="0"/>
                <wp:wrapNone/>
                <wp:docPr id="39" name="Flèche vers le bas 24"/>
                <wp:cNvGraphicFramePr/>
                <a:graphic xmlns:a="http://schemas.openxmlformats.org/drawingml/2006/main">
                  <a:graphicData uri="http://schemas.microsoft.com/office/word/2010/wordprocessingShape">
                    <wps:wsp>
                      <wps:cNvSpPr/>
                      <wps:spPr>
                        <a:xfrm>
                          <a:off x="0" y="0"/>
                          <a:ext cx="95250" cy="25146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07D234" id="Flèche vers le bas 24" o:spid="_x0000_s1026" type="#_x0000_t67" style="position:absolute;margin-left:-14.75pt;margin-top:197.9pt;width:7.5pt;height:19.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" adj="17509" fillcolor="#4472c4 [3204]" stroked="f" strokeweight="1pt"/>
            </w:pict>
          </mc:Fallback>
        </mc:AlternateContent>
      </w:r>
      <w:r>
        <w:rPr>
          <w:noProof/>
          <w:lang w:eastAsia="fr-BE"/>
        </w:rPr>
        <mc:AlternateContent>
          <mc:Choice Requires="wps">
            <w:drawing>
              <wp:anchor distT="0" distB="0" distL="114300" distR="114300" simplePos="0" relativeHeight="251703296" behindDoc="0" locked="0" layoutInCell="1" allowOverlap="1" wp14:anchorId="2B20A16B" wp14:editId="1DDD4078">
                <wp:simplePos x="0" y="0"/>
                <wp:positionH relativeFrom="column">
                  <wp:posOffset>-173990</wp:posOffset>
                </wp:positionH>
                <wp:positionV relativeFrom="paragraph">
                  <wp:posOffset>3126901</wp:posOffset>
                </wp:positionV>
                <wp:extent cx="95534" cy="251858"/>
                <wp:effectExtent l="0" t="0" r="0" b="0"/>
                <wp:wrapNone/>
                <wp:docPr id="40" name="Flèche vers le bas 25"/>
                <wp:cNvGraphicFramePr/>
                <a:graphic xmlns:a="http://schemas.openxmlformats.org/drawingml/2006/main">
                  <a:graphicData uri="http://schemas.microsoft.com/office/word/2010/wordprocessingShape">
                    <wps:wsp>
                      <wps:cNvSpPr/>
                      <wps:spPr>
                        <a:xfrm>
                          <a:off x="0" y="0"/>
                          <a:ext cx="95534" cy="251858"/>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963B97" id="Flèche vers le bas 25" o:spid="_x0000_s1026" type="#_x0000_t67" style="position:absolute;margin-left:-13.7pt;margin-top:246.2pt;width:7.5pt;height:19.8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" adj="17503" fillcolor="#4472c4 [3204]" stroked="f" strokeweight="1pt"/>
            </w:pict>
          </mc:Fallback>
        </mc:AlternateContent>
      </w:r>
      <w:r>
        <w:rPr>
          <w:noProof/>
          <w:lang w:eastAsia="fr-BE"/>
        </w:rPr>
        <mc:AlternateContent>
          <mc:Choice Requires="wps">
            <w:drawing>
              <wp:anchor distT="0" distB="0" distL="114300" distR="114300" simplePos="0" relativeHeight="251686912" behindDoc="0" locked="0" layoutInCell="1" allowOverlap="1" wp14:anchorId="4BFEF0B8" wp14:editId="0E65945E">
                <wp:simplePos x="0" y="0"/>
                <wp:positionH relativeFrom="column">
                  <wp:posOffset>-361315</wp:posOffset>
                </wp:positionH>
                <wp:positionV relativeFrom="paragraph">
                  <wp:posOffset>519430</wp:posOffset>
                </wp:positionV>
                <wp:extent cx="1507490" cy="1002665"/>
                <wp:effectExtent l="19050" t="0" r="54610" b="45085"/>
                <wp:wrapThrough wrapText="bothSides">
                  <wp:wrapPolygon edited="0">
                    <wp:start x="20781" y="21600"/>
                    <wp:lineTo x="20781" y="8468"/>
                    <wp:lineTo x="21873" y="4364"/>
                    <wp:lineTo x="21600" y="1901"/>
                    <wp:lineTo x="20781" y="-561"/>
                    <wp:lineTo x="19143" y="-561"/>
                    <wp:lineTo x="18052" y="1901"/>
                    <wp:lineTo x="18597" y="6005"/>
                    <wp:lineTo x="19143" y="15034"/>
                    <wp:lineTo x="-510" y="21600"/>
                    <wp:lineTo x="20781" y="21600"/>
                  </wp:wrapPolygon>
                </wp:wrapThrough>
                <wp:docPr id="41" name="Bent-Up Arrow 14"/>
                <wp:cNvGraphicFramePr/>
                <a:graphic xmlns:a="http://schemas.openxmlformats.org/drawingml/2006/main">
                  <a:graphicData uri="http://schemas.microsoft.com/office/word/2010/wordprocessingShape">
                    <wps:wsp>
                      <wps:cNvSpPr/>
                      <wps:spPr>
                        <a:xfrm rot="10800000">
                          <a:off x="0" y="0"/>
                          <a:ext cx="1507490" cy="1002665"/>
                        </a:xfrm>
                        <a:prstGeom prst="bentUpArrow">
                          <a:avLst>
                            <a:gd name="adj1" fmla="val 0"/>
                            <a:gd name="adj2" fmla="val 10981"/>
                            <a:gd name="adj3" fmla="val 19393"/>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9559F1" id="Bent-Up Arrow 14" o:spid="_x0000_s1026" style="position:absolute;margin-left:-28.45pt;margin-top:40.9pt;width:118.7pt;height:78.95pt;rotation:18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07490,1002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" path="m,1002665r1397387,l1397387,194447r-110102,l1397387,r110103,194447l1397387,194447r,808218l,1002665xe" fillcolor="#4f7ac7 [3028]" strokecolor="#4472c4 [3204]" strokeweight=".5pt">
                <v:fill color2="#416fc3 [3172]" rotate="t" colors="0 #6083cb;.5 #3e70ca;1 #2e61ba" focus="100%" type="gradient">
                  <o:fill v:ext="view" type="gradientUnscaled"/>
                </v:fill>
                <v:stroke joinstyle="miter"/>
                <v:path arrowok="t" o:connecttype="custom" o:connectlocs="0,1002665;1397387,1002665;1397387,194447;1287285,194447;1397387,0;1507490,194447;1397387,194447;1397387,1002665;0,1002665" o:connectangles="0,0,0,0,0,0,0,0,0"/>
                <w10:wrap type="through"/>
              </v:shape>
            </w:pict>
          </mc:Fallback>
        </mc:AlternateContent>
      </w:r>
      <w:r>
        <w:rPr>
          <w:noProof/>
          <w:lang w:eastAsia="fr-BE"/>
        </w:rPr>
        <mc:AlternateContent>
          <mc:Choice Requires="wps">
            <w:drawing>
              <wp:anchor distT="0" distB="0" distL="114300" distR="114300" simplePos="0" relativeHeight="251687936" behindDoc="0" locked="0" layoutInCell="1" allowOverlap="1" wp14:anchorId="69F9A599" wp14:editId="2952DB6A">
                <wp:simplePos x="0" y="0"/>
                <wp:positionH relativeFrom="column">
                  <wp:posOffset>1945640</wp:posOffset>
                </wp:positionH>
                <wp:positionV relativeFrom="paragraph">
                  <wp:posOffset>519430</wp:posOffset>
                </wp:positionV>
                <wp:extent cx="1507490" cy="1002665"/>
                <wp:effectExtent l="38100" t="0" r="16510" b="45085"/>
                <wp:wrapThrough wrapText="bothSides">
                  <wp:wrapPolygon edited="0">
                    <wp:start x="22146" y="21600"/>
                    <wp:lineTo x="22146" y="15034"/>
                    <wp:lineTo x="2220" y="15034"/>
                    <wp:lineTo x="2220" y="8468"/>
                    <wp:lineTo x="3858" y="8468"/>
                    <wp:lineTo x="3858" y="1901"/>
                    <wp:lineTo x="2220" y="-561"/>
                    <wp:lineTo x="855" y="-561"/>
                    <wp:lineTo x="36" y="1901"/>
                    <wp:lineTo x="855" y="8057"/>
                    <wp:lineTo x="855" y="21600"/>
                    <wp:lineTo x="22146" y="21600"/>
                  </wp:wrapPolygon>
                </wp:wrapThrough>
                <wp:docPr id="42" name="Bent-Up Arrow 15"/>
                <wp:cNvGraphicFramePr/>
                <a:graphic xmlns:a="http://schemas.openxmlformats.org/drawingml/2006/main">
                  <a:graphicData uri="http://schemas.microsoft.com/office/word/2010/wordprocessingShape">
                    <wps:wsp>
                      <wps:cNvSpPr/>
                      <wps:spPr>
                        <a:xfrm rot="10800000" flipH="1">
                          <a:off x="0" y="0"/>
                          <a:ext cx="1507490" cy="1002665"/>
                        </a:xfrm>
                        <a:prstGeom prst="bentUpArrow">
                          <a:avLst>
                            <a:gd name="adj1" fmla="val 0"/>
                            <a:gd name="adj2" fmla="val 10981"/>
                            <a:gd name="adj3" fmla="val 19393"/>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35D9F8" id="Bent-Up Arrow 15" o:spid="_x0000_s1026" style="position:absolute;margin-left:153.2pt;margin-top:40.9pt;width:118.7pt;height:78.95pt;rotation:180;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07490,1002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" path="m,1002665r1397387,l1397387,194447r-110102,l1397387,r110103,194447l1397387,194447r,808218l,1002665xe" fillcolor="#4f7ac7 [3028]" strokecolor="#4472c4 [3204]" strokeweight=".5pt">
                <v:fill color2="#416fc3 [3172]" rotate="t" colors="0 #6083cb;.5 #3e70ca;1 #2e61ba" focus="100%" type="gradient">
                  <o:fill v:ext="view" type="gradientUnscaled"/>
                </v:fill>
                <v:stroke joinstyle="miter"/>
                <v:path arrowok="t" o:connecttype="custom" o:connectlocs="0,1002665;1397387,1002665;1397387,194447;1287285,194447;1397387,0;1507490,194447;1397387,194447;1397387,1002665;0,1002665" o:connectangles="0,0,0,0,0,0,0,0,0"/>
                <w10:wrap type="through"/>
              </v:shape>
            </w:pict>
          </mc:Fallback>
        </mc:AlternateContent>
      </w:r>
      <w:r>
        <w:rPr>
          <w:noProof/>
          <w:lang w:eastAsia="fr-BE"/>
        </w:rPr>
        <mc:AlternateContent>
          <mc:Choice Requires="wps">
            <w:drawing>
              <wp:anchor distT="0" distB="0" distL="114300" distR="114300" simplePos="0" relativeHeight="251693056" behindDoc="0" locked="0" layoutInCell="1" allowOverlap="1" wp14:anchorId="6AB83C82" wp14:editId="38F6409C">
                <wp:simplePos x="0" y="0"/>
                <wp:positionH relativeFrom="column">
                  <wp:posOffset>228600</wp:posOffset>
                </wp:positionH>
                <wp:positionV relativeFrom="paragraph">
                  <wp:posOffset>1204595</wp:posOffset>
                </wp:positionV>
                <wp:extent cx="914400" cy="1143000"/>
                <wp:effectExtent l="0" t="50800" r="76200" b="25400"/>
                <wp:wrapNone/>
                <wp:docPr id="43" name="Straight Arrow Connector 21"/>
                <wp:cNvGraphicFramePr/>
                <a:graphic xmlns:a="http://schemas.openxmlformats.org/drawingml/2006/main">
                  <a:graphicData uri="http://schemas.microsoft.com/office/word/2010/wordprocessingShape">
                    <wps:wsp>
                      <wps:cNvCnPr/>
                      <wps:spPr>
                        <a:xfrm flipV="1">
                          <a:off x="0" y="0"/>
                          <a:ext cx="914400" cy="114300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 w14:anchorId="25A1454E" id="Straight Arrow Connector 21" o:spid="_x0000_s1026" type="#_x0000_t32" style="position:absolute;margin-left:18pt;margin-top:94.85pt;width:1in;height:90pt;flip:y;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" strokecolor="red" strokeweight="1pt">
                <v:stroke endarrow="open" joinstyle="miter"/>
              </v:shape>
            </w:pict>
          </mc:Fallback>
        </mc:AlternateContent>
      </w:r>
      <w:r>
        <w:rPr>
          <w:noProof/>
          <w:lang w:eastAsia="fr-BE"/>
        </w:rPr>
        <mc:AlternateContent>
          <mc:Choice Requires="wps">
            <w:drawing>
              <wp:anchor distT="0" distB="0" distL="114300" distR="114300" simplePos="0" relativeHeight="251683840" behindDoc="0" locked="0" layoutInCell="1" allowOverlap="1" wp14:anchorId="5A198466" wp14:editId="1FF93431">
                <wp:simplePos x="0" y="0"/>
                <wp:positionH relativeFrom="column">
                  <wp:posOffset>2171700</wp:posOffset>
                </wp:positionH>
                <wp:positionV relativeFrom="paragraph">
                  <wp:posOffset>290195</wp:posOffset>
                </wp:positionV>
                <wp:extent cx="914400" cy="228600"/>
                <wp:effectExtent l="0" t="0" r="0" b="0"/>
                <wp:wrapSquare wrapText="bothSides"/>
                <wp:docPr id="44" name="Text Box 8"/>
                <wp:cNvGraphicFramePr/>
                <a:graphic xmlns:a="http://schemas.openxmlformats.org/drawingml/2006/main">
                  <a:graphicData uri="http://schemas.microsoft.com/office/word/2010/wordprocessingShape">
                    <wps:wsp>
                      <wps:cNvSpPr txBox="1"/>
                      <wps:spPr>
                        <a:xfrm>
                          <a:off x="0" y="0"/>
                          <a:ext cx="914400" cy="2286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DF91876" w14:textId="77777777" w:rsidR="00D36EC3" w:rsidRPr="00A90010" w:rsidRDefault="00D36EC3" w:rsidP="00E27FB8">
                            <w:pPr>
                              <w:rPr>
                                <w:sz w:val="20"/>
                                <w:szCs w:val="20"/>
                              </w:rPr>
                            </w:pPr>
                            <w:r w:rsidRPr="00A90010">
                              <w:rPr>
                                <w:sz w:val="20"/>
                                <w:szCs w:val="20"/>
                              </w:rPr>
                              <w:t>Effet direct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198466" id="Text Box 8" o:spid="_x0000_s1027" type="#_x0000_t202" style="position:absolute;left:0;text-align:left;margin-left:171pt;margin-top:22.85pt;width:1in;height:1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" filled="f" stroked="f">
                <v:textbox>
                  <w:txbxContent>
                    <w:p w14:paraId="6DF91876" w14:textId="77777777" w:rsidR="00D36EC3" w:rsidRPr="00A90010" w:rsidRDefault="00D36EC3" w:rsidP="00E27FB8">
                      <w:pPr>
                        <w:rPr>
                          <w:sz w:val="20"/>
                          <w:szCs w:val="20"/>
                        </w:rPr>
                      </w:pPr>
                      <w:r w:rsidRPr="00A90010">
                        <w:rPr>
                          <w:sz w:val="20"/>
                          <w:szCs w:val="20"/>
                        </w:rPr>
                        <w:t>Effet direct</w:t>
                      </w:r>
                    </w:p>
                  </w:txbxContent>
                </v:textbox>
                <w10:wrap type="square"/>
              </v:shape>
            </w:pict>
          </mc:Fallback>
        </mc:AlternateContent>
      </w:r>
      <w:r>
        <w:rPr>
          <w:noProof/>
          <w:lang w:eastAsia="fr-BE"/>
        </w:rPr>
        <mc:AlternateContent>
          <mc:Choice Requires="wps">
            <w:drawing>
              <wp:anchor distT="0" distB="0" distL="114300" distR="114300" simplePos="0" relativeHeight="251684864" behindDoc="0" locked="0" layoutInCell="1" allowOverlap="1" wp14:anchorId="36540E4C" wp14:editId="51B552EC">
                <wp:simplePos x="0" y="0"/>
                <wp:positionH relativeFrom="column">
                  <wp:posOffset>-228600</wp:posOffset>
                </wp:positionH>
                <wp:positionV relativeFrom="paragraph">
                  <wp:posOffset>290195</wp:posOffset>
                </wp:positionV>
                <wp:extent cx="914400" cy="228600"/>
                <wp:effectExtent l="0" t="0" r="0" b="0"/>
                <wp:wrapSquare wrapText="bothSides"/>
                <wp:docPr id="45" name="Text Box 9"/>
                <wp:cNvGraphicFramePr/>
                <a:graphic xmlns:a="http://schemas.openxmlformats.org/drawingml/2006/main">
                  <a:graphicData uri="http://schemas.microsoft.com/office/word/2010/wordprocessingShape">
                    <wps:wsp>
                      <wps:cNvSpPr txBox="1"/>
                      <wps:spPr>
                        <a:xfrm>
                          <a:off x="0" y="0"/>
                          <a:ext cx="914400" cy="2286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644FFB6" w14:textId="77777777" w:rsidR="00D36EC3" w:rsidRPr="00A90010" w:rsidRDefault="00D36EC3" w:rsidP="00E27FB8">
                            <w:pPr>
                              <w:rPr>
                                <w:sz w:val="20"/>
                                <w:szCs w:val="20"/>
                              </w:rPr>
                            </w:pPr>
                            <w:r w:rsidRPr="00A90010">
                              <w:rPr>
                                <w:sz w:val="20"/>
                                <w:szCs w:val="20"/>
                              </w:rPr>
                              <w:t>Effet direct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540E4C" id="Text Box 9" o:spid="_x0000_s1028" type="#_x0000_t202" style="position:absolute;left:0;text-align:left;margin-left:-18pt;margin-top:22.85pt;width:1in;height:1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" filled="f" stroked="f">
                <v:textbox>
                  <w:txbxContent>
                    <w:p w14:paraId="2644FFB6" w14:textId="77777777" w:rsidR="00D36EC3" w:rsidRPr="00A90010" w:rsidRDefault="00D36EC3" w:rsidP="00E27FB8">
                      <w:pPr>
                        <w:rPr>
                          <w:sz w:val="20"/>
                          <w:szCs w:val="20"/>
                        </w:rPr>
                      </w:pPr>
                      <w:r w:rsidRPr="00A90010">
                        <w:rPr>
                          <w:sz w:val="20"/>
                          <w:szCs w:val="20"/>
                        </w:rPr>
                        <w:t>Effet direct</w:t>
                      </w:r>
                    </w:p>
                  </w:txbxContent>
                </v:textbox>
                <w10:wrap type="square"/>
              </v:shape>
            </w:pict>
          </mc:Fallback>
        </mc:AlternateContent>
      </w:r>
      <w:r>
        <w:rPr>
          <w:noProof/>
          <w:lang w:eastAsia="fr-BE"/>
        </w:rPr>
        <w:drawing>
          <wp:anchor distT="0" distB="0" distL="114300" distR="114300" simplePos="0" relativeHeight="251682816" behindDoc="0" locked="0" layoutInCell="1" allowOverlap="1" wp14:anchorId="343B155B" wp14:editId="59AF13EE">
            <wp:simplePos x="0" y="0"/>
            <wp:positionH relativeFrom="column">
              <wp:posOffset>-571500</wp:posOffset>
            </wp:positionH>
            <wp:positionV relativeFrom="paragraph">
              <wp:posOffset>290195</wp:posOffset>
            </wp:positionV>
            <wp:extent cx="4457700" cy="4138930"/>
            <wp:effectExtent l="38100" t="0" r="19050" b="33020"/>
            <wp:wrapTopAndBottom/>
            <wp:docPr id="46"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margin">
              <wp14:pctWidth>0</wp14:pctWidth>
            </wp14:sizeRelH>
            <wp14:sizeRelV relativeFrom="margin">
              <wp14:pctHeight>0</wp14:pctHeight>
            </wp14:sizeRelV>
          </wp:anchor>
        </w:drawing>
      </w:r>
    </w:p>
    <w:p w14:paraId="2266E592" w14:textId="6081C79C" w:rsidR="00CF30D0" w:rsidRDefault="00CF30D0" w:rsidP="001E6D9A">
      <w:pPr>
        <w:tabs>
          <w:tab w:val="left" w:pos="7632"/>
        </w:tabs>
      </w:pPr>
    </w:p>
    <w:p w14:paraId="6DD3A700" w14:textId="2E8FCD58" w:rsidR="00CF30D0" w:rsidRDefault="00E27FB8" w:rsidP="001E6D9A">
      <w:pPr>
        <w:tabs>
          <w:tab w:val="left" w:pos="7632"/>
        </w:tabs>
      </w:pPr>
      <w:r>
        <w:t xml:space="preserve">Figure </w:t>
      </w:r>
      <w:r w:rsidR="00620661">
        <w:t>5</w:t>
      </w:r>
    </w:p>
    <w:p w14:paraId="43258D47" w14:textId="77777777" w:rsidR="00E761A9" w:rsidRDefault="00E761A9" w:rsidP="00E761A9">
      <w:r w:rsidRPr="007D08EB">
        <w:rPr>
          <w:noProof/>
          <w:lang w:eastAsia="fr-BE"/>
        </w:rPr>
        <w:lastRenderedPageBreak/>
        <mc:AlternateContent>
          <mc:Choice Requires="wps">
            <w:drawing>
              <wp:anchor distT="0" distB="0" distL="114300" distR="114300" simplePos="0" relativeHeight="251735040" behindDoc="0" locked="0" layoutInCell="1" allowOverlap="1" wp14:anchorId="12A9BD01" wp14:editId="14C48B89">
                <wp:simplePos x="0" y="0"/>
                <wp:positionH relativeFrom="column">
                  <wp:posOffset>2682306</wp:posOffset>
                </wp:positionH>
                <wp:positionV relativeFrom="paragraph">
                  <wp:posOffset>8066917</wp:posOffset>
                </wp:positionV>
                <wp:extent cx="1398895" cy="423545"/>
                <wp:effectExtent l="0" t="0" r="11430" b="14605"/>
                <wp:wrapNone/>
                <wp:docPr id="7" name="Rectangle : coins arrondis 46"/>
                <wp:cNvGraphicFramePr/>
                <a:graphic xmlns:a="http://schemas.openxmlformats.org/drawingml/2006/main">
                  <a:graphicData uri="http://schemas.microsoft.com/office/word/2010/wordprocessingShape">
                    <wps:wsp>
                      <wps:cNvSpPr/>
                      <wps:spPr>
                        <a:xfrm>
                          <a:off x="0" y="0"/>
                          <a:ext cx="1398895" cy="4235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658037" w14:textId="77777777" w:rsidR="00D36EC3" w:rsidRPr="003A7E8A" w:rsidRDefault="00D36EC3" w:rsidP="00E761A9">
                            <w:pPr>
                              <w:rPr>
                                <w:sz w:val="16"/>
                                <w:szCs w:val="16"/>
                              </w:rPr>
                            </w:pPr>
                            <w:r>
                              <w:rPr>
                                <w:sz w:val="16"/>
                                <w:szCs w:val="16"/>
                              </w:rPr>
                              <w:t>Chirurgie invasive : résection +/- reconstruction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A9BD01" id="Rectangle : coins arrondis 46" o:spid="_x0000_s1029" style="position:absolute;margin-left:211.2pt;margin-top:635.2pt;width:110.15pt;height:33.3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" fillcolor="#4472c4 [3204]" strokecolor="#1f3763 [1604]" strokeweight="1pt">
                <v:stroke joinstyle="miter"/>
                <v:textbox>
                  <w:txbxContent>
                    <w:p w14:paraId="4A658037" w14:textId="77777777" w:rsidR="00D36EC3" w:rsidRPr="003A7E8A" w:rsidRDefault="00D36EC3" w:rsidP="00E761A9">
                      <w:pPr>
                        <w:rPr>
                          <w:sz w:val="16"/>
                          <w:szCs w:val="16"/>
                        </w:rPr>
                      </w:pPr>
                      <w:r>
                        <w:rPr>
                          <w:sz w:val="16"/>
                          <w:szCs w:val="16"/>
                        </w:rPr>
                        <w:t>Chirurgie invasive : résection +/- reconstruction</w:t>
                      </w:r>
                    </w:p>
                  </w:txbxContent>
                </v:textbox>
              </v:roundrect>
            </w:pict>
          </mc:Fallback>
        </mc:AlternateContent>
      </w:r>
      <w:r>
        <w:rPr>
          <w:noProof/>
          <w:lang w:eastAsia="fr-BE"/>
        </w:rPr>
        <mc:AlternateContent>
          <mc:Choice Requires="wps">
            <w:drawing>
              <wp:anchor distT="0" distB="0" distL="114300" distR="114300" simplePos="0" relativeHeight="251739136" behindDoc="0" locked="0" layoutInCell="1" allowOverlap="1" wp14:anchorId="5329B4C6" wp14:editId="0208FE01">
                <wp:simplePos x="0" y="0"/>
                <wp:positionH relativeFrom="column">
                  <wp:posOffset>4525190</wp:posOffset>
                </wp:positionH>
                <wp:positionV relativeFrom="paragraph">
                  <wp:posOffset>7404869</wp:posOffset>
                </wp:positionV>
                <wp:extent cx="1823720" cy="552734"/>
                <wp:effectExtent l="0" t="0" r="24130" b="19050"/>
                <wp:wrapNone/>
                <wp:docPr id="53" name="Rectangle : coins arrondis 53"/>
                <wp:cNvGraphicFramePr/>
                <a:graphic xmlns:a="http://schemas.openxmlformats.org/drawingml/2006/main">
                  <a:graphicData uri="http://schemas.microsoft.com/office/word/2010/wordprocessingShape">
                    <wps:wsp>
                      <wps:cNvSpPr/>
                      <wps:spPr>
                        <a:xfrm>
                          <a:off x="0" y="0"/>
                          <a:ext cx="1823720" cy="55273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B5CAD6" w14:textId="77777777" w:rsidR="00D36EC3" w:rsidRPr="003A7E8A" w:rsidRDefault="00D36EC3" w:rsidP="00E761A9">
                            <w:pPr>
                              <w:rPr>
                                <w:sz w:val="16"/>
                                <w:szCs w:val="16"/>
                              </w:rPr>
                            </w:pPr>
                            <w:r>
                              <w:rPr>
                                <w:sz w:val="16"/>
                                <w:szCs w:val="16"/>
                              </w:rPr>
                              <w:t xml:space="preserve">Contre-indication à une chirurgie invasive : mesures alternatives (OHB, </w:t>
                            </w:r>
                            <w:r>
                              <w:rPr>
                                <w:sz w:val="16"/>
                                <w:szCs w:val="16"/>
                              </w:rPr>
                              <w:t>PenToClo, corticoïdes, LLLT,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29B4C6" id="Rectangle : coins arrondis 53" o:spid="_x0000_s1030" style="position:absolute;margin-left:356.3pt;margin-top:583.05pt;width:143.6pt;height:43.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" fillcolor="#4472c4 [3204]" strokecolor="#1f3763 [1604]" strokeweight="1pt">
                <v:stroke joinstyle="miter"/>
                <v:textbox>
                  <w:txbxContent>
                    <w:p w14:paraId="6EB5CAD6" w14:textId="77777777" w:rsidR="00D36EC3" w:rsidRPr="003A7E8A" w:rsidRDefault="00D36EC3" w:rsidP="00E761A9">
                      <w:pPr>
                        <w:rPr>
                          <w:sz w:val="16"/>
                          <w:szCs w:val="16"/>
                        </w:rPr>
                      </w:pPr>
                      <w:r>
                        <w:rPr>
                          <w:sz w:val="16"/>
                          <w:szCs w:val="16"/>
                        </w:rPr>
                        <w:t xml:space="preserve">Contre-indication à une chirurgie invasive : mesures alternatives (OHB, </w:t>
                      </w:r>
                      <w:proofErr w:type="spellStart"/>
                      <w:r>
                        <w:rPr>
                          <w:sz w:val="16"/>
                          <w:szCs w:val="16"/>
                        </w:rPr>
                        <w:t>PenToClo</w:t>
                      </w:r>
                      <w:proofErr w:type="spellEnd"/>
                      <w:r>
                        <w:rPr>
                          <w:sz w:val="16"/>
                          <w:szCs w:val="16"/>
                        </w:rPr>
                        <w:t>, corticoïdes, LLLT, …)</w:t>
                      </w:r>
                    </w:p>
                  </w:txbxContent>
                </v:textbox>
              </v:roundrect>
            </w:pict>
          </mc:Fallback>
        </mc:AlternateContent>
      </w:r>
      <w:r>
        <w:rPr>
          <w:noProof/>
          <w:lang w:eastAsia="fr-BE"/>
        </w:rPr>
        <mc:AlternateContent>
          <mc:Choice Requires="wps">
            <w:drawing>
              <wp:anchor distT="0" distB="0" distL="114300" distR="114300" simplePos="0" relativeHeight="251752448" behindDoc="0" locked="0" layoutInCell="1" allowOverlap="1" wp14:anchorId="2E051952" wp14:editId="14A93809">
                <wp:simplePos x="0" y="0"/>
                <wp:positionH relativeFrom="column">
                  <wp:posOffset>2662340</wp:posOffset>
                </wp:positionH>
                <wp:positionV relativeFrom="paragraph">
                  <wp:posOffset>4442588</wp:posOffset>
                </wp:positionV>
                <wp:extent cx="253001" cy="320311"/>
                <wp:effectExtent l="38100" t="19050" r="33020" b="41910"/>
                <wp:wrapNone/>
                <wp:docPr id="8" name="Connecteur droit avec flèche 8"/>
                <wp:cNvGraphicFramePr/>
                <a:graphic xmlns:a="http://schemas.openxmlformats.org/drawingml/2006/main">
                  <a:graphicData uri="http://schemas.microsoft.com/office/word/2010/wordprocessingShape">
                    <wps:wsp>
                      <wps:cNvCnPr/>
                      <wps:spPr>
                        <a:xfrm flipH="1">
                          <a:off x="0" y="0"/>
                          <a:ext cx="253001" cy="320311"/>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E01F4C" id="Connecteur droit avec flèche 8" o:spid="_x0000_s1026" type="#_x0000_t32" style="position:absolute;margin-left:209.65pt;margin-top:349.8pt;width:19.9pt;height:25.2pt;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50400" behindDoc="0" locked="0" layoutInCell="1" allowOverlap="1" wp14:anchorId="3AD76233" wp14:editId="73DF0974">
                <wp:simplePos x="0" y="0"/>
                <wp:positionH relativeFrom="column">
                  <wp:posOffset>5517265</wp:posOffset>
                </wp:positionH>
                <wp:positionV relativeFrom="paragraph">
                  <wp:posOffset>4443095</wp:posOffset>
                </wp:positionV>
                <wp:extent cx="0" cy="2951480"/>
                <wp:effectExtent l="19050" t="0" r="19050" b="20320"/>
                <wp:wrapNone/>
                <wp:docPr id="9" name="Connecteur droit 9"/>
                <wp:cNvGraphicFramePr/>
                <a:graphic xmlns:a="http://schemas.openxmlformats.org/drawingml/2006/main">
                  <a:graphicData uri="http://schemas.microsoft.com/office/word/2010/wordprocessingShape">
                    <wps:wsp>
                      <wps:cNvCnPr/>
                      <wps:spPr>
                        <a:xfrm>
                          <a:off x="0" y="0"/>
                          <a:ext cx="0" cy="2951480"/>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14:sizeRelV relativeFrom="margin">
                  <wp14:pctHeight>0</wp14:pctHeight>
                </wp14:sizeRelV>
              </wp:anchor>
            </w:drawing>
          </mc:Choice>
          <mc:Fallback>
            <w:pict>
              <v:line w14:anchorId="2D5365C4" id="Connecteur droit 9" o:spid="_x0000_s1026" style="position:absolute;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34.45pt,349.85pt" to="434.45pt,58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51424" behindDoc="0" locked="0" layoutInCell="1" allowOverlap="1" wp14:anchorId="4E7A998E" wp14:editId="5061C483">
                <wp:simplePos x="0" y="0"/>
                <wp:positionH relativeFrom="column">
                  <wp:posOffset>2898482</wp:posOffset>
                </wp:positionH>
                <wp:positionV relativeFrom="paragraph">
                  <wp:posOffset>4447149</wp:posOffset>
                </wp:positionV>
                <wp:extent cx="2639158" cy="0"/>
                <wp:effectExtent l="19050" t="19050" r="8890" b="19050"/>
                <wp:wrapNone/>
                <wp:docPr id="10" name="Connecteur droit 10"/>
                <wp:cNvGraphicFramePr/>
                <a:graphic xmlns:a="http://schemas.openxmlformats.org/drawingml/2006/main">
                  <a:graphicData uri="http://schemas.microsoft.com/office/word/2010/wordprocessingShape">
                    <wps:wsp>
                      <wps:cNvCnPr/>
                      <wps:spPr>
                        <a:xfrm flipH="1">
                          <a:off x="0" y="0"/>
                          <a:ext cx="2639158" cy="0"/>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4952B941" id="Connecteur droit 10" o:spid="_x0000_s1026" style="position:absolute;flip:x;z-index:251751424;visibility:visible;mso-wrap-style:square;mso-wrap-distance-left:9pt;mso-wrap-distance-top:0;mso-wrap-distance-right:9pt;mso-wrap-distance-bottom:0;mso-position-horizontal:absolute;mso-position-horizontal-relative:text;mso-position-vertical:absolute;mso-position-vertical-relative:text" from="228.25pt,350.15pt" to="436.05pt,35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44256" behindDoc="0" locked="0" layoutInCell="1" allowOverlap="1" wp14:anchorId="51BCACF5" wp14:editId="4E4404E6">
                <wp:simplePos x="0" y="0"/>
                <wp:positionH relativeFrom="column">
                  <wp:posOffset>4222115</wp:posOffset>
                </wp:positionH>
                <wp:positionV relativeFrom="paragraph">
                  <wp:posOffset>4763868</wp:posOffset>
                </wp:positionV>
                <wp:extent cx="1010264" cy="262978"/>
                <wp:effectExtent l="0" t="0" r="19050" b="22860"/>
                <wp:wrapNone/>
                <wp:docPr id="16" name="Rectangle : coins arrondis 16"/>
                <wp:cNvGraphicFramePr/>
                <a:graphic xmlns:a="http://schemas.openxmlformats.org/drawingml/2006/main">
                  <a:graphicData uri="http://schemas.microsoft.com/office/word/2010/wordprocessingShape">
                    <wps:wsp>
                      <wps:cNvSpPr/>
                      <wps:spPr>
                        <a:xfrm>
                          <a:off x="0" y="0"/>
                          <a:ext cx="1010264" cy="262978"/>
                        </a:xfrm>
                        <a:prstGeom prst="roundRect">
                          <a:avLst/>
                        </a:prstGeom>
                        <a:solidFill>
                          <a:schemeClr val="accent1">
                            <a:lumMod val="60000"/>
                            <a:lumOff val="40000"/>
                          </a:schemeClr>
                        </a:solidFill>
                      </wps:spPr>
                      <wps:style>
                        <a:lnRef idx="2">
                          <a:schemeClr val="accent6">
                            <a:shade val="50000"/>
                          </a:schemeClr>
                        </a:lnRef>
                        <a:fillRef idx="1">
                          <a:schemeClr val="accent6"/>
                        </a:fillRef>
                        <a:effectRef idx="0">
                          <a:schemeClr val="accent6"/>
                        </a:effectRef>
                        <a:fontRef idx="minor">
                          <a:schemeClr val="lt1"/>
                        </a:fontRef>
                      </wps:style>
                      <wps:txbx>
                        <w:txbxContent>
                          <w:p w14:paraId="7FDD8BBB" w14:textId="77777777" w:rsidR="00D36EC3" w:rsidRPr="00040913" w:rsidRDefault="00D36EC3" w:rsidP="00E761A9">
                            <w:pPr>
                              <w:jc w:val="center"/>
                              <w:rPr>
                                <w:sz w:val="16"/>
                                <w:szCs w:val="16"/>
                              </w:rPr>
                            </w:pPr>
                            <w:r>
                              <w:rPr>
                                <w:sz w:val="16"/>
                                <w:szCs w:val="16"/>
                              </w:rPr>
                              <w:t>Cellules souches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BCACF5" id="Rectangle : coins arrondis 16" o:spid="_x0000_s1031" style="position:absolute;margin-left:332.45pt;margin-top:375.1pt;width:79.55pt;height:20.7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" fillcolor="#8eaadb [1940]" strokecolor="#375623 [1609]" strokeweight="1pt">
                <v:stroke joinstyle="miter"/>
                <v:textbox>
                  <w:txbxContent>
                    <w:p w14:paraId="7FDD8BBB" w14:textId="77777777" w:rsidR="00D36EC3" w:rsidRPr="00040913" w:rsidRDefault="00D36EC3" w:rsidP="00E761A9">
                      <w:pPr>
                        <w:jc w:val="center"/>
                        <w:rPr>
                          <w:sz w:val="16"/>
                          <w:szCs w:val="16"/>
                        </w:rPr>
                      </w:pPr>
                      <w:r>
                        <w:rPr>
                          <w:sz w:val="16"/>
                          <w:szCs w:val="16"/>
                        </w:rPr>
                        <w:t>Cellules souches ?</w:t>
                      </w:r>
                    </w:p>
                  </w:txbxContent>
                </v:textbox>
              </v:roundrect>
            </w:pict>
          </mc:Fallback>
        </mc:AlternateContent>
      </w:r>
      <w:r>
        <w:rPr>
          <w:noProof/>
          <w:lang w:eastAsia="fr-BE"/>
        </w:rPr>
        <mc:AlternateContent>
          <mc:Choice Requires="wps">
            <w:drawing>
              <wp:anchor distT="0" distB="0" distL="114300" distR="114300" simplePos="0" relativeHeight="251743232" behindDoc="0" locked="0" layoutInCell="1" allowOverlap="1" wp14:anchorId="227CD9DA" wp14:editId="2ABE420F">
                <wp:simplePos x="0" y="0"/>
                <wp:positionH relativeFrom="column">
                  <wp:posOffset>2830146</wp:posOffset>
                </wp:positionH>
                <wp:positionV relativeFrom="paragraph">
                  <wp:posOffset>4885152</wp:posOffset>
                </wp:positionV>
                <wp:extent cx="1395116" cy="0"/>
                <wp:effectExtent l="0" t="95250" r="0" b="95250"/>
                <wp:wrapNone/>
                <wp:docPr id="15" name="Connecteur droit avec flèche 15"/>
                <wp:cNvGraphicFramePr/>
                <a:graphic xmlns:a="http://schemas.openxmlformats.org/drawingml/2006/main">
                  <a:graphicData uri="http://schemas.microsoft.com/office/word/2010/wordprocessingShape">
                    <wps:wsp>
                      <wps:cNvCnPr/>
                      <wps:spPr>
                        <a:xfrm>
                          <a:off x="0" y="0"/>
                          <a:ext cx="1395116" cy="0"/>
                        </a:xfrm>
                        <a:prstGeom prst="straightConnector1">
                          <a:avLst/>
                        </a:prstGeom>
                        <a:ln w="38100">
                          <a:prstDash val="sysDot"/>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5F010D" id="Connecteur droit avec flèche 15" o:spid="_x0000_s1026" type="#_x0000_t32" style="position:absolute;margin-left:222.85pt;margin-top:384.65pt;width:109.85pt;height:0;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" strokecolor="#ed7d31 [3205]" strokeweight="3pt">
                <v:stroke dashstyle="1 1" endarrow="block" joinstyle="miter"/>
              </v:shape>
            </w:pict>
          </mc:Fallback>
        </mc:AlternateContent>
      </w:r>
      <w:r>
        <w:rPr>
          <w:noProof/>
          <w:lang w:eastAsia="fr-BE"/>
        </w:rPr>
        <mc:AlternateContent>
          <mc:Choice Requires="wps">
            <w:drawing>
              <wp:anchor distT="0" distB="0" distL="114300" distR="114300" simplePos="0" relativeHeight="251719680" behindDoc="0" locked="0" layoutInCell="1" allowOverlap="1" wp14:anchorId="5FF90653" wp14:editId="6F7485ED">
                <wp:simplePos x="0" y="0"/>
                <wp:positionH relativeFrom="column">
                  <wp:posOffset>2283020</wp:posOffset>
                </wp:positionH>
                <wp:positionV relativeFrom="paragraph">
                  <wp:posOffset>4772465</wp:posOffset>
                </wp:positionV>
                <wp:extent cx="525097" cy="233045"/>
                <wp:effectExtent l="0" t="0" r="27940" b="14605"/>
                <wp:wrapNone/>
                <wp:docPr id="11" name="Rectangle : coins arrondis 6"/>
                <wp:cNvGraphicFramePr/>
                <a:graphic xmlns:a="http://schemas.openxmlformats.org/drawingml/2006/main">
                  <a:graphicData uri="http://schemas.microsoft.com/office/word/2010/wordprocessingShape">
                    <wps:wsp>
                      <wps:cNvSpPr/>
                      <wps:spPr>
                        <a:xfrm>
                          <a:off x="0" y="0"/>
                          <a:ext cx="525097" cy="2330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FDEF90" w14:textId="77777777" w:rsidR="00D36EC3" w:rsidRPr="00040913" w:rsidRDefault="00D36EC3" w:rsidP="00E761A9">
                            <w:pPr>
                              <w:jc w:val="center"/>
                              <w:rPr>
                                <w:sz w:val="16"/>
                                <w:szCs w:val="16"/>
                              </w:rPr>
                            </w:pPr>
                            <w:r>
                              <w:rPr>
                                <w:sz w:val="16"/>
                                <w:szCs w:val="16"/>
                              </w:rPr>
                              <w:t>ORN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F90653" id="Rectangle : coins arrondis 6" o:spid="_x0000_s1032" style="position:absolute;margin-left:179.75pt;margin-top:375.8pt;width:41.35pt;height:18.3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" fillcolor="#4472c4 [3204]" strokecolor="#1f3763 [1604]" strokeweight="1pt">
                <v:stroke joinstyle="miter"/>
                <v:textbox>
                  <w:txbxContent>
                    <w:p w14:paraId="3AFDEF90" w14:textId="77777777" w:rsidR="00D36EC3" w:rsidRPr="00040913" w:rsidRDefault="00D36EC3" w:rsidP="00E761A9">
                      <w:pPr>
                        <w:jc w:val="center"/>
                        <w:rPr>
                          <w:sz w:val="16"/>
                          <w:szCs w:val="16"/>
                        </w:rPr>
                      </w:pPr>
                      <w:r>
                        <w:rPr>
                          <w:sz w:val="16"/>
                          <w:szCs w:val="16"/>
                        </w:rPr>
                        <w:t>ORN</w:t>
                      </w:r>
                    </w:p>
                  </w:txbxContent>
                </v:textbox>
              </v:roundrect>
            </w:pict>
          </mc:Fallback>
        </mc:AlternateContent>
      </w:r>
      <w:r>
        <w:rPr>
          <w:noProof/>
          <w:lang w:eastAsia="fr-BE"/>
        </w:rPr>
        <mc:AlternateContent>
          <mc:Choice Requires="wps">
            <w:drawing>
              <wp:anchor distT="0" distB="0" distL="114300" distR="114300" simplePos="0" relativeHeight="251749376" behindDoc="0" locked="0" layoutInCell="1" allowOverlap="1" wp14:anchorId="6442C4E4" wp14:editId="708838F7">
                <wp:simplePos x="0" y="0"/>
                <wp:positionH relativeFrom="column">
                  <wp:posOffset>2220056</wp:posOffset>
                </wp:positionH>
                <wp:positionV relativeFrom="paragraph">
                  <wp:posOffset>7820025</wp:posOffset>
                </wp:positionV>
                <wp:extent cx="403225" cy="0"/>
                <wp:effectExtent l="0" t="95250" r="0" b="95250"/>
                <wp:wrapNone/>
                <wp:docPr id="12" name="Connecteur droit avec flèche 12"/>
                <wp:cNvGraphicFramePr/>
                <a:graphic xmlns:a="http://schemas.openxmlformats.org/drawingml/2006/main">
                  <a:graphicData uri="http://schemas.microsoft.com/office/word/2010/wordprocessingShape">
                    <wps:wsp>
                      <wps:cNvCnPr/>
                      <wps:spPr>
                        <a:xfrm>
                          <a:off x="0" y="0"/>
                          <a:ext cx="403225" cy="0"/>
                        </a:xfrm>
                        <a:prstGeom prst="straightConnector1">
                          <a:avLst/>
                        </a:prstGeom>
                        <a:ln w="3810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407C90" id="Connecteur droit avec flèche 12" o:spid="_x0000_s1026" type="#_x0000_t32" style="position:absolute;margin-left:174.8pt;margin-top:615.75pt;width:31.75pt;height:0;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48352" behindDoc="0" locked="0" layoutInCell="1" allowOverlap="1" wp14:anchorId="34FE4947" wp14:editId="1A4DF1DA">
                <wp:simplePos x="0" y="0"/>
                <wp:positionH relativeFrom="column">
                  <wp:posOffset>2218055</wp:posOffset>
                </wp:positionH>
                <wp:positionV relativeFrom="paragraph">
                  <wp:posOffset>7802976</wp:posOffset>
                </wp:positionV>
                <wp:extent cx="0" cy="777294"/>
                <wp:effectExtent l="19050" t="0" r="19050" b="22860"/>
                <wp:wrapNone/>
                <wp:docPr id="13" name="Connecteur droit 13"/>
                <wp:cNvGraphicFramePr/>
                <a:graphic xmlns:a="http://schemas.openxmlformats.org/drawingml/2006/main">
                  <a:graphicData uri="http://schemas.microsoft.com/office/word/2010/wordprocessingShape">
                    <wps:wsp>
                      <wps:cNvCnPr/>
                      <wps:spPr>
                        <a:xfrm>
                          <a:off x="0" y="0"/>
                          <a:ext cx="0" cy="777294"/>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0CC56E" id="Connecteur droit 13"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4.65pt,614.4pt" to="174.65pt,67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46304" behindDoc="0" locked="0" layoutInCell="1" allowOverlap="1" wp14:anchorId="3B43EF7E" wp14:editId="38479090">
                <wp:simplePos x="0" y="0"/>
                <wp:positionH relativeFrom="column">
                  <wp:posOffset>3378835</wp:posOffset>
                </wp:positionH>
                <wp:positionV relativeFrom="paragraph">
                  <wp:posOffset>8488680</wp:posOffset>
                </wp:positionV>
                <wp:extent cx="0" cy="110490"/>
                <wp:effectExtent l="19050" t="0" r="19050" b="22860"/>
                <wp:wrapNone/>
                <wp:docPr id="24" name="Connecteur droit 24"/>
                <wp:cNvGraphicFramePr/>
                <a:graphic xmlns:a="http://schemas.openxmlformats.org/drawingml/2006/main">
                  <a:graphicData uri="http://schemas.microsoft.com/office/word/2010/wordprocessingShape">
                    <wps:wsp>
                      <wps:cNvCnPr/>
                      <wps:spPr>
                        <a:xfrm>
                          <a:off x="0" y="0"/>
                          <a:ext cx="0" cy="110490"/>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230E34" id="Connecteur droit 24"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05pt,668.4pt" to="266.05pt,67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45280" behindDoc="0" locked="0" layoutInCell="1" allowOverlap="1" wp14:anchorId="2C81AB59" wp14:editId="0597304E">
                <wp:simplePos x="0" y="0"/>
                <wp:positionH relativeFrom="column">
                  <wp:posOffset>-415925</wp:posOffset>
                </wp:positionH>
                <wp:positionV relativeFrom="paragraph">
                  <wp:posOffset>8580755</wp:posOffset>
                </wp:positionV>
                <wp:extent cx="3784600" cy="0"/>
                <wp:effectExtent l="0" t="19050" r="25400" b="19050"/>
                <wp:wrapNone/>
                <wp:docPr id="23" name="Connecteur droit 23"/>
                <wp:cNvGraphicFramePr/>
                <a:graphic xmlns:a="http://schemas.openxmlformats.org/drawingml/2006/main">
                  <a:graphicData uri="http://schemas.microsoft.com/office/word/2010/wordprocessingShape">
                    <wps:wsp>
                      <wps:cNvCnPr/>
                      <wps:spPr>
                        <a:xfrm>
                          <a:off x="0" y="0"/>
                          <a:ext cx="3784600" cy="0"/>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7FCED796" id="Connecteur droit 23" o:spid="_x0000_s1026" style="position:absolute;z-index:251745280;visibility:visible;mso-wrap-style:square;mso-wrap-distance-left:9pt;mso-wrap-distance-top:0;mso-wrap-distance-right:9pt;mso-wrap-distance-bottom:0;mso-position-horizontal:absolute;mso-position-horizontal-relative:text;mso-position-vertical:absolute;mso-position-vertical-relative:text" from="-32.75pt,675.65pt" to="265.25pt,67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47328" behindDoc="0" locked="0" layoutInCell="1" allowOverlap="1" wp14:anchorId="1424D1F1" wp14:editId="6396C777">
                <wp:simplePos x="0" y="0"/>
                <wp:positionH relativeFrom="column">
                  <wp:posOffset>-396875</wp:posOffset>
                </wp:positionH>
                <wp:positionV relativeFrom="paragraph">
                  <wp:posOffset>7367270</wp:posOffset>
                </wp:positionV>
                <wp:extent cx="0" cy="1213485"/>
                <wp:effectExtent l="19050" t="0" r="19050" b="24765"/>
                <wp:wrapNone/>
                <wp:docPr id="25" name="Connecteur droit 25"/>
                <wp:cNvGraphicFramePr/>
                <a:graphic xmlns:a="http://schemas.openxmlformats.org/drawingml/2006/main">
                  <a:graphicData uri="http://schemas.microsoft.com/office/word/2010/wordprocessingShape">
                    <wps:wsp>
                      <wps:cNvCnPr/>
                      <wps:spPr>
                        <a:xfrm>
                          <a:off x="0" y="0"/>
                          <a:ext cx="0" cy="1213485"/>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5992DB5F" id="Connecteur droit 25" o:spid="_x0000_s1026" style="position:absolute;z-index:251747328;visibility:visible;mso-wrap-style:square;mso-wrap-distance-left:9pt;mso-wrap-distance-top:0;mso-wrap-distance-right:9pt;mso-wrap-distance-bottom:0;mso-position-horizontal:absolute;mso-position-horizontal-relative:text;mso-position-vertical:absolute;mso-position-vertical-relative:text" from="-31.25pt,580.1pt" to="-31.25pt,67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26848" behindDoc="0" locked="0" layoutInCell="1" allowOverlap="1" wp14:anchorId="2A6F13EC" wp14:editId="025C0999">
                <wp:simplePos x="0" y="0"/>
                <wp:positionH relativeFrom="column">
                  <wp:posOffset>1626216</wp:posOffset>
                </wp:positionH>
                <wp:positionV relativeFrom="paragraph">
                  <wp:posOffset>6504095</wp:posOffset>
                </wp:positionV>
                <wp:extent cx="91440" cy="161974"/>
                <wp:effectExtent l="38100" t="19050" r="41910" b="47625"/>
                <wp:wrapNone/>
                <wp:docPr id="14" name="Connecteur droit avec flèche 14"/>
                <wp:cNvGraphicFramePr/>
                <a:graphic xmlns:a="http://schemas.openxmlformats.org/drawingml/2006/main">
                  <a:graphicData uri="http://schemas.microsoft.com/office/word/2010/wordprocessingShape">
                    <wps:wsp>
                      <wps:cNvCnPr/>
                      <wps:spPr>
                        <a:xfrm flipH="1">
                          <a:off x="0" y="0"/>
                          <a:ext cx="91440" cy="161974"/>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E866590" id="Connecteur droit avec flèche 14" o:spid="_x0000_s1026" type="#_x0000_t32" style="position:absolute;margin-left:128.05pt;margin-top:512.15pt;width:7.2pt;height:12.75pt;flip:x;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15584" behindDoc="0" locked="0" layoutInCell="1" allowOverlap="1" wp14:anchorId="1FE8E34A" wp14:editId="446443E9">
                <wp:simplePos x="0" y="0"/>
                <wp:positionH relativeFrom="column">
                  <wp:posOffset>306070</wp:posOffset>
                </wp:positionH>
                <wp:positionV relativeFrom="paragraph">
                  <wp:posOffset>6664325</wp:posOffset>
                </wp:positionV>
                <wp:extent cx="1569720" cy="266700"/>
                <wp:effectExtent l="0" t="0" r="11430" b="19050"/>
                <wp:wrapNone/>
                <wp:docPr id="17" name="Rectangle : coins arrondis 10"/>
                <wp:cNvGraphicFramePr/>
                <a:graphic xmlns:a="http://schemas.openxmlformats.org/drawingml/2006/main">
                  <a:graphicData uri="http://schemas.microsoft.com/office/word/2010/wordprocessingShape">
                    <wps:wsp>
                      <wps:cNvSpPr/>
                      <wps:spPr>
                        <a:xfrm>
                          <a:off x="0" y="0"/>
                          <a:ext cx="1569720" cy="2667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696D1F" w14:textId="77777777" w:rsidR="00D36EC3" w:rsidRPr="00040913" w:rsidRDefault="00D36EC3" w:rsidP="00E761A9">
                            <w:pPr>
                              <w:jc w:val="center"/>
                              <w:rPr>
                                <w:sz w:val="16"/>
                                <w:szCs w:val="16"/>
                              </w:rPr>
                            </w:pPr>
                            <w:r>
                              <w:rPr>
                                <w:sz w:val="16"/>
                                <w:szCs w:val="16"/>
                              </w:rPr>
                              <w:t>ORN asymptomatique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E8E34A" id="Rectangle : coins arrondis 10" o:spid="_x0000_s1033" style="position:absolute;margin-left:24.1pt;margin-top:524.75pt;width:123.6pt;height:21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" fillcolor="#4472c4 [3204]" strokecolor="#1f3763 [1604]" strokeweight="1pt">
                <v:stroke joinstyle="miter"/>
                <v:textbox>
                  <w:txbxContent>
                    <w:p w14:paraId="2B696D1F" w14:textId="77777777" w:rsidR="00D36EC3" w:rsidRPr="00040913" w:rsidRDefault="00D36EC3" w:rsidP="00E761A9">
                      <w:pPr>
                        <w:jc w:val="center"/>
                        <w:rPr>
                          <w:sz w:val="16"/>
                          <w:szCs w:val="16"/>
                        </w:rPr>
                      </w:pPr>
                      <w:r>
                        <w:rPr>
                          <w:sz w:val="16"/>
                          <w:szCs w:val="16"/>
                        </w:rPr>
                        <w:t>ORN asymptomatique</w:t>
                      </w:r>
                    </w:p>
                  </w:txbxContent>
                </v:textbox>
              </v:roundrect>
            </w:pict>
          </mc:Fallback>
        </mc:AlternateContent>
      </w:r>
      <w:r>
        <w:rPr>
          <w:noProof/>
          <w:lang w:eastAsia="fr-BE"/>
        </w:rPr>
        <mc:AlternateContent>
          <mc:Choice Requires="wps">
            <w:drawing>
              <wp:anchor distT="0" distB="0" distL="114300" distR="114300" simplePos="0" relativeHeight="251713536" behindDoc="0" locked="0" layoutInCell="1" allowOverlap="1" wp14:anchorId="558E0AB3" wp14:editId="453D52B0">
                <wp:simplePos x="0" y="0"/>
                <wp:positionH relativeFrom="column">
                  <wp:posOffset>2143444</wp:posOffset>
                </wp:positionH>
                <wp:positionV relativeFrom="paragraph">
                  <wp:posOffset>4169093</wp:posOffset>
                </wp:positionV>
                <wp:extent cx="328930" cy="608965"/>
                <wp:effectExtent l="19050" t="19050" r="71120" b="38735"/>
                <wp:wrapNone/>
                <wp:docPr id="18" name="Connecteur droit avec flèche 18"/>
                <wp:cNvGraphicFramePr/>
                <a:graphic xmlns:a="http://schemas.openxmlformats.org/drawingml/2006/main">
                  <a:graphicData uri="http://schemas.microsoft.com/office/word/2010/wordprocessingShape">
                    <wps:wsp>
                      <wps:cNvCnPr/>
                      <wps:spPr>
                        <a:xfrm>
                          <a:off x="0" y="0"/>
                          <a:ext cx="328930" cy="608965"/>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B04A74C" id="Connecteur droit avec flèche 18" o:spid="_x0000_s1026" type="#_x0000_t32" style="position:absolute;margin-left:168.8pt;margin-top:328.3pt;width:25.9pt;height:47.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12512" behindDoc="0" locked="0" layoutInCell="1" allowOverlap="1" wp14:anchorId="5C9A05B9" wp14:editId="1BDA779B">
                <wp:simplePos x="0" y="0"/>
                <wp:positionH relativeFrom="column">
                  <wp:posOffset>1652904</wp:posOffset>
                </wp:positionH>
                <wp:positionV relativeFrom="paragraph">
                  <wp:posOffset>4168775</wp:posOffset>
                </wp:positionV>
                <wp:extent cx="347663" cy="604520"/>
                <wp:effectExtent l="38100" t="19050" r="33655" b="43180"/>
                <wp:wrapNone/>
                <wp:docPr id="21" name="Connecteur droit avec flèche 21"/>
                <wp:cNvGraphicFramePr/>
                <a:graphic xmlns:a="http://schemas.openxmlformats.org/drawingml/2006/main">
                  <a:graphicData uri="http://schemas.microsoft.com/office/word/2010/wordprocessingShape">
                    <wps:wsp>
                      <wps:cNvCnPr/>
                      <wps:spPr>
                        <a:xfrm flipH="1">
                          <a:off x="0" y="0"/>
                          <a:ext cx="347663" cy="604520"/>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EEEC20" id="Connecteur droit avec flèche 21" o:spid="_x0000_s1026" type="#_x0000_t32" style="position:absolute;margin-left:130.15pt;margin-top:328.25pt;width:27.4pt;height:47.6pt;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14560" behindDoc="0" locked="0" layoutInCell="1" allowOverlap="1" wp14:anchorId="272B3047" wp14:editId="3EE7EBC2">
                <wp:simplePos x="0" y="0"/>
                <wp:positionH relativeFrom="column">
                  <wp:posOffset>-13970</wp:posOffset>
                </wp:positionH>
                <wp:positionV relativeFrom="paragraph">
                  <wp:posOffset>2621280</wp:posOffset>
                </wp:positionV>
                <wp:extent cx="6289675" cy="1547813"/>
                <wp:effectExtent l="0" t="0" r="15875" b="14605"/>
                <wp:wrapNone/>
                <wp:docPr id="19" name="Rectangle : coins arrondis 3"/>
                <wp:cNvGraphicFramePr/>
                <a:graphic xmlns:a="http://schemas.openxmlformats.org/drawingml/2006/main">
                  <a:graphicData uri="http://schemas.microsoft.com/office/word/2010/wordprocessingShape">
                    <wps:wsp>
                      <wps:cNvSpPr/>
                      <wps:spPr>
                        <a:xfrm>
                          <a:off x="0" y="0"/>
                          <a:ext cx="6289675" cy="154781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6493D58" w14:textId="77777777" w:rsidR="00D36EC3" w:rsidRDefault="00D36EC3" w:rsidP="00E761A9">
                            <w:pPr>
                              <w:rPr>
                                <w:sz w:val="16"/>
                                <w:szCs w:val="16"/>
                              </w:rPr>
                            </w:pPr>
                            <w:r>
                              <w:rPr>
                                <w:sz w:val="16"/>
                                <w:szCs w:val="16"/>
                              </w:rPr>
                              <w:t>MESURES POST-RADIOTHÉRAPIE</w:t>
                            </w:r>
                          </w:p>
                          <w:p w14:paraId="02C32B52" w14:textId="77777777" w:rsidR="00D36EC3" w:rsidRDefault="00D36EC3" w:rsidP="00E761A9">
                            <w:pPr>
                              <w:pStyle w:val="Paragraphedeliste"/>
                              <w:numPr>
                                <w:ilvl w:val="0"/>
                                <w:numId w:val="25"/>
                              </w:numPr>
                              <w:rPr>
                                <w:sz w:val="16"/>
                                <w:szCs w:val="16"/>
                              </w:rPr>
                            </w:pPr>
                            <w:r w:rsidRPr="00CF45B5">
                              <w:rPr>
                                <w:sz w:val="16"/>
                                <w:szCs w:val="16"/>
                                <w:u w:val="single"/>
                              </w:rPr>
                              <w:t>Patient</w:t>
                            </w:r>
                            <w:r>
                              <w:rPr>
                                <w:sz w:val="16"/>
                                <w:szCs w:val="16"/>
                              </w:rPr>
                              <w:t xml:space="preserve"> : minimiser facteurs de risque, port de gouttières de fluoration, </w:t>
                            </w:r>
                            <w:r>
                              <w:rPr>
                                <w:sz w:val="16"/>
                                <w:szCs w:val="16"/>
                              </w:rPr>
                              <w:t>auto-surveillance du poids et des symptômes, consultation rapide en cas de doute</w:t>
                            </w:r>
                          </w:p>
                          <w:p w14:paraId="14618DCE" w14:textId="77777777" w:rsidR="00D36EC3" w:rsidRDefault="00D36EC3" w:rsidP="00E761A9">
                            <w:pPr>
                              <w:pStyle w:val="Paragraphedeliste"/>
                              <w:numPr>
                                <w:ilvl w:val="0"/>
                                <w:numId w:val="25"/>
                              </w:numPr>
                              <w:rPr>
                                <w:sz w:val="16"/>
                                <w:szCs w:val="16"/>
                              </w:rPr>
                            </w:pPr>
                            <w:r w:rsidRPr="00CF45B5">
                              <w:rPr>
                                <w:sz w:val="16"/>
                                <w:szCs w:val="16"/>
                                <w:u w:val="single"/>
                              </w:rPr>
                              <w:t>Dentiste</w:t>
                            </w:r>
                            <w:r>
                              <w:rPr>
                                <w:sz w:val="16"/>
                                <w:szCs w:val="16"/>
                              </w:rPr>
                              <w:t> : suivi rapproché par contrôles et soins préventifs non-invasifs, éviter extractions dans zone irradiée</w:t>
                            </w:r>
                          </w:p>
                          <w:p w14:paraId="7D89E755" w14:textId="77777777" w:rsidR="00D36EC3" w:rsidRDefault="00D36EC3" w:rsidP="00E761A9">
                            <w:pPr>
                              <w:pStyle w:val="Paragraphedeliste"/>
                              <w:numPr>
                                <w:ilvl w:val="0"/>
                                <w:numId w:val="25"/>
                              </w:numPr>
                              <w:rPr>
                                <w:sz w:val="16"/>
                                <w:szCs w:val="16"/>
                              </w:rPr>
                            </w:pPr>
                            <w:r w:rsidRPr="00CF45B5">
                              <w:rPr>
                                <w:sz w:val="16"/>
                                <w:szCs w:val="16"/>
                                <w:u w:val="single"/>
                              </w:rPr>
                              <w:t>Chirurgien maxillo-facial et/ou oral</w:t>
                            </w:r>
                            <w:r>
                              <w:rPr>
                                <w:sz w:val="16"/>
                                <w:szCs w:val="16"/>
                              </w:rPr>
                              <w:t xml:space="preserve"> : suivi oncologique et général</w:t>
                            </w:r>
                          </w:p>
                          <w:p w14:paraId="2E7CB45F" w14:textId="77777777" w:rsidR="00D36EC3" w:rsidRDefault="00D36EC3" w:rsidP="00E761A9">
                            <w:pPr>
                              <w:pStyle w:val="Paragraphedeliste"/>
                              <w:numPr>
                                <w:ilvl w:val="1"/>
                                <w:numId w:val="25"/>
                              </w:numPr>
                              <w:rPr>
                                <w:sz w:val="16"/>
                                <w:szCs w:val="16"/>
                              </w:rPr>
                            </w:pPr>
                            <w:r>
                              <w:rPr>
                                <w:sz w:val="16"/>
                                <w:szCs w:val="16"/>
                              </w:rPr>
                              <w:t>Si extractions nécessaires : antibioprophylaxie, bain de bouche pré- et post-geste, geste atraumatique sans vasoconstricteurs avec abaissement osseux et suture hermétique, +/- PenTo pré- et post-geste</w:t>
                            </w:r>
                          </w:p>
                          <w:p w14:paraId="01206A2C" w14:textId="77777777" w:rsidR="00D36EC3" w:rsidRPr="00D548C0" w:rsidRDefault="00D36EC3" w:rsidP="00E761A9">
                            <w:pPr>
                              <w:pStyle w:val="Paragraphedeliste"/>
                              <w:numPr>
                                <w:ilvl w:val="1"/>
                                <w:numId w:val="25"/>
                              </w:numPr>
                              <w:rPr>
                                <w:sz w:val="16"/>
                                <w:szCs w:val="16"/>
                              </w:rPr>
                            </w:pPr>
                            <w:r>
                              <w:rPr>
                                <w:sz w:val="16"/>
                                <w:szCs w:val="16"/>
                              </w:rPr>
                              <w:t>Implants : NON sauf si difficulté d’élocution et/ou perte de poids non-compensable par prothèse amovible. Consentement éclairé du patient car risque d’échec et de causer ORN. Précautions similaire à celles des extractions.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2B3047" id="Rectangle : coins arrondis 3" o:spid="_x0000_s1034" style="position:absolute;margin-left:-1.1pt;margin-top:206.4pt;width:495.25pt;height:121.9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" fillcolor="#4472c4 [3204]" strokecolor="#1f3763 [1604]" strokeweight="1pt">
                <v:stroke joinstyle="miter"/>
                <v:textbox>
                  <w:txbxContent>
                    <w:p w14:paraId="46493D58" w14:textId="77777777" w:rsidR="00D36EC3" w:rsidRDefault="00D36EC3" w:rsidP="00E761A9">
                      <w:pPr>
                        <w:rPr>
                          <w:sz w:val="16"/>
                          <w:szCs w:val="16"/>
                        </w:rPr>
                      </w:pPr>
                      <w:r>
                        <w:rPr>
                          <w:sz w:val="16"/>
                          <w:szCs w:val="16"/>
                        </w:rPr>
                        <w:t>MESURES POST-RADIOTHÉRAPIE</w:t>
                      </w:r>
                    </w:p>
                    <w:p w14:paraId="02C32B52" w14:textId="77777777" w:rsidR="00D36EC3" w:rsidRDefault="00D36EC3" w:rsidP="00E761A9">
                      <w:pPr>
                        <w:pStyle w:val="Paragraphedeliste"/>
                        <w:numPr>
                          <w:ilvl w:val="0"/>
                          <w:numId w:val="25"/>
                        </w:numPr>
                        <w:rPr>
                          <w:sz w:val="16"/>
                          <w:szCs w:val="16"/>
                        </w:rPr>
                      </w:pPr>
                      <w:r w:rsidRPr="00CF45B5">
                        <w:rPr>
                          <w:sz w:val="16"/>
                          <w:szCs w:val="16"/>
                          <w:u w:val="single"/>
                        </w:rPr>
                        <w:t>Patient</w:t>
                      </w:r>
                      <w:r>
                        <w:rPr>
                          <w:sz w:val="16"/>
                          <w:szCs w:val="16"/>
                        </w:rPr>
                        <w:t xml:space="preserve"> : minimiser facteurs de risque, port de gouttières de fluoration, </w:t>
                      </w:r>
                      <w:proofErr w:type="spellStart"/>
                      <w:r>
                        <w:rPr>
                          <w:sz w:val="16"/>
                          <w:szCs w:val="16"/>
                        </w:rPr>
                        <w:t>auto-surveillance</w:t>
                      </w:r>
                      <w:proofErr w:type="spellEnd"/>
                      <w:r>
                        <w:rPr>
                          <w:sz w:val="16"/>
                          <w:szCs w:val="16"/>
                        </w:rPr>
                        <w:t xml:space="preserve"> du poids et des symptômes, consultation rapide en cas de doute</w:t>
                      </w:r>
                    </w:p>
                    <w:p w14:paraId="14618DCE" w14:textId="77777777" w:rsidR="00D36EC3" w:rsidRDefault="00D36EC3" w:rsidP="00E761A9">
                      <w:pPr>
                        <w:pStyle w:val="Paragraphedeliste"/>
                        <w:numPr>
                          <w:ilvl w:val="0"/>
                          <w:numId w:val="25"/>
                        </w:numPr>
                        <w:rPr>
                          <w:sz w:val="16"/>
                          <w:szCs w:val="16"/>
                        </w:rPr>
                      </w:pPr>
                      <w:r w:rsidRPr="00CF45B5">
                        <w:rPr>
                          <w:sz w:val="16"/>
                          <w:szCs w:val="16"/>
                          <w:u w:val="single"/>
                        </w:rPr>
                        <w:t>Dentiste</w:t>
                      </w:r>
                      <w:r>
                        <w:rPr>
                          <w:sz w:val="16"/>
                          <w:szCs w:val="16"/>
                        </w:rPr>
                        <w:t> : suivi rapproché par contrôles et soins préventifs non-invasifs, éviter extractions dans zone irradiée</w:t>
                      </w:r>
                    </w:p>
                    <w:p w14:paraId="7D89E755" w14:textId="77777777" w:rsidR="00D36EC3" w:rsidRDefault="00D36EC3" w:rsidP="00E761A9">
                      <w:pPr>
                        <w:pStyle w:val="Paragraphedeliste"/>
                        <w:numPr>
                          <w:ilvl w:val="0"/>
                          <w:numId w:val="25"/>
                        </w:numPr>
                        <w:rPr>
                          <w:sz w:val="16"/>
                          <w:szCs w:val="16"/>
                        </w:rPr>
                      </w:pPr>
                      <w:r w:rsidRPr="00CF45B5">
                        <w:rPr>
                          <w:sz w:val="16"/>
                          <w:szCs w:val="16"/>
                          <w:u w:val="single"/>
                        </w:rPr>
                        <w:t>Chirurgien maxillo-facial et/ou oral</w:t>
                      </w:r>
                      <w:r>
                        <w:rPr>
                          <w:sz w:val="16"/>
                          <w:szCs w:val="16"/>
                        </w:rPr>
                        <w:t xml:space="preserve"> : suivi oncologique et général</w:t>
                      </w:r>
                    </w:p>
                    <w:p w14:paraId="2E7CB45F" w14:textId="77777777" w:rsidR="00D36EC3" w:rsidRDefault="00D36EC3" w:rsidP="00E761A9">
                      <w:pPr>
                        <w:pStyle w:val="Paragraphedeliste"/>
                        <w:numPr>
                          <w:ilvl w:val="1"/>
                          <w:numId w:val="25"/>
                        </w:numPr>
                        <w:rPr>
                          <w:sz w:val="16"/>
                          <w:szCs w:val="16"/>
                        </w:rPr>
                      </w:pPr>
                      <w:r>
                        <w:rPr>
                          <w:sz w:val="16"/>
                          <w:szCs w:val="16"/>
                        </w:rPr>
                        <w:t xml:space="preserve">Si extractions nécessaires : antibioprophylaxie, bain de bouche pré- et post-geste, geste atraumatique sans vasoconstricteurs avec abaissement osseux et suture hermétique, +/- </w:t>
                      </w:r>
                      <w:proofErr w:type="spellStart"/>
                      <w:r>
                        <w:rPr>
                          <w:sz w:val="16"/>
                          <w:szCs w:val="16"/>
                        </w:rPr>
                        <w:t>PenTo</w:t>
                      </w:r>
                      <w:proofErr w:type="spellEnd"/>
                      <w:r>
                        <w:rPr>
                          <w:sz w:val="16"/>
                          <w:szCs w:val="16"/>
                        </w:rPr>
                        <w:t xml:space="preserve"> pré- et post-geste</w:t>
                      </w:r>
                    </w:p>
                    <w:p w14:paraId="01206A2C" w14:textId="77777777" w:rsidR="00D36EC3" w:rsidRPr="00D548C0" w:rsidRDefault="00D36EC3" w:rsidP="00E761A9">
                      <w:pPr>
                        <w:pStyle w:val="Paragraphedeliste"/>
                        <w:numPr>
                          <w:ilvl w:val="1"/>
                          <w:numId w:val="25"/>
                        </w:numPr>
                        <w:rPr>
                          <w:sz w:val="16"/>
                          <w:szCs w:val="16"/>
                        </w:rPr>
                      </w:pPr>
                      <w:r>
                        <w:rPr>
                          <w:sz w:val="16"/>
                          <w:szCs w:val="16"/>
                        </w:rPr>
                        <w:t xml:space="preserve">Implants : NON sauf si difficulté d’élocution et/ou perte de poids non-compensable par prothèse amovible. Consentement éclairé du patient car risque d’échec et de causer ORN. </w:t>
                      </w:r>
                      <w:proofErr w:type="gramStart"/>
                      <w:r>
                        <w:rPr>
                          <w:sz w:val="16"/>
                          <w:szCs w:val="16"/>
                        </w:rPr>
                        <w:t>Précautions similaire</w:t>
                      </w:r>
                      <w:proofErr w:type="gramEnd"/>
                      <w:r>
                        <w:rPr>
                          <w:sz w:val="16"/>
                          <w:szCs w:val="16"/>
                        </w:rPr>
                        <w:t xml:space="preserve"> à celles des extractions.</w:t>
                      </w:r>
                    </w:p>
                  </w:txbxContent>
                </v:textbox>
              </v:roundrect>
            </w:pict>
          </mc:Fallback>
        </mc:AlternateContent>
      </w:r>
      <w:r>
        <w:rPr>
          <w:noProof/>
          <w:lang w:eastAsia="fr-BE"/>
        </w:rPr>
        <mc:AlternateContent>
          <mc:Choice Requires="wps">
            <w:drawing>
              <wp:anchor distT="0" distB="0" distL="114300" distR="114300" simplePos="0" relativeHeight="251740160" behindDoc="0" locked="0" layoutInCell="1" allowOverlap="1" wp14:anchorId="624C54C1" wp14:editId="255C63CE">
                <wp:simplePos x="0" y="0"/>
                <wp:positionH relativeFrom="column">
                  <wp:posOffset>3382645</wp:posOffset>
                </wp:positionH>
                <wp:positionV relativeFrom="paragraph">
                  <wp:posOffset>7450455</wp:posOffset>
                </wp:positionV>
                <wp:extent cx="0" cy="238125"/>
                <wp:effectExtent l="95250" t="0" r="57150" b="47625"/>
                <wp:wrapNone/>
                <wp:docPr id="20" name="Connecteur droit avec flèche 20"/>
                <wp:cNvGraphicFramePr/>
                <a:graphic xmlns:a="http://schemas.openxmlformats.org/drawingml/2006/main">
                  <a:graphicData uri="http://schemas.microsoft.com/office/word/2010/wordprocessingShape">
                    <wps:wsp>
                      <wps:cNvCnPr/>
                      <wps:spPr>
                        <a:xfrm>
                          <a:off x="0" y="0"/>
                          <a:ext cx="0" cy="238125"/>
                        </a:xfrm>
                        <a:prstGeom prst="straightConnector1">
                          <a:avLst/>
                        </a:prstGeom>
                        <a:ln w="38100">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8ABA9F3" id="Connecteur droit avec flèche 20" o:spid="_x0000_s1026" type="#_x0000_t32" style="position:absolute;margin-left:266.35pt;margin-top:586.65pt;width:0;height:18.75pt;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20704" behindDoc="0" locked="0" layoutInCell="1" allowOverlap="1" wp14:anchorId="646D9AB1" wp14:editId="5BD475BB">
                <wp:simplePos x="0" y="0"/>
                <wp:positionH relativeFrom="column">
                  <wp:posOffset>-228743</wp:posOffset>
                </wp:positionH>
                <wp:positionV relativeFrom="paragraph">
                  <wp:posOffset>7040880</wp:posOffset>
                </wp:positionV>
                <wp:extent cx="2024380" cy="1069258"/>
                <wp:effectExtent l="0" t="0" r="13970" b="17145"/>
                <wp:wrapNone/>
                <wp:docPr id="22" name="Rectangle : coins arrondis 19"/>
                <wp:cNvGraphicFramePr/>
                <a:graphic xmlns:a="http://schemas.openxmlformats.org/drawingml/2006/main">
                  <a:graphicData uri="http://schemas.microsoft.com/office/word/2010/wordprocessingShape">
                    <wps:wsp>
                      <wps:cNvSpPr/>
                      <wps:spPr>
                        <a:xfrm>
                          <a:off x="0" y="0"/>
                          <a:ext cx="2024380" cy="106925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65B728" w14:textId="77777777" w:rsidR="00D36EC3" w:rsidRPr="00D939A0" w:rsidRDefault="00D36EC3" w:rsidP="00E761A9">
                            <w:pPr>
                              <w:pStyle w:val="Sansinterligne"/>
                              <w:rPr>
                                <w:sz w:val="16"/>
                                <w:szCs w:val="16"/>
                              </w:rPr>
                            </w:pPr>
                            <w:r w:rsidRPr="00D939A0">
                              <w:rPr>
                                <w:sz w:val="16"/>
                                <w:szCs w:val="16"/>
                              </w:rPr>
                              <w:t>Suivi rapproché et traitement conservateur :</w:t>
                            </w:r>
                          </w:p>
                          <w:p w14:paraId="03304F07" w14:textId="77777777" w:rsidR="00D36EC3" w:rsidRDefault="00D36EC3" w:rsidP="00E761A9">
                            <w:pPr>
                              <w:pStyle w:val="Sansinterligne"/>
                              <w:numPr>
                                <w:ilvl w:val="0"/>
                                <w:numId w:val="26"/>
                              </w:numPr>
                              <w:rPr>
                                <w:sz w:val="16"/>
                                <w:szCs w:val="16"/>
                              </w:rPr>
                            </w:pPr>
                            <w:r w:rsidRPr="00D939A0">
                              <w:rPr>
                                <w:sz w:val="16"/>
                                <w:szCs w:val="16"/>
                              </w:rPr>
                              <w:t>Combinaison de bain de bouche chlorhexidine et eau oxygénée</w:t>
                            </w:r>
                          </w:p>
                          <w:p w14:paraId="6F547CAF" w14:textId="77777777" w:rsidR="00D36EC3" w:rsidRDefault="00D36EC3" w:rsidP="00E761A9">
                            <w:pPr>
                              <w:pStyle w:val="Sansinterligne"/>
                              <w:numPr>
                                <w:ilvl w:val="0"/>
                                <w:numId w:val="26"/>
                              </w:numPr>
                              <w:rPr>
                                <w:sz w:val="16"/>
                                <w:szCs w:val="16"/>
                              </w:rPr>
                            </w:pPr>
                            <w:r w:rsidRPr="00D939A0">
                              <w:rPr>
                                <w:sz w:val="16"/>
                                <w:szCs w:val="16"/>
                              </w:rPr>
                              <w:t>Débridement local et irrigation antiseptique</w:t>
                            </w:r>
                          </w:p>
                          <w:p w14:paraId="174027CF" w14:textId="77777777" w:rsidR="00D36EC3" w:rsidRPr="00D939A0" w:rsidRDefault="00D36EC3" w:rsidP="00E761A9">
                            <w:pPr>
                              <w:pStyle w:val="Sansinterligne"/>
                              <w:numPr>
                                <w:ilvl w:val="0"/>
                                <w:numId w:val="26"/>
                              </w:numPr>
                              <w:rPr>
                                <w:sz w:val="16"/>
                                <w:szCs w:val="16"/>
                              </w:rPr>
                            </w:pPr>
                            <w:r>
                              <w:rPr>
                                <w:sz w:val="16"/>
                                <w:szCs w:val="16"/>
                              </w:rPr>
                              <w:t xml:space="preserve">+/- </w:t>
                            </w:r>
                            <w:r>
                              <w:rPr>
                                <w:sz w:val="16"/>
                                <w:szCs w:val="16"/>
                              </w:rPr>
                              <w:t>PenToClo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6D9AB1" id="Rectangle : coins arrondis 19" o:spid="_x0000_s1035" style="position:absolute;margin-left:-18pt;margin-top:554.4pt;width:159.4pt;height:84.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" fillcolor="#4472c4 [3204]" strokecolor="#1f3763 [1604]" strokeweight="1pt">
                <v:stroke joinstyle="miter"/>
                <v:textbox>
                  <w:txbxContent>
                    <w:p w14:paraId="3265B728" w14:textId="77777777" w:rsidR="00D36EC3" w:rsidRPr="00D939A0" w:rsidRDefault="00D36EC3" w:rsidP="00E761A9">
                      <w:pPr>
                        <w:pStyle w:val="Sansinterligne"/>
                        <w:rPr>
                          <w:sz w:val="16"/>
                          <w:szCs w:val="16"/>
                        </w:rPr>
                      </w:pPr>
                      <w:r w:rsidRPr="00D939A0">
                        <w:rPr>
                          <w:sz w:val="16"/>
                          <w:szCs w:val="16"/>
                        </w:rPr>
                        <w:t>Suivi rapproché et traitement conservateur :</w:t>
                      </w:r>
                    </w:p>
                    <w:p w14:paraId="03304F07" w14:textId="77777777" w:rsidR="00D36EC3" w:rsidRDefault="00D36EC3" w:rsidP="00E761A9">
                      <w:pPr>
                        <w:pStyle w:val="Sansinterligne"/>
                        <w:numPr>
                          <w:ilvl w:val="0"/>
                          <w:numId w:val="26"/>
                        </w:numPr>
                        <w:rPr>
                          <w:sz w:val="16"/>
                          <w:szCs w:val="16"/>
                        </w:rPr>
                      </w:pPr>
                      <w:r w:rsidRPr="00D939A0">
                        <w:rPr>
                          <w:sz w:val="16"/>
                          <w:szCs w:val="16"/>
                        </w:rPr>
                        <w:t>Combinaison de bain de bouche chlorhexidine et eau oxygénée</w:t>
                      </w:r>
                    </w:p>
                    <w:p w14:paraId="6F547CAF" w14:textId="77777777" w:rsidR="00D36EC3" w:rsidRDefault="00D36EC3" w:rsidP="00E761A9">
                      <w:pPr>
                        <w:pStyle w:val="Sansinterligne"/>
                        <w:numPr>
                          <w:ilvl w:val="0"/>
                          <w:numId w:val="26"/>
                        </w:numPr>
                        <w:rPr>
                          <w:sz w:val="16"/>
                          <w:szCs w:val="16"/>
                        </w:rPr>
                      </w:pPr>
                      <w:r w:rsidRPr="00D939A0">
                        <w:rPr>
                          <w:sz w:val="16"/>
                          <w:szCs w:val="16"/>
                        </w:rPr>
                        <w:t>Débridement local et irrigation antiseptique</w:t>
                      </w:r>
                    </w:p>
                    <w:p w14:paraId="174027CF" w14:textId="77777777" w:rsidR="00D36EC3" w:rsidRPr="00D939A0" w:rsidRDefault="00D36EC3" w:rsidP="00E761A9">
                      <w:pPr>
                        <w:pStyle w:val="Sansinterligne"/>
                        <w:numPr>
                          <w:ilvl w:val="0"/>
                          <w:numId w:val="26"/>
                        </w:numPr>
                        <w:rPr>
                          <w:sz w:val="16"/>
                          <w:szCs w:val="16"/>
                        </w:rPr>
                      </w:pPr>
                      <w:r>
                        <w:rPr>
                          <w:sz w:val="16"/>
                          <w:szCs w:val="16"/>
                        </w:rPr>
                        <w:t xml:space="preserve">+/- </w:t>
                      </w:r>
                      <w:proofErr w:type="spellStart"/>
                      <w:r>
                        <w:rPr>
                          <w:sz w:val="16"/>
                          <w:szCs w:val="16"/>
                        </w:rPr>
                        <w:t>PenToClo</w:t>
                      </w:r>
                      <w:proofErr w:type="spellEnd"/>
                    </w:p>
                  </w:txbxContent>
                </v:textbox>
              </v:roundrect>
            </w:pict>
          </mc:Fallback>
        </mc:AlternateContent>
      </w:r>
      <w:r w:rsidRPr="007D08EB">
        <w:rPr>
          <w:noProof/>
          <w:lang w:eastAsia="fr-BE"/>
        </w:rPr>
        <mc:AlternateContent>
          <mc:Choice Requires="wps">
            <w:drawing>
              <wp:anchor distT="0" distB="0" distL="114300" distR="114300" simplePos="0" relativeHeight="251732992" behindDoc="0" locked="0" layoutInCell="1" allowOverlap="1" wp14:anchorId="00B56353" wp14:editId="49B01934">
                <wp:simplePos x="0" y="0"/>
                <wp:positionH relativeFrom="column">
                  <wp:posOffset>1876903</wp:posOffset>
                </wp:positionH>
                <wp:positionV relativeFrom="paragraph">
                  <wp:posOffset>6891020</wp:posOffset>
                </wp:positionV>
                <wp:extent cx="706755" cy="639445"/>
                <wp:effectExtent l="38100" t="38100" r="17145" b="27305"/>
                <wp:wrapNone/>
                <wp:docPr id="27" name="Connecteur droit avec flèche 27"/>
                <wp:cNvGraphicFramePr/>
                <a:graphic xmlns:a="http://schemas.openxmlformats.org/drawingml/2006/main">
                  <a:graphicData uri="http://schemas.microsoft.com/office/word/2010/wordprocessingShape">
                    <wps:wsp>
                      <wps:cNvCnPr/>
                      <wps:spPr>
                        <a:xfrm flipH="1" flipV="1">
                          <a:off x="0" y="0"/>
                          <a:ext cx="706755" cy="639445"/>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C79283" id="Connecteur droit avec flèche 27" o:spid="_x0000_s1026" type="#_x0000_t32" style="position:absolute;margin-left:147.8pt;margin-top:542.6pt;width:55.65pt;height:50.35pt;flip:x 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" strokecolor="#ed7d31 [3205]" strokeweight="3pt">
                <v:stroke endarrow="block" joinstyle="miter"/>
              </v:shape>
            </w:pict>
          </mc:Fallback>
        </mc:AlternateContent>
      </w:r>
      <w:r w:rsidRPr="007D08EB">
        <w:rPr>
          <w:noProof/>
          <w:lang w:eastAsia="fr-BE"/>
        </w:rPr>
        <mc:AlternateContent>
          <mc:Choice Requires="wps">
            <w:drawing>
              <wp:anchor distT="0" distB="0" distL="114300" distR="114300" simplePos="0" relativeHeight="251731968" behindDoc="0" locked="0" layoutInCell="1" allowOverlap="1" wp14:anchorId="03C3C69F" wp14:editId="08A781D4">
                <wp:simplePos x="0" y="0"/>
                <wp:positionH relativeFrom="column">
                  <wp:posOffset>2568625</wp:posOffset>
                </wp:positionH>
                <wp:positionV relativeFrom="paragraph">
                  <wp:posOffset>7528177</wp:posOffset>
                </wp:positionV>
                <wp:extent cx="820420" cy="4798"/>
                <wp:effectExtent l="19050" t="19050" r="17780" b="33655"/>
                <wp:wrapNone/>
                <wp:docPr id="47" name="Connecteur droit 47"/>
                <wp:cNvGraphicFramePr/>
                <a:graphic xmlns:a="http://schemas.openxmlformats.org/drawingml/2006/main">
                  <a:graphicData uri="http://schemas.microsoft.com/office/word/2010/wordprocessingShape">
                    <wps:wsp>
                      <wps:cNvCnPr/>
                      <wps:spPr>
                        <a:xfrm flipH="1" flipV="1">
                          <a:off x="0" y="0"/>
                          <a:ext cx="820420" cy="4798"/>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594B5D" id="Connecteur droit 47" o:spid="_x0000_s1026" style="position:absolute;flip:x y;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25pt,592.75pt" to="266.85pt,59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42208" behindDoc="0" locked="0" layoutInCell="1" allowOverlap="1" wp14:anchorId="1D2C611C" wp14:editId="4A962066">
                <wp:simplePos x="0" y="0"/>
                <wp:positionH relativeFrom="column">
                  <wp:posOffset>4129051</wp:posOffset>
                </wp:positionH>
                <wp:positionV relativeFrom="paragraph">
                  <wp:posOffset>7810500</wp:posOffset>
                </wp:positionV>
                <wp:extent cx="403762" cy="0"/>
                <wp:effectExtent l="0" t="95250" r="0" b="95250"/>
                <wp:wrapNone/>
                <wp:docPr id="48" name="Connecteur droit avec flèche 48"/>
                <wp:cNvGraphicFramePr/>
                <a:graphic xmlns:a="http://schemas.openxmlformats.org/drawingml/2006/main">
                  <a:graphicData uri="http://schemas.microsoft.com/office/word/2010/wordprocessingShape">
                    <wps:wsp>
                      <wps:cNvCnPr/>
                      <wps:spPr>
                        <a:xfrm>
                          <a:off x="0" y="0"/>
                          <a:ext cx="403762" cy="0"/>
                        </a:xfrm>
                        <a:prstGeom prst="straightConnector1">
                          <a:avLst/>
                        </a:prstGeom>
                        <a:ln w="3810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5405AB" id="Connecteur droit avec flèche 48" o:spid="_x0000_s1026" type="#_x0000_t32" style="position:absolute;margin-left:325.1pt;margin-top:615pt;width:31.8pt;height:0;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41184" behindDoc="0" locked="0" layoutInCell="1" allowOverlap="1" wp14:anchorId="7C65CFDA" wp14:editId="68E3E67D">
                <wp:simplePos x="0" y="0"/>
                <wp:positionH relativeFrom="column">
                  <wp:posOffset>3384892</wp:posOffset>
                </wp:positionH>
                <wp:positionV relativeFrom="paragraph">
                  <wp:posOffset>7957820</wp:posOffset>
                </wp:positionV>
                <wp:extent cx="0" cy="109855"/>
                <wp:effectExtent l="95250" t="19050" r="95250" b="42545"/>
                <wp:wrapNone/>
                <wp:docPr id="49" name="Connecteur droit avec flèche 49"/>
                <wp:cNvGraphicFramePr/>
                <a:graphic xmlns:a="http://schemas.openxmlformats.org/drawingml/2006/main">
                  <a:graphicData uri="http://schemas.microsoft.com/office/word/2010/wordprocessingShape">
                    <wps:wsp>
                      <wps:cNvCnPr/>
                      <wps:spPr>
                        <a:xfrm>
                          <a:off x="0" y="0"/>
                          <a:ext cx="0" cy="109855"/>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DA82FC" id="Connecteur droit avec flèche 49" o:spid="_x0000_s1026" type="#_x0000_t32" style="position:absolute;margin-left:266.55pt;margin-top:626.6pt;width:0;height:8.65pt;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29920" behindDoc="0" locked="0" layoutInCell="1" allowOverlap="1" wp14:anchorId="0A0E32D6" wp14:editId="5DC10505">
                <wp:simplePos x="0" y="0"/>
                <wp:positionH relativeFrom="column">
                  <wp:posOffset>2567305</wp:posOffset>
                </wp:positionH>
                <wp:positionV relativeFrom="paragraph">
                  <wp:posOffset>7044055</wp:posOffset>
                </wp:positionV>
                <wp:extent cx="1662113" cy="401955"/>
                <wp:effectExtent l="0" t="0" r="14605" b="17145"/>
                <wp:wrapNone/>
                <wp:docPr id="50" name="Rectangle : coins arrondis 37"/>
                <wp:cNvGraphicFramePr/>
                <a:graphic xmlns:a="http://schemas.openxmlformats.org/drawingml/2006/main">
                  <a:graphicData uri="http://schemas.microsoft.com/office/word/2010/wordprocessingShape">
                    <wps:wsp>
                      <wps:cNvSpPr/>
                      <wps:spPr>
                        <a:xfrm>
                          <a:off x="0" y="0"/>
                          <a:ext cx="1662113" cy="4019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B54527" w14:textId="77777777" w:rsidR="00D36EC3" w:rsidRPr="003A7E8A" w:rsidRDefault="00D36EC3" w:rsidP="00E761A9">
                            <w:pPr>
                              <w:rPr>
                                <w:sz w:val="16"/>
                                <w:szCs w:val="16"/>
                              </w:rPr>
                            </w:pPr>
                            <w:r>
                              <w:rPr>
                                <w:sz w:val="16"/>
                                <w:szCs w:val="16"/>
                              </w:rPr>
                              <w:t>Chirurgie conservatrice : curetage superficiel, séquestrectomie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0E32D6" id="Rectangle : coins arrondis 37" o:spid="_x0000_s1036" style="position:absolute;margin-left:202.15pt;margin-top:554.65pt;width:130.9pt;height:31.6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" fillcolor="#4472c4 [3204]" strokecolor="#1f3763 [1604]" strokeweight="1pt">
                <v:stroke joinstyle="miter"/>
                <v:textbox>
                  <w:txbxContent>
                    <w:p w14:paraId="32B54527" w14:textId="77777777" w:rsidR="00D36EC3" w:rsidRPr="003A7E8A" w:rsidRDefault="00D36EC3" w:rsidP="00E761A9">
                      <w:pPr>
                        <w:rPr>
                          <w:sz w:val="16"/>
                          <w:szCs w:val="16"/>
                        </w:rPr>
                      </w:pPr>
                      <w:r>
                        <w:rPr>
                          <w:sz w:val="16"/>
                          <w:szCs w:val="16"/>
                        </w:rPr>
                        <w:t>Chirurgie conservatrice : curetage superficiel, séquestrectomie</w:t>
                      </w:r>
                    </w:p>
                  </w:txbxContent>
                </v:textbox>
              </v:roundrect>
            </w:pict>
          </mc:Fallback>
        </mc:AlternateContent>
      </w:r>
      <w:r>
        <w:rPr>
          <w:noProof/>
          <w:lang w:eastAsia="fr-BE"/>
        </w:rPr>
        <mc:AlternateContent>
          <mc:Choice Requires="wps">
            <w:drawing>
              <wp:anchor distT="0" distB="0" distL="114300" distR="114300" simplePos="0" relativeHeight="251738112" behindDoc="0" locked="0" layoutInCell="1" allowOverlap="1" wp14:anchorId="50EA8362" wp14:editId="4FBF1606">
                <wp:simplePos x="0" y="0"/>
                <wp:positionH relativeFrom="column">
                  <wp:posOffset>3400108</wp:posOffset>
                </wp:positionH>
                <wp:positionV relativeFrom="paragraph">
                  <wp:posOffset>6928485</wp:posOffset>
                </wp:positionV>
                <wp:extent cx="0" cy="109855"/>
                <wp:effectExtent l="95250" t="19050" r="95250" b="42545"/>
                <wp:wrapNone/>
                <wp:docPr id="51" name="Connecteur droit avec flèche 51"/>
                <wp:cNvGraphicFramePr/>
                <a:graphic xmlns:a="http://schemas.openxmlformats.org/drawingml/2006/main">
                  <a:graphicData uri="http://schemas.microsoft.com/office/word/2010/wordprocessingShape">
                    <wps:wsp>
                      <wps:cNvCnPr/>
                      <wps:spPr>
                        <a:xfrm>
                          <a:off x="0" y="0"/>
                          <a:ext cx="0" cy="109855"/>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7282894" id="Connecteur droit avec flèche 51" o:spid="_x0000_s1026" type="#_x0000_t32" style="position:absolute;margin-left:267.75pt;margin-top:545.55pt;width:0;height:8.65pt;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34016" behindDoc="0" locked="0" layoutInCell="1" allowOverlap="1" wp14:anchorId="70BCD2B2" wp14:editId="16EBF3CC">
                <wp:simplePos x="0" y="0"/>
                <wp:positionH relativeFrom="column">
                  <wp:posOffset>2624137</wp:posOffset>
                </wp:positionH>
                <wp:positionV relativeFrom="paragraph">
                  <wp:posOffset>7687310</wp:posOffset>
                </wp:positionV>
                <wp:extent cx="1496060" cy="255533"/>
                <wp:effectExtent l="0" t="0" r="27940" b="11430"/>
                <wp:wrapNone/>
                <wp:docPr id="52" name="Rectangle : coins arrondis 43"/>
                <wp:cNvGraphicFramePr/>
                <a:graphic xmlns:a="http://schemas.openxmlformats.org/drawingml/2006/main">
                  <a:graphicData uri="http://schemas.microsoft.com/office/word/2010/wordprocessingShape">
                    <wps:wsp>
                      <wps:cNvSpPr/>
                      <wps:spPr>
                        <a:xfrm>
                          <a:off x="0" y="0"/>
                          <a:ext cx="1496060" cy="25553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7401D0" w14:textId="77777777" w:rsidR="00D36EC3" w:rsidRPr="00040913" w:rsidRDefault="00D36EC3" w:rsidP="00E761A9">
                            <w:pPr>
                              <w:jc w:val="center"/>
                              <w:rPr>
                                <w:sz w:val="16"/>
                                <w:szCs w:val="16"/>
                              </w:rPr>
                            </w:pPr>
                            <w:r>
                              <w:rPr>
                                <w:sz w:val="16"/>
                                <w:szCs w:val="16"/>
                              </w:rPr>
                              <w:t>ORN symptomatique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BCD2B2" id="Rectangle : coins arrondis 43" o:spid="_x0000_s1037" style="position:absolute;margin-left:206.6pt;margin-top:605.3pt;width:117.8pt;height:20.1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" fillcolor="#4472c4 [3204]" strokecolor="#1f3763 [1604]" strokeweight="1pt">
                <v:stroke joinstyle="miter"/>
                <v:textbox>
                  <w:txbxContent>
                    <w:p w14:paraId="557401D0" w14:textId="77777777" w:rsidR="00D36EC3" w:rsidRPr="00040913" w:rsidRDefault="00D36EC3" w:rsidP="00E761A9">
                      <w:pPr>
                        <w:jc w:val="center"/>
                        <w:rPr>
                          <w:sz w:val="16"/>
                          <w:szCs w:val="16"/>
                        </w:rPr>
                      </w:pPr>
                      <w:r>
                        <w:rPr>
                          <w:sz w:val="16"/>
                          <w:szCs w:val="16"/>
                        </w:rPr>
                        <w:t>ORN symptomatique</w:t>
                      </w:r>
                    </w:p>
                  </w:txbxContent>
                </v:textbox>
              </v:roundrect>
            </w:pict>
          </mc:Fallback>
        </mc:AlternateContent>
      </w:r>
      <w:r w:rsidRPr="007D08EB">
        <w:rPr>
          <w:noProof/>
          <w:lang w:eastAsia="fr-BE"/>
        </w:rPr>
        <mc:AlternateContent>
          <mc:Choice Requires="wps">
            <w:drawing>
              <wp:anchor distT="0" distB="0" distL="114300" distR="114300" simplePos="0" relativeHeight="251730944" behindDoc="0" locked="0" layoutInCell="1" allowOverlap="1" wp14:anchorId="74F499C5" wp14:editId="66BC1167">
                <wp:simplePos x="0" y="0"/>
                <wp:positionH relativeFrom="column">
                  <wp:posOffset>3381693</wp:posOffset>
                </wp:positionH>
                <wp:positionV relativeFrom="paragraph">
                  <wp:posOffset>7448868</wp:posOffset>
                </wp:positionV>
                <wp:extent cx="0" cy="80962"/>
                <wp:effectExtent l="19050" t="0" r="19050" b="33655"/>
                <wp:wrapNone/>
                <wp:docPr id="54" name="Connecteur droit 54"/>
                <wp:cNvGraphicFramePr/>
                <a:graphic xmlns:a="http://schemas.openxmlformats.org/drawingml/2006/main">
                  <a:graphicData uri="http://schemas.microsoft.com/office/word/2010/wordprocessingShape">
                    <wps:wsp>
                      <wps:cNvCnPr/>
                      <wps:spPr>
                        <a:xfrm>
                          <a:off x="0" y="0"/>
                          <a:ext cx="0" cy="80962"/>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14:sizeRelV relativeFrom="margin">
                  <wp14:pctHeight>0</wp14:pctHeight>
                </wp14:sizeRelV>
              </wp:anchor>
            </w:drawing>
          </mc:Choice>
          <mc:Fallback>
            <w:pict>
              <v:line w14:anchorId="3F366826" id="Connecteur droit 54" o:spid="_x0000_s1026" style="position:absolute;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66.3pt,586.55pt" to="266.3pt,59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28896" behindDoc="0" locked="0" layoutInCell="1" allowOverlap="1" wp14:anchorId="57F4798D" wp14:editId="58E80DF5">
                <wp:simplePos x="0" y="0"/>
                <wp:positionH relativeFrom="column">
                  <wp:posOffset>3404870</wp:posOffset>
                </wp:positionH>
                <wp:positionV relativeFrom="paragraph">
                  <wp:posOffset>6555740</wp:posOffset>
                </wp:positionV>
                <wp:extent cx="0" cy="109855"/>
                <wp:effectExtent l="95250" t="19050" r="95250" b="42545"/>
                <wp:wrapNone/>
                <wp:docPr id="55" name="Connecteur droit avec flèche 55"/>
                <wp:cNvGraphicFramePr/>
                <a:graphic xmlns:a="http://schemas.openxmlformats.org/drawingml/2006/main">
                  <a:graphicData uri="http://schemas.microsoft.com/office/word/2010/wordprocessingShape">
                    <wps:wsp>
                      <wps:cNvCnPr/>
                      <wps:spPr>
                        <a:xfrm>
                          <a:off x="0" y="0"/>
                          <a:ext cx="0" cy="109855"/>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B76AFB" id="Connecteur droit avec flèche 55" o:spid="_x0000_s1026" type="#_x0000_t32" style="position:absolute;margin-left:268.1pt;margin-top:516.2pt;width:0;height:8.6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24800" behindDoc="0" locked="0" layoutInCell="1" allowOverlap="1" wp14:anchorId="596C53E2" wp14:editId="2BDAE3D0">
                <wp:simplePos x="0" y="0"/>
                <wp:positionH relativeFrom="column">
                  <wp:posOffset>3405504</wp:posOffset>
                </wp:positionH>
                <wp:positionV relativeFrom="paragraph">
                  <wp:posOffset>6434455</wp:posOffset>
                </wp:positionV>
                <wp:extent cx="1905" cy="121920"/>
                <wp:effectExtent l="19050" t="19050" r="36195" b="30480"/>
                <wp:wrapNone/>
                <wp:docPr id="56" name="Connecteur droit 56"/>
                <wp:cNvGraphicFramePr/>
                <a:graphic xmlns:a="http://schemas.openxmlformats.org/drawingml/2006/main">
                  <a:graphicData uri="http://schemas.microsoft.com/office/word/2010/wordprocessingShape">
                    <wps:wsp>
                      <wps:cNvCnPr/>
                      <wps:spPr>
                        <a:xfrm>
                          <a:off x="0" y="0"/>
                          <a:ext cx="1905" cy="121920"/>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670FD9" id="Connecteur droit 56"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15pt,506.65pt" to="268.3pt,5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25824" behindDoc="0" locked="0" layoutInCell="1" allowOverlap="1" wp14:anchorId="07626CD2" wp14:editId="65F567FD">
                <wp:simplePos x="0" y="0"/>
                <wp:positionH relativeFrom="column">
                  <wp:posOffset>1701800</wp:posOffset>
                </wp:positionH>
                <wp:positionV relativeFrom="paragraph">
                  <wp:posOffset>6508750</wp:posOffset>
                </wp:positionV>
                <wp:extent cx="1722120" cy="3810"/>
                <wp:effectExtent l="19050" t="19050" r="11430" b="34290"/>
                <wp:wrapNone/>
                <wp:docPr id="57" name="Connecteur droit 57"/>
                <wp:cNvGraphicFramePr/>
                <a:graphic xmlns:a="http://schemas.openxmlformats.org/drawingml/2006/main">
                  <a:graphicData uri="http://schemas.microsoft.com/office/word/2010/wordprocessingShape">
                    <wps:wsp>
                      <wps:cNvCnPr/>
                      <wps:spPr>
                        <a:xfrm flipH="1">
                          <a:off x="0" y="0"/>
                          <a:ext cx="1722120" cy="3810"/>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2230BA" id="Connecteur droit 57" o:spid="_x0000_s1026" style="position:absolute;flip:x;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4pt,512.5pt" to="269.6pt,5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27872" behindDoc="0" locked="0" layoutInCell="1" allowOverlap="1" wp14:anchorId="12A33B7D" wp14:editId="1B2DF770">
                <wp:simplePos x="0" y="0"/>
                <wp:positionH relativeFrom="column">
                  <wp:posOffset>2639549</wp:posOffset>
                </wp:positionH>
                <wp:positionV relativeFrom="paragraph">
                  <wp:posOffset>6664960</wp:posOffset>
                </wp:positionV>
                <wp:extent cx="1496060" cy="244650"/>
                <wp:effectExtent l="0" t="0" r="27940" b="22225"/>
                <wp:wrapNone/>
                <wp:docPr id="58" name="Rectangle : coins arrondis 35"/>
                <wp:cNvGraphicFramePr/>
                <a:graphic xmlns:a="http://schemas.openxmlformats.org/drawingml/2006/main">
                  <a:graphicData uri="http://schemas.microsoft.com/office/word/2010/wordprocessingShape">
                    <wps:wsp>
                      <wps:cNvSpPr/>
                      <wps:spPr>
                        <a:xfrm>
                          <a:off x="0" y="0"/>
                          <a:ext cx="1496060" cy="2446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6A46EB" w14:textId="77777777" w:rsidR="00D36EC3" w:rsidRPr="00040913" w:rsidRDefault="00D36EC3" w:rsidP="00E761A9">
                            <w:pPr>
                              <w:jc w:val="center"/>
                              <w:rPr>
                                <w:sz w:val="16"/>
                                <w:szCs w:val="16"/>
                              </w:rPr>
                            </w:pPr>
                            <w:r>
                              <w:rPr>
                                <w:sz w:val="16"/>
                                <w:szCs w:val="16"/>
                              </w:rPr>
                              <w:t>ORN symptomatique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A33B7D" id="Rectangle : coins arrondis 35" o:spid="_x0000_s1038" style="position:absolute;margin-left:207.85pt;margin-top:524.8pt;width:117.8pt;height:19.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" fillcolor="#4472c4 [3204]" strokecolor="#1f3763 [1604]" strokeweight="1pt">
                <v:stroke joinstyle="miter"/>
                <v:textbox>
                  <w:txbxContent>
                    <w:p w14:paraId="006A46EB" w14:textId="77777777" w:rsidR="00D36EC3" w:rsidRPr="00040913" w:rsidRDefault="00D36EC3" w:rsidP="00E761A9">
                      <w:pPr>
                        <w:jc w:val="center"/>
                        <w:rPr>
                          <w:sz w:val="16"/>
                          <w:szCs w:val="16"/>
                        </w:rPr>
                      </w:pPr>
                      <w:r>
                        <w:rPr>
                          <w:sz w:val="16"/>
                          <w:szCs w:val="16"/>
                        </w:rPr>
                        <w:t>ORN symptomatique</w:t>
                      </w:r>
                    </w:p>
                  </w:txbxContent>
                </v:textbox>
              </v:roundrect>
            </w:pict>
          </mc:Fallback>
        </mc:AlternateContent>
      </w:r>
      <w:r>
        <w:rPr>
          <w:noProof/>
          <w:lang w:eastAsia="fr-BE"/>
        </w:rPr>
        <mc:AlternateContent>
          <mc:Choice Requires="wps">
            <w:drawing>
              <wp:anchor distT="0" distB="0" distL="114300" distR="114300" simplePos="0" relativeHeight="251721728" behindDoc="0" locked="0" layoutInCell="1" allowOverlap="1" wp14:anchorId="4D7A5309" wp14:editId="68D067D1">
                <wp:simplePos x="0" y="0"/>
                <wp:positionH relativeFrom="column">
                  <wp:posOffset>2413049</wp:posOffset>
                </wp:positionH>
                <wp:positionV relativeFrom="paragraph">
                  <wp:posOffset>5665470</wp:posOffset>
                </wp:positionV>
                <wp:extent cx="2024743" cy="764498"/>
                <wp:effectExtent l="0" t="0" r="13970" b="17145"/>
                <wp:wrapNone/>
                <wp:docPr id="59" name="Rectangle : coins arrondis 20"/>
                <wp:cNvGraphicFramePr/>
                <a:graphic xmlns:a="http://schemas.openxmlformats.org/drawingml/2006/main">
                  <a:graphicData uri="http://schemas.microsoft.com/office/word/2010/wordprocessingShape">
                    <wps:wsp>
                      <wps:cNvSpPr/>
                      <wps:spPr>
                        <a:xfrm>
                          <a:off x="0" y="0"/>
                          <a:ext cx="2024743" cy="76449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C37F3F" w14:textId="77777777" w:rsidR="00D36EC3" w:rsidRDefault="00D36EC3" w:rsidP="00E761A9">
                            <w:pPr>
                              <w:rPr>
                                <w:sz w:val="16"/>
                                <w:szCs w:val="16"/>
                              </w:rPr>
                            </w:pPr>
                            <w:r w:rsidRPr="003A7E8A">
                              <w:rPr>
                                <w:sz w:val="16"/>
                                <w:szCs w:val="16"/>
                              </w:rPr>
                              <w:t>Suivi rapproché</w:t>
                            </w:r>
                            <w:r>
                              <w:rPr>
                                <w:sz w:val="16"/>
                                <w:szCs w:val="16"/>
                              </w:rPr>
                              <w:t xml:space="preserve"> et t</w:t>
                            </w:r>
                            <w:r w:rsidRPr="003A7E8A">
                              <w:rPr>
                                <w:sz w:val="16"/>
                                <w:szCs w:val="16"/>
                              </w:rPr>
                              <w:t>raitement conservateur</w:t>
                            </w:r>
                            <w:r>
                              <w:rPr>
                                <w:sz w:val="16"/>
                                <w:szCs w:val="16"/>
                              </w:rPr>
                              <w:t xml:space="preserve">, comportant une </w:t>
                            </w:r>
                            <w:r w:rsidRPr="00892011">
                              <w:rPr>
                                <w:sz w:val="16"/>
                                <w:szCs w:val="16"/>
                                <w:u w:val="single"/>
                              </w:rPr>
                              <w:t>antibiothérapie</w:t>
                            </w:r>
                            <w:r>
                              <w:rPr>
                                <w:sz w:val="16"/>
                                <w:szCs w:val="16"/>
                              </w:rPr>
                              <w:t xml:space="preserve"> à durée prolongée, un </w:t>
                            </w:r>
                            <w:r w:rsidRPr="00892011">
                              <w:rPr>
                                <w:sz w:val="16"/>
                                <w:szCs w:val="16"/>
                              </w:rPr>
                              <w:t>contrôle</w:t>
                            </w:r>
                            <w:r w:rsidRPr="00892011">
                              <w:rPr>
                                <w:b/>
                                <w:bCs/>
                                <w:sz w:val="16"/>
                                <w:szCs w:val="16"/>
                              </w:rPr>
                              <w:t xml:space="preserve"> </w:t>
                            </w:r>
                            <w:r w:rsidRPr="00892011">
                              <w:rPr>
                                <w:sz w:val="16"/>
                                <w:szCs w:val="16"/>
                                <w:u w:val="single"/>
                              </w:rPr>
                              <w:t>antalgique</w:t>
                            </w:r>
                          </w:p>
                          <w:p w14:paraId="12F55EDB" w14:textId="77777777" w:rsidR="00D36EC3" w:rsidRPr="003A7E8A" w:rsidRDefault="00D36EC3" w:rsidP="00E761A9">
                            <w:pP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7A5309" id="Rectangle : coins arrondis 20" o:spid="_x0000_s1039" style="position:absolute;margin-left:190pt;margin-top:446.1pt;width:159.45pt;height:60.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" fillcolor="#4472c4 [3204]" strokecolor="#1f3763 [1604]" strokeweight="1pt">
                <v:stroke joinstyle="miter"/>
                <v:textbox>
                  <w:txbxContent>
                    <w:p w14:paraId="1CC37F3F" w14:textId="77777777" w:rsidR="00D36EC3" w:rsidRDefault="00D36EC3" w:rsidP="00E761A9">
                      <w:pPr>
                        <w:rPr>
                          <w:sz w:val="16"/>
                          <w:szCs w:val="16"/>
                        </w:rPr>
                      </w:pPr>
                      <w:r w:rsidRPr="003A7E8A">
                        <w:rPr>
                          <w:sz w:val="16"/>
                          <w:szCs w:val="16"/>
                        </w:rPr>
                        <w:t>Suivi rapproché</w:t>
                      </w:r>
                      <w:r>
                        <w:rPr>
                          <w:sz w:val="16"/>
                          <w:szCs w:val="16"/>
                        </w:rPr>
                        <w:t xml:space="preserve"> et t</w:t>
                      </w:r>
                      <w:r w:rsidRPr="003A7E8A">
                        <w:rPr>
                          <w:sz w:val="16"/>
                          <w:szCs w:val="16"/>
                        </w:rPr>
                        <w:t>raitement conservateur</w:t>
                      </w:r>
                      <w:r>
                        <w:rPr>
                          <w:sz w:val="16"/>
                          <w:szCs w:val="16"/>
                        </w:rPr>
                        <w:t xml:space="preserve">, comportant une </w:t>
                      </w:r>
                      <w:r w:rsidRPr="00892011">
                        <w:rPr>
                          <w:sz w:val="16"/>
                          <w:szCs w:val="16"/>
                          <w:u w:val="single"/>
                        </w:rPr>
                        <w:t>antibiothérapie</w:t>
                      </w:r>
                      <w:r>
                        <w:rPr>
                          <w:sz w:val="16"/>
                          <w:szCs w:val="16"/>
                        </w:rPr>
                        <w:t xml:space="preserve"> à durée prolongée, un </w:t>
                      </w:r>
                      <w:r w:rsidRPr="00892011">
                        <w:rPr>
                          <w:sz w:val="16"/>
                          <w:szCs w:val="16"/>
                        </w:rPr>
                        <w:t>contrôle</w:t>
                      </w:r>
                      <w:r w:rsidRPr="00892011">
                        <w:rPr>
                          <w:b/>
                          <w:bCs/>
                          <w:sz w:val="16"/>
                          <w:szCs w:val="16"/>
                        </w:rPr>
                        <w:t xml:space="preserve"> </w:t>
                      </w:r>
                      <w:r w:rsidRPr="00892011">
                        <w:rPr>
                          <w:sz w:val="16"/>
                          <w:szCs w:val="16"/>
                          <w:u w:val="single"/>
                        </w:rPr>
                        <w:t>antalgique</w:t>
                      </w:r>
                    </w:p>
                    <w:p w14:paraId="12F55EDB" w14:textId="77777777" w:rsidR="00D36EC3" w:rsidRPr="003A7E8A" w:rsidRDefault="00D36EC3" w:rsidP="00E761A9">
                      <w:pPr>
                        <w:rPr>
                          <w:sz w:val="16"/>
                          <w:szCs w:val="16"/>
                        </w:rPr>
                      </w:pPr>
                    </w:p>
                  </w:txbxContent>
                </v:textbox>
              </v:roundrect>
            </w:pict>
          </mc:Fallback>
        </mc:AlternateContent>
      </w:r>
      <w:r>
        <w:rPr>
          <w:noProof/>
          <w:lang w:eastAsia="fr-BE"/>
        </w:rPr>
        <mc:AlternateContent>
          <mc:Choice Requires="wps">
            <w:drawing>
              <wp:anchor distT="0" distB="0" distL="114300" distR="114300" simplePos="0" relativeHeight="251717632" behindDoc="0" locked="0" layoutInCell="1" allowOverlap="1" wp14:anchorId="1E2BBE2E" wp14:editId="0F2BAADA">
                <wp:simplePos x="0" y="0"/>
                <wp:positionH relativeFrom="column">
                  <wp:posOffset>1079913</wp:posOffset>
                </wp:positionH>
                <wp:positionV relativeFrom="paragraph">
                  <wp:posOffset>4995270</wp:posOffset>
                </wp:positionV>
                <wp:extent cx="1512653" cy="1666626"/>
                <wp:effectExtent l="38100" t="19050" r="30480" b="48260"/>
                <wp:wrapNone/>
                <wp:docPr id="60" name="Connecteur droit avec flèche 60"/>
                <wp:cNvGraphicFramePr/>
                <a:graphic xmlns:a="http://schemas.openxmlformats.org/drawingml/2006/main">
                  <a:graphicData uri="http://schemas.microsoft.com/office/word/2010/wordprocessingShape">
                    <wps:wsp>
                      <wps:cNvCnPr/>
                      <wps:spPr>
                        <a:xfrm flipH="1">
                          <a:off x="0" y="0"/>
                          <a:ext cx="1512653" cy="1666626"/>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3D38B7" id="Connecteur droit avec flèche 60" o:spid="_x0000_s1026" type="#_x0000_t32" style="position:absolute;margin-left:85.05pt;margin-top:393.35pt;width:119.1pt;height:131.25pt;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23776" behindDoc="0" locked="0" layoutInCell="1" allowOverlap="1" wp14:anchorId="19463342" wp14:editId="35291816">
                <wp:simplePos x="0" y="0"/>
                <wp:positionH relativeFrom="column">
                  <wp:posOffset>1081074</wp:posOffset>
                </wp:positionH>
                <wp:positionV relativeFrom="paragraph">
                  <wp:posOffset>6932295</wp:posOffset>
                </wp:positionV>
                <wp:extent cx="0" cy="109855"/>
                <wp:effectExtent l="95250" t="19050" r="95250" b="42545"/>
                <wp:wrapNone/>
                <wp:docPr id="61" name="Connecteur droit avec flèche 61"/>
                <wp:cNvGraphicFramePr/>
                <a:graphic xmlns:a="http://schemas.openxmlformats.org/drawingml/2006/main">
                  <a:graphicData uri="http://schemas.microsoft.com/office/word/2010/wordprocessingShape">
                    <wps:wsp>
                      <wps:cNvCnPr/>
                      <wps:spPr>
                        <a:xfrm>
                          <a:off x="0" y="0"/>
                          <a:ext cx="0" cy="109855"/>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C60D36F" id="Connecteur droit avec flèche 61" o:spid="_x0000_s1026" type="#_x0000_t32" style="position:absolute;margin-left:85.1pt;margin-top:545.85pt;width:0;height:8.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37088" behindDoc="0" locked="0" layoutInCell="1" allowOverlap="1" wp14:anchorId="048DC4CF" wp14:editId="4DC3F13F">
                <wp:simplePos x="0" y="0"/>
                <wp:positionH relativeFrom="column">
                  <wp:posOffset>-403668</wp:posOffset>
                </wp:positionH>
                <wp:positionV relativeFrom="paragraph">
                  <wp:posOffset>7364758</wp:posOffset>
                </wp:positionV>
                <wp:extent cx="179733" cy="0"/>
                <wp:effectExtent l="19050" t="19050" r="10795" b="19050"/>
                <wp:wrapNone/>
                <wp:docPr id="62" name="Connecteur droit 62"/>
                <wp:cNvGraphicFramePr/>
                <a:graphic xmlns:a="http://schemas.openxmlformats.org/drawingml/2006/main">
                  <a:graphicData uri="http://schemas.microsoft.com/office/word/2010/wordprocessingShape">
                    <wps:wsp>
                      <wps:cNvCnPr/>
                      <wps:spPr>
                        <a:xfrm flipH="1">
                          <a:off x="0" y="0"/>
                          <a:ext cx="179733" cy="0"/>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B6F3B9" id="Connecteur droit 62" o:spid="_x0000_s1026" style="position:absolute;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pt,579.9pt" to="-17.65pt,57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36064" behindDoc="0" locked="0" layoutInCell="1" allowOverlap="1" wp14:anchorId="710AD2A1" wp14:editId="473F5509">
                <wp:simplePos x="0" y="0"/>
                <wp:positionH relativeFrom="column">
                  <wp:posOffset>-396860</wp:posOffset>
                </wp:positionH>
                <wp:positionV relativeFrom="paragraph">
                  <wp:posOffset>4899707</wp:posOffset>
                </wp:positionV>
                <wp:extent cx="0" cy="2483468"/>
                <wp:effectExtent l="19050" t="0" r="19050" b="20955"/>
                <wp:wrapNone/>
                <wp:docPr id="63" name="Connecteur droit 63"/>
                <wp:cNvGraphicFramePr/>
                <a:graphic xmlns:a="http://schemas.openxmlformats.org/drawingml/2006/main">
                  <a:graphicData uri="http://schemas.microsoft.com/office/word/2010/wordprocessingShape">
                    <wps:wsp>
                      <wps:cNvCnPr/>
                      <wps:spPr>
                        <a:xfrm>
                          <a:off x="0" y="0"/>
                          <a:ext cx="0" cy="2483468"/>
                        </a:xfrm>
                        <a:prstGeom prst="line">
                          <a:avLst/>
                        </a:prstGeom>
                        <a:ln w="3810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B7A212" id="Connecteur droit 63" o:spid="_x0000_s1026" style="position:absolute;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25pt,385.8pt" to="-31.25pt,58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" strokecolor="#ed7d31 [3205]" strokeweight="3pt">
                <v:stroke joinstyle="miter"/>
              </v:line>
            </w:pict>
          </mc:Fallback>
        </mc:AlternateContent>
      </w:r>
      <w:r>
        <w:rPr>
          <w:noProof/>
          <w:lang w:eastAsia="fr-BE"/>
        </w:rPr>
        <mc:AlternateContent>
          <mc:Choice Requires="wps">
            <w:drawing>
              <wp:anchor distT="0" distB="0" distL="114300" distR="114300" simplePos="0" relativeHeight="251711488" behindDoc="0" locked="0" layoutInCell="1" allowOverlap="1" wp14:anchorId="63AE1F7F" wp14:editId="29FB3430">
                <wp:simplePos x="0" y="0"/>
                <wp:positionH relativeFrom="column">
                  <wp:posOffset>3259455</wp:posOffset>
                </wp:positionH>
                <wp:positionV relativeFrom="paragraph">
                  <wp:posOffset>2494280</wp:posOffset>
                </wp:positionV>
                <wp:extent cx="0" cy="109855"/>
                <wp:effectExtent l="95250" t="19050" r="95250" b="42545"/>
                <wp:wrapNone/>
                <wp:docPr id="64" name="Connecteur droit avec flèche 64"/>
                <wp:cNvGraphicFramePr/>
                <a:graphic xmlns:a="http://schemas.openxmlformats.org/drawingml/2006/main">
                  <a:graphicData uri="http://schemas.microsoft.com/office/word/2010/wordprocessingShape">
                    <wps:wsp>
                      <wps:cNvCnPr/>
                      <wps:spPr>
                        <a:xfrm>
                          <a:off x="0" y="0"/>
                          <a:ext cx="0" cy="109855"/>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1C4923A" id="Connecteur droit avec flèche 64" o:spid="_x0000_s1026" type="#_x0000_t32" style="position:absolute;margin-left:256.65pt;margin-top:196.4pt;width:0;height:8.6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10464" behindDoc="0" locked="0" layoutInCell="1" allowOverlap="1" wp14:anchorId="250DE23E" wp14:editId="20AD1EF8">
                <wp:simplePos x="0" y="0"/>
                <wp:positionH relativeFrom="column">
                  <wp:posOffset>3259455</wp:posOffset>
                </wp:positionH>
                <wp:positionV relativeFrom="paragraph">
                  <wp:posOffset>1243330</wp:posOffset>
                </wp:positionV>
                <wp:extent cx="0" cy="109855"/>
                <wp:effectExtent l="95250" t="19050" r="95250" b="42545"/>
                <wp:wrapNone/>
                <wp:docPr id="65" name="Connecteur droit avec flèche 65"/>
                <wp:cNvGraphicFramePr/>
                <a:graphic xmlns:a="http://schemas.openxmlformats.org/drawingml/2006/main">
                  <a:graphicData uri="http://schemas.microsoft.com/office/word/2010/wordprocessingShape">
                    <wps:wsp>
                      <wps:cNvCnPr/>
                      <wps:spPr>
                        <a:xfrm>
                          <a:off x="0" y="0"/>
                          <a:ext cx="0" cy="109855"/>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C26503" id="Connecteur droit avec flèche 65" o:spid="_x0000_s1026" type="#_x0000_t32" style="position:absolute;margin-left:256.65pt;margin-top:97.9pt;width:0;height:8.65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16608" behindDoc="0" locked="0" layoutInCell="1" allowOverlap="1" wp14:anchorId="2C89DDA5" wp14:editId="4008DCB5">
                <wp:simplePos x="0" y="0"/>
                <wp:positionH relativeFrom="column">
                  <wp:posOffset>2663212</wp:posOffset>
                </wp:positionH>
                <wp:positionV relativeFrom="paragraph">
                  <wp:posOffset>5267763</wp:posOffset>
                </wp:positionV>
                <wp:extent cx="1496060" cy="262978"/>
                <wp:effectExtent l="0" t="0" r="27940" b="22860"/>
                <wp:wrapNone/>
                <wp:docPr id="66" name="Rectangle : coins arrondis 11"/>
                <wp:cNvGraphicFramePr/>
                <a:graphic xmlns:a="http://schemas.openxmlformats.org/drawingml/2006/main">
                  <a:graphicData uri="http://schemas.microsoft.com/office/word/2010/wordprocessingShape">
                    <wps:wsp>
                      <wps:cNvSpPr/>
                      <wps:spPr>
                        <a:xfrm>
                          <a:off x="0" y="0"/>
                          <a:ext cx="1496060" cy="26297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B6EA9D" w14:textId="77777777" w:rsidR="00D36EC3" w:rsidRPr="00040913" w:rsidRDefault="00D36EC3" w:rsidP="00E761A9">
                            <w:pPr>
                              <w:jc w:val="center"/>
                              <w:rPr>
                                <w:sz w:val="16"/>
                                <w:szCs w:val="16"/>
                              </w:rPr>
                            </w:pPr>
                            <w:r>
                              <w:rPr>
                                <w:sz w:val="16"/>
                                <w:szCs w:val="16"/>
                              </w:rPr>
                              <w:t>ORN symptomatique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89DDA5" id="Rectangle : coins arrondis 11" o:spid="_x0000_s1040" style="position:absolute;margin-left:209.7pt;margin-top:414.8pt;width:117.8pt;height:20.7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" fillcolor="#4472c4 [3204]" strokecolor="#1f3763 [1604]" strokeweight="1pt">
                <v:stroke joinstyle="miter"/>
                <v:textbox>
                  <w:txbxContent>
                    <w:p w14:paraId="68B6EA9D" w14:textId="77777777" w:rsidR="00D36EC3" w:rsidRPr="00040913" w:rsidRDefault="00D36EC3" w:rsidP="00E761A9">
                      <w:pPr>
                        <w:jc w:val="center"/>
                        <w:rPr>
                          <w:sz w:val="16"/>
                          <w:szCs w:val="16"/>
                        </w:rPr>
                      </w:pPr>
                      <w:r>
                        <w:rPr>
                          <w:sz w:val="16"/>
                          <w:szCs w:val="16"/>
                        </w:rPr>
                        <w:t>ORN symptomatique</w:t>
                      </w:r>
                    </w:p>
                  </w:txbxContent>
                </v:textbox>
              </v:roundrect>
            </w:pict>
          </mc:Fallback>
        </mc:AlternateContent>
      </w:r>
      <w:r>
        <w:rPr>
          <w:noProof/>
          <w:lang w:eastAsia="fr-BE"/>
        </w:rPr>
        <mc:AlternateContent>
          <mc:Choice Requires="wps">
            <w:drawing>
              <wp:anchor distT="0" distB="0" distL="114300" distR="114300" simplePos="0" relativeHeight="251722752" behindDoc="0" locked="0" layoutInCell="1" allowOverlap="1" wp14:anchorId="2F07D675" wp14:editId="5ABB2403">
                <wp:simplePos x="0" y="0"/>
                <wp:positionH relativeFrom="column">
                  <wp:posOffset>3408045</wp:posOffset>
                </wp:positionH>
                <wp:positionV relativeFrom="paragraph">
                  <wp:posOffset>5548630</wp:posOffset>
                </wp:positionV>
                <wp:extent cx="0" cy="109855"/>
                <wp:effectExtent l="95250" t="19050" r="95250" b="42545"/>
                <wp:wrapNone/>
                <wp:docPr id="67" name="Connecteur droit avec flèche 67"/>
                <wp:cNvGraphicFramePr/>
                <a:graphic xmlns:a="http://schemas.openxmlformats.org/drawingml/2006/main">
                  <a:graphicData uri="http://schemas.microsoft.com/office/word/2010/wordprocessingShape">
                    <wps:wsp>
                      <wps:cNvCnPr/>
                      <wps:spPr>
                        <a:xfrm>
                          <a:off x="0" y="0"/>
                          <a:ext cx="0" cy="109855"/>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6747B5" id="Connecteur droit avec flèche 67" o:spid="_x0000_s1026" type="#_x0000_t32" style="position:absolute;margin-left:268.35pt;margin-top:436.9pt;width:0;height:8.6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18656" behindDoc="0" locked="0" layoutInCell="1" allowOverlap="1" wp14:anchorId="58617B4D" wp14:editId="2EC42E9D">
                <wp:simplePos x="0" y="0"/>
                <wp:positionH relativeFrom="column">
                  <wp:posOffset>2595630</wp:posOffset>
                </wp:positionH>
                <wp:positionV relativeFrom="paragraph">
                  <wp:posOffset>5003165</wp:posOffset>
                </wp:positionV>
                <wp:extent cx="215900" cy="267970"/>
                <wp:effectExtent l="19050" t="19050" r="69850" b="55880"/>
                <wp:wrapNone/>
                <wp:docPr id="68" name="Connecteur droit avec flèche 68"/>
                <wp:cNvGraphicFramePr/>
                <a:graphic xmlns:a="http://schemas.openxmlformats.org/drawingml/2006/main">
                  <a:graphicData uri="http://schemas.microsoft.com/office/word/2010/wordprocessingShape">
                    <wps:wsp>
                      <wps:cNvCnPr/>
                      <wps:spPr>
                        <a:xfrm>
                          <a:off x="0" y="0"/>
                          <a:ext cx="215900" cy="267970"/>
                        </a:xfrm>
                        <a:prstGeom prst="straightConnector1">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006E78" id="Connecteur droit avec flèche 68" o:spid="_x0000_s1026" type="#_x0000_t32" style="position:absolute;margin-left:204.4pt;margin-top:393.95pt;width:17pt;height:21.1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" strokecolor="#ed7d31 [3205]" strokeweight="3pt">
                <v:stroke endarrow="block" joinstyle="miter"/>
              </v:shape>
            </w:pict>
          </mc:Fallback>
        </mc:AlternateContent>
      </w:r>
      <w:r>
        <w:rPr>
          <w:noProof/>
          <w:lang w:eastAsia="fr-BE"/>
        </w:rPr>
        <mc:AlternateContent>
          <mc:Choice Requires="wps">
            <w:drawing>
              <wp:anchor distT="0" distB="0" distL="114300" distR="114300" simplePos="0" relativeHeight="251709440" behindDoc="0" locked="0" layoutInCell="1" allowOverlap="1" wp14:anchorId="373CF741" wp14:editId="38E657A0">
                <wp:simplePos x="0" y="0"/>
                <wp:positionH relativeFrom="column">
                  <wp:posOffset>-21310</wp:posOffset>
                </wp:positionH>
                <wp:positionV relativeFrom="paragraph">
                  <wp:posOffset>3032936</wp:posOffset>
                </wp:positionV>
                <wp:extent cx="590550" cy="1853471"/>
                <wp:effectExtent l="400050" t="95250" r="0" b="33020"/>
                <wp:wrapNone/>
                <wp:docPr id="69" name="Connecteur : en angle 38"/>
                <wp:cNvGraphicFramePr/>
                <a:graphic xmlns:a="http://schemas.openxmlformats.org/drawingml/2006/main">
                  <a:graphicData uri="http://schemas.microsoft.com/office/word/2010/wordprocessingShape">
                    <wps:wsp>
                      <wps:cNvCnPr/>
                      <wps:spPr>
                        <a:xfrm flipH="1" flipV="1">
                          <a:off x="0" y="0"/>
                          <a:ext cx="590550" cy="1853471"/>
                        </a:xfrm>
                        <a:prstGeom prst="bentConnector3">
                          <a:avLst>
                            <a:gd name="adj1" fmla="val 163666"/>
                          </a:avLst>
                        </a:prstGeom>
                        <a:ln w="38100">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6922056"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 en angle 38" o:spid="_x0000_s1026" type="#_x0000_t34" style="position:absolute;margin-left:-1.7pt;margin-top:238.8pt;width:46.5pt;height:145.95pt;flip:x 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" adj="35352" strokecolor="#ed7d31 [3205]" strokeweight="3pt">
                <v:stroke endarrow="block"/>
              </v:shape>
            </w:pict>
          </mc:Fallback>
        </mc:AlternateContent>
      </w:r>
      <w:r>
        <w:rPr>
          <w:noProof/>
          <w:lang w:eastAsia="fr-BE"/>
        </w:rPr>
        <mc:AlternateContent>
          <mc:Choice Requires="wps">
            <w:drawing>
              <wp:anchor distT="0" distB="0" distL="114300" distR="114300" simplePos="0" relativeHeight="251708416" behindDoc="0" locked="0" layoutInCell="1" allowOverlap="1" wp14:anchorId="77BC54E3" wp14:editId="0F117869">
                <wp:simplePos x="0" y="0"/>
                <wp:positionH relativeFrom="column">
                  <wp:posOffset>566660</wp:posOffset>
                </wp:positionH>
                <wp:positionV relativeFrom="paragraph">
                  <wp:posOffset>4773607</wp:posOffset>
                </wp:positionV>
                <wp:extent cx="1360074" cy="233045"/>
                <wp:effectExtent l="0" t="0" r="12065" b="14605"/>
                <wp:wrapNone/>
                <wp:docPr id="70" name="Rectangle : coins arrondis 5"/>
                <wp:cNvGraphicFramePr/>
                <a:graphic xmlns:a="http://schemas.openxmlformats.org/drawingml/2006/main">
                  <a:graphicData uri="http://schemas.microsoft.com/office/word/2010/wordprocessingShape">
                    <wps:wsp>
                      <wps:cNvSpPr/>
                      <wps:spPr>
                        <a:xfrm>
                          <a:off x="0" y="0"/>
                          <a:ext cx="1360074" cy="2330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632ABD" w14:textId="77777777" w:rsidR="00D36EC3" w:rsidRPr="00040913" w:rsidRDefault="00D36EC3" w:rsidP="00E761A9">
                            <w:pPr>
                              <w:jc w:val="center"/>
                              <w:rPr>
                                <w:sz w:val="16"/>
                                <w:szCs w:val="16"/>
                              </w:rPr>
                            </w:pPr>
                            <w:r>
                              <w:rPr>
                                <w:sz w:val="16"/>
                                <w:szCs w:val="16"/>
                              </w:rPr>
                              <w:t>PATIENT À RISQUE D’ORN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BC54E3" id="Rectangle : coins arrondis 5" o:spid="_x0000_s1041" style="position:absolute;margin-left:44.6pt;margin-top:375.85pt;width:107.1pt;height:18.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" fillcolor="#4472c4 [3204]" strokecolor="#1f3763 [1604]" strokeweight="1pt">
                <v:stroke joinstyle="miter"/>
                <v:textbox>
                  <w:txbxContent>
                    <w:p w14:paraId="3A632ABD" w14:textId="77777777" w:rsidR="00D36EC3" w:rsidRPr="00040913" w:rsidRDefault="00D36EC3" w:rsidP="00E761A9">
                      <w:pPr>
                        <w:jc w:val="center"/>
                        <w:rPr>
                          <w:sz w:val="16"/>
                          <w:szCs w:val="16"/>
                        </w:rPr>
                      </w:pPr>
                      <w:r>
                        <w:rPr>
                          <w:sz w:val="16"/>
                          <w:szCs w:val="16"/>
                        </w:rPr>
                        <w:t>PATIENT À RISQUE D’ORN</w:t>
                      </w:r>
                    </w:p>
                  </w:txbxContent>
                </v:textbox>
              </v:roundrect>
            </w:pict>
          </mc:Fallback>
        </mc:AlternateContent>
      </w:r>
      <w:r>
        <w:rPr>
          <w:noProof/>
          <w:lang w:eastAsia="fr-BE"/>
        </w:rPr>
        <mc:AlternateContent>
          <mc:Choice Requires="wps">
            <w:drawing>
              <wp:anchor distT="0" distB="0" distL="114300" distR="114300" simplePos="0" relativeHeight="251707392" behindDoc="0" locked="0" layoutInCell="1" allowOverlap="1" wp14:anchorId="2C451602" wp14:editId="716A179A">
                <wp:simplePos x="0" y="0"/>
                <wp:positionH relativeFrom="column">
                  <wp:posOffset>-385</wp:posOffset>
                </wp:positionH>
                <wp:positionV relativeFrom="paragraph">
                  <wp:posOffset>1348730</wp:posOffset>
                </wp:positionV>
                <wp:extent cx="6275070" cy="1121410"/>
                <wp:effectExtent l="0" t="0" r="11430" b="21590"/>
                <wp:wrapNone/>
                <wp:docPr id="71" name="Rectangle : coins arrondis 2"/>
                <wp:cNvGraphicFramePr/>
                <a:graphic xmlns:a="http://schemas.openxmlformats.org/drawingml/2006/main">
                  <a:graphicData uri="http://schemas.microsoft.com/office/word/2010/wordprocessingShape">
                    <wps:wsp>
                      <wps:cNvSpPr/>
                      <wps:spPr>
                        <a:xfrm>
                          <a:off x="0" y="0"/>
                          <a:ext cx="6275070" cy="112141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A308D9" w14:textId="77777777" w:rsidR="00D36EC3" w:rsidRDefault="00D36EC3" w:rsidP="00E761A9">
                            <w:pPr>
                              <w:rPr>
                                <w:sz w:val="16"/>
                                <w:szCs w:val="16"/>
                              </w:rPr>
                            </w:pPr>
                            <w:r>
                              <w:rPr>
                                <w:sz w:val="16"/>
                                <w:szCs w:val="16"/>
                              </w:rPr>
                              <w:t>MESURES PER-RADIOTHÉRAPIE</w:t>
                            </w:r>
                          </w:p>
                          <w:p w14:paraId="5B976A1C" w14:textId="77777777" w:rsidR="00D36EC3" w:rsidRDefault="00D36EC3" w:rsidP="00E761A9">
                            <w:pPr>
                              <w:pStyle w:val="Paragraphedeliste"/>
                              <w:numPr>
                                <w:ilvl w:val="0"/>
                                <w:numId w:val="24"/>
                              </w:numPr>
                              <w:rPr>
                                <w:sz w:val="16"/>
                                <w:szCs w:val="16"/>
                              </w:rPr>
                            </w:pPr>
                            <w:r>
                              <w:rPr>
                                <w:sz w:val="16"/>
                                <w:szCs w:val="16"/>
                              </w:rPr>
                              <w:t>Prothèse amovible : port uniquement pendant repas pour éviter blessure</w:t>
                            </w:r>
                          </w:p>
                          <w:p w14:paraId="5ACEA8FC" w14:textId="77777777" w:rsidR="00D36EC3" w:rsidRDefault="00D36EC3" w:rsidP="00E761A9">
                            <w:pPr>
                              <w:pStyle w:val="Paragraphedeliste"/>
                              <w:numPr>
                                <w:ilvl w:val="0"/>
                                <w:numId w:val="24"/>
                              </w:numPr>
                              <w:rPr>
                                <w:sz w:val="16"/>
                                <w:szCs w:val="16"/>
                              </w:rPr>
                            </w:pPr>
                            <w:r>
                              <w:rPr>
                                <w:sz w:val="16"/>
                                <w:szCs w:val="16"/>
                              </w:rPr>
                              <w:t>Port de gouttières de fluoration</w:t>
                            </w:r>
                          </w:p>
                          <w:p w14:paraId="4535AC34" w14:textId="77777777" w:rsidR="00D36EC3" w:rsidRDefault="00D36EC3" w:rsidP="00E761A9">
                            <w:pPr>
                              <w:pStyle w:val="Paragraphedeliste"/>
                              <w:numPr>
                                <w:ilvl w:val="0"/>
                                <w:numId w:val="24"/>
                              </w:numPr>
                              <w:rPr>
                                <w:sz w:val="16"/>
                                <w:szCs w:val="16"/>
                              </w:rPr>
                            </w:pPr>
                            <w:r>
                              <w:rPr>
                                <w:sz w:val="16"/>
                                <w:szCs w:val="16"/>
                              </w:rPr>
                              <w:t>Bilan dentaire et soins dentaires supra-osseux possibles</w:t>
                            </w:r>
                          </w:p>
                          <w:p w14:paraId="371C2CDE" w14:textId="77777777" w:rsidR="00D36EC3" w:rsidRPr="00D548C0" w:rsidRDefault="00D36EC3" w:rsidP="00E761A9">
                            <w:pPr>
                              <w:pStyle w:val="Paragraphedeliste"/>
                              <w:numPr>
                                <w:ilvl w:val="0"/>
                                <w:numId w:val="24"/>
                              </w:numPr>
                              <w:rPr>
                                <w:sz w:val="16"/>
                                <w:szCs w:val="16"/>
                              </w:rPr>
                            </w:pPr>
                            <w:r>
                              <w:rPr>
                                <w:sz w:val="16"/>
                                <w:szCs w:val="16"/>
                              </w:rPr>
                              <w:t>Éviter tout geste invasif, en particulier à proximité osseuse (extraction, dévitalisation, surfaçage, …)</w:t>
                            </w:r>
                            <w:r w:rsidRPr="00D548C0">
                              <w:rPr>
                                <w:sz w:val="16"/>
                                <w:szCs w:val="1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451602" id="Rectangle : coins arrondis 2" o:spid="_x0000_s1042" style="position:absolute;margin-left:-.05pt;margin-top:106.2pt;width:494.1pt;height:88.3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" fillcolor="#4472c4 [3204]" strokecolor="#1f3763 [1604]" strokeweight="1pt">
                <v:stroke joinstyle="miter"/>
                <v:textbox>
                  <w:txbxContent>
                    <w:p w14:paraId="7AA308D9" w14:textId="77777777" w:rsidR="00D36EC3" w:rsidRDefault="00D36EC3" w:rsidP="00E761A9">
                      <w:pPr>
                        <w:rPr>
                          <w:sz w:val="16"/>
                          <w:szCs w:val="16"/>
                        </w:rPr>
                      </w:pPr>
                      <w:r>
                        <w:rPr>
                          <w:sz w:val="16"/>
                          <w:szCs w:val="16"/>
                        </w:rPr>
                        <w:t>MESURES PER-RADIOTHÉRAPIE</w:t>
                      </w:r>
                    </w:p>
                    <w:p w14:paraId="5B976A1C" w14:textId="77777777" w:rsidR="00D36EC3" w:rsidRDefault="00D36EC3" w:rsidP="00E761A9">
                      <w:pPr>
                        <w:pStyle w:val="Paragraphedeliste"/>
                        <w:numPr>
                          <w:ilvl w:val="0"/>
                          <w:numId w:val="24"/>
                        </w:numPr>
                        <w:rPr>
                          <w:sz w:val="16"/>
                          <w:szCs w:val="16"/>
                        </w:rPr>
                      </w:pPr>
                      <w:r>
                        <w:rPr>
                          <w:sz w:val="16"/>
                          <w:szCs w:val="16"/>
                        </w:rPr>
                        <w:t>Prothèse amovible : port uniquement pendant repas pour éviter blessure</w:t>
                      </w:r>
                    </w:p>
                    <w:p w14:paraId="5ACEA8FC" w14:textId="77777777" w:rsidR="00D36EC3" w:rsidRDefault="00D36EC3" w:rsidP="00E761A9">
                      <w:pPr>
                        <w:pStyle w:val="Paragraphedeliste"/>
                        <w:numPr>
                          <w:ilvl w:val="0"/>
                          <w:numId w:val="24"/>
                        </w:numPr>
                        <w:rPr>
                          <w:sz w:val="16"/>
                          <w:szCs w:val="16"/>
                        </w:rPr>
                      </w:pPr>
                      <w:r>
                        <w:rPr>
                          <w:sz w:val="16"/>
                          <w:szCs w:val="16"/>
                        </w:rPr>
                        <w:t>Port de gouttières de fluoration</w:t>
                      </w:r>
                    </w:p>
                    <w:p w14:paraId="4535AC34" w14:textId="77777777" w:rsidR="00D36EC3" w:rsidRDefault="00D36EC3" w:rsidP="00E761A9">
                      <w:pPr>
                        <w:pStyle w:val="Paragraphedeliste"/>
                        <w:numPr>
                          <w:ilvl w:val="0"/>
                          <w:numId w:val="24"/>
                        </w:numPr>
                        <w:rPr>
                          <w:sz w:val="16"/>
                          <w:szCs w:val="16"/>
                        </w:rPr>
                      </w:pPr>
                      <w:r>
                        <w:rPr>
                          <w:sz w:val="16"/>
                          <w:szCs w:val="16"/>
                        </w:rPr>
                        <w:t>Bilan dentaire et soins dentaires supra-osseux possibles</w:t>
                      </w:r>
                    </w:p>
                    <w:p w14:paraId="371C2CDE" w14:textId="77777777" w:rsidR="00D36EC3" w:rsidRPr="00D548C0" w:rsidRDefault="00D36EC3" w:rsidP="00E761A9">
                      <w:pPr>
                        <w:pStyle w:val="Paragraphedeliste"/>
                        <w:numPr>
                          <w:ilvl w:val="0"/>
                          <w:numId w:val="24"/>
                        </w:numPr>
                        <w:rPr>
                          <w:sz w:val="16"/>
                          <w:szCs w:val="16"/>
                        </w:rPr>
                      </w:pPr>
                      <w:r>
                        <w:rPr>
                          <w:sz w:val="16"/>
                          <w:szCs w:val="16"/>
                        </w:rPr>
                        <w:t>Éviter tout geste invasif, en particulier à proximité osseuse (extraction, dévitalisation, surfaçage, …)</w:t>
                      </w:r>
                      <w:r w:rsidRPr="00D548C0">
                        <w:rPr>
                          <w:sz w:val="16"/>
                          <w:szCs w:val="16"/>
                        </w:rPr>
                        <w:t xml:space="preserve"> </w:t>
                      </w:r>
                    </w:p>
                  </w:txbxContent>
                </v:textbox>
              </v:roundrect>
            </w:pict>
          </mc:Fallback>
        </mc:AlternateContent>
      </w:r>
      <w:r>
        <w:rPr>
          <w:noProof/>
          <w:lang w:eastAsia="fr-BE"/>
        </w:rPr>
        <mc:AlternateContent>
          <mc:Choice Requires="wps">
            <w:drawing>
              <wp:anchor distT="0" distB="0" distL="114300" distR="114300" simplePos="0" relativeHeight="251706368" behindDoc="0" locked="0" layoutInCell="1" allowOverlap="1" wp14:anchorId="0E1856B9" wp14:editId="56C3C0B6">
                <wp:simplePos x="0" y="0"/>
                <wp:positionH relativeFrom="column">
                  <wp:posOffset>-3324</wp:posOffset>
                </wp:positionH>
                <wp:positionV relativeFrom="paragraph">
                  <wp:posOffset>-21254</wp:posOffset>
                </wp:positionV>
                <wp:extent cx="6275070" cy="1255059"/>
                <wp:effectExtent l="0" t="0" r="11430" b="21590"/>
                <wp:wrapNone/>
                <wp:docPr id="72" name="Rectangle : coins arrondis 1"/>
                <wp:cNvGraphicFramePr/>
                <a:graphic xmlns:a="http://schemas.openxmlformats.org/drawingml/2006/main">
                  <a:graphicData uri="http://schemas.microsoft.com/office/word/2010/wordprocessingShape">
                    <wps:wsp>
                      <wps:cNvSpPr/>
                      <wps:spPr>
                        <a:xfrm>
                          <a:off x="0" y="0"/>
                          <a:ext cx="6275070" cy="125505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2850FC" w14:textId="77777777" w:rsidR="00D36EC3" w:rsidRDefault="00D36EC3" w:rsidP="00E761A9">
                            <w:pPr>
                              <w:rPr>
                                <w:sz w:val="16"/>
                                <w:szCs w:val="16"/>
                              </w:rPr>
                            </w:pPr>
                            <w:r>
                              <w:rPr>
                                <w:sz w:val="16"/>
                                <w:szCs w:val="16"/>
                              </w:rPr>
                              <w:t>MESURES PRÉ-RADIOTHÉRAPIE</w:t>
                            </w:r>
                          </w:p>
                          <w:p w14:paraId="37B7B81A" w14:textId="77777777" w:rsidR="00D36EC3" w:rsidRDefault="00D36EC3" w:rsidP="00E761A9">
                            <w:pPr>
                              <w:pStyle w:val="Paragraphedeliste"/>
                              <w:numPr>
                                <w:ilvl w:val="0"/>
                                <w:numId w:val="23"/>
                              </w:numPr>
                              <w:rPr>
                                <w:sz w:val="16"/>
                                <w:szCs w:val="16"/>
                              </w:rPr>
                            </w:pPr>
                            <w:r w:rsidRPr="00D548C0">
                              <w:rPr>
                                <w:sz w:val="16"/>
                                <w:szCs w:val="16"/>
                                <w:u w:val="single"/>
                              </w:rPr>
                              <w:t>Éducation</w:t>
                            </w:r>
                            <w:r>
                              <w:rPr>
                                <w:sz w:val="16"/>
                                <w:szCs w:val="16"/>
                              </w:rPr>
                              <w:t xml:space="preserve"> du patient et correction des facteurs de risque modifiables</w:t>
                            </w:r>
                          </w:p>
                          <w:p w14:paraId="1E1E8E25" w14:textId="77777777" w:rsidR="00D36EC3" w:rsidRDefault="00D36EC3" w:rsidP="00E761A9">
                            <w:pPr>
                              <w:pStyle w:val="Paragraphedeliste"/>
                              <w:numPr>
                                <w:ilvl w:val="0"/>
                                <w:numId w:val="23"/>
                              </w:numPr>
                              <w:rPr>
                                <w:sz w:val="16"/>
                                <w:szCs w:val="16"/>
                              </w:rPr>
                            </w:pPr>
                            <w:r w:rsidRPr="00D548C0">
                              <w:rPr>
                                <w:sz w:val="16"/>
                                <w:szCs w:val="16"/>
                                <w:u w:val="single"/>
                              </w:rPr>
                              <w:t>Bilan</w:t>
                            </w:r>
                            <w:r>
                              <w:rPr>
                                <w:sz w:val="16"/>
                                <w:szCs w:val="16"/>
                              </w:rPr>
                              <w:t xml:space="preserve"> dentaire complet et planification des soins dentaires préventifs</w:t>
                            </w:r>
                          </w:p>
                          <w:p w14:paraId="153FECF9" w14:textId="77777777" w:rsidR="00D36EC3" w:rsidRDefault="00D36EC3" w:rsidP="00E761A9">
                            <w:pPr>
                              <w:pStyle w:val="Paragraphedeliste"/>
                              <w:numPr>
                                <w:ilvl w:val="0"/>
                                <w:numId w:val="23"/>
                              </w:numPr>
                              <w:rPr>
                                <w:sz w:val="16"/>
                                <w:szCs w:val="16"/>
                              </w:rPr>
                            </w:pPr>
                            <w:r w:rsidRPr="00D548C0">
                              <w:rPr>
                                <w:sz w:val="16"/>
                                <w:szCs w:val="16"/>
                                <w:u w:val="single"/>
                              </w:rPr>
                              <w:t>Extractions</w:t>
                            </w:r>
                            <w:r>
                              <w:rPr>
                                <w:sz w:val="16"/>
                                <w:szCs w:val="16"/>
                              </w:rPr>
                              <w:t> : minimum 10-14j avant début radiothérapie (optimum 21j) avec comme but d’éviter toute extraction par la suite dans zone irradiée. Concerne les dents dans le volume irradié avec infection active (</w:t>
                            </w:r>
                            <w:r>
                              <w:rPr>
                                <w:sz w:val="16"/>
                                <w:szCs w:val="16"/>
                              </w:rPr>
                              <w:t>dentino-pulpaire, radiculaire, osseuse ou parodontale) et/ou dents dont préservation à long-terme est incertaine.</w:t>
                            </w:r>
                          </w:p>
                          <w:p w14:paraId="5072C387" w14:textId="77777777" w:rsidR="00D36EC3" w:rsidRPr="00106BB8" w:rsidRDefault="00D36EC3" w:rsidP="00E761A9">
                            <w:pPr>
                              <w:pStyle w:val="Paragraphedeliste"/>
                              <w:numPr>
                                <w:ilvl w:val="0"/>
                                <w:numId w:val="23"/>
                              </w:numPr>
                              <w:rPr>
                                <w:sz w:val="16"/>
                                <w:szCs w:val="16"/>
                              </w:rPr>
                            </w:pPr>
                            <w:r w:rsidRPr="00D548C0">
                              <w:rPr>
                                <w:sz w:val="16"/>
                                <w:szCs w:val="16"/>
                                <w:u w:val="single"/>
                              </w:rPr>
                              <w:t xml:space="preserve">Gouttières </w:t>
                            </w:r>
                            <w:r>
                              <w:rPr>
                                <w:sz w:val="16"/>
                                <w:szCs w:val="16"/>
                              </w:rPr>
                              <w:t xml:space="preserve">de fluoration à concevoir par empreintes intra-orales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1856B9" id="Rectangle : coins arrondis 1" o:spid="_x0000_s1043" style="position:absolute;margin-left:-.25pt;margin-top:-1.65pt;width:494.1pt;height:98.8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" fillcolor="#4472c4 [3204]" strokecolor="#1f3763 [1604]" strokeweight="1pt">
                <v:stroke joinstyle="miter"/>
                <v:textbox>
                  <w:txbxContent>
                    <w:p w14:paraId="3A2850FC" w14:textId="77777777" w:rsidR="00D36EC3" w:rsidRDefault="00D36EC3" w:rsidP="00E761A9">
                      <w:pPr>
                        <w:rPr>
                          <w:sz w:val="16"/>
                          <w:szCs w:val="16"/>
                        </w:rPr>
                      </w:pPr>
                      <w:r>
                        <w:rPr>
                          <w:sz w:val="16"/>
                          <w:szCs w:val="16"/>
                        </w:rPr>
                        <w:t>MESURES PRÉ-RADIOTHÉRAPIE</w:t>
                      </w:r>
                    </w:p>
                    <w:p w14:paraId="37B7B81A" w14:textId="77777777" w:rsidR="00D36EC3" w:rsidRDefault="00D36EC3" w:rsidP="00E761A9">
                      <w:pPr>
                        <w:pStyle w:val="Paragraphedeliste"/>
                        <w:numPr>
                          <w:ilvl w:val="0"/>
                          <w:numId w:val="23"/>
                        </w:numPr>
                        <w:rPr>
                          <w:sz w:val="16"/>
                          <w:szCs w:val="16"/>
                        </w:rPr>
                      </w:pPr>
                      <w:r w:rsidRPr="00D548C0">
                        <w:rPr>
                          <w:sz w:val="16"/>
                          <w:szCs w:val="16"/>
                          <w:u w:val="single"/>
                        </w:rPr>
                        <w:t>Éducation</w:t>
                      </w:r>
                      <w:r>
                        <w:rPr>
                          <w:sz w:val="16"/>
                          <w:szCs w:val="16"/>
                        </w:rPr>
                        <w:t xml:space="preserve"> du patient et correction des facteurs de risque modifiables</w:t>
                      </w:r>
                    </w:p>
                    <w:p w14:paraId="1E1E8E25" w14:textId="77777777" w:rsidR="00D36EC3" w:rsidRDefault="00D36EC3" w:rsidP="00E761A9">
                      <w:pPr>
                        <w:pStyle w:val="Paragraphedeliste"/>
                        <w:numPr>
                          <w:ilvl w:val="0"/>
                          <w:numId w:val="23"/>
                        </w:numPr>
                        <w:rPr>
                          <w:sz w:val="16"/>
                          <w:szCs w:val="16"/>
                        </w:rPr>
                      </w:pPr>
                      <w:r w:rsidRPr="00D548C0">
                        <w:rPr>
                          <w:sz w:val="16"/>
                          <w:szCs w:val="16"/>
                          <w:u w:val="single"/>
                        </w:rPr>
                        <w:t>Bilan</w:t>
                      </w:r>
                      <w:r>
                        <w:rPr>
                          <w:sz w:val="16"/>
                          <w:szCs w:val="16"/>
                        </w:rPr>
                        <w:t xml:space="preserve"> dentaire complet et planification des soins dentaires préventifs</w:t>
                      </w:r>
                    </w:p>
                    <w:p w14:paraId="153FECF9" w14:textId="77777777" w:rsidR="00D36EC3" w:rsidRDefault="00D36EC3" w:rsidP="00E761A9">
                      <w:pPr>
                        <w:pStyle w:val="Paragraphedeliste"/>
                        <w:numPr>
                          <w:ilvl w:val="0"/>
                          <w:numId w:val="23"/>
                        </w:numPr>
                        <w:rPr>
                          <w:sz w:val="16"/>
                          <w:szCs w:val="16"/>
                        </w:rPr>
                      </w:pPr>
                      <w:r w:rsidRPr="00D548C0">
                        <w:rPr>
                          <w:sz w:val="16"/>
                          <w:szCs w:val="16"/>
                          <w:u w:val="single"/>
                        </w:rPr>
                        <w:t>Extractions</w:t>
                      </w:r>
                      <w:r>
                        <w:rPr>
                          <w:sz w:val="16"/>
                          <w:szCs w:val="16"/>
                        </w:rPr>
                        <w:t> : minimum 10-14j avant début radiothérapie (optimum 21j) avec comme but d’éviter toute extraction par la suite dans zone irradiée. Concerne les dents dans le volume irradié avec infection active (</w:t>
                      </w:r>
                      <w:proofErr w:type="spellStart"/>
                      <w:r>
                        <w:rPr>
                          <w:sz w:val="16"/>
                          <w:szCs w:val="16"/>
                        </w:rPr>
                        <w:t>dentino</w:t>
                      </w:r>
                      <w:proofErr w:type="spellEnd"/>
                      <w:r>
                        <w:rPr>
                          <w:sz w:val="16"/>
                          <w:szCs w:val="16"/>
                        </w:rPr>
                        <w:t>-pulpaire, radiculaire, osseuse ou parodontale) et/ou dents dont préservation à long-terme est incertaine.</w:t>
                      </w:r>
                    </w:p>
                    <w:p w14:paraId="5072C387" w14:textId="77777777" w:rsidR="00D36EC3" w:rsidRPr="00106BB8" w:rsidRDefault="00D36EC3" w:rsidP="00E761A9">
                      <w:pPr>
                        <w:pStyle w:val="Paragraphedeliste"/>
                        <w:numPr>
                          <w:ilvl w:val="0"/>
                          <w:numId w:val="23"/>
                        </w:numPr>
                        <w:rPr>
                          <w:sz w:val="16"/>
                          <w:szCs w:val="16"/>
                        </w:rPr>
                      </w:pPr>
                      <w:r w:rsidRPr="00D548C0">
                        <w:rPr>
                          <w:sz w:val="16"/>
                          <w:szCs w:val="16"/>
                          <w:u w:val="single"/>
                        </w:rPr>
                        <w:t xml:space="preserve">Gouttières </w:t>
                      </w:r>
                      <w:r>
                        <w:rPr>
                          <w:sz w:val="16"/>
                          <w:szCs w:val="16"/>
                        </w:rPr>
                        <w:t xml:space="preserve">de fluoration à concevoir par empreintes intra-orales </w:t>
                      </w:r>
                    </w:p>
                  </w:txbxContent>
                </v:textbox>
              </v:roundrect>
            </w:pict>
          </mc:Fallback>
        </mc:AlternateContent>
      </w:r>
    </w:p>
    <w:p w14:paraId="7329FCEE" w14:textId="2CD919BE" w:rsidR="00CF30D0" w:rsidRDefault="00CF30D0" w:rsidP="001E6D9A">
      <w:pPr>
        <w:tabs>
          <w:tab w:val="left" w:pos="7632"/>
        </w:tabs>
      </w:pPr>
    </w:p>
    <w:p w14:paraId="1FBD5B6D" w14:textId="3E69306D" w:rsidR="00CF30D0" w:rsidRDefault="00CF30D0" w:rsidP="001E6D9A">
      <w:pPr>
        <w:tabs>
          <w:tab w:val="left" w:pos="7632"/>
        </w:tabs>
      </w:pPr>
    </w:p>
    <w:p w14:paraId="6473988B" w14:textId="41AFE942" w:rsidR="00CF30D0" w:rsidRDefault="00CF30D0" w:rsidP="001E6D9A">
      <w:pPr>
        <w:tabs>
          <w:tab w:val="left" w:pos="7632"/>
        </w:tabs>
      </w:pPr>
    </w:p>
    <w:p w14:paraId="14945DE0" w14:textId="1AE20623" w:rsidR="00CF30D0" w:rsidRDefault="00CF30D0" w:rsidP="001E6D9A">
      <w:pPr>
        <w:tabs>
          <w:tab w:val="left" w:pos="7632"/>
        </w:tabs>
      </w:pPr>
    </w:p>
    <w:p w14:paraId="6C12232F" w14:textId="0EDCC44E" w:rsidR="00CF30D0" w:rsidRDefault="00CF30D0" w:rsidP="001E6D9A">
      <w:pPr>
        <w:tabs>
          <w:tab w:val="left" w:pos="7632"/>
        </w:tabs>
      </w:pPr>
    </w:p>
    <w:p w14:paraId="46638C1F" w14:textId="74036C68" w:rsidR="00CF30D0" w:rsidRDefault="00CF30D0" w:rsidP="001E6D9A">
      <w:pPr>
        <w:tabs>
          <w:tab w:val="left" w:pos="7632"/>
        </w:tabs>
      </w:pPr>
    </w:p>
    <w:p w14:paraId="4262C83E" w14:textId="62A8D31B" w:rsidR="00CF30D0" w:rsidRDefault="00CF30D0" w:rsidP="001E6D9A">
      <w:pPr>
        <w:tabs>
          <w:tab w:val="left" w:pos="7632"/>
        </w:tabs>
      </w:pPr>
    </w:p>
    <w:p w14:paraId="01B791D2" w14:textId="7A61E50D" w:rsidR="00CF30D0" w:rsidRDefault="00CF30D0" w:rsidP="001E6D9A">
      <w:pPr>
        <w:tabs>
          <w:tab w:val="left" w:pos="7632"/>
        </w:tabs>
      </w:pPr>
    </w:p>
    <w:p w14:paraId="189D13AC" w14:textId="5D085FE9" w:rsidR="00CF30D0" w:rsidRDefault="00CF30D0" w:rsidP="001E6D9A">
      <w:pPr>
        <w:tabs>
          <w:tab w:val="left" w:pos="7632"/>
        </w:tabs>
      </w:pPr>
    </w:p>
    <w:p w14:paraId="255450DA" w14:textId="2EAE818E" w:rsidR="00CF30D0" w:rsidRDefault="00CF30D0" w:rsidP="001E6D9A">
      <w:pPr>
        <w:tabs>
          <w:tab w:val="left" w:pos="7632"/>
        </w:tabs>
      </w:pPr>
    </w:p>
    <w:p w14:paraId="77ACED90" w14:textId="4022AA5E" w:rsidR="00CF30D0" w:rsidRDefault="00CF30D0" w:rsidP="001E6D9A">
      <w:pPr>
        <w:tabs>
          <w:tab w:val="left" w:pos="7632"/>
        </w:tabs>
      </w:pPr>
    </w:p>
    <w:p w14:paraId="0CEEB823" w14:textId="3D1ABDFA" w:rsidR="00CF30D0" w:rsidRDefault="00CF30D0" w:rsidP="001E6D9A">
      <w:pPr>
        <w:tabs>
          <w:tab w:val="left" w:pos="7632"/>
        </w:tabs>
      </w:pPr>
    </w:p>
    <w:p w14:paraId="45F7008D" w14:textId="2FDD0E2B" w:rsidR="00CF30D0" w:rsidRDefault="00CF30D0" w:rsidP="001E6D9A">
      <w:pPr>
        <w:tabs>
          <w:tab w:val="left" w:pos="7632"/>
        </w:tabs>
      </w:pPr>
    </w:p>
    <w:p w14:paraId="4E756581" w14:textId="08C3F68F" w:rsidR="00CF30D0" w:rsidRDefault="00CF30D0" w:rsidP="001E6D9A">
      <w:pPr>
        <w:tabs>
          <w:tab w:val="left" w:pos="7632"/>
        </w:tabs>
      </w:pPr>
    </w:p>
    <w:p w14:paraId="60D6869E" w14:textId="20F73DDB" w:rsidR="00CF30D0" w:rsidRDefault="00CF30D0" w:rsidP="001E6D9A">
      <w:pPr>
        <w:tabs>
          <w:tab w:val="left" w:pos="7632"/>
        </w:tabs>
      </w:pPr>
    </w:p>
    <w:p w14:paraId="480CC7F6" w14:textId="2D5FF432" w:rsidR="00CF30D0" w:rsidRDefault="00CF30D0" w:rsidP="001E6D9A">
      <w:pPr>
        <w:tabs>
          <w:tab w:val="left" w:pos="7632"/>
        </w:tabs>
      </w:pPr>
    </w:p>
    <w:p w14:paraId="5527F51C" w14:textId="78F30FEE" w:rsidR="00CF30D0" w:rsidRDefault="00CF30D0" w:rsidP="001E6D9A">
      <w:pPr>
        <w:tabs>
          <w:tab w:val="left" w:pos="7632"/>
        </w:tabs>
      </w:pPr>
    </w:p>
    <w:p w14:paraId="1FB718B8" w14:textId="4E3C1D0A" w:rsidR="00CF30D0" w:rsidRDefault="00CF30D0" w:rsidP="001E6D9A">
      <w:pPr>
        <w:tabs>
          <w:tab w:val="left" w:pos="7632"/>
        </w:tabs>
      </w:pPr>
    </w:p>
    <w:p w14:paraId="7332EC6F" w14:textId="03A55C6F" w:rsidR="00CF30D0" w:rsidRDefault="00CF30D0" w:rsidP="001E6D9A">
      <w:pPr>
        <w:tabs>
          <w:tab w:val="left" w:pos="7632"/>
        </w:tabs>
      </w:pPr>
    </w:p>
    <w:p w14:paraId="79D7B668" w14:textId="637DBACD" w:rsidR="00CF30D0" w:rsidRDefault="00CF30D0" w:rsidP="001E6D9A">
      <w:pPr>
        <w:tabs>
          <w:tab w:val="left" w:pos="7632"/>
        </w:tabs>
      </w:pPr>
    </w:p>
    <w:p w14:paraId="69743099" w14:textId="29794D87" w:rsidR="00CF30D0" w:rsidRDefault="00CF30D0" w:rsidP="001E6D9A">
      <w:pPr>
        <w:tabs>
          <w:tab w:val="left" w:pos="7632"/>
        </w:tabs>
      </w:pPr>
    </w:p>
    <w:p w14:paraId="2D9FF5C2" w14:textId="0F28C6FC" w:rsidR="00CF30D0" w:rsidRDefault="00CF30D0" w:rsidP="001E6D9A">
      <w:pPr>
        <w:tabs>
          <w:tab w:val="left" w:pos="7632"/>
        </w:tabs>
      </w:pPr>
    </w:p>
    <w:p w14:paraId="2A666B2B" w14:textId="242662DD" w:rsidR="008B2758" w:rsidRDefault="008B2758" w:rsidP="001E6D9A">
      <w:pPr>
        <w:tabs>
          <w:tab w:val="left" w:pos="7632"/>
        </w:tabs>
      </w:pPr>
    </w:p>
    <w:p w14:paraId="6FAB6D2F" w14:textId="469F33F5" w:rsidR="008B2758" w:rsidRDefault="008B2758" w:rsidP="001E6D9A">
      <w:pPr>
        <w:tabs>
          <w:tab w:val="left" w:pos="7632"/>
        </w:tabs>
      </w:pPr>
    </w:p>
    <w:p w14:paraId="64991897" w14:textId="41D08C98" w:rsidR="008B2758" w:rsidRDefault="008B2758" w:rsidP="001E6D9A">
      <w:pPr>
        <w:tabs>
          <w:tab w:val="left" w:pos="7632"/>
        </w:tabs>
      </w:pPr>
    </w:p>
    <w:p w14:paraId="78AE84B3" w14:textId="26B7D7A3" w:rsidR="008B2758" w:rsidRDefault="008B2758" w:rsidP="001E6D9A">
      <w:pPr>
        <w:tabs>
          <w:tab w:val="left" w:pos="7632"/>
        </w:tabs>
      </w:pPr>
    </w:p>
    <w:p w14:paraId="75D85790" w14:textId="0A47E181" w:rsidR="008B2758" w:rsidRDefault="008B2758" w:rsidP="001E6D9A">
      <w:pPr>
        <w:tabs>
          <w:tab w:val="left" w:pos="7632"/>
        </w:tabs>
      </w:pPr>
    </w:p>
    <w:p w14:paraId="02A2D694" w14:textId="61E02CA3" w:rsidR="008B2758" w:rsidRDefault="008B2758" w:rsidP="001E6D9A">
      <w:pPr>
        <w:tabs>
          <w:tab w:val="left" w:pos="7632"/>
        </w:tabs>
      </w:pPr>
    </w:p>
    <w:p w14:paraId="701D4E4A" w14:textId="58FF1F43" w:rsidR="008B2758" w:rsidRDefault="008B2758" w:rsidP="001E6D9A">
      <w:pPr>
        <w:tabs>
          <w:tab w:val="left" w:pos="7632"/>
        </w:tabs>
      </w:pPr>
    </w:p>
    <w:p w14:paraId="535A6739" w14:textId="5A1C8790" w:rsidR="00D143E4" w:rsidRPr="0049156A" w:rsidRDefault="00C22ABE" w:rsidP="001E6D9A">
      <w:pPr>
        <w:tabs>
          <w:tab w:val="left" w:pos="7632"/>
        </w:tabs>
      </w:pPr>
      <w:r>
        <w:t>Figure 6</w:t>
      </w:r>
    </w:p>
    <w:sectPr w:rsidR="00D143E4" w:rsidRPr="0049156A" w:rsidSect="00E27FB8">
      <w:headerReference w:type="default" r:id="rId20"/>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F63E6A" w14:textId="77777777" w:rsidR="006758F5" w:rsidRDefault="006758F5" w:rsidP="002806B1">
      <w:pPr>
        <w:spacing w:after="0" w:line="240" w:lineRule="auto"/>
      </w:pPr>
      <w:r>
        <w:separator/>
      </w:r>
    </w:p>
  </w:endnote>
  <w:endnote w:type="continuationSeparator" w:id="0">
    <w:p w14:paraId="46F5EF4F" w14:textId="77777777" w:rsidR="006758F5" w:rsidRDefault="006758F5" w:rsidP="002806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7AF427" w14:textId="77777777" w:rsidR="006758F5" w:rsidRDefault="006758F5" w:rsidP="002806B1">
      <w:pPr>
        <w:spacing w:after="0" w:line="240" w:lineRule="auto"/>
      </w:pPr>
      <w:r>
        <w:separator/>
      </w:r>
    </w:p>
  </w:footnote>
  <w:footnote w:type="continuationSeparator" w:id="0">
    <w:p w14:paraId="6CC5E777" w14:textId="77777777" w:rsidR="006758F5" w:rsidRDefault="006758F5" w:rsidP="002806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1415207"/>
      <w:docPartObj>
        <w:docPartGallery w:val="Page Numbers (Top of Page)"/>
        <w:docPartUnique/>
      </w:docPartObj>
    </w:sdtPr>
    <w:sdtEndPr/>
    <w:sdtContent>
      <w:p w14:paraId="60176FAD" w14:textId="4B3B9F00" w:rsidR="00D36EC3" w:rsidRDefault="00D36EC3">
        <w:pPr>
          <w:pStyle w:val="En-tte"/>
          <w:jc w:val="right"/>
        </w:pPr>
        <w:r>
          <w:fldChar w:fldCharType="begin"/>
        </w:r>
        <w:r>
          <w:instrText>PAGE   \* MERGEFORMAT</w:instrText>
        </w:r>
        <w:r>
          <w:fldChar w:fldCharType="separate"/>
        </w:r>
        <w:r w:rsidRPr="001D1E70">
          <w:rPr>
            <w:noProof/>
            <w:lang w:val="fr-FR"/>
          </w:rPr>
          <w:t>22</w:t>
        </w:r>
        <w:r>
          <w:fldChar w:fldCharType="end"/>
        </w:r>
      </w:p>
    </w:sdtContent>
  </w:sdt>
  <w:p w14:paraId="7AC2B743" w14:textId="77777777" w:rsidR="00D36EC3" w:rsidRDefault="00D36EC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168D0"/>
    <w:multiLevelType w:val="multilevel"/>
    <w:tmpl w:val="140A052E"/>
    <w:lvl w:ilvl="0">
      <w:start w:val="1"/>
      <w:numFmt w:val="decimal"/>
      <w:lvlText w:val="%1."/>
      <w:lvlJc w:val="left"/>
      <w:pPr>
        <w:ind w:left="720" w:hanging="360"/>
      </w:pPr>
      <w:rPr>
        <w:rFonts w:hint="default"/>
        <w:b/>
        <w:color w:val="0000FF"/>
        <w:sz w:val="22"/>
        <w:szCs w:val="22"/>
      </w:rPr>
    </w:lvl>
    <w:lvl w:ilvl="1">
      <w:start w:val="1"/>
      <w:numFmt w:val="decimal"/>
      <w:isLgl/>
      <w:lvlText w:val="%1.%2."/>
      <w:lvlJc w:val="left"/>
      <w:pPr>
        <w:ind w:left="1080" w:hanging="720"/>
      </w:pPr>
      <w:rPr>
        <w:rFonts w:hint="default"/>
      </w:rPr>
    </w:lvl>
    <w:lvl w:ilvl="2">
      <w:start w:val="1"/>
      <w:numFmt w:val="upperLetter"/>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E2858D0"/>
    <w:multiLevelType w:val="multilevel"/>
    <w:tmpl w:val="671E6374"/>
    <w:lvl w:ilvl="0">
      <w:start w:val="9"/>
      <w:numFmt w:val="decimal"/>
      <w:lvlText w:val="%1."/>
      <w:lvlJc w:val="left"/>
      <w:pPr>
        <w:ind w:left="720" w:hanging="360"/>
      </w:pPr>
      <w:rPr>
        <w:rFonts w:hint="default"/>
        <w:b/>
        <w:color w:val="0000FF"/>
        <w:sz w:val="36"/>
      </w:rPr>
    </w:lvl>
    <w:lvl w:ilvl="1">
      <w:start w:val="1"/>
      <w:numFmt w:val="decimal"/>
      <w:isLgl/>
      <w:lvlText w:val="%1.%2."/>
      <w:lvlJc w:val="left"/>
      <w:pPr>
        <w:ind w:left="720" w:hanging="360"/>
      </w:pPr>
      <w:rPr>
        <w:rFonts w:hint="default"/>
      </w:rPr>
    </w:lvl>
    <w:lvl w:ilvl="2">
      <w:start w:val="1"/>
      <w:numFmt w:val="upperLetter"/>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F6004D8"/>
    <w:multiLevelType w:val="hybridMultilevel"/>
    <w:tmpl w:val="865E635A"/>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15E683F"/>
    <w:multiLevelType w:val="hybridMultilevel"/>
    <w:tmpl w:val="99DC2B8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333340E"/>
    <w:multiLevelType w:val="hybridMultilevel"/>
    <w:tmpl w:val="4998C6EC"/>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209524AF"/>
    <w:multiLevelType w:val="hybridMultilevel"/>
    <w:tmpl w:val="6D5E1AAC"/>
    <w:lvl w:ilvl="0" w:tplc="9F38B74C">
      <w:start w:val="11"/>
      <w:numFmt w:val="decimal"/>
      <w:lvlText w:val="%1."/>
      <w:lvlJc w:val="left"/>
      <w:pPr>
        <w:ind w:left="1080" w:hanging="360"/>
      </w:pPr>
      <w:rPr>
        <w:rFonts w:hint="default"/>
        <w:b/>
        <w:color w:val="0000FF"/>
        <w:u w:val="single"/>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6" w15:restartNumberingAfterBreak="0">
    <w:nsid w:val="27D97832"/>
    <w:multiLevelType w:val="hybridMultilevel"/>
    <w:tmpl w:val="657A8354"/>
    <w:lvl w:ilvl="0" w:tplc="2140EC2E">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293B7FFE"/>
    <w:multiLevelType w:val="hybridMultilevel"/>
    <w:tmpl w:val="DD0E0930"/>
    <w:lvl w:ilvl="0" w:tplc="B942AC8A">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2FAC1D39"/>
    <w:multiLevelType w:val="multilevel"/>
    <w:tmpl w:val="47306DF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upperLetter"/>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30F31E51"/>
    <w:multiLevelType w:val="hybridMultilevel"/>
    <w:tmpl w:val="D58857EA"/>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38443D32"/>
    <w:multiLevelType w:val="hybridMultilevel"/>
    <w:tmpl w:val="5B4CE600"/>
    <w:lvl w:ilvl="0" w:tplc="8604F0F4">
      <w:start w:val="4"/>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39AA7D4F"/>
    <w:multiLevelType w:val="hybridMultilevel"/>
    <w:tmpl w:val="3252F3C8"/>
    <w:lvl w:ilvl="0" w:tplc="F2180C60">
      <w:start w:val="1"/>
      <w:numFmt w:val="bullet"/>
      <w:lvlText w:val="-"/>
      <w:lvlJc w:val="left"/>
      <w:pPr>
        <w:ind w:left="720" w:hanging="360"/>
      </w:pPr>
      <w:rPr>
        <w:rFonts w:ascii="Calibri" w:eastAsiaTheme="minorHAnsi" w:hAnsi="Calibri" w:cs="Calibri"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start w:val="1"/>
      <w:numFmt w:val="bullet"/>
      <w:lvlText w:val=""/>
      <w:lvlJc w:val="left"/>
      <w:pPr>
        <w:ind w:left="2880" w:hanging="360"/>
      </w:pPr>
      <w:rPr>
        <w:rFonts w:ascii="Symbol" w:hAnsi="Symbol" w:hint="default"/>
      </w:rPr>
    </w:lvl>
    <w:lvl w:ilvl="4" w:tplc="080C0003">
      <w:start w:val="1"/>
      <w:numFmt w:val="bullet"/>
      <w:lvlText w:val="o"/>
      <w:lvlJc w:val="left"/>
      <w:pPr>
        <w:ind w:left="3600" w:hanging="360"/>
      </w:pPr>
      <w:rPr>
        <w:rFonts w:ascii="Courier New" w:hAnsi="Courier New" w:cs="Courier New" w:hint="default"/>
      </w:rPr>
    </w:lvl>
    <w:lvl w:ilvl="5" w:tplc="080C0005">
      <w:start w:val="1"/>
      <w:numFmt w:val="bullet"/>
      <w:lvlText w:val=""/>
      <w:lvlJc w:val="left"/>
      <w:pPr>
        <w:ind w:left="4320" w:hanging="360"/>
      </w:pPr>
      <w:rPr>
        <w:rFonts w:ascii="Wingdings" w:hAnsi="Wingdings" w:hint="default"/>
      </w:rPr>
    </w:lvl>
    <w:lvl w:ilvl="6" w:tplc="080C0001">
      <w:start w:val="1"/>
      <w:numFmt w:val="bullet"/>
      <w:lvlText w:val=""/>
      <w:lvlJc w:val="left"/>
      <w:pPr>
        <w:ind w:left="5040" w:hanging="360"/>
      </w:pPr>
      <w:rPr>
        <w:rFonts w:ascii="Symbol" w:hAnsi="Symbol" w:hint="default"/>
      </w:rPr>
    </w:lvl>
    <w:lvl w:ilvl="7" w:tplc="080C0003">
      <w:start w:val="1"/>
      <w:numFmt w:val="bullet"/>
      <w:lvlText w:val="o"/>
      <w:lvlJc w:val="left"/>
      <w:pPr>
        <w:ind w:left="5760" w:hanging="360"/>
      </w:pPr>
      <w:rPr>
        <w:rFonts w:ascii="Courier New" w:hAnsi="Courier New" w:cs="Courier New" w:hint="default"/>
      </w:rPr>
    </w:lvl>
    <w:lvl w:ilvl="8" w:tplc="080C0005">
      <w:start w:val="1"/>
      <w:numFmt w:val="bullet"/>
      <w:lvlText w:val=""/>
      <w:lvlJc w:val="left"/>
      <w:pPr>
        <w:ind w:left="6480" w:hanging="360"/>
      </w:pPr>
      <w:rPr>
        <w:rFonts w:ascii="Wingdings" w:hAnsi="Wingdings" w:hint="default"/>
      </w:rPr>
    </w:lvl>
  </w:abstractNum>
  <w:abstractNum w:abstractNumId="12" w15:restartNumberingAfterBreak="0">
    <w:nsid w:val="3CE90295"/>
    <w:multiLevelType w:val="hybridMultilevel"/>
    <w:tmpl w:val="BA9ED8F2"/>
    <w:lvl w:ilvl="0" w:tplc="7F380D2C">
      <w:start w:val="1"/>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3F7F205F"/>
    <w:multiLevelType w:val="hybridMultilevel"/>
    <w:tmpl w:val="D9C2A4DE"/>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3FEC70EF"/>
    <w:multiLevelType w:val="hybridMultilevel"/>
    <w:tmpl w:val="F5F67CFE"/>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415F2D0B"/>
    <w:multiLevelType w:val="hybridMultilevel"/>
    <w:tmpl w:val="B9C2D2CA"/>
    <w:lvl w:ilvl="0" w:tplc="080C000F">
      <w:start w:val="4"/>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6" w15:restartNumberingAfterBreak="0">
    <w:nsid w:val="4336274C"/>
    <w:multiLevelType w:val="hybridMultilevel"/>
    <w:tmpl w:val="50BE0050"/>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4DA0435E"/>
    <w:multiLevelType w:val="hybridMultilevel"/>
    <w:tmpl w:val="3ED03B8C"/>
    <w:lvl w:ilvl="0" w:tplc="244AAA14">
      <w:start w:val="1"/>
      <w:numFmt w:val="decimal"/>
      <w:lvlText w:val="%1."/>
      <w:lvlJc w:val="left"/>
      <w:pPr>
        <w:ind w:left="720" w:hanging="360"/>
      </w:pPr>
      <w:rPr>
        <w:rFonts w:hint="default"/>
        <w:b/>
        <w:u w:val="single"/>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8" w15:restartNumberingAfterBreak="0">
    <w:nsid w:val="4E1C5185"/>
    <w:multiLevelType w:val="hybridMultilevel"/>
    <w:tmpl w:val="153E5F02"/>
    <w:lvl w:ilvl="0" w:tplc="662622E6">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4F3C6CFF"/>
    <w:multiLevelType w:val="hybridMultilevel"/>
    <w:tmpl w:val="9A74DD50"/>
    <w:lvl w:ilvl="0" w:tplc="3000DD04">
      <w:numFmt w:val="bullet"/>
      <w:lvlText w:val="-"/>
      <w:lvlJc w:val="left"/>
      <w:pPr>
        <w:ind w:left="360" w:hanging="360"/>
      </w:pPr>
      <w:rPr>
        <w:rFonts w:ascii="Calibri" w:eastAsiaTheme="minorHAnsi" w:hAnsi="Calibri" w:cs="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0" w15:restartNumberingAfterBreak="0">
    <w:nsid w:val="516006C2"/>
    <w:multiLevelType w:val="multilevel"/>
    <w:tmpl w:val="AEC2E7CC"/>
    <w:lvl w:ilvl="0">
      <w:start w:val="1"/>
      <w:numFmt w:val="decimal"/>
      <w:lvlText w:val="%1."/>
      <w:lvlJc w:val="left"/>
      <w:pPr>
        <w:ind w:left="720" w:hanging="360"/>
      </w:pPr>
      <w:rPr>
        <w:rFonts w:hint="default"/>
        <w:b/>
        <w:color w:val="0000FF"/>
        <w:u w:val="single"/>
      </w:rPr>
    </w:lvl>
    <w:lvl w:ilvl="1">
      <w:start w:val="1"/>
      <w:numFmt w:val="decimal"/>
      <w:isLgl/>
      <w:lvlText w:val="%1.%2."/>
      <w:lvlJc w:val="left"/>
      <w:pPr>
        <w:ind w:left="1080" w:hanging="360"/>
      </w:pPr>
      <w:rPr>
        <w:rFonts w:hint="default"/>
      </w:rPr>
    </w:lvl>
    <w:lvl w:ilvl="2">
      <w:start w:val="1"/>
      <w:numFmt w:val="upperLetter"/>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680" w:hanging="1440"/>
      </w:pPr>
      <w:rPr>
        <w:rFonts w:hint="default"/>
      </w:rPr>
    </w:lvl>
  </w:abstractNum>
  <w:abstractNum w:abstractNumId="21" w15:restartNumberingAfterBreak="0">
    <w:nsid w:val="5AFA62CD"/>
    <w:multiLevelType w:val="hybridMultilevel"/>
    <w:tmpl w:val="9F1ED800"/>
    <w:lvl w:ilvl="0" w:tplc="90FEC8BE">
      <w:start w:val="21"/>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2" w15:restartNumberingAfterBreak="0">
    <w:nsid w:val="5EE00C58"/>
    <w:multiLevelType w:val="hybridMultilevel"/>
    <w:tmpl w:val="339403DE"/>
    <w:lvl w:ilvl="0" w:tplc="AA2AB95A">
      <w:start w:val="2007"/>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3" w15:restartNumberingAfterBreak="0">
    <w:nsid w:val="68A6658E"/>
    <w:multiLevelType w:val="hybridMultilevel"/>
    <w:tmpl w:val="BAFA9C0A"/>
    <w:lvl w:ilvl="0" w:tplc="024ED136">
      <w:start w:val="144"/>
      <w:numFmt w:val="bullet"/>
      <w:lvlText w:val=""/>
      <w:lvlJc w:val="left"/>
      <w:pPr>
        <w:ind w:left="720" w:hanging="360"/>
      </w:pPr>
      <w:rPr>
        <w:rFonts w:ascii="Wingdings" w:eastAsiaTheme="minorHAnsi" w:hAnsi="Wingdings" w:cstheme="minorHAns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4" w15:restartNumberingAfterBreak="0">
    <w:nsid w:val="69E82BD7"/>
    <w:multiLevelType w:val="hybridMultilevel"/>
    <w:tmpl w:val="7F38EFDC"/>
    <w:lvl w:ilvl="0" w:tplc="3000DD04">
      <w:numFmt w:val="bullet"/>
      <w:lvlText w:val="-"/>
      <w:lvlJc w:val="left"/>
      <w:pPr>
        <w:ind w:left="720" w:hanging="360"/>
      </w:pPr>
      <w:rPr>
        <w:rFonts w:ascii="Calibri" w:eastAsiaTheme="minorHAnsi" w:hAnsi="Calibri" w:cs="Calibri"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5" w15:restartNumberingAfterBreak="0">
    <w:nsid w:val="6DC74B96"/>
    <w:multiLevelType w:val="hybridMultilevel"/>
    <w:tmpl w:val="5608CE80"/>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6" w15:restartNumberingAfterBreak="0">
    <w:nsid w:val="6F0B49B2"/>
    <w:multiLevelType w:val="hybridMultilevel"/>
    <w:tmpl w:val="579428B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24"/>
  </w:num>
  <w:num w:numId="2">
    <w:abstractNumId w:val="18"/>
  </w:num>
  <w:num w:numId="3">
    <w:abstractNumId w:val="11"/>
  </w:num>
  <w:num w:numId="4">
    <w:abstractNumId w:val="13"/>
  </w:num>
  <w:num w:numId="5">
    <w:abstractNumId w:val="23"/>
  </w:num>
  <w:num w:numId="6">
    <w:abstractNumId w:val="6"/>
  </w:num>
  <w:num w:numId="7">
    <w:abstractNumId w:val="16"/>
  </w:num>
  <w:num w:numId="8">
    <w:abstractNumId w:val="12"/>
  </w:num>
  <w:num w:numId="9">
    <w:abstractNumId w:val="2"/>
  </w:num>
  <w:num w:numId="10">
    <w:abstractNumId w:val="21"/>
  </w:num>
  <w:num w:numId="11">
    <w:abstractNumId w:val="22"/>
  </w:num>
  <w:num w:numId="12">
    <w:abstractNumId w:val="3"/>
  </w:num>
  <w:num w:numId="13">
    <w:abstractNumId w:val="7"/>
  </w:num>
  <w:num w:numId="14">
    <w:abstractNumId w:val="26"/>
  </w:num>
  <w:num w:numId="15">
    <w:abstractNumId w:val="10"/>
  </w:num>
  <w:num w:numId="16">
    <w:abstractNumId w:val="25"/>
  </w:num>
  <w:num w:numId="17">
    <w:abstractNumId w:val="20"/>
  </w:num>
  <w:num w:numId="18">
    <w:abstractNumId w:val="0"/>
  </w:num>
  <w:num w:numId="19">
    <w:abstractNumId w:val="17"/>
  </w:num>
  <w:num w:numId="20">
    <w:abstractNumId w:val="1"/>
  </w:num>
  <w:num w:numId="21">
    <w:abstractNumId w:val="5"/>
  </w:num>
  <w:num w:numId="22">
    <w:abstractNumId w:val="8"/>
  </w:num>
  <w:num w:numId="23">
    <w:abstractNumId w:val="4"/>
  </w:num>
  <w:num w:numId="24">
    <w:abstractNumId w:val="9"/>
  </w:num>
  <w:num w:numId="25">
    <w:abstractNumId w:val="14"/>
  </w:num>
  <w:num w:numId="26">
    <w:abstractNumId w:val="19"/>
  </w:num>
  <w:num w:numId="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6" w:nlCheck="1" w:checkStyle="0"/>
  <w:activeWritingStyle w:appName="MSWord" w:lang="en-US" w:vendorID="64" w:dllVersion="6" w:nlCheck="1" w:checkStyle="1"/>
  <w:activeWritingStyle w:appName="MSWord" w:lang="en-GB" w:vendorID="64" w:dllVersion="6" w:nlCheck="1" w:checkStyle="1"/>
  <w:activeWritingStyle w:appName="MSWord" w:lang="fr-FR" w:vendorID="64" w:dllVersion="6" w:nlCheck="1" w:checkStyle="0"/>
  <w:activeWritingStyle w:appName="MSWord" w:lang="fr-BE"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fr-B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en-GB" w:vendorID="64" w:dllVersion="4096" w:nlCheck="1" w:checkStyle="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1315"/>
    <w:rsid w:val="0000160E"/>
    <w:rsid w:val="00001929"/>
    <w:rsid w:val="00006139"/>
    <w:rsid w:val="000069A4"/>
    <w:rsid w:val="00007B9A"/>
    <w:rsid w:val="00010F21"/>
    <w:rsid w:val="0002184A"/>
    <w:rsid w:val="000267CF"/>
    <w:rsid w:val="0003057F"/>
    <w:rsid w:val="00032B75"/>
    <w:rsid w:val="000368BD"/>
    <w:rsid w:val="00040A19"/>
    <w:rsid w:val="0004629A"/>
    <w:rsid w:val="000466C9"/>
    <w:rsid w:val="00047759"/>
    <w:rsid w:val="000503F0"/>
    <w:rsid w:val="00052958"/>
    <w:rsid w:val="00054C4B"/>
    <w:rsid w:val="00065933"/>
    <w:rsid w:val="00066E06"/>
    <w:rsid w:val="00071388"/>
    <w:rsid w:val="000739AE"/>
    <w:rsid w:val="00074831"/>
    <w:rsid w:val="0007672C"/>
    <w:rsid w:val="00081315"/>
    <w:rsid w:val="00084928"/>
    <w:rsid w:val="00085669"/>
    <w:rsid w:val="000932B4"/>
    <w:rsid w:val="00093E8F"/>
    <w:rsid w:val="000A243B"/>
    <w:rsid w:val="000A3B69"/>
    <w:rsid w:val="000A413F"/>
    <w:rsid w:val="000B1DAC"/>
    <w:rsid w:val="000B2D8C"/>
    <w:rsid w:val="000C3EF3"/>
    <w:rsid w:val="000C63EB"/>
    <w:rsid w:val="000D365A"/>
    <w:rsid w:val="000D3A36"/>
    <w:rsid w:val="000D4526"/>
    <w:rsid w:val="000D730F"/>
    <w:rsid w:val="000E210E"/>
    <w:rsid w:val="000E45FF"/>
    <w:rsid w:val="000E5EDE"/>
    <w:rsid w:val="000F250C"/>
    <w:rsid w:val="000F7723"/>
    <w:rsid w:val="000F7839"/>
    <w:rsid w:val="000F7FDA"/>
    <w:rsid w:val="00103306"/>
    <w:rsid w:val="001035F4"/>
    <w:rsid w:val="001042BE"/>
    <w:rsid w:val="001073A1"/>
    <w:rsid w:val="0010791B"/>
    <w:rsid w:val="001143E6"/>
    <w:rsid w:val="0011637C"/>
    <w:rsid w:val="00117917"/>
    <w:rsid w:val="0012112D"/>
    <w:rsid w:val="00125BB3"/>
    <w:rsid w:val="00133978"/>
    <w:rsid w:val="00137C80"/>
    <w:rsid w:val="00141B46"/>
    <w:rsid w:val="001677A5"/>
    <w:rsid w:val="00171D36"/>
    <w:rsid w:val="00177394"/>
    <w:rsid w:val="00192273"/>
    <w:rsid w:val="001A0186"/>
    <w:rsid w:val="001A6E1B"/>
    <w:rsid w:val="001A790B"/>
    <w:rsid w:val="001B3A04"/>
    <w:rsid w:val="001B582E"/>
    <w:rsid w:val="001C01A3"/>
    <w:rsid w:val="001C2923"/>
    <w:rsid w:val="001C69E7"/>
    <w:rsid w:val="001D18D6"/>
    <w:rsid w:val="001D1E70"/>
    <w:rsid w:val="001D74C1"/>
    <w:rsid w:val="001D75E1"/>
    <w:rsid w:val="001E0BB4"/>
    <w:rsid w:val="001E6D9A"/>
    <w:rsid w:val="001F287E"/>
    <w:rsid w:val="001F2E8D"/>
    <w:rsid w:val="001F2F91"/>
    <w:rsid w:val="001F3D2C"/>
    <w:rsid w:val="001F4BAC"/>
    <w:rsid w:val="001F62AC"/>
    <w:rsid w:val="00203E5A"/>
    <w:rsid w:val="00206151"/>
    <w:rsid w:val="0020669F"/>
    <w:rsid w:val="002070BD"/>
    <w:rsid w:val="00210F34"/>
    <w:rsid w:val="00215A47"/>
    <w:rsid w:val="00220806"/>
    <w:rsid w:val="002251C7"/>
    <w:rsid w:val="00241F31"/>
    <w:rsid w:val="00242522"/>
    <w:rsid w:val="00244C6A"/>
    <w:rsid w:val="0025058B"/>
    <w:rsid w:val="00252E45"/>
    <w:rsid w:val="00253330"/>
    <w:rsid w:val="00254510"/>
    <w:rsid w:val="00255F29"/>
    <w:rsid w:val="00265685"/>
    <w:rsid w:val="00277615"/>
    <w:rsid w:val="002806B1"/>
    <w:rsid w:val="00281722"/>
    <w:rsid w:val="00281AF6"/>
    <w:rsid w:val="002824C2"/>
    <w:rsid w:val="002829AB"/>
    <w:rsid w:val="00285B01"/>
    <w:rsid w:val="00287464"/>
    <w:rsid w:val="0029444A"/>
    <w:rsid w:val="002A16A4"/>
    <w:rsid w:val="002A6426"/>
    <w:rsid w:val="002A77B2"/>
    <w:rsid w:val="002B439B"/>
    <w:rsid w:val="002C69BA"/>
    <w:rsid w:val="002C6F4C"/>
    <w:rsid w:val="002D556E"/>
    <w:rsid w:val="002E0861"/>
    <w:rsid w:val="002E3149"/>
    <w:rsid w:val="002F250B"/>
    <w:rsid w:val="00302833"/>
    <w:rsid w:val="00304A5F"/>
    <w:rsid w:val="00323560"/>
    <w:rsid w:val="00326D80"/>
    <w:rsid w:val="00330D9D"/>
    <w:rsid w:val="003315DB"/>
    <w:rsid w:val="00331DA2"/>
    <w:rsid w:val="00332EBD"/>
    <w:rsid w:val="00334365"/>
    <w:rsid w:val="003376EE"/>
    <w:rsid w:val="00337D8E"/>
    <w:rsid w:val="00340DFB"/>
    <w:rsid w:val="0034472A"/>
    <w:rsid w:val="00346087"/>
    <w:rsid w:val="00350067"/>
    <w:rsid w:val="0035427A"/>
    <w:rsid w:val="00363E01"/>
    <w:rsid w:val="00365135"/>
    <w:rsid w:val="00367192"/>
    <w:rsid w:val="0037376B"/>
    <w:rsid w:val="003836D6"/>
    <w:rsid w:val="00394104"/>
    <w:rsid w:val="00395297"/>
    <w:rsid w:val="003A2DE8"/>
    <w:rsid w:val="003A48FD"/>
    <w:rsid w:val="003A656E"/>
    <w:rsid w:val="003A68BA"/>
    <w:rsid w:val="003A7229"/>
    <w:rsid w:val="003B4E2B"/>
    <w:rsid w:val="003B7842"/>
    <w:rsid w:val="003C3E8C"/>
    <w:rsid w:val="003D004A"/>
    <w:rsid w:val="003D3EB0"/>
    <w:rsid w:val="003E0499"/>
    <w:rsid w:val="003E3F60"/>
    <w:rsid w:val="003E4186"/>
    <w:rsid w:val="003E4CA0"/>
    <w:rsid w:val="003E5935"/>
    <w:rsid w:val="003E688A"/>
    <w:rsid w:val="003F6666"/>
    <w:rsid w:val="00400C70"/>
    <w:rsid w:val="00406AB3"/>
    <w:rsid w:val="00410313"/>
    <w:rsid w:val="00413138"/>
    <w:rsid w:val="00413925"/>
    <w:rsid w:val="00421565"/>
    <w:rsid w:val="004258A1"/>
    <w:rsid w:val="0042607A"/>
    <w:rsid w:val="00433DAB"/>
    <w:rsid w:val="0044118C"/>
    <w:rsid w:val="004503DC"/>
    <w:rsid w:val="0045133E"/>
    <w:rsid w:val="00457747"/>
    <w:rsid w:val="0046018D"/>
    <w:rsid w:val="004762E0"/>
    <w:rsid w:val="004806B7"/>
    <w:rsid w:val="00483ED4"/>
    <w:rsid w:val="004862E9"/>
    <w:rsid w:val="0048773D"/>
    <w:rsid w:val="0049156A"/>
    <w:rsid w:val="00491F60"/>
    <w:rsid w:val="0049404D"/>
    <w:rsid w:val="00496152"/>
    <w:rsid w:val="00496FC0"/>
    <w:rsid w:val="004A3D44"/>
    <w:rsid w:val="004A4331"/>
    <w:rsid w:val="004A5605"/>
    <w:rsid w:val="004A56B1"/>
    <w:rsid w:val="004B1940"/>
    <w:rsid w:val="004B399C"/>
    <w:rsid w:val="004B52B2"/>
    <w:rsid w:val="004B55A9"/>
    <w:rsid w:val="004B75C0"/>
    <w:rsid w:val="004B7844"/>
    <w:rsid w:val="004C2EB6"/>
    <w:rsid w:val="004C577A"/>
    <w:rsid w:val="004C6162"/>
    <w:rsid w:val="004C66CA"/>
    <w:rsid w:val="004D5030"/>
    <w:rsid w:val="004D5086"/>
    <w:rsid w:val="004E4F88"/>
    <w:rsid w:val="004E5FB4"/>
    <w:rsid w:val="004E6018"/>
    <w:rsid w:val="004F1ABF"/>
    <w:rsid w:val="004F1D81"/>
    <w:rsid w:val="004F318F"/>
    <w:rsid w:val="004F5478"/>
    <w:rsid w:val="00506348"/>
    <w:rsid w:val="00517DC0"/>
    <w:rsid w:val="00521C9C"/>
    <w:rsid w:val="0052211D"/>
    <w:rsid w:val="00525A88"/>
    <w:rsid w:val="00530494"/>
    <w:rsid w:val="00532138"/>
    <w:rsid w:val="005345A0"/>
    <w:rsid w:val="00541DE1"/>
    <w:rsid w:val="00550A8A"/>
    <w:rsid w:val="00550CD6"/>
    <w:rsid w:val="00550F2F"/>
    <w:rsid w:val="0055308C"/>
    <w:rsid w:val="00554B5C"/>
    <w:rsid w:val="005619BB"/>
    <w:rsid w:val="005620E5"/>
    <w:rsid w:val="00562D6E"/>
    <w:rsid w:val="005631A4"/>
    <w:rsid w:val="00576E66"/>
    <w:rsid w:val="00590CA3"/>
    <w:rsid w:val="0059302F"/>
    <w:rsid w:val="005A2B63"/>
    <w:rsid w:val="005A668F"/>
    <w:rsid w:val="005A755A"/>
    <w:rsid w:val="005B5A13"/>
    <w:rsid w:val="005B771F"/>
    <w:rsid w:val="005C0425"/>
    <w:rsid w:val="005C1035"/>
    <w:rsid w:val="005C157E"/>
    <w:rsid w:val="005C4EEC"/>
    <w:rsid w:val="005C66E1"/>
    <w:rsid w:val="005D4B64"/>
    <w:rsid w:val="005D69E0"/>
    <w:rsid w:val="005E1CE4"/>
    <w:rsid w:val="005F0FCC"/>
    <w:rsid w:val="005F3102"/>
    <w:rsid w:val="005F7DA7"/>
    <w:rsid w:val="00600924"/>
    <w:rsid w:val="0060512D"/>
    <w:rsid w:val="006062A0"/>
    <w:rsid w:val="00606420"/>
    <w:rsid w:val="006067D6"/>
    <w:rsid w:val="00607399"/>
    <w:rsid w:val="00610B95"/>
    <w:rsid w:val="00620661"/>
    <w:rsid w:val="006209C9"/>
    <w:rsid w:val="00620AB6"/>
    <w:rsid w:val="00622527"/>
    <w:rsid w:val="00625371"/>
    <w:rsid w:val="006300CC"/>
    <w:rsid w:val="006320C0"/>
    <w:rsid w:val="00634602"/>
    <w:rsid w:val="006361E2"/>
    <w:rsid w:val="0063750C"/>
    <w:rsid w:val="006505D9"/>
    <w:rsid w:val="00650D97"/>
    <w:rsid w:val="0065120B"/>
    <w:rsid w:val="00651C6C"/>
    <w:rsid w:val="00653774"/>
    <w:rsid w:val="00654A88"/>
    <w:rsid w:val="00655242"/>
    <w:rsid w:val="00674AA6"/>
    <w:rsid w:val="006758F5"/>
    <w:rsid w:val="0067701E"/>
    <w:rsid w:val="006810BD"/>
    <w:rsid w:val="00684E22"/>
    <w:rsid w:val="006902E0"/>
    <w:rsid w:val="006945D1"/>
    <w:rsid w:val="00694F70"/>
    <w:rsid w:val="006C227D"/>
    <w:rsid w:val="006C5B33"/>
    <w:rsid w:val="006D7A1D"/>
    <w:rsid w:val="006E0E39"/>
    <w:rsid w:val="006E1257"/>
    <w:rsid w:val="006E12BF"/>
    <w:rsid w:val="006E5577"/>
    <w:rsid w:val="006F06A5"/>
    <w:rsid w:val="006F12F7"/>
    <w:rsid w:val="00702620"/>
    <w:rsid w:val="00704024"/>
    <w:rsid w:val="0070690C"/>
    <w:rsid w:val="00707445"/>
    <w:rsid w:val="007221EB"/>
    <w:rsid w:val="00724F0B"/>
    <w:rsid w:val="007263BB"/>
    <w:rsid w:val="00731261"/>
    <w:rsid w:val="00733B82"/>
    <w:rsid w:val="00733EFB"/>
    <w:rsid w:val="00734DD5"/>
    <w:rsid w:val="007358B2"/>
    <w:rsid w:val="00737F6A"/>
    <w:rsid w:val="00741C36"/>
    <w:rsid w:val="00742ECD"/>
    <w:rsid w:val="007452BD"/>
    <w:rsid w:val="007520EC"/>
    <w:rsid w:val="00755095"/>
    <w:rsid w:val="0076356A"/>
    <w:rsid w:val="00765158"/>
    <w:rsid w:val="007825B0"/>
    <w:rsid w:val="0078630E"/>
    <w:rsid w:val="00787F0F"/>
    <w:rsid w:val="007902BC"/>
    <w:rsid w:val="0079355D"/>
    <w:rsid w:val="00796457"/>
    <w:rsid w:val="007A145A"/>
    <w:rsid w:val="007A60D8"/>
    <w:rsid w:val="007C0C10"/>
    <w:rsid w:val="007C10CB"/>
    <w:rsid w:val="007E5034"/>
    <w:rsid w:val="007E5451"/>
    <w:rsid w:val="007F2407"/>
    <w:rsid w:val="00800EC8"/>
    <w:rsid w:val="00803C34"/>
    <w:rsid w:val="0081390C"/>
    <w:rsid w:val="00814CA8"/>
    <w:rsid w:val="00815E47"/>
    <w:rsid w:val="00822240"/>
    <w:rsid w:val="008367DE"/>
    <w:rsid w:val="00843E70"/>
    <w:rsid w:val="00844C85"/>
    <w:rsid w:val="0084615D"/>
    <w:rsid w:val="008478F7"/>
    <w:rsid w:val="00851596"/>
    <w:rsid w:val="00852EBC"/>
    <w:rsid w:val="0085554A"/>
    <w:rsid w:val="00866A18"/>
    <w:rsid w:val="00867143"/>
    <w:rsid w:val="0086785A"/>
    <w:rsid w:val="0087144B"/>
    <w:rsid w:val="0087223C"/>
    <w:rsid w:val="008753C2"/>
    <w:rsid w:val="00890753"/>
    <w:rsid w:val="008913D4"/>
    <w:rsid w:val="00893EF9"/>
    <w:rsid w:val="00894602"/>
    <w:rsid w:val="00894676"/>
    <w:rsid w:val="008A0FB8"/>
    <w:rsid w:val="008A1DDB"/>
    <w:rsid w:val="008A4997"/>
    <w:rsid w:val="008A6506"/>
    <w:rsid w:val="008B00C9"/>
    <w:rsid w:val="008B222C"/>
    <w:rsid w:val="008B2758"/>
    <w:rsid w:val="008B2AB5"/>
    <w:rsid w:val="008B4B99"/>
    <w:rsid w:val="008B6C81"/>
    <w:rsid w:val="008C33FF"/>
    <w:rsid w:val="008C35A1"/>
    <w:rsid w:val="008C590C"/>
    <w:rsid w:val="008D3699"/>
    <w:rsid w:val="008E6D7F"/>
    <w:rsid w:val="008F3000"/>
    <w:rsid w:val="008F6029"/>
    <w:rsid w:val="008F72EA"/>
    <w:rsid w:val="009008DE"/>
    <w:rsid w:val="00903C2E"/>
    <w:rsid w:val="009055BA"/>
    <w:rsid w:val="00914289"/>
    <w:rsid w:val="00916BF7"/>
    <w:rsid w:val="00921187"/>
    <w:rsid w:val="009236C6"/>
    <w:rsid w:val="00927EFA"/>
    <w:rsid w:val="00927FD3"/>
    <w:rsid w:val="00936EB5"/>
    <w:rsid w:val="00940EBF"/>
    <w:rsid w:val="009412C2"/>
    <w:rsid w:val="00942D97"/>
    <w:rsid w:val="009430BD"/>
    <w:rsid w:val="0095348E"/>
    <w:rsid w:val="009547EC"/>
    <w:rsid w:val="00954954"/>
    <w:rsid w:val="00960ABB"/>
    <w:rsid w:val="00960B04"/>
    <w:rsid w:val="0096468D"/>
    <w:rsid w:val="00971C23"/>
    <w:rsid w:val="009743C6"/>
    <w:rsid w:val="00984E56"/>
    <w:rsid w:val="00987E19"/>
    <w:rsid w:val="00996A91"/>
    <w:rsid w:val="00997B19"/>
    <w:rsid w:val="009A157D"/>
    <w:rsid w:val="009A4411"/>
    <w:rsid w:val="009A5F7E"/>
    <w:rsid w:val="009A6C8C"/>
    <w:rsid w:val="009B017C"/>
    <w:rsid w:val="009B165C"/>
    <w:rsid w:val="009B1A50"/>
    <w:rsid w:val="009B2471"/>
    <w:rsid w:val="009C4457"/>
    <w:rsid w:val="009D1E40"/>
    <w:rsid w:val="009D1FE6"/>
    <w:rsid w:val="009D3714"/>
    <w:rsid w:val="009D4A56"/>
    <w:rsid w:val="009D5FC7"/>
    <w:rsid w:val="009E0681"/>
    <w:rsid w:val="009E0DD0"/>
    <w:rsid w:val="009E0E01"/>
    <w:rsid w:val="009E2F84"/>
    <w:rsid w:val="009F1102"/>
    <w:rsid w:val="009F19C5"/>
    <w:rsid w:val="009F223E"/>
    <w:rsid w:val="00A0261D"/>
    <w:rsid w:val="00A05EBA"/>
    <w:rsid w:val="00A06C32"/>
    <w:rsid w:val="00A109C9"/>
    <w:rsid w:val="00A11B4A"/>
    <w:rsid w:val="00A24FBB"/>
    <w:rsid w:val="00A35C9F"/>
    <w:rsid w:val="00A42216"/>
    <w:rsid w:val="00A60A71"/>
    <w:rsid w:val="00A65C24"/>
    <w:rsid w:val="00A6713A"/>
    <w:rsid w:val="00A70C6E"/>
    <w:rsid w:val="00A72BB9"/>
    <w:rsid w:val="00A80385"/>
    <w:rsid w:val="00A80EB0"/>
    <w:rsid w:val="00A84E35"/>
    <w:rsid w:val="00A9314C"/>
    <w:rsid w:val="00A94FB5"/>
    <w:rsid w:val="00A9511C"/>
    <w:rsid w:val="00A9638E"/>
    <w:rsid w:val="00A97306"/>
    <w:rsid w:val="00AA35A1"/>
    <w:rsid w:val="00AA511F"/>
    <w:rsid w:val="00AB0BD3"/>
    <w:rsid w:val="00AB13BE"/>
    <w:rsid w:val="00AB5DAC"/>
    <w:rsid w:val="00AC0962"/>
    <w:rsid w:val="00AC69F5"/>
    <w:rsid w:val="00AC7058"/>
    <w:rsid w:val="00AD0B36"/>
    <w:rsid w:val="00AD322F"/>
    <w:rsid w:val="00AE0F65"/>
    <w:rsid w:val="00AE47D2"/>
    <w:rsid w:val="00AE716A"/>
    <w:rsid w:val="00AF408C"/>
    <w:rsid w:val="00AF67CB"/>
    <w:rsid w:val="00AF6883"/>
    <w:rsid w:val="00AF707F"/>
    <w:rsid w:val="00AF74C3"/>
    <w:rsid w:val="00B03C44"/>
    <w:rsid w:val="00B11539"/>
    <w:rsid w:val="00B11DAF"/>
    <w:rsid w:val="00B13BA1"/>
    <w:rsid w:val="00B13C95"/>
    <w:rsid w:val="00B16332"/>
    <w:rsid w:val="00B168C9"/>
    <w:rsid w:val="00B229FC"/>
    <w:rsid w:val="00B2328B"/>
    <w:rsid w:val="00B30C5F"/>
    <w:rsid w:val="00B31B3F"/>
    <w:rsid w:val="00B37039"/>
    <w:rsid w:val="00B4548B"/>
    <w:rsid w:val="00B55EE5"/>
    <w:rsid w:val="00B63CE8"/>
    <w:rsid w:val="00B72A34"/>
    <w:rsid w:val="00B82695"/>
    <w:rsid w:val="00B828BF"/>
    <w:rsid w:val="00B903D7"/>
    <w:rsid w:val="00B935D4"/>
    <w:rsid w:val="00B954D6"/>
    <w:rsid w:val="00B95754"/>
    <w:rsid w:val="00BA175A"/>
    <w:rsid w:val="00BB1968"/>
    <w:rsid w:val="00BB1F52"/>
    <w:rsid w:val="00BB24B7"/>
    <w:rsid w:val="00BB37C8"/>
    <w:rsid w:val="00BC1FA1"/>
    <w:rsid w:val="00BD5B5F"/>
    <w:rsid w:val="00BE2D1A"/>
    <w:rsid w:val="00BE3478"/>
    <w:rsid w:val="00BF609D"/>
    <w:rsid w:val="00BF7C3C"/>
    <w:rsid w:val="00C12D67"/>
    <w:rsid w:val="00C17839"/>
    <w:rsid w:val="00C204DF"/>
    <w:rsid w:val="00C228EB"/>
    <w:rsid w:val="00C22ABE"/>
    <w:rsid w:val="00C23AF4"/>
    <w:rsid w:val="00C244C8"/>
    <w:rsid w:val="00C35416"/>
    <w:rsid w:val="00C379DF"/>
    <w:rsid w:val="00C4396F"/>
    <w:rsid w:val="00C4439A"/>
    <w:rsid w:val="00C449DF"/>
    <w:rsid w:val="00C50353"/>
    <w:rsid w:val="00C509D9"/>
    <w:rsid w:val="00C56232"/>
    <w:rsid w:val="00C660E2"/>
    <w:rsid w:val="00C716F3"/>
    <w:rsid w:val="00C7326D"/>
    <w:rsid w:val="00C75B09"/>
    <w:rsid w:val="00C810B0"/>
    <w:rsid w:val="00C929BE"/>
    <w:rsid w:val="00C92B7C"/>
    <w:rsid w:val="00C9730D"/>
    <w:rsid w:val="00CA3736"/>
    <w:rsid w:val="00CA7B18"/>
    <w:rsid w:val="00CC0BD5"/>
    <w:rsid w:val="00CC1759"/>
    <w:rsid w:val="00CC2C3E"/>
    <w:rsid w:val="00CD1DE9"/>
    <w:rsid w:val="00CD2051"/>
    <w:rsid w:val="00CD4B1F"/>
    <w:rsid w:val="00CE1256"/>
    <w:rsid w:val="00CE1406"/>
    <w:rsid w:val="00CE4F7B"/>
    <w:rsid w:val="00CE74E6"/>
    <w:rsid w:val="00CF08C6"/>
    <w:rsid w:val="00CF30D0"/>
    <w:rsid w:val="00CF7743"/>
    <w:rsid w:val="00D143E4"/>
    <w:rsid w:val="00D15FB2"/>
    <w:rsid w:val="00D2264F"/>
    <w:rsid w:val="00D30E52"/>
    <w:rsid w:val="00D31A54"/>
    <w:rsid w:val="00D36EC3"/>
    <w:rsid w:val="00D37B3F"/>
    <w:rsid w:val="00D437C1"/>
    <w:rsid w:val="00D53665"/>
    <w:rsid w:val="00D60EFD"/>
    <w:rsid w:val="00D66F37"/>
    <w:rsid w:val="00D814DB"/>
    <w:rsid w:val="00D831BC"/>
    <w:rsid w:val="00D90916"/>
    <w:rsid w:val="00D9256A"/>
    <w:rsid w:val="00D93F6B"/>
    <w:rsid w:val="00D95A48"/>
    <w:rsid w:val="00DA0EF8"/>
    <w:rsid w:val="00DA2057"/>
    <w:rsid w:val="00DA718C"/>
    <w:rsid w:val="00DB316D"/>
    <w:rsid w:val="00DB7A3F"/>
    <w:rsid w:val="00DC09E2"/>
    <w:rsid w:val="00DC7AAC"/>
    <w:rsid w:val="00DD29FB"/>
    <w:rsid w:val="00DD6494"/>
    <w:rsid w:val="00DE0C86"/>
    <w:rsid w:val="00DE3340"/>
    <w:rsid w:val="00DE5BB4"/>
    <w:rsid w:val="00DE66F0"/>
    <w:rsid w:val="00DF5FF8"/>
    <w:rsid w:val="00E0379D"/>
    <w:rsid w:val="00E0468D"/>
    <w:rsid w:val="00E114BB"/>
    <w:rsid w:val="00E1189E"/>
    <w:rsid w:val="00E134D9"/>
    <w:rsid w:val="00E274F5"/>
    <w:rsid w:val="00E27EC9"/>
    <w:rsid w:val="00E27FB8"/>
    <w:rsid w:val="00E339BA"/>
    <w:rsid w:val="00E37F68"/>
    <w:rsid w:val="00E40B08"/>
    <w:rsid w:val="00E46FB0"/>
    <w:rsid w:val="00E53372"/>
    <w:rsid w:val="00E55C62"/>
    <w:rsid w:val="00E57E2A"/>
    <w:rsid w:val="00E70800"/>
    <w:rsid w:val="00E74B60"/>
    <w:rsid w:val="00E761A9"/>
    <w:rsid w:val="00E7691A"/>
    <w:rsid w:val="00E85453"/>
    <w:rsid w:val="00E855C6"/>
    <w:rsid w:val="00EA532D"/>
    <w:rsid w:val="00EB2422"/>
    <w:rsid w:val="00EB391D"/>
    <w:rsid w:val="00EB4029"/>
    <w:rsid w:val="00EC460E"/>
    <w:rsid w:val="00EC4F14"/>
    <w:rsid w:val="00EC65BB"/>
    <w:rsid w:val="00EC765B"/>
    <w:rsid w:val="00ED29AC"/>
    <w:rsid w:val="00EE058B"/>
    <w:rsid w:val="00EE0AB2"/>
    <w:rsid w:val="00EE5A96"/>
    <w:rsid w:val="00EF28E0"/>
    <w:rsid w:val="00F11F35"/>
    <w:rsid w:val="00F169F3"/>
    <w:rsid w:val="00F24F20"/>
    <w:rsid w:val="00F36885"/>
    <w:rsid w:val="00F52AE4"/>
    <w:rsid w:val="00F6112A"/>
    <w:rsid w:val="00F63274"/>
    <w:rsid w:val="00F71076"/>
    <w:rsid w:val="00F74929"/>
    <w:rsid w:val="00F818A2"/>
    <w:rsid w:val="00F82946"/>
    <w:rsid w:val="00F82FDC"/>
    <w:rsid w:val="00F84114"/>
    <w:rsid w:val="00F846E0"/>
    <w:rsid w:val="00F847DA"/>
    <w:rsid w:val="00F85BD7"/>
    <w:rsid w:val="00F90B1B"/>
    <w:rsid w:val="00F90F80"/>
    <w:rsid w:val="00F96A2F"/>
    <w:rsid w:val="00FA3F09"/>
    <w:rsid w:val="00FB1A79"/>
    <w:rsid w:val="00FB3E0A"/>
    <w:rsid w:val="00FB3FAB"/>
    <w:rsid w:val="00FC537A"/>
    <w:rsid w:val="00FC689D"/>
    <w:rsid w:val="00FC6A55"/>
    <w:rsid w:val="00FD2FF0"/>
    <w:rsid w:val="00FD653E"/>
    <w:rsid w:val="00FD709C"/>
    <w:rsid w:val="00FE6D7D"/>
    <w:rsid w:val="00FF4BC1"/>
    <w:rsid w:val="00FF57C9"/>
    <w:rsid w:val="00FF61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320CC"/>
  <w15:docId w15:val="{33B2241F-A45E-4609-A6C0-2A5D1A6DCD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Bibliographie">
    <w:name w:val="Bibliography"/>
    <w:basedOn w:val="Normal"/>
    <w:next w:val="Normal"/>
    <w:uiPriority w:val="37"/>
    <w:unhideWhenUsed/>
    <w:rsid w:val="00E27EC9"/>
    <w:pPr>
      <w:tabs>
        <w:tab w:val="left" w:pos="384"/>
      </w:tabs>
      <w:spacing w:after="240" w:line="240" w:lineRule="auto"/>
      <w:ind w:left="384" w:hanging="384"/>
    </w:pPr>
  </w:style>
  <w:style w:type="paragraph" w:styleId="Paragraphedeliste">
    <w:name w:val="List Paragraph"/>
    <w:basedOn w:val="Normal"/>
    <w:uiPriority w:val="34"/>
    <w:qFormat/>
    <w:rsid w:val="00FD2FF0"/>
    <w:pPr>
      <w:ind w:left="720"/>
      <w:contextualSpacing/>
    </w:pPr>
  </w:style>
  <w:style w:type="table" w:styleId="Grilledutableau">
    <w:name w:val="Table Grid"/>
    <w:basedOn w:val="TableauNormal"/>
    <w:uiPriority w:val="39"/>
    <w:rsid w:val="00FD2F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2-Accentuation11">
    <w:name w:val="Tableau Grille 2 - Accentuation 11"/>
    <w:basedOn w:val="TableauNormal"/>
    <w:uiPriority w:val="47"/>
    <w:rsid w:val="00FD2FF0"/>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Textedebulles">
    <w:name w:val="Balloon Text"/>
    <w:basedOn w:val="Normal"/>
    <w:link w:val="TextedebullesCar"/>
    <w:uiPriority w:val="99"/>
    <w:semiHidden/>
    <w:unhideWhenUsed/>
    <w:rsid w:val="006064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06420"/>
    <w:rPr>
      <w:rFonts w:ascii="Segoe UI" w:hAnsi="Segoe UI" w:cs="Segoe UI"/>
      <w:sz w:val="18"/>
      <w:szCs w:val="18"/>
    </w:rPr>
  </w:style>
  <w:style w:type="paragraph" w:styleId="En-tte">
    <w:name w:val="header"/>
    <w:basedOn w:val="Normal"/>
    <w:link w:val="En-tteCar"/>
    <w:uiPriority w:val="99"/>
    <w:unhideWhenUsed/>
    <w:rsid w:val="002806B1"/>
    <w:pPr>
      <w:tabs>
        <w:tab w:val="center" w:pos="4536"/>
        <w:tab w:val="right" w:pos="9072"/>
      </w:tabs>
      <w:spacing w:after="0" w:line="240" w:lineRule="auto"/>
    </w:pPr>
  </w:style>
  <w:style w:type="character" w:customStyle="1" w:styleId="En-tteCar">
    <w:name w:val="En-tête Car"/>
    <w:basedOn w:val="Policepardfaut"/>
    <w:link w:val="En-tte"/>
    <w:uiPriority w:val="99"/>
    <w:rsid w:val="002806B1"/>
  </w:style>
  <w:style w:type="paragraph" w:styleId="Pieddepage">
    <w:name w:val="footer"/>
    <w:basedOn w:val="Normal"/>
    <w:link w:val="PieddepageCar"/>
    <w:uiPriority w:val="99"/>
    <w:unhideWhenUsed/>
    <w:rsid w:val="002806B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806B1"/>
  </w:style>
  <w:style w:type="character" w:styleId="Lienhypertexte">
    <w:name w:val="Hyperlink"/>
    <w:basedOn w:val="Policepardfaut"/>
    <w:uiPriority w:val="99"/>
    <w:unhideWhenUsed/>
    <w:rsid w:val="00674AA6"/>
    <w:rPr>
      <w:color w:val="0000FF"/>
      <w:u w:val="single"/>
    </w:rPr>
  </w:style>
  <w:style w:type="character" w:styleId="Marquedecommentaire">
    <w:name w:val="annotation reference"/>
    <w:basedOn w:val="Policepardfaut"/>
    <w:uiPriority w:val="99"/>
    <w:semiHidden/>
    <w:unhideWhenUsed/>
    <w:rsid w:val="001C2923"/>
    <w:rPr>
      <w:sz w:val="16"/>
      <w:szCs w:val="16"/>
    </w:rPr>
  </w:style>
  <w:style w:type="paragraph" w:styleId="Commentaire">
    <w:name w:val="annotation text"/>
    <w:basedOn w:val="Normal"/>
    <w:link w:val="CommentaireCar"/>
    <w:uiPriority w:val="99"/>
    <w:semiHidden/>
    <w:unhideWhenUsed/>
    <w:rsid w:val="001C2923"/>
    <w:pPr>
      <w:spacing w:line="240" w:lineRule="auto"/>
    </w:pPr>
    <w:rPr>
      <w:sz w:val="20"/>
      <w:szCs w:val="20"/>
    </w:rPr>
  </w:style>
  <w:style w:type="character" w:customStyle="1" w:styleId="CommentaireCar">
    <w:name w:val="Commentaire Car"/>
    <w:basedOn w:val="Policepardfaut"/>
    <w:link w:val="Commentaire"/>
    <w:uiPriority w:val="99"/>
    <w:semiHidden/>
    <w:rsid w:val="001C2923"/>
    <w:rPr>
      <w:sz w:val="20"/>
      <w:szCs w:val="20"/>
    </w:rPr>
  </w:style>
  <w:style w:type="paragraph" w:styleId="Objetducommentaire">
    <w:name w:val="annotation subject"/>
    <w:basedOn w:val="Commentaire"/>
    <w:next w:val="Commentaire"/>
    <w:link w:val="ObjetducommentaireCar"/>
    <w:uiPriority w:val="99"/>
    <w:semiHidden/>
    <w:unhideWhenUsed/>
    <w:rsid w:val="001C2923"/>
    <w:rPr>
      <w:b/>
      <w:bCs/>
    </w:rPr>
  </w:style>
  <w:style w:type="character" w:customStyle="1" w:styleId="ObjetducommentaireCar">
    <w:name w:val="Objet du commentaire Car"/>
    <w:basedOn w:val="CommentaireCar"/>
    <w:link w:val="Objetducommentaire"/>
    <w:uiPriority w:val="99"/>
    <w:semiHidden/>
    <w:rsid w:val="001C2923"/>
    <w:rPr>
      <w:b/>
      <w:bCs/>
      <w:sz w:val="20"/>
      <w:szCs w:val="20"/>
    </w:rPr>
  </w:style>
  <w:style w:type="table" w:customStyle="1" w:styleId="TableauGrille2-Accentuation51">
    <w:name w:val="Tableau Grille 2 - Accentuation 51"/>
    <w:basedOn w:val="TableauNormal"/>
    <w:uiPriority w:val="47"/>
    <w:rsid w:val="00093E8F"/>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NormalWeb">
    <w:name w:val="Normal (Web)"/>
    <w:basedOn w:val="Normal"/>
    <w:uiPriority w:val="99"/>
    <w:semiHidden/>
    <w:unhideWhenUsed/>
    <w:rsid w:val="00FB3FAB"/>
    <w:rPr>
      <w:rFonts w:ascii="Times New Roman" w:hAnsi="Times New Roman" w:cs="Times New Roman"/>
      <w:sz w:val="24"/>
      <w:szCs w:val="24"/>
    </w:rPr>
  </w:style>
  <w:style w:type="table" w:styleId="Tramemoyenne1-Accent1">
    <w:name w:val="Medium Shading 1 Accent 1"/>
    <w:basedOn w:val="TableauNormal"/>
    <w:uiPriority w:val="63"/>
    <w:rsid w:val="006E1257"/>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styleId="Sansinterligne">
    <w:name w:val="No Spacing"/>
    <w:uiPriority w:val="1"/>
    <w:qFormat/>
    <w:rsid w:val="003E4CA0"/>
    <w:pPr>
      <w:spacing w:after="0" w:line="240" w:lineRule="auto"/>
    </w:pPr>
  </w:style>
  <w:style w:type="character" w:customStyle="1" w:styleId="Mentionnonrsolue1">
    <w:name w:val="Mention non résolue1"/>
    <w:basedOn w:val="Policepardfaut"/>
    <w:uiPriority w:val="99"/>
    <w:semiHidden/>
    <w:unhideWhenUsed/>
    <w:rsid w:val="00281A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775732">
      <w:bodyDiv w:val="1"/>
      <w:marLeft w:val="0"/>
      <w:marRight w:val="0"/>
      <w:marTop w:val="0"/>
      <w:marBottom w:val="0"/>
      <w:divBdr>
        <w:top w:val="none" w:sz="0" w:space="0" w:color="auto"/>
        <w:left w:val="none" w:sz="0" w:space="0" w:color="auto"/>
        <w:bottom w:val="none" w:sz="0" w:space="0" w:color="auto"/>
        <w:right w:val="none" w:sz="0" w:space="0" w:color="auto"/>
      </w:divBdr>
      <w:divsChild>
        <w:div w:id="2005889753">
          <w:marLeft w:val="0"/>
          <w:marRight w:val="0"/>
          <w:marTop w:val="0"/>
          <w:marBottom w:val="0"/>
          <w:divBdr>
            <w:top w:val="none" w:sz="0" w:space="0" w:color="auto"/>
            <w:left w:val="none" w:sz="0" w:space="0" w:color="auto"/>
            <w:bottom w:val="none" w:sz="0" w:space="0" w:color="auto"/>
            <w:right w:val="none" w:sz="0" w:space="0" w:color="auto"/>
          </w:divBdr>
        </w:div>
      </w:divsChild>
    </w:div>
    <w:div w:id="163327063">
      <w:bodyDiv w:val="1"/>
      <w:marLeft w:val="0"/>
      <w:marRight w:val="0"/>
      <w:marTop w:val="0"/>
      <w:marBottom w:val="0"/>
      <w:divBdr>
        <w:top w:val="none" w:sz="0" w:space="0" w:color="auto"/>
        <w:left w:val="none" w:sz="0" w:space="0" w:color="auto"/>
        <w:bottom w:val="none" w:sz="0" w:space="0" w:color="auto"/>
        <w:right w:val="none" w:sz="0" w:space="0" w:color="auto"/>
      </w:divBdr>
    </w:div>
    <w:div w:id="402416758">
      <w:bodyDiv w:val="1"/>
      <w:marLeft w:val="0"/>
      <w:marRight w:val="0"/>
      <w:marTop w:val="0"/>
      <w:marBottom w:val="0"/>
      <w:divBdr>
        <w:top w:val="none" w:sz="0" w:space="0" w:color="auto"/>
        <w:left w:val="none" w:sz="0" w:space="0" w:color="auto"/>
        <w:bottom w:val="none" w:sz="0" w:space="0" w:color="auto"/>
        <w:right w:val="none" w:sz="0" w:space="0" w:color="auto"/>
      </w:divBdr>
    </w:div>
    <w:div w:id="790364695">
      <w:bodyDiv w:val="1"/>
      <w:marLeft w:val="0"/>
      <w:marRight w:val="0"/>
      <w:marTop w:val="0"/>
      <w:marBottom w:val="0"/>
      <w:divBdr>
        <w:top w:val="none" w:sz="0" w:space="0" w:color="auto"/>
        <w:left w:val="none" w:sz="0" w:space="0" w:color="auto"/>
        <w:bottom w:val="none" w:sz="0" w:space="0" w:color="auto"/>
        <w:right w:val="none" w:sz="0" w:space="0" w:color="auto"/>
      </w:divBdr>
    </w:div>
    <w:div w:id="1199976937">
      <w:bodyDiv w:val="1"/>
      <w:marLeft w:val="0"/>
      <w:marRight w:val="0"/>
      <w:marTop w:val="0"/>
      <w:marBottom w:val="0"/>
      <w:divBdr>
        <w:top w:val="none" w:sz="0" w:space="0" w:color="auto"/>
        <w:left w:val="none" w:sz="0" w:space="0" w:color="auto"/>
        <w:bottom w:val="none" w:sz="0" w:space="0" w:color="auto"/>
        <w:right w:val="none" w:sz="0" w:space="0" w:color="auto"/>
      </w:divBdr>
    </w:div>
    <w:div w:id="1305502638">
      <w:bodyDiv w:val="1"/>
      <w:marLeft w:val="0"/>
      <w:marRight w:val="0"/>
      <w:marTop w:val="0"/>
      <w:marBottom w:val="0"/>
      <w:divBdr>
        <w:top w:val="none" w:sz="0" w:space="0" w:color="auto"/>
        <w:left w:val="none" w:sz="0" w:space="0" w:color="auto"/>
        <w:bottom w:val="none" w:sz="0" w:space="0" w:color="auto"/>
        <w:right w:val="none" w:sz="0" w:space="0" w:color="auto"/>
      </w:divBdr>
    </w:div>
    <w:div w:id="1372146329">
      <w:bodyDiv w:val="1"/>
      <w:marLeft w:val="0"/>
      <w:marRight w:val="0"/>
      <w:marTop w:val="0"/>
      <w:marBottom w:val="0"/>
      <w:divBdr>
        <w:top w:val="none" w:sz="0" w:space="0" w:color="auto"/>
        <w:left w:val="none" w:sz="0" w:space="0" w:color="auto"/>
        <w:bottom w:val="none" w:sz="0" w:space="0" w:color="auto"/>
        <w:right w:val="none" w:sz="0" w:space="0" w:color="auto"/>
      </w:divBdr>
    </w:div>
    <w:div w:id="1430351792">
      <w:bodyDiv w:val="1"/>
      <w:marLeft w:val="0"/>
      <w:marRight w:val="0"/>
      <w:marTop w:val="0"/>
      <w:marBottom w:val="0"/>
      <w:divBdr>
        <w:top w:val="none" w:sz="0" w:space="0" w:color="auto"/>
        <w:left w:val="none" w:sz="0" w:space="0" w:color="auto"/>
        <w:bottom w:val="none" w:sz="0" w:space="0" w:color="auto"/>
        <w:right w:val="none" w:sz="0" w:space="0" w:color="auto"/>
      </w:divBdr>
      <w:divsChild>
        <w:div w:id="867331619">
          <w:marLeft w:val="0"/>
          <w:marRight w:val="0"/>
          <w:marTop w:val="0"/>
          <w:marBottom w:val="0"/>
          <w:divBdr>
            <w:top w:val="none" w:sz="0" w:space="0" w:color="auto"/>
            <w:left w:val="none" w:sz="0" w:space="0" w:color="auto"/>
            <w:bottom w:val="none" w:sz="0" w:space="0" w:color="auto"/>
            <w:right w:val="none" w:sz="0" w:space="0" w:color="auto"/>
          </w:divBdr>
        </w:div>
      </w:divsChild>
    </w:div>
    <w:div w:id="1451506437">
      <w:bodyDiv w:val="1"/>
      <w:marLeft w:val="0"/>
      <w:marRight w:val="0"/>
      <w:marTop w:val="0"/>
      <w:marBottom w:val="0"/>
      <w:divBdr>
        <w:top w:val="none" w:sz="0" w:space="0" w:color="auto"/>
        <w:left w:val="none" w:sz="0" w:space="0" w:color="auto"/>
        <w:bottom w:val="none" w:sz="0" w:space="0" w:color="auto"/>
        <w:right w:val="none" w:sz="0" w:space="0" w:color="auto"/>
      </w:divBdr>
    </w:div>
    <w:div w:id="1522935162">
      <w:bodyDiv w:val="1"/>
      <w:marLeft w:val="0"/>
      <w:marRight w:val="0"/>
      <w:marTop w:val="0"/>
      <w:marBottom w:val="0"/>
      <w:divBdr>
        <w:top w:val="none" w:sz="0" w:space="0" w:color="auto"/>
        <w:left w:val="none" w:sz="0" w:space="0" w:color="auto"/>
        <w:bottom w:val="none" w:sz="0" w:space="0" w:color="auto"/>
        <w:right w:val="none" w:sz="0" w:space="0" w:color="auto"/>
      </w:divBdr>
    </w:div>
    <w:div w:id="1690981420">
      <w:bodyDiv w:val="1"/>
      <w:marLeft w:val="0"/>
      <w:marRight w:val="0"/>
      <w:marTop w:val="0"/>
      <w:marBottom w:val="0"/>
      <w:divBdr>
        <w:top w:val="none" w:sz="0" w:space="0" w:color="auto"/>
        <w:left w:val="none" w:sz="0" w:space="0" w:color="auto"/>
        <w:bottom w:val="none" w:sz="0" w:space="0" w:color="auto"/>
        <w:right w:val="none" w:sz="0" w:space="0" w:color="auto"/>
      </w:divBdr>
    </w:div>
    <w:div w:id="1698965195">
      <w:bodyDiv w:val="1"/>
      <w:marLeft w:val="0"/>
      <w:marRight w:val="0"/>
      <w:marTop w:val="0"/>
      <w:marBottom w:val="0"/>
      <w:divBdr>
        <w:top w:val="none" w:sz="0" w:space="0" w:color="auto"/>
        <w:left w:val="none" w:sz="0" w:space="0" w:color="auto"/>
        <w:bottom w:val="none" w:sz="0" w:space="0" w:color="auto"/>
        <w:right w:val="none" w:sz="0" w:space="0" w:color="auto"/>
      </w:divBdr>
    </w:div>
    <w:div w:id="1726760237">
      <w:bodyDiv w:val="1"/>
      <w:marLeft w:val="0"/>
      <w:marRight w:val="0"/>
      <w:marTop w:val="0"/>
      <w:marBottom w:val="0"/>
      <w:divBdr>
        <w:top w:val="none" w:sz="0" w:space="0" w:color="auto"/>
        <w:left w:val="none" w:sz="0" w:space="0" w:color="auto"/>
        <w:bottom w:val="none" w:sz="0" w:space="0" w:color="auto"/>
        <w:right w:val="none" w:sz="0" w:space="0" w:color="auto"/>
      </w:divBdr>
    </w:div>
    <w:div w:id="1961493310">
      <w:bodyDiv w:val="1"/>
      <w:marLeft w:val="0"/>
      <w:marRight w:val="0"/>
      <w:marTop w:val="0"/>
      <w:marBottom w:val="0"/>
      <w:divBdr>
        <w:top w:val="none" w:sz="0" w:space="0" w:color="auto"/>
        <w:left w:val="none" w:sz="0" w:space="0" w:color="auto"/>
        <w:bottom w:val="none" w:sz="0" w:space="0" w:color="auto"/>
        <w:right w:val="none" w:sz="0" w:space="0" w:color="auto"/>
      </w:divBdr>
    </w:div>
    <w:div w:id="2024091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gremanne.michele@gmail.com" TargetMode="External"/><Relationship Id="rId13" Type="http://schemas.openxmlformats.org/officeDocument/2006/relationships/image" Target="media/image3.jpeg"/><Relationship Id="rId18" Type="http://schemas.openxmlformats.org/officeDocument/2006/relationships/diagramColors" Target="diagrams/colors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diagramQuickStyle" Target="diagrams/quickStyle1.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diagramData" Target="diagrams/data1.xml"/><Relationship Id="rId10" Type="http://schemas.openxmlformats.org/officeDocument/2006/relationships/hyperlink" Target="http://www.vidal.fr" TargetMode="External"/><Relationship Id="rId19"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hyperlink" Target="http://www.cbip.be" TargetMode="External"/><Relationship Id="rId14" Type="http://schemas.openxmlformats.org/officeDocument/2006/relationships/image" Target="media/image4.jpeg"/><Relationship Id="rId22" Type="http://schemas.openxmlformats.org/officeDocument/2006/relationships/theme" Target="theme/theme1.xml"/></Relationships>
</file>

<file path=word/diagrams/_rels/data1.xml.rels><?xml version="1.0" encoding="UTF-8" standalone="yes"?>
<Relationships xmlns="http://schemas.openxmlformats.org/package/2006/relationships"><Relationship Id="rId1" Type="http://schemas.openxmlformats.org/officeDocument/2006/relationships/image" Target="../media/image5.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6285BA6-88FC-2A44-A756-E223D015772B}" type="doc">
      <dgm:prSet loTypeId="urn:microsoft.com/office/officeart/2005/8/layout/orgChart1" loCatId="" qsTypeId="urn:microsoft.com/office/officeart/2005/8/quickstyle/simple1" qsCatId="simple" csTypeId="urn:microsoft.com/office/officeart/2005/8/colors/accent1_2" csCatId="accent1" phldr="1"/>
      <dgm:spPr/>
      <dgm:t>
        <a:bodyPr/>
        <a:lstStyle/>
        <a:p>
          <a:endParaRPr lang="en-US"/>
        </a:p>
      </dgm:t>
    </dgm:pt>
    <dgm:pt modelId="{9676973F-856E-D74B-AEE6-8CC98DAE75A3}">
      <dgm:prSet phldrT="[Text]" custT="1"/>
      <dgm:spPr/>
      <dgm:t>
        <a:bodyPr/>
        <a:lstStyle/>
        <a:p>
          <a:r>
            <a:rPr lang="en-US" sz="700"/>
            <a:t>irradiation</a:t>
          </a:r>
        </a:p>
      </dgm:t>
    </dgm:pt>
    <dgm:pt modelId="{0489F6A4-4819-B94B-BEE0-0C8813214627}" type="parTrans" cxnId="{484404FC-CC74-EF48-BB1F-C66F7B26DDFC}">
      <dgm:prSet/>
      <dgm:spPr/>
      <dgm:t>
        <a:bodyPr/>
        <a:lstStyle/>
        <a:p>
          <a:endParaRPr lang="en-US"/>
        </a:p>
      </dgm:t>
    </dgm:pt>
    <dgm:pt modelId="{9C1E4EFC-4AD2-6C4A-B9C8-C1397A9BD807}" type="sibTrans" cxnId="{484404FC-CC74-EF48-BB1F-C66F7B26DDFC}">
      <dgm:prSet/>
      <dgm:spPr/>
      <dgm:t>
        <a:bodyPr/>
        <a:lstStyle/>
        <a:p>
          <a:endParaRPr lang="en-US"/>
        </a:p>
      </dgm:t>
    </dgm:pt>
    <dgm:pt modelId="{E4936A3C-0D3A-3C4E-8F97-C0201296FB8E}">
      <dgm:prSet phldrT="[Text]" custT="1"/>
      <dgm:spPr/>
      <dgm:t>
        <a:bodyPr/>
        <a:lstStyle/>
        <a:p>
          <a:r>
            <a:rPr lang="en-US" sz="700"/>
            <a:t>synthese de radicaux oxygénés libres (ROL)</a:t>
          </a:r>
        </a:p>
      </dgm:t>
    </dgm:pt>
    <dgm:pt modelId="{90DD4173-9579-574B-9214-463D8C6503A0}" type="parTrans" cxnId="{88D67E04-ADCF-784E-ACA5-DACA53C5E401}">
      <dgm:prSet/>
      <dgm:spPr/>
      <dgm:t>
        <a:bodyPr/>
        <a:lstStyle/>
        <a:p>
          <a:endParaRPr lang="en-US"/>
        </a:p>
      </dgm:t>
    </dgm:pt>
    <dgm:pt modelId="{9EC537D6-A5EC-7749-969A-33BD60F1D0BB}" type="sibTrans" cxnId="{88D67E04-ADCF-784E-ACA5-DACA53C5E401}">
      <dgm:prSet/>
      <dgm:spPr/>
      <dgm:t>
        <a:bodyPr/>
        <a:lstStyle/>
        <a:p>
          <a:endParaRPr lang="en-US"/>
        </a:p>
      </dgm:t>
    </dgm:pt>
    <dgm:pt modelId="{9D87D6FA-77AE-6247-A4E6-8A1002440305}">
      <dgm:prSet phldrT="[Text]" custT="1"/>
      <dgm:spPr/>
      <dgm:t>
        <a:bodyPr/>
        <a:lstStyle/>
        <a:p>
          <a:r>
            <a:rPr lang="en-US" sz="700"/>
            <a:t>lésion cellules endothéliales</a:t>
          </a:r>
        </a:p>
      </dgm:t>
    </dgm:pt>
    <dgm:pt modelId="{0D8F23B4-EFD4-0B43-835C-4E25F968BF75}" type="parTrans" cxnId="{211F4774-76C4-4144-8277-1999EA1135EC}">
      <dgm:prSet/>
      <dgm:spPr/>
      <dgm:t>
        <a:bodyPr/>
        <a:lstStyle/>
        <a:p>
          <a:endParaRPr lang="en-US"/>
        </a:p>
      </dgm:t>
    </dgm:pt>
    <dgm:pt modelId="{CF53BB57-C4BE-2C45-AF02-1E04ACCA3259}" type="sibTrans" cxnId="{211F4774-76C4-4144-8277-1999EA1135EC}">
      <dgm:prSet/>
      <dgm:spPr/>
      <dgm:t>
        <a:bodyPr/>
        <a:lstStyle/>
        <a:p>
          <a:endParaRPr lang="en-US"/>
        </a:p>
      </dgm:t>
    </dgm:pt>
    <dgm:pt modelId="{1FCA1860-4C4A-F543-B9B8-6760E17EA603}">
      <dgm:prSet phldrT="[Text]" custT="1"/>
      <dgm:spPr/>
      <dgm:t>
        <a:bodyPr/>
        <a:lstStyle/>
        <a:p>
          <a:r>
            <a:rPr lang="en-US" sz="700"/>
            <a:t>mort cellules osseuses (ostéoblastes, ostéocytes, ostéoclastes)</a:t>
          </a:r>
        </a:p>
      </dgm:t>
    </dgm:pt>
    <dgm:pt modelId="{6CE98252-E5BF-B64F-AFDF-DDE5E1771652}" type="parTrans" cxnId="{5B140B74-E6CD-AD43-9C50-45C2BF85377C}">
      <dgm:prSet/>
      <dgm:spPr/>
      <dgm:t>
        <a:bodyPr/>
        <a:lstStyle/>
        <a:p>
          <a:endParaRPr lang="en-US"/>
        </a:p>
      </dgm:t>
    </dgm:pt>
    <dgm:pt modelId="{4E8F9080-EB34-904E-84B2-A944A092A8EA}" type="sibTrans" cxnId="{5B140B74-E6CD-AD43-9C50-45C2BF85377C}">
      <dgm:prSet/>
      <dgm:spPr/>
      <dgm:t>
        <a:bodyPr/>
        <a:lstStyle/>
        <a:p>
          <a:endParaRPr lang="en-US"/>
        </a:p>
      </dgm:t>
    </dgm:pt>
    <dgm:pt modelId="{B8BE8B64-8611-9C4F-B9FC-EC4AB5674AB6}">
      <dgm:prSet phldrT="[Text]" custT="1"/>
      <dgm:spPr/>
      <dgm:t>
        <a:bodyPr/>
        <a:lstStyle/>
        <a:p>
          <a:r>
            <a:rPr lang="en-US" sz="700"/>
            <a:t>fibroblastes</a:t>
          </a:r>
        </a:p>
      </dgm:t>
    </dgm:pt>
    <dgm:pt modelId="{7B0853A7-C73D-5643-A1F7-BF44AE256BE2}" type="parTrans" cxnId="{A6350486-5526-7F4E-B0E8-B67C31420546}">
      <dgm:prSet/>
      <dgm:spPr/>
      <dgm:t>
        <a:bodyPr/>
        <a:lstStyle/>
        <a:p>
          <a:endParaRPr lang="en-US"/>
        </a:p>
      </dgm:t>
    </dgm:pt>
    <dgm:pt modelId="{7E6AF4C1-D901-3F46-ABD7-44A6F5B6256C}" type="sibTrans" cxnId="{A6350486-5526-7F4E-B0E8-B67C31420546}">
      <dgm:prSet/>
      <dgm:spPr/>
      <dgm:t>
        <a:bodyPr/>
        <a:lstStyle/>
        <a:p>
          <a:endParaRPr lang="en-US"/>
        </a:p>
      </dgm:t>
    </dgm:pt>
    <dgm:pt modelId="{D577C970-3A40-4749-A860-5128C2A75CEA}">
      <dgm:prSet phldrT="[Text]"/>
      <dgm:spPr/>
      <dgm:t>
        <a:bodyPr/>
        <a:lstStyle/>
        <a:p>
          <a:r>
            <a:rPr lang="en-US"/>
            <a:t>production de cytokynes</a:t>
          </a:r>
        </a:p>
      </dgm:t>
    </dgm:pt>
    <dgm:pt modelId="{E4BA095F-9A19-D04F-A6FA-9E8D1A50405B}" type="parTrans" cxnId="{78EFE658-6E80-0647-B3DE-3033BDA0A2BC}">
      <dgm:prSet/>
      <dgm:spPr/>
      <dgm:t>
        <a:bodyPr/>
        <a:lstStyle/>
        <a:p>
          <a:endParaRPr lang="en-US"/>
        </a:p>
      </dgm:t>
    </dgm:pt>
    <dgm:pt modelId="{55F78579-4469-D442-919A-4C65FFC7C99B}" type="sibTrans" cxnId="{78EFE658-6E80-0647-B3DE-3033BDA0A2BC}">
      <dgm:prSet/>
      <dgm:spPr/>
      <dgm:t>
        <a:bodyPr/>
        <a:lstStyle/>
        <a:p>
          <a:endParaRPr lang="en-US"/>
        </a:p>
      </dgm:t>
    </dgm:pt>
    <dgm:pt modelId="{E5092494-A934-D94A-81FE-412C66F3C146}">
      <dgm:prSet phldrT="[Text]"/>
      <dgm:spPr/>
      <dgm:t>
        <a:bodyPr/>
        <a:lstStyle/>
        <a:p>
          <a:r>
            <a:rPr lang="en-US"/>
            <a:t>nécrose de microvaisseaux</a:t>
          </a:r>
        </a:p>
      </dgm:t>
    </dgm:pt>
    <dgm:pt modelId="{AC6E3FAB-D5DA-9B4A-A06C-C77BDDBF8116}" type="parTrans" cxnId="{ADCFAFAC-2F1E-FF4F-9702-8FE37078CF80}">
      <dgm:prSet/>
      <dgm:spPr/>
      <dgm:t>
        <a:bodyPr/>
        <a:lstStyle/>
        <a:p>
          <a:endParaRPr lang="en-US"/>
        </a:p>
      </dgm:t>
    </dgm:pt>
    <dgm:pt modelId="{7708377F-8528-BF4A-BA8E-0C6FE232C6DD}" type="sibTrans" cxnId="{ADCFAFAC-2F1E-FF4F-9702-8FE37078CF80}">
      <dgm:prSet/>
      <dgm:spPr/>
      <dgm:t>
        <a:bodyPr/>
        <a:lstStyle/>
        <a:p>
          <a:endParaRPr lang="en-US"/>
        </a:p>
      </dgm:t>
    </dgm:pt>
    <dgm:pt modelId="{DC19DA17-8DA0-0749-8300-0B47B0BFEA2D}">
      <dgm:prSet phldrT="[Text]"/>
      <dgm:spPr/>
      <dgm:t>
        <a:bodyPr/>
        <a:lstStyle/>
        <a:p>
          <a:r>
            <a:rPr lang="en-US"/>
            <a:t>thrombose vasculaire</a:t>
          </a:r>
        </a:p>
      </dgm:t>
    </dgm:pt>
    <dgm:pt modelId="{125AF23E-7426-9A4E-9947-180E36640DF9}" type="parTrans" cxnId="{D4596F3C-3209-C541-B710-2EC02937F97B}">
      <dgm:prSet/>
      <dgm:spPr/>
      <dgm:t>
        <a:bodyPr/>
        <a:lstStyle/>
        <a:p>
          <a:endParaRPr lang="en-US"/>
        </a:p>
      </dgm:t>
    </dgm:pt>
    <dgm:pt modelId="{50D5AD6E-E372-1549-8752-9B46FBCF23DE}" type="sibTrans" cxnId="{D4596F3C-3209-C541-B710-2EC02937F97B}">
      <dgm:prSet/>
      <dgm:spPr/>
      <dgm:t>
        <a:bodyPr/>
        <a:lstStyle/>
        <a:p>
          <a:endParaRPr lang="en-US"/>
        </a:p>
      </dgm:t>
    </dgm:pt>
    <dgm:pt modelId="{69393D0A-F22E-634F-844D-5A9623123E18}">
      <dgm:prSet phldrT="[Text]"/>
      <dgm:spPr>
        <a:solidFill>
          <a:schemeClr val="accent5"/>
        </a:solidFill>
      </dgm:spPr>
      <dgm:t>
        <a:bodyPr/>
        <a:lstStyle/>
        <a:p>
          <a:r>
            <a:rPr lang="en-US"/>
            <a:t>nécrose tissulaire	</a:t>
          </a:r>
        </a:p>
      </dgm:t>
    </dgm:pt>
    <dgm:pt modelId="{DB67E66D-DDDA-BA4E-AD11-F0A4E3B2B84E}" type="parTrans" cxnId="{132EAA64-CE9A-6345-8536-C61FCB437B9A}">
      <dgm:prSet/>
      <dgm:spPr/>
      <dgm:t>
        <a:bodyPr/>
        <a:lstStyle/>
        <a:p>
          <a:endParaRPr lang="en-US"/>
        </a:p>
      </dgm:t>
    </dgm:pt>
    <dgm:pt modelId="{07DAFDD4-0F21-CB49-A049-3453941C1D32}" type="sibTrans" cxnId="{132EAA64-CE9A-6345-8536-C61FCB437B9A}">
      <dgm:prSet/>
      <dgm:spPr/>
      <dgm:t>
        <a:bodyPr/>
        <a:lstStyle/>
        <a:p>
          <a:endParaRPr lang="en-US"/>
        </a:p>
      </dgm:t>
    </dgm:pt>
    <dgm:pt modelId="{BB84A946-ABDC-5640-9A50-74B75CCE8FAF}">
      <dgm:prSet phldrT="[Text]"/>
      <dgm:spPr>
        <a:solidFill>
          <a:srgbClr val="4BACC6"/>
        </a:solidFill>
      </dgm:spPr>
      <dgm:t>
        <a:bodyPr/>
        <a:lstStyle/>
        <a:p>
          <a:r>
            <a:rPr lang="en-US"/>
            <a:t>nécrose tissus osseux</a:t>
          </a:r>
        </a:p>
      </dgm:t>
    </dgm:pt>
    <dgm:pt modelId="{194A2ED6-8AD7-0F48-8858-653EBA1FDDF6}" type="parTrans" cxnId="{96D7B9C4-3859-B14A-B6CC-FEADA5A27808}">
      <dgm:prSet/>
      <dgm:spPr/>
      <dgm:t>
        <a:bodyPr/>
        <a:lstStyle/>
        <a:p>
          <a:endParaRPr lang="en-US"/>
        </a:p>
      </dgm:t>
    </dgm:pt>
    <dgm:pt modelId="{4D3619AF-D70E-3A48-B86A-9B1275B24AB1}" type="sibTrans" cxnId="{96D7B9C4-3859-B14A-B6CC-FEADA5A27808}">
      <dgm:prSet/>
      <dgm:spPr/>
      <dgm:t>
        <a:bodyPr/>
        <a:lstStyle/>
        <a:p>
          <a:endParaRPr lang="en-US"/>
        </a:p>
      </dgm:t>
    </dgm:pt>
    <dgm:pt modelId="{8A04DCED-7006-AA44-8559-A0F189D578FD}">
      <dgm:prSet phldrT="[Text]" custT="1"/>
      <dgm:spPr/>
      <dgm:t>
        <a:bodyPr/>
        <a:lstStyle/>
        <a:p>
          <a:r>
            <a:rPr lang="en-US" sz="700"/>
            <a:t>myofibroblastes</a:t>
          </a:r>
        </a:p>
      </dgm:t>
    </dgm:pt>
    <dgm:pt modelId="{35E59118-D424-024A-910C-B94CCDE71E59}" type="parTrans" cxnId="{2B52DD2A-9EB2-294E-B0FF-AFE65FC0E78B}">
      <dgm:prSet/>
      <dgm:spPr/>
      <dgm:t>
        <a:bodyPr/>
        <a:lstStyle/>
        <a:p>
          <a:endParaRPr lang="en-US"/>
        </a:p>
      </dgm:t>
    </dgm:pt>
    <dgm:pt modelId="{E72B83D5-38A1-FD42-A56C-7C41FC99093D}" type="sibTrans" cxnId="{2B52DD2A-9EB2-294E-B0FF-AFE65FC0E78B}">
      <dgm:prSet/>
      <dgm:spPr/>
      <dgm:t>
        <a:bodyPr/>
        <a:lstStyle/>
        <a:p>
          <a:endParaRPr lang="en-US"/>
        </a:p>
      </dgm:t>
    </dgm:pt>
    <dgm:pt modelId="{6554FAF2-EC0C-6943-8CE3-F5F0EB5E4B1D}">
      <dgm:prSet phldrT="[Text]" custT="1"/>
      <dgm:spPr/>
      <dgm:t>
        <a:bodyPr/>
        <a:lstStyle/>
        <a:p>
          <a:r>
            <a:rPr lang="en-US" sz="700"/>
            <a:t>perturbation métabolisme du collagène</a:t>
          </a:r>
        </a:p>
        <a:p>
          <a:r>
            <a:rPr lang="en-US" sz="700"/>
            <a:t>production TNFa, PDGF, IL1, IL4, IL6, TGFb1</a:t>
          </a:r>
        </a:p>
      </dgm:t>
    </dgm:pt>
    <dgm:pt modelId="{5F12D857-151F-084F-ABB7-690063D8341D}" type="parTrans" cxnId="{0C646850-4368-FA4C-8CA8-72E5E0194A31}">
      <dgm:prSet/>
      <dgm:spPr/>
      <dgm:t>
        <a:bodyPr/>
        <a:lstStyle/>
        <a:p>
          <a:endParaRPr lang="en-US"/>
        </a:p>
      </dgm:t>
    </dgm:pt>
    <dgm:pt modelId="{87B645D8-F54D-9648-98FE-E8168C43ACB5}" type="sibTrans" cxnId="{0C646850-4368-FA4C-8CA8-72E5E0194A31}">
      <dgm:prSet/>
      <dgm:spPr/>
      <dgm:t>
        <a:bodyPr/>
        <a:lstStyle/>
        <a:p>
          <a:endParaRPr lang="en-US"/>
        </a:p>
      </dgm:t>
    </dgm:pt>
    <dgm:pt modelId="{AABA546C-DC78-D84E-8824-84B21A172D05}">
      <dgm:prSet phldrT="[Text]" custT="1"/>
      <dgm:spPr>
        <a:solidFill>
          <a:srgbClr val="4BACC6"/>
        </a:solidFill>
      </dgm:spPr>
      <dgm:t>
        <a:bodyPr/>
        <a:lstStyle/>
        <a:p>
          <a:r>
            <a:rPr lang="en-US" sz="900"/>
            <a:t>fibrose</a:t>
          </a:r>
        </a:p>
      </dgm:t>
    </dgm:pt>
    <dgm:pt modelId="{1B498BA4-D4DB-4047-9B7A-7F401F94DC5C}" type="parTrans" cxnId="{F17F32B8-8504-E343-A0A0-4CD9C4C20BD1}">
      <dgm:prSet/>
      <dgm:spPr/>
      <dgm:t>
        <a:bodyPr/>
        <a:lstStyle/>
        <a:p>
          <a:endParaRPr lang="en-US"/>
        </a:p>
      </dgm:t>
    </dgm:pt>
    <dgm:pt modelId="{1A559B94-8455-7B43-BA17-9020ACEDCCF2}" type="sibTrans" cxnId="{F17F32B8-8504-E343-A0A0-4CD9C4C20BD1}">
      <dgm:prSet/>
      <dgm:spPr/>
      <dgm:t>
        <a:bodyPr/>
        <a:lstStyle/>
        <a:p>
          <a:endParaRPr lang="en-US"/>
        </a:p>
      </dgm:t>
    </dgm:pt>
    <dgm:pt modelId="{6722DBBB-BA92-1845-8F70-FF4E047839E9}">
      <dgm:prSet/>
      <dgm:spPr>
        <a:solidFill>
          <a:srgbClr val="FF0000"/>
        </a:solidFill>
      </dgm:spPr>
      <dgm:t>
        <a:bodyPr/>
        <a:lstStyle/>
        <a:p>
          <a:r>
            <a:rPr lang="en-US"/>
            <a:t>remplacement des tissus fragiles par des myofibroblastes anormaux</a:t>
          </a:r>
        </a:p>
      </dgm:t>
    </dgm:pt>
    <dgm:pt modelId="{38E626A9-A424-E647-9574-2125ABA01F4C}" type="parTrans" cxnId="{BCB44AD8-45E5-6D4E-9380-B9E1D2E9ED1F}">
      <dgm:prSet/>
      <dgm:spPr>
        <a:solidFill>
          <a:schemeClr val="accent1"/>
        </a:solidFill>
      </dgm:spPr>
      <dgm:t>
        <a:bodyPr/>
        <a:lstStyle/>
        <a:p>
          <a:endParaRPr lang="en-US"/>
        </a:p>
      </dgm:t>
    </dgm:pt>
    <dgm:pt modelId="{CB9C2B51-C04B-4D4B-96B6-F1704A31272D}" type="sibTrans" cxnId="{BCB44AD8-45E5-6D4E-9380-B9E1D2E9ED1F}">
      <dgm:prSet/>
      <dgm:spPr/>
      <dgm:t>
        <a:bodyPr/>
        <a:lstStyle/>
        <a:p>
          <a:endParaRPr lang="en-US"/>
        </a:p>
      </dgm:t>
    </dgm:pt>
    <dgm:pt modelId="{3AA50C22-DC19-DA40-85D3-8EB997E798F7}">
      <dgm:prSet custT="1"/>
      <dgm:spPr>
        <a:solidFill>
          <a:srgbClr val="FF0000"/>
        </a:solidFill>
      </dgm:spPr>
      <dgm:t>
        <a:bodyPr/>
        <a:lstStyle/>
        <a:p>
          <a:r>
            <a:rPr lang="en-US" sz="800"/>
            <a:t>Ostéoradionécrose</a:t>
          </a:r>
        </a:p>
      </dgm:t>
    </dgm:pt>
    <dgm:pt modelId="{7A24A742-4F2D-244E-824D-9E7692EB1704}" type="parTrans" cxnId="{A55A9DE7-2861-574D-89C7-A96D19A1661C}">
      <dgm:prSet/>
      <dgm:spPr>
        <a:blipFill rotWithShape="0">
          <a:blip xmlns:r="http://schemas.openxmlformats.org/officeDocument/2006/relationships" r:embed="rId1">
            <a:duotone>
              <a:schemeClr val="accent1">
                <a:hueOff val="0"/>
                <a:satOff val="0"/>
                <a:lumOff val="0"/>
                <a:alphaOff val="0"/>
                <a:shade val="20000"/>
                <a:satMod val="200000"/>
              </a:schemeClr>
              <a:schemeClr val="accent1">
                <a:hueOff val="0"/>
                <a:satOff val="0"/>
                <a:lumOff val="0"/>
                <a:alphaOff val="0"/>
                <a:tint val="12000"/>
                <a:satMod val="190000"/>
              </a:schemeClr>
            </a:duotone>
          </a:blip>
          <a:stretch>
            <a:fillRect/>
          </a:stretch>
        </a:blipFill>
        <a:ln w="12700" cap="rnd" cmpd="sng">
          <a:solidFill>
            <a:srgbClr val="FF0000"/>
          </a:solidFill>
          <a:headEnd type="none" w="med" len="lg"/>
          <a:tailEnd type="none"/>
        </a:ln>
      </dgm:spPr>
      <dgm:t>
        <a:bodyPr/>
        <a:lstStyle/>
        <a:p>
          <a:endParaRPr lang="en-US"/>
        </a:p>
      </dgm:t>
    </dgm:pt>
    <dgm:pt modelId="{225AFFC5-36C6-B747-9107-73EA85D87590}" type="sibTrans" cxnId="{A55A9DE7-2861-574D-89C7-A96D19A1661C}">
      <dgm:prSet/>
      <dgm:spPr/>
      <dgm:t>
        <a:bodyPr/>
        <a:lstStyle/>
        <a:p>
          <a:endParaRPr lang="en-US"/>
        </a:p>
      </dgm:t>
    </dgm:pt>
    <dgm:pt modelId="{556FB671-9301-7C4C-880D-03AAE3E98189}">
      <dgm:prSet phldrT="[Text]" custT="1"/>
      <dgm:spPr>
        <a:solidFill>
          <a:schemeClr val="accent6"/>
        </a:solidFill>
      </dgm:spPr>
      <dgm:t>
        <a:bodyPr/>
        <a:lstStyle/>
        <a:p>
          <a:r>
            <a:rPr lang="en-US" sz="700"/>
            <a:t>Traumatisme</a:t>
          </a:r>
        </a:p>
      </dgm:t>
    </dgm:pt>
    <dgm:pt modelId="{7AC02BA4-C307-D94C-9631-9F9BA6E5A14B}" type="parTrans" cxnId="{58B6E6BE-E4A4-C048-A65B-7B10AC22EBB8}">
      <dgm:prSet/>
      <dgm:spPr/>
      <dgm:t>
        <a:bodyPr/>
        <a:lstStyle/>
        <a:p>
          <a:endParaRPr lang="en-US"/>
        </a:p>
      </dgm:t>
    </dgm:pt>
    <dgm:pt modelId="{EAEC24B1-C6B0-C741-BCB2-1DD834ED2F8E}" type="sibTrans" cxnId="{58B6E6BE-E4A4-C048-A65B-7B10AC22EBB8}">
      <dgm:prSet/>
      <dgm:spPr/>
      <dgm:t>
        <a:bodyPr/>
        <a:lstStyle/>
        <a:p>
          <a:endParaRPr lang="en-US"/>
        </a:p>
      </dgm:t>
    </dgm:pt>
    <dgm:pt modelId="{B373D962-D867-6E49-9F2D-C7C1D37CC04C}" type="pres">
      <dgm:prSet presAssocID="{C6285BA6-88FC-2A44-A756-E223D015772B}" presName="hierChild1" presStyleCnt="0">
        <dgm:presLayoutVars>
          <dgm:orgChart val="1"/>
          <dgm:chPref val="1"/>
          <dgm:dir/>
          <dgm:animOne val="branch"/>
          <dgm:animLvl val="lvl"/>
          <dgm:resizeHandles/>
        </dgm:presLayoutVars>
      </dgm:prSet>
      <dgm:spPr/>
    </dgm:pt>
    <dgm:pt modelId="{FA3DE31D-874B-914B-8809-8CFEC8F6D312}" type="pres">
      <dgm:prSet presAssocID="{9676973F-856E-D74B-AEE6-8CC98DAE75A3}" presName="hierRoot1" presStyleCnt="0">
        <dgm:presLayoutVars>
          <dgm:hierBranch val="init"/>
        </dgm:presLayoutVars>
      </dgm:prSet>
      <dgm:spPr/>
    </dgm:pt>
    <dgm:pt modelId="{BAEEEA97-FF92-7442-948E-B8839B9623F7}" type="pres">
      <dgm:prSet presAssocID="{9676973F-856E-D74B-AEE6-8CC98DAE75A3}" presName="rootComposite1" presStyleCnt="0"/>
      <dgm:spPr/>
    </dgm:pt>
    <dgm:pt modelId="{94391AAB-2CC0-1346-940D-358A4B0362B3}" type="pres">
      <dgm:prSet presAssocID="{9676973F-856E-D74B-AEE6-8CC98DAE75A3}" presName="rootText1" presStyleLbl="node0" presStyleIdx="0" presStyleCnt="2">
        <dgm:presLayoutVars>
          <dgm:chPref val="3"/>
        </dgm:presLayoutVars>
      </dgm:prSet>
      <dgm:spPr/>
    </dgm:pt>
    <dgm:pt modelId="{5BAA2E7D-B2F0-CB43-9063-85207BA02FDB}" type="pres">
      <dgm:prSet presAssocID="{9676973F-856E-D74B-AEE6-8CC98DAE75A3}" presName="rootConnector1" presStyleLbl="node1" presStyleIdx="0" presStyleCnt="0"/>
      <dgm:spPr/>
    </dgm:pt>
    <dgm:pt modelId="{B348076C-F99B-2F42-9E3D-B8EB5C561B65}" type="pres">
      <dgm:prSet presAssocID="{9676973F-856E-D74B-AEE6-8CC98DAE75A3}" presName="hierChild2" presStyleCnt="0"/>
      <dgm:spPr/>
    </dgm:pt>
    <dgm:pt modelId="{E56201CC-623D-7B4E-8B92-7719871DB031}" type="pres">
      <dgm:prSet presAssocID="{90DD4173-9579-574B-9214-463D8C6503A0}" presName="Name37" presStyleLbl="parChTrans1D2" presStyleIdx="0" presStyleCnt="1"/>
      <dgm:spPr/>
    </dgm:pt>
    <dgm:pt modelId="{8CC3C8B7-CF8C-BB44-B7B6-B7E732FF212A}" type="pres">
      <dgm:prSet presAssocID="{E4936A3C-0D3A-3C4E-8F97-C0201296FB8E}" presName="hierRoot2" presStyleCnt="0">
        <dgm:presLayoutVars>
          <dgm:hierBranch val="init"/>
        </dgm:presLayoutVars>
      </dgm:prSet>
      <dgm:spPr/>
    </dgm:pt>
    <dgm:pt modelId="{E6A48034-F131-4746-9B46-A35627F08629}" type="pres">
      <dgm:prSet presAssocID="{E4936A3C-0D3A-3C4E-8F97-C0201296FB8E}" presName="rootComposite" presStyleCnt="0"/>
      <dgm:spPr/>
    </dgm:pt>
    <dgm:pt modelId="{991D359B-321B-2C49-B936-30C62790071B}" type="pres">
      <dgm:prSet presAssocID="{E4936A3C-0D3A-3C4E-8F97-C0201296FB8E}" presName="rootText" presStyleLbl="node2" presStyleIdx="0" presStyleCnt="1">
        <dgm:presLayoutVars>
          <dgm:chPref val="3"/>
        </dgm:presLayoutVars>
      </dgm:prSet>
      <dgm:spPr/>
    </dgm:pt>
    <dgm:pt modelId="{7CFFB9FF-4C6A-2447-9D53-014D6033F59C}" type="pres">
      <dgm:prSet presAssocID="{E4936A3C-0D3A-3C4E-8F97-C0201296FB8E}" presName="rootConnector" presStyleLbl="node2" presStyleIdx="0" presStyleCnt="1"/>
      <dgm:spPr/>
    </dgm:pt>
    <dgm:pt modelId="{C42273C0-3D09-7446-B226-A241DF6938EC}" type="pres">
      <dgm:prSet presAssocID="{E4936A3C-0D3A-3C4E-8F97-C0201296FB8E}" presName="hierChild4" presStyleCnt="0"/>
      <dgm:spPr/>
    </dgm:pt>
    <dgm:pt modelId="{4AB53A9C-ABF9-7345-8E17-D2A2E405BC48}" type="pres">
      <dgm:prSet presAssocID="{0D8F23B4-EFD4-0B43-835C-4E25F968BF75}" presName="Name37" presStyleLbl="parChTrans1D3" presStyleIdx="0" presStyleCnt="3"/>
      <dgm:spPr/>
    </dgm:pt>
    <dgm:pt modelId="{07D1697F-12EF-3B4C-85ED-ED6085899090}" type="pres">
      <dgm:prSet presAssocID="{9D87D6FA-77AE-6247-A4E6-8A1002440305}" presName="hierRoot2" presStyleCnt="0">
        <dgm:presLayoutVars>
          <dgm:hierBranch val="init"/>
        </dgm:presLayoutVars>
      </dgm:prSet>
      <dgm:spPr/>
    </dgm:pt>
    <dgm:pt modelId="{3C7FFAB9-25E2-DC42-8C20-22A33195AE99}" type="pres">
      <dgm:prSet presAssocID="{9D87D6FA-77AE-6247-A4E6-8A1002440305}" presName="rootComposite" presStyleCnt="0"/>
      <dgm:spPr/>
    </dgm:pt>
    <dgm:pt modelId="{79022517-E2F6-C74F-A544-814F91FBEE68}" type="pres">
      <dgm:prSet presAssocID="{9D87D6FA-77AE-6247-A4E6-8A1002440305}" presName="rootText" presStyleLbl="node3" presStyleIdx="0" presStyleCnt="3" custLinFactNeighborX="-73686">
        <dgm:presLayoutVars>
          <dgm:chPref val="3"/>
        </dgm:presLayoutVars>
      </dgm:prSet>
      <dgm:spPr/>
    </dgm:pt>
    <dgm:pt modelId="{DAB7F859-FF4D-9A48-9A08-491556982411}" type="pres">
      <dgm:prSet presAssocID="{9D87D6FA-77AE-6247-A4E6-8A1002440305}" presName="rootConnector" presStyleLbl="node3" presStyleIdx="0" presStyleCnt="3"/>
      <dgm:spPr/>
    </dgm:pt>
    <dgm:pt modelId="{60F312B1-6080-B14E-A381-7076C76C845D}" type="pres">
      <dgm:prSet presAssocID="{9D87D6FA-77AE-6247-A4E6-8A1002440305}" presName="hierChild4" presStyleCnt="0"/>
      <dgm:spPr/>
    </dgm:pt>
    <dgm:pt modelId="{A426953C-484B-824E-831D-59DBE10664F7}" type="pres">
      <dgm:prSet presAssocID="{E4BA095F-9A19-D04F-A6FA-9E8D1A50405B}" presName="Name37" presStyleLbl="parChTrans1D4" presStyleIdx="0" presStyleCnt="10"/>
      <dgm:spPr/>
    </dgm:pt>
    <dgm:pt modelId="{A63167C5-03CA-7943-BC68-38F35B9D4E17}" type="pres">
      <dgm:prSet presAssocID="{D577C970-3A40-4749-A860-5128C2A75CEA}" presName="hierRoot2" presStyleCnt="0">
        <dgm:presLayoutVars>
          <dgm:hierBranch val="init"/>
        </dgm:presLayoutVars>
      </dgm:prSet>
      <dgm:spPr/>
    </dgm:pt>
    <dgm:pt modelId="{A34C9FB5-9393-EB45-857A-1BD909DB2419}" type="pres">
      <dgm:prSet presAssocID="{D577C970-3A40-4749-A860-5128C2A75CEA}" presName="rootComposite" presStyleCnt="0"/>
      <dgm:spPr/>
    </dgm:pt>
    <dgm:pt modelId="{B61E1A54-59AB-234D-BFF8-F7935C3DA373}" type="pres">
      <dgm:prSet presAssocID="{D577C970-3A40-4749-A860-5128C2A75CEA}" presName="rootText" presStyleLbl="node4" presStyleIdx="0" presStyleCnt="10" custLinFactNeighborX="-69761">
        <dgm:presLayoutVars>
          <dgm:chPref val="3"/>
        </dgm:presLayoutVars>
      </dgm:prSet>
      <dgm:spPr/>
    </dgm:pt>
    <dgm:pt modelId="{9DA00D99-6EE7-2147-8AEC-4ACFE60E7054}" type="pres">
      <dgm:prSet presAssocID="{D577C970-3A40-4749-A860-5128C2A75CEA}" presName="rootConnector" presStyleLbl="node4" presStyleIdx="0" presStyleCnt="10"/>
      <dgm:spPr/>
    </dgm:pt>
    <dgm:pt modelId="{CB0D1B5E-9AB8-0F4A-8FB2-E2DA1E65065C}" type="pres">
      <dgm:prSet presAssocID="{D577C970-3A40-4749-A860-5128C2A75CEA}" presName="hierChild4" presStyleCnt="0"/>
      <dgm:spPr/>
    </dgm:pt>
    <dgm:pt modelId="{48161ECE-A3B6-7E4C-B2E0-6227A0636EDF}" type="pres">
      <dgm:prSet presAssocID="{AC6E3FAB-D5DA-9B4A-A06C-C77BDDBF8116}" presName="Name37" presStyleLbl="parChTrans1D4" presStyleIdx="1" presStyleCnt="10"/>
      <dgm:spPr/>
    </dgm:pt>
    <dgm:pt modelId="{093B5809-2857-4C43-B2E0-6014B2211D99}" type="pres">
      <dgm:prSet presAssocID="{E5092494-A934-D94A-81FE-412C66F3C146}" presName="hierRoot2" presStyleCnt="0">
        <dgm:presLayoutVars>
          <dgm:hierBranch val="init"/>
        </dgm:presLayoutVars>
      </dgm:prSet>
      <dgm:spPr/>
    </dgm:pt>
    <dgm:pt modelId="{0FF326CB-FC55-824B-A563-8CB1737EFB58}" type="pres">
      <dgm:prSet presAssocID="{E5092494-A934-D94A-81FE-412C66F3C146}" presName="rootComposite" presStyleCnt="0"/>
      <dgm:spPr/>
    </dgm:pt>
    <dgm:pt modelId="{AFD82E79-FD4C-6844-865A-B665CBCA2B5E}" type="pres">
      <dgm:prSet presAssocID="{E5092494-A934-D94A-81FE-412C66F3C146}" presName="rootText" presStyleLbl="node4" presStyleIdx="1" presStyleCnt="10" custLinFactNeighborX="-72901">
        <dgm:presLayoutVars>
          <dgm:chPref val="3"/>
        </dgm:presLayoutVars>
      </dgm:prSet>
      <dgm:spPr/>
    </dgm:pt>
    <dgm:pt modelId="{6F11B846-ABF1-A34D-B990-6B062625BFEB}" type="pres">
      <dgm:prSet presAssocID="{E5092494-A934-D94A-81FE-412C66F3C146}" presName="rootConnector" presStyleLbl="node4" presStyleIdx="1" presStyleCnt="10"/>
      <dgm:spPr/>
    </dgm:pt>
    <dgm:pt modelId="{C225EB11-312C-3F44-9400-61B27FF40341}" type="pres">
      <dgm:prSet presAssocID="{E5092494-A934-D94A-81FE-412C66F3C146}" presName="hierChild4" presStyleCnt="0"/>
      <dgm:spPr/>
    </dgm:pt>
    <dgm:pt modelId="{18013E0C-5A12-6945-9511-BEC71D8D3FE5}" type="pres">
      <dgm:prSet presAssocID="{125AF23E-7426-9A4E-9947-180E36640DF9}" presName="Name37" presStyleLbl="parChTrans1D4" presStyleIdx="2" presStyleCnt="10"/>
      <dgm:spPr/>
    </dgm:pt>
    <dgm:pt modelId="{C04A96DD-73EF-3E49-85A1-1C9B8C96A58D}" type="pres">
      <dgm:prSet presAssocID="{DC19DA17-8DA0-0749-8300-0B47B0BFEA2D}" presName="hierRoot2" presStyleCnt="0">
        <dgm:presLayoutVars>
          <dgm:hierBranch val="init"/>
        </dgm:presLayoutVars>
      </dgm:prSet>
      <dgm:spPr/>
    </dgm:pt>
    <dgm:pt modelId="{079DE131-CFF6-934C-9F5C-1F3CD01717D8}" type="pres">
      <dgm:prSet presAssocID="{DC19DA17-8DA0-0749-8300-0B47B0BFEA2D}" presName="rootComposite" presStyleCnt="0"/>
      <dgm:spPr/>
    </dgm:pt>
    <dgm:pt modelId="{8A2CAA5A-574D-7D4A-A469-1295690799B7}" type="pres">
      <dgm:prSet presAssocID="{DC19DA17-8DA0-0749-8300-0B47B0BFEA2D}" presName="rootText" presStyleLbl="node4" presStyleIdx="2" presStyleCnt="10" custLinFactNeighborX="-72901">
        <dgm:presLayoutVars>
          <dgm:chPref val="3"/>
        </dgm:presLayoutVars>
      </dgm:prSet>
      <dgm:spPr/>
    </dgm:pt>
    <dgm:pt modelId="{E53A8691-8B2A-5749-A26A-E30F56FA31B0}" type="pres">
      <dgm:prSet presAssocID="{DC19DA17-8DA0-0749-8300-0B47B0BFEA2D}" presName="rootConnector" presStyleLbl="node4" presStyleIdx="2" presStyleCnt="10"/>
      <dgm:spPr/>
    </dgm:pt>
    <dgm:pt modelId="{0941603C-1C24-754F-BFCD-546D49DD5593}" type="pres">
      <dgm:prSet presAssocID="{DC19DA17-8DA0-0749-8300-0B47B0BFEA2D}" presName="hierChild4" presStyleCnt="0"/>
      <dgm:spPr/>
    </dgm:pt>
    <dgm:pt modelId="{6BD87B58-5581-5B4F-AEEC-990900286B4F}" type="pres">
      <dgm:prSet presAssocID="{DB67E66D-DDDA-BA4E-AD11-F0A4E3B2B84E}" presName="Name37" presStyleLbl="parChTrans1D4" presStyleIdx="3" presStyleCnt="10"/>
      <dgm:spPr/>
    </dgm:pt>
    <dgm:pt modelId="{228F4AE0-397C-D444-ACC6-15594D4B3557}" type="pres">
      <dgm:prSet presAssocID="{69393D0A-F22E-634F-844D-5A9623123E18}" presName="hierRoot2" presStyleCnt="0">
        <dgm:presLayoutVars>
          <dgm:hierBranch val="init"/>
        </dgm:presLayoutVars>
      </dgm:prSet>
      <dgm:spPr/>
    </dgm:pt>
    <dgm:pt modelId="{5B340283-818F-6448-9371-98DD30C4EB45}" type="pres">
      <dgm:prSet presAssocID="{69393D0A-F22E-634F-844D-5A9623123E18}" presName="rootComposite" presStyleCnt="0"/>
      <dgm:spPr/>
    </dgm:pt>
    <dgm:pt modelId="{6CBDABF9-5AB7-064E-AD61-C354CE46BB18}" type="pres">
      <dgm:prSet presAssocID="{69393D0A-F22E-634F-844D-5A9623123E18}" presName="rootText" presStyleLbl="node4" presStyleIdx="3" presStyleCnt="10" custLinFactNeighborX="-31487" custLinFactNeighborY="-2454">
        <dgm:presLayoutVars>
          <dgm:chPref val="3"/>
        </dgm:presLayoutVars>
      </dgm:prSet>
      <dgm:spPr/>
    </dgm:pt>
    <dgm:pt modelId="{79152199-FBA4-EE41-851E-440FD81995B0}" type="pres">
      <dgm:prSet presAssocID="{69393D0A-F22E-634F-844D-5A9623123E18}" presName="rootConnector" presStyleLbl="node4" presStyleIdx="3" presStyleCnt="10"/>
      <dgm:spPr/>
    </dgm:pt>
    <dgm:pt modelId="{BE955F0E-F8D7-DA41-926C-3C75C1924D91}" type="pres">
      <dgm:prSet presAssocID="{69393D0A-F22E-634F-844D-5A9623123E18}" presName="hierChild4" presStyleCnt="0"/>
      <dgm:spPr/>
    </dgm:pt>
    <dgm:pt modelId="{95894340-2BCC-F145-8A69-2A40784E29B4}" type="pres">
      <dgm:prSet presAssocID="{69393D0A-F22E-634F-844D-5A9623123E18}" presName="hierChild5" presStyleCnt="0"/>
      <dgm:spPr/>
    </dgm:pt>
    <dgm:pt modelId="{14AD2017-BC40-D143-9975-7F659BD48463}" type="pres">
      <dgm:prSet presAssocID="{DC19DA17-8DA0-0749-8300-0B47B0BFEA2D}" presName="hierChild5" presStyleCnt="0"/>
      <dgm:spPr/>
    </dgm:pt>
    <dgm:pt modelId="{843CAC79-F299-154F-A9B3-195ECF083191}" type="pres">
      <dgm:prSet presAssocID="{E5092494-A934-D94A-81FE-412C66F3C146}" presName="hierChild5" presStyleCnt="0"/>
      <dgm:spPr/>
    </dgm:pt>
    <dgm:pt modelId="{ACBAC3C1-B349-AC4D-9136-134E3EF7D3B4}" type="pres">
      <dgm:prSet presAssocID="{D577C970-3A40-4749-A860-5128C2A75CEA}" presName="hierChild5" presStyleCnt="0"/>
      <dgm:spPr/>
    </dgm:pt>
    <dgm:pt modelId="{FBA02443-C3B7-094E-A4F6-F952FCE2C0FA}" type="pres">
      <dgm:prSet presAssocID="{9D87D6FA-77AE-6247-A4E6-8A1002440305}" presName="hierChild5" presStyleCnt="0"/>
      <dgm:spPr/>
    </dgm:pt>
    <dgm:pt modelId="{131C03DC-8030-4546-A775-B9B623610CBE}" type="pres">
      <dgm:prSet presAssocID="{6CE98252-E5BF-B64F-AFDF-DDE5E1771652}" presName="Name37" presStyleLbl="parChTrans1D3" presStyleIdx="1" presStyleCnt="3"/>
      <dgm:spPr/>
    </dgm:pt>
    <dgm:pt modelId="{5DCCCF83-0068-E241-8137-58F1C14CA80E}" type="pres">
      <dgm:prSet presAssocID="{1FCA1860-4C4A-F543-B9B8-6760E17EA603}" presName="hierRoot2" presStyleCnt="0">
        <dgm:presLayoutVars>
          <dgm:hierBranch val="init"/>
        </dgm:presLayoutVars>
      </dgm:prSet>
      <dgm:spPr/>
    </dgm:pt>
    <dgm:pt modelId="{B89BF864-2A06-6444-BE14-AFFC9B398172}" type="pres">
      <dgm:prSet presAssocID="{1FCA1860-4C4A-F543-B9B8-6760E17EA603}" presName="rootComposite" presStyleCnt="0"/>
      <dgm:spPr/>
    </dgm:pt>
    <dgm:pt modelId="{1A459023-2263-D441-B637-27A45C464791}" type="pres">
      <dgm:prSet presAssocID="{1FCA1860-4C4A-F543-B9B8-6760E17EA603}" presName="rootText" presStyleLbl="node3" presStyleIdx="1" presStyleCnt="3" custLinFactNeighborX="893" custLinFactNeighborY="62901">
        <dgm:presLayoutVars>
          <dgm:chPref val="3"/>
        </dgm:presLayoutVars>
      </dgm:prSet>
      <dgm:spPr/>
    </dgm:pt>
    <dgm:pt modelId="{0057F51B-4E73-7D40-896D-C6A8206DBBCF}" type="pres">
      <dgm:prSet presAssocID="{1FCA1860-4C4A-F543-B9B8-6760E17EA603}" presName="rootConnector" presStyleLbl="node3" presStyleIdx="1" presStyleCnt="3"/>
      <dgm:spPr/>
    </dgm:pt>
    <dgm:pt modelId="{F50AE4D1-D4B0-F24A-83D3-0364BDE77D70}" type="pres">
      <dgm:prSet presAssocID="{1FCA1860-4C4A-F543-B9B8-6760E17EA603}" presName="hierChild4" presStyleCnt="0"/>
      <dgm:spPr/>
    </dgm:pt>
    <dgm:pt modelId="{792BBFD9-5558-8F46-8133-B13D9D8482E2}" type="pres">
      <dgm:prSet presAssocID="{194A2ED6-8AD7-0F48-8858-653EBA1FDDF6}" presName="Name37" presStyleLbl="parChTrans1D4" presStyleIdx="4" presStyleCnt="10"/>
      <dgm:spPr/>
    </dgm:pt>
    <dgm:pt modelId="{587CC3EA-D639-4C4F-9647-C4A10B9962B5}" type="pres">
      <dgm:prSet presAssocID="{BB84A946-ABDC-5640-9A50-74B75CCE8FAF}" presName="hierRoot2" presStyleCnt="0">
        <dgm:presLayoutVars>
          <dgm:hierBranch val="init"/>
        </dgm:presLayoutVars>
      </dgm:prSet>
      <dgm:spPr/>
    </dgm:pt>
    <dgm:pt modelId="{C3F7D992-19D3-C144-A32D-75C14A2E7EB2}" type="pres">
      <dgm:prSet presAssocID="{BB84A946-ABDC-5640-9A50-74B75CCE8FAF}" presName="rootComposite" presStyleCnt="0"/>
      <dgm:spPr/>
    </dgm:pt>
    <dgm:pt modelId="{864C23A1-21F9-5D4A-974B-8272D6E702F4}" type="pres">
      <dgm:prSet presAssocID="{BB84A946-ABDC-5640-9A50-74B75CCE8FAF}" presName="rootText" presStyleLbl="node4" presStyleIdx="4" presStyleCnt="10" custLinFactNeighborX="893" custLinFactNeighborY="73543">
        <dgm:presLayoutVars>
          <dgm:chPref val="3"/>
        </dgm:presLayoutVars>
      </dgm:prSet>
      <dgm:spPr/>
    </dgm:pt>
    <dgm:pt modelId="{98B5A826-735A-5B4B-A8B9-06E6C4B78842}" type="pres">
      <dgm:prSet presAssocID="{BB84A946-ABDC-5640-9A50-74B75CCE8FAF}" presName="rootConnector" presStyleLbl="node4" presStyleIdx="4" presStyleCnt="10"/>
      <dgm:spPr/>
    </dgm:pt>
    <dgm:pt modelId="{9ED295B9-7B76-FC4E-BAD0-ED623B68D263}" type="pres">
      <dgm:prSet presAssocID="{BB84A946-ABDC-5640-9A50-74B75CCE8FAF}" presName="hierChild4" presStyleCnt="0"/>
      <dgm:spPr/>
    </dgm:pt>
    <dgm:pt modelId="{C32AC606-5D38-4C40-8332-9E977A40A9D5}" type="pres">
      <dgm:prSet presAssocID="{38E626A9-A424-E647-9574-2125ABA01F4C}" presName="Name37" presStyleLbl="parChTrans1D4" presStyleIdx="5" presStyleCnt="10"/>
      <dgm:spPr>
        <a:prstGeom prst="downArrow">
          <a:avLst/>
        </a:prstGeom>
      </dgm:spPr>
    </dgm:pt>
    <dgm:pt modelId="{422ACD5D-85D2-474F-98FD-504CCF0DA958}" type="pres">
      <dgm:prSet presAssocID="{6722DBBB-BA92-1845-8F70-FF4E047839E9}" presName="hierRoot2" presStyleCnt="0">
        <dgm:presLayoutVars>
          <dgm:hierBranch val="init"/>
        </dgm:presLayoutVars>
      </dgm:prSet>
      <dgm:spPr/>
    </dgm:pt>
    <dgm:pt modelId="{4EFDFB65-698C-A84A-AABD-489F0D2CC186}" type="pres">
      <dgm:prSet presAssocID="{6722DBBB-BA92-1845-8F70-FF4E047839E9}" presName="rootComposite" presStyleCnt="0"/>
      <dgm:spPr/>
    </dgm:pt>
    <dgm:pt modelId="{992E6AD0-8E1D-E64B-8FF5-20476EDC4413}" type="pres">
      <dgm:prSet presAssocID="{6722DBBB-BA92-1845-8F70-FF4E047839E9}" presName="rootText" presStyleLbl="node4" presStyleIdx="5" presStyleCnt="10" custLinFactY="36045" custLinFactNeighborX="893" custLinFactNeighborY="100000">
        <dgm:presLayoutVars>
          <dgm:chPref val="3"/>
        </dgm:presLayoutVars>
      </dgm:prSet>
      <dgm:spPr/>
    </dgm:pt>
    <dgm:pt modelId="{B7FBD26A-028C-2545-AC2B-52D7A8D1E307}" type="pres">
      <dgm:prSet presAssocID="{6722DBBB-BA92-1845-8F70-FF4E047839E9}" presName="rootConnector" presStyleLbl="node4" presStyleIdx="5" presStyleCnt="10"/>
      <dgm:spPr/>
    </dgm:pt>
    <dgm:pt modelId="{AA203FF0-5E69-F445-9C7D-FFCACF1ACFBF}" type="pres">
      <dgm:prSet presAssocID="{6722DBBB-BA92-1845-8F70-FF4E047839E9}" presName="hierChild4" presStyleCnt="0"/>
      <dgm:spPr/>
    </dgm:pt>
    <dgm:pt modelId="{A5140685-0DC5-E848-94E2-CD4A92CC7FB1}" type="pres">
      <dgm:prSet presAssocID="{7A24A742-4F2D-244E-824D-9E7692EB1704}" presName="Name37" presStyleLbl="parChTrans1D4" presStyleIdx="6" presStyleCnt="10"/>
      <dgm:spPr>
        <a:prstGeom prst="curvedRightArrow">
          <a:avLst/>
        </a:prstGeom>
      </dgm:spPr>
    </dgm:pt>
    <dgm:pt modelId="{A7EF208B-7400-BF4C-A6D3-7EBF8080255D}" type="pres">
      <dgm:prSet presAssocID="{3AA50C22-DC19-DA40-85D3-8EB997E798F7}" presName="hierRoot2" presStyleCnt="0">
        <dgm:presLayoutVars>
          <dgm:hierBranch val="init"/>
        </dgm:presLayoutVars>
      </dgm:prSet>
      <dgm:spPr/>
    </dgm:pt>
    <dgm:pt modelId="{22CBFFEF-F7C1-C648-AC4E-4D8B02830CB1}" type="pres">
      <dgm:prSet presAssocID="{3AA50C22-DC19-DA40-85D3-8EB997E798F7}" presName="rootComposite" presStyleCnt="0"/>
      <dgm:spPr/>
    </dgm:pt>
    <dgm:pt modelId="{EF88BCB8-FDFE-9A4B-ACCF-CF05E425BA3C}" type="pres">
      <dgm:prSet presAssocID="{3AA50C22-DC19-DA40-85D3-8EB997E798F7}" presName="rootText" presStyleLbl="node4" presStyleIdx="6" presStyleCnt="10" custLinFactY="42038" custLinFactNeighborX="11097" custLinFactNeighborY="100000">
        <dgm:presLayoutVars>
          <dgm:chPref val="3"/>
        </dgm:presLayoutVars>
      </dgm:prSet>
      <dgm:spPr/>
    </dgm:pt>
    <dgm:pt modelId="{37D4F20C-CCA6-7B4E-9957-264846813063}" type="pres">
      <dgm:prSet presAssocID="{3AA50C22-DC19-DA40-85D3-8EB997E798F7}" presName="rootConnector" presStyleLbl="node4" presStyleIdx="6" presStyleCnt="10"/>
      <dgm:spPr/>
    </dgm:pt>
    <dgm:pt modelId="{8637D407-8D4A-F24C-B81A-DDA03E50569C}" type="pres">
      <dgm:prSet presAssocID="{3AA50C22-DC19-DA40-85D3-8EB997E798F7}" presName="hierChild4" presStyleCnt="0"/>
      <dgm:spPr/>
    </dgm:pt>
    <dgm:pt modelId="{FC41E82E-EE86-9243-9C81-B2CD88AF8A5A}" type="pres">
      <dgm:prSet presAssocID="{3AA50C22-DC19-DA40-85D3-8EB997E798F7}" presName="hierChild5" presStyleCnt="0"/>
      <dgm:spPr/>
    </dgm:pt>
    <dgm:pt modelId="{7274F36F-B653-434D-9653-183F232BCBA0}" type="pres">
      <dgm:prSet presAssocID="{6722DBBB-BA92-1845-8F70-FF4E047839E9}" presName="hierChild5" presStyleCnt="0"/>
      <dgm:spPr/>
    </dgm:pt>
    <dgm:pt modelId="{D8A81287-33B6-A044-9178-48CC01241BE4}" type="pres">
      <dgm:prSet presAssocID="{BB84A946-ABDC-5640-9A50-74B75CCE8FAF}" presName="hierChild5" presStyleCnt="0"/>
      <dgm:spPr/>
    </dgm:pt>
    <dgm:pt modelId="{F63C6FD4-E8C1-F544-A1F1-F786961D91E0}" type="pres">
      <dgm:prSet presAssocID="{1FCA1860-4C4A-F543-B9B8-6760E17EA603}" presName="hierChild5" presStyleCnt="0"/>
      <dgm:spPr/>
    </dgm:pt>
    <dgm:pt modelId="{3C3448E8-B1E0-1343-B407-59E5B176848D}" type="pres">
      <dgm:prSet presAssocID="{7B0853A7-C73D-5643-A1F7-BF44AE256BE2}" presName="Name37" presStyleLbl="parChTrans1D3" presStyleIdx="2" presStyleCnt="3"/>
      <dgm:spPr/>
    </dgm:pt>
    <dgm:pt modelId="{7AE23043-84DD-FC46-85DA-B0F095D16E26}" type="pres">
      <dgm:prSet presAssocID="{B8BE8B64-8611-9C4F-B9FC-EC4AB5674AB6}" presName="hierRoot2" presStyleCnt="0">
        <dgm:presLayoutVars>
          <dgm:hierBranch val="init"/>
        </dgm:presLayoutVars>
      </dgm:prSet>
      <dgm:spPr/>
    </dgm:pt>
    <dgm:pt modelId="{7AA9E127-AE3E-E54B-AE9B-13695AB15BFB}" type="pres">
      <dgm:prSet presAssocID="{B8BE8B64-8611-9C4F-B9FC-EC4AB5674AB6}" presName="rootComposite" presStyleCnt="0"/>
      <dgm:spPr/>
    </dgm:pt>
    <dgm:pt modelId="{4525E951-CA88-3D47-8A84-8E0E5892C883}" type="pres">
      <dgm:prSet presAssocID="{B8BE8B64-8611-9C4F-B9FC-EC4AB5674AB6}" presName="rootText" presStyleLbl="node3" presStyleIdx="2" presStyleCnt="3" custLinFactNeighborX="71211">
        <dgm:presLayoutVars>
          <dgm:chPref val="3"/>
        </dgm:presLayoutVars>
      </dgm:prSet>
      <dgm:spPr/>
    </dgm:pt>
    <dgm:pt modelId="{00333DE7-75E8-5342-B56C-17D520F095AD}" type="pres">
      <dgm:prSet presAssocID="{B8BE8B64-8611-9C4F-B9FC-EC4AB5674AB6}" presName="rootConnector" presStyleLbl="node3" presStyleIdx="2" presStyleCnt="3"/>
      <dgm:spPr/>
    </dgm:pt>
    <dgm:pt modelId="{CA63BFDF-E9E6-3942-9B93-06A52DC79441}" type="pres">
      <dgm:prSet presAssocID="{B8BE8B64-8611-9C4F-B9FC-EC4AB5674AB6}" presName="hierChild4" presStyleCnt="0"/>
      <dgm:spPr/>
    </dgm:pt>
    <dgm:pt modelId="{2F3AA56F-286D-E846-9605-BD793313196D}" type="pres">
      <dgm:prSet presAssocID="{35E59118-D424-024A-910C-B94CCDE71E59}" presName="Name37" presStyleLbl="parChTrans1D4" presStyleIdx="7" presStyleCnt="10"/>
      <dgm:spPr/>
    </dgm:pt>
    <dgm:pt modelId="{C69B2DE5-DCAC-4043-8BF8-B99CFBB9E73D}" type="pres">
      <dgm:prSet presAssocID="{8A04DCED-7006-AA44-8559-A0F189D578FD}" presName="hierRoot2" presStyleCnt="0">
        <dgm:presLayoutVars>
          <dgm:hierBranch val="init"/>
        </dgm:presLayoutVars>
      </dgm:prSet>
      <dgm:spPr/>
    </dgm:pt>
    <dgm:pt modelId="{D6349643-6C80-064C-9F43-4208479EE48F}" type="pres">
      <dgm:prSet presAssocID="{8A04DCED-7006-AA44-8559-A0F189D578FD}" presName="rootComposite" presStyleCnt="0"/>
      <dgm:spPr/>
    </dgm:pt>
    <dgm:pt modelId="{2FB381F8-347A-B44B-8167-28671EFDEE4A}" type="pres">
      <dgm:prSet presAssocID="{8A04DCED-7006-AA44-8559-A0F189D578FD}" presName="rootText" presStyleLbl="node4" presStyleIdx="7" presStyleCnt="10" custLinFactNeighborX="70295">
        <dgm:presLayoutVars>
          <dgm:chPref val="3"/>
        </dgm:presLayoutVars>
      </dgm:prSet>
      <dgm:spPr/>
    </dgm:pt>
    <dgm:pt modelId="{4CA9C5D2-A046-2B43-967F-00FDBEB44865}" type="pres">
      <dgm:prSet presAssocID="{8A04DCED-7006-AA44-8559-A0F189D578FD}" presName="rootConnector" presStyleLbl="node4" presStyleIdx="7" presStyleCnt="10"/>
      <dgm:spPr/>
    </dgm:pt>
    <dgm:pt modelId="{39507604-5BC7-3C49-864D-7F53EDA48D2D}" type="pres">
      <dgm:prSet presAssocID="{8A04DCED-7006-AA44-8559-A0F189D578FD}" presName="hierChild4" presStyleCnt="0"/>
      <dgm:spPr/>
    </dgm:pt>
    <dgm:pt modelId="{F0CD1931-7021-8243-BD2A-AA2A24E98F8F}" type="pres">
      <dgm:prSet presAssocID="{5F12D857-151F-084F-ABB7-690063D8341D}" presName="Name37" presStyleLbl="parChTrans1D4" presStyleIdx="8" presStyleCnt="10"/>
      <dgm:spPr/>
    </dgm:pt>
    <dgm:pt modelId="{40A814C3-9564-A741-8BC7-F0A12DA79FAF}" type="pres">
      <dgm:prSet presAssocID="{6554FAF2-EC0C-6943-8CE3-F5F0EB5E4B1D}" presName="hierRoot2" presStyleCnt="0">
        <dgm:presLayoutVars>
          <dgm:hierBranch val="init"/>
        </dgm:presLayoutVars>
      </dgm:prSet>
      <dgm:spPr/>
    </dgm:pt>
    <dgm:pt modelId="{CF0FEB6F-4952-A04C-BE94-C876F556AD33}" type="pres">
      <dgm:prSet presAssocID="{6554FAF2-EC0C-6943-8CE3-F5F0EB5E4B1D}" presName="rootComposite" presStyleCnt="0"/>
      <dgm:spPr/>
    </dgm:pt>
    <dgm:pt modelId="{952F53A4-2544-5A4E-AFDF-73F736F264B4}" type="pres">
      <dgm:prSet presAssocID="{6554FAF2-EC0C-6943-8CE3-F5F0EB5E4B1D}" presName="rootText" presStyleLbl="node4" presStyleIdx="8" presStyleCnt="10" custLinFactNeighborX="70294">
        <dgm:presLayoutVars>
          <dgm:chPref val="3"/>
        </dgm:presLayoutVars>
      </dgm:prSet>
      <dgm:spPr/>
    </dgm:pt>
    <dgm:pt modelId="{4DF14704-50D9-864A-88D0-A3BA7690C739}" type="pres">
      <dgm:prSet presAssocID="{6554FAF2-EC0C-6943-8CE3-F5F0EB5E4B1D}" presName="rootConnector" presStyleLbl="node4" presStyleIdx="8" presStyleCnt="10"/>
      <dgm:spPr/>
    </dgm:pt>
    <dgm:pt modelId="{53B1B3DA-76B8-8848-BE9C-B8F2B62C2DDF}" type="pres">
      <dgm:prSet presAssocID="{6554FAF2-EC0C-6943-8CE3-F5F0EB5E4B1D}" presName="hierChild4" presStyleCnt="0"/>
      <dgm:spPr/>
    </dgm:pt>
    <dgm:pt modelId="{5540E60E-DE3F-D74D-85FE-EB4EE627D4C8}" type="pres">
      <dgm:prSet presAssocID="{1B498BA4-D4DB-4047-9B7A-7F401F94DC5C}" presName="Name37" presStyleLbl="parChTrans1D4" presStyleIdx="9" presStyleCnt="10"/>
      <dgm:spPr/>
    </dgm:pt>
    <dgm:pt modelId="{B0C89451-DAA7-A946-BA69-ECF092F1644C}" type="pres">
      <dgm:prSet presAssocID="{AABA546C-DC78-D84E-8824-84B21A172D05}" presName="hierRoot2" presStyleCnt="0">
        <dgm:presLayoutVars>
          <dgm:hierBranch val="init"/>
        </dgm:presLayoutVars>
      </dgm:prSet>
      <dgm:spPr/>
    </dgm:pt>
    <dgm:pt modelId="{4001B155-D369-D145-A329-4656F0932963}" type="pres">
      <dgm:prSet presAssocID="{AABA546C-DC78-D84E-8824-84B21A172D05}" presName="rootComposite" presStyleCnt="0"/>
      <dgm:spPr/>
    </dgm:pt>
    <dgm:pt modelId="{B467E944-B1E0-FA4A-B241-B1617A997D46}" type="pres">
      <dgm:prSet presAssocID="{AABA546C-DC78-D84E-8824-84B21A172D05}" presName="rootText" presStyleLbl="node4" presStyleIdx="9" presStyleCnt="10" custLinFactNeighborX="72901" custLinFactNeighborY="5395">
        <dgm:presLayoutVars>
          <dgm:chPref val="3"/>
        </dgm:presLayoutVars>
      </dgm:prSet>
      <dgm:spPr/>
    </dgm:pt>
    <dgm:pt modelId="{2A665812-A994-BA48-B2C1-D8E51808ACE5}" type="pres">
      <dgm:prSet presAssocID="{AABA546C-DC78-D84E-8824-84B21A172D05}" presName="rootConnector" presStyleLbl="node4" presStyleIdx="9" presStyleCnt="10"/>
      <dgm:spPr/>
    </dgm:pt>
    <dgm:pt modelId="{5626097E-B06B-7A4C-AF61-15FE2AE1FA73}" type="pres">
      <dgm:prSet presAssocID="{AABA546C-DC78-D84E-8824-84B21A172D05}" presName="hierChild4" presStyleCnt="0"/>
      <dgm:spPr/>
    </dgm:pt>
    <dgm:pt modelId="{5C0CA92A-2A61-9246-8FFF-D275F2542A6F}" type="pres">
      <dgm:prSet presAssocID="{AABA546C-DC78-D84E-8824-84B21A172D05}" presName="hierChild5" presStyleCnt="0"/>
      <dgm:spPr/>
    </dgm:pt>
    <dgm:pt modelId="{B98EF40A-171C-C746-ACFD-E5BC80258039}" type="pres">
      <dgm:prSet presAssocID="{6554FAF2-EC0C-6943-8CE3-F5F0EB5E4B1D}" presName="hierChild5" presStyleCnt="0"/>
      <dgm:spPr/>
    </dgm:pt>
    <dgm:pt modelId="{5B683C6F-B06B-6B4D-8AA8-93550A345CC5}" type="pres">
      <dgm:prSet presAssocID="{8A04DCED-7006-AA44-8559-A0F189D578FD}" presName="hierChild5" presStyleCnt="0"/>
      <dgm:spPr/>
    </dgm:pt>
    <dgm:pt modelId="{759FB4A8-C722-1D46-9F39-558B01406ED1}" type="pres">
      <dgm:prSet presAssocID="{B8BE8B64-8611-9C4F-B9FC-EC4AB5674AB6}" presName="hierChild5" presStyleCnt="0"/>
      <dgm:spPr/>
    </dgm:pt>
    <dgm:pt modelId="{FD06C71D-94B7-7249-B956-11C59B94D87E}" type="pres">
      <dgm:prSet presAssocID="{E4936A3C-0D3A-3C4E-8F97-C0201296FB8E}" presName="hierChild5" presStyleCnt="0"/>
      <dgm:spPr/>
    </dgm:pt>
    <dgm:pt modelId="{A47D47EF-6358-A64C-B91D-EFF586E497FF}" type="pres">
      <dgm:prSet presAssocID="{9676973F-856E-D74B-AEE6-8CC98DAE75A3}" presName="hierChild3" presStyleCnt="0"/>
      <dgm:spPr/>
    </dgm:pt>
    <dgm:pt modelId="{F2A95C0E-7BCB-6641-A575-1BE4CB2B2EC9}" type="pres">
      <dgm:prSet presAssocID="{556FB671-9301-7C4C-880D-03AAE3E98189}" presName="hierRoot1" presStyleCnt="0">
        <dgm:presLayoutVars>
          <dgm:hierBranch val="init"/>
        </dgm:presLayoutVars>
      </dgm:prSet>
      <dgm:spPr/>
    </dgm:pt>
    <dgm:pt modelId="{A762D993-C4BE-1142-8E2A-662F31F630B5}" type="pres">
      <dgm:prSet presAssocID="{556FB671-9301-7C4C-880D-03AAE3E98189}" presName="rootComposite1" presStyleCnt="0"/>
      <dgm:spPr/>
    </dgm:pt>
    <dgm:pt modelId="{2DEA0AA1-146C-BB4C-9E47-61A5BDE6A63F}" type="pres">
      <dgm:prSet presAssocID="{556FB671-9301-7C4C-880D-03AAE3E98189}" presName="rootText1" presStyleLbl="node0" presStyleIdx="1" presStyleCnt="2" custScaleX="153275" custLinFactY="400000" custLinFactNeighborX="26322" custLinFactNeighborY="452038">
        <dgm:presLayoutVars>
          <dgm:chPref val="3"/>
        </dgm:presLayoutVars>
      </dgm:prSet>
      <dgm:spPr>
        <a:prstGeom prst="irregularSeal1">
          <a:avLst/>
        </a:prstGeom>
      </dgm:spPr>
    </dgm:pt>
    <dgm:pt modelId="{CFD1D5B5-38C6-C943-9B91-82F291826E0C}" type="pres">
      <dgm:prSet presAssocID="{556FB671-9301-7C4C-880D-03AAE3E98189}" presName="rootConnector1" presStyleLbl="node1" presStyleIdx="0" presStyleCnt="0"/>
      <dgm:spPr/>
    </dgm:pt>
    <dgm:pt modelId="{E12E2048-D246-E740-9E12-A3A4A5A17A80}" type="pres">
      <dgm:prSet presAssocID="{556FB671-9301-7C4C-880D-03AAE3E98189}" presName="hierChild2" presStyleCnt="0"/>
      <dgm:spPr/>
    </dgm:pt>
    <dgm:pt modelId="{3B9CC558-4794-4944-A434-5DE527E3ACDB}" type="pres">
      <dgm:prSet presAssocID="{556FB671-9301-7C4C-880D-03AAE3E98189}" presName="hierChild3" presStyleCnt="0"/>
      <dgm:spPr/>
    </dgm:pt>
  </dgm:ptLst>
  <dgm:cxnLst>
    <dgm:cxn modelId="{88D67E04-ADCF-784E-ACA5-DACA53C5E401}" srcId="{9676973F-856E-D74B-AEE6-8CC98DAE75A3}" destId="{E4936A3C-0D3A-3C4E-8F97-C0201296FB8E}" srcOrd="0" destOrd="0" parTransId="{90DD4173-9579-574B-9214-463D8C6503A0}" sibTransId="{9EC537D6-A5EC-7749-969A-33BD60F1D0BB}"/>
    <dgm:cxn modelId="{4F942B08-AC7B-43E5-8656-D8C217490CB0}" type="presOf" srcId="{E4936A3C-0D3A-3C4E-8F97-C0201296FB8E}" destId="{991D359B-321B-2C49-B936-30C62790071B}" srcOrd="0" destOrd="0" presId="urn:microsoft.com/office/officeart/2005/8/layout/orgChart1"/>
    <dgm:cxn modelId="{B47DF709-3E29-4CF4-9832-92759C4CB30A}" type="presOf" srcId="{556FB671-9301-7C4C-880D-03AAE3E98189}" destId="{CFD1D5B5-38C6-C943-9B91-82F291826E0C}" srcOrd="1" destOrd="0" presId="urn:microsoft.com/office/officeart/2005/8/layout/orgChart1"/>
    <dgm:cxn modelId="{19000910-111A-4429-8405-39E251C1D37B}" type="presOf" srcId="{7A24A742-4F2D-244E-824D-9E7692EB1704}" destId="{A5140685-0DC5-E848-94E2-CD4A92CC7FB1}" srcOrd="0" destOrd="0" presId="urn:microsoft.com/office/officeart/2005/8/layout/orgChart1"/>
    <dgm:cxn modelId="{A63F0216-2D0F-435C-B688-9D64F31BADC0}" type="presOf" srcId="{BB84A946-ABDC-5640-9A50-74B75CCE8FAF}" destId="{864C23A1-21F9-5D4A-974B-8272D6E702F4}" srcOrd="0" destOrd="0" presId="urn:microsoft.com/office/officeart/2005/8/layout/orgChart1"/>
    <dgm:cxn modelId="{8761931B-6518-4056-90C8-94F0E9272973}" type="presOf" srcId="{6722DBBB-BA92-1845-8F70-FF4E047839E9}" destId="{B7FBD26A-028C-2545-AC2B-52D7A8D1E307}" srcOrd="1" destOrd="0" presId="urn:microsoft.com/office/officeart/2005/8/layout/orgChart1"/>
    <dgm:cxn modelId="{2B52DD2A-9EB2-294E-B0FF-AFE65FC0E78B}" srcId="{B8BE8B64-8611-9C4F-B9FC-EC4AB5674AB6}" destId="{8A04DCED-7006-AA44-8559-A0F189D578FD}" srcOrd="0" destOrd="0" parTransId="{35E59118-D424-024A-910C-B94CCDE71E59}" sibTransId="{E72B83D5-38A1-FD42-A56C-7C41FC99093D}"/>
    <dgm:cxn modelId="{3BD59C2C-13B7-4AAB-A5B1-BE52124CAFDA}" type="presOf" srcId="{DC19DA17-8DA0-0749-8300-0B47B0BFEA2D}" destId="{8A2CAA5A-574D-7D4A-A469-1295690799B7}" srcOrd="0" destOrd="0" presId="urn:microsoft.com/office/officeart/2005/8/layout/orgChart1"/>
    <dgm:cxn modelId="{F7306336-D472-45F6-90AE-0E475E99D419}" type="presOf" srcId="{9D87D6FA-77AE-6247-A4E6-8A1002440305}" destId="{79022517-E2F6-C74F-A544-814F91FBEE68}" srcOrd="0" destOrd="0" presId="urn:microsoft.com/office/officeart/2005/8/layout/orgChart1"/>
    <dgm:cxn modelId="{41F5AA36-8539-4078-A53B-C25677D4EE4C}" type="presOf" srcId="{38E626A9-A424-E647-9574-2125ABA01F4C}" destId="{C32AC606-5D38-4C40-8332-9E977A40A9D5}" srcOrd="0" destOrd="0" presId="urn:microsoft.com/office/officeart/2005/8/layout/orgChart1"/>
    <dgm:cxn modelId="{59723439-7AD5-4BC4-8EB2-361ACCB64B1F}" type="presOf" srcId="{AABA546C-DC78-D84E-8824-84B21A172D05}" destId="{B467E944-B1E0-FA4A-B241-B1617A997D46}" srcOrd="0" destOrd="0" presId="urn:microsoft.com/office/officeart/2005/8/layout/orgChart1"/>
    <dgm:cxn modelId="{D4596F3C-3209-C541-B710-2EC02937F97B}" srcId="{E5092494-A934-D94A-81FE-412C66F3C146}" destId="{DC19DA17-8DA0-0749-8300-0B47B0BFEA2D}" srcOrd="0" destOrd="0" parTransId="{125AF23E-7426-9A4E-9947-180E36640DF9}" sibTransId="{50D5AD6E-E372-1549-8752-9B46FBCF23DE}"/>
    <dgm:cxn modelId="{2EE7043D-2222-4B01-A9D8-1D3C978A752A}" type="presOf" srcId="{DC19DA17-8DA0-0749-8300-0B47B0BFEA2D}" destId="{E53A8691-8B2A-5749-A26A-E30F56FA31B0}" srcOrd="1" destOrd="0" presId="urn:microsoft.com/office/officeart/2005/8/layout/orgChart1"/>
    <dgm:cxn modelId="{7038F35C-3BE9-4C91-AC92-4E301D7204EA}" type="presOf" srcId="{AC6E3FAB-D5DA-9B4A-A06C-C77BDDBF8116}" destId="{48161ECE-A3B6-7E4C-B2E0-6227A0636EDF}" srcOrd="0" destOrd="0" presId="urn:microsoft.com/office/officeart/2005/8/layout/orgChart1"/>
    <dgm:cxn modelId="{B1BD9963-3DD8-46B3-AB62-49B501BEC33B}" type="presOf" srcId="{D577C970-3A40-4749-A860-5128C2A75CEA}" destId="{9DA00D99-6EE7-2147-8AEC-4ACFE60E7054}" srcOrd="1" destOrd="0" presId="urn:microsoft.com/office/officeart/2005/8/layout/orgChart1"/>
    <dgm:cxn modelId="{132EAA64-CE9A-6345-8536-C61FCB437B9A}" srcId="{DC19DA17-8DA0-0749-8300-0B47B0BFEA2D}" destId="{69393D0A-F22E-634F-844D-5A9623123E18}" srcOrd="0" destOrd="0" parTransId="{DB67E66D-DDDA-BA4E-AD11-F0A4E3B2B84E}" sibTransId="{07DAFDD4-0F21-CB49-A049-3453941C1D32}"/>
    <dgm:cxn modelId="{DD083166-A401-4B45-91C1-AFBF657FCC7B}" type="presOf" srcId="{3AA50C22-DC19-DA40-85D3-8EB997E798F7}" destId="{37D4F20C-CCA6-7B4E-9957-264846813063}" srcOrd="1" destOrd="0" presId="urn:microsoft.com/office/officeart/2005/8/layout/orgChart1"/>
    <dgm:cxn modelId="{0E9EA266-3846-4EA8-A432-125D82533556}" type="presOf" srcId="{D577C970-3A40-4749-A860-5128C2A75CEA}" destId="{B61E1A54-59AB-234D-BFF8-F7935C3DA373}" srcOrd="0" destOrd="0" presId="urn:microsoft.com/office/officeart/2005/8/layout/orgChart1"/>
    <dgm:cxn modelId="{6B0EC868-09AA-4A6A-BFA5-787A4FE6463C}" type="presOf" srcId="{9D87D6FA-77AE-6247-A4E6-8A1002440305}" destId="{DAB7F859-FF4D-9A48-9A08-491556982411}" srcOrd="1" destOrd="0" presId="urn:microsoft.com/office/officeart/2005/8/layout/orgChart1"/>
    <dgm:cxn modelId="{D358A06F-C01E-455D-83A2-2519CF260A01}" type="presOf" srcId="{1B498BA4-D4DB-4047-9B7A-7F401F94DC5C}" destId="{5540E60E-DE3F-D74D-85FE-EB4EE627D4C8}" srcOrd="0" destOrd="0" presId="urn:microsoft.com/office/officeart/2005/8/layout/orgChart1"/>
    <dgm:cxn modelId="{D0060070-396D-412D-B281-6B4F01896871}" type="presOf" srcId="{7B0853A7-C73D-5643-A1F7-BF44AE256BE2}" destId="{3C3448E8-B1E0-1343-B407-59E5B176848D}" srcOrd="0" destOrd="0" presId="urn:microsoft.com/office/officeart/2005/8/layout/orgChart1"/>
    <dgm:cxn modelId="{A1EE2870-D307-4FD0-A9BB-5DE0E218AD7F}" type="presOf" srcId="{1FCA1860-4C4A-F543-B9B8-6760E17EA603}" destId="{1A459023-2263-D441-B637-27A45C464791}" srcOrd="0" destOrd="0" presId="urn:microsoft.com/office/officeart/2005/8/layout/orgChart1"/>
    <dgm:cxn modelId="{0C646850-4368-FA4C-8CA8-72E5E0194A31}" srcId="{8A04DCED-7006-AA44-8559-A0F189D578FD}" destId="{6554FAF2-EC0C-6943-8CE3-F5F0EB5E4B1D}" srcOrd="0" destOrd="0" parTransId="{5F12D857-151F-084F-ABB7-690063D8341D}" sibTransId="{87B645D8-F54D-9648-98FE-E8168C43ACB5}"/>
    <dgm:cxn modelId="{1FD71D71-CFBC-484B-8099-1B6D2D50DC87}" type="presOf" srcId="{8A04DCED-7006-AA44-8559-A0F189D578FD}" destId="{4CA9C5D2-A046-2B43-967F-00FDBEB44865}" srcOrd="1" destOrd="0" presId="urn:microsoft.com/office/officeart/2005/8/layout/orgChart1"/>
    <dgm:cxn modelId="{500BED73-4D6C-4949-86F7-314B1C8FDB49}" type="presOf" srcId="{69393D0A-F22E-634F-844D-5A9623123E18}" destId="{79152199-FBA4-EE41-851E-440FD81995B0}" srcOrd="1" destOrd="0" presId="urn:microsoft.com/office/officeart/2005/8/layout/orgChart1"/>
    <dgm:cxn modelId="{5B140B74-E6CD-AD43-9C50-45C2BF85377C}" srcId="{E4936A3C-0D3A-3C4E-8F97-C0201296FB8E}" destId="{1FCA1860-4C4A-F543-B9B8-6760E17EA603}" srcOrd="1" destOrd="0" parTransId="{6CE98252-E5BF-B64F-AFDF-DDE5E1771652}" sibTransId="{4E8F9080-EB34-904E-84B2-A944A092A8EA}"/>
    <dgm:cxn modelId="{1E3E6674-879B-4F22-B0EF-86833810E2F8}" type="presOf" srcId="{C6285BA6-88FC-2A44-A756-E223D015772B}" destId="{B373D962-D867-6E49-9F2D-C7C1D37CC04C}" srcOrd="0" destOrd="0" presId="urn:microsoft.com/office/officeart/2005/8/layout/orgChart1"/>
    <dgm:cxn modelId="{211F4774-76C4-4144-8277-1999EA1135EC}" srcId="{E4936A3C-0D3A-3C4E-8F97-C0201296FB8E}" destId="{9D87D6FA-77AE-6247-A4E6-8A1002440305}" srcOrd="0" destOrd="0" parTransId="{0D8F23B4-EFD4-0B43-835C-4E25F968BF75}" sibTransId="{CF53BB57-C4BE-2C45-AF02-1E04ACCA3259}"/>
    <dgm:cxn modelId="{96B2BB55-60B0-4949-9326-E1DEEFC7425B}" type="presOf" srcId="{9676973F-856E-D74B-AEE6-8CC98DAE75A3}" destId="{94391AAB-2CC0-1346-940D-358A4B0362B3}" srcOrd="0" destOrd="0" presId="urn:microsoft.com/office/officeart/2005/8/layout/orgChart1"/>
    <dgm:cxn modelId="{8927C458-7207-45BF-A67D-E40E35810D8F}" type="presOf" srcId="{125AF23E-7426-9A4E-9947-180E36640DF9}" destId="{18013E0C-5A12-6945-9511-BEC71D8D3FE5}" srcOrd="0" destOrd="0" presId="urn:microsoft.com/office/officeart/2005/8/layout/orgChart1"/>
    <dgm:cxn modelId="{78EFE658-6E80-0647-B3DE-3033BDA0A2BC}" srcId="{9D87D6FA-77AE-6247-A4E6-8A1002440305}" destId="{D577C970-3A40-4749-A860-5128C2A75CEA}" srcOrd="0" destOrd="0" parTransId="{E4BA095F-9A19-D04F-A6FA-9E8D1A50405B}" sibTransId="{55F78579-4469-D442-919A-4C65FFC7C99B}"/>
    <dgm:cxn modelId="{11FB8A7C-E041-4FA2-B7FB-F3AFE356477E}" type="presOf" srcId="{E4BA095F-9A19-D04F-A6FA-9E8D1A50405B}" destId="{A426953C-484B-824E-831D-59DBE10664F7}" srcOrd="0" destOrd="0" presId="urn:microsoft.com/office/officeart/2005/8/layout/orgChart1"/>
    <dgm:cxn modelId="{30946A84-1223-4F20-BB62-1BD7A5CB4CFA}" type="presOf" srcId="{B8BE8B64-8611-9C4F-B9FC-EC4AB5674AB6}" destId="{00333DE7-75E8-5342-B56C-17D520F095AD}" srcOrd="1" destOrd="0" presId="urn:microsoft.com/office/officeart/2005/8/layout/orgChart1"/>
    <dgm:cxn modelId="{A6350486-5526-7F4E-B0E8-B67C31420546}" srcId="{E4936A3C-0D3A-3C4E-8F97-C0201296FB8E}" destId="{B8BE8B64-8611-9C4F-B9FC-EC4AB5674AB6}" srcOrd="2" destOrd="0" parTransId="{7B0853A7-C73D-5643-A1F7-BF44AE256BE2}" sibTransId="{7E6AF4C1-D901-3F46-ABD7-44A6F5B6256C}"/>
    <dgm:cxn modelId="{79CC1D92-BED2-4A9A-BBB6-0D42FD3C24DE}" type="presOf" srcId="{6CE98252-E5BF-B64F-AFDF-DDE5E1771652}" destId="{131C03DC-8030-4546-A775-B9B623610CBE}" srcOrd="0" destOrd="0" presId="urn:microsoft.com/office/officeart/2005/8/layout/orgChart1"/>
    <dgm:cxn modelId="{DBF79695-4834-4689-8C3C-E5BC8A3807E2}" type="presOf" srcId="{8A04DCED-7006-AA44-8559-A0F189D578FD}" destId="{2FB381F8-347A-B44B-8167-28671EFDEE4A}" srcOrd="0" destOrd="0" presId="urn:microsoft.com/office/officeart/2005/8/layout/orgChart1"/>
    <dgm:cxn modelId="{1E5FAB97-D1CE-48E3-8FD6-A9F7E7328F17}" type="presOf" srcId="{E5092494-A934-D94A-81FE-412C66F3C146}" destId="{6F11B846-ABF1-A34D-B990-6B062625BFEB}" srcOrd="1" destOrd="0" presId="urn:microsoft.com/office/officeart/2005/8/layout/orgChart1"/>
    <dgm:cxn modelId="{E198829F-6E74-4EB4-9C9A-100672E47EA1}" type="presOf" srcId="{194A2ED6-8AD7-0F48-8858-653EBA1FDDF6}" destId="{792BBFD9-5558-8F46-8133-B13D9D8482E2}" srcOrd="0" destOrd="0" presId="urn:microsoft.com/office/officeart/2005/8/layout/orgChart1"/>
    <dgm:cxn modelId="{042D77A2-490D-4046-BE67-82558280416E}" type="presOf" srcId="{3AA50C22-DC19-DA40-85D3-8EB997E798F7}" destId="{EF88BCB8-FDFE-9A4B-ACCF-CF05E425BA3C}" srcOrd="0" destOrd="0" presId="urn:microsoft.com/office/officeart/2005/8/layout/orgChart1"/>
    <dgm:cxn modelId="{D24F91A4-8654-48E8-A79B-60D355206B98}" type="presOf" srcId="{BB84A946-ABDC-5640-9A50-74B75CCE8FAF}" destId="{98B5A826-735A-5B4B-A8B9-06E6C4B78842}" srcOrd="1" destOrd="0" presId="urn:microsoft.com/office/officeart/2005/8/layout/orgChart1"/>
    <dgm:cxn modelId="{ADCFAFAC-2F1E-FF4F-9702-8FE37078CF80}" srcId="{D577C970-3A40-4749-A860-5128C2A75CEA}" destId="{E5092494-A934-D94A-81FE-412C66F3C146}" srcOrd="0" destOrd="0" parTransId="{AC6E3FAB-D5DA-9B4A-A06C-C77BDDBF8116}" sibTransId="{7708377F-8528-BF4A-BA8E-0C6FE232C6DD}"/>
    <dgm:cxn modelId="{427950AF-AF39-4618-85F6-296C1089EBA9}" type="presOf" srcId="{35E59118-D424-024A-910C-B94CCDE71E59}" destId="{2F3AA56F-286D-E846-9605-BD793313196D}" srcOrd="0" destOrd="0" presId="urn:microsoft.com/office/officeart/2005/8/layout/orgChart1"/>
    <dgm:cxn modelId="{18A09BB5-21CD-49C2-B75E-C49D36D9D5A9}" type="presOf" srcId="{0D8F23B4-EFD4-0B43-835C-4E25F968BF75}" destId="{4AB53A9C-ABF9-7345-8E17-D2A2E405BC48}" srcOrd="0" destOrd="0" presId="urn:microsoft.com/office/officeart/2005/8/layout/orgChart1"/>
    <dgm:cxn modelId="{F17F32B8-8504-E343-A0A0-4CD9C4C20BD1}" srcId="{6554FAF2-EC0C-6943-8CE3-F5F0EB5E4B1D}" destId="{AABA546C-DC78-D84E-8824-84B21A172D05}" srcOrd="0" destOrd="0" parTransId="{1B498BA4-D4DB-4047-9B7A-7F401F94DC5C}" sibTransId="{1A559B94-8455-7B43-BA17-9020ACEDCCF2}"/>
    <dgm:cxn modelId="{83F89AB8-4394-4C22-B036-EF6CCB3E6F85}" type="presOf" srcId="{DB67E66D-DDDA-BA4E-AD11-F0A4E3B2B84E}" destId="{6BD87B58-5581-5B4F-AEEC-990900286B4F}" srcOrd="0" destOrd="0" presId="urn:microsoft.com/office/officeart/2005/8/layout/orgChart1"/>
    <dgm:cxn modelId="{38BA30BE-0A4C-49B3-9371-2A46BF71993A}" type="presOf" srcId="{90DD4173-9579-574B-9214-463D8C6503A0}" destId="{E56201CC-623D-7B4E-8B92-7719871DB031}" srcOrd="0" destOrd="0" presId="urn:microsoft.com/office/officeart/2005/8/layout/orgChart1"/>
    <dgm:cxn modelId="{58B6E6BE-E4A4-C048-A65B-7B10AC22EBB8}" srcId="{C6285BA6-88FC-2A44-A756-E223D015772B}" destId="{556FB671-9301-7C4C-880D-03AAE3E98189}" srcOrd="1" destOrd="0" parTransId="{7AC02BA4-C307-D94C-9631-9F9BA6E5A14B}" sibTransId="{EAEC24B1-C6B0-C741-BCB2-1DD834ED2F8E}"/>
    <dgm:cxn modelId="{8FB275BF-C752-4C26-84E9-4EA1F5311F3E}" type="presOf" srcId="{E4936A3C-0D3A-3C4E-8F97-C0201296FB8E}" destId="{7CFFB9FF-4C6A-2447-9D53-014D6033F59C}" srcOrd="1" destOrd="0" presId="urn:microsoft.com/office/officeart/2005/8/layout/orgChart1"/>
    <dgm:cxn modelId="{96D7B9C4-3859-B14A-B6CC-FEADA5A27808}" srcId="{1FCA1860-4C4A-F543-B9B8-6760E17EA603}" destId="{BB84A946-ABDC-5640-9A50-74B75CCE8FAF}" srcOrd="0" destOrd="0" parTransId="{194A2ED6-8AD7-0F48-8858-653EBA1FDDF6}" sibTransId="{4D3619AF-D70E-3A48-B86A-9B1275B24AB1}"/>
    <dgm:cxn modelId="{913CBEC5-2AA3-437C-B518-95BC7A081D42}" type="presOf" srcId="{E5092494-A934-D94A-81FE-412C66F3C146}" destId="{AFD82E79-FD4C-6844-865A-B665CBCA2B5E}" srcOrd="0" destOrd="0" presId="urn:microsoft.com/office/officeart/2005/8/layout/orgChart1"/>
    <dgm:cxn modelId="{CD4151CD-4F74-413D-93A4-64D8065930A7}" type="presOf" srcId="{69393D0A-F22E-634F-844D-5A9623123E18}" destId="{6CBDABF9-5AB7-064E-AD61-C354CE46BB18}" srcOrd="0" destOrd="0" presId="urn:microsoft.com/office/officeart/2005/8/layout/orgChart1"/>
    <dgm:cxn modelId="{AD45CBD1-669B-45F6-8BD3-2080FD010794}" type="presOf" srcId="{AABA546C-DC78-D84E-8824-84B21A172D05}" destId="{2A665812-A994-BA48-B2C1-D8E51808ACE5}" srcOrd="1" destOrd="0" presId="urn:microsoft.com/office/officeart/2005/8/layout/orgChart1"/>
    <dgm:cxn modelId="{BCB44AD8-45E5-6D4E-9380-B9E1D2E9ED1F}" srcId="{BB84A946-ABDC-5640-9A50-74B75CCE8FAF}" destId="{6722DBBB-BA92-1845-8F70-FF4E047839E9}" srcOrd="0" destOrd="0" parTransId="{38E626A9-A424-E647-9574-2125ABA01F4C}" sibTransId="{CB9C2B51-C04B-4D4B-96B6-F1704A31272D}"/>
    <dgm:cxn modelId="{E01939E6-5E92-416C-992C-E148752774E0}" type="presOf" srcId="{5F12D857-151F-084F-ABB7-690063D8341D}" destId="{F0CD1931-7021-8243-BD2A-AA2A24E98F8F}" srcOrd="0" destOrd="0" presId="urn:microsoft.com/office/officeart/2005/8/layout/orgChart1"/>
    <dgm:cxn modelId="{A55A9DE7-2861-574D-89C7-A96D19A1661C}" srcId="{6722DBBB-BA92-1845-8F70-FF4E047839E9}" destId="{3AA50C22-DC19-DA40-85D3-8EB997E798F7}" srcOrd="0" destOrd="0" parTransId="{7A24A742-4F2D-244E-824D-9E7692EB1704}" sibTransId="{225AFFC5-36C6-B747-9107-73EA85D87590}"/>
    <dgm:cxn modelId="{F544CCF0-C1A5-47A8-9F20-60E5021353EF}" type="presOf" srcId="{6554FAF2-EC0C-6943-8CE3-F5F0EB5E4B1D}" destId="{952F53A4-2544-5A4E-AFDF-73F736F264B4}" srcOrd="0" destOrd="0" presId="urn:microsoft.com/office/officeart/2005/8/layout/orgChart1"/>
    <dgm:cxn modelId="{473D41F4-F94D-4C13-8548-2B571F62F287}" type="presOf" srcId="{B8BE8B64-8611-9C4F-B9FC-EC4AB5674AB6}" destId="{4525E951-CA88-3D47-8A84-8E0E5892C883}" srcOrd="0" destOrd="0" presId="urn:microsoft.com/office/officeart/2005/8/layout/orgChart1"/>
    <dgm:cxn modelId="{484404FC-CC74-EF48-BB1F-C66F7B26DDFC}" srcId="{C6285BA6-88FC-2A44-A756-E223D015772B}" destId="{9676973F-856E-D74B-AEE6-8CC98DAE75A3}" srcOrd="0" destOrd="0" parTransId="{0489F6A4-4819-B94B-BEE0-0C8813214627}" sibTransId="{9C1E4EFC-4AD2-6C4A-B9C8-C1397A9BD807}"/>
    <dgm:cxn modelId="{78FD24FC-168C-4EA0-86C2-8D448EF15DA6}" type="presOf" srcId="{556FB671-9301-7C4C-880D-03AAE3E98189}" destId="{2DEA0AA1-146C-BB4C-9E47-61A5BDE6A63F}" srcOrd="0" destOrd="0" presId="urn:microsoft.com/office/officeart/2005/8/layout/orgChart1"/>
    <dgm:cxn modelId="{FA5113FD-A92E-4383-AA0F-06E591A3326A}" type="presOf" srcId="{6554FAF2-EC0C-6943-8CE3-F5F0EB5E4B1D}" destId="{4DF14704-50D9-864A-88D0-A3BA7690C739}" srcOrd="1" destOrd="0" presId="urn:microsoft.com/office/officeart/2005/8/layout/orgChart1"/>
    <dgm:cxn modelId="{BAC03BFE-775F-4A83-B5B5-F70548B9261A}" type="presOf" srcId="{1FCA1860-4C4A-F543-B9B8-6760E17EA603}" destId="{0057F51B-4E73-7D40-896D-C6A8206DBBCF}" srcOrd="1" destOrd="0" presId="urn:microsoft.com/office/officeart/2005/8/layout/orgChart1"/>
    <dgm:cxn modelId="{FAB90EFF-A8B7-4301-8963-480BCBC66B66}" type="presOf" srcId="{9676973F-856E-D74B-AEE6-8CC98DAE75A3}" destId="{5BAA2E7D-B2F0-CB43-9063-85207BA02FDB}" srcOrd="1" destOrd="0" presId="urn:microsoft.com/office/officeart/2005/8/layout/orgChart1"/>
    <dgm:cxn modelId="{F1A9D4FF-EC6D-4C75-B9E9-72F43A27F3DF}" type="presOf" srcId="{6722DBBB-BA92-1845-8F70-FF4E047839E9}" destId="{992E6AD0-8E1D-E64B-8FF5-20476EDC4413}" srcOrd="0" destOrd="0" presId="urn:microsoft.com/office/officeart/2005/8/layout/orgChart1"/>
    <dgm:cxn modelId="{03F263FA-C77B-420F-A30B-530808F3152D}" type="presParOf" srcId="{B373D962-D867-6E49-9F2D-C7C1D37CC04C}" destId="{FA3DE31D-874B-914B-8809-8CFEC8F6D312}" srcOrd="0" destOrd="0" presId="urn:microsoft.com/office/officeart/2005/8/layout/orgChart1"/>
    <dgm:cxn modelId="{522B5859-3CE8-4356-ADDA-F170139A67B8}" type="presParOf" srcId="{FA3DE31D-874B-914B-8809-8CFEC8F6D312}" destId="{BAEEEA97-FF92-7442-948E-B8839B9623F7}" srcOrd="0" destOrd="0" presId="urn:microsoft.com/office/officeart/2005/8/layout/orgChart1"/>
    <dgm:cxn modelId="{FC1BBB7C-B425-4036-8F46-B742B3964CDB}" type="presParOf" srcId="{BAEEEA97-FF92-7442-948E-B8839B9623F7}" destId="{94391AAB-2CC0-1346-940D-358A4B0362B3}" srcOrd="0" destOrd="0" presId="urn:microsoft.com/office/officeart/2005/8/layout/orgChart1"/>
    <dgm:cxn modelId="{00319D9A-9058-491F-8A1F-B93233838245}" type="presParOf" srcId="{BAEEEA97-FF92-7442-948E-B8839B9623F7}" destId="{5BAA2E7D-B2F0-CB43-9063-85207BA02FDB}" srcOrd="1" destOrd="0" presId="urn:microsoft.com/office/officeart/2005/8/layout/orgChart1"/>
    <dgm:cxn modelId="{9B973BBE-74E6-4268-B8A6-6E792AF4486A}" type="presParOf" srcId="{FA3DE31D-874B-914B-8809-8CFEC8F6D312}" destId="{B348076C-F99B-2F42-9E3D-B8EB5C561B65}" srcOrd="1" destOrd="0" presId="urn:microsoft.com/office/officeart/2005/8/layout/orgChart1"/>
    <dgm:cxn modelId="{B9AB767C-78F6-4991-AD9A-5C360600BB36}" type="presParOf" srcId="{B348076C-F99B-2F42-9E3D-B8EB5C561B65}" destId="{E56201CC-623D-7B4E-8B92-7719871DB031}" srcOrd="0" destOrd="0" presId="urn:microsoft.com/office/officeart/2005/8/layout/orgChart1"/>
    <dgm:cxn modelId="{F3E8D50D-E059-4828-ACF7-D6A752DCE756}" type="presParOf" srcId="{B348076C-F99B-2F42-9E3D-B8EB5C561B65}" destId="{8CC3C8B7-CF8C-BB44-B7B6-B7E732FF212A}" srcOrd="1" destOrd="0" presId="urn:microsoft.com/office/officeart/2005/8/layout/orgChart1"/>
    <dgm:cxn modelId="{7C4E2E03-CD28-4366-8B69-E7E569CE446B}" type="presParOf" srcId="{8CC3C8B7-CF8C-BB44-B7B6-B7E732FF212A}" destId="{E6A48034-F131-4746-9B46-A35627F08629}" srcOrd="0" destOrd="0" presId="urn:microsoft.com/office/officeart/2005/8/layout/orgChart1"/>
    <dgm:cxn modelId="{B16C352A-F0C8-4EFD-8AB9-0FA9FFC4D9CD}" type="presParOf" srcId="{E6A48034-F131-4746-9B46-A35627F08629}" destId="{991D359B-321B-2C49-B936-30C62790071B}" srcOrd="0" destOrd="0" presId="urn:microsoft.com/office/officeart/2005/8/layout/orgChart1"/>
    <dgm:cxn modelId="{B8E7888D-17B1-4508-A032-D4C55C23C827}" type="presParOf" srcId="{E6A48034-F131-4746-9B46-A35627F08629}" destId="{7CFFB9FF-4C6A-2447-9D53-014D6033F59C}" srcOrd="1" destOrd="0" presId="urn:microsoft.com/office/officeart/2005/8/layout/orgChart1"/>
    <dgm:cxn modelId="{9FC41792-F089-411B-AD3A-5FBB7A7AFEFE}" type="presParOf" srcId="{8CC3C8B7-CF8C-BB44-B7B6-B7E732FF212A}" destId="{C42273C0-3D09-7446-B226-A241DF6938EC}" srcOrd="1" destOrd="0" presId="urn:microsoft.com/office/officeart/2005/8/layout/orgChart1"/>
    <dgm:cxn modelId="{C841D840-1C23-4DA8-AFF9-79D028A7D0C4}" type="presParOf" srcId="{C42273C0-3D09-7446-B226-A241DF6938EC}" destId="{4AB53A9C-ABF9-7345-8E17-D2A2E405BC48}" srcOrd="0" destOrd="0" presId="urn:microsoft.com/office/officeart/2005/8/layout/orgChart1"/>
    <dgm:cxn modelId="{A8560C69-40DA-4A7D-87E3-45465CA0E13D}" type="presParOf" srcId="{C42273C0-3D09-7446-B226-A241DF6938EC}" destId="{07D1697F-12EF-3B4C-85ED-ED6085899090}" srcOrd="1" destOrd="0" presId="urn:microsoft.com/office/officeart/2005/8/layout/orgChart1"/>
    <dgm:cxn modelId="{40C642B0-AAA0-4EF4-BEE2-02EADE2840D7}" type="presParOf" srcId="{07D1697F-12EF-3B4C-85ED-ED6085899090}" destId="{3C7FFAB9-25E2-DC42-8C20-22A33195AE99}" srcOrd="0" destOrd="0" presId="urn:microsoft.com/office/officeart/2005/8/layout/orgChart1"/>
    <dgm:cxn modelId="{E05FD26C-C2BC-425D-8A87-4B77D6A38868}" type="presParOf" srcId="{3C7FFAB9-25E2-DC42-8C20-22A33195AE99}" destId="{79022517-E2F6-C74F-A544-814F91FBEE68}" srcOrd="0" destOrd="0" presId="urn:microsoft.com/office/officeart/2005/8/layout/orgChart1"/>
    <dgm:cxn modelId="{48A294BB-F06F-45F4-8953-8DDB0FF2394A}" type="presParOf" srcId="{3C7FFAB9-25E2-DC42-8C20-22A33195AE99}" destId="{DAB7F859-FF4D-9A48-9A08-491556982411}" srcOrd="1" destOrd="0" presId="urn:microsoft.com/office/officeart/2005/8/layout/orgChart1"/>
    <dgm:cxn modelId="{1919E167-FECA-4551-A309-1190175BAE3F}" type="presParOf" srcId="{07D1697F-12EF-3B4C-85ED-ED6085899090}" destId="{60F312B1-6080-B14E-A381-7076C76C845D}" srcOrd="1" destOrd="0" presId="urn:microsoft.com/office/officeart/2005/8/layout/orgChart1"/>
    <dgm:cxn modelId="{9A47AD6D-10F7-4D8E-A048-E8D0AF0EE054}" type="presParOf" srcId="{60F312B1-6080-B14E-A381-7076C76C845D}" destId="{A426953C-484B-824E-831D-59DBE10664F7}" srcOrd="0" destOrd="0" presId="urn:microsoft.com/office/officeart/2005/8/layout/orgChart1"/>
    <dgm:cxn modelId="{7124F945-0A3B-4731-B27F-1258C5477D9F}" type="presParOf" srcId="{60F312B1-6080-B14E-A381-7076C76C845D}" destId="{A63167C5-03CA-7943-BC68-38F35B9D4E17}" srcOrd="1" destOrd="0" presId="urn:microsoft.com/office/officeart/2005/8/layout/orgChart1"/>
    <dgm:cxn modelId="{E7F655CD-CD98-4814-A8F6-D3DC58192683}" type="presParOf" srcId="{A63167C5-03CA-7943-BC68-38F35B9D4E17}" destId="{A34C9FB5-9393-EB45-857A-1BD909DB2419}" srcOrd="0" destOrd="0" presId="urn:microsoft.com/office/officeart/2005/8/layout/orgChart1"/>
    <dgm:cxn modelId="{4A0827EA-C512-40FC-87C5-5B78AE841F1C}" type="presParOf" srcId="{A34C9FB5-9393-EB45-857A-1BD909DB2419}" destId="{B61E1A54-59AB-234D-BFF8-F7935C3DA373}" srcOrd="0" destOrd="0" presId="urn:microsoft.com/office/officeart/2005/8/layout/orgChart1"/>
    <dgm:cxn modelId="{AA568405-01D5-4E7F-8986-336B1CBF9692}" type="presParOf" srcId="{A34C9FB5-9393-EB45-857A-1BD909DB2419}" destId="{9DA00D99-6EE7-2147-8AEC-4ACFE60E7054}" srcOrd="1" destOrd="0" presId="urn:microsoft.com/office/officeart/2005/8/layout/orgChart1"/>
    <dgm:cxn modelId="{856F4285-24FC-4EA6-A68C-65BCE4758294}" type="presParOf" srcId="{A63167C5-03CA-7943-BC68-38F35B9D4E17}" destId="{CB0D1B5E-9AB8-0F4A-8FB2-E2DA1E65065C}" srcOrd="1" destOrd="0" presId="urn:microsoft.com/office/officeart/2005/8/layout/orgChart1"/>
    <dgm:cxn modelId="{8642AB75-0BB8-4A38-8F5C-9B1C20A4F780}" type="presParOf" srcId="{CB0D1B5E-9AB8-0F4A-8FB2-E2DA1E65065C}" destId="{48161ECE-A3B6-7E4C-B2E0-6227A0636EDF}" srcOrd="0" destOrd="0" presId="urn:microsoft.com/office/officeart/2005/8/layout/orgChart1"/>
    <dgm:cxn modelId="{CF38CA6D-55EA-4F22-A179-72C2AC41D108}" type="presParOf" srcId="{CB0D1B5E-9AB8-0F4A-8FB2-E2DA1E65065C}" destId="{093B5809-2857-4C43-B2E0-6014B2211D99}" srcOrd="1" destOrd="0" presId="urn:microsoft.com/office/officeart/2005/8/layout/orgChart1"/>
    <dgm:cxn modelId="{23E85EF4-05C4-4C80-B50B-E34508A3BAFD}" type="presParOf" srcId="{093B5809-2857-4C43-B2E0-6014B2211D99}" destId="{0FF326CB-FC55-824B-A563-8CB1737EFB58}" srcOrd="0" destOrd="0" presId="urn:microsoft.com/office/officeart/2005/8/layout/orgChart1"/>
    <dgm:cxn modelId="{9C256EC7-F6C7-489F-9300-665E24AD7FB8}" type="presParOf" srcId="{0FF326CB-FC55-824B-A563-8CB1737EFB58}" destId="{AFD82E79-FD4C-6844-865A-B665CBCA2B5E}" srcOrd="0" destOrd="0" presId="urn:microsoft.com/office/officeart/2005/8/layout/orgChart1"/>
    <dgm:cxn modelId="{A70415F8-0FE6-4D3E-9687-7031C7583A98}" type="presParOf" srcId="{0FF326CB-FC55-824B-A563-8CB1737EFB58}" destId="{6F11B846-ABF1-A34D-B990-6B062625BFEB}" srcOrd="1" destOrd="0" presId="urn:microsoft.com/office/officeart/2005/8/layout/orgChart1"/>
    <dgm:cxn modelId="{C506C211-EFCE-40F2-9065-84909C4458F7}" type="presParOf" srcId="{093B5809-2857-4C43-B2E0-6014B2211D99}" destId="{C225EB11-312C-3F44-9400-61B27FF40341}" srcOrd="1" destOrd="0" presId="urn:microsoft.com/office/officeart/2005/8/layout/orgChart1"/>
    <dgm:cxn modelId="{D436D0D2-1191-4DE4-9FE3-016F37AD3092}" type="presParOf" srcId="{C225EB11-312C-3F44-9400-61B27FF40341}" destId="{18013E0C-5A12-6945-9511-BEC71D8D3FE5}" srcOrd="0" destOrd="0" presId="urn:microsoft.com/office/officeart/2005/8/layout/orgChart1"/>
    <dgm:cxn modelId="{55CCBFB2-978C-4667-B609-B21416B9D4C9}" type="presParOf" srcId="{C225EB11-312C-3F44-9400-61B27FF40341}" destId="{C04A96DD-73EF-3E49-85A1-1C9B8C96A58D}" srcOrd="1" destOrd="0" presId="urn:microsoft.com/office/officeart/2005/8/layout/orgChart1"/>
    <dgm:cxn modelId="{0805F2BF-45F5-47C7-AAFF-C694CBF2BAD8}" type="presParOf" srcId="{C04A96DD-73EF-3E49-85A1-1C9B8C96A58D}" destId="{079DE131-CFF6-934C-9F5C-1F3CD01717D8}" srcOrd="0" destOrd="0" presId="urn:microsoft.com/office/officeart/2005/8/layout/orgChart1"/>
    <dgm:cxn modelId="{1AFA6C4A-AEE8-4A19-AE1B-638EE287529C}" type="presParOf" srcId="{079DE131-CFF6-934C-9F5C-1F3CD01717D8}" destId="{8A2CAA5A-574D-7D4A-A469-1295690799B7}" srcOrd="0" destOrd="0" presId="urn:microsoft.com/office/officeart/2005/8/layout/orgChart1"/>
    <dgm:cxn modelId="{742FD353-7EA9-429B-9CED-A7A4F4DFD95D}" type="presParOf" srcId="{079DE131-CFF6-934C-9F5C-1F3CD01717D8}" destId="{E53A8691-8B2A-5749-A26A-E30F56FA31B0}" srcOrd="1" destOrd="0" presId="urn:microsoft.com/office/officeart/2005/8/layout/orgChart1"/>
    <dgm:cxn modelId="{01AB06F7-79D0-41EB-860E-F15CA6AB38E1}" type="presParOf" srcId="{C04A96DD-73EF-3E49-85A1-1C9B8C96A58D}" destId="{0941603C-1C24-754F-BFCD-546D49DD5593}" srcOrd="1" destOrd="0" presId="urn:microsoft.com/office/officeart/2005/8/layout/orgChart1"/>
    <dgm:cxn modelId="{5FD284EF-E64F-42B4-B8CB-8A67D7D75308}" type="presParOf" srcId="{0941603C-1C24-754F-BFCD-546D49DD5593}" destId="{6BD87B58-5581-5B4F-AEEC-990900286B4F}" srcOrd="0" destOrd="0" presId="urn:microsoft.com/office/officeart/2005/8/layout/orgChart1"/>
    <dgm:cxn modelId="{A46B804B-CD28-4A01-A06D-DE765FE4C603}" type="presParOf" srcId="{0941603C-1C24-754F-BFCD-546D49DD5593}" destId="{228F4AE0-397C-D444-ACC6-15594D4B3557}" srcOrd="1" destOrd="0" presId="urn:microsoft.com/office/officeart/2005/8/layout/orgChart1"/>
    <dgm:cxn modelId="{BAAD8D91-670C-44E8-AEBB-FABB1381522F}" type="presParOf" srcId="{228F4AE0-397C-D444-ACC6-15594D4B3557}" destId="{5B340283-818F-6448-9371-98DD30C4EB45}" srcOrd="0" destOrd="0" presId="urn:microsoft.com/office/officeart/2005/8/layout/orgChart1"/>
    <dgm:cxn modelId="{4DA6E380-492A-4100-B7EA-EFD3322AA61B}" type="presParOf" srcId="{5B340283-818F-6448-9371-98DD30C4EB45}" destId="{6CBDABF9-5AB7-064E-AD61-C354CE46BB18}" srcOrd="0" destOrd="0" presId="urn:microsoft.com/office/officeart/2005/8/layout/orgChart1"/>
    <dgm:cxn modelId="{B7D6F360-A922-4EAF-9E33-ACF431660D81}" type="presParOf" srcId="{5B340283-818F-6448-9371-98DD30C4EB45}" destId="{79152199-FBA4-EE41-851E-440FD81995B0}" srcOrd="1" destOrd="0" presId="urn:microsoft.com/office/officeart/2005/8/layout/orgChart1"/>
    <dgm:cxn modelId="{1F754D72-C271-4E83-A0C4-E353523CCD13}" type="presParOf" srcId="{228F4AE0-397C-D444-ACC6-15594D4B3557}" destId="{BE955F0E-F8D7-DA41-926C-3C75C1924D91}" srcOrd="1" destOrd="0" presId="urn:microsoft.com/office/officeart/2005/8/layout/orgChart1"/>
    <dgm:cxn modelId="{74EF6CE4-9662-47EE-9E78-BCAB4033A929}" type="presParOf" srcId="{228F4AE0-397C-D444-ACC6-15594D4B3557}" destId="{95894340-2BCC-F145-8A69-2A40784E29B4}" srcOrd="2" destOrd="0" presId="urn:microsoft.com/office/officeart/2005/8/layout/orgChart1"/>
    <dgm:cxn modelId="{F58535E8-300E-45D0-867A-A9A45B091F7E}" type="presParOf" srcId="{C04A96DD-73EF-3E49-85A1-1C9B8C96A58D}" destId="{14AD2017-BC40-D143-9975-7F659BD48463}" srcOrd="2" destOrd="0" presId="urn:microsoft.com/office/officeart/2005/8/layout/orgChart1"/>
    <dgm:cxn modelId="{791D148B-33BF-45EE-BC91-1BC062820C43}" type="presParOf" srcId="{093B5809-2857-4C43-B2E0-6014B2211D99}" destId="{843CAC79-F299-154F-A9B3-195ECF083191}" srcOrd="2" destOrd="0" presId="urn:microsoft.com/office/officeart/2005/8/layout/orgChart1"/>
    <dgm:cxn modelId="{4C8938B9-3434-4013-853F-6905D39365AB}" type="presParOf" srcId="{A63167C5-03CA-7943-BC68-38F35B9D4E17}" destId="{ACBAC3C1-B349-AC4D-9136-134E3EF7D3B4}" srcOrd="2" destOrd="0" presId="urn:microsoft.com/office/officeart/2005/8/layout/orgChart1"/>
    <dgm:cxn modelId="{328A7008-F173-4B6E-9D67-F1CF1A687C3C}" type="presParOf" srcId="{07D1697F-12EF-3B4C-85ED-ED6085899090}" destId="{FBA02443-C3B7-094E-A4F6-F952FCE2C0FA}" srcOrd="2" destOrd="0" presId="urn:microsoft.com/office/officeart/2005/8/layout/orgChart1"/>
    <dgm:cxn modelId="{51B1AE8C-F7FF-42CB-AC87-686D75DEE57F}" type="presParOf" srcId="{C42273C0-3D09-7446-B226-A241DF6938EC}" destId="{131C03DC-8030-4546-A775-B9B623610CBE}" srcOrd="2" destOrd="0" presId="urn:microsoft.com/office/officeart/2005/8/layout/orgChart1"/>
    <dgm:cxn modelId="{4D948239-98E7-47F8-8311-0541C162EF05}" type="presParOf" srcId="{C42273C0-3D09-7446-B226-A241DF6938EC}" destId="{5DCCCF83-0068-E241-8137-58F1C14CA80E}" srcOrd="3" destOrd="0" presId="urn:microsoft.com/office/officeart/2005/8/layout/orgChart1"/>
    <dgm:cxn modelId="{B520FAAD-80E8-466A-A11A-CC8020CE0CDD}" type="presParOf" srcId="{5DCCCF83-0068-E241-8137-58F1C14CA80E}" destId="{B89BF864-2A06-6444-BE14-AFFC9B398172}" srcOrd="0" destOrd="0" presId="urn:microsoft.com/office/officeart/2005/8/layout/orgChart1"/>
    <dgm:cxn modelId="{089EC20A-6C4B-41B0-ABEF-2FDDA123AA82}" type="presParOf" srcId="{B89BF864-2A06-6444-BE14-AFFC9B398172}" destId="{1A459023-2263-D441-B637-27A45C464791}" srcOrd="0" destOrd="0" presId="urn:microsoft.com/office/officeart/2005/8/layout/orgChart1"/>
    <dgm:cxn modelId="{9E24BAF2-61F4-4165-ABC0-34E9D801ABF8}" type="presParOf" srcId="{B89BF864-2A06-6444-BE14-AFFC9B398172}" destId="{0057F51B-4E73-7D40-896D-C6A8206DBBCF}" srcOrd="1" destOrd="0" presId="urn:microsoft.com/office/officeart/2005/8/layout/orgChart1"/>
    <dgm:cxn modelId="{89F807AD-74D2-4C21-8065-7A5D4888A145}" type="presParOf" srcId="{5DCCCF83-0068-E241-8137-58F1C14CA80E}" destId="{F50AE4D1-D4B0-F24A-83D3-0364BDE77D70}" srcOrd="1" destOrd="0" presId="urn:microsoft.com/office/officeart/2005/8/layout/orgChart1"/>
    <dgm:cxn modelId="{72049B87-2F2F-4ED1-9CFB-A3360F1E3669}" type="presParOf" srcId="{F50AE4D1-D4B0-F24A-83D3-0364BDE77D70}" destId="{792BBFD9-5558-8F46-8133-B13D9D8482E2}" srcOrd="0" destOrd="0" presId="urn:microsoft.com/office/officeart/2005/8/layout/orgChart1"/>
    <dgm:cxn modelId="{D226FF3F-E8AE-4CE1-801F-C5661C5A4C40}" type="presParOf" srcId="{F50AE4D1-D4B0-F24A-83D3-0364BDE77D70}" destId="{587CC3EA-D639-4C4F-9647-C4A10B9962B5}" srcOrd="1" destOrd="0" presId="urn:microsoft.com/office/officeart/2005/8/layout/orgChart1"/>
    <dgm:cxn modelId="{6F75BE19-0B6A-458B-A354-18437FCE53E9}" type="presParOf" srcId="{587CC3EA-D639-4C4F-9647-C4A10B9962B5}" destId="{C3F7D992-19D3-C144-A32D-75C14A2E7EB2}" srcOrd="0" destOrd="0" presId="urn:microsoft.com/office/officeart/2005/8/layout/orgChart1"/>
    <dgm:cxn modelId="{97E0B828-232D-4DAF-8E2C-4226FAA8B033}" type="presParOf" srcId="{C3F7D992-19D3-C144-A32D-75C14A2E7EB2}" destId="{864C23A1-21F9-5D4A-974B-8272D6E702F4}" srcOrd="0" destOrd="0" presId="urn:microsoft.com/office/officeart/2005/8/layout/orgChart1"/>
    <dgm:cxn modelId="{9C740D26-E147-4233-9D2E-F1382E2A4743}" type="presParOf" srcId="{C3F7D992-19D3-C144-A32D-75C14A2E7EB2}" destId="{98B5A826-735A-5B4B-A8B9-06E6C4B78842}" srcOrd="1" destOrd="0" presId="urn:microsoft.com/office/officeart/2005/8/layout/orgChart1"/>
    <dgm:cxn modelId="{F1C2EC46-04ED-4587-B5E9-90F70A968AE5}" type="presParOf" srcId="{587CC3EA-D639-4C4F-9647-C4A10B9962B5}" destId="{9ED295B9-7B76-FC4E-BAD0-ED623B68D263}" srcOrd="1" destOrd="0" presId="urn:microsoft.com/office/officeart/2005/8/layout/orgChart1"/>
    <dgm:cxn modelId="{36359BE1-A27F-4077-9D57-3B530A948A5C}" type="presParOf" srcId="{9ED295B9-7B76-FC4E-BAD0-ED623B68D263}" destId="{C32AC606-5D38-4C40-8332-9E977A40A9D5}" srcOrd="0" destOrd="0" presId="urn:microsoft.com/office/officeart/2005/8/layout/orgChart1"/>
    <dgm:cxn modelId="{5D89ADAD-CC3C-4EF7-8769-61496230E01D}" type="presParOf" srcId="{9ED295B9-7B76-FC4E-BAD0-ED623B68D263}" destId="{422ACD5D-85D2-474F-98FD-504CCF0DA958}" srcOrd="1" destOrd="0" presId="urn:microsoft.com/office/officeart/2005/8/layout/orgChart1"/>
    <dgm:cxn modelId="{14D52F61-9D95-44A4-8C76-C4B95EC9C6F7}" type="presParOf" srcId="{422ACD5D-85D2-474F-98FD-504CCF0DA958}" destId="{4EFDFB65-698C-A84A-AABD-489F0D2CC186}" srcOrd="0" destOrd="0" presId="urn:microsoft.com/office/officeart/2005/8/layout/orgChart1"/>
    <dgm:cxn modelId="{8959BF3C-6A16-443D-8B12-F58581DAD2BA}" type="presParOf" srcId="{4EFDFB65-698C-A84A-AABD-489F0D2CC186}" destId="{992E6AD0-8E1D-E64B-8FF5-20476EDC4413}" srcOrd="0" destOrd="0" presId="urn:microsoft.com/office/officeart/2005/8/layout/orgChart1"/>
    <dgm:cxn modelId="{4E983BC4-1F7A-496C-8367-92E8D1BC1FBC}" type="presParOf" srcId="{4EFDFB65-698C-A84A-AABD-489F0D2CC186}" destId="{B7FBD26A-028C-2545-AC2B-52D7A8D1E307}" srcOrd="1" destOrd="0" presId="urn:microsoft.com/office/officeart/2005/8/layout/orgChart1"/>
    <dgm:cxn modelId="{690C740E-0389-4CD1-9222-63C11F0F7F58}" type="presParOf" srcId="{422ACD5D-85D2-474F-98FD-504CCF0DA958}" destId="{AA203FF0-5E69-F445-9C7D-FFCACF1ACFBF}" srcOrd="1" destOrd="0" presId="urn:microsoft.com/office/officeart/2005/8/layout/orgChart1"/>
    <dgm:cxn modelId="{0C71926A-0E16-4B5D-9340-EE3B9CFB6C8C}" type="presParOf" srcId="{AA203FF0-5E69-F445-9C7D-FFCACF1ACFBF}" destId="{A5140685-0DC5-E848-94E2-CD4A92CC7FB1}" srcOrd="0" destOrd="0" presId="urn:microsoft.com/office/officeart/2005/8/layout/orgChart1"/>
    <dgm:cxn modelId="{F3D56A09-CD06-4CC7-8309-739E8858B712}" type="presParOf" srcId="{AA203FF0-5E69-F445-9C7D-FFCACF1ACFBF}" destId="{A7EF208B-7400-BF4C-A6D3-7EBF8080255D}" srcOrd="1" destOrd="0" presId="urn:microsoft.com/office/officeart/2005/8/layout/orgChart1"/>
    <dgm:cxn modelId="{F37D1EEE-939D-43DA-962F-C4CEAB87935B}" type="presParOf" srcId="{A7EF208B-7400-BF4C-A6D3-7EBF8080255D}" destId="{22CBFFEF-F7C1-C648-AC4E-4D8B02830CB1}" srcOrd="0" destOrd="0" presId="urn:microsoft.com/office/officeart/2005/8/layout/orgChart1"/>
    <dgm:cxn modelId="{34014E4F-B466-4D51-B0D7-8621BF262AB3}" type="presParOf" srcId="{22CBFFEF-F7C1-C648-AC4E-4D8B02830CB1}" destId="{EF88BCB8-FDFE-9A4B-ACCF-CF05E425BA3C}" srcOrd="0" destOrd="0" presId="urn:microsoft.com/office/officeart/2005/8/layout/orgChart1"/>
    <dgm:cxn modelId="{2BB20E4C-2960-4FD0-9B74-FC172041A3BC}" type="presParOf" srcId="{22CBFFEF-F7C1-C648-AC4E-4D8B02830CB1}" destId="{37D4F20C-CCA6-7B4E-9957-264846813063}" srcOrd="1" destOrd="0" presId="urn:microsoft.com/office/officeart/2005/8/layout/orgChart1"/>
    <dgm:cxn modelId="{AA85E054-3CF6-4CEE-921E-3E05867E0D16}" type="presParOf" srcId="{A7EF208B-7400-BF4C-A6D3-7EBF8080255D}" destId="{8637D407-8D4A-F24C-B81A-DDA03E50569C}" srcOrd="1" destOrd="0" presId="urn:microsoft.com/office/officeart/2005/8/layout/orgChart1"/>
    <dgm:cxn modelId="{D664BA0F-F20A-4A96-9900-2586F92FF904}" type="presParOf" srcId="{A7EF208B-7400-BF4C-A6D3-7EBF8080255D}" destId="{FC41E82E-EE86-9243-9C81-B2CD88AF8A5A}" srcOrd="2" destOrd="0" presId="urn:microsoft.com/office/officeart/2005/8/layout/orgChart1"/>
    <dgm:cxn modelId="{CBD05349-4D41-43A7-9532-974A56341F24}" type="presParOf" srcId="{422ACD5D-85D2-474F-98FD-504CCF0DA958}" destId="{7274F36F-B653-434D-9653-183F232BCBA0}" srcOrd="2" destOrd="0" presId="urn:microsoft.com/office/officeart/2005/8/layout/orgChart1"/>
    <dgm:cxn modelId="{2A22290E-9C79-4800-B1DF-A6687A469B6E}" type="presParOf" srcId="{587CC3EA-D639-4C4F-9647-C4A10B9962B5}" destId="{D8A81287-33B6-A044-9178-48CC01241BE4}" srcOrd="2" destOrd="0" presId="urn:microsoft.com/office/officeart/2005/8/layout/orgChart1"/>
    <dgm:cxn modelId="{6E9D5DF3-BAF4-487B-AC40-1C7AEB1FF8A0}" type="presParOf" srcId="{5DCCCF83-0068-E241-8137-58F1C14CA80E}" destId="{F63C6FD4-E8C1-F544-A1F1-F786961D91E0}" srcOrd="2" destOrd="0" presId="urn:microsoft.com/office/officeart/2005/8/layout/orgChart1"/>
    <dgm:cxn modelId="{EB10E2C7-5E3F-49A2-8188-602D3E7763F0}" type="presParOf" srcId="{C42273C0-3D09-7446-B226-A241DF6938EC}" destId="{3C3448E8-B1E0-1343-B407-59E5B176848D}" srcOrd="4" destOrd="0" presId="urn:microsoft.com/office/officeart/2005/8/layout/orgChart1"/>
    <dgm:cxn modelId="{28985034-9367-4651-8271-255DBDDB225B}" type="presParOf" srcId="{C42273C0-3D09-7446-B226-A241DF6938EC}" destId="{7AE23043-84DD-FC46-85DA-B0F095D16E26}" srcOrd="5" destOrd="0" presId="urn:microsoft.com/office/officeart/2005/8/layout/orgChart1"/>
    <dgm:cxn modelId="{0DDE3D92-354F-4B3C-B10E-B6E7B6D8E25B}" type="presParOf" srcId="{7AE23043-84DD-FC46-85DA-B0F095D16E26}" destId="{7AA9E127-AE3E-E54B-AE9B-13695AB15BFB}" srcOrd="0" destOrd="0" presId="urn:microsoft.com/office/officeart/2005/8/layout/orgChart1"/>
    <dgm:cxn modelId="{A1A974F7-FD38-4C45-8998-F979D9ACBBEF}" type="presParOf" srcId="{7AA9E127-AE3E-E54B-AE9B-13695AB15BFB}" destId="{4525E951-CA88-3D47-8A84-8E0E5892C883}" srcOrd="0" destOrd="0" presId="urn:microsoft.com/office/officeart/2005/8/layout/orgChart1"/>
    <dgm:cxn modelId="{73D95880-86B1-4AD5-A0F7-D127C6B39174}" type="presParOf" srcId="{7AA9E127-AE3E-E54B-AE9B-13695AB15BFB}" destId="{00333DE7-75E8-5342-B56C-17D520F095AD}" srcOrd="1" destOrd="0" presId="urn:microsoft.com/office/officeart/2005/8/layout/orgChart1"/>
    <dgm:cxn modelId="{1A44B923-F0F7-4F56-B9A9-3D25A4880A7E}" type="presParOf" srcId="{7AE23043-84DD-FC46-85DA-B0F095D16E26}" destId="{CA63BFDF-E9E6-3942-9B93-06A52DC79441}" srcOrd="1" destOrd="0" presId="urn:microsoft.com/office/officeart/2005/8/layout/orgChart1"/>
    <dgm:cxn modelId="{8864DD23-7FC8-447B-9E70-5E6430D95DF0}" type="presParOf" srcId="{CA63BFDF-E9E6-3942-9B93-06A52DC79441}" destId="{2F3AA56F-286D-E846-9605-BD793313196D}" srcOrd="0" destOrd="0" presId="urn:microsoft.com/office/officeart/2005/8/layout/orgChart1"/>
    <dgm:cxn modelId="{7FC2AB09-59DF-4FE3-9777-4568F2BFCB2E}" type="presParOf" srcId="{CA63BFDF-E9E6-3942-9B93-06A52DC79441}" destId="{C69B2DE5-DCAC-4043-8BF8-B99CFBB9E73D}" srcOrd="1" destOrd="0" presId="urn:microsoft.com/office/officeart/2005/8/layout/orgChart1"/>
    <dgm:cxn modelId="{903E76A2-3D63-4D97-9459-9DCE995680A2}" type="presParOf" srcId="{C69B2DE5-DCAC-4043-8BF8-B99CFBB9E73D}" destId="{D6349643-6C80-064C-9F43-4208479EE48F}" srcOrd="0" destOrd="0" presId="urn:microsoft.com/office/officeart/2005/8/layout/orgChart1"/>
    <dgm:cxn modelId="{F70AB552-BC7E-4FB2-9B08-E40E6F59FD91}" type="presParOf" srcId="{D6349643-6C80-064C-9F43-4208479EE48F}" destId="{2FB381F8-347A-B44B-8167-28671EFDEE4A}" srcOrd="0" destOrd="0" presId="urn:microsoft.com/office/officeart/2005/8/layout/orgChart1"/>
    <dgm:cxn modelId="{0CFF7418-27AD-4CBE-A036-6A9E7B84D586}" type="presParOf" srcId="{D6349643-6C80-064C-9F43-4208479EE48F}" destId="{4CA9C5D2-A046-2B43-967F-00FDBEB44865}" srcOrd="1" destOrd="0" presId="urn:microsoft.com/office/officeart/2005/8/layout/orgChart1"/>
    <dgm:cxn modelId="{BF6BE7F7-D064-4424-9347-1074D2BB5B2E}" type="presParOf" srcId="{C69B2DE5-DCAC-4043-8BF8-B99CFBB9E73D}" destId="{39507604-5BC7-3C49-864D-7F53EDA48D2D}" srcOrd="1" destOrd="0" presId="urn:microsoft.com/office/officeart/2005/8/layout/orgChart1"/>
    <dgm:cxn modelId="{C5DD7C04-C04C-4960-A30F-D1332433CF02}" type="presParOf" srcId="{39507604-5BC7-3C49-864D-7F53EDA48D2D}" destId="{F0CD1931-7021-8243-BD2A-AA2A24E98F8F}" srcOrd="0" destOrd="0" presId="urn:microsoft.com/office/officeart/2005/8/layout/orgChart1"/>
    <dgm:cxn modelId="{3453857F-C536-44AC-9886-8B2A30ACC075}" type="presParOf" srcId="{39507604-5BC7-3C49-864D-7F53EDA48D2D}" destId="{40A814C3-9564-A741-8BC7-F0A12DA79FAF}" srcOrd="1" destOrd="0" presId="urn:microsoft.com/office/officeart/2005/8/layout/orgChart1"/>
    <dgm:cxn modelId="{7F9F7CFF-F55A-43E5-8D9E-FF2B7AAE78A8}" type="presParOf" srcId="{40A814C3-9564-A741-8BC7-F0A12DA79FAF}" destId="{CF0FEB6F-4952-A04C-BE94-C876F556AD33}" srcOrd="0" destOrd="0" presId="urn:microsoft.com/office/officeart/2005/8/layout/orgChart1"/>
    <dgm:cxn modelId="{BB37EA54-0A63-4CC0-9598-5BC0C5B7BCED}" type="presParOf" srcId="{CF0FEB6F-4952-A04C-BE94-C876F556AD33}" destId="{952F53A4-2544-5A4E-AFDF-73F736F264B4}" srcOrd="0" destOrd="0" presId="urn:microsoft.com/office/officeart/2005/8/layout/orgChart1"/>
    <dgm:cxn modelId="{C5218420-BAB8-483F-A428-E1660392168F}" type="presParOf" srcId="{CF0FEB6F-4952-A04C-BE94-C876F556AD33}" destId="{4DF14704-50D9-864A-88D0-A3BA7690C739}" srcOrd="1" destOrd="0" presId="urn:microsoft.com/office/officeart/2005/8/layout/orgChart1"/>
    <dgm:cxn modelId="{5D6DA165-A2D9-4BBB-919B-7A57B343792F}" type="presParOf" srcId="{40A814C3-9564-A741-8BC7-F0A12DA79FAF}" destId="{53B1B3DA-76B8-8848-BE9C-B8F2B62C2DDF}" srcOrd="1" destOrd="0" presId="urn:microsoft.com/office/officeart/2005/8/layout/orgChart1"/>
    <dgm:cxn modelId="{5485F7E6-47EE-44BF-91EF-C99E8C729673}" type="presParOf" srcId="{53B1B3DA-76B8-8848-BE9C-B8F2B62C2DDF}" destId="{5540E60E-DE3F-D74D-85FE-EB4EE627D4C8}" srcOrd="0" destOrd="0" presId="urn:microsoft.com/office/officeart/2005/8/layout/orgChart1"/>
    <dgm:cxn modelId="{D4D59008-C7DF-4675-AF02-ED594C8BCC1D}" type="presParOf" srcId="{53B1B3DA-76B8-8848-BE9C-B8F2B62C2DDF}" destId="{B0C89451-DAA7-A946-BA69-ECF092F1644C}" srcOrd="1" destOrd="0" presId="urn:microsoft.com/office/officeart/2005/8/layout/orgChart1"/>
    <dgm:cxn modelId="{3D1E742B-3006-489B-92B1-C2F52E91340E}" type="presParOf" srcId="{B0C89451-DAA7-A946-BA69-ECF092F1644C}" destId="{4001B155-D369-D145-A329-4656F0932963}" srcOrd="0" destOrd="0" presId="urn:microsoft.com/office/officeart/2005/8/layout/orgChart1"/>
    <dgm:cxn modelId="{503FEC27-944F-44A9-907D-1F715FDADD58}" type="presParOf" srcId="{4001B155-D369-D145-A329-4656F0932963}" destId="{B467E944-B1E0-FA4A-B241-B1617A997D46}" srcOrd="0" destOrd="0" presId="urn:microsoft.com/office/officeart/2005/8/layout/orgChart1"/>
    <dgm:cxn modelId="{93B92BF9-9E5F-4EE9-A725-969F89596816}" type="presParOf" srcId="{4001B155-D369-D145-A329-4656F0932963}" destId="{2A665812-A994-BA48-B2C1-D8E51808ACE5}" srcOrd="1" destOrd="0" presId="urn:microsoft.com/office/officeart/2005/8/layout/orgChart1"/>
    <dgm:cxn modelId="{AEA939FA-1909-48D3-AF9F-4A488000F857}" type="presParOf" srcId="{B0C89451-DAA7-A946-BA69-ECF092F1644C}" destId="{5626097E-B06B-7A4C-AF61-15FE2AE1FA73}" srcOrd="1" destOrd="0" presId="urn:microsoft.com/office/officeart/2005/8/layout/orgChart1"/>
    <dgm:cxn modelId="{961A82B0-3CB3-440D-B3BE-2993D3D9EE17}" type="presParOf" srcId="{B0C89451-DAA7-A946-BA69-ECF092F1644C}" destId="{5C0CA92A-2A61-9246-8FFF-D275F2542A6F}" srcOrd="2" destOrd="0" presId="urn:microsoft.com/office/officeart/2005/8/layout/orgChart1"/>
    <dgm:cxn modelId="{B12D01A7-9844-4086-AE13-A5CF5B29A20D}" type="presParOf" srcId="{40A814C3-9564-A741-8BC7-F0A12DA79FAF}" destId="{B98EF40A-171C-C746-ACFD-E5BC80258039}" srcOrd="2" destOrd="0" presId="urn:microsoft.com/office/officeart/2005/8/layout/orgChart1"/>
    <dgm:cxn modelId="{7C24A78C-EA84-44D6-A9FD-4C7534E6861A}" type="presParOf" srcId="{C69B2DE5-DCAC-4043-8BF8-B99CFBB9E73D}" destId="{5B683C6F-B06B-6B4D-8AA8-93550A345CC5}" srcOrd="2" destOrd="0" presId="urn:microsoft.com/office/officeart/2005/8/layout/orgChart1"/>
    <dgm:cxn modelId="{44D5C571-CD4A-4417-B5DB-B12A3AEB360A}" type="presParOf" srcId="{7AE23043-84DD-FC46-85DA-B0F095D16E26}" destId="{759FB4A8-C722-1D46-9F39-558B01406ED1}" srcOrd="2" destOrd="0" presId="urn:microsoft.com/office/officeart/2005/8/layout/orgChart1"/>
    <dgm:cxn modelId="{651C6840-6ABE-4AAC-A042-4D1DE2CC1FAB}" type="presParOf" srcId="{8CC3C8B7-CF8C-BB44-B7B6-B7E732FF212A}" destId="{FD06C71D-94B7-7249-B956-11C59B94D87E}" srcOrd="2" destOrd="0" presId="urn:microsoft.com/office/officeart/2005/8/layout/orgChart1"/>
    <dgm:cxn modelId="{CEE4B159-3990-440A-B49F-19D00585C2F6}" type="presParOf" srcId="{FA3DE31D-874B-914B-8809-8CFEC8F6D312}" destId="{A47D47EF-6358-A64C-B91D-EFF586E497FF}" srcOrd="2" destOrd="0" presId="urn:microsoft.com/office/officeart/2005/8/layout/orgChart1"/>
    <dgm:cxn modelId="{A05F6B41-4EED-414A-A191-701E4D836DC3}" type="presParOf" srcId="{B373D962-D867-6E49-9F2D-C7C1D37CC04C}" destId="{F2A95C0E-7BCB-6641-A575-1BE4CB2B2EC9}" srcOrd="1" destOrd="0" presId="urn:microsoft.com/office/officeart/2005/8/layout/orgChart1"/>
    <dgm:cxn modelId="{87D120FD-1CD7-416C-A07D-97CE763D4F81}" type="presParOf" srcId="{F2A95C0E-7BCB-6641-A575-1BE4CB2B2EC9}" destId="{A762D993-C4BE-1142-8E2A-662F31F630B5}" srcOrd="0" destOrd="0" presId="urn:microsoft.com/office/officeart/2005/8/layout/orgChart1"/>
    <dgm:cxn modelId="{FD7106E3-41E9-4219-97F6-3533FBDB47AE}" type="presParOf" srcId="{A762D993-C4BE-1142-8E2A-662F31F630B5}" destId="{2DEA0AA1-146C-BB4C-9E47-61A5BDE6A63F}" srcOrd="0" destOrd="0" presId="urn:microsoft.com/office/officeart/2005/8/layout/orgChart1"/>
    <dgm:cxn modelId="{AC4397C4-0518-44A8-8009-903C081FFCC8}" type="presParOf" srcId="{A762D993-C4BE-1142-8E2A-662F31F630B5}" destId="{CFD1D5B5-38C6-C943-9B91-82F291826E0C}" srcOrd="1" destOrd="0" presId="urn:microsoft.com/office/officeart/2005/8/layout/orgChart1"/>
    <dgm:cxn modelId="{86AFA46F-4D07-419A-9CFD-24E52A45BAA5}" type="presParOf" srcId="{F2A95C0E-7BCB-6641-A575-1BE4CB2B2EC9}" destId="{E12E2048-D246-E740-9E12-A3A4A5A17A80}" srcOrd="1" destOrd="0" presId="urn:microsoft.com/office/officeart/2005/8/layout/orgChart1"/>
    <dgm:cxn modelId="{CE99AC9A-A956-479C-9078-2144900FBE97}" type="presParOf" srcId="{F2A95C0E-7BCB-6641-A575-1BE4CB2B2EC9}" destId="{3B9CC558-4794-4944-A434-5DE527E3ACDB}" srcOrd="2" destOrd="0" presId="urn:microsoft.com/office/officeart/2005/8/layout/orgChart1"/>
  </dgm:cxnLst>
  <dgm:bg/>
  <dgm:whole>
    <a:ln w="12700" cap="sq" cmpd="sng">
      <a:gradFill flip="none" rotWithShape="1">
        <a:gsLst>
          <a:gs pos="0">
            <a:schemeClr val="accent1"/>
          </a:gs>
          <a:gs pos="100000">
            <a:prstClr val="white"/>
          </a:gs>
        </a:gsLst>
        <a:lin ang="0" scaled="1"/>
        <a:tileRect/>
      </a:gradFill>
      <a:round/>
    </a:ln>
  </dgm:whole>
  <dgm:extLst>
    <a:ext uri="http://schemas.microsoft.com/office/drawing/2008/diagram">
      <dsp:dataModelExt xmlns:dsp="http://schemas.microsoft.com/office/drawing/2008/diagram" relId="rId19"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540E60E-DE3F-D74D-85FE-EB4EE627D4C8}">
      <dsp:nvSpPr>
        <dsp:cNvPr id="0" name=""/>
        <dsp:cNvSpPr/>
      </dsp:nvSpPr>
      <dsp:spPr>
        <a:xfrm>
          <a:off x="3312469" y="2903977"/>
          <a:ext cx="153054" cy="423319"/>
        </a:xfrm>
        <a:custGeom>
          <a:avLst/>
          <a:gdLst/>
          <a:ahLst/>
          <a:cxnLst/>
          <a:rect l="0" t="0" r="0" b="0"/>
          <a:pathLst>
            <a:path>
              <a:moveTo>
                <a:pt x="0" y="0"/>
              </a:moveTo>
              <a:lnTo>
                <a:pt x="0" y="423319"/>
              </a:lnTo>
              <a:lnTo>
                <a:pt x="153054" y="42331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0CD1931-7021-8243-BD2A-AA2A24E98F8F}">
      <dsp:nvSpPr>
        <dsp:cNvPr id="0" name=""/>
        <dsp:cNvSpPr/>
      </dsp:nvSpPr>
      <dsp:spPr>
        <a:xfrm>
          <a:off x="3614462" y="2286786"/>
          <a:ext cx="91440" cy="182549"/>
        </a:xfrm>
        <a:custGeom>
          <a:avLst/>
          <a:gdLst/>
          <a:ahLst/>
          <a:cxnLst/>
          <a:rect l="0" t="0" r="0" b="0"/>
          <a:pathLst>
            <a:path>
              <a:moveTo>
                <a:pt x="45728" y="0"/>
              </a:moveTo>
              <a:lnTo>
                <a:pt x="45728" y="91274"/>
              </a:lnTo>
              <a:lnTo>
                <a:pt x="45720" y="91274"/>
              </a:lnTo>
              <a:lnTo>
                <a:pt x="45720" y="1825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F3AA56F-286D-E846-9605-BD793313196D}">
      <dsp:nvSpPr>
        <dsp:cNvPr id="0" name=""/>
        <dsp:cNvSpPr/>
      </dsp:nvSpPr>
      <dsp:spPr>
        <a:xfrm>
          <a:off x="3614471" y="1669594"/>
          <a:ext cx="91440" cy="182549"/>
        </a:xfrm>
        <a:custGeom>
          <a:avLst/>
          <a:gdLst/>
          <a:ahLst/>
          <a:cxnLst/>
          <a:rect l="0" t="0" r="0" b="0"/>
          <a:pathLst>
            <a:path>
              <a:moveTo>
                <a:pt x="53682" y="0"/>
              </a:moveTo>
              <a:lnTo>
                <a:pt x="53682" y="91274"/>
              </a:lnTo>
              <a:lnTo>
                <a:pt x="45720" y="91274"/>
              </a:lnTo>
              <a:lnTo>
                <a:pt x="45720" y="1825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C3448E8-B1E0-1343-B407-59E5B176848D}">
      <dsp:nvSpPr>
        <dsp:cNvPr id="0" name=""/>
        <dsp:cNvSpPr/>
      </dsp:nvSpPr>
      <dsp:spPr>
        <a:xfrm>
          <a:off x="1997294" y="1052402"/>
          <a:ext cx="1670859" cy="182549"/>
        </a:xfrm>
        <a:custGeom>
          <a:avLst/>
          <a:gdLst/>
          <a:ahLst/>
          <a:cxnLst/>
          <a:rect l="0" t="0" r="0" b="0"/>
          <a:pathLst>
            <a:path>
              <a:moveTo>
                <a:pt x="0" y="0"/>
              </a:moveTo>
              <a:lnTo>
                <a:pt x="0" y="91274"/>
              </a:lnTo>
              <a:lnTo>
                <a:pt x="1670859" y="91274"/>
              </a:lnTo>
              <a:lnTo>
                <a:pt x="1670859" y="1825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140685-0DC5-E848-94E2-CD4A92CC7FB1}">
      <dsp:nvSpPr>
        <dsp:cNvPr id="0" name=""/>
        <dsp:cNvSpPr/>
      </dsp:nvSpPr>
      <dsp:spPr>
        <a:xfrm>
          <a:off x="1657343" y="3495286"/>
          <a:ext cx="219094" cy="425918"/>
        </a:xfrm>
        <a:prstGeom prst="curvedRightArrow">
          <a:avLst/>
        </a:prstGeom>
        <a:noFill/>
        <a:ln w="12700" cap="rnd" cmpd="sng" algn="ctr">
          <a:solidFill>
            <a:srgbClr val="FF0000"/>
          </a:solidFill>
          <a:prstDash val="solid"/>
          <a:miter lim="800000"/>
          <a:headEnd type="none" w="med" len="lg"/>
          <a:tailEnd type="none"/>
        </a:ln>
        <a:effectLst/>
      </dsp:spPr>
      <dsp:style>
        <a:lnRef idx="2">
          <a:scrgbClr r="0" g="0" b="0"/>
        </a:lnRef>
        <a:fillRef idx="0">
          <a:scrgbClr r="0" g="0" b="0"/>
        </a:fillRef>
        <a:effectRef idx="0">
          <a:scrgbClr r="0" g="0" b="0"/>
        </a:effectRef>
        <a:fontRef idx="minor"/>
      </dsp:style>
    </dsp:sp>
    <dsp:sp modelId="{C32AC606-5D38-4C40-8332-9E977A40A9D5}">
      <dsp:nvSpPr>
        <dsp:cNvPr id="0" name=""/>
        <dsp:cNvSpPr/>
      </dsp:nvSpPr>
      <dsp:spPr>
        <a:xfrm>
          <a:off x="1959337" y="2606434"/>
          <a:ext cx="91440" cy="454209"/>
        </a:xfrm>
        <a:prstGeom prst="downArrow">
          <a:avLst/>
        </a:pr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2BBFD9-5558-8F46-8133-B13D9D8482E2}">
      <dsp:nvSpPr>
        <dsp:cNvPr id="0" name=""/>
        <dsp:cNvSpPr/>
      </dsp:nvSpPr>
      <dsp:spPr>
        <a:xfrm>
          <a:off x="1959337" y="1942988"/>
          <a:ext cx="91440" cy="228804"/>
        </a:xfrm>
        <a:custGeom>
          <a:avLst/>
          <a:gdLst/>
          <a:ahLst/>
          <a:cxnLst/>
          <a:rect l="0" t="0" r="0" b="0"/>
          <a:pathLst>
            <a:path>
              <a:moveTo>
                <a:pt x="45720" y="0"/>
              </a:moveTo>
              <a:lnTo>
                <a:pt x="45720" y="2288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1C03DC-8030-4546-A775-B9B623610CBE}">
      <dsp:nvSpPr>
        <dsp:cNvPr id="0" name=""/>
        <dsp:cNvSpPr/>
      </dsp:nvSpPr>
      <dsp:spPr>
        <a:xfrm>
          <a:off x="1951574" y="1052402"/>
          <a:ext cx="91440" cy="455943"/>
        </a:xfrm>
        <a:custGeom>
          <a:avLst/>
          <a:gdLst/>
          <a:ahLst/>
          <a:cxnLst/>
          <a:rect l="0" t="0" r="0" b="0"/>
          <a:pathLst>
            <a:path>
              <a:moveTo>
                <a:pt x="45720" y="0"/>
              </a:moveTo>
              <a:lnTo>
                <a:pt x="45720" y="364669"/>
              </a:lnTo>
              <a:lnTo>
                <a:pt x="53482" y="364669"/>
              </a:lnTo>
              <a:lnTo>
                <a:pt x="53482" y="45594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BD87B58-5581-5B4F-AEEC-990900286B4F}">
      <dsp:nvSpPr>
        <dsp:cNvPr id="0" name=""/>
        <dsp:cNvSpPr/>
      </dsp:nvSpPr>
      <dsp:spPr>
        <a:xfrm>
          <a:off x="86928" y="3521169"/>
          <a:ext cx="367499" cy="389204"/>
        </a:xfrm>
        <a:custGeom>
          <a:avLst/>
          <a:gdLst/>
          <a:ahLst/>
          <a:cxnLst/>
          <a:rect l="0" t="0" r="0" b="0"/>
          <a:pathLst>
            <a:path>
              <a:moveTo>
                <a:pt x="0" y="0"/>
              </a:moveTo>
              <a:lnTo>
                <a:pt x="0" y="389204"/>
              </a:lnTo>
              <a:lnTo>
                <a:pt x="367499" y="3892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013E0C-5A12-6945-9511-BEC71D8D3FE5}">
      <dsp:nvSpPr>
        <dsp:cNvPr id="0" name=""/>
        <dsp:cNvSpPr/>
      </dsp:nvSpPr>
      <dsp:spPr>
        <a:xfrm>
          <a:off x="388922" y="2903977"/>
          <a:ext cx="91440" cy="182549"/>
        </a:xfrm>
        <a:custGeom>
          <a:avLst/>
          <a:gdLst/>
          <a:ahLst/>
          <a:cxnLst/>
          <a:rect l="0" t="0" r="0" b="0"/>
          <a:pathLst>
            <a:path>
              <a:moveTo>
                <a:pt x="45720" y="0"/>
              </a:moveTo>
              <a:lnTo>
                <a:pt x="45720" y="1825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8161ECE-A3B6-7E4C-B2E0-6227A0636EDF}">
      <dsp:nvSpPr>
        <dsp:cNvPr id="0" name=""/>
        <dsp:cNvSpPr/>
      </dsp:nvSpPr>
      <dsp:spPr>
        <a:xfrm>
          <a:off x="388922" y="2286786"/>
          <a:ext cx="91440" cy="182549"/>
        </a:xfrm>
        <a:custGeom>
          <a:avLst/>
          <a:gdLst/>
          <a:ahLst/>
          <a:cxnLst/>
          <a:rect l="0" t="0" r="0" b="0"/>
          <a:pathLst>
            <a:path>
              <a:moveTo>
                <a:pt x="45720" y="0"/>
              </a:moveTo>
              <a:lnTo>
                <a:pt x="45720" y="1825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26953C-484B-824E-831D-59DBE10664F7}">
      <dsp:nvSpPr>
        <dsp:cNvPr id="0" name=""/>
        <dsp:cNvSpPr/>
      </dsp:nvSpPr>
      <dsp:spPr>
        <a:xfrm>
          <a:off x="388922" y="1669594"/>
          <a:ext cx="91440" cy="182549"/>
        </a:xfrm>
        <a:custGeom>
          <a:avLst/>
          <a:gdLst/>
          <a:ahLst/>
          <a:cxnLst/>
          <a:rect l="0" t="0" r="0" b="0"/>
          <a:pathLst>
            <a:path>
              <a:moveTo>
                <a:pt x="45720" y="0"/>
              </a:moveTo>
              <a:lnTo>
                <a:pt x="45720" y="1825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AB53A9C-ABF9-7345-8E17-D2A2E405BC48}">
      <dsp:nvSpPr>
        <dsp:cNvPr id="0" name=""/>
        <dsp:cNvSpPr/>
      </dsp:nvSpPr>
      <dsp:spPr>
        <a:xfrm>
          <a:off x="434642" y="1052402"/>
          <a:ext cx="1562652" cy="182549"/>
        </a:xfrm>
        <a:custGeom>
          <a:avLst/>
          <a:gdLst/>
          <a:ahLst/>
          <a:cxnLst/>
          <a:rect l="0" t="0" r="0" b="0"/>
          <a:pathLst>
            <a:path>
              <a:moveTo>
                <a:pt x="1562652" y="0"/>
              </a:moveTo>
              <a:lnTo>
                <a:pt x="1562652" y="91274"/>
              </a:lnTo>
              <a:lnTo>
                <a:pt x="0" y="91274"/>
              </a:lnTo>
              <a:lnTo>
                <a:pt x="0" y="1825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6201CC-623D-7B4E-8B92-7719871DB031}">
      <dsp:nvSpPr>
        <dsp:cNvPr id="0" name=""/>
        <dsp:cNvSpPr/>
      </dsp:nvSpPr>
      <dsp:spPr>
        <a:xfrm>
          <a:off x="1951574" y="435210"/>
          <a:ext cx="91440" cy="182549"/>
        </a:xfrm>
        <a:custGeom>
          <a:avLst/>
          <a:gdLst/>
          <a:ahLst/>
          <a:cxnLst/>
          <a:rect l="0" t="0" r="0" b="0"/>
          <a:pathLst>
            <a:path>
              <a:moveTo>
                <a:pt x="45720" y="0"/>
              </a:moveTo>
              <a:lnTo>
                <a:pt x="45720" y="18254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391AAB-2CC0-1346-940D-358A4B0362B3}">
      <dsp:nvSpPr>
        <dsp:cNvPr id="0" name=""/>
        <dsp:cNvSpPr/>
      </dsp:nvSpPr>
      <dsp:spPr>
        <a:xfrm>
          <a:off x="1562652" y="568"/>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irradiation</a:t>
          </a:r>
        </a:p>
      </dsp:txBody>
      <dsp:txXfrm>
        <a:off x="1562652" y="568"/>
        <a:ext cx="869284" cy="434642"/>
      </dsp:txXfrm>
    </dsp:sp>
    <dsp:sp modelId="{991D359B-321B-2C49-B936-30C62790071B}">
      <dsp:nvSpPr>
        <dsp:cNvPr id="0" name=""/>
        <dsp:cNvSpPr/>
      </dsp:nvSpPr>
      <dsp:spPr>
        <a:xfrm>
          <a:off x="1562652" y="617760"/>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synthese de radicaux oxygénés libres (ROL)</a:t>
          </a:r>
        </a:p>
      </dsp:txBody>
      <dsp:txXfrm>
        <a:off x="1562652" y="617760"/>
        <a:ext cx="869284" cy="434642"/>
      </dsp:txXfrm>
    </dsp:sp>
    <dsp:sp modelId="{79022517-E2F6-C74F-A544-814F91FBEE68}">
      <dsp:nvSpPr>
        <dsp:cNvPr id="0" name=""/>
        <dsp:cNvSpPr/>
      </dsp:nvSpPr>
      <dsp:spPr>
        <a:xfrm>
          <a:off x="0" y="1234952"/>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lésion cellules endothéliales</a:t>
          </a:r>
        </a:p>
      </dsp:txBody>
      <dsp:txXfrm>
        <a:off x="0" y="1234952"/>
        <a:ext cx="869284" cy="434642"/>
      </dsp:txXfrm>
    </dsp:sp>
    <dsp:sp modelId="{B61E1A54-59AB-234D-BFF8-F7935C3DA373}">
      <dsp:nvSpPr>
        <dsp:cNvPr id="0" name=""/>
        <dsp:cNvSpPr/>
      </dsp:nvSpPr>
      <dsp:spPr>
        <a:xfrm>
          <a:off x="0" y="1852143"/>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production de cytokynes</a:t>
          </a:r>
        </a:p>
      </dsp:txBody>
      <dsp:txXfrm>
        <a:off x="0" y="1852143"/>
        <a:ext cx="869284" cy="434642"/>
      </dsp:txXfrm>
    </dsp:sp>
    <dsp:sp modelId="{AFD82E79-FD4C-6844-865A-B665CBCA2B5E}">
      <dsp:nvSpPr>
        <dsp:cNvPr id="0" name=""/>
        <dsp:cNvSpPr/>
      </dsp:nvSpPr>
      <dsp:spPr>
        <a:xfrm>
          <a:off x="0" y="2469335"/>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nécrose de microvaisseaux</a:t>
          </a:r>
        </a:p>
      </dsp:txBody>
      <dsp:txXfrm>
        <a:off x="0" y="2469335"/>
        <a:ext cx="869284" cy="434642"/>
      </dsp:txXfrm>
    </dsp:sp>
    <dsp:sp modelId="{8A2CAA5A-574D-7D4A-A469-1295690799B7}">
      <dsp:nvSpPr>
        <dsp:cNvPr id="0" name=""/>
        <dsp:cNvSpPr/>
      </dsp:nvSpPr>
      <dsp:spPr>
        <a:xfrm>
          <a:off x="0" y="3086527"/>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thrombose vasculaire</a:t>
          </a:r>
        </a:p>
      </dsp:txBody>
      <dsp:txXfrm>
        <a:off x="0" y="3086527"/>
        <a:ext cx="869284" cy="434642"/>
      </dsp:txXfrm>
    </dsp:sp>
    <dsp:sp modelId="{6CBDABF9-5AB7-064E-AD61-C354CE46BB18}">
      <dsp:nvSpPr>
        <dsp:cNvPr id="0" name=""/>
        <dsp:cNvSpPr/>
      </dsp:nvSpPr>
      <dsp:spPr>
        <a:xfrm>
          <a:off x="454428" y="3693053"/>
          <a:ext cx="869284" cy="434642"/>
        </a:xfrm>
        <a:prstGeom prst="rect">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nécrose tissulaire	</a:t>
          </a:r>
        </a:p>
      </dsp:txBody>
      <dsp:txXfrm>
        <a:off x="454428" y="3693053"/>
        <a:ext cx="869284" cy="434642"/>
      </dsp:txXfrm>
    </dsp:sp>
    <dsp:sp modelId="{1A459023-2263-D441-B637-27A45C464791}">
      <dsp:nvSpPr>
        <dsp:cNvPr id="0" name=""/>
        <dsp:cNvSpPr/>
      </dsp:nvSpPr>
      <dsp:spPr>
        <a:xfrm>
          <a:off x="1570415" y="1508346"/>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mort cellules osseuses (ostéoblastes, ostéocytes, ostéoclastes)</a:t>
          </a:r>
        </a:p>
      </dsp:txBody>
      <dsp:txXfrm>
        <a:off x="1570415" y="1508346"/>
        <a:ext cx="869284" cy="434642"/>
      </dsp:txXfrm>
    </dsp:sp>
    <dsp:sp modelId="{864C23A1-21F9-5D4A-974B-8272D6E702F4}">
      <dsp:nvSpPr>
        <dsp:cNvPr id="0" name=""/>
        <dsp:cNvSpPr/>
      </dsp:nvSpPr>
      <dsp:spPr>
        <a:xfrm>
          <a:off x="1570415" y="2171792"/>
          <a:ext cx="869284" cy="434642"/>
        </a:xfrm>
        <a:prstGeom prst="rect">
          <a:avLst/>
        </a:prstGeom>
        <a:solidFill>
          <a:srgbClr val="4BACC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nécrose tissus osseux</a:t>
          </a:r>
        </a:p>
      </dsp:txBody>
      <dsp:txXfrm>
        <a:off x="1570415" y="2171792"/>
        <a:ext cx="869284" cy="434642"/>
      </dsp:txXfrm>
    </dsp:sp>
    <dsp:sp modelId="{992E6AD0-8E1D-E64B-8FF5-20476EDC4413}">
      <dsp:nvSpPr>
        <dsp:cNvPr id="0" name=""/>
        <dsp:cNvSpPr/>
      </dsp:nvSpPr>
      <dsp:spPr>
        <a:xfrm>
          <a:off x="1570415" y="3060644"/>
          <a:ext cx="869284" cy="434642"/>
        </a:xfrm>
        <a:prstGeom prst="rect">
          <a:avLst/>
        </a:prstGeom>
        <a:solidFill>
          <a:srgbClr val="FF0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remplacement des tissus fragiles par des myofibroblastes anormaux</a:t>
          </a:r>
        </a:p>
      </dsp:txBody>
      <dsp:txXfrm>
        <a:off x="1570415" y="3060644"/>
        <a:ext cx="869284" cy="434642"/>
      </dsp:txXfrm>
    </dsp:sp>
    <dsp:sp modelId="{EF88BCB8-FDFE-9A4B-ACCF-CF05E425BA3C}">
      <dsp:nvSpPr>
        <dsp:cNvPr id="0" name=""/>
        <dsp:cNvSpPr/>
      </dsp:nvSpPr>
      <dsp:spPr>
        <a:xfrm>
          <a:off x="1876437" y="3703884"/>
          <a:ext cx="869284" cy="434642"/>
        </a:xfrm>
        <a:prstGeom prst="rect">
          <a:avLst/>
        </a:prstGeom>
        <a:solidFill>
          <a:srgbClr val="FF0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t>Ostéoradionécrose</a:t>
          </a:r>
        </a:p>
      </dsp:txBody>
      <dsp:txXfrm>
        <a:off x="1876437" y="3703884"/>
        <a:ext cx="869284" cy="434642"/>
      </dsp:txXfrm>
    </dsp:sp>
    <dsp:sp modelId="{4525E951-CA88-3D47-8A84-8E0E5892C883}">
      <dsp:nvSpPr>
        <dsp:cNvPr id="0" name=""/>
        <dsp:cNvSpPr/>
      </dsp:nvSpPr>
      <dsp:spPr>
        <a:xfrm>
          <a:off x="3233512" y="1234952"/>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fibroblastes</a:t>
          </a:r>
        </a:p>
      </dsp:txBody>
      <dsp:txXfrm>
        <a:off x="3233512" y="1234952"/>
        <a:ext cx="869284" cy="434642"/>
      </dsp:txXfrm>
    </dsp:sp>
    <dsp:sp modelId="{2FB381F8-347A-B44B-8167-28671EFDEE4A}">
      <dsp:nvSpPr>
        <dsp:cNvPr id="0" name=""/>
        <dsp:cNvSpPr/>
      </dsp:nvSpPr>
      <dsp:spPr>
        <a:xfrm>
          <a:off x="3225549" y="1852143"/>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myofibroblastes</a:t>
          </a:r>
        </a:p>
      </dsp:txBody>
      <dsp:txXfrm>
        <a:off x="3225549" y="1852143"/>
        <a:ext cx="869284" cy="434642"/>
      </dsp:txXfrm>
    </dsp:sp>
    <dsp:sp modelId="{952F53A4-2544-5A4E-AFDF-73F736F264B4}">
      <dsp:nvSpPr>
        <dsp:cNvPr id="0" name=""/>
        <dsp:cNvSpPr/>
      </dsp:nvSpPr>
      <dsp:spPr>
        <a:xfrm>
          <a:off x="3225540" y="2469335"/>
          <a:ext cx="869284" cy="43464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perturbation métabolisme du collagène</a:t>
          </a:r>
        </a:p>
        <a:p>
          <a:pPr marL="0" lvl="0" indent="0" algn="ctr" defTabSz="311150">
            <a:lnSpc>
              <a:spcPct val="90000"/>
            </a:lnSpc>
            <a:spcBef>
              <a:spcPct val="0"/>
            </a:spcBef>
            <a:spcAft>
              <a:spcPct val="35000"/>
            </a:spcAft>
            <a:buNone/>
          </a:pPr>
          <a:r>
            <a:rPr lang="en-US" sz="700" kern="1200"/>
            <a:t>production TNFa, PDGF, IL1, IL4, IL6, TGFb1</a:t>
          </a:r>
        </a:p>
      </dsp:txBody>
      <dsp:txXfrm>
        <a:off x="3225540" y="2469335"/>
        <a:ext cx="869284" cy="434642"/>
      </dsp:txXfrm>
    </dsp:sp>
    <dsp:sp modelId="{B467E944-B1E0-FA4A-B241-B1617A997D46}">
      <dsp:nvSpPr>
        <dsp:cNvPr id="0" name=""/>
        <dsp:cNvSpPr/>
      </dsp:nvSpPr>
      <dsp:spPr>
        <a:xfrm>
          <a:off x="3465524" y="3109976"/>
          <a:ext cx="869284" cy="434642"/>
        </a:xfrm>
        <a:prstGeom prst="rect">
          <a:avLst/>
        </a:prstGeom>
        <a:solidFill>
          <a:srgbClr val="4BACC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t>fibrose</a:t>
          </a:r>
        </a:p>
      </dsp:txBody>
      <dsp:txXfrm>
        <a:off x="3465524" y="3109976"/>
        <a:ext cx="869284" cy="434642"/>
      </dsp:txXfrm>
    </dsp:sp>
    <dsp:sp modelId="{2DEA0AA1-146C-BB4C-9E47-61A5BDE6A63F}">
      <dsp:nvSpPr>
        <dsp:cNvPr id="0" name=""/>
        <dsp:cNvSpPr/>
      </dsp:nvSpPr>
      <dsp:spPr>
        <a:xfrm>
          <a:off x="2843299" y="3703884"/>
          <a:ext cx="1332395" cy="434642"/>
        </a:xfrm>
        <a:prstGeom prst="irregularSeal1">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t>Traumatisme</a:t>
          </a:r>
        </a:p>
      </dsp:txBody>
      <dsp:txXfrm>
        <a:off x="3128715" y="3831057"/>
        <a:ext cx="744846" cy="15327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2AF466-3891-4CB8-9FFF-B1D3A772D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73876</Words>
  <Characters>406320</Characters>
  <Application>Microsoft Office Word</Application>
  <DocSecurity>0</DocSecurity>
  <Lines>3386</Lines>
  <Paragraphs>958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479238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Magremanne</dc:creator>
  <cp:keywords/>
  <dc:description/>
  <cp:lastModifiedBy>Michele Magremanne</cp:lastModifiedBy>
  <cp:revision>2</cp:revision>
  <cp:lastPrinted>2021-01-30T13:47:00Z</cp:lastPrinted>
  <dcterms:created xsi:type="dcterms:W3CDTF">2021-10-06T14:36:00Z</dcterms:created>
  <dcterms:modified xsi:type="dcterms:W3CDTF">2021-10-06T14:36:00Z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zotero-version="5.0.95"&gt;&lt;session id="JBX7y5An"/&gt;&lt;style id="http://www.zotero.org/styles/vancouver" locale="fr-FR" hasBibliography="1" bibliographyStyleHasBeenSet="1"/&gt;&lt;prefs&gt;&lt;pref name="fieldType" value="Field"/&gt;&lt;pref name="automati</vt:lpwstr>
  </property>
  <property fmtid="{D5CDD505-2E9C-101B-9397-08002B2CF9AE}" pid="3" name="ZOTERO_PREF_2">
    <vt:lpwstr>cJournalAbbreviations" value="true"/&gt;&lt;pref name="dontAskDelayCitationUpdates" value="true"/&gt;&lt;/prefs&gt;&lt;/data&gt;</vt:lpwstr>
  </property>
</Properties>
</file>